
<file path=[Content_Types].xml><?xml version="1.0" encoding="utf-8"?>
<Types xmlns="http://schemas.openxmlformats.org/package/2006/content-types">
  <Default Extension="docx" ContentType="application/vnd.openxmlformats-officedocument.wordprocessingml.document"/>
  <Default Extension="emf" ContentType="image/x-emf"/>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DC727F" w14:textId="77777777" w:rsidR="000D7639" w:rsidRPr="0023319B" w:rsidRDefault="00E46502" w:rsidP="00093594">
      <w:pPr>
        <w:pStyle w:val="Encabezado"/>
        <w:tabs>
          <w:tab w:val="left" w:pos="9214"/>
        </w:tabs>
        <w:spacing w:line="288" w:lineRule="auto"/>
        <w:ind w:left="-426" w:right="51"/>
        <w:jc w:val="center"/>
        <w:rPr>
          <w:rFonts w:asciiTheme="minorHAnsi" w:hAnsiTheme="minorHAnsi" w:cstheme="minorHAnsi"/>
          <w:b/>
          <w:sz w:val="28"/>
          <w:lang w:val="es-CR"/>
        </w:rPr>
      </w:pPr>
      <w:r w:rsidRPr="0023319B">
        <w:rPr>
          <w:rFonts w:asciiTheme="minorHAnsi" w:hAnsiTheme="minorHAnsi" w:cstheme="minorHAnsi"/>
          <w:b/>
          <w:noProof/>
          <w:sz w:val="32"/>
          <w:lang w:val="es-CR" w:eastAsia="es-CR"/>
        </w:rPr>
        <mc:AlternateContent>
          <mc:Choice Requires="wps">
            <w:drawing>
              <wp:anchor distT="0" distB="0" distL="114300" distR="114300" simplePos="0" relativeHeight="251658240" behindDoc="0" locked="0" layoutInCell="1" allowOverlap="1" wp14:anchorId="64DC7AD5" wp14:editId="64DC7AD6">
                <wp:simplePos x="0" y="0"/>
                <wp:positionH relativeFrom="column">
                  <wp:posOffset>330200</wp:posOffset>
                </wp:positionH>
                <wp:positionV relativeFrom="paragraph">
                  <wp:posOffset>116840</wp:posOffset>
                </wp:positionV>
                <wp:extent cx="5943600" cy="7489190"/>
                <wp:effectExtent l="38100" t="38100" r="38100" b="35560"/>
                <wp:wrapNone/>
                <wp:docPr id="4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7489190"/>
                        </a:xfrm>
                        <a:prstGeom prst="rect">
                          <a:avLst/>
                        </a:prstGeom>
                        <a:noFill/>
                        <a:ln w="76200" cmpd="tri">
                          <a:solidFill>
                            <a:srgbClr val="000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9A60D4" id="Rectangle 2" o:spid="_x0000_s1026" style="position:absolute;margin-left:26pt;margin-top:9.2pt;width:468pt;height:589.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" filled="f" strokecolor="navy" strokeweight="6pt">
                <v:stroke linestyle="thickBetweenThin"/>
              </v:rect>
            </w:pict>
          </mc:Fallback>
        </mc:AlternateContent>
      </w:r>
    </w:p>
    <w:p w14:paraId="75C24AF4" w14:textId="77777777" w:rsidR="004E57DE" w:rsidRPr="0023319B" w:rsidRDefault="004E57DE" w:rsidP="00093594">
      <w:pPr>
        <w:ind w:left="567" w:right="51"/>
        <w:jc w:val="center"/>
        <w:rPr>
          <w:rFonts w:asciiTheme="minorHAnsi" w:hAnsiTheme="minorHAnsi" w:cstheme="minorHAnsi"/>
          <w:b/>
          <w:i/>
          <w:sz w:val="32"/>
          <w:szCs w:val="32"/>
          <w:lang w:val="es-CR"/>
          <w14:shadow w14:blurRad="63500" w14:dist="50800" w14:dir="0" w14:sx="0" w14:sy="0" w14:kx="0" w14:ky="0" w14:algn="none">
            <w14:srgbClr w14:val="000000">
              <w14:alpha w14:val="50000"/>
            </w14:srgbClr>
          </w14:shadow>
          <w14:props3d w14:extrusionH="57150" w14:contourW="0" w14:prstMaterial="warmMatte">
            <w14:bevelT w14:w="38100" w14:h="38100" w14:prst="circle"/>
            <w14:extrusionClr>
              <w14:schemeClr w14:val="bg1">
                <w14:lumMod w14:val="75000"/>
              </w14:schemeClr>
            </w14:extrusionClr>
          </w14:props3d>
        </w:rPr>
      </w:pPr>
      <w:bookmarkStart w:id="0" w:name="_Toc195505384"/>
      <w:bookmarkStart w:id="1" w:name="_Toc203492086"/>
    </w:p>
    <w:p w14:paraId="64DC7280" w14:textId="77777777" w:rsidR="00C756F7" w:rsidRPr="00A37310" w:rsidRDefault="00C756F7" w:rsidP="00093594">
      <w:pPr>
        <w:pStyle w:val="Textoindependiente2"/>
        <w:spacing w:line="288" w:lineRule="auto"/>
        <w:ind w:left="567" w:right="51" w:firstLine="2"/>
        <w:jc w:val="center"/>
        <w:rPr>
          <w:rFonts w:asciiTheme="minorHAnsi" w:hAnsiTheme="minorHAnsi" w:cstheme="minorHAnsi"/>
          <w:b/>
          <w:i/>
          <w:color w:val="17365D" w:themeColor="text2" w:themeShade="BF"/>
          <w:sz w:val="48"/>
          <w:szCs w:val="48"/>
          <w:lang w:val="es-CR"/>
        </w:rPr>
      </w:pPr>
      <w:r w:rsidRPr="00A37310">
        <w:rPr>
          <w:rFonts w:asciiTheme="minorHAnsi" w:hAnsiTheme="minorHAnsi" w:cstheme="minorHAnsi"/>
          <w:b/>
          <w:i/>
          <w:color w:val="17365D" w:themeColor="text2" w:themeShade="BF"/>
          <w:sz w:val="48"/>
          <w:szCs w:val="48"/>
          <w:lang w:val="es-CR"/>
        </w:rPr>
        <w:t xml:space="preserve">Superintendencia </w:t>
      </w:r>
      <w:r w:rsidR="00673A4E" w:rsidRPr="00A37310">
        <w:rPr>
          <w:rFonts w:asciiTheme="minorHAnsi" w:hAnsiTheme="minorHAnsi" w:cstheme="minorHAnsi"/>
          <w:b/>
          <w:i/>
          <w:color w:val="17365D" w:themeColor="text2" w:themeShade="BF"/>
          <w:sz w:val="48"/>
          <w:szCs w:val="48"/>
          <w:lang w:val="es-CR"/>
        </w:rPr>
        <w:t>de Pensiones</w:t>
      </w:r>
      <w:bookmarkEnd w:id="0"/>
      <w:bookmarkEnd w:id="1"/>
    </w:p>
    <w:p w14:paraId="64DC7282" w14:textId="77777777" w:rsidR="00C756F7" w:rsidRPr="0023319B" w:rsidRDefault="00C756F7" w:rsidP="00093594">
      <w:pPr>
        <w:pStyle w:val="Encabezado"/>
        <w:spacing w:line="288" w:lineRule="auto"/>
        <w:ind w:left="567" w:right="51" w:firstLine="2"/>
        <w:rPr>
          <w:rFonts w:asciiTheme="minorHAnsi" w:hAnsiTheme="minorHAnsi" w:cstheme="minorHAnsi"/>
          <w:color w:val="17365D" w:themeColor="text2" w:themeShade="BF"/>
          <w:sz w:val="24"/>
          <w:lang w:val="es-CR"/>
        </w:rPr>
      </w:pPr>
    </w:p>
    <w:p w14:paraId="64DC7283" w14:textId="77777777" w:rsidR="00C756F7" w:rsidRPr="0023319B" w:rsidRDefault="00C756F7" w:rsidP="00093594">
      <w:pPr>
        <w:pStyle w:val="Encabezado"/>
        <w:spacing w:line="288" w:lineRule="auto"/>
        <w:ind w:left="567" w:right="51" w:firstLine="2"/>
        <w:rPr>
          <w:rFonts w:asciiTheme="minorHAnsi" w:hAnsiTheme="minorHAnsi" w:cstheme="minorHAnsi"/>
          <w:color w:val="17365D" w:themeColor="text2" w:themeShade="BF"/>
          <w:sz w:val="24"/>
          <w:lang w:val="es-CR"/>
        </w:rPr>
      </w:pPr>
    </w:p>
    <w:p w14:paraId="64DC7284" w14:textId="77777777" w:rsidR="001C1A65" w:rsidRPr="0023319B" w:rsidRDefault="001C1A65" w:rsidP="00093594">
      <w:pPr>
        <w:spacing w:line="288" w:lineRule="auto"/>
        <w:ind w:left="567" w:right="51" w:firstLine="2"/>
        <w:rPr>
          <w:rFonts w:asciiTheme="minorHAnsi" w:hAnsiTheme="minorHAnsi" w:cstheme="minorHAnsi"/>
          <w:color w:val="17365D" w:themeColor="text2" w:themeShade="BF"/>
          <w:lang w:val="es-CR"/>
        </w:rPr>
      </w:pPr>
    </w:p>
    <w:p w14:paraId="64DC7285" w14:textId="77777777" w:rsidR="00250EE1" w:rsidRPr="0023319B" w:rsidRDefault="00250EE1" w:rsidP="00093594">
      <w:pPr>
        <w:spacing w:line="288" w:lineRule="auto"/>
        <w:ind w:left="567" w:right="51" w:firstLine="2"/>
        <w:rPr>
          <w:rFonts w:asciiTheme="minorHAnsi" w:hAnsiTheme="minorHAnsi" w:cstheme="minorHAnsi"/>
          <w:color w:val="17365D" w:themeColor="text2" w:themeShade="BF"/>
          <w:lang w:val="es-CR"/>
        </w:rPr>
      </w:pPr>
    </w:p>
    <w:p w14:paraId="64DC7286" w14:textId="77777777" w:rsidR="001C1A65" w:rsidRPr="0023319B" w:rsidRDefault="001C1A65" w:rsidP="00093594">
      <w:pPr>
        <w:spacing w:line="288" w:lineRule="auto"/>
        <w:ind w:left="567" w:right="51" w:firstLine="2"/>
        <w:rPr>
          <w:rFonts w:asciiTheme="minorHAnsi" w:hAnsiTheme="minorHAnsi" w:cstheme="minorHAnsi"/>
          <w:color w:val="17365D" w:themeColor="text2" w:themeShade="BF"/>
          <w:lang w:val="es-CR"/>
        </w:rPr>
      </w:pPr>
    </w:p>
    <w:p w14:paraId="64DC7287" w14:textId="77777777" w:rsidR="00C756F7" w:rsidRPr="0023319B" w:rsidRDefault="00C756F7" w:rsidP="00093594">
      <w:pPr>
        <w:pStyle w:val="Textoindependiente2"/>
        <w:spacing w:line="288" w:lineRule="auto"/>
        <w:ind w:left="567" w:right="51" w:firstLine="2"/>
        <w:jc w:val="center"/>
        <w:rPr>
          <w:rFonts w:asciiTheme="minorHAnsi" w:hAnsiTheme="minorHAnsi" w:cstheme="minorHAnsi"/>
          <w:color w:val="17365D" w:themeColor="text2" w:themeShade="BF"/>
          <w:lang w:val="es-CR"/>
        </w:rPr>
      </w:pPr>
    </w:p>
    <w:p w14:paraId="64DC7288" w14:textId="77777777" w:rsidR="00D47BAD" w:rsidRPr="0023319B" w:rsidRDefault="00D47BAD" w:rsidP="00093594">
      <w:pPr>
        <w:pStyle w:val="Textoindependiente2"/>
        <w:spacing w:line="288" w:lineRule="auto"/>
        <w:ind w:left="567" w:right="51" w:firstLine="2"/>
        <w:jc w:val="center"/>
        <w:rPr>
          <w:rFonts w:asciiTheme="minorHAnsi" w:hAnsiTheme="minorHAnsi" w:cstheme="minorHAnsi"/>
          <w:color w:val="17365D" w:themeColor="text2" w:themeShade="BF"/>
          <w:lang w:val="es-CR"/>
        </w:rPr>
      </w:pPr>
    </w:p>
    <w:p w14:paraId="6B3EE991" w14:textId="77777777" w:rsidR="000505F0" w:rsidRPr="001C07AE" w:rsidRDefault="000505F0" w:rsidP="00093594">
      <w:pPr>
        <w:pStyle w:val="Textoindependiente2"/>
        <w:spacing w:line="288" w:lineRule="auto"/>
        <w:ind w:left="567" w:right="51" w:firstLine="2"/>
        <w:jc w:val="center"/>
        <w:rPr>
          <w:rFonts w:asciiTheme="minorHAnsi" w:hAnsiTheme="minorHAnsi" w:cstheme="minorHAnsi"/>
          <w:b/>
          <w:color w:val="17365D" w:themeColor="text2" w:themeShade="BF"/>
          <w:sz w:val="72"/>
          <w:szCs w:val="72"/>
          <w:lang w:val="es-CR"/>
        </w:rPr>
      </w:pPr>
      <w:r w:rsidRPr="001C07AE">
        <w:rPr>
          <w:rFonts w:asciiTheme="minorHAnsi" w:hAnsiTheme="minorHAnsi" w:cstheme="minorHAnsi"/>
          <w:b/>
          <w:color w:val="17365D" w:themeColor="text2" w:themeShade="BF"/>
          <w:sz w:val="72"/>
          <w:szCs w:val="72"/>
          <w:lang w:val="es-CR"/>
        </w:rPr>
        <w:t xml:space="preserve">Evaluación anual y </w:t>
      </w:r>
    </w:p>
    <w:p w14:paraId="34CF49F2" w14:textId="77777777" w:rsidR="00974BA5" w:rsidRPr="001C07AE" w:rsidRDefault="000505F0" w:rsidP="00093594">
      <w:pPr>
        <w:pStyle w:val="Textoindependiente2"/>
        <w:spacing w:line="288" w:lineRule="auto"/>
        <w:ind w:left="567" w:right="51" w:firstLine="2"/>
        <w:jc w:val="center"/>
        <w:rPr>
          <w:rFonts w:asciiTheme="minorHAnsi" w:hAnsiTheme="minorHAnsi" w:cstheme="minorHAnsi"/>
          <w:b/>
          <w:color w:val="17365D" w:themeColor="text2" w:themeShade="BF"/>
          <w:sz w:val="72"/>
          <w:szCs w:val="72"/>
          <w:lang w:val="es-CR"/>
        </w:rPr>
      </w:pPr>
      <w:r w:rsidRPr="001C07AE">
        <w:rPr>
          <w:rFonts w:asciiTheme="minorHAnsi" w:hAnsiTheme="minorHAnsi" w:cstheme="minorHAnsi"/>
          <w:b/>
          <w:color w:val="17365D" w:themeColor="text2" w:themeShade="BF"/>
          <w:sz w:val="72"/>
          <w:szCs w:val="72"/>
          <w:lang w:val="es-CR"/>
        </w:rPr>
        <w:t>ejecución semestral</w:t>
      </w:r>
    </w:p>
    <w:p w14:paraId="64DC728A" w14:textId="7784982F" w:rsidR="00E47859" w:rsidRPr="001C07AE" w:rsidRDefault="00AD34C5" w:rsidP="00093594">
      <w:pPr>
        <w:pStyle w:val="Textoindependiente2"/>
        <w:spacing w:line="288" w:lineRule="auto"/>
        <w:ind w:left="567" w:right="51" w:firstLine="2"/>
        <w:jc w:val="center"/>
        <w:rPr>
          <w:rFonts w:asciiTheme="minorHAnsi" w:hAnsiTheme="minorHAnsi" w:cstheme="minorHAnsi"/>
          <w:b/>
          <w:color w:val="17365D" w:themeColor="text2" w:themeShade="BF"/>
          <w:sz w:val="72"/>
          <w:szCs w:val="72"/>
          <w:lang w:val="es-CR"/>
        </w:rPr>
      </w:pPr>
      <w:r w:rsidRPr="001C07AE">
        <w:rPr>
          <w:rFonts w:asciiTheme="minorHAnsi" w:hAnsiTheme="minorHAnsi" w:cstheme="minorHAnsi"/>
          <w:b/>
          <w:color w:val="17365D" w:themeColor="text2" w:themeShade="BF"/>
          <w:sz w:val="72"/>
          <w:szCs w:val="72"/>
          <w:lang w:val="es-CR"/>
        </w:rPr>
        <w:t>presupuestaria</w:t>
      </w:r>
    </w:p>
    <w:p w14:paraId="64DC728B" w14:textId="77777777" w:rsidR="00D47BAD" w:rsidRPr="0023319B" w:rsidRDefault="00D47BAD" w:rsidP="00093594">
      <w:pPr>
        <w:pStyle w:val="Textoindependiente2"/>
        <w:spacing w:line="288" w:lineRule="auto"/>
        <w:ind w:left="567" w:right="51" w:firstLine="2"/>
        <w:jc w:val="center"/>
        <w:rPr>
          <w:rFonts w:asciiTheme="minorHAnsi" w:hAnsiTheme="minorHAnsi" w:cstheme="minorHAnsi"/>
          <w:b/>
          <w:color w:val="17365D" w:themeColor="text2" w:themeShade="BF"/>
          <w:sz w:val="48"/>
          <w:szCs w:val="48"/>
          <w:lang w:val="es-CR"/>
        </w:rPr>
      </w:pPr>
    </w:p>
    <w:p w14:paraId="64DC728D" w14:textId="0C813F5A" w:rsidR="00C756F7" w:rsidRPr="00A37310" w:rsidRDefault="00C756F7" w:rsidP="00093594">
      <w:pPr>
        <w:pStyle w:val="Textoindependiente2"/>
        <w:spacing w:line="288" w:lineRule="auto"/>
        <w:ind w:left="567" w:right="51" w:firstLine="2"/>
        <w:jc w:val="center"/>
        <w:rPr>
          <w:rFonts w:asciiTheme="minorHAnsi" w:hAnsiTheme="minorHAnsi" w:cstheme="minorHAnsi"/>
          <w:b/>
          <w:smallCaps/>
          <w:color w:val="17365D" w:themeColor="text2" w:themeShade="BF"/>
          <w:sz w:val="96"/>
          <w:szCs w:val="96"/>
          <w:lang w:val="es-CR"/>
        </w:rPr>
      </w:pPr>
      <w:r w:rsidRPr="00A37310">
        <w:rPr>
          <w:rFonts w:asciiTheme="minorHAnsi" w:hAnsiTheme="minorHAnsi" w:cstheme="minorHAnsi"/>
          <w:b/>
          <w:smallCaps/>
          <w:color w:val="17365D" w:themeColor="text2" w:themeShade="BF"/>
          <w:sz w:val="96"/>
          <w:szCs w:val="96"/>
          <w:lang w:val="es-CR"/>
        </w:rPr>
        <w:t>20</w:t>
      </w:r>
      <w:r w:rsidR="003800FC" w:rsidRPr="00A37310">
        <w:rPr>
          <w:rFonts w:asciiTheme="minorHAnsi" w:hAnsiTheme="minorHAnsi" w:cstheme="minorHAnsi"/>
          <w:b/>
          <w:smallCaps/>
          <w:color w:val="17365D" w:themeColor="text2" w:themeShade="BF"/>
          <w:sz w:val="96"/>
          <w:szCs w:val="96"/>
          <w:lang w:val="es-CR"/>
        </w:rPr>
        <w:t>20</w:t>
      </w:r>
      <w:r w:rsidRPr="00A37310">
        <w:rPr>
          <w:rFonts w:asciiTheme="minorHAnsi" w:hAnsiTheme="minorHAnsi" w:cstheme="minorHAnsi"/>
          <w:b/>
          <w:smallCaps/>
          <w:color w:val="17365D" w:themeColor="text2" w:themeShade="BF"/>
          <w:sz w:val="96"/>
          <w:szCs w:val="96"/>
          <w:lang w:val="es-CR"/>
        </w:rPr>
        <w:t xml:space="preserve"> </w:t>
      </w:r>
    </w:p>
    <w:p w14:paraId="52EB83A4" w14:textId="316289C1" w:rsidR="00026DC4" w:rsidRPr="0023319B" w:rsidRDefault="00026DC4" w:rsidP="00093594">
      <w:pPr>
        <w:pStyle w:val="Textoindependiente2"/>
        <w:spacing w:line="288" w:lineRule="auto"/>
        <w:ind w:left="567" w:right="51" w:firstLine="2"/>
        <w:jc w:val="center"/>
        <w:rPr>
          <w:rFonts w:asciiTheme="minorHAnsi" w:hAnsiTheme="minorHAnsi" w:cstheme="minorHAnsi"/>
          <w:b/>
          <w:smallCaps/>
          <w:color w:val="17365D" w:themeColor="text2" w:themeShade="BF"/>
          <w:sz w:val="52"/>
          <w:szCs w:val="52"/>
          <w:lang w:val="es-CR"/>
        </w:rPr>
      </w:pPr>
    </w:p>
    <w:p w14:paraId="4707B12F" w14:textId="77777777" w:rsidR="004E57DE" w:rsidRPr="0023319B" w:rsidRDefault="004E57DE" w:rsidP="00093594">
      <w:pPr>
        <w:pStyle w:val="Textoindependiente2"/>
        <w:spacing w:line="288" w:lineRule="auto"/>
        <w:ind w:left="567" w:right="51" w:firstLine="2"/>
        <w:jc w:val="center"/>
        <w:rPr>
          <w:rFonts w:asciiTheme="minorHAnsi" w:hAnsiTheme="minorHAnsi" w:cstheme="minorHAnsi"/>
          <w:color w:val="17365D" w:themeColor="text2" w:themeShade="BF"/>
          <w:sz w:val="36"/>
          <w:szCs w:val="36"/>
          <w:lang w:val="es-CR"/>
        </w:rPr>
      </w:pPr>
    </w:p>
    <w:p w14:paraId="15C26E4C" w14:textId="11BB395F" w:rsidR="00026DC4" w:rsidRPr="0023319B" w:rsidRDefault="005A3FAC" w:rsidP="00093594">
      <w:pPr>
        <w:pStyle w:val="Textoindependiente2"/>
        <w:spacing w:line="288" w:lineRule="auto"/>
        <w:ind w:left="567" w:right="51" w:firstLine="2"/>
        <w:jc w:val="center"/>
        <w:rPr>
          <w:rFonts w:asciiTheme="minorHAnsi" w:hAnsiTheme="minorHAnsi" w:cstheme="minorHAnsi"/>
          <w:color w:val="17365D" w:themeColor="text2" w:themeShade="BF"/>
          <w:sz w:val="36"/>
          <w:szCs w:val="36"/>
          <w:lang w:val="es-CR"/>
        </w:rPr>
      </w:pPr>
      <w:r w:rsidRPr="0023319B">
        <w:rPr>
          <w:rFonts w:asciiTheme="minorHAnsi" w:hAnsiTheme="minorHAnsi" w:cstheme="minorHAnsi"/>
          <w:color w:val="17365D" w:themeColor="text2" w:themeShade="BF"/>
          <w:sz w:val="36"/>
          <w:szCs w:val="36"/>
          <w:lang w:val="es-CR"/>
        </w:rPr>
        <w:t>San José -</w:t>
      </w:r>
      <w:r w:rsidR="004E57DE" w:rsidRPr="0023319B">
        <w:rPr>
          <w:rFonts w:asciiTheme="minorHAnsi" w:hAnsiTheme="minorHAnsi" w:cstheme="minorHAnsi"/>
          <w:color w:val="17365D" w:themeColor="text2" w:themeShade="BF"/>
          <w:sz w:val="36"/>
          <w:szCs w:val="36"/>
          <w:lang w:val="es-CR"/>
        </w:rPr>
        <w:t xml:space="preserve"> Costa Rica</w:t>
      </w:r>
    </w:p>
    <w:p w14:paraId="64DC7290" w14:textId="7C2F8F6C" w:rsidR="00A2684C" w:rsidRPr="0023319B" w:rsidRDefault="003145FE" w:rsidP="00093594">
      <w:pPr>
        <w:pStyle w:val="Textoindependiente2"/>
        <w:spacing w:line="288" w:lineRule="auto"/>
        <w:ind w:left="567" w:right="51" w:firstLine="2"/>
        <w:jc w:val="center"/>
        <w:rPr>
          <w:rFonts w:asciiTheme="minorHAnsi" w:hAnsiTheme="minorHAnsi" w:cstheme="minorHAnsi"/>
          <w:color w:val="000080"/>
          <w:sz w:val="36"/>
          <w:szCs w:val="36"/>
          <w:lang w:val="es-CR"/>
        </w:rPr>
        <w:sectPr w:rsidR="00A2684C" w:rsidRPr="0023319B" w:rsidSect="004243F3">
          <w:headerReference w:type="default" r:id="rId11"/>
          <w:footerReference w:type="default" r:id="rId12"/>
          <w:pgSz w:w="12242" w:h="15842" w:code="1"/>
          <w:pgMar w:top="794" w:right="1134" w:bottom="1021" w:left="1361" w:header="720" w:footer="913" w:gutter="0"/>
          <w:cols w:space="720"/>
        </w:sectPr>
      </w:pPr>
      <w:r w:rsidRPr="0023319B">
        <w:rPr>
          <w:rFonts w:asciiTheme="minorHAnsi" w:hAnsiTheme="minorHAnsi" w:cstheme="minorHAnsi"/>
          <w:color w:val="17365D" w:themeColor="text2" w:themeShade="BF"/>
          <w:sz w:val="36"/>
          <w:szCs w:val="36"/>
          <w:lang w:val="es-CR"/>
        </w:rPr>
        <w:t>Enero</w:t>
      </w:r>
      <w:r w:rsidR="0046461B" w:rsidRPr="0023319B">
        <w:rPr>
          <w:rFonts w:asciiTheme="minorHAnsi" w:hAnsiTheme="minorHAnsi" w:cstheme="minorHAnsi"/>
          <w:color w:val="17365D" w:themeColor="text2" w:themeShade="BF"/>
          <w:sz w:val="36"/>
          <w:szCs w:val="36"/>
          <w:lang w:val="es-CR"/>
        </w:rPr>
        <w:t xml:space="preserve"> -</w:t>
      </w:r>
      <w:r w:rsidR="00F84E0F" w:rsidRPr="0023319B">
        <w:rPr>
          <w:rFonts w:asciiTheme="minorHAnsi" w:hAnsiTheme="minorHAnsi" w:cstheme="minorHAnsi"/>
          <w:color w:val="17365D" w:themeColor="text2" w:themeShade="BF"/>
          <w:sz w:val="36"/>
          <w:szCs w:val="36"/>
          <w:lang w:val="es-CR"/>
        </w:rPr>
        <w:t xml:space="preserve"> 20</w:t>
      </w:r>
      <w:r w:rsidR="00207DCB" w:rsidRPr="0023319B">
        <w:rPr>
          <w:rFonts w:asciiTheme="minorHAnsi" w:hAnsiTheme="minorHAnsi" w:cstheme="minorHAnsi"/>
          <w:color w:val="17365D" w:themeColor="text2" w:themeShade="BF"/>
          <w:sz w:val="36"/>
          <w:szCs w:val="36"/>
          <w:lang w:val="es-CR"/>
        </w:rPr>
        <w:t>2</w:t>
      </w:r>
      <w:r w:rsidRPr="0023319B">
        <w:rPr>
          <w:rFonts w:asciiTheme="minorHAnsi" w:hAnsiTheme="minorHAnsi" w:cstheme="minorHAnsi"/>
          <w:color w:val="17365D" w:themeColor="text2" w:themeShade="BF"/>
          <w:sz w:val="36"/>
          <w:szCs w:val="36"/>
          <w:lang w:val="es-CR"/>
        </w:rPr>
        <w:t>1</w:t>
      </w:r>
    </w:p>
    <w:p w14:paraId="64DC7291" w14:textId="77777777" w:rsidR="00E47859" w:rsidRPr="0023319B" w:rsidRDefault="00E47859" w:rsidP="00556C37">
      <w:pPr>
        <w:spacing w:line="240" w:lineRule="auto"/>
        <w:ind w:right="51"/>
        <w:jc w:val="center"/>
        <w:rPr>
          <w:rFonts w:asciiTheme="minorHAnsi" w:hAnsiTheme="minorHAnsi" w:cstheme="minorHAnsi"/>
          <w:b/>
          <w:szCs w:val="14"/>
          <w:lang w:val="es-CR"/>
        </w:rPr>
      </w:pPr>
      <w:r w:rsidRPr="0023319B">
        <w:rPr>
          <w:rFonts w:asciiTheme="minorHAnsi" w:hAnsiTheme="minorHAnsi" w:cstheme="minorHAnsi"/>
          <w:b/>
          <w:szCs w:val="14"/>
          <w:lang w:val="es-CR"/>
        </w:rPr>
        <w:lastRenderedPageBreak/>
        <w:t>ÍNDICE</w:t>
      </w:r>
    </w:p>
    <w:p w14:paraId="0759363E" w14:textId="23E911E9" w:rsidR="009017CF" w:rsidRDefault="00A33FC2">
      <w:pPr>
        <w:pStyle w:val="TDC1"/>
        <w:rPr>
          <w:rFonts w:asciiTheme="minorHAnsi" w:eastAsiaTheme="minorEastAsia" w:hAnsiTheme="minorHAnsi" w:cstheme="minorBidi"/>
          <w:b w:val="0"/>
          <w:bCs w:val="0"/>
          <w:caps w:val="0"/>
          <w:noProof/>
          <w:sz w:val="22"/>
          <w:szCs w:val="22"/>
          <w:lang w:eastAsia="es-CR"/>
        </w:rPr>
      </w:pPr>
      <w:r w:rsidRPr="0023319B">
        <w:rPr>
          <w:rFonts w:asciiTheme="minorHAnsi" w:hAnsiTheme="minorHAnsi" w:cstheme="minorHAnsi"/>
          <w:sz w:val="14"/>
          <w:szCs w:val="18"/>
        </w:rPr>
        <w:fldChar w:fldCharType="begin"/>
      </w:r>
      <w:r w:rsidR="00E47859" w:rsidRPr="0023319B">
        <w:rPr>
          <w:rFonts w:asciiTheme="minorHAnsi" w:hAnsiTheme="minorHAnsi" w:cstheme="minorHAnsi"/>
          <w:sz w:val="14"/>
          <w:szCs w:val="18"/>
        </w:rPr>
        <w:instrText xml:space="preserve"> TOC \o "1-6" \h \z \u </w:instrText>
      </w:r>
      <w:r w:rsidRPr="0023319B">
        <w:rPr>
          <w:rFonts w:asciiTheme="minorHAnsi" w:hAnsiTheme="minorHAnsi" w:cstheme="minorHAnsi"/>
          <w:sz w:val="14"/>
          <w:szCs w:val="18"/>
        </w:rPr>
        <w:fldChar w:fldCharType="separate"/>
      </w:r>
      <w:hyperlink w:anchor="_Toc61081360" w:history="1">
        <w:r w:rsidR="009017CF" w:rsidRPr="0073294C">
          <w:rPr>
            <w:rStyle w:val="Hipervnculo"/>
            <w:rFonts w:ascii="Arial" w:hAnsi="Arial" w:cs="Arial"/>
            <w:noProof/>
          </w:rPr>
          <w:t>PRESENTACIÓN</w:t>
        </w:r>
        <w:r w:rsidR="009017CF">
          <w:rPr>
            <w:noProof/>
            <w:webHidden/>
          </w:rPr>
          <w:tab/>
        </w:r>
        <w:r w:rsidR="009017CF">
          <w:rPr>
            <w:noProof/>
            <w:webHidden/>
          </w:rPr>
          <w:fldChar w:fldCharType="begin"/>
        </w:r>
        <w:r w:rsidR="009017CF">
          <w:rPr>
            <w:noProof/>
            <w:webHidden/>
          </w:rPr>
          <w:instrText xml:space="preserve"> PAGEREF _Toc61081360 \h </w:instrText>
        </w:r>
        <w:r w:rsidR="009017CF">
          <w:rPr>
            <w:noProof/>
            <w:webHidden/>
          </w:rPr>
        </w:r>
        <w:r w:rsidR="009017CF">
          <w:rPr>
            <w:noProof/>
            <w:webHidden/>
          </w:rPr>
          <w:fldChar w:fldCharType="separate"/>
        </w:r>
        <w:r w:rsidR="00492C34">
          <w:rPr>
            <w:noProof/>
            <w:webHidden/>
          </w:rPr>
          <w:t>4</w:t>
        </w:r>
        <w:r w:rsidR="009017CF">
          <w:rPr>
            <w:noProof/>
            <w:webHidden/>
          </w:rPr>
          <w:fldChar w:fldCharType="end"/>
        </w:r>
      </w:hyperlink>
    </w:p>
    <w:p w14:paraId="04829CFA" w14:textId="689537F1" w:rsidR="009017CF" w:rsidRDefault="00273579">
      <w:pPr>
        <w:pStyle w:val="TDC1"/>
        <w:rPr>
          <w:rFonts w:asciiTheme="minorHAnsi" w:eastAsiaTheme="minorEastAsia" w:hAnsiTheme="minorHAnsi" w:cstheme="minorBidi"/>
          <w:b w:val="0"/>
          <w:bCs w:val="0"/>
          <w:caps w:val="0"/>
          <w:noProof/>
          <w:sz w:val="22"/>
          <w:szCs w:val="22"/>
          <w:lang w:eastAsia="es-CR"/>
        </w:rPr>
      </w:pPr>
      <w:hyperlink w:anchor="_Toc61081361" w:history="1">
        <w:r w:rsidR="009017CF" w:rsidRPr="0073294C">
          <w:rPr>
            <w:rStyle w:val="Hipervnculo"/>
            <w:rFonts w:ascii="Arial" w:hAnsi="Arial" w:cs="Arial"/>
            <w:noProof/>
          </w:rPr>
          <w:t>INTRODUCCIÓN</w:t>
        </w:r>
        <w:r w:rsidR="009017CF">
          <w:rPr>
            <w:noProof/>
            <w:webHidden/>
          </w:rPr>
          <w:tab/>
        </w:r>
        <w:r w:rsidR="009017CF">
          <w:rPr>
            <w:noProof/>
            <w:webHidden/>
          </w:rPr>
          <w:fldChar w:fldCharType="begin"/>
        </w:r>
        <w:r w:rsidR="009017CF">
          <w:rPr>
            <w:noProof/>
            <w:webHidden/>
          </w:rPr>
          <w:instrText xml:space="preserve"> PAGEREF _Toc61081361 \h </w:instrText>
        </w:r>
        <w:r w:rsidR="009017CF">
          <w:rPr>
            <w:noProof/>
            <w:webHidden/>
          </w:rPr>
        </w:r>
        <w:r w:rsidR="009017CF">
          <w:rPr>
            <w:noProof/>
            <w:webHidden/>
          </w:rPr>
          <w:fldChar w:fldCharType="separate"/>
        </w:r>
        <w:r w:rsidR="00492C34">
          <w:rPr>
            <w:noProof/>
            <w:webHidden/>
          </w:rPr>
          <w:t>5</w:t>
        </w:r>
        <w:r w:rsidR="009017CF">
          <w:rPr>
            <w:noProof/>
            <w:webHidden/>
          </w:rPr>
          <w:fldChar w:fldCharType="end"/>
        </w:r>
      </w:hyperlink>
    </w:p>
    <w:p w14:paraId="21CCDBFE" w14:textId="72E5FC3D" w:rsidR="009017CF" w:rsidRDefault="00273579">
      <w:pPr>
        <w:pStyle w:val="TDC1"/>
        <w:rPr>
          <w:rFonts w:asciiTheme="minorHAnsi" w:eastAsiaTheme="minorEastAsia" w:hAnsiTheme="minorHAnsi" w:cstheme="minorBidi"/>
          <w:b w:val="0"/>
          <w:bCs w:val="0"/>
          <w:caps w:val="0"/>
          <w:noProof/>
          <w:sz w:val="22"/>
          <w:szCs w:val="22"/>
          <w:lang w:eastAsia="es-CR"/>
        </w:rPr>
      </w:pPr>
      <w:hyperlink w:anchor="_Toc61081362" w:history="1">
        <w:r w:rsidR="009017CF" w:rsidRPr="0073294C">
          <w:rPr>
            <w:rStyle w:val="Hipervnculo"/>
            <w:rFonts w:cstheme="minorHAnsi"/>
            <w:noProof/>
          </w:rPr>
          <w:t>OBJETO DEL INFORME</w:t>
        </w:r>
        <w:r w:rsidR="009017CF">
          <w:rPr>
            <w:noProof/>
            <w:webHidden/>
          </w:rPr>
          <w:tab/>
        </w:r>
        <w:r w:rsidR="009017CF">
          <w:rPr>
            <w:noProof/>
            <w:webHidden/>
          </w:rPr>
          <w:fldChar w:fldCharType="begin"/>
        </w:r>
        <w:r w:rsidR="009017CF">
          <w:rPr>
            <w:noProof/>
            <w:webHidden/>
          </w:rPr>
          <w:instrText xml:space="preserve"> PAGEREF _Toc61081362 \h </w:instrText>
        </w:r>
        <w:r w:rsidR="009017CF">
          <w:rPr>
            <w:noProof/>
            <w:webHidden/>
          </w:rPr>
        </w:r>
        <w:r w:rsidR="009017CF">
          <w:rPr>
            <w:noProof/>
            <w:webHidden/>
          </w:rPr>
          <w:fldChar w:fldCharType="separate"/>
        </w:r>
        <w:r w:rsidR="00492C34">
          <w:rPr>
            <w:noProof/>
            <w:webHidden/>
          </w:rPr>
          <w:t>6</w:t>
        </w:r>
        <w:r w:rsidR="009017CF">
          <w:rPr>
            <w:noProof/>
            <w:webHidden/>
          </w:rPr>
          <w:fldChar w:fldCharType="end"/>
        </w:r>
      </w:hyperlink>
    </w:p>
    <w:p w14:paraId="4B206974" w14:textId="7EC46B32" w:rsidR="009017CF" w:rsidRDefault="00273579">
      <w:pPr>
        <w:pStyle w:val="TDC1"/>
        <w:rPr>
          <w:rFonts w:asciiTheme="minorHAnsi" w:eastAsiaTheme="minorEastAsia" w:hAnsiTheme="minorHAnsi" w:cstheme="minorBidi"/>
          <w:b w:val="0"/>
          <w:bCs w:val="0"/>
          <w:caps w:val="0"/>
          <w:noProof/>
          <w:sz w:val="22"/>
          <w:szCs w:val="22"/>
          <w:lang w:eastAsia="es-CR"/>
        </w:rPr>
      </w:pPr>
      <w:hyperlink w:anchor="_Toc61081363" w:history="1">
        <w:r w:rsidR="009017CF" w:rsidRPr="0073294C">
          <w:rPr>
            <w:rStyle w:val="Hipervnculo"/>
            <w:rFonts w:cstheme="minorHAnsi"/>
            <w:noProof/>
          </w:rPr>
          <w:t>I</w:t>
        </w:r>
        <w:r w:rsidR="009017CF">
          <w:rPr>
            <w:rFonts w:asciiTheme="minorHAnsi" w:eastAsiaTheme="minorEastAsia" w:hAnsiTheme="minorHAnsi" w:cstheme="minorBidi"/>
            <w:b w:val="0"/>
            <w:bCs w:val="0"/>
            <w:caps w:val="0"/>
            <w:noProof/>
            <w:sz w:val="22"/>
            <w:szCs w:val="22"/>
            <w:lang w:eastAsia="es-CR"/>
          </w:rPr>
          <w:tab/>
        </w:r>
        <w:r w:rsidR="009017CF" w:rsidRPr="0073294C">
          <w:rPr>
            <w:rStyle w:val="Hipervnculo"/>
            <w:rFonts w:cstheme="minorHAnsi"/>
            <w:noProof/>
          </w:rPr>
          <w:t>RESULTADO DE LA EJECUCIÓN FINANCIERA (4.3.15)</w:t>
        </w:r>
        <w:r w:rsidR="009017CF">
          <w:rPr>
            <w:noProof/>
            <w:webHidden/>
          </w:rPr>
          <w:tab/>
        </w:r>
        <w:r w:rsidR="009017CF">
          <w:rPr>
            <w:noProof/>
            <w:webHidden/>
          </w:rPr>
          <w:fldChar w:fldCharType="begin"/>
        </w:r>
        <w:r w:rsidR="009017CF">
          <w:rPr>
            <w:noProof/>
            <w:webHidden/>
          </w:rPr>
          <w:instrText xml:space="preserve"> PAGEREF _Toc61081363 \h </w:instrText>
        </w:r>
        <w:r w:rsidR="009017CF">
          <w:rPr>
            <w:noProof/>
            <w:webHidden/>
          </w:rPr>
        </w:r>
        <w:r w:rsidR="009017CF">
          <w:rPr>
            <w:noProof/>
            <w:webHidden/>
          </w:rPr>
          <w:fldChar w:fldCharType="separate"/>
        </w:r>
        <w:r w:rsidR="00492C34">
          <w:rPr>
            <w:noProof/>
            <w:webHidden/>
          </w:rPr>
          <w:t>7</w:t>
        </w:r>
        <w:r w:rsidR="009017CF">
          <w:rPr>
            <w:noProof/>
            <w:webHidden/>
          </w:rPr>
          <w:fldChar w:fldCharType="end"/>
        </w:r>
      </w:hyperlink>
    </w:p>
    <w:p w14:paraId="357A5A3D" w14:textId="345002A5" w:rsidR="009017CF" w:rsidRDefault="00273579">
      <w:pPr>
        <w:pStyle w:val="TDC1"/>
        <w:rPr>
          <w:rFonts w:asciiTheme="minorHAnsi" w:eastAsiaTheme="minorEastAsia" w:hAnsiTheme="minorHAnsi" w:cstheme="minorBidi"/>
          <w:b w:val="0"/>
          <w:bCs w:val="0"/>
          <w:caps w:val="0"/>
          <w:noProof/>
          <w:sz w:val="22"/>
          <w:szCs w:val="22"/>
          <w:lang w:eastAsia="es-CR"/>
        </w:rPr>
      </w:pPr>
      <w:hyperlink w:anchor="_Toc61081364" w:history="1">
        <w:r w:rsidR="009017CF" w:rsidRPr="0073294C">
          <w:rPr>
            <w:rStyle w:val="Hipervnculo"/>
            <w:rFonts w:ascii="Arial" w:hAnsi="Arial" w:cs="Arial"/>
            <w:noProof/>
          </w:rPr>
          <w:t>A.</w:t>
        </w:r>
        <w:r w:rsidR="009017CF">
          <w:rPr>
            <w:rFonts w:asciiTheme="minorHAnsi" w:eastAsiaTheme="minorEastAsia" w:hAnsiTheme="minorHAnsi" w:cstheme="minorBidi"/>
            <w:b w:val="0"/>
            <w:bCs w:val="0"/>
            <w:caps w:val="0"/>
            <w:noProof/>
            <w:sz w:val="22"/>
            <w:szCs w:val="22"/>
            <w:lang w:eastAsia="es-CR"/>
          </w:rPr>
          <w:tab/>
        </w:r>
        <w:r w:rsidR="009017CF" w:rsidRPr="0073294C">
          <w:rPr>
            <w:rStyle w:val="Hipervnculo"/>
            <w:rFonts w:ascii="Arial" w:hAnsi="Arial" w:cs="Arial"/>
            <w:noProof/>
          </w:rPr>
          <w:t>Comentario de los datos por cuenta presupuestaria</w:t>
        </w:r>
        <w:r w:rsidR="009017CF">
          <w:rPr>
            <w:noProof/>
            <w:webHidden/>
          </w:rPr>
          <w:tab/>
        </w:r>
        <w:r w:rsidR="009017CF">
          <w:rPr>
            <w:noProof/>
            <w:webHidden/>
          </w:rPr>
          <w:fldChar w:fldCharType="begin"/>
        </w:r>
        <w:r w:rsidR="009017CF">
          <w:rPr>
            <w:noProof/>
            <w:webHidden/>
          </w:rPr>
          <w:instrText xml:space="preserve"> PAGEREF _Toc61081364 \h </w:instrText>
        </w:r>
        <w:r w:rsidR="009017CF">
          <w:rPr>
            <w:noProof/>
            <w:webHidden/>
          </w:rPr>
        </w:r>
        <w:r w:rsidR="009017CF">
          <w:rPr>
            <w:noProof/>
            <w:webHidden/>
          </w:rPr>
          <w:fldChar w:fldCharType="separate"/>
        </w:r>
        <w:r w:rsidR="00492C34">
          <w:rPr>
            <w:noProof/>
            <w:webHidden/>
          </w:rPr>
          <w:t>7</w:t>
        </w:r>
        <w:r w:rsidR="009017CF">
          <w:rPr>
            <w:noProof/>
            <w:webHidden/>
          </w:rPr>
          <w:fldChar w:fldCharType="end"/>
        </w:r>
      </w:hyperlink>
    </w:p>
    <w:p w14:paraId="31E49A7F" w14:textId="6EEF080F" w:rsidR="009017CF" w:rsidRDefault="00273579">
      <w:pPr>
        <w:pStyle w:val="TDC2"/>
        <w:tabs>
          <w:tab w:val="left" w:pos="1320"/>
        </w:tabs>
        <w:rPr>
          <w:rFonts w:asciiTheme="minorHAnsi" w:eastAsiaTheme="minorEastAsia" w:hAnsiTheme="minorHAnsi" w:cstheme="minorBidi"/>
          <w:smallCaps w:val="0"/>
          <w:noProof/>
          <w:sz w:val="22"/>
          <w:szCs w:val="22"/>
          <w:lang w:val="es-CR" w:eastAsia="es-CR"/>
        </w:rPr>
      </w:pPr>
      <w:hyperlink w:anchor="_Toc61081365" w:history="1">
        <w:r w:rsidR="009017CF" w:rsidRPr="0073294C">
          <w:rPr>
            <w:rStyle w:val="Hipervnculo"/>
            <w:noProof/>
          </w:rPr>
          <w:t>Cuenta 0</w:t>
        </w:r>
        <w:r w:rsidR="009017CF">
          <w:rPr>
            <w:rFonts w:asciiTheme="minorHAnsi" w:eastAsiaTheme="minorEastAsia" w:hAnsiTheme="minorHAnsi" w:cstheme="minorBidi"/>
            <w:smallCaps w:val="0"/>
            <w:noProof/>
            <w:sz w:val="22"/>
            <w:szCs w:val="22"/>
            <w:lang w:val="es-CR" w:eastAsia="es-CR"/>
          </w:rPr>
          <w:tab/>
        </w:r>
        <w:r w:rsidR="009017CF" w:rsidRPr="0073294C">
          <w:rPr>
            <w:rStyle w:val="Hipervnculo"/>
            <w:noProof/>
          </w:rPr>
          <w:t>“Remuneraciones”</w:t>
        </w:r>
        <w:r w:rsidR="009017CF">
          <w:rPr>
            <w:noProof/>
            <w:webHidden/>
          </w:rPr>
          <w:tab/>
        </w:r>
        <w:r w:rsidR="009017CF">
          <w:rPr>
            <w:noProof/>
            <w:webHidden/>
          </w:rPr>
          <w:fldChar w:fldCharType="begin"/>
        </w:r>
        <w:r w:rsidR="009017CF">
          <w:rPr>
            <w:noProof/>
            <w:webHidden/>
          </w:rPr>
          <w:instrText xml:space="preserve"> PAGEREF _Toc61081365 \h </w:instrText>
        </w:r>
        <w:r w:rsidR="009017CF">
          <w:rPr>
            <w:noProof/>
            <w:webHidden/>
          </w:rPr>
        </w:r>
        <w:r w:rsidR="009017CF">
          <w:rPr>
            <w:noProof/>
            <w:webHidden/>
          </w:rPr>
          <w:fldChar w:fldCharType="separate"/>
        </w:r>
        <w:r w:rsidR="00492C34">
          <w:rPr>
            <w:noProof/>
            <w:webHidden/>
          </w:rPr>
          <w:t>7</w:t>
        </w:r>
        <w:r w:rsidR="009017CF">
          <w:rPr>
            <w:noProof/>
            <w:webHidden/>
          </w:rPr>
          <w:fldChar w:fldCharType="end"/>
        </w:r>
      </w:hyperlink>
    </w:p>
    <w:p w14:paraId="2A07C6CA" w14:textId="53756278" w:rsidR="009017CF" w:rsidRDefault="00273579">
      <w:pPr>
        <w:pStyle w:val="TDC3"/>
        <w:rPr>
          <w:rFonts w:asciiTheme="minorHAnsi" w:eastAsiaTheme="minorEastAsia" w:hAnsiTheme="minorHAnsi" w:cstheme="minorBidi"/>
          <w:i w:val="0"/>
          <w:iCs w:val="0"/>
          <w:sz w:val="22"/>
          <w:szCs w:val="22"/>
          <w:lang w:val="es-CR" w:eastAsia="es-CR"/>
        </w:rPr>
      </w:pPr>
      <w:hyperlink w:anchor="_Toc61081366" w:history="1">
        <w:r w:rsidR="009017CF" w:rsidRPr="0073294C">
          <w:rPr>
            <w:rStyle w:val="Hipervnculo"/>
          </w:rPr>
          <w:t>Cuadro 1: Detalle de la ejecución de remuneraciones e incentivos</w:t>
        </w:r>
        <w:r w:rsidR="009017CF">
          <w:rPr>
            <w:webHidden/>
          </w:rPr>
          <w:tab/>
        </w:r>
        <w:r w:rsidR="009017CF">
          <w:rPr>
            <w:webHidden/>
          </w:rPr>
          <w:fldChar w:fldCharType="begin"/>
        </w:r>
        <w:r w:rsidR="009017CF">
          <w:rPr>
            <w:webHidden/>
          </w:rPr>
          <w:instrText xml:space="preserve"> PAGEREF _Toc61081366 \h </w:instrText>
        </w:r>
        <w:r w:rsidR="009017CF">
          <w:rPr>
            <w:webHidden/>
          </w:rPr>
        </w:r>
        <w:r w:rsidR="009017CF">
          <w:rPr>
            <w:webHidden/>
          </w:rPr>
          <w:fldChar w:fldCharType="separate"/>
        </w:r>
        <w:r w:rsidR="00492C34">
          <w:rPr>
            <w:webHidden/>
          </w:rPr>
          <w:t>7</w:t>
        </w:r>
        <w:r w:rsidR="009017CF">
          <w:rPr>
            <w:webHidden/>
          </w:rPr>
          <w:fldChar w:fldCharType="end"/>
        </w:r>
      </w:hyperlink>
    </w:p>
    <w:p w14:paraId="07620642" w14:textId="76D774AF" w:rsidR="009017CF" w:rsidRDefault="00273579">
      <w:pPr>
        <w:pStyle w:val="TDC3"/>
        <w:rPr>
          <w:rFonts w:asciiTheme="minorHAnsi" w:eastAsiaTheme="minorEastAsia" w:hAnsiTheme="minorHAnsi" w:cstheme="minorBidi"/>
          <w:i w:val="0"/>
          <w:iCs w:val="0"/>
          <w:sz w:val="22"/>
          <w:szCs w:val="22"/>
          <w:lang w:val="es-CR" w:eastAsia="es-CR"/>
        </w:rPr>
      </w:pPr>
      <w:hyperlink w:anchor="_Toc61081367" w:history="1">
        <w:r w:rsidR="009017CF" w:rsidRPr="0073294C">
          <w:rPr>
            <w:rStyle w:val="Hipervnculo"/>
          </w:rPr>
          <w:t>Tabla 1: Relación de puestos</w:t>
        </w:r>
        <w:r w:rsidR="009017CF">
          <w:rPr>
            <w:webHidden/>
          </w:rPr>
          <w:tab/>
        </w:r>
        <w:r w:rsidR="009017CF">
          <w:rPr>
            <w:webHidden/>
          </w:rPr>
          <w:fldChar w:fldCharType="begin"/>
        </w:r>
        <w:r w:rsidR="009017CF">
          <w:rPr>
            <w:webHidden/>
          </w:rPr>
          <w:instrText xml:space="preserve"> PAGEREF _Toc61081367 \h </w:instrText>
        </w:r>
        <w:r w:rsidR="009017CF">
          <w:rPr>
            <w:webHidden/>
          </w:rPr>
        </w:r>
        <w:r w:rsidR="009017CF">
          <w:rPr>
            <w:webHidden/>
          </w:rPr>
          <w:fldChar w:fldCharType="separate"/>
        </w:r>
        <w:r w:rsidR="00492C34">
          <w:rPr>
            <w:webHidden/>
          </w:rPr>
          <w:t>9</w:t>
        </w:r>
        <w:r w:rsidR="009017CF">
          <w:rPr>
            <w:webHidden/>
          </w:rPr>
          <w:fldChar w:fldCharType="end"/>
        </w:r>
      </w:hyperlink>
    </w:p>
    <w:p w14:paraId="5696C168" w14:textId="4EEF4518" w:rsidR="009017CF" w:rsidRDefault="00273579">
      <w:pPr>
        <w:pStyle w:val="TDC3"/>
        <w:rPr>
          <w:rFonts w:asciiTheme="minorHAnsi" w:eastAsiaTheme="minorEastAsia" w:hAnsiTheme="minorHAnsi" w:cstheme="minorBidi"/>
          <w:i w:val="0"/>
          <w:iCs w:val="0"/>
          <w:sz w:val="22"/>
          <w:szCs w:val="22"/>
          <w:lang w:val="es-CR" w:eastAsia="es-CR"/>
        </w:rPr>
      </w:pPr>
      <w:hyperlink w:anchor="_Toc61081368" w:history="1">
        <w:r w:rsidR="009017CF" w:rsidRPr="0073294C">
          <w:rPr>
            <w:rStyle w:val="Hipervnculo"/>
          </w:rPr>
          <w:t>Cuadro 2: Detalle de plazas vacantes</w:t>
        </w:r>
        <w:r w:rsidR="009017CF">
          <w:rPr>
            <w:webHidden/>
          </w:rPr>
          <w:tab/>
        </w:r>
        <w:r w:rsidR="009017CF">
          <w:rPr>
            <w:webHidden/>
          </w:rPr>
          <w:fldChar w:fldCharType="begin"/>
        </w:r>
        <w:r w:rsidR="009017CF">
          <w:rPr>
            <w:webHidden/>
          </w:rPr>
          <w:instrText xml:space="preserve"> PAGEREF _Toc61081368 \h </w:instrText>
        </w:r>
        <w:r w:rsidR="009017CF">
          <w:rPr>
            <w:webHidden/>
          </w:rPr>
        </w:r>
        <w:r w:rsidR="009017CF">
          <w:rPr>
            <w:webHidden/>
          </w:rPr>
          <w:fldChar w:fldCharType="separate"/>
        </w:r>
        <w:r w:rsidR="00492C34">
          <w:rPr>
            <w:webHidden/>
          </w:rPr>
          <w:t>10</w:t>
        </w:r>
        <w:r w:rsidR="009017CF">
          <w:rPr>
            <w:webHidden/>
          </w:rPr>
          <w:fldChar w:fldCharType="end"/>
        </w:r>
      </w:hyperlink>
    </w:p>
    <w:p w14:paraId="70868BCB" w14:textId="7723B34E" w:rsidR="009017CF" w:rsidRDefault="00273579">
      <w:pPr>
        <w:pStyle w:val="TDC3"/>
        <w:rPr>
          <w:rFonts w:asciiTheme="minorHAnsi" w:eastAsiaTheme="minorEastAsia" w:hAnsiTheme="minorHAnsi" w:cstheme="minorBidi"/>
          <w:i w:val="0"/>
          <w:iCs w:val="0"/>
          <w:sz w:val="22"/>
          <w:szCs w:val="22"/>
          <w:lang w:val="es-CR" w:eastAsia="es-CR"/>
        </w:rPr>
      </w:pPr>
      <w:hyperlink w:anchor="_Toc61081369" w:history="1">
        <w:r w:rsidR="009017CF" w:rsidRPr="0073294C">
          <w:rPr>
            <w:rStyle w:val="Hipervnculo"/>
          </w:rPr>
          <w:t>Detalle de dietas que se cancelan en la institución</w:t>
        </w:r>
        <w:r w:rsidR="009017CF">
          <w:rPr>
            <w:webHidden/>
          </w:rPr>
          <w:tab/>
        </w:r>
        <w:r w:rsidR="009017CF">
          <w:rPr>
            <w:webHidden/>
          </w:rPr>
          <w:fldChar w:fldCharType="begin"/>
        </w:r>
        <w:r w:rsidR="009017CF">
          <w:rPr>
            <w:webHidden/>
          </w:rPr>
          <w:instrText xml:space="preserve"> PAGEREF _Toc61081369 \h </w:instrText>
        </w:r>
        <w:r w:rsidR="009017CF">
          <w:rPr>
            <w:webHidden/>
          </w:rPr>
        </w:r>
        <w:r w:rsidR="009017CF">
          <w:rPr>
            <w:webHidden/>
          </w:rPr>
          <w:fldChar w:fldCharType="separate"/>
        </w:r>
        <w:r w:rsidR="00492C34">
          <w:rPr>
            <w:webHidden/>
          </w:rPr>
          <w:t>13</w:t>
        </w:r>
        <w:r w:rsidR="009017CF">
          <w:rPr>
            <w:webHidden/>
          </w:rPr>
          <w:fldChar w:fldCharType="end"/>
        </w:r>
      </w:hyperlink>
    </w:p>
    <w:p w14:paraId="74ADE2DA" w14:textId="51721FB5" w:rsidR="009017CF" w:rsidRDefault="00273579">
      <w:pPr>
        <w:pStyle w:val="TDC3"/>
        <w:rPr>
          <w:rFonts w:asciiTheme="minorHAnsi" w:eastAsiaTheme="minorEastAsia" w:hAnsiTheme="minorHAnsi" w:cstheme="minorBidi"/>
          <w:i w:val="0"/>
          <w:iCs w:val="0"/>
          <w:sz w:val="22"/>
          <w:szCs w:val="22"/>
          <w:lang w:val="es-CR" w:eastAsia="es-CR"/>
        </w:rPr>
      </w:pPr>
      <w:hyperlink w:anchor="_Toc61081370" w:history="1">
        <w:r w:rsidR="009017CF" w:rsidRPr="0073294C">
          <w:rPr>
            <w:rStyle w:val="Hipervnculo"/>
          </w:rPr>
          <w:t>Desglose de los incentivos salariales que se reconocen</w:t>
        </w:r>
        <w:r w:rsidR="009017CF">
          <w:rPr>
            <w:webHidden/>
          </w:rPr>
          <w:tab/>
        </w:r>
        <w:r w:rsidR="009017CF">
          <w:rPr>
            <w:webHidden/>
          </w:rPr>
          <w:fldChar w:fldCharType="begin"/>
        </w:r>
        <w:r w:rsidR="009017CF">
          <w:rPr>
            <w:webHidden/>
          </w:rPr>
          <w:instrText xml:space="preserve"> PAGEREF _Toc61081370 \h </w:instrText>
        </w:r>
        <w:r w:rsidR="009017CF">
          <w:rPr>
            <w:webHidden/>
          </w:rPr>
        </w:r>
        <w:r w:rsidR="009017CF">
          <w:rPr>
            <w:webHidden/>
          </w:rPr>
          <w:fldChar w:fldCharType="separate"/>
        </w:r>
        <w:r w:rsidR="00492C34">
          <w:rPr>
            <w:webHidden/>
          </w:rPr>
          <w:t>13</w:t>
        </w:r>
        <w:r w:rsidR="009017CF">
          <w:rPr>
            <w:webHidden/>
          </w:rPr>
          <w:fldChar w:fldCharType="end"/>
        </w:r>
      </w:hyperlink>
    </w:p>
    <w:p w14:paraId="4DE4CBFE" w14:textId="7CCC2750" w:rsidR="009017CF" w:rsidRDefault="00273579">
      <w:pPr>
        <w:pStyle w:val="TDC2"/>
        <w:rPr>
          <w:rFonts w:asciiTheme="minorHAnsi" w:eastAsiaTheme="minorEastAsia" w:hAnsiTheme="minorHAnsi" w:cstheme="minorBidi"/>
          <w:smallCaps w:val="0"/>
          <w:noProof/>
          <w:sz w:val="22"/>
          <w:szCs w:val="22"/>
          <w:lang w:val="es-CR" w:eastAsia="es-CR"/>
        </w:rPr>
      </w:pPr>
      <w:hyperlink w:anchor="_Toc61081371" w:history="1">
        <w:r w:rsidR="009017CF" w:rsidRPr="0073294C">
          <w:rPr>
            <w:rStyle w:val="Hipervnculo"/>
            <w:noProof/>
          </w:rPr>
          <w:t>Cuenta 1 “Servicios”</w:t>
        </w:r>
        <w:r w:rsidR="009017CF">
          <w:rPr>
            <w:noProof/>
            <w:webHidden/>
          </w:rPr>
          <w:tab/>
        </w:r>
        <w:r w:rsidR="009017CF">
          <w:rPr>
            <w:noProof/>
            <w:webHidden/>
          </w:rPr>
          <w:fldChar w:fldCharType="begin"/>
        </w:r>
        <w:r w:rsidR="009017CF">
          <w:rPr>
            <w:noProof/>
            <w:webHidden/>
          </w:rPr>
          <w:instrText xml:space="preserve"> PAGEREF _Toc61081371 \h </w:instrText>
        </w:r>
        <w:r w:rsidR="009017CF">
          <w:rPr>
            <w:noProof/>
            <w:webHidden/>
          </w:rPr>
        </w:r>
        <w:r w:rsidR="009017CF">
          <w:rPr>
            <w:noProof/>
            <w:webHidden/>
          </w:rPr>
          <w:fldChar w:fldCharType="separate"/>
        </w:r>
        <w:r w:rsidR="00492C34">
          <w:rPr>
            <w:noProof/>
            <w:webHidden/>
          </w:rPr>
          <w:t>17</w:t>
        </w:r>
        <w:r w:rsidR="009017CF">
          <w:rPr>
            <w:noProof/>
            <w:webHidden/>
          </w:rPr>
          <w:fldChar w:fldCharType="end"/>
        </w:r>
      </w:hyperlink>
    </w:p>
    <w:p w14:paraId="5D72A06B" w14:textId="4177446D" w:rsidR="009017CF" w:rsidRDefault="00273579">
      <w:pPr>
        <w:pStyle w:val="TDC3"/>
        <w:rPr>
          <w:rFonts w:asciiTheme="minorHAnsi" w:eastAsiaTheme="minorEastAsia" w:hAnsiTheme="minorHAnsi" w:cstheme="minorBidi"/>
          <w:i w:val="0"/>
          <w:iCs w:val="0"/>
          <w:sz w:val="22"/>
          <w:szCs w:val="22"/>
          <w:lang w:val="es-CR" w:eastAsia="es-CR"/>
        </w:rPr>
      </w:pPr>
      <w:hyperlink w:anchor="_Toc61081372" w:history="1">
        <w:r w:rsidR="009017CF" w:rsidRPr="0073294C">
          <w:rPr>
            <w:rStyle w:val="Hipervnculo"/>
            <w:rFonts w:cstheme="minorHAnsi"/>
            <w:b/>
            <w:lang w:val="es-CR"/>
          </w:rPr>
          <w:t xml:space="preserve">Cuadro 3: </w:t>
        </w:r>
        <w:r w:rsidR="009017CF" w:rsidRPr="0073294C">
          <w:rPr>
            <w:rStyle w:val="Hipervnculo"/>
            <w:rFonts w:cstheme="minorHAnsi"/>
            <w:lang w:val="es-CR"/>
          </w:rPr>
          <w:t>Detalle de ejecución por cuenta</w:t>
        </w:r>
        <w:r w:rsidR="009017CF">
          <w:rPr>
            <w:webHidden/>
          </w:rPr>
          <w:tab/>
        </w:r>
        <w:r w:rsidR="009017CF">
          <w:rPr>
            <w:webHidden/>
          </w:rPr>
          <w:fldChar w:fldCharType="begin"/>
        </w:r>
        <w:r w:rsidR="009017CF">
          <w:rPr>
            <w:webHidden/>
          </w:rPr>
          <w:instrText xml:space="preserve"> PAGEREF _Toc61081372 \h </w:instrText>
        </w:r>
        <w:r w:rsidR="009017CF">
          <w:rPr>
            <w:webHidden/>
          </w:rPr>
        </w:r>
        <w:r w:rsidR="009017CF">
          <w:rPr>
            <w:webHidden/>
          </w:rPr>
          <w:fldChar w:fldCharType="separate"/>
        </w:r>
        <w:r w:rsidR="00492C34">
          <w:rPr>
            <w:webHidden/>
          </w:rPr>
          <w:t>17</w:t>
        </w:r>
        <w:r w:rsidR="009017CF">
          <w:rPr>
            <w:webHidden/>
          </w:rPr>
          <w:fldChar w:fldCharType="end"/>
        </w:r>
      </w:hyperlink>
    </w:p>
    <w:p w14:paraId="11811E36" w14:textId="2B608EAF" w:rsidR="009017CF" w:rsidRDefault="00273579">
      <w:pPr>
        <w:pStyle w:val="TDC3"/>
        <w:rPr>
          <w:rFonts w:asciiTheme="minorHAnsi" w:eastAsiaTheme="minorEastAsia" w:hAnsiTheme="minorHAnsi" w:cstheme="minorBidi"/>
          <w:i w:val="0"/>
          <w:iCs w:val="0"/>
          <w:sz w:val="22"/>
          <w:szCs w:val="22"/>
          <w:lang w:val="es-CR" w:eastAsia="es-CR"/>
        </w:rPr>
      </w:pPr>
      <w:hyperlink w:anchor="_Toc61081373" w:history="1">
        <w:r w:rsidR="009017CF" w:rsidRPr="0073294C">
          <w:rPr>
            <w:rStyle w:val="Hipervnculo"/>
            <w:rFonts w:cstheme="minorHAnsi"/>
            <w:b/>
            <w:lang w:val="es-CR"/>
          </w:rPr>
          <w:t xml:space="preserve">Cuadro 4: </w:t>
        </w:r>
        <w:r w:rsidR="009017CF" w:rsidRPr="0073294C">
          <w:rPr>
            <w:rStyle w:val="Hipervnculo"/>
            <w:rFonts w:cstheme="minorHAnsi"/>
            <w:lang w:val="es-CR"/>
          </w:rPr>
          <w:t>Detalle consultorías</w:t>
        </w:r>
        <w:r w:rsidR="009017CF">
          <w:rPr>
            <w:webHidden/>
          </w:rPr>
          <w:tab/>
        </w:r>
        <w:r w:rsidR="009017CF">
          <w:rPr>
            <w:webHidden/>
          </w:rPr>
          <w:fldChar w:fldCharType="begin"/>
        </w:r>
        <w:r w:rsidR="009017CF">
          <w:rPr>
            <w:webHidden/>
          </w:rPr>
          <w:instrText xml:space="preserve"> PAGEREF _Toc61081373 \h </w:instrText>
        </w:r>
        <w:r w:rsidR="009017CF">
          <w:rPr>
            <w:webHidden/>
          </w:rPr>
        </w:r>
        <w:r w:rsidR="009017CF">
          <w:rPr>
            <w:webHidden/>
          </w:rPr>
          <w:fldChar w:fldCharType="separate"/>
        </w:r>
        <w:r w:rsidR="00492C34">
          <w:rPr>
            <w:webHidden/>
          </w:rPr>
          <w:t>19</w:t>
        </w:r>
        <w:r w:rsidR="009017CF">
          <w:rPr>
            <w:webHidden/>
          </w:rPr>
          <w:fldChar w:fldCharType="end"/>
        </w:r>
      </w:hyperlink>
    </w:p>
    <w:p w14:paraId="2170C254" w14:textId="2C2FA24F" w:rsidR="009017CF" w:rsidRDefault="00273579">
      <w:pPr>
        <w:pStyle w:val="TDC3"/>
        <w:rPr>
          <w:rFonts w:asciiTheme="minorHAnsi" w:eastAsiaTheme="minorEastAsia" w:hAnsiTheme="minorHAnsi" w:cstheme="minorBidi"/>
          <w:i w:val="0"/>
          <w:iCs w:val="0"/>
          <w:sz w:val="22"/>
          <w:szCs w:val="22"/>
          <w:lang w:val="es-CR" w:eastAsia="es-CR"/>
        </w:rPr>
      </w:pPr>
      <w:hyperlink w:anchor="_Toc61081374" w:history="1">
        <w:r w:rsidR="009017CF" w:rsidRPr="0073294C">
          <w:rPr>
            <w:rStyle w:val="Hipervnculo"/>
            <w:rFonts w:cstheme="minorHAnsi"/>
            <w:b/>
            <w:lang w:val="es-CR"/>
          </w:rPr>
          <w:t xml:space="preserve">Cuadro 5: </w:t>
        </w:r>
        <w:r w:rsidR="009017CF" w:rsidRPr="0073294C">
          <w:rPr>
            <w:rStyle w:val="Hipervnculo"/>
            <w:rFonts w:cstheme="minorHAnsi"/>
            <w:lang w:val="es-CR"/>
          </w:rPr>
          <w:t>Detalle de la Capacitación en el país</w:t>
        </w:r>
        <w:r w:rsidR="009017CF">
          <w:rPr>
            <w:webHidden/>
          </w:rPr>
          <w:tab/>
        </w:r>
        <w:r w:rsidR="009017CF">
          <w:rPr>
            <w:webHidden/>
          </w:rPr>
          <w:fldChar w:fldCharType="begin"/>
        </w:r>
        <w:r w:rsidR="009017CF">
          <w:rPr>
            <w:webHidden/>
          </w:rPr>
          <w:instrText xml:space="preserve"> PAGEREF _Toc61081374 \h </w:instrText>
        </w:r>
        <w:r w:rsidR="009017CF">
          <w:rPr>
            <w:webHidden/>
          </w:rPr>
        </w:r>
        <w:r w:rsidR="009017CF">
          <w:rPr>
            <w:webHidden/>
          </w:rPr>
          <w:fldChar w:fldCharType="separate"/>
        </w:r>
        <w:r w:rsidR="00492C34">
          <w:rPr>
            <w:webHidden/>
          </w:rPr>
          <w:t>20</w:t>
        </w:r>
        <w:r w:rsidR="009017CF">
          <w:rPr>
            <w:webHidden/>
          </w:rPr>
          <w:fldChar w:fldCharType="end"/>
        </w:r>
      </w:hyperlink>
    </w:p>
    <w:p w14:paraId="7DDBD9A4" w14:textId="34047C44" w:rsidR="009017CF" w:rsidRDefault="00273579">
      <w:pPr>
        <w:pStyle w:val="TDC2"/>
        <w:rPr>
          <w:rFonts w:asciiTheme="minorHAnsi" w:eastAsiaTheme="minorEastAsia" w:hAnsiTheme="minorHAnsi" w:cstheme="minorBidi"/>
          <w:smallCaps w:val="0"/>
          <w:noProof/>
          <w:sz w:val="22"/>
          <w:szCs w:val="22"/>
          <w:lang w:val="es-CR" w:eastAsia="es-CR"/>
        </w:rPr>
      </w:pPr>
      <w:hyperlink w:anchor="_Toc61081375" w:history="1">
        <w:r w:rsidR="009017CF" w:rsidRPr="0073294C">
          <w:rPr>
            <w:rStyle w:val="Hipervnculo"/>
            <w:noProof/>
          </w:rPr>
          <w:t>Cuenta 2 “Materiales y Suministros”</w:t>
        </w:r>
        <w:r w:rsidR="009017CF">
          <w:rPr>
            <w:noProof/>
            <w:webHidden/>
          </w:rPr>
          <w:tab/>
        </w:r>
        <w:r w:rsidR="009017CF">
          <w:rPr>
            <w:noProof/>
            <w:webHidden/>
          </w:rPr>
          <w:fldChar w:fldCharType="begin"/>
        </w:r>
        <w:r w:rsidR="009017CF">
          <w:rPr>
            <w:noProof/>
            <w:webHidden/>
          </w:rPr>
          <w:instrText xml:space="preserve"> PAGEREF _Toc61081375 \h </w:instrText>
        </w:r>
        <w:r w:rsidR="009017CF">
          <w:rPr>
            <w:noProof/>
            <w:webHidden/>
          </w:rPr>
        </w:r>
        <w:r w:rsidR="009017CF">
          <w:rPr>
            <w:noProof/>
            <w:webHidden/>
          </w:rPr>
          <w:fldChar w:fldCharType="separate"/>
        </w:r>
        <w:r w:rsidR="00492C34">
          <w:rPr>
            <w:noProof/>
            <w:webHidden/>
          </w:rPr>
          <w:t>23</w:t>
        </w:r>
        <w:r w:rsidR="009017CF">
          <w:rPr>
            <w:noProof/>
            <w:webHidden/>
          </w:rPr>
          <w:fldChar w:fldCharType="end"/>
        </w:r>
      </w:hyperlink>
    </w:p>
    <w:p w14:paraId="76397391" w14:textId="0775B531" w:rsidR="009017CF" w:rsidRDefault="00273579">
      <w:pPr>
        <w:pStyle w:val="TDC3"/>
        <w:rPr>
          <w:rFonts w:asciiTheme="minorHAnsi" w:eastAsiaTheme="minorEastAsia" w:hAnsiTheme="minorHAnsi" w:cstheme="minorBidi"/>
          <w:i w:val="0"/>
          <w:iCs w:val="0"/>
          <w:sz w:val="22"/>
          <w:szCs w:val="22"/>
          <w:lang w:val="es-CR" w:eastAsia="es-CR"/>
        </w:rPr>
      </w:pPr>
      <w:hyperlink w:anchor="_Toc61081376" w:history="1">
        <w:r w:rsidR="009017CF" w:rsidRPr="0073294C">
          <w:rPr>
            <w:rStyle w:val="Hipervnculo"/>
            <w:rFonts w:cstheme="minorHAnsi"/>
            <w:b/>
            <w:lang w:val="es-CR"/>
          </w:rPr>
          <w:t xml:space="preserve">Cuadro 6: </w:t>
        </w:r>
        <w:r w:rsidR="009017CF" w:rsidRPr="0073294C">
          <w:rPr>
            <w:rStyle w:val="Hipervnculo"/>
            <w:rFonts w:cstheme="minorHAnsi"/>
            <w:lang w:val="es-CR"/>
          </w:rPr>
          <w:t>Detalle de ejecución por cuenta</w:t>
        </w:r>
        <w:r w:rsidR="009017CF">
          <w:rPr>
            <w:webHidden/>
          </w:rPr>
          <w:tab/>
        </w:r>
        <w:r w:rsidR="009017CF">
          <w:rPr>
            <w:webHidden/>
          </w:rPr>
          <w:fldChar w:fldCharType="begin"/>
        </w:r>
        <w:r w:rsidR="009017CF">
          <w:rPr>
            <w:webHidden/>
          </w:rPr>
          <w:instrText xml:space="preserve"> PAGEREF _Toc61081376 \h </w:instrText>
        </w:r>
        <w:r w:rsidR="009017CF">
          <w:rPr>
            <w:webHidden/>
          </w:rPr>
        </w:r>
        <w:r w:rsidR="009017CF">
          <w:rPr>
            <w:webHidden/>
          </w:rPr>
          <w:fldChar w:fldCharType="separate"/>
        </w:r>
        <w:r w:rsidR="00492C34">
          <w:rPr>
            <w:webHidden/>
          </w:rPr>
          <w:t>23</w:t>
        </w:r>
        <w:r w:rsidR="009017CF">
          <w:rPr>
            <w:webHidden/>
          </w:rPr>
          <w:fldChar w:fldCharType="end"/>
        </w:r>
      </w:hyperlink>
    </w:p>
    <w:p w14:paraId="15137FC8" w14:textId="69D8C582" w:rsidR="009017CF" w:rsidRDefault="00273579">
      <w:pPr>
        <w:pStyle w:val="TDC2"/>
        <w:rPr>
          <w:rFonts w:asciiTheme="minorHAnsi" w:eastAsiaTheme="minorEastAsia" w:hAnsiTheme="minorHAnsi" w:cstheme="minorBidi"/>
          <w:smallCaps w:val="0"/>
          <w:noProof/>
          <w:sz w:val="22"/>
          <w:szCs w:val="22"/>
          <w:lang w:val="es-CR" w:eastAsia="es-CR"/>
        </w:rPr>
      </w:pPr>
      <w:hyperlink w:anchor="_Toc61081377" w:history="1">
        <w:r w:rsidR="009017CF" w:rsidRPr="0073294C">
          <w:rPr>
            <w:rStyle w:val="Hipervnculo"/>
            <w:noProof/>
          </w:rPr>
          <w:t>Cuenta 5 “Bienes Duraderos”</w:t>
        </w:r>
        <w:r w:rsidR="009017CF">
          <w:rPr>
            <w:noProof/>
            <w:webHidden/>
          </w:rPr>
          <w:tab/>
        </w:r>
        <w:r w:rsidR="009017CF">
          <w:rPr>
            <w:noProof/>
            <w:webHidden/>
          </w:rPr>
          <w:fldChar w:fldCharType="begin"/>
        </w:r>
        <w:r w:rsidR="009017CF">
          <w:rPr>
            <w:noProof/>
            <w:webHidden/>
          </w:rPr>
          <w:instrText xml:space="preserve"> PAGEREF _Toc61081377 \h </w:instrText>
        </w:r>
        <w:r w:rsidR="009017CF">
          <w:rPr>
            <w:noProof/>
            <w:webHidden/>
          </w:rPr>
        </w:r>
        <w:r w:rsidR="009017CF">
          <w:rPr>
            <w:noProof/>
            <w:webHidden/>
          </w:rPr>
          <w:fldChar w:fldCharType="separate"/>
        </w:r>
        <w:r w:rsidR="00492C34">
          <w:rPr>
            <w:noProof/>
            <w:webHidden/>
          </w:rPr>
          <w:t>25</w:t>
        </w:r>
        <w:r w:rsidR="009017CF">
          <w:rPr>
            <w:noProof/>
            <w:webHidden/>
          </w:rPr>
          <w:fldChar w:fldCharType="end"/>
        </w:r>
      </w:hyperlink>
    </w:p>
    <w:p w14:paraId="2819EA1C" w14:textId="076979A5" w:rsidR="009017CF" w:rsidRDefault="00273579">
      <w:pPr>
        <w:pStyle w:val="TDC3"/>
        <w:rPr>
          <w:rFonts w:asciiTheme="minorHAnsi" w:eastAsiaTheme="minorEastAsia" w:hAnsiTheme="minorHAnsi" w:cstheme="minorBidi"/>
          <w:i w:val="0"/>
          <w:iCs w:val="0"/>
          <w:sz w:val="22"/>
          <w:szCs w:val="22"/>
          <w:lang w:val="es-CR" w:eastAsia="es-CR"/>
        </w:rPr>
      </w:pPr>
      <w:hyperlink w:anchor="_Toc61081378" w:history="1">
        <w:r w:rsidR="009017CF" w:rsidRPr="0073294C">
          <w:rPr>
            <w:rStyle w:val="Hipervnculo"/>
            <w:rFonts w:cstheme="minorHAnsi"/>
            <w:b/>
            <w:lang w:val="es-CR"/>
          </w:rPr>
          <w:t xml:space="preserve">Cuadro 7: </w:t>
        </w:r>
        <w:r w:rsidR="009017CF" w:rsidRPr="0073294C">
          <w:rPr>
            <w:rStyle w:val="Hipervnculo"/>
            <w:rFonts w:cstheme="minorHAnsi"/>
            <w:lang w:val="es-CR"/>
          </w:rPr>
          <w:t>Detalle de ejecución por cuenta</w:t>
        </w:r>
        <w:r w:rsidR="009017CF">
          <w:rPr>
            <w:webHidden/>
          </w:rPr>
          <w:tab/>
        </w:r>
        <w:r w:rsidR="009017CF">
          <w:rPr>
            <w:webHidden/>
          </w:rPr>
          <w:fldChar w:fldCharType="begin"/>
        </w:r>
        <w:r w:rsidR="009017CF">
          <w:rPr>
            <w:webHidden/>
          </w:rPr>
          <w:instrText xml:space="preserve"> PAGEREF _Toc61081378 \h </w:instrText>
        </w:r>
        <w:r w:rsidR="009017CF">
          <w:rPr>
            <w:webHidden/>
          </w:rPr>
        </w:r>
        <w:r w:rsidR="009017CF">
          <w:rPr>
            <w:webHidden/>
          </w:rPr>
          <w:fldChar w:fldCharType="separate"/>
        </w:r>
        <w:r w:rsidR="00492C34">
          <w:rPr>
            <w:webHidden/>
          </w:rPr>
          <w:t>25</w:t>
        </w:r>
        <w:r w:rsidR="009017CF">
          <w:rPr>
            <w:webHidden/>
          </w:rPr>
          <w:fldChar w:fldCharType="end"/>
        </w:r>
      </w:hyperlink>
    </w:p>
    <w:p w14:paraId="0536EE78" w14:textId="0B270AF4" w:rsidR="009017CF" w:rsidRDefault="00273579">
      <w:pPr>
        <w:pStyle w:val="TDC2"/>
        <w:rPr>
          <w:rFonts w:asciiTheme="minorHAnsi" w:eastAsiaTheme="minorEastAsia" w:hAnsiTheme="minorHAnsi" w:cstheme="minorBidi"/>
          <w:smallCaps w:val="0"/>
          <w:noProof/>
          <w:sz w:val="22"/>
          <w:szCs w:val="22"/>
          <w:lang w:val="es-CR" w:eastAsia="es-CR"/>
        </w:rPr>
      </w:pPr>
      <w:hyperlink w:anchor="_Toc61081379" w:history="1">
        <w:r w:rsidR="009017CF" w:rsidRPr="0073294C">
          <w:rPr>
            <w:rStyle w:val="Hipervnculo"/>
            <w:noProof/>
          </w:rPr>
          <w:t>Cuenta 6 “Transferencias Corrientes”</w:t>
        </w:r>
        <w:r w:rsidR="009017CF">
          <w:rPr>
            <w:noProof/>
            <w:webHidden/>
          </w:rPr>
          <w:tab/>
        </w:r>
        <w:r w:rsidR="009017CF">
          <w:rPr>
            <w:noProof/>
            <w:webHidden/>
          </w:rPr>
          <w:fldChar w:fldCharType="begin"/>
        </w:r>
        <w:r w:rsidR="009017CF">
          <w:rPr>
            <w:noProof/>
            <w:webHidden/>
          </w:rPr>
          <w:instrText xml:space="preserve"> PAGEREF _Toc61081379 \h </w:instrText>
        </w:r>
        <w:r w:rsidR="009017CF">
          <w:rPr>
            <w:noProof/>
            <w:webHidden/>
          </w:rPr>
        </w:r>
        <w:r w:rsidR="009017CF">
          <w:rPr>
            <w:noProof/>
            <w:webHidden/>
          </w:rPr>
          <w:fldChar w:fldCharType="separate"/>
        </w:r>
        <w:r w:rsidR="00492C34">
          <w:rPr>
            <w:noProof/>
            <w:webHidden/>
          </w:rPr>
          <w:t>26</w:t>
        </w:r>
        <w:r w:rsidR="009017CF">
          <w:rPr>
            <w:noProof/>
            <w:webHidden/>
          </w:rPr>
          <w:fldChar w:fldCharType="end"/>
        </w:r>
      </w:hyperlink>
    </w:p>
    <w:p w14:paraId="27673136" w14:textId="66CF7A05" w:rsidR="009017CF" w:rsidRDefault="00273579">
      <w:pPr>
        <w:pStyle w:val="TDC3"/>
        <w:rPr>
          <w:rFonts w:asciiTheme="minorHAnsi" w:eastAsiaTheme="minorEastAsia" w:hAnsiTheme="minorHAnsi" w:cstheme="minorBidi"/>
          <w:i w:val="0"/>
          <w:iCs w:val="0"/>
          <w:sz w:val="22"/>
          <w:szCs w:val="22"/>
          <w:lang w:val="es-CR" w:eastAsia="es-CR"/>
        </w:rPr>
      </w:pPr>
      <w:hyperlink w:anchor="_Toc61081380" w:history="1">
        <w:r w:rsidR="009017CF" w:rsidRPr="0073294C">
          <w:rPr>
            <w:rStyle w:val="Hipervnculo"/>
            <w:rFonts w:cstheme="minorHAnsi"/>
            <w:b/>
            <w:lang w:val="es-CR"/>
          </w:rPr>
          <w:t xml:space="preserve">Cuadro 8: </w:t>
        </w:r>
        <w:r w:rsidR="009017CF" w:rsidRPr="0073294C">
          <w:rPr>
            <w:rStyle w:val="Hipervnculo"/>
            <w:rFonts w:cstheme="minorHAnsi"/>
            <w:lang w:val="es-CR"/>
          </w:rPr>
          <w:t>Detalle de ejecución por cuenta</w:t>
        </w:r>
        <w:r w:rsidR="009017CF">
          <w:rPr>
            <w:webHidden/>
          </w:rPr>
          <w:tab/>
        </w:r>
        <w:r w:rsidR="009017CF">
          <w:rPr>
            <w:webHidden/>
          </w:rPr>
          <w:fldChar w:fldCharType="begin"/>
        </w:r>
        <w:r w:rsidR="009017CF">
          <w:rPr>
            <w:webHidden/>
          </w:rPr>
          <w:instrText xml:space="preserve"> PAGEREF _Toc61081380 \h </w:instrText>
        </w:r>
        <w:r w:rsidR="009017CF">
          <w:rPr>
            <w:webHidden/>
          </w:rPr>
        </w:r>
        <w:r w:rsidR="009017CF">
          <w:rPr>
            <w:webHidden/>
          </w:rPr>
          <w:fldChar w:fldCharType="separate"/>
        </w:r>
        <w:r w:rsidR="00492C34">
          <w:rPr>
            <w:webHidden/>
          </w:rPr>
          <w:t>26</w:t>
        </w:r>
        <w:r w:rsidR="009017CF">
          <w:rPr>
            <w:webHidden/>
          </w:rPr>
          <w:fldChar w:fldCharType="end"/>
        </w:r>
      </w:hyperlink>
    </w:p>
    <w:p w14:paraId="3CD7A043" w14:textId="5C1BC6B8" w:rsidR="009017CF" w:rsidRDefault="00273579">
      <w:pPr>
        <w:pStyle w:val="TDC2"/>
        <w:rPr>
          <w:rFonts w:asciiTheme="minorHAnsi" w:eastAsiaTheme="minorEastAsia" w:hAnsiTheme="minorHAnsi" w:cstheme="minorBidi"/>
          <w:smallCaps w:val="0"/>
          <w:noProof/>
          <w:sz w:val="22"/>
          <w:szCs w:val="22"/>
          <w:lang w:val="es-CR" w:eastAsia="es-CR"/>
        </w:rPr>
      </w:pPr>
      <w:hyperlink w:anchor="_Toc61081381" w:history="1">
        <w:r w:rsidR="009017CF" w:rsidRPr="0073294C">
          <w:rPr>
            <w:rStyle w:val="Hipervnculo"/>
            <w:noProof/>
          </w:rPr>
          <w:t>Cuenta 9 “Sumas Libres Sin Asignación Presupuestaria”</w:t>
        </w:r>
        <w:r w:rsidR="009017CF">
          <w:rPr>
            <w:noProof/>
            <w:webHidden/>
          </w:rPr>
          <w:tab/>
        </w:r>
        <w:r w:rsidR="009017CF">
          <w:rPr>
            <w:noProof/>
            <w:webHidden/>
          </w:rPr>
          <w:fldChar w:fldCharType="begin"/>
        </w:r>
        <w:r w:rsidR="009017CF">
          <w:rPr>
            <w:noProof/>
            <w:webHidden/>
          </w:rPr>
          <w:instrText xml:space="preserve"> PAGEREF _Toc61081381 \h </w:instrText>
        </w:r>
        <w:r w:rsidR="009017CF">
          <w:rPr>
            <w:noProof/>
            <w:webHidden/>
          </w:rPr>
        </w:r>
        <w:r w:rsidR="009017CF">
          <w:rPr>
            <w:noProof/>
            <w:webHidden/>
          </w:rPr>
          <w:fldChar w:fldCharType="separate"/>
        </w:r>
        <w:r w:rsidR="00492C34">
          <w:rPr>
            <w:noProof/>
            <w:webHidden/>
          </w:rPr>
          <w:t>28</w:t>
        </w:r>
        <w:r w:rsidR="009017CF">
          <w:rPr>
            <w:noProof/>
            <w:webHidden/>
          </w:rPr>
          <w:fldChar w:fldCharType="end"/>
        </w:r>
      </w:hyperlink>
    </w:p>
    <w:p w14:paraId="372BF44C" w14:textId="0FE98CD9" w:rsidR="009017CF" w:rsidRDefault="00273579">
      <w:pPr>
        <w:pStyle w:val="TDC3"/>
        <w:rPr>
          <w:rFonts w:asciiTheme="minorHAnsi" w:eastAsiaTheme="minorEastAsia" w:hAnsiTheme="minorHAnsi" w:cstheme="minorBidi"/>
          <w:i w:val="0"/>
          <w:iCs w:val="0"/>
          <w:sz w:val="22"/>
          <w:szCs w:val="22"/>
          <w:lang w:val="es-CR" w:eastAsia="es-CR"/>
        </w:rPr>
      </w:pPr>
      <w:hyperlink w:anchor="_Toc61081382" w:history="1">
        <w:r w:rsidR="009017CF" w:rsidRPr="0073294C">
          <w:rPr>
            <w:rStyle w:val="Hipervnculo"/>
            <w:rFonts w:cstheme="minorHAnsi"/>
            <w:b/>
            <w:lang w:val="es-CR"/>
          </w:rPr>
          <w:t>Cuadro 9</w:t>
        </w:r>
        <w:r w:rsidR="009017CF" w:rsidRPr="0073294C">
          <w:rPr>
            <w:rStyle w:val="Hipervnculo"/>
            <w:rFonts w:cstheme="minorHAnsi"/>
            <w:b/>
            <w:bCs/>
            <w:lang w:val="es-CR"/>
          </w:rPr>
          <w:t>:</w:t>
        </w:r>
        <w:r w:rsidR="009017CF" w:rsidRPr="0073294C">
          <w:rPr>
            <w:rStyle w:val="Hipervnculo"/>
            <w:rFonts w:cstheme="minorHAnsi"/>
            <w:lang w:val="es-CR"/>
          </w:rPr>
          <w:t xml:space="preserve"> Detalle de ejecución por cuenta</w:t>
        </w:r>
        <w:r w:rsidR="009017CF">
          <w:rPr>
            <w:webHidden/>
          </w:rPr>
          <w:tab/>
        </w:r>
        <w:r w:rsidR="009017CF">
          <w:rPr>
            <w:webHidden/>
          </w:rPr>
          <w:fldChar w:fldCharType="begin"/>
        </w:r>
        <w:r w:rsidR="009017CF">
          <w:rPr>
            <w:webHidden/>
          </w:rPr>
          <w:instrText xml:space="preserve"> PAGEREF _Toc61081382 \h </w:instrText>
        </w:r>
        <w:r w:rsidR="009017CF">
          <w:rPr>
            <w:webHidden/>
          </w:rPr>
        </w:r>
        <w:r w:rsidR="009017CF">
          <w:rPr>
            <w:webHidden/>
          </w:rPr>
          <w:fldChar w:fldCharType="separate"/>
        </w:r>
        <w:r w:rsidR="00492C34">
          <w:rPr>
            <w:webHidden/>
          </w:rPr>
          <w:t>28</w:t>
        </w:r>
        <w:r w:rsidR="009017CF">
          <w:rPr>
            <w:webHidden/>
          </w:rPr>
          <w:fldChar w:fldCharType="end"/>
        </w:r>
      </w:hyperlink>
    </w:p>
    <w:p w14:paraId="2C47C5CD" w14:textId="41DBECAB" w:rsidR="009017CF" w:rsidRDefault="00273579">
      <w:pPr>
        <w:pStyle w:val="TDC1"/>
        <w:rPr>
          <w:rFonts w:asciiTheme="minorHAnsi" w:eastAsiaTheme="minorEastAsia" w:hAnsiTheme="minorHAnsi" w:cstheme="minorBidi"/>
          <w:b w:val="0"/>
          <w:bCs w:val="0"/>
          <w:caps w:val="0"/>
          <w:noProof/>
          <w:sz w:val="22"/>
          <w:szCs w:val="22"/>
          <w:lang w:eastAsia="es-CR"/>
        </w:rPr>
      </w:pPr>
      <w:hyperlink w:anchor="_Toc61081383" w:history="1">
        <w:r w:rsidR="009017CF" w:rsidRPr="0073294C">
          <w:rPr>
            <w:rStyle w:val="Hipervnculo"/>
            <w:rFonts w:ascii="Arial" w:hAnsi="Arial" w:cs="Arial"/>
            <w:noProof/>
          </w:rPr>
          <w:t>B.</w:t>
        </w:r>
        <w:r w:rsidR="009017CF">
          <w:rPr>
            <w:rFonts w:asciiTheme="minorHAnsi" w:eastAsiaTheme="minorEastAsia" w:hAnsiTheme="minorHAnsi" w:cstheme="minorBidi"/>
            <w:b w:val="0"/>
            <w:bCs w:val="0"/>
            <w:caps w:val="0"/>
            <w:noProof/>
            <w:sz w:val="22"/>
            <w:szCs w:val="22"/>
            <w:lang w:eastAsia="es-CR"/>
          </w:rPr>
          <w:tab/>
        </w:r>
        <w:r w:rsidR="009017CF" w:rsidRPr="0073294C">
          <w:rPr>
            <w:rStyle w:val="Hipervnculo"/>
            <w:rFonts w:ascii="Arial" w:hAnsi="Arial" w:cs="Arial"/>
            <w:noProof/>
          </w:rPr>
          <w:t>Detalle de requisitos varios</w:t>
        </w:r>
        <w:r w:rsidR="009017CF">
          <w:rPr>
            <w:noProof/>
            <w:webHidden/>
          </w:rPr>
          <w:tab/>
        </w:r>
        <w:r w:rsidR="009017CF">
          <w:rPr>
            <w:noProof/>
            <w:webHidden/>
          </w:rPr>
          <w:fldChar w:fldCharType="begin"/>
        </w:r>
        <w:r w:rsidR="009017CF">
          <w:rPr>
            <w:noProof/>
            <w:webHidden/>
          </w:rPr>
          <w:instrText xml:space="preserve"> PAGEREF _Toc61081383 \h </w:instrText>
        </w:r>
        <w:r w:rsidR="009017CF">
          <w:rPr>
            <w:noProof/>
            <w:webHidden/>
          </w:rPr>
        </w:r>
        <w:r w:rsidR="009017CF">
          <w:rPr>
            <w:noProof/>
            <w:webHidden/>
          </w:rPr>
          <w:fldChar w:fldCharType="separate"/>
        </w:r>
        <w:r w:rsidR="00492C34">
          <w:rPr>
            <w:noProof/>
            <w:webHidden/>
          </w:rPr>
          <w:t>29</w:t>
        </w:r>
        <w:r w:rsidR="009017CF">
          <w:rPr>
            <w:noProof/>
            <w:webHidden/>
          </w:rPr>
          <w:fldChar w:fldCharType="end"/>
        </w:r>
      </w:hyperlink>
    </w:p>
    <w:p w14:paraId="587C1A2B" w14:textId="2107F1CC" w:rsidR="009017CF" w:rsidRDefault="00273579">
      <w:pPr>
        <w:pStyle w:val="TDC3"/>
        <w:rPr>
          <w:rFonts w:asciiTheme="minorHAnsi" w:eastAsiaTheme="minorEastAsia" w:hAnsiTheme="minorHAnsi" w:cstheme="minorBidi"/>
          <w:i w:val="0"/>
          <w:iCs w:val="0"/>
          <w:sz w:val="22"/>
          <w:szCs w:val="22"/>
          <w:lang w:val="es-CR" w:eastAsia="es-CR"/>
        </w:rPr>
      </w:pPr>
      <w:hyperlink w:anchor="_Toc61081384" w:history="1">
        <w:r w:rsidR="009017CF" w:rsidRPr="0073294C">
          <w:rPr>
            <w:rStyle w:val="Hipervnculo"/>
          </w:rPr>
          <w:t>Detalle de transferencias giradas (4.3.15.b.iv)</w:t>
        </w:r>
        <w:r w:rsidR="009017CF">
          <w:rPr>
            <w:webHidden/>
          </w:rPr>
          <w:tab/>
        </w:r>
        <w:r w:rsidR="009017CF">
          <w:rPr>
            <w:webHidden/>
          </w:rPr>
          <w:fldChar w:fldCharType="begin"/>
        </w:r>
        <w:r w:rsidR="009017CF">
          <w:rPr>
            <w:webHidden/>
          </w:rPr>
          <w:instrText xml:space="preserve"> PAGEREF _Toc61081384 \h </w:instrText>
        </w:r>
        <w:r w:rsidR="009017CF">
          <w:rPr>
            <w:webHidden/>
          </w:rPr>
        </w:r>
        <w:r w:rsidR="009017CF">
          <w:rPr>
            <w:webHidden/>
          </w:rPr>
          <w:fldChar w:fldCharType="separate"/>
        </w:r>
        <w:r w:rsidR="00492C34">
          <w:rPr>
            <w:webHidden/>
          </w:rPr>
          <w:t>29</w:t>
        </w:r>
        <w:r w:rsidR="009017CF">
          <w:rPr>
            <w:webHidden/>
          </w:rPr>
          <w:fldChar w:fldCharType="end"/>
        </w:r>
      </w:hyperlink>
    </w:p>
    <w:p w14:paraId="2C04D583" w14:textId="1B13E987" w:rsidR="009017CF" w:rsidRDefault="00273579">
      <w:pPr>
        <w:pStyle w:val="TDC3"/>
        <w:rPr>
          <w:rFonts w:asciiTheme="minorHAnsi" w:eastAsiaTheme="minorEastAsia" w:hAnsiTheme="minorHAnsi" w:cstheme="minorBidi"/>
          <w:i w:val="0"/>
          <w:iCs w:val="0"/>
          <w:sz w:val="22"/>
          <w:szCs w:val="22"/>
          <w:lang w:val="es-CR" w:eastAsia="es-CR"/>
        </w:rPr>
      </w:pPr>
      <w:hyperlink w:anchor="_Toc61081385" w:history="1">
        <w:r w:rsidR="009017CF" w:rsidRPr="0073294C">
          <w:rPr>
            <w:rStyle w:val="Hipervnculo"/>
          </w:rPr>
          <w:t>Detalle de préstamos, amortización e intereses (4.3.15.b.v)</w:t>
        </w:r>
        <w:r w:rsidR="009017CF">
          <w:rPr>
            <w:webHidden/>
          </w:rPr>
          <w:tab/>
        </w:r>
        <w:r w:rsidR="009017CF">
          <w:rPr>
            <w:webHidden/>
          </w:rPr>
          <w:fldChar w:fldCharType="begin"/>
        </w:r>
        <w:r w:rsidR="009017CF">
          <w:rPr>
            <w:webHidden/>
          </w:rPr>
          <w:instrText xml:space="preserve"> PAGEREF _Toc61081385 \h </w:instrText>
        </w:r>
        <w:r w:rsidR="009017CF">
          <w:rPr>
            <w:webHidden/>
          </w:rPr>
        </w:r>
        <w:r w:rsidR="009017CF">
          <w:rPr>
            <w:webHidden/>
          </w:rPr>
          <w:fldChar w:fldCharType="separate"/>
        </w:r>
        <w:r w:rsidR="00492C34">
          <w:rPr>
            <w:webHidden/>
          </w:rPr>
          <w:t>29</w:t>
        </w:r>
        <w:r w:rsidR="009017CF">
          <w:rPr>
            <w:webHidden/>
          </w:rPr>
          <w:fldChar w:fldCharType="end"/>
        </w:r>
      </w:hyperlink>
    </w:p>
    <w:p w14:paraId="507FE006" w14:textId="743AB68B" w:rsidR="009017CF" w:rsidRDefault="00273579">
      <w:pPr>
        <w:pStyle w:val="TDC3"/>
        <w:rPr>
          <w:rFonts w:asciiTheme="minorHAnsi" w:eastAsiaTheme="minorEastAsia" w:hAnsiTheme="minorHAnsi" w:cstheme="minorBidi"/>
          <w:i w:val="0"/>
          <w:iCs w:val="0"/>
          <w:sz w:val="22"/>
          <w:szCs w:val="22"/>
          <w:lang w:val="es-CR" w:eastAsia="es-CR"/>
        </w:rPr>
      </w:pPr>
      <w:hyperlink w:anchor="_Toc61081386" w:history="1">
        <w:r w:rsidR="009017CF" w:rsidRPr="0073294C">
          <w:rPr>
            <w:rStyle w:val="Hipervnculo"/>
          </w:rPr>
          <w:t>Identificación de necesidades de ajustes a nivel presupuestario (4.3.15.b.vi)</w:t>
        </w:r>
        <w:r w:rsidR="009017CF">
          <w:rPr>
            <w:webHidden/>
          </w:rPr>
          <w:tab/>
        </w:r>
        <w:r w:rsidR="009017CF">
          <w:rPr>
            <w:webHidden/>
          </w:rPr>
          <w:fldChar w:fldCharType="begin"/>
        </w:r>
        <w:r w:rsidR="009017CF">
          <w:rPr>
            <w:webHidden/>
          </w:rPr>
          <w:instrText xml:space="preserve"> PAGEREF _Toc61081386 \h </w:instrText>
        </w:r>
        <w:r w:rsidR="009017CF">
          <w:rPr>
            <w:webHidden/>
          </w:rPr>
        </w:r>
        <w:r w:rsidR="009017CF">
          <w:rPr>
            <w:webHidden/>
          </w:rPr>
          <w:fldChar w:fldCharType="separate"/>
        </w:r>
        <w:r w:rsidR="00492C34">
          <w:rPr>
            <w:webHidden/>
          </w:rPr>
          <w:t>29</w:t>
        </w:r>
        <w:r w:rsidR="009017CF">
          <w:rPr>
            <w:webHidden/>
          </w:rPr>
          <w:fldChar w:fldCharType="end"/>
        </w:r>
      </w:hyperlink>
    </w:p>
    <w:p w14:paraId="54C2336D" w14:textId="597DA7A0" w:rsidR="009017CF" w:rsidRDefault="00273579">
      <w:pPr>
        <w:pStyle w:val="TDC3"/>
        <w:rPr>
          <w:rFonts w:asciiTheme="minorHAnsi" w:eastAsiaTheme="minorEastAsia" w:hAnsiTheme="minorHAnsi" w:cstheme="minorBidi"/>
          <w:i w:val="0"/>
          <w:iCs w:val="0"/>
          <w:sz w:val="22"/>
          <w:szCs w:val="22"/>
          <w:lang w:val="es-CR" w:eastAsia="es-CR"/>
        </w:rPr>
      </w:pPr>
      <w:hyperlink w:anchor="_Toc61081387" w:history="1">
        <w:r w:rsidR="009017CF" w:rsidRPr="0073294C">
          <w:rPr>
            <w:rStyle w:val="Hipervnculo"/>
          </w:rPr>
          <w:t>Inversión Pública (4.3.15.b.ii)</w:t>
        </w:r>
        <w:r w:rsidR="009017CF">
          <w:rPr>
            <w:webHidden/>
          </w:rPr>
          <w:tab/>
        </w:r>
        <w:r w:rsidR="009017CF">
          <w:rPr>
            <w:webHidden/>
          </w:rPr>
          <w:fldChar w:fldCharType="begin"/>
        </w:r>
        <w:r w:rsidR="009017CF">
          <w:rPr>
            <w:webHidden/>
          </w:rPr>
          <w:instrText xml:space="preserve"> PAGEREF _Toc61081387 \h </w:instrText>
        </w:r>
        <w:r w:rsidR="009017CF">
          <w:rPr>
            <w:webHidden/>
          </w:rPr>
        </w:r>
        <w:r w:rsidR="009017CF">
          <w:rPr>
            <w:webHidden/>
          </w:rPr>
          <w:fldChar w:fldCharType="separate"/>
        </w:r>
        <w:r w:rsidR="00492C34">
          <w:rPr>
            <w:webHidden/>
          </w:rPr>
          <w:t>30</w:t>
        </w:r>
        <w:r w:rsidR="009017CF">
          <w:rPr>
            <w:webHidden/>
          </w:rPr>
          <w:fldChar w:fldCharType="end"/>
        </w:r>
      </w:hyperlink>
    </w:p>
    <w:p w14:paraId="393BAFFE" w14:textId="0AE3ACC7" w:rsidR="009017CF" w:rsidRDefault="00273579">
      <w:pPr>
        <w:pStyle w:val="TDC3"/>
        <w:rPr>
          <w:rFonts w:asciiTheme="minorHAnsi" w:eastAsiaTheme="minorEastAsia" w:hAnsiTheme="minorHAnsi" w:cstheme="minorBidi"/>
          <w:i w:val="0"/>
          <w:iCs w:val="0"/>
          <w:sz w:val="22"/>
          <w:szCs w:val="22"/>
          <w:lang w:val="es-CR" w:eastAsia="es-CR"/>
        </w:rPr>
      </w:pPr>
      <w:hyperlink w:anchor="_Toc61081388" w:history="1">
        <w:r w:rsidR="009017CF" w:rsidRPr="0073294C">
          <w:rPr>
            <w:rStyle w:val="Hipervnculo"/>
          </w:rPr>
          <w:t>Estados Financieros (4.3.15.b.vii)</w:t>
        </w:r>
        <w:r w:rsidR="009017CF">
          <w:rPr>
            <w:webHidden/>
          </w:rPr>
          <w:tab/>
        </w:r>
        <w:r w:rsidR="009017CF">
          <w:rPr>
            <w:webHidden/>
          </w:rPr>
          <w:fldChar w:fldCharType="begin"/>
        </w:r>
        <w:r w:rsidR="009017CF">
          <w:rPr>
            <w:webHidden/>
          </w:rPr>
          <w:instrText xml:space="preserve"> PAGEREF _Toc61081388 \h </w:instrText>
        </w:r>
        <w:r w:rsidR="009017CF">
          <w:rPr>
            <w:webHidden/>
          </w:rPr>
        </w:r>
        <w:r w:rsidR="009017CF">
          <w:rPr>
            <w:webHidden/>
          </w:rPr>
          <w:fldChar w:fldCharType="separate"/>
        </w:r>
        <w:r w:rsidR="00492C34">
          <w:rPr>
            <w:webHidden/>
          </w:rPr>
          <w:t>30</w:t>
        </w:r>
        <w:r w:rsidR="009017CF">
          <w:rPr>
            <w:webHidden/>
          </w:rPr>
          <w:fldChar w:fldCharType="end"/>
        </w:r>
      </w:hyperlink>
    </w:p>
    <w:p w14:paraId="41DB837B" w14:textId="3A337558" w:rsidR="009017CF" w:rsidRDefault="00273579">
      <w:pPr>
        <w:pStyle w:val="TDC3"/>
        <w:rPr>
          <w:rFonts w:asciiTheme="minorHAnsi" w:eastAsiaTheme="minorEastAsia" w:hAnsiTheme="minorHAnsi" w:cstheme="minorBidi"/>
          <w:i w:val="0"/>
          <w:iCs w:val="0"/>
          <w:sz w:val="22"/>
          <w:szCs w:val="22"/>
          <w:lang w:val="es-CR" w:eastAsia="es-CR"/>
        </w:rPr>
      </w:pPr>
      <w:hyperlink w:anchor="_Toc61081389" w:history="1">
        <w:r w:rsidR="009017CF" w:rsidRPr="0073294C">
          <w:rPr>
            <w:rStyle w:val="Hipervnculo"/>
          </w:rPr>
          <w:t>Actualización de información en el SIPP (4.3.15.b.viii)</w:t>
        </w:r>
        <w:r w:rsidR="009017CF">
          <w:rPr>
            <w:webHidden/>
          </w:rPr>
          <w:tab/>
        </w:r>
        <w:r w:rsidR="009017CF">
          <w:rPr>
            <w:webHidden/>
          </w:rPr>
          <w:fldChar w:fldCharType="begin"/>
        </w:r>
        <w:r w:rsidR="009017CF">
          <w:rPr>
            <w:webHidden/>
          </w:rPr>
          <w:instrText xml:space="preserve"> PAGEREF _Toc61081389 \h </w:instrText>
        </w:r>
        <w:r w:rsidR="009017CF">
          <w:rPr>
            <w:webHidden/>
          </w:rPr>
        </w:r>
        <w:r w:rsidR="009017CF">
          <w:rPr>
            <w:webHidden/>
          </w:rPr>
          <w:fldChar w:fldCharType="separate"/>
        </w:r>
        <w:r w:rsidR="00492C34">
          <w:rPr>
            <w:webHidden/>
          </w:rPr>
          <w:t>30</w:t>
        </w:r>
        <w:r w:rsidR="009017CF">
          <w:rPr>
            <w:webHidden/>
          </w:rPr>
          <w:fldChar w:fldCharType="end"/>
        </w:r>
      </w:hyperlink>
    </w:p>
    <w:p w14:paraId="1D4FE837" w14:textId="19AC6A58" w:rsidR="009017CF" w:rsidRDefault="00273579">
      <w:pPr>
        <w:pStyle w:val="TDC1"/>
        <w:rPr>
          <w:rFonts w:asciiTheme="minorHAnsi" w:eastAsiaTheme="minorEastAsia" w:hAnsiTheme="minorHAnsi" w:cstheme="minorBidi"/>
          <w:b w:val="0"/>
          <w:bCs w:val="0"/>
          <w:caps w:val="0"/>
          <w:noProof/>
          <w:sz w:val="22"/>
          <w:szCs w:val="22"/>
          <w:lang w:eastAsia="es-CR"/>
        </w:rPr>
      </w:pPr>
      <w:hyperlink w:anchor="_Toc61081390" w:history="1">
        <w:r w:rsidR="009017CF" w:rsidRPr="0073294C">
          <w:rPr>
            <w:rStyle w:val="Hipervnculo"/>
            <w:rFonts w:cstheme="minorHAnsi"/>
            <w:noProof/>
          </w:rPr>
          <w:t>II</w:t>
        </w:r>
        <w:r w:rsidR="009017CF">
          <w:rPr>
            <w:rFonts w:asciiTheme="minorHAnsi" w:eastAsiaTheme="minorEastAsia" w:hAnsiTheme="minorHAnsi" w:cstheme="minorBidi"/>
            <w:b w:val="0"/>
            <w:bCs w:val="0"/>
            <w:caps w:val="0"/>
            <w:noProof/>
            <w:sz w:val="22"/>
            <w:szCs w:val="22"/>
            <w:lang w:eastAsia="es-CR"/>
          </w:rPr>
          <w:tab/>
        </w:r>
        <w:r w:rsidR="009017CF" w:rsidRPr="0073294C">
          <w:rPr>
            <w:rStyle w:val="Hipervnculo"/>
            <w:rFonts w:cstheme="minorHAnsi"/>
            <w:noProof/>
          </w:rPr>
          <w:t>EVALUACIÓN PRESUPUESTARIA (4.5.6 B)</w:t>
        </w:r>
        <w:r w:rsidR="009017CF">
          <w:rPr>
            <w:noProof/>
            <w:webHidden/>
          </w:rPr>
          <w:tab/>
        </w:r>
        <w:r w:rsidR="009017CF">
          <w:rPr>
            <w:noProof/>
            <w:webHidden/>
          </w:rPr>
          <w:fldChar w:fldCharType="begin"/>
        </w:r>
        <w:r w:rsidR="009017CF">
          <w:rPr>
            <w:noProof/>
            <w:webHidden/>
          </w:rPr>
          <w:instrText xml:space="preserve"> PAGEREF _Toc61081390 \h </w:instrText>
        </w:r>
        <w:r w:rsidR="009017CF">
          <w:rPr>
            <w:noProof/>
            <w:webHidden/>
          </w:rPr>
        </w:r>
        <w:r w:rsidR="009017CF">
          <w:rPr>
            <w:noProof/>
            <w:webHidden/>
          </w:rPr>
          <w:fldChar w:fldCharType="separate"/>
        </w:r>
        <w:r w:rsidR="00492C34">
          <w:rPr>
            <w:noProof/>
            <w:webHidden/>
          </w:rPr>
          <w:t>31</w:t>
        </w:r>
        <w:r w:rsidR="009017CF">
          <w:rPr>
            <w:noProof/>
            <w:webHidden/>
          </w:rPr>
          <w:fldChar w:fldCharType="end"/>
        </w:r>
      </w:hyperlink>
    </w:p>
    <w:p w14:paraId="1D8C5A5A" w14:textId="19338609" w:rsidR="009017CF" w:rsidRDefault="00273579">
      <w:pPr>
        <w:pStyle w:val="TDC2"/>
        <w:rPr>
          <w:rFonts w:asciiTheme="minorHAnsi" w:eastAsiaTheme="minorEastAsia" w:hAnsiTheme="minorHAnsi" w:cstheme="minorBidi"/>
          <w:smallCaps w:val="0"/>
          <w:noProof/>
          <w:sz w:val="22"/>
          <w:szCs w:val="22"/>
          <w:lang w:val="es-CR" w:eastAsia="es-CR"/>
        </w:rPr>
      </w:pPr>
      <w:hyperlink w:anchor="_Toc61081391" w:history="1">
        <w:r w:rsidR="009017CF" w:rsidRPr="0073294C">
          <w:rPr>
            <w:rStyle w:val="Hipervnculo"/>
            <w:noProof/>
          </w:rPr>
          <w:t>A.</w:t>
        </w:r>
        <w:r w:rsidR="009017CF">
          <w:rPr>
            <w:rFonts w:asciiTheme="minorHAnsi" w:eastAsiaTheme="minorEastAsia" w:hAnsiTheme="minorHAnsi" w:cstheme="minorBidi"/>
            <w:smallCaps w:val="0"/>
            <w:noProof/>
            <w:sz w:val="22"/>
            <w:szCs w:val="22"/>
            <w:lang w:val="es-CR" w:eastAsia="es-CR"/>
          </w:rPr>
          <w:tab/>
        </w:r>
        <w:r w:rsidR="009017CF" w:rsidRPr="0073294C">
          <w:rPr>
            <w:rStyle w:val="Hipervnculo"/>
            <w:noProof/>
          </w:rPr>
          <w:t xml:space="preserve">Avance en el cumplimiento de objetivos y metas de los programas presupuestarios en función de los indicadores establecidos. </w:t>
        </w:r>
        <w:r w:rsidR="009017CF" w:rsidRPr="0073294C">
          <w:rPr>
            <w:rStyle w:val="Hipervnculo"/>
            <w:bCs/>
            <w:noProof/>
          </w:rPr>
          <w:t>(4.5.6.b.i)</w:t>
        </w:r>
        <w:r w:rsidR="009017CF">
          <w:rPr>
            <w:noProof/>
            <w:webHidden/>
          </w:rPr>
          <w:tab/>
        </w:r>
        <w:r w:rsidR="009017CF">
          <w:rPr>
            <w:noProof/>
            <w:webHidden/>
          </w:rPr>
          <w:fldChar w:fldCharType="begin"/>
        </w:r>
        <w:r w:rsidR="009017CF">
          <w:rPr>
            <w:noProof/>
            <w:webHidden/>
          </w:rPr>
          <w:instrText xml:space="preserve"> PAGEREF _Toc61081391 \h </w:instrText>
        </w:r>
        <w:r w:rsidR="009017CF">
          <w:rPr>
            <w:noProof/>
            <w:webHidden/>
          </w:rPr>
        </w:r>
        <w:r w:rsidR="009017CF">
          <w:rPr>
            <w:noProof/>
            <w:webHidden/>
          </w:rPr>
          <w:fldChar w:fldCharType="separate"/>
        </w:r>
        <w:r w:rsidR="00492C34">
          <w:rPr>
            <w:noProof/>
            <w:webHidden/>
          </w:rPr>
          <w:t>31</w:t>
        </w:r>
        <w:r w:rsidR="009017CF">
          <w:rPr>
            <w:noProof/>
            <w:webHidden/>
          </w:rPr>
          <w:fldChar w:fldCharType="end"/>
        </w:r>
      </w:hyperlink>
    </w:p>
    <w:p w14:paraId="2C72F667" w14:textId="6CA34E01" w:rsidR="009017CF" w:rsidRDefault="00273579">
      <w:pPr>
        <w:pStyle w:val="TDC3"/>
        <w:rPr>
          <w:rFonts w:asciiTheme="minorHAnsi" w:eastAsiaTheme="minorEastAsia" w:hAnsiTheme="minorHAnsi" w:cstheme="minorBidi"/>
          <w:i w:val="0"/>
          <w:iCs w:val="0"/>
          <w:sz w:val="22"/>
          <w:szCs w:val="22"/>
          <w:lang w:val="es-CR" w:eastAsia="es-CR"/>
        </w:rPr>
      </w:pPr>
      <w:hyperlink w:anchor="_Toc61081392" w:history="1">
        <w:r w:rsidR="009017CF" w:rsidRPr="0073294C">
          <w:rPr>
            <w:rStyle w:val="Hipervnculo"/>
          </w:rPr>
          <w:t>Tabla 2: Presupuesto de egresos ejecutado por programa y por meta</w:t>
        </w:r>
        <w:r w:rsidR="009017CF">
          <w:rPr>
            <w:webHidden/>
          </w:rPr>
          <w:tab/>
        </w:r>
        <w:r w:rsidR="009017CF">
          <w:rPr>
            <w:webHidden/>
          </w:rPr>
          <w:fldChar w:fldCharType="begin"/>
        </w:r>
        <w:r w:rsidR="009017CF">
          <w:rPr>
            <w:webHidden/>
          </w:rPr>
          <w:instrText xml:space="preserve"> PAGEREF _Toc61081392 \h </w:instrText>
        </w:r>
        <w:r w:rsidR="009017CF">
          <w:rPr>
            <w:webHidden/>
          </w:rPr>
        </w:r>
        <w:r w:rsidR="009017CF">
          <w:rPr>
            <w:webHidden/>
          </w:rPr>
          <w:fldChar w:fldCharType="separate"/>
        </w:r>
        <w:r w:rsidR="00492C34">
          <w:rPr>
            <w:webHidden/>
          </w:rPr>
          <w:t>31</w:t>
        </w:r>
        <w:r w:rsidR="009017CF">
          <w:rPr>
            <w:webHidden/>
          </w:rPr>
          <w:fldChar w:fldCharType="end"/>
        </w:r>
      </w:hyperlink>
    </w:p>
    <w:p w14:paraId="5163A0BD" w14:textId="2EB04933" w:rsidR="009017CF" w:rsidRDefault="00273579">
      <w:pPr>
        <w:pStyle w:val="TDC2"/>
        <w:rPr>
          <w:rFonts w:asciiTheme="minorHAnsi" w:eastAsiaTheme="minorEastAsia" w:hAnsiTheme="minorHAnsi" w:cstheme="minorBidi"/>
          <w:smallCaps w:val="0"/>
          <w:noProof/>
          <w:sz w:val="22"/>
          <w:szCs w:val="22"/>
          <w:lang w:val="es-CR" w:eastAsia="es-CR"/>
        </w:rPr>
      </w:pPr>
      <w:hyperlink w:anchor="_Toc61081393" w:history="1">
        <w:r w:rsidR="009017CF" w:rsidRPr="0073294C">
          <w:rPr>
            <w:rStyle w:val="Hipervnculo"/>
            <w:noProof/>
          </w:rPr>
          <w:t>B.</w:t>
        </w:r>
        <w:r w:rsidR="009017CF">
          <w:rPr>
            <w:rFonts w:asciiTheme="minorHAnsi" w:eastAsiaTheme="minorEastAsia" w:hAnsiTheme="minorHAnsi" w:cstheme="minorBidi"/>
            <w:smallCaps w:val="0"/>
            <w:noProof/>
            <w:sz w:val="22"/>
            <w:szCs w:val="22"/>
            <w:lang w:val="es-CR" w:eastAsia="es-CR"/>
          </w:rPr>
          <w:tab/>
        </w:r>
        <w:r w:rsidR="009017CF" w:rsidRPr="0073294C">
          <w:rPr>
            <w:rStyle w:val="Hipervnculo"/>
            <w:noProof/>
          </w:rPr>
          <w:t xml:space="preserve">Detalle de desviaciones de mayor relevancia que afectan los objetivos, metas y resultados de lo alcanzado con respecto a lo estimado en cada uno de los programas presupuestarios. </w:t>
        </w:r>
        <w:r w:rsidR="009017CF" w:rsidRPr="0073294C">
          <w:rPr>
            <w:rStyle w:val="Hipervnculo"/>
            <w:bCs/>
            <w:noProof/>
          </w:rPr>
          <w:t>(4.5.6.b.ii)</w:t>
        </w:r>
        <w:r w:rsidR="009017CF">
          <w:rPr>
            <w:noProof/>
            <w:webHidden/>
          </w:rPr>
          <w:tab/>
        </w:r>
        <w:r w:rsidR="009017CF">
          <w:rPr>
            <w:noProof/>
            <w:webHidden/>
          </w:rPr>
          <w:fldChar w:fldCharType="begin"/>
        </w:r>
        <w:r w:rsidR="009017CF">
          <w:rPr>
            <w:noProof/>
            <w:webHidden/>
          </w:rPr>
          <w:instrText xml:space="preserve"> PAGEREF _Toc61081393 \h </w:instrText>
        </w:r>
        <w:r w:rsidR="009017CF">
          <w:rPr>
            <w:noProof/>
            <w:webHidden/>
          </w:rPr>
        </w:r>
        <w:r w:rsidR="009017CF">
          <w:rPr>
            <w:noProof/>
            <w:webHidden/>
          </w:rPr>
          <w:fldChar w:fldCharType="separate"/>
        </w:r>
        <w:r w:rsidR="00492C34">
          <w:rPr>
            <w:noProof/>
            <w:webHidden/>
          </w:rPr>
          <w:t>33</w:t>
        </w:r>
        <w:r w:rsidR="009017CF">
          <w:rPr>
            <w:noProof/>
            <w:webHidden/>
          </w:rPr>
          <w:fldChar w:fldCharType="end"/>
        </w:r>
      </w:hyperlink>
    </w:p>
    <w:p w14:paraId="761A4BE6" w14:textId="5B1E771D" w:rsidR="009017CF" w:rsidRDefault="00273579">
      <w:pPr>
        <w:pStyle w:val="TDC3"/>
        <w:rPr>
          <w:rFonts w:asciiTheme="minorHAnsi" w:eastAsiaTheme="minorEastAsia" w:hAnsiTheme="minorHAnsi" w:cstheme="minorBidi"/>
          <w:i w:val="0"/>
          <w:iCs w:val="0"/>
          <w:sz w:val="22"/>
          <w:szCs w:val="22"/>
          <w:lang w:val="es-CR" w:eastAsia="es-CR"/>
        </w:rPr>
      </w:pPr>
      <w:hyperlink w:anchor="_Toc61081394" w:history="1">
        <w:r w:rsidR="009017CF" w:rsidRPr="0073294C">
          <w:rPr>
            <w:rStyle w:val="Hipervnculo"/>
          </w:rPr>
          <w:t>Indicador de desviación presupuestaria</w:t>
        </w:r>
        <w:r w:rsidR="009017CF">
          <w:rPr>
            <w:webHidden/>
          </w:rPr>
          <w:tab/>
        </w:r>
        <w:r w:rsidR="009017CF">
          <w:rPr>
            <w:webHidden/>
          </w:rPr>
          <w:fldChar w:fldCharType="begin"/>
        </w:r>
        <w:r w:rsidR="009017CF">
          <w:rPr>
            <w:webHidden/>
          </w:rPr>
          <w:instrText xml:space="preserve"> PAGEREF _Toc61081394 \h </w:instrText>
        </w:r>
        <w:r w:rsidR="009017CF">
          <w:rPr>
            <w:webHidden/>
          </w:rPr>
        </w:r>
        <w:r w:rsidR="009017CF">
          <w:rPr>
            <w:webHidden/>
          </w:rPr>
          <w:fldChar w:fldCharType="separate"/>
        </w:r>
        <w:r w:rsidR="00492C34">
          <w:rPr>
            <w:webHidden/>
          </w:rPr>
          <w:t>33</w:t>
        </w:r>
        <w:r w:rsidR="009017CF">
          <w:rPr>
            <w:webHidden/>
          </w:rPr>
          <w:fldChar w:fldCharType="end"/>
        </w:r>
      </w:hyperlink>
    </w:p>
    <w:p w14:paraId="69DE9D34" w14:textId="3A635564" w:rsidR="009017CF" w:rsidRDefault="00273579">
      <w:pPr>
        <w:pStyle w:val="TDC3"/>
        <w:rPr>
          <w:rFonts w:asciiTheme="minorHAnsi" w:eastAsiaTheme="minorEastAsia" w:hAnsiTheme="minorHAnsi" w:cstheme="minorBidi"/>
          <w:i w:val="0"/>
          <w:iCs w:val="0"/>
          <w:sz w:val="22"/>
          <w:szCs w:val="22"/>
          <w:lang w:val="es-CR" w:eastAsia="es-CR"/>
        </w:rPr>
      </w:pPr>
      <w:hyperlink w:anchor="_Toc61081395" w:history="1">
        <w:r w:rsidR="009017CF" w:rsidRPr="0073294C">
          <w:rPr>
            <w:rStyle w:val="Hipervnculo"/>
          </w:rPr>
          <w:t>Tabla 3: Desviación porcentual</w:t>
        </w:r>
        <w:r w:rsidR="009017CF">
          <w:rPr>
            <w:webHidden/>
          </w:rPr>
          <w:tab/>
        </w:r>
        <w:r w:rsidR="009017CF">
          <w:rPr>
            <w:webHidden/>
          </w:rPr>
          <w:fldChar w:fldCharType="begin"/>
        </w:r>
        <w:r w:rsidR="009017CF">
          <w:rPr>
            <w:webHidden/>
          </w:rPr>
          <w:instrText xml:space="preserve"> PAGEREF _Toc61081395 \h </w:instrText>
        </w:r>
        <w:r w:rsidR="009017CF">
          <w:rPr>
            <w:webHidden/>
          </w:rPr>
        </w:r>
        <w:r w:rsidR="009017CF">
          <w:rPr>
            <w:webHidden/>
          </w:rPr>
          <w:fldChar w:fldCharType="separate"/>
        </w:r>
        <w:r w:rsidR="00492C34">
          <w:rPr>
            <w:webHidden/>
          </w:rPr>
          <w:t>33</w:t>
        </w:r>
        <w:r w:rsidR="009017CF">
          <w:rPr>
            <w:webHidden/>
          </w:rPr>
          <w:fldChar w:fldCharType="end"/>
        </w:r>
      </w:hyperlink>
    </w:p>
    <w:p w14:paraId="1C41CE67" w14:textId="72FA2849" w:rsidR="009017CF" w:rsidRDefault="00273579">
      <w:pPr>
        <w:pStyle w:val="TDC3"/>
        <w:rPr>
          <w:rFonts w:asciiTheme="minorHAnsi" w:eastAsiaTheme="minorEastAsia" w:hAnsiTheme="minorHAnsi" w:cstheme="minorBidi"/>
          <w:i w:val="0"/>
          <w:iCs w:val="0"/>
          <w:sz w:val="22"/>
          <w:szCs w:val="22"/>
          <w:lang w:val="es-CR" w:eastAsia="es-CR"/>
        </w:rPr>
      </w:pPr>
      <w:hyperlink w:anchor="_Toc61081396" w:history="1">
        <w:r w:rsidR="009017CF" w:rsidRPr="0073294C">
          <w:rPr>
            <w:rStyle w:val="Hipervnculo"/>
          </w:rPr>
          <w:t>Indicadores operativos</w:t>
        </w:r>
        <w:r w:rsidR="009017CF">
          <w:rPr>
            <w:webHidden/>
          </w:rPr>
          <w:tab/>
        </w:r>
        <w:r w:rsidR="009017CF">
          <w:rPr>
            <w:webHidden/>
          </w:rPr>
          <w:fldChar w:fldCharType="begin"/>
        </w:r>
        <w:r w:rsidR="009017CF">
          <w:rPr>
            <w:webHidden/>
          </w:rPr>
          <w:instrText xml:space="preserve"> PAGEREF _Toc61081396 \h </w:instrText>
        </w:r>
        <w:r w:rsidR="009017CF">
          <w:rPr>
            <w:webHidden/>
          </w:rPr>
        </w:r>
        <w:r w:rsidR="009017CF">
          <w:rPr>
            <w:webHidden/>
          </w:rPr>
          <w:fldChar w:fldCharType="separate"/>
        </w:r>
        <w:r w:rsidR="00492C34">
          <w:rPr>
            <w:webHidden/>
          </w:rPr>
          <w:t>34</w:t>
        </w:r>
        <w:r w:rsidR="009017CF">
          <w:rPr>
            <w:webHidden/>
          </w:rPr>
          <w:fldChar w:fldCharType="end"/>
        </w:r>
      </w:hyperlink>
    </w:p>
    <w:p w14:paraId="2397F839" w14:textId="2975901C" w:rsidR="009017CF" w:rsidRDefault="00273579">
      <w:pPr>
        <w:pStyle w:val="TDC3"/>
        <w:rPr>
          <w:rFonts w:asciiTheme="minorHAnsi" w:eastAsiaTheme="minorEastAsia" w:hAnsiTheme="minorHAnsi" w:cstheme="minorBidi"/>
          <w:i w:val="0"/>
          <w:iCs w:val="0"/>
          <w:sz w:val="22"/>
          <w:szCs w:val="22"/>
          <w:lang w:val="es-CR" w:eastAsia="es-CR"/>
        </w:rPr>
      </w:pPr>
      <w:hyperlink w:anchor="_Toc61081397" w:history="1">
        <w:r w:rsidR="009017CF" w:rsidRPr="0073294C">
          <w:rPr>
            <w:rStyle w:val="Hipervnculo"/>
          </w:rPr>
          <w:t>Tabla 4: Resumen de trabajo programados</w:t>
        </w:r>
        <w:r w:rsidR="009017CF">
          <w:rPr>
            <w:webHidden/>
          </w:rPr>
          <w:tab/>
        </w:r>
        <w:r w:rsidR="009017CF">
          <w:rPr>
            <w:webHidden/>
          </w:rPr>
          <w:fldChar w:fldCharType="begin"/>
        </w:r>
        <w:r w:rsidR="009017CF">
          <w:rPr>
            <w:webHidden/>
          </w:rPr>
          <w:instrText xml:space="preserve"> PAGEREF _Toc61081397 \h </w:instrText>
        </w:r>
        <w:r w:rsidR="009017CF">
          <w:rPr>
            <w:webHidden/>
          </w:rPr>
        </w:r>
        <w:r w:rsidR="009017CF">
          <w:rPr>
            <w:webHidden/>
          </w:rPr>
          <w:fldChar w:fldCharType="separate"/>
        </w:r>
        <w:r w:rsidR="00492C34">
          <w:rPr>
            <w:webHidden/>
          </w:rPr>
          <w:t>34</w:t>
        </w:r>
        <w:r w:rsidR="009017CF">
          <w:rPr>
            <w:webHidden/>
          </w:rPr>
          <w:fldChar w:fldCharType="end"/>
        </w:r>
      </w:hyperlink>
    </w:p>
    <w:p w14:paraId="181A5C08" w14:textId="277813CB" w:rsidR="009017CF" w:rsidRDefault="00273579">
      <w:pPr>
        <w:pStyle w:val="TDC2"/>
        <w:rPr>
          <w:rFonts w:asciiTheme="minorHAnsi" w:eastAsiaTheme="minorEastAsia" w:hAnsiTheme="minorHAnsi" w:cstheme="minorBidi"/>
          <w:smallCaps w:val="0"/>
          <w:noProof/>
          <w:sz w:val="22"/>
          <w:szCs w:val="22"/>
          <w:lang w:val="es-CR" w:eastAsia="es-CR"/>
        </w:rPr>
      </w:pPr>
      <w:hyperlink w:anchor="_Toc61081398" w:history="1">
        <w:r w:rsidR="009017CF" w:rsidRPr="0073294C">
          <w:rPr>
            <w:rStyle w:val="Hipervnculo"/>
            <w:noProof/>
          </w:rPr>
          <w:t>C.</w:t>
        </w:r>
        <w:r w:rsidR="009017CF">
          <w:rPr>
            <w:rFonts w:asciiTheme="minorHAnsi" w:eastAsiaTheme="minorEastAsia" w:hAnsiTheme="minorHAnsi" w:cstheme="minorBidi"/>
            <w:smallCaps w:val="0"/>
            <w:noProof/>
            <w:sz w:val="22"/>
            <w:szCs w:val="22"/>
            <w:lang w:val="es-CR" w:eastAsia="es-CR"/>
          </w:rPr>
          <w:tab/>
        </w:r>
        <w:r w:rsidR="009017CF" w:rsidRPr="0073294C">
          <w:rPr>
            <w:rStyle w:val="Hipervnculo"/>
            <w:noProof/>
          </w:rPr>
          <w:t>Análisis del desempeño institucional y programático. (4.5.6.b.iii)</w:t>
        </w:r>
        <w:r w:rsidR="009017CF">
          <w:rPr>
            <w:noProof/>
            <w:webHidden/>
          </w:rPr>
          <w:tab/>
        </w:r>
        <w:r w:rsidR="009017CF">
          <w:rPr>
            <w:noProof/>
            <w:webHidden/>
          </w:rPr>
          <w:fldChar w:fldCharType="begin"/>
        </w:r>
        <w:r w:rsidR="009017CF">
          <w:rPr>
            <w:noProof/>
            <w:webHidden/>
          </w:rPr>
          <w:instrText xml:space="preserve"> PAGEREF _Toc61081398 \h </w:instrText>
        </w:r>
        <w:r w:rsidR="009017CF">
          <w:rPr>
            <w:noProof/>
            <w:webHidden/>
          </w:rPr>
        </w:r>
        <w:r w:rsidR="009017CF">
          <w:rPr>
            <w:noProof/>
            <w:webHidden/>
          </w:rPr>
          <w:fldChar w:fldCharType="separate"/>
        </w:r>
        <w:r w:rsidR="00492C34">
          <w:rPr>
            <w:noProof/>
            <w:webHidden/>
          </w:rPr>
          <w:t>35</w:t>
        </w:r>
        <w:r w:rsidR="009017CF">
          <w:rPr>
            <w:noProof/>
            <w:webHidden/>
          </w:rPr>
          <w:fldChar w:fldCharType="end"/>
        </w:r>
      </w:hyperlink>
    </w:p>
    <w:p w14:paraId="464950A9" w14:textId="39B7A77B" w:rsidR="009017CF" w:rsidRDefault="00273579">
      <w:pPr>
        <w:pStyle w:val="TDC2"/>
        <w:rPr>
          <w:rFonts w:asciiTheme="minorHAnsi" w:eastAsiaTheme="minorEastAsia" w:hAnsiTheme="minorHAnsi" w:cstheme="minorBidi"/>
          <w:smallCaps w:val="0"/>
          <w:noProof/>
          <w:sz w:val="22"/>
          <w:szCs w:val="22"/>
          <w:lang w:val="es-CR" w:eastAsia="es-CR"/>
        </w:rPr>
      </w:pPr>
      <w:hyperlink w:anchor="_Toc61081399" w:history="1">
        <w:r w:rsidR="009017CF" w:rsidRPr="0073294C">
          <w:rPr>
            <w:rStyle w:val="Hipervnculo"/>
            <w:noProof/>
          </w:rPr>
          <w:t>A.</w:t>
        </w:r>
        <w:r w:rsidR="009017CF">
          <w:rPr>
            <w:rFonts w:asciiTheme="minorHAnsi" w:eastAsiaTheme="minorEastAsia" w:hAnsiTheme="minorHAnsi" w:cstheme="minorBidi"/>
            <w:smallCaps w:val="0"/>
            <w:noProof/>
            <w:sz w:val="22"/>
            <w:szCs w:val="22"/>
            <w:lang w:val="es-CR" w:eastAsia="es-CR"/>
          </w:rPr>
          <w:tab/>
        </w:r>
        <w:r w:rsidR="009017CF" w:rsidRPr="0073294C">
          <w:rPr>
            <w:rStyle w:val="Hipervnculo"/>
            <w:noProof/>
          </w:rPr>
          <w:t xml:space="preserve">Avance en el cumplimiento de los objetivos y metas de mediano y largo plazo considerando las proyecciones plurianuales realizadas. </w:t>
        </w:r>
        <w:r w:rsidR="009017CF" w:rsidRPr="0073294C">
          <w:rPr>
            <w:rStyle w:val="Hipervnculo"/>
            <w:bCs/>
            <w:noProof/>
          </w:rPr>
          <w:t>(4.5.6.b.iv)</w:t>
        </w:r>
        <w:r w:rsidR="009017CF">
          <w:rPr>
            <w:noProof/>
            <w:webHidden/>
          </w:rPr>
          <w:tab/>
        </w:r>
        <w:r w:rsidR="009017CF">
          <w:rPr>
            <w:noProof/>
            <w:webHidden/>
          </w:rPr>
          <w:fldChar w:fldCharType="begin"/>
        </w:r>
        <w:r w:rsidR="009017CF">
          <w:rPr>
            <w:noProof/>
            <w:webHidden/>
          </w:rPr>
          <w:instrText xml:space="preserve"> PAGEREF _Toc61081399 \h </w:instrText>
        </w:r>
        <w:r w:rsidR="009017CF">
          <w:rPr>
            <w:noProof/>
            <w:webHidden/>
          </w:rPr>
        </w:r>
        <w:r w:rsidR="009017CF">
          <w:rPr>
            <w:noProof/>
            <w:webHidden/>
          </w:rPr>
          <w:fldChar w:fldCharType="separate"/>
        </w:r>
        <w:r w:rsidR="00492C34">
          <w:rPr>
            <w:noProof/>
            <w:webHidden/>
          </w:rPr>
          <w:t>36</w:t>
        </w:r>
        <w:r w:rsidR="009017CF">
          <w:rPr>
            <w:noProof/>
            <w:webHidden/>
          </w:rPr>
          <w:fldChar w:fldCharType="end"/>
        </w:r>
      </w:hyperlink>
    </w:p>
    <w:p w14:paraId="05A82E40" w14:textId="35FDB042" w:rsidR="009017CF" w:rsidRDefault="00273579">
      <w:pPr>
        <w:pStyle w:val="TDC3"/>
        <w:rPr>
          <w:rFonts w:asciiTheme="minorHAnsi" w:eastAsiaTheme="minorEastAsia" w:hAnsiTheme="minorHAnsi" w:cstheme="minorBidi"/>
          <w:i w:val="0"/>
          <w:iCs w:val="0"/>
          <w:sz w:val="22"/>
          <w:szCs w:val="22"/>
          <w:lang w:val="es-CR" w:eastAsia="es-CR"/>
        </w:rPr>
      </w:pPr>
      <w:hyperlink w:anchor="_Toc61081400" w:history="1">
        <w:r w:rsidR="009017CF" w:rsidRPr="0073294C">
          <w:rPr>
            <w:rStyle w:val="Hipervnculo"/>
          </w:rPr>
          <w:t>Avance de proyectos estratégicos:</w:t>
        </w:r>
        <w:r w:rsidR="009017CF">
          <w:rPr>
            <w:webHidden/>
          </w:rPr>
          <w:tab/>
        </w:r>
        <w:r w:rsidR="009017CF">
          <w:rPr>
            <w:webHidden/>
          </w:rPr>
          <w:fldChar w:fldCharType="begin"/>
        </w:r>
        <w:r w:rsidR="009017CF">
          <w:rPr>
            <w:webHidden/>
          </w:rPr>
          <w:instrText xml:space="preserve"> PAGEREF _Toc61081400 \h </w:instrText>
        </w:r>
        <w:r w:rsidR="009017CF">
          <w:rPr>
            <w:webHidden/>
          </w:rPr>
        </w:r>
        <w:r w:rsidR="009017CF">
          <w:rPr>
            <w:webHidden/>
          </w:rPr>
          <w:fldChar w:fldCharType="separate"/>
        </w:r>
        <w:r w:rsidR="00492C34">
          <w:rPr>
            <w:webHidden/>
          </w:rPr>
          <w:t>36</w:t>
        </w:r>
        <w:r w:rsidR="009017CF">
          <w:rPr>
            <w:webHidden/>
          </w:rPr>
          <w:fldChar w:fldCharType="end"/>
        </w:r>
      </w:hyperlink>
    </w:p>
    <w:p w14:paraId="20031256" w14:textId="2DB23BC6" w:rsidR="009017CF" w:rsidRDefault="00273579">
      <w:pPr>
        <w:pStyle w:val="TDC3"/>
        <w:rPr>
          <w:rFonts w:asciiTheme="minorHAnsi" w:eastAsiaTheme="minorEastAsia" w:hAnsiTheme="minorHAnsi" w:cstheme="minorBidi"/>
          <w:i w:val="0"/>
          <w:iCs w:val="0"/>
          <w:sz w:val="22"/>
          <w:szCs w:val="22"/>
          <w:lang w:val="es-CR" w:eastAsia="es-CR"/>
        </w:rPr>
      </w:pPr>
      <w:hyperlink w:anchor="_Toc61081401" w:history="1">
        <w:r w:rsidR="009017CF" w:rsidRPr="0073294C">
          <w:rPr>
            <w:rStyle w:val="Hipervnculo"/>
          </w:rPr>
          <w:t>Tabla 5: Avance en proyectos estratégicos</w:t>
        </w:r>
        <w:r w:rsidR="009017CF">
          <w:rPr>
            <w:webHidden/>
          </w:rPr>
          <w:tab/>
        </w:r>
        <w:r w:rsidR="009017CF">
          <w:rPr>
            <w:webHidden/>
          </w:rPr>
          <w:fldChar w:fldCharType="begin"/>
        </w:r>
        <w:r w:rsidR="009017CF">
          <w:rPr>
            <w:webHidden/>
          </w:rPr>
          <w:instrText xml:space="preserve"> PAGEREF _Toc61081401 \h </w:instrText>
        </w:r>
        <w:r w:rsidR="009017CF">
          <w:rPr>
            <w:webHidden/>
          </w:rPr>
        </w:r>
        <w:r w:rsidR="009017CF">
          <w:rPr>
            <w:webHidden/>
          </w:rPr>
          <w:fldChar w:fldCharType="separate"/>
        </w:r>
        <w:r w:rsidR="00492C34">
          <w:rPr>
            <w:webHidden/>
          </w:rPr>
          <w:t>36</w:t>
        </w:r>
        <w:r w:rsidR="009017CF">
          <w:rPr>
            <w:webHidden/>
          </w:rPr>
          <w:fldChar w:fldCharType="end"/>
        </w:r>
      </w:hyperlink>
    </w:p>
    <w:p w14:paraId="30E332DA" w14:textId="36CCF390" w:rsidR="009017CF" w:rsidRDefault="00273579">
      <w:pPr>
        <w:pStyle w:val="TDC2"/>
        <w:rPr>
          <w:rFonts w:asciiTheme="minorHAnsi" w:eastAsiaTheme="minorEastAsia" w:hAnsiTheme="minorHAnsi" w:cstheme="minorBidi"/>
          <w:smallCaps w:val="0"/>
          <w:noProof/>
          <w:sz w:val="22"/>
          <w:szCs w:val="22"/>
          <w:lang w:val="es-CR" w:eastAsia="es-CR"/>
        </w:rPr>
      </w:pPr>
      <w:hyperlink w:anchor="_Toc61081402" w:history="1">
        <w:r w:rsidR="009017CF" w:rsidRPr="0073294C">
          <w:rPr>
            <w:rStyle w:val="Hipervnculo"/>
            <w:noProof/>
          </w:rPr>
          <w:t>B.</w:t>
        </w:r>
        <w:r w:rsidR="009017CF">
          <w:rPr>
            <w:rFonts w:asciiTheme="minorHAnsi" w:eastAsiaTheme="minorEastAsia" w:hAnsiTheme="minorHAnsi" w:cstheme="minorBidi"/>
            <w:smallCaps w:val="0"/>
            <w:noProof/>
            <w:sz w:val="22"/>
            <w:szCs w:val="22"/>
            <w:lang w:val="es-CR" w:eastAsia="es-CR"/>
          </w:rPr>
          <w:tab/>
        </w:r>
        <w:r w:rsidR="009017CF" w:rsidRPr="0073294C">
          <w:rPr>
            <w:rStyle w:val="Hipervnculo"/>
            <w:noProof/>
          </w:rPr>
          <w:t>Medidas correctivas y acciones para mejora continua. (4.5.6.b.v)</w:t>
        </w:r>
        <w:r w:rsidR="009017CF">
          <w:rPr>
            <w:noProof/>
            <w:webHidden/>
          </w:rPr>
          <w:tab/>
        </w:r>
        <w:r w:rsidR="009017CF">
          <w:rPr>
            <w:noProof/>
            <w:webHidden/>
          </w:rPr>
          <w:fldChar w:fldCharType="begin"/>
        </w:r>
        <w:r w:rsidR="009017CF">
          <w:rPr>
            <w:noProof/>
            <w:webHidden/>
          </w:rPr>
          <w:instrText xml:space="preserve"> PAGEREF _Toc61081402 \h </w:instrText>
        </w:r>
        <w:r w:rsidR="009017CF">
          <w:rPr>
            <w:noProof/>
            <w:webHidden/>
          </w:rPr>
        </w:r>
        <w:r w:rsidR="009017CF">
          <w:rPr>
            <w:noProof/>
            <w:webHidden/>
          </w:rPr>
          <w:fldChar w:fldCharType="separate"/>
        </w:r>
        <w:r w:rsidR="00492C34">
          <w:rPr>
            <w:noProof/>
            <w:webHidden/>
          </w:rPr>
          <w:t>41</w:t>
        </w:r>
        <w:r w:rsidR="009017CF">
          <w:rPr>
            <w:noProof/>
            <w:webHidden/>
          </w:rPr>
          <w:fldChar w:fldCharType="end"/>
        </w:r>
      </w:hyperlink>
    </w:p>
    <w:p w14:paraId="1722A539" w14:textId="74AB2184" w:rsidR="009017CF" w:rsidRDefault="00273579">
      <w:pPr>
        <w:pStyle w:val="TDC3"/>
        <w:rPr>
          <w:rFonts w:asciiTheme="minorHAnsi" w:eastAsiaTheme="minorEastAsia" w:hAnsiTheme="minorHAnsi" w:cstheme="minorBidi"/>
          <w:i w:val="0"/>
          <w:iCs w:val="0"/>
          <w:sz w:val="22"/>
          <w:szCs w:val="22"/>
          <w:lang w:val="es-CR" w:eastAsia="es-CR"/>
        </w:rPr>
      </w:pPr>
      <w:hyperlink w:anchor="_Toc61081403" w:history="1">
        <w:r w:rsidR="009017CF" w:rsidRPr="0073294C">
          <w:rPr>
            <w:rStyle w:val="Hipervnculo"/>
          </w:rPr>
          <w:t>Tabla 6: Estado Atención a Recomendaciones de la Auditoría Interna</w:t>
        </w:r>
        <w:r w:rsidR="009017CF">
          <w:rPr>
            <w:webHidden/>
          </w:rPr>
          <w:tab/>
        </w:r>
        <w:r w:rsidR="009017CF">
          <w:rPr>
            <w:webHidden/>
          </w:rPr>
          <w:fldChar w:fldCharType="begin"/>
        </w:r>
        <w:r w:rsidR="009017CF">
          <w:rPr>
            <w:webHidden/>
          </w:rPr>
          <w:instrText xml:space="preserve"> PAGEREF _Toc61081403 \h </w:instrText>
        </w:r>
        <w:r w:rsidR="009017CF">
          <w:rPr>
            <w:webHidden/>
          </w:rPr>
        </w:r>
        <w:r w:rsidR="009017CF">
          <w:rPr>
            <w:webHidden/>
          </w:rPr>
          <w:fldChar w:fldCharType="separate"/>
        </w:r>
        <w:r w:rsidR="00492C34">
          <w:rPr>
            <w:webHidden/>
          </w:rPr>
          <w:t>42</w:t>
        </w:r>
        <w:r w:rsidR="009017CF">
          <w:rPr>
            <w:webHidden/>
          </w:rPr>
          <w:fldChar w:fldCharType="end"/>
        </w:r>
      </w:hyperlink>
    </w:p>
    <w:p w14:paraId="27292EE3" w14:textId="5A09DA1E" w:rsidR="009017CF" w:rsidRDefault="00273579">
      <w:pPr>
        <w:pStyle w:val="TDC1"/>
        <w:rPr>
          <w:rFonts w:asciiTheme="minorHAnsi" w:eastAsiaTheme="minorEastAsia" w:hAnsiTheme="minorHAnsi" w:cstheme="minorBidi"/>
          <w:b w:val="0"/>
          <w:bCs w:val="0"/>
          <w:caps w:val="0"/>
          <w:noProof/>
          <w:sz w:val="22"/>
          <w:szCs w:val="22"/>
          <w:lang w:eastAsia="es-CR"/>
        </w:rPr>
      </w:pPr>
      <w:hyperlink w:anchor="_Toc61081404" w:history="1">
        <w:r w:rsidR="009017CF" w:rsidRPr="0073294C">
          <w:rPr>
            <w:rStyle w:val="Hipervnculo"/>
            <w:rFonts w:cstheme="minorHAnsi"/>
            <w:i/>
            <w:noProof/>
          </w:rPr>
          <w:t>III.</w:t>
        </w:r>
        <w:r w:rsidR="009017CF">
          <w:rPr>
            <w:rFonts w:asciiTheme="minorHAnsi" w:eastAsiaTheme="minorEastAsia" w:hAnsiTheme="minorHAnsi" w:cstheme="minorBidi"/>
            <w:b w:val="0"/>
            <w:bCs w:val="0"/>
            <w:caps w:val="0"/>
            <w:noProof/>
            <w:sz w:val="22"/>
            <w:szCs w:val="22"/>
            <w:lang w:eastAsia="es-CR"/>
          </w:rPr>
          <w:tab/>
        </w:r>
        <w:r w:rsidR="009017CF" w:rsidRPr="0073294C">
          <w:rPr>
            <w:rStyle w:val="Hipervnculo"/>
            <w:rFonts w:cstheme="minorHAnsi"/>
            <w:i/>
            <w:noProof/>
          </w:rPr>
          <w:t>Resumen</w:t>
        </w:r>
        <w:r w:rsidR="009017CF">
          <w:rPr>
            <w:noProof/>
            <w:webHidden/>
          </w:rPr>
          <w:tab/>
        </w:r>
        <w:r w:rsidR="009017CF">
          <w:rPr>
            <w:noProof/>
            <w:webHidden/>
          </w:rPr>
          <w:fldChar w:fldCharType="begin"/>
        </w:r>
        <w:r w:rsidR="009017CF">
          <w:rPr>
            <w:noProof/>
            <w:webHidden/>
          </w:rPr>
          <w:instrText xml:space="preserve"> PAGEREF _Toc61081404 \h </w:instrText>
        </w:r>
        <w:r w:rsidR="009017CF">
          <w:rPr>
            <w:noProof/>
            <w:webHidden/>
          </w:rPr>
        </w:r>
        <w:r w:rsidR="009017CF">
          <w:rPr>
            <w:noProof/>
            <w:webHidden/>
          </w:rPr>
          <w:fldChar w:fldCharType="separate"/>
        </w:r>
        <w:r w:rsidR="00492C34">
          <w:rPr>
            <w:noProof/>
            <w:webHidden/>
          </w:rPr>
          <w:t>44</w:t>
        </w:r>
        <w:r w:rsidR="009017CF">
          <w:rPr>
            <w:noProof/>
            <w:webHidden/>
          </w:rPr>
          <w:fldChar w:fldCharType="end"/>
        </w:r>
      </w:hyperlink>
    </w:p>
    <w:p w14:paraId="71F87043" w14:textId="1A70A4CF" w:rsidR="009017CF" w:rsidRDefault="00273579">
      <w:pPr>
        <w:pStyle w:val="TDC1"/>
        <w:rPr>
          <w:rFonts w:asciiTheme="minorHAnsi" w:eastAsiaTheme="minorEastAsia" w:hAnsiTheme="minorHAnsi" w:cstheme="minorBidi"/>
          <w:b w:val="0"/>
          <w:bCs w:val="0"/>
          <w:caps w:val="0"/>
          <w:noProof/>
          <w:sz w:val="22"/>
          <w:szCs w:val="22"/>
          <w:lang w:eastAsia="es-CR"/>
        </w:rPr>
      </w:pPr>
      <w:hyperlink w:anchor="_Toc61081405" w:history="1">
        <w:r w:rsidR="009017CF" w:rsidRPr="0073294C">
          <w:rPr>
            <w:rStyle w:val="Hipervnculo"/>
            <w:rFonts w:cstheme="minorHAnsi"/>
            <w:i/>
            <w:noProof/>
          </w:rPr>
          <w:t>IV.</w:t>
        </w:r>
        <w:r w:rsidR="009017CF">
          <w:rPr>
            <w:rFonts w:asciiTheme="minorHAnsi" w:eastAsiaTheme="minorEastAsia" w:hAnsiTheme="minorHAnsi" w:cstheme="minorBidi"/>
            <w:b w:val="0"/>
            <w:bCs w:val="0"/>
            <w:caps w:val="0"/>
            <w:noProof/>
            <w:sz w:val="22"/>
            <w:szCs w:val="22"/>
            <w:lang w:eastAsia="es-CR"/>
          </w:rPr>
          <w:tab/>
        </w:r>
        <w:r w:rsidR="009017CF" w:rsidRPr="0073294C">
          <w:rPr>
            <w:rStyle w:val="Hipervnculo"/>
            <w:rFonts w:cstheme="minorHAnsi"/>
            <w:i/>
            <w:noProof/>
          </w:rPr>
          <w:t>Conclusión</w:t>
        </w:r>
        <w:r w:rsidR="009017CF">
          <w:rPr>
            <w:noProof/>
            <w:webHidden/>
          </w:rPr>
          <w:tab/>
        </w:r>
        <w:r w:rsidR="009017CF">
          <w:rPr>
            <w:noProof/>
            <w:webHidden/>
          </w:rPr>
          <w:fldChar w:fldCharType="begin"/>
        </w:r>
        <w:r w:rsidR="009017CF">
          <w:rPr>
            <w:noProof/>
            <w:webHidden/>
          </w:rPr>
          <w:instrText xml:space="preserve"> PAGEREF _Toc61081405 \h </w:instrText>
        </w:r>
        <w:r w:rsidR="009017CF">
          <w:rPr>
            <w:noProof/>
            <w:webHidden/>
          </w:rPr>
        </w:r>
        <w:r w:rsidR="009017CF">
          <w:rPr>
            <w:noProof/>
            <w:webHidden/>
          </w:rPr>
          <w:fldChar w:fldCharType="separate"/>
        </w:r>
        <w:r w:rsidR="00492C34">
          <w:rPr>
            <w:noProof/>
            <w:webHidden/>
          </w:rPr>
          <w:t>44</w:t>
        </w:r>
        <w:r w:rsidR="009017CF">
          <w:rPr>
            <w:noProof/>
            <w:webHidden/>
          </w:rPr>
          <w:fldChar w:fldCharType="end"/>
        </w:r>
      </w:hyperlink>
    </w:p>
    <w:p w14:paraId="62F7A436" w14:textId="5C3CB766" w:rsidR="009017CF" w:rsidRDefault="00273579">
      <w:pPr>
        <w:pStyle w:val="TDC1"/>
        <w:rPr>
          <w:rFonts w:asciiTheme="minorHAnsi" w:eastAsiaTheme="minorEastAsia" w:hAnsiTheme="minorHAnsi" w:cstheme="minorBidi"/>
          <w:b w:val="0"/>
          <w:bCs w:val="0"/>
          <w:caps w:val="0"/>
          <w:noProof/>
          <w:sz w:val="22"/>
          <w:szCs w:val="22"/>
          <w:lang w:eastAsia="es-CR"/>
        </w:rPr>
      </w:pPr>
      <w:hyperlink w:anchor="_Toc61081406" w:history="1">
        <w:r w:rsidR="009017CF" w:rsidRPr="0073294C">
          <w:rPr>
            <w:rStyle w:val="Hipervnculo"/>
            <w:rFonts w:cstheme="minorHAnsi"/>
            <w:i/>
            <w:noProof/>
          </w:rPr>
          <w:t>V.</w:t>
        </w:r>
        <w:r w:rsidR="009017CF">
          <w:rPr>
            <w:rFonts w:asciiTheme="minorHAnsi" w:eastAsiaTheme="minorEastAsia" w:hAnsiTheme="minorHAnsi" w:cstheme="minorBidi"/>
            <w:b w:val="0"/>
            <w:bCs w:val="0"/>
            <w:caps w:val="0"/>
            <w:noProof/>
            <w:sz w:val="22"/>
            <w:szCs w:val="22"/>
            <w:lang w:eastAsia="es-CR"/>
          </w:rPr>
          <w:tab/>
        </w:r>
        <w:r w:rsidR="009017CF" w:rsidRPr="0073294C">
          <w:rPr>
            <w:rStyle w:val="Hipervnculo"/>
            <w:rFonts w:cstheme="minorHAnsi"/>
            <w:i/>
            <w:noProof/>
          </w:rPr>
          <w:t>ANEXOS</w:t>
        </w:r>
        <w:r w:rsidR="009017CF">
          <w:rPr>
            <w:noProof/>
            <w:webHidden/>
          </w:rPr>
          <w:tab/>
        </w:r>
        <w:r w:rsidR="009017CF">
          <w:rPr>
            <w:noProof/>
            <w:webHidden/>
          </w:rPr>
          <w:fldChar w:fldCharType="begin"/>
        </w:r>
        <w:r w:rsidR="009017CF">
          <w:rPr>
            <w:noProof/>
            <w:webHidden/>
          </w:rPr>
          <w:instrText xml:space="preserve"> PAGEREF _Toc61081406 \h </w:instrText>
        </w:r>
        <w:r w:rsidR="009017CF">
          <w:rPr>
            <w:noProof/>
            <w:webHidden/>
          </w:rPr>
        </w:r>
        <w:r w:rsidR="009017CF">
          <w:rPr>
            <w:noProof/>
            <w:webHidden/>
          </w:rPr>
          <w:fldChar w:fldCharType="separate"/>
        </w:r>
        <w:r w:rsidR="00492C34">
          <w:rPr>
            <w:noProof/>
            <w:webHidden/>
          </w:rPr>
          <w:t>45</w:t>
        </w:r>
        <w:r w:rsidR="009017CF">
          <w:rPr>
            <w:noProof/>
            <w:webHidden/>
          </w:rPr>
          <w:fldChar w:fldCharType="end"/>
        </w:r>
      </w:hyperlink>
    </w:p>
    <w:p w14:paraId="51639EC8" w14:textId="75AB9580" w:rsidR="009017CF" w:rsidRDefault="00273579">
      <w:pPr>
        <w:pStyle w:val="TDC2"/>
        <w:rPr>
          <w:rFonts w:asciiTheme="minorHAnsi" w:eastAsiaTheme="minorEastAsia" w:hAnsiTheme="minorHAnsi" w:cstheme="minorBidi"/>
          <w:smallCaps w:val="0"/>
          <w:noProof/>
          <w:sz w:val="22"/>
          <w:szCs w:val="22"/>
          <w:lang w:val="es-CR" w:eastAsia="es-CR"/>
        </w:rPr>
      </w:pPr>
      <w:hyperlink w:anchor="_Toc61081407" w:history="1">
        <w:r w:rsidR="009017CF" w:rsidRPr="0073294C">
          <w:rPr>
            <w:rStyle w:val="Hipervnculo"/>
            <w:noProof/>
          </w:rPr>
          <w:t>Cuadros</w:t>
        </w:r>
        <w:r w:rsidR="009017CF">
          <w:rPr>
            <w:noProof/>
            <w:webHidden/>
          </w:rPr>
          <w:tab/>
        </w:r>
        <w:r w:rsidR="009017CF">
          <w:rPr>
            <w:noProof/>
            <w:webHidden/>
          </w:rPr>
          <w:fldChar w:fldCharType="begin"/>
        </w:r>
        <w:r w:rsidR="009017CF">
          <w:rPr>
            <w:noProof/>
            <w:webHidden/>
          </w:rPr>
          <w:instrText xml:space="preserve"> PAGEREF _Toc61081407 \h </w:instrText>
        </w:r>
        <w:r w:rsidR="009017CF">
          <w:rPr>
            <w:noProof/>
            <w:webHidden/>
          </w:rPr>
        </w:r>
        <w:r w:rsidR="009017CF">
          <w:rPr>
            <w:noProof/>
            <w:webHidden/>
          </w:rPr>
          <w:fldChar w:fldCharType="separate"/>
        </w:r>
        <w:r w:rsidR="00492C34">
          <w:rPr>
            <w:noProof/>
            <w:webHidden/>
          </w:rPr>
          <w:t>45</w:t>
        </w:r>
        <w:r w:rsidR="009017CF">
          <w:rPr>
            <w:noProof/>
            <w:webHidden/>
          </w:rPr>
          <w:fldChar w:fldCharType="end"/>
        </w:r>
      </w:hyperlink>
    </w:p>
    <w:p w14:paraId="75CF3F76" w14:textId="19E4C22B" w:rsidR="009017CF" w:rsidRDefault="00273579">
      <w:pPr>
        <w:pStyle w:val="TDC3"/>
        <w:rPr>
          <w:rFonts w:asciiTheme="minorHAnsi" w:eastAsiaTheme="minorEastAsia" w:hAnsiTheme="minorHAnsi" w:cstheme="minorBidi"/>
          <w:i w:val="0"/>
          <w:iCs w:val="0"/>
          <w:sz w:val="22"/>
          <w:szCs w:val="22"/>
          <w:lang w:val="es-CR" w:eastAsia="es-CR"/>
        </w:rPr>
      </w:pPr>
      <w:hyperlink w:anchor="_Toc61081408" w:history="1">
        <w:r w:rsidR="009017CF" w:rsidRPr="0073294C">
          <w:rPr>
            <w:rStyle w:val="Hipervnculo"/>
          </w:rPr>
          <w:t>Cuadro #10: Informe de Ejecución Presupuestaria a nivel de cuenta</w:t>
        </w:r>
        <w:r w:rsidR="009017CF">
          <w:rPr>
            <w:webHidden/>
          </w:rPr>
          <w:tab/>
        </w:r>
        <w:r w:rsidR="009017CF">
          <w:rPr>
            <w:webHidden/>
          </w:rPr>
          <w:fldChar w:fldCharType="begin"/>
        </w:r>
        <w:r w:rsidR="009017CF">
          <w:rPr>
            <w:webHidden/>
          </w:rPr>
          <w:instrText xml:space="preserve"> PAGEREF _Toc61081408 \h </w:instrText>
        </w:r>
        <w:r w:rsidR="009017CF">
          <w:rPr>
            <w:webHidden/>
          </w:rPr>
        </w:r>
        <w:r w:rsidR="009017CF">
          <w:rPr>
            <w:webHidden/>
          </w:rPr>
          <w:fldChar w:fldCharType="separate"/>
        </w:r>
        <w:r w:rsidR="00492C34">
          <w:rPr>
            <w:webHidden/>
          </w:rPr>
          <w:t>45</w:t>
        </w:r>
        <w:r w:rsidR="009017CF">
          <w:rPr>
            <w:webHidden/>
          </w:rPr>
          <w:fldChar w:fldCharType="end"/>
        </w:r>
      </w:hyperlink>
    </w:p>
    <w:p w14:paraId="2AC285C8" w14:textId="113F291A" w:rsidR="009017CF" w:rsidRDefault="00273579">
      <w:pPr>
        <w:pStyle w:val="TDC3"/>
        <w:rPr>
          <w:rFonts w:asciiTheme="minorHAnsi" w:eastAsiaTheme="minorEastAsia" w:hAnsiTheme="minorHAnsi" w:cstheme="minorBidi"/>
          <w:i w:val="0"/>
          <w:iCs w:val="0"/>
          <w:sz w:val="22"/>
          <w:szCs w:val="22"/>
          <w:lang w:val="es-CR" w:eastAsia="es-CR"/>
        </w:rPr>
      </w:pPr>
      <w:hyperlink w:anchor="_Toc61081409" w:history="1">
        <w:r w:rsidR="009017CF" w:rsidRPr="0073294C">
          <w:rPr>
            <w:rStyle w:val="Hipervnculo"/>
          </w:rPr>
          <w:t>Cuadro # 11: Informe de Ejecución Presupuestaria a nivel de subcuenta</w:t>
        </w:r>
        <w:r w:rsidR="009017CF">
          <w:rPr>
            <w:webHidden/>
          </w:rPr>
          <w:tab/>
        </w:r>
        <w:r w:rsidR="009017CF">
          <w:rPr>
            <w:webHidden/>
          </w:rPr>
          <w:fldChar w:fldCharType="begin"/>
        </w:r>
        <w:r w:rsidR="009017CF">
          <w:rPr>
            <w:webHidden/>
          </w:rPr>
          <w:instrText xml:space="preserve"> PAGEREF _Toc61081409 \h </w:instrText>
        </w:r>
        <w:r w:rsidR="009017CF">
          <w:rPr>
            <w:webHidden/>
          </w:rPr>
        </w:r>
        <w:r w:rsidR="009017CF">
          <w:rPr>
            <w:webHidden/>
          </w:rPr>
          <w:fldChar w:fldCharType="separate"/>
        </w:r>
        <w:r w:rsidR="00492C34">
          <w:rPr>
            <w:webHidden/>
          </w:rPr>
          <w:t>45</w:t>
        </w:r>
        <w:r w:rsidR="009017CF">
          <w:rPr>
            <w:webHidden/>
          </w:rPr>
          <w:fldChar w:fldCharType="end"/>
        </w:r>
      </w:hyperlink>
    </w:p>
    <w:p w14:paraId="03932380" w14:textId="078B17FB" w:rsidR="009017CF" w:rsidRDefault="00273579">
      <w:pPr>
        <w:pStyle w:val="TDC3"/>
        <w:rPr>
          <w:rFonts w:asciiTheme="minorHAnsi" w:eastAsiaTheme="minorEastAsia" w:hAnsiTheme="minorHAnsi" w:cstheme="minorBidi"/>
          <w:i w:val="0"/>
          <w:iCs w:val="0"/>
          <w:sz w:val="22"/>
          <w:szCs w:val="22"/>
          <w:lang w:val="es-CR" w:eastAsia="es-CR"/>
        </w:rPr>
      </w:pPr>
      <w:hyperlink w:anchor="_Toc61081410" w:history="1">
        <w:r w:rsidR="009017CF" w:rsidRPr="0073294C">
          <w:rPr>
            <w:rStyle w:val="Hipervnculo"/>
          </w:rPr>
          <w:t>Cuadro # 12: Presupuesto Ordinario y resumen de las Modificaciones</w:t>
        </w:r>
        <w:r w:rsidR="009017CF">
          <w:rPr>
            <w:webHidden/>
          </w:rPr>
          <w:tab/>
        </w:r>
        <w:r w:rsidR="009017CF">
          <w:rPr>
            <w:webHidden/>
          </w:rPr>
          <w:fldChar w:fldCharType="begin"/>
        </w:r>
        <w:r w:rsidR="009017CF">
          <w:rPr>
            <w:webHidden/>
          </w:rPr>
          <w:instrText xml:space="preserve"> PAGEREF _Toc61081410 \h </w:instrText>
        </w:r>
        <w:r w:rsidR="009017CF">
          <w:rPr>
            <w:webHidden/>
          </w:rPr>
        </w:r>
        <w:r w:rsidR="009017CF">
          <w:rPr>
            <w:webHidden/>
          </w:rPr>
          <w:fldChar w:fldCharType="separate"/>
        </w:r>
        <w:r w:rsidR="00492C34">
          <w:rPr>
            <w:webHidden/>
          </w:rPr>
          <w:t>45</w:t>
        </w:r>
        <w:r w:rsidR="009017CF">
          <w:rPr>
            <w:webHidden/>
          </w:rPr>
          <w:fldChar w:fldCharType="end"/>
        </w:r>
      </w:hyperlink>
    </w:p>
    <w:p w14:paraId="3EC590CF" w14:textId="4891A0A9" w:rsidR="009017CF" w:rsidRDefault="00273579">
      <w:pPr>
        <w:pStyle w:val="TDC3"/>
        <w:rPr>
          <w:rFonts w:asciiTheme="minorHAnsi" w:eastAsiaTheme="minorEastAsia" w:hAnsiTheme="minorHAnsi" w:cstheme="minorBidi"/>
          <w:i w:val="0"/>
          <w:iCs w:val="0"/>
          <w:sz w:val="22"/>
          <w:szCs w:val="22"/>
          <w:lang w:val="es-CR" w:eastAsia="es-CR"/>
        </w:rPr>
      </w:pPr>
      <w:hyperlink w:anchor="_Toc61081411" w:history="1">
        <w:r w:rsidR="009017CF" w:rsidRPr="0073294C">
          <w:rPr>
            <w:rStyle w:val="Hipervnculo"/>
          </w:rPr>
          <w:t>Cuadro # 13: Cuadro comparativo de ingresos y egresos</w:t>
        </w:r>
        <w:r w:rsidR="009017CF">
          <w:rPr>
            <w:webHidden/>
          </w:rPr>
          <w:tab/>
        </w:r>
        <w:r w:rsidR="009017CF">
          <w:rPr>
            <w:webHidden/>
          </w:rPr>
          <w:fldChar w:fldCharType="begin"/>
        </w:r>
        <w:r w:rsidR="009017CF">
          <w:rPr>
            <w:webHidden/>
          </w:rPr>
          <w:instrText xml:space="preserve"> PAGEREF _Toc61081411 \h </w:instrText>
        </w:r>
        <w:r w:rsidR="009017CF">
          <w:rPr>
            <w:webHidden/>
          </w:rPr>
        </w:r>
        <w:r w:rsidR="009017CF">
          <w:rPr>
            <w:webHidden/>
          </w:rPr>
          <w:fldChar w:fldCharType="separate"/>
        </w:r>
        <w:r w:rsidR="00492C34">
          <w:rPr>
            <w:webHidden/>
          </w:rPr>
          <w:t>45</w:t>
        </w:r>
        <w:r w:rsidR="009017CF">
          <w:rPr>
            <w:webHidden/>
          </w:rPr>
          <w:fldChar w:fldCharType="end"/>
        </w:r>
      </w:hyperlink>
    </w:p>
    <w:p w14:paraId="3C512E97" w14:textId="11396246" w:rsidR="009017CF" w:rsidRDefault="00273579">
      <w:pPr>
        <w:pStyle w:val="TDC3"/>
        <w:rPr>
          <w:rFonts w:asciiTheme="minorHAnsi" w:eastAsiaTheme="minorEastAsia" w:hAnsiTheme="minorHAnsi" w:cstheme="minorBidi"/>
          <w:i w:val="0"/>
          <w:iCs w:val="0"/>
          <w:sz w:val="22"/>
          <w:szCs w:val="22"/>
          <w:lang w:val="es-CR" w:eastAsia="es-CR"/>
        </w:rPr>
      </w:pPr>
      <w:hyperlink w:anchor="_Toc61081412" w:history="1">
        <w:r w:rsidR="009017CF" w:rsidRPr="0073294C">
          <w:rPr>
            <w:rStyle w:val="Hipervnculo"/>
          </w:rPr>
          <w:t>Cuadro #14: Informe de ejecución presupuestaria a nivel de cuenta ingresos</w:t>
        </w:r>
        <w:r w:rsidR="009017CF">
          <w:rPr>
            <w:webHidden/>
          </w:rPr>
          <w:tab/>
        </w:r>
        <w:r w:rsidR="009017CF">
          <w:rPr>
            <w:webHidden/>
          </w:rPr>
          <w:fldChar w:fldCharType="begin"/>
        </w:r>
        <w:r w:rsidR="009017CF">
          <w:rPr>
            <w:webHidden/>
          </w:rPr>
          <w:instrText xml:space="preserve"> PAGEREF _Toc61081412 \h </w:instrText>
        </w:r>
        <w:r w:rsidR="009017CF">
          <w:rPr>
            <w:webHidden/>
          </w:rPr>
        </w:r>
        <w:r w:rsidR="009017CF">
          <w:rPr>
            <w:webHidden/>
          </w:rPr>
          <w:fldChar w:fldCharType="separate"/>
        </w:r>
        <w:r w:rsidR="00492C34">
          <w:rPr>
            <w:webHidden/>
          </w:rPr>
          <w:t>45</w:t>
        </w:r>
        <w:r w:rsidR="009017CF">
          <w:rPr>
            <w:webHidden/>
          </w:rPr>
          <w:fldChar w:fldCharType="end"/>
        </w:r>
      </w:hyperlink>
    </w:p>
    <w:p w14:paraId="11752515" w14:textId="4ED6DA7B" w:rsidR="009017CF" w:rsidRDefault="00273579">
      <w:pPr>
        <w:pStyle w:val="TDC2"/>
        <w:rPr>
          <w:rFonts w:asciiTheme="minorHAnsi" w:eastAsiaTheme="minorEastAsia" w:hAnsiTheme="minorHAnsi" w:cstheme="minorBidi"/>
          <w:smallCaps w:val="0"/>
          <w:noProof/>
          <w:sz w:val="22"/>
          <w:szCs w:val="22"/>
          <w:lang w:val="es-CR" w:eastAsia="es-CR"/>
        </w:rPr>
      </w:pPr>
      <w:hyperlink w:anchor="_Toc61081413" w:history="1">
        <w:r w:rsidR="009017CF" w:rsidRPr="0073294C">
          <w:rPr>
            <w:rStyle w:val="Hipervnculo"/>
            <w:noProof/>
          </w:rPr>
          <w:t>Gráficos</w:t>
        </w:r>
        <w:r w:rsidR="009017CF">
          <w:rPr>
            <w:noProof/>
            <w:webHidden/>
          </w:rPr>
          <w:tab/>
        </w:r>
        <w:r w:rsidR="009017CF">
          <w:rPr>
            <w:noProof/>
            <w:webHidden/>
          </w:rPr>
          <w:fldChar w:fldCharType="begin"/>
        </w:r>
        <w:r w:rsidR="009017CF">
          <w:rPr>
            <w:noProof/>
            <w:webHidden/>
          </w:rPr>
          <w:instrText xml:space="preserve"> PAGEREF _Toc61081413 \h </w:instrText>
        </w:r>
        <w:r w:rsidR="009017CF">
          <w:rPr>
            <w:noProof/>
            <w:webHidden/>
          </w:rPr>
        </w:r>
        <w:r w:rsidR="009017CF">
          <w:rPr>
            <w:noProof/>
            <w:webHidden/>
          </w:rPr>
          <w:fldChar w:fldCharType="separate"/>
        </w:r>
        <w:r w:rsidR="00492C34">
          <w:rPr>
            <w:noProof/>
            <w:webHidden/>
          </w:rPr>
          <w:t>45</w:t>
        </w:r>
        <w:r w:rsidR="009017CF">
          <w:rPr>
            <w:noProof/>
            <w:webHidden/>
          </w:rPr>
          <w:fldChar w:fldCharType="end"/>
        </w:r>
      </w:hyperlink>
    </w:p>
    <w:p w14:paraId="561C6261" w14:textId="35E3C439" w:rsidR="009017CF" w:rsidRDefault="00273579">
      <w:pPr>
        <w:pStyle w:val="TDC3"/>
        <w:rPr>
          <w:rFonts w:asciiTheme="minorHAnsi" w:eastAsiaTheme="minorEastAsia" w:hAnsiTheme="minorHAnsi" w:cstheme="minorBidi"/>
          <w:i w:val="0"/>
          <w:iCs w:val="0"/>
          <w:sz w:val="22"/>
          <w:szCs w:val="22"/>
          <w:lang w:val="es-CR" w:eastAsia="es-CR"/>
        </w:rPr>
      </w:pPr>
      <w:hyperlink w:anchor="_Toc61081414" w:history="1">
        <w:r w:rsidR="009017CF" w:rsidRPr="0073294C">
          <w:rPr>
            <w:rStyle w:val="Hipervnculo"/>
          </w:rPr>
          <w:t>Gráfico # 1: Presupuesto por partidas</w:t>
        </w:r>
        <w:r w:rsidR="009017CF">
          <w:rPr>
            <w:webHidden/>
          </w:rPr>
          <w:tab/>
        </w:r>
        <w:r w:rsidR="009017CF">
          <w:rPr>
            <w:webHidden/>
          </w:rPr>
          <w:fldChar w:fldCharType="begin"/>
        </w:r>
        <w:r w:rsidR="009017CF">
          <w:rPr>
            <w:webHidden/>
          </w:rPr>
          <w:instrText xml:space="preserve"> PAGEREF _Toc61081414 \h </w:instrText>
        </w:r>
        <w:r w:rsidR="009017CF">
          <w:rPr>
            <w:webHidden/>
          </w:rPr>
        </w:r>
        <w:r w:rsidR="009017CF">
          <w:rPr>
            <w:webHidden/>
          </w:rPr>
          <w:fldChar w:fldCharType="separate"/>
        </w:r>
        <w:r w:rsidR="00492C34">
          <w:rPr>
            <w:webHidden/>
          </w:rPr>
          <w:t>45</w:t>
        </w:r>
        <w:r w:rsidR="009017CF">
          <w:rPr>
            <w:webHidden/>
          </w:rPr>
          <w:fldChar w:fldCharType="end"/>
        </w:r>
      </w:hyperlink>
    </w:p>
    <w:p w14:paraId="19F71595" w14:textId="656CC871" w:rsidR="009017CF" w:rsidRDefault="00273579">
      <w:pPr>
        <w:pStyle w:val="TDC3"/>
        <w:rPr>
          <w:rFonts w:asciiTheme="minorHAnsi" w:eastAsiaTheme="minorEastAsia" w:hAnsiTheme="minorHAnsi" w:cstheme="minorBidi"/>
          <w:i w:val="0"/>
          <w:iCs w:val="0"/>
          <w:sz w:val="22"/>
          <w:szCs w:val="22"/>
          <w:lang w:val="es-CR" w:eastAsia="es-CR"/>
        </w:rPr>
      </w:pPr>
      <w:hyperlink w:anchor="_Toc61081415" w:history="1">
        <w:r w:rsidR="009017CF" w:rsidRPr="0073294C">
          <w:rPr>
            <w:rStyle w:val="Hipervnculo"/>
          </w:rPr>
          <w:t>Gráfico # 2: Porcentaje de ejecución del presupuesto</w:t>
        </w:r>
        <w:r w:rsidR="009017CF">
          <w:rPr>
            <w:webHidden/>
          </w:rPr>
          <w:tab/>
        </w:r>
        <w:r w:rsidR="009017CF">
          <w:rPr>
            <w:webHidden/>
          </w:rPr>
          <w:fldChar w:fldCharType="begin"/>
        </w:r>
        <w:r w:rsidR="009017CF">
          <w:rPr>
            <w:webHidden/>
          </w:rPr>
          <w:instrText xml:space="preserve"> PAGEREF _Toc61081415 \h </w:instrText>
        </w:r>
        <w:r w:rsidR="009017CF">
          <w:rPr>
            <w:webHidden/>
          </w:rPr>
        </w:r>
        <w:r w:rsidR="009017CF">
          <w:rPr>
            <w:webHidden/>
          </w:rPr>
          <w:fldChar w:fldCharType="separate"/>
        </w:r>
        <w:r w:rsidR="00492C34">
          <w:rPr>
            <w:webHidden/>
          </w:rPr>
          <w:t>45</w:t>
        </w:r>
        <w:r w:rsidR="009017CF">
          <w:rPr>
            <w:webHidden/>
          </w:rPr>
          <w:fldChar w:fldCharType="end"/>
        </w:r>
      </w:hyperlink>
    </w:p>
    <w:p w14:paraId="3703AFA6" w14:textId="308F3F24" w:rsidR="009017CF" w:rsidRDefault="00273579">
      <w:pPr>
        <w:pStyle w:val="TDC3"/>
        <w:rPr>
          <w:rFonts w:asciiTheme="minorHAnsi" w:eastAsiaTheme="minorEastAsia" w:hAnsiTheme="minorHAnsi" w:cstheme="minorBidi"/>
          <w:i w:val="0"/>
          <w:iCs w:val="0"/>
          <w:sz w:val="22"/>
          <w:szCs w:val="22"/>
          <w:lang w:val="es-CR" w:eastAsia="es-CR"/>
        </w:rPr>
      </w:pPr>
      <w:hyperlink w:anchor="_Toc61081416" w:history="1">
        <w:r w:rsidR="009017CF" w:rsidRPr="0073294C">
          <w:rPr>
            <w:rStyle w:val="Hipervnculo"/>
          </w:rPr>
          <w:t>Gráfico # 3: Porcentaje de ejecución por cada cuenta presupuestaria</w:t>
        </w:r>
        <w:r w:rsidR="009017CF">
          <w:rPr>
            <w:webHidden/>
          </w:rPr>
          <w:tab/>
        </w:r>
        <w:r w:rsidR="009017CF">
          <w:rPr>
            <w:webHidden/>
          </w:rPr>
          <w:fldChar w:fldCharType="begin"/>
        </w:r>
        <w:r w:rsidR="009017CF">
          <w:rPr>
            <w:webHidden/>
          </w:rPr>
          <w:instrText xml:space="preserve"> PAGEREF _Toc61081416 \h </w:instrText>
        </w:r>
        <w:r w:rsidR="009017CF">
          <w:rPr>
            <w:webHidden/>
          </w:rPr>
        </w:r>
        <w:r w:rsidR="009017CF">
          <w:rPr>
            <w:webHidden/>
          </w:rPr>
          <w:fldChar w:fldCharType="separate"/>
        </w:r>
        <w:r w:rsidR="00492C34">
          <w:rPr>
            <w:webHidden/>
          </w:rPr>
          <w:t>45</w:t>
        </w:r>
        <w:r w:rsidR="009017CF">
          <w:rPr>
            <w:webHidden/>
          </w:rPr>
          <w:fldChar w:fldCharType="end"/>
        </w:r>
      </w:hyperlink>
    </w:p>
    <w:p w14:paraId="237647D3" w14:textId="0CBE1882" w:rsidR="009017CF" w:rsidRDefault="00273579">
      <w:pPr>
        <w:pStyle w:val="TDC2"/>
        <w:rPr>
          <w:rFonts w:asciiTheme="minorHAnsi" w:eastAsiaTheme="minorEastAsia" w:hAnsiTheme="minorHAnsi" w:cstheme="minorBidi"/>
          <w:smallCaps w:val="0"/>
          <w:noProof/>
          <w:sz w:val="22"/>
          <w:szCs w:val="22"/>
          <w:lang w:val="es-CR" w:eastAsia="es-CR"/>
        </w:rPr>
      </w:pPr>
      <w:hyperlink w:anchor="_Toc61081417" w:history="1">
        <w:r w:rsidR="009017CF" w:rsidRPr="0073294C">
          <w:rPr>
            <w:rStyle w:val="Hipervnculo"/>
            <w:noProof/>
          </w:rPr>
          <w:t>Plan Operativo Institucional por dependencia (Vinculación de Objetivos, Metas e Indicadores de Gestión por Instancia)</w:t>
        </w:r>
        <w:r w:rsidR="009017CF">
          <w:rPr>
            <w:noProof/>
            <w:webHidden/>
          </w:rPr>
          <w:tab/>
        </w:r>
        <w:r w:rsidR="009017CF">
          <w:rPr>
            <w:noProof/>
            <w:webHidden/>
          </w:rPr>
          <w:fldChar w:fldCharType="begin"/>
        </w:r>
        <w:r w:rsidR="009017CF">
          <w:rPr>
            <w:noProof/>
            <w:webHidden/>
          </w:rPr>
          <w:instrText xml:space="preserve"> PAGEREF _Toc61081417 \h </w:instrText>
        </w:r>
        <w:r w:rsidR="009017CF">
          <w:rPr>
            <w:noProof/>
            <w:webHidden/>
          </w:rPr>
        </w:r>
        <w:r w:rsidR="009017CF">
          <w:rPr>
            <w:noProof/>
            <w:webHidden/>
          </w:rPr>
          <w:fldChar w:fldCharType="separate"/>
        </w:r>
        <w:r w:rsidR="00492C34">
          <w:rPr>
            <w:noProof/>
            <w:webHidden/>
          </w:rPr>
          <w:t>45</w:t>
        </w:r>
        <w:r w:rsidR="009017CF">
          <w:rPr>
            <w:noProof/>
            <w:webHidden/>
          </w:rPr>
          <w:fldChar w:fldCharType="end"/>
        </w:r>
      </w:hyperlink>
    </w:p>
    <w:p w14:paraId="0BAE3F4D" w14:textId="2BF34E0D" w:rsidR="009017CF" w:rsidRDefault="00273579">
      <w:pPr>
        <w:pStyle w:val="TDC2"/>
        <w:rPr>
          <w:rFonts w:asciiTheme="minorHAnsi" w:eastAsiaTheme="minorEastAsia" w:hAnsiTheme="minorHAnsi" w:cstheme="minorBidi"/>
          <w:smallCaps w:val="0"/>
          <w:noProof/>
          <w:sz w:val="22"/>
          <w:szCs w:val="22"/>
          <w:lang w:val="es-CR" w:eastAsia="es-CR"/>
        </w:rPr>
      </w:pPr>
      <w:hyperlink w:anchor="_Toc61081418" w:history="1">
        <w:r w:rsidR="009017CF" w:rsidRPr="0073294C">
          <w:rPr>
            <w:rStyle w:val="Hipervnculo"/>
            <w:noProof/>
          </w:rPr>
          <w:t>Liquidación de las metas del Plan Nacional de Desarrollo</w:t>
        </w:r>
        <w:r w:rsidR="009017CF">
          <w:rPr>
            <w:noProof/>
            <w:webHidden/>
          </w:rPr>
          <w:tab/>
        </w:r>
        <w:r w:rsidR="009017CF">
          <w:rPr>
            <w:noProof/>
            <w:webHidden/>
          </w:rPr>
          <w:fldChar w:fldCharType="begin"/>
        </w:r>
        <w:r w:rsidR="009017CF">
          <w:rPr>
            <w:noProof/>
            <w:webHidden/>
          </w:rPr>
          <w:instrText xml:space="preserve"> PAGEREF _Toc61081418 \h </w:instrText>
        </w:r>
        <w:r w:rsidR="009017CF">
          <w:rPr>
            <w:noProof/>
            <w:webHidden/>
          </w:rPr>
        </w:r>
        <w:r w:rsidR="009017CF">
          <w:rPr>
            <w:noProof/>
            <w:webHidden/>
          </w:rPr>
          <w:fldChar w:fldCharType="separate"/>
        </w:r>
        <w:r w:rsidR="00492C34">
          <w:rPr>
            <w:noProof/>
            <w:webHidden/>
          </w:rPr>
          <w:t>45</w:t>
        </w:r>
        <w:r w:rsidR="009017CF">
          <w:rPr>
            <w:noProof/>
            <w:webHidden/>
          </w:rPr>
          <w:fldChar w:fldCharType="end"/>
        </w:r>
      </w:hyperlink>
    </w:p>
    <w:p w14:paraId="64DC72AF" w14:textId="1A7B4D82" w:rsidR="00E47859" w:rsidRPr="0023319B" w:rsidRDefault="00A33FC2" w:rsidP="00D05160">
      <w:pPr>
        <w:pStyle w:val="TDC1"/>
        <w:rPr>
          <w:sz w:val="16"/>
          <w:szCs w:val="18"/>
        </w:rPr>
      </w:pPr>
      <w:r w:rsidRPr="0023319B">
        <w:rPr>
          <w:sz w:val="14"/>
          <w:szCs w:val="18"/>
        </w:rPr>
        <w:fldChar w:fldCharType="end"/>
      </w:r>
      <w:r w:rsidR="00D47086" w:rsidRPr="0023319B">
        <w:rPr>
          <w:sz w:val="16"/>
          <w:szCs w:val="18"/>
        </w:rPr>
        <w:br w:type="page"/>
      </w:r>
    </w:p>
    <w:p w14:paraId="64DC72B0" w14:textId="77777777" w:rsidR="00D47086" w:rsidRPr="0023319B" w:rsidRDefault="00D47086" w:rsidP="00093594">
      <w:pPr>
        <w:tabs>
          <w:tab w:val="left" w:pos="1560"/>
        </w:tabs>
        <w:spacing w:line="288" w:lineRule="auto"/>
        <w:ind w:right="51"/>
        <w:jc w:val="left"/>
        <w:rPr>
          <w:rFonts w:asciiTheme="minorHAnsi" w:hAnsiTheme="minorHAnsi" w:cstheme="minorHAnsi"/>
          <w:lang w:val="es-CR"/>
        </w:rPr>
      </w:pPr>
    </w:p>
    <w:p w14:paraId="64DC72B1" w14:textId="77777777" w:rsidR="00A87425" w:rsidRPr="0023319B" w:rsidRDefault="00E06125" w:rsidP="00DF59B8">
      <w:pPr>
        <w:pStyle w:val="Ttulo1"/>
        <w:rPr>
          <w:rFonts w:ascii="Arial" w:hAnsi="Arial" w:cs="Arial"/>
          <w:b w:val="0"/>
          <w:sz w:val="28"/>
          <w:szCs w:val="22"/>
          <w:lang w:val="es-CR"/>
        </w:rPr>
      </w:pPr>
      <w:bookmarkStart w:id="2" w:name="_Toc195505386"/>
      <w:bookmarkStart w:id="3" w:name="_Toc203492087"/>
      <w:bookmarkStart w:id="4" w:name="_Toc61081360"/>
      <w:r w:rsidRPr="0023319B">
        <w:rPr>
          <w:rFonts w:ascii="Arial" w:hAnsi="Arial" w:cs="Arial"/>
          <w:sz w:val="28"/>
          <w:szCs w:val="22"/>
          <w:lang w:val="es-CR"/>
        </w:rPr>
        <w:t>PRESENTACIÓN</w:t>
      </w:r>
      <w:bookmarkEnd w:id="2"/>
      <w:bookmarkEnd w:id="3"/>
      <w:bookmarkEnd w:id="4"/>
    </w:p>
    <w:p w14:paraId="64DC72B2" w14:textId="77777777" w:rsidR="00A87425" w:rsidRPr="0023319B" w:rsidRDefault="00A87425" w:rsidP="00093594">
      <w:pPr>
        <w:ind w:right="51"/>
        <w:rPr>
          <w:rFonts w:asciiTheme="minorHAnsi" w:hAnsiTheme="minorHAnsi" w:cstheme="minorHAnsi"/>
          <w:sz w:val="24"/>
          <w:szCs w:val="24"/>
          <w:lang w:val="es-CR"/>
        </w:rPr>
      </w:pPr>
    </w:p>
    <w:p w14:paraId="2FA399D5" w14:textId="21D377A9" w:rsidR="004F3615" w:rsidRPr="0023319B" w:rsidRDefault="00C44392" w:rsidP="00093594">
      <w:pPr>
        <w:ind w:right="51"/>
        <w:rPr>
          <w:rFonts w:asciiTheme="minorHAnsi" w:hAnsiTheme="minorHAnsi" w:cstheme="minorHAnsi"/>
          <w:sz w:val="24"/>
          <w:szCs w:val="24"/>
          <w:lang w:val="es-CR"/>
        </w:rPr>
      </w:pPr>
      <w:r w:rsidRPr="0023319B">
        <w:rPr>
          <w:rFonts w:asciiTheme="minorHAnsi" w:hAnsiTheme="minorHAnsi" w:cstheme="minorHAnsi"/>
          <w:sz w:val="24"/>
          <w:szCs w:val="24"/>
          <w:lang w:val="es-CR"/>
        </w:rPr>
        <w:t xml:space="preserve">En cumplimiento </w:t>
      </w:r>
      <w:r w:rsidR="007E20B0" w:rsidRPr="0023319B">
        <w:rPr>
          <w:rFonts w:asciiTheme="minorHAnsi" w:hAnsiTheme="minorHAnsi" w:cstheme="minorHAnsi"/>
          <w:sz w:val="24"/>
          <w:szCs w:val="24"/>
          <w:lang w:val="es-CR"/>
        </w:rPr>
        <w:t>de las</w:t>
      </w:r>
      <w:r w:rsidRPr="0023319B">
        <w:rPr>
          <w:rFonts w:asciiTheme="minorHAnsi" w:hAnsiTheme="minorHAnsi" w:cstheme="minorHAnsi"/>
          <w:sz w:val="24"/>
          <w:szCs w:val="24"/>
          <w:lang w:val="es-CR"/>
        </w:rPr>
        <w:t xml:space="preserve"> </w:t>
      </w:r>
      <w:r w:rsidR="007E20B0" w:rsidRPr="0023319B">
        <w:rPr>
          <w:rFonts w:asciiTheme="minorHAnsi" w:hAnsiTheme="minorHAnsi" w:cstheme="minorHAnsi"/>
          <w:sz w:val="24"/>
          <w:szCs w:val="24"/>
          <w:lang w:val="es-CR"/>
        </w:rPr>
        <w:t>Normas Técnicas sobre Presupuesto Público y las disposiciones de la Contraloría General de la República,</w:t>
      </w:r>
      <w:r w:rsidRPr="0023319B">
        <w:rPr>
          <w:rFonts w:asciiTheme="minorHAnsi" w:hAnsiTheme="minorHAnsi" w:cstheme="minorHAnsi"/>
          <w:sz w:val="24"/>
          <w:szCs w:val="24"/>
          <w:lang w:val="es-CR"/>
        </w:rPr>
        <w:t xml:space="preserve"> se presenta el siguiente informe, el cual corresponde al detalle de </w:t>
      </w:r>
      <w:r w:rsidR="00663761" w:rsidRPr="0023319B">
        <w:rPr>
          <w:rFonts w:asciiTheme="minorHAnsi" w:hAnsiTheme="minorHAnsi" w:cstheme="minorHAnsi"/>
          <w:sz w:val="24"/>
          <w:szCs w:val="24"/>
          <w:lang w:val="es-CR"/>
        </w:rPr>
        <w:t xml:space="preserve">ejecución </w:t>
      </w:r>
      <w:r w:rsidR="00BB5FBA" w:rsidRPr="0023319B">
        <w:rPr>
          <w:rFonts w:asciiTheme="minorHAnsi" w:hAnsiTheme="minorHAnsi" w:cstheme="minorHAnsi"/>
          <w:sz w:val="24"/>
          <w:szCs w:val="24"/>
          <w:lang w:val="es-CR"/>
        </w:rPr>
        <w:t xml:space="preserve">financiera </w:t>
      </w:r>
      <w:r w:rsidR="00663761" w:rsidRPr="0023319B">
        <w:rPr>
          <w:rFonts w:asciiTheme="minorHAnsi" w:hAnsiTheme="minorHAnsi" w:cstheme="minorHAnsi"/>
          <w:sz w:val="24"/>
          <w:szCs w:val="24"/>
          <w:lang w:val="es-CR"/>
        </w:rPr>
        <w:t>y evaluación presupuestarias para el 2020</w:t>
      </w:r>
      <w:r w:rsidR="009B7870" w:rsidRPr="0023319B">
        <w:rPr>
          <w:rFonts w:asciiTheme="minorHAnsi" w:hAnsiTheme="minorHAnsi" w:cstheme="minorHAnsi"/>
          <w:sz w:val="24"/>
          <w:szCs w:val="24"/>
          <w:lang w:val="es-CR"/>
        </w:rPr>
        <w:t>.</w:t>
      </w:r>
    </w:p>
    <w:p w14:paraId="734FE6EC" w14:textId="77777777" w:rsidR="004F3615" w:rsidRPr="0023319B" w:rsidRDefault="004F3615" w:rsidP="00093594">
      <w:pPr>
        <w:ind w:right="51"/>
        <w:rPr>
          <w:rFonts w:asciiTheme="minorHAnsi" w:hAnsiTheme="minorHAnsi" w:cstheme="minorHAnsi"/>
          <w:sz w:val="24"/>
          <w:szCs w:val="24"/>
          <w:lang w:val="es-CR"/>
        </w:rPr>
      </w:pPr>
    </w:p>
    <w:p w14:paraId="64DC72B8" w14:textId="5B7F4813" w:rsidR="00503858" w:rsidRPr="0023319B" w:rsidRDefault="009B7870" w:rsidP="00093594">
      <w:pPr>
        <w:ind w:right="51"/>
        <w:rPr>
          <w:rFonts w:asciiTheme="minorHAnsi" w:hAnsiTheme="minorHAnsi" w:cstheme="minorHAnsi"/>
          <w:sz w:val="24"/>
          <w:szCs w:val="24"/>
          <w:lang w:val="es-CR"/>
        </w:rPr>
      </w:pPr>
      <w:r w:rsidRPr="0023319B">
        <w:rPr>
          <w:rFonts w:asciiTheme="minorHAnsi" w:hAnsiTheme="minorHAnsi" w:cstheme="minorHAnsi"/>
          <w:sz w:val="24"/>
          <w:szCs w:val="24"/>
          <w:lang w:val="es-CR"/>
        </w:rPr>
        <w:t>E</w:t>
      </w:r>
      <w:r w:rsidR="001A7F97" w:rsidRPr="0023319B">
        <w:rPr>
          <w:rFonts w:asciiTheme="minorHAnsi" w:hAnsiTheme="minorHAnsi" w:cstheme="minorHAnsi"/>
          <w:sz w:val="24"/>
          <w:szCs w:val="24"/>
          <w:lang w:val="es-CR"/>
        </w:rPr>
        <w:t>ste informe</w:t>
      </w:r>
      <w:r w:rsidR="00C44392" w:rsidRPr="0023319B">
        <w:rPr>
          <w:rFonts w:asciiTheme="minorHAnsi" w:hAnsiTheme="minorHAnsi" w:cstheme="minorHAnsi"/>
          <w:sz w:val="24"/>
          <w:szCs w:val="24"/>
          <w:lang w:val="es-CR"/>
        </w:rPr>
        <w:t xml:space="preserve"> </w:t>
      </w:r>
      <w:r w:rsidR="00CA27B2" w:rsidRPr="0023319B">
        <w:rPr>
          <w:rFonts w:asciiTheme="minorHAnsi" w:hAnsiTheme="minorHAnsi" w:cstheme="minorHAnsi"/>
          <w:sz w:val="24"/>
          <w:szCs w:val="24"/>
          <w:lang w:val="es-CR"/>
        </w:rPr>
        <w:t>brinda</w:t>
      </w:r>
      <w:r w:rsidR="00C44392" w:rsidRPr="0023319B">
        <w:rPr>
          <w:rFonts w:asciiTheme="minorHAnsi" w:hAnsiTheme="minorHAnsi" w:cstheme="minorHAnsi"/>
          <w:sz w:val="24"/>
          <w:szCs w:val="24"/>
          <w:lang w:val="es-CR"/>
        </w:rPr>
        <w:t xml:space="preserve"> al Consejo Nacional de Supervisión del Sistema Financiero </w:t>
      </w:r>
      <w:r w:rsidR="00240B0C" w:rsidRPr="0023319B">
        <w:rPr>
          <w:rFonts w:asciiTheme="minorHAnsi" w:hAnsiTheme="minorHAnsi" w:cstheme="minorHAnsi"/>
          <w:sz w:val="24"/>
          <w:szCs w:val="24"/>
          <w:lang w:val="es-CR"/>
        </w:rPr>
        <w:t>(</w:t>
      </w:r>
      <w:r w:rsidR="00AC7DE6" w:rsidRPr="0023319B">
        <w:rPr>
          <w:rFonts w:asciiTheme="minorHAnsi" w:hAnsiTheme="minorHAnsi" w:cstheme="minorHAnsi"/>
          <w:sz w:val="24"/>
          <w:szCs w:val="24"/>
          <w:lang w:val="es-CR"/>
        </w:rPr>
        <w:t>CONASSIF</w:t>
      </w:r>
      <w:r w:rsidR="00240B0C" w:rsidRPr="0023319B">
        <w:rPr>
          <w:rFonts w:asciiTheme="minorHAnsi" w:hAnsiTheme="minorHAnsi" w:cstheme="minorHAnsi"/>
          <w:sz w:val="24"/>
          <w:szCs w:val="24"/>
          <w:lang w:val="es-CR"/>
        </w:rPr>
        <w:t>)</w:t>
      </w:r>
      <w:r w:rsidR="00C05E03" w:rsidRPr="0023319B">
        <w:rPr>
          <w:rFonts w:asciiTheme="minorHAnsi" w:hAnsiTheme="minorHAnsi" w:cstheme="minorHAnsi"/>
          <w:sz w:val="24"/>
          <w:szCs w:val="24"/>
          <w:lang w:val="es-CR"/>
        </w:rPr>
        <w:t xml:space="preserve"> </w:t>
      </w:r>
      <w:r w:rsidR="00C44392" w:rsidRPr="0023319B">
        <w:rPr>
          <w:rFonts w:asciiTheme="minorHAnsi" w:hAnsiTheme="minorHAnsi" w:cstheme="minorHAnsi"/>
          <w:sz w:val="24"/>
          <w:szCs w:val="24"/>
          <w:lang w:val="es-CR"/>
        </w:rPr>
        <w:t>y a la Contraloría General de la República</w:t>
      </w:r>
      <w:r w:rsidR="00240B0C" w:rsidRPr="0023319B">
        <w:rPr>
          <w:rFonts w:asciiTheme="minorHAnsi" w:hAnsiTheme="minorHAnsi" w:cstheme="minorHAnsi"/>
          <w:sz w:val="24"/>
          <w:szCs w:val="24"/>
          <w:lang w:val="es-CR"/>
        </w:rPr>
        <w:t xml:space="preserve"> (CGR)</w:t>
      </w:r>
      <w:r w:rsidR="00C44392" w:rsidRPr="0023319B">
        <w:rPr>
          <w:rFonts w:asciiTheme="minorHAnsi" w:hAnsiTheme="minorHAnsi" w:cstheme="minorHAnsi"/>
          <w:sz w:val="24"/>
          <w:szCs w:val="24"/>
          <w:lang w:val="es-CR"/>
        </w:rPr>
        <w:t xml:space="preserve">, la información </w:t>
      </w:r>
      <w:r w:rsidR="0022118D" w:rsidRPr="0023319B">
        <w:rPr>
          <w:rFonts w:asciiTheme="minorHAnsi" w:hAnsiTheme="minorHAnsi" w:cstheme="minorHAnsi"/>
          <w:sz w:val="24"/>
          <w:szCs w:val="24"/>
          <w:lang w:val="es-CR"/>
        </w:rPr>
        <w:t>relacionadas con la ejecución económica del presupuesto y la consecución de las metas propuestas por los diferentes procesos que conforman la Superintendencia de Pensiones (SUPEN), todo de conformidad con los lineamientos presupuestarios previamente establecidos por la Junta Directiva del Banco Central de Costa Rica (BCCR) y por el CONASSIF.</w:t>
      </w:r>
    </w:p>
    <w:p w14:paraId="77819819" w14:textId="41B4DCE9" w:rsidR="0016226A" w:rsidRPr="0023319B" w:rsidRDefault="0016226A" w:rsidP="00093594">
      <w:pPr>
        <w:ind w:right="51"/>
        <w:rPr>
          <w:rFonts w:asciiTheme="minorHAnsi" w:hAnsiTheme="minorHAnsi" w:cstheme="minorHAnsi"/>
          <w:sz w:val="24"/>
          <w:szCs w:val="24"/>
          <w:lang w:val="es-CR"/>
        </w:rPr>
      </w:pPr>
    </w:p>
    <w:p w14:paraId="64DC72BA" w14:textId="2C46C6B4" w:rsidR="00E47859" w:rsidRPr="0023319B" w:rsidRDefault="00E47859" w:rsidP="00093594">
      <w:pPr>
        <w:spacing w:line="240" w:lineRule="auto"/>
        <w:ind w:right="51"/>
        <w:jc w:val="left"/>
        <w:rPr>
          <w:rFonts w:asciiTheme="minorHAnsi" w:hAnsiTheme="minorHAnsi" w:cstheme="minorHAnsi"/>
          <w:sz w:val="24"/>
          <w:szCs w:val="24"/>
          <w:lang w:val="es-CR"/>
        </w:rPr>
      </w:pPr>
      <w:r w:rsidRPr="0023319B">
        <w:rPr>
          <w:rFonts w:asciiTheme="minorHAnsi" w:hAnsiTheme="minorHAnsi" w:cstheme="minorHAnsi"/>
          <w:sz w:val="24"/>
          <w:szCs w:val="24"/>
          <w:lang w:val="es-CR"/>
        </w:rPr>
        <w:br w:type="page"/>
      </w:r>
    </w:p>
    <w:p w14:paraId="64DC7505" w14:textId="1CD66506" w:rsidR="00225437" w:rsidRPr="0023319B" w:rsidRDefault="003F0B3B" w:rsidP="00DF59B8">
      <w:pPr>
        <w:pStyle w:val="Ttulo1"/>
        <w:rPr>
          <w:rStyle w:val="nfasisintenso"/>
          <w:rFonts w:asciiTheme="minorHAnsi" w:hAnsiTheme="minorHAnsi" w:cstheme="minorHAnsi"/>
          <w:color w:val="auto"/>
          <w:sz w:val="32"/>
          <w:szCs w:val="28"/>
          <w:lang w:val="es-CR"/>
        </w:rPr>
      </w:pPr>
      <w:bookmarkStart w:id="5" w:name="_Toc23842378"/>
      <w:bookmarkStart w:id="6" w:name="_Toc109179105"/>
      <w:bookmarkStart w:id="7" w:name="_Toc131912450"/>
      <w:bookmarkStart w:id="8" w:name="_Toc163371955"/>
      <w:bookmarkStart w:id="9" w:name="_Toc195505388"/>
      <w:bookmarkStart w:id="10" w:name="_Toc226364821"/>
      <w:bookmarkStart w:id="11" w:name="_Toc273448675"/>
      <w:bookmarkStart w:id="12" w:name="_Toc61081361"/>
      <w:r w:rsidRPr="0023319B">
        <w:rPr>
          <w:rFonts w:ascii="Arial" w:hAnsi="Arial" w:cs="Arial"/>
          <w:sz w:val="28"/>
          <w:szCs w:val="22"/>
          <w:lang w:val="es-CR"/>
        </w:rPr>
        <w:t>INTRODUCCIÓN</w:t>
      </w:r>
      <w:bookmarkEnd w:id="5"/>
      <w:bookmarkEnd w:id="6"/>
      <w:bookmarkEnd w:id="7"/>
      <w:bookmarkEnd w:id="8"/>
      <w:bookmarkEnd w:id="9"/>
      <w:bookmarkEnd w:id="10"/>
      <w:bookmarkEnd w:id="11"/>
      <w:bookmarkEnd w:id="12"/>
    </w:p>
    <w:p w14:paraId="64DC7506" w14:textId="77777777" w:rsidR="00225437" w:rsidRPr="0023319B" w:rsidRDefault="00225437" w:rsidP="00093594">
      <w:pPr>
        <w:ind w:right="51"/>
        <w:rPr>
          <w:rFonts w:asciiTheme="minorHAnsi" w:hAnsiTheme="minorHAnsi" w:cstheme="minorHAnsi"/>
          <w:b/>
          <w:szCs w:val="24"/>
          <w:lang w:val="es-CR"/>
        </w:rPr>
      </w:pPr>
    </w:p>
    <w:p w14:paraId="35078E7C" w14:textId="67F69F2B" w:rsidR="00EC142B" w:rsidRPr="0023319B" w:rsidRDefault="005A0E42" w:rsidP="00093594">
      <w:pPr>
        <w:widowControl w:val="0"/>
        <w:ind w:right="51"/>
        <w:rPr>
          <w:rFonts w:asciiTheme="minorHAnsi" w:hAnsiTheme="minorHAnsi" w:cstheme="minorHAnsi"/>
          <w:sz w:val="24"/>
          <w:szCs w:val="24"/>
          <w:lang w:val="es-CR"/>
        </w:rPr>
      </w:pPr>
      <w:r w:rsidRPr="0023319B">
        <w:rPr>
          <w:rFonts w:asciiTheme="minorHAnsi" w:hAnsiTheme="minorHAnsi" w:cstheme="minorHAnsi"/>
          <w:sz w:val="24"/>
          <w:szCs w:val="24"/>
          <w:lang w:val="es-CR"/>
        </w:rPr>
        <w:t xml:space="preserve">El </w:t>
      </w:r>
      <w:r w:rsidR="003F7281" w:rsidRPr="0023319B">
        <w:rPr>
          <w:rFonts w:asciiTheme="minorHAnsi" w:hAnsiTheme="minorHAnsi" w:cstheme="minorHAnsi"/>
          <w:sz w:val="24"/>
          <w:szCs w:val="24"/>
          <w:lang w:val="es-CR"/>
        </w:rPr>
        <w:t>CONASSIF</w:t>
      </w:r>
      <w:r w:rsidRPr="0023319B">
        <w:rPr>
          <w:rFonts w:asciiTheme="minorHAnsi" w:hAnsiTheme="minorHAnsi" w:cstheme="minorHAnsi"/>
          <w:sz w:val="24"/>
          <w:szCs w:val="24"/>
          <w:lang w:val="es-CR"/>
        </w:rPr>
        <w:t xml:space="preserve"> en los artículos 10 y 6, de las actas de las sesiones 1518-2019 y 1519-2019, ambas celebradas el 12 de agosto de 2019, dispuso solicitar a la Junta Directiva del Banco Central de Costa Rica la aprobación de una transferencia por</w:t>
      </w:r>
      <w:r w:rsidR="00766EEF" w:rsidRPr="0023319B">
        <w:rPr>
          <w:rFonts w:asciiTheme="minorHAnsi" w:hAnsiTheme="minorHAnsi" w:cstheme="minorHAnsi"/>
          <w:sz w:val="24"/>
          <w:szCs w:val="24"/>
          <w:lang w:val="es-CR"/>
        </w:rPr>
        <w:t xml:space="preserve"> la suma de</w:t>
      </w:r>
      <w:r w:rsidRPr="0023319B">
        <w:rPr>
          <w:rFonts w:asciiTheme="minorHAnsi" w:hAnsiTheme="minorHAnsi" w:cstheme="minorHAnsi"/>
          <w:sz w:val="24"/>
          <w:szCs w:val="24"/>
          <w:lang w:val="es-CR"/>
        </w:rPr>
        <w:t xml:space="preserve"> ¢30.990.800.069</w:t>
      </w:r>
      <w:r w:rsidR="00A114B7" w:rsidRPr="0023319B">
        <w:rPr>
          <w:rFonts w:asciiTheme="minorHAnsi" w:hAnsiTheme="minorHAnsi" w:cstheme="minorHAnsi"/>
          <w:sz w:val="24"/>
          <w:szCs w:val="24"/>
          <w:lang w:val="es-CR"/>
        </w:rPr>
        <w:t>, con sus</w:t>
      </w:r>
      <w:r w:rsidR="00093594" w:rsidRPr="0023319B">
        <w:rPr>
          <w:rFonts w:asciiTheme="minorHAnsi" w:hAnsiTheme="minorHAnsi" w:cstheme="minorHAnsi"/>
          <w:sz w:val="24"/>
          <w:szCs w:val="24"/>
          <w:lang w:val="es-CR"/>
        </w:rPr>
        <w:t xml:space="preserve">tento en </w:t>
      </w:r>
      <w:r w:rsidR="004C788F" w:rsidRPr="0023319B">
        <w:rPr>
          <w:rFonts w:asciiTheme="minorHAnsi" w:hAnsiTheme="minorHAnsi" w:cstheme="minorHAnsi"/>
          <w:sz w:val="24"/>
          <w:szCs w:val="24"/>
          <w:lang w:val="es-CR"/>
        </w:rPr>
        <w:t>lo que prevé el literal k</w:t>
      </w:r>
      <w:r w:rsidR="00990EC6" w:rsidRPr="0023319B">
        <w:rPr>
          <w:rFonts w:asciiTheme="minorHAnsi" w:hAnsiTheme="minorHAnsi" w:cstheme="minorHAnsi"/>
          <w:sz w:val="24"/>
          <w:szCs w:val="24"/>
          <w:lang w:val="es-CR"/>
        </w:rPr>
        <w:t>)</w:t>
      </w:r>
      <w:r w:rsidR="004C788F" w:rsidRPr="0023319B">
        <w:rPr>
          <w:rFonts w:asciiTheme="minorHAnsi" w:hAnsiTheme="minorHAnsi" w:cstheme="minorHAnsi"/>
          <w:sz w:val="24"/>
          <w:szCs w:val="24"/>
          <w:lang w:val="es-CR"/>
        </w:rPr>
        <w:t xml:space="preserve">, del artículo 171, de la Ley Reguladora del Mercado de Valores, Ley 7732, del 27 de enero de 1998, y sus reformas, para efectos del financiamiento de los presupuestos ordinarios de las </w:t>
      </w:r>
      <w:r w:rsidR="00D03248" w:rsidRPr="0023319B">
        <w:rPr>
          <w:rFonts w:asciiTheme="minorHAnsi" w:hAnsiTheme="minorHAnsi" w:cstheme="minorHAnsi"/>
          <w:sz w:val="24"/>
          <w:szCs w:val="24"/>
          <w:lang w:val="es-CR"/>
        </w:rPr>
        <w:t xml:space="preserve">cuatro </w:t>
      </w:r>
      <w:r w:rsidR="004C788F" w:rsidRPr="0023319B">
        <w:rPr>
          <w:rFonts w:asciiTheme="minorHAnsi" w:hAnsiTheme="minorHAnsi" w:cstheme="minorHAnsi"/>
          <w:sz w:val="24"/>
          <w:szCs w:val="24"/>
          <w:lang w:val="es-CR"/>
        </w:rPr>
        <w:t>Superintendencias y del CONASSIF</w:t>
      </w:r>
      <w:r w:rsidR="00A114B7" w:rsidRPr="0023319B">
        <w:rPr>
          <w:rFonts w:asciiTheme="minorHAnsi" w:hAnsiTheme="minorHAnsi" w:cstheme="minorHAnsi"/>
          <w:sz w:val="24"/>
          <w:szCs w:val="24"/>
          <w:lang w:val="es-CR"/>
        </w:rPr>
        <w:t xml:space="preserve"> correspondientes al 20</w:t>
      </w:r>
      <w:r w:rsidR="00D03248" w:rsidRPr="0023319B">
        <w:rPr>
          <w:rFonts w:asciiTheme="minorHAnsi" w:hAnsiTheme="minorHAnsi" w:cstheme="minorHAnsi"/>
          <w:sz w:val="24"/>
          <w:szCs w:val="24"/>
          <w:lang w:val="es-CR"/>
        </w:rPr>
        <w:t>20</w:t>
      </w:r>
      <w:r w:rsidR="00A114B7" w:rsidRPr="0023319B">
        <w:rPr>
          <w:rFonts w:asciiTheme="minorHAnsi" w:hAnsiTheme="minorHAnsi" w:cstheme="minorHAnsi"/>
          <w:sz w:val="24"/>
          <w:szCs w:val="24"/>
          <w:lang w:val="es-CR"/>
        </w:rPr>
        <w:t>.</w:t>
      </w:r>
      <w:r w:rsidR="00EC142B" w:rsidRPr="0023319B">
        <w:rPr>
          <w:rFonts w:asciiTheme="minorHAnsi" w:hAnsiTheme="minorHAnsi" w:cstheme="minorHAnsi"/>
          <w:sz w:val="24"/>
          <w:szCs w:val="24"/>
          <w:lang w:val="es-CR"/>
        </w:rPr>
        <w:t xml:space="preserve"> Por su parte, </w:t>
      </w:r>
      <w:r w:rsidR="00C73853" w:rsidRPr="0023319B">
        <w:rPr>
          <w:rFonts w:asciiTheme="minorHAnsi" w:hAnsiTheme="minorHAnsi" w:cstheme="minorHAnsi"/>
          <w:sz w:val="24"/>
          <w:szCs w:val="24"/>
          <w:lang w:val="es-CR"/>
        </w:rPr>
        <w:t xml:space="preserve">luego de una revisión, </w:t>
      </w:r>
      <w:r w:rsidR="000828FC" w:rsidRPr="0023319B">
        <w:rPr>
          <w:rFonts w:asciiTheme="minorHAnsi" w:hAnsiTheme="minorHAnsi" w:cstheme="minorHAnsi"/>
          <w:sz w:val="24"/>
          <w:szCs w:val="24"/>
          <w:lang w:val="es-CR"/>
        </w:rPr>
        <w:t xml:space="preserve">la Junta Directiva del BCCR </w:t>
      </w:r>
      <w:r w:rsidR="0089347E" w:rsidRPr="0023319B">
        <w:rPr>
          <w:rFonts w:asciiTheme="minorHAnsi" w:hAnsiTheme="minorHAnsi" w:cstheme="minorHAnsi"/>
          <w:sz w:val="24"/>
          <w:szCs w:val="24"/>
          <w:lang w:val="es-CR"/>
        </w:rPr>
        <w:t xml:space="preserve">dispuso aprobar </w:t>
      </w:r>
      <w:r w:rsidR="00860E3F" w:rsidRPr="0023319B">
        <w:rPr>
          <w:rFonts w:asciiTheme="minorHAnsi" w:hAnsiTheme="minorHAnsi" w:cstheme="minorHAnsi"/>
          <w:sz w:val="24"/>
          <w:szCs w:val="24"/>
          <w:lang w:val="es-CR"/>
        </w:rPr>
        <w:t xml:space="preserve">la transferencia </w:t>
      </w:r>
      <w:r w:rsidR="00F170F0" w:rsidRPr="0023319B">
        <w:rPr>
          <w:rFonts w:asciiTheme="minorHAnsi" w:hAnsiTheme="minorHAnsi" w:cstheme="minorHAnsi"/>
          <w:sz w:val="24"/>
          <w:szCs w:val="24"/>
          <w:lang w:val="es-CR"/>
        </w:rPr>
        <w:t xml:space="preserve">según consta </w:t>
      </w:r>
      <w:r w:rsidR="0089347E" w:rsidRPr="0023319B">
        <w:rPr>
          <w:rFonts w:asciiTheme="minorHAnsi" w:hAnsiTheme="minorHAnsi" w:cstheme="minorHAnsi"/>
          <w:sz w:val="24"/>
          <w:szCs w:val="24"/>
          <w:lang w:val="es-CR"/>
        </w:rPr>
        <w:t>en el inciso II, del artículo 5, del acta de la sesión 5895-2019, celebrada el 20 de setiembre de 2019</w:t>
      </w:r>
      <w:r w:rsidR="00EC142B" w:rsidRPr="0023319B">
        <w:rPr>
          <w:rFonts w:asciiTheme="minorHAnsi" w:hAnsiTheme="minorHAnsi" w:cstheme="minorHAnsi"/>
          <w:sz w:val="24"/>
          <w:szCs w:val="24"/>
          <w:lang w:val="es-CR"/>
        </w:rPr>
        <w:t xml:space="preserve">. </w:t>
      </w:r>
    </w:p>
    <w:p w14:paraId="7DF20170" w14:textId="77777777" w:rsidR="00EC142B" w:rsidRPr="0023319B" w:rsidRDefault="00EC142B" w:rsidP="00093594">
      <w:pPr>
        <w:widowControl w:val="0"/>
        <w:ind w:right="51"/>
        <w:rPr>
          <w:rFonts w:asciiTheme="minorHAnsi" w:hAnsiTheme="minorHAnsi" w:cstheme="minorHAnsi"/>
          <w:sz w:val="24"/>
          <w:szCs w:val="24"/>
          <w:lang w:val="es-CR"/>
        </w:rPr>
      </w:pPr>
    </w:p>
    <w:p w14:paraId="482E1016" w14:textId="57FC7BAE" w:rsidR="00EC142B" w:rsidRPr="0023319B" w:rsidRDefault="00EC142B" w:rsidP="00093594">
      <w:pPr>
        <w:widowControl w:val="0"/>
        <w:ind w:right="51"/>
        <w:rPr>
          <w:rFonts w:asciiTheme="minorHAnsi" w:hAnsiTheme="minorHAnsi" w:cstheme="minorHAnsi"/>
          <w:sz w:val="24"/>
          <w:szCs w:val="24"/>
          <w:lang w:val="es-CR"/>
        </w:rPr>
      </w:pPr>
      <w:r w:rsidRPr="0023319B">
        <w:rPr>
          <w:rFonts w:asciiTheme="minorHAnsi" w:hAnsiTheme="minorHAnsi" w:cstheme="minorHAnsi"/>
          <w:sz w:val="24"/>
          <w:szCs w:val="24"/>
          <w:lang w:val="es-CR"/>
        </w:rPr>
        <w:t xml:space="preserve">Posteriormente, el </w:t>
      </w:r>
      <w:r w:rsidR="00AC7DE6" w:rsidRPr="0023319B">
        <w:rPr>
          <w:rFonts w:asciiTheme="minorHAnsi" w:hAnsiTheme="minorHAnsi" w:cstheme="minorHAnsi"/>
          <w:sz w:val="24"/>
          <w:szCs w:val="24"/>
          <w:lang w:val="es-CR"/>
        </w:rPr>
        <w:t>CONASSIF</w:t>
      </w:r>
      <w:r w:rsidRPr="0023319B">
        <w:rPr>
          <w:rFonts w:asciiTheme="minorHAnsi" w:hAnsiTheme="minorHAnsi" w:cstheme="minorHAnsi"/>
          <w:sz w:val="24"/>
          <w:szCs w:val="24"/>
          <w:lang w:val="es-CR"/>
        </w:rPr>
        <w:t xml:space="preserve"> </w:t>
      </w:r>
      <w:r w:rsidR="00F439D2" w:rsidRPr="0023319B">
        <w:rPr>
          <w:rFonts w:asciiTheme="minorHAnsi" w:hAnsiTheme="minorHAnsi" w:cstheme="minorHAnsi"/>
          <w:sz w:val="24"/>
          <w:szCs w:val="24"/>
          <w:lang w:val="es-CR"/>
        </w:rPr>
        <w:t xml:space="preserve">en </w:t>
      </w:r>
      <w:r w:rsidR="00C11B91" w:rsidRPr="0023319B">
        <w:rPr>
          <w:rFonts w:asciiTheme="minorHAnsi" w:hAnsiTheme="minorHAnsi" w:cstheme="minorHAnsi"/>
          <w:sz w:val="24"/>
          <w:szCs w:val="24"/>
          <w:lang w:val="es-CR"/>
        </w:rPr>
        <w:t>el inciso II, artículo 10, del acta de la sesión 1530-2019, celebrada el 27 de setiembre de 2019</w:t>
      </w:r>
      <w:r w:rsidR="00C73853" w:rsidRPr="0023319B">
        <w:rPr>
          <w:rFonts w:asciiTheme="minorHAnsi" w:hAnsiTheme="minorHAnsi" w:cstheme="minorHAnsi"/>
          <w:sz w:val="24"/>
          <w:szCs w:val="24"/>
          <w:lang w:val="es-CR"/>
        </w:rPr>
        <w:t>, dispuso aprobar</w:t>
      </w:r>
      <w:r w:rsidR="002E1E35" w:rsidRPr="0023319B">
        <w:rPr>
          <w:rFonts w:asciiTheme="minorHAnsi" w:hAnsiTheme="minorHAnsi" w:cstheme="minorHAnsi"/>
          <w:sz w:val="24"/>
          <w:szCs w:val="24"/>
          <w:lang w:val="es-CR"/>
        </w:rPr>
        <w:t xml:space="preserve"> en firme</w:t>
      </w:r>
      <w:r w:rsidR="00C73853" w:rsidRPr="0023319B">
        <w:rPr>
          <w:rFonts w:asciiTheme="minorHAnsi" w:hAnsiTheme="minorHAnsi" w:cstheme="minorHAnsi"/>
          <w:sz w:val="24"/>
          <w:szCs w:val="24"/>
          <w:lang w:val="es-CR"/>
        </w:rPr>
        <w:t xml:space="preserve"> el presupuesto de la </w:t>
      </w:r>
      <w:r w:rsidR="00F61278" w:rsidRPr="0023319B">
        <w:rPr>
          <w:rFonts w:asciiTheme="minorHAnsi" w:hAnsiTheme="minorHAnsi" w:cstheme="minorHAnsi"/>
          <w:sz w:val="24"/>
          <w:szCs w:val="24"/>
          <w:lang w:val="es-CR"/>
        </w:rPr>
        <w:t>SUPEN</w:t>
      </w:r>
      <w:r w:rsidR="00C46F1F" w:rsidRPr="0023319B">
        <w:rPr>
          <w:rFonts w:asciiTheme="minorHAnsi" w:hAnsiTheme="minorHAnsi" w:cstheme="minorHAnsi"/>
          <w:sz w:val="24"/>
          <w:szCs w:val="24"/>
          <w:lang w:val="es-CR"/>
        </w:rPr>
        <w:t xml:space="preserve">, </w:t>
      </w:r>
      <w:r w:rsidR="00782066" w:rsidRPr="0023319B">
        <w:rPr>
          <w:rFonts w:asciiTheme="minorHAnsi" w:hAnsiTheme="minorHAnsi" w:cstheme="minorHAnsi"/>
          <w:sz w:val="24"/>
          <w:szCs w:val="24"/>
          <w:lang w:val="es-CR"/>
        </w:rPr>
        <w:t xml:space="preserve">por un monto de </w:t>
      </w:r>
      <w:r w:rsidR="00B018F4" w:rsidRPr="0023319B">
        <w:rPr>
          <w:rFonts w:asciiTheme="minorHAnsi" w:hAnsiTheme="minorHAnsi" w:cstheme="minorHAnsi"/>
          <w:sz w:val="24"/>
          <w:szCs w:val="24"/>
          <w:lang w:val="es-CR"/>
        </w:rPr>
        <w:t>¢5.645.784.898,90</w:t>
      </w:r>
      <w:r w:rsidR="00E00FAE" w:rsidRPr="0023319B">
        <w:rPr>
          <w:rFonts w:asciiTheme="minorHAnsi" w:hAnsiTheme="minorHAnsi" w:cstheme="minorHAnsi"/>
          <w:sz w:val="24"/>
          <w:szCs w:val="24"/>
          <w:lang w:val="es-CR"/>
        </w:rPr>
        <w:t xml:space="preserve">, que </w:t>
      </w:r>
      <w:r w:rsidR="009E6B77" w:rsidRPr="0023319B">
        <w:rPr>
          <w:rFonts w:asciiTheme="minorHAnsi" w:hAnsiTheme="minorHAnsi" w:cstheme="minorHAnsi"/>
          <w:sz w:val="24"/>
          <w:szCs w:val="24"/>
          <w:lang w:val="es-CR"/>
        </w:rPr>
        <w:t>luego</w:t>
      </w:r>
      <w:r w:rsidR="00E00FAE" w:rsidRPr="0023319B">
        <w:rPr>
          <w:rFonts w:asciiTheme="minorHAnsi" w:hAnsiTheme="minorHAnsi" w:cstheme="minorHAnsi"/>
          <w:sz w:val="24"/>
          <w:szCs w:val="24"/>
          <w:lang w:val="es-CR"/>
        </w:rPr>
        <w:t xml:space="preserve"> fue </w:t>
      </w:r>
      <w:r w:rsidR="00D25D2B" w:rsidRPr="0023319B">
        <w:rPr>
          <w:rFonts w:asciiTheme="minorHAnsi" w:hAnsiTheme="minorHAnsi" w:cstheme="minorHAnsi"/>
          <w:sz w:val="24"/>
          <w:szCs w:val="24"/>
          <w:lang w:val="es-CR"/>
        </w:rPr>
        <w:t>refrendado</w:t>
      </w:r>
      <w:r w:rsidR="00E00FAE" w:rsidRPr="0023319B">
        <w:rPr>
          <w:rFonts w:asciiTheme="minorHAnsi" w:hAnsiTheme="minorHAnsi" w:cstheme="minorHAnsi"/>
          <w:sz w:val="24"/>
          <w:szCs w:val="24"/>
          <w:lang w:val="es-CR"/>
        </w:rPr>
        <w:t xml:space="preserve"> por</w:t>
      </w:r>
      <w:r w:rsidRPr="0023319B">
        <w:rPr>
          <w:rFonts w:asciiTheme="minorHAnsi" w:hAnsiTheme="minorHAnsi" w:cstheme="minorHAnsi"/>
          <w:sz w:val="24"/>
          <w:szCs w:val="24"/>
          <w:lang w:val="es-CR"/>
        </w:rPr>
        <w:t xml:space="preserve"> la </w:t>
      </w:r>
      <w:r w:rsidR="005C5B2E" w:rsidRPr="0023319B">
        <w:rPr>
          <w:rFonts w:asciiTheme="minorHAnsi" w:hAnsiTheme="minorHAnsi" w:cstheme="minorHAnsi"/>
          <w:sz w:val="24"/>
          <w:szCs w:val="24"/>
          <w:lang w:val="es-CR"/>
        </w:rPr>
        <w:t>CGR</w:t>
      </w:r>
      <w:r w:rsidR="00BC0CAC" w:rsidRPr="0023319B">
        <w:rPr>
          <w:rFonts w:asciiTheme="minorHAnsi" w:hAnsiTheme="minorHAnsi" w:cstheme="minorHAnsi"/>
          <w:sz w:val="24"/>
          <w:szCs w:val="24"/>
          <w:lang w:val="es-CR"/>
        </w:rPr>
        <w:t xml:space="preserve"> </w:t>
      </w:r>
      <w:r w:rsidRPr="0023319B">
        <w:rPr>
          <w:rFonts w:asciiTheme="minorHAnsi" w:hAnsiTheme="minorHAnsi" w:cstheme="minorHAnsi"/>
          <w:sz w:val="24"/>
          <w:szCs w:val="24"/>
          <w:lang w:val="es-CR"/>
        </w:rPr>
        <w:t xml:space="preserve">según </w:t>
      </w:r>
      <w:r w:rsidR="00D47ECD" w:rsidRPr="0023319B">
        <w:rPr>
          <w:rFonts w:asciiTheme="minorHAnsi" w:hAnsiTheme="minorHAnsi" w:cstheme="minorHAnsi"/>
          <w:sz w:val="24"/>
          <w:szCs w:val="24"/>
          <w:lang w:val="es-CR"/>
        </w:rPr>
        <w:t xml:space="preserve">costa en el </w:t>
      </w:r>
      <w:r w:rsidRPr="0023319B">
        <w:rPr>
          <w:rFonts w:asciiTheme="minorHAnsi" w:hAnsiTheme="minorHAnsi" w:cstheme="minorHAnsi"/>
          <w:sz w:val="24"/>
          <w:szCs w:val="24"/>
          <w:lang w:val="es-CR"/>
        </w:rPr>
        <w:t xml:space="preserve">oficio número </w:t>
      </w:r>
      <w:r w:rsidR="00D47ECD" w:rsidRPr="0023319B">
        <w:rPr>
          <w:rFonts w:asciiTheme="minorHAnsi" w:hAnsiTheme="minorHAnsi" w:cstheme="minorHAnsi"/>
          <w:sz w:val="24"/>
          <w:szCs w:val="24"/>
          <w:lang w:val="es-CR"/>
        </w:rPr>
        <w:t>DFOE-EC-0915</w:t>
      </w:r>
      <w:r w:rsidR="00187132" w:rsidRPr="0023319B">
        <w:rPr>
          <w:rFonts w:asciiTheme="minorHAnsi" w:hAnsiTheme="minorHAnsi" w:cstheme="minorHAnsi"/>
          <w:sz w:val="24"/>
          <w:szCs w:val="24"/>
          <w:lang w:val="es-CR"/>
        </w:rPr>
        <w:t xml:space="preserve"> </w:t>
      </w:r>
      <w:r w:rsidR="00100B83" w:rsidRPr="0023319B">
        <w:rPr>
          <w:rFonts w:asciiTheme="minorHAnsi" w:hAnsiTheme="minorHAnsi" w:cstheme="minorHAnsi"/>
          <w:sz w:val="24"/>
          <w:szCs w:val="24"/>
          <w:lang w:val="es-CR"/>
        </w:rPr>
        <w:t xml:space="preserve">del </w:t>
      </w:r>
      <w:r w:rsidR="001C2A21" w:rsidRPr="0023319B">
        <w:rPr>
          <w:rFonts w:asciiTheme="minorHAnsi" w:hAnsiTheme="minorHAnsi" w:cstheme="minorHAnsi"/>
          <w:sz w:val="24"/>
          <w:szCs w:val="24"/>
          <w:lang w:val="es-CR"/>
        </w:rPr>
        <w:t>6</w:t>
      </w:r>
      <w:r w:rsidRPr="0023319B">
        <w:rPr>
          <w:rFonts w:asciiTheme="minorHAnsi" w:hAnsiTheme="minorHAnsi" w:cstheme="minorHAnsi"/>
          <w:sz w:val="24"/>
          <w:szCs w:val="24"/>
          <w:lang w:val="es-CR"/>
        </w:rPr>
        <w:t xml:space="preserve"> de </w:t>
      </w:r>
      <w:r w:rsidR="00FC5E8D" w:rsidRPr="0023319B">
        <w:rPr>
          <w:rFonts w:asciiTheme="minorHAnsi" w:hAnsiTheme="minorHAnsi" w:cstheme="minorHAnsi"/>
          <w:sz w:val="24"/>
          <w:szCs w:val="24"/>
          <w:lang w:val="es-CR"/>
        </w:rPr>
        <w:t>dic</w:t>
      </w:r>
      <w:r w:rsidR="001C2A21" w:rsidRPr="0023319B">
        <w:rPr>
          <w:rFonts w:asciiTheme="minorHAnsi" w:hAnsiTheme="minorHAnsi" w:cstheme="minorHAnsi"/>
          <w:sz w:val="24"/>
          <w:szCs w:val="24"/>
          <w:lang w:val="es-CR"/>
        </w:rPr>
        <w:t>iembre</w:t>
      </w:r>
      <w:r w:rsidR="00187132" w:rsidRPr="0023319B">
        <w:rPr>
          <w:rFonts w:asciiTheme="minorHAnsi" w:hAnsiTheme="minorHAnsi" w:cstheme="minorHAnsi"/>
          <w:sz w:val="24"/>
          <w:szCs w:val="24"/>
          <w:lang w:val="es-CR"/>
        </w:rPr>
        <w:t xml:space="preserve"> de</w:t>
      </w:r>
      <w:r w:rsidR="00100B83" w:rsidRPr="0023319B">
        <w:rPr>
          <w:rFonts w:asciiTheme="minorHAnsi" w:hAnsiTheme="minorHAnsi" w:cstheme="minorHAnsi"/>
          <w:sz w:val="24"/>
          <w:szCs w:val="24"/>
          <w:lang w:val="es-CR"/>
        </w:rPr>
        <w:t xml:space="preserve"> 201</w:t>
      </w:r>
      <w:r w:rsidR="00FC5E8D" w:rsidRPr="0023319B">
        <w:rPr>
          <w:rFonts w:asciiTheme="minorHAnsi" w:hAnsiTheme="minorHAnsi" w:cstheme="minorHAnsi"/>
          <w:sz w:val="24"/>
          <w:szCs w:val="24"/>
          <w:lang w:val="es-CR"/>
        </w:rPr>
        <w:t>9</w:t>
      </w:r>
      <w:r w:rsidRPr="0023319B">
        <w:rPr>
          <w:rFonts w:asciiTheme="minorHAnsi" w:hAnsiTheme="minorHAnsi" w:cstheme="minorHAnsi"/>
          <w:sz w:val="24"/>
          <w:szCs w:val="24"/>
          <w:lang w:val="es-CR"/>
        </w:rPr>
        <w:t>.</w:t>
      </w:r>
    </w:p>
    <w:p w14:paraId="2A2BF323" w14:textId="77777777" w:rsidR="00EC142B" w:rsidRPr="0023319B" w:rsidRDefault="00EC142B" w:rsidP="00093594">
      <w:pPr>
        <w:widowControl w:val="0"/>
        <w:ind w:right="51"/>
        <w:rPr>
          <w:rFonts w:asciiTheme="minorHAnsi" w:hAnsiTheme="minorHAnsi" w:cstheme="minorHAnsi"/>
          <w:sz w:val="24"/>
          <w:szCs w:val="24"/>
          <w:lang w:val="es-CR"/>
        </w:rPr>
      </w:pPr>
    </w:p>
    <w:p w14:paraId="527B4BE3" w14:textId="1C8C3D8E" w:rsidR="00962B5B" w:rsidRPr="0023319B" w:rsidRDefault="005C5B2E" w:rsidP="00093594">
      <w:pPr>
        <w:widowControl w:val="0"/>
        <w:ind w:right="51"/>
        <w:rPr>
          <w:rFonts w:asciiTheme="minorHAnsi" w:hAnsiTheme="minorHAnsi" w:cstheme="minorHAnsi"/>
          <w:sz w:val="24"/>
          <w:szCs w:val="24"/>
          <w:lang w:val="es-CR"/>
        </w:rPr>
      </w:pPr>
      <w:r w:rsidRPr="0023319B">
        <w:rPr>
          <w:rFonts w:asciiTheme="minorHAnsi" w:hAnsiTheme="minorHAnsi" w:cstheme="minorHAnsi"/>
          <w:sz w:val="24"/>
          <w:szCs w:val="24"/>
          <w:lang w:val="es-CR"/>
        </w:rPr>
        <w:t>En el c</w:t>
      </w:r>
      <w:r w:rsidR="00726C28" w:rsidRPr="0023319B">
        <w:rPr>
          <w:rFonts w:asciiTheme="minorHAnsi" w:hAnsiTheme="minorHAnsi" w:cstheme="minorHAnsi"/>
          <w:sz w:val="24"/>
          <w:szCs w:val="24"/>
          <w:lang w:val="es-CR"/>
        </w:rPr>
        <w:t xml:space="preserve">uadro número </w:t>
      </w:r>
      <w:r w:rsidR="008204B1" w:rsidRPr="0023319B">
        <w:rPr>
          <w:rFonts w:asciiTheme="minorHAnsi" w:hAnsiTheme="minorHAnsi" w:cstheme="minorHAnsi"/>
          <w:sz w:val="24"/>
          <w:szCs w:val="24"/>
          <w:lang w:val="es-CR"/>
        </w:rPr>
        <w:t>diez</w:t>
      </w:r>
      <w:r w:rsidR="00CF25B5" w:rsidRPr="0023319B">
        <w:rPr>
          <w:rFonts w:asciiTheme="minorHAnsi" w:hAnsiTheme="minorHAnsi" w:cstheme="minorHAnsi"/>
          <w:sz w:val="24"/>
          <w:szCs w:val="24"/>
          <w:lang w:val="es-CR"/>
        </w:rPr>
        <w:t xml:space="preserve"> del apartado de</w:t>
      </w:r>
      <w:r w:rsidRPr="0023319B">
        <w:rPr>
          <w:rFonts w:asciiTheme="minorHAnsi" w:hAnsiTheme="minorHAnsi" w:cstheme="minorHAnsi"/>
          <w:sz w:val="24"/>
          <w:szCs w:val="24"/>
          <w:lang w:val="es-CR"/>
        </w:rPr>
        <w:t xml:space="preserve"> a</w:t>
      </w:r>
      <w:r w:rsidR="00EC142B" w:rsidRPr="0023319B">
        <w:rPr>
          <w:rFonts w:asciiTheme="minorHAnsi" w:hAnsiTheme="minorHAnsi" w:cstheme="minorHAnsi"/>
          <w:sz w:val="24"/>
          <w:szCs w:val="24"/>
          <w:lang w:val="es-CR"/>
        </w:rPr>
        <w:t>nexos, se detalla por cada cuenta la composición del presupuesto</w:t>
      </w:r>
      <w:r w:rsidR="009D39B5" w:rsidRPr="0023319B">
        <w:rPr>
          <w:rFonts w:asciiTheme="minorHAnsi" w:hAnsiTheme="minorHAnsi" w:cstheme="minorHAnsi"/>
          <w:sz w:val="24"/>
          <w:szCs w:val="24"/>
          <w:lang w:val="es-CR"/>
        </w:rPr>
        <w:t xml:space="preserve"> y </w:t>
      </w:r>
      <w:r w:rsidR="00EC142B" w:rsidRPr="0023319B">
        <w:rPr>
          <w:rFonts w:asciiTheme="minorHAnsi" w:hAnsiTheme="minorHAnsi" w:cstheme="minorHAnsi"/>
          <w:sz w:val="24"/>
          <w:szCs w:val="24"/>
          <w:lang w:val="es-CR"/>
        </w:rPr>
        <w:t xml:space="preserve">el grado de ejecución alcanzado, de igual forma se observa </w:t>
      </w:r>
      <w:r w:rsidR="00293537" w:rsidRPr="0023319B">
        <w:rPr>
          <w:rFonts w:asciiTheme="minorHAnsi" w:hAnsiTheme="minorHAnsi" w:cstheme="minorHAnsi"/>
          <w:sz w:val="24"/>
          <w:szCs w:val="24"/>
          <w:lang w:val="es-CR"/>
        </w:rPr>
        <w:t>el</w:t>
      </w:r>
      <w:r w:rsidR="00EC142B" w:rsidRPr="0023319B">
        <w:rPr>
          <w:rFonts w:asciiTheme="minorHAnsi" w:hAnsiTheme="minorHAnsi" w:cstheme="minorHAnsi"/>
          <w:sz w:val="24"/>
          <w:szCs w:val="24"/>
          <w:lang w:val="es-CR"/>
        </w:rPr>
        <w:t xml:space="preserve"> porcentaje </w:t>
      </w:r>
      <w:r w:rsidR="0052468A" w:rsidRPr="0023319B">
        <w:rPr>
          <w:rFonts w:asciiTheme="minorHAnsi" w:hAnsiTheme="minorHAnsi" w:cstheme="minorHAnsi"/>
          <w:sz w:val="24"/>
          <w:szCs w:val="24"/>
          <w:lang w:val="es-CR"/>
        </w:rPr>
        <w:t xml:space="preserve">total </w:t>
      </w:r>
      <w:r w:rsidR="00EC142B" w:rsidRPr="0023319B">
        <w:rPr>
          <w:rFonts w:asciiTheme="minorHAnsi" w:hAnsiTheme="minorHAnsi" w:cstheme="minorHAnsi"/>
          <w:sz w:val="24"/>
          <w:szCs w:val="24"/>
          <w:lang w:val="es-CR"/>
        </w:rPr>
        <w:t>de ejecución</w:t>
      </w:r>
      <w:r w:rsidR="00D66A91" w:rsidRPr="0023319B">
        <w:rPr>
          <w:rFonts w:asciiTheme="minorHAnsi" w:hAnsiTheme="minorHAnsi" w:cstheme="minorHAnsi"/>
          <w:sz w:val="24"/>
          <w:szCs w:val="24"/>
          <w:lang w:val="es-CR"/>
        </w:rPr>
        <w:t>,</w:t>
      </w:r>
      <w:r w:rsidR="00EC142B" w:rsidRPr="0023319B">
        <w:rPr>
          <w:rFonts w:asciiTheme="minorHAnsi" w:hAnsiTheme="minorHAnsi" w:cstheme="minorHAnsi"/>
          <w:sz w:val="24"/>
          <w:szCs w:val="24"/>
          <w:lang w:val="es-CR"/>
        </w:rPr>
        <w:t xml:space="preserve"> </w:t>
      </w:r>
      <w:r w:rsidR="00D00063" w:rsidRPr="0023319B">
        <w:rPr>
          <w:rFonts w:asciiTheme="minorHAnsi" w:hAnsiTheme="minorHAnsi" w:cstheme="minorHAnsi"/>
          <w:sz w:val="24"/>
          <w:szCs w:val="24"/>
          <w:lang w:val="es-CR"/>
        </w:rPr>
        <w:t>que</w:t>
      </w:r>
      <w:r w:rsidR="00F91A1B" w:rsidRPr="0023319B">
        <w:rPr>
          <w:rFonts w:asciiTheme="minorHAnsi" w:hAnsiTheme="minorHAnsi" w:cstheme="minorHAnsi"/>
          <w:sz w:val="24"/>
          <w:szCs w:val="24"/>
          <w:lang w:val="es-CR"/>
        </w:rPr>
        <w:t xml:space="preserve"> de forma global </w:t>
      </w:r>
      <w:r w:rsidR="006B44A2" w:rsidRPr="0023319B">
        <w:rPr>
          <w:rFonts w:asciiTheme="minorHAnsi" w:hAnsiTheme="minorHAnsi" w:cstheme="minorHAnsi"/>
          <w:sz w:val="24"/>
          <w:szCs w:val="24"/>
          <w:lang w:val="es-CR"/>
        </w:rPr>
        <w:t xml:space="preserve">alcanzó </w:t>
      </w:r>
      <w:r w:rsidR="005B247F" w:rsidRPr="0023319B">
        <w:rPr>
          <w:rFonts w:asciiTheme="minorHAnsi" w:hAnsiTheme="minorHAnsi" w:cstheme="minorHAnsi"/>
          <w:sz w:val="24"/>
          <w:szCs w:val="24"/>
          <w:lang w:val="es-CR"/>
        </w:rPr>
        <w:t xml:space="preserve">en esta oportunidad </w:t>
      </w:r>
      <w:r w:rsidR="00EC142B" w:rsidRPr="0023319B">
        <w:rPr>
          <w:rFonts w:asciiTheme="minorHAnsi" w:hAnsiTheme="minorHAnsi" w:cstheme="minorHAnsi"/>
          <w:sz w:val="24"/>
          <w:szCs w:val="24"/>
          <w:lang w:val="es-CR"/>
        </w:rPr>
        <w:t>el</w:t>
      </w:r>
      <w:r w:rsidR="00962B5B" w:rsidRPr="0023319B">
        <w:rPr>
          <w:rFonts w:asciiTheme="minorHAnsi" w:hAnsiTheme="minorHAnsi" w:cstheme="minorHAnsi"/>
          <w:sz w:val="24"/>
          <w:szCs w:val="24"/>
          <w:lang w:val="es-CR"/>
        </w:rPr>
        <w:t xml:space="preserve"> </w:t>
      </w:r>
      <w:r w:rsidR="00696E67" w:rsidRPr="0023319B">
        <w:rPr>
          <w:rFonts w:asciiTheme="minorHAnsi" w:hAnsiTheme="minorHAnsi" w:cstheme="minorHAnsi"/>
          <w:sz w:val="24"/>
          <w:szCs w:val="24"/>
          <w:lang w:val="es-CR"/>
        </w:rPr>
        <w:t>8</w:t>
      </w:r>
      <w:r w:rsidR="00FD640C" w:rsidRPr="0023319B">
        <w:rPr>
          <w:rFonts w:asciiTheme="minorHAnsi" w:hAnsiTheme="minorHAnsi" w:cstheme="minorHAnsi"/>
          <w:sz w:val="24"/>
          <w:szCs w:val="24"/>
          <w:lang w:val="es-CR"/>
        </w:rPr>
        <w:t>0</w:t>
      </w:r>
      <w:r w:rsidR="00962B5B" w:rsidRPr="0023319B">
        <w:rPr>
          <w:rFonts w:asciiTheme="minorHAnsi" w:hAnsiTheme="minorHAnsi" w:cstheme="minorHAnsi"/>
          <w:sz w:val="24"/>
          <w:szCs w:val="24"/>
          <w:lang w:val="es-CR"/>
        </w:rPr>
        <w:t>%</w:t>
      </w:r>
      <w:r w:rsidR="001B64DE" w:rsidRPr="0023319B">
        <w:rPr>
          <w:rFonts w:asciiTheme="minorHAnsi" w:hAnsiTheme="minorHAnsi" w:cstheme="minorHAnsi"/>
          <w:sz w:val="24"/>
          <w:szCs w:val="24"/>
          <w:lang w:val="es-CR"/>
        </w:rPr>
        <w:t>.</w:t>
      </w:r>
    </w:p>
    <w:p w14:paraId="64DC750C" w14:textId="77777777" w:rsidR="00225437" w:rsidRPr="0023319B" w:rsidRDefault="00225437" w:rsidP="00093594">
      <w:pPr>
        <w:ind w:right="51"/>
        <w:rPr>
          <w:rFonts w:asciiTheme="minorHAnsi" w:hAnsiTheme="minorHAnsi" w:cstheme="minorHAnsi"/>
          <w:sz w:val="24"/>
          <w:szCs w:val="24"/>
          <w:lang w:val="es-CR"/>
        </w:rPr>
      </w:pPr>
    </w:p>
    <w:p w14:paraId="64DC750D" w14:textId="77777777" w:rsidR="00225437" w:rsidRPr="0023319B" w:rsidRDefault="00225437" w:rsidP="00093594">
      <w:pPr>
        <w:spacing w:line="288" w:lineRule="auto"/>
        <w:ind w:right="51"/>
        <w:jc w:val="center"/>
        <w:rPr>
          <w:rFonts w:asciiTheme="minorHAnsi" w:hAnsiTheme="minorHAnsi" w:cstheme="minorHAnsi"/>
          <w:szCs w:val="22"/>
          <w:lang w:val="es-CR"/>
        </w:rPr>
      </w:pPr>
      <w:r w:rsidRPr="0023319B">
        <w:rPr>
          <w:rFonts w:asciiTheme="minorHAnsi" w:hAnsiTheme="minorHAnsi" w:cstheme="minorHAnsi"/>
          <w:szCs w:val="22"/>
          <w:lang w:val="es-CR"/>
        </w:rPr>
        <w:br w:type="page"/>
      </w:r>
    </w:p>
    <w:p w14:paraId="64DC750F" w14:textId="40982851" w:rsidR="00225437" w:rsidRPr="0023319B" w:rsidRDefault="003F0B3B" w:rsidP="00DF59B8">
      <w:pPr>
        <w:pStyle w:val="Ttulo1"/>
        <w:rPr>
          <w:rStyle w:val="nfasisintenso"/>
          <w:rFonts w:asciiTheme="minorHAnsi" w:hAnsiTheme="minorHAnsi" w:cstheme="minorHAnsi"/>
          <w:b/>
          <w:bCs w:val="0"/>
          <w:i w:val="0"/>
          <w:iCs w:val="0"/>
          <w:color w:val="auto"/>
          <w:sz w:val="32"/>
          <w:szCs w:val="28"/>
          <w:lang w:val="es-CR"/>
        </w:rPr>
      </w:pPr>
      <w:bookmarkStart w:id="13" w:name="_Toc23842379"/>
      <w:bookmarkStart w:id="14" w:name="_Toc109179106"/>
      <w:bookmarkStart w:id="15" w:name="_Toc131912451"/>
      <w:bookmarkStart w:id="16" w:name="_Toc163371956"/>
      <w:bookmarkStart w:id="17" w:name="_Toc195505389"/>
      <w:bookmarkStart w:id="18" w:name="_Toc226364822"/>
      <w:bookmarkStart w:id="19" w:name="_Toc273448676"/>
      <w:bookmarkStart w:id="20" w:name="_Toc61081362"/>
      <w:r w:rsidRPr="0023319B">
        <w:rPr>
          <w:rStyle w:val="nfasisintenso"/>
          <w:rFonts w:asciiTheme="minorHAnsi" w:hAnsiTheme="minorHAnsi" w:cstheme="minorHAnsi"/>
          <w:b/>
          <w:bCs w:val="0"/>
          <w:i w:val="0"/>
          <w:iCs w:val="0"/>
          <w:color w:val="auto"/>
          <w:sz w:val="32"/>
          <w:szCs w:val="28"/>
          <w:lang w:val="es-CR"/>
        </w:rPr>
        <w:t>OBJETO DEL INFORME</w:t>
      </w:r>
      <w:bookmarkEnd w:id="13"/>
      <w:bookmarkEnd w:id="14"/>
      <w:bookmarkEnd w:id="15"/>
      <w:bookmarkEnd w:id="16"/>
      <w:bookmarkEnd w:id="17"/>
      <w:bookmarkEnd w:id="18"/>
      <w:bookmarkEnd w:id="19"/>
      <w:bookmarkEnd w:id="20"/>
    </w:p>
    <w:p w14:paraId="64DC7510" w14:textId="77777777" w:rsidR="00225437" w:rsidRPr="0023319B" w:rsidRDefault="00225437" w:rsidP="00093594">
      <w:pPr>
        <w:ind w:right="51"/>
        <w:rPr>
          <w:rFonts w:asciiTheme="minorHAnsi" w:hAnsiTheme="minorHAnsi" w:cstheme="minorHAnsi"/>
          <w:sz w:val="24"/>
          <w:szCs w:val="24"/>
          <w:lang w:val="es-CR"/>
        </w:rPr>
      </w:pPr>
    </w:p>
    <w:p w14:paraId="64DC7511" w14:textId="791712AB" w:rsidR="00225437" w:rsidRPr="0023319B" w:rsidRDefault="00225437" w:rsidP="00093594">
      <w:pPr>
        <w:ind w:right="51"/>
        <w:rPr>
          <w:rFonts w:asciiTheme="minorHAnsi" w:hAnsiTheme="minorHAnsi" w:cstheme="minorHAnsi"/>
          <w:sz w:val="24"/>
          <w:szCs w:val="24"/>
          <w:lang w:val="es-CR"/>
        </w:rPr>
      </w:pPr>
      <w:r w:rsidRPr="0023319B">
        <w:rPr>
          <w:rFonts w:asciiTheme="minorHAnsi" w:hAnsiTheme="minorHAnsi" w:cstheme="minorHAnsi"/>
          <w:sz w:val="24"/>
          <w:szCs w:val="24"/>
          <w:lang w:val="es-CR"/>
        </w:rPr>
        <w:t xml:space="preserve">El presente informe de ejecución presupuestaria tiene como </w:t>
      </w:r>
      <w:r w:rsidR="00726C28" w:rsidRPr="0023319B">
        <w:rPr>
          <w:rFonts w:asciiTheme="minorHAnsi" w:hAnsiTheme="minorHAnsi" w:cstheme="minorHAnsi"/>
          <w:sz w:val="24"/>
          <w:szCs w:val="24"/>
          <w:lang w:val="es-CR"/>
        </w:rPr>
        <w:t>propósito</w:t>
      </w:r>
      <w:r w:rsidRPr="0023319B">
        <w:rPr>
          <w:rFonts w:asciiTheme="minorHAnsi" w:hAnsiTheme="minorHAnsi" w:cstheme="minorHAnsi"/>
          <w:sz w:val="24"/>
          <w:szCs w:val="24"/>
          <w:lang w:val="es-CR"/>
        </w:rPr>
        <w:t>:</w:t>
      </w:r>
    </w:p>
    <w:p w14:paraId="31A87E55" w14:textId="7FBAB697" w:rsidR="00EC142B" w:rsidRPr="0023319B" w:rsidRDefault="00EC142B" w:rsidP="00093594">
      <w:pPr>
        <w:numPr>
          <w:ilvl w:val="0"/>
          <w:numId w:val="3"/>
        </w:numPr>
        <w:tabs>
          <w:tab w:val="clear" w:pos="720"/>
        </w:tabs>
        <w:spacing w:before="120" w:after="120"/>
        <w:ind w:left="426" w:right="51"/>
        <w:rPr>
          <w:rFonts w:asciiTheme="minorHAnsi" w:hAnsiTheme="minorHAnsi" w:cstheme="minorHAnsi"/>
          <w:sz w:val="24"/>
          <w:szCs w:val="24"/>
          <w:lang w:val="es-CR"/>
        </w:rPr>
      </w:pPr>
      <w:r w:rsidRPr="0023319B">
        <w:rPr>
          <w:rFonts w:asciiTheme="minorHAnsi" w:hAnsiTheme="minorHAnsi" w:cstheme="minorHAnsi"/>
          <w:sz w:val="24"/>
          <w:szCs w:val="24"/>
          <w:lang w:val="es-CR"/>
        </w:rPr>
        <w:t xml:space="preserve">Brindar al </w:t>
      </w:r>
      <w:r w:rsidR="00AC7DE6" w:rsidRPr="0023319B">
        <w:rPr>
          <w:rFonts w:asciiTheme="minorHAnsi" w:hAnsiTheme="minorHAnsi" w:cstheme="minorHAnsi"/>
          <w:sz w:val="24"/>
          <w:szCs w:val="24"/>
          <w:lang w:val="es-CR"/>
        </w:rPr>
        <w:t>CONASSIF</w:t>
      </w:r>
      <w:r w:rsidRPr="0023319B">
        <w:rPr>
          <w:rFonts w:asciiTheme="minorHAnsi" w:hAnsiTheme="minorHAnsi" w:cstheme="minorHAnsi"/>
          <w:sz w:val="24"/>
          <w:szCs w:val="24"/>
          <w:lang w:val="es-CR"/>
        </w:rPr>
        <w:t xml:space="preserve"> y a la CGR, la información relativa a la ejecución del presupuesto de la </w:t>
      </w:r>
      <w:r w:rsidR="00F61278" w:rsidRPr="0023319B">
        <w:rPr>
          <w:rFonts w:asciiTheme="minorHAnsi" w:hAnsiTheme="minorHAnsi" w:cstheme="minorHAnsi"/>
          <w:sz w:val="24"/>
          <w:szCs w:val="24"/>
          <w:lang w:val="es-CR"/>
        </w:rPr>
        <w:t>SUPEN</w:t>
      </w:r>
      <w:r w:rsidRPr="0023319B">
        <w:rPr>
          <w:rFonts w:asciiTheme="minorHAnsi" w:hAnsiTheme="minorHAnsi" w:cstheme="minorHAnsi"/>
          <w:sz w:val="24"/>
          <w:szCs w:val="24"/>
          <w:lang w:val="es-CR"/>
        </w:rPr>
        <w:t xml:space="preserve">, para el </w:t>
      </w:r>
      <w:r w:rsidR="00100B83" w:rsidRPr="0023319B">
        <w:rPr>
          <w:rFonts w:asciiTheme="minorHAnsi" w:hAnsiTheme="minorHAnsi" w:cstheme="minorHAnsi"/>
          <w:sz w:val="24"/>
          <w:szCs w:val="24"/>
          <w:lang w:val="es-CR"/>
        </w:rPr>
        <w:t>ejercicio económico de 20</w:t>
      </w:r>
      <w:r w:rsidR="001952D5" w:rsidRPr="0023319B">
        <w:rPr>
          <w:rFonts w:asciiTheme="minorHAnsi" w:hAnsiTheme="minorHAnsi" w:cstheme="minorHAnsi"/>
          <w:sz w:val="24"/>
          <w:szCs w:val="24"/>
          <w:lang w:val="es-CR"/>
        </w:rPr>
        <w:t>20</w:t>
      </w:r>
      <w:r w:rsidRPr="0023319B">
        <w:rPr>
          <w:rFonts w:asciiTheme="minorHAnsi" w:hAnsiTheme="minorHAnsi" w:cstheme="minorHAnsi"/>
          <w:sz w:val="24"/>
          <w:szCs w:val="24"/>
          <w:lang w:val="es-CR"/>
        </w:rPr>
        <w:t xml:space="preserve">, de conformidad con los lineamientos exigidos para estos casos por el </w:t>
      </w:r>
      <w:r w:rsidR="00D71BFB" w:rsidRPr="0023319B">
        <w:rPr>
          <w:rFonts w:asciiTheme="minorHAnsi" w:hAnsiTheme="minorHAnsi" w:cstheme="minorHAnsi"/>
          <w:sz w:val="24"/>
          <w:szCs w:val="24"/>
          <w:lang w:val="es-CR"/>
        </w:rPr>
        <w:t>E</w:t>
      </w:r>
      <w:r w:rsidRPr="0023319B">
        <w:rPr>
          <w:rFonts w:asciiTheme="minorHAnsi" w:hAnsiTheme="minorHAnsi" w:cstheme="minorHAnsi"/>
          <w:sz w:val="24"/>
          <w:szCs w:val="24"/>
          <w:lang w:val="es-CR"/>
        </w:rPr>
        <w:t>nte Contralor y el Consejo.</w:t>
      </w:r>
    </w:p>
    <w:p w14:paraId="28036377" w14:textId="2876154A" w:rsidR="00EC142B" w:rsidRPr="0023319B" w:rsidRDefault="00EC142B" w:rsidP="00093594">
      <w:pPr>
        <w:numPr>
          <w:ilvl w:val="0"/>
          <w:numId w:val="3"/>
        </w:numPr>
        <w:tabs>
          <w:tab w:val="clear" w:pos="720"/>
        </w:tabs>
        <w:spacing w:before="120" w:after="120"/>
        <w:ind w:left="426" w:right="51"/>
        <w:rPr>
          <w:rFonts w:asciiTheme="minorHAnsi" w:hAnsiTheme="minorHAnsi" w:cstheme="minorHAnsi"/>
          <w:sz w:val="24"/>
          <w:szCs w:val="24"/>
          <w:lang w:val="es-CR"/>
        </w:rPr>
      </w:pPr>
      <w:r w:rsidRPr="0023319B">
        <w:rPr>
          <w:rFonts w:asciiTheme="minorHAnsi" w:hAnsiTheme="minorHAnsi" w:cstheme="minorHAnsi"/>
          <w:sz w:val="24"/>
          <w:szCs w:val="24"/>
          <w:lang w:val="es-CR"/>
        </w:rPr>
        <w:t>Analizar y justificar los niveles de ejecución de las principales cuentas presupuestarias, así como de aquellas cuentas en donde se dieron las mayores desviaciones</w:t>
      </w:r>
      <w:r w:rsidR="00675484" w:rsidRPr="0023319B">
        <w:rPr>
          <w:rFonts w:asciiTheme="minorHAnsi" w:hAnsiTheme="minorHAnsi" w:cstheme="minorHAnsi"/>
          <w:sz w:val="24"/>
          <w:szCs w:val="24"/>
          <w:lang w:val="es-CR"/>
        </w:rPr>
        <w:t xml:space="preserve"> para la consecución de las metas establecidas</w:t>
      </w:r>
      <w:r w:rsidRPr="0023319B">
        <w:rPr>
          <w:rFonts w:asciiTheme="minorHAnsi" w:hAnsiTheme="minorHAnsi" w:cstheme="minorHAnsi"/>
          <w:sz w:val="24"/>
          <w:szCs w:val="24"/>
          <w:lang w:val="es-CR"/>
        </w:rPr>
        <w:t>.</w:t>
      </w:r>
    </w:p>
    <w:p w14:paraId="64DC7514" w14:textId="62DE5CCE" w:rsidR="00225437" w:rsidRDefault="00EC142B" w:rsidP="00093594">
      <w:pPr>
        <w:numPr>
          <w:ilvl w:val="0"/>
          <w:numId w:val="3"/>
        </w:numPr>
        <w:tabs>
          <w:tab w:val="clear" w:pos="720"/>
        </w:tabs>
        <w:spacing w:before="120" w:after="120"/>
        <w:ind w:left="426" w:right="51"/>
        <w:rPr>
          <w:rFonts w:asciiTheme="minorHAnsi" w:hAnsiTheme="minorHAnsi" w:cstheme="minorHAnsi"/>
          <w:sz w:val="24"/>
          <w:szCs w:val="24"/>
          <w:lang w:val="es-CR"/>
        </w:rPr>
      </w:pPr>
      <w:r w:rsidRPr="0023319B">
        <w:rPr>
          <w:rFonts w:asciiTheme="minorHAnsi" w:hAnsiTheme="minorHAnsi" w:cstheme="minorHAnsi"/>
          <w:sz w:val="24"/>
          <w:szCs w:val="24"/>
          <w:lang w:val="es-CR"/>
        </w:rPr>
        <w:t xml:space="preserve">Utilizar los informes de ejecución presupuestaria, los mecanismos de control y seguimiento como una herramienta de gestión y control tanto para la </w:t>
      </w:r>
      <w:r w:rsidR="00F61278" w:rsidRPr="0023319B">
        <w:rPr>
          <w:rFonts w:asciiTheme="minorHAnsi" w:hAnsiTheme="minorHAnsi" w:cstheme="minorHAnsi"/>
          <w:sz w:val="24"/>
          <w:szCs w:val="24"/>
          <w:lang w:val="es-CR"/>
        </w:rPr>
        <w:t>SUPEN</w:t>
      </w:r>
      <w:r w:rsidRPr="0023319B">
        <w:rPr>
          <w:rFonts w:asciiTheme="minorHAnsi" w:hAnsiTheme="minorHAnsi" w:cstheme="minorHAnsi"/>
          <w:sz w:val="24"/>
          <w:szCs w:val="24"/>
          <w:lang w:val="es-CR"/>
        </w:rPr>
        <w:t xml:space="preserve"> como para el </w:t>
      </w:r>
      <w:r w:rsidR="00AC7DE6" w:rsidRPr="0023319B">
        <w:rPr>
          <w:rFonts w:asciiTheme="minorHAnsi" w:hAnsiTheme="minorHAnsi" w:cstheme="minorHAnsi"/>
          <w:sz w:val="24"/>
          <w:szCs w:val="24"/>
          <w:lang w:val="es-CR"/>
        </w:rPr>
        <w:t>CONASSIF</w:t>
      </w:r>
      <w:r w:rsidR="00573E3A" w:rsidRPr="0023319B">
        <w:rPr>
          <w:rFonts w:asciiTheme="minorHAnsi" w:hAnsiTheme="minorHAnsi" w:cstheme="minorHAnsi"/>
          <w:sz w:val="24"/>
          <w:szCs w:val="24"/>
          <w:lang w:val="es-CR"/>
        </w:rPr>
        <w:t xml:space="preserve">. </w:t>
      </w:r>
      <w:r w:rsidR="00225437" w:rsidRPr="0023319B">
        <w:rPr>
          <w:rFonts w:asciiTheme="minorHAnsi" w:hAnsiTheme="minorHAnsi" w:cstheme="minorHAnsi"/>
          <w:sz w:val="24"/>
          <w:szCs w:val="24"/>
          <w:lang w:val="es-CR"/>
        </w:rPr>
        <w:t xml:space="preserve"> </w:t>
      </w:r>
    </w:p>
    <w:p w14:paraId="079B2AD3" w14:textId="409BB358" w:rsidR="003D5A3A" w:rsidRPr="0023319B" w:rsidRDefault="003D5A3A" w:rsidP="00093594">
      <w:pPr>
        <w:numPr>
          <w:ilvl w:val="0"/>
          <w:numId w:val="3"/>
        </w:numPr>
        <w:tabs>
          <w:tab w:val="clear" w:pos="720"/>
        </w:tabs>
        <w:spacing w:before="120" w:after="120"/>
        <w:ind w:left="426" w:right="51"/>
        <w:rPr>
          <w:rFonts w:asciiTheme="minorHAnsi" w:hAnsiTheme="minorHAnsi" w:cstheme="minorHAnsi"/>
          <w:sz w:val="24"/>
          <w:szCs w:val="24"/>
          <w:lang w:val="es-CR"/>
        </w:rPr>
      </w:pPr>
      <w:r w:rsidRPr="003D5A3A">
        <w:rPr>
          <w:rFonts w:asciiTheme="minorHAnsi" w:hAnsiTheme="minorHAnsi" w:cstheme="minorHAnsi"/>
          <w:sz w:val="24"/>
          <w:szCs w:val="24"/>
          <w:lang w:val="es-CR"/>
        </w:rPr>
        <w:t>Evaluar la ejecución del Plan Operativo Institucional de acuerdo con los lineamientos exigidos por la Contraloría General de la Republica y el CONASSIF.</w:t>
      </w:r>
    </w:p>
    <w:p w14:paraId="70A80DD3" w14:textId="1DCA6F64" w:rsidR="001F067B" w:rsidRPr="0023319B" w:rsidRDefault="001F067B">
      <w:pPr>
        <w:spacing w:line="240" w:lineRule="auto"/>
        <w:jc w:val="left"/>
        <w:rPr>
          <w:rFonts w:asciiTheme="minorHAnsi" w:hAnsiTheme="minorHAnsi" w:cstheme="minorHAnsi"/>
          <w:sz w:val="24"/>
          <w:szCs w:val="24"/>
          <w:lang w:val="es-CR"/>
        </w:rPr>
      </w:pPr>
      <w:r w:rsidRPr="0023319B">
        <w:rPr>
          <w:rFonts w:asciiTheme="minorHAnsi" w:hAnsiTheme="minorHAnsi" w:cstheme="minorHAnsi"/>
          <w:sz w:val="24"/>
          <w:szCs w:val="24"/>
          <w:lang w:val="es-CR"/>
        </w:rPr>
        <w:br w:type="page"/>
      </w:r>
    </w:p>
    <w:p w14:paraId="5BCE765A" w14:textId="010FDFF9" w:rsidR="00702871" w:rsidRPr="0023319B" w:rsidRDefault="00702871" w:rsidP="00693F29">
      <w:pPr>
        <w:pStyle w:val="Ttulo1"/>
        <w:rPr>
          <w:rFonts w:asciiTheme="minorHAnsi" w:hAnsiTheme="minorHAnsi" w:cstheme="minorHAnsi"/>
          <w:b w:val="0"/>
          <w:bCs/>
          <w:sz w:val="20"/>
          <w:lang w:val="es-CR"/>
        </w:rPr>
      </w:pPr>
      <w:bookmarkStart w:id="21" w:name="_Toc61081363"/>
      <w:r w:rsidRPr="0023319B">
        <w:rPr>
          <w:rFonts w:asciiTheme="minorHAnsi" w:hAnsiTheme="minorHAnsi" w:cstheme="minorHAnsi"/>
          <w:sz w:val="28"/>
          <w:szCs w:val="28"/>
          <w:lang w:val="es-CR"/>
        </w:rPr>
        <w:t>I</w:t>
      </w:r>
      <w:r w:rsidR="005240F6" w:rsidRPr="0023319B">
        <w:rPr>
          <w:rFonts w:asciiTheme="minorHAnsi" w:hAnsiTheme="minorHAnsi" w:cstheme="minorHAnsi"/>
          <w:sz w:val="28"/>
          <w:szCs w:val="28"/>
          <w:lang w:val="es-CR"/>
        </w:rPr>
        <w:tab/>
      </w:r>
      <w:r w:rsidR="009A26F0" w:rsidRPr="0023319B">
        <w:rPr>
          <w:rFonts w:asciiTheme="minorHAnsi" w:hAnsiTheme="minorHAnsi" w:cstheme="minorHAnsi"/>
          <w:sz w:val="28"/>
          <w:szCs w:val="28"/>
          <w:lang w:val="es-CR"/>
        </w:rPr>
        <w:t xml:space="preserve">RESULTADO DE LA </w:t>
      </w:r>
      <w:r w:rsidRPr="0023319B">
        <w:rPr>
          <w:rFonts w:asciiTheme="minorHAnsi" w:hAnsiTheme="minorHAnsi" w:cstheme="minorHAnsi"/>
          <w:sz w:val="28"/>
          <w:szCs w:val="28"/>
          <w:lang w:val="es-CR"/>
        </w:rPr>
        <w:t xml:space="preserve">EJECUCIÓN </w:t>
      </w:r>
      <w:r w:rsidR="009A26F0" w:rsidRPr="0023319B">
        <w:rPr>
          <w:rFonts w:asciiTheme="minorHAnsi" w:hAnsiTheme="minorHAnsi" w:cstheme="minorHAnsi"/>
          <w:sz w:val="28"/>
          <w:szCs w:val="28"/>
          <w:lang w:val="es-CR"/>
        </w:rPr>
        <w:t>FINANCIERA</w:t>
      </w:r>
      <w:r w:rsidR="00FE2670" w:rsidRPr="0023319B">
        <w:rPr>
          <w:rFonts w:asciiTheme="minorHAnsi" w:hAnsiTheme="minorHAnsi" w:cstheme="minorHAnsi"/>
          <w:sz w:val="28"/>
          <w:szCs w:val="28"/>
          <w:lang w:val="es-CR"/>
        </w:rPr>
        <w:t xml:space="preserve"> </w:t>
      </w:r>
      <w:r w:rsidR="00FE2670" w:rsidRPr="0023319B">
        <w:rPr>
          <w:rFonts w:asciiTheme="minorHAnsi" w:hAnsiTheme="minorHAnsi" w:cstheme="minorHAnsi"/>
          <w:b w:val="0"/>
          <w:bCs/>
          <w:sz w:val="20"/>
          <w:lang w:val="es-CR"/>
        </w:rPr>
        <w:t>(4.3.15)</w:t>
      </w:r>
      <w:bookmarkEnd w:id="21"/>
    </w:p>
    <w:p w14:paraId="664587DE" w14:textId="77777777" w:rsidR="00702871" w:rsidRPr="0023319B" w:rsidRDefault="00702871">
      <w:pPr>
        <w:spacing w:line="240" w:lineRule="auto"/>
        <w:jc w:val="left"/>
        <w:rPr>
          <w:rFonts w:asciiTheme="minorHAnsi" w:hAnsiTheme="minorHAnsi" w:cstheme="minorHAnsi"/>
          <w:sz w:val="24"/>
          <w:szCs w:val="24"/>
          <w:lang w:val="es-CR"/>
        </w:rPr>
      </w:pPr>
    </w:p>
    <w:p w14:paraId="64DC7517" w14:textId="3D0CA008" w:rsidR="00225437" w:rsidRPr="0023319B" w:rsidRDefault="00225437" w:rsidP="008665FC">
      <w:pPr>
        <w:pStyle w:val="Ttulo1"/>
        <w:numPr>
          <w:ilvl w:val="0"/>
          <w:numId w:val="24"/>
        </w:numPr>
        <w:pBdr>
          <w:bottom w:val="none" w:sz="0" w:space="0" w:color="auto"/>
        </w:pBdr>
        <w:shd w:val="clear" w:color="auto" w:fill="FFFFFF" w:themeFill="background1"/>
        <w:rPr>
          <w:rStyle w:val="nfasisintenso"/>
          <w:rFonts w:ascii="Arial" w:hAnsi="Arial" w:cs="Arial"/>
          <w:i w:val="0"/>
          <w:iCs w:val="0"/>
          <w:color w:val="auto"/>
          <w:sz w:val="28"/>
          <w:szCs w:val="24"/>
          <w:lang w:val="es-CR"/>
        </w:rPr>
      </w:pPr>
      <w:bookmarkStart w:id="22" w:name="_Toc109179107"/>
      <w:bookmarkStart w:id="23" w:name="_Toc131912452"/>
      <w:bookmarkStart w:id="24" w:name="_Toc163371957"/>
      <w:bookmarkStart w:id="25" w:name="_Toc195505390"/>
      <w:bookmarkStart w:id="26" w:name="_Toc226364823"/>
      <w:bookmarkStart w:id="27" w:name="_Toc273448677"/>
      <w:bookmarkStart w:id="28" w:name="_Toc61081364"/>
      <w:bookmarkStart w:id="29" w:name="_Toc514582661"/>
      <w:bookmarkStart w:id="30" w:name="_Toc16481527"/>
      <w:r w:rsidRPr="0023319B">
        <w:rPr>
          <w:rStyle w:val="nfasisintenso"/>
          <w:rFonts w:ascii="Arial" w:hAnsi="Arial" w:cs="Arial"/>
          <w:i w:val="0"/>
          <w:iCs w:val="0"/>
          <w:color w:val="auto"/>
          <w:sz w:val="28"/>
          <w:szCs w:val="24"/>
          <w:lang w:val="es-CR"/>
        </w:rPr>
        <w:t>Comentario de los datos</w:t>
      </w:r>
      <w:bookmarkEnd w:id="22"/>
      <w:bookmarkEnd w:id="23"/>
      <w:bookmarkEnd w:id="24"/>
      <w:r w:rsidRPr="0023319B">
        <w:rPr>
          <w:rStyle w:val="nfasisintenso"/>
          <w:rFonts w:ascii="Arial" w:hAnsi="Arial" w:cs="Arial"/>
          <w:i w:val="0"/>
          <w:iCs w:val="0"/>
          <w:color w:val="auto"/>
          <w:sz w:val="28"/>
          <w:szCs w:val="24"/>
          <w:lang w:val="es-CR"/>
        </w:rPr>
        <w:t xml:space="preserve"> </w:t>
      </w:r>
      <w:bookmarkEnd w:id="25"/>
      <w:bookmarkEnd w:id="26"/>
      <w:bookmarkEnd w:id="27"/>
      <w:r w:rsidR="001A1BA2" w:rsidRPr="0023319B">
        <w:rPr>
          <w:rStyle w:val="nfasisintenso"/>
          <w:rFonts w:ascii="Arial" w:hAnsi="Arial" w:cs="Arial"/>
          <w:i w:val="0"/>
          <w:iCs w:val="0"/>
          <w:color w:val="auto"/>
          <w:sz w:val="28"/>
          <w:szCs w:val="24"/>
          <w:lang w:val="es-CR"/>
        </w:rPr>
        <w:t>por cuenta presupuestaria</w:t>
      </w:r>
      <w:bookmarkEnd w:id="28"/>
    </w:p>
    <w:p w14:paraId="64DC7518" w14:textId="77777777" w:rsidR="00225437" w:rsidRPr="0023319B" w:rsidRDefault="00225437" w:rsidP="00093594">
      <w:pPr>
        <w:ind w:right="51"/>
        <w:rPr>
          <w:rFonts w:asciiTheme="minorHAnsi" w:hAnsiTheme="minorHAnsi" w:cstheme="minorHAnsi"/>
          <w:lang w:val="es-CR"/>
        </w:rPr>
      </w:pPr>
    </w:p>
    <w:p w14:paraId="64DC7519" w14:textId="054776EB" w:rsidR="00225437" w:rsidRPr="0023319B" w:rsidRDefault="00225437" w:rsidP="003E35E4">
      <w:pPr>
        <w:pStyle w:val="Ttulo2"/>
      </w:pPr>
      <w:bookmarkStart w:id="31" w:name="_Toc70497972"/>
      <w:bookmarkStart w:id="32" w:name="_Toc131912453"/>
      <w:bookmarkStart w:id="33" w:name="_Toc163371958"/>
      <w:bookmarkStart w:id="34" w:name="_Toc195505391"/>
      <w:bookmarkStart w:id="35" w:name="_Toc226364824"/>
      <w:bookmarkStart w:id="36" w:name="_Toc273448678"/>
      <w:bookmarkStart w:id="37" w:name="_Toc61081365"/>
      <w:r w:rsidRPr="0023319B">
        <w:t>Cuenta 0</w:t>
      </w:r>
      <w:r w:rsidR="00981270" w:rsidRPr="0023319B">
        <w:tab/>
      </w:r>
      <w:r w:rsidRPr="0023319B">
        <w:t>“</w:t>
      </w:r>
      <w:r w:rsidR="00B832A6" w:rsidRPr="0023319B">
        <w:t>Remuneraciones</w:t>
      </w:r>
      <w:r w:rsidRPr="0023319B">
        <w:t>”</w:t>
      </w:r>
      <w:bookmarkEnd w:id="31"/>
      <w:bookmarkEnd w:id="32"/>
      <w:bookmarkEnd w:id="33"/>
      <w:bookmarkEnd w:id="34"/>
      <w:bookmarkEnd w:id="35"/>
      <w:bookmarkEnd w:id="36"/>
      <w:bookmarkEnd w:id="37"/>
    </w:p>
    <w:p w14:paraId="34391EDA" w14:textId="77777777" w:rsidR="001B7AE0" w:rsidRPr="0023319B" w:rsidRDefault="001B7AE0" w:rsidP="00093594">
      <w:pPr>
        <w:spacing w:line="240" w:lineRule="auto"/>
        <w:ind w:right="51"/>
        <w:rPr>
          <w:rFonts w:asciiTheme="minorHAnsi" w:hAnsiTheme="minorHAnsi" w:cstheme="minorHAnsi"/>
          <w:sz w:val="24"/>
          <w:szCs w:val="24"/>
          <w:lang w:val="es-CR"/>
        </w:rPr>
      </w:pPr>
    </w:p>
    <w:p w14:paraId="7E114CD8" w14:textId="77777777" w:rsidR="008E7333" w:rsidRPr="0023319B" w:rsidRDefault="008E7333" w:rsidP="008E7333">
      <w:pPr>
        <w:ind w:right="51"/>
        <w:rPr>
          <w:rFonts w:asciiTheme="minorHAnsi" w:hAnsiTheme="minorHAnsi" w:cstheme="minorHAnsi"/>
          <w:sz w:val="24"/>
          <w:szCs w:val="24"/>
          <w:lang w:val="es-CR"/>
        </w:rPr>
      </w:pPr>
      <w:r w:rsidRPr="0023319B">
        <w:rPr>
          <w:rFonts w:asciiTheme="minorHAnsi" w:hAnsiTheme="minorHAnsi" w:cstheme="minorHAnsi"/>
          <w:sz w:val="24"/>
          <w:szCs w:val="24"/>
          <w:lang w:val="es-CR"/>
        </w:rPr>
        <w:t>En el Cuadro 1 se muestran los niveles de ejecución para las subcuentas que conforman la partida denominada “Remuneraciones”.</w:t>
      </w:r>
    </w:p>
    <w:p w14:paraId="693ED418" w14:textId="56646B7A" w:rsidR="00E849D9" w:rsidRPr="0023319B" w:rsidRDefault="00E849D9" w:rsidP="00093594">
      <w:pPr>
        <w:ind w:right="51"/>
        <w:rPr>
          <w:rFonts w:asciiTheme="minorHAnsi" w:hAnsiTheme="minorHAnsi" w:cstheme="minorHAnsi"/>
          <w:sz w:val="24"/>
          <w:szCs w:val="24"/>
          <w:lang w:val="es-CR"/>
        </w:rPr>
      </w:pPr>
    </w:p>
    <w:p w14:paraId="4CEFE3A4" w14:textId="20C2884E" w:rsidR="00CB0CF9" w:rsidRPr="0023319B" w:rsidRDefault="00CB0CF9" w:rsidP="00A9221D">
      <w:pPr>
        <w:pStyle w:val="Ttulo3"/>
      </w:pPr>
      <w:bookmarkStart w:id="38" w:name="_Toc61081366"/>
      <w:r w:rsidRPr="0023319B">
        <w:rPr>
          <w:i/>
          <w:szCs w:val="20"/>
        </w:rPr>
        <w:t xml:space="preserve">Cuadro 1: </w:t>
      </w:r>
      <w:r w:rsidRPr="0023319B">
        <w:t xml:space="preserve">Detalle de </w:t>
      </w:r>
      <w:r w:rsidR="00D95EFA" w:rsidRPr="0023319B">
        <w:t xml:space="preserve">la </w:t>
      </w:r>
      <w:r w:rsidRPr="0023319B">
        <w:t xml:space="preserve">ejecución </w:t>
      </w:r>
      <w:r w:rsidR="005F7A4A" w:rsidRPr="0023319B">
        <w:t>de remuneraciones e incentivos</w:t>
      </w:r>
      <w:bookmarkEnd w:id="38"/>
    </w:p>
    <w:p w14:paraId="29FCEB89" w14:textId="6ED0E42D" w:rsidR="00CB0CF9" w:rsidRDefault="00CB0CF9" w:rsidP="004F71E6">
      <w:pPr>
        <w:spacing w:line="240" w:lineRule="auto"/>
        <w:ind w:left="426" w:right="51"/>
        <w:jc w:val="left"/>
        <w:rPr>
          <w:rFonts w:ascii="Calibri Light" w:hAnsi="Calibri Light" w:cs="Calibri Light"/>
          <w:i/>
          <w:sz w:val="16"/>
          <w:szCs w:val="16"/>
          <w:lang w:val="es-CR"/>
        </w:rPr>
      </w:pPr>
      <w:r w:rsidRPr="0023319B">
        <w:rPr>
          <w:rFonts w:ascii="Calibri Light" w:hAnsi="Calibri Light" w:cs="Calibri Light"/>
          <w:i/>
          <w:sz w:val="16"/>
          <w:szCs w:val="16"/>
          <w:lang w:val="es-CR"/>
        </w:rPr>
        <w:t>Montos en colones</w:t>
      </w:r>
    </w:p>
    <w:tbl>
      <w:tblPr>
        <w:tblW w:w="9488" w:type="dxa"/>
        <w:tblLayout w:type="fixed"/>
        <w:tblCellMar>
          <w:left w:w="70" w:type="dxa"/>
          <w:right w:w="70" w:type="dxa"/>
        </w:tblCellMar>
        <w:tblLook w:val="04A0" w:firstRow="1" w:lastRow="0" w:firstColumn="1" w:lastColumn="0" w:noHBand="0" w:noVBand="1"/>
      </w:tblPr>
      <w:tblGrid>
        <w:gridCol w:w="699"/>
        <w:gridCol w:w="945"/>
        <w:gridCol w:w="2457"/>
        <w:gridCol w:w="1203"/>
        <w:gridCol w:w="1276"/>
        <w:gridCol w:w="781"/>
        <w:gridCol w:w="1134"/>
        <w:gridCol w:w="993"/>
      </w:tblGrid>
      <w:tr w:rsidR="00E32354" w:rsidRPr="00C15B96" w14:paraId="633D88BF" w14:textId="77777777" w:rsidTr="004B1864">
        <w:trPr>
          <w:trHeight w:val="250"/>
        </w:trPr>
        <w:tc>
          <w:tcPr>
            <w:tcW w:w="1644" w:type="dxa"/>
            <w:gridSpan w:val="2"/>
            <w:tcBorders>
              <w:top w:val="single" w:sz="8" w:space="0" w:color="auto"/>
              <w:left w:val="single" w:sz="8" w:space="0" w:color="auto"/>
              <w:bottom w:val="single" w:sz="4" w:space="0" w:color="auto"/>
              <w:right w:val="single" w:sz="8" w:space="0" w:color="000000"/>
            </w:tcBorders>
            <w:shd w:val="clear" w:color="000000" w:fill="B4C6E7"/>
            <w:vAlign w:val="center"/>
            <w:hideMark/>
          </w:tcPr>
          <w:p w14:paraId="7334FC7E" w14:textId="77777777" w:rsidR="00E32354" w:rsidRPr="00E32354" w:rsidRDefault="00E32354" w:rsidP="00E32354">
            <w:pPr>
              <w:spacing w:line="240" w:lineRule="auto"/>
              <w:jc w:val="center"/>
              <w:rPr>
                <w:rFonts w:asciiTheme="minorHAnsi" w:hAnsiTheme="minorHAnsi" w:cstheme="minorHAnsi"/>
                <w:color w:val="000000"/>
                <w:sz w:val="18"/>
                <w:szCs w:val="18"/>
                <w:lang w:val="es-CR" w:eastAsia="es-CR"/>
              </w:rPr>
            </w:pPr>
            <w:r w:rsidRPr="00E32354">
              <w:rPr>
                <w:rFonts w:asciiTheme="minorHAnsi" w:hAnsiTheme="minorHAnsi" w:cstheme="minorHAnsi"/>
                <w:color w:val="000000"/>
                <w:sz w:val="18"/>
                <w:szCs w:val="18"/>
                <w:lang w:val="es-CR" w:eastAsia="es-CR"/>
              </w:rPr>
              <w:t>Clasificador</w:t>
            </w:r>
          </w:p>
        </w:tc>
        <w:tc>
          <w:tcPr>
            <w:tcW w:w="2457" w:type="dxa"/>
            <w:vMerge w:val="restart"/>
            <w:tcBorders>
              <w:top w:val="single" w:sz="8" w:space="0" w:color="auto"/>
              <w:left w:val="nil"/>
              <w:bottom w:val="single" w:sz="8" w:space="0" w:color="000000"/>
              <w:right w:val="single" w:sz="8" w:space="0" w:color="auto"/>
            </w:tcBorders>
            <w:shd w:val="clear" w:color="000000" w:fill="B4C6E7"/>
            <w:vAlign w:val="center"/>
            <w:hideMark/>
          </w:tcPr>
          <w:p w14:paraId="52C75E8A" w14:textId="77777777" w:rsidR="00E32354" w:rsidRPr="00E32354" w:rsidRDefault="00E32354" w:rsidP="00E32354">
            <w:pPr>
              <w:spacing w:line="240" w:lineRule="auto"/>
              <w:jc w:val="center"/>
              <w:rPr>
                <w:rFonts w:asciiTheme="minorHAnsi" w:hAnsiTheme="minorHAnsi" w:cstheme="minorHAnsi"/>
                <w:color w:val="000000"/>
                <w:sz w:val="18"/>
                <w:szCs w:val="18"/>
                <w:lang w:val="es-CR" w:eastAsia="es-CR"/>
              </w:rPr>
            </w:pPr>
            <w:r w:rsidRPr="00E32354">
              <w:rPr>
                <w:rFonts w:asciiTheme="minorHAnsi" w:hAnsiTheme="minorHAnsi" w:cstheme="minorHAnsi"/>
                <w:color w:val="000000"/>
                <w:sz w:val="18"/>
                <w:szCs w:val="18"/>
                <w:lang w:val="es-CR" w:eastAsia="es-CR"/>
              </w:rPr>
              <w:t>DESCRIPCIÓN</w:t>
            </w:r>
          </w:p>
        </w:tc>
        <w:tc>
          <w:tcPr>
            <w:tcW w:w="1203" w:type="dxa"/>
            <w:vMerge w:val="restart"/>
            <w:tcBorders>
              <w:top w:val="single" w:sz="8" w:space="0" w:color="auto"/>
              <w:left w:val="single" w:sz="8" w:space="0" w:color="auto"/>
              <w:bottom w:val="single" w:sz="8" w:space="0" w:color="000000"/>
              <w:right w:val="single" w:sz="8" w:space="0" w:color="auto"/>
            </w:tcBorders>
            <w:shd w:val="clear" w:color="000000" w:fill="B4C6E7"/>
            <w:vAlign w:val="center"/>
            <w:hideMark/>
          </w:tcPr>
          <w:p w14:paraId="4582BC35" w14:textId="77777777" w:rsidR="00E32354" w:rsidRPr="00E32354" w:rsidRDefault="00E32354" w:rsidP="00E32354">
            <w:pPr>
              <w:spacing w:line="240" w:lineRule="auto"/>
              <w:jc w:val="center"/>
              <w:rPr>
                <w:rFonts w:asciiTheme="minorHAnsi" w:hAnsiTheme="minorHAnsi" w:cstheme="minorHAnsi"/>
                <w:color w:val="000000"/>
                <w:sz w:val="18"/>
                <w:szCs w:val="18"/>
                <w:lang w:val="es-CR" w:eastAsia="es-CR"/>
              </w:rPr>
            </w:pPr>
            <w:r w:rsidRPr="00E32354">
              <w:rPr>
                <w:rFonts w:asciiTheme="minorHAnsi" w:hAnsiTheme="minorHAnsi" w:cstheme="minorHAnsi"/>
                <w:color w:val="000000"/>
                <w:sz w:val="18"/>
                <w:szCs w:val="18"/>
                <w:lang w:val="es-CR" w:eastAsia="es-CR"/>
              </w:rPr>
              <w:t>PRESUPUESTO</w:t>
            </w:r>
          </w:p>
        </w:tc>
        <w:tc>
          <w:tcPr>
            <w:tcW w:w="1276" w:type="dxa"/>
            <w:vMerge w:val="restart"/>
            <w:tcBorders>
              <w:top w:val="single" w:sz="8" w:space="0" w:color="auto"/>
              <w:left w:val="single" w:sz="8" w:space="0" w:color="auto"/>
              <w:bottom w:val="single" w:sz="8" w:space="0" w:color="000000"/>
              <w:right w:val="single" w:sz="8" w:space="0" w:color="auto"/>
            </w:tcBorders>
            <w:shd w:val="clear" w:color="000000" w:fill="B4C6E7"/>
            <w:vAlign w:val="center"/>
            <w:hideMark/>
          </w:tcPr>
          <w:p w14:paraId="437B228F" w14:textId="3D58FB2C" w:rsidR="00E32354" w:rsidRPr="00E32354" w:rsidRDefault="00E32354" w:rsidP="00E32354">
            <w:pPr>
              <w:spacing w:line="240" w:lineRule="auto"/>
              <w:jc w:val="center"/>
              <w:rPr>
                <w:rFonts w:asciiTheme="minorHAnsi" w:hAnsiTheme="minorHAnsi" w:cstheme="minorHAnsi"/>
                <w:color w:val="000000"/>
                <w:sz w:val="18"/>
                <w:szCs w:val="18"/>
                <w:lang w:val="es-CR" w:eastAsia="es-CR"/>
              </w:rPr>
            </w:pPr>
            <w:r w:rsidRPr="00E32354">
              <w:rPr>
                <w:rFonts w:asciiTheme="minorHAnsi" w:hAnsiTheme="minorHAnsi" w:cstheme="minorHAnsi"/>
                <w:color w:val="000000"/>
                <w:sz w:val="18"/>
                <w:szCs w:val="18"/>
                <w:lang w:val="es-CR" w:eastAsia="es-CR"/>
              </w:rPr>
              <w:t xml:space="preserve">GASTO </w:t>
            </w:r>
          </w:p>
        </w:tc>
        <w:tc>
          <w:tcPr>
            <w:tcW w:w="781" w:type="dxa"/>
            <w:vMerge w:val="restart"/>
            <w:tcBorders>
              <w:top w:val="single" w:sz="8" w:space="0" w:color="auto"/>
              <w:left w:val="single" w:sz="8" w:space="0" w:color="auto"/>
              <w:bottom w:val="single" w:sz="8" w:space="0" w:color="000000"/>
              <w:right w:val="single" w:sz="8" w:space="0" w:color="auto"/>
            </w:tcBorders>
            <w:shd w:val="clear" w:color="000000" w:fill="B4C6E7"/>
            <w:vAlign w:val="center"/>
            <w:hideMark/>
          </w:tcPr>
          <w:p w14:paraId="65E9919A" w14:textId="77777777" w:rsidR="00E32354" w:rsidRPr="00E32354" w:rsidRDefault="00E32354" w:rsidP="00E32354">
            <w:pPr>
              <w:spacing w:line="240" w:lineRule="auto"/>
              <w:jc w:val="center"/>
              <w:rPr>
                <w:rFonts w:asciiTheme="minorHAnsi" w:hAnsiTheme="minorHAnsi" w:cstheme="minorHAnsi"/>
                <w:color w:val="000000"/>
                <w:sz w:val="18"/>
                <w:szCs w:val="18"/>
                <w:lang w:val="es-CR" w:eastAsia="es-CR"/>
              </w:rPr>
            </w:pPr>
            <w:r w:rsidRPr="00E32354">
              <w:rPr>
                <w:rFonts w:asciiTheme="minorHAnsi" w:hAnsiTheme="minorHAnsi" w:cstheme="minorHAnsi"/>
                <w:color w:val="000000"/>
                <w:sz w:val="18"/>
                <w:szCs w:val="18"/>
                <w:lang w:val="es-CR" w:eastAsia="es-CR"/>
              </w:rPr>
              <w:t>COMPROMISO</w:t>
            </w:r>
          </w:p>
        </w:tc>
        <w:tc>
          <w:tcPr>
            <w:tcW w:w="1134" w:type="dxa"/>
            <w:vMerge w:val="restart"/>
            <w:tcBorders>
              <w:top w:val="single" w:sz="8" w:space="0" w:color="auto"/>
              <w:left w:val="nil"/>
              <w:bottom w:val="single" w:sz="8" w:space="0" w:color="000000"/>
              <w:right w:val="single" w:sz="8" w:space="0" w:color="auto"/>
            </w:tcBorders>
            <w:shd w:val="clear" w:color="000000" w:fill="B4C6E7"/>
            <w:vAlign w:val="center"/>
            <w:hideMark/>
          </w:tcPr>
          <w:p w14:paraId="4C83AFFD" w14:textId="77777777" w:rsidR="00E32354" w:rsidRPr="00E32354" w:rsidRDefault="00E32354" w:rsidP="00E32354">
            <w:pPr>
              <w:spacing w:line="240" w:lineRule="auto"/>
              <w:jc w:val="center"/>
              <w:rPr>
                <w:rFonts w:asciiTheme="minorHAnsi" w:hAnsiTheme="minorHAnsi" w:cstheme="minorHAnsi"/>
                <w:color w:val="000000"/>
                <w:sz w:val="18"/>
                <w:szCs w:val="18"/>
                <w:lang w:val="es-CR" w:eastAsia="es-CR"/>
              </w:rPr>
            </w:pPr>
            <w:r w:rsidRPr="00E32354">
              <w:rPr>
                <w:rFonts w:asciiTheme="minorHAnsi" w:hAnsiTheme="minorHAnsi" w:cstheme="minorHAnsi"/>
                <w:color w:val="000000"/>
                <w:sz w:val="18"/>
                <w:szCs w:val="18"/>
                <w:lang w:val="es-CR" w:eastAsia="es-CR"/>
              </w:rPr>
              <w:t>DISPONIBLE</w:t>
            </w:r>
          </w:p>
        </w:tc>
        <w:tc>
          <w:tcPr>
            <w:tcW w:w="993" w:type="dxa"/>
            <w:vMerge w:val="restart"/>
            <w:tcBorders>
              <w:top w:val="single" w:sz="8" w:space="0" w:color="auto"/>
              <w:left w:val="single" w:sz="8" w:space="0" w:color="auto"/>
              <w:bottom w:val="single" w:sz="8" w:space="0" w:color="000000"/>
              <w:right w:val="single" w:sz="8" w:space="0" w:color="auto"/>
            </w:tcBorders>
            <w:shd w:val="clear" w:color="000000" w:fill="B4C6E7"/>
            <w:vAlign w:val="center"/>
            <w:hideMark/>
          </w:tcPr>
          <w:p w14:paraId="73035E17" w14:textId="77777777" w:rsidR="00E32354" w:rsidRPr="00E32354" w:rsidRDefault="00E32354" w:rsidP="00E32354">
            <w:pPr>
              <w:spacing w:line="240" w:lineRule="auto"/>
              <w:jc w:val="center"/>
              <w:rPr>
                <w:rFonts w:asciiTheme="minorHAnsi" w:hAnsiTheme="minorHAnsi" w:cstheme="minorHAnsi"/>
                <w:color w:val="000000"/>
                <w:sz w:val="18"/>
                <w:szCs w:val="18"/>
                <w:lang w:val="es-CR" w:eastAsia="es-CR"/>
              </w:rPr>
            </w:pPr>
            <w:r w:rsidRPr="00E32354">
              <w:rPr>
                <w:rFonts w:asciiTheme="minorHAnsi" w:hAnsiTheme="minorHAnsi" w:cstheme="minorHAnsi"/>
                <w:color w:val="000000"/>
                <w:sz w:val="18"/>
                <w:szCs w:val="18"/>
                <w:lang w:val="es-CR" w:eastAsia="es-CR"/>
              </w:rPr>
              <w:t>% DE EJECUCIÓN</w:t>
            </w:r>
          </w:p>
        </w:tc>
      </w:tr>
      <w:tr w:rsidR="00C15B96" w:rsidRPr="00E32354" w14:paraId="40687518" w14:textId="77777777" w:rsidTr="004B1864">
        <w:trPr>
          <w:trHeight w:val="260"/>
        </w:trPr>
        <w:tc>
          <w:tcPr>
            <w:tcW w:w="699" w:type="dxa"/>
            <w:tcBorders>
              <w:top w:val="nil"/>
              <w:left w:val="single" w:sz="8" w:space="0" w:color="auto"/>
              <w:bottom w:val="single" w:sz="8" w:space="0" w:color="auto"/>
              <w:right w:val="single" w:sz="8" w:space="0" w:color="auto"/>
            </w:tcBorders>
            <w:shd w:val="clear" w:color="000000" w:fill="B4C6E7"/>
            <w:vAlign w:val="center"/>
            <w:hideMark/>
          </w:tcPr>
          <w:p w14:paraId="4AB3F2E9" w14:textId="77777777" w:rsidR="00E32354" w:rsidRPr="00E32354" w:rsidRDefault="00E32354" w:rsidP="00E32354">
            <w:pPr>
              <w:spacing w:line="240" w:lineRule="auto"/>
              <w:jc w:val="center"/>
              <w:rPr>
                <w:rFonts w:asciiTheme="minorHAnsi" w:hAnsiTheme="minorHAnsi" w:cstheme="minorHAnsi"/>
                <w:color w:val="000000"/>
                <w:sz w:val="18"/>
                <w:szCs w:val="18"/>
                <w:lang w:val="es-CR" w:eastAsia="es-CR"/>
              </w:rPr>
            </w:pPr>
            <w:r w:rsidRPr="00E32354">
              <w:rPr>
                <w:rFonts w:asciiTheme="minorHAnsi" w:hAnsiTheme="minorHAnsi" w:cstheme="minorHAnsi"/>
                <w:color w:val="000000"/>
                <w:sz w:val="18"/>
                <w:szCs w:val="18"/>
                <w:lang w:val="es-CR" w:eastAsia="es-CR"/>
              </w:rPr>
              <w:t>Código</w:t>
            </w:r>
          </w:p>
        </w:tc>
        <w:tc>
          <w:tcPr>
            <w:tcW w:w="945" w:type="dxa"/>
            <w:tcBorders>
              <w:top w:val="nil"/>
              <w:left w:val="nil"/>
              <w:bottom w:val="single" w:sz="8" w:space="0" w:color="auto"/>
              <w:right w:val="single" w:sz="8" w:space="0" w:color="auto"/>
            </w:tcBorders>
            <w:shd w:val="clear" w:color="000000" w:fill="B4C6E7"/>
            <w:vAlign w:val="center"/>
            <w:hideMark/>
          </w:tcPr>
          <w:p w14:paraId="747AA138" w14:textId="77777777" w:rsidR="00E32354" w:rsidRPr="00E32354" w:rsidRDefault="00E32354" w:rsidP="00E32354">
            <w:pPr>
              <w:spacing w:line="240" w:lineRule="auto"/>
              <w:jc w:val="center"/>
              <w:rPr>
                <w:rFonts w:asciiTheme="minorHAnsi" w:hAnsiTheme="minorHAnsi" w:cstheme="minorHAnsi"/>
                <w:color w:val="000000"/>
                <w:sz w:val="18"/>
                <w:szCs w:val="18"/>
                <w:lang w:val="es-CR" w:eastAsia="es-CR"/>
              </w:rPr>
            </w:pPr>
            <w:r w:rsidRPr="00E32354">
              <w:rPr>
                <w:rFonts w:asciiTheme="minorHAnsi" w:hAnsiTheme="minorHAnsi" w:cstheme="minorHAnsi"/>
                <w:color w:val="000000"/>
                <w:sz w:val="18"/>
                <w:szCs w:val="18"/>
                <w:lang w:val="es-CR" w:eastAsia="es-CR"/>
              </w:rPr>
              <w:t>Económico</w:t>
            </w:r>
          </w:p>
        </w:tc>
        <w:tc>
          <w:tcPr>
            <w:tcW w:w="2457" w:type="dxa"/>
            <w:vMerge/>
            <w:tcBorders>
              <w:top w:val="single" w:sz="8" w:space="0" w:color="auto"/>
              <w:left w:val="nil"/>
              <w:bottom w:val="single" w:sz="8" w:space="0" w:color="000000"/>
              <w:right w:val="single" w:sz="8" w:space="0" w:color="auto"/>
            </w:tcBorders>
            <w:vAlign w:val="center"/>
            <w:hideMark/>
          </w:tcPr>
          <w:p w14:paraId="1F87D39D" w14:textId="77777777" w:rsidR="00E32354" w:rsidRPr="00E32354" w:rsidRDefault="00E32354" w:rsidP="00E32354">
            <w:pPr>
              <w:spacing w:line="240" w:lineRule="auto"/>
              <w:jc w:val="left"/>
              <w:rPr>
                <w:rFonts w:asciiTheme="minorHAnsi" w:hAnsiTheme="minorHAnsi" w:cstheme="minorHAnsi"/>
                <w:color w:val="000000"/>
                <w:sz w:val="18"/>
                <w:szCs w:val="18"/>
                <w:lang w:val="es-CR" w:eastAsia="es-CR"/>
              </w:rPr>
            </w:pPr>
          </w:p>
        </w:tc>
        <w:tc>
          <w:tcPr>
            <w:tcW w:w="1203" w:type="dxa"/>
            <w:vMerge/>
            <w:tcBorders>
              <w:top w:val="single" w:sz="8" w:space="0" w:color="auto"/>
              <w:left w:val="single" w:sz="8" w:space="0" w:color="auto"/>
              <w:bottom w:val="single" w:sz="8" w:space="0" w:color="000000"/>
              <w:right w:val="single" w:sz="8" w:space="0" w:color="auto"/>
            </w:tcBorders>
            <w:vAlign w:val="center"/>
            <w:hideMark/>
          </w:tcPr>
          <w:p w14:paraId="38CDE1A9" w14:textId="77777777" w:rsidR="00E32354" w:rsidRPr="00E32354" w:rsidRDefault="00E32354" w:rsidP="00E32354">
            <w:pPr>
              <w:spacing w:line="240" w:lineRule="auto"/>
              <w:jc w:val="left"/>
              <w:rPr>
                <w:rFonts w:asciiTheme="minorHAnsi" w:hAnsiTheme="minorHAnsi" w:cstheme="minorHAnsi"/>
                <w:color w:val="000000"/>
                <w:sz w:val="18"/>
                <w:szCs w:val="18"/>
                <w:lang w:val="es-CR" w:eastAsia="es-CR"/>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14:paraId="4D56F001" w14:textId="77777777" w:rsidR="00E32354" w:rsidRPr="00E32354" w:rsidRDefault="00E32354" w:rsidP="00E32354">
            <w:pPr>
              <w:spacing w:line="240" w:lineRule="auto"/>
              <w:jc w:val="left"/>
              <w:rPr>
                <w:rFonts w:asciiTheme="minorHAnsi" w:hAnsiTheme="minorHAnsi" w:cstheme="minorHAnsi"/>
                <w:color w:val="000000"/>
                <w:sz w:val="18"/>
                <w:szCs w:val="18"/>
                <w:lang w:val="es-CR" w:eastAsia="es-CR"/>
              </w:rPr>
            </w:pPr>
          </w:p>
        </w:tc>
        <w:tc>
          <w:tcPr>
            <w:tcW w:w="781" w:type="dxa"/>
            <w:vMerge/>
            <w:tcBorders>
              <w:top w:val="single" w:sz="8" w:space="0" w:color="auto"/>
              <w:left w:val="single" w:sz="8" w:space="0" w:color="auto"/>
              <w:bottom w:val="single" w:sz="8" w:space="0" w:color="000000"/>
              <w:right w:val="single" w:sz="8" w:space="0" w:color="auto"/>
            </w:tcBorders>
            <w:vAlign w:val="center"/>
            <w:hideMark/>
          </w:tcPr>
          <w:p w14:paraId="1B422783" w14:textId="77777777" w:rsidR="00E32354" w:rsidRPr="00E32354" w:rsidRDefault="00E32354" w:rsidP="00E32354">
            <w:pPr>
              <w:spacing w:line="240" w:lineRule="auto"/>
              <w:jc w:val="left"/>
              <w:rPr>
                <w:rFonts w:asciiTheme="minorHAnsi" w:hAnsiTheme="minorHAnsi" w:cstheme="minorHAnsi"/>
                <w:color w:val="000000"/>
                <w:sz w:val="18"/>
                <w:szCs w:val="18"/>
                <w:lang w:val="es-CR" w:eastAsia="es-CR"/>
              </w:rPr>
            </w:pPr>
          </w:p>
        </w:tc>
        <w:tc>
          <w:tcPr>
            <w:tcW w:w="1134" w:type="dxa"/>
            <w:vMerge/>
            <w:tcBorders>
              <w:top w:val="single" w:sz="8" w:space="0" w:color="auto"/>
              <w:left w:val="nil"/>
              <w:bottom w:val="single" w:sz="8" w:space="0" w:color="000000"/>
              <w:right w:val="single" w:sz="8" w:space="0" w:color="auto"/>
            </w:tcBorders>
            <w:vAlign w:val="center"/>
            <w:hideMark/>
          </w:tcPr>
          <w:p w14:paraId="53F29B90" w14:textId="77777777" w:rsidR="00E32354" w:rsidRPr="00E32354" w:rsidRDefault="00E32354" w:rsidP="00E32354">
            <w:pPr>
              <w:spacing w:line="240" w:lineRule="auto"/>
              <w:jc w:val="left"/>
              <w:rPr>
                <w:rFonts w:asciiTheme="minorHAnsi" w:hAnsiTheme="minorHAnsi" w:cstheme="minorHAnsi"/>
                <w:color w:val="000000"/>
                <w:sz w:val="18"/>
                <w:szCs w:val="18"/>
                <w:lang w:val="es-CR" w:eastAsia="es-CR"/>
              </w:rPr>
            </w:pPr>
          </w:p>
        </w:tc>
        <w:tc>
          <w:tcPr>
            <w:tcW w:w="993" w:type="dxa"/>
            <w:vMerge/>
            <w:tcBorders>
              <w:top w:val="single" w:sz="8" w:space="0" w:color="auto"/>
              <w:left w:val="single" w:sz="8" w:space="0" w:color="auto"/>
              <w:bottom w:val="single" w:sz="8" w:space="0" w:color="000000"/>
              <w:right w:val="single" w:sz="8" w:space="0" w:color="auto"/>
            </w:tcBorders>
            <w:vAlign w:val="center"/>
            <w:hideMark/>
          </w:tcPr>
          <w:p w14:paraId="1D46CE63" w14:textId="77777777" w:rsidR="00E32354" w:rsidRPr="00E32354" w:rsidRDefault="00E32354" w:rsidP="00E32354">
            <w:pPr>
              <w:spacing w:line="240" w:lineRule="auto"/>
              <w:jc w:val="left"/>
              <w:rPr>
                <w:rFonts w:asciiTheme="minorHAnsi" w:hAnsiTheme="minorHAnsi" w:cstheme="minorHAnsi"/>
                <w:color w:val="000000"/>
                <w:sz w:val="18"/>
                <w:szCs w:val="18"/>
                <w:lang w:val="es-CR" w:eastAsia="es-CR"/>
              </w:rPr>
            </w:pPr>
          </w:p>
        </w:tc>
      </w:tr>
      <w:tr w:rsidR="00E32354" w:rsidRPr="00C15B96" w14:paraId="33FE22D2" w14:textId="77777777" w:rsidTr="004B1864">
        <w:trPr>
          <w:trHeight w:val="345"/>
        </w:trPr>
        <w:tc>
          <w:tcPr>
            <w:tcW w:w="699" w:type="dxa"/>
            <w:tcBorders>
              <w:top w:val="nil"/>
              <w:left w:val="single" w:sz="8" w:space="0" w:color="auto"/>
              <w:bottom w:val="nil"/>
              <w:right w:val="single" w:sz="8" w:space="0" w:color="auto"/>
            </w:tcBorders>
            <w:shd w:val="clear" w:color="000000" w:fill="DDEBF7"/>
            <w:noWrap/>
            <w:vAlign w:val="center"/>
            <w:hideMark/>
          </w:tcPr>
          <w:p w14:paraId="0260FE5A" w14:textId="77777777" w:rsidR="00E32354" w:rsidRPr="00E32354" w:rsidRDefault="00E32354" w:rsidP="00E32354">
            <w:pPr>
              <w:spacing w:line="240" w:lineRule="auto"/>
              <w:jc w:val="center"/>
              <w:rPr>
                <w:rFonts w:asciiTheme="minorHAnsi" w:hAnsiTheme="minorHAnsi" w:cstheme="minorHAnsi"/>
                <w:b/>
                <w:bCs/>
                <w:color w:val="000000"/>
                <w:sz w:val="18"/>
                <w:szCs w:val="18"/>
                <w:lang w:val="es-CR" w:eastAsia="es-CR"/>
              </w:rPr>
            </w:pPr>
            <w:r w:rsidRPr="00E32354">
              <w:rPr>
                <w:rFonts w:asciiTheme="minorHAnsi" w:hAnsiTheme="minorHAnsi" w:cstheme="minorHAnsi"/>
                <w:b/>
                <w:bCs/>
                <w:color w:val="000000"/>
                <w:sz w:val="18"/>
                <w:szCs w:val="18"/>
                <w:lang w:val="es-CR" w:eastAsia="es-CR"/>
              </w:rPr>
              <w:t>0</w:t>
            </w:r>
          </w:p>
        </w:tc>
        <w:tc>
          <w:tcPr>
            <w:tcW w:w="945" w:type="dxa"/>
            <w:tcBorders>
              <w:top w:val="single" w:sz="8" w:space="0" w:color="auto"/>
              <w:left w:val="nil"/>
              <w:bottom w:val="nil"/>
              <w:right w:val="single" w:sz="4" w:space="0" w:color="auto"/>
            </w:tcBorders>
            <w:shd w:val="clear" w:color="000000" w:fill="DDEBF7"/>
            <w:noWrap/>
            <w:vAlign w:val="center"/>
            <w:hideMark/>
          </w:tcPr>
          <w:p w14:paraId="5E0A73FF" w14:textId="77777777" w:rsidR="00E32354" w:rsidRPr="00E32354" w:rsidRDefault="00E32354" w:rsidP="00E32354">
            <w:pPr>
              <w:spacing w:line="240" w:lineRule="auto"/>
              <w:jc w:val="center"/>
              <w:rPr>
                <w:rFonts w:asciiTheme="minorHAnsi" w:hAnsiTheme="minorHAnsi" w:cstheme="minorHAnsi"/>
                <w:b/>
                <w:bCs/>
                <w:color w:val="000000"/>
                <w:sz w:val="18"/>
                <w:szCs w:val="18"/>
                <w:lang w:val="es-CR" w:eastAsia="es-CR"/>
              </w:rPr>
            </w:pPr>
            <w:r w:rsidRPr="00E32354">
              <w:rPr>
                <w:rFonts w:asciiTheme="minorHAnsi" w:hAnsiTheme="minorHAnsi" w:cstheme="minorHAnsi"/>
                <w:b/>
                <w:bCs/>
                <w:color w:val="000000"/>
                <w:sz w:val="18"/>
                <w:szCs w:val="18"/>
                <w:lang w:val="es-CR" w:eastAsia="es-CR"/>
              </w:rPr>
              <w:t>1.1.1</w:t>
            </w:r>
          </w:p>
        </w:tc>
        <w:tc>
          <w:tcPr>
            <w:tcW w:w="2457" w:type="dxa"/>
            <w:tcBorders>
              <w:top w:val="nil"/>
              <w:left w:val="single" w:sz="4" w:space="0" w:color="auto"/>
              <w:bottom w:val="nil"/>
              <w:right w:val="nil"/>
            </w:tcBorders>
            <w:shd w:val="clear" w:color="000000" w:fill="DDEBF7"/>
            <w:noWrap/>
            <w:vAlign w:val="center"/>
            <w:hideMark/>
          </w:tcPr>
          <w:p w14:paraId="5210EB69" w14:textId="77777777" w:rsidR="00E32354" w:rsidRPr="00E32354" w:rsidRDefault="00E32354" w:rsidP="00E32354">
            <w:pPr>
              <w:spacing w:line="240" w:lineRule="auto"/>
              <w:jc w:val="left"/>
              <w:rPr>
                <w:rFonts w:asciiTheme="minorHAnsi" w:hAnsiTheme="minorHAnsi" w:cstheme="minorHAnsi"/>
                <w:b/>
                <w:bCs/>
                <w:color w:val="000000"/>
                <w:sz w:val="18"/>
                <w:szCs w:val="18"/>
                <w:lang w:val="es-CR" w:eastAsia="es-CR"/>
              </w:rPr>
            </w:pPr>
            <w:r w:rsidRPr="00E32354">
              <w:rPr>
                <w:rFonts w:asciiTheme="minorHAnsi" w:hAnsiTheme="minorHAnsi" w:cstheme="minorHAnsi"/>
                <w:b/>
                <w:bCs/>
                <w:color w:val="000000"/>
                <w:sz w:val="18"/>
                <w:szCs w:val="18"/>
                <w:lang w:val="es-CR" w:eastAsia="es-CR"/>
              </w:rPr>
              <w:t>REMUNERACIONES</w:t>
            </w:r>
          </w:p>
        </w:tc>
        <w:tc>
          <w:tcPr>
            <w:tcW w:w="1203" w:type="dxa"/>
            <w:tcBorders>
              <w:top w:val="nil"/>
              <w:left w:val="single" w:sz="8" w:space="0" w:color="auto"/>
              <w:bottom w:val="nil"/>
              <w:right w:val="single" w:sz="8" w:space="0" w:color="auto"/>
            </w:tcBorders>
            <w:shd w:val="clear" w:color="000000" w:fill="DDEBF7"/>
            <w:noWrap/>
            <w:vAlign w:val="center"/>
            <w:hideMark/>
          </w:tcPr>
          <w:p w14:paraId="6E23E998" w14:textId="77777777" w:rsidR="00E32354" w:rsidRPr="00E32354" w:rsidRDefault="00E32354" w:rsidP="00E32354">
            <w:pPr>
              <w:spacing w:line="240" w:lineRule="auto"/>
              <w:jc w:val="right"/>
              <w:rPr>
                <w:rFonts w:asciiTheme="minorHAnsi" w:hAnsiTheme="minorHAnsi" w:cstheme="minorHAnsi"/>
                <w:b/>
                <w:bCs/>
                <w:color w:val="000000"/>
                <w:sz w:val="18"/>
                <w:szCs w:val="18"/>
                <w:lang w:val="es-CR" w:eastAsia="es-CR"/>
              </w:rPr>
            </w:pPr>
            <w:r w:rsidRPr="00E32354">
              <w:rPr>
                <w:rFonts w:asciiTheme="minorHAnsi" w:hAnsiTheme="minorHAnsi" w:cstheme="minorHAnsi"/>
                <w:b/>
                <w:bCs/>
                <w:color w:val="000000"/>
                <w:sz w:val="18"/>
                <w:szCs w:val="18"/>
                <w:lang w:val="es-CR" w:eastAsia="es-CR"/>
              </w:rPr>
              <w:t>3 021 324 982</w:t>
            </w:r>
          </w:p>
        </w:tc>
        <w:tc>
          <w:tcPr>
            <w:tcW w:w="1276" w:type="dxa"/>
            <w:tcBorders>
              <w:top w:val="nil"/>
              <w:left w:val="nil"/>
              <w:bottom w:val="nil"/>
              <w:right w:val="single" w:sz="8" w:space="0" w:color="auto"/>
            </w:tcBorders>
            <w:shd w:val="clear" w:color="000000" w:fill="DDEBF7"/>
            <w:noWrap/>
            <w:vAlign w:val="center"/>
            <w:hideMark/>
          </w:tcPr>
          <w:p w14:paraId="72C54CE0" w14:textId="77777777" w:rsidR="00E32354" w:rsidRPr="00E32354" w:rsidRDefault="00E32354" w:rsidP="00E32354">
            <w:pPr>
              <w:spacing w:line="240" w:lineRule="auto"/>
              <w:jc w:val="right"/>
              <w:rPr>
                <w:rFonts w:asciiTheme="minorHAnsi" w:hAnsiTheme="minorHAnsi" w:cstheme="minorHAnsi"/>
                <w:b/>
                <w:bCs/>
                <w:color w:val="000000"/>
                <w:sz w:val="18"/>
                <w:szCs w:val="18"/>
                <w:lang w:val="es-CR" w:eastAsia="es-CR"/>
              </w:rPr>
            </w:pPr>
            <w:r w:rsidRPr="00E32354">
              <w:rPr>
                <w:rFonts w:asciiTheme="minorHAnsi" w:hAnsiTheme="minorHAnsi" w:cstheme="minorHAnsi"/>
                <w:b/>
                <w:bCs/>
                <w:color w:val="000000"/>
                <w:sz w:val="18"/>
                <w:szCs w:val="18"/>
                <w:lang w:val="es-CR" w:eastAsia="es-CR"/>
              </w:rPr>
              <w:t>2 513 103 579</w:t>
            </w:r>
          </w:p>
        </w:tc>
        <w:tc>
          <w:tcPr>
            <w:tcW w:w="781" w:type="dxa"/>
            <w:tcBorders>
              <w:top w:val="nil"/>
              <w:left w:val="nil"/>
              <w:bottom w:val="nil"/>
              <w:right w:val="single" w:sz="8" w:space="0" w:color="auto"/>
            </w:tcBorders>
            <w:shd w:val="clear" w:color="000000" w:fill="DDEBF7"/>
            <w:noWrap/>
            <w:vAlign w:val="center"/>
            <w:hideMark/>
          </w:tcPr>
          <w:p w14:paraId="16231381" w14:textId="77777777" w:rsidR="00E32354" w:rsidRPr="00E32354" w:rsidRDefault="00E32354" w:rsidP="00E32354">
            <w:pPr>
              <w:spacing w:line="240" w:lineRule="auto"/>
              <w:jc w:val="right"/>
              <w:rPr>
                <w:rFonts w:asciiTheme="minorHAnsi" w:hAnsiTheme="minorHAnsi" w:cstheme="minorHAnsi"/>
                <w:b/>
                <w:bCs/>
                <w:color w:val="000000"/>
                <w:sz w:val="18"/>
                <w:szCs w:val="18"/>
                <w:lang w:val="es-CR" w:eastAsia="es-CR"/>
              </w:rPr>
            </w:pPr>
            <w:r w:rsidRPr="00E32354">
              <w:rPr>
                <w:rFonts w:asciiTheme="minorHAnsi" w:hAnsiTheme="minorHAnsi" w:cstheme="minorHAnsi"/>
                <w:b/>
                <w:bCs/>
                <w:color w:val="000000"/>
                <w:sz w:val="18"/>
                <w:szCs w:val="18"/>
                <w:lang w:val="es-CR" w:eastAsia="es-CR"/>
              </w:rPr>
              <w:t>0</w:t>
            </w:r>
          </w:p>
        </w:tc>
        <w:tc>
          <w:tcPr>
            <w:tcW w:w="1134" w:type="dxa"/>
            <w:tcBorders>
              <w:top w:val="nil"/>
              <w:left w:val="nil"/>
              <w:bottom w:val="nil"/>
              <w:right w:val="single" w:sz="8" w:space="0" w:color="auto"/>
            </w:tcBorders>
            <w:shd w:val="clear" w:color="000000" w:fill="DDEBF7"/>
            <w:noWrap/>
            <w:vAlign w:val="center"/>
            <w:hideMark/>
          </w:tcPr>
          <w:p w14:paraId="5AB00584" w14:textId="77777777" w:rsidR="00E32354" w:rsidRPr="00E32354" w:rsidRDefault="00E32354" w:rsidP="00E32354">
            <w:pPr>
              <w:spacing w:line="240" w:lineRule="auto"/>
              <w:jc w:val="right"/>
              <w:rPr>
                <w:rFonts w:asciiTheme="minorHAnsi" w:hAnsiTheme="minorHAnsi" w:cstheme="minorHAnsi"/>
                <w:b/>
                <w:bCs/>
                <w:color w:val="000000"/>
                <w:sz w:val="18"/>
                <w:szCs w:val="18"/>
                <w:lang w:val="es-CR" w:eastAsia="es-CR"/>
              </w:rPr>
            </w:pPr>
            <w:r w:rsidRPr="00E32354">
              <w:rPr>
                <w:rFonts w:asciiTheme="minorHAnsi" w:hAnsiTheme="minorHAnsi" w:cstheme="minorHAnsi"/>
                <w:b/>
                <w:bCs/>
                <w:color w:val="000000"/>
                <w:sz w:val="18"/>
                <w:szCs w:val="18"/>
                <w:lang w:val="es-CR" w:eastAsia="es-CR"/>
              </w:rPr>
              <w:t>508 221 403</w:t>
            </w:r>
          </w:p>
        </w:tc>
        <w:tc>
          <w:tcPr>
            <w:tcW w:w="993" w:type="dxa"/>
            <w:tcBorders>
              <w:top w:val="nil"/>
              <w:left w:val="nil"/>
              <w:bottom w:val="nil"/>
              <w:right w:val="single" w:sz="8" w:space="0" w:color="auto"/>
            </w:tcBorders>
            <w:shd w:val="clear" w:color="000000" w:fill="DDEBF7"/>
            <w:noWrap/>
            <w:vAlign w:val="center"/>
            <w:hideMark/>
          </w:tcPr>
          <w:p w14:paraId="2DD08800" w14:textId="77777777" w:rsidR="00E32354" w:rsidRPr="00E32354" w:rsidRDefault="00E32354" w:rsidP="00E32354">
            <w:pPr>
              <w:spacing w:line="240" w:lineRule="auto"/>
              <w:jc w:val="center"/>
              <w:rPr>
                <w:rFonts w:asciiTheme="minorHAnsi" w:hAnsiTheme="minorHAnsi" w:cstheme="minorHAnsi"/>
                <w:b/>
                <w:bCs/>
                <w:color w:val="000000"/>
                <w:sz w:val="18"/>
                <w:szCs w:val="18"/>
                <w:lang w:val="es-CR" w:eastAsia="es-CR"/>
              </w:rPr>
            </w:pPr>
            <w:r w:rsidRPr="00E32354">
              <w:rPr>
                <w:rFonts w:asciiTheme="minorHAnsi" w:hAnsiTheme="minorHAnsi" w:cstheme="minorHAnsi"/>
                <w:b/>
                <w:bCs/>
                <w:color w:val="000000"/>
                <w:sz w:val="18"/>
                <w:szCs w:val="18"/>
                <w:lang w:val="es-CR" w:eastAsia="es-CR"/>
              </w:rPr>
              <w:t>83%</w:t>
            </w:r>
          </w:p>
        </w:tc>
      </w:tr>
      <w:tr w:rsidR="00C15B96" w:rsidRPr="00E32354" w14:paraId="06E706A9" w14:textId="77777777" w:rsidTr="004B1864">
        <w:trPr>
          <w:trHeight w:val="345"/>
        </w:trPr>
        <w:tc>
          <w:tcPr>
            <w:tcW w:w="699" w:type="dxa"/>
            <w:tcBorders>
              <w:top w:val="nil"/>
              <w:left w:val="single" w:sz="8" w:space="0" w:color="auto"/>
              <w:bottom w:val="nil"/>
              <w:right w:val="single" w:sz="8" w:space="0" w:color="auto"/>
            </w:tcBorders>
            <w:shd w:val="clear" w:color="auto" w:fill="auto"/>
            <w:noWrap/>
            <w:vAlign w:val="center"/>
            <w:hideMark/>
          </w:tcPr>
          <w:p w14:paraId="378A9C52" w14:textId="77777777" w:rsidR="00E32354" w:rsidRPr="00E32354" w:rsidRDefault="00E32354" w:rsidP="00E32354">
            <w:pPr>
              <w:spacing w:line="240" w:lineRule="auto"/>
              <w:jc w:val="center"/>
              <w:rPr>
                <w:rFonts w:asciiTheme="minorHAnsi" w:hAnsiTheme="minorHAnsi" w:cstheme="minorHAnsi"/>
                <w:b/>
                <w:bCs/>
                <w:i/>
                <w:iCs/>
                <w:color w:val="000000"/>
                <w:sz w:val="18"/>
                <w:szCs w:val="18"/>
                <w:lang w:val="es-CR" w:eastAsia="es-CR"/>
              </w:rPr>
            </w:pPr>
            <w:r w:rsidRPr="00E32354">
              <w:rPr>
                <w:rFonts w:asciiTheme="minorHAnsi" w:hAnsiTheme="minorHAnsi" w:cstheme="minorHAnsi"/>
                <w:b/>
                <w:bCs/>
                <w:i/>
                <w:iCs/>
                <w:color w:val="000000"/>
                <w:sz w:val="18"/>
                <w:szCs w:val="18"/>
                <w:lang w:val="es-CR" w:eastAsia="es-CR"/>
              </w:rPr>
              <w:t> </w:t>
            </w:r>
          </w:p>
        </w:tc>
        <w:tc>
          <w:tcPr>
            <w:tcW w:w="945" w:type="dxa"/>
            <w:tcBorders>
              <w:top w:val="nil"/>
              <w:left w:val="nil"/>
              <w:bottom w:val="nil"/>
              <w:right w:val="single" w:sz="4" w:space="0" w:color="auto"/>
            </w:tcBorders>
            <w:shd w:val="clear" w:color="auto" w:fill="auto"/>
            <w:noWrap/>
            <w:vAlign w:val="center"/>
            <w:hideMark/>
          </w:tcPr>
          <w:p w14:paraId="5B9BBAF2" w14:textId="77777777" w:rsidR="00E32354" w:rsidRPr="00E32354" w:rsidRDefault="00E32354" w:rsidP="00E32354">
            <w:pPr>
              <w:spacing w:line="240" w:lineRule="auto"/>
              <w:jc w:val="center"/>
              <w:rPr>
                <w:rFonts w:asciiTheme="minorHAnsi" w:hAnsiTheme="minorHAnsi" w:cstheme="minorHAnsi"/>
                <w:b/>
                <w:bCs/>
                <w:i/>
                <w:iCs/>
                <w:color w:val="000000"/>
                <w:sz w:val="18"/>
                <w:szCs w:val="18"/>
                <w:lang w:val="es-CR" w:eastAsia="es-CR"/>
              </w:rPr>
            </w:pPr>
          </w:p>
        </w:tc>
        <w:tc>
          <w:tcPr>
            <w:tcW w:w="2457" w:type="dxa"/>
            <w:tcBorders>
              <w:top w:val="nil"/>
              <w:left w:val="single" w:sz="4" w:space="0" w:color="auto"/>
              <w:bottom w:val="nil"/>
              <w:right w:val="nil"/>
            </w:tcBorders>
            <w:shd w:val="clear" w:color="auto" w:fill="auto"/>
            <w:noWrap/>
            <w:vAlign w:val="center"/>
            <w:hideMark/>
          </w:tcPr>
          <w:p w14:paraId="005FC8DC" w14:textId="77777777" w:rsidR="00E32354" w:rsidRPr="00E32354" w:rsidRDefault="00E32354" w:rsidP="00E32354">
            <w:pPr>
              <w:spacing w:line="240" w:lineRule="auto"/>
              <w:jc w:val="left"/>
              <w:rPr>
                <w:rFonts w:asciiTheme="minorHAnsi" w:hAnsiTheme="minorHAnsi" w:cstheme="minorHAnsi"/>
                <w:b/>
                <w:bCs/>
                <w:i/>
                <w:iCs/>
                <w:color w:val="000000"/>
                <w:sz w:val="18"/>
                <w:szCs w:val="18"/>
                <w:lang w:val="es-CR" w:eastAsia="es-CR"/>
              </w:rPr>
            </w:pPr>
            <w:r w:rsidRPr="00E32354">
              <w:rPr>
                <w:rFonts w:asciiTheme="minorHAnsi" w:hAnsiTheme="minorHAnsi" w:cstheme="minorHAnsi"/>
                <w:b/>
                <w:bCs/>
                <w:i/>
                <w:iCs/>
                <w:color w:val="000000"/>
                <w:sz w:val="18"/>
                <w:szCs w:val="18"/>
                <w:lang w:val="es-CR" w:eastAsia="es-CR"/>
              </w:rPr>
              <w:t>PLANILLA Y CARGAS SOCIALES</w:t>
            </w:r>
          </w:p>
        </w:tc>
        <w:tc>
          <w:tcPr>
            <w:tcW w:w="1203" w:type="dxa"/>
            <w:tcBorders>
              <w:top w:val="nil"/>
              <w:left w:val="single" w:sz="8" w:space="0" w:color="auto"/>
              <w:bottom w:val="nil"/>
              <w:right w:val="single" w:sz="8" w:space="0" w:color="auto"/>
            </w:tcBorders>
            <w:shd w:val="clear" w:color="auto" w:fill="auto"/>
            <w:noWrap/>
            <w:vAlign w:val="center"/>
            <w:hideMark/>
          </w:tcPr>
          <w:p w14:paraId="75A94575" w14:textId="77777777" w:rsidR="00E32354" w:rsidRPr="00E32354" w:rsidRDefault="00E32354" w:rsidP="00E32354">
            <w:pPr>
              <w:spacing w:line="240" w:lineRule="auto"/>
              <w:jc w:val="right"/>
              <w:rPr>
                <w:rFonts w:asciiTheme="minorHAnsi" w:hAnsiTheme="minorHAnsi" w:cstheme="minorHAnsi"/>
                <w:b/>
                <w:bCs/>
                <w:i/>
                <w:iCs/>
                <w:color w:val="000000"/>
                <w:sz w:val="18"/>
                <w:szCs w:val="18"/>
                <w:lang w:val="es-CR" w:eastAsia="es-CR"/>
              </w:rPr>
            </w:pPr>
            <w:r w:rsidRPr="00E32354">
              <w:rPr>
                <w:rFonts w:asciiTheme="minorHAnsi" w:hAnsiTheme="minorHAnsi" w:cstheme="minorHAnsi"/>
                <w:b/>
                <w:bCs/>
                <w:i/>
                <w:iCs/>
                <w:color w:val="000000"/>
                <w:sz w:val="18"/>
                <w:szCs w:val="18"/>
                <w:lang w:val="es-CR" w:eastAsia="es-CR"/>
              </w:rPr>
              <w:t>2 971 424 982</w:t>
            </w:r>
          </w:p>
        </w:tc>
        <w:tc>
          <w:tcPr>
            <w:tcW w:w="1276" w:type="dxa"/>
            <w:tcBorders>
              <w:top w:val="nil"/>
              <w:left w:val="nil"/>
              <w:bottom w:val="nil"/>
              <w:right w:val="single" w:sz="8" w:space="0" w:color="auto"/>
            </w:tcBorders>
            <w:shd w:val="clear" w:color="auto" w:fill="auto"/>
            <w:noWrap/>
            <w:vAlign w:val="center"/>
            <w:hideMark/>
          </w:tcPr>
          <w:p w14:paraId="79DA99C8" w14:textId="77777777" w:rsidR="00E32354" w:rsidRPr="00E32354" w:rsidRDefault="00E32354" w:rsidP="00E32354">
            <w:pPr>
              <w:spacing w:line="240" w:lineRule="auto"/>
              <w:jc w:val="right"/>
              <w:rPr>
                <w:rFonts w:asciiTheme="minorHAnsi" w:hAnsiTheme="minorHAnsi" w:cstheme="minorHAnsi"/>
                <w:b/>
                <w:bCs/>
                <w:i/>
                <w:iCs/>
                <w:color w:val="000000"/>
                <w:sz w:val="18"/>
                <w:szCs w:val="18"/>
                <w:lang w:val="es-CR" w:eastAsia="es-CR"/>
              </w:rPr>
            </w:pPr>
            <w:r w:rsidRPr="00E32354">
              <w:rPr>
                <w:rFonts w:asciiTheme="minorHAnsi" w:hAnsiTheme="minorHAnsi" w:cstheme="minorHAnsi"/>
                <w:b/>
                <w:bCs/>
                <w:i/>
                <w:iCs/>
                <w:color w:val="000000"/>
                <w:sz w:val="18"/>
                <w:szCs w:val="18"/>
                <w:lang w:val="es-CR" w:eastAsia="es-CR"/>
              </w:rPr>
              <w:t>2 466 649 484</w:t>
            </w:r>
          </w:p>
        </w:tc>
        <w:tc>
          <w:tcPr>
            <w:tcW w:w="781" w:type="dxa"/>
            <w:tcBorders>
              <w:top w:val="nil"/>
              <w:left w:val="nil"/>
              <w:bottom w:val="nil"/>
              <w:right w:val="single" w:sz="8" w:space="0" w:color="auto"/>
            </w:tcBorders>
            <w:shd w:val="clear" w:color="auto" w:fill="auto"/>
            <w:noWrap/>
            <w:vAlign w:val="center"/>
            <w:hideMark/>
          </w:tcPr>
          <w:p w14:paraId="524A74AF" w14:textId="77777777" w:rsidR="00E32354" w:rsidRPr="00E32354" w:rsidRDefault="00E32354" w:rsidP="00E32354">
            <w:pPr>
              <w:spacing w:line="240" w:lineRule="auto"/>
              <w:jc w:val="right"/>
              <w:rPr>
                <w:rFonts w:asciiTheme="minorHAnsi" w:hAnsiTheme="minorHAnsi" w:cstheme="minorHAnsi"/>
                <w:b/>
                <w:bCs/>
                <w:i/>
                <w:iCs/>
                <w:color w:val="000000"/>
                <w:sz w:val="18"/>
                <w:szCs w:val="18"/>
                <w:lang w:val="es-CR" w:eastAsia="es-CR"/>
              </w:rPr>
            </w:pPr>
            <w:r w:rsidRPr="00E32354">
              <w:rPr>
                <w:rFonts w:asciiTheme="minorHAnsi" w:hAnsiTheme="minorHAnsi" w:cstheme="minorHAnsi"/>
                <w:b/>
                <w:bCs/>
                <w:i/>
                <w:iCs/>
                <w:color w:val="000000"/>
                <w:sz w:val="18"/>
                <w:szCs w:val="18"/>
                <w:lang w:val="es-CR" w:eastAsia="es-CR"/>
              </w:rPr>
              <w:t>0</w:t>
            </w:r>
          </w:p>
        </w:tc>
        <w:tc>
          <w:tcPr>
            <w:tcW w:w="1134" w:type="dxa"/>
            <w:tcBorders>
              <w:top w:val="nil"/>
              <w:left w:val="nil"/>
              <w:bottom w:val="nil"/>
              <w:right w:val="single" w:sz="8" w:space="0" w:color="auto"/>
            </w:tcBorders>
            <w:shd w:val="clear" w:color="auto" w:fill="auto"/>
            <w:noWrap/>
            <w:vAlign w:val="center"/>
            <w:hideMark/>
          </w:tcPr>
          <w:p w14:paraId="0D6B2E20" w14:textId="77777777" w:rsidR="00E32354" w:rsidRPr="00E32354" w:rsidRDefault="00E32354" w:rsidP="00E32354">
            <w:pPr>
              <w:spacing w:line="240" w:lineRule="auto"/>
              <w:jc w:val="right"/>
              <w:rPr>
                <w:rFonts w:asciiTheme="minorHAnsi" w:hAnsiTheme="minorHAnsi" w:cstheme="minorHAnsi"/>
                <w:b/>
                <w:bCs/>
                <w:i/>
                <w:iCs/>
                <w:color w:val="000000"/>
                <w:sz w:val="18"/>
                <w:szCs w:val="18"/>
                <w:lang w:val="es-CR" w:eastAsia="es-CR"/>
              </w:rPr>
            </w:pPr>
            <w:r w:rsidRPr="00E32354">
              <w:rPr>
                <w:rFonts w:asciiTheme="minorHAnsi" w:hAnsiTheme="minorHAnsi" w:cstheme="minorHAnsi"/>
                <w:b/>
                <w:bCs/>
                <w:i/>
                <w:iCs/>
                <w:color w:val="000000"/>
                <w:sz w:val="18"/>
                <w:szCs w:val="18"/>
                <w:lang w:val="es-CR" w:eastAsia="es-CR"/>
              </w:rPr>
              <w:t>504 775 498</w:t>
            </w:r>
          </w:p>
        </w:tc>
        <w:tc>
          <w:tcPr>
            <w:tcW w:w="993" w:type="dxa"/>
            <w:tcBorders>
              <w:top w:val="nil"/>
              <w:left w:val="nil"/>
              <w:bottom w:val="nil"/>
              <w:right w:val="single" w:sz="8" w:space="0" w:color="auto"/>
            </w:tcBorders>
            <w:shd w:val="clear" w:color="auto" w:fill="auto"/>
            <w:noWrap/>
            <w:vAlign w:val="center"/>
            <w:hideMark/>
          </w:tcPr>
          <w:p w14:paraId="63D53F37" w14:textId="77777777" w:rsidR="00E32354" w:rsidRPr="00E32354" w:rsidRDefault="00E32354" w:rsidP="00E32354">
            <w:pPr>
              <w:spacing w:line="240" w:lineRule="auto"/>
              <w:jc w:val="center"/>
              <w:rPr>
                <w:rFonts w:asciiTheme="minorHAnsi" w:hAnsiTheme="minorHAnsi" w:cstheme="minorHAnsi"/>
                <w:b/>
                <w:bCs/>
                <w:i/>
                <w:iCs/>
                <w:color w:val="000000"/>
                <w:sz w:val="18"/>
                <w:szCs w:val="18"/>
                <w:lang w:val="es-CR" w:eastAsia="es-CR"/>
              </w:rPr>
            </w:pPr>
            <w:r w:rsidRPr="00E32354">
              <w:rPr>
                <w:rFonts w:asciiTheme="minorHAnsi" w:hAnsiTheme="minorHAnsi" w:cstheme="minorHAnsi"/>
                <w:b/>
                <w:bCs/>
                <w:i/>
                <w:iCs/>
                <w:color w:val="000000"/>
                <w:sz w:val="18"/>
                <w:szCs w:val="18"/>
                <w:lang w:val="es-CR" w:eastAsia="es-CR"/>
              </w:rPr>
              <w:t>83%</w:t>
            </w:r>
          </w:p>
        </w:tc>
      </w:tr>
      <w:tr w:rsidR="00C15B96" w:rsidRPr="00E32354" w14:paraId="7A01B054" w14:textId="77777777" w:rsidTr="004B1864">
        <w:trPr>
          <w:trHeight w:val="345"/>
        </w:trPr>
        <w:tc>
          <w:tcPr>
            <w:tcW w:w="699" w:type="dxa"/>
            <w:tcBorders>
              <w:top w:val="nil"/>
              <w:left w:val="single" w:sz="8" w:space="0" w:color="auto"/>
              <w:bottom w:val="nil"/>
              <w:right w:val="single" w:sz="8" w:space="0" w:color="auto"/>
            </w:tcBorders>
            <w:shd w:val="clear" w:color="auto" w:fill="auto"/>
            <w:noWrap/>
            <w:vAlign w:val="center"/>
            <w:hideMark/>
          </w:tcPr>
          <w:p w14:paraId="67F74786" w14:textId="77777777" w:rsidR="00E32354" w:rsidRPr="00E32354" w:rsidRDefault="00E32354" w:rsidP="00E32354">
            <w:pPr>
              <w:spacing w:line="240" w:lineRule="auto"/>
              <w:jc w:val="center"/>
              <w:rPr>
                <w:rFonts w:asciiTheme="minorHAnsi" w:hAnsiTheme="minorHAnsi" w:cstheme="minorHAnsi"/>
                <w:color w:val="000000"/>
                <w:sz w:val="18"/>
                <w:szCs w:val="18"/>
                <w:lang w:val="es-CR" w:eastAsia="es-CR"/>
              </w:rPr>
            </w:pPr>
            <w:r w:rsidRPr="00E32354">
              <w:rPr>
                <w:rFonts w:asciiTheme="minorHAnsi" w:hAnsiTheme="minorHAnsi" w:cstheme="minorHAnsi"/>
                <w:color w:val="000000"/>
                <w:sz w:val="18"/>
                <w:szCs w:val="18"/>
                <w:lang w:val="es-CR" w:eastAsia="es-CR"/>
              </w:rPr>
              <w:t>0 01 01</w:t>
            </w:r>
          </w:p>
        </w:tc>
        <w:tc>
          <w:tcPr>
            <w:tcW w:w="945" w:type="dxa"/>
            <w:tcBorders>
              <w:top w:val="nil"/>
              <w:left w:val="nil"/>
              <w:bottom w:val="nil"/>
              <w:right w:val="single" w:sz="4" w:space="0" w:color="auto"/>
            </w:tcBorders>
            <w:shd w:val="clear" w:color="auto" w:fill="auto"/>
            <w:noWrap/>
            <w:vAlign w:val="center"/>
            <w:hideMark/>
          </w:tcPr>
          <w:p w14:paraId="147FE07C" w14:textId="77777777" w:rsidR="00E32354" w:rsidRPr="00E32354" w:rsidRDefault="00E32354" w:rsidP="00E32354">
            <w:pPr>
              <w:spacing w:line="240" w:lineRule="auto"/>
              <w:jc w:val="center"/>
              <w:rPr>
                <w:rFonts w:asciiTheme="minorHAnsi" w:hAnsiTheme="minorHAnsi" w:cstheme="minorHAnsi"/>
                <w:color w:val="000000"/>
                <w:sz w:val="18"/>
                <w:szCs w:val="18"/>
                <w:lang w:val="es-CR" w:eastAsia="es-CR"/>
              </w:rPr>
            </w:pPr>
            <w:r w:rsidRPr="00E32354">
              <w:rPr>
                <w:rFonts w:asciiTheme="minorHAnsi" w:hAnsiTheme="minorHAnsi" w:cstheme="minorHAnsi"/>
                <w:color w:val="000000"/>
                <w:sz w:val="18"/>
                <w:szCs w:val="18"/>
                <w:lang w:val="es-CR" w:eastAsia="es-CR"/>
              </w:rPr>
              <w:t>1.1.1.1</w:t>
            </w:r>
          </w:p>
        </w:tc>
        <w:tc>
          <w:tcPr>
            <w:tcW w:w="2457" w:type="dxa"/>
            <w:tcBorders>
              <w:top w:val="nil"/>
              <w:left w:val="single" w:sz="4" w:space="0" w:color="auto"/>
              <w:bottom w:val="nil"/>
              <w:right w:val="nil"/>
            </w:tcBorders>
            <w:shd w:val="clear" w:color="auto" w:fill="auto"/>
            <w:noWrap/>
            <w:vAlign w:val="center"/>
            <w:hideMark/>
          </w:tcPr>
          <w:p w14:paraId="08D3B1BE" w14:textId="77777777" w:rsidR="00E32354" w:rsidRPr="00E32354" w:rsidRDefault="00E32354" w:rsidP="00E32354">
            <w:pPr>
              <w:spacing w:line="240" w:lineRule="auto"/>
              <w:jc w:val="left"/>
              <w:rPr>
                <w:rFonts w:asciiTheme="minorHAnsi" w:hAnsiTheme="minorHAnsi" w:cstheme="minorHAnsi"/>
                <w:color w:val="000000"/>
                <w:sz w:val="18"/>
                <w:szCs w:val="18"/>
                <w:lang w:val="es-CR" w:eastAsia="es-CR"/>
              </w:rPr>
            </w:pPr>
            <w:r w:rsidRPr="00E32354">
              <w:rPr>
                <w:rFonts w:asciiTheme="minorHAnsi" w:hAnsiTheme="minorHAnsi" w:cstheme="minorHAnsi"/>
                <w:color w:val="000000"/>
                <w:sz w:val="18"/>
                <w:szCs w:val="18"/>
                <w:lang w:val="es-CR" w:eastAsia="es-CR"/>
              </w:rPr>
              <w:t>Sueldos para cargos fijos</w:t>
            </w:r>
          </w:p>
        </w:tc>
        <w:tc>
          <w:tcPr>
            <w:tcW w:w="1203" w:type="dxa"/>
            <w:tcBorders>
              <w:top w:val="nil"/>
              <w:left w:val="single" w:sz="8" w:space="0" w:color="auto"/>
              <w:bottom w:val="nil"/>
              <w:right w:val="single" w:sz="8" w:space="0" w:color="auto"/>
            </w:tcBorders>
            <w:shd w:val="clear" w:color="auto" w:fill="auto"/>
            <w:noWrap/>
            <w:vAlign w:val="center"/>
            <w:hideMark/>
          </w:tcPr>
          <w:p w14:paraId="3C567E72" w14:textId="77777777" w:rsidR="00E32354" w:rsidRPr="00E32354" w:rsidRDefault="00E32354" w:rsidP="00E32354">
            <w:pPr>
              <w:spacing w:line="240" w:lineRule="auto"/>
              <w:jc w:val="right"/>
              <w:rPr>
                <w:rFonts w:asciiTheme="minorHAnsi" w:hAnsiTheme="minorHAnsi" w:cstheme="minorHAnsi"/>
                <w:color w:val="000000"/>
                <w:sz w:val="18"/>
                <w:szCs w:val="18"/>
                <w:lang w:val="es-CR" w:eastAsia="es-CR"/>
              </w:rPr>
            </w:pPr>
            <w:r w:rsidRPr="00E32354">
              <w:rPr>
                <w:rFonts w:asciiTheme="minorHAnsi" w:hAnsiTheme="minorHAnsi" w:cstheme="minorHAnsi"/>
                <w:color w:val="000000"/>
                <w:sz w:val="18"/>
                <w:szCs w:val="18"/>
                <w:lang w:val="es-CR" w:eastAsia="es-CR"/>
              </w:rPr>
              <w:t>1 798 212 522</w:t>
            </w:r>
          </w:p>
        </w:tc>
        <w:tc>
          <w:tcPr>
            <w:tcW w:w="1276" w:type="dxa"/>
            <w:tcBorders>
              <w:top w:val="nil"/>
              <w:left w:val="nil"/>
              <w:bottom w:val="nil"/>
              <w:right w:val="single" w:sz="8" w:space="0" w:color="auto"/>
            </w:tcBorders>
            <w:shd w:val="clear" w:color="auto" w:fill="auto"/>
            <w:noWrap/>
            <w:vAlign w:val="center"/>
            <w:hideMark/>
          </w:tcPr>
          <w:p w14:paraId="5D3DACA3" w14:textId="77777777" w:rsidR="00E32354" w:rsidRPr="00E32354" w:rsidRDefault="00E32354" w:rsidP="00E32354">
            <w:pPr>
              <w:spacing w:line="240" w:lineRule="auto"/>
              <w:jc w:val="right"/>
              <w:rPr>
                <w:rFonts w:asciiTheme="minorHAnsi" w:hAnsiTheme="minorHAnsi" w:cstheme="minorHAnsi"/>
                <w:color w:val="000000"/>
                <w:sz w:val="18"/>
                <w:szCs w:val="18"/>
                <w:lang w:val="es-CR" w:eastAsia="es-CR"/>
              </w:rPr>
            </w:pPr>
            <w:r w:rsidRPr="00E32354">
              <w:rPr>
                <w:rFonts w:asciiTheme="minorHAnsi" w:hAnsiTheme="minorHAnsi" w:cstheme="minorHAnsi"/>
                <w:color w:val="000000"/>
                <w:sz w:val="18"/>
                <w:szCs w:val="18"/>
                <w:lang w:val="es-CR" w:eastAsia="es-CR"/>
              </w:rPr>
              <w:t>1 592 721 844</w:t>
            </w:r>
          </w:p>
        </w:tc>
        <w:tc>
          <w:tcPr>
            <w:tcW w:w="781" w:type="dxa"/>
            <w:tcBorders>
              <w:top w:val="nil"/>
              <w:left w:val="nil"/>
              <w:bottom w:val="nil"/>
              <w:right w:val="single" w:sz="8" w:space="0" w:color="auto"/>
            </w:tcBorders>
            <w:shd w:val="clear" w:color="auto" w:fill="auto"/>
            <w:noWrap/>
            <w:vAlign w:val="center"/>
            <w:hideMark/>
          </w:tcPr>
          <w:p w14:paraId="2214BF29" w14:textId="77777777" w:rsidR="00E32354" w:rsidRPr="00E32354" w:rsidRDefault="00E32354" w:rsidP="00E32354">
            <w:pPr>
              <w:spacing w:line="240" w:lineRule="auto"/>
              <w:jc w:val="right"/>
              <w:rPr>
                <w:rFonts w:asciiTheme="minorHAnsi" w:hAnsiTheme="minorHAnsi" w:cstheme="minorHAnsi"/>
                <w:color w:val="000000"/>
                <w:sz w:val="18"/>
                <w:szCs w:val="18"/>
                <w:lang w:val="es-CR" w:eastAsia="es-CR"/>
              </w:rPr>
            </w:pPr>
            <w:r w:rsidRPr="00E32354">
              <w:rPr>
                <w:rFonts w:asciiTheme="minorHAnsi" w:hAnsiTheme="minorHAnsi" w:cstheme="minorHAnsi"/>
                <w:color w:val="000000"/>
                <w:sz w:val="18"/>
                <w:szCs w:val="18"/>
                <w:lang w:val="es-CR" w:eastAsia="es-CR"/>
              </w:rPr>
              <w:t>0</w:t>
            </w:r>
          </w:p>
        </w:tc>
        <w:tc>
          <w:tcPr>
            <w:tcW w:w="1134" w:type="dxa"/>
            <w:tcBorders>
              <w:top w:val="nil"/>
              <w:left w:val="nil"/>
              <w:bottom w:val="nil"/>
              <w:right w:val="nil"/>
            </w:tcBorders>
            <w:shd w:val="clear" w:color="auto" w:fill="auto"/>
            <w:noWrap/>
            <w:vAlign w:val="center"/>
            <w:hideMark/>
          </w:tcPr>
          <w:p w14:paraId="10F6487C" w14:textId="77777777" w:rsidR="00E32354" w:rsidRPr="00E32354" w:rsidRDefault="00E32354" w:rsidP="00E32354">
            <w:pPr>
              <w:spacing w:line="240" w:lineRule="auto"/>
              <w:jc w:val="right"/>
              <w:rPr>
                <w:rFonts w:asciiTheme="minorHAnsi" w:hAnsiTheme="minorHAnsi" w:cstheme="minorHAnsi"/>
                <w:color w:val="000000"/>
                <w:sz w:val="18"/>
                <w:szCs w:val="18"/>
                <w:lang w:val="es-CR" w:eastAsia="es-CR"/>
              </w:rPr>
            </w:pPr>
            <w:r w:rsidRPr="00E32354">
              <w:rPr>
                <w:rFonts w:asciiTheme="minorHAnsi" w:hAnsiTheme="minorHAnsi" w:cstheme="minorHAnsi"/>
                <w:color w:val="000000"/>
                <w:sz w:val="18"/>
                <w:szCs w:val="18"/>
                <w:lang w:val="es-CR" w:eastAsia="es-CR"/>
              </w:rPr>
              <w:t>205 490 678</w:t>
            </w:r>
          </w:p>
        </w:tc>
        <w:tc>
          <w:tcPr>
            <w:tcW w:w="993" w:type="dxa"/>
            <w:tcBorders>
              <w:top w:val="nil"/>
              <w:left w:val="single" w:sz="8" w:space="0" w:color="auto"/>
              <w:bottom w:val="nil"/>
              <w:right w:val="single" w:sz="8" w:space="0" w:color="auto"/>
            </w:tcBorders>
            <w:shd w:val="clear" w:color="auto" w:fill="auto"/>
            <w:noWrap/>
            <w:vAlign w:val="center"/>
            <w:hideMark/>
          </w:tcPr>
          <w:p w14:paraId="5347868D" w14:textId="77777777" w:rsidR="00E32354" w:rsidRPr="00E32354" w:rsidRDefault="00E32354" w:rsidP="00E32354">
            <w:pPr>
              <w:spacing w:line="240" w:lineRule="auto"/>
              <w:jc w:val="center"/>
              <w:rPr>
                <w:rFonts w:asciiTheme="minorHAnsi" w:hAnsiTheme="minorHAnsi" w:cstheme="minorHAnsi"/>
                <w:color w:val="000000"/>
                <w:sz w:val="18"/>
                <w:szCs w:val="18"/>
                <w:lang w:val="es-CR" w:eastAsia="es-CR"/>
              </w:rPr>
            </w:pPr>
            <w:r w:rsidRPr="00E32354">
              <w:rPr>
                <w:rFonts w:asciiTheme="minorHAnsi" w:hAnsiTheme="minorHAnsi" w:cstheme="minorHAnsi"/>
                <w:color w:val="000000"/>
                <w:sz w:val="18"/>
                <w:szCs w:val="18"/>
                <w:lang w:val="es-CR" w:eastAsia="es-CR"/>
              </w:rPr>
              <w:t>89%</w:t>
            </w:r>
          </w:p>
        </w:tc>
      </w:tr>
      <w:tr w:rsidR="00C15B96" w:rsidRPr="00E32354" w14:paraId="7CC884F5" w14:textId="77777777" w:rsidTr="004B1864">
        <w:trPr>
          <w:trHeight w:val="345"/>
        </w:trPr>
        <w:tc>
          <w:tcPr>
            <w:tcW w:w="699" w:type="dxa"/>
            <w:tcBorders>
              <w:top w:val="nil"/>
              <w:left w:val="single" w:sz="8" w:space="0" w:color="auto"/>
              <w:bottom w:val="nil"/>
              <w:right w:val="single" w:sz="8" w:space="0" w:color="auto"/>
            </w:tcBorders>
            <w:shd w:val="clear" w:color="auto" w:fill="auto"/>
            <w:noWrap/>
            <w:vAlign w:val="center"/>
            <w:hideMark/>
          </w:tcPr>
          <w:p w14:paraId="2DD66FF1" w14:textId="77777777" w:rsidR="00E32354" w:rsidRPr="00E32354" w:rsidRDefault="00E32354" w:rsidP="00E32354">
            <w:pPr>
              <w:spacing w:line="240" w:lineRule="auto"/>
              <w:jc w:val="center"/>
              <w:rPr>
                <w:rFonts w:asciiTheme="minorHAnsi" w:hAnsiTheme="minorHAnsi" w:cstheme="minorHAnsi"/>
                <w:color w:val="000000"/>
                <w:sz w:val="18"/>
                <w:szCs w:val="18"/>
                <w:lang w:val="es-CR" w:eastAsia="es-CR"/>
              </w:rPr>
            </w:pPr>
            <w:r w:rsidRPr="00E32354">
              <w:rPr>
                <w:rFonts w:asciiTheme="minorHAnsi" w:hAnsiTheme="minorHAnsi" w:cstheme="minorHAnsi"/>
                <w:color w:val="000000"/>
                <w:sz w:val="18"/>
                <w:szCs w:val="18"/>
                <w:lang w:val="es-CR" w:eastAsia="es-CR"/>
              </w:rPr>
              <w:t>0 03 01</w:t>
            </w:r>
          </w:p>
        </w:tc>
        <w:tc>
          <w:tcPr>
            <w:tcW w:w="945" w:type="dxa"/>
            <w:tcBorders>
              <w:top w:val="nil"/>
              <w:left w:val="nil"/>
              <w:bottom w:val="nil"/>
              <w:right w:val="single" w:sz="4" w:space="0" w:color="auto"/>
            </w:tcBorders>
            <w:shd w:val="clear" w:color="auto" w:fill="auto"/>
            <w:noWrap/>
            <w:vAlign w:val="center"/>
            <w:hideMark/>
          </w:tcPr>
          <w:p w14:paraId="169139E9" w14:textId="77777777" w:rsidR="00E32354" w:rsidRPr="00E32354" w:rsidRDefault="00E32354" w:rsidP="00E32354">
            <w:pPr>
              <w:spacing w:line="240" w:lineRule="auto"/>
              <w:jc w:val="center"/>
              <w:rPr>
                <w:rFonts w:asciiTheme="minorHAnsi" w:hAnsiTheme="minorHAnsi" w:cstheme="minorHAnsi"/>
                <w:color w:val="000000"/>
                <w:sz w:val="18"/>
                <w:szCs w:val="18"/>
                <w:lang w:val="es-CR" w:eastAsia="es-CR"/>
              </w:rPr>
            </w:pPr>
            <w:r w:rsidRPr="00E32354">
              <w:rPr>
                <w:rFonts w:asciiTheme="minorHAnsi" w:hAnsiTheme="minorHAnsi" w:cstheme="minorHAnsi"/>
                <w:color w:val="000000"/>
                <w:sz w:val="18"/>
                <w:szCs w:val="18"/>
                <w:lang w:val="es-CR" w:eastAsia="es-CR"/>
              </w:rPr>
              <w:t>1.1.1.1</w:t>
            </w:r>
          </w:p>
        </w:tc>
        <w:tc>
          <w:tcPr>
            <w:tcW w:w="2457" w:type="dxa"/>
            <w:tcBorders>
              <w:top w:val="nil"/>
              <w:left w:val="single" w:sz="4" w:space="0" w:color="auto"/>
              <w:bottom w:val="nil"/>
              <w:right w:val="nil"/>
            </w:tcBorders>
            <w:shd w:val="clear" w:color="auto" w:fill="auto"/>
            <w:noWrap/>
            <w:vAlign w:val="center"/>
            <w:hideMark/>
          </w:tcPr>
          <w:p w14:paraId="5C674C73" w14:textId="77777777" w:rsidR="00E32354" w:rsidRPr="00E32354" w:rsidRDefault="00E32354" w:rsidP="00E32354">
            <w:pPr>
              <w:spacing w:line="240" w:lineRule="auto"/>
              <w:jc w:val="left"/>
              <w:rPr>
                <w:rFonts w:asciiTheme="minorHAnsi" w:hAnsiTheme="minorHAnsi" w:cstheme="minorHAnsi"/>
                <w:color w:val="000000"/>
                <w:sz w:val="18"/>
                <w:szCs w:val="18"/>
                <w:lang w:val="es-CR" w:eastAsia="es-CR"/>
              </w:rPr>
            </w:pPr>
            <w:r w:rsidRPr="00E32354">
              <w:rPr>
                <w:rFonts w:asciiTheme="minorHAnsi" w:hAnsiTheme="minorHAnsi" w:cstheme="minorHAnsi"/>
                <w:color w:val="000000"/>
                <w:sz w:val="18"/>
                <w:szCs w:val="18"/>
                <w:lang w:val="es-CR" w:eastAsia="es-CR"/>
              </w:rPr>
              <w:t>Retribuciones por años servidos</w:t>
            </w:r>
          </w:p>
        </w:tc>
        <w:tc>
          <w:tcPr>
            <w:tcW w:w="1203" w:type="dxa"/>
            <w:tcBorders>
              <w:top w:val="nil"/>
              <w:left w:val="single" w:sz="8" w:space="0" w:color="auto"/>
              <w:bottom w:val="nil"/>
              <w:right w:val="single" w:sz="8" w:space="0" w:color="auto"/>
            </w:tcBorders>
            <w:shd w:val="clear" w:color="auto" w:fill="auto"/>
            <w:noWrap/>
            <w:vAlign w:val="center"/>
            <w:hideMark/>
          </w:tcPr>
          <w:p w14:paraId="01ECC973" w14:textId="77777777" w:rsidR="00E32354" w:rsidRPr="00E32354" w:rsidRDefault="00E32354" w:rsidP="00E32354">
            <w:pPr>
              <w:spacing w:line="240" w:lineRule="auto"/>
              <w:jc w:val="right"/>
              <w:rPr>
                <w:rFonts w:asciiTheme="minorHAnsi" w:hAnsiTheme="minorHAnsi" w:cstheme="minorHAnsi"/>
                <w:color w:val="000000"/>
                <w:sz w:val="18"/>
                <w:szCs w:val="18"/>
                <w:lang w:val="es-CR" w:eastAsia="es-CR"/>
              </w:rPr>
            </w:pPr>
            <w:r w:rsidRPr="00E32354">
              <w:rPr>
                <w:rFonts w:asciiTheme="minorHAnsi" w:hAnsiTheme="minorHAnsi" w:cstheme="minorHAnsi"/>
                <w:color w:val="000000"/>
                <w:sz w:val="18"/>
                <w:szCs w:val="18"/>
                <w:lang w:val="es-CR" w:eastAsia="es-CR"/>
              </w:rPr>
              <w:t>182 812 005</w:t>
            </w:r>
          </w:p>
        </w:tc>
        <w:tc>
          <w:tcPr>
            <w:tcW w:w="1276" w:type="dxa"/>
            <w:tcBorders>
              <w:top w:val="nil"/>
              <w:left w:val="nil"/>
              <w:bottom w:val="nil"/>
              <w:right w:val="single" w:sz="8" w:space="0" w:color="auto"/>
            </w:tcBorders>
            <w:shd w:val="clear" w:color="auto" w:fill="auto"/>
            <w:noWrap/>
            <w:vAlign w:val="center"/>
            <w:hideMark/>
          </w:tcPr>
          <w:p w14:paraId="73F8E2F1" w14:textId="77777777" w:rsidR="00E32354" w:rsidRPr="00E32354" w:rsidRDefault="00E32354" w:rsidP="00E32354">
            <w:pPr>
              <w:spacing w:line="240" w:lineRule="auto"/>
              <w:jc w:val="right"/>
              <w:rPr>
                <w:rFonts w:asciiTheme="minorHAnsi" w:hAnsiTheme="minorHAnsi" w:cstheme="minorHAnsi"/>
                <w:color w:val="000000"/>
                <w:sz w:val="18"/>
                <w:szCs w:val="18"/>
                <w:lang w:val="es-CR" w:eastAsia="es-CR"/>
              </w:rPr>
            </w:pPr>
            <w:r w:rsidRPr="00E32354">
              <w:rPr>
                <w:rFonts w:asciiTheme="minorHAnsi" w:hAnsiTheme="minorHAnsi" w:cstheme="minorHAnsi"/>
                <w:color w:val="000000"/>
                <w:sz w:val="18"/>
                <w:szCs w:val="18"/>
                <w:lang w:val="es-CR" w:eastAsia="es-CR"/>
              </w:rPr>
              <w:t>95 348 554</w:t>
            </w:r>
          </w:p>
        </w:tc>
        <w:tc>
          <w:tcPr>
            <w:tcW w:w="781" w:type="dxa"/>
            <w:tcBorders>
              <w:top w:val="nil"/>
              <w:left w:val="nil"/>
              <w:bottom w:val="nil"/>
              <w:right w:val="single" w:sz="8" w:space="0" w:color="auto"/>
            </w:tcBorders>
            <w:shd w:val="clear" w:color="auto" w:fill="auto"/>
            <w:noWrap/>
            <w:vAlign w:val="center"/>
            <w:hideMark/>
          </w:tcPr>
          <w:p w14:paraId="2E27312A" w14:textId="77777777" w:rsidR="00E32354" w:rsidRPr="00E32354" w:rsidRDefault="00E32354" w:rsidP="00E32354">
            <w:pPr>
              <w:spacing w:line="240" w:lineRule="auto"/>
              <w:jc w:val="right"/>
              <w:rPr>
                <w:rFonts w:asciiTheme="minorHAnsi" w:hAnsiTheme="minorHAnsi" w:cstheme="minorHAnsi"/>
                <w:color w:val="000000"/>
                <w:sz w:val="18"/>
                <w:szCs w:val="18"/>
                <w:lang w:val="es-CR" w:eastAsia="es-CR"/>
              </w:rPr>
            </w:pPr>
            <w:r w:rsidRPr="00E32354">
              <w:rPr>
                <w:rFonts w:asciiTheme="minorHAnsi" w:hAnsiTheme="minorHAnsi" w:cstheme="minorHAnsi"/>
                <w:color w:val="000000"/>
                <w:sz w:val="18"/>
                <w:szCs w:val="18"/>
                <w:lang w:val="es-CR" w:eastAsia="es-CR"/>
              </w:rPr>
              <w:t>0</w:t>
            </w:r>
          </w:p>
        </w:tc>
        <w:tc>
          <w:tcPr>
            <w:tcW w:w="1134" w:type="dxa"/>
            <w:tcBorders>
              <w:top w:val="nil"/>
              <w:left w:val="nil"/>
              <w:bottom w:val="nil"/>
              <w:right w:val="nil"/>
            </w:tcBorders>
            <w:shd w:val="clear" w:color="auto" w:fill="auto"/>
            <w:noWrap/>
            <w:vAlign w:val="center"/>
            <w:hideMark/>
          </w:tcPr>
          <w:p w14:paraId="3095DB2C" w14:textId="77777777" w:rsidR="00E32354" w:rsidRPr="00E32354" w:rsidRDefault="00E32354" w:rsidP="00E32354">
            <w:pPr>
              <w:spacing w:line="240" w:lineRule="auto"/>
              <w:jc w:val="right"/>
              <w:rPr>
                <w:rFonts w:asciiTheme="minorHAnsi" w:hAnsiTheme="minorHAnsi" w:cstheme="minorHAnsi"/>
                <w:color w:val="000000"/>
                <w:sz w:val="18"/>
                <w:szCs w:val="18"/>
                <w:lang w:val="es-CR" w:eastAsia="es-CR"/>
              </w:rPr>
            </w:pPr>
            <w:r w:rsidRPr="00E32354">
              <w:rPr>
                <w:rFonts w:asciiTheme="minorHAnsi" w:hAnsiTheme="minorHAnsi" w:cstheme="minorHAnsi"/>
                <w:color w:val="000000"/>
                <w:sz w:val="18"/>
                <w:szCs w:val="18"/>
                <w:lang w:val="es-CR" w:eastAsia="es-CR"/>
              </w:rPr>
              <w:t>87 463 451</w:t>
            </w:r>
          </w:p>
        </w:tc>
        <w:tc>
          <w:tcPr>
            <w:tcW w:w="993" w:type="dxa"/>
            <w:tcBorders>
              <w:top w:val="nil"/>
              <w:left w:val="single" w:sz="8" w:space="0" w:color="auto"/>
              <w:bottom w:val="nil"/>
              <w:right w:val="single" w:sz="8" w:space="0" w:color="auto"/>
            </w:tcBorders>
            <w:shd w:val="clear" w:color="auto" w:fill="auto"/>
            <w:noWrap/>
            <w:vAlign w:val="center"/>
            <w:hideMark/>
          </w:tcPr>
          <w:p w14:paraId="0005E255" w14:textId="77777777" w:rsidR="00E32354" w:rsidRPr="00E32354" w:rsidRDefault="00E32354" w:rsidP="00E32354">
            <w:pPr>
              <w:spacing w:line="240" w:lineRule="auto"/>
              <w:jc w:val="center"/>
              <w:rPr>
                <w:rFonts w:asciiTheme="minorHAnsi" w:hAnsiTheme="minorHAnsi" w:cstheme="minorHAnsi"/>
                <w:color w:val="000000"/>
                <w:sz w:val="18"/>
                <w:szCs w:val="18"/>
                <w:lang w:val="es-CR" w:eastAsia="es-CR"/>
              </w:rPr>
            </w:pPr>
            <w:r w:rsidRPr="00E32354">
              <w:rPr>
                <w:rFonts w:asciiTheme="minorHAnsi" w:hAnsiTheme="minorHAnsi" w:cstheme="minorHAnsi"/>
                <w:color w:val="000000"/>
                <w:sz w:val="18"/>
                <w:szCs w:val="18"/>
                <w:lang w:val="es-CR" w:eastAsia="es-CR"/>
              </w:rPr>
              <w:t>52%</w:t>
            </w:r>
          </w:p>
        </w:tc>
      </w:tr>
      <w:tr w:rsidR="00C15B96" w:rsidRPr="00E32354" w14:paraId="1AEB0C94" w14:textId="77777777" w:rsidTr="004B1864">
        <w:trPr>
          <w:trHeight w:val="345"/>
        </w:trPr>
        <w:tc>
          <w:tcPr>
            <w:tcW w:w="699" w:type="dxa"/>
            <w:tcBorders>
              <w:top w:val="nil"/>
              <w:left w:val="single" w:sz="8" w:space="0" w:color="auto"/>
              <w:bottom w:val="nil"/>
              <w:right w:val="single" w:sz="8" w:space="0" w:color="auto"/>
            </w:tcBorders>
            <w:shd w:val="clear" w:color="auto" w:fill="auto"/>
            <w:noWrap/>
            <w:vAlign w:val="center"/>
            <w:hideMark/>
          </w:tcPr>
          <w:p w14:paraId="33A1A00B" w14:textId="77777777" w:rsidR="00E32354" w:rsidRPr="00E32354" w:rsidRDefault="00E32354" w:rsidP="00E32354">
            <w:pPr>
              <w:spacing w:line="240" w:lineRule="auto"/>
              <w:jc w:val="center"/>
              <w:rPr>
                <w:rFonts w:asciiTheme="minorHAnsi" w:hAnsiTheme="minorHAnsi" w:cstheme="minorHAnsi"/>
                <w:color w:val="000000"/>
                <w:sz w:val="18"/>
                <w:szCs w:val="18"/>
                <w:lang w:val="es-CR" w:eastAsia="es-CR"/>
              </w:rPr>
            </w:pPr>
            <w:r w:rsidRPr="00E32354">
              <w:rPr>
                <w:rFonts w:asciiTheme="minorHAnsi" w:hAnsiTheme="minorHAnsi" w:cstheme="minorHAnsi"/>
                <w:color w:val="000000"/>
                <w:sz w:val="18"/>
                <w:szCs w:val="18"/>
                <w:lang w:val="es-CR" w:eastAsia="es-CR"/>
              </w:rPr>
              <w:t>0 03 02</w:t>
            </w:r>
          </w:p>
        </w:tc>
        <w:tc>
          <w:tcPr>
            <w:tcW w:w="945" w:type="dxa"/>
            <w:tcBorders>
              <w:top w:val="nil"/>
              <w:left w:val="nil"/>
              <w:bottom w:val="nil"/>
              <w:right w:val="single" w:sz="4" w:space="0" w:color="auto"/>
            </w:tcBorders>
            <w:shd w:val="clear" w:color="auto" w:fill="auto"/>
            <w:noWrap/>
            <w:vAlign w:val="center"/>
            <w:hideMark/>
          </w:tcPr>
          <w:p w14:paraId="5A85A321" w14:textId="77777777" w:rsidR="00E32354" w:rsidRPr="00E32354" w:rsidRDefault="00E32354" w:rsidP="00E32354">
            <w:pPr>
              <w:spacing w:line="240" w:lineRule="auto"/>
              <w:jc w:val="center"/>
              <w:rPr>
                <w:rFonts w:asciiTheme="minorHAnsi" w:hAnsiTheme="minorHAnsi" w:cstheme="minorHAnsi"/>
                <w:color w:val="000000"/>
                <w:sz w:val="18"/>
                <w:szCs w:val="18"/>
                <w:lang w:val="es-CR" w:eastAsia="es-CR"/>
              </w:rPr>
            </w:pPr>
            <w:r w:rsidRPr="00E32354">
              <w:rPr>
                <w:rFonts w:asciiTheme="minorHAnsi" w:hAnsiTheme="minorHAnsi" w:cstheme="minorHAnsi"/>
                <w:color w:val="000000"/>
                <w:sz w:val="18"/>
                <w:szCs w:val="18"/>
                <w:lang w:val="es-CR" w:eastAsia="es-CR"/>
              </w:rPr>
              <w:t>1.1.1.1</w:t>
            </w:r>
          </w:p>
        </w:tc>
        <w:tc>
          <w:tcPr>
            <w:tcW w:w="2457" w:type="dxa"/>
            <w:tcBorders>
              <w:top w:val="nil"/>
              <w:left w:val="single" w:sz="4" w:space="0" w:color="auto"/>
              <w:bottom w:val="nil"/>
              <w:right w:val="nil"/>
            </w:tcBorders>
            <w:shd w:val="clear" w:color="auto" w:fill="auto"/>
            <w:noWrap/>
            <w:vAlign w:val="center"/>
            <w:hideMark/>
          </w:tcPr>
          <w:p w14:paraId="53D020B9" w14:textId="77777777" w:rsidR="00E32354" w:rsidRPr="00E32354" w:rsidRDefault="00E32354" w:rsidP="00E32354">
            <w:pPr>
              <w:spacing w:line="240" w:lineRule="auto"/>
              <w:jc w:val="left"/>
              <w:rPr>
                <w:rFonts w:asciiTheme="minorHAnsi" w:hAnsiTheme="minorHAnsi" w:cstheme="minorHAnsi"/>
                <w:color w:val="000000"/>
                <w:sz w:val="18"/>
                <w:szCs w:val="18"/>
                <w:lang w:val="es-CR" w:eastAsia="es-CR"/>
              </w:rPr>
            </w:pPr>
            <w:r w:rsidRPr="00E32354">
              <w:rPr>
                <w:rFonts w:asciiTheme="minorHAnsi" w:hAnsiTheme="minorHAnsi" w:cstheme="minorHAnsi"/>
                <w:color w:val="000000"/>
                <w:sz w:val="18"/>
                <w:szCs w:val="18"/>
                <w:lang w:val="es-CR" w:eastAsia="es-CR"/>
              </w:rPr>
              <w:t>Restricciones al ejercicio liberal de la profesión</w:t>
            </w:r>
          </w:p>
        </w:tc>
        <w:tc>
          <w:tcPr>
            <w:tcW w:w="1203" w:type="dxa"/>
            <w:tcBorders>
              <w:top w:val="nil"/>
              <w:left w:val="single" w:sz="8" w:space="0" w:color="auto"/>
              <w:bottom w:val="nil"/>
              <w:right w:val="single" w:sz="8" w:space="0" w:color="auto"/>
            </w:tcBorders>
            <w:shd w:val="clear" w:color="auto" w:fill="auto"/>
            <w:noWrap/>
            <w:vAlign w:val="center"/>
            <w:hideMark/>
          </w:tcPr>
          <w:p w14:paraId="72843D15" w14:textId="77777777" w:rsidR="00E32354" w:rsidRPr="00E32354" w:rsidRDefault="00E32354" w:rsidP="00E32354">
            <w:pPr>
              <w:spacing w:line="240" w:lineRule="auto"/>
              <w:jc w:val="right"/>
              <w:rPr>
                <w:rFonts w:asciiTheme="minorHAnsi" w:hAnsiTheme="minorHAnsi" w:cstheme="minorHAnsi"/>
                <w:color w:val="000000"/>
                <w:sz w:val="18"/>
                <w:szCs w:val="18"/>
                <w:lang w:val="es-CR" w:eastAsia="es-CR"/>
              </w:rPr>
            </w:pPr>
            <w:r w:rsidRPr="00E32354">
              <w:rPr>
                <w:rFonts w:asciiTheme="minorHAnsi" w:hAnsiTheme="minorHAnsi" w:cstheme="minorHAnsi"/>
                <w:color w:val="000000"/>
                <w:sz w:val="18"/>
                <w:szCs w:val="18"/>
                <w:lang w:val="es-CR" w:eastAsia="es-CR"/>
              </w:rPr>
              <w:t>45 498 300</w:t>
            </w:r>
          </w:p>
        </w:tc>
        <w:tc>
          <w:tcPr>
            <w:tcW w:w="1276" w:type="dxa"/>
            <w:tcBorders>
              <w:top w:val="nil"/>
              <w:left w:val="nil"/>
              <w:bottom w:val="nil"/>
              <w:right w:val="single" w:sz="8" w:space="0" w:color="auto"/>
            </w:tcBorders>
            <w:shd w:val="clear" w:color="auto" w:fill="auto"/>
            <w:noWrap/>
            <w:vAlign w:val="center"/>
            <w:hideMark/>
          </w:tcPr>
          <w:p w14:paraId="562853B3" w14:textId="77777777" w:rsidR="00E32354" w:rsidRPr="00E32354" w:rsidRDefault="00E32354" w:rsidP="00E32354">
            <w:pPr>
              <w:spacing w:line="240" w:lineRule="auto"/>
              <w:jc w:val="right"/>
              <w:rPr>
                <w:rFonts w:asciiTheme="minorHAnsi" w:hAnsiTheme="minorHAnsi" w:cstheme="minorHAnsi"/>
                <w:color w:val="000000"/>
                <w:sz w:val="18"/>
                <w:szCs w:val="18"/>
                <w:lang w:val="es-CR" w:eastAsia="es-CR"/>
              </w:rPr>
            </w:pPr>
            <w:r w:rsidRPr="00E32354">
              <w:rPr>
                <w:rFonts w:asciiTheme="minorHAnsi" w:hAnsiTheme="minorHAnsi" w:cstheme="minorHAnsi"/>
                <w:color w:val="000000"/>
                <w:sz w:val="18"/>
                <w:szCs w:val="18"/>
                <w:lang w:val="es-CR" w:eastAsia="es-CR"/>
              </w:rPr>
              <w:t>8 972 785</w:t>
            </w:r>
          </w:p>
        </w:tc>
        <w:tc>
          <w:tcPr>
            <w:tcW w:w="781" w:type="dxa"/>
            <w:tcBorders>
              <w:top w:val="nil"/>
              <w:left w:val="nil"/>
              <w:bottom w:val="nil"/>
              <w:right w:val="single" w:sz="8" w:space="0" w:color="auto"/>
            </w:tcBorders>
            <w:shd w:val="clear" w:color="auto" w:fill="auto"/>
            <w:noWrap/>
            <w:vAlign w:val="center"/>
            <w:hideMark/>
          </w:tcPr>
          <w:p w14:paraId="641FEAA5" w14:textId="77777777" w:rsidR="00E32354" w:rsidRPr="00E32354" w:rsidRDefault="00E32354" w:rsidP="00E32354">
            <w:pPr>
              <w:spacing w:line="240" w:lineRule="auto"/>
              <w:jc w:val="right"/>
              <w:rPr>
                <w:rFonts w:asciiTheme="minorHAnsi" w:hAnsiTheme="minorHAnsi" w:cstheme="minorHAnsi"/>
                <w:color w:val="000000"/>
                <w:sz w:val="18"/>
                <w:szCs w:val="18"/>
                <w:lang w:val="es-CR" w:eastAsia="es-CR"/>
              </w:rPr>
            </w:pPr>
            <w:r w:rsidRPr="00E32354">
              <w:rPr>
                <w:rFonts w:asciiTheme="minorHAnsi" w:hAnsiTheme="minorHAnsi" w:cstheme="minorHAnsi"/>
                <w:color w:val="000000"/>
                <w:sz w:val="18"/>
                <w:szCs w:val="18"/>
                <w:lang w:val="es-CR" w:eastAsia="es-CR"/>
              </w:rPr>
              <w:t>0</w:t>
            </w:r>
          </w:p>
        </w:tc>
        <w:tc>
          <w:tcPr>
            <w:tcW w:w="1134" w:type="dxa"/>
            <w:tcBorders>
              <w:top w:val="nil"/>
              <w:left w:val="nil"/>
              <w:bottom w:val="nil"/>
              <w:right w:val="nil"/>
            </w:tcBorders>
            <w:shd w:val="clear" w:color="auto" w:fill="auto"/>
            <w:noWrap/>
            <w:vAlign w:val="center"/>
            <w:hideMark/>
          </w:tcPr>
          <w:p w14:paraId="37799602" w14:textId="77777777" w:rsidR="00E32354" w:rsidRPr="00E32354" w:rsidRDefault="00E32354" w:rsidP="00E32354">
            <w:pPr>
              <w:spacing w:line="240" w:lineRule="auto"/>
              <w:jc w:val="right"/>
              <w:rPr>
                <w:rFonts w:asciiTheme="minorHAnsi" w:hAnsiTheme="minorHAnsi" w:cstheme="minorHAnsi"/>
                <w:color w:val="000000"/>
                <w:sz w:val="18"/>
                <w:szCs w:val="18"/>
                <w:lang w:val="es-CR" w:eastAsia="es-CR"/>
              </w:rPr>
            </w:pPr>
            <w:r w:rsidRPr="00E32354">
              <w:rPr>
                <w:rFonts w:asciiTheme="minorHAnsi" w:hAnsiTheme="minorHAnsi" w:cstheme="minorHAnsi"/>
                <w:color w:val="000000"/>
                <w:sz w:val="18"/>
                <w:szCs w:val="18"/>
                <w:lang w:val="es-CR" w:eastAsia="es-CR"/>
              </w:rPr>
              <w:t>36 525 515</w:t>
            </w:r>
          </w:p>
        </w:tc>
        <w:tc>
          <w:tcPr>
            <w:tcW w:w="993" w:type="dxa"/>
            <w:tcBorders>
              <w:top w:val="nil"/>
              <w:left w:val="single" w:sz="8" w:space="0" w:color="auto"/>
              <w:bottom w:val="nil"/>
              <w:right w:val="single" w:sz="8" w:space="0" w:color="auto"/>
            </w:tcBorders>
            <w:shd w:val="clear" w:color="auto" w:fill="auto"/>
            <w:noWrap/>
            <w:vAlign w:val="center"/>
            <w:hideMark/>
          </w:tcPr>
          <w:p w14:paraId="4E7C8AF1" w14:textId="77777777" w:rsidR="00E32354" w:rsidRPr="00E32354" w:rsidRDefault="00E32354" w:rsidP="00E32354">
            <w:pPr>
              <w:spacing w:line="240" w:lineRule="auto"/>
              <w:jc w:val="center"/>
              <w:rPr>
                <w:rFonts w:asciiTheme="minorHAnsi" w:hAnsiTheme="minorHAnsi" w:cstheme="minorHAnsi"/>
                <w:color w:val="000000"/>
                <w:sz w:val="18"/>
                <w:szCs w:val="18"/>
                <w:lang w:val="es-CR" w:eastAsia="es-CR"/>
              </w:rPr>
            </w:pPr>
            <w:r w:rsidRPr="00E32354">
              <w:rPr>
                <w:rFonts w:asciiTheme="minorHAnsi" w:hAnsiTheme="minorHAnsi" w:cstheme="minorHAnsi"/>
                <w:color w:val="000000"/>
                <w:sz w:val="18"/>
                <w:szCs w:val="18"/>
                <w:lang w:val="es-CR" w:eastAsia="es-CR"/>
              </w:rPr>
              <w:t>20%</w:t>
            </w:r>
          </w:p>
        </w:tc>
      </w:tr>
      <w:tr w:rsidR="00C15B96" w:rsidRPr="00E32354" w14:paraId="1AE881A5" w14:textId="77777777" w:rsidTr="004B1864">
        <w:trPr>
          <w:trHeight w:val="345"/>
        </w:trPr>
        <w:tc>
          <w:tcPr>
            <w:tcW w:w="699" w:type="dxa"/>
            <w:tcBorders>
              <w:top w:val="nil"/>
              <w:left w:val="single" w:sz="8" w:space="0" w:color="auto"/>
              <w:bottom w:val="nil"/>
              <w:right w:val="single" w:sz="8" w:space="0" w:color="auto"/>
            </w:tcBorders>
            <w:shd w:val="clear" w:color="auto" w:fill="auto"/>
            <w:noWrap/>
            <w:vAlign w:val="center"/>
            <w:hideMark/>
          </w:tcPr>
          <w:p w14:paraId="464E591D" w14:textId="77777777" w:rsidR="00E32354" w:rsidRPr="00E32354" w:rsidRDefault="00E32354" w:rsidP="00E32354">
            <w:pPr>
              <w:spacing w:line="240" w:lineRule="auto"/>
              <w:jc w:val="center"/>
              <w:rPr>
                <w:rFonts w:asciiTheme="minorHAnsi" w:hAnsiTheme="minorHAnsi" w:cstheme="minorHAnsi"/>
                <w:color w:val="000000"/>
                <w:sz w:val="18"/>
                <w:szCs w:val="18"/>
                <w:lang w:val="es-CR" w:eastAsia="es-CR"/>
              </w:rPr>
            </w:pPr>
            <w:r w:rsidRPr="00E32354">
              <w:rPr>
                <w:rFonts w:asciiTheme="minorHAnsi" w:hAnsiTheme="minorHAnsi" w:cstheme="minorHAnsi"/>
                <w:color w:val="000000"/>
                <w:sz w:val="18"/>
                <w:szCs w:val="18"/>
                <w:lang w:val="es-CR" w:eastAsia="es-CR"/>
              </w:rPr>
              <w:t>0 03 03</w:t>
            </w:r>
          </w:p>
        </w:tc>
        <w:tc>
          <w:tcPr>
            <w:tcW w:w="945" w:type="dxa"/>
            <w:tcBorders>
              <w:top w:val="nil"/>
              <w:left w:val="nil"/>
              <w:bottom w:val="nil"/>
              <w:right w:val="single" w:sz="4" w:space="0" w:color="auto"/>
            </w:tcBorders>
            <w:shd w:val="clear" w:color="auto" w:fill="auto"/>
            <w:noWrap/>
            <w:vAlign w:val="center"/>
            <w:hideMark/>
          </w:tcPr>
          <w:p w14:paraId="46BD9516" w14:textId="77777777" w:rsidR="00E32354" w:rsidRPr="00E32354" w:rsidRDefault="00E32354" w:rsidP="00E32354">
            <w:pPr>
              <w:spacing w:line="240" w:lineRule="auto"/>
              <w:jc w:val="center"/>
              <w:rPr>
                <w:rFonts w:asciiTheme="minorHAnsi" w:hAnsiTheme="minorHAnsi" w:cstheme="minorHAnsi"/>
                <w:color w:val="000000"/>
                <w:sz w:val="18"/>
                <w:szCs w:val="18"/>
                <w:lang w:val="es-CR" w:eastAsia="es-CR"/>
              </w:rPr>
            </w:pPr>
            <w:r w:rsidRPr="00E32354">
              <w:rPr>
                <w:rFonts w:asciiTheme="minorHAnsi" w:hAnsiTheme="minorHAnsi" w:cstheme="minorHAnsi"/>
                <w:color w:val="000000"/>
                <w:sz w:val="18"/>
                <w:szCs w:val="18"/>
                <w:lang w:val="es-CR" w:eastAsia="es-CR"/>
              </w:rPr>
              <w:t>1.1.1.1</w:t>
            </w:r>
          </w:p>
        </w:tc>
        <w:tc>
          <w:tcPr>
            <w:tcW w:w="2457" w:type="dxa"/>
            <w:tcBorders>
              <w:top w:val="nil"/>
              <w:left w:val="single" w:sz="4" w:space="0" w:color="auto"/>
              <w:bottom w:val="nil"/>
              <w:right w:val="nil"/>
            </w:tcBorders>
            <w:shd w:val="clear" w:color="auto" w:fill="auto"/>
            <w:noWrap/>
            <w:vAlign w:val="center"/>
            <w:hideMark/>
          </w:tcPr>
          <w:p w14:paraId="720D47E1" w14:textId="77777777" w:rsidR="00E32354" w:rsidRPr="00E32354" w:rsidRDefault="00E32354" w:rsidP="00E32354">
            <w:pPr>
              <w:spacing w:line="240" w:lineRule="auto"/>
              <w:jc w:val="left"/>
              <w:rPr>
                <w:rFonts w:asciiTheme="minorHAnsi" w:hAnsiTheme="minorHAnsi" w:cstheme="minorHAnsi"/>
                <w:color w:val="000000"/>
                <w:sz w:val="18"/>
                <w:szCs w:val="18"/>
                <w:lang w:val="es-CR" w:eastAsia="es-CR"/>
              </w:rPr>
            </w:pPr>
            <w:r w:rsidRPr="00E32354">
              <w:rPr>
                <w:rFonts w:asciiTheme="minorHAnsi" w:hAnsiTheme="minorHAnsi" w:cstheme="minorHAnsi"/>
                <w:color w:val="000000"/>
                <w:sz w:val="18"/>
                <w:szCs w:val="18"/>
                <w:lang w:val="es-CR" w:eastAsia="es-CR"/>
              </w:rPr>
              <w:t>Decimotercer mes</w:t>
            </w:r>
          </w:p>
        </w:tc>
        <w:tc>
          <w:tcPr>
            <w:tcW w:w="1203" w:type="dxa"/>
            <w:tcBorders>
              <w:top w:val="nil"/>
              <w:left w:val="single" w:sz="8" w:space="0" w:color="auto"/>
              <w:bottom w:val="nil"/>
              <w:right w:val="single" w:sz="8" w:space="0" w:color="auto"/>
            </w:tcBorders>
            <w:shd w:val="clear" w:color="auto" w:fill="auto"/>
            <w:noWrap/>
            <w:vAlign w:val="center"/>
            <w:hideMark/>
          </w:tcPr>
          <w:p w14:paraId="028B693F" w14:textId="77777777" w:rsidR="00E32354" w:rsidRPr="00E32354" w:rsidRDefault="00E32354" w:rsidP="00E32354">
            <w:pPr>
              <w:spacing w:line="240" w:lineRule="auto"/>
              <w:jc w:val="right"/>
              <w:rPr>
                <w:rFonts w:asciiTheme="minorHAnsi" w:hAnsiTheme="minorHAnsi" w:cstheme="minorHAnsi"/>
                <w:color w:val="000000"/>
                <w:sz w:val="18"/>
                <w:szCs w:val="18"/>
                <w:lang w:val="es-CR" w:eastAsia="es-CR"/>
              </w:rPr>
            </w:pPr>
            <w:r w:rsidRPr="00E32354">
              <w:rPr>
                <w:rFonts w:asciiTheme="minorHAnsi" w:hAnsiTheme="minorHAnsi" w:cstheme="minorHAnsi"/>
                <w:color w:val="000000"/>
                <w:sz w:val="18"/>
                <w:szCs w:val="18"/>
                <w:lang w:val="es-CR" w:eastAsia="es-CR"/>
              </w:rPr>
              <w:t>179 863 652</w:t>
            </w:r>
          </w:p>
        </w:tc>
        <w:tc>
          <w:tcPr>
            <w:tcW w:w="1276" w:type="dxa"/>
            <w:tcBorders>
              <w:top w:val="nil"/>
              <w:left w:val="nil"/>
              <w:bottom w:val="nil"/>
              <w:right w:val="single" w:sz="8" w:space="0" w:color="auto"/>
            </w:tcBorders>
            <w:shd w:val="clear" w:color="auto" w:fill="auto"/>
            <w:noWrap/>
            <w:vAlign w:val="center"/>
            <w:hideMark/>
          </w:tcPr>
          <w:p w14:paraId="39513595" w14:textId="77777777" w:rsidR="00E32354" w:rsidRPr="00E32354" w:rsidRDefault="00E32354" w:rsidP="00E32354">
            <w:pPr>
              <w:spacing w:line="240" w:lineRule="auto"/>
              <w:jc w:val="right"/>
              <w:rPr>
                <w:rFonts w:asciiTheme="minorHAnsi" w:hAnsiTheme="minorHAnsi" w:cstheme="minorHAnsi"/>
                <w:color w:val="000000"/>
                <w:sz w:val="18"/>
                <w:szCs w:val="18"/>
                <w:lang w:val="es-CR" w:eastAsia="es-CR"/>
              </w:rPr>
            </w:pPr>
            <w:r w:rsidRPr="00E32354">
              <w:rPr>
                <w:rFonts w:asciiTheme="minorHAnsi" w:hAnsiTheme="minorHAnsi" w:cstheme="minorHAnsi"/>
                <w:color w:val="000000"/>
                <w:sz w:val="18"/>
                <w:szCs w:val="18"/>
                <w:lang w:val="es-CR" w:eastAsia="es-CR"/>
              </w:rPr>
              <w:t>150 594 602</w:t>
            </w:r>
          </w:p>
        </w:tc>
        <w:tc>
          <w:tcPr>
            <w:tcW w:w="781" w:type="dxa"/>
            <w:tcBorders>
              <w:top w:val="nil"/>
              <w:left w:val="nil"/>
              <w:bottom w:val="nil"/>
              <w:right w:val="single" w:sz="8" w:space="0" w:color="auto"/>
            </w:tcBorders>
            <w:shd w:val="clear" w:color="auto" w:fill="auto"/>
            <w:noWrap/>
            <w:vAlign w:val="center"/>
            <w:hideMark/>
          </w:tcPr>
          <w:p w14:paraId="7B816899" w14:textId="77777777" w:rsidR="00E32354" w:rsidRPr="00E32354" w:rsidRDefault="00E32354" w:rsidP="00E32354">
            <w:pPr>
              <w:spacing w:line="240" w:lineRule="auto"/>
              <w:jc w:val="right"/>
              <w:rPr>
                <w:rFonts w:asciiTheme="minorHAnsi" w:hAnsiTheme="minorHAnsi" w:cstheme="minorHAnsi"/>
                <w:color w:val="000000"/>
                <w:sz w:val="18"/>
                <w:szCs w:val="18"/>
                <w:lang w:val="es-CR" w:eastAsia="es-CR"/>
              </w:rPr>
            </w:pPr>
            <w:r w:rsidRPr="00E32354">
              <w:rPr>
                <w:rFonts w:asciiTheme="minorHAnsi" w:hAnsiTheme="minorHAnsi" w:cstheme="minorHAnsi"/>
                <w:color w:val="000000"/>
                <w:sz w:val="18"/>
                <w:szCs w:val="18"/>
                <w:lang w:val="es-CR" w:eastAsia="es-CR"/>
              </w:rPr>
              <w:t>0</w:t>
            </w:r>
          </w:p>
        </w:tc>
        <w:tc>
          <w:tcPr>
            <w:tcW w:w="1134" w:type="dxa"/>
            <w:tcBorders>
              <w:top w:val="nil"/>
              <w:left w:val="nil"/>
              <w:bottom w:val="nil"/>
              <w:right w:val="nil"/>
            </w:tcBorders>
            <w:shd w:val="clear" w:color="auto" w:fill="auto"/>
            <w:noWrap/>
            <w:vAlign w:val="center"/>
            <w:hideMark/>
          </w:tcPr>
          <w:p w14:paraId="2E96B3C3" w14:textId="77777777" w:rsidR="00E32354" w:rsidRPr="00E32354" w:rsidRDefault="00E32354" w:rsidP="00E32354">
            <w:pPr>
              <w:spacing w:line="240" w:lineRule="auto"/>
              <w:jc w:val="right"/>
              <w:rPr>
                <w:rFonts w:asciiTheme="minorHAnsi" w:hAnsiTheme="minorHAnsi" w:cstheme="minorHAnsi"/>
                <w:color w:val="000000"/>
                <w:sz w:val="18"/>
                <w:szCs w:val="18"/>
                <w:lang w:val="es-CR" w:eastAsia="es-CR"/>
              </w:rPr>
            </w:pPr>
            <w:r w:rsidRPr="00E32354">
              <w:rPr>
                <w:rFonts w:asciiTheme="minorHAnsi" w:hAnsiTheme="minorHAnsi" w:cstheme="minorHAnsi"/>
                <w:color w:val="000000"/>
                <w:sz w:val="18"/>
                <w:szCs w:val="18"/>
                <w:lang w:val="es-CR" w:eastAsia="es-CR"/>
              </w:rPr>
              <w:t>29 269 050</w:t>
            </w:r>
          </w:p>
        </w:tc>
        <w:tc>
          <w:tcPr>
            <w:tcW w:w="993" w:type="dxa"/>
            <w:tcBorders>
              <w:top w:val="nil"/>
              <w:left w:val="single" w:sz="8" w:space="0" w:color="auto"/>
              <w:bottom w:val="nil"/>
              <w:right w:val="single" w:sz="8" w:space="0" w:color="auto"/>
            </w:tcBorders>
            <w:shd w:val="clear" w:color="auto" w:fill="auto"/>
            <w:noWrap/>
            <w:vAlign w:val="center"/>
            <w:hideMark/>
          </w:tcPr>
          <w:p w14:paraId="667B152E" w14:textId="77777777" w:rsidR="00E32354" w:rsidRPr="00E32354" w:rsidRDefault="00E32354" w:rsidP="00E32354">
            <w:pPr>
              <w:spacing w:line="240" w:lineRule="auto"/>
              <w:jc w:val="center"/>
              <w:rPr>
                <w:rFonts w:asciiTheme="minorHAnsi" w:hAnsiTheme="minorHAnsi" w:cstheme="minorHAnsi"/>
                <w:color w:val="000000"/>
                <w:sz w:val="18"/>
                <w:szCs w:val="18"/>
                <w:lang w:val="es-CR" w:eastAsia="es-CR"/>
              </w:rPr>
            </w:pPr>
            <w:r w:rsidRPr="00E32354">
              <w:rPr>
                <w:rFonts w:asciiTheme="minorHAnsi" w:hAnsiTheme="minorHAnsi" w:cstheme="minorHAnsi"/>
                <w:color w:val="000000"/>
                <w:sz w:val="18"/>
                <w:szCs w:val="18"/>
                <w:lang w:val="es-CR" w:eastAsia="es-CR"/>
              </w:rPr>
              <w:t>84%</w:t>
            </w:r>
          </w:p>
        </w:tc>
      </w:tr>
      <w:tr w:rsidR="00C15B96" w:rsidRPr="00E32354" w14:paraId="2FC820D6" w14:textId="77777777" w:rsidTr="004B1864">
        <w:trPr>
          <w:trHeight w:val="345"/>
        </w:trPr>
        <w:tc>
          <w:tcPr>
            <w:tcW w:w="699" w:type="dxa"/>
            <w:tcBorders>
              <w:top w:val="nil"/>
              <w:left w:val="single" w:sz="8" w:space="0" w:color="auto"/>
              <w:bottom w:val="nil"/>
              <w:right w:val="single" w:sz="8" w:space="0" w:color="auto"/>
            </w:tcBorders>
            <w:shd w:val="clear" w:color="auto" w:fill="auto"/>
            <w:noWrap/>
            <w:vAlign w:val="center"/>
            <w:hideMark/>
          </w:tcPr>
          <w:p w14:paraId="64C25B0D" w14:textId="77777777" w:rsidR="00E32354" w:rsidRPr="00E32354" w:rsidRDefault="00E32354" w:rsidP="00E32354">
            <w:pPr>
              <w:spacing w:line="240" w:lineRule="auto"/>
              <w:jc w:val="center"/>
              <w:rPr>
                <w:rFonts w:asciiTheme="minorHAnsi" w:hAnsiTheme="minorHAnsi" w:cstheme="minorHAnsi"/>
                <w:color w:val="000000"/>
                <w:sz w:val="18"/>
                <w:szCs w:val="18"/>
                <w:lang w:val="es-CR" w:eastAsia="es-CR"/>
              </w:rPr>
            </w:pPr>
            <w:r w:rsidRPr="00E32354">
              <w:rPr>
                <w:rFonts w:asciiTheme="minorHAnsi" w:hAnsiTheme="minorHAnsi" w:cstheme="minorHAnsi"/>
                <w:color w:val="000000"/>
                <w:sz w:val="18"/>
                <w:szCs w:val="18"/>
                <w:lang w:val="es-CR" w:eastAsia="es-CR"/>
              </w:rPr>
              <w:t>0 03 04</w:t>
            </w:r>
          </w:p>
        </w:tc>
        <w:tc>
          <w:tcPr>
            <w:tcW w:w="945" w:type="dxa"/>
            <w:tcBorders>
              <w:top w:val="nil"/>
              <w:left w:val="nil"/>
              <w:bottom w:val="nil"/>
              <w:right w:val="single" w:sz="4" w:space="0" w:color="auto"/>
            </w:tcBorders>
            <w:shd w:val="clear" w:color="auto" w:fill="auto"/>
            <w:noWrap/>
            <w:vAlign w:val="center"/>
            <w:hideMark/>
          </w:tcPr>
          <w:p w14:paraId="0F2BDFD6" w14:textId="77777777" w:rsidR="00E32354" w:rsidRPr="00E32354" w:rsidRDefault="00E32354" w:rsidP="00E32354">
            <w:pPr>
              <w:spacing w:line="240" w:lineRule="auto"/>
              <w:jc w:val="center"/>
              <w:rPr>
                <w:rFonts w:asciiTheme="minorHAnsi" w:hAnsiTheme="minorHAnsi" w:cstheme="minorHAnsi"/>
                <w:color w:val="000000"/>
                <w:sz w:val="18"/>
                <w:szCs w:val="18"/>
                <w:lang w:val="es-CR" w:eastAsia="es-CR"/>
              </w:rPr>
            </w:pPr>
            <w:r w:rsidRPr="00E32354">
              <w:rPr>
                <w:rFonts w:asciiTheme="minorHAnsi" w:hAnsiTheme="minorHAnsi" w:cstheme="minorHAnsi"/>
                <w:color w:val="000000"/>
                <w:sz w:val="18"/>
                <w:szCs w:val="18"/>
                <w:lang w:val="es-CR" w:eastAsia="es-CR"/>
              </w:rPr>
              <w:t>1.1.1.1</w:t>
            </w:r>
          </w:p>
        </w:tc>
        <w:tc>
          <w:tcPr>
            <w:tcW w:w="2457" w:type="dxa"/>
            <w:tcBorders>
              <w:top w:val="nil"/>
              <w:left w:val="single" w:sz="4" w:space="0" w:color="auto"/>
              <w:bottom w:val="nil"/>
              <w:right w:val="nil"/>
            </w:tcBorders>
            <w:shd w:val="clear" w:color="auto" w:fill="auto"/>
            <w:noWrap/>
            <w:vAlign w:val="center"/>
            <w:hideMark/>
          </w:tcPr>
          <w:p w14:paraId="2136CD9D" w14:textId="77777777" w:rsidR="00E32354" w:rsidRPr="00E32354" w:rsidRDefault="00E32354" w:rsidP="00E32354">
            <w:pPr>
              <w:spacing w:line="240" w:lineRule="auto"/>
              <w:jc w:val="left"/>
              <w:rPr>
                <w:rFonts w:asciiTheme="minorHAnsi" w:hAnsiTheme="minorHAnsi" w:cstheme="minorHAnsi"/>
                <w:color w:val="000000"/>
                <w:sz w:val="18"/>
                <w:szCs w:val="18"/>
                <w:lang w:val="es-CR" w:eastAsia="es-CR"/>
              </w:rPr>
            </w:pPr>
            <w:r w:rsidRPr="00E32354">
              <w:rPr>
                <w:rFonts w:asciiTheme="minorHAnsi" w:hAnsiTheme="minorHAnsi" w:cstheme="minorHAnsi"/>
                <w:color w:val="000000"/>
                <w:sz w:val="18"/>
                <w:szCs w:val="18"/>
                <w:lang w:val="es-CR" w:eastAsia="es-CR"/>
              </w:rPr>
              <w:t>Salario escolar</w:t>
            </w:r>
          </w:p>
        </w:tc>
        <w:tc>
          <w:tcPr>
            <w:tcW w:w="1203" w:type="dxa"/>
            <w:tcBorders>
              <w:top w:val="nil"/>
              <w:left w:val="single" w:sz="8" w:space="0" w:color="auto"/>
              <w:bottom w:val="nil"/>
              <w:right w:val="single" w:sz="8" w:space="0" w:color="auto"/>
            </w:tcBorders>
            <w:shd w:val="clear" w:color="auto" w:fill="auto"/>
            <w:noWrap/>
            <w:vAlign w:val="center"/>
            <w:hideMark/>
          </w:tcPr>
          <w:p w14:paraId="4E7AD4B4" w14:textId="77777777" w:rsidR="00E32354" w:rsidRPr="00E32354" w:rsidRDefault="00E32354" w:rsidP="00E32354">
            <w:pPr>
              <w:spacing w:line="240" w:lineRule="auto"/>
              <w:jc w:val="right"/>
              <w:rPr>
                <w:rFonts w:asciiTheme="minorHAnsi" w:hAnsiTheme="minorHAnsi" w:cstheme="minorHAnsi"/>
                <w:color w:val="000000"/>
                <w:sz w:val="18"/>
                <w:szCs w:val="18"/>
                <w:lang w:val="es-CR" w:eastAsia="es-CR"/>
              </w:rPr>
            </w:pPr>
            <w:r w:rsidRPr="00E32354">
              <w:rPr>
                <w:rFonts w:asciiTheme="minorHAnsi" w:hAnsiTheme="minorHAnsi" w:cstheme="minorHAnsi"/>
                <w:color w:val="000000"/>
                <w:sz w:val="18"/>
                <w:szCs w:val="18"/>
                <w:lang w:val="es-CR" w:eastAsia="es-CR"/>
              </w:rPr>
              <w:t>33 500 547</w:t>
            </w:r>
          </w:p>
        </w:tc>
        <w:tc>
          <w:tcPr>
            <w:tcW w:w="1276" w:type="dxa"/>
            <w:tcBorders>
              <w:top w:val="nil"/>
              <w:left w:val="nil"/>
              <w:bottom w:val="nil"/>
              <w:right w:val="single" w:sz="8" w:space="0" w:color="auto"/>
            </w:tcBorders>
            <w:shd w:val="clear" w:color="auto" w:fill="auto"/>
            <w:noWrap/>
            <w:vAlign w:val="center"/>
            <w:hideMark/>
          </w:tcPr>
          <w:p w14:paraId="593EE0F8" w14:textId="77777777" w:rsidR="00E32354" w:rsidRPr="00E32354" w:rsidRDefault="00E32354" w:rsidP="00E32354">
            <w:pPr>
              <w:spacing w:line="240" w:lineRule="auto"/>
              <w:jc w:val="right"/>
              <w:rPr>
                <w:rFonts w:asciiTheme="minorHAnsi" w:hAnsiTheme="minorHAnsi" w:cstheme="minorHAnsi"/>
                <w:color w:val="000000"/>
                <w:sz w:val="18"/>
                <w:szCs w:val="18"/>
                <w:lang w:val="es-CR" w:eastAsia="es-CR"/>
              </w:rPr>
            </w:pPr>
            <w:r w:rsidRPr="00E32354">
              <w:rPr>
                <w:rFonts w:asciiTheme="minorHAnsi" w:hAnsiTheme="minorHAnsi" w:cstheme="minorHAnsi"/>
                <w:color w:val="000000"/>
                <w:sz w:val="18"/>
                <w:szCs w:val="18"/>
                <w:lang w:val="es-CR" w:eastAsia="es-CR"/>
              </w:rPr>
              <w:t>16 631 563</w:t>
            </w:r>
          </w:p>
        </w:tc>
        <w:tc>
          <w:tcPr>
            <w:tcW w:w="781" w:type="dxa"/>
            <w:tcBorders>
              <w:top w:val="nil"/>
              <w:left w:val="nil"/>
              <w:bottom w:val="nil"/>
              <w:right w:val="single" w:sz="8" w:space="0" w:color="auto"/>
            </w:tcBorders>
            <w:shd w:val="clear" w:color="auto" w:fill="auto"/>
            <w:noWrap/>
            <w:vAlign w:val="center"/>
            <w:hideMark/>
          </w:tcPr>
          <w:p w14:paraId="5C49734B" w14:textId="77777777" w:rsidR="00E32354" w:rsidRPr="00E32354" w:rsidRDefault="00E32354" w:rsidP="00E32354">
            <w:pPr>
              <w:spacing w:line="240" w:lineRule="auto"/>
              <w:jc w:val="right"/>
              <w:rPr>
                <w:rFonts w:asciiTheme="minorHAnsi" w:hAnsiTheme="minorHAnsi" w:cstheme="minorHAnsi"/>
                <w:color w:val="000000"/>
                <w:sz w:val="18"/>
                <w:szCs w:val="18"/>
                <w:lang w:val="es-CR" w:eastAsia="es-CR"/>
              </w:rPr>
            </w:pPr>
            <w:r w:rsidRPr="00E32354">
              <w:rPr>
                <w:rFonts w:asciiTheme="minorHAnsi" w:hAnsiTheme="minorHAnsi" w:cstheme="minorHAnsi"/>
                <w:color w:val="000000"/>
                <w:sz w:val="18"/>
                <w:szCs w:val="18"/>
                <w:lang w:val="es-CR" w:eastAsia="es-CR"/>
              </w:rPr>
              <w:t>0</w:t>
            </w:r>
          </w:p>
        </w:tc>
        <w:tc>
          <w:tcPr>
            <w:tcW w:w="1134" w:type="dxa"/>
            <w:tcBorders>
              <w:top w:val="nil"/>
              <w:left w:val="nil"/>
              <w:bottom w:val="nil"/>
              <w:right w:val="nil"/>
            </w:tcBorders>
            <w:shd w:val="clear" w:color="auto" w:fill="auto"/>
            <w:noWrap/>
            <w:vAlign w:val="center"/>
            <w:hideMark/>
          </w:tcPr>
          <w:p w14:paraId="08D8DEFD" w14:textId="77777777" w:rsidR="00E32354" w:rsidRPr="00E32354" w:rsidRDefault="00E32354" w:rsidP="00E32354">
            <w:pPr>
              <w:spacing w:line="240" w:lineRule="auto"/>
              <w:jc w:val="right"/>
              <w:rPr>
                <w:rFonts w:asciiTheme="minorHAnsi" w:hAnsiTheme="minorHAnsi" w:cstheme="minorHAnsi"/>
                <w:color w:val="000000"/>
                <w:sz w:val="18"/>
                <w:szCs w:val="18"/>
                <w:lang w:val="es-CR" w:eastAsia="es-CR"/>
              </w:rPr>
            </w:pPr>
            <w:r w:rsidRPr="00E32354">
              <w:rPr>
                <w:rFonts w:asciiTheme="minorHAnsi" w:hAnsiTheme="minorHAnsi" w:cstheme="minorHAnsi"/>
                <w:color w:val="000000"/>
                <w:sz w:val="18"/>
                <w:szCs w:val="18"/>
                <w:lang w:val="es-CR" w:eastAsia="es-CR"/>
              </w:rPr>
              <w:t>16 868 984</w:t>
            </w:r>
          </w:p>
        </w:tc>
        <w:tc>
          <w:tcPr>
            <w:tcW w:w="993" w:type="dxa"/>
            <w:tcBorders>
              <w:top w:val="nil"/>
              <w:left w:val="single" w:sz="8" w:space="0" w:color="auto"/>
              <w:bottom w:val="nil"/>
              <w:right w:val="single" w:sz="8" w:space="0" w:color="auto"/>
            </w:tcBorders>
            <w:shd w:val="clear" w:color="auto" w:fill="auto"/>
            <w:noWrap/>
            <w:vAlign w:val="center"/>
            <w:hideMark/>
          </w:tcPr>
          <w:p w14:paraId="02EF421E" w14:textId="77777777" w:rsidR="00E32354" w:rsidRPr="00E32354" w:rsidRDefault="00E32354" w:rsidP="00E32354">
            <w:pPr>
              <w:spacing w:line="240" w:lineRule="auto"/>
              <w:jc w:val="center"/>
              <w:rPr>
                <w:rFonts w:asciiTheme="minorHAnsi" w:hAnsiTheme="minorHAnsi" w:cstheme="minorHAnsi"/>
                <w:color w:val="000000"/>
                <w:sz w:val="18"/>
                <w:szCs w:val="18"/>
                <w:lang w:val="es-CR" w:eastAsia="es-CR"/>
              </w:rPr>
            </w:pPr>
            <w:r w:rsidRPr="00E32354">
              <w:rPr>
                <w:rFonts w:asciiTheme="minorHAnsi" w:hAnsiTheme="minorHAnsi" w:cstheme="minorHAnsi"/>
                <w:color w:val="000000"/>
                <w:sz w:val="18"/>
                <w:szCs w:val="18"/>
                <w:lang w:val="es-CR" w:eastAsia="es-CR"/>
              </w:rPr>
              <w:t>50%</w:t>
            </w:r>
          </w:p>
        </w:tc>
      </w:tr>
      <w:tr w:rsidR="00C15B96" w:rsidRPr="00E32354" w14:paraId="5EEB3D99" w14:textId="77777777" w:rsidTr="004B1864">
        <w:trPr>
          <w:trHeight w:val="345"/>
        </w:trPr>
        <w:tc>
          <w:tcPr>
            <w:tcW w:w="699" w:type="dxa"/>
            <w:tcBorders>
              <w:top w:val="nil"/>
              <w:left w:val="single" w:sz="8" w:space="0" w:color="auto"/>
              <w:bottom w:val="nil"/>
              <w:right w:val="single" w:sz="8" w:space="0" w:color="auto"/>
            </w:tcBorders>
            <w:shd w:val="clear" w:color="auto" w:fill="auto"/>
            <w:noWrap/>
            <w:vAlign w:val="center"/>
            <w:hideMark/>
          </w:tcPr>
          <w:p w14:paraId="2BA08478" w14:textId="77777777" w:rsidR="00E32354" w:rsidRPr="00E32354" w:rsidRDefault="00E32354" w:rsidP="00E32354">
            <w:pPr>
              <w:spacing w:line="240" w:lineRule="auto"/>
              <w:jc w:val="center"/>
              <w:rPr>
                <w:rFonts w:asciiTheme="minorHAnsi" w:hAnsiTheme="minorHAnsi" w:cstheme="minorHAnsi"/>
                <w:color w:val="000000"/>
                <w:sz w:val="18"/>
                <w:szCs w:val="18"/>
                <w:lang w:val="es-CR" w:eastAsia="es-CR"/>
              </w:rPr>
            </w:pPr>
            <w:r w:rsidRPr="00E32354">
              <w:rPr>
                <w:rFonts w:asciiTheme="minorHAnsi" w:hAnsiTheme="minorHAnsi" w:cstheme="minorHAnsi"/>
                <w:color w:val="000000"/>
                <w:sz w:val="18"/>
                <w:szCs w:val="18"/>
                <w:lang w:val="es-CR" w:eastAsia="es-CR"/>
              </w:rPr>
              <w:t>0 03 99</w:t>
            </w:r>
          </w:p>
        </w:tc>
        <w:tc>
          <w:tcPr>
            <w:tcW w:w="945" w:type="dxa"/>
            <w:tcBorders>
              <w:top w:val="nil"/>
              <w:left w:val="nil"/>
              <w:bottom w:val="nil"/>
              <w:right w:val="single" w:sz="4" w:space="0" w:color="auto"/>
            </w:tcBorders>
            <w:shd w:val="clear" w:color="auto" w:fill="auto"/>
            <w:noWrap/>
            <w:vAlign w:val="center"/>
            <w:hideMark/>
          </w:tcPr>
          <w:p w14:paraId="4806A817" w14:textId="77777777" w:rsidR="00E32354" w:rsidRPr="00E32354" w:rsidRDefault="00E32354" w:rsidP="00E32354">
            <w:pPr>
              <w:spacing w:line="240" w:lineRule="auto"/>
              <w:jc w:val="center"/>
              <w:rPr>
                <w:rFonts w:asciiTheme="minorHAnsi" w:hAnsiTheme="minorHAnsi" w:cstheme="minorHAnsi"/>
                <w:color w:val="000000"/>
                <w:sz w:val="18"/>
                <w:szCs w:val="18"/>
                <w:lang w:val="es-CR" w:eastAsia="es-CR"/>
              </w:rPr>
            </w:pPr>
            <w:r w:rsidRPr="00E32354">
              <w:rPr>
                <w:rFonts w:asciiTheme="minorHAnsi" w:hAnsiTheme="minorHAnsi" w:cstheme="minorHAnsi"/>
                <w:color w:val="000000"/>
                <w:sz w:val="18"/>
                <w:szCs w:val="18"/>
                <w:lang w:val="es-CR" w:eastAsia="es-CR"/>
              </w:rPr>
              <w:t>1.1.1.1</w:t>
            </w:r>
          </w:p>
        </w:tc>
        <w:tc>
          <w:tcPr>
            <w:tcW w:w="2457" w:type="dxa"/>
            <w:tcBorders>
              <w:top w:val="nil"/>
              <w:left w:val="single" w:sz="4" w:space="0" w:color="auto"/>
              <w:bottom w:val="nil"/>
              <w:right w:val="nil"/>
            </w:tcBorders>
            <w:shd w:val="clear" w:color="auto" w:fill="auto"/>
            <w:noWrap/>
            <w:vAlign w:val="center"/>
            <w:hideMark/>
          </w:tcPr>
          <w:p w14:paraId="426B528C" w14:textId="77777777" w:rsidR="00E32354" w:rsidRPr="00E32354" w:rsidRDefault="00E32354" w:rsidP="00E32354">
            <w:pPr>
              <w:spacing w:line="240" w:lineRule="auto"/>
              <w:jc w:val="left"/>
              <w:rPr>
                <w:rFonts w:asciiTheme="minorHAnsi" w:hAnsiTheme="minorHAnsi" w:cstheme="minorHAnsi"/>
                <w:color w:val="000000"/>
                <w:sz w:val="18"/>
                <w:szCs w:val="18"/>
                <w:lang w:val="es-CR" w:eastAsia="es-CR"/>
              </w:rPr>
            </w:pPr>
            <w:r w:rsidRPr="00E32354">
              <w:rPr>
                <w:rFonts w:asciiTheme="minorHAnsi" w:hAnsiTheme="minorHAnsi" w:cstheme="minorHAnsi"/>
                <w:color w:val="000000"/>
                <w:sz w:val="18"/>
                <w:szCs w:val="18"/>
                <w:lang w:val="es-CR" w:eastAsia="es-CR"/>
              </w:rPr>
              <w:t>Otros incentivos salariales</w:t>
            </w:r>
          </w:p>
        </w:tc>
        <w:tc>
          <w:tcPr>
            <w:tcW w:w="1203" w:type="dxa"/>
            <w:tcBorders>
              <w:top w:val="nil"/>
              <w:left w:val="single" w:sz="8" w:space="0" w:color="auto"/>
              <w:bottom w:val="nil"/>
              <w:right w:val="single" w:sz="8" w:space="0" w:color="auto"/>
            </w:tcBorders>
            <w:shd w:val="clear" w:color="auto" w:fill="auto"/>
            <w:noWrap/>
            <w:vAlign w:val="center"/>
            <w:hideMark/>
          </w:tcPr>
          <w:p w14:paraId="2A4A96AF" w14:textId="77777777" w:rsidR="00E32354" w:rsidRPr="00E32354" w:rsidRDefault="00E32354" w:rsidP="00E32354">
            <w:pPr>
              <w:spacing w:line="240" w:lineRule="auto"/>
              <w:jc w:val="right"/>
              <w:rPr>
                <w:rFonts w:asciiTheme="minorHAnsi" w:hAnsiTheme="minorHAnsi" w:cstheme="minorHAnsi"/>
                <w:color w:val="000000"/>
                <w:sz w:val="18"/>
                <w:szCs w:val="18"/>
                <w:lang w:val="es-CR" w:eastAsia="es-CR"/>
              </w:rPr>
            </w:pPr>
            <w:r w:rsidRPr="00E32354">
              <w:rPr>
                <w:rFonts w:asciiTheme="minorHAnsi" w:hAnsiTheme="minorHAnsi" w:cstheme="minorHAnsi"/>
                <w:color w:val="000000"/>
                <w:sz w:val="18"/>
                <w:szCs w:val="18"/>
                <w:lang w:val="es-CR" w:eastAsia="es-CR"/>
              </w:rPr>
              <w:t>48 441 372</w:t>
            </w:r>
          </w:p>
        </w:tc>
        <w:tc>
          <w:tcPr>
            <w:tcW w:w="1276" w:type="dxa"/>
            <w:tcBorders>
              <w:top w:val="nil"/>
              <w:left w:val="nil"/>
              <w:bottom w:val="nil"/>
              <w:right w:val="single" w:sz="8" w:space="0" w:color="auto"/>
            </w:tcBorders>
            <w:shd w:val="clear" w:color="auto" w:fill="auto"/>
            <w:noWrap/>
            <w:vAlign w:val="center"/>
            <w:hideMark/>
          </w:tcPr>
          <w:p w14:paraId="0A83788A" w14:textId="77777777" w:rsidR="00E32354" w:rsidRPr="00E32354" w:rsidRDefault="00E32354" w:rsidP="00E32354">
            <w:pPr>
              <w:spacing w:line="240" w:lineRule="auto"/>
              <w:jc w:val="right"/>
              <w:rPr>
                <w:rFonts w:asciiTheme="minorHAnsi" w:hAnsiTheme="minorHAnsi" w:cstheme="minorHAnsi"/>
                <w:color w:val="000000"/>
                <w:sz w:val="18"/>
                <w:szCs w:val="18"/>
                <w:lang w:val="es-CR" w:eastAsia="es-CR"/>
              </w:rPr>
            </w:pPr>
            <w:r w:rsidRPr="00E32354">
              <w:rPr>
                <w:rFonts w:asciiTheme="minorHAnsi" w:hAnsiTheme="minorHAnsi" w:cstheme="minorHAnsi"/>
                <w:color w:val="000000"/>
                <w:sz w:val="18"/>
                <w:szCs w:val="18"/>
                <w:lang w:val="es-CR" w:eastAsia="es-CR"/>
              </w:rPr>
              <w:t>36 563 098</w:t>
            </w:r>
          </w:p>
        </w:tc>
        <w:tc>
          <w:tcPr>
            <w:tcW w:w="781" w:type="dxa"/>
            <w:tcBorders>
              <w:top w:val="nil"/>
              <w:left w:val="nil"/>
              <w:bottom w:val="nil"/>
              <w:right w:val="single" w:sz="8" w:space="0" w:color="auto"/>
            </w:tcBorders>
            <w:shd w:val="clear" w:color="auto" w:fill="auto"/>
            <w:noWrap/>
            <w:vAlign w:val="center"/>
            <w:hideMark/>
          </w:tcPr>
          <w:p w14:paraId="70B40C1D" w14:textId="77777777" w:rsidR="00E32354" w:rsidRPr="00E32354" w:rsidRDefault="00E32354" w:rsidP="00E32354">
            <w:pPr>
              <w:spacing w:line="240" w:lineRule="auto"/>
              <w:jc w:val="right"/>
              <w:rPr>
                <w:rFonts w:asciiTheme="minorHAnsi" w:hAnsiTheme="minorHAnsi" w:cstheme="minorHAnsi"/>
                <w:color w:val="000000"/>
                <w:sz w:val="18"/>
                <w:szCs w:val="18"/>
                <w:lang w:val="es-CR" w:eastAsia="es-CR"/>
              </w:rPr>
            </w:pPr>
            <w:r w:rsidRPr="00E32354">
              <w:rPr>
                <w:rFonts w:asciiTheme="minorHAnsi" w:hAnsiTheme="minorHAnsi" w:cstheme="minorHAnsi"/>
                <w:color w:val="000000"/>
                <w:sz w:val="18"/>
                <w:szCs w:val="18"/>
                <w:lang w:val="es-CR" w:eastAsia="es-CR"/>
              </w:rPr>
              <w:t>0</w:t>
            </w:r>
          </w:p>
        </w:tc>
        <w:tc>
          <w:tcPr>
            <w:tcW w:w="1134" w:type="dxa"/>
            <w:tcBorders>
              <w:top w:val="nil"/>
              <w:left w:val="nil"/>
              <w:bottom w:val="nil"/>
              <w:right w:val="nil"/>
            </w:tcBorders>
            <w:shd w:val="clear" w:color="auto" w:fill="auto"/>
            <w:noWrap/>
            <w:vAlign w:val="center"/>
            <w:hideMark/>
          </w:tcPr>
          <w:p w14:paraId="4641A766" w14:textId="77777777" w:rsidR="00E32354" w:rsidRPr="00E32354" w:rsidRDefault="00E32354" w:rsidP="00E32354">
            <w:pPr>
              <w:spacing w:line="240" w:lineRule="auto"/>
              <w:jc w:val="right"/>
              <w:rPr>
                <w:rFonts w:asciiTheme="minorHAnsi" w:hAnsiTheme="minorHAnsi" w:cstheme="minorHAnsi"/>
                <w:color w:val="000000"/>
                <w:sz w:val="18"/>
                <w:szCs w:val="18"/>
                <w:lang w:val="es-CR" w:eastAsia="es-CR"/>
              </w:rPr>
            </w:pPr>
            <w:r w:rsidRPr="00E32354">
              <w:rPr>
                <w:rFonts w:asciiTheme="minorHAnsi" w:hAnsiTheme="minorHAnsi" w:cstheme="minorHAnsi"/>
                <w:color w:val="000000"/>
                <w:sz w:val="18"/>
                <w:szCs w:val="18"/>
                <w:lang w:val="es-CR" w:eastAsia="es-CR"/>
              </w:rPr>
              <w:t>11 878 273</w:t>
            </w:r>
          </w:p>
        </w:tc>
        <w:tc>
          <w:tcPr>
            <w:tcW w:w="993" w:type="dxa"/>
            <w:tcBorders>
              <w:top w:val="nil"/>
              <w:left w:val="single" w:sz="8" w:space="0" w:color="auto"/>
              <w:bottom w:val="nil"/>
              <w:right w:val="single" w:sz="8" w:space="0" w:color="auto"/>
            </w:tcBorders>
            <w:shd w:val="clear" w:color="auto" w:fill="auto"/>
            <w:noWrap/>
            <w:vAlign w:val="center"/>
            <w:hideMark/>
          </w:tcPr>
          <w:p w14:paraId="5FBFDF6D" w14:textId="77777777" w:rsidR="00E32354" w:rsidRPr="00E32354" w:rsidRDefault="00E32354" w:rsidP="00E32354">
            <w:pPr>
              <w:spacing w:line="240" w:lineRule="auto"/>
              <w:jc w:val="center"/>
              <w:rPr>
                <w:rFonts w:asciiTheme="minorHAnsi" w:hAnsiTheme="minorHAnsi" w:cstheme="minorHAnsi"/>
                <w:color w:val="000000"/>
                <w:sz w:val="18"/>
                <w:szCs w:val="18"/>
                <w:lang w:val="es-CR" w:eastAsia="es-CR"/>
              </w:rPr>
            </w:pPr>
            <w:r w:rsidRPr="00E32354">
              <w:rPr>
                <w:rFonts w:asciiTheme="minorHAnsi" w:hAnsiTheme="minorHAnsi" w:cstheme="minorHAnsi"/>
                <w:color w:val="000000"/>
                <w:sz w:val="18"/>
                <w:szCs w:val="18"/>
                <w:lang w:val="es-CR" w:eastAsia="es-CR"/>
              </w:rPr>
              <w:t>75%</w:t>
            </w:r>
          </w:p>
        </w:tc>
      </w:tr>
      <w:tr w:rsidR="00C15B96" w:rsidRPr="00E32354" w14:paraId="28388501" w14:textId="77777777" w:rsidTr="004B1864">
        <w:trPr>
          <w:trHeight w:val="345"/>
        </w:trPr>
        <w:tc>
          <w:tcPr>
            <w:tcW w:w="699" w:type="dxa"/>
            <w:tcBorders>
              <w:top w:val="nil"/>
              <w:left w:val="single" w:sz="8" w:space="0" w:color="auto"/>
              <w:bottom w:val="nil"/>
              <w:right w:val="single" w:sz="8" w:space="0" w:color="auto"/>
            </w:tcBorders>
            <w:shd w:val="clear" w:color="auto" w:fill="auto"/>
            <w:noWrap/>
            <w:vAlign w:val="center"/>
            <w:hideMark/>
          </w:tcPr>
          <w:p w14:paraId="01A71118" w14:textId="77777777" w:rsidR="00E32354" w:rsidRPr="00E32354" w:rsidRDefault="00E32354" w:rsidP="00E32354">
            <w:pPr>
              <w:spacing w:line="240" w:lineRule="auto"/>
              <w:jc w:val="center"/>
              <w:rPr>
                <w:rFonts w:asciiTheme="minorHAnsi" w:hAnsiTheme="minorHAnsi" w:cstheme="minorHAnsi"/>
                <w:color w:val="000000"/>
                <w:sz w:val="18"/>
                <w:szCs w:val="18"/>
                <w:lang w:val="es-CR" w:eastAsia="es-CR"/>
              </w:rPr>
            </w:pPr>
            <w:r w:rsidRPr="00E32354">
              <w:rPr>
                <w:rFonts w:asciiTheme="minorHAnsi" w:hAnsiTheme="minorHAnsi" w:cstheme="minorHAnsi"/>
                <w:color w:val="000000"/>
                <w:sz w:val="18"/>
                <w:szCs w:val="18"/>
                <w:lang w:val="es-CR" w:eastAsia="es-CR"/>
              </w:rPr>
              <w:t>0 04 00</w:t>
            </w:r>
          </w:p>
        </w:tc>
        <w:tc>
          <w:tcPr>
            <w:tcW w:w="945" w:type="dxa"/>
            <w:tcBorders>
              <w:top w:val="nil"/>
              <w:left w:val="nil"/>
              <w:bottom w:val="nil"/>
              <w:right w:val="single" w:sz="4" w:space="0" w:color="auto"/>
            </w:tcBorders>
            <w:shd w:val="clear" w:color="auto" w:fill="auto"/>
            <w:noWrap/>
            <w:vAlign w:val="center"/>
            <w:hideMark/>
          </w:tcPr>
          <w:p w14:paraId="01477886" w14:textId="77777777" w:rsidR="00E32354" w:rsidRPr="00E32354" w:rsidRDefault="00E32354" w:rsidP="00E32354">
            <w:pPr>
              <w:spacing w:line="240" w:lineRule="auto"/>
              <w:jc w:val="center"/>
              <w:rPr>
                <w:rFonts w:asciiTheme="minorHAnsi" w:hAnsiTheme="minorHAnsi" w:cstheme="minorHAnsi"/>
                <w:color w:val="000000"/>
                <w:sz w:val="18"/>
                <w:szCs w:val="18"/>
                <w:lang w:val="es-CR" w:eastAsia="es-CR"/>
              </w:rPr>
            </w:pPr>
            <w:r w:rsidRPr="00E32354">
              <w:rPr>
                <w:rFonts w:asciiTheme="minorHAnsi" w:hAnsiTheme="minorHAnsi" w:cstheme="minorHAnsi"/>
                <w:color w:val="000000"/>
                <w:sz w:val="18"/>
                <w:szCs w:val="18"/>
                <w:lang w:val="es-CR" w:eastAsia="es-CR"/>
              </w:rPr>
              <w:t>1.1.1.2</w:t>
            </w:r>
          </w:p>
        </w:tc>
        <w:tc>
          <w:tcPr>
            <w:tcW w:w="2457" w:type="dxa"/>
            <w:tcBorders>
              <w:top w:val="nil"/>
              <w:left w:val="single" w:sz="4" w:space="0" w:color="auto"/>
              <w:bottom w:val="nil"/>
              <w:right w:val="nil"/>
            </w:tcBorders>
            <w:shd w:val="clear" w:color="auto" w:fill="auto"/>
            <w:noWrap/>
            <w:vAlign w:val="center"/>
            <w:hideMark/>
          </w:tcPr>
          <w:p w14:paraId="2DE76601" w14:textId="77777777" w:rsidR="00E32354" w:rsidRPr="00E32354" w:rsidRDefault="00E32354" w:rsidP="00E32354">
            <w:pPr>
              <w:spacing w:line="240" w:lineRule="auto"/>
              <w:jc w:val="left"/>
              <w:rPr>
                <w:rFonts w:asciiTheme="minorHAnsi" w:hAnsiTheme="minorHAnsi" w:cstheme="minorHAnsi"/>
                <w:color w:val="000000"/>
                <w:sz w:val="18"/>
                <w:szCs w:val="18"/>
                <w:lang w:val="es-CR" w:eastAsia="es-CR"/>
              </w:rPr>
            </w:pPr>
            <w:r w:rsidRPr="00E32354">
              <w:rPr>
                <w:rFonts w:asciiTheme="minorHAnsi" w:hAnsiTheme="minorHAnsi" w:cstheme="minorHAnsi"/>
                <w:color w:val="000000"/>
                <w:sz w:val="18"/>
                <w:szCs w:val="18"/>
                <w:lang w:val="es-CR" w:eastAsia="es-CR"/>
              </w:rPr>
              <w:t>Contribuciones patronales al desarrollo y la seguridad social</w:t>
            </w:r>
          </w:p>
        </w:tc>
        <w:tc>
          <w:tcPr>
            <w:tcW w:w="1203" w:type="dxa"/>
            <w:tcBorders>
              <w:top w:val="nil"/>
              <w:left w:val="single" w:sz="8" w:space="0" w:color="auto"/>
              <w:bottom w:val="nil"/>
              <w:right w:val="single" w:sz="8" w:space="0" w:color="auto"/>
            </w:tcBorders>
            <w:shd w:val="clear" w:color="auto" w:fill="auto"/>
            <w:noWrap/>
            <w:vAlign w:val="center"/>
            <w:hideMark/>
          </w:tcPr>
          <w:p w14:paraId="2140F19E" w14:textId="77777777" w:rsidR="00E32354" w:rsidRPr="00E32354" w:rsidRDefault="00E32354" w:rsidP="00E32354">
            <w:pPr>
              <w:spacing w:line="240" w:lineRule="auto"/>
              <w:jc w:val="right"/>
              <w:rPr>
                <w:rFonts w:asciiTheme="minorHAnsi" w:hAnsiTheme="minorHAnsi" w:cstheme="minorHAnsi"/>
                <w:color w:val="000000"/>
                <w:sz w:val="18"/>
                <w:szCs w:val="18"/>
                <w:lang w:val="es-CR" w:eastAsia="es-CR"/>
              </w:rPr>
            </w:pPr>
            <w:r w:rsidRPr="00E32354">
              <w:rPr>
                <w:rFonts w:asciiTheme="minorHAnsi" w:hAnsiTheme="minorHAnsi" w:cstheme="minorHAnsi"/>
                <w:color w:val="000000"/>
                <w:sz w:val="18"/>
                <w:szCs w:val="18"/>
                <w:lang w:val="es-CR" w:eastAsia="es-CR"/>
              </w:rPr>
              <w:t>361 526 095</w:t>
            </w:r>
          </w:p>
        </w:tc>
        <w:tc>
          <w:tcPr>
            <w:tcW w:w="1276" w:type="dxa"/>
            <w:tcBorders>
              <w:top w:val="nil"/>
              <w:left w:val="nil"/>
              <w:bottom w:val="nil"/>
              <w:right w:val="single" w:sz="8" w:space="0" w:color="auto"/>
            </w:tcBorders>
            <w:shd w:val="clear" w:color="auto" w:fill="auto"/>
            <w:noWrap/>
            <w:vAlign w:val="center"/>
            <w:hideMark/>
          </w:tcPr>
          <w:p w14:paraId="5381FCE5" w14:textId="77777777" w:rsidR="00E32354" w:rsidRPr="00E32354" w:rsidRDefault="00E32354" w:rsidP="00E32354">
            <w:pPr>
              <w:spacing w:line="240" w:lineRule="auto"/>
              <w:jc w:val="right"/>
              <w:rPr>
                <w:rFonts w:asciiTheme="minorHAnsi" w:hAnsiTheme="minorHAnsi" w:cstheme="minorHAnsi"/>
                <w:color w:val="000000"/>
                <w:sz w:val="18"/>
                <w:szCs w:val="18"/>
                <w:lang w:val="es-CR" w:eastAsia="es-CR"/>
              </w:rPr>
            </w:pPr>
            <w:r w:rsidRPr="00E32354">
              <w:rPr>
                <w:rFonts w:asciiTheme="minorHAnsi" w:hAnsiTheme="minorHAnsi" w:cstheme="minorHAnsi"/>
                <w:color w:val="000000"/>
                <w:sz w:val="18"/>
                <w:szCs w:val="18"/>
                <w:lang w:val="es-CR" w:eastAsia="es-CR"/>
              </w:rPr>
              <w:t>300 930 600</w:t>
            </w:r>
          </w:p>
        </w:tc>
        <w:tc>
          <w:tcPr>
            <w:tcW w:w="781" w:type="dxa"/>
            <w:tcBorders>
              <w:top w:val="nil"/>
              <w:left w:val="nil"/>
              <w:bottom w:val="nil"/>
              <w:right w:val="single" w:sz="8" w:space="0" w:color="auto"/>
            </w:tcBorders>
            <w:shd w:val="clear" w:color="auto" w:fill="auto"/>
            <w:noWrap/>
            <w:vAlign w:val="center"/>
            <w:hideMark/>
          </w:tcPr>
          <w:p w14:paraId="3CCFD21E" w14:textId="77777777" w:rsidR="00E32354" w:rsidRPr="00E32354" w:rsidRDefault="00E32354" w:rsidP="00E32354">
            <w:pPr>
              <w:spacing w:line="240" w:lineRule="auto"/>
              <w:jc w:val="right"/>
              <w:rPr>
                <w:rFonts w:asciiTheme="minorHAnsi" w:hAnsiTheme="minorHAnsi" w:cstheme="minorHAnsi"/>
                <w:color w:val="000000"/>
                <w:sz w:val="18"/>
                <w:szCs w:val="18"/>
                <w:lang w:val="es-CR" w:eastAsia="es-CR"/>
              </w:rPr>
            </w:pPr>
            <w:r w:rsidRPr="00E32354">
              <w:rPr>
                <w:rFonts w:asciiTheme="minorHAnsi" w:hAnsiTheme="minorHAnsi" w:cstheme="minorHAnsi"/>
                <w:color w:val="000000"/>
                <w:sz w:val="18"/>
                <w:szCs w:val="18"/>
                <w:lang w:val="es-CR" w:eastAsia="es-CR"/>
              </w:rPr>
              <w:t>0</w:t>
            </w:r>
          </w:p>
        </w:tc>
        <w:tc>
          <w:tcPr>
            <w:tcW w:w="1134" w:type="dxa"/>
            <w:tcBorders>
              <w:top w:val="nil"/>
              <w:left w:val="nil"/>
              <w:bottom w:val="nil"/>
              <w:right w:val="nil"/>
            </w:tcBorders>
            <w:shd w:val="clear" w:color="auto" w:fill="auto"/>
            <w:noWrap/>
            <w:vAlign w:val="center"/>
            <w:hideMark/>
          </w:tcPr>
          <w:p w14:paraId="0BBCA0DE" w14:textId="77777777" w:rsidR="00E32354" w:rsidRPr="00E32354" w:rsidRDefault="00E32354" w:rsidP="00E32354">
            <w:pPr>
              <w:spacing w:line="240" w:lineRule="auto"/>
              <w:jc w:val="right"/>
              <w:rPr>
                <w:rFonts w:asciiTheme="minorHAnsi" w:hAnsiTheme="minorHAnsi" w:cstheme="minorHAnsi"/>
                <w:color w:val="000000"/>
                <w:sz w:val="18"/>
                <w:szCs w:val="18"/>
                <w:lang w:val="es-CR" w:eastAsia="es-CR"/>
              </w:rPr>
            </w:pPr>
            <w:r w:rsidRPr="00E32354">
              <w:rPr>
                <w:rFonts w:asciiTheme="minorHAnsi" w:hAnsiTheme="minorHAnsi" w:cstheme="minorHAnsi"/>
                <w:color w:val="000000"/>
                <w:sz w:val="18"/>
                <w:szCs w:val="18"/>
                <w:lang w:val="es-CR" w:eastAsia="es-CR"/>
              </w:rPr>
              <w:t>60 595 495</w:t>
            </w:r>
          </w:p>
        </w:tc>
        <w:tc>
          <w:tcPr>
            <w:tcW w:w="993" w:type="dxa"/>
            <w:tcBorders>
              <w:top w:val="nil"/>
              <w:left w:val="single" w:sz="8" w:space="0" w:color="auto"/>
              <w:bottom w:val="nil"/>
              <w:right w:val="single" w:sz="8" w:space="0" w:color="auto"/>
            </w:tcBorders>
            <w:shd w:val="clear" w:color="auto" w:fill="auto"/>
            <w:noWrap/>
            <w:vAlign w:val="center"/>
            <w:hideMark/>
          </w:tcPr>
          <w:p w14:paraId="5E742190" w14:textId="77777777" w:rsidR="00E32354" w:rsidRPr="00E32354" w:rsidRDefault="00E32354" w:rsidP="00E32354">
            <w:pPr>
              <w:spacing w:line="240" w:lineRule="auto"/>
              <w:jc w:val="center"/>
              <w:rPr>
                <w:rFonts w:asciiTheme="minorHAnsi" w:hAnsiTheme="minorHAnsi" w:cstheme="minorHAnsi"/>
                <w:color w:val="000000"/>
                <w:sz w:val="18"/>
                <w:szCs w:val="18"/>
                <w:lang w:val="es-CR" w:eastAsia="es-CR"/>
              </w:rPr>
            </w:pPr>
            <w:r w:rsidRPr="00E32354">
              <w:rPr>
                <w:rFonts w:asciiTheme="minorHAnsi" w:hAnsiTheme="minorHAnsi" w:cstheme="minorHAnsi"/>
                <w:color w:val="000000"/>
                <w:sz w:val="18"/>
                <w:szCs w:val="18"/>
                <w:lang w:val="es-CR" w:eastAsia="es-CR"/>
              </w:rPr>
              <w:t>83%</w:t>
            </w:r>
          </w:p>
        </w:tc>
      </w:tr>
      <w:tr w:rsidR="00C15B96" w:rsidRPr="00E32354" w14:paraId="4B6D5EBC" w14:textId="77777777" w:rsidTr="004B1864">
        <w:trPr>
          <w:trHeight w:val="345"/>
        </w:trPr>
        <w:tc>
          <w:tcPr>
            <w:tcW w:w="699" w:type="dxa"/>
            <w:tcBorders>
              <w:top w:val="nil"/>
              <w:left w:val="single" w:sz="8" w:space="0" w:color="auto"/>
              <w:bottom w:val="nil"/>
              <w:right w:val="single" w:sz="8" w:space="0" w:color="auto"/>
            </w:tcBorders>
            <w:shd w:val="clear" w:color="auto" w:fill="auto"/>
            <w:noWrap/>
            <w:vAlign w:val="center"/>
            <w:hideMark/>
          </w:tcPr>
          <w:p w14:paraId="1B533C3A" w14:textId="77777777" w:rsidR="00E32354" w:rsidRPr="00E32354" w:rsidRDefault="00E32354" w:rsidP="00E32354">
            <w:pPr>
              <w:spacing w:line="240" w:lineRule="auto"/>
              <w:jc w:val="center"/>
              <w:rPr>
                <w:rFonts w:asciiTheme="minorHAnsi" w:hAnsiTheme="minorHAnsi" w:cstheme="minorHAnsi"/>
                <w:color w:val="000000"/>
                <w:sz w:val="18"/>
                <w:szCs w:val="18"/>
                <w:lang w:val="es-CR" w:eastAsia="es-CR"/>
              </w:rPr>
            </w:pPr>
            <w:r w:rsidRPr="00E32354">
              <w:rPr>
                <w:rFonts w:asciiTheme="minorHAnsi" w:hAnsiTheme="minorHAnsi" w:cstheme="minorHAnsi"/>
                <w:color w:val="000000"/>
                <w:sz w:val="18"/>
                <w:szCs w:val="18"/>
                <w:lang w:val="es-CR" w:eastAsia="es-CR"/>
              </w:rPr>
              <w:t>0 05 00</w:t>
            </w:r>
          </w:p>
        </w:tc>
        <w:tc>
          <w:tcPr>
            <w:tcW w:w="945" w:type="dxa"/>
            <w:tcBorders>
              <w:top w:val="nil"/>
              <w:left w:val="nil"/>
              <w:bottom w:val="nil"/>
              <w:right w:val="single" w:sz="4" w:space="0" w:color="auto"/>
            </w:tcBorders>
            <w:shd w:val="clear" w:color="auto" w:fill="auto"/>
            <w:noWrap/>
            <w:vAlign w:val="center"/>
            <w:hideMark/>
          </w:tcPr>
          <w:p w14:paraId="633A2DC6" w14:textId="77777777" w:rsidR="00E32354" w:rsidRPr="00E32354" w:rsidRDefault="00E32354" w:rsidP="00E32354">
            <w:pPr>
              <w:spacing w:line="240" w:lineRule="auto"/>
              <w:jc w:val="center"/>
              <w:rPr>
                <w:rFonts w:asciiTheme="minorHAnsi" w:hAnsiTheme="minorHAnsi" w:cstheme="minorHAnsi"/>
                <w:color w:val="000000"/>
                <w:sz w:val="18"/>
                <w:szCs w:val="18"/>
                <w:lang w:val="es-CR" w:eastAsia="es-CR"/>
              </w:rPr>
            </w:pPr>
            <w:r w:rsidRPr="00E32354">
              <w:rPr>
                <w:rFonts w:asciiTheme="minorHAnsi" w:hAnsiTheme="minorHAnsi" w:cstheme="minorHAnsi"/>
                <w:color w:val="000000"/>
                <w:sz w:val="18"/>
                <w:szCs w:val="18"/>
                <w:lang w:val="es-CR" w:eastAsia="es-CR"/>
              </w:rPr>
              <w:t>1.1.1.2</w:t>
            </w:r>
          </w:p>
        </w:tc>
        <w:tc>
          <w:tcPr>
            <w:tcW w:w="2457" w:type="dxa"/>
            <w:tcBorders>
              <w:top w:val="nil"/>
              <w:left w:val="single" w:sz="4" w:space="0" w:color="auto"/>
              <w:bottom w:val="nil"/>
              <w:right w:val="nil"/>
            </w:tcBorders>
            <w:shd w:val="clear" w:color="auto" w:fill="auto"/>
            <w:noWrap/>
            <w:vAlign w:val="center"/>
            <w:hideMark/>
          </w:tcPr>
          <w:p w14:paraId="49FAE151" w14:textId="77777777" w:rsidR="00E32354" w:rsidRPr="00E32354" w:rsidRDefault="00E32354" w:rsidP="00E32354">
            <w:pPr>
              <w:spacing w:line="240" w:lineRule="auto"/>
              <w:jc w:val="left"/>
              <w:rPr>
                <w:rFonts w:asciiTheme="minorHAnsi" w:hAnsiTheme="minorHAnsi" w:cstheme="minorHAnsi"/>
                <w:color w:val="000000"/>
                <w:sz w:val="18"/>
                <w:szCs w:val="18"/>
                <w:lang w:val="es-CR" w:eastAsia="es-CR"/>
              </w:rPr>
            </w:pPr>
            <w:r w:rsidRPr="00E32354">
              <w:rPr>
                <w:rFonts w:asciiTheme="minorHAnsi" w:hAnsiTheme="minorHAnsi" w:cstheme="minorHAnsi"/>
                <w:color w:val="000000"/>
                <w:sz w:val="18"/>
                <w:szCs w:val="18"/>
                <w:lang w:val="es-CR" w:eastAsia="es-CR"/>
              </w:rPr>
              <w:t>Contribuciones patronales a fondos de pensiones y otros</w:t>
            </w:r>
          </w:p>
        </w:tc>
        <w:tc>
          <w:tcPr>
            <w:tcW w:w="1203" w:type="dxa"/>
            <w:tcBorders>
              <w:top w:val="nil"/>
              <w:left w:val="single" w:sz="8" w:space="0" w:color="auto"/>
              <w:bottom w:val="nil"/>
              <w:right w:val="single" w:sz="8" w:space="0" w:color="auto"/>
            </w:tcBorders>
            <w:shd w:val="clear" w:color="auto" w:fill="auto"/>
            <w:noWrap/>
            <w:vAlign w:val="center"/>
            <w:hideMark/>
          </w:tcPr>
          <w:p w14:paraId="38A2B8D8" w14:textId="77777777" w:rsidR="00E32354" w:rsidRPr="00E32354" w:rsidRDefault="00E32354" w:rsidP="00E32354">
            <w:pPr>
              <w:spacing w:line="240" w:lineRule="auto"/>
              <w:jc w:val="right"/>
              <w:rPr>
                <w:rFonts w:asciiTheme="minorHAnsi" w:hAnsiTheme="minorHAnsi" w:cstheme="minorHAnsi"/>
                <w:color w:val="000000"/>
                <w:sz w:val="18"/>
                <w:szCs w:val="18"/>
                <w:lang w:val="es-CR" w:eastAsia="es-CR"/>
              </w:rPr>
            </w:pPr>
            <w:r w:rsidRPr="00E32354">
              <w:rPr>
                <w:rFonts w:asciiTheme="minorHAnsi" w:hAnsiTheme="minorHAnsi" w:cstheme="minorHAnsi"/>
                <w:color w:val="000000"/>
                <w:sz w:val="18"/>
                <w:szCs w:val="18"/>
                <w:lang w:val="es-CR" w:eastAsia="es-CR"/>
              </w:rPr>
              <w:t>321 570 489</w:t>
            </w:r>
          </w:p>
        </w:tc>
        <w:tc>
          <w:tcPr>
            <w:tcW w:w="1276" w:type="dxa"/>
            <w:tcBorders>
              <w:top w:val="nil"/>
              <w:left w:val="nil"/>
              <w:bottom w:val="nil"/>
              <w:right w:val="single" w:sz="8" w:space="0" w:color="auto"/>
            </w:tcBorders>
            <w:shd w:val="clear" w:color="auto" w:fill="auto"/>
            <w:noWrap/>
            <w:vAlign w:val="center"/>
            <w:hideMark/>
          </w:tcPr>
          <w:p w14:paraId="5599F6D5" w14:textId="77777777" w:rsidR="00E32354" w:rsidRPr="00E32354" w:rsidRDefault="00E32354" w:rsidP="00E32354">
            <w:pPr>
              <w:spacing w:line="240" w:lineRule="auto"/>
              <w:jc w:val="right"/>
              <w:rPr>
                <w:rFonts w:asciiTheme="minorHAnsi" w:hAnsiTheme="minorHAnsi" w:cstheme="minorHAnsi"/>
                <w:color w:val="000000"/>
                <w:sz w:val="18"/>
                <w:szCs w:val="18"/>
                <w:lang w:val="es-CR" w:eastAsia="es-CR"/>
              </w:rPr>
            </w:pPr>
            <w:r w:rsidRPr="00E32354">
              <w:rPr>
                <w:rFonts w:asciiTheme="minorHAnsi" w:hAnsiTheme="minorHAnsi" w:cstheme="minorHAnsi"/>
                <w:color w:val="000000"/>
                <w:sz w:val="18"/>
                <w:szCs w:val="18"/>
                <w:lang w:val="es-CR" w:eastAsia="es-CR"/>
              </w:rPr>
              <w:t>264 886 438</w:t>
            </w:r>
          </w:p>
        </w:tc>
        <w:tc>
          <w:tcPr>
            <w:tcW w:w="781" w:type="dxa"/>
            <w:tcBorders>
              <w:top w:val="nil"/>
              <w:left w:val="nil"/>
              <w:bottom w:val="nil"/>
              <w:right w:val="single" w:sz="8" w:space="0" w:color="auto"/>
            </w:tcBorders>
            <w:shd w:val="clear" w:color="auto" w:fill="auto"/>
            <w:noWrap/>
            <w:vAlign w:val="center"/>
            <w:hideMark/>
          </w:tcPr>
          <w:p w14:paraId="0E9F2458" w14:textId="77777777" w:rsidR="00E32354" w:rsidRPr="00E32354" w:rsidRDefault="00E32354" w:rsidP="00E32354">
            <w:pPr>
              <w:spacing w:line="240" w:lineRule="auto"/>
              <w:jc w:val="right"/>
              <w:rPr>
                <w:rFonts w:asciiTheme="minorHAnsi" w:hAnsiTheme="minorHAnsi" w:cstheme="minorHAnsi"/>
                <w:color w:val="000000"/>
                <w:sz w:val="18"/>
                <w:szCs w:val="18"/>
                <w:lang w:val="es-CR" w:eastAsia="es-CR"/>
              </w:rPr>
            </w:pPr>
            <w:r w:rsidRPr="00E32354">
              <w:rPr>
                <w:rFonts w:asciiTheme="minorHAnsi" w:hAnsiTheme="minorHAnsi" w:cstheme="minorHAnsi"/>
                <w:color w:val="000000"/>
                <w:sz w:val="18"/>
                <w:szCs w:val="18"/>
                <w:lang w:val="es-CR" w:eastAsia="es-CR"/>
              </w:rPr>
              <w:t>0</w:t>
            </w:r>
          </w:p>
        </w:tc>
        <w:tc>
          <w:tcPr>
            <w:tcW w:w="1134" w:type="dxa"/>
            <w:tcBorders>
              <w:top w:val="nil"/>
              <w:left w:val="nil"/>
              <w:bottom w:val="nil"/>
              <w:right w:val="nil"/>
            </w:tcBorders>
            <w:shd w:val="clear" w:color="auto" w:fill="auto"/>
            <w:noWrap/>
            <w:vAlign w:val="center"/>
            <w:hideMark/>
          </w:tcPr>
          <w:p w14:paraId="0A420B14" w14:textId="77777777" w:rsidR="00E32354" w:rsidRPr="00E32354" w:rsidRDefault="00E32354" w:rsidP="00E32354">
            <w:pPr>
              <w:spacing w:line="240" w:lineRule="auto"/>
              <w:jc w:val="right"/>
              <w:rPr>
                <w:rFonts w:asciiTheme="minorHAnsi" w:hAnsiTheme="minorHAnsi" w:cstheme="minorHAnsi"/>
                <w:color w:val="000000"/>
                <w:sz w:val="18"/>
                <w:szCs w:val="18"/>
                <w:lang w:val="es-CR" w:eastAsia="es-CR"/>
              </w:rPr>
            </w:pPr>
            <w:r w:rsidRPr="00E32354">
              <w:rPr>
                <w:rFonts w:asciiTheme="minorHAnsi" w:hAnsiTheme="minorHAnsi" w:cstheme="minorHAnsi"/>
                <w:color w:val="000000"/>
                <w:sz w:val="18"/>
                <w:szCs w:val="18"/>
                <w:lang w:val="es-CR" w:eastAsia="es-CR"/>
              </w:rPr>
              <w:t>56 684 051</w:t>
            </w:r>
          </w:p>
        </w:tc>
        <w:tc>
          <w:tcPr>
            <w:tcW w:w="993" w:type="dxa"/>
            <w:tcBorders>
              <w:top w:val="nil"/>
              <w:left w:val="single" w:sz="8" w:space="0" w:color="auto"/>
              <w:bottom w:val="nil"/>
              <w:right w:val="single" w:sz="8" w:space="0" w:color="auto"/>
            </w:tcBorders>
            <w:shd w:val="clear" w:color="auto" w:fill="auto"/>
            <w:noWrap/>
            <w:vAlign w:val="center"/>
            <w:hideMark/>
          </w:tcPr>
          <w:p w14:paraId="22AFC034" w14:textId="77777777" w:rsidR="00E32354" w:rsidRPr="00E32354" w:rsidRDefault="00E32354" w:rsidP="00E32354">
            <w:pPr>
              <w:spacing w:line="240" w:lineRule="auto"/>
              <w:jc w:val="center"/>
              <w:rPr>
                <w:rFonts w:asciiTheme="minorHAnsi" w:hAnsiTheme="minorHAnsi" w:cstheme="minorHAnsi"/>
                <w:color w:val="000000"/>
                <w:sz w:val="18"/>
                <w:szCs w:val="18"/>
                <w:lang w:val="es-CR" w:eastAsia="es-CR"/>
              </w:rPr>
            </w:pPr>
            <w:r w:rsidRPr="00E32354">
              <w:rPr>
                <w:rFonts w:asciiTheme="minorHAnsi" w:hAnsiTheme="minorHAnsi" w:cstheme="minorHAnsi"/>
                <w:color w:val="000000"/>
                <w:sz w:val="18"/>
                <w:szCs w:val="18"/>
                <w:lang w:val="es-CR" w:eastAsia="es-CR"/>
              </w:rPr>
              <w:t>82%</w:t>
            </w:r>
          </w:p>
        </w:tc>
      </w:tr>
      <w:tr w:rsidR="00C15B96" w:rsidRPr="00E32354" w14:paraId="44F0A5F4" w14:textId="77777777" w:rsidTr="004B1864">
        <w:trPr>
          <w:trHeight w:val="345"/>
        </w:trPr>
        <w:tc>
          <w:tcPr>
            <w:tcW w:w="699" w:type="dxa"/>
            <w:tcBorders>
              <w:top w:val="nil"/>
              <w:left w:val="single" w:sz="8" w:space="0" w:color="auto"/>
              <w:bottom w:val="nil"/>
              <w:right w:val="single" w:sz="8" w:space="0" w:color="auto"/>
            </w:tcBorders>
            <w:shd w:val="clear" w:color="auto" w:fill="auto"/>
            <w:noWrap/>
            <w:vAlign w:val="center"/>
            <w:hideMark/>
          </w:tcPr>
          <w:p w14:paraId="3DD835F4" w14:textId="77777777" w:rsidR="00E32354" w:rsidRPr="00E32354" w:rsidRDefault="00E32354" w:rsidP="00E32354">
            <w:pPr>
              <w:spacing w:line="240" w:lineRule="auto"/>
              <w:jc w:val="center"/>
              <w:rPr>
                <w:rFonts w:asciiTheme="minorHAnsi" w:hAnsiTheme="minorHAnsi" w:cstheme="minorHAnsi"/>
                <w:color w:val="000000"/>
                <w:sz w:val="18"/>
                <w:szCs w:val="18"/>
                <w:lang w:val="es-CR" w:eastAsia="es-CR"/>
              </w:rPr>
            </w:pPr>
            <w:r w:rsidRPr="00E32354">
              <w:rPr>
                <w:rFonts w:asciiTheme="minorHAnsi" w:hAnsiTheme="minorHAnsi" w:cstheme="minorHAnsi"/>
                <w:color w:val="000000"/>
                <w:sz w:val="18"/>
                <w:szCs w:val="18"/>
                <w:lang w:val="es-CR" w:eastAsia="es-CR"/>
              </w:rPr>
              <w:t> </w:t>
            </w:r>
          </w:p>
        </w:tc>
        <w:tc>
          <w:tcPr>
            <w:tcW w:w="945" w:type="dxa"/>
            <w:tcBorders>
              <w:top w:val="nil"/>
              <w:left w:val="nil"/>
              <w:bottom w:val="nil"/>
              <w:right w:val="single" w:sz="4" w:space="0" w:color="auto"/>
            </w:tcBorders>
            <w:shd w:val="clear" w:color="auto" w:fill="auto"/>
            <w:noWrap/>
            <w:vAlign w:val="center"/>
            <w:hideMark/>
          </w:tcPr>
          <w:p w14:paraId="2A9A9B72" w14:textId="77777777" w:rsidR="00E32354" w:rsidRPr="00E32354" w:rsidRDefault="00E32354" w:rsidP="00E32354">
            <w:pPr>
              <w:spacing w:line="240" w:lineRule="auto"/>
              <w:jc w:val="center"/>
              <w:rPr>
                <w:rFonts w:asciiTheme="minorHAnsi" w:hAnsiTheme="minorHAnsi" w:cstheme="minorHAnsi"/>
                <w:color w:val="000000"/>
                <w:sz w:val="18"/>
                <w:szCs w:val="18"/>
                <w:lang w:val="es-CR" w:eastAsia="es-CR"/>
              </w:rPr>
            </w:pPr>
          </w:p>
        </w:tc>
        <w:tc>
          <w:tcPr>
            <w:tcW w:w="2457" w:type="dxa"/>
            <w:tcBorders>
              <w:top w:val="nil"/>
              <w:left w:val="single" w:sz="4" w:space="0" w:color="auto"/>
              <w:bottom w:val="nil"/>
              <w:right w:val="nil"/>
            </w:tcBorders>
            <w:shd w:val="clear" w:color="auto" w:fill="auto"/>
            <w:noWrap/>
            <w:vAlign w:val="center"/>
            <w:hideMark/>
          </w:tcPr>
          <w:p w14:paraId="084A3B09" w14:textId="77777777" w:rsidR="00E32354" w:rsidRPr="00E32354" w:rsidRDefault="00E32354" w:rsidP="00E32354">
            <w:pPr>
              <w:spacing w:line="240" w:lineRule="auto"/>
              <w:jc w:val="center"/>
              <w:rPr>
                <w:rFonts w:asciiTheme="minorHAnsi" w:hAnsiTheme="minorHAnsi" w:cstheme="minorHAnsi"/>
                <w:sz w:val="18"/>
                <w:szCs w:val="18"/>
                <w:lang w:val="es-CR" w:eastAsia="es-CR"/>
              </w:rPr>
            </w:pPr>
          </w:p>
        </w:tc>
        <w:tc>
          <w:tcPr>
            <w:tcW w:w="1203" w:type="dxa"/>
            <w:tcBorders>
              <w:top w:val="nil"/>
              <w:left w:val="single" w:sz="8" w:space="0" w:color="auto"/>
              <w:bottom w:val="nil"/>
              <w:right w:val="single" w:sz="8" w:space="0" w:color="auto"/>
            </w:tcBorders>
            <w:shd w:val="clear" w:color="auto" w:fill="auto"/>
            <w:noWrap/>
            <w:vAlign w:val="center"/>
            <w:hideMark/>
          </w:tcPr>
          <w:p w14:paraId="22C77AD9" w14:textId="77777777" w:rsidR="00E32354" w:rsidRPr="00E32354" w:rsidRDefault="00E32354" w:rsidP="00E32354">
            <w:pPr>
              <w:spacing w:line="240" w:lineRule="auto"/>
              <w:jc w:val="left"/>
              <w:rPr>
                <w:rFonts w:asciiTheme="minorHAnsi" w:hAnsiTheme="minorHAnsi" w:cstheme="minorHAnsi"/>
                <w:color w:val="000000"/>
                <w:sz w:val="18"/>
                <w:szCs w:val="18"/>
                <w:lang w:val="es-CR" w:eastAsia="es-CR"/>
              </w:rPr>
            </w:pPr>
            <w:r w:rsidRPr="00E32354">
              <w:rPr>
                <w:rFonts w:asciiTheme="minorHAnsi" w:hAnsiTheme="minorHAnsi" w:cstheme="minorHAnsi"/>
                <w:color w:val="000000"/>
                <w:sz w:val="18"/>
                <w:szCs w:val="18"/>
                <w:lang w:val="es-CR" w:eastAsia="es-CR"/>
              </w:rPr>
              <w:t> </w:t>
            </w:r>
          </w:p>
        </w:tc>
        <w:tc>
          <w:tcPr>
            <w:tcW w:w="1276" w:type="dxa"/>
            <w:tcBorders>
              <w:top w:val="nil"/>
              <w:left w:val="nil"/>
              <w:bottom w:val="nil"/>
              <w:right w:val="single" w:sz="8" w:space="0" w:color="auto"/>
            </w:tcBorders>
            <w:shd w:val="clear" w:color="auto" w:fill="auto"/>
            <w:noWrap/>
            <w:vAlign w:val="center"/>
            <w:hideMark/>
          </w:tcPr>
          <w:p w14:paraId="59C0A19C" w14:textId="77777777" w:rsidR="00E32354" w:rsidRPr="00E32354" w:rsidRDefault="00E32354" w:rsidP="00E32354">
            <w:pPr>
              <w:spacing w:line="240" w:lineRule="auto"/>
              <w:jc w:val="left"/>
              <w:rPr>
                <w:rFonts w:asciiTheme="minorHAnsi" w:hAnsiTheme="minorHAnsi" w:cstheme="minorHAnsi"/>
                <w:color w:val="000000"/>
                <w:sz w:val="18"/>
                <w:szCs w:val="18"/>
                <w:lang w:val="es-CR" w:eastAsia="es-CR"/>
              </w:rPr>
            </w:pPr>
            <w:r w:rsidRPr="00E32354">
              <w:rPr>
                <w:rFonts w:asciiTheme="minorHAnsi" w:hAnsiTheme="minorHAnsi" w:cstheme="minorHAnsi"/>
                <w:color w:val="000000"/>
                <w:sz w:val="18"/>
                <w:szCs w:val="18"/>
                <w:lang w:val="es-CR" w:eastAsia="es-CR"/>
              </w:rPr>
              <w:t> </w:t>
            </w:r>
          </w:p>
        </w:tc>
        <w:tc>
          <w:tcPr>
            <w:tcW w:w="781" w:type="dxa"/>
            <w:tcBorders>
              <w:top w:val="nil"/>
              <w:left w:val="nil"/>
              <w:bottom w:val="nil"/>
              <w:right w:val="single" w:sz="8" w:space="0" w:color="auto"/>
            </w:tcBorders>
            <w:shd w:val="clear" w:color="auto" w:fill="auto"/>
            <w:noWrap/>
            <w:vAlign w:val="center"/>
            <w:hideMark/>
          </w:tcPr>
          <w:p w14:paraId="4E04C226" w14:textId="77777777" w:rsidR="00E32354" w:rsidRPr="00E32354" w:rsidRDefault="00E32354" w:rsidP="00E32354">
            <w:pPr>
              <w:spacing w:line="240" w:lineRule="auto"/>
              <w:jc w:val="left"/>
              <w:rPr>
                <w:rFonts w:asciiTheme="minorHAnsi" w:hAnsiTheme="minorHAnsi" w:cstheme="minorHAnsi"/>
                <w:color w:val="000000"/>
                <w:sz w:val="18"/>
                <w:szCs w:val="18"/>
                <w:lang w:val="es-CR" w:eastAsia="es-CR"/>
              </w:rPr>
            </w:pPr>
            <w:r w:rsidRPr="00E32354">
              <w:rPr>
                <w:rFonts w:asciiTheme="minorHAnsi" w:hAnsiTheme="minorHAnsi" w:cstheme="minorHAnsi"/>
                <w:color w:val="000000"/>
                <w:sz w:val="18"/>
                <w:szCs w:val="18"/>
                <w:lang w:val="es-CR" w:eastAsia="es-CR"/>
              </w:rPr>
              <w:t> </w:t>
            </w:r>
          </w:p>
        </w:tc>
        <w:tc>
          <w:tcPr>
            <w:tcW w:w="1134" w:type="dxa"/>
            <w:tcBorders>
              <w:top w:val="nil"/>
              <w:left w:val="nil"/>
              <w:bottom w:val="nil"/>
              <w:right w:val="nil"/>
            </w:tcBorders>
            <w:shd w:val="clear" w:color="auto" w:fill="auto"/>
            <w:noWrap/>
            <w:vAlign w:val="center"/>
            <w:hideMark/>
          </w:tcPr>
          <w:p w14:paraId="27991BE6" w14:textId="77777777" w:rsidR="00E32354" w:rsidRPr="00E32354" w:rsidRDefault="00E32354" w:rsidP="00E32354">
            <w:pPr>
              <w:spacing w:line="240" w:lineRule="auto"/>
              <w:jc w:val="left"/>
              <w:rPr>
                <w:rFonts w:asciiTheme="minorHAnsi" w:hAnsiTheme="minorHAnsi" w:cstheme="minorHAnsi"/>
                <w:color w:val="000000"/>
                <w:sz w:val="18"/>
                <w:szCs w:val="18"/>
                <w:lang w:val="es-CR" w:eastAsia="es-CR"/>
              </w:rPr>
            </w:pPr>
          </w:p>
        </w:tc>
        <w:tc>
          <w:tcPr>
            <w:tcW w:w="993" w:type="dxa"/>
            <w:tcBorders>
              <w:top w:val="nil"/>
              <w:left w:val="single" w:sz="8" w:space="0" w:color="auto"/>
              <w:bottom w:val="nil"/>
              <w:right w:val="single" w:sz="8" w:space="0" w:color="auto"/>
            </w:tcBorders>
            <w:shd w:val="clear" w:color="auto" w:fill="auto"/>
            <w:noWrap/>
            <w:vAlign w:val="center"/>
            <w:hideMark/>
          </w:tcPr>
          <w:p w14:paraId="37D01634" w14:textId="77777777" w:rsidR="00E32354" w:rsidRPr="00E32354" w:rsidRDefault="00E32354" w:rsidP="00E32354">
            <w:pPr>
              <w:spacing w:line="240" w:lineRule="auto"/>
              <w:jc w:val="center"/>
              <w:rPr>
                <w:rFonts w:asciiTheme="minorHAnsi" w:hAnsiTheme="minorHAnsi" w:cstheme="minorHAnsi"/>
                <w:color w:val="000000"/>
                <w:sz w:val="18"/>
                <w:szCs w:val="18"/>
                <w:lang w:val="es-CR" w:eastAsia="es-CR"/>
              </w:rPr>
            </w:pPr>
            <w:r w:rsidRPr="00E32354">
              <w:rPr>
                <w:rFonts w:asciiTheme="minorHAnsi" w:hAnsiTheme="minorHAnsi" w:cstheme="minorHAnsi"/>
                <w:color w:val="000000"/>
                <w:sz w:val="18"/>
                <w:szCs w:val="18"/>
                <w:lang w:val="es-CR" w:eastAsia="es-CR"/>
              </w:rPr>
              <w:t> </w:t>
            </w:r>
          </w:p>
        </w:tc>
      </w:tr>
      <w:tr w:rsidR="00E32354" w:rsidRPr="00C15B96" w14:paraId="6B712A6D" w14:textId="77777777" w:rsidTr="004B1864">
        <w:trPr>
          <w:trHeight w:val="345"/>
        </w:trPr>
        <w:tc>
          <w:tcPr>
            <w:tcW w:w="699" w:type="dxa"/>
            <w:tcBorders>
              <w:top w:val="nil"/>
              <w:left w:val="single" w:sz="8" w:space="0" w:color="auto"/>
              <w:bottom w:val="nil"/>
              <w:right w:val="single" w:sz="8" w:space="0" w:color="auto"/>
            </w:tcBorders>
            <w:shd w:val="clear" w:color="000000" w:fill="DDEBF7"/>
            <w:noWrap/>
            <w:vAlign w:val="center"/>
            <w:hideMark/>
          </w:tcPr>
          <w:p w14:paraId="5F1B4C0B" w14:textId="77777777" w:rsidR="00E32354" w:rsidRPr="00E32354" w:rsidRDefault="00E32354" w:rsidP="00E32354">
            <w:pPr>
              <w:spacing w:line="240" w:lineRule="auto"/>
              <w:jc w:val="center"/>
              <w:rPr>
                <w:rFonts w:asciiTheme="minorHAnsi" w:hAnsiTheme="minorHAnsi" w:cstheme="minorHAnsi"/>
                <w:b/>
                <w:bCs/>
                <w:i/>
                <w:iCs/>
                <w:color w:val="000000"/>
                <w:sz w:val="18"/>
                <w:szCs w:val="18"/>
                <w:lang w:val="es-CR" w:eastAsia="es-CR"/>
              </w:rPr>
            </w:pPr>
            <w:r w:rsidRPr="00E32354">
              <w:rPr>
                <w:rFonts w:asciiTheme="minorHAnsi" w:hAnsiTheme="minorHAnsi" w:cstheme="minorHAnsi"/>
                <w:b/>
                <w:bCs/>
                <w:i/>
                <w:iCs/>
                <w:color w:val="000000"/>
                <w:sz w:val="18"/>
                <w:szCs w:val="18"/>
                <w:lang w:val="es-CR" w:eastAsia="es-CR"/>
              </w:rPr>
              <w:t> </w:t>
            </w:r>
          </w:p>
        </w:tc>
        <w:tc>
          <w:tcPr>
            <w:tcW w:w="945" w:type="dxa"/>
            <w:tcBorders>
              <w:top w:val="nil"/>
              <w:left w:val="nil"/>
              <w:bottom w:val="nil"/>
              <w:right w:val="single" w:sz="4" w:space="0" w:color="auto"/>
            </w:tcBorders>
            <w:shd w:val="clear" w:color="000000" w:fill="DDEBF7"/>
            <w:noWrap/>
            <w:vAlign w:val="center"/>
            <w:hideMark/>
          </w:tcPr>
          <w:p w14:paraId="354129FF" w14:textId="77777777" w:rsidR="00E32354" w:rsidRPr="00E32354" w:rsidRDefault="00E32354" w:rsidP="00E32354">
            <w:pPr>
              <w:spacing w:line="240" w:lineRule="auto"/>
              <w:jc w:val="center"/>
              <w:rPr>
                <w:rFonts w:asciiTheme="minorHAnsi" w:hAnsiTheme="minorHAnsi" w:cstheme="minorHAnsi"/>
                <w:b/>
                <w:bCs/>
                <w:i/>
                <w:iCs/>
                <w:color w:val="000000"/>
                <w:sz w:val="18"/>
                <w:szCs w:val="18"/>
                <w:lang w:val="es-CR" w:eastAsia="es-CR"/>
              </w:rPr>
            </w:pPr>
            <w:r w:rsidRPr="00E32354">
              <w:rPr>
                <w:rFonts w:asciiTheme="minorHAnsi" w:hAnsiTheme="minorHAnsi" w:cstheme="minorHAnsi"/>
                <w:b/>
                <w:bCs/>
                <w:i/>
                <w:iCs/>
                <w:color w:val="000000"/>
                <w:sz w:val="18"/>
                <w:szCs w:val="18"/>
                <w:lang w:val="es-CR" w:eastAsia="es-CR"/>
              </w:rPr>
              <w:t> </w:t>
            </w:r>
          </w:p>
        </w:tc>
        <w:tc>
          <w:tcPr>
            <w:tcW w:w="2457" w:type="dxa"/>
            <w:tcBorders>
              <w:top w:val="nil"/>
              <w:left w:val="single" w:sz="4" w:space="0" w:color="auto"/>
              <w:bottom w:val="nil"/>
              <w:right w:val="nil"/>
            </w:tcBorders>
            <w:shd w:val="clear" w:color="000000" w:fill="DDEBF7"/>
            <w:noWrap/>
            <w:vAlign w:val="center"/>
            <w:hideMark/>
          </w:tcPr>
          <w:p w14:paraId="1FF4F9F9" w14:textId="77777777" w:rsidR="00E32354" w:rsidRPr="00E32354" w:rsidRDefault="00E32354" w:rsidP="00E32354">
            <w:pPr>
              <w:spacing w:line="240" w:lineRule="auto"/>
              <w:jc w:val="left"/>
              <w:rPr>
                <w:rFonts w:asciiTheme="minorHAnsi" w:hAnsiTheme="minorHAnsi" w:cstheme="minorHAnsi"/>
                <w:b/>
                <w:bCs/>
                <w:i/>
                <w:iCs/>
                <w:color w:val="000000"/>
                <w:sz w:val="18"/>
                <w:szCs w:val="18"/>
                <w:lang w:val="es-CR" w:eastAsia="es-CR"/>
              </w:rPr>
            </w:pPr>
            <w:r w:rsidRPr="00E32354">
              <w:rPr>
                <w:rFonts w:asciiTheme="minorHAnsi" w:hAnsiTheme="minorHAnsi" w:cstheme="minorHAnsi"/>
                <w:b/>
                <w:bCs/>
                <w:i/>
                <w:iCs/>
                <w:color w:val="000000"/>
                <w:sz w:val="18"/>
                <w:szCs w:val="18"/>
                <w:lang w:val="es-CR" w:eastAsia="es-CR"/>
              </w:rPr>
              <w:t>OTROS SERVICIOS PERSONALES</w:t>
            </w:r>
          </w:p>
        </w:tc>
        <w:tc>
          <w:tcPr>
            <w:tcW w:w="1203" w:type="dxa"/>
            <w:tcBorders>
              <w:top w:val="nil"/>
              <w:left w:val="single" w:sz="8" w:space="0" w:color="auto"/>
              <w:bottom w:val="nil"/>
              <w:right w:val="single" w:sz="8" w:space="0" w:color="auto"/>
            </w:tcBorders>
            <w:shd w:val="clear" w:color="000000" w:fill="DDEBF7"/>
            <w:noWrap/>
            <w:vAlign w:val="center"/>
            <w:hideMark/>
          </w:tcPr>
          <w:p w14:paraId="1426933C" w14:textId="77777777" w:rsidR="00E32354" w:rsidRPr="00E32354" w:rsidRDefault="00E32354" w:rsidP="00E32354">
            <w:pPr>
              <w:spacing w:line="240" w:lineRule="auto"/>
              <w:jc w:val="right"/>
              <w:rPr>
                <w:rFonts w:asciiTheme="minorHAnsi" w:hAnsiTheme="minorHAnsi" w:cstheme="minorHAnsi"/>
                <w:b/>
                <w:bCs/>
                <w:i/>
                <w:iCs/>
                <w:color w:val="000000"/>
                <w:sz w:val="18"/>
                <w:szCs w:val="18"/>
                <w:lang w:val="es-CR" w:eastAsia="es-CR"/>
              </w:rPr>
            </w:pPr>
            <w:r w:rsidRPr="00E32354">
              <w:rPr>
                <w:rFonts w:asciiTheme="minorHAnsi" w:hAnsiTheme="minorHAnsi" w:cstheme="minorHAnsi"/>
                <w:b/>
                <w:bCs/>
                <w:i/>
                <w:iCs/>
                <w:color w:val="000000"/>
                <w:sz w:val="18"/>
                <w:szCs w:val="18"/>
                <w:lang w:val="es-CR" w:eastAsia="es-CR"/>
              </w:rPr>
              <w:t>49 900 000</w:t>
            </w:r>
          </w:p>
        </w:tc>
        <w:tc>
          <w:tcPr>
            <w:tcW w:w="1276" w:type="dxa"/>
            <w:tcBorders>
              <w:top w:val="nil"/>
              <w:left w:val="nil"/>
              <w:bottom w:val="nil"/>
              <w:right w:val="single" w:sz="8" w:space="0" w:color="auto"/>
            </w:tcBorders>
            <w:shd w:val="clear" w:color="000000" w:fill="DDEBF7"/>
            <w:noWrap/>
            <w:vAlign w:val="center"/>
            <w:hideMark/>
          </w:tcPr>
          <w:p w14:paraId="26EB2D1B" w14:textId="77777777" w:rsidR="00E32354" w:rsidRPr="00E32354" w:rsidRDefault="00E32354" w:rsidP="00E32354">
            <w:pPr>
              <w:spacing w:line="240" w:lineRule="auto"/>
              <w:jc w:val="right"/>
              <w:rPr>
                <w:rFonts w:asciiTheme="minorHAnsi" w:hAnsiTheme="minorHAnsi" w:cstheme="minorHAnsi"/>
                <w:b/>
                <w:bCs/>
                <w:i/>
                <w:iCs/>
                <w:color w:val="000000"/>
                <w:sz w:val="18"/>
                <w:szCs w:val="18"/>
                <w:lang w:val="es-CR" w:eastAsia="es-CR"/>
              </w:rPr>
            </w:pPr>
            <w:r w:rsidRPr="00E32354">
              <w:rPr>
                <w:rFonts w:asciiTheme="minorHAnsi" w:hAnsiTheme="minorHAnsi" w:cstheme="minorHAnsi"/>
                <w:b/>
                <w:bCs/>
                <w:i/>
                <w:iCs/>
                <w:color w:val="000000"/>
                <w:sz w:val="18"/>
                <w:szCs w:val="18"/>
                <w:lang w:val="es-CR" w:eastAsia="es-CR"/>
              </w:rPr>
              <w:t>46 454 095</w:t>
            </w:r>
          </w:p>
        </w:tc>
        <w:tc>
          <w:tcPr>
            <w:tcW w:w="781" w:type="dxa"/>
            <w:tcBorders>
              <w:top w:val="nil"/>
              <w:left w:val="nil"/>
              <w:bottom w:val="nil"/>
              <w:right w:val="single" w:sz="8" w:space="0" w:color="auto"/>
            </w:tcBorders>
            <w:shd w:val="clear" w:color="000000" w:fill="DDEBF7"/>
            <w:noWrap/>
            <w:vAlign w:val="center"/>
            <w:hideMark/>
          </w:tcPr>
          <w:p w14:paraId="272E2327" w14:textId="77777777" w:rsidR="00E32354" w:rsidRPr="00E32354" w:rsidRDefault="00E32354" w:rsidP="00E32354">
            <w:pPr>
              <w:spacing w:line="240" w:lineRule="auto"/>
              <w:jc w:val="right"/>
              <w:rPr>
                <w:rFonts w:asciiTheme="minorHAnsi" w:hAnsiTheme="minorHAnsi" w:cstheme="minorHAnsi"/>
                <w:b/>
                <w:bCs/>
                <w:i/>
                <w:iCs/>
                <w:color w:val="000000"/>
                <w:sz w:val="18"/>
                <w:szCs w:val="18"/>
                <w:lang w:val="es-CR" w:eastAsia="es-CR"/>
              </w:rPr>
            </w:pPr>
            <w:r w:rsidRPr="00E32354">
              <w:rPr>
                <w:rFonts w:asciiTheme="minorHAnsi" w:hAnsiTheme="minorHAnsi" w:cstheme="minorHAnsi"/>
                <w:b/>
                <w:bCs/>
                <w:i/>
                <w:iCs/>
                <w:color w:val="000000"/>
                <w:sz w:val="18"/>
                <w:szCs w:val="18"/>
                <w:lang w:val="es-CR" w:eastAsia="es-CR"/>
              </w:rPr>
              <w:t>0</w:t>
            </w:r>
          </w:p>
        </w:tc>
        <w:tc>
          <w:tcPr>
            <w:tcW w:w="1134" w:type="dxa"/>
            <w:tcBorders>
              <w:top w:val="nil"/>
              <w:left w:val="nil"/>
              <w:bottom w:val="nil"/>
              <w:right w:val="single" w:sz="8" w:space="0" w:color="auto"/>
            </w:tcBorders>
            <w:shd w:val="clear" w:color="000000" w:fill="DDEBF7"/>
            <w:noWrap/>
            <w:vAlign w:val="center"/>
            <w:hideMark/>
          </w:tcPr>
          <w:p w14:paraId="30074771" w14:textId="77777777" w:rsidR="00E32354" w:rsidRPr="00E32354" w:rsidRDefault="00E32354" w:rsidP="00E32354">
            <w:pPr>
              <w:spacing w:line="240" w:lineRule="auto"/>
              <w:jc w:val="right"/>
              <w:rPr>
                <w:rFonts w:asciiTheme="minorHAnsi" w:hAnsiTheme="minorHAnsi" w:cstheme="minorHAnsi"/>
                <w:b/>
                <w:bCs/>
                <w:i/>
                <w:iCs/>
                <w:color w:val="000000"/>
                <w:sz w:val="18"/>
                <w:szCs w:val="18"/>
                <w:lang w:val="es-CR" w:eastAsia="es-CR"/>
              </w:rPr>
            </w:pPr>
            <w:r w:rsidRPr="00E32354">
              <w:rPr>
                <w:rFonts w:asciiTheme="minorHAnsi" w:hAnsiTheme="minorHAnsi" w:cstheme="minorHAnsi"/>
                <w:b/>
                <w:bCs/>
                <w:i/>
                <w:iCs/>
                <w:color w:val="000000"/>
                <w:sz w:val="18"/>
                <w:szCs w:val="18"/>
                <w:lang w:val="es-CR" w:eastAsia="es-CR"/>
              </w:rPr>
              <w:t>3 445 905</w:t>
            </w:r>
          </w:p>
        </w:tc>
        <w:tc>
          <w:tcPr>
            <w:tcW w:w="993" w:type="dxa"/>
            <w:tcBorders>
              <w:top w:val="nil"/>
              <w:left w:val="nil"/>
              <w:bottom w:val="nil"/>
              <w:right w:val="single" w:sz="8" w:space="0" w:color="auto"/>
            </w:tcBorders>
            <w:shd w:val="clear" w:color="000000" w:fill="DDEBF7"/>
            <w:noWrap/>
            <w:vAlign w:val="center"/>
            <w:hideMark/>
          </w:tcPr>
          <w:p w14:paraId="224C7D57" w14:textId="77777777" w:rsidR="00E32354" w:rsidRPr="00E32354" w:rsidRDefault="00E32354" w:rsidP="00E32354">
            <w:pPr>
              <w:spacing w:line="240" w:lineRule="auto"/>
              <w:jc w:val="center"/>
              <w:rPr>
                <w:rFonts w:asciiTheme="minorHAnsi" w:hAnsiTheme="minorHAnsi" w:cstheme="minorHAnsi"/>
                <w:b/>
                <w:bCs/>
                <w:i/>
                <w:iCs/>
                <w:color w:val="000000"/>
                <w:sz w:val="18"/>
                <w:szCs w:val="18"/>
                <w:lang w:val="es-CR" w:eastAsia="es-CR"/>
              </w:rPr>
            </w:pPr>
            <w:r w:rsidRPr="00E32354">
              <w:rPr>
                <w:rFonts w:asciiTheme="minorHAnsi" w:hAnsiTheme="minorHAnsi" w:cstheme="minorHAnsi"/>
                <w:b/>
                <w:bCs/>
                <w:i/>
                <w:iCs/>
                <w:color w:val="000000"/>
                <w:sz w:val="18"/>
                <w:szCs w:val="18"/>
                <w:lang w:val="es-CR" w:eastAsia="es-CR"/>
              </w:rPr>
              <w:t>93%</w:t>
            </w:r>
          </w:p>
        </w:tc>
      </w:tr>
      <w:tr w:rsidR="00C15B96" w:rsidRPr="00E32354" w14:paraId="3750FB2E" w14:textId="77777777" w:rsidTr="004B1864">
        <w:trPr>
          <w:trHeight w:val="345"/>
        </w:trPr>
        <w:tc>
          <w:tcPr>
            <w:tcW w:w="699" w:type="dxa"/>
            <w:tcBorders>
              <w:top w:val="nil"/>
              <w:left w:val="single" w:sz="8" w:space="0" w:color="auto"/>
              <w:bottom w:val="nil"/>
              <w:right w:val="single" w:sz="8" w:space="0" w:color="auto"/>
            </w:tcBorders>
            <w:shd w:val="clear" w:color="auto" w:fill="auto"/>
            <w:noWrap/>
            <w:vAlign w:val="center"/>
            <w:hideMark/>
          </w:tcPr>
          <w:p w14:paraId="6F757DCC" w14:textId="77777777" w:rsidR="00E32354" w:rsidRPr="00E32354" w:rsidRDefault="00E32354" w:rsidP="00E32354">
            <w:pPr>
              <w:spacing w:line="240" w:lineRule="auto"/>
              <w:jc w:val="center"/>
              <w:rPr>
                <w:rFonts w:asciiTheme="minorHAnsi" w:hAnsiTheme="minorHAnsi" w:cstheme="minorHAnsi"/>
                <w:color w:val="000000"/>
                <w:sz w:val="18"/>
                <w:szCs w:val="18"/>
                <w:lang w:val="es-CR" w:eastAsia="es-CR"/>
              </w:rPr>
            </w:pPr>
            <w:r w:rsidRPr="00E32354">
              <w:rPr>
                <w:rFonts w:asciiTheme="minorHAnsi" w:hAnsiTheme="minorHAnsi" w:cstheme="minorHAnsi"/>
                <w:color w:val="000000"/>
                <w:sz w:val="18"/>
                <w:szCs w:val="18"/>
                <w:lang w:val="es-CR" w:eastAsia="es-CR"/>
              </w:rPr>
              <w:t>0 02 02</w:t>
            </w:r>
          </w:p>
        </w:tc>
        <w:tc>
          <w:tcPr>
            <w:tcW w:w="945" w:type="dxa"/>
            <w:tcBorders>
              <w:top w:val="nil"/>
              <w:left w:val="nil"/>
              <w:bottom w:val="nil"/>
              <w:right w:val="single" w:sz="4" w:space="0" w:color="auto"/>
            </w:tcBorders>
            <w:shd w:val="clear" w:color="auto" w:fill="auto"/>
            <w:noWrap/>
            <w:vAlign w:val="center"/>
            <w:hideMark/>
          </w:tcPr>
          <w:p w14:paraId="0967F206" w14:textId="77777777" w:rsidR="00E32354" w:rsidRPr="00E32354" w:rsidRDefault="00E32354" w:rsidP="00E32354">
            <w:pPr>
              <w:spacing w:line="240" w:lineRule="auto"/>
              <w:jc w:val="center"/>
              <w:rPr>
                <w:rFonts w:asciiTheme="minorHAnsi" w:hAnsiTheme="minorHAnsi" w:cstheme="minorHAnsi"/>
                <w:color w:val="000000"/>
                <w:sz w:val="18"/>
                <w:szCs w:val="18"/>
                <w:lang w:val="es-CR" w:eastAsia="es-CR"/>
              </w:rPr>
            </w:pPr>
            <w:r w:rsidRPr="00E32354">
              <w:rPr>
                <w:rFonts w:asciiTheme="minorHAnsi" w:hAnsiTheme="minorHAnsi" w:cstheme="minorHAnsi"/>
                <w:color w:val="000000"/>
                <w:sz w:val="18"/>
                <w:szCs w:val="18"/>
                <w:lang w:val="es-CR" w:eastAsia="es-CR"/>
              </w:rPr>
              <w:t>1.1.1.1</w:t>
            </w:r>
          </w:p>
        </w:tc>
        <w:tc>
          <w:tcPr>
            <w:tcW w:w="2457" w:type="dxa"/>
            <w:tcBorders>
              <w:top w:val="nil"/>
              <w:left w:val="single" w:sz="4" w:space="0" w:color="auto"/>
              <w:bottom w:val="nil"/>
              <w:right w:val="nil"/>
            </w:tcBorders>
            <w:shd w:val="clear" w:color="auto" w:fill="auto"/>
            <w:noWrap/>
            <w:vAlign w:val="center"/>
            <w:hideMark/>
          </w:tcPr>
          <w:p w14:paraId="73BC8DD8" w14:textId="77777777" w:rsidR="00E32354" w:rsidRPr="00E32354" w:rsidRDefault="00E32354" w:rsidP="00E32354">
            <w:pPr>
              <w:spacing w:line="240" w:lineRule="auto"/>
              <w:jc w:val="left"/>
              <w:rPr>
                <w:rFonts w:asciiTheme="minorHAnsi" w:hAnsiTheme="minorHAnsi" w:cstheme="minorHAnsi"/>
                <w:color w:val="000000"/>
                <w:sz w:val="18"/>
                <w:szCs w:val="18"/>
                <w:lang w:val="es-CR" w:eastAsia="es-CR"/>
              </w:rPr>
            </w:pPr>
            <w:r w:rsidRPr="00E32354">
              <w:rPr>
                <w:rFonts w:asciiTheme="minorHAnsi" w:hAnsiTheme="minorHAnsi" w:cstheme="minorHAnsi"/>
                <w:color w:val="000000"/>
                <w:sz w:val="18"/>
                <w:szCs w:val="18"/>
                <w:lang w:val="es-CR" w:eastAsia="es-CR"/>
              </w:rPr>
              <w:t>Recargo o sustitución de funcionarios</w:t>
            </w:r>
          </w:p>
        </w:tc>
        <w:tc>
          <w:tcPr>
            <w:tcW w:w="1203" w:type="dxa"/>
            <w:tcBorders>
              <w:top w:val="nil"/>
              <w:left w:val="single" w:sz="8" w:space="0" w:color="auto"/>
              <w:bottom w:val="nil"/>
              <w:right w:val="single" w:sz="8" w:space="0" w:color="auto"/>
            </w:tcBorders>
            <w:shd w:val="clear" w:color="auto" w:fill="auto"/>
            <w:noWrap/>
            <w:vAlign w:val="center"/>
            <w:hideMark/>
          </w:tcPr>
          <w:p w14:paraId="239A841E" w14:textId="77777777" w:rsidR="00E32354" w:rsidRPr="00E32354" w:rsidRDefault="00E32354" w:rsidP="00E32354">
            <w:pPr>
              <w:spacing w:line="240" w:lineRule="auto"/>
              <w:jc w:val="right"/>
              <w:rPr>
                <w:rFonts w:asciiTheme="minorHAnsi" w:hAnsiTheme="minorHAnsi" w:cstheme="minorHAnsi"/>
                <w:color w:val="000000"/>
                <w:sz w:val="18"/>
                <w:szCs w:val="18"/>
                <w:lang w:val="es-CR" w:eastAsia="es-CR"/>
              </w:rPr>
            </w:pPr>
            <w:r w:rsidRPr="00E32354">
              <w:rPr>
                <w:rFonts w:asciiTheme="minorHAnsi" w:hAnsiTheme="minorHAnsi" w:cstheme="minorHAnsi"/>
                <w:color w:val="000000"/>
                <w:sz w:val="18"/>
                <w:szCs w:val="18"/>
                <w:lang w:val="es-CR" w:eastAsia="es-CR"/>
              </w:rPr>
              <w:t>47 400 000</w:t>
            </w:r>
          </w:p>
        </w:tc>
        <w:tc>
          <w:tcPr>
            <w:tcW w:w="1276" w:type="dxa"/>
            <w:tcBorders>
              <w:top w:val="nil"/>
              <w:left w:val="nil"/>
              <w:bottom w:val="nil"/>
              <w:right w:val="single" w:sz="8" w:space="0" w:color="auto"/>
            </w:tcBorders>
            <w:shd w:val="clear" w:color="auto" w:fill="auto"/>
            <w:noWrap/>
            <w:vAlign w:val="center"/>
            <w:hideMark/>
          </w:tcPr>
          <w:p w14:paraId="79CB350F" w14:textId="77777777" w:rsidR="00E32354" w:rsidRPr="00E32354" w:rsidRDefault="00E32354" w:rsidP="00E32354">
            <w:pPr>
              <w:spacing w:line="240" w:lineRule="auto"/>
              <w:jc w:val="right"/>
              <w:rPr>
                <w:rFonts w:asciiTheme="minorHAnsi" w:hAnsiTheme="minorHAnsi" w:cstheme="minorHAnsi"/>
                <w:color w:val="000000"/>
                <w:sz w:val="18"/>
                <w:szCs w:val="18"/>
                <w:lang w:val="es-CR" w:eastAsia="es-CR"/>
              </w:rPr>
            </w:pPr>
            <w:r w:rsidRPr="00E32354">
              <w:rPr>
                <w:rFonts w:asciiTheme="minorHAnsi" w:hAnsiTheme="minorHAnsi" w:cstheme="minorHAnsi"/>
                <w:color w:val="000000"/>
                <w:sz w:val="18"/>
                <w:szCs w:val="18"/>
                <w:lang w:val="es-CR" w:eastAsia="es-CR"/>
              </w:rPr>
              <w:t>43 965 811</w:t>
            </w:r>
          </w:p>
        </w:tc>
        <w:tc>
          <w:tcPr>
            <w:tcW w:w="781" w:type="dxa"/>
            <w:tcBorders>
              <w:top w:val="nil"/>
              <w:left w:val="nil"/>
              <w:bottom w:val="nil"/>
              <w:right w:val="single" w:sz="8" w:space="0" w:color="auto"/>
            </w:tcBorders>
            <w:shd w:val="clear" w:color="auto" w:fill="auto"/>
            <w:noWrap/>
            <w:vAlign w:val="center"/>
            <w:hideMark/>
          </w:tcPr>
          <w:p w14:paraId="03BF6934" w14:textId="77777777" w:rsidR="00E32354" w:rsidRPr="00E32354" w:rsidRDefault="00E32354" w:rsidP="00E32354">
            <w:pPr>
              <w:spacing w:line="240" w:lineRule="auto"/>
              <w:jc w:val="right"/>
              <w:rPr>
                <w:rFonts w:asciiTheme="minorHAnsi" w:hAnsiTheme="minorHAnsi" w:cstheme="minorHAnsi"/>
                <w:color w:val="000000"/>
                <w:sz w:val="18"/>
                <w:szCs w:val="18"/>
                <w:lang w:val="es-CR" w:eastAsia="es-CR"/>
              </w:rPr>
            </w:pPr>
            <w:r w:rsidRPr="00E32354">
              <w:rPr>
                <w:rFonts w:asciiTheme="minorHAnsi" w:hAnsiTheme="minorHAnsi" w:cstheme="minorHAnsi"/>
                <w:color w:val="000000"/>
                <w:sz w:val="18"/>
                <w:szCs w:val="18"/>
                <w:lang w:val="es-CR" w:eastAsia="es-CR"/>
              </w:rPr>
              <w:t>0</w:t>
            </w:r>
          </w:p>
        </w:tc>
        <w:tc>
          <w:tcPr>
            <w:tcW w:w="1134" w:type="dxa"/>
            <w:tcBorders>
              <w:top w:val="nil"/>
              <w:left w:val="nil"/>
              <w:bottom w:val="nil"/>
              <w:right w:val="nil"/>
            </w:tcBorders>
            <w:shd w:val="clear" w:color="auto" w:fill="auto"/>
            <w:noWrap/>
            <w:vAlign w:val="center"/>
            <w:hideMark/>
          </w:tcPr>
          <w:p w14:paraId="6133A0F8" w14:textId="77777777" w:rsidR="00E32354" w:rsidRPr="00E32354" w:rsidRDefault="00E32354" w:rsidP="00E32354">
            <w:pPr>
              <w:spacing w:line="240" w:lineRule="auto"/>
              <w:jc w:val="right"/>
              <w:rPr>
                <w:rFonts w:asciiTheme="minorHAnsi" w:hAnsiTheme="minorHAnsi" w:cstheme="minorHAnsi"/>
                <w:color w:val="000000"/>
                <w:sz w:val="18"/>
                <w:szCs w:val="18"/>
                <w:lang w:val="es-CR" w:eastAsia="es-CR"/>
              </w:rPr>
            </w:pPr>
            <w:r w:rsidRPr="00E32354">
              <w:rPr>
                <w:rFonts w:asciiTheme="minorHAnsi" w:hAnsiTheme="minorHAnsi" w:cstheme="minorHAnsi"/>
                <w:color w:val="000000"/>
                <w:sz w:val="18"/>
                <w:szCs w:val="18"/>
                <w:lang w:val="es-CR" w:eastAsia="es-CR"/>
              </w:rPr>
              <w:t>3 434 189</w:t>
            </w:r>
          </w:p>
        </w:tc>
        <w:tc>
          <w:tcPr>
            <w:tcW w:w="993" w:type="dxa"/>
            <w:tcBorders>
              <w:top w:val="nil"/>
              <w:left w:val="single" w:sz="8" w:space="0" w:color="auto"/>
              <w:bottom w:val="nil"/>
              <w:right w:val="single" w:sz="8" w:space="0" w:color="auto"/>
            </w:tcBorders>
            <w:shd w:val="clear" w:color="auto" w:fill="auto"/>
            <w:noWrap/>
            <w:vAlign w:val="center"/>
            <w:hideMark/>
          </w:tcPr>
          <w:p w14:paraId="14B322F6" w14:textId="77777777" w:rsidR="00E32354" w:rsidRPr="00E32354" w:rsidRDefault="00E32354" w:rsidP="00E32354">
            <w:pPr>
              <w:spacing w:line="240" w:lineRule="auto"/>
              <w:jc w:val="center"/>
              <w:rPr>
                <w:rFonts w:asciiTheme="minorHAnsi" w:hAnsiTheme="minorHAnsi" w:cstheme="minorHAnsi"/>
                <w:color w:val="000000"/>
                <w:sz w:val="18"/>
                <w:szCs w:val="18"/>
                <w:lang w:val="es-CR" w:eastAsia="es-CR"/>
              </w:rPr>
            </w:pPr>
            <w:r w:rsidRPr="00E32354">
              <w:rPr>
                <w:rFonts w:asciiTheme="minorHAnsi" w:hAnsiTheme="minorHAnsi" w:cstheme="minorHAnsi"/>
                <w:color w:val="000000"/>
                <w:sz w:val="18"/>
                <w:szCs w:val="18"/>
                <w:lang w:val="es-CR" w:eastAsia="es-CR"/>
              </w:rPr>
              <w:t>93%</w:t>
            </w:r>
          </w:p>
        </w:tc>
      </w:tr>
      <w:tr w:rsidR="00C15B96" w:rsidRPr="00E32354" w14:paraId="16855FC9" w14:textId="77777777" w:rsidTr="004B1864">
        <w:trPr>
          <w:trHeight w:val="345"/>
        </w:trPr>
        <w:tc>
          <w:tcPr>
            <w:tcW w:w="699" w:type="dxa"/>
            <w:tcBorders>
              <w:top w:val="nil"/>
              <w:left w:val="single" w:sz="8" w:space="0" w:color="auto"/>
              <w:bottom w:val="single" w:sz="8" w:space="0" w:color="auto"/>
              <w:right w:val="single" w:sz="8" w:space="0" w:color="auto"/>
            </w:tcBorders>
            <w:shd w:val="clear" w:color="auto" w:fill="auto"/>
            <w:noWrap/>
            <w:vAlign w:val="center"/>
            <w:hideMark/>
          </w:tcPr>
          <w:p w14:paraId="38C0D5F3" w14:textId="77777777" w:rsidR="00E32354" w:rsidRPr="00E32354" w:rsidRDefault="00E32354" w:rsidP="00E32354">
            <w:pPr>
              <w:spacing w:line="240" w:lineRule="auto"/>
              <w:jc w:val="center"/>
              <w:rPr>
                <w:rFonts w:asciiTheme="minorHAnsi" w:hAnsiTheme="minorHAnsi" w:cstheme="minorHAnsi"/>
                <w:color w:val="000000"/>
                <w:sz w:val="18"/>
                <w:szCs w:val="18"/>
                <w:lang w:val="es-CR" w:eastAsia="es-CR"/>
              </w:rPr>
            </w:pPr>
            <w:r w:rsidRPr="00E32354">
              <w:rPr>
                <w:rFonts w:asciiTheme="minorHAnsi" w:hAnsiTheme="minorHAnsi" w:cstheme="minorHAnsi"/>
                <w:color w:val="000000"/>
                <w:sz w:val="18"/>
                <w:szCs w:val="18"/>
                <w:lang w:val="es-CR" w:eastAsia="es-CR"/>
              </w:rPr>
              <w:t>0 02 01</w:t>
            </w:r>
          </w:p>
        </w:tc>
        <w:tc>
          <w:tcPr>
            <w:tcW w:w="945" w:type="dxa"/>
            <w:tcBorders>
              <w:top w:val="nil"/>
              <w:left w:val="nil"/>
              <w:bottom w:val="single" w:sz="8" w:space="0" w:color="auto"/>
              <w:right w:val="single" w:sz="4" w:space="0" w:color="auto"/>
            </w:tcBorders>
            <w:shd w:val="clear" w:color="auto" w:fill="auto"/>
            <w:noWrap/>
            <w:vAlign w:val="center"/>
            <w:hideMark/>
          </w:tcPr>
          <w:p w14:paraId="58DC94A2" w14:textId="77777777" w:rsidR="00E32354" w:rsidRPr="00E32354" w:rsidRDefault="00E32354" w:rsidP="00E32354">
            <w:pPr>
              <w:spacing w:line="240" w:lineRule="auto"/>
              <w:jc w:val="center"/>
              <w:rPr>
                <w:rFonts w:asciiTheme="minorHAnsi" w:hAnsiTheme="minorHAnsi" w:cstheme="minorHAnsi"/>
                <w:color w:val="000000"/>
                <w:sz w:val="18"/>
                <w:szCs w:val="18"/>
                <w:lang w:val="es-CR" w:eastAsia="es-CR"/>
              </w:rPr>
            </w:pPr>
            <w:r w:rsidRPr="00E32354">
              <w:rPr>
                <w:rFonts w:asciiTheme="minorHAnsi" w:hAnsiTheme="minorHAnsi" w:cstheme="minorHAnsi"/>
                <w:color w:val="000000"/>
                <w:sz w:val="18"/>
                <w:szCs w:val="18"/>
                <w:lang w:val="es-CR" w:eastAsia="es-CR"/>
              </w:rPr>
              <w:t>1.1.1.1</w:t>
            </w:r>
          </w:p>
        </w:tc>
        <w:tc>
          <w:tcPr>
            <w:tcW w:w="2457" w:type="dxa"/>
            <w:tcBorders>
              <w:top w:val="nil"/>
              <w:left w:val="single" w:sz="4" w:space="0" w:color="auto"/>
              <w:bottom w:val="single" w:sz="8" w:space="0" w:color="auto"/>
              <w:right w:val="nil"/>
            </w:tcBorders>
            <w:shd w:val="clear" w:color="auto" w:fill="auto"/>
            <w:noWrap/>
            <w:vAlign w:val="center"/>
            <w:hideMark/>
          </w:tcPr>
          <w:p w14:paraId="213EDE06" w14:textId="77777777" w:rsidR="00E32354" w:rsidRPr="00E32354" w:rsidRDefault="00E32354" w:rsidP="00E32354">
            <w:pPr>
              <w:spacing w:line="240" w:lineRule="auto"/>
              <w:jc w:val="left"/>
              <w:rPr>
                <w:rFonts w:asciiTheme="minorHAnsi" w:hAnsiTheme="minorHAnsi" w:cstheme="minorHAnsi"/>
                <w:color w:val="000000"/>
                <w:sz w:val="18"/>
                <w:szCs w:val="18"/>
                <w:lang w:val="es-CR" w:eastAsia="es-CR"/>
              </w:rPr>
            </w:pPr>
            <w:r w:rsidRPr="00E32354">
              <w:rPr>
                <w:rFonts w:asciiTheme="minorHAnsi" w:hAnsiTheme="minorHAnsi" w:cstheme="minorHAnsi"/>
                <w:color w:val="000000"/>
                <w:sz w:val="18"/>
                <w:szCs w:val="18"/>
                <w:lang w:val="es-CR" w:eastAsia="es-CR"/>
              </w:rPr>
              <w:t>Tiempo Extraordinario</w:t>
            </w:r>
          </w:p>
        </w:tc>
        <w:tc>
          <w:tcPr>
            <w:tcW w:w="1203" w:type="dxa"/>
            <w:tcBorders>
              <w:top w:val="nil"/>
              <w:left w:val="single" w:sz="8" w:space="0" w:color="auto"/>
              <w:bottom w:val="single" w:sz="8" w:space="0" w:color="auto"/>
              <w:right w:val="single" w:sz="8" w:space="0" w:color="auto"/>
            </w:tcBorders>
            <w:shd w:val="clear" w:color="auto" w:fill="auto"/>
            <w:noWrap/>
            <w:vAlign w:val="center"/>
            <w:hideMark/>
          </w:tcPr>
          <w:p w14:paraId="03D8577D" w14:textId="77777777" w:rsidR="00E32354" w:rsidRPr="00E32354" w:rsidRDefault="00E32354" w:rsidP="00E32354">
            <w:pPr>
              <w:spacing w:line="240" w:lineRule="auto"/>
              <w:jc w:val="right"/>
              <w:rPr>
                <w:rFonts w:asciiTheme="minorHAnsi" w:hAnsiTheme="minorHAnsi" w:cstheme="minorHAnsi"/>
                <w:color w:val="000000"/>
                <w:sz w:val="18"/>
                <w:szCs w:val="18"/>
                <w:lang w:val="es-CR" w:eastAsia="es-CR"/>
              </w:rPr>
            </w:pPr>
            <w:r w:rsidRPr="00E32354">
              <w:rPr>
                <w:rFonts w:asciiTheme="minorHAnsi" w:hAnsiTheme="minorHAnsi" w:cstheme="minorHAnsi"/>
                <w:color w:val="000000"/>
                <w:sz w:val="18"/>
                <w:szCs w:val="18"/>
                <w:lang w:val="es-CR" w:eastAsia="es-CR"/>
              </w:rPr>
              <w:t>2 500 000</w:t>
            </w:r>
          </w:p>
        </w:tc>
        <w:tc>
          <w:tcPr>
            <w:tcW w:w="1276" w:type="dxa"/>
            <w:tcBorders>
              <w:top w:val="nil"/>
              <w:left w:val="nil"/>
              <w:bottom w:val="single" w:sz="8" w:space="0" w:color="auto"/>
              <w:right w:val="single" w:sz="8" w:space="0" w:color="auto"/>
            </w:tcBorders>
            <w:shd w:val="clear" w:color="auto" w:fill="auto"/>
            <w:noWrap/>
            <w:vAlign w:val="center"/>
            <w:hideMark/>
          </w:tcPr>
          <w:p w14:paraId="1DA0F894" w14:textId="77777777" w:rsidR="00E32354" w:rsidRPr="00E32354" w:rsidRDefault="00E32354" w:rsidP="00E32354">
            <w:pPr>
              <w:spacing w:line="240" w:lineRule="auto"/>
              <w:jc w:val="right"/>
              <w:rPr>
                <w:rFonts w:asciiTheme="minorHAnsi" w:hAnsiTheme="minorHAnsi" w:cstheme="minorHAnsi"/>
                <w:color w:val="000000"/>
                <w:sz w:val="18"/>
                <w:szCs w:val="18"/>
                <w:lang w:val="es-CR" w:eastAsia="es-CR"/>
              </w:rPr>
            </w:pPr>
            <w:r w:rsidRPr="00E32354">
              <w:rPr>
                <w:rFonts w:asciiTheme="minorHAnsi" w:hAnsiTheme="minorHAnsi" w:cstheme="minorHAnsi"/>
                <w:color w:val="000000"/>
                <w:sz w:val="18"/>
                <w:szCs w:val="18"/>
                <w:lang w:val="es-CR" w:eastAsia="es-CR"/>
              </w:rPr>
              <w:t>2 488 284</w:t>
            </w:r>
          </w:p>
        </w:tc>
        <w:tc>
          <w:tcPr>
            <w:tcW w:w="781" w:type="dxa"/>
            <w:tcBorders>
              <w:top w:val="nil"/>
              <w:left w:val="nil"/>
              <w:bottom w:val="single" w:sz="8" w:space="0" w:color="auto"/>
              <w:right w:val="single" w:sz="8" w:space="0" w:color="auto"/>
            </w:tcBorders>
            <w:shd w:val="clear" w:color="auto" w:fill="auto"/>
            <w:noWrap/>
            <w:vAlign w:val="center"/>
            <w:hideMark/>
          </w:tcPr>
          <w:p w14:paraId="436D1903" w14:textId="77777777" w:rsidR="00E32354" w:rsidRPr="00E32354" w:rsidRDefault="00E32354" w:rsidP="00E32354">
            <w:pPr>
              <w:spacing w:line="240" w:lineRule="auto"/>
              <w:jc w:val="right"/>
              <w:rPr>
                <w:rFonts w:asciiTheme="minorHAnsi" w:hAnsiTheme="minorHAnsi" w:cstheme="minorHAnsi"/>
                <w:color w:val="000000"/>
                <w:sz w:val="18"/>
                <w:szCs w:val="18"/>
                <w:lang w:val="es-CR" w:eastAsia="es-CR"/>
              </w:rPr>
            </w:pPr>
            <w:r w:rsidRPr="00E32354">
              <w:rPr>
                <w:rFonts w:asciiTheme="minorHAnsi" w:hAnsiTheme="minorHAnsi" w:cstheme="minorHAnsi"/>
                <w:color w:val="000000"/>
                <w:sz w:val="18"/>
                <w:szCs w:val="18"/>
                <w:lang w:val="es-CR" w:eastAsia="es-CR"/>
              </w:rPr>
              <w:t>0</w:t>
            </w:r>
          </w:p>
        </w:tc>
        <w:tc>
          <w:tcPr>
            <w:tcW w:w="1134" w:type="dxa"/>
            <w:tcBorders>
              <w:top w:val="nil"/>
              <w:left w:val="nil"/>
              <w:bottom w:val="single" w:sz="8" w:space="0" w:color="auto"/>
              <w:right w:val="nil"/>
            </w:tcBorders>
            <w:shd w:val="clear" w:color="auto" w:fill="auto"/>
            <w:noWrap/>
            <w:vAlign w:val="center"/>
            <w:hideMark/>
          </w:tcPr>
          <w:p w14:paraId="4B655A5C" w14:textId="77777777" w:rsidR="00E32354" w:rsidRPr="00E32354" w:rsidRDefault="00E32354" w:rsidP="00E32354">
            <w:pPr>
              <w:spacing w:line="240" w:lineRule="auto"/>
              <w:jc w:val="right"/>
              <w:rPr>
                <w:rFonts w:asciiTheme="minorHAnsi" w:hAnsiTheme="minorHAnsi" w:cstheme="minorHAnsi"/>
                <w:color w:val="000000"/>
                <w:sz w:val="18"/>
                <w:szCs w:val="18"/>
                <w:lang w:val="es-CR" w:eastAsia="es-CR"/>
              </w:rPr>
            </w:pPr>
            <w:r w:rsidRPr="00E32354">
              <w:rPr>
                <w:rFonts w:asciiTheme="minorHAnsi" w:hAnsiTheme="minorHAnsi" w:cstheme="minorHAnsi"/>
                <w:color w:val="000000"/>
                <w:sz w:val="18"/>
                <w:szCs w:val="18"/>
                <w:lang w:val="es-CR" w:eastAsia="es-CR"/>
              </w:rPr>
              <w:t>11 716</w:t>
            </w:r>
          </w:p>
        </w:tc>
        <w:tc>
          <w:tcPr>
            <w:tcW w:w="993" w:type="dxa"/>
            <w:tcBorders>
              <w:top w:val="nil"/>
              <w:left w:val="single" w:sz="8" w:space="0" w:color="auto"/>
              <w:bottom w:val="single" w:sz="8" w:space="0" w:color="auto"/>
              <w:right w:val="single" w:sz="8" w:space="0" w:color="auto"/>
            </w:tcBorders>
            <w:shd w:val="clear" w:color="auto" w:fill="auto"/>
            <w:noWrap/>
            <w:vAlign w:val="center"/>
            <w:hideMark/>
          </w:tcPr>
          <w:p w14:paraId="0A486633" w14:textId="77777777" w:rsidR="00E32354" w:rsidRPr="00E32354" w:rsidRDefault="00E32354" w:rsidP="00E32354">
            <w:pPr>
              <w:spacing w:line="240" w:lineRule="auto"/>
              <w:jc w:val="center"/>
              <w:rPr>
                <w:rFonts w:asciiTheme="minorHAnsi" w:hAnsiTheme="minorHAnsi" w:cstheme="minorHAnsi"/>
                <w:color w:val="000000"/>
                <w:sz w:val="18"/>
                <w:szCs w:val="18"/>
                <w:lang w:val="es-CR" w:eastAsia="es-CR"/>
              </w:rPr>
            </w:pPr>
            <w:r w:rsidRPr="00E32354">
              <w:rPr>
                <w:rFonts w:asciiTheme="minorHAnsi" w:hAnsiTheme="minorHAnsi" w:cstheme="minorHAnsi"/>
                <w:color w:val="000000"/>
                <w:sz w:val="18"/>
                <w:szCs w:val="18"/>
                <w:lang w:val="es-CR" w:eastAsia="es-CR"/>
              </w:rPr>
              <w:t>100%</w:t>
            </w:r>
          </w:p>
        </w:tc>
      </w:tr>
    </w:tbl>
    <w:p w14:paraId="5ECE8D27" w14:textId="350A0648" w:rsidR="004E159A" w:rsidRDefault="004E159A" w:rsidP="004F71E6">
      <w:pPr>
        <w:spacing w:line="240" w:lineRule="auto"/>
        <w:ind w:left="426" w:right="51"/>
        <w:jc w:val="left"/>
        <w:rPr>
          <w:rFonts w:ascii="Calibri Light" w:hAnsi="Calibri Light" w:cs="Calibri Light"/>
          <w:i/>
          <w:sz w:val="16"/>
          <w:szCs w:val="16"/>
          <w:lang w:val="es-CR"/>
        </w:rPr>
      </w:pPr>
    </w:p>
    <w:p w14:paraId="2011BEC0" w14:textId="77777777" w:rsidR="00CB0CF9" w:rsidRPr="0023319B" w:rsidRDefault="00CB0CF9" w:rsidP="00CB0CF9">
      <w:pPr>
        <w:ind w:right="51"/>
        <w:rPr>
          <w:rFonts w:asciiTheme="minorHAnsi" w:hAnsiTheme="minorHAnsi" w:cstheme="minorHAnsi"/>
          <w:sz w:val="24"/>
          <w:lang w:val="es-CR"/>
        </w:rPr>
      </w:pPr>
    </w:p>
    <w:p w14:paraId="494FA552" w14:textId="30315EE6" w:rsidR="00CA6851" w:rsidRPr="0023319B" w:rsidRDefault="00E77CCC" w:rsidP="00CA6851">
      <w:pPr>
        <w:ind w:right="51"/>
        <w:rPr>
          <w:rFonts w:asciiTheme="minorHAnsi" w:hAnsiTheme="minorHAnsi" w:cstheme="minorHAnsi"/>
          <w:sz w:val="24"/>
          <w:szCs w:val="24"/>
          <w:lang w:val="es-CR"/>
        </w:rPr>
      </w:pPr>
      <w:r w:rsidRPr="0023319B">
        <w:rPr>
          <w:rFonts w:asciiTheme="minorHAnsi" w:hAnsiTheme="minorHAnsi" w:cstheme="minorHAnsi"/>
          <w:sz w:val="24"/>
          <w:szCs w:val="24"/>
          <w:lang w:val="es-CR"/>
        </w:rPr>
        <w:t>Esta</w:t>
      </w:r>
      <w:r w:rsidR="00CA6851" w:rsidRPr="0023319B">
        <w:rPr>
          <w:rFonts w:asciiTheme="minorHAnsi" w:hAnsiTheme="minorHAnsi" w:cstheme="minorHAnsi"/>
          <w:sz w:val="24"/>
          <w:szCs w:val="24"/>
          <w:lang w:val="es-CR"/>
        </w:rPr>
        <w:t xml:space="preserve"> cuenta comprende el pago de remuneraciones básicas en dinero al personal permanente y transitorio de la institución cuya relación se rige por las leyes laborales vigentes. Además, los incentivos derivados del salario o complementarios a este, como el decimotercer mes</w:t>
      </w:r>
      <w:r w:rsidR="003F3502" w:rsidRPr="0023319B">
        <w:rPr>
          <w:rFonts w:asciiTheme="minorHAnsi" w:hAnsiTheme="minorHAnsi" w:cstheme="minorHAnsi"/>
          <w:sz w:val="24"/>
          <w:szCs w:val="24"/>
          <w:lang w:val="es-CR"/>
        </w:rPr>
        <w:t xml:space="preserve">, </w:t>
      </w:r>
      <w:r w:rsidR="00402868" w:rsidRPr="0023319B">
        <w:rPr>
          <w:rFonts w:asciiTheme="minorHAnsi" w:hAnsiTheme="minorHAnsi" w:cstheme="minorHAnsi"/>
          <w:sz w:val="24"/>
          <w:szCs w:val="24"/>
          <w:lang w:val="es-CR"/>
        </w:rPr>
        <w:t xml:space="preserve">la </w:t>
      </w:r>
      <w:r w:rsidR="003F3502" w:rsidRPr="0023319B">
        <w:rPr>
          <w:rFonts w:asciiTheme="minorHAnsi" w:hAnsiTheme="minorHAnsi" w:cstheme="minorHAnsi"/>
          <w:sz w:val="24"/>
          <w:szCs w:val="24"/>
          <w:lang w:val="es-CR"/>
        </w:rPr>
        <w:t>prohibición</w:t>
      </w:r>
      <w:r w:rsidR="00CA6851" w:rsidRPr="0023319B">
        <w:rPr>
          <w:rFonts w:asciiTheme="minorHAnsi" w:hAnsiTheme="minorHAnsi" w:cstheme="minorHAnsi"/>
          <w:sz w:val="24"/>
          <w:szCs w:val="24"/>
          <w:lang w:val="es-CR"/>
        </w:rPr>
        <w:t xml:space="preserve"> o la retribución por años servidos, así como gastos por concepto de las contribuciones patronales al desarrollo y la seguridad social.</w:t>
      </w:r>
    </w:p>
    <w:p w14:paraId="7D08D81A" w14:textId="77777777" w:rsidR="00CB0CF9" w:rsidRPr="0023319B" w:rsidRDefault="00CB0CF9" w:rsidP="00093594">
      <w:pPr>
        <w:ind w:right="51"/>
        <w:rPr>
          <w:rFonts w:asciiTheme="minorHAnsi" w:hAnsiTheme="minorHAnsi" w:cstheme="minorHAnsi"/>
          <w:sz w:val="24"/>
          <w:szCs w:val="24"/>
          <w:lang w:val="es-CR"/>
        </w:rPr>
      </w:pPr>
    </w:p>
    <w:p w14:paraId="64DC751A" w14:textId="76DE9332" w:rsidR="00225437" w:rsidRPr="0023319B" w:rsidRDefault="00225437" w:rsidP="00093594">
      <w:pPr>
        <w:ind w:right="51"/>
        <w:rPr>
          <w:rFonts w:asciiTheme="minorHAnsi" w:hAnsiTheme="minorHAnsi" w:cstheme="minorHAnsi"/>
          <w:sz w:val="24"/>
          <w:szCs w:val="24"/>
          <w:lang w:val="es-CR"/>
        </w:rPr>
      </w:pPr>
      <w:r w:rsidRPr="0023319B">
        <w:rPr>
          <w:rFonts w:asciiTheme="minorHAnsi" w:hAnsiTheme="minorHAnsi" w:cstheme="minorHAnsi"/>
          <w:sz w:val="24"/>
          <w:szCs w:val="24"/>
          <w:lang w:val="es-CR"/>
        </w:rPr>
        <w:t xml:space="preserve">Al </w:t>
      </w:r>
      <w:r w:rsidR="001E2BFE" w:rsidRPr="0023319B">
        <w:rPr>
          <w:rFonts w:asciiTheme="minorHAnsi" w:hAnsiTheme="minorHAnsi" w:cstheme="minorHAnsi"/>
          <w:sz w:val="24"/>
          <w:szCs w:val="24"/>
          <w:lang w:val="es-CR"/>
        </w:rPr>
        <w:t>3</w:t>
      </w:r>
      <w:r w:rsidR="00B274DE" w:rsidRPr="0023319B">
        <w:rPr>
          <w:rFonts w:asciiTheme="minorHAnsi" w:hAnsiTheme="minorHAnsi" w:cstheme="minorHAnsi"/>
          <w:sz w:val="24"/>
          <w:szCs w:val="24"/>
          <w:lang w:val="es-CR"/>
        </w:rPr>
        <w:t>1</w:t>
      </w:r>
      <w:r w:rsidR="001E2BFE" w:rsidRPr="0023319B">
        <w:rPr>
          <w:rFonts w:asciiTheme="minorHAnsi" w:hAnsiTheme="minorHAnsi" w:cstheme="minorHAnsi"/>
          <w:sz w:val="24"/>
          <w:szCs w:val="24"/>
          <w:lang w:val="es-CR"/>
        </w:rPr>
        <w:t xml:space="preserve"> de </w:t>
      </w:r>
      <w:r w:rsidR="00B274DE" w:rsidRPr="0023319B">
        <w:rPr>
          <w:rFonts w:asciiTheme="minorHAnsi" w:hAnsiTheme="minorHAnsi" w:cstheme="minorHAnsi"/>
          <w:sz w:val="24"/>
          <w:szCs w:val="24"/>
          <w:lang w:val="es-CR"/>
        </w:rPr>
        <w:t>diciembre</w:t>
      </w:r>
      <w:r w:rsidRPr="0023319B">
        <w:rPr>
          <w:rFonts w:asciiTheme="minorHAnsi" w:hAnsiTheme="minorHAnsi" w:cstheme="minorHAnsi"/>
          <w:sz w:val="24"/>
          <w:szCs w:val="24"/>
          <w:lang w:val="es-CR"/>
        </w:rPr>
        <w:t xml:space="preserve"> de 20</w:t>
      </w:r>
      <w:r w:rsidR="007E70A2" w:rsidRPr="0023319B">
        <w:rPr>
          <w:rFonts w:asciiTheme="minorHAnsi" w:hAnsiTheme="minorHAnsi" w:cstheme="minorHAnsi"/>
          <w:sz w:val="24"/>
          <w:szCs w:val="24"/>
          <w:lang w:val="es-CR"/>
        </w:rPr>
        <w:t>20</w:t>
      </w:r>
      <w:r w:rsidRPr="0023319B">
        <w:rPr>
          <w:rFonts w:asciiTheme="minorHAnsi" w:hAnsiTheme="minorHAnsi" w:cstheme="minorHAnsi"/>
          <w:sz w:val="24"/>
          <w:szCs w:val="24"/>
          <w:lang w:val="es-CR"/>
        </w:rPr>
        <w:t xml:space="preserve">, la cuenta “Remuneraciones” alcanzó un nivel de ejecución de </w:t>
      </w:r>
      <w:r w:rsidR="00EE6F94" w:rsidRPr="0023319B">
        <w:rPr>
          <w:rFonts w:asciiTheme="minorHAnsi" w:hAnsiTheme="minorHAnsi" w:cstheme="minorHAnsi"/>
          <w:sz w:val="24"/>
          <w:szCs w:val="24"/>
          <w:lang w:val="es-CR"/>
        </w:rPr>
        <w:t>2 513,1</w:t>
      </w:r>
      <w:r w:rsidR="00111D35" w:rsidRPr="0023319B">
        <w:rPr>
          <w:rFonts w:asciiTheme="minorHAnsi" w:hAnsiTheme="minorHAnsi" w:cstheme="minorHAnsi"/>
          <w:sz w:val="24"/>
          <w:szCs w:val="24"/>
          <w:lang w:val="es-CR"/>
        </w:rPr>
        <w:t xml:space="preserve"> </w:t>
      </w:r>
      <w:r w:rsidRPr="0023319B">
        <w:rPr>
          <w:rFonts w:asciiTheme="minorHAnsi" w:hAnsiTheme="minorHAnsi" w:cstheme="minorHAnsi"/>
          <w:sz w:val="24"/>
          <w:szCs w:val="24"/>
          <w:lang w:val="es-CR"/>
        </w:rPr>
        <w:t>millones de colones</w:t>
      </w:r>
      <w:r w:rsidR="00B645E8" w:rsidRPr="0023319B">
        <w:rPr>
          <w:rFonts w:asciiTheme="minorHAnsi" w:hAnsiTheme="minorHAnsi" w:cstheme="minorHAnsi"/>
          <w:sz w:val="24"/>
          <w:szCs w:val="24"/>
          <w:lang w:val="es-CR"/>
        </w:rPr>
        <w:t xml:space="preserve">, </w:t>
      </w:r>
      <w:r w:rsidRPr="0023319B">
        <w:rPr>
          <w:rFonts w:asciiTheme="minorHAnsi" w:hAnsiTheme="minorHAnsi" w:cstheme="minorHAnsi"/>
          <w:sz w:val="24"/>
          <w:szCs w:val="24"/>
          <w:lang w:val="es-CR"/>
        </w:rPr>
        <w:t xml:space="preserve">lo que representa un </w:t>
      </w:r>
      <w:r w:rsidR="00EE6F94" w:rsidRPr="0023319B">
        <w:rPr>
          <w:rFonts w:asciiTheme="minorHAnsi" w:hAnsiTheme="minorHAnsi" w:cstheme="minorHAnsi"/>
          <w:sz w:val="24"/>
          <w:szCs w:val="24"/>
          <w:lang w:val="es-CR"/>
        </w:rPr>
        <w:t>8</w:t>
      </w:r>
      <w:r w:rsidR="00D82707" w:rsidRPr="0023319B">
        <w:rPr>
          <w:rFonts w:asciiTheme="minorHAnsi" w:hAnsiTheme="minorHAnsi" w:cstheme="minorHAnsi"/>
          <w:sz w:val="24"/>
          <w:szCs w:val="24"/>
          <w:lang w:val="es-CR"/>
        </w:rPr>
        <w:t>3</w:t>
      </w:r>
      <w:r w:rsidRPr="0023319B">
        <w:rPr>
          <w:rFonts w:asciiTheme="minorHAnsi" w:hAnsiTheme="minorHAnsi" w:cstheme="minorHAnsi"/>
          <w:sz w:val="24"/>
          <w:szCs w:val="24"/>
          <w:lang w:val="es-CR"/>
        </w:rPr>
        <w:t>% del total del presupuesto asignado para esta partida.</w:t>
      </w:r>
    </w:p>
    <w:p w14:paraId="64DC751B" w14:textId="77777777" w:rsidR="00225437" w:rsidRPr="0023319B" w:rsidRDefault="00225437" w:rsidP="00093594">
      <w:pPr>
        <w:ind w:right="51"/>
        <w:rPr>
          <w:rFonts w:asciiTheme="minorHAnsi" w:hAnsiTheme="minorHAnsi" w:cstheme="minorHAnsi"/>
          <w:sz w:val="24"/>
          <w:szCs w:val="24"/>
          <w:lang w:val="es-CR"/>
        </w:rPr>
      </w:pPr>
    </w:p>
    <w:p w14:paraId="001F27C9" w14:textId="72D4D021" w:rsidR="008355EC" w:rsidRPr="0023319B" w:rsidRDefault="00225437" w:rsidP="00093594">
      <w:pPr>
        <w:ind w:right="51"/>
        <w:rPr>
          <w:rFonts w:asciiTheme="minorHAnsi" w:hAnsiTheme="minorHAnsi" w:cstheme="minorHAnsi"/>
          <w:sz w:val="24"/>
          <w:szCs w:val="24"/>
          <w:lang w:val="es-CR"/>
        </w:rPr>
      </w:pPr>
      <w:r w:rsidRPr="0023319B">
        <w:rPr>
          <w:rFonts w:asciiTheme="minorHAnsi" w:hAnsiTheme="minorHAnsi" w:cstheme="minorHAnsi"/>
          <w:sz w:val="24"/>
          <w:szCs w:val="24"/>
          <w:lang w:val="es-CR"/>
        </w:rPr>
        <w:t xml:space="preserve">Este porcentaje de ejecución </w:t>
      </w:r>
      <w:r w:rsidR="00874335" w:rsidRPr="0023319B">
        <w:rPr>
          <w:rFonts w:asciiTheme="minorHAnsi" w:hAnsiTheme="minorHAnsi" w:cstheme="minorHAnsi"/>
          <w:sz w:val="24"/>
          <w:szCs w:val="24"/>
          <w:lang w:val="es-CR"/>
        </w:rPr>
        <w:t>es ra</w:t>
      </w:r>
      <w:r w:rsidR="00C564DE" w:rsidRPr="0023319B">
        <w:rPr>
          <w:rFonts w:asciiTheme="minorHAnsi" w:hAnsiTheme="minorHAnsi" w:cstheme="minorHAnsi"/>
          <w:sz w:val="24"/>
          <w:szCs w:val="24"/>
          <w:lang w:val="es-CR"/>
        </w:rPr>
        <w:t>zonable</w:t>
      </w:r>
      <w:r w:rsidRPr="0023319B">
        <w:rPr>
          <w:rFonts w:asciiTheme="minorHAnsi" w:hAnsiTheme="minorHAnsi" w:cstheme="minorHAnsi"/>
          <w:sz w:val="24"/>
          <w:szCs w:val="24"/>
          <w:lang w:val="es-CR"/>
        </w:rPr>
        <w:t xml:space="preserve">, tomando en cuenta </w:t>
      </w:r>
      <w:r w:rsidR="007C274A" w:rsidRPr="0023319B">
        <w:rPr>
          <w:rFonts w:asciiTheme="minorHAnsi" w:hAnsiTheme="minorHAnsi" w:cstheme="minorHAnsi"/>
          <w:sz w:val="24"/>
          <w:szCs w:val="24"/>
          <w:lang w:val="es-CR"/>
        </w:rPr>
        <w:t>que a la fecha de este inf</w:t>
      </w:r>
      <w:r w:rsidR="00471167" w:rsidRPr="0023319B">
        <w:rPr>
          <w:rFonts w:asciiTheme="minorHAnsi" w:hAnsiTheme="minorHAnsi" w:cstheme="minorHAnsi"/>
          <w:sz w:val="24"/>
          <w:szCs w:val="24"/>
          <w:lang w:val="es-CR"/>
        </w:rPr>
        <w:t xml:space="preserve">orme </w:t>
      </w:r>
      <w:r w:rsidR="00C83BE2" w:rsidRPr="0023319B">
        <w:rPr>
          <w:rFonts w:asciiTheme="minorHAnsi" w:hAnsiTheme="minorHAnsi" w:cstheme="minorHAnsi"/>
          <w:sz w:val="24"/>
          <w:szCs w:val="24"/>
          <w:lang w:val="es-CR"/>
        </w:rPr>
        <w:t xml:space="preserve">la SUPEN </w:t>
      </w:r>
      <w:r w:rsidR="00704921" w:rsidRPr="0023319B">
        <w:rPr>
          <w:rFonts w:asciiTheme="minorHAnsi" w:hAnsiTheme="minorHAnsi" w:cstheme="minorHAnsi"/>
          <w:sz w:val="24"/>
          <w:szCs w:val="24"/>
          <w:lang w:val="es-CR"/>
        </w:rPr>
        <w:t>tenía</w:t>
      </w:r>
      <w:r w:rsidR="00C83BE2" w:rsidRPr="0023319B">
        <w:rPr>
          <w:rFonts w:asciiTheme="minorHAnsi" w:hAnsiTheme="minorHAnsi" w:cstheme="minorHAnsi"/>
          <w:sz w:val="24"/>
          <w:szCs w:val="24"/>
          <w:lang w:val="es-CR"/>
        </w:rPr>
        <w:t xml:space="preserve"> </w:t>
      </w:r>
      <w:r w:rsidR="00E05CEA" w:rsidRPr="0023319B">
        <w:rPr>
          <w:rFonts w:asciiTheme="minorHAnsi" w:hAnsiTheme="minorHAnsi" w:cstheme="minorHAnsi"/>
          <w:sz w:val="24"/>
          <w:szCs w:val="24"/>
          <w:lang w:val="es-CR"/>
        </w:rPr>
        <w:t>ocho</w:t>
      </w:r>
      <w:r w:rsidR="00BD5A29" w:rsidRPr="0023319B">
        <w:rPr>
          <w:rFonts w:asciiTheme="minorHAnsi" w:hAnsiTheme="minorHAnsi" w:cstheme="minorHAnsi"/>
          <w:sz w:val="24"/>
          <w:szCs w:val="24"/>
          <w:lang w:val="es-CR"/>
        </w:rPr>
        <w:t xml:space="preserve"> </w:t>
      </w:r>
      <w:r w:rsidR="00C83BE2" w:rsidRPr="0023319B">
        <w:rPr>
          <w:rFonts w:asciiTheme="minorHAnsi" w:hAnsiTheme="minorHAnsi" w:cstheme="minorHAnsi"/>
          <w:sz w:val="24"/>
          <w:szCs w:val="24"/>
          <w:lang w:val="es-CR"/>
        </w:rPr>
        <w:t>plazas vacantes</w:t>
      </w:r>
      <w:r w:rsidR="006244E0" w:rsidRPr="0023319B">
        <w:rPr>
          <w:rFonts w:asciiTheme="minorHAnsi" w:hAnsiTheme="minorHAnsi" w:cstheme="minorHAnsi"/>
          <w:sz w:val="24"/>
          <w:szCs w:val="24"/>
          <w:lang w:val="es-CR"/>
        </w:rPr>
        <w:t>.</w:t>
      </w:r>
    </w:p>
    <w:p w14:paraId="637C7D70" w14:textId="77777777" w:rsidR="00471167" w:rsidRPr="0023319B" w:rsidRDefault="00471167" w:rsidP="00093594">
      <w:pPr>
        <w:ind w:right="51"/>
        <w:rPr>
          <w:rFonts w:asciiTheme="minorHAnsi" w:hAnsiTheme="minorHAnsi" w:cstheme="minorHAnsi"/>
          <w:sz w:val="24"/>
          <w:szCs w:val="24"/>
          <w:lang w:val="es-CR"/>
        </w:rPr>
      </w:pPr>
    </w:p>
    <w:p w14:paraId="64DC754E" w14:textId="30DB9AB0" w:rsidR="00225437" w:rsidRPr="0023319B" w:rsidRDefault="000E5161" w:rsidP="00093594">
      <w:pPr>
        <w:ind w:right="51"/>
        <w:rPr>
          <w:rFonts w:asciiTheme="minorHAnsi" w:hAnsiTheme="minorHAnsi" w:cstheme="minorHAnsi"/>
          <w:sz w:val="24"/>
          <w:szCs w:val="24"/>
          <w:lang w:val="es-CR"/>
        </w:rPr>
      </w:pPr>
      <w:r w:rsidRPr="0023319B">
        <w:rPr>
          <w:rFonts w:asciiTheme="minorHAnsi" w:hAnsiTheme="minorHAnsi" w:cstheme="minorHAnsi"/>
          <w:sz w:val="24"/>
          <w:szCs w:val="24"/>
          <w:lang w:val="es-CR"/>
        </w:rPr>
        <w:t>Como información adicional</w:t>
      </w:r>
      <w:r w:rsidR="00170C02" w:rsidRPr="0023319B">
        <w:rPr>
          <w:rFonts w:asciiTheme="minorHAnsi" w:hAnsiTheme="minorHAnsi" w:cstheme="minorHAnsi"/>
          <w:sz w:val="24"/>
          <w:szCs w:val="24"/>
          <w:lang w:val="es-CR"/>
        </w:rPr>
        <w:t xml:space="preserve"> se indica que</w:t>
      </w:r>
      <w:r w:rsidR="00225437" w:rsidRPr="0023319B">
        <w:rPr>
          <w:rFonts w:asciiTheme="minorHAnsi" w:hAnsiTheme="minorHAnsi" w:cstheme="minorHAnsi"/>
          <w:sz w:val="24"/>
          <w:szCs w:val="24"/>
          <w:lang w:val="es-CR"/>
        </w:rPr>
        <w:t>, la cuenta Remuneraciones está conformada principalmente por los rubros relac</w:t>
      </w:r>
      <w:r w:rsidR="00AC7DE6" w:rsidRPr="0023319B">
        <w:rPr>
          <w:rFonts w:asciiTheme="minorHAnsi" w:hAnsiTheme="minorHAnsi" w:cstheme="minorHAnsi"/>
          <w:sz w:val="24"/>
          <w:szCs w:val="24"/>
          <w:lang w:val="es-CR"/>
        </w:rPr>
        <w:t>ionados con “Planilla y Cargas S</w:t>
      </w:r>
      <w:r w:rsidR="00225437" w:rsidRPr="0023319B">
        <w:rPr>
          <w:rFonts w:asciiTheme="minorHAnsi" w:hAnsiTheme="minorHAnsi" w:cstheme="minorHAnsi"/>
          <w:sz w:val="24"/>
          <w:szCs w:val="24"/>
          <w:lang w:val="es-CR"/>
        </w:rPr>
        <w:t>ociales”</w:t>
      </w:r>
      <w:r w:rsidR="00225437" w:rsidRPr="0023319B">
        <w:rPr>
          <w:rFonts w:asciiTheme="minorHAnsi" w:hAnsiTheme="minorHAnsi" w:cstheme="minorHAnsi"/>
          <w:sz w:val="24"/>
          <w:szCs w:val="24"/>
          <w:vertAlign w:val="superscript"/>
          <w:lang w:val="es-CR"/>
        </w:rPr>
        <w:footnoteReference w:id="2"/>
      </w:r>
      <w:r w:rsidR="00225437" w:rsidRPr="0023319B">
        <w:rPr>
          <w:rFonts w:asciiTheme="minorHAnsi" w:hAnsiTheme="minorHAnsi" w:cstheme="minorHAnsi"/>
          <w:sz w:val="24"/>
          <w:szCs w:val="24"/>
          <w:lang w:val="es-CR"/>
        </w:rPr>
        <w:t>, y “Otras Remuneraciones”</w:t>
      </w:r>
      <w:r w:rsidR="00225437" w:rsidRPr="0023319B">
        <w:rPr>
          <w:rFonts w:asciiTheme="minorHAnsi" w:hAnsiTheme="minorHAnsi" w:cstheme="minorHAnsi"/>
          <w:sz w:val="24"/>
          <w:szCs w:val="24"/>
          <w:vertAlign w:val="superscript"/>
          <w:lang w:val="es-CR"/>
        </w:rPr>
        <w:footnoteReference w:id="3"/>
      </w:r>
      <w:r w:rsidR="00225437" w:rsidRPr="0023319B">
        <w:rPr>
          <w:rFonts w:asciiTheme="minorHAnsi" w:hAnsiTheme="minorHAnsi" w:cstheme="minorHAnsi"/>
          <w:sz w:val="24"/>
          <w:szCs w:val="24"/>
          <w:lang w:val="es-CR"/>
        </w:rPr>
        <w:t>.</w:t>
      </w:r>
    </w:p>
    <w:p w14:paraId="4FD32E90" w14:textId="77777777" w:rsidR="00F6030A" w:rsidRPr="0023319B" w:rsidRDefault="00F6030A" w:rsidP="00093594">
      <w:pPr>
        <w:ind w:right="51"/>
        <w:rPr>
          <w:rFonts w:asciiTheme="minorHAnsi" w:hAnsiTheme="minorHAnsi" w:cstheme="minorHAnsi"/>
          <w:b/>
          <w:sz w:val="24"/>
          <w:szCs w:val="24"/>
          <w:lang w:val="es-CR"/>
        </w:rPr>
      </w:pPr>
    </w:p>
    <w:p w14:paraId="0F380C91" w14:textId="77777777" w:rsidR="00FB4948" w:rsidRPr="0023319B" w:rsidRDefault="00225437" w:rsidP="00093594">
      <w:pPr>
        <w:ind w:right="51"/>
        <w:rPr>
          <w:rFonts w:asciiTheme="minorHAnsi" w:hAnsiTheme="minorHAnsi" w:cstheme="minorHAnsi"/>
          <w:b/>
          <w:sz w:val="24"/>
          <w:szCs w:val="24"/>
          <w:lang w:val="es-CR"/>
        </w:rPr>
      </w:pPr>
      <w:r w:rsidRPr="0023319B">
        <w:rPr>
          <w:rFonts w:asciiTheme="minorHAnsi" w:hAnsiTheme="minorHAnsi" w:cstheme="minorHAnsi"/>
          <w:b/>
          <w:sz w:val="24"/>
          <w:szCs w:val="24"/>
          <w:lang w:val="es-CR"/>
        </w:rPr>
        <w:t xml:space="preserve">Planilla y </w:t>
      </w:r>
      <w:r w:rsidR="00240B0C" w:rsidRPr="0023319B">
        <w:rPr>
          <w:rFonts w:asciiTheme="minorHAnsi" w:hAnsiTheme="minorHAnsi" w:cstheme="minorHAnsi"/>
          <w:b/>
          <w:sz w:val="24"/>
          <w:szCs w:val="24"/>
          <w:lang w:val="es-CR"/>
        </w:rPr>
        <w:t>Cargas S</w:t>
      </w:r>
      <w:r w:rsidRPr="0023319B">
        <w:rPr>
          <w:rFonts w:asciiTheme="minorHAnsi" w:hAnsiTheme="minorHAnsi" w:cstheme="minorHAnsi"/>
          <w:b/>
          <w:sz w:val="24"/>
          <w:szCs w:val="24"/>
          <w:lang w:val="es-CR"/>
        </w:rPr>
        <w:t>ociales:</w:t>
      </w:r>
    </w:p>
    <w:p w14:paraId="231CC193" w14:textId="77777777" w:rsidR="00682677" w:rsidRPr="0023319B" w:rsidRDefault="00682677" w:rsidP="00093594">
      <w:pPr>
        <w:ind w:right="51"/>
        <w:rPr>
          <w:rFonts w:asciiTheme="minorHAnsi" w:hAnsiTheme="minorHAnsi" w:cstheme="minorHAnsi"/>
          <w:sz w:val="24"/>
          <w:szCs w:val="24"/>
          <w:lang w:val="es-CR"/>
        </w:rPr>
      </w:pPr>
    </w:p>
    <w:p w14:paraId="64DC7552" w14:textId="2953334F" w:rsidR="00225437" w:rsidRPr="0023319B" w:rsidRDefault="00225437" w:rsidP="00093594">
      <w:pPr>
        <w:ind w:right="51"/>
        <w:rPr>
          <w:rFonts w:asciiTheme="minorHAnsi" w:hAnsiTheme="minorHAnsi" w:cstheme="minorHAnsi"/>
          <w:b/>
          <w:sz w:val="24"/>
          <w:szCs w:val="24"/>
          <w:lang w:val="es-CR"/>
        </w:rPr>
      </w:pPr>
      <w:r w:rsidRPr="0023319B">
        <w:rPr>
          <w:rFonts w:asciiTheme="minorHAnsi" w:hAnsiTheme="minorHAnsi" w:cstheme="minorHAnsi"/>
          <w:sz w:val="24"/>
          <w:szCs w:val="24"/>
          <w:lang w:val="es-CR"/>
        </w:rPr>
        <w:t xml:space="preserve">En lo que respecta específicamente a la cuenta “Planilla y Cargas Sociales” se refleja una ejecución de </w:t>
      </w:r>
      <w:r w:rsidR="00216F0C" w:rsidRPr="0023319B">
        <w:rPr>
          <w:rFonts w:asciiTheme="minorHAnsi" w:hAnsiTheme="minorHAnsi" w:cstheme="minorHAnsi"/>
          <w:sz w:val="24"/>
          <w:szCs w:val="24"/>
          <w:lang w:val="es-CR"/>
        </w:rPr>
        <w:t>8</w:t>
      </w:r>
      <w:r w:rsidR="004E3CAA" w:rsidRPr="0023319B">
        <w:rPr>
          <w:rFonts w:asciiTheme="minorHAnsi" w:hAnsiTheme="minorHAnsi" w:cstheme="minorHAnsi"/>
          <w:sz w:val="24"/>
          <w:szCs w:val="24"/>
          <w:lang w:val="es-CR"/>
        </w:rPr>
        <w:t>3</w:t>
      </w:r>
      <w:r w:rsidRPr="0023319B">
        <w:rPr>
          <w:rFonts w:asciiTheme="minorHAnsi" w:hAnsiTheme="minorHAnsi" w:cstheme="minorHAnsi"/>
          <w:sz w:val="24"/>
          <w:szCs w:val="24"/>
          <w:lang w:val="es-CR"/>
        </w:rPr>
        <w:t>%, del presupuesto destinado para este rubro.</w:t>
      </w:r>
      <w:r w:rsidR="008516DC" w:rsidRPr="0023319B">
        <w:rPr>
          <w:rFonts w:asciiTheme="minorHAnsi" w:hAnsiTheme="minorHAnsi" w:cstheme="minorHAnsi"/>
          <w:sz w:val="24"/>
          <w:szCs w:val="24"/>
          <w:lang w:val="es-CR"/>
        </w:rPr>
        <w:t xml:space="preserve"> </w:t>
      </w:r>
    </w:p>
    <w:p w14:paraId="64DC7553" w14:textId="77777777" w:rsidR="00225437" w:rsidRPr="0023319B" w:rsidRDefault="00225437" w:rsidP="00093594">
      <w:pPr>
        <w:ind w:right="51"/>
        <w:rPr>
          <w:rFonts w:asciiTheme="minorHAnsi" w:hAnsiTheme="minorHAnsi" w:cstheme="minorHAnsi"/>
          <w:sz w:val="24"/>
          <w:szCs w:val="24"/>
          <w:lang w:val="es-CR"/>
        </w:rPr>
      </w:pPr>
    </w:p>
    <w:p w14:paraId="64DC7554" w14:textId="77777777" w:rsidR="00225437" w:rsidRPr="0023319B" w:rsidRDefault="00225437" w:rsidP="00093594">
      <w:pPr>
        <w:tabs>
          <w:tab w:val="left" w:pos="8505"/>
        </w:tabs>
        <w:ind w:right="51"/>
        <w:rPr>
          <w:rFonts w:asciiTheme="minorHAnsi" w:hAnsiTheme="minorHAnsi" w:cstheme="minorHAnsi"/>
          <w:b/>
          <w:sz w:val="24"/>
          <w:szCs w:val="24"/>
          <w:lang w:val="es-CR"/>
        </w:rPr>
      </w:pPr>
      <w:r w:rsidRPr="0023319B">
        <w:rPr>
          <w:rFonts w:asciiTheme="minorHAnsi" w:hAnsiTheme="minorHAnsi" w:cstheme="minorHAnsi"/>
          <w:b/>
          <w:sz w:val="24"/>
          <w:szCs w:val="24"/>
          <w:lang w:val="es-CR"/>
        </w:rPr>
        <w:t>Otros Servicios Personales:</w:t>
      </w:r>
    </w:p>
    <w:p w14:paraId="7DD734A9" w14:textId="77777777" w:rsidR="00682677" w:rsidRPr="0023319B" w:rsidRDefault="00682677" w:rsidP="00093594">
      <w:pPr>
        <w:ind w:right="51"/>
        <w:rPr>
          <w:rFonts w:asciiTheme="minorHAnsi" w:hAnsiTheme="minorHAnsi" w:cstheme="minorHAnsi"/>
          <w:sz w:val="24"/>
          <w:szCs w:val="24"/>
          <w:lang w:val="es-CR"/>
        </w:rPr>
      </w:pPr>
    </w:p>
    <w:p w14:paraId="64DC7556" w14:textId="2A5D0993" w:rsidR="00225437" w:rsidRPr="0023319B" w:rsidRDefault="00225437" w:rsidP="00093594">
      <w:pPr>
        <w:ind w:right="51"/>
        <w:rPr>
          <w:rFonts w:asciiTheme="minorHAnsi" w:hAnsiTheme="minorHAnsi" w:cstheme="minorHAnsi"/>
          <w:sz w:val="24"/>
          <w:szCs w:val="24"/>
          <w:lang w:val="es-CR"/>
        </w:rPr>
      </w:pPr>
      <w:r w:rsidRPr="0023319B">
        <w:rPr>
          <w:rFonts w:asciiTheme="minorHAnsi" w:hAnsiTheme="minorHAnsi" w:cstheme="minorHAnsi"/>
          <w:sz w:val="24"/>
          <w:szCs w:val="24"/>
          <w:lang w:val="es-CR"/>
        </w:rPr>
        <w:t xml:space="preserve">El rubro denominado “Otros Servicios Personales” mostró al final </w:t>
      </w:r>
      <w:r w:rsidR="007C2142" w:rsidRPr="0023319B">
        <w:rPr>
          <w:rFonts w:asciiTheme="minorHAnsi" w:hAnsiTheme="minorHAnsi" w:cstheme="minorHAnsi"/>
          <w:sz w:val="24"/>
          <w:szCs w:val="24"/>
          <w:lang w:val="es-CR"/>
        </w:rPr>
        <w:t xml:space="preserve">del período, </w:t>
      </w:r>
      <w:r w:rsidRPr="0023319B">
        <w:rPr>
          <w:rFonts w:asciiTheme="minorHAnsi" w:hAnsiTheme="minorHAnsi" w:cstheme="minorHAnsi"/>
          <w:sz w:val="24"/>
          <w:szCs w:val="24"/>
          <w:lang w:val="es-CR"/>
        </w:rPr>
        <w:t>una ejecución general de</w:t>
      </w:r>
      <w:r w:rsidR="00986102" w:rsidRPr="0023319B">
        <w:rPr>
          <w:rFonts w:asciiTheme="minorHAnsi" w:hAnsiTheme="minorHAnsi" w:cstheme="minorHAnsi"/>
          <w:sz w:val="24"/>
          <w:szCs w:val="24"/>
          <w:lang w:val="es-CR"/>
        </w:rPr>
        <w:t>l</w:t>
      </w:r>
      <w:r w:rsidRPr="0023319B">
        <w:rPr>
          <w:rFonts w:asciiTheme="minorHAnsi" w:hAnsiTheme="minorHAnsi" w:cstheme="minorHAnsi"/>
          <w:sz w:val="24"/>
          <w:szCs w:val="24"/>
          <w:lang w:val="es-CR"/>
        </w:rPr>
        <w:t xml:space="preserve"> </w:t>
      </w:r>
      <w:r w:rsidR="00FE2A8E" w:rsidRPr="0023319B">
        <w:rPr>
          <w:rFonts w:asciiTheme="minorHAnsi" w:hAnsiTheme="minorHAnsi" w:cstheme="minorHAnsi"/>
          <w:sz w:val="24"/>
          <w:szCs w:val="24"/>
          <w:lang w:val="es-CR"/>
        </w:rPr>
        <w:t>93</w:t>
      </w:r>
      <w:r w:rsidRPr="0023319B">
        <w:rPr>
          <w:rFonts w:asciiTheme="minorHAnsi" w:hAnsiTheme="minorHAnsi" w:cstheme="minorHAnsi"/>
          <w:sz w:val="24"/>
          <w:szCs w:val="24"/>
          <w:lang w:val="es-CR"/>
        </w:rPr>
        <w:t>%. Específicamente</w:t>
      </w:r>
      <w:r w:rsidR="006B7BDE" w:rsidRPr="0023319B">
        <w:rPr>
          <w:rFonts w:asciiTheme="minorHAnsi" w:hAnsiTheme="minorHAnsi" w:cstheme="minorHAnsi"/>
          <w:sz w:val="24"/>
          <w:szCs w:val="24"/>
          <w:lang w:val="es-CR"/>
        </w:rPr>
        <w:t xml:space="preserve">, la cuenta correspondiente </w:t>
      </w:r>
      <w:r w:rsidR="00A51474" w:rsidRPr="0023319B">
        <w:rPr>
          <w:rFonts w:asciiTheme="minorHAnsi" w:hAnsiTheme="minorHAnsi" w:cstheme="minorHAnsi"/>
          <w:sz w:val="24"/>
          <w:szCs w:val="24"/>
          <w:lang w:val="es-CR"/>
        </w:rPr>
        <w:t>a</w:t>
      </w:r>
      <w:r w:rsidR="006B7BDE" w:rsidRPr="0023319B">
        <w:rPr>
          <w:rFonts w:asciiTheme="minorHAnsi" w:hAnsiTheme="minorHAnsi" w:cstheme="minorHAnsi"/>
          <w:sz w:val="24"/>
          <w:szCs w:val="24"/>
          <w:lang w:val="es-CR"/>
        </w:rPr>
        <w:t xml:space="preserve">l pago de “Recargos o Sustituciones” presenta una ejecución del </w:t>
      </w:r>
      <w:r w:rsidR="00FE2A8E" w:rsidRPr="0023319B">
        <w:rPr>
          <w:rFonts w:asciiTheme="minorHAnsi" w:hAnsiTheme="minorHAnsi" w:cstheme="minorHAnsi"/>
          <w:sz w:val="24"/>
          <w:szCs w:val="24"/>
          <w:lang w:val="es-CR"/>
        </w:rPr>
        <w:t>93</w:t>
      </w:r>
      <w:r w:rsidR="006B7BDE" w:rsidRPr="0023319B">
        <w:rPr>
          <w:rFonts w:asciiTheme="minorHAnsi" w:hAnsiTheme="minorHAnsi" w:cstheme="minorHAnsi"/>
          <w:sz w:val="24"/>
          <w:szCs w:val="24"/>
          <w:lang w:val="es-CR"/>
        </w:rPr>
        <w:t>%</w:t>
      </w:r>
      <w:r w:rsidR="001D793E" w:rsidRPr="0023319B">
        <w:rPr>
          <w:rFonts w:asciiTheme="minorHAnsi" w:hAnsiTheme="minorHAnsi" w:cstheme="minorHAnsi"/>
          <w:sz w:val="24"/>
          <w:szCs w:val="24"/>
          <w:lang w:val="es-CR"/>
        </w:rPr>
        <w:t xml:space="preserve">, </w:t>
      </w:r>
      <w:r w:rsidR="00D81D27" w:rsidRPr="0023319B">
        <w:rPr>
          <w:rFonts w:asciiTheme="minorHAnsi" w:hAnsiTheme="minorHAnsi" w:cstheme="minorHAnsi"/>
          <w:sz w:val="24"/>
          <w:szCs w:val="24"/>
          <w:lang w:val="es-CR"/>
        </w:rPr>
        <w:t xml:space="preserve">por un total de </w:t>
      </w:r>
      <w:r w:rsidR="00225AB4" w:rsidRPr="0023319B">
        <w:rPr>
          <w:rFonts w:asciiTheme="minorHAnsi" w:hAnsiTheme="minorHAnsi" w:cstheme="minorHAnsi"/>
          <w:sz w:val="24"/>
          <w:szCs w:val="24"/>
          <w:lang w:val="es-CR"/>
        </w:rPr>
        <w:t>43,9</w:t>
      </w:r>
      <w:r w:rsidR="00D81D27" w:rsidRPr="0023319B">
        <w:rPr>
          <w:rFonts w:asciiTheme="minorHAnsi" w:hAnsiTheme="minorHAnsi" w:cstheme="minorHAnsi"/>
          <w:sz w:val="24"/>
          <w:szCs w:val="24"/>
          <w:lang w:val="es-CR"/>
        </w:rPr>
        <w:t xml:space="preserve"> millones de colones</w:t>
      </w:r>
      <w:r w:rsidR="006B7BDE" w:rsidRPr="0023319B">
        <w:rPr>
          <w:rFonts w:asciiTheme="minorHAnsi" w:hAnsiTheme="minorHAnsi" w:cstheme="minorHAnsi"/>
          <w:sz w:val="24"/>
          <w:szCs w:val="24"/>
          <w:lang w:val="es-CR"/>
        </w:rPr>
        <w:t>. L</w:t>
      </w:r>
      <w:r w:rsidRPr="0023319B">
        <w:rPr>
          <w:rFonts w:asciiTheme="minorHAnsi" w:hAnsiTheme="minorHAnsi" w:cstheme="minorHAnsi"/>
          <w:sz w:val="24"/>
          <w:szCs w:val="24"/>
          <w:lang w:val="es-CR"/>
        </w:rPr>
        <w:t xml:space="preserve">a cuenta 0 02 01 “Tiempo Extraordinario” refleja una ejecución del </w:t>
      </w:r>
      <w:r w:rsidR="00225AB4" w:rsidRPr="0023319B">
        <w:rPr>
          <w:rFonts w:asciiTheme="minorHAnsi" w:hAnsiTheme="minorHAnsi" w:cstheme="minorHAnsi"/>
          <w:sz w:val="24"/>
          <w:szCs w:val="24"/>
          <w:lang w:val="es-CR"/>
        </w:rPr>
        <w:t>100</w:t>
      </w:r>
      <w:r w:rsidRPr="0023319B">
        <w:rPr>
          <w:rFonts w:asciiTheme="minorHAnsi" w:hAnsiTheme="minorHAnsi" w:cstheme="minorHAnsi"/>
          <w:sz w:val="24"/>
          <w:szCs w:val="24"/>
          <w:lang w:val="es-CR"/>
        </w:rPr>
        <w:t>%</w:t>
      </w:r>
      <w:r w:rsidR="005F19D1" w:rsidRPr="0023319B">
        <w:rPr>
          <w:rFonts w:asciiTheme="minorHAnsi" w:hAnsiTheme="minorHAnsi" w:cstheme="minorHAnsi"/>
          <w:sz w:val="24"/>
          <w:szCs w:val="24"/>
          <w:lang w:val="es-CR"/>
        </w:rPr>
        <w:t xml:space="preserve"> </w:t>
      </w:r>
      <w:r w:rsidR="00405421" w:rsidRPr="0023319B">
        <w:rPr>
          <w:rFonts w:asciiTheme="minorHAnsi" w:hAnsiTheme="minorHAnsi" w:cstheme="minorHAnsi"/>
          <w:sz w:val="24"/>
          <w:szCs w:val="24"/>
          <w:lang w:val="es-CR"/>
        </w:rPr>
        <w:t xml:space="preserve">que </w:t>
      </w:r>
      <w:r w:rsidR="00C35B59" w:rsidRPr="0023319B">
        <w:rPr>
          <w:rFonts w:asciiTheme="minorHAnsi" w:hAnsiTheme="minorHAnsi" w:cstheme="minorHAnsi"/>
          <w:sz w:val="24"/>
          <w:szCs w:val="24"/>
          <w:lang w:val="es-CR"/>
        </w:rPr>
        <w:t>equivale</w:t>
      </w:r>
      <w:r w:rsidR="00405421" w:rsidRPr="0023319B">
        <w:rPr>
          <w:rFonts w:asciiTheme="minorHAnsi" w:hAnsiTheme="minorHAnsi" w:cstheme="minorHAnsi"/>
          <w:sz w:val="24"/>
          <w:szCs w:val="24"/>
          <w:lang w:val="es-CR"/>
        </w:rPr>
        <w:t xml:space="preserve"> la suma de </w:t>
      </w:r>
      <w:r w:rsidR="00225AB4" w:rsidRPr="0023319B">
        <w:rPr>
          <w:rFonts w:asciiTheme="minorHAnsi" w:hAnsiTheme="minorHAnsi" w:cstheme="minorHAnsi"/>
          <w:sz w:val="24"/>
          <w:szCs w:val="24"/>
          <w:lang w:val="es-CR"/>
        </w:rPr>
        <w:t>2</w:t>
      </w:r>
      <w:r w:rsidR="00F12F06" w:rsidRPr="0023319B">
        <w:rPr>
          <w:rFonts w:asciiTheme="minorHAnsi" w:hAnsiTheme="minorHAnsi" w:cstheme="minorHAnsi"/>
          <w:sz w:val="24"/>
          <w:szCs w:val="24"/>
          <w:lang w:val="es-CR"/>
        </w:rPr>
        <w:t>,</w:t>
      </w:r>
      <w:r w:rsidR="00CF10AE" w:rsidRPr="0023319B">
        <w:rPr>
          <w:rFonts w:asciiTheme="minorHAnsi" w:hAnsiTheme="minorHAnsi" w:cstheme="minorHAnsi"/>
          <w:sz w:val="24"/>
          <w:szCs w:val="24"/>
          <w:lang w:val="es-CR"/>
        </w:rPr>
        <w:t>5</w:t>
      </w:r>
      <w:r w:rsidR="00405421" w:rsidRPr="0023319B">
        <w:rPr>
          <w:rFonts w:asciiTheme="minorHAnsi" w:hAnsiTheme="minorHAnsi" w:cstheme="minorHAnsi"/>
          <w:sz w:val="24"/>
          <w:szCs w:val="24"/>
          <w:lang w:val="es-CR"/>
        </w:rPr>
        <w:t xml:space="preserve"> millones de colones,</w:t>
      </w:r>
      <w:r w:rsidR="005F19D1" w:rsidRPr="0023319B">
        <w:rPr>
          <w:rFonts w:asciiTheme="minorHAnsi" w:hAnsiTheme="minorHAnsi" w:cstheme="minorHAnsi"/>
          <w:sz w:val="24"/>
          <w:szCs w:val="24"/>
          <w:lang w:val="es-CR"/>
        </w:rPr>
        <w:t xml:space="preserve"> </w:t>
      </w:r>
      <w:r w:rsidR="00150AA5" w:rsidRPr="0023319B">
        <w:rPr>
          <w:rFonts w:asciiTheme="minorHAnsi" w:hAnsiTheme="minorHAnsi" w:cstheme="minorHAnsi"/>
          <w:sz w:val="24"/>
          <w:szCs w:val="24"/>
          <w:lang w:val="es-CR"/>
        </w:rPr>
        <w:t>este pago</w:t>
      </w:r>
      <w:r w:rsidR="00775E02" w:rsidRPr="0023319B">
        <w:rPr>
          <w:rFonts w:asciiTheme="minorHAnsi" w:hAnsiTheme="minorHAnsi" w:cstheme="minorHAnsi"/>
          <w:sz w:val="24"/>
          <w:szCs w:val="24"/>
          <w:lang w:val="es-CR"/>
        </w:rPr>
        <w:t xml:space="preserve"> </w:t>
      </w:r>
      <w:r w:rsidR="005F19D1" w:rsidRPr="0023319B">
        <w:rPr>
          <w:rFonts w:asciiTheme="minorHAnsi" w:hAnsiTheme="minorHAnsi" w:cstheme="minorHAnsi"/>
          <w:sz w:val="24"/>
          <w:szCs w:val="24"/>
          <w:lang w:val="es-CR"/>
        </w:rPr>
        <w:t xml:space="preserve">obedece a </w:t>
      </w:r>
      <w:r w:rsidR="00D83DD1" w:rsidRPr="0023319B">
        <w:rPr>
          <w:rFonts w:asciiTheme="minorHAnsi" w:hAnsiTheme="minorHAnsi" w:cstheme="minorHAnsi"/>
          <w:sz w:val="24"/>
          <w:szCs w:val="24"/>
          <w:lang w:val="es-CR"/>
        </w:rPr>
        <w:t>erogaciones</w:t>
      </w:r>
      <w:r w:rsidR="005F19D1" w:rsidRPr="0023319B">
        <w:rPr>
          <w:rFonts w:asciiTheme="minorHAnsi" w:hAnsiTheme="minorHAnsi" w:cstheme="minorHAnsi"/>
          <w:sz w:val="24"/>
          <w:szCs w:val="24"/>
          <w:lang w:val="es-CR"/>
        </w:rPr>
        <w:t xml:space="preserve"> por trabajos ocasiones y estrictamente necesarios</w:t>
      </w:r>
      <w:r w:rsidR="00297DD3" w:rsidRPr="0023319B">
        <w:rPr>
          <w:rFonts w:asciiTheme="minorHAnsi" w:hAnsiTheme="minorHAnsi" w:cstheme="minorHAnsi"/>
          <w:sz w:val="24"/>
          <w:szCs w:val="24"/>
          <w:lang w:val="es-CR"/>
        </w:rPr>
        <w:t>, para la atención del Despacho</w:t>
      </w:r>
      <w:r w:rsidRPr="0023319B">
        <w:rPr>
          <w:rFonts w:asciiTheme="minorHAnsi" w:hAnsiTheme="minorHAnsi" w:cstheme="minorHAnsi"/>
          <w:sz w:val="24"/>
          <w:szCs w:val="24"/>
          <w:lang w:val="es-CR"/>
        </w:rPr>
        <w:t>.</w:t>
      </w:r>
    </w:p>
    <w:p w14:paraId="64DC7557" w14:textId="77777777" w:rsidR="00225437" w:rsidRPr="0023319B" w:rsidRDefault="00225437" w:rsidP="00093594">
      <w:pPr>
        <w:ind w:right="51"/>
        <w:rPr>
          <w:rFonts w:asciiTheme="minorHAnsi" w:hAnsiTheme="minorHAnsi" w:cstheme="minorHAnsi"/>
          <w:sz w:val="18"/>
          <w:szCs w:val="24"/>
          <w:lang w:val="es-CR"/>
        </w:rPr>
      </w:pPr>
    </w:p>
    <w:p w14:paraId="0D8FF430" w14:textId="39DBCE31" w:rsidR="007F6F80" w:rsidRPr="0023319B" w:rsidRDefault="00DE1C34" w:rsidP="00093594">
      <w:pPr>
        <w:ind w:right="51"/>
        <w:rPr>
          <w:rFonts w:asciiTheme="minorHAnsi" w:hAnsiTheme="minorHAnsi" w:cstheme="minorHAnsi"/>
          <w:sz w:val="24"/>
          <w:szCs w:val="24"/>
          <w:lang w:val="es-CR"/>
        </w:rPr>
      </w:pPr>
      <w:r w:rsidRPr="0023319B">
        <w:rPr>
          <w:rFonts w:asciiTheme="minorHAnsi" w:hAnsiTheme="minorHAnsi" w:cstheme="minorHAnsi"/>
          <w:sz w:val="24"/>
          <w:szCs w:val="24"/>
          <w:lang w:val="es-CR"/>
        </w:rPr>
        <w:t xml:space="preserve">La siguiente tabla </w:t>
      </w:r>
      <w:r w:rsidR="000F7035" w:rsidRPr="0023319B">
        <w:rPr>
          <w:rFonts w:asciiTheme="minorHAnsi" w:hAnsiTheme="minorHAnsi" w:cstheme="minorHAnsi"/>
          <w:sz w:val="24"/>
          <w:szCs w:val="24"/>
          <w:lang w:val="es-CR"/>
        </w:rPr>
        <w:t>presenta</w:t>
      </w:r>
      <w:r w:rsidR="00691BD9" w:rsidRPr="0023319B">
        <w:rPr>
          <w:rFonts w:asciiTheme="minorHAnsi" w:hAnsiTheme="minorHAnsi" w:cstheme="minorHAnsi"/>
          <w:sz w:val="24"/>
          <w:szCs w:val="24"/>
          <w:lang w:val="es-CR"/>
        </w:rPr>
        <w:t xml:space="preserve"> el resumen general de </w:t>
      </w:r>
      <w:r w:rsidR="00282FE0" w:rsidRPr="0023319B">
        <w:rPr>
          <w:rFonts w:asciiTheme="minorHAnsi" w:hAnsiTheme="minorHAnsi" w:cstheme="minorHAnsi"/>
          <w:sz w:val="24"/>
          <w:szCs w:val="24"/>
          <w:lang w:val="es-CR"/>
        </w:rPr>
        <w:t xml:space="preserve">la relación de </w:t>
      </w:r>
      <w:r w:rsidR="001230BD" w:rsidRPr="0023319B">
        <w:rPr>
          <w:rFonts w:asciiTheme="minorHAnsi" w:hAnsiTheme="minorHAnsi" w:cstheme="minorHAnsi"/>
          <w:sz w:val="24"/>
          <w:szCs w:val="24"/>
          <w:lang w:val="es-CR"/>
        </w:rPr>
        <w:t>plazas fijas</w:t>
      </w:r>
      <w:r w:rsidR="00282FE0" w:rsidRPr="0023319B">
        <w:rPr>
          <w:rFonts w:asciiTheme="minorHAnsi" w:hAnsiTheme="minorHAnsi" w:cstheme="minorHAnsi"/>
          <w:sz w:val="24"/>
          <w:szCs w:val="24"/>
          <w:lang w:val="es-CR"/>
        </w:rPr>
        <w:t xml:space="preserve"> que forman la estructura </w:t>
      </w:r>
      <w:r w:rsidR="00312184" w:rsidRPr="0023319B">
        <w:rPr>
          <w:rFonts w:asciiTheme="minorHAnsi" w:hAnsiTheme="minorHAnsi" w:cstheme="minorHAnsi"/>
          <w:sz w:val="24"/>
          <w:szCs w:val="24"/>
          <w:lang w:val="es-CR"/>
        </w:rPr>
        <w:t xml:space="preserve">de </w:t>
      </w:r>
      <w:r w:rsidR="001230BD" w:rsidRPr="0023319B">
        <w:rPr>
          <w:rFonts w:asciiTheme="minorHAnsi" w:hAnsiTheme="minorHAnsi" w:cstheme="minorHAnsi"/>
          <w:sz w:val="24"/>
          <w:szCs w:val="24"/>
          <w:lang w:val="es-CR"/>
        </w:rPr>
        <w:t>la SUPEN.</w:t>
      </w:r>
      <w:r w:rsidR="00B63F31" w:rsidRPr="0023319B">
        <w:rPr>
          <w:rFonts w:asciiTheme="minorHAnsi" w:hAnsiTheme="minorHAnsi" w:cstheme="minorHAnsi"/>
          <w:sz w:val="24"/>
          <w:szCs w:val="24"/>
          <w:lang w:val="es-CR"/>
        </w:rPr>
        <w:t xml:space="preserve"> </w:t>
      </w:r>
      <w:r w:rsidR="000F7035" w:rsidRPr="0023319B">
        <w:rPr>
          <w:rFonts w:asciiTheme="minorHAnsi" w:hAnsiTheme="minorHAnsi" w:cstheme="minorHAnsi"/>
          <w:sz w:val="24"/>
          <w:szCs w:val="24"/>
          <w:lang w:val="es-CR"/>
        </w:rPr>
        <w:t>Detalla</w:t>
      </w:r>
      <w:r w:rsidR="0027623D" w:rsidRPr="0023319B">
        <w:rPr>
          <w:rFonts w:asciiTheme="minorHAnsi" w:hAnsiTheme="minorHAnsi" w:cstheme="minorHAnsi"/>
          <w:sz w:val="24"/>
          <w:szCs w:val="24"/>
          <w:lang w:val="es-CR"/>
        </w:rPr>
        <w:t xml:space="preserve"> la escala, el salario y la cantidad de </w:t>
      </w:r>
      <w:r w:rsidR="00CA6960" w:rsidRPr="0023319B">
        <w:rPr>
          <w:rFonts w:asciiTheme="minorHAnsi" w:hAnsiTheme="minorHAnsi" w:cstheme="minorHAnsi"/>
          <w:sz w:val="24"/>
          <w:szCs w:val="24"/>
          <w:lang w:val="es-CR"/>
        </w:rPr>
        <w:t>plazas</w:t>
      </w:r>
      <w:r w:rsidR="0027623D" w:rsidRPr="0023319B">
        <w:rPr>
          <w:rFonts w:asciiTheme="minorHAnsi" w:hAnsiTheme="minorHAnsi" w:cstheme="minorHAnsi"/>
          <w:sz w:val="24"/>
          <w:szCs w:val="24"/>
          <w:lang w:val="es-CR"/>
        </w:rPr>
        <w:t xml:space="preserve"> asignad</w:t>
      </w:r>
      <w:r w:rsidR="00CA6960" w:rsidRPr="0023319B">
        <w:rPr>
          <w:rFonts w:asciiTheme="minorHAnsi" w:hAnsiTheme="minorHAnsi" w:cstheme="minorHAnsi"/>
          <w:sz w:val="24"/>
          <w:szCs w:val="24"/>
          <w:lang w:val="es-CR"/>
        </w:rPr>
        <w:t>a</w:t>
      </w:r>
      <w:r w:rsidR="0027623D" w:rsidRPr="0023319B">
        <w:rPr>
          <w:rFonts w:asciiTheme="minorHAnsi" w:hAnsiTheme="minorHAnsi" w:cstheme="minorHAnsi"/>
          <w:sz w:val="24"/>
          <w:szCs w:val="24"/>
          <w:lang w:val="es-CR"/>
        </w:rPr>
        <w:t xml:space="preserve">s. </w:t>
      </w:r>
    </w:p>
    <w:p w14:paraId="7450E607" w14:textId="77777777" w:rsidR="00D6315B" w:rsidRPr="0023319B" w:rsidRDefault="00D6315B" w:rsidP="00093594">
      <w:pPr>
        <w:ind w:right="51"/>
        <w:rPr>
          <w:rFonts w:asciiTheme="minorHAnsi" w:hAnsiTheme="minorHAnsi" w:cstheme="minorHAnsi"/>
          <w:sz w:val="24"/>
          <w:lang w:val="es-CR"/>
        </w:rPr>
      </w:pPr>
      <w:bookmarkStart w:id="39" w:name="_Toc70497974"/>
      <w:bookmarkStart w:id="40" w:name="_Toc131912454"/>
      <w:bookmarkStart w:id="41" w:name="_Toc163371959"/>
      <w:bookmarkStart w:id="42" w:name="_Toc195505392"/>
      <w:bookmarkStart w:id="43" w:name="_Toc226364825"/>
      <w:bookmarkStart w:id="44" w:name="_Toc273448679"/>
    </w:p>
    <w:p w14:paraId="3CA17840" w14:textId="012A890A" w:rsidR="00162A43" w:rsidRPr="0023319B" w:rsidRDefault="00162A43" w:rsidP="00E92669">
      <w:pPr>
        <w:rPr>
          <w:rFonts w:asciiTheme="minorHAnsi" w:hAnsiTheme="minorHAnsi" w:cstheme="minorHAnsi"/>
          <w:sz w:val="24"/>
          <w:szCs w:val="24"/>
          <w:lang w:val="es-CR"/>
        </w:rPr>
      </w:pPr>
      <w:r w:rsidRPr="0023319B">
        <w:rPr>
          <w:rFonts w:asciiTheme="minorHAnsi" w:hAnsiTheme="minorHAnsi" w:cstheme="minorHAnsi"/>
          <w:sz w:val="24"/>
          <w:szCs w:val="24"/>
          <w:lang w:val="es-CR"/>
        </w:rPr>
        <w:t>Resumen general de la relación de puestos de plazas fijas</w:t>
      </w:r>
    </w:p>
    <w:p w14:paraId="61E5F13E" w14:textId="77777777" w:rsidR="002D2F2C" w:rsidRPr="0023319B" w:rsidRDefault="002D2F2C" w:rsidP="00093594">
      <w:pPr>
        <w:spacing w:line="240" w:lineRule="auto"/>
        <w:ind w:right="51"/>
        <w:jc w:val="center"/>
        <w:rPr>
          <w:rFonts w:asciiTheme="minorHAnsi" w:hAnsiTheme="minorHAnsi" w:cstheme="minorHAnsi"/>
          <w:b/>
          <w:i/>
          <w:sz w:val="16"/>
          <w:szCs w:val="22"/>
          <w:lang w:val="es-CR"/>
        </w:rPr>
      </w:pPr>
    </w:p>
    <w:p w14:paraId="5A5910CC" w14:textId="7F25C39E" w:rsidR="000D3368" w:rsidRPr="0023319B" w:rsidRDefault="003870B4" w:rsidP="00A9221D">
      <w:pPr>
        <w:pStyle w:val="Ttulo3"/>
      </w:pPr>
      <w:bookmarkStart w:id="45" w:name="_Toc61081367"/>
      <w:r w:rsidRPr="0023319B">
        <w:rPr>
          <w:i/>
          <w:szCs w:val="20"/>
        </w:rPr>
        <w:t>Tabla 1</w:t>
      </w:r>
      <w:r w:rsidR="007C274A" w:rsidRPr="0023319B">
        <w:rPr>
          <w:i/>
          <w:szCs w:val="20"/>
        </w:rPr>
        <w:t xml:space="preserve">: </w:t>
      </w:r>
      <w:r w:rsidR="000D3368" w:rsidRPr="0023319B">
        <w:t>Relación de puestos</w:t>
      </w:r>
      <w:bookmarkEnd w:id="45"/>
    </w:p>
    <w:tbl>
      <w:tblPr>
        <w:tblW w:w="8217" w:type="dxa"/>
        <w:tblInd w:w="279" w:type="dxa"/>
        <w:tblCellMar>
          <w:left w:w="70" w:type="dxa"/>
          <w:right w:w="70" w:type="dxa"/>
        </w:tblCellMar>
        <w:tblLook w:val="04A0" w:firstRow="1" w:lastRow="0" w:firstColumn="1" w:lastColumn="0" w:noHBand="0" w:noVBand="1"/>
      </w:tblPr>
      <w:tblGrid>
        <w:gridCol w:w="988"/>
        <w:gridCol w:w="2906"/>
        <w:gridCol w:w="1063"/>
        <w:gridCol w:w="992"/>
        <w:gridCol w:w="1134"/>
        <w:gridCol w:w="1134"/>
      </w:tblGrid>
      <w:tr w:rsidR="000D3BFA" w:rsidRPr="0023319B" w14:paraId="08FE65AB" w14:textId="77777777" w:rsidTr="00E065AD">
        <w:trPr>
          <w:trHeight w:val="495"/>
        </w:trPr>
        <w:tc>
          <w:tcPr>
            <w:tcW w:w="988"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7726B580" w14:textId="77777777" w:rsidR="000D3BFA" w:rsidRPr="0023319B" w:rsidRDefault="000D3BFA" w:rsidP="000D3BFA">
            <w:pPr>
              <w:spacing w:line="240" w:lineRule="auto"/>
              <w:jc w:val="center"/>
              <w:rPr>
                <w:b/>
                <w:bCs/>
                <w:lang w:val="es-CR" w:eastAsia="es-CR"/>
              </w:rPr>
            </w:pPr>
            <w:r w:rsidRPr="0023319B">
              <w:rPr>
                <w:b/>
                <w:bCs/>
                <w:lang w:val="es-CR" w:eastAsia="es-CR"/>
              </w:rPr>
              <w:t>Categoría</w:t>
            </w:r>
          </w:p>
        </w:tc>
        <w:tc>
          <w:tcPr>
            <w:tcW w:w="2906" w:type="dxa"/>
            <w:tcBorders>
              <w:top w:val="single" w:sz="4" w:space="0" w:color="auto"/>
              <w:left w:val="nil"/>
              <w:bottom w:val="single" w:sz="4" w:space="0" w:color="auto"/>
              <w:right w:val="single" w:sz="4" w:space="0" w:color="auto"/>
            </w:tcBorders>
            <w:shd w:val="clear" w:color="auto" w:fill="A6A6A6" w:themeFill="background1" w:themeFillShade="A6"/>
            <w:vAlign w:val="center"/>
            <w:hideMark/>
          </w:tcPr>
          <w:p w14:paraId="230DF998" w14:textId="77777777" w:rsidR="000D3BFA" w:rsidRPr="0023319B" w:rsidRDefault="000D3BFA" w:rsidP="000D3BFA">
            <w:pPr>
              <w:spacing w:line="240" w:lineRule="auto"/>
              <w:jc w:val="center"/>
              <w:rPr>
                <w:b/>
                <w:bCs/>
                <w:lang w:val="es-CR" w:eastAsia="es-CR"/>
              </w:rPr>
            </w:pPr>
            <w:r w:rsidRPr="0023319B">
              <w:rPr>
                <w:b/>
                <w:bCs/>
                <w:lang w:val="es-CR" w:eastAsia="es-CR"/>
              </w:rPr>
              <w:t>Clase de puesto</w:t>
            </w:r>
          </w:p>
        </w:tc>
        <w:tc>
          <w:tcPr>
            <w:tcW w:w="1063" w:type="dxa"/>
            <w:tcBorders>
              <w:top w:val="single" w:sz="4" w:space="0" w:color="auto"/>
              <w:left w:val="nil"/>
              <w:bottom w:val="single" w:sz="4" w:space="0" w:color="auto"/>
              <w:right w:val="single" w:sz="4" w:space="0" w:color="auto"/>
            </w:tcBorders>
            <w:shd w:val="clear" w:color="auto" w:fill="A6A6A6" w:themeFill="background1" w:themeFillShade="A6"/>
            <w:vAlign w:val="center"/>
            <w:hideMark/>
          </w:tcPr>
          <w:p w14:paraId="6A2D0D10" w14:textId="77777777" w:rsidR="000D3BFA" w:rsidRPr="0023319B" w:rsidRDefault="000D3BFA" w:rsidP="000D3BFA">
            <w:pPr>
              <w:spacing w:line="240" w:lineRule="auto"/>
              <w:jc w:val="center"/>
              <w:rPr>
                <w:b/>
                <w:bCs/>
                <w:lang w:val="es-CR" w:eastAsia="es-CR"/>
              </w:rPr>
            </w:pPr>
            <w:r w:rsidRPr="0023319B">
              <w:rPr>
                <w:b/>
                <w:bCs/>
                <w:lang w:val="es-CR" w:eastAsia="es-CR"/>
              </w:rPr>
              <w:t>Escala</w:t>
            </w:r>
          </w:p>
        </w:tc>
        <w:tc>
          <w:tcPr>
            <w:tcW w:w="992" w:type="dxa"/>
            <w:tcBorders>
              <w:top w:val="single" w:sz="4" w:space="0" w:color="auto"/>
              <w:left w:val="nil"/>
              <w:bottom w:val="single" w:sz="4" w:space="0" w:color="auto"/>
              <w:right w:val="single" w:sz="4" w:space="0" w:color="auto"/>
            </w:tcBorders>
            <w:shd w:val="clear" w:color="auto" w:fill="A6A6A6" w:themeFill="background1" w:themeFillShade="A6"/>
            <w:vAlign w:val="center"/>
            <w:hideMark/>
          </w:tcPr>
          <w:p w14:paraId="5D5B1EA4" w14:textId="2CCBAA39" w:rsidR="000D3BFA" w:rsidRPr="0023319B" w:rsidRDefault="000D3BFA" w:rsidP="000D3BFA">
            <w:pPr>
              <w:spacing w:line="240" w:lineRule="auto"/>
              <w:jc w:val="center"/>
              <w:rPr>
                <w:b/>
                <w:bCs/>
                <w:lang w:val="es-CR" w:eastAsia="es-CR"/>
              </w:rPr>
            </w:pPr>
            <w:r w:rsidRPr="0023319B">
              <w:rPr>
                <w:b/>
                <w:bCs/>
                <w:lang w:val="es-CR" w:eastAsia="es-CR"/>
              </w:rPr>
              <w:t>Salario base 20</w:t>
            </w:r>
            <w:r w:rsidR="00D64602" w:rsidRPr="0023319B">
              <w:rPr>
                <w:b/>
                <w:bCs/>
                <w:lang w:val="es-CR" w:eastAsia="es-CR"/>
              </w:rPr>
              <w:t>20</w:t>
            </w:r>
          </w:p>
        </w:tc>
        <w:tc>
          <w:tcPr>
            <w:tcW w:w="1134" w:type="dxa"/>
            <w:tcBorders>
              <w:top w:val="single" w:sz="4" w:space="0" w:color="auto"/>
              <w:left w:val="nil"/>
              <w:bottom w:val="single" w:sz="4" w:space="0" w:color="auto"/>
              <w:right w:val="single" w:sz="4" w:space="0" w:color="auto"/>
            </w:tcBorders>
            <w:shd w:val="clear" w:color="auto" w:fill="A6A6A6" w:themeFill="background1" w:themeFillShade="A6"/>
            <w:vAlign w:val="center"/>
            <w:hideMark/>
          </w:tcPr>
          <w:p w14:paraId="0BB34EC6" w14:textId="77777777" w:rsidR="000D3BFA" w:rsidRPr="0023319B" w:rsidRDefault="000D3BFA" w:rsidP="000D3BFA">
            <w:pPr>
              <w:spacing w:line="240" w:lineRule="auto"/>
              <w:jc w:val="center"/>
              <w:rPr>
                <w:b/>
                <w:bCs/>
                <w:lang w:val="es-CR" w:eastAsia="es-CR"/>
              </w:rPr>
            </w:pPr>
            <w:r w:rsidRPr="0023319B">
              <w:rPr>
                <w:b/>
                <w:bCs/>
                <w:lang w:val="es-CR" w:eastAsia="es-CR"/>
              </w:rPr>
              <w:t>Número de puestos</w:t>
            </w:r>
          </w:p>
        </w:tc>
        <w:tc>
          <w:tcPr>
            <w:tcW w:w="1134" w:type="dxa"/>
            <w:tcBorders>
              <w:top w:val="single" w:sz="4" w:space="0" w:color="auto"/>
              <w:left w:val="nil"/>
              <w:bottom w:val="single" w:sz="4" w:space="0" w:color="auto"/>
              <w:right w:val="single" w:sz="4" w:space="0" w:color="auto"/>
            </w:tcBorders>
            <w:shd w:val="clear" w:color="auto" w:fill="A6A6A6" w:themeFill="background1" w:themeFillShade="A6"/>
            <w:vAlign w:val="center"/>
            <w:hideMark/>
          </w:tcPr>
          <w:p w14:paraId="78E1C98F" w14:textId="77777777" w:rsidR="000D3BFA" w:rsidRPr="0023319B" w:rsidRDefault="000D3BFA" w:rsidP="000D3BFA">
            <w:pPr>
              <w:spacing w:line="240" w:lineRule="auto"/>
              <w:jc w:val="center"/>
              <w:rPr>
                <w:b/>
                <w:bCs/>
                <w:lang w:val="es-CR" w:eastAsia="es-CR"/>
              </w:rPr>
            </w:pPr>
            <w:r w:rsidRPr="0023319B">
              <w:rPr>
                <w:b/>
                <w:bCs/>
                <w:lang w:val="es-CR" w:eastAsia="es-CR"/>
              </w:rPr>
              <w:t>Total anual (miles)</w:t>
            </w:r>
          </w:p>
        </w:tc>
      </w:tr>
      <w:tr w:rsidR="00D67835" w:rsidRPr="0023319B" w14:paraId="22E7D29A" w14:textId="77777777" w:rsidTr="00DF5E7F">
        <w:trPr>
          <w:trHeight w:val="300"/>
        </w:trPr>
        <w:tc>
          <w:tcPr>
            <w:tcW w:w="988" w:type="dxa"/>
            <w:tcBorders>
              <w:top w:val="nil"/>
              <w:left w:val="single" w:sz="4" w:space="0" w:color="auto"/>
              <w:bottom w:val="single" w:sz="4" w:space="0" w:color="auto"/>
              <w:right w:val="single" w:sz="4" w:space="0" w:color="auto"/>
            </w:tcBorders>
            <w:shd w:val="clear" w:color="000000" w:fill="FFFFFF"/>
            <w:noWrap/>
            <w:vAlign w:val="center"/>
            <w:hideMark/>
          </w:tcPr>
          <w:p w14:paraId="228F0832" w14:textId="05148B22" w:rsidR="00D67835" w:rsidRPr="0023319B" w:rsidRDefault="00D67835" w:rsidP="00D67835">
            <w:pPr>
              <w:spacing w:line="240" w:lineRule="auto"/>
              <w:jc w:val="center"/>
              <w:rPr>
                <w:rFonts w:ascii="Calibri Light" w:hAnsi="Calibri Light" w:cs="Calibri Light"/>
                <w:sz w:val="18"/>
                <w:szCs w:val="18"/>
                <w:lang w:val="es-CR" w:eastAsia="es-CR"/>
              </w:rPr>
            </w:pPr>
            <w:r w:rsidRPr="0023319B">
              <w:rPr>
                <w:rFonts w:ascii="Calibri Light" w:hAnsi="Calibri Light" w:cs="Calibri Light"/>
                <w:sz w:val="18"/>
                <w:szCs w:val="18"/>
                <w:lang w:val="es-CR"/>
              </w:rPr>
              <w:t>03</w:t>
            </w:r>
          </w:p>
        </w:tc>
        <w:tc>
          <w:tcPr>
            <w:tcW w:w="2906" w:type="dxa"/>
            <w:tcBorders>
              <w:top w:val="nil"/>
              <w:left w:val="nil"/>
              <w:bottom w:val="single" w:sz="4" w:space="0" w:color="auto"/>
              <w:right w:val="single" w:sz="4" w:space="0" w:color="auto"/>
            </w:tcBorders>
            <w:shd w:val="clear" w:color="000000" w:fill="FFFFFF"/>
            <w:noWrap/>
            <w:vAlign w:val="center"/>
            <w:hideMark/>
          </w:tcPr>
          <w:p w14:paraId="643A2D0B" w14:textId="706EA53B" w:rsidR="00D67835" w:rsidRPr="0023319B" w:rsidRDefault="00D67835" w:rsidP="00D67835">
            <w:pPr>
              <w:spacing w:line="240" w:lineRule="auto"/>
              <w:jc w:val="left"/>
              <w:rPr>
                <w:rFonts w:ascii="Calibri Light" w:hAnsi="Calibri Light" w:cs="Calibri Light"/>
                <w:sz w:val="18"/>
                <w:szCs w:val="18"/>
                <w:lang w:val="es-CR" w:eastAsia="es-CR"/>
              </w:rPr>
            </w:pPr>
            <w:r w:rsidRPr="0023319B">
              <w:rPr>
                <w:rFonts w:ascii="Calibri Light" w:hAnsi="Calibri Light" w:cs="Calibri Light"/>
                <w:sz w:val="18"/>
                <w:szCs w:val="18"/>
                <w:lang w:val="es-CR"/>
              </w:rPr>
              <w:t>Intendente</w:t>
            </w:r>
          </w:p>
        </w:tc>
        <w:tc>
          <w:tcPr>
            <w:tcW w:w="1063" w:type="dxa"/>
            <w:tcBorders>
              <w:top w:val="nil"/>
              <w:left w:val="nil"/>
              <w:bottom w:val="single" w:sz="4" w:space="0" w:color="auto"/>
              <w:right w:val="single" w:sz="4" w:space="0" w:color="auto"/>
            </w:tcBorders>
            <w:shd w:val="clear" w:color="000000" w:fill="FFFFFF"/>
            <w:noWrap/>
            <w:vAlign w:val="center"/>
            <w:hideMark/>
          </w:tcPr>
          <w:p w14:paraId="26DEF8C2" w14:textId="3E47FC76" w:rsidR="00D67835" w:rsidRPr="0023319B" w:rsidRDefault="00D67835" w:rsidP="00D67835">
            <w:pPr>
              <w:spacing w:line="240" w:lineRule="auto"/>
              <w:jc w:val="center"/>
              <w:rPr>
                <w:rFonts w:ascii="Calibri Light" w:hAnsi="Calibri Light" w:cs="Calibri Light"/>
                <w:sz w:val="18"/>
                <w:szCs w:val="18"/>
                <w:lang w:val="es-CR" w:eastAsia="es-CR"/>
              </w:rPr>
            </w:pPr>
            <w:r w:rsidRPr="0023319B">
              <w:rPr>
                <w:rFonts w:ascii="Calibri Light" w:hAnsi="Calibri Light" w:cs="Calibri Light"/>
                <w:sz w:val="18"/>
                <w:szCs w:val="18"/>
                <w:lang w:val="es-CR"/>
              </w:rPr>
              <w:t>G. Global</w:t>
            </w:r>
          </w:p>
        </w:tc>
        <w:tc>
          <w:tcPr>
            <w:tcW w:w="992" w:type="dxa"/>
            <w:tcBorders>
              <w:top w:val="nil"/>
              <w:left w:val="nil"/>
              <w:bottom w:val="single" w:sz="4" w:space="0" w:color="auto"/>
              <w:right w:val="single" w:sz="4" w:space="0" w:color="auto"/>
            </w:tcBorders>
            <w:shd w:val="clear" w:color="000000" w:fill="FFFFFF"/>
            <w:noWrap/>
            <w:vAlign w:val="center"/>
            <w:hideMark/>
          </w:tcPr>
          <w:p w14:paraId="52F9E452" w14:textId="099EFC5B" w:rsidR="00D67835" w:rsidRPr="0023319B" w:rsidRDefault="00D67835" w:rsidP="00D67835">
            <w:pPr>
              <w:spacing w:line="240" w:lineRule="auto"/>
              <w:jc w:val="right"/>
              <w:rPr>
                <w:rFonts w:ascii="Calibri Light" w:hAnsi="Calibri Light" w:cs="Calibri Light"/>
                <w:sz w:val="18"/>
                <w:szCs w:val="18"/>
                <w:lang w:val="es-CR" w:eastAsia="es-CR"/>
              </w:rPr>
            </w:pPr>
            <w:r w:rsidRPr="0023319B">
              <w:rPr>
                <w:rFonts w:ascii="Calibri Light" w:hAnsi="Calibri Light" w:cs="Calibri Light"/>
                <w:sz w:val="18"/>
                <w:szCs w:val="18"/>
                <w:lang w:val="es-CR"/>
              </w:rPr>
              <w:t>1,181,206</w:t>
            </w:r>
          </w:p>
        </w:tc>
        <w:tc>
          <w:tcPr>
            <w:tcW w:w="1134" w:type="dxa"/>
            <w:tcBorders>
              <w:top w:val="nil"/>
              <w:left w:val="nil"/>
              <w:bottom w:val="single" w:sz="4" w:space="0" w:color="auto"/>
              <w:right w:val="single" w:sz="4" w:space="0" w:color="auto"/>
            </w:tcBorders>
            <w:shd w:val="clear" w:color="000000" w:fill="FFFFFF"/>
            <w:noWrap/>
            <w:vAlign w:val="center"/>
            <w:hideMark/>
          </w:tcPr>
          <w:p w14:paraId="57B90052" w14:textId="5030BE1A" w:rsidR="00D67835" w:rsidRPr="0023319B" w:rsidRDefault="00D67835" w:rsidP="00D67835">
            <w:pPr>
              <w:spacing w:line="240" w:lineRule="auto"/>
              <w:jc w:val="center"/>
              <w:rPr>
                <w:rFonts w:ascii="Calibri Light" w:hAnsi="Calibri Light" w:cs="Calibri Light"/>
                <w:sz w:val="18"/>
                <w:szCs w:val="18"/>
                <w:lang w:val="es-CR" w:eastAsia="es-CR"/>
              </w:rPr>
            </w:pPr>
            <w:r w:rsidRPr="0023319B">
              <w:rPr>
                <w:rFonts w:ascii="Calibri Light" w:hAnsi="Calibri Light" w:cs="Calibri Light"/>
                <w:sz w:val="18"/>
                <w:szCs w:val="18"/>
                <w:lang w:val="es-CR"/>
              </w:rPr>
              <w:t>1</w:t>
            </w:r>
          </w:p>
        </w:tc>
        <w:tc>
          <w:tcPr>
            <w:tcW w:w="1134" w:type="dxa"/>
            <w:tcBorders>
              <w:top w:val="nil"/>
              <w:left w:val="nil"/>
              <w:bottom w:val="single" w:sz="4" w:space="0" w:color="auto"/>
              <w:right w:val="single" w:sz="4" w:space="0" w:color="auto"/>
            </w:tcBorders>
            <w:shd w:val="clear" w:color="000000" w:fill="FFFFFF"/>
            <w:noWrap/>
            <w:vAlign w:val="center"/>
            <w:hideMark/>
          </w:tcPr>
          <w:p w14:paraId="6F4E1E28" w14:textId="229661BC" w:rsidR="00D67835" w:rsidRPr="0023319B" w:rsidRDefault="00D67835" w:rsidP="00D67835">
            <w:pPr>
              <w:spacing w:line="240" w:lineRule="auto"/>
              <w:jc w:val="right"/>
              <w:rPr>
                <w:rFonts w:ascii="Calibri Light" w:hAnsi="Calibri Light" w:cs="Calibri Light"/>
                <w:sz w:val="18"/>
                <w:szCs w:val="18"/>
                <w:lang w:val="es-CR" w:eastAsia="es-CR"/>
              </w:rPr>
            </w:pPr>
            <w:r w:rsidRPr="0023319B">
              <w:rPr>
                <w:rFonts w:ascii="Calibri Light" w:hAnsi="Calibri Light" w:cs="Calibri Light"/>
                <w:sz w:val="18"/>
                <w:szCs w:val="18"/>
                <w:lang w:val="es-CR"/>
              </w:rPr>
              <w:t>68,793</w:t>
            </w:r>
          </w:p>
        </w:tc>
      </w:tr>
      <w:tr w:rsidR="00D67835" w:rsidRPr="0023319B" w14:paraId="46CF3D97" w14:textId="77777777" w:rsidTr="00DF5E7F">
        <w:trPr>
          <w:trHeight w:val="300"/>
        </w:trPr>
        <w:tc>
          <w:tcPr>
            <w:tcW w:w="988" w:type="dxa"/>
            <w:tcBorders>
              <w:top w:val="nil"/>
              <w:left w:val="single" w:sz="4" w:space="0" w:color="auto"/>
              <w:bottom w:val="single" w:sz="4" w:space="0" w:color="auto"/>
              <w:right w:val="single" w:sz="4" w:space="0" w:color="auto"/>
            </w:tcBorders>
            <w:shd w:val="clear" w:color="000000" w:fill="D9D9D9"/>
            <w:noWrap/>
            <w:vAlign w:val="center"/>
            <w:hideMark/>
          </w:tcPr>
          <w:p w14:paraId="32873157" w14:textId="199B4946" w:rsidR="00D67835" w:rsidRPr="0023319B" w:rsidRDefault="00D67835" w:rsidP="00D67835">
            <w:pPr>
              <w:spacing w:line="240" w:lineRule="auto"/>
              <w:jc w:val="center"/>
              <w:rPr>
                <w:rFonts w:ascii="Calibri Light" w:hAnsi="Calibri Light" w:cs="Calibri Light"/>
                <w:sz w:val="18"/>
                <w:szCs w:val="18"/>
                <w:lang w:val="es-CR" w:eastAsia="es-CR"/>
              </w:rPr>
            </w:pPr>
            <w:r w:rsidRPr="0023319B">
              <w:rPr>
                <w:rFonts w:ascii="Calibri Light" w:hAnsi="Calibri Light" w:cs="Calibri Light"/>
                <w:sz w:val="18"/>
                <w:szCs w:val="18"/>
                <w:lang w:val="es-CR"/>
              </w:rPr>
              <w:t>04</w:t>
            </w:r>
          </w:p>
        </w:tc>
        <w:tc>
          <w:tcPr>
            <w:tcW w:w="2906" w:type="dxa"/>
            <w:tcBorders>
              <w:top w:val="nil"/>
              <w:left w:val="nil"/>
              <w:bottom w:val="single" w:sz="4" w:space="0" w:color="auto"/>
              <w:right w:val="single" w:sz="4" w:space="0" w:color="auto"/>
            </w:tcBorders>
            <w:shd w:val="clear" w:color="000000" w:fill="D9D9D9"/>
            <w:noWrap/>
            <w:vAlign w:val="center"/>
            <w:hideMark/>
          </w:tcPr>
          <w:p w14:paraId="077CB6D1" w14:textId="1B50CE29" w:rsidR="00D67835" w:rsidRPr="0023319B" w:rsidRDefault="00D67835" w:rsidP="00D67835">
            <w:pPr>
              <w:spacing w:line="240" w:lineRule="auto"/>
              <w:jc w:val="left"/>
              <w:rPr>
                <w:rFonts w:ascii="Calibri Light" w:hAnsi="Calibri Light" w:cs="Calibri Light"/>
                <w:sz w:val="18"/>
                <w:szCs w:val="18"/>
                <w:lang w:val="es-CR" w:eastAsia="es-CR"/>
              </w:rPr>
            </w:pPr>
            <w:r w:rsidRPr="0023319B">
              <w:rPr>
                <w:rFonts w:ascii="Calibri Light" w:hAnsi="Calibri Light" w:cs="Calibri Light"/>
                <w:sz w:val="18"/>
                <w:szCs w:val="18"/>
                <w:lang w:val="es-CR"/>
              </w:rPr>
              <w:t>Superintendente</w:t>
            </w:r>
          </w:p>
        </w:tc>
        <w:tc>
          <w:tcPr>
            <w:tcW w:w="1063" w:type="dxa"/>
            <w:tcBorders>
              <w:top w:val="nil"/>
              <w:left w:val="nil"/>
              <w:bottom w:val="single" w:sz="4" w:space="0" w:color="auto"/>
              <w:right w:val="single" w:sz="4" w:space="0" w:color="auto"/>
            </w:tcBorders>
            <w:shd w:val="clear" w:color="000000" w:fill="D9D9D9"/>
            <w:noWrap/>
            <w:vAlign w:val="center"/>
            <w:hideMark/>
          </w:tcPr>
          <w:p w14:paraId="567E2C18" w14:textId="0D7F16AA" w:rsidR="00D67835" w:rsidRPr="0023319B" w:rsidRDefault="00D67835" w:rsidP="00D67835">
            <w:pPr>
              <w:spacing w:line="240" w:lineRule="auto"/>
              <w:jc w:val="center"/>
              <w:rPr>
                <w:rFonts w:ascii="Calibri Light" w:hAnsi="Calibri Light" w:cs="Calibri Light"/>
                <w:sz w:val="18"/>
                <w:szCs w:val="18"/>
                <w:lang w:val="es-CR" w:eastAsia="es-CR"/>
              </w:rPr>
            </w:pPr>
            <w:r w:rsidRPr="0023319B">
              <w:rPr>
                <w:rFonts w:ascii="Calibri Light" w:hAnsi="Calibri Light" w:cs="Calibri Light"/>
                <w:sz w:val="18"/>
                <w:szCs w:val="18"/>
                <w:lang w:val="es-CR"/>
              </w:rPr>
              <w:t>G. Global</w:t>
            </w:r>
          </w:p>
        </w:tc>
        <w:tc>
          <w:tcPr>
            <w:tcW w:w="992" w:type="dxa"/>
            <w:tcBorders>
              <w:top w:val="nil"/>
              <w:left w:val="nil"/>
              <w:bottom w:val="single" w:sz="4" w:space="0" w:color="auto"/>
              <w:right w:val="single" w:sz="4" w:space="0" w:color="auto"/>
            </w:tcBorders>
            <w:shd w:val="clear" w:color="000000" w:fill="D9D9D9"/>
            <w:noWrap/>
            <w:vAlign w:val="center"/>
            <w:hideMark/>
          </w:tcPr>
          <w:p w14:paraId="416E6917" w14:textId="79AB22D4" w:rsidR="00D67835" w:rsidRPr="0023319B" w:rsidRDefault="00D67835" w:rsidP="00D67835">
            <w:pPr>
              <w:spacing w:line="240" w:lineRule="auto"/>
              <w:jc w:val="right"/>
              <w:rPr>
                <w:rFonts w:ascii="Calibri Light" w:hAnsi="Calibri Light" w:cs="Calibri Light"/>
                <w:sz w:val="18"/>
                <w:szCs w:val="18"/>
                <w:lang w:val="es-CR" w:eastAsia="es-CR"/>
              </w:rPr>
            </w:pPr>
            <w:r w:rsidRPr="0023319B">
              <w:rPr>
                <w:rFonts w:ascii="Calibri Light" w:hAnsi="Calibri Light" w:cs="Calibri Light"/>
                <w:sz w:val="18"/>
                <w:szCs w:val="18"/>
                <w:lang w:val="es-CR"/>
              </w:rPr>
              <w:t>1,603,715</w:t>
            </w:r>
          </w:p>
        </w:tc>
        <w:tc>
          <w:tcPr>
            <w:tcW w:w="1134" w:type="dxa"/>
            <w:tcBorders>
              <w:top w:val="nil"/>
              <w:left w:val="nil"/>
              <w:bottom w:val="single" w:sz="4" w:space="0" w:color="auto"/>
              <w:right w:val="single" w:sz="4" w:space="0" w:color="auto"/>
            </w:tcBorders>
            <w:shd w:val="clear" w:color="000000" w:fill="D9D9D9"/>
            <w:noWrap/>
            <w:vAlign w:val="center"/>
            <w:hideMark/>
          </w:tcPr>
          <w:p w14:paraId="43C25F10" w14:textId="59262618" w:rsidR="00D67835" w:rsidRPr="0023319B" w:rsidRDefault="00D67835" w:rsidP="00D67835">
            <w:pPr>
              <w:spacing w:line="240" w:lineRule="auto"/>
              <w:jc w:val="center"/>
              <w:rPr>
                <w:rFonts w:ascii="Calibri Light" w:hAnsi="Calibri Light" w:cs="Calibri Light"/>
                <w:sz w:val="18"/>
                <w:szCs w:val="18"/>
                <w:lang w:val="es-CR" w:eastAsia="es-CR"/>
              </w:rPr>
            </w:pPr>
            <w:r w:rsidRPr="0023319B">
              <w:rPr>
                <w:rFonts w:ascii="Calibri Light" w:hAnsi="Calibri Light" w:cs="Calibri Light"/>
                <w:sz w:val="18"/>
                <w:szCs w:val="18"/>
                <w:lang w:val="es-CR"/>
              </w:rPr>
              <w:t>1</w:t>
            </w:r>
          </w:p>
        </w:tc>
        <w:tc>
          <w:tcPr>
            <w:tcW w:w="1134" w:type="dxa"/>
            <w:tcBorders>
              <w:top w:val="nil"/>
              <w:left w:val="nil"/>
              <w:bottom w:val="single" w:sz="4" w:space="0" w:color="auto"/>
              <w:right w:val="single" w:sz="4" w:space="0" w:color="auto"/>
            </w:tcBorders>
            <w:shd w:val="clear" w:color="000000" w:fill="D9D9D9"/>
            <w:noWrap/>
            <w:vAlign w:val="center"/>
            <w:hideMark/>
          </w:tcPr>
          <w:p w14:paraId="12C5BC23" w14:textId="6736FB05" w:rsidR="00D67835" w:rsidRPr="0023319B" w:rsidRDefault="00D67835" w:rsidP="00D67835">
            <w:pPr>
              <w:spacing w:line="240" w:lineRule="auto"/>
              <w:jc w:val="right"/>
              <w:rPr>
                <w:rFonts w:ascii="Calibri Light" w:hAnsi="Calibri Light" w:cs="Calibri Light"/>
                <w:sz w:val="18"/>
                <w:szCs w:val="18"/>
                <w:lang w:val="es-CR" w:eastAsia="es-CR"/>
              </w:rPr>
            </w:pPr>
            <w:r w:rsidRPr="0023319B">
              <w:rPr>
                <w:rFonts w:ascii="Calibri Light" w:hAnsi="Calibri Light" w:cs="Calibri Light"/>
                <w:sz w:val="18"/>
                <w:szCs w:val="18"/>
                <w:lang w:val="es-CR"/>
              </w:rPr>
              <w:t>93,400</w:t>
            </w:r>
          </w:p>
        </w:tc>
      </w:tr>
      <w:tr w:rsidR="00D67835" w:rsidRPr="0023319B" w14:paraId="3623FF0B" w14:textId="77777777" w:rsidTr="00DF5E7F">
        <w:trPr>
          <w:trHeight w:val="300"/>
        </w:trPr>
        <w:tc>
          <w:tcPr>
            <w:tcW w:w="988" w:type="dxa"/>
            <w:tcBorders>
              <w:top w:val="nil"/>
              <w:left w:val="single" w:sz="4" w:space="0" w:color="auto"/>
              <w:bottom w:val="single" w:sz="4" w:space="0" w:color="auto"/>
              <w:right w:val="single" w:sz="4" w:space="0" w:color="auto"/>
            </w:tcBorders>
            <w:shd w:val="clear" w:color="000000" w:fill="FFFFFF"/>
            <w:noWrap/>
            <w:vAlign w:val="center"/>
            <w:hideMark/>
          </w:tcPr>
          <w:p w14:paraId="177AB083" w14:textId="5DA7DFC6" w:rsidR="00D67835" w:rsidRPr="0023319B" w:rsidRDefault="00D67835" w:rsidP="00D67835">
            <w:pPr>
              <w:spacing w:line="240" w:lineRule="auto"/>
              <w:jc w:val="center"/>
              <w:rPr>
                <w:rFonts w:ascii="Calibri Light" w:hAnsi="Calibri Light" w:cs="Calibri Light"/>
                <w:sz w:val="18"/>
                <w:szCs w:val="18"/>
                <w:lang w:val="es-CR" w:eastAsia="es-CR"/>
              </w:rPr>
            </w:pPr>
            <w:r w:rsidRPr="0023319B">
              <w:rPr>
                <w:rFonts w:ascii="Calibri Light" w:hAnsi="Calibri Light" w:cs="Calibri Light"/>
                <w:sz w:val="18"/>
                <w:szCs w:val="18"/>
                <w:lang w:val="es-CR"/>
              </w:rPr>
              <w:t>02</w:t>
            </w:r>
          </w:p>
        </w:tc>
        <w:tc>
          <w:tcPr>
            <w:tcW w:w="2906" w:type="dxa"/>
            <w:tcBorders>
              <w:top w:val="nil"/>
              <w:left w:val="nil"/>
              <w:bottom w:val="single" w:sz="4" w:space="0" w:color="auto"/>
              <w:right w:val="single" w:sz="4" w:space="0" w:color="auto"/>
            </w:tcBorders>
            <w:shd w:val="clear" w:color="000000" w:fill="FFFFFF"/>
            <w:noWrap/>
            <w:vAlign w:val="center"/>
            <w:hideMark/>
          </w:tcPr>
          <w:p w14:paraId="58D23F38" w14:textId="268EB3EA" w:rsidR="00D67835" w:rsidRPr="0023319B" w:rsidRDefault="00D67835" w:rsidP="00D67835">
            <w:pPr>
              <w:spacing w:line="240" w:lineRule="auto"/>
              <w:jc w:val="left"/>
              <w:rPr>
                <w:rFonts w:ascii="Calibri Light" w:hAnsi="Calibri Light" w:cs="Calibri Light"/>
                <w:sz w:val="18"/>
                <w:szCs w:val="18"/>
                <w:lang w:val="es-CR" w:eastAsia="es-CR"/>
              </w:rPr>
            </w:pPr>
            <w:r w:rsidRPr="0023319B">
              <w:rPr>
                <w:rFonts w:ascii="Calibri Light" w:hAnsi="Calibri Light" w:cs="Calibri Light"/>
                <w:sz w:val="18"/>
                <w:szCs w:val="18"/>
                <w:lang w:val="es-CR"/>
              </w:rPr>
              <w:t>Asistente Servicios Generales</w:t>
            </w:r>
          </w:p>
        </w:tc>
        <w:tc>
          <w:tcPr>
            <w:tcW w:w="1063" w:type="dxa"/>
            <w:tcBorders>
              <w:top w:val="nil"/>
              <w:left w:val="nil"/>
              <w:bottom w:val="single" w:sz="4" w:space="0" w:color="auto"/>
              <w:right w:val="single" w:sz="4" w:space="0" w:color="auto"/>
            </w:tcBorders>
            <w:shd w:val="clear" w:color="000000" w:fill="FFFFFF"/>
            <w:noWrap/>
            <w:vAlign w:val="center"/>
            <w:hideMark/>
          </w:tcPr>
          <w:p w14:paraId="14D038F0" w14:textId="4585C360" w:rsidR="00D67835" w:rsidRPr="0023319B" w:rsidRDefault="00D67835" w:rsidP="00D67835">
            <w:pPr>
              <w:spacing w:line="240" w:lineRule="auto"/>
              <w:jc w:val="center"/>
              <w:rPr>
                <w:rFonts w:ascii="Calibri Light" w:hAnsi="Calibri Light" w:cs="Calibri Light"/>
                <w:sz w:val="18"/>
                <w:szCs w:val="18"/>
                <w:lang w:val="es-CR" w:eastAsia="es-CR"/>
              </w:rPr>
            </w:pPr>
            <w:r w:rsidRPr="0023319B">
              <w:rPr>
                <w:rFonts w:ascii="Calibri Light" w:hAnsi="Calibri Light" w:cs="Calibri Light"/>
                <w:sz w:val="18"/>
                <w:szCs w:val="18"/>
                <w:lang w:val="es-CR"/>
              </w:rPr>
              <w:t>Global</w:t>
            </w:r>
          </w:p>
        </w:tc>
        <w:tc>
          <w:tcPr>
            <w:tcW w:w="992" w:type="dxa"/>
            <w:tcBorders>
              <w:top w:val="nil"/>
              <w:left w:val="nil"/>
              <w:bottom w:val="single" w:sz="4" w:space="0" w:color="auto"/>
              <w:right w:val="single" w:sz="4" w:space="0" w:color="auto"/>
            </w:tcBorders>
            <w:shd w:val="clear" w:color="000000" w:fill="FFFFFF"/>
            <w:noWrap/>
            <w:vAlign w:val="center"/>
            <w:hideMark/>
          </w:tcPr>
          <w:p w14:paraId="132510C1" w14:textId="5242CD0A" w:rsidR="00D67835" w:rsidRPr="0023319B" w:rsidRDefault="00D67835" w:rsidP="00D67835">
            <w:pPr>
              <w:spacing w:line="240" w:lineRule="auto"/>
              <w:jc w:val="right"/>
              <w:rPr>
                <w:rFonts w:ascii="Calibri Light" w:hAnsi="Calibri Light" w:cs="Calibri Light"/>
                <w:sz w:val="18"/>
                <w:szCs w:val="18"/>
                <w:lang w:val="es-CR" w:eastAsia="es-CR"/>
              </w:rPr>
            </w:pPr>
            <w:r w:rsidRPr="0023319B">
              <w:rPr>
                <w:rFonts w:ascii="Calibri Light" w:hAnsi="Calibri Light" w:cs="Calibri Light"/>
                <w:sz w:val="18"/>
                <w:szCs w:val="18"/>
                <w:lang w:val="es-CR"/>
              </w:rPr>
              <w:t>127,333</w:t>
            </w:r>
          </w:p>
        </w:tc>
        <w:tc>
          <w:tcPr>
            <w:tcW w:w="1134" w:type="dxa"/>
            <w:tcBorders>
              <w:top w:val="nil"/>
              <w:left w:val="nil"/>
              <w:bottom w:val="single" w:sz="4" w:space="0" w:color="auto"/>
              <w:right w:val="single" w:sz="4" w:space="0" w:color="auto"/>
            </w:tcBorders>
            <w:shd w:val="clear" w:color="000000" w:fill="FFFFFF"/>
            <w:noWrap/>
            <w:vAlign w:val="center"/>
            <w:hideMark/>
          </w:tcPr>
          <w:p w14:paraId="10006D1F" w14:textId="6E7379CE" w:rsidR="00D67835" w:rsidRPr="0023319B" w:rsidRDefault="00D67835" w:rsidP="00D67835">
            <w:pPr>
              <w:spacing w:line="240" w:lineRule="auto"/>
              <w:jc w:val="center"/>
              <w:rPr>
                <w:rFonts w:ascii="Calibri Light" w:hAnsi="Calibri Light" w:cs="Calibri Light"/>
                <w:sz w:val="18"/>
                <w:szCs w:val="18"/>
                <w:lang w:val="es-CR" w:eastAsia="es-CR"/>
              </w:rPr>
            </w:pPr>
            <w:r w:rsidRPr="0023319B">
              <w:rPr>
                <w:rFonts w:ascii="Calibri Light" w:hAnsi="Calibri Light" w:cs="Calibri Light"/>
                <w:sz w:val="18"/>
                <w:szCs w:val="18"/>
                <w:lang w:val="es-CR"/>
              </w:rPr>
              <w:t>1</w:t>
            </w:r>
          </w:p>
        </w:tc>
        <w:tc>
          <w:tcPr>
            <w:tcW w:w="1134" w:type="dxa"/>
            <w:tcBorders>
              <w:top w:val="nil"/>
              <w:left w:val="nil"/>
              <w:bottom w:val="single" w:sz="4" w:space="0" w:color="auto"/>
              <w:right w:val="single" w:sz="4" w:space="0" w:color="auto"/>
            </w:tcBorders>
            <w:shd w:val="clear" w:color="000000" w:fill="FFFFFF"/>
            <w:noWrap/>
            <w:vAlign w:val="center"/>
            <w:hideMark/>
          </w:tcPr>
          <w:p w14:paraId="7B66E9CB" w14:textId="38ADA848" w:rsidR="00D67835" w:rsidRPr="0023319B" w:rsidRDefault="00D67835" w:rsidP="00D67835">
            <w:pPr>
              <w:spacing w:line="240" w:lineRule="auto"/>
              <w:jc w:val="right"/>
              <w:rPr>
                <w:rFonts w:ascii="Calibri Light" w:hAnsi="Calibri Light" w:cs="Calibri Light"/>
                <w:sz w:val="18"/>
                <w:szCs w:val="18"/>
                <w:lang w:val="es-CR" w:eastAsia="es-CR"/>
              </w:rPr>
            </w:pPr>
            <w:r w:rsidRPr="0023319B">
              <w:rPr>
                <w:rFonts w:ascii="Calibri Light" w:hAnsi="Calibri Light" w:cs="Calibri Light"/>
                <w:sz w:val="18"/>
                <w:szCs w:val="18"/>
                <w:lang w:val="es-CR"/>
              </w:rPr>
              <w:t>7,262</w:t>
            </w:r>
          </w:p>
        </w:tc>
      </w:tr>
      <w:tr w:rsidR="00D67835" w:rsidRPr="0023319B" w14:paraId="3CFE1DB8" w14:textId="77777777" w:rsidTr="00DF5E7F">
        <w:trPr>
          <w:trHeight w:val="300"/>
        </w:trPr>
        <w:tc>
          <w:tcPr>
            <w:tcW w:w="988" w:type="dxa"/>
            <w:tcBorders>
              <w:top w:val="nil"/>
              <w:left w:val="single" w:sz="4" w:space="0" w:color="auto"/>
              <w:bottom w:val="single" w:sz="4" w:space="0" w:color="auto"/>
              <w:right w:val="single" w:sz="4" w:space="0" w:color="auto"/>
            </w:tcBorders>
            <w:shd w:val="clear" w:color="000000" w:fill="D9D9D9"/>
            <w:noWrap/>
            <w:vAlign w:val="center"/>
            <w:hideMark/>
          </w:tcPr>
          <w:p w14:paraId="1DFC0ADC" w14:textId="7FE0E3E3" w:rsidR="00D67835" w:rsidRPr="0023319B" w:rsidRDefault="00D67835" w:rsidP="00D67835">
            <w:pPr>
              <w:spacing w:line="240" w:lineRule="auto"/>
              <w:jc w:val="center"/>
              <w:rPr>
                <w:rFonts w:ascii="Calibri Light" w:hAnsi="Calibri Light" w:cs="Calibri Light"/>
                <w:sz w:val="18"/>
                <w:szCs w:val="18"/>
                <w:lang w:val="es-CR" w:eastAsia="es-CR"/>
              </w:rPr>
            </w:pPr>
            <w:r w:rsidRPr="0023319B">
              <w:rPr>
                <w:rFonts w:ascii="Calibri Light" w:hAnsi="Calibri Light" w:cs="Calibri Light"/>
                <w:sz w:val="18"/>
                <w:szCs w:val="18"/>
                <w:lang w:val="es-CR"/>
              </w:rPr>
              <w:t>02</w:t>
            </w:r>
          </w:p>
        </w:tc>
        <w:tc>
          <w:tcPr>
            <w:tcW w:w="2906" w:type="dxa"/>
            <w:tcBorders>
              <w:top w:val="nil"/>
              <w:left w:val="nil"/>
              <w:bottom w:val="single" w:sz="4" w:space="0" w:color="auto"/>
              <w:right w:val="single" w:sz="4" w:space="0" w:color="auto"/>
            </w:tcBorders>
            <w:shd w:val="clear" w:color="000000" w:fill="D9D9D9"/>
            <w:noWrap/>
            <w:vAlign w:val="center"/>
            <w:hideMark/>
          </w:tcPr>
          <w:p w14:paraId="693966CC" w14:textId="406F72B7" w:rsidR="00D67835" w:rsidRPr="0023319B" w:rsidRDefault="00D67835" w:rsidP="00D67835">
            <w:pPr>
              <w:spacing w:line="240" w:lineRule="auto"/>
              <w:jc w:val="left"/>
              <w:rPr>
                <w:rFonts w:ascii="Calibri Light" w:hAnsi="Calibri Light" w:cs="Calibri Light"/>
                <w:sz w:val="18"/>
                <w:szCs w:val="18"/>
                <w:lang w:val="es-CR" w:eastAsia="es-CR"/>
              </w:rPr>
            </w:pPr>
            <w:r w:rsidRPr="0023319B">
              <w:rPr>
                <w:rFonts w:ascii="Calibri Light" w:hAnsi="Calibri Light" w:cs="Calibri Light"/>
                <w:sz w:val="18"/>
                <w:szCs w:val="18"/>
                <w:lang w:val="es-CR"/>
              </w:rPr>
              <w:t>Asistente Servicios Institucionales 1</w:t>
            </w:r>
          </w:p>
        </w:tc>
        <w:tc>
          <w:tcPr>
            <w:tcW w:w="1063" w:type="dxa"/>
            <w:tcBorders>
              <w:top w:val="nil"/>
              <w:left w:val="nil"/>
              <w:bottom w:val="single" w:sz="4" w:space="0" w:color="auto"/>
              <w:right w:val="single" w:sz="4" w:space="0" w:color="auto"/>
            </w:tcBorders>
            <w:shd w:val="clear" w:color="000000" w:fill="D9D9D9"/>
            <w:noWrap/>
            <w:vAlign w:val="center"/>
            <w:hideMark/>
          </w:tcPr>
          <w:p w14:paraId="5A2987E2" w14:textId="5FC34BB8" w:rsidR="00D67835" w:rsidRPr="0023319B" w:rsidRDefault="00D67835" w:rsidP="00D67835">
            <w:pPr>
              <w:spacing w:line="240" w:lineRule="auto"/>
              <w:jc w:val="center"/>
              <w:rPr>
                <w:rFonts w:ascii="Calibri Light" w:hAnsi="Calibri Light" w:cs="Calibri Light"/>
                <w:sz w:val="18"/>
                <w:szCs w:val="18"/>
                <w:lang w:val="es-CR" w:eastAsia="es-CR"/>
              </w:rPr>
            </w:pPr>
            <w:r w:rsidRPr="0023319B">
              <w:rPr>
                <w:rFonts w:ascii="Calibri Light" w:hAnsi="Calibri Light" w:cs="Calibri Light"/>
                <w:sz w:val="18"/>
                <w:szCs w:val="18"/>
                <w:lang w:val="es-CR"/>
              </w:rPr>
              <w:t>Global</w:t>
            </w:r>
          </w:p>
        </w:tc>
        <w:tc>
          <w:tcPr>
            <w:tcW w:w="992" w:type="dxa"/>
            <w:tcBorders>
              <w:top w:val="nil"/>
              <w:left w:val="nil"/>
              <w:bottom w:val="single" w:sz="4" w:space="0" w:color="auto"/>
              <w:right w:val="single" w:sz="4" w:space="0" w:color="auto"/>
            </w:tcBorders>
            <w:shd w:val="clear" w:color="000000" w:fill="D9D9D9"/>
            <w:noWrap/>
            <w:vAlign w:val="center"/>
            <w:hideMark/>
          </w:tcPr>
          <w:p w14:paraId="064ED8E6" w14:textId="4DBE1CCC" w:rsidR="00D67835" w:rsidRPr="0023319B" w:rsidRDefault="00D67835" w:rsidP="00D67835">
            <w:pPr>
              <w:spacing w:line="240" w:lineRule="auto"/>
              <w:jc w:val="right"/>
              <w:rPr>
                <w:rFonts w:ascii="Calibri Light" w:hAnsi="Calibri Light" w:cs="Calibri Light"/>
                <w:sz w:val="18"/>
                <w:szCs w:val="18"/>
                <w:lang w:val="es-CR" w:eastAsia="es-CR"/>
              </w:rPr>
            </w:pPr>
            <w:r w:rsidRPr="0023319B">
              <w:rPr>
                <w:rFonts w:ascii="Calibri Light" w:hAnsi="Calibri Light" w:cs="Calibri Light"/>
                <w:sz w:val="18"/>
                <w:szCs w:val="18"/>
                <w:lang w:val="es-CR"/>
              </w:rPr>
              <w:t>127,333</w:t>
            </w:r>
          </w:p>
        </w:tc>
        <w:tc>
          <w:tcPr>
            <w:tcW w:w="1134" w:type="dxa"/>
            <w:tcBorders>
              <w:top w:val="nil"/>
              <w:left w:val="nil"/>
              <w:bottom w:val="single" w:sz="4" w:space="0" w:color="auto"/>
              <w:right w:val="single" w:sz="4" w:space="0" w:color="auto"/>
            </w:tcBorders>
            <w:shd w:val="clear" w:color="000000" w:fill="D9D9D9"/>
            <w:noWrap/>
            <w:vAlign w:val="center"/>
            <w:hideMark/>
          </w:tcPr>
          <w:p w14:paraId="19E3A355" w14:textId="33BAE31B" w:rsidR="00D67835" w:rsidRPr="0023319B" w:rsidRDefault="00D67835" w:rsidP="00D67835">
            <w:pPr>
              <w:spacing w:line="240" w:lineRule="auto"/>
              <w:jc w:val="center"/>
              <w:rPr>
                <w:rFonts w:ascii="Calibri Light" w:hAnsi="Calibri Light" w:cs="Calibri Light"/>
                <w:sz w:val="18"/>
                <w:szCs w:val="18"/>
                <w:lang w:val="es-CR" w:eastAsia="es-CR"/>
              </w:rPr>
            </w:pPr>
            <w:r w:rsidRPr="0023319B">
              <w:rPr>
                <w:rFonts w:ascii="Calibri Light" w:hAnsi="Calibri Light" w:cs="Calibri Light"/>
                <w:sz w:val="18"/>
                <w:szCs w:val="18"/>
                <w:lang w:val="es-CR"/>
              </w:rPr>
              <w:t>2</w:t>
            </w:r>
          </w:p>
        </w:tc>
        <w:tc>
          <w:tcPr>
            <w:tcW w:w="1134" w:type="dxa"/>
            <w:tcBorders>
              <w:top w:val="nil"/>
              <w:left w:val="nil"/>
              <w:bottom w:val="single" w:sz="4" w:space="0" w:color="auto"/>
              <w:right w:val="single" w:sz="4" w:space="0" w:color="auto"/>
            </w:tcBorders>
            <w:shd w:val="clear" w:color="000000" w:fill="D9D9D9"/>
            <w:noWrap/>
            <w:vAlign w:val="center"/>
            <w:hideMark/>
          </w:tcPr>
          <w:p w14:paraId="4CFDBB0F" w14:textId="67189849" w:rsidR="00D67835" w:rsidRPr="0023319B" w:rsidRDefault="00D67835" w:rsidP="00D67835">
            <w:pPr>
              <w:spacing w:line="240" w:lineRule="auto"/>
              <w:jc w:val="right"/>
              <w:rPr>
                <w:rFonts w:ascii="Calibri Light" w:hAnsi="Calibri Light" w:cs="Calibri Light"/>
                <w:sz w:val="18"/>
                <w:szCs w:val="18"/>
                <w:lang w:val="es-CR" w:eastAsia="es-CR"/>
              </w:rPr>
            </w:pPr>
            <w:r w:rsidRPr="0023319B">
              <w:rPr>
                <w:rFonts w:ascii="Calibri Light" w:hAnsi="Calibri Light" w:cs="Calibri Light"/>
                <w:sz w:val="18"/>
                <w:szCs w:val="18"/>
                <w:lang w:val="es-CR"/>
              </w:rPr>
              <w:t>14,523</w:t>
            </w:r>
          </w:p>
        </w:tc>
      </w:tr>
      <w:tr w:rsidR="00D67835" w:rsidRPr="0023319B" w14:paraId="7D068CA1" w14:textId="77777777" w:rsidTr="00DF5E7F">
        <w:trPr>
          <w:trHeight w:val="300"/>
        </w:trPr>
        <w:tc>
          <w:tcPr>
            <w:tcW w:w="988" w:type="dxa"/>
            <w:tcBorders>
              <w:top w:val="nil"/>
              <w:left w:val="single" w:sz="4" w:space="0" w:color="auto"/>
              <w:bottom w:val="single" w:sz="4" w:space="0" w:color="auto"/>
              <w:right w:val="single" w:sz="4" w:space="0" w:color="auto"/>
            </w:tcBorders>
            <w:shd w:val="clear" w:color="000000" w:fill="FFFFFF"/>
            <w:noWrap/>
            <w:vAlign w:val="center"/>
            <w:hideMark/>
          </w:tcPr>
          <w:p w14:paraId="7BC6EB90" w14:textId="7EC383C3" w:rsidR="00D67835" w:rsidRPr="0023319B" w:rsidRDefault="00D67835" w:rsidP="00D67835">
            <w:pPr>
              <w:spacing w:line="240" w:lineRule="auto"/>
              <w:jc w:val="center"/>
              <w:rPr>
                <w:rFonts w:ascii="Calibri Light" w:hAnsi="Calibri Light" w:cs="Calibri Light"/>
                <w:sz w:val="18"/>
                <w:szCs w:val="18"/>
                <w:lang w:val="es-CR" w:eastAsia="es-CR"/>
              </w:rPr>
            </w:pPr>
            <w:r w:rsidRPr="0023319B">
              <w:rPr>
                <w:rFonts w:ascii="Calibri Light" w:hAnsi="Calibri Light" w:cs="Calibri Light"/>
                <w:sz w:val="18"/>
                <w:szCs w:val="18"/>
                <w:lang w:val="es-CR"/>
              </w:rPr>
              <w:t>03</w:t>
            </w:r>
          </w:p>
        </w:tc>
        <w:tc>
          <w:tcPr>
            <w:tcW w:w="2906" w:type="dxa"/>
            <w:tcBorders>
              <w:top w:val="nil"/>
              <w:left w:val="nil"/>
              <w:bottom w:val="single" w:sz="4" w:space="0" w:color="auto"/>
              <w:right w:val="single" w:sz="4" w:space="0" w:color="auto"/>
            </w:tcBorders>
            <w:shd w:val="clear" w:color="000000" w:fill="FFFFFF"/>
            <w:noWrap/>
            <w:vAlign w:val="center"/>
            <w:hideMark/>
          </w:tcPr>
          <w:p w14:paraId="1947FDB5" w14:textId="57BE22A4" w:rsidR="00D67835" w:rsidRPr="0023319B" w:rsidRDefault="00D67835" w:rsidP="00D67835">
            <w:pPr>
              <w:spacing w:line="240" w:lineRule="auto"/>
              <w:jc w:val="left"/>
              <w:rPr>
                <w:rFonts w:ascii="Calibri Light" w:hAnsi="Calibri Light" w:cs="Calibri Light"/>
                <w:sz w:val="18"/>
                <w:szCs w:val="18"/>
                <w:lang w:val="es-CR" w:eastAsia="es-CR"/>
              </w:rPr>
            </w:pPr>
            <w:r w:rsidRPr="0023319B">
              <w:rPr>
                <w:rFonts w:ascii="Calibri Light" w:hAnsi="Calibri Light" w:cs="Calibri Light"/>
                <w:sz w:val="18"/>
                <w:szCs w:val="18"/>
                <w:lang w:val="es-CR"/>
              </w:rPr>
              <w:t>Asistente Servicios Institucionales 2</w:t>
            </w:r>
          </w:p>
        </w:tc>
        <w:tc>
          <w:tcPr>
            <w:tcW w:w="1063" w:type="dxa"/>
            <w:tcBorders>
              <w:top w:val="nil"/>
              <w:left w:val="nil"/>
              <w:bottom w:val="single" w:sz="4" w:space="0" w:color="auto"/>
              <w:right w:val="single" w:sz="4" w:space="0" w:color="auto"/>
            </w:tcBorders>
            <w:shd w:val="clear" w:color="000000" w:fill="FFFFFF"/>
            <w:noWrap/>
            <w:vAlign w:val="center"/>
            <w:hideMark/>
          </w:tcPr>
          <w:p w14:paraId="79DCCF1C" w14:textId="2A3A2388" w:rsidR="00D67835" w:rsidRPr="0023319B" w:rsidRDefault="00D67835" w:rsidP="00D67835">
            <w:pPr>
              <w:spacing w:line="240" w:lineRule="auto"/>
              <w:jc w:val="center"/>
              <w:rPr>
                <w:rFonts w:ascii="Calibri Light" w:hAnsi="Calibri Light" w:cs="Calibri Light"/>
                <w:sz w:val="18"/>
                <w:szCs w:val="18"/>
                <w:lang w:val="es-CR" w:eastAsia="es-CR"/>
              </w:rPr>
            </w:pPr>
            <w:r w:rsidRPr="0023319B">
              <w:rPr>
                <w:rFonts w:ascii="Calibri Light" w:hAnsi="Calibri Light" w:cs="Calibri Light"/>
                <w:sz w:val="18"/>
                <w:szCs w:val="18"/>
                <w:lang w:val="es-CR"/>
              </w:rPr>
              <w:t>Global</w:t>
            </w:r>
          </w:p>
        </w:tc>
        <w:tc>
          <w:tcPr>
            <w:tcW w:w="992" w:type="dxa"/>
            <w:tcBorders>
              <w:top w:val="nil"/>
              <w:left w:val="nil"/>
              <w:bottom w:val="single" w:sz="4" w:space="0" w:color="auto"/>
              <w:right w:val="single" w:sz="4" w:space="0" w:color="auto"/>
            </w:tcBorders>
            <w:shd w:val="clear" w:color="000000" w:fill="FFFFFF"/>
            <w:noWrap/>
            <w:vAlign w:val="center"/>
            <w:hideMark/>
          </w:tcPr>
          <w:p w14:paraId="27025484" w14:textId="13E31E05" w:rsidR="00D67835" w:rsidRPr="0023319B" w:rsidRDefault="00D67835" w:rsidP="00D67835">
            <w:pPr>
              <w:spacing w:line="240" w:lineRule="auto"/>
              <w:jc w:val="right"/>
              <w:rPr>
                <w:rFonts w:ascii="Calibri Light" w:hAnsi="Calibri Light" w:cs="Calibri Light"/>
                <w:sz w:val="18"/>
                <w:szCs w:val="18"/>
                <w:lang w:val="es-CR" w:eastAsia="es-CR"/>
              </w:rPr>
            </w:pPr>
            <w:r w:rsidRPr="0023319B">
              <w:rPr>
                <w:rFonts w:ascii="Calibri Light" w:hAnsi="Calibri Light" w:cs="Calibri Light"/>
                <w:sz w:val="18"/>
                <w:szCs w:val="18"/>
                <w:lang w:val="es-CR"/>
              </w:rPr>
              <w:t>152,786</w:t>
            </w:r>
          </w:p>
        </w:tc>
        <w:tc>
          <w:tcPr>
            <w:tcW w:w="1134" w:type="dxa"/>
            <w:tcBorders>
              <w:top w:val="nil"/>
              <w:left w:val="nil"/>
              <w:bottom w:val="single" w:sz="4" w:space="0" w:color="auto"/>
              <w:right w:val="single" w:sz="4" w:space="0" w:color="auto"/>
            </w:tcBorders>
            <w:shd w:val="clear" w:color="000000" w:fill="FFFFFF"/>
            <w:noWrap/>
            <w:vAlign w:val="center"/>
            <w:hideMark/>
          </w:tcPr>
          <w:p w14:paraId="1F7122CC" w14:textId="1D56E376" w:rsidR="00D67835" w:rsidRPr="0023319B" w:rsidRDefault="00D67835" w:rsidP="00D67835">
            <w:pPr>
              <w:spacing w:line="240" w:lineRule="auto"/>
              <w:jc w:val="center"/>
              <w:rPr>
                <w:rFonts w:ascii="Calibri Light" w:hAnsi="Calibri Light" w:cs="Calibri Light"/>
                <w:sz w:val="18"/>
                <w:szCs w:val="18"/>
                <w:lang w:val="es-CR" w:eastAsia="es-CR"/>
              </w:rPr>
            </w:pPr>
            <w:r w:rsidRPr="0023319B">
              <w:rPr>
                <w:rFonts w:ascii="Calibri Light" w:hAnsi="Calibri Light" w:cs="Calibri Light"/>
                <w:sz w:val="18"/>
                <w:szCs w:val="18"/>
                <w:lang w:val="es-CR"/>
              </w:rPr>
              <w:t>6</w:t>
            </w:r>
          </w:p>
        </w:tc>
        <w:tc>
          <w:tcPr>
            <w:tcW w:w="1134" w:type="dxa"/>
            <w:tcBorders>
              <w:top w:val="nil"/>
              <w:left w:val="nil"/>
              <w:bottom w:val="single" w:sz="4" w:space="0" w:color="auto"/>
              <w:right w:val="single" w:sz="4" w:space="0" w:color="auto"/>
            </w:tcBorders>
            <w:shd w:val="clear" w:color="000000" w:fill="FFFFFF"/>
            <w:noWrap/>
            <w:vAlign w:val="center"/>
            <w:hideMark/>
          </w:tcPr>
          <w:p w14:paraId="5250B397" w14:textId="03A434F7" w:rsidR="00D67835" w:rsidRPr="0023319B" w:rsidRDefault="00D67835" w:rsidP="00D67835">
            <w:pPr>
              <w:spacing w:line="240" w:lineRule="auto"/>
              <w:jc w:val="right"/>
              <w:rPr>
                <w:rFonts w:ascii="Calibri Light" w:hAnsi="Calibri Light" w:cs="Calibri Light"/>
                <w:sz w:val="18"/>
                <w:szCs w:val="18"/>
                <w:lang w:val="es-CR" w:eastAsia="es-CR"/>
              </w:rPr>
            </w:pPr>
            <w:r w:rsidRPr="0023319B">
              <w:rPr>
                <w:rFonts w:ascii="Calibri Light" w:hAnsi="Calibri Light" w:cs="Calibri Light"/>
                <w:sz w:val="18"/>
                <w:szCs w:val="18"/>
                <w:lang w:val="es-CR"/>
              </w:rPr>
              <w:t>50,058</w:t>
            </w:r>
          </w:p>
        </w:tc>
      </w:tr>
      <w:tr w:rsidR="00D67835" w:rsidRPr="0023319B" w14:paraId="3FA2EF65" w14:textId="77777777" w:rsidTr="00DF5E7F">
        <w:trPr>
          <w:trHeight w:val="300"/>
        </w:trPr>
        <w:tc>
          <w:tcPr>
            <w:tcW w:w="988" w:type="dxa"/>
            <w:tcBorders>
              <w:top w:val="nil"/>
              <w:left w:val="single" w:sz="4" w:space="0" w:color="auto"/>
              <w:bottom w:val="single" w:sz="4" w:space="0" w:color="auto"/>
              <w:right w:val="single" w:sz="4" w:space="0" w:color="auto"/>
            </w:tcBorders>
            <w:shd w:val="clear" w:color="000000" w:fill="D9D9D9"/>
            <w:noWrap/>
            <w:vAlign w:val="center"/>
            <w:hideMark/>
          </w:tcPr>
          <w:p w14:paraId="7F4E0873" w14:textId="3D464CF5" w:rsidR="00D67835" w:rsidRPr="0023319B" w:rsidRDefault="00D67835" w:rsidP="00D67835">
            <w:pPr>
              <w:spacing w:line="240" w:lineRule="auto"/>
              <w:jc w:val="center"/>
              <w:rPr>
                <w:rFonts w:ascii="Calibri Light" w:hAnsi="Calibri Light" w:cs="Calibri Light"/>
                <w:sz w:val="18"/>
                <w:szCs w:val="18"/>
                <w:lang w:val="es-CR" w:eastAsia="es-CR"/>
              </w:rPr>
            </w:pPr>
            <w:r w:rsidRPr="0023319B">
              <w:rPr>
                <w:rFonts w:ascii="Calibri Light" w:hAnsi="Calibri Light" w:cs="Calibri Light"/>
                <w:sz w:val="18"/>
                <w:szCs w:val="18"/>
                <w:lang w:val="es-CR"/>
              </w:rPr>
              <w:t>05</w:t>
            </w:r>
          </w:p>
        </w:tc>
        <w:tc>
          <w:tcPr>
            <w:tcW w:w="2906" w:type="dxa"/>
            <w:tcBorders>
              <w:top w:val="nil"/>
              <w:left w:val="nil"/>
              <w:bottom w:val="single" w:sz="4" w:space="0" w:color="auto"/>
              <w:right w:val="single" w:sz="4" w:space="0" w:color="auto"/>
            </w:tcBorders>
            <w:shd w:val="clear" w:color="000000" w:fill="D9D9D9"/>
            <w:noWrap/>
            <w:vAlign w:val="center"/>
            <w:hideMark/>
          </w:tcPr>
          <w:p w14:paraId="6FA72FAA" w14:textId="0AA33143" w:rsidR="00D67835" w:rsidRPr="0023319B" w:rsidRDefault="00D67835" w:rsidP="00D67835">
            <w:pPr>
              <w:spacing w:line="240" w:lineRule="auto"/>
              <w:jc w:val="left"/>
              <w:rPr>
                <w:rFonts w:ascii="Calibri Light" w:hAnsi="Calibri Light" w:cs="Calibri Light"/>
                <w:sz w:val="18"/>
                <w:szCs w:val="18"/>
                <w:lang w:val="es-CR" w:eastAsia="es-CR"/>
              </w:rPr>
            </w:pPr>
            <w:r w:rsidRPr="0023319B">
              <w:rPr>
                <w:rFonts w:ascii="Calibri Light" w:hAnsi="Calibri Light" w:cs="Calibri Light"/>
                <w:sz w:val="18"/>
                <w:szCs w:val="18"/>
                <w:lang w:val="es-CR"/>
              </w:rPr>
              <w:t>Técnico Servicios Institucionales 2</w:t>
            </w:r>
          </w:p>
        </w:tc>
        <w:tc>
          <w:tcPr>
            <w:tcW w:w="1063" w:type="dxa"/>
            <w:tcBorders>
              <w:top w:val="nil"/>
              <w:left w:val="nil"/>
              <w:bottom w:val="single" w:sz="4" w:space="0" w:color="auto"/>
              <w:right w:val="single" w:sz="4" w:space="0" w:color="auto"/>
            </w:tcBorders>
            <w:shd w:val="clear" w:color="000000" w:fill="D9D9D9"/>
            <w:noWrap/>
            <w:vAlign w:val="center"/>
            <w:hideMark/>
          </w:tcPr>
          <w:p w14:paraId="7BDC91C1" w14:textId="35BFF1A0" w:rsidR="00D67835" w:rsidRPr="0023319B" w:rsidRDefault="00D67835" w:rsidP="00D67835">
            <w:pPr>
              <w:spacing w:line="240" w:lineRule="auto"/>
              <w:jc w:val="center"/>
              <w:rPr>
                <w:rFonts w:ascii="Calibri Light" w:hAnsi="Calibri Light" w:cs="Calibri Light"/>
                <w:sz w:val="18"/>
                <w:szCs w:val="18"/>
                <w:lang w:val="es-CR" w:eastAsia="es-CR"/>
              </w:rPr>
            </w:pPr>
            <w:r w:rsidRPr="0023319B">
              <w:rPr>
                <w:rFonts w:ascii="Calibri Light" w:hAnsi="Calibri Light" w:cs="Calibri Light"/>
                <w:sz w:val="18"/>
                <w:szCs w:val="18"/>
                <w:lang w:val="es-CR"/>
              </w:rPr>
              <w:t>Global</w:t>
            </w:r>
          </w:p>
        </w:tc>
        <w:tc>
          <w:tcPr>
            <w:tcW w:w="992" w:type="dxa"/>
            <w:tcBorders>
              <w:top w:val="nil"/>
              <w:left w:val="nil"/>
              <w:bottom w:val="single" w:sz="4" w:space="0" w:color="auto"/>
              <w:right w:val="single" w:sz="4" w:space="0" w:color="auto"/>
            </w:tcBorders>
            <w:shd w:val="clear" w:color="000000" w:fill="D9D9D9"/>
            <w:noWrap/>
            <w:vAlign w:val="center"/>
            <w:hideMark/>
          </w:tcPr>
          <w:p w14:paraId="57D082D6" w14:textId="266616D4" w:rsidR="00D67835" w:rsidRPr="0023319B" w:rsidRDefault="00D67835" w:rsidP="00D67835">
            <w:pPr>
              <w:spacing w:line="240" w:lineRule="auto"/>
              <w:jc w:val="right"/>
              <w:rPr>
                <w:rFonts w:ascii="Calibri Light" w:hAnsi="Calibri Light" w:cs="Calibri Light"/>
                <w:sz w:val="18"/>
                <w:szCs w:val="18"/>
                <w:lang w:val="es-CR" w:eastAsia="es-CR"/>
              </w:rPr>
            </w:pPr>
            <w:r w:rsidRPr="0023319B">
              <w:rPr>
                <w:rFonts w:ascii="Calibri Light" w:hAnsi="Calibri Light" w:cs="Calibri Light"/>
                <w:sz w:val="18"/>
                <w:szCs w:val="18"/>
                <w:lang w:val="es-CR"/>
              </w:rPr>
              <w:t>209,685</w:t>
            </w:r>
          </w:p>
        </w:tc>
        <w:tc>
          <w:tcPr>
            <w:tcW w:w="1134" w:type="dxa"/>
            <w:tcBorders>
              <w:top w:val="nil"/>
              <w:left w:val="nil"/>
              <w:bottom w:val="single" w:sz="4" w:space="0" w:color="auto"/>
              <w:right w:val="single" w:sz="4" w:space="0" w:color="auto"/>
            </w:tcBorders>
            <w:shd w:val="clear" w:color="000000" w:fill="D9D9D9"/>
            <w:noWrap/>
            <w:vAlign w:val="center"/>
            <w:hideMark/>
          </w:tcPr>
          <w:p w14:paraId="753830F8" w14:textId="0376A633" w:rsidR="00D67835" w:rsidRPr="0023319B" w:rsidRDefault="00D67835" w:rsidP="00D67835">
            <w:pPr>
              <w:spacing w:line="240" w:lineRule="auto"/>
              <w:jc w:val="center"/>
              <w:rPr>
                <w:rFonts w:ascii="Calibri Light" w:hAnsi="Calibri Light" w:cs="Calibri Light"/>
                <w:sz w:val="18"/>
                <w:szCs w:val="18"/>
                <w:lang w:val="es-CR" w:eastAsia="es-CR"/>
              </w:rPr>
            </w:pPr>
            <w:r w:rsidRPr="0023319B">
              <w:rPr>
                <w:rFonts w:ascii="Calibri Light" w:hAnsi="Calibri Light" w:cs="Calibri Light"/>
                <w:sz w:val="18"/>
                <w:szCs w:val="18"/>
                <w:lang w:val="es-CR"/>
              </w:rPr>
              <w:t>1</w:t>
            </w:r>
          </w:p>
        </w:tc>
        <w:tc>
          <w:tcPr>
            <w:tcW w:w="1134" w:type="dxa"/>
            <w:tcBorders>
              <w:top w:val="nil"/>
              <w:left w:val="nil"/>
              <w:bottom w:val="single" w:sz="4" w:space="0" w:color="auto"/>
              <w:right w:val="single" w:sz="4" w:space="0" w:color="auto"/>
            </w:tcBorders>
            <w:shd w:val="clear" w:color="000000" w:fill="D9D9D9"/>
            <w:noWrap/>
            <w:vAlign w:val="center"/>
            <w:hideMark/>
          </w:tcPr>
          <w:p w14:paraId="07BB8326" w14:textId="1F293DB4" w:rsidR="00D67835" w:rsidRPr="0023319B" w:rsidRDefault="00D67835" w:rsidP="00D67835">
            <w:pPr>
              <w:spacing w:line="240" w:lineRule="auto"/>
              <w:jc w:val="right"/>
              <w:rPr>
                <w:rFonts w:ascii="Calibri Light" w:hAnsi="Calibri Light" w:cs="Calibri Light"/>
                <w:sz w:val="18"/>
                <w:szCs w:val="18"/>
                <w:lang w:val="es-CR" w:eastAsia="es-CR"/>
              </w:rPr>
            </w:pPr>
            <w:r w:rsidRPr="0023319B">
              <w:rPr>
                <w:rFonts w:ascii="Calibri Light" w:hAnsi="Calibri Light" w:cs="Calibri Light"/>
                <w:sz w:val="18"/>
                <w:szCs w:val="18"/>
                <w:lang w:val="es-CR"/>
              </w:rPr>
              <w:t>10,955</w:t>
            </w:r>
          </w:p>
        </w:tc>
      </w:tr>
      <w:tr w:rsidR="00D67835" w:rsidRPr="0023319B" w14:paraId="1D5A24B0" w14:textId="77777777" w:rsidTr="00DF5E7F">
        <w:trPr>
          <w:trHeight w:val="300"/>
        </w:trPr>
        <w:tc>
          <w:tcPr>
            <w:tcW w:w="988" w:type="dxa"/>
            <w:tcBorders>
              <w:top w:val="nil"/>
              <w:left w:val="single" w:sz="4" w:space="0" w:color="auto"/>
              <w:bottom w:val="single" w:sz="4" w:space="0" w:color="auto"/>
              <w:right w:val="single" w:sz="4" w:space="0" w:color="auto"/>
            </w:tcBorders>
            <w:shd w:val="clear" w:color="000000" w:fill="FFFFFF"/>
            <w:noWrap/>
            <w:vAlign w:val="center"/>
            <w:hideMark/>
          </w:tcPr>
          <w:p w14:paraId="68C6BE12" w14:textId="4C43CC62" w:rsidR="00D67835" w:rsidRPr="0023319B" w:rsidRDefault="00D67835" w:rsidP="00D67835">
            <w:pPr>
              <w:spacing w:line="240" w:lineRule="auto"/>
              <w:jc w:val="center"/>
              <w:rPr>
                <w:rFonts w:ascii="Calibri Light" w:hAnsi="Calibri Light" w:cs="Calibri Light"/>
                <w:sz w:val="18"/>
                <w:szCs w:val="18"/>
                <w:lang w:val="es-CR" w:eastAsia="es-CR"/>
              </w:rPr>
            </w:pPr>
            <w:r w:rsidRPr="0023319B">
              <w:rPr>
                <w:rFonts w:ascii="Calibri Light" w:hAnsi="Calibri Light" w:cs="Calibri Light"/>
                <w:sz w:val="18"/>
                <w:szCs w:val="18"/>
                <w:lang w:val="es-CR"/>
              </w:rPr>
              <w:t>07</w:t>
            </w:r>
          </w:p>
        </w:tc>
        <w:tc>
          <w:tcPr>
            <w:tcW w:w="2906" w:type="dxa"/>
            <w:tcBorders>
              <w:top w:val="nil"/>
              <w:left w:val="nil"/>
              <w:bottom w:val="single" w:sz="4" w:space="0" w:color="auto"/>
              <w:right w:val="single" w:sz="4" w:space="0" w:color="auto"/>
            </w:tcBorders>
            <w:shd w:val="clear" w:color="000000" w:fill="FFFFFF"/>
            <w:noWrap/>
            <w:vAlign w:val="center"/>
            <w:hideMark/>
          </w:tcPr>
          <w:p w14:paraId="2B76A436" w14:textId="2F28DC42" w:rsidR="00D67835" w:rsidRPr="0023319B" w:rsidRDefault="00D67835" w:rsidP="00D67835">
            <w:pPr>
              <w:spacing w:line="240" w:lineRule="auto"/>
              <w:jc w:val="left"/>
              <w:rPr>
                <w:rFonts w:ascii="Calibri Light" w:hAnsi="Calibri Light" w:cs="Calibri Light"/>
                <w:sz w:val="18"/>
                <w:szCs w:val="18"/>
                <w:lang w:val="es-CR" w:eastAsia="es-CR"/>
              </w:rPr>
            </w:pPr>
            <w:r w:rsidRPr="0023319B">
              <w:rPr>
                <w:rFonts w:ascii="Calibri Light" w:hAnsi="Calibri Light" w:cs="Calibri Light"/>
                <w:sz w:val="18"/>
                <w:szCs w:val="18"/>
                <w:lang w:val="es-CR"/>
              </w:rPr>
              <w:t>Profesional Gestión Bancaria 2</w:t>
            </w:r>
          </w:p>
        </w:tc>
        <w:tc>
          <w:tcPr>
            <w:tcW w:w="1063" w:type="dxa"/>
            <w:tcBorders>
              <w:top w:val="nil"/>
              <w:left w:val="nil"/>
              <w:bottom w:val="single" w:sz="4" w:space="0" w:color="auto"/>
              <w:right w:val="single" w:sz="4" w:space="0" w:color="auto"/>
            </w:tcBorders>
            <w:shd w:val="clear" w:color="000000" w:fill="FFFFFF"/>
            <w:noWrap/>
            <w:vAlign w:val="center"/>
            <w:hideMark/>
          </w:tcPr>
          <w:p w14:paraId="01868622" w14:textId="2323C078" w:rsidR="00D67835" w:rsidRPr="0023319B" w:rsidRDefault="00D67835" w:rsidP="00D67835">
            <w:pPr>
              <w:spacing w:line="240" w:lineRule="auto"/>
              <w:jc w:val="center"/>
              <w:rPr>
                <w:rFonts w:ascii="Calibri Light" w:hAnsi="Calibri Light" w:cs="Calibri Light"/>
                <w:sz w:val="18"/>
                <w:szCs w:val="18"/>
                <w:lang w:val="es-CR" w:eastAsia="es-CR"/>
              </w:rPr>
            </w:pPr>
            <w:r w:rsidRPr="0023319B">
              <w:rPr>
                <w:rFonts w:ascii="Calibri Light" w:hAnsi="Calibri Light" w:cs="Calibri Light"/>
                <w:sz w:val="18"/>
                <w:szCs w:val="18"/>
                <w:lang w:val="es-CR"/>
              </w:rPr>
              <w:t>Global</w:t>
            </w:r>
          </w:p>
        </w:tc>
        <w:tc>
          <w:tcPr>
            <w:tcW w:w="992" w:type="dxa"/>
            <w:tcBorders>
              <w:top w:val="nil"/>
              <w:left w:val="nil"/>
              <w:bottom w:val="single" w:sz="4" w:space="0" w:color="auto"/>
              <w:right w:val="single" w:sz="4" w:space="0" w:color="auto"/>
            </w:tcBorders>
            <w:shd w:val="clear" w:color="000000" w:fill="FFFFFF"/>
            <w:noWrap/>
            <w:vAlign w:val="center"/>
            <w:hideMark/>
          </w:tcPr>
          <w:p w14:paraId="20D48A04" w14:textId="41457D16" w:rsidR="00D67835" w:rsidRPr="0023319B" w:rsidRDefault="00D67835" w:rsidP="00D67835">
            <w:pPr>
              <w:spacing w:line="240" w:lineRule="auto"/>
              <w:jc w:val="right"/>
              <w:rPr>
                <w:rFonts w:ascii="Calibri Light" w:hAnsi="Calibri Light" w:cs="Calibri Light"/>
                <w:sz w:val="18"/>
                <w:szCs w:val="18"/>
                <w:lang w:val="es-CR" w:eastAsia="es-CR"/>
              </w:rPr>
            </w:pPr>
            <w:r w:rsidRPr="0023319B">
              <w:rPr>
                <w:rFonts w:ascii="Calibri Light" w:hAnsi="Calibri Light" w:cs="Calibri Light"/>
                <w:sz w:val="18"/>
                <w:szCs w:val="18"/>
                <w:lang w:val="es-CR"/>
              </w:rPr>
              <w:t>330,399</w:t>
            </w:r>
          </w:p>
        </w:tc>
        <w:tc>
          <w:tcPr>
            <w:tcW w:w="1134" w:type="dxa"/>
            <w:tcBorders>
              <w:top w:val="nil"/>
              <w:left w:val="nil"/>
              <w:bottom w:val="single" w:sz="4" w:space="0" w:color="auto"/>
              <w:right w:val="single" w:sz="4" w:space="0" w:color="auto"/>
            </w:tcBorders>
            <w:shd w:val="clear" w:color="000000" w:fill="FFFFFF"/>
            <w:noWrap/>
            <w:vAlign w:val="center"/>
            <w:hideMark/>
          </w:tcPr>
          <w:p w14:paraId="14BF6FC2" w14:textId="2709BFEA" w:rsidR="00D67835" w:rsidRPr="0023319B" w:rsidRDefault="00D67835" w:rsidP="00D67835">
            <w:pPr>
              <w:spacing w:line="240" w:lineRule="auto"/>
              <w:jc w:val="center"/>
              <w:rPr>
                <w:rFonts w:ascii="Calibri Light" w:hAnsi="Calibri Light" w:cs="Calibri Light"/>
                <w:sz w:val="18"/>
                <w:szCs w:val="18"/>
                <w:lang w:val="es-CR" w:eastAsia="es-CR"/>
              </w:rPr>
            </w:pPr>
            <w:r w:rsidRPr="0023319B">
              <w:rPr>
                <w:rFonts w:ascii="Calibri Light" w:hAnsi="Calibri Light" w:cs="Calibri Light"/>
                <w:sz w:val="18"/>
                <w:szCs w:val="18"/>
                <w:lang w:val="es-CR"/>
              </w:rPr>
              <w:t>2</w:t>
            </w:r>
          </w:p>
        </w:tc>
        <w:tc>
          <w:tcPr>
            <w:tcW w:w="1134" w:type="dxa"/>
            <w:tcBorders>
              <w:top w:val="nil"/>
              <w:left w:val="nil"/>
              <w:bottom w:val="single" w:sz="4" w:space="0" w:color="auto"/>
              <w:right w:val="single" w:sz="4" w:space="0" w:color="auto"/>
            </w:tcBorders>
            <w:shd w:val="clear" w:color="000000" w:fill="FFFFFF"/>
            <w:noWrap/>
            <w:vAlign w:val="center"/>
            <w:hideMark/>
          </w:tcPr>
          <w:p w14:paraId="0F2F1C37" w14:textId="6CBFCBC4" w:rsidR="00D67835" w:rsidRPr="0023319B" w:rsidRDefault="00D67835" w:rsidP="00D67835">
            <w:pPr>
              <w:spacing w:line="240" w:lineRule="auto"/>
              <w:jc w:val="right"/>
              <w:rPr>
                <w:rFonts w:ascii="Calibri Light" w:hAnsi="Calibri Light" w:cs="Calibri Light"/>
                <w:sz w:val="18"/>
                <w:szCs w:val="18"/>
                <w:lang w:val="es-CR" w:eastAsia="es-CR"/>
              </w:rPr>
            </w:pPr>
            <w:r w:rsidRPr="0023319B">
              <w:rPr>
                <w:rFonts w:ascii="Calibri Light" w:hAnsi="Calibri Light" w:cs="Calibri Light"/>
                <w:sz w:val="18"/>
                <w:szCs w:val="18"/>
                <w:lang w:val="es-CR"/>
              </w:rPr>
              <w:t>37,761</w:t>
            </w:r>
          </w:p>
        </w:tc>
      </w:tr>
      <w:tr w:rsidR="00D67835" w:rsidRPr="0023319B" w14:paraId="55FA8A2F" w14:textId="77777777" w:rsidTr="00DF5E7F">
        <w:trPr>
          <w:trHeight w:val="300"/>
        </w:trPr>
        <w:tc>
          <w:tcPr>
            <w:tcW w:w="988" w:type="dxa"/>
            <w:tcBorders>
              <w:top w:val="nil"/>
              <w:left w:val="single" w:sz="4" w:space="0" w:color="auto"/>
              <w:bottom w:val="single" w:sz="4" w:space="0" w:color="auto"/>
              <w:right w:val="single" w:sz="4" w:space="0" w:color="auto"/>
            </w:tcBorders>
            <w:shd w:val="clear" w:color="000000" w:fill="D9D9D9"/>
            <w:noWrap/>
            <w:vAlign w:val="center"/>
            <w:hideMark/>
          </w:tcPr>
          <w:p w14:paraId="263E46B3" w14:textId="34554A6D" w:rsidR="00D67835" w:rsidRPr="0023319B" w:rsidRDefault="00D67835" w:rsidP="00D67835">
            <w:pPr>
              <w:spacing w:line="240" w:lineRule="auto"/>
              <w:jc w:val="center"/>
              <w:rPr>
                <w:rFonts w:ascii="Calibri Light" w:hAnsi="Calibri Light" w:cs="Calibri Light"/>
                <w:sz w:val="18"/>
                <w:szCs w:val="18"/>
                <w:lang w:val="es-CR" w:eastAsia="es-CR"/>
              </w:rPr>
            </w:pPr>
            <w:r w:rsidRPr="0023319B">
              <w:rPr>
                <w:rFonts w:ascii="Calibri Light" w:hAnsi="Calibri Light" w:cs="Calibri Light"/>
                <w:sz w:val="18"/>
                <w:szCs w:val="18"/>
                <w:lang w:val="es-CR"/>
              </w:rPr>
              <w:t>07</w:t>
            </w:r>
          </w:p>
        </w:tc>
        <w:tc>
          <w:tcPr>
            <w:tcW w:w="2906" w:type="dxa"/>
            <w:tcBorders>
              <w:top w:val="nil"/>
              <w:left w:val="nil"/>
              <w:bottom w:val="single" w:sz="4" w:space="0" w:color="auto"/>
              <w:right w:val="single" w:sz="4" w:space="0" w:color="auto"/>
            </w:tcBorders>
            <w:shd w:val="clear" w:color="000000" w:fill="D9D9D9"/>
            <w:noWrap/>
            <w:vAlign w:val="center"/>
            <w:hideMark/>
          </w:tcPr>
          <w:p w14:paraId="3E2AF930" w14:textId="0BF20264" w:rsidR="00D67835" w:rsidRPr="0023319B" w:rsidRDefault="00D67835" w:rsidP="00D67835">
            <w:pPr>
              <w:spacing w:line="240" w:lineRule="auto"/>
              <w:jc w:val="left"/>
              <w:rPr>
                <w:rFonts w:ascii="Calibri Light" w:hAnsi="Calibri Light" w:cs="Calibri Light"/>
                <w:sz w:val="18"/>
                <w:szCs w:val="18"/>
                <w:lang w:val="es-CR" w:eastAsia="es-CR"/>
              </w:rPr>
            </w:pPr>
            <w:r w:rsidRPr="0023319B">
              <w:rPr>
                <w:rFonts w:ascii="Calibri Light" w:hAnsi="Calibri Light" w:cs="Calibri Light"/>
                <w:sz w:val="18"/>
                <w:szCs w:val="18"/>
                <w:lang w:val="es-CR"/>
              </w:rPr>
              <w:t>Supervisor 1</w:t>
            </w:r>
          </w:p>
        </w:tc>
        <w:tc>
          <w:tcPr>
            <w:tcW w:w="1063" w:type="dxa"/>
            <w:tcBorders>
              <w:top w:val="nil"/>
              <w:left w:val="nil"/>
              <w:bottom w:val="single" w:sz="4" w:space="0" w:color="auto"/>
              <w:right w:val="single" w:sz="4" w:space="0" w:color="auto"/>
            </w:tcBorders>
            <w:shd w:val="clear" w:color="000000" w:fill="D9D9D9"/>
            <w:noWrap/>
            <w:vAlign w:val="center"/>
            <w:hideMark/>
          </w:tcPr>
          <w:p w14:paraId="11A67275" w14:textId="1D389869" w:rsidR="00D67835" w:rsidRPr="0023319B" w:rsidRDefault="00D67835" w:rsidP="00D67835">
            <w:pPr>
              <w:spacing w:line="240" w:lineRule="auto"/>
              <w:jc w:val="center"/>
              <w:rPr>
                <w:rFonts w:ascii="Calibri Light" w:hAnsi="Calibri Light" w:cs="Calibri Light"/>
                <w:sz w:val="18"/>
                <w:szCs w:val="18"/>
                <w:lang w:val="es-CR" w:eastAsia="es-CR"/>
              </w:rPr>
            </w:pPr>
            <w:r w:rsidRPr="0023319B">
              <w:rPr>
                <w:rFonts w:ascii="Calibri Light" w:hAnsi="Calibri Light" w:cs="Calibri Light"/>
                <w:sz w:val="18"/>
                <w:szCs w:val="18"/>
                <w:lang w:val="es-CR"/>
              </w:rPr>
              <w:t>Global</w:t>
            </w:r>
          </w:p>
        </w:tc>
        <w:tc>
          <w:tcPr>
            <w:tcW w:w="992" w:type="dxa"/>
            <w:tcBorders>
              <w:top w:val="nil"/>
              <w:left w:val="nil"/>
              <w:bottom w:val="single" w:sz="4" w:space="0" w:color="auto"/>
              <w:right w:val="single" w:sz="4" w:space="0" w:color="auto"/>
            </w:tcBorders>
            <w:shd w:val="clear" w:color="000000" w:fill="D9D9D9"/>
            <w:noWrap/>
            <w:vAlign w:val="center"/>
            <w:hideMark/>
          </w:tcPr>
          <w:p w14:paraId="39819D5D" w14:textId="534EBA3F" w:rsidR="00D67835" w:rsidRPr="0023319B" w:rsidRDefault="00D67835" w:rsidP="00D67835">
            <w:pPr>
              <w:spacing w:line="240" w:lineRule="auto"/>
              <w:jc w:val="right"/>
              <w:rPr>
                <w:rFonts w:ascii="Calibri Light" w:hAnsi="Calibri Light" w:cs="Calibri Light"/>
                <w:sz w:val="18"/>
                <w:szCs w:val="18"/>
                <w:lang w:val="es-CR" w:eastAsia="es-CR"/>
              </w:rPr>
            </w:pPr>
            <w:r w:rsidRPr="0023319B">
              <w:rPr>
                <w:rFonts w:ascii="Calibri Light" w:hAnsi="Calibri Light" w:cs="Calibri Light"/>
                <w:sz w:val="18"/>
                <w:szCs w:val="18"/>
                <w:lang w:val="es-CR"/>
              </w:rPr>
              <w:t>330,399</w:t>
            </w:r>
          </w:p>
        </w:tc>
        <w:tc>
          <w:tcPr>
            <w:tcW w:w="1134" w:type="dxa"/>
            <w:tcBorders>
              <w:top w:val="nil"/>
              <w:left w:val="nil"/>
              <w:bottom w:val="single" w:sz="4" w:space="0" w:color="auto"/>
              <w:right w:val="single" w:sz="4" w:space="0" w:color="auto"/>
            </w:tcBorders>
            <w:shd w:val="clear" w:color="000000" w:fill="D9D9D9"/>
            <w:noWrap/>
            <w:vAlign w:val="center"/>
            <w:hideMark/>
          </w:tcPr>
          <w:p w14:paraId="3C7ECEBA" w14:textId="0F3FFEAB" w:rsidR="00D67835" w:rsidRPr="0023319B" w:rsidRDefault="00D67835" w:rsidP="00D67835">
            <w:pPr>
              <w:spacing w:line="240" w:lineRule="auto"/>
              <w:jc w:val="center"/>
              <w:rPr>
                <w:rFonts w:ascii="Calibri Light" w:hAnsi="Calibri Light" w:cs="Calibri Light"/>
                <w:sz w:val="18"/>
                <w:szCs w:val="18"/>
                <w:lang w:val="es-CR" w:eastAsia="es-CR"/>
              </w:rPr>
            </w:pPr>
            <w:r w:rsidRPr="0023319B">
              <w:rPr>
                <w:rFonts w:ascii="Calibri Light" w:hAnsi="Calibri Light" w:cs="Calibri Light"/>
                <w:sz w:val="18"/>
                <w:szCs w:val="18"/>
                <w:lang w:val="es-CR"/>
              </w:rPr>
              <w:t>8</w:t>
            </w:r>
          </w:p>
        </w:tc>
        <w:tc>
          <w:tcPr>
            <w:tcW w:w="1134" w:type="dxa"/>
            <w:tcBorders>
              <w:top w:val="nil"/>
              <w:left w:val="nil"/>
              <w:bottom w:val="single" w:sz="4" w:space="0" w:color="auto"/>
              <w:right w:val="single" w:sz="4" w:space="0" w:color="auto"/>
            </w:tcBorders>
            <w:shd w:val="clear" w:color="000000" w:fill="D9D9D9"/>
            <w:noWrap/>
            <w:vAlign w:val="center"/>
            <w:hideMark/>
          </w:tcPr>
          <w:p w14:paraId="67CD9C85" w14:textId="63206900" w:rsidR="00D67835" w:rsidRPr="0023319B" w:rsidRDefault="00D67835" w:rsidP="00D67835">
            <w:pPr>
              <w:spacing w:line="240" w:lineRule="auto"/>
              <w:jc w:val="right"/>
              <w:rPr>
                <w:rFonts w:ascii="Calibri Light" w:hAnsi="Calibri Light" w:cs="Calibri Light"/>
                <w:sz w:val="18"/>
                <w:szCs w:val="18"/>
                <w:lang w:val="es-CR" w:eastAsia="es-CR"/>
              </w:rPr>
            </w:pPr>
            <w:r w:rsidRPr="0023319B">
              <w:rPr>
                <w:rFonts w:ascii="Calibri Light" w:hAnsi="Calibri Light" w:cs="Calibri Light"/>
                <w:sz w:val="18"/>
                <w:szCs w:val="18"/>
                <w:lang w:val="es-CR"/>
              </w:rPr>
              <w:t>151,043</w:t>
            </w:r>
          </w:p>
        </w:tc>
      </w:tr>
      <w:tr w:rsidR="00D67835" w:rsidRPr="0023319B" w14:paraId="6154A414" w14:textId="77777777" w:rsidTr="00DF5E7F">
        <w:trPr>
          <w:trHeight w:val="300"/>
        </w:trPr>
        <w:tc>
          <w:tcPr>
            <w:tcW w:w="988" w:type="dxa"/>
            <w:tcBorders>
              <w:top w:val="nil"/>
              <w:left w:val="single" w:sz="4" w:space="0" w:color="auto"/>
              <w:bottom w:val="single" w:sz="4" w:space="0" w:color="auto"/>
              <w:right w:val="single" w:sz="4" w:space="0" w:color="auto"/>
            </w:tcBorders>
            <w:shd w:val="clear" w:color="000000" w:fill="FFFFFF"/>
            <w:noWrap/>
            <w:vAlign w:val="center"/>
            <w:hideMark/>
          </w:tcPr>
          <w:p w14:paraId="07940E2F" w14:textId="73B7053A" w:rsidR="00D67835" w:rsidRPr="0023319B" w:rsidRDefault="00D67835" w:rsidP="00D67835">
            <w:pPr>
              <w:spacing w:line="240" w:lineRule="auto"/>
              <w:jc w:val="center"/>
              <w:rPr>
                <w:rFonts w:ascii="Calibri Light" w:hAnsi="Calibri Light" w:cs="Calibri Light"/>
                <w:sz w:val="18"/>
                <w:szCs w:val="18"/>
                <w:lang w:val="es-CR" w:eastAsia="es-CR"/>
              </w:rPr>
            </w:pPr>
            <w:r w:rsidRPr="0023319B">
              <w:rPr>
                <w:rFonts w:ascii="Calibri Light" w:hAnsi="Calibri Light" w:cs="Calibri Light"/>
                <w:sz w:val="18"/>
                <w:szCs w:val="18"/>
                <w:lang w:val="es-CR"/>
              </w:rPr>
              <w:t>08</w:t>
            </w:r>
          </w:p>
        </w:tc>
        <w:tc>
          <w:tcPr>
            <w:tcW w:w="2906" w:type="dxa"/>
            <w:tcBorders>
              <w:top w:val="nil"/>
              <w:left w:val="nil"/>
              <w:bottom w:val="single" w:sz="4" w:space="0" w:color="auto"/>
              <w:right w:val="single" w:sz="4" w:space="0" w:color="auto"/>
            </w:tcBorders>
            <w:shd w:val="clear" w:color="000000" w:fill="FFFFFF"/>
            <w:noWrap/>
            <w:vAlign w:val="center"/>
            <w:hideMark/>
          </w:tcPr>
          <w:p w14:paraId="55F0E422" w14:textId="5C9D2074" w:rsidR="00D67835" w:rsidRPr="0023319B" w:rsidRDefault="00D67835" w:rsidP="00D67835">
            <w:pPr>
              <w:spacing w:line="240" w:lineRule="auto"/>
              <w:jc w:val="left"/>
              <w:rPr>
                <w:rFonts w:ascii="Calibri Light" w:hAnsi="Calibri Light" w:cs="Calibri Light"/>
                <w:sz w:val="18"/>
                <w:szCs w:val="18"/>
                <w:lang w:val="es-CR" w:eastAsia="es-CR"/>
              </w:rPr>
            </w:pPr>
            <w:r w:rsidRPr="0023319B">
              <w:rPr>
                <w:rFonts w:ascii="Calibri Light" w:hAnsi="Calibri Light" w:cs="Calibri Light"/>
                <w:sz w:val="18"/>
                <w:szCs w:val="18"/>
                <w:lang w:val="es-CR"/>
              </w:rPr>
              <w:t>Profesional Gestión Bancaria 3</w:t>
            </w:r>
          </w:p>
        </w:tc>
        <w:tc>
          <w:tcPr>
            <w:tcW w:w="1063" w:type="dxa"/>
            <w:tcBorders>
              <w:top w:val="nil"/>
              <w:left w:val="nil"/>
              <w:bottom w:val="single" w:sz="4" w:space="0" w:color="auto"/>
              <w:right w:val="single" w:sz="4" w:space="0" w:color="auto"/>
            </w:tcBorders>
            <w:shd w:val="clear" w:color="000000" w:fill="FFFFFF"/>
            <w:noWrap/>
            <w:vAlign w:val="center"/>
            <w:hideMark/>
          </w:tcPr>
          <w:p w14:paraId="156CDBFF" w14:textId="0CD67C5D" w:rsidR="00D67835" w:rsidRPr="0023319B" w:rsidRDefault="00D67835" w:rsidP="00D67835">
            <w:pPr>
              <w:spacing w:line="240" w:lineRule="auto"/>
              <w:jc w:val="center"/>
              <w:rPr>
                <w:rFonts w:ascii="Calibri Light" w:hAnsi="Calibri Light" w:cs="Calibri Light"/>
                <w:sz w:val="18"/>
                <w:szCs w:val="18"/>
                <w:lang w:val="es-CR" w:eastAsia="es-CR"/>
              </w:rPr>
            </w:pPr>
            <w:r w:rsidRPr="0023319B">
              <w:rPr>
                <w:rFonts w:ascii="Calibri Light" w:hAnsi="Calibri Light" w:cs="Calibri Light"/>
                <w:sz w:val="18"/>
                <w:szCs w:val="18"/>
                <w:lang w:val="es-CR"/>
              </w:rPr>
              <w:t>Global</w:t>
            </w:r>
          </w:p>
        </w:tc>
        <w:tc>
          <w:tcPr>
            <w:tcW w:w="992" w:type="dxa"/>
            <w:tcBorders>
              <w:top w:val="nil"/>
              <w:left w:val="nil"/>
              <w:bottom w:val="single" w:sz="4" w:space="0" w:color="auto"/>
              <w:right w:val="single" w:sz="4" w:space="0" w:color="auto"/>
            </w:tcBorders>
            <w:shd w:val="clear" w:color="000000" w:fill="FFFFFF"/>
            <w:noWrap/>
            <w:vAlign w:val="center"/>
            <w:hideMark/>
          </w:tcPr>
          <w:p w14:paraId="0C4091D8" w14:textId="5ADDC405" w:rsidR="00D67835" w:rsidRPr="0023319B" w:rsidRDefault="00D67835" w:rsidP="00D67835">
            <w:pPr>
              <w:spacing w:line="240" w:lineRule="auto"/>
              <w:jc w:val="right"/>
              <w:rPr>
                <w:rFonts w:ascii="Calibri Light" w:hAnsi="Calibri Light" w:cs="Calibri Light"/>
                <w:sz w:val="18"/>
                <w:szCs w:val="18"/>
                <w:lang w:val="es-CR" w:eastAsia="es-CR"/>
              </w:rPr>
            </w:pPr>
            <w:r w:rsidRPr="0023319B">
              <w:rPr>
                <w:rFonts w:ascii="Calibri Light" w:hAnsi="Calibri Light" w:cs="Calibri Light"/>
                <w:sz w:val="18"/>
                <w:szCs w:val="18"/>
                <w:lang w:val="es-CR"/>
              </w:rPr>
              <w:t>400,470</w:t>
            </w:r>
          </w:p>
        </w:tc>
        <w:tc>
          <w:tcPr>
            <w:tcW w:w="1134" w:type="dxa"/>
            <w:tcBorders>
              <w:top w:val="nil"/>
              <w:left w:val="nil"/>
              <w:bottom w:val="single" w:sz="4" w:space="0" w:color="auto"/>
              <w:right w:val="single" w:sz="4" w:space="0" w:color="auto"/>
            </w:tcBorders>
            <w:shd w:val="clear" w:color="000000" w:fill="FFFFFF"/>
            <w:noWrap/>
            <w:vAlign w:val="center"/>
            <w:hideMark/>
          </w:tcPr>
          <w:p w14:paraId="2427B488" w14:textId="40CDA125" w:rsidR="00D67835" w:rsidRPr="0023319B" w:rsidRDefault="00D67835" w:rsidP="00D67835">
            <w:pPr>
              <w:spacing w:line="240" w:lineRule="auto"/>
              <w:jc w:val="center"/>
              <w:rPr>
                <w:rFonts w:ascii="Calibri Light" w:hAnsi="Calibri Light" w:cs="Calibri Light"/>
                <w:sz w:val="18"/>
                <w:szCs w:val="18"/>
                <w:lang w:val="es-CR" w:eastAsia="es-CR"/>
              </w:rPr>
            </w:pPr>
            <w:r w:rsidRPr="0023319B">
              <w:rPr>
                <w:rFonts w:ascii="Calibri Light" w:hAnsi="Calibri Light" w:cs="Calibri Light"/>
                <w:sz w:val="18"/>
                <w:szCs w:val="18"/>
                <w:lang w:val="es-CR"/>
              </w:rPr>
              <w:t>14</w:t>
            </w:r>
          </w:p>
        </w:tc>
        <w:tc>
          <w:tcPr>
            <w:tcW w:w="1134" w:type="dxa"/>
            <w:tcBorders>
              <w:top w:val="nil"/>
              <w:left w:val="nil"/>
              <w:bottom w:val="single" w:sz="4" w:space="0" w:color="auto"/>
              <w:right w:val="single" w:sz="4" w:space="0" w:color="auto"/>
            </w:tcBorders>
            <w:shd w:val="clear" w:color="000000" w:fill="FFFFFF"/>
            <w:noWrap/>
            <w:vAlign w:val="center"/>
            <w:hideMark/>
          </w:tcPr>
          <w:p w14:paraId="22458D90" w14:textId="7B1AA113" w:rsidR="00D67835" w:rsidRPr="0023319B" w:rsidRDefault="00D67835" w:rsidP="00D67835">
            <w:pPr>
              <w:spacing w:line="240" w:lineRule="auto"/>
              <w:jc w:val="right"/>
              <w:rPr>
                <w:rFonts w:ascii="Calibri Light" w:hAnsi="Calibri Light" w:cs="Calibri Light"/>
                <w:sz w:val="18"/>
                <w:szCs w:val="18"/>
                <w:lang w:val="es-CR" w:eastAsia="es-CR"/>
              </w:rPr>
            </w:pPr>
            <w:r w:rsidRPr="0023319B">
              <w:rPr>
                <w:rFonts w:ascii="Calibri Light" w:hAnsi="Calibri Light" w:cs="Calibri Light"/>
                <w:sz w:val="18"/>
                <w:szCs w:val="18"/>
                <w:lang w:val="es-CR"/>
              </w:rPr>
              <w:t>323,952</w:t>
            </w:r>
          </w:p>
        </w:tc>
      </w:tr>
      <w:tr w:rsidR="00D67835" w:rsidRPr="0023319B" w14:paraId="1F010E8B" w14:textId="77777777" w:rsidTr="00DF5E7F">
        <w:trPr>
          <w:trHeight w:val="300"/>
        </w:trPr>
        <w:tc>
          <w:tcPr>
            <w:tcW w:w="988" w:type="dxa"/>
            <w:tcBorders>
              <w:top w:val="nil"/>
              <w:left w:val="single" w:sz="4" w:space="0" w:color="auto"/>
              <w:bottom w:val="single" w:sz="4" w:space="0" w:color="auto"/>
              <w:right w:val="single" w:sz="4" w:space="0" w:color="auto"/>
            </w:tcBorders>
            <w:shd w:val="clear" w:color="000000" w:fill="D9D9D9"/>
            <w:noWrap/>
            <w:vAlign w:val="center"/>
            <w:hideMark/>
          </w:tcPr>
          <w:p w14:paraId="07277A25" w14:textId="3BB9A584" w:rsidR="00D67835" w:rsidRPr="0023319B" w:rsidRDefault="00D67835" w:rsidP="00D67835">
            <w:pPr>
              <w:spacing w:line="240" w:lineRule="auto"/>
              <w:jc w:val="center"/>
              <w:rPr>
                <w:rFonts w:ascii="Calibri Light" w:hAnsi="Calibri Light" w:cs="Calibri Light"/>
                <w:sz w:val="18"/>
                <w:szCs w:val="18"/>
                <w:lang w:val="es-CR" w:eastAsia="es-CR"/>
              </w:rPr>
            </w:pPr>
            <w:r w:rsidRPr="0023319B">
              <w:rPr>
                <w:rFonts w:ascii="Calibri Light" w:hAnsi="Calibri Light" w:cs="Calibri Light"/>
                <w:sz w:val="18"/>
                <w:szCs w:val="18"/>
                <w:lang w:val="es-CR"/>
              </w:rPr>
              <w:t>08</w:t>
            </w:r>
          </w:p>
        </w:tc>
        <w:tc>
          <w:tcPr>
            <w:tcW w:w="2906" w:type="dxa"/>
            <w:tcBorders>
              <w:top w:val="nil"/>
              <w:left w:val="nil"/>
              <w:bottom w:val="single" w:sz="4" w:space="0" w:color="auto"/>
              <w:right w:val="single" w:sz="4" w:space="0" w:color="auto"/>
            </w:tcBorders>
            <w:shd w:val="clear" w:color="000000" w:fill="D9D9D9"/>
            <w:noWrap/>
            <w:vAlign w:val="center"/>
            <w:hideMark/>
          </w:tcPr>
          <w:p w14:paraId="10859FFB" w14:textId="5C656895" w:rsidR="00D67835" w:rsidRPr="0023319B" w:rsidRDefault="00D67835" w:rsidP="00D67835">
            <w:pPr>
              <w:spacing w:line="240" w:lineRule="auto"/>
              <w:jc w:val="left"/>
              <w:rPr>
                <w:rFonts w:ascii="Calibri Light" w:hAnsi="Calibri Light" w:cs="Calibri Light"/>
                <w:sz w:val="18"/>
                <w:szCs w:val="18"/>
                <w:lang w:val="es-CR" w:eastAsia="es-CR"/>
              </w:rPr>
            </w:pPr>
            <w:r w:rsidRPr="0023319B">
              <w:rPr>
                <w:rFonts w:ascii="Calibri Light" w:hAnsi="Calibri Light" w:cs="Calibri Light"/>
                <w:sz w:val="18"/>
                <w:szCs w:val="18"/>
                <w:lang w:val="es-CR"/>
              </w:rPr>
              <w:t>Supervisor 2</w:t>
            </w:r>
          </w:p>
        </w:tc>
        <w:tc>
          <w:tcPr>
            <w:tcW w:w="1063" w:type="dxa"/>
            <w:tcBorders>
              <w:top w:val="nil"/>
              <w:left w:val="nil"/>
              <w:bottom w:val="single" w:sz="4" w:space="0" w:color="auto"/>
              <w:right w:val="single" w:sz="4" w:space="0" w:color="auto"/>
            </w:tcBorders>
            <w:shd w:val="clear" w:color="000000" w:fill="D9D9D9"/>
            <w:noWrap/>
            <w:vAlign w:val="center"/>
            <w:hideMark/>
          </w:tcPr>
          <w:p w14:paraId="71571F0C" w14:textId="30CBDFBE" w:rsidR="00D67835" w:rsidRPr="0023319B" w:rsidRDefault="00D67835" w:rsidP="00D67835">
            <w:pPr>
              <w:spacing w:line="240" w:lineRule="auto"/>
              <w:jc w:val="center"/>
              <w:rPr>
                <w:rFonts w:ascii="Calibri Light" w:hAnsi="Calibri Light" w:cs="Calibri Light"/>
                <w:sz w:val="18"/>
                <w:szCs w:val="18"/>
                <w:lang w:val="es-CR" w:eastAsia="es-CR"/>
              </w:rPr>
            </w:pPr>
            <w:r w:rsidRPr="0023319B">
              <w:rPr>
                <w:rFonts w:ascii="Calibri Light" w:hAnsi="Calibri Light" w:cs="Calibri Light"/>
                <w:sz w:val="18"/>
                <w:szCs w:val="18"/>
                <w:lang w:val="es-CR"/>
              </w:rPr>
              <w:t>Global</w:t>
            </w:r>
          </w:p>
        </w:tc>
        <w:tc>
          <w:tcPr>
            <w:tcW w:w="992" w:type="dxa"/>
            <w:tcBorders>
              <w:top w:val="nil"/>
              <w:left w:val="nil"/>
              <w:bottom w:val="single" w:sz="4" w:space="0" w:color="auto"/>
              <w:right w:val="single" w:sz="4" w:space="0" w:color="auto"/>
            </w:tcBorders>
            <w:shd w:val="clear" w:color="000000" w:fill="D9D9D9"/>
            <w:noWrap/>
            <w:vAlign w:val="center"/>
            <w:hideMark/>
          </w:tcPr>
          <w:p w14:paraId="364EF869" w14:textId="4CF594C8" w:rsidR="00D67835" w:rsidRPr="0023319B" w:rsidRDefault="00D67835" w:rsidP="00D67835">
            <w:pPr>
              <w:spacing w:line="240" w:lineRule="auto"/>
              <w:jc w:val="right"/>
              <w:rPr>
                <w:rFonts w:ascii="Calibri Light" w:hAnsi="Calibri Light" w:cs="Calibri Light"/>
                <w:sz w:val="18"/>
                <w:szCs w:val="18"/>
                <w:lang w:val="es-CR" w:eastAsia="es-CR"/>
              </w:rPr>
            </w:pPr>
            <w:r w:rsidRPr="0023319B">
              <w:rPr>
                <w:rFonts w:ascii="Calibri Light" w:hAnsi="Calibri Light" w:cs="Calibri Light"/>
                <w:sz w:val="18"/>
                <w:szCs w:val="18"/>
                <w:lang w:val="es-CR"/>
              </w:rPr>
              <w:t>400,470</w:t>
            </w:r>
          </w:p>
        </w:tc>
        <w:tc>
          <w:tcPr>
            <w:tcW w:w="1134" w:type="dxa"/>
            <w:tcBorders>
              <w:top w:val="nil"/>
              <w:left w:val="nil"/>
              <w:bottom w:val="single" w:sz="4" w:space="0" w:color="auto"/>
              <w:right w:val="single" w:sz="4" w:space="0" w:color="auto"/>
            </w:tcBorders>
            <w:shd w:val="clear" w:color="000000" w:fill="D9D9D9"/>
            <w:noWrap/>
            <w:vAlign w:val="center"/>
            <w:hideMark/>
          </w:tcPr>
          <w:p w14:paraId="0E9CA119" w14:textId="7A76C8BF" w:rsidR="00D67835" w:rsidRPr="0023319B" w:rsidRDefault="00D67835" w:rsidP="00D67835">
            <w:pPr>
              <w:spacing w:line="240" w:lineRule="auto"/>
              <w:jc w:val="center"/>
              <w:rPr>
                <w:rFonts w:ascii="Calibri Light" w:hAnsi="Calibri Light" w:cs="Calibri Light"/>
                <w:sz w:val="18"/>
                <w:szCs w:val="18"/>
                <w:lang w:val="es-CR" w:eastAsia="es-CR"/>
              </w:rPr>
            </w:pPr>
            <w:r w:rsidRPr="0023319B">
              <w:rPr>
                <w:rFonts w:ascii="Calibri Light" w:hAnsi="Calibri Light" w:cs="Calibri Light"/>
                <w:sz w:val="18"/>
                <w:szCs w:val="18"/>
                <w:lang w:val="es-CR"/>
              </w:rPr>
              <w:t>16</w:t>
            </w:r>
          </w:p>
        </w:tc>
        <w:tc>
          <w:tcPr>
            <w:tcW w:w="1134" w:type="dxa"/>
            <w:tcBorders>
              <w:top w:val="nil"/>
              <w:left w:val="nil"/>
              <w:bottom w:val="single" w:sz="4" w:space="0" w:color="auto"/>
              <w:right w:val="single" w:sz="4" w:space="0" w:color="auto"/>
            </w:tcBorders>
            <w:shd w:val="clear" w:color="000000" w:fill="D9D9D9"/>
            <w:noWrap/>
            <w:vAlign w:val="center"/>
            <w:hideMark/>
          </w:tcPr>
          <w:p w14:paraId="29DD0477" w14:textId="382059AB" w:rsidR="00D67835" w:rsidRPr="0023319B" w:rsidRDefault="00D67835" w:rsidP="00D67835">
            <w:pPr>
              <w:spacing w:line="240" w:lineRule="auto"/>
              <w:jc w:val="right"/>
              <w:rPr>
                <w:rFonts w:ascii="Calibri Light" w:hAnsi="Calibri Light" w:cs="Calibri Light"/>
                <w:sz w:val="18"/>
                <w:szCs w:val="18"/>
                <w:lang w:val="es-CR" w:eastAsia="es-CR"/>
              </w:rPr>
            </w:pPr>
            <w:r w:rsidRPr="0023319B">
              <w:rPr>
                <w:rFonts w:ascii="Calibri Light" w:hAnsi="Calibri Light" w:cs="Calibri Light"/>
                <w:sz w:val="18"/>
                <w:szCs w:val="18"/>
                <w:lang w:val="es-CR"/>
              </w:rPr>
              <w:t>370,231</w:t>
            </w:r>
          </w:p>
        </w:tc>
      </w:tr>
      <w:tr w:rsidR="00D67835" w:rsidRPr="0023319B" w14:paraId="03BAA234" w14:textId="77777777" w:rsidTr="00DF5E7F">
        <w:trPr>
          <w:trHeight w:val="300"/>
        </w:trPr>
        <w:tc>
          <w:tcPr>
            <w:tcW w:w="988" w:type="dxa"/>
            <w:tcBorders>
              <w:top w:val="nil"/>
              <w:left w:val="single" w:sz="4" w:space="0" w:color="auto"/>
              <w:bottom w:val="single" w:sz="4" w:space="0" w:color="auto"/>
              <w:right w:val="single" w:sz="4" w:space="0" w:color="auto"/>
            </w:tcBorders>
            <w:shd w:val="clear" w:color="000000" w:fill="FFFFFF"/>
            <w:noWrap/>
            <w:vAlign w:val="center"/>
            <w:hideMark/>
          </w:tcPr>
          <w:p w14:paraId="06979EA6" w14:textId="085C239F" w:rsidR="00D67835" w:rsidRPr="0023319B" w:rsidRDefault="00D67835" w:rsidP="00D67835">
            <w:pPr>
              <w:spacing w:line="240" w:lineRule="auto"/>
              <w:jc w:val="center"/>
              <w:rPr>
                <w:rFonts w:ascii="Calibri Light" w:hAnsi="Calibri Light" w:cs="Calibri Light"/>
                <w:sz w:val="18"/>
                <w:szCs w:val="18"/>
                <w:lang w:val="es-CR" w:eastAsia="es-CR"/>
              </w:rPr>
            </w:pPr>
            <w:r w:rsidRPr="0023319B">
              <w:rPr>
                <w:rFonts w:ascii="Calibri Light" w:hAnsi="Calibri Light" w:cs="Calibri Light"/>
                <w:sz w:val="18"/>
                <w:szCs w:val="18"/>
                <w:lang w:val="es-CR"/>
              </w:rPr>
              <w:t>08</w:t>
            </w:r>
          </w:p>
        </w:tc>
        <w:tc>
          <w:tcPr>
            <w:tcW w:w="2906" w:type="dxa"/>
            <w:tcBorders>
              <w:top w:val="nil"/>
              <w:left w:val="nil"/>
              <w:bottom w:val="single" w:sz="4" w:space="0" w:color="auto"/>
              <w:right w:val="single" w:sz="4" w:space="0" w:color="auto"/>
            </w:tcBorders>
            <w:shd w:val="clear" w:color="000000" w:fill="FFFFFF"/>
            <w:noWrap/>
            <w:vAlign w:val="center"/>
            <w:hideMark/>
          </w:tcPr>
          <w:p w14:paraId="01AE09F8" w14:textId="1576E8A3" w:rsidR="00D67835" w:rsidRPr="0023319B" w:rsidRDefault="00D67835" w:rsidP="00D67835">
            <w:pPr>
              <w:spacing w:line="240" w:lineRule="auto"/>
              <w:jc w:val="left"/>
              <w:rPr>
                <w:rFonts w:ascii="Calibri Light" w:hAnsi="Calibri Light" w:cs="Calibri Light"/>
                <w:sz w:val="18"/>
                <w:szCs w:val="18"/>
                <w:lang w:val="es-CR" w:eastAsia="es-CR"/>
              </w:rPr>
            </w:pPr>
            <w:r w:rsidRPr="0023319B">
              <w:rPr>
                <w:rFonts w:ascii="Calibri Light" w:hAnsi="Calibri Light" w:cs="Calibri Light"/>
                <w:sz w:val="18"/>
                <w:szCs w:val="18"/>
                <w:lang w:val="es-CR"/>
              </w:rPr>
              <w:t>Supervisor TI</w:t>
            </w:r>
          </w:p>
        </w:tc>
        <w:tc>
          <w:tcPr>
            <w:tcW w:w="1063" w:type="dxa"/>
            <w:tcBorders>
              <w:top w:val="nil"/>
              <w:left w:val="nil"/>
              <w:bottom w:val="single" w:sz="4" w:space="0" w:color="auto"/>
              <w:right w:val="single" w:sz="4" w:space="0" w:color="auto"/>
            </w:tcBorders>
            <w:shd w:val="clear" w:color="000000" w:fill="FFFFFF"/>
            <w:noWrap/>
            <w:vAlign w:val="center"/>
            <w:hideMark/>
          </w:tcPr>
          <w:p w14:paraId="0CC12366" w14:textId="399D16B8" w:rsidR="00D67835" w:rsidRPr="0023319B" w:rsidRDefault="00D67835" w:rsidP="00D67835">
            <w:pPr>
              <w:spacing w:line="240" w:lineRule="auto"/>
              <w:jc w:val="center"/>
              <w:rPr>
                <w:rFonts w:ascii="Calibri Light" w:hAnsi="Calibri Light" w:cs="Calibri Light"/>
                <w:sz w:val="18"/>
                <w:szCs w:val="18"/>
                <w:lang w:val="es-CR" w:eastAsia="es-CR"/>
              </w:rPr>
            </w:pPr>
            <w:r w:rsidRPr="0023319B">
              <w:rPr>
                <w:rFonts w:ascii="Calibri Light" w:hAnsi="Calibri Light" w:cs="Calibri Light"/>
                <w:sz w:val="18"/>
                <w:szCs w:val="18"/>
                <w:lang w:val="es-CR"/>
              </w:rPr>
              <w:t>Global</w:t>
            </w:r>
          </w:p>
        </w:tc>
        <w:tc>
          <w:tcPr>
            <w:tcW w:w="992" w:type="dxa"/>
            <w:tcBorders>
              <w:top w:val="nil"/>
              <w:left w:val="nil"/>
              <w:bottom w:val="single" w:sz="4" w:space="0" w:color="auto"/>
              <w:right w:val="single" w:sz="4" w:space="0" w:color="auto"/>
            </w:tcBorders>
            <w:shd w:val="clear" w:color="000000" w:fill="FFFFFF"/>
            <w:noWrap/>
            <w:vAlign w:val="center"/>
            <w:hideMark/>
          </w:tcPr>
          <w:p w14:paraId="6877AB4A" w14:textId="16D77FBE" w:rsidR="00D67835" w:rsidRPr="0023319B" w:rsidRDefault="00D67835" w:rsidP="00D67835">
            <w:pPr>
              <w:spacing w:line="240" w:lineRule="auto"/>
              <w:jc w:val="right"/>
              <w:rPr>
                <w:rFonts w:ascii="Calibri Light" w:hAnsi="Calibri Light" w:cs="Calibri Light"/>
                <w:sz w:val="18"/>
                <w:szCs w:val="18"/>
                <w:lang w:val="es-CR" w:eastAsia="es-CR"/>
              </w:rPr>
            </w:pPr>
            <w:r w:rsidRPr="0023319B">
              <w:rPr>
                <w:rFonts w:ascii="Calibri Light" w:hAnsi="Calibri Light" w:cs="Calibri Light"/>
                <w:sz w:val="18"/>
                <w:szCs w:val="18"/>
                <w:lang w:val="es-CR"/>
              </w:rPr>
              <w:t>400,470</w:t>
            </w:r>
          </w:p>
        </w:tc>
        <w:tc>
          <w:tcPr>
            <w:tcW w:w="1134" w:type="dxa"/>
            <w:tcBorders>
              <w:top w:val="nil"/>
              <w:left w:val="nil"/>
              <w:bottom w:val="single" w:sz="4" w:space="0" w:color="auto"/>
              <w:right w:val="single" w:sz="4" w:space="0" w:color="auto"/>
            </w:tcBorders>
            <w:shd w:val="clear" w:color="000000" w:fill="FFFFFF"/>
            <w:noWrap/>
            <w:vAlign w:val="center"/>
            <w:hideMark/>
          </w:tcPr>
          <w:p w14:paraId="51F31F4C" w14:textId="60953C05" w:rsidR="00D67835" w:rsidRPr="0023319B" w:rsidRDefault="00D67835" w:rsidP="00D67835">
            <w:pPr>
              <w:spacing w:line="240" w:lineRule="auto"/>
              <w:jc w:val="center"/>
              <w:rPr>
                <w:rFonts w:ascii="Calibri Light" w:hAnsi="Calibri Light" w:cs="Calibri Light"/>
                <w:sz w:val="18"/>
                <w:szCs w:val="18"/>
                <w:lang w:val="es-CR" w:eastAsia="es-CR"/>
              </w:rPr>
            </w:pPr>
            <w:r w:rsidRPr="0023319B">
              <w:rPr>
                <w:rFonts w:ascii="Calibri Light" w:hAnsi="Calibri Light" w:cs="Calibri Light"/>
                <w:sz w:val="18"/>
                <w:szCs w:val="18"/>
                <w:lang w:val="es-CR"/>
              </w:rPr>
              <w:t>2</w:t>
            </w:r>
          </w:p>
        </w:tc>
        <w:tc>
          <w:tcPr>
            <w:tcW w:w="1134" w:type="dxa"/>
            <w:tcBorders>
              <w:top w:val="nil"/>
              <w:left w:val="nil"/>
              <w:bottom w:val="single" w:sz="4" w:space="0" w:color="auto"/>
              <w:right w:val="single" w:sz="4" w:space="0" w:color="auto"/>
            </w:tcBorders>
            <w:shd w:val="clear" w:color="000000" w:fill="FFFFFF"/>
            <w:noWrap/>
            <w:vAlign w:val="center"/>
            <w:hideMark/>
          </w:tcPr>
          <w:p w14:paraId="770486F7" w14:textId="3EA2DD65" w:rsidR="00D67835" w:rsidRPr="0023319B" w:rsidRDefault="00D67835" w:rsidP="00D67835">
            <w:pPr>
              <w:spacing w:line="240" w:lineRule="auto"/>
              <w:jc w:val="right"/>
              <w:rPr>
                <w:rFonts w:ascii="Calibri Light" w:hAnsi="Calibri Light" w:cs="Calibri Light"/>
                <w:sz w:val="18"/>
                <w:szCs w:val="18"/>
                <w:lang w:val="es-CR" w:eastAsia="es-CR"/>
              </w:rPr>
            </w:pPr>
            <w:r w:rsidRPr="0023319B">
              <w:rPr>
                <w:rFonts w:ascii="Calibri Light" w:hAnsi="Calibri Light" w:cs="Calibri Light"/>
                <w:sz w:val="18"/>
                <w:szCs w:val="18"/>
                <w:lang w:val="es-CR"/>
              </w:rPr>
              <w:t>46,279</w:t>
            </w:r>
          </w:p>
        </w:tc>
      </w:tr>
      <w:tr w:rsidR="00D67835" w:rsidRPr="0023319B" w14:paraId="6BE54D2F" w14:textId="77777777" w:rsidTr="00DF5E7F">
        <w:trPr>
          <w:trHeight w:val="300"/>
        </w:trPr>
        <w:tc>
          <w:tcPr>
            <w:tcW w:w="988" w:type="dxa"/>
            <w:tcBorders>
              <w:top w:val="nil"/>
              <w:left w:val="single" w:sz="4" w:space="0" w:color="auto"/>
              <w:bottom w:val="single" w:sz="4" w:space="0" w:color="auto"/>
              <w:right w:val="single" w:sz="4" w:space="0" w:color="auto"/>
            </w:tcBorders>
            <w:shd w:val="clear" w:color="000000" w:fill="D9D9D9"/>
            <w:noWrap/>
            <w:vAlign w:val="center"/>
            <w:hideMark/>
          </w:tcPr>
          <w:p w14:paraId="29ED4ABB" w14:textId="6AE456C1" w:rsidR="00D67835" w:rsidRPr="0023319B" w:rsidRDefault="00D67835" w:rsidP="00D67835">
            <w:pPr>
              <w:spacing w:line="240" w:lineRule="auto"/>
              <w:jc w:val="center"/>
              <w:rPr>
                <w:rFonts w:ascii="Calibri Light" w:hAnsi="Calibri Light" w:cs="Calibri Light"/>
                <w:sz w:val="18"/>
                <w:szCs w:val="18"/>
                <w:lang w:val="es-CR" w:eastAsia="es-CR"/>
              </w:rPr>
            </w:pPr>
            <w:r w:rsidRPr="0023319B">
              <w:rPr>
                <w:rFonts w:ascii="Calibri Light" w:hAnsi="Calibri Light" w:cs="Calibri Light"/>
                <w:sz w:val="18"/>
                <w:szCs w:val="18"/>
                <w:lang w:val="es-CR"/>
              </w:rPr>
              <w:t>09</w:t>
            </w:r>
          </w:p>
        </w:tc>
        <w:tc>
          <w:tcPr>
            <w:tcW w:w="2906" w:type="dxa"/>
            <w:tcBorders>
              <w:top w:val="nil"/>
              <w:left w:val="nil"/>
              <w:bottom w:val="single" w:sz="4" w:space="0" w:color="auto"/>
              <w:right w:val="single" w:sz="4" w:space="0" w:color="auto"/>
            </w:tcBorders>
            <w:shd w:val="clear" w:color="000000" w:fill="D9D9D9"/>
            <w:noWrap/>
            <w:vAlign w:val="center"/>
            <w:hideMark/>
          </w:tcPr>
          <w:p w14:paraId="0F58B75C" w14:textId="5CB11C24" w:rsidR="00D67835" w:rsidRPr="0023319B" w:rsidRDefault="00D67835" w:rsidP="00D67835">
            <w:pPr>
              <w:spacing w:line="240" w:lineRule="auto"/>
              <w:jc w:val="left"/>
              <w:rPr>
                <w:rFonts w:ascii="Calibri Light" w:hAnsi="Calibri Light" w:cs="Calibri Light"/>
                <w:sz w:val="18"/>
                <w:szCs w:val="18"/>
                <w:lang w:val="es-CR" w:eastAsia="es-CR"/>
              </w:rPr>
            </w:pPr>
            <w:r w:rsidRPr="0023319B">
              <w:rPr>
                <w:rFonts w:ascii="Calibri Light" w:hAnsi="Calibri Light" w:cs="Calibri Light"/>
                <w:sz w:val="18"/>
                <w:szCs w:val="18"/>
                <w:lang w:val="es-CR"/>
              </w:rPr>
              <w:t>Ejecutivo</w:t>
            </w:r>
          </w:p>
        </w:tc>
        <w:tc>
          <w:tcPr>
            <w:tcW w:w="1063" w:type="dxa"/>
            <w:tcBorders>
              <w:top w:val="nil"/>
              <w:left w:val="nil"/>
              <w:bottom w:val="single" w:sz="4" w:space="0" w:color="auto"/>
              <w:right w:val="single" w:sz="4" w:space="0" w:color="auto"/>
            </w:tcBorders>
            <w:shd w:val="clear" w:color="000000" w:fill="D9D9D9"/>
            <w:noWrap/>
            <w:vAlign w:val="center"/>
            <w:hideMark/>
          </w:tcPr>
          <w:p w14:paraId="597F0C94" w14:textId="13C51F47" w:rsidR="00D67835" w:rsidRPr="0023319B" w:rsidRDefault="00D67835" w:rsidP="00D67835">
            <w:pPr>
              <w:spacing w:line="240" w:lineRule="auto"/>
              <w:jc w:val="center"/>
              <w:rPr>
                <w:rFonts w:ascii="Calibri Light" w:hAnsi="Calibri Light" w:cs="Calibri Light"/>
                <w:sz w:val="18"/>
                <w:szCs w:val="18"/>
                <w:lang w:val="es-CR" w:eastAsia="es-CR"/>
              </w:rPr>
            </w:pPr>
            <w:r w:rsidRPr="0023319B">
              <w:rPr>
                <w:rFonts w:ascii="Calibri Light" w:hAnsi="Calibri Light" w:cs="Calibri Light"/>
                <w:sz w:val="18"/>
                <w:szCs w:val="18"/>
                <w:lang w:val="es-CR"/>
              </w:rPr>
              <w:t>Global</w:t>
            </w:r>
          </w:p>
        </w:tc>
        <w:tc>
          <w:tcPr>
            <w:tcW w:w="992" w:type="dxa"/>
            <w:tcBorders>
              <w:top w:val="nil"/>
              <w:left w:val="nil"/>
              <w:bottom w:val="single" w:sz="4" w:space="0" w:color="auto"/>
              <w:right w:val="single" w:sz="4" w:space="0" w:color="auto"/>
            </w:tcBorders>
            <w:shd w:val="clear" w:color="000000" w:fill="D9D9D9"/>
            <w:noWrap/>
            <w:vAlign w:val="center"/>
            <w:hideMark/>
          </w:tcPr>
          <w:p w14:paraId="7A126088" w14:textId="195D6CA5" w:rsidR="00D67835" w:rsidRPr="0023319B" w:rsidRDefault="00D67835" w:rsidP="00D67835">
            <w:pPr>
              <w:spacing w:line="240" w:lineRule="auto"/>
              <w:jc w:val="right"/>
              <w:rPr>
                <w:rFonts w:ascii="Calibri Light" w:hAnsi="Calibri Light" w:cs="Calibri Light"/>
                <w:sz w:val="18"/>
                <w:szCs w:val="18"/>
                <w:lang w:val="es-CR" w:eastAsia="es-CR"/>
              </w:rPr>
            </w:pPr>
            <w:r w:rsidRPr="0023319B">
              <w:rPr>
                <w:rFonts w:ascii="Calibri Light" w:hAnsi="Calibri Light" w:cs="Calibri Light"/>
                <w:sz w:val="18"/>
                <w:szCs w:val="18"/>
                <w:lang w:val="es-CR"/>
              </w:rPr>
              <w:t>486,036</w:t>
            </w:r>
          </w:p>
        </w:tc>
        <w:tc>
          <w:tcPr>
            <w:tcW w:w="1134" w:type="dxa"/>
            <w:tcBorders>
              <w:top w:val="nil"/>
              <w:left w:val="nil"/>
              <w:bottom w:val="single" w:sz="4" w:space="0" w:color="auto"/>
              <w:right w:val="single" w:sz="4" w:space="0" w:color="auto"/>
            </w:tcBorders>
            <w:shd w:val="clear" w:color="000000" w:fill="D9D9D9"/>
            <w:noWrap/>
            <w:vAlign w:val="center"/>
            <w:hideMark/>
          </w:tcPr>
          <w:p w14:paraId="2E0E2849" w14:textId="7E944D0C" w:rsidR="00D67835" w:rsidRPr="0023319B" w:rsidRDefault="00D67835" w:rsidP="00D67835">
            <w:pPr>
              <w:spacing w:line="240" w:lineRule="auto"/>
              <w:jc w:val="center"/>
              <w:rPr>
                <w:rFonts w:ascii="Calibri Light" w:hAnsi="Calibri Light" w:cs="Calibri Light"/>
                <w:sz w:val="18"/>
                <w:szCs w:val="18"/>
                <w:lang w:val="es-CR" w:eastAsia="es-CR"/>
              </w:rPr>
            </w:pPr>
            <w:r w:rsidRPr="0023319B">
              <w:rPr>
                <w:rFonts w:ascii="Calibri Light" w:hAnsi="Calibri Light" w:cs="Calibri Light"/>
                <w:sz w:val="18"/>
                <w:szCs w:val="18"/>
                <w:lang w:val="es-CR"/>
              </w:rPr>
              <w:t>3</w:t>
            </w:r>
          </w:p>
        </w:tc>
        <w:tc>
          <w:tcPr>
            <w:tcW w:w="1134" w:type="dxa"/>
            <w:tcBorders>
              <w:top w:val="nil"/>
              <w:left w:val="nil"/>
              <w:bottom w:val="single" w:sz="4" w:space="0" w:color="auto"/>
              <w:right w:val="single" w:sz="4" w:space="0" w:color="auto"/>
            </w:tcBorders>
            <w:shd w:val="clear" w:color="000000" w:fill="D9D9D9"/>
            <w:noWrap/>
            <w:vAlign w:val="center"/>
            <w:hideMark/>
          </w:tcPr>
          <w:p w14:paraId="702C3B21" w14:textId="71EEEFAF" w:rsidR="00D67835" w:rsidRPr="0023319B" w:rsidRDefault="00D67835" w:rsidP="00D67835">
            <w:pPr>
              <w:spacing w:line="240" w:lineRule="auto"/>
              <w:jc w:val="right"/>
              <w:rPr>
                <w:rFonts w:ascii="Calibri Light" w:hAnsi="Calibri Light" w:cs="Calibri Light"/>
                <w:sz w:val="18"/>
                <w:szCs w:val="18"/>
                <w:lang w:val="es-CR" w:eastAsia="es-CR"/>
              </w:rPr>
            </w:pPr>
            <w:r w:rsidRPr="0023319B">
              <w:rPr>
                <w:rFonts w:ascii="Calibri Light" w:hAnsi="Calibri Light" w:cs="Calibri Light"/>
                <w:sz w:val="18"/>
                <w:szCs w:val="18"/>
                <w:lang w:val="es-CR"/>
              </w:rPr>
              <w:t>85,655</w:t>
            </w:r>
          </w:p>
        </w:tc>
      </w:tr>
      <w:tr w:rsidR="00D67835" w:rsidRPr="0023319B" w14:paraId="6D4C2DDC" w14:textId="77777777" w:rsidTr="00DF5E7F">
        <w:trPr>
          <w:trHeight w:val="300"/>
        </w:trPr>
        <w:tc>
          <w:tcPr>
            <w:tcW w:w="988" w:type="dxa"/>
            <w:tcBorders>
              <w:top w:val="nil"/>
              <w:left w:val="single" w:sz="4" w:space="0" w:color="auto"/>
              <w:bottom w:val="single" w:sz="4" w:space="0" w:color="auto"/>
              <w:right w:val="single" w:sz="4" w:space="0" w:color="auto"/>
            </w:tcBorders>
            <w:shd w:val="clear" w:color="000000" w:fill="FFFFFF"/>
            <w:noWrap/>
            <w:vAlign w:val="center"/>
            <w:hideMark/>
          </w:tcPr>
          <w:p w14:paraId="56CEE900" w14:textId="7415C0D5" w:rsidR="00D67835" w:rsidRPr="0023319B" w:rsidRDefault="00D67835" w:rsidP="00D67835">
            <w:pPr>
              <w:spacing w:line="240" w:lineRule="auto"/>
              <w:jc w:val="center"/>
              <w:rPr>
                <w:rFonts w:ascii="Calibri Light" w:hAnsi="Calibri Light" w:cs="Calibri Light"/>
                <w:sz w:val="18"/>
                <w:szCs w:val="18"/>
                <w:lang w:val="es-CR" w:eastAsia="es-CR"/>
              </w:rPr>
            </w:pPr>
            <w:r w:rsidRPr="0023319B">
              <w:rPr>
                <w:rFonts w:ascii="Calibri Light" w:hAnsi="Calibri Light" w:cs="Calibri Light"/>
                <w:sz w:val="18"/>
                <w:szCs w:val="18"/>
                <w:lang w:val="es-CR"/>
              </w:rPr>
              <w:t>09</w:t>
            </w:r>
          </w:p>
        </w:tc>
        <w:tc>
          <w:tcPr>
            <w:tcW w:w="2906" w:type="dxa"/>
            <w:tcBorders>
              <w:top w:val="nil"/>
              <w:left w:val="nil"/>
              <w:bottom w:val="single" w:sz="4" w:space="0" w:color="auto"/>
              <w:right w:val="single" w:sz="4" w:space="0" w:color="auto"/>
            </w:tcBorders>
            <w:shd w:val="clear" w:color="000000" w:fill="FFFFFF"/>
            <w:noWrap/>
            <w:vAlign w:val="center"/>
            <w:hideMark/>
          </w:tcPr>
          <w:p w14:paraId="5ACD989D" w14:textId="167863EB" w:rsidR="00D67835" w:rsidRPr="0023319B" w:rsidRDefault="00D67835" w:rsidP="00D67835">
            <w:pPr>
              <w:spacing w:line="240" w:lineRule="auto"/>
              <w:jc w:val="left"/>
              <w:rPr>
                <w:rFonts w:ascii="Calibri Light" w:hAnsi="Calibri Light" w:cs="Calibri Light"/>
                <w:sz w:val="18"/>
                <w:szCs w:val="18"/>
                <w:lang w:val="es-CR" w:eastAsia="es-CR"/>
              </w:rPr>
            </w:pPr>
            <w:r w:rsidRPr="0023319B">
              <w:rPr>
                <w:rFonts w:ascii="Calibri Light" w:hAnsi="Calibri Light" w:cs="Calibri Light"/>
                <w:sz w:val="18"/>
                <w:szCs w:val="18"/>
                <w:lang w:val="es-CR"/>
              </w:rPr>
              <w:t>Supervisor Principal</w:t>
            </w:r>
          </w:p>
        </w:tc>
        <w:tc>
          <w:tcPr>
            <w:tcW w:w="1063" w:type="dxa"/>
            <w:tcBorders>
              <w:top w:val="nil"/>
              <w:left w:val="nil"/>
              <w:bottom w:val="single" w:sz="4" w:space="0" w:color="auto"/>
              <w:right w:val="single" w:sz="4" w:space="0" w:color="auto"/>
            </w:tcBorders>
            <w:shd w:val="clear" w:color="000000" w:fill="FFFFFF"/>
            <w:noWrap/>
            <w:vAlign w:val="center"/>
            <w:hideMark/>
          </w:tcPr>
          <w:p w14:paraId="1C64A34B" w14:textId="7AA6423C" w:rsidR="00D67835" w:rsidRPr="0023319B" w:rsidRDefault="00D67835" w:rsidP="00D67835">
            <w:pPr>
              <w:spacing w:line="240" w:lineRule="auto"/>
              <w:jc w:val="center"/>
              <w:rPr>
                <w:rFonts w:ascii="Calibri Light" w:hAnsi="Calibri Light" w:cs="Calibri Light"/>
                <w:sz w:val="18"/>
                <w:szCs w:val="18"/>
                <w:lang w:val="es-CR" w:eastAsia="es-CR"/>
              </w:rPr>
            </w:pPr>
            <w:r w:rsidRPr="0023319B">
              <w:rPr>
                <w:rFonts w:ascii="Calibri Light" w:hAnsi="Calibri Light" w:cs="Calibri Light"/>
                <w:sz w:val="18"/>
                <w:szCs w:val="18"/>
                <w:lang w:val="es-CR"/>
              </w:rPr>
              <w:t>Global</w:t>
            </w:r>
          </w:p>
        </w:tc>
        <w:tc>
          <w:tcPr>
            <w:tcW w:w="992" w:type="dxa"/>
            <w:tcBorders>
              <w:top w:val="nil"/>
              <w:left w:val="nil"/>
              <w:bottom w:val="single" w:sz="4" w:space="0" w:color="auto"/>
              <w:right w:val="single" w:sz="4" w:space="0" w:color="auto"/>
            </w:tcBorders>
            <w:shd w:val="clear" w:color="000000" w:fill="FFFFFF"/>
            <w:noWrap/>
            <w:vAlign w:val="center"/>
            <w:hideMark/>
          </w:tcPr>
          <w:p w14:paraId="5BD92912" w14:textId="7F53D605" w:rsidR="00D67835" w:rsidRPr="0023319B" w:rsidRDefault="00D67835" w:rsidP="00D67835">
            <w:pPr>
              <w:spacing w:line="240" w:lineRule="auto"/>
              <w:jc w:val="right"/>
              <w:rPr>
                <w:rFonts w:ascii="Calibri Light" w:hAnsi="Calibri Light" w:cs="Calibri Light"/>
                <w:sz w:val="18"/>
                <w:szCs w:val="18"/>
                <w:lang w:val="es-CR" w:eastAsia="es-CR"/>
              </w:rPr>
            </w:pPr>
            <w:r w:rsidRPr="0023319B">
              <w:rPr>
                <w:rFonts w:ascii="Calibri Light" w:hAnsi="Calibri Light" w:cs="Calibri Light"/>
                <w:sz w:val="18"/>
                <w:szCs w:val="18"/>
                <w:lang w:val="es-CR"/>
              </w:rPr>
              <w:t>486,036</w:t>
            </w:r>
          </w:p>
        </w:tc>
        <w:tc>
          <w:tcPr>
            <w:tcW w:w="1134" w:type="dxa"/>
            <w:tcBorders>
              <w:top w:val="nil"/>
              <w:left w:val="nil"/>
              <w:bottom w:val="single" w:sz="4" w:space="0" w:color="auto"/>
              <w:right w:val="single" w:sz="4" w:space="0" w:color="auto"/>
            </w:tcBorders>
            <w:shd w:val="clear" w:color="000000" w:fill="FFFFFF"/>
            <w:noWrap/>
            <w:vAlign w:val="center"/>
            <w:hideMark/>
          </w:tcPr>
          <w:p w14:paraId="3509738D" w14:textId="01773654" w:rsidR="00D67835" w:rsidRPr="0023319B" w:rsidRDefault="00D67835" w:rsidP="00D67835">
            <w:pPr>
              <w:spacing w:line="240" w:lineRule="auto"/>
              <w:jc w:val="center"/>
              <w:rPr>
                <w:rFonts w:ascii="Calibri Light" w:hAnsi="Calibri Light" w:cs="Calibri Light"/>
                <w:sz w:val="18"/>
                <w:szCs w:val="18"/>
                <w:lang w:val="es-CR" w:eastAsia="es-CR"/>
              </w:rPr>
            </w:pPr>
            <w:r w:rsidRPr="0023319B">
              <w:rPr>
                <w:rFonts w:ascii="Calibri Light" w:hAnsi="Calibri Light" w:cs="Calibri Light"/>
                <w:sz w:val="18"/>
                <w:szCs w:val="18"/>
                <w:lang w:val="es-CR"/>
              </w:rPr>
              <w:t>5</w:t>
            </w:r>
          </w:p>
        </w:tc>
        <w:tc>
          <w:tcPr>
            <w:tcW w:w="1134" w:type="dxa"/>
            <w:tcBorders>
              <w:top w:val="nil"/>
              <w:left w:val="nil"/>
              <w:bottom w:val="single" w:sz="4" w:space="0" w:color="auto"/>
              <w:right w:val="single" w:sz="4" w:space="0" w:color="auto"/>
            </w:tcBorders>
            <w:shd w:val="clear" w:color="000000" w:fill="FFFFFF"/>
            <w:noWrap/>
            <w:vAlign w:val="center"/>
            <w:hideMark/>
          </w:tcPr>
          <w:p w14:paraId="46A2C429" w14:textId="27CF6B87" w:rsidR="00D67835" w:rsidRPr="0023319B" w:rsidRDefault="00D67835" w:rsidP="00D67835">
            <w:pPr>
              <w:spacing w:line="240" w:lineRule="auto"/>
              <w:jc w:val="right"/>
              <w:rPr>
                <w:rFonts w:ascii="Calibri Light" w:hAnsi="Calibri Light" w:cs="Calibri Light"/>
                <w:sz w:val="18"/>
                <w:szCs w:val="18"/>
                <w:lang w:val="es-CR" w:eastAsia="es-CR"/>
              </w:rPr>
            </w:pPr>
            <w:r w:rsidRPr="0023319B">
              <w:rPr>
                <w:rFonts w:ascii="Calibri Light" w:hAnsi="Calibri Light" w:cs="Calibri Light"/>
                <w:sz w:val="18"/>
                <w:szCs w:val="18"/>
                <w:lang w:val="es-CR"/>
              </w:rPr>
              <w:t>142,758</w:t>
            </w:r>
          </w:p>
        </w:tc>
      </w:tr>
      <w:tr w:rsidR="00D67835" w:rsidRPr="0023319B" w14:paraId="0843B5BC" w14:textId="77777777" w:rsidTr="00DF5E7F">
        <w:trPr>
          <w:trHeight w:val="300"/>
        </w:trPr>
        <w:tc>
          <w:tcPr>
            <w:tcW w:w="988" w:type="dxa"/>
            <w:tcBorders>
              <w:top w:val="nil"/>
              <w:left w:val="single" w:sz="4" w:space="0" w:color="auto"/>
              <w:bottom w:val="single" w:sz="4" w:space="0" w:color="auto"/>
              <w:right w:val="single" w:sz="4" w:space="0" w:color="auto"/>
            </w:tcBorders>
            <w:shd w:val="clear" w:color="000000" w:fill="D9D9D9"/>
            <w:noWrap/>
            <w:vAlign w:val="center"/>
            <w:hideMark/>
          </w:tcPr>
          <w:p w14:paraId="1E885061" w14:textId="12E07202" w:rsidR="00D67835" w:rsidRPr="0023319B" w:rsidRDefault="00D67835" w:rsidP="00D67835">
            <w:pPr>
              <w:spacing w:line="240" w:lineRule="auto"/>
              <w:jc w:val="center"/>
              <w:rPr>
                <w:rFonts w:ascii="Calibri Light" w:hAnsi="Calibri Light" w:cs="Calibri Light"/>
                <w:sz w:val="18"/>
                <w:szCs w:val="18"/>
                <w:lang w:val="es-CR" w:eastAsia="es-CR"/>
              </w:rPr>
            </w:pPr>
            <w:r w:rsidRPr="0023319B">
              <w:rPr>
                <w:rFonts w:ascii="Calibri Light" w:hAnsi="Calibri Light" w:cs="Calibri Light"/>
                <w:sz w:val="18"/>
                <w:szCs w:val="18"/>
                <w:lang w:val="es-CR"/>
              </w:rPr>
              <w:t>10</w:t>
            </w:r>
          </w:p>
        </w:tc>
        <w:tc>
          <w:tcPr>
            <w:tcW w:w="2906" w:type="dxa"/>
            <w:tcBorders>
              <w:top w:val="nil"/>
              <w:left w:val="nil"/>
              <w:bottom w:val="single" w:sz="4" w:space="0" w:color="auto"/>
              <w:right w:val="single" w:sz="4" w:space="0" w:color="auto"/>
            </w:tcBorders>
            <w:shd w:val="clear" w:color="000000" w:fill="D9D9D9"/>
            <w:noWrap/>
            <w:vAlign w:val="center"/>
            <w:hideMark/>
          </w:tcPr>
          <w:p w14:paraId="6E804BAA" w14:textId="72451225" w:rsidR="00D67835" w:rsidRPr="0023319B" w:rsidRDefault="00D67835" w:rsidP="00D67835">
            <w:pPr>
              <w:spacing w:line="240" w:lineRule="auto"/>
              <w:jc w:val="left"/>
              <w:rPr>
                <w:rFonts w:ascii="Calibri Light" w:hAnsi="Calibri Light" w:cs="Calibri Light"/>
                <w:sz w:val="18"/>
                <w:szCs w:val="18"/>
                <w:lang w:val="es-CR" w:eastAsia="es-CR"/>
              </w:rPr>
            </w:pPr>
            <w:r w:rsidRPr="0023319B">
              <w:rPr>
                <w:rFonts w:ascii="Calibri Light" w:hAnsi="Calibri Light" w:cs="Calibri Light"/>
                <w:sz w:val="18"/>
                <w:szCs w:val="18"/>
                <w:lang w:val="es-CR"/>
              </w:rPr>
              <w:t>Director de Departamento</w:t>
            </w:r>
          </w:p>
        </w:tc>
        <w:tc>
          <w:tcPr>
            <w:tcW w:w="1063" w:type="dxa"/>
            <w:tcBorders>
              <w:top w:val="nil"/>
              <w:left w:val="nil"/>
              <w:bottom w:val="single" w:sz="4" w:space="0" w:color="auto"/>
              <w:right w:val="single" w:sz="4" w:space="0" w:color="auto"/>
            </w:tcBorders>
            <w:shd w:val="clear" w:color="000000" w:fill="D9D9D9"/>
            <w:noWrap/>
            <w:vAlign w:val="center"/>
            <w:hideMark/>
          </w:tcPr>
          <w:p w14:paraId="4AE39BF6" w14:textId="542C0228" w:rsidR="00D67835" w:rsidRPr="0023319B" w:rsidRDefault="00D67835" w:rsidP="00D67835">
            <w:pPr>
              <w:spacing w:line="240" w:lineRule="auto"/>
              <w:jc w:val="center"/>
              <w:rPr>
                <w:rFonts w:ascii="Calibri Light" w:hAnsi="Calibri Light" w:cs="Calibri Light"/>
                <w:sz w:val="18"/>
                <w:szCs w:val="18"/>
                <w:lang w:val="es-CR" w:eastAsia="es-CR"/>
              </w:rPr>
            </w:pPr>
            <w:r w:rsidRPr="0023319B">
              <w:rPr>
                <w:rFonts w:ascii="Calibri Light" w:hAnsi="Calibri Light" w:cs="Calibri Light"/>
                <w:sz w:val="18"/>
                <w:szCs w:val="18"/>
                <w:lang w:val="es-CR"/>
              </w:rPr>
              <w:t>Global</w:t>
            </w:r>
          </w:p>
        </w:tc>
        <w:tc>
          <w:tcPr>
            <w:tcW w:w="992" w:type="dxa"/>
            <w:tcBorders>
              <w:top w:val="nil"/>
              <w:left w:val="nil"/>
              <w:bottom w:val="single" w:sz="4" w:space="0" w:color="auto"/>
              <w:right w:val="single" w:sz="4" w:space="0" w:color="auto"/>
            </w:tcBorders>
            <w:shd w:val="clear" w:color="000000" w:fill="D9D9D9"/>
            <w:noWrap/>
            <w:vAlign w:val="center"/>
            <w:hideMark/>
          </w:tcPr>
          <w:p w14:paraId="18E31917" w14:textId="4F0DF80E" w:rsidR="00D67835" w:rsidRPr="0023319B" w:rsidRDefault="00D67835" w:rsidP="00D67835">
            <w:pPr>
              <w:spacing w:line="240" w:lineRule="auto"/>
              <w:jc w:val="right"/>
              <w:rPr>
                <w:rFonts w:ascii="Calibri Light" w:hAnsi="Calibri Light" w:cs="Calibri Light"/>
                <w:sz w:val="18"/>
                <w:szCs w:val="18"/>
                <w:lang w:val="es-CR" w:eastAsia="es-CR"/>
              </w:rPr>
            </w:pPr>
            <w:r w:rsidRPr="0023319B">
              <w:rPr>
                <w:rFonts w:ascii="Calibri Light" w:hAnsi="Calibri Light" w:cs="Calibri Light"/>
                <w:sz w:val="18"/>
                <w:szCs w:val="18"/>
                <w:lang w:val="es-CR"/>
              </w:rPr>
              <w:t>502,950</w:t>
            </w:r>
          </w:p>
        </w:tc>
        <w:tc>
          <w:tcPr>
            <w:tcW w:w="1134" w:type="dxa"/>
            <w:tcBorders>
              <w:top w:val="nil"/>
              <w:left w:val="nil"/>
              <w:bottom w:val="single" w:sz="4" w:space="0" w:color="auto"/>
              <w:right w:val="single" w:sz="4" w:space="0" w:color="auto"/>
            </w:tcBorders>
            <w:shd w:val="clear" w:color="000000" w:fill="D9D9D9"/>
            <w:noWrap/>
            <w:vAlign w:val="center"/>
            <w:hideMark/>
          </w:tcPr>
          <w:p w14:paraId="5B465056" w14:textId="10EA9FA9" w:rsidR="00D67835" w:rsidRPr="0023319B" w:rsidRDefault="00D67835" w:rsidP="00D67835">
            <w:pPr>
              <w:spacing w:line="240" w:lineRule="auto"/>
              <w:jc w:val="center"/>
              <w:rPr>
                <w:rFonts w:ascii="Calibri Light" w:hAnsi="Calibri Light" w:cs="Calibri Light"/>
                <w:sz w:val="18"/>
                <w:szCs w:val="18"/>
                <w:lang w:val="es-CR" w:eastAsia="es-CR"/>
              </w:rPr>
            </w:pPr>
            <w:r w:rsidRPr="0023319B">
              <w:rPr>
                <w:rFonts w:ascii="Calibri Light" w:hAnsi="Calibri Light" w:cs="Calibri Light"/>
                <w:sz w:val="18"/>
                <w:szCs w:val="18"/>
                <w:lang w:val="es-CR"/>
              </w:rPr>
              <w:t>2</w:t>
            </w:r>
          </w:p>
        </w:tc>
        <w:tc>
          <w:tcPr>
            <w:tcW w:w="1134" w:type="dxa"/>
            <w:tcBorders>
              <w:top w:val="nil"/>
              <w:left w:val="nil"/>
              <w:bottom w:val="single" w:sz="4" w:space="0" w:color="auto"/>
              <w:right w:val="single" w:sz="4" w:space="0" w:color="auto"/>
            </w:tcBorders>
            <w:shd w:val="clear" w:color="000000" w:fill="D9D9D9"/>
            <w:noWrap/>
            <w:vAlign w:val="center"/>
            <w:hideMark/>
          </w:tcPr>
          <w:p w14:paraId="3384C9EF" w14:textId="40987DDC" w:rsidR="00D67835" w:rsidRPr="0023319B" w:rsidRDefault="00D67835" w:rsidP="00D67835">
            <w:pPr>
              <w:spacing w:line="240" w:lineRule="auto"/>
              <w:jc w:val="right"/>
              <w:rPr>
                <w:rFonts w:ascii="Calibri Light" w:hAnsi="Calibri Light" w:cs="Calibri Light"/>
                <w:sz w:val="18"/>
                <w:szCs w:val="18"/>
                <w:lang w:val="es-CR" w:eastAsia="es-CR"/>
              </w:rPr>
            </w:pPr>
            <w:r w:rsidRPr="0023319B">
              <w:rPr>
                <w:rFonts w:ascii="Calibri Light" w:hAnsi="Calibri Light" w:cs="Calibri Light"/>
                <w:sz w:val="18"/>
                <w:szCs w:val="18"/>
                <w:lang w:val="es-CR"/>
              </w:rPr>
              <w:t>101,226</w:t>
            </w:r>
          </w:p>
        </w:tc>
      </w:tr>
      <w:tr w:rsidR="00D67835" w:rsidRPr="0023319B" w14:paraId="39ABA2FE" w14:textId="77777777" w:rsidTr="00DF5E7F">
        <w:trPr>
          <w:trHeight w:val="300"/>
        </w:trPr>
        <w:tc>
          <w:tcPr>
            <w:tcW w:w="988" w:type="dxa"/>
            <w:tcBorders>
              <w:top w:val="nil"/>
              <w:left w:val="single" w:sz="4" w:space="0" w:color="auto"/>
              <w:bottom w:val="single" w:sz="4" w:space="0" w:color="auto"/>
              <w:right w:val="single" w:sz="4" w:space="0" w:color="auto"/>
            </w:tcBorders>
            <w:shd w:val="clear" w:color="000000" w:fill="FFFFFF"/>
            <w:noWrap/>
            <w:vAlign w:val="center"/>
            <w:hideMark/>
          </w:tcPr>
          <w:p w14:paraId="289FB3F5" w14:textId="582E2D1F" w:rsidR="00D67835" w:rsidRPr="0023319B" w:rsidRDefault="00D67835" w:rsidP="00D67835">
            <w:pPr>
              <w:spacing w:line="240" w:lineRule="auto"/>
              <w:jc w:val="center"/>
              <w:rPr>
                <w:rFonts w:ascii="Calibri Light" w:hAnsi="Calibri Light" w:cs="Calibri Light"/>
                <w:sz w:val="18"/>
                <w:szCs w:val="18"/>
                <w:lang w:val="es-CR" w:eastAsia="es-CR"/>
              </w:rPr>
            </w:pPr>
            <w:r w:rsidRPr="0023319B">
              <w:rPr>
                <w:rFonts w:ascii="Calibri Light" w:hAnsi="Calibri Light" w:cs="Calibri Light"/>
                <w:sz w:val="18"/>
                <w:szCs w:val="18"/>
                <w:lang w:val="es-CR"/>
              </w:rPr>
              <w:t>10</w:t>
            </w:r>
          </w:p>
        </w:tc>
        <w:tc>
          <w:tcPr>
            <w:tcW w:w="2906" w:type="dxa"/>
            <w:tcBorders>
              <w:top w:val="nil"/>
              <w:left w:val="nil"/>
              <w:bottom w:val="single" w:sz="4" w:space="0" w:color="auto"/>
              <w:right w:val="single" w:sz="4" w:space="0" w:color="auto"/>
            </w:tcBorders>
            <w:shd w:val="clear" w:color="000000" w:fill="FFFFFF"/>
            <w:noWrap/>
            <w:vAlign w:val="center"/>
            <w:hideMark/>
          </w:tcPr>
          <w:p w14:paraId="11C77C7F" w14:textId="70EE0189" w:rsidR="00D67835" w:rsidRPr="0023319B" w:rsidRDefault="00D67835" w:rsidP="00D67835">
            <w:pPr>
              <w:spacing w:line="240" w:lineRule="auto"/>
              <w:jc w:val="left"/>
              <w:rPr>
                <w:rFonts w:ascii="Calibri Light" w:hAnsi="Calibri Light" w:cs="Calibri Light"/>
                <w:sz w:val="18"/>
                <w:szCs w:val="18"/>
                <w:lang w:val="es-CR" w:eastAsia="es-CR"/>
              </w:rPr>
            </w:pPr>
            <w:r w:rsidRPr="0023319B">
              <w:rPr>
                <w:rFonts w:ascii="Calibri Light" w:hAnsi="Calibri Light" w:cs="Calibri Light"/>
                <w:sz w:val="18"/>
                <w:szCs w:val="18"/>
                <w:lang w:val="es-CR"/>
              </w:rPr>
              <w:t>Líder de Supervisión</w:t>
            </w:r>
          </w:p>
        </w:tc>
        <w:tc>
          <w:tcPr>
            <w:tcW w:w="1063" w:type="dxa"/>
            <w:tcBorders>
              <w:top w:val="nil"/>
              <w:left w:val="nil"/>
              <w:bottom w:val="single" w:sz="4" w:space="0" w:color="auto"/>
              <w:right w:val="single" w:sz="4" w:space="0" w:color="auto"/>
            </w:tcBorders>
            <w:shd w:val="clear" w:color="000000" w:fill="FFFFFF"/>
            <w:noWrap/>
            <w:vAlign w:val="center"/>
            <w:hideMark/>
          </w:tcPr>
          <w:p w14:paraId="2CFFDA59" w14:textId="0F5C8959" w:rsidR="00D67835" w:rsidRPr="0023319B" w:rsidRDefault="00D67835" w:rsidP="00D67835">
            <w:pPr>
              <w:spacing w:line="240" w:lineRule="auto"/>
              <w:jc w:val="center"/>
              <w:rPr>
                <w:rFonts w:ascii="Calibri Light" w:hAnsi="Calibri Light" w:cs="Calibri Light"/>
                <w:sz w:val="18"/>
                <w:szCs w:val="18"/>
                <w:lang w:val="es-CR" w:eastAsia="es-CR"/>
              </w:rPr>
            </w:pPr>
            <w:r w:rsidRPr="0023319B">
              <w:rPr>
                <w:rFonts w:ascii="Calibri Light" w:hAnsi="Calibri Light" w:cs="Calibri Light"/>
                <w:sz w:val="18"/>
                <w:szCs w:val="18"/>
                <w:lang w:val="es-CR"/>
              </w:rPr>
              <w:t>Global</w:t>
            </w:r>
          </w:p>
        </w:tc>
        <w:tc>
          <w:tcPr>
            <w:tcW w:w="992" w:type="dxa"/>
            <w:tcBorders>
              <w:top w:val="nil"/>
              <w:left w:val="nil"/>
              <w:bottom w:val="single" w:sz="4" w:space="0" w:color="auto"/>
              <w:right w:val="single" w:sz="4" w:space="0" w:color="auto"/>
            </w:tcBorders>
            <w:shd w:val="clear" w:color="000000" w:fill="FFFFFF"/>
            <w:noWrap/>
            <w:vAlign w:val="center"/>
            <w:hideMark/>
          </w:tcPr>
          <w:p w14:paraId="6E68435F" w14:textId="692B2837" w:rsidR="00D67835" w:rsidRPr="0023319B" w:rsidRDefault="00D67835" w:rsidP="00D67835">
            <w:pPr>
              <w:spacing w:line="240" w:lineRule="auto"/>
              <w:jc w:val="right"/>
              <w:rPr>
                <w:rFonts w:ascii="Calibri Light" w:hAnsi="Calibri Light" w:cs="Calibri Light"/>
                <w:sz w:val="18"/>
                <w:szCs w:val="18"/>
                <w:lang w:val="es-CR" w:eastAsia="es-CR"/>
              </w:rPr>
            </w:pPr>
            <w:r w:rsidRPr="0023319B">
              <w:rPr>
                <w:rFonts w:ascii="Calibri Light" w:hAnsi="Calibri Light" w:cs="Calibri Light"/>
                <w:sz w:val="18"/>
                <w:szCs w:val="18"/>
                <w:lang w:val="es-CR"/>
              </w:rPr>
              <w:t>502,950</w:t>
            </w:r>
          </w:p>
        </w:tc>
        <w:tc>
          <w:tcPr>
            <w:tcW w:w="1134" w:type="dxa"/>
            <w:tcBorders>
              <w:top w:val="nil"/>
              <w:left w:val="nil"/>
              <w:bottom w:val="single" w:sz="4" w:space="0" w:color="auto"/>
              <w:right w:val="single" w:sz="4" w:space="0" w:color="auto"/>
            </w:tcBorders>
            <w:shd w:val="clear" w:color="000000" w:fill="FFFFFF"/>
            <w:noWrap/>
            <w:vAlign w:val="center"/>
            <w:hideMark/>
          </w:tcPr>
          <w:p w14:paraId="30ED98CF" w14:textId="5B6204AF" w:rsidR="00D67835" w:rsidRPr="0023319B" w:rsidRDefault="00D67835" w:rsidP="00D67835">
            <w:pPr>
              <w:spacing w:line="240" w:lineRule="auto"/>
              <w:jc w:val="center"/>
              <w:rPr>
                <w:rFonts w:ascii="Calibri Light" w:hAnsi="Calibri Light" w:cs="Calibri Light"/>
                <w:sz w:val="18"/>
                <w:szCs w:val="18"/>
                <w:lang w:val="es-CR" w:eastAsia="es-CR"/>
              </w:rPr>
            </w:pPr>
            <w:r w:rsidRPr="0023319B">
              <w:rPr>
                <w:rFonts w:ascii="Calibri Light" w:hAnsi="Calibri Light" w:cs="Calibri Light"/>
                <w:sz w:val="18"/>
                <w:szCs w:val="18"/>
                <w:lang w:val="es-CR"/>
              </w:rPr>
              <w:t>3</w:t>
            </w:r>
          </w:p>
        </w:tc>
        <w:tc>
          <w:tcPr>
            <w:tcW w:w="1134" w:type="dxa"/>
            <w:tcBorders>
              <w:top w:val="nil"/>
              <w:left w:val="nil"/>
              <w:bottom w:val="single" w:sz="4" w:space="0" w:color="auto"/>
              <w:right w:val="single" w:sz="4" w:space="0" w:color="auto"/>
            </w:tcBorders>
            <w:shd w:val="clear" w:color="000000" w:fill="FFFFFF"/>
            <w:noWrap/>
            <w:vAlign w:val="center"/>
            <w:hideMark/>
          </w:tcPr>
          <w:p w14:paraId="260C1C6F" w14:textId="5EB077AD" w:rsidR="00D67835" w:rsidRPr="0023319B" w:rsidRDefault="00D67835" w:rsidP="00D67835">
            <w:pPr>
              <w:spacing w:line="240" w:lineRule="auto"/>
              <w:jc w:val="right"/>
              <w:rPr>
                <w:rFonts w:ascii="Calibri Light" w:hAnsi="Calibri Light" w:cs="Calibri Light"/>
                <w:sz w:val="18"/>
                <w:szCs w:val="18"/>
                <w:lang w:val="es-CR" w:eastAsia="es-CR"/>
              </w:rPr>
            </w:pPr>
            <w:r w:rsidRPr="0023319B">
              <w:rPr>
                <w:rFonts w:ascii="Calibri Light" w:hAnsi="Calibri Light" w:cs="Calibri Light"/>
                <w:sz w:val="18"/>
                <w:szCs w:val="18"/>
                <w:lang w:val="es-CR"/>
              </w:rPr>
              <w:t>151,839</w:t>
            </w:r>
          </w:p>
        </w:tc>
      </w:tr>
      <w:tr w:rsidR="00D67835" w:rsidRPr="0023319B" w14:paraId="21B05329" w14:textId="77777777" w:rsidTr="00DF5E7F">
        <w:trPr>
          <w:trHeight w:val="300"/>
        </w:trPr>
        <w:tc>
          <w:tcPr>
            <w:tcW w:w="988" w:type="dxa"/>
            <w:tcBorders>
              <w:top w:val="nil"/>
              <w:left w:val="single" w:sz="4" w:space="0" w:color="auto"/>
              <w:bottom w:val="single" w:sz="4" w:space="0" w:color="auto"/>
              <w:right w:val="single" w:sz="4" w:space="0" w:color="auto"/>
            </w:tcBorders>
            <w:shd w:val="clear" w:color="000000" w:fill="D9D9D9"/>
            <w:noWrap/>
            <w:vAlign w:val="center"/>
            <w:hideMark/>
          </w:tcPr>
          <w:p w14:paraId="0898CDDB" w14:textId="2764DC6F" w:rsidR="00D67835" w:rsidRPr="0023319B" w:rsidRDefault="00D67835" w:rsidP="00D67835">
            <w:pPr>
              <w:spacing w:line="240" w:lineRule="auto"/>
              <w:jc w:val="center"/>
              <w:rPr>
                <w:rFonts w:ascii="Calibri Light" w:hAnsi="Calibri Light" w:cs="Calibri Light"/>
                <w:sz w:val="18"/>
                <w:szCs w:val="18"/>
                <w:lang w:val="es-CR" w:eastAsia="es-CR"/>
              </w:rPr>
            </w:pPr>
            <w:r w:rsidRPr="0023319B">
              <w:rPr>
                <w:rFonts w:ascii="Calibri Light" w:hAnsi="Calibri Light" w:cs="Calibri Light"/>
                <w:sz w:val="18"/>
                <w:szCs w:val="18"/>
                <w:lang w:val="es-CR"/>
              </w:rPr>
              <w:t>10</w:t>
            </w:r>
          </w:p>
        </w:tc>
        <w:tc>
          <w:tcPr>
            <w:tcW w:w="2906" w:type="dxa"/>
            <w:tcBorders>
              <w:top w:val="nil"/>
              <w:left w:val="nil"/>
              <w:bottom w:val="single" w:sz="4" w:space="0" w:color="auto"/>
              <w:right w:val="single" w:sz="4" w:space="0" w:color="auto"/>
            </w:tcBorders>
            <w:shd w:val="clear" w:color="000000" w:fill="D9D9D9"/>
            <w:noWrap/>
            <w:vAlign w:val="center"/>
            <w:hideMark/>
          </w:tcPr>
          <w:p w14:paraId="691E0D64" w14:textId="59D452B6" w:rsidR="00D67835" w:rsidRPr="0023319B" w:rsidRDefault="00D67835" w:rsidP="00D67835">
            <w:pPr>
              <w:spacing w:line="240" w:lineRule="auto"/>
              <w:jc w:val="left"/>
              <w:rPr>
                <w:rFonts w:ascii="Calibri Light" w:hAnsi="Calibri Light" w:cs="Calibri Light"/>
                <w:sz w:val="18"/>
                <w:szCs w:val="18"/>
                <w:lang w:val="es-CR" w:eastAsia="es-CR"/>
              </w:rPr>
            </w:pPr>
            <w:r w:rsidRPr="0023319B">
              <w:rPr>
                <w:rFonts w:ascii="Calibri Light" w:hAnsi="Calibri Light" w:cs="Calibri Light"/>
                <w:sz w:val="18"/>
                <w:szCs w:val="18"/>
                <w:lang w:val="es-CR"/>
              </w:rPr>
              <w:t>Profesional Gestión Bancaria 5</w:t>
            </w:r>
          </w:p>
        </w:tc>
        <w:tc>
          <w:tcPr>
            <w:tcW w:w="1063" w:type="dxa"/>
            <w:tcBorders>
              <w:top w:val="nil"/>
              <w:left w:val="nil"/>
              <w:bottom w:val="single" w:sz="4" w:space="0" w:color="auto"/>
              <w:right w:val="single" w:sz="4" w:space="0" w:color="auto"/>
            </w:tcBorders>
            <w:shd w:val="clear" w:color="000000" w:fill="D9D9D9"/>
            <w:noWrap/>
            <w:vAlign w:val="center"/>
            <w:hideMark/>
          </w:tcPr>
          <w:p w14:paraId="40F4B66E" w14:textId="63B42CA4" w:rsidR="00D67835" w:rsidRPr="0023319B" w:rsidRDefault="00D67835" w:rsidP="00D67835">
            <w:pPr>
              <w:spacing w:line="240" w:lineRule="auto"/>
              <w:jc w:val="center"/>
              <w:rPr>
                <w:rFonts w:ascii="Calibri Light" w:hAnsi="Calibri Light" w:cs="Calibri Light"/>
                <w:sz w:val="18"/>
                <w:szCs w:val="18"/>
                <w:lang w:val="es-CR" w:eastAsia="es-CR"/>
              </w:rPr>
            </w:pPr>
            <w:r w:rsidRPr="0023319B">
              <w:rPr>
                <w:rFonts w:ascii="Calibri Light" w:hAnsi="Calibri Light" w:cs="Calibri Light"/>
                <w:sz w:val="18"/>
                <w:szCs w:val="18"/>
                <w:lang w:val="es-CR"/>
              </w:rPr>
              <w:t>Global</w:t>
            </w:r>
          </w:p>
        </w:tc>
        <w:tc>
          <w:tcPr>
            <w:tcW w:w="992" w:type="dxa"/>
            <w:tcBorders>
              <w:top w:val="nil"/>
              <w:left w:val="nil"/>
              <w:bottom w:val="single" w:sz="4" w:space="0" w:color="auto"/>
              <w:right w:val="single" w:sz="4" w:space="0" w:color="auto"/>
            </w:tcBorders>
            <w:shd w:val="clear" w:color="000000" w:fill="D9D9D9"/>
            <w:noWrap/>
            <w:vAlign w:val="center"/>
            <w:hideMark/>
          </w:tcPr>
          <w:p w14:paraId="07077288" w14:textId="2793B702" w:rsidR="00D67835" w:rsidRPr="0023319B" w:rsidRDefault="00D67835" w:rsidP="00D67835">
            <w:pPr>
              <w:spacing w:line="240" w:lineRule="auto"/>
              <w:jc w:val="right"/>
              <w:rPr>
                <w:rFonts w:ascii="Calibri Light" w:hAnsi="Calibri Light" w:cs="Calibri Light"/>
                <w:sz w:val="18"/>
                <w:szCs w:val="18"/>
                <w:lang w:val="es-CR" w:eastAsia="es-CR"/>
              </w:rPr>
            </w:pPr>
            <w:r w:rsidRPr="0023319B">
              <w:rPr>
                <w:rFonts w:ascii="Calibri Light" w:hAnsi="Calibri Light" w:cs="Calibri Light"/>
                <w:sz w:val="18"/>
                <w:szCs w:val="18"/>
                <w:lang w:val="es-CR"/>
              </w:rPr>
              <w:t>502,950</w:t>
            </w:r>
          </w:p>
        </w:tc>
        <w:tc>
          <w:tcPr>
            <w:tcW w:w="1134" w:type="dxa"/>
            <w:tcBorders>
              <w:top w:val="nil"/>
              <w:left w:val="nil"/>
              <w:bottom w:val="single" w:sz="4" w:space="0" w:color="auto"/>
              <w:right w:val="single" w:sz="4" w:space="0" w:color="auto"/>
            </w:tcBorders>
            <w:shd w:val="clear" w:color="000000" w:fill="D9D9D9"/>
            <w:noWrap/>
            <w:vAlign w:val="center"/>
            <w:hideMark/>
          </w:tcPr>
          <w:p w14:paraId="43C17358" w14:textId="0C0D9013" w:rsidR="00D67835" w:rsidRPr="0023319B" w:rsidRDefault="00D67835" w:rsidP="00D67835">
            <w:pPr>
              <w:spacing w:line="240" w:lineRule="auto"/>
              <w:jc w:val="center"/>
              <w:rPr>
                <w:rFonts w:ascii="Calibri Light" w:hAnsi="Calibri Light" w:cs="Calibri Light"/>
                <w:sz w:val="18"/>
                <w:szCs w:val="18"/>
                <w:lang w:val="es-CR" w:eastAsia="es-CR"/>
              </w:rPr>
            </w:pPr>
            <w:r w:rsidRPr="0023319B">
              <w:rPr>
                <w:rFonts w:ascii="Calibri Light" w:hAnsi="Calibri Light" w:cs="Calibri Light"/>
                <w:sz w:val="18"/>
                <w:szCs w:val="18"/>
                <w:lang w:val="es-CR"/>
              </w:rPr>
              <w:t>1</w:t>
            </w:r>
          </w:p>
        </w:tc>
        <w:tc>
          <w:tcPr>
            <w:tcW w:w="1134" w:type="dxa"/>
            <w:tcBorders>
              <w:top w:val="nil"/>
              <w:left w:val="nil"/>
              <w:bottom w:val="single" w:sz="4" w:space="0" w:color="auto"/>
              <w:right w:val="single" w:sz="4" w:space="0" w:color="auto"/>
            </w:tcBorders>
            <w:shd w:val="clear" w:color="000000" w:fill="D9D9D9"/>
            <w:noWrap/>
            <w:vAlign w:val="center"/>
            <w:hideMark/>
          </w:tcPr>
          <w:p w14:paraId="6F72C9B0" w14:textId="2BCC60E4" w:rsidR="00D67835" w:rsidRPr="0023319B" w:rsidRDefault="00D67835" w:rsidP="00D67835">
            <w:pPr>
              <w:spacing w:line="240" w:lineRule="auto"/>
              <w:jc w:val="right"/>
              <w:rPr>
                <w:rFonts w:ascii="Calibri Light" w:hAnsi="Calibri Light" w:cs="Calibri Light"/>
                <w:sz w:val="18"/>
                <w:szCs w:val="18"/>
                <w:lang w:val="es-CR" w:eastAsia="es-CR"/>
              </w:rPr>
            </w:pPr>
            <w:r w:rsidRPr="0023319B">
              <w:rPr>
                <w:rFonts w:ascii="Calibri Light" w:hAnsi="Calibri Light" w:cs="Calibri Light"/>
                <w:sz w:val="18"/>
                <w:szCs w:val="18"/>
                <w:lang w:val="es-CR"/>
              </w:rPr>
              <w:t>50,613</w:t>
            </w:r>
          </w:p>
        </w:tc>
      </w:tr>
      <w:tr w:rsidR="00D67835" w:rsidRPr="0023319B" w14:paraId="7F0417D6" w14:textId="77777777" w:rsidTr="00DF5E7F">
        <w:trPr>
          <w:trHeight w:val="300"/>
        </w:trPr>
        <w:tc>
          <w:tcPr>
            <w:tcW w:w="988" w:type="dxa"/>
            <w:tcBorders>
              <w:top w:val="nil"/>
              <w:left w:val="single" w:sz="4" w:space="0" w:color="auto"/>
              <w:bottom w:val="single" w:sz="4" w:space="0" w:color="auto"/>
              <w:right w:val="single" w:sz="4" w:space="0" w:color="auto"/>
            </w:tcBorders>
            <w:shd w:val="clear" w:color="000000" w:fill="FFFFFF"/>
            <w:noWrap/>
            <w:vAlign w:val="center"/>
            <w:hideMark/>
          </w:tcPr>
          <w:p w14:paraId="047306DE" w14:textId="58C06D1B" w:rsidR="00D67835" w:rsidRPr="0023319B" w:rsidRDefault="00D67835" w:rsidP="00D67835">
            <w:pPr>
              <w:spacing w:line="240" w:lineRule="auto"/>
              <w:jc w:val="center"/>
              <w:rPr>
                <w:rFonts w:ascii="Calibri Light" w:hAnsi="Calibri Light" w:cs="Calibri Light"/>
                <w:sz w:val="18"/>
                <w:szCs w:val="18"/>
                <w:lang w:val="es-CR" w:eastAsia="es-CR"/>
              </w:rPr>
            </w:pPr>
            <w:r w:rsidRPr="0023319B">
              <w:rPr>
                <w:rFonts w:ascii="Calibri Light" w:hAnsi="Calibri Light" w:cs="Calibri Light"/>
                <w:sz w:val="18"/>
                <w:szCs w:val="18"/>
                <w:lang w:val="es-CR"/>
              </w:rPr>
              <w:t>12</w:t>
            </w:r>
          </w:p>
        </w:tc>
        <w:tc>
          <w:tcPr>
            <w:tcW w:w="2906" w:type="dxa"/>
            <w:tcBorders>
              <w:top w:val="nil"/>
              <w:left w:val="nil"/>
              <w:bottom w:val="single" w:sz="4" w:space="0" w:color="auto"/>
              <w:right w:val="single" w:sz="4" w:space="0" w:color="auto"/>
            </w:tcBorders>
            <w:shd w:val="clear" w:color="000000" w:fill="FFFFFF"/>
            <w:noWrap/>
            <w:vAlign w:val="center"/>
            <w:hideMark/>
          </w:tcPr>
          <w:p w14:paraId="4BDB2440" w14:textId="088A0D4D" w:rsidR="00D67835" w:rsidRPr="0023319B" w:rsidRDefault="00D67835" w:rsidP="00D67835">
            <w:pPr>
              <w:spacing w:line="240" w:lineRule="auto"/>
              <w:jc w:val="left"/>
              <w:rPr>
                <w:rFonts w:ascii="Calibri Light" w:hAnsi="Calibri Light" w:cs="Calibri Light"/>
                <w:sz w:val="18"/>
                <w:szCs w:val="18"/>
                <w:lang w:val="es-CR" w:eastAsia="es-CR"/>
              </w:rPr>
            </w:pPr>
            <w:r w:rsidRPr="0023319B">
              <w:rPr>
                <w:rFonts w:ascii="Calibri Light" w:hAnsi="Calibri Light" w:cs="Calibri Light"/>
                <w:sz w:val="18"/>
                <w:szCs w:val="18"/>
                <w:lang w:val="es-CR"/>
              </w:rPr>
              <w:t>Director de División</w:t>
            </w:r>
          </w:p>
        </w:tc>
        <w:tc>
          <w:tcPr>
            <w:tcW w:w="1063" w:type="dxa"/>
            <w:tcBorders>
              <w:top w:val="nil"/>
              <w:left w:val="nil"/>
              <w:bottom w:val="single" w:sz="4" w:space="0" w:color="auto"/>
              <w:right w:val="single" w:sz="4" w:space="0" w:color="auto"/>
            </w:tcBorders>
            <w:shd w:val="clear" w:color="000000" w:fill="FFFFFF"/>
            <w:noWrap/>
            <w:vAlign w:val="center"/>
            <w:hideMark/>
          </w:tcPr>
          <w:p w14:paraId="310A8E88" w14:textId="6210C7C1" w:rsidR="00D67835" w:rsidRPr="0023319B" w:rsidRDefault="00D67835" w:rsidP="00D67835">
            <w:pPr>
              <w:spacing w:line="240" w:lineRule="auto"/>
              <w:jc w:val="center"/>
              <w:rPr>
                <w:rFonts w:ascii="Calibri Light" w:hAnsi="Calibri Light" w:cs="Calibri Light"/>
                <w:sz w:val="18"/>
                <w:szCs w:val="18"/>
                <w:lang w:val="es-CR" w:eastAsia="es-CR"/>
              </w:rPr>
            </w:pPr>
            <w:r w:rsidRPr="0023319B">
              <w:rPr>
                <w:rFonts w:ascii="Calibri Light" w:hAnsi="Calibri Light" w:cs="Calibri Light"/>
                <w:sz w:val="18"/>
                <w:szCs w:val="18"/>
                <w:lang w:val="es-CR"/>
              </w:rPr>
              <w:t>Global</w:t>
            </w:r>
          </w:p>
        </w:tc>
        <w:tc>
          <w:tcPr>
            <w:tcW w:w="992" w:type="dxa"/>
            <w:tcBorders>
              <w:top w:val="nil"/>
              <w:left w:val="nil"/>
              <w:bottom w:val="single" w:sz="4" w:space="0" w:color="auto"/>
              <w:right w:val="single" w:sz="4" w:space="0" w:color="auto"/>
            </w:tcBorders>
            <w:shd w:val="clear" w:color="000000" w:fill="FFFFFF"/>
            <w:noWrap/>
            <w:vAlign w:val="center"/>
            <w:hideMark/>
          </w:tcPr>
          <w:p w14:paraId="7D0AC4BB" w14:textId="09A75BD0" w:rsidR="00D67835" w:rsidRPr="0023319B" w:rsidRDefault="00D67835" w:rsidP="00D67835">
            <w:pPr>
              <w:spacing w:line="240" w:lineRule="auto"/>
              <w:jc w:val="right"/>
              <w:rPr>
                <w:rFonts w:ascii="Calibri Light" w:hAnsi="Calibri Light" w:cs="Calibri Light"/>
                <w:sz w:val="18"/>
                <w:szCs w:val="18"/>
                <w:lang w:val="es-CR" w:eastAsia="es-CR"/>
              </w:rPr>
            </w:pPr>
            <w:r w:rsidRPr="0023319B">
              <w:rPr>
                <w:rFonts w:ascii="Calibri Light" w:hAnsi="Calibri Light" w:cs="Calibri Light"/>
                <w:sz w:val="18"/>
                <w:szCs w:val="18"/>
                <w:lang w:val="es-CR"/>
              </w:rPr>
              <w:t>1,366,141</w:t>
            </w:r>
          </w:p>
        </w:tc>
        <w:tc>
          <w:tcPr>
            <w:tcW w:w="1134" w:type="dxa"/>
            <w:tcBorders>
              <w:top w:val="nil"/>
              <w:left w:val="nil"/>
              <w:bottom w:val="single" w:sz="4" w:space="0" w:color="auto"/>
              <w:right w:val="single" w:sz="4" w:space="0" w:color="auto"/>
            </w:tcBorders>
            <w:shd w:val="clear" w:color="000000" w:fill="FFFFFF"/>
            <w:noWrap/>
            <w:vAlign w:val="center"/>
            <w:hideMark/>
          </w:tcPr>
          <w:p w14:paraId="212A2528" w14:textId="0662B3A7" w:rsidR="00D67835" w:rsidRPr="0023319B" w:rsidRDefault="00D67835" w:rsidP="00D67835">
            <w:pPr>
              <w:spacing w:line="240" w:lineRule="auto"/>
              <w:jc w:val="center"/>
              <w:rPr>
                <w:rFonts w:ascii="Calibri Light" w:hAnsi="Calibri Light" w:cs="Calibri Light"/>
                <w:sz w:val="18"/>
                <w:szCs w:val="18"/>
                <w:lang w:val="es-CR" w:eastAsia="es-CR"/>
              </w:rPr>
            </w:pPr>
            <w:r w:rsidRPr="0023319B">
              <w:rPr>
                <w:rFonts w:ascii="Calibri Light" w:hAnsi="Calibri Light" w:cs="Calibri Light"/>
                <w:sz w:val="18"/>
                <w:szCs w:val="18"/>
                <w:lang w:val="es-CR"/>
              </w:rPr>
              <w:t>2</w:t>
            </w:r>
          </w:p>
        </w:tc>
        <w:tc>
          <w:tcPr>
            <w:tcW w:w="1134" w:type="dxa"/>
            <w:tcBorders>
              <w:top w:val="nil"/>
              <w:left w:val="nil"/>
              <w:bottom w:val="single" w:sz="4" w:space="0" w:color="auto"/>
              <w:right w:val="single" w:sz="4" w:space="0" w:color="auto"/>
            </w:tcBorders>
            <w:shd w:val="clear" w:color="000000" w:fill="FFFFFF"/>
            <w:noWrap/>
            <w:vAlign w:val="center"/>
            <w:hideMark/>
          </w:tcPr>
          <w:p w14:paraId="68E046AC" w14:textId="7E1A105B" w:rsidR="00D67835" w:rsidRPr="0023319B" w:rsidRDefault="00D67835" w:rsidP="00D67835">
            <w:pPr>
              <w:spacing w:line="240" w:lineRule="auto"/>
              <w:jc w:val="right"/>
              <w:rPr>
                <w:rFonts w:ascii="Calibri Light" w:hAnsi="Calibri Light" w:cs="Calibri Light"/>
                <w:sz w:val="18"/>
                <w:szCs w:val="18"/>
                <w:lang w:val="es-CR" w:eastAsia="es-CR"/>
              </w:rPr>
            </w:pPr>
            <w:r w:rsidRPr="0023319B">
              <w:rPr>
                <w:rFonts w:ascii="Calibri Light" w:hAnsi="Calibri Light" w:cs="Calibri Light"/>
                <w:sz w:val="18"/>
                <w:szCs w:val="18"/>
                <w:lang w:val="es-CR"/>
              </w:rPr>
              <w:t>142,079</w:t>
            </w:r>
          </w:p>
        </w:tc>
      </w:tr>
      <w:tr w:rsidR="00D67835" w:rsidRPr="0023319B" w14:paraId="7F5E035A" w14:textId="77777777" w:rsidTr="00DF5E7F">
        <w:trPr>
          <w:trHeight w:val="300"/>
        </w:trPr>
        <w:tc>
          <w:tcPr>
            <w:tcW w:w="988" w:type="dxa"/>
            <w:tcBorders>
              <w:top w:val="nil"/>
              <w:left w:val="single" w:sz="4" w:space="0" w:color="auto"/>
              <w:bottom w:val="single" w:sz="4" w:space="0" w:color="auto"/>
              <w:right w:val="single" w:sz="4" w:space="0" w:color="auto"/>
            </w:tcBorders>
            <w:shd w:val="clear" w:color="000000" w:fill="D9D9D9"/>
            <w:noWrap/>
            <w:vAlign w:val="center"/>
            <w:hideMark/>
          </w:tcPr>
          <w:p w14:paraId="5B136766" w14:textId="15290686" w:rsidR="00D67835" w:rsidRPr="0023319B" w:rsidRDefault="00D67835" w:rsidP="00D67835">
            <w:pPr>
              <w:spacing w:line="240" w:lineRule="auto"/>
              <w:jc w:val="center"/>
              <w:rPr>
                <w:rFonts w:ascii="Calibri Light" w:hAnsi="Calibri Light" w:cs="Calibri Light"/>
                <w:sz w:val="18"/>
                <w:szCs w:val="18"/>
                <w:lang w:val="es-CR" w:eastAsia="es-CR"/>
              </w:rPr>
            </w:pPr>
            <w:r w:rsidRPr="0023319B">
              <w:rPr>
                <w:rFonts w:ascii="Calibri Light" w:hAnsi="Calibri Light" w:cs="Calibri Light"/>
                <w:sz w:val="18"/>
                <w:szCs w:val="18"/>
                <w:lang w:val="es-CR"/>
              </w:rPr>
              <w:t>12</w:t>
            </w:r>
          </w:p>
        </w:tc>
        <w:tc>
          <w:tcPr>
            <w:tcW w:w="2906" w:type="dxa"/>
            <w:tcBorders>
              <w:top w:val="nil"/>
              <w:left w:val="nil"/>
              <w:bottom w:val="single" w:sz="4" w:space="0" w:color="auto"/>
              <w:right w:val="single" w:sz="4" w:space="0" w:color="auto"/>
            </w:tcBorders>
            <w:shd w:val="clear" w:color="000000" w:fill="D9D9D9"/>
            <w:noWrap/>
            <w:vAlign w:val="center"/>
            <w:hideMark/>
          </w:tcPr>
          <w:p w14:paraId="12729B3C" w14:textId="37C7663E" w:rsidR="00D67835" w:rsidRPr="0023319B" w:rsidRDefault="00D67835" w:rsidP="00D67835">
            <w:pPr>
              <w:spacing w:line="240" w:lineRule="auto"/>
              <w:jc w:val="left"/>
              <w:rPr>
                <w:rFonts w:ascii="Calibri Light" w:hAnsi="Calibri Light" w:cs="Calibri Light"/>
                <w:sz w:val="18"/>
                <w:szCs w:val="18"/>
                <w:lang w:val="es-CR" w:eastAsia="es-CR"/>
              </w:rPr>
            </w:pPr>
            <w:r w:rsidRPr="0023319B">
              <w:rPr>
                <w:rFonts w:ascii="Calibri Light" w:hAnsi="Calibri Light" w:cs="Calibri Light"/>
                <w:sz w:val="18"/>
                <w:szCs w:val="18"/>
                <w:lang w:val="es-CR"/>
              </w:rPr>
              <w:t>Director de Supervisión</w:t>
            </w:r>
          </w:p>
        </w:tc>
        <w:tc>
          <w:tcPr>
            <w:tcW w:w="1063" w:type="dxa"/>
            <w:tcBorders>
              <w:top w:val="nil"/>
              <w:left w:val="nil"/>
              <w:bottom w:val="single" w:sz="4" w:space="0" w:color="auto"/>
              <w:right w:val="single" w:sz="4" w:space="0" w:color="auto"/>
            </w:tcBorders>
            <w:shd w:val="clear" w:color="000000" w:fill="D9D9D9"/>
            <w:noWrap/>
            <w:vAlign w:val="center"/>
            <w:hideMark/>
          </w:tcPr>
          <w:p w14:paraId="51BA04D8" w14:textId="562D1909" w:rsidR="00D67835" w:rsidRPr="0023319B" w:rsidRDefault="00D67835" w:rsidP="00D67835">
            <w:pPr>
              <w:spacing w:line="240" w:lineRule="auto"/>
              <w:jc w:val="center"/>
              <w:rPr>
                <w:rFonts w:ascii="Calibri Light" w:hAnsi="Calibri Light" w:cs="Calibri Light"/>
                <w:sz w:val="18"/>
                <w:szCs w:val="18"/>
                <w:lang w:val="es-CR" w:eastAsia="es-CR"/>
              </w:rPr>
            </w:pPr>
            <w:r w:rsidRPr="0023319B">
              <w:rPr>
                <w:rFonts w:ascii="Calibri Light" w:hAnsi="Calibri Light" w:cs="Calibri Light"/>
                <w:sz w:val="18"/>
                <w:szCs w:val="18"/>
                <w:lang w:val="es-CR"/>
              </w:rPr>
              <w:t>Global</w:t>
            </w:r>
          </w:p>
        </w:tc>
        <w:tc>
          <w:tcPr>
            <w:tcW w:w="992" w:type="dxa"/>
            <w:tcBorders>
              <w:top w:val="nil"/>
              <w:left w:val="nil"/>
              <w:bottom w:val="single" w:sz="4" w:space="0" w:color="auto"/>
              <w:right w:val="single" w:sz="4" w:space="0" w:color="auto"/>
            </w:tcBorders>
            <w:shd w:val="clear" w:color="000000" w:fill="D9D9D9"/>
            <w:noWrap/>
            <w:vAlign w:val="center"/>
            <w:hideMark/>
          </w:tcPr>
          <w:p w14:paraId="6858A736" w14:textId="2835DA00" w:rsidR="00D67835" w:rsidRPr="0023319B" w:rsidRDefault="00D67835" w:rsidP="00D67835">
            <w:pPr>
              <w:spacing w:line="240" w:lineRule="auto"/>
              <w:jc w:val="right"/>
              <w:rPr>
                <w:rFonts w:ascii="Calibri Light" w:hAnsi="Calibri Light" w:cs="Calibri Light"/>
                <w:sz w:val="18"/>
                <w:szCs w:val="18"/>
                <w:lang w:val="es-CR" w:eastAsia="es-CR"/>
              </w:rPr>
            </w:pPr>
            <w:r w:rsidRPr="0023319B">
              <w:rPr>
                <w:rFonts w:ascii="Calibri Light" w:hAnsi="Calibri Light" w:cs="Calibri Light"/>
                <w:sz w:val="18"/>
                <w:szCs w:val="18"/>
                <w:lang w:val="es-CR"/>
              </w:rPr>
              <w:t>1,366,141</w:t>
            </w:r>
          </w:p>
        </w:tc>
        <w:tc>
          <w:tcPr>
            <w:tcW w:w="1134" w:type="dxa"/>
            <w:tcBorders>
              <w:top w:val="nil"/>
              <w:left w:val="nil"/>
              <w:bottom w:val="single" w:sz="4" w:space="0" w:color="auto"/>
              <w:right w:val="single" w:sz="4" w:space="0" w:color="auto"/>
            </w:tcBorders>
            <w:shd w:val="clear" w:color="000000" w:fill="D9D9D9"/>
            <w:noWrap/>
            <w:vAlign w:val="center"/>
            <w:hideMark/>
          </w:tcPr>
          <w:p w14:paraId="2C13AD2B" w14:textId="4C79C021" w:rsidR="00D67835" w:rsidRPr="0023319B" w:rsidRDefault="00D67835" w:rsidP="00D67835">
            <w:pPr>
              <w:spacing w:line="240" w:lineRule="auto"/>
              <w:jc w:val="center"/>
              <w:rPr>
                <w:rFonts w:ascii="Calibri Light" w:hAnsi="Calibri Light" w:cs="Calibri Light"/>
                <w:sz w:val="18"/>
                <w:szCs w:val="18"/>
                <w:lang w:val="es-CR" w:eastAsia="es-CR"/>
              </w:rPr>
            </w:pPr>
            <w:r w:rsidRPr="0023319B">
              <w:rPr>
                <w:rFonts w:ascii="Calibri Light" w:hAnsi="Calibri Light" w:cs="Calibri Light"/>
                <w:sz w:val="18"/>
                <w:szCs w:val="18"/>
                <w:lang w:val="es-CR"/>
              </w:rPr>
              <w:t>1</w:t>
            </w:r>
          </w:p>
        </w:tc>
        <w:tc>
          <w:tcPr>
            <w:tcW w:w="1134" w:type="dxa"/>
            <w:tcBorders>
              <w:top w:val="nil"/>
              <w:left w:val="nil"/>
              <w:bottom w:val="single" w:sz="4" w:space="0" w:color="auto"/>
              <w:right w:val="single" w:sz="4" w:space="0" w:color="auto"/>
            </w:tcBorders>
            <w:shd w:val="clear" w:color="000000" w:fill="D9D9D9"/>
            <w:noWrap/>
            <w:vAlign w:val="center"/>
            <w:hideMark/>
          </w:tcPr>
          <w:p w14:paraId="09E70957" w14:textId="42E95804" w:rsidR="00D67835" w:rsidRPr="0023319B" w:rsidRDefault="00D67835" w:rsidP="00D67835">
            <w:pPr>
              <w:spacing w:line="240" w:lineRule="auto"/>
              <w:jc w:val="right"/>
              <w:rPr>
                <w:rFonts w:ascii="Calibri Light" w:hAnsi="Calibri Light" w:cs="Calibri Light"/>
                <w:sz w:val="18"/>
                <w:szCs w:val="18"/>
                <w:lang w:val="es-CR" w:eastAsia="es-CR"/>
              </w:rPr>
            </w:pPr>
            <w:r w:rsidRPr="0023319B">
              <w:rPr>
                <w:rFonts w:ascii="Calibri Light" w:hAnsi="Calibri Light" w:cs="Calibri Light"/>
                <w:sz w:val="18"/>
                <w:szCs w:val="18"/>
                <w:lang w:val="es-CR"/>
              </w:rPr>
              <w:t>71,039</w:t>
            </w:r>
          </w:p>
        </w:tc>
      </w:tr>
      <w:tr w:rsidR="00D67835" w:rsidRPr="0023319B" w14:paraId="7B3B92B9" w14:textId="77777777" w:rsidTr="00DF5E7F">
        <w:trPr>
          <w:trHeight w:val="300"/>
        </w:trPr>
        <w:tc>
          <w:tcPr>
            <w:tcW w:w="988" w:type="dxa"/>
            <w:tcBorders>
              <w:top w:val="nil"/>
              <w:left w:val="single" w:sz="4" w:space="0" w:color="auto"/>
              <w:bottom w:val="single" w:sz="4" w:space="0" w:color="auto"/>
              <w:right w:val="single" w:sz="4" w:space="0" w:color="auto"/>
            </w:tcBorders>
            <w:shd w:val="clear" w:color="000000" w:fill="FFFFFF"/>
            <w:noWrap/>
            <w:vAlign w:val="center"/>
            <w:hideMark/>
          </w:tcPr>
          <w:p w14:paraId="54B38F1A" w14:textId="64C7F317" w:rsidR="00D67835" w:rsidRPr="0023319B" w:rsidRDefault="00D67835" w:rsidP="00D67835">
            <w:pPr>
              <w:spacing w:line="240" w:lineRule="auto"/>
              <w:jc w:val="center"/>
              <w:rPr>
                <w:rFonts w:ascii="Calibri Light" w:hAnsi="Calibri Light" w:cs="Calibri Light"/>
                <w:sz w:val="18"/>
                <w:szCs w:val="18"/>
                <w:lang w:val="es-CR" w:eastAsia="es-CR"/>
              </w:rPr>
            </w:pPr>
            <w:r w:rsidRPr="0023319B">
              <w:rPr>
                <w:rFonts w:ascii="Calibri Light" w:hAnsi="Calibri Light" w:cs="Calibri Light"/>
                <w:sz w:val="18"/>
                <w:szCs w:val="18"/>
                <w:lang w:val="es-CR"/>
              </w:rPr>
              <w:t>09</w:t>
            </w:r>
          </w:p>
        </w:tc>
        <w:tc>
          <w:tcPr>
            <w:tcW w:w="2906" w:type="dxa"/>
            <w:tcBorders>
              <w:top w:val="nil"/>
              <w:left w:val="nil"/>
              <w:bottom w:val="single" w:sz="4" w:space="0" w:color="auto"/>
              <w:right w:val="single" w:sz="4" w:space="0" w:color="auto"/>
            </w:tcBorders>
            <w:shd w:val="clear" w:color="000000" w:fill="FFFFFF"/>
            <w:noWrap/>
            <w:vAlign w:val="center"/>
            <w:hideMark/>
          </w:tcPr>
          <w:p w14:paraId="0785B895" w14:textId="695063F4" w:rsidR="00D67835" w:rsidRPr="0023319B" w:rsidRDefault="00D67835" w:rsidP="00D67835">
            <w:pPr>
              <w:spacing w:line="240" w:lineRule="auto"/>
              <w:jc w:val="left"/>
              <w:rPr>
                <w:rFonts w:ascii="Calibri Light" w:hAnsi="Calibri Light" w:cs="Calibri Light"/>
                <w:sz w:val="18"/>
                <w:szCs w:val="18"/>
                <w:lang w:val="es-CR" w:eastAsia="es-CR"/>
              </w:rPr>
            </w:pPr>
            <w:r w:rsidRPr="0023319B">
              <w:rPr>
                <w:rFonts w:ascii="Calibri Light" w:hAnsi="Calibri Light" w:cs="Calibri Light"/>
                <w:sz w:val="18"/>
                <w:szCs w:val="18"/>
                <w:lang w:val="es-CR"/>
              </w:rPr>
              <w:t>Asistente Servicios Institucionales 2</w:t>
            </w:r>
          </w:p>
        </w:tc>
        <w:tc>
          <w:tcPr>
            <w:tcW w:w="1063" w:type="dxa"/>
            <w:tcBorders>
              <w:top w:val="nil"/>
              <w:left w:val="nil"/>
              <w:bottom w:val="single" w:sz="4" w:space="0" w:color="auto"/>
              <w:right w:val="single" w:sz="4" w:space="0" w:color="auto"/>
            </w:tcBorders>
            <w:shd w:val="clear" w:color="000000" w:fill="FFFFFF"/>
            <w:noWrap/>
            <w:vAlign w:val="center"/>
            <w:hideMark/>
          </w:tcPr>
          <w:p w14:paraId="3006E154" w14:textId="39C3E92E" w:rsidR="00D67835" w:rsidRPr="0023319B" w:rsidRDefault="00D67835" w:rsidP="00D67835">
            <w:pPr>
              <w:spacing w:line="240" w:lineRule="auto"/>
              <w:jc w:val="center"/>
              <w:rPr>
                <w:rFonts w:ascii="Calibri Light" w:hAnsi="Calibri Light" w:cs="Calibri Light"/>
                <w:sz w:val="18"/>
                <w:szCs w:val="18"/>
                <w:lang w:val="es-CR" w:eastAsia="es-CR"/>
              </w:rPr>
            </w:pPr>
            <w:r w:rsidRPr="0023319B">
              <w:rPr>
                <w:rFonts w:ascii="Calibri Light" w:hAnsi="Calibri Light" w:cs="Calibri Light"/>
                <w:sz w:val="18"/>
                <w:szCs w:val="18"/>
                <w:lang w:val="es-CR"/>
              </w:rPr>
              <w:t>Pluses</w:t>
            </w:r>
          </w:p>
        </w:tc>
        <w:tc>
          <w:tcPr>
            <w:tcW w:w="992" w:type="dxa"/>
            <w:tcBorders>
              <w:top w:val="nil"/>
              <w:left w:val="nil"/>
              <w:bottom w:val="single" w:sz="4" w:space="0" w:color="auto"/>
              <w:right w:val="single" w:sz="4" w:space="0" w:color="auto"/>
            </w:tcBorders>
            <w:shd w:val="clear" w:color="000000" w:fill="FFFFFF"/>
            <w:noWrap/>
            <w:vAlign w:val="center"/>
            <w:hideMark/>
          </w:tcPr>
          <w:p w14:paraId="12FF2C02" w14:textId="35AC1AA3" w:rsidR="00D67835" w:rsidRPr="0023319B" w:rsidRDefault="00D67835" w:rsidP="00D67835">
            <w:pPr>
              <w:spacing w:line="240" w:lineRule="auto"/>
              <w:jc w:val="right"/>
              <w:rPr>
                <w:rFonts w:ascii="Calibri Light" w:hAnsi="Calibri Light" w:cs="Calibri Light"/>
                <w:sz w:val="18"/>
                <w:szCs w:val="18"/>
                <w:lang w:val="es-CR" w:eastAsia="es-CR"/>
              </w:rPr>
            </w:pPr>
            <w:r w:rsidRPr="0023319B">
              <w:rPr>
                <w:rFonts w:ascii="Calibri Light" w:hAnsi="Calibri Light" w:cs="Calibri Light"/>
                <w:sz w:val="18"/>
                <w:szCs w:val="18"/>
                <w:lang w:val="es-CR"/>
              </w:rPr>
              <w:t>65,197</w:t>
            </w:r>
          </w:p>
        </w:tc>
        <w:tc>
          <w:tcPr>
            <w:tcW w:w="1134" w:type="dxa"/>
            <w:tcBorders>
              <w:top w:val="nil"/>
              <w:left w:val="nil"/>
              <w:bottom w:val="single" w:sz="4" w:space="0" w:color="auto"/>
              <w:right w:val="single" w:sz="4" w:space="0" w:color="auto"/>
            </w:tcBorders>
            <w:shd w:val="clear" w:color="000000" w:fill="FFFFFF"/>
            <w:noWrap/>
            <w:vAlign w:val="center"/>
            <w:hideMark/>
          </w:tcPr>
          <w:p w14:paraId="6248100E" w14:textId="15824D49" w:rsidR="00D67835" w:rsidRPr="0023319B" w:rsidRDefault="00D67835" w:rsidP="00D67835">
            <w:pPr>
              <w:spacing w:line="240" w:lineRule="auto"/>
              <w:jc w:val="center"/>
              <w:rPr>
                <w:rFonts w:ascii="Calibri Light" w:hAnsi="Calibri Light" w:cs="Calibri Light"/>
                <w:sz w:val="18"/>
                <w:szCs w:val="18"/>
                <w:lang w:val="es-CR" w:eastAsia="es-CR"/>
              </w:rPr>
            </w:pPr>
            <w:r w:rsidRPr="0023319B">
              <w:rPr>
                <w:rFonts w:ascii="Calibri Light" w:hAnsi="Calibri Light" w:cs="Calibri Light"/>
                <w:sz w:val="18"/>
                <w:szCs w:val="18"/>
                <w:lang w:val="es-CR"/>
              </w:rPr>
              <w:t>1</w:t>
            </w:r>
          </w:p>
        </w:tc>
        <w:tc>
          <w:tcPr>
            <w:tcW w:w="1134" w:type="dxa"/>
            <w:tcBorders>
              <w:top w:val="nil"/>
              <w:left w:val="nil"/>
              <w:bottom w:val="single" w:sz="4" w:space="0" w:color="auto"/>
              <w:right w:val="single" w:sz="4" w:space="0" w:color="auto"/>
            </w:tcBorders>
            <w:shd w:val="clear" w:color="000000" w:fill="FFFFFF"/>
            <w:noWrap/>
            <w:vAlign w:val="center"/>
            <w:hideMark/>
          </w:tcPr>
          <w:p w14:paraId="019CE64C" w14:textId="7CFD817F" w:rsidR="00D67835" w:rsidRPr="0023319B" w:rsidRDefault="00D67835" w:rsidP="00D67835">
            <w:pPr>
              <w:spacing w:line="240" w:lineRule="auto"/>
              <w:jc w:val="right"/>
              <w:rPr>
                <w:rFonts w:ascii="Calibri Light" w:hAnsi="Calibri Light" w:cs="Calibri Light"/>
                <w:sz w:val="18"/>
                <w:szCs w:val="18"/>
                <w:lang w:val="es-CR" w:eastAsia="es-CR"/>
              </w:rPr>
            </w:pPr>
            <w:r w:rsidRPr="0023319B">
              <w:rPr>
                <w:rFonts w:ascii="Calibri Light" w:hAnsi="Calibri Light" w:cs="Calibri Light"/>
                <w:sz w:val="18"/>
                <w:szCs w:val="18"/>
                <w:lang w:val="es-CR"/>
              </w:rPr>
              <w:t>3,601</w:t>
            </w:r>
          </w:p>
        </w:tc>
      </w:tr>
      <w:tr w:rsidR="00D67835" w:rsidRPr="0023319B" w14:paraId="6EB0868C" w14:textId="77777777" w:rsidTr="00DF5E7F">
        <w:trPr>
          <w:trHeight w:val="300"/>
        </w:trPr>
        <w:tc>
          <w:tcPr>
            <w:tcW w:w="988" w:type="dxa"/>
            <w:tcBorders>
              <w:top w:val="nil"/>
              <w:left w:val="single" w:sz="4" w:space="0" w:color="auto"/>
              <w:bottom w:val="single" w:sz="4" w:space="0" w:color="auto"/>
              <w:right w:val="single" w:sz="4" w:space="0" w:color="auto"/>
            </w:tcBorders>
            <w:shd w:val="clear" w:color="000000" w:fill="D9D9D9"/>
            <w:noWrap/>
            <w:vAlign w:val="center"/>
            <w:hideMark/>
          </w:tcPr>
          <w:p w14:paraId="3778CE5A" w14:textId="40E38FF9" w:rsidR="00D67835" w:rsidRPr="0023319B" w:rsidRDefault="00D67835" w:rsidP="00D67835">
            <w:pPr>
              <w:spacing w:line="240" w:lineRule="auto"/>
              <w:jc w:val="center"/>
              <w:rPr>
                <w:rFonts w:ascii="Calibri Light" w:hAnsi="Calibri Light" w:cs="Calibri Light"/>
                <w:sz w:val="18"/>
                <w:szCs w:val="18"/>
                <w:lang w:val="es-CR" w:eastAsia="es-CR"/>
              </w:rPr>
            </w:pPr>
            <w:r w:rsidRPr="0023319B">
              <w:rPr>
                <w:rFonts w:ascii="Calibri Light" w:hAnsi="Calibri Light" w:cs="Calibri Light"/>
                <w:sz w:val="18"/>
                <w:szCs w:val="18"/>
                <w:lang w:val="es-CR"/>
              </w:rPr>
              <w:t>22</w:t>
            </w:r>
          </w:p>
        </w:tc>
        <w:tc>
          <w:tcPr>
            <w:tcW w:w="2906" w:type="dxa"/>
            <w:tcBorders>
              <w:top w:val="nil"/>
              <w:left w:val="nil"/>
              <w:bottom w:val="single" w:sz="4" w:space="0" w:color="auto"/>
              <w:right w:val="single" w:sz="4" w:space="0" w:color="auto"/>
            </w:tcBorders>
            <w:shd w:val="clear" w:color="000000" w:fill="D9D9D9"/>
            <w:noWrap/>
            <w:vAlign w:val="center"/>
            <w:hideMark/>
          </w:tcPr>
          <w:p w14:paraId="30911D8D" w14:textId="13D15284" w:rsidR="00D67835" w:rsidRPr="0023319B" w:rsidRDefault="00D67835" w:rsidP="00D67835">
            <w:pPr>
              <w:spacing w:line="240" w:lineRule="auto"/>
              <w:jc w:val="left"/>
              <w:rPr>
                <w:rFonts w:ascii="Calibri Light" w:hAnsi="Calibri Light" w:cs="Calibri Light"/>
                <w:sz w:val="18"/>
                <w:szCs w:val="18"/>
                <w:lang w:val="es-CR" w:eastAsia="es-CR"/>
              </w:rPr>
            </w:pPr>
            <w:r w:rsidRPr="0023319B">
              <w:rPr>
                <w:rFonts w:ascii="Calibri Light" w:hAnsi="Calibri Light" w:cs="Calibri Light"/>
                <w:sz w:val="18"/>
                <w:szCs w:val="18"/>
                <w:lang w:val="es-CR"/>
              </w:rPr>
              <w:t>Supervisor 2</w:t>
            </w:r>
          </w:p>
        </w:tc>
        <w:tc>
          <w:tcPr>
            <w:tcW w:w="1063" w:type="dxa"/>
            <w:tcBorders>
              <w:top w:val="nil"/>
              <w:left w:val="nil"/>
              <w:bottom w:val="single" w:sz="4" w:space="0" w:color="auto"/>
              <w:right w:val="single" w:sz="4" w:space="0" w:color="auto"/>
            </w:tcBorders>
            <w:shd w:val="clear" w:color="000000" w:fill="D9D9D9"/>
            <w:noWrap/>
            <w:vAlign w:val="center"/>
            <w:hideMark/>
          </w:tcPr>
          <w:p w14:paraId="4A276F4E" w14:textId="104B9069" w:rsidR="00D67835" w:rsidRPr="0023319B" w:rsidRDefault="00D67835" w:rsidP="00D67835">
            <w:pPr>
              <w:spacing w:line="240" w:lineRule="auto"/>
              <w:jc w:val="center"/>
              <w:rPr>
                <w:rFonts w:ascii="Calibri Light" w:hAnsi="Calibri Light" w:cs="Calibri Light"/>
                <w:sz w:val="18"/>
                <w:szCs w:val="18"/>
                <w:lang w:val="es-CR" w:eastAsia="es-CR"/>
              </w:rPr>
            </w:pPr>
            <w:r w:rsidRPr="0023319B">
              <w:rPr>
                <w:rFonts w:ascii="Calibri Light" w:hAnsi="Calibri Light" w:cs="Calibri Light"/>
                <w:sz w:val="18"/>
                <w:szCs w:val="18"/>
                <w:lang w:val="es-CR"/>
              </w:rPr>
              <w:t>Pluses</w:t>
            </w:r>
          </w:p>
        </w:tc>
        <w:tc>
          <w:tcPr>
            <w:tcW w:w="992" w:type="dxa"/>
            <w:tcBorders>
              <w:top w:val="nil"/>
              <w:left w:val="nil"/>
              <w:bottom w:val="single" w:sz="4" w:space="0" w:color="auto"/>
              <w:right w:val="single" w:sz="4" w:space="0" w:color="auto"/>
            </w:tcBorders>
            <w:shd w:val="clear" w:color="000000" w:fill="D9D9D9"/>
            <w:noWrap/>
            <w:vAlign w:val="center"/>
            <w:hideMark/>
          </w:tcPr>
          <w:p w14:paraId="65E5EF4E" w14:textId="3293FD0E" w:rsidR="00D67835" w:rsidRPr="0023319B" w:rsidRDefault="00D67835" w:rsidP="00D67835">
            <w:pPr>
              <w:spacing w:line="240" w:lineRule="auto"/>
              <w:jc w:val="right"/>
              <w:rPr>
                <w:rFonts w:ascii="Calibri Light" w:hAnsi="Calibri Light" w:cs="Calibri Light"/>
                <w:sz w:val="18"/>
                <w:szCs w:val="18"/>
                <w:lang w:val="es-CR" w:eastAsia="es-CR"/>
              </w:rPr>
            </w:pPr>
            <w:r w:rsidRPr="0023319B">
              <w:rPr>
                <w:rFonts w:ascii="Calibri Light" w:hAnsi="Calibri Light" w:cs="Calibri Light"/>
                <w:sz w:val="18"/>
                <w:szCs w:val="18"/>
                <w:lang w:val="es-CR"/>
              </w:rPr>
              <w:t>142,926</w:t>
            </w:r>
          </w:p>
        </w:tc>
        <w:tc>
          <w:tcPr>
            <w:tcW w:w="1134" w:type="dxa"/>
            <w:tcBorders>
              <w:top w:val="nil"/>
              <w:left w:val="nil"/>
              <w:bottom w:val="single" w:sz="4" w:space="0" w:color="auto"/>
              <w:right w:val="single" w:sz="4" w:space="0" w:color="auto"/>
            </w:tcBorders>
            <w:shd w:val="clear" w:color="000000" w:fill="D9D9D9"/>
            <w:noWrap/>
            <w:vAlign w:val="center"/>
            <w:hideMark/>
          </w:tcPr>
          <w:p w14:paraId="411A79B9" w14:textId="5FD8C38C" w:rsidR="00D67835" w:rsidRPr="0023319B" w:rsidRDefault="00D67835" w:rsidP="00D67835">
            <w:pPr>
              <w:spacing w:line="240" w:lineRule="auto"/>
              <w:jc w:val="center"/>
              <w:rPr>
                <w:rFonts w:ascii="Calibri Light" w:hAnsi="Calibri Light" w:cs="Calibri Light"/>
                <w:sz w:val="18"/>
                <w:szCs w:val="18"/>
                <w:lang w:val="es-CR" w:eastAsia="es-CR"/>
              </w:rPr>
            </w:pPr>
            <w:r w:rsidRPr="0023319B">
              <w:rPr>
                <w:rFonts w:ascii="Calibri Light" w:hAnsi="Calibri Light" w:cs="Calibri Light"/>
                <w:sz w:val="18"/>
                <w:szCs w:val="18"/>
                <w:lang w:val="es-CR"/>
              </w:rPr>
              <w:t>2</w:t>
            </w:r>
          </w:p>
        </w:tc>
        <w:tc>
          <w:tcPr>
            <w:tcW w:w="1134" w:type="dxa"/>
            <w:tcBorders>
              <w:top w:val="nil"/>
              <w:left w:val="nil"/>
              <w:bottom w:val="single" w:sz="4" w:space="0" w:color="auto"/>
              <w:right w:val="single" w:sz="4" w:space="0" w:color="auto"/>
            </w:tcBorders>
            <w:shd w:val="clear" w:color="000000" w:fill="D9D9D9"/>
            <w:noWrap/>
            <w:vAlign w:val="center"/>
            <w:hideMark/>
          </w:tcPr>
          <w:p w14:paraId="2FBC87BF" w14:textId="45421EF8" w:rsidR="00D67835" w:rsidRPr="0023319B" w:rsidRDefault="00D67835" w:rsidP="00D67835">
            <w:pPr>
              <w:spacing w:line="240" w:lineRule="auto"/>
              <w:jc w:val="right"/>
              <w:rPr>
                <w:rFonts w:ascii="Calibri Light" w:hAnsi="Calibri Light" w:cs="Calibri Light"/>
                <w:sz w:val="18"/>
                <w:szCs w:val="18"/>
                <w:lang w:val="es-CR" w:eastAsia="es-CR"/>
              </w:rPr>
            </w:pPr>
            <w:r w:rsidRPr="0023319B">
              <w:rPr>
                <w:rFonts w:ascii="Calibri Light" w:hAnsi="Calibri Light" w:cs="Calibri Light"/>
                <w:sz w:val="18"/>
                <w:szCs w:val="18"/>
                <w:lang w:val="es-CR"/>
              </w:rPr>
              <w:t>17,291</w:t>
            </w:r>
          </w:p>
        </w:tc>
      </w:tr>
      <w:tr w:rsidR="00D67835" w:rsidRPr="0023319B" w14:paraId="2F3CEBE7" w14:textId="77777777" w:rsidTr="00DF5E7F">
        <w:trPr>
          <w:trHeight w:val="300"/>
        </w:trPr>
        <w:tc>
          <w:tcPr>
            <w:tcW w:w="988" w:type="dxa"/>
            <w:tcBorders>
              <w:top w:val="nil"/>
              <w:left w:val="single" w:sz="4" w:space="0" w:color="auto"/>
              <w:bottom w:val="single" w:sz="4" w:space="0" w:color="auto"/>
              <w:right w:val="single" w:sz="4" w:space="0" w:color="auto"/>
            </w:tcBorders>
            <w:shd w:val="clear" w:color="000000" w:fill="FFFFFF"/>
            <w:noWrap/>
            <w:vAlign w:val="center"/>
            <w:hideMark/>
          </w:tcPr>
          <w:p w14:paraId="052692BD" w14:textId="7EA067AE" w:rsidR="00D67835" w:rsidRPr="0023319B" w:rsidRDefault="00D67835" w:rsidP="00D67835">
            <w:pPr>
              <w:spacing w:line="240" w:lineRule="auto"/>
              <w:jc w:val="center"/>
              <w:rPr>
                <w:rFonts w:ascii="Calibri Light" w:hAnsi="Calibri Light" w:cs="Calibri Light"/>
                <w:sz w:val="18"/>
                <w:szCs w:val="18"/>
                <w:lang w:val="es-CR" w:eastAsia="es-CR"/>
              </w:rPr>
            </w:pPr>
            <w:r w:rsidRPr="0023319B">
              <w:rPr>
                <w:rFonts w:ascii="Calibri Light" w:hAnsi="Calibri Light" w:cs="Calibri Light"/>
                <w:sz w:val="18"/>
                <w:szCs w:val="18"/>
                <w:lang w:val="es-CR"/>
              </w:rPr>
              <w:t>25</w:t>
            </w:r>
          </w:p>
        </w:tc>
        <w:tc>
          <w:tcPr>
            <w:tcW w:w="2906" w:type="dxa"/>
            <w:tcBorders>
              <w:top w:val="nil"/>
              <w:left w:val="nil"/>
              <w:bottom w:val="single" w:sz="4" w:space="0" w:color="auto"/>
              <w:right w:val="single" w:sz="4" w:space="0" w:color="auto"/>
            </w:tcBorders>
            <w:shd w:val="clear" w:color="000000" w:fill="FFFFFF"/>
            <w:noWrap/>
            <w:vAlign w:val="center"/>
            <w:hideMark/>
          </w:tcPr>
          <w:p w14:paraId="33D80319" w14:textId="73989739" w:rsidR="00D67835" w:rsidRPr="0023319B" w:rsidRDefault="00D67835" w:rsidP="00D67835">
            <w:pPr>
              <w:spacing w:line="240" w:lineRule="auto"/>
              <w:jc w:val="left"/>
              <w:rPr>
                <w:rFonts w:ascii="Calibri Light" w:hAnsi="Calibri Light" w:cs="Calibri Light"/>
                <w:sz w:val="18"/>
                <w:szCs w:val="18"/>
                <w:lang w:val="es-CR" w:eastAsia="es-CR"/>
              </w:rPr>
            </w:pPr>
            <w:r w:rsidRPr="0023319B">
              <w:rPr>
                <w:rFonts w:ascii="Calibri Light" w:hAnsi="Calibri Light" w:cs="Calibri Light"/>
                <w:sz w:val="18"/>
                <w:szCs w:val="18"/>
                <w:lang w:val="es-CR"/>
              </w:rPr>
              <w:t>Supervisor Principal</w:t>
            </w:r>
          </w:p>
        </w:tc>
        <w:tc>
          <w:tcPr>
            <w:tcW w:w="1063" w:type="dxa"/>
            <w:tcBorders>
              <w:top w:val="nil"/>
              <w:left w:val="nil"/>
              <w:bottom w:val="single" w:sz="4" w:space="0" w:color="auto"/>
              <w:right w:val="single" w:sz="4" w:space="0" w:color="auto"/>
            </w:tcBorders>
            <w:shd w:val="clear" w:color="000000" w:fill="FFFFFF"/>
            <w:noWrap/>
            <w:vAlign w:val="center"/>
            <w:hideMark/>
          </w:tcPr>
          <w:p w14:paraId="00FBB6E5" w14:textId="335EC04B" w:rsidR="00D67835" w:rsidRPr="0023319B" w:rsidRDefault="00D67835" w:rsidP="00D67835">
            <w:pPr>
              <w:spacing w:line="240" w:lineRule="auto"/>
              <w:jc w:val="center"/>
              <w:rPr>
                <w:rFonts w:ascii="Calibri Light" w:hAnsi="Calibri Light" w:cs="Calibri Light"/>
                <w:sz w:val="18"/>
                <w:szCs w:val="18"/>
                <w:lang w:val="es-CR" w:eastAsia="es-CR"/>
              </w:rPr>
            </w:pPr>
            <w:r w:rsidRPr="0023319B">
              <w:rPr>
                <w:rFonts w:ascii="Calibri Light" w:hAnsi="Calibri Light" w:cs="Calibri Light"/>
                <w:sz w:val="18"/>
                <w:szCs w:val="18"/>
                <w:lang w:val="es-CR"/>
              </w:rPr>
              <w:t>Pluses</w:t>
            </w:r>
          </w:p>
        </w:tc>
        <w:tc>
          <w:tcPr>
            <w:tcW w:w="992" w:type="dxa"/>
            <w:tcBorders>
              <w:top w:val="nil"/>
              <w:left w:val="nil"/>
              <w:bottom w:val="single" w:sz="4" w:space="0" w:color="auto"/>
              <w:right w:val="single" w:sz="4" w:space="0" w:color="auto"/>
            </w:tcBorders>
            <w:shd w:val="clear" w:color="000000" w:fill="FFFFFF"/>
            <w:noWrap/>
            <w:vAlign w:val="center"/>
            <w:hideMark/>
          </w:tcPr>
          <w:p w14:paraId="53A41661" w14:textId="0CE3F540" w:rsidR="00D67835" w:rsidRPr="0023319B" w:rsidRDefault="00D67835" w:rsidP="00D67835">
            <w:pPr>
              <w:spacing w:line="240" w:lineRule="auto"/>
              <w:jc w:val="right"/>
              <w:rPr>
                <w:rFonts w:ascii="Calibri Light" w:hAnsi="Calibri Light" w:cs="Calibri Light"/>
                <w:sz w:val="18"/>
                <w:szCs w:val="18"/>
                <w:lang w:val="es-CR" w:eastAsia="es-CR"/>
              </w:rPr>
            </w:pPr>
            <w:r w:rsidRPr="0023319B">
              <w:rPr>
                <w:rFonts w:ascii="Calibri Light" w:hAnsi="Calibri Light" w:cs="Calibri Light"/>
                <w:sz w:val="18"/>
                <w:szCs w:val="18"/>
                <w:lang w:val="es-CR"/>
              </w:rPr>
              <w:t>197,808</w:t>
            </w:r>
          </w:p>
        </w:tc>
        <w:tc>
          <w:tcPr>
            <w:tcW w:w="1134" w:type="dxa"/>
            <w:tcBorders>
              <w:top w:val="nil"/>
              <w:left w:val="nil"/>
              <w:bottom w:val="single" w:sz="4" w:space="0" w:color="auto"/>
              <w:right w:val="single" w:sz="4" w:space="0" w:color="auto"/>
            </w:tcBorders>
            <w:shd w:val="clear" w:color="000000" w:fill="FFFFFF"/>
            <w:noWrap/>
            <w:vAlign w:val="center"/>
            <w:hideMark/>
          </w:tcPr>
          <w:p w14:paraId="58FB6101" w14:textId="758A6237" w:rsidR="00D67835" w:rsidRPr="0023319B" w:rsidRDefault="00D67835" w:rsidP="00D67835">
            <w:pPr>
              <w:spacing w:line="240" w:lineRule="auto"/>
              <w:jc w:val="center"/>
              <w:rPr>
                <w:rFonts w:ascii="Calibri Light" w:hAnsi="Calibri Light" w:cs="Calibri Light"/>
                <w:sz w:val="18"/>
                <w:szCs w:val="18"/>
                <w:lang w:val="es-CR" w:eastAsia="es-CR"/>
              </w:rPr>
            </w:pPr>
            <w:r w:rsidRPr="0023319B">
              <w:rPr>
                <w:rFonts w:ascii="Calibri Light" w:hAnsi="Calibri Light" w:cs="Calibri Light"/>
                <w:sz w:val="18"/>
                <w:szCs w:val="18"/>
                <w:lang w:val="es-CR"/>
              </w:rPr>
              <w:t>3</w:t>
            </w:r>
          </w:p>
        </w:tc>
        <w:tc>
          <w:tcPr>
            <w:tcW w:w="1134" w:type="dxa"/>
            <w:tcBorders>
              <w:top w:val="nil"/>
              <w:left w:val="nil"/>
              <w:bottom w:val="single" w:sz="4" w:space="0" w:color="auto"/>
              <w:right w:val="single" w:sz="4" w:space="0" w:color="auto"/>
            </w:tcBorders>
            <w:shd w:val="clear" w:color="000000" w:fill="FFFFFF"/>
            <w:noWrap/>
            <w:vAlign w:val="center"/>
            <w:hideMark/>
          </w:tcPr>
          <w:p w14:paraId="3EC53988" w14:textId="2A8A7A33" w:rsidR="00D67835" w:rsidRPr="0023319B" w:rsidRDefault="00D67835" w:rsidP="00D67835">
            <w:pPr>
              <w:spacing w:line="240" w:lineRule="auto"/>
              <w:jc w:val="right"/>
              <w:rPr>
                <w:rFonts w:ascii="Calibri Light" w:hAnsi="Calibri Light" w:cs="Calibri Light"/>
                <w:sz w:val="18"/>
                <w:szCs w:val="18"/>
                <w:lang w:val="es-CR" w:eastAsia="es-CR"/>
              </w:rPr>
            </w:pPr>
            <w:r w:rsidRPr="0023319B">
              <w:rPr>
                <w:rFonts w:ascii="Calibri Light" w:hAnsi="Calibri Light" w:cs="Calibri Light"/>
                <w:sz w:val="18"/>
                <w:szCs w:val="18"/>
                <w:lang w:val="es-CR"/>
              </w:rPr>
              <w:t>31,689</w:t>
            </w:r>
          </w:p>
        </w:tc>
      </w:tr>
      <w:tr w:rsidR="00D67835" w:rsidRPr="0023319B" w14:paraId="3D062609" w14:textId="77777777" w:rsidTr="00DF5E7F">
        <w:trPr>
          <w:trHeight w:val="300"/>
        </w:trPr>
        <w:tc>
          <w:tcPr>
            <w:tcW w:w="988" w:type="dxa"/>
            <w:tcBorders>
              <w:top w:val="nil"/>
              <w:left w:val="single" w:sz="4" w:space="0" w:color="auto"/>
              <w:bottom w:val="single" w:sz="4" w:space="0" w:color="auto"/>
              <w:right w:val="single" w:sz="4" w:space="0" w:color="auto"/>
            </w:tcBorders>
            <w:shd w:val="clear" w:color="000000" w:fill="D9D9D9"/>
            <w:noWrap/>
            <w:vAlign w:val="center"/>
            <w:hideMark/>
          </w:tcPr>
          <w:p w14:paraId="4F32BA0F" w14:textId="23A527FD" w:rsidR="00D67835" w:rsidRPr="0023319B" w:rsidRDefault="00D67835" w:rsidP="00D67835">
            <w:pPr>
              <w:spacing w:line="240" w:lineRule="auto"/>
              <w:jc w:val="center"/>
              <w:rPr>
                <w:rFonts w:ascii="Calibri Light" w:hAnsi="Calibri Light" w:cs="Calibri Light"/>
                <w:sz w:val="18"/>
                <w:szCs w:val="18"/>
                <w:lang w:val="es-CR" w:eastAsia="es-CR"/>
              </w:rPr>
            </w:pPr>
            <w:r w:rsidRPr="0023319B">
              <w:rPr>
                <w:rFonts w:ascii="Calibri Light" w:hAnsi="Calibri Light" w:cs="Calibri Light"/>
                <w:sz w:val="18"/>
                <w:szCs w:val="18"/>
                <w:lang w:val="es-CR"/>
              </w:rPr>
              <w:t>31</w:t>
            </w:r>
          </w:p>
        </w:tc>
        <w:tc>
          <w:tcPr>
            <w:tcW w:w="2906" w:type="dxa"/>
            <w:tcBorders>
              <w:top w:val="nil"/>
              <w:left w:val="nil"/>
              <w:bottom w:val="single" w:sz="4" w:space="0" w:color="auto"/>
              <w:right w:val="single" w:sz="4" w:space="0" w:color="auto"/>
            </w:tcBorders>
            <w:shd w:val="clear" w:color="000000" w:fill="D9D9D9"/>
            <w:noWrap/>
            <w:vAlign w:val="center"/>
            <w:hideMark/>
          </w:tcPr>
          <w:p w14:paraId="6818B3AE" w14:textId="05A79418" w:rsidR="00D67835" w:rsidRPr="0023319B" w:rsidRDefault="00D67835" w:rsidP="00D67835">
            <w:pPr>
              <w:spacing w:line="240" w:lineRule="auto"/>
              <w:jc w:val="left"/>
              <w:rPr>
                <w:rFonts w:ascii="Calibri Light" w:hAnsi="Calibri Light" w:cs="Calibri Light"/>
                <w:sz w:val="18"/>
                <w:szCs w:val="18"/>
                <w:lang w:val="es-CR" w:eastAsia="es-CR"/>
              </w:rPr>
            </w:pPr>
            <w:r w:rsidRPr="0023319B">
              <w:rPr>
                <w:rFonts w:ascii="Calibri Light" w:hAnsi="Calibri Light" w:cs="Calibri Light"/>
                <w:sz w:val="18"/>
                <w:szCs w:val="18"/>
                <w:lang w:val="es-CR"/>
              </w:rPr>
              <w:t>Líder de Supervisión</w:t>
            </w:r>
          </w:p>
        </w:tc>
        <w:tc>
          <w:tcPr>
            <w:tcW w:w="1063" w:type="dxa"/>
            <w:tcBorders>
              <w:top w:val="nil"/>
              <w:left w:val="nil"/>
              <w:bottom w:val="single" w:sz="4" w:space="0" w:color="auto"/>
              <w:right w:val="single" w:sz="4" w:space="0" w:color="auto"/>
            </w:tcBorders>
            <w:shd w:val="clear" w:color="000000" w:fill="D9D9D9"/>
            <w:noWrap/>
            <w:vAlign w:val="center"/>
            <w:hideMark/>
          </w:tcPr>
          <w:p w14:paraId="16B1F913" w14:textId="70BD38B8" w:rsidR="00D67835" w:rsidRPr="0023319B" w:rsidRDefault="00D67835" w:rsidP="00D67835">
            <w:pPr>
              <w:spacing w:line="240" w:lineRule="auto"/>
              <w:jc w:val="center"/>
              <w:rPr>
                <w:rFonts w:ascii="Calibri Light" w:hAnsi="Calibri Light" w:cs="Calibri Light"/>
                <w:sz w:val="18"/>
                <w:szCs w:val="18"/>
                <w:lang w:val="es-CR" w:eastAsia="es-CR"/>
              </w:rPr>
            </w:pPr>
            <w:r w:rsidRPr="0023319B">
              <w:rPr>
                <w:rFonts w:ascii="Calibri Light" w:hAnsi="Calibri Light" w:cs="Calibri Light"/>
                <w:sz w:val="18"/>
                <w:szCs w:val="18"/>
                <w:lang w:val="es-CR"/>
              </w:rPr>
              <w:t>Pluses</w:t>
            </w:r>
          </w:p>
        </w:tc>
        <w:tc>
          <w:tcPr>
            <w:tcW w:w="992" w:type="dxa"/>
            <w:tcBorders>
              <w:top w:val="nil"/>
              <w:left w:val="nil"/>
              <w:bottom w:val="single" w:sz="4" w:space="0" w:color="auto"/>
              <w:right w:val="single" w:sz="4" w:space="0" w:color="auto"/>
            </w:tcBorders>
            <w:shd w:val="clear" w:color="000000" w:fill="D9D9D9"/>
            <w:noWrap/>
            <w:vAlign w:val="center"/>
            <w:hideMark/>
          </w:tcPr>
          <w:p w14:paraId="44ACFFBB" w14:textId="7DFCD7BA" w:rsidR="00D67835" w:rsidRPr="0023319B" w:rsidRDefault="00D67835" w:rsidP="00D67835">
            <w:pPr>
              <w:spacing w:line="240" w:lineRule="auto"/>
              <w:jc w:val="right"/>
              <w:rPr>
                <w:rFonts w:ascii="Calibri Light" w:hAnsi="Calibri Light" w:cs="Calibri Light"/>
                <w:sz w:val="18"/>
                <w:szCs w:val="18"/>
                <w:lang w:val="es-CR" w:eastAsia="es-CR"/>
              </w:rPr>
            </w:pPr>
            <w:r w:rsidRPr="0023319B">
              <w:rPr>
                <w:rFonts w:ascii="Calibri Light" w:hAnsi="Calibri Light" w:cs="Calibri Light"/>
                <w:sz w:val="18"/>
                <w:szCs w:val="18"/>
                <w:lang w:val="es-CR"/>
              </w:rPr>
              <w:t>278,798</w:t>
            </w:r>
          </w:p>
        </w:tc>
        <w:tc>
          <w:tcPr>
            <w:tcW w:w="1134" w:type="dxa"/>
            <w:tcBorders>
              <w:top w:val="nil"/>
              <w:left w:val="nil"/>
              <w:bottom w:val="single" w:sz="4" w:space="0" w:color="auto"/>
              <w:right w:val="single" w:sz="4" w:space="0" w:color="auto"/>
            </w:tcBorders>
            <w:shd w:val="clear" w:color="000000" w:fill="D9D9D9"/>
            <w:noWrap/>
            <w:vAlign w:val="center"/>
            <w:hideMark/>
          </w:tcPr>
          <w:p w14:paraId="3BDB7AC2" w14:textId="06F90B4D" w:rsidR="00D67835" w:rsidRPr="0023319B" w:rsidRDefault="00D67835" w:rsidP="00D67835">
            <w:pPr>
              <w:spacing w:line="240" w:lineRule="auto"/>
              <w:jc w:val="center"/>
              <w:rPr>
                <w:rFonts w:ascii="Calibri Light" w:hAnsi="Calibri Light" w:cs="Calibri Light"/>
                <w:sz w:val="18"/>
                <w:szCs w:val="18"/>
                <w:lang w:val="es-CR" w:eastAsia="es-CR"/>
              </w:rPr>
            </w:pPr>
            <w:r w:rsidRPr="0023319B">
              <w:rPr>
                <w:rFonts w:ascii="Calibri Light" w:hAnsi="Calibri Light" w:cs="Calibri Light"/>
                <w:sz w:val="18"/>
                <w:szCs w:val="18"/>
                <w:lang w:val="es-CR"/>
              </w:rPr>
              <w:t>1</w:t>
            </w:r>
          </w:p>
        </w:tc>
        <w:tc>
          <w:tcPr>
            <w:tcW w:w="1134" w:type="dxa"/>
            <w:tcBorders>
              <w:top w:val="nil"/>
              <w:left w:val="nil"/>
              <w:bottom w:val="single" w:sz="4" w:space="0" w:color="auto"/>
              <w:right w:val="single" w:sz="4" w:space="0" w:color="auto"/>
            </w:tcBorders>
            <w:shd w:val="clear" w:color="000000" w:fill="D9D9D9"/>
            <w:noWrap/>
            <w:vAlign w:val="center"/>
            <w:hideMark/>
          </w:tcPr>
          <w:p w14:paraId="6E012570" w14:textId="18F8EA10" w:rsidR="00D67835" w:rsidRPr="0023319B" w:rsidRDefault="00D67835" w:rsidP="00D67835">
            <w:pPr>
              <w:spacing w:line="240" w:lineRule="auto"/>
              <w:jc w:val="right"/>
              <w:rPr>
                <w:rFonts w:ascii="Calibri Light" w:hAnsi="Calibri Light" w:cs="Calibri Light"/>
                <w:sz w:val="18"/>
                <w:szCs w:val="18"/>
                <w:lang w:val="es-CR" w:eastAsia="es-CR"/>
              </w:rPr>
            </w:pPr>
            <w:r w:rsidRPr="0023319B">
              <w:rPr>
                <w:rFonts w:ascii="Calibri Light" w:hAnsi="Calibri Light" w:cs="Calibri Light"/>
                <w:sz w:val="18"/>
                <w:szCs w:val="18"/>
                <w:lang w:val="es-CR"/>
              </w:rPr>
              <w:t>16,338</w:t>
            </w:r>
          </w:p>
        </w:tc>
      </w:tr>
      <w:tr w:rsidR="00D67835" w:rsidRPr="0023319B" w14:paraId="003FC8CD" w14:textId="77777777" w:rsidTr="00DF5E7F">
        <w:trPr>
          <w:trHeight w:val="300"/>
        </w:trPr>
        <w:tc>
          <w:tcPr>
            <w:tcW w:w="988" w:type="dxa"/>
            <w:tcBorders>
              <w:top w:val="nil"/>
              <w:left w:val="single" w:sz="4" w:space="0" w:color="auto"/>
              <w:bottom w:val="single" w:sz="4" w:space="0" w:color="auto"/>
              <w:right w:val="single" w:sz="4" w:space="0" w:color="auto"/>
            </w:tcBorders>
            <w:shd w:val="clear" w:color="000000" w:fill="FFFFFF"/>
            <w:noWrap/>
            <w:vAlign w:val="center"/>
            <w:hideMark/>
          </w:tcPr>
          <w:p w14:paraId="2FEDF3EC" w14:textId="24A989FA" w:rsidR="00D67835" w:rsidRPr="0023319B" w:rsidRDefault="00D67835" w:rsidP="00D67835">
            <w:pPr>
              <w:spacing w:line="240" w:lineRule="auto"/>
              <w:jc w:val="center"/>
              <w:rPr>
                <w:rFonts w:ascii="Calibri Light" w:hAnsi="Calibri Light" w:cs="Calibri Light"/>
                <w:sz w:val="18"/>
                <w:szCs w:val="18"/>
                <w:lang w:val="es-CR" w:eastAsia="es-CR"/>
              </w:rPr>
            </w:pPr>
            <w:r w:rsidRPr="0023319B">
              <w:rPr>
                <w:rFonts w:ascii="Calibri Light" w:hAnsi="Calibri Light" w:cs="Calibri Light"/>
                <w:sz w:val="18"/>
                <w:szCs w:val="18"/>
                <w:lang w:val="es-CR"/>
              </w:rPr>
              <w:t>36</w:t>
            </w:r>
          </w:p>
        </w:tc>
        <w:tc>
          <w:tcPr>
            <w:tcW w:w="2906" w:type="dxa"/>
            <w:tcBorders>
              <w:top w:val="nil"/>
              <w:left w:val="nil"/>
              <w:bottom w:val="single" w:sz="4" w:space="0" w:color="auto"/>
              <w:right w:val="single" w:sz="4" w:space="0" w:color="auto"/>
            </w:tcBorders>
            <w:shd w:val="clear" w:color="000000" w:fill="FFFFFF"/>
            <w:noWrap/>
            <w:vAlign w:val="center"/>
            <w:hideMark/>
          </w:tcPr>
          <w:p w14:paraId="56B3779B" w14:textId="1CE27957" w:rsidR="00D67835" w:rsidRPr="0023319B" w:rsidRDefault="00D67835" w:rsidP="00D67835">
            <w:pPr>
              <w:spacing w:line="240" w:lineRule="auto"/>
              <w:jc w:val="left"/>
              <w:rPr>
                <w:rFonts w:ascii="Calibri Light" w:hAnsi="Calibri Light" w:cs="Calibri Light"/>
                <w:sz w:val="18"/>
                <w:szCs w:val="18"/>
                <w:lang w:val="es-CR" w:eastAsia="es-CR"/>
              </w:rPr>
            </w:pPr>
            <w:r w:rsidRPr="0023319B">
              <w:rPr>
                <w:rFonts w:ascii="Calibri Light" w:hAnsi="Calibri Light" w:cs="Calibri Light"/>
                <w:sz w:val="18"/>
                <w:szCs w:val="18"/>
                <w:lang w:val="es-CR"/>
              </w:rPr>
              <w:t>Director de Supervisión</w:t>
            </w:r>
          </w:p>
        </w:tc>
        <w:tc>
          <w:tcPr>
            <w:tcW w:w="1063" w:type="dxa"/>
            <w:tcBorders>
              <w:top w:val="nil"/>
              <w:left w:val="nil"/>
              <w:bottom w:val="single" w:sz="4" w:space="0" w:color="auto"/>
              <w:right w:val="single" w:sz="4" w:space="0" w:color="auto"/>
            </w:tcBorders>
            <w:shd w:val="clear" w:color="000000" w:fill="FFFFFF"/>
            <w:noWrap/>
            <w:vAlign w:val="center"/>
            <w:hideMark/>
          </w:tcPr>
          <w:p w14:paraId="3E004B1A" w14:textId="6D9501B0" w:rsidR="00D67835" w:rsidRPr="0023319B" w:rsidRDefault="00D67835" w:rsidP="00D67835">
            <w:pPr>
              <w:spacing w:line="240" w:lineRule="auto"/>
              <w:jc w:val="center"/>
              <w:rPr>
                <w:rFonts w:ascii="Calibri Light" w:hAnsi="Calibri Light" w:cs="Calibri Light"/>
                <w:sz w:val="18"/>
                <w:szCs w:val="18"/>
                <w:lang w:val="es-CR" w:eastAsia="es-CR"/>
              </w:rPr>
            </w:pPr>
            <w:r w:rsidRPr="0023319B">
              <w:rPr>
                <w:rFonts w:ascii="Calibri Light" w:hAnsi="Calibri Light" w:cs="Calibri Light"/>
                <w:sz w:val="18"/>
                <w:szCs w:val="18"/>
                <w:lang w:val="es-CR"/>
              </w:rPr>
              <w:t>Pluses</w:t>
            </w:r>
          </w:p>
        </w:tc>
        <w:tc>
          <w:tcPr>
            <w:tcW w:w="992" w:type="dxa"/>
            <w:tcBorders>
              <w:top w:val="nil"/>
              <w:left w:val="nil"/>
              <w:bottom w:val="single" w:sz="4" w:space="0" w:color="auto"/>
              <w:right w:val="single" w:sz="4" w:space="0" w:color="auto"/>
            </w:tcBorders>
            <w:shd w:val="clear" w:color="000000" w:fill="FFFFFF"/>
            <w:noWrap/>
            <w:vAlign w:val="center"/>
            <w:hideMark/>
          </w:tcPr>
          <w:p w14:paraId="2C4DFD76" w14:textId="17642D8E" w:rsidR="00D67835" w:rsidRPr="0023319B" w:rsidRDefault="00D67835" w:rsidP="00D67835">
            <w:pPr>
              <w:spacing w:line="240" w:lineRule="auto"/>
              <w:jc w:val="right"/>
              <w:rPr>
                <w:rFonts w:ascii="Calibri Light" w:hAnsi="Calibri Light" w:cs="Calibri Light"/>
                <w:sz w:val="18"/>
                <w:szCs w:val="18"/>
                <w:lang w:val="es-CR" w:eastAsia="es-CR"/>
              </w:rPr>
            </w:pPr>
            <w:r w:rsidRPr="0023319B">
              <w:rPr>
                <w:rFonts w:ascii="Calibri Light" w:hAnsi="Calibri Light" w:cs="Calibri Light"/>
                <w:sz w:val="18"/>
                <w:szCs w:val="18"/>
                <w:lang w:val="es-CR"/>
              </w:rPr>
              <w:t>404,303</w:t>
            </w:r>
          </w:p>
        </w:tc>
        <w:tc>
          <w:tcPr>
            <w:tcW w:w="1134" w:type="dxa"/>
            <w:tcBorders>
              <w:top w:val="nil"/>
              <w:left w:val="nil"/>
              <w:bottom w:val="single" w:sz="4" w:space="0" w:color="auto"/>
              <w:right w:val="single" w:sz="4" w:space="0" w:color="auto"/>
            </w:tcBorders>
            <w:shd w:val="clear" w:color="000000" w:fill="FFFFFF"/>
            <w:noWrap/>
            <w:vAlign w:val="center"/>
            <w:hideMark/>
          </w:tcPr>
          <w:p w14:paraId="4701699D" w14:textId="69194982" w:rsidR="00D67835" w:rsidRPr="0023319B" w:rsidRDefault="00D67835" w:rsidP="00D67835">
            <w:pPr>
              <w:spacing w:line="240" w:lineRule="auto"/>
              <w:jc w:val="center"/>
              <w:rPr>
                <w:rFonts w:ascii="Calibri Light" w:hAnsi="Calibri Light" w:cs="Calibri Light"/>
                <w:sz w:val="18"/>
                <w:szCs w:val="18"/>
                <w:lang w:val="es-CR" w:eastAsia="es-CR"/>
              </w:rPr>
            </w:pPr>
            <w:r w:rsidRPr="0023319B">
              <w:rPr>
                <w:rFonts w:ascii="Calibri Light" w:hAnsi="Calibri Light" w:cs="Calibri Light"/>
                <w:sz w:val="18"/>
                <w:szCs w:val="18"/>
                <w:lang w:val="es-CR"/>
              </w:rPr>
              <w:t>1</w:t>
            </w:r>
          </w:p>
        </w:tc>
        <w:tc>
          <w:tcPr>
            <w:tcW w:w="1134" w:type="dxa"/>
            <w:tcBorders>
              <w:top w:val="nil"/>
              <w:left w:val="nil"/>
              <w:bottom w:val="single" w:sz="4" w:space="0" w:color="auto"/>
              <w:right w:val="single" w:sz="4" w:space="0" w:color="auto"/>
            </w:tcBorders>
            <w:shd w:val="clear" w:color="000000" w:fill="FFFFFF"/>
            <w:noWrap/>
            <w:vAlign w:val="center"/>
            <w:hideMark/>
          </w:tcPr>
          <w:p w14:paraId="1C3D8C65" w14:textId="6981CBF7" w:rsidR="00D67835" w:rsidRPr="0023319B" w:rsidRDefault="00D67835" w:rsidP="00D67835">
            <w:pPr>
              <w:spacing w:line="240" w:lineRule="auto"/>
              <w:jc w:val="right"/>
              <w:rPr>
                <w:rFonts w:ascii="Calibri Light" w:hAnsi="Calibri Light" w:cs="Calibri Light"/>
                <w:sz w:val="18"/>
                <w:szCs w:val="18"/>
                <w:lang w:val="es-CR" w:eastAsia="es-CR"/>
              </w:rPr>
            </w:pPr>
            <w:r w:rsidRPr="0023319B">
              <w:rPr>
                <w:rFonts w:ascii="Calibri Light" w:hAnsi="Calibri Light" w:cs="Calibri Light"/>
                <w:sz w:val="18"/>
                <w:szCs w:val="18"/>
                <w:lang w:val="es-CR"/>
              </w:rPr>
              <w:t>21,787</w:t>
            </w:r>
          </w:p>
        </w:tc>
      </w:tr>
      <w:tr w:rsidR="000D3BFA" w:rsidRPr="0023319B" w14:paraId="6D799755" w14:textId="77777777" w:rsidTr="00DF5E7F">
        <w:trPr>
          <w:trHeight w:val="300"/>
        </w:trPr>
        <w:tc>
          <w:tcPr>
            <w:tcW w:w="988"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14:paraId="423BEABF" w14:textId="77777777" w:rsidR="000D3BFA" w:rsidRPr="0023319B" w:rsidRDefault="000D3BFA" w:rsidP="000D3BFA">
            <w:pPr>
              <w:spacing w:line="240" w:lineRule="auto"/>
              <w:jc w:val="left"/>
              <w:rPr>
                <w:rFonts w:ascii="Calibri Light" w:hAnsi="Calibri Light" w:cs="Calibri Light"/>
                <w:sz w:val="18"/>
                <w:szCs w:val="18"/>
                <w:lang w:val="es-CR" w:eastAsia="es-CR"/>
              </w:rPr>
            </w:pPr>
          </w:p>
        </w:tc>
        <w:tc>
          <w:tcPr>
            <w:tcW w:w="2906"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14:paraId="0FA9783B" w14:textId="738D0F85" w:rsidR="000D3BFA" w:rsidRPr="0023319B" w:rsidRDefault="000D3BFA" w:rsidP="000D3BFA">
            <w:pPr>
              <w:spacing w:line="240" w:lineRule="auto"/>
              <w:jc w:val="center"/>
              <w:rPr>
                <w:rFonts w:ascii="Calibri Light" w:hAnsi="Calibri Light" w:cs="Calibri Light"/>
                <w:b/>
                <w:bCs/>
                <w:sz w:val="18"/>
                <w:szCs w:val="18"/>
                <w:u w:val="single"/>
                <w:lang w:val="es-CR" w:eastAsia="es-CR"/>
              </w:rPr>
            </w:pPr>
            <w:r w:rsidRPr="0023319B">
              <w:rPr>
                <w:rFonts w:ascii="Calibri Light" w:hAnsi="Calibri Light" w:cs="Calibri Light"/>
                <w:b/>
                <w:bCs/>
                <w:sz w:val="18"/>
                <w:szCs w:val="18"/>
                <w:u w:val="single"/>
                <w:lang w:val="es-CR" w:eastAsia="es-CR"/>
              </w:rPr>
              <w:t>Total</w:t>
            </w:r>
            <w:r w:rsidR="00E841E6" w:rsidRPr="0023319B">
              <w:rPr>
                <w:rFonts w:ascii="Calibri Light" w:hAnsi="Calibri Light" w:cs="Calibri Light"/>
                <w:b/>
                <w:bCs/>
                <w:sz w:val="18"/>
                <w:szCs w:val="18"/>
                <w:u w:val="single"/>
                <w:lang w:val="es-CR" w:eastAsia="es-CR"/>
              </w:rPr>
              <w:t>es</w:t>
            </w:r>
          </w:p>
        </w:tc>
        <w:tc>
          <w:tcPr>
            <w:tcW w:w="1063"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14:paraId="737636EA" w14:textId="77777777" w:rsidR="000D3BFA" w:rsidRPr="0023319B" w:rsidRDefault="000D3BFA" w:rsidP="000D3BFA">
            <w:pPr>
              <w:spacing w:line="240" w:lineRule="auto"/>
              <w:jc w:val="center"/>
              <w:rPr>
                <w:rFonts w:ascii="Calibri Light" w:hAnsi="Calibri Light" w:cs="Calibri Light"/>
                <w:b/>
                <w:bCs/>
                <w:sz w:val="18"/>
                <w:szCs w:val="18"/>
                <w:u w:val="single"/>
                <w:lang w:val="es-CR" w:eastAsia="es-CR"/>
              </w:rPr>
            </w:pPr>
          </w:p>
        </w:tc>
        <w:tc>
          <w:tcPr>
            <w:tcW w:w="992"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14:paraId="192593CA" w14:textId="77777777" w:rsidR="000D3BFA" w:rsidRPr="0023319B" w:rsidRDefault="000D3BFA" w:rsidP="000D3BFA">
            <w:pPr>
              <w:spacing w:line="240" w:lineRule="auto"/>
              <w:jc w:val="center"/>
              <w:rPr>
                <w:rFonts w:ascii="Calibri Light" w:hAnsi="Calibri Light" w:cs="Calibri Light"/>
                <w:sz w:val="18"/>
                <w:szCs w:val="18"/>
                <w:lang w:val="es-CR" w:eastAsia="es-CR"/>
              </w:rPr>
            </w:pPr>
          </w:p>
        </w:tc>
        <w:tc>
          <w:tcPr>
            <w:tcW w:w="1134"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14:paraId="51A36BB2" w14:textId="77777777" w:rsidR="000D3BFA" w:rsidRPr="0023319B" w:rsidRDefault="000D3BFA" w:rsidP="000D3BFA">
            <w:pPr>
              <w:spacing w:line="240" w:lineRule="auto"/>
              <w:jc w:val="center"/>
              <w:rPr>
                <w:rFonts w:ascii="Calibri Light" w:hAnsi="Calibri Light" w:cs="Calibri Light"/>
                <w:b/>
                <w:bCs/>
                <w:sz w:val="18"/>
                <w:szCs w:val="18"/>
                <w:u w:val="single"/>
                <w:lang w:val="es-CR" w:eastAsia="es-CR"/>
              </w:rPr>
            </w:pPr>
            <w:r w:rsidRPr="0023319B">
              <w:rPr>
                <w:rFonts w:ascii="Calibri Light" w:hAnsi="Calibri Light" w:cs="Calibri Light"/>
                <w:b/>
                <w:bCs/>
                <w:sz w:val="18"/>
                <w:szCs w:val="18"/>
                <w:u w:val="single"/>
                <w:lang w:val="es-CR" w:eastAsia="es-CR"/>
              </w:rPr>
              <w:t>79</w:t>
            </w:r>
          </w:p>
        </w:tc>
        <w:tc>
          <w:tcPr>
            <w:tcW w:w="1134"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14:paraId="0567782A" w14:textId="4DB5A04D" w:rsidR="000D3BFA" w:rsidRPr="0023319B" w:rsidRDefault="00DF5E7F" w:rsidP="000D3BFA">
            <w:pPr>
              <w:spacing w:line="240" w:lineRule="auto"/>
              <w:jc w:val="right"/>
              <w:rPr>
                <w:rFonts w:ascii="Calibri Light" w:hAnsi="Calibri Light" w:cs="Calibri Light"/>
                <w:b/>
                <w:bCs/>
                <w:sz w:val="18"/>
                <w:szCs w:val="18"/>
                <w:u w:val="single"/>
                <w:lang w:val="es-CR" w:eastAsia="es-CR"/>
              </w:rPr>
            </w:pPr>
            <w:r w:rsidRPr="0023319B">
              <w:rPr>
                <w:rFonts w:ascii="Calibri Light" w:hAnsi="Calibri Light" w:cs="Calibri Light"/>
                <w:b/>
                <w:bCs/>
                <w:sz w:val="18"/>
                <w:szCs w:val="18"/>
                <w:u w:val="single"/>
                <w:lang w:val="es-CR" w:eastAsia="es-CR"/>
              </w:rPr>
              <w:t>2,010,171</w:t>
            </w:r>
          </w:p>
        </w:tc>
      </w:tr>
    </w:tbl>
    <w:p w14:paraId="3C4253E7" w14:textId="2531360C" w:rsidR="00D6315B" w:rsidRPr="0023319B" w:rsidRDefault="00D6315B" w:rsidP="00404509">
      <w:pPr>
        <w:ind w:right="51"/>
        <w:jc w:val="left"/>
        <w:rPr>
          <w:rFonts w:asciiTheme="minorHAnsi" w:hAnsiTheme="minorHAnsi" w:cstheme="minorHAnsi"/>
          <w:szCs w:val="16"/>
          <w:lang w:val="es-CR"/>
        </w:rPr>
      </w:pPr>
    </w:p>
    <w:p w14:paraId="6BF325A0" w14:textId="77777777" w:rsidR="00D6315B" w:rsidRPr="0023319B" w:rsidRDefault="00D6315B">
      <w:pPr>
        <w:spacing w:line="240" w:lineRule="auto"/>
        <w:jc w:val="left"/>
        <w:rPr>
          <w:rFonts w:asciiTheme="minorHAnsi" w:hAnsiTheme="minorHAnsi" w:cstheme="minorHAnsi"/>
          <w:szCs w:val="16"/>
          <w:lang w:val="es-CR"/>
        </w:rPr>
      </w:pPr>
      <w:r w:rsidRPr="0023319B">
        <w:rPr>
          <w:rFonts w:asciiTheme="minorHAnsi" w:hAnsiTheme="minorHAnsi" w:cstheme="minorHAnsi"/>
          <w:szCs w:val="16"/>
          <w:lang w:val="es-CR"/>
        </w:rPr>
        <w:br w:type="page"/>
      </w:r>
    </w:p>
    <w:p w14:paraId="2EC8372D" w14:textId="1045D9EC" w:rsidR="000D3BFA" w:rsidRPr="0023319B" w:rsidRDefault="00C83C67" w:rsidP="00541A7F">
      <w:pPr>
        <w:ind w:right="51"/>
        <w:rPr>
          <w:rFonts w:asciiTheme="minorHAnsi" w:hAnsiTheme="minorHAnsi" w:cstheme="minorHAnsi"/>
          <w:sz w:val="24"/>
          <w:lang w:val="es-CR"/>
        </w:rPr>
      </w:pPr>
      <w:r w:rsidRPr="0023319B">
        <w:rPr>
          <w:rFonts w:asciiTheme="minorHAnsi" w:hAnsiTheme="minorHAnsi" w:cstheme="minorHAnsi"/>
          <w:sz w:val="24"/>
          <w:lang w:val="es-CR"/>
        </w:rPr>
        <w:t>El</w:t>
      </w:r>
      <w:r w:rsidR="00C518A8" w:rsidRPr="0023319B">
        <w:rPr>
          <w:rFonts w:asciiTheme="minorHAnsi" w:hAnsiTheme="minorHAnsi" w:cstheme="minorHAnsi"/>
          <w:sz w:val="24"/>
          <w:lang w:val="es-CR"/>
        </w:rPr>
        <w:t xml:space="preserve"> siguiente cuadro </w:t>
      </w:r>
      <w:r w:rsidR="005068AA" w:rsidRPr="0023319B">
        <w:rPr>
          <w:rFonts w:asciiTheme="minorHAnsi" w:hAnsiTheme="minorHAnsi" w:cstheme="minorHAnsi"/>
          <w:sz w:val="24"/>
          <w:lang w:val="es-CR"/>
        </w:rPr>
        <w:t>puntualiza</w:t>
      </w:r>
      <w:r w:rsidR="002E4394" w:rsidRPr="0023319B">
        <w:rPr>
          <w:rFonts w:asciiTheme="minorHAnsi" w:hAnsiTheme="minorHAnsi" w:cstheme="minorHAnsi"/>
          <w:sz w:val="24"/>
          <w:lang w:val="es-CR"/>
        </w:rPr>
        <w:t xml:space="preserve"> las plazas vacantes</w:t>
      </w:r>
      <w:r w:rsidR="00982F49" w:rsidRPr="0023319B">
        <w:rPr>
          <w:rFonts w:asciiTheme="minorHAnsi" w:hAnsiTheme="minorHAnsi" w:cstheme="minorHAnsi"/>
          <w:sz w:val="24"/>
          <w:lang w:val="es-CR"/>
        </w:rPr>
        <w:t xml:space="preserve"> </w:t>
      </w:r>
      <w:r w:rsidR="001F3783" w:rsidRPr="0023319B">
        <w:rPr>
          <w:rFonts w:asciiTheme="minorHAnsi" w:hAnsiTheme="minorHAnsi" w:cstheme="minorHAnsi"/>
          <w:sz w:val="24"/>
          <w:lang w:val="es-CR"/>
        </w:rPr>
        <w:t>que se tienen a la fecha de este informe</w:t>
      </w:r>
      <w:r w:rsidR="00240130" w:rsidRPr="0023319B">
        <w:rPr>
          <w:rFonts w:asciiTheme="minorHAnsi" w:hAnsiTheme="minorHAnsi" w:cstheme="minorHAnsi"/>
          <w:sz w:val="24"/>
          <w:lang w:val="es-CR"/>
        </w:rPr>
        <w:t>, la situación de cada una</w:t>
      </w:r>
      <w:r w:rsidR="001F3783" w:rsidRPr="0023319B">
        <w:rPr>
          <w:rFonts w:asciiTheme="minorHAnsi" w:hAnsiTheme="minorHAnsi" w:cstheme="minorHAnsi"/>
          <w:sz w:val="24"/>
          <w:lang w:val="es-CR"/>
        </w:rPr>
        <w:t xml:space="preserve"> y que inciden en la ejecución de</w:t>
      </w:r>
      <w:r w:rsidR="00876F94" w:rsidRPr="0023319B">
        <w:rPr>
          <w:rFonts w:asciiTheme="minorHAnsi" w:hAnsiTheme="minorHAnsi" w:cstheme="minorHAnsi"/>
          <w:sz w:val="24"/>
          <w:lang w:val="es-CR"/>
        </w:rPr>
        <w:t xml:space="preserve"> la cuenta de remuneraciones.</w:t>
      </w:r>
      <w:r w:rsidR="002E4394" w:rsidRPr="0023319B">
        <w:rPr>
          <w:rFonts w:asciiTheme="minorHAnsi" w:hAnsiTheme="minorHAnsi" w:cstheme="minorHAnsi"/>
          <w:sz w:val="24"/>
          <w:lang w:val="es-CR"/>
        </w:rPr>
        <w:t xml:space="preserve"> </w:t>
      </w:r>
    </w:p>
    <w:p w14:paraId="545D4A6E" w14:textId="77777777" w:rsidR="000D3BFA" w:rsidRPr="0023319B" w:rsidRDefault="000D3BFA" w:rsidP="00093594">
      <w:pPr>
        <w:ind w:left="284" w:right="51"/>
        <w:jc w:val="left"/>
        <w:rPr>
          <w:rFonts w:asciiTheme="minorHAnsi" w:hAnsiTheme="minorHAnsi" w:cstheme="minorHAnsi"/>
          <w:szCs w:val="16"/>
          <w:lang w:val="es-CR"/>
        </w:rPr>
      </w:pPr>
    </w:p>
    <w:p w14:paraId="3B4D96FA" w14:textId="0EAB5476" w:rsidR="007F6F80" w:rsidRPr="0023319B" w:rsidRDefault="007F6F80" w:rsidP="00A9221D">
      <w:pPr>
        <w:pStyle w:val="Ttulo3"/>
      </w:pPr>
      <w:bookmarkStart w:id="46" w:name="_Toc61081368"/>
      <w:r w:rsidRPr="0023319B">
        <w:t xml:space="preserve">Cuadro </w:t>
      </w:r>
      <w:r w:rsidR="00917AFF" w:rsidRPr="0023319B">
        <w:t>2</w:t>
      </w:r>
      <w:r w:rsidRPr="0023319B">
        <w:t>: Detalle de plazas vacantes</w:t>
      </w:r>
      <w:bookmarkEnd w:id="46"/>
      <w:r w:rsidRPr="0023319B">
        <w:t xml:space="preserve"> </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48"/>
        <w:gridCol w:w="1476"/>
        <w:gridCol w:w="1412"/>
        <w:gridCol w:w="1405"/>
        <w:gridCol w:w="4152"/>
      </w:tblGrid>
      <w:tr w:rsidR="000200AA" w:rsidRPr="0023319B" w14:paraId="0C6DE09F" w14:textId="77777777" w:rsidTr="00541A7F">
        <w:trPr>
          <w:trHeight w:val="519"/>
          <w:tblHeader/>
          <w:jc w:val="center"/>
        </w:trPr>
        <w:tc>
          <w:tcPr>
            <w:tcW w:w="1048" w:type="dxa"/>
            <w:shd w:val="clear" w:color="auto" w:fill="ACB9CA"/>
            <w:tcMar>
              <w:top w:w="0" w:type="dxa"/>
              <w:left w:w="70" w:type="dxa"/>
              <w:bottom w:w="0" w:type="dxa"/>
              <w:right w:w="70" w:type="dxa"/>
            </w:tcMar>
            <w:vAlign w:val="center"/>
            <w:hideMark/>
          </w:tcPr>
          <w:p w14:paraId="03866D39" w14:textId="77777777" w:rsidR="000200AA" w:rsidRPr="0023319B" w:rsidRDefault="000200AA" w:rsidP="002E6B58">
            <w:pPr>
              <w:spacing w:line="240" w:lineRule="auto"/>
              <w:jc w:val="center"/>
              <w:rPr>
                <w:rFonts w:ascii="Calibri Light" w:hAnsi="Calibri Light" w:cs="Calibri Light"/>
                <w:b/>
                <w:bCs/>
                <w:sz w:val="18"/>
                <w:szCs w:val="18"/>
                <w:lang w:val="es-CR"/>
              </w:rPr>
            </w:pPr>
            <w:r w:rsidRPr="0023319B">
              <w:rPr>
                <w:rFonts w:ascii="Calibri Light" w:hAnsi="Calibri Light" w:cs="Calibri Light"/>
                <w:b/>
                <w:bCs/>
                <w:sz w:val="18"/>
                <w:szCs w:val="18"/>
                <w:lang w:val="es-CR"/>
              </w:rPr>
              <w:t>Clasificación</w:t>
            </w:r>
          </w:p>
        </w:tc>
        <w:tc>
          <w:tcPr>
            <w:tcW w:w="1476" w:type="dxa"/>
            <w:shd w:val="clear" w:color="auto" w:fill="ACB9CA"/>
            <w:tcMar>
              <w:top w:w="0" w:type="dxa"/>
              <w:left w:w="70" w:type="dxa"/>
              <w:bottom w:w="0" w:type="dxa"/>
              <w:right w:w="70" w:type="dxa"/>
            </w:tcMar>
            <w:vAlign w:val="center"/>
            <w:hideMark/>
          </w:tcPr>
          <w:p w14:paraId="5718C87F" w14:textId="77777777" w:rsidR="000200AA" w:rsidRPr="0023319B" w:rsidRDefault="000200AA" w:rsidP="002E6B58">
            <w:pPr>
              <w:spacing w:line="240" w:lineRule="auto"/>
              <w:jc w:val="center"/>
              <w:rPr>
                <w:rFonts w:ascii="Calibri Light" w:hAnsi="Calibri Light" w:cs="Calibri Light"/>
                <w:b/>
                <w:bCs/>
                <w:sz w:val="18"/>
                <w:szCs w:val="18"/>
                <w:lang w:val="es-CR"/>
              </w:rPr>
            </w:pPr>
            <w:r w:rsidRPr="0023319B">
              <w:rPr>
                <w:rFonts w:ascii="Calibri Light" w:hAnsi="Calibri Light" w:cs="Calibri Light"/>
                <w:b/>
                <w:bCs/>
                <w:color w:val="000000"/>
                <w:sz w:val="18"/>
                <w:szCs w:val="18"/>
                <w:lang w:val="es-CR"/>
              </w:rPr>
              <w:t>Código de Ubicación</w:t>
            </w:r>
          </w:p>
        </w:tc>
        <w:tc>
          <w:tcPr>
            <w:tcW w:w="1412" w:type="dxa"/>
            <w:shd w:val="clear" w:color="auto" w:fill="ACB9CA"/>
            <w:tcMar>
              <w:top w:w="0" w:type="dxa"/>
              <w:left w:w="70" w:type="dxa"/>
              <w:bottom w:w="0" w:type="dxa"/>
              <w:right w:w="70" w:type="dxa"/>
            </w:tcMar>
            <w:vAlign w:val="center"/>
            <w:hideMark/>
          </w:tcPr>
          <w:p w14:paraId="6CD09117" w14:textId="77777777" w:rsidR="000200AA" w:rsidRPr="0023319B" w:rsidRDefault="000200AA" w:rsidP="002E6B58">
            <w:pPr>
              <w:spacing w:line="240" w:lineRule="auto"/>
              <w:jc w:val="center"/>
              <w:rPr>
                <w:rFonts w:ascii="Calibri Light" w:hAnsi="Calibri Light" w:cs="Calibri Light"/>
                <w:b/>
                <w:bCs/>
                <w:sz w:val="18"/>
                <w:szCs w:val="18"/>
                <w:lang w:val="es-CR"/>
              </w:rPr>
            </w:pPr>
            <w:r w:rsidRPr="0023319B">
              <w:rPr>
                <w:rFonts w:ascii="Calibri Light" w:hAnsi="Calibri Light" w:cs="Calibri Light"/>
                <w:b/>
                <w:bCs/>
                <w:color w:val="000000"/>
                <w:sz w:val="18"/>
                <w:szCs w:val="18"/>
                <w:lang w:val="es-CR"/>
              </w:rPr>
              <w:t>Dependencia</w:t>
            </w:r>
          </w:p>
        </w:tc>
        <w:tc>
          <w:tcPr>
            <w:tcW w:w="1405" w:type="dxa"/>
            <w:shd w:val="clear" w:color="auto" w:fill="ACB9CA"/>
            <w:tcMar>
              <w:top w:w="0" w:type="dxa"/>
              <w:left w:w="70" w:type="dxa"/>
              <w:bottom w:w="0" w:type="dxa"/>
              <w:right w:w="70" w:type="dxa"/>
            </w:tcMar>
            <w:vAlign w:val="center"/>
            <w:hideMark/>
          </w:tcPr>
          <w:p w14:paraId="185B2135" w14:textId="77777777" w:rsidR="000200AA" w:rsidRPr="0023319B" w:rsidRDefault="000200AA" w:rsidP="002E6B58">
            <w:pPr>
              <w:spacing w:line="240" w:lineRule="auto"/>
              <w:jc w:val="center"/>
              <w:rPr>
                <w:rFonts w:ascii="Calibri Light" w:hAnsi="Calibri Light" w:cs="Calibri Light"/>
                <w:b/>
                <w:bCs/>
                <w:sz w:val="18"/>
                <w:szCs w:val="18"/>
                <w:lang w:val="es-CR"/>
              </w:rPr>
            </w:pPr>
            <w:r w:rsidRPr="0023319B">
              <w:rPr>
                <w:rFonts w:ascii="Calibri Light" w:hAnsi="Calibri Light" w:cs="Calibri Light"/>
                <w:b/>
                <w:bCs/>
                <w:color w:val="000000"/>
                <w:sz w:val="18"/>
                <w:szCs w:val="18"/>
                <w:lang w:val="es-CR"/>
              </w:rPr>
              <w:t>Vacante desde:</w:t>
            </w:r>
          </w:p>
        </w:tc>
        <w:tc>
          <w:tcPr>
            <w:tcW w:w="4152" w:type="dxa"/>
            <w:shd w:val="clear" w:color="auto" w:fill="ACB9CA"/>
            <w:tcMar>
              <w:top w:w="0" w:type="dxa"/>
              <w:left w:w="70" w:type="dxa"/>
              <w:bottom w:w="0" w:type="dxa"/>
              <w:right w:w="70" w:type="dxa"/>
            </w:tcMar>
            <w:vAlign w:val="center"/>
            <w:hideMark/>
          </w:tcPr>
          <w:p w14:paraId="7B15BFD9" w14:textId="77777777" w:rsidR="000200AA" w:rsidRPr="0023319B" w:rsidRDefault="000200AA" w:rsidP="002E6B58">
            <w:pPr>
              <w:spacing w:line="240" w:lineRule="auto"/>
              <w:jc w:val="center"/>
              <w:rPr>
                <w:rFonts w:ascii="Calibri Light" w:hAnsi="Calibri Light" w:cs="Calibri Light"/>
                <w:b/>
                <w:bCs/>
                <w:sz w:val="18"/>
                <w:szCs w:val="18"/>
                <w:lang w:val="es-CR"/>
              </w:rPr>
            </w:pPr>
            <w:r w:rsidRPr="0023319B">
              <w:rPr>
                <w:rFonts w:ascii="Calibri Light" w:hAnsi="Calibri Light" w:cs="Calibri Light"/>
                <w:b/>
                <w:bCs/>
                <w:color w:val="000000"/>
                <w:sz w:val="18"/>
                <w:szCs w:val="18"/>
                <w:lang w:val="es-CR"/>
              </w:rPr>
              <w:t>Situación</w:t>
            </w:r>
          </w:p>
        </w:tc>
      </w:tr>
      <w:tr w:rsidR="000200AA" w:rsidRPr="007658CA" w14:paraId="5555523D" w14:textId="77777777" w:rsidTr="00541A7F">
        <w:trPr>
          <w:jc w:val="center"/>
        </w:trPr>
        <w:tc>
          <w:tcPr>
            <w:tcW w:w="1048" w:type="dxa"/>
            <w:shd w:val="clear" w:color="auto" w:fill="FFFFFF"/>
            <w:tcMar>
              <w:top w:w="0" w:type="dxa"/>
              <w:left w:w="70" w:type="dxa"/>
              <w:bottom w:w="0" w:type="dxa"/>
              <w:right w:w="70" w:type="dxa"/>
            </w:tcMar>
            <w:vAlign w:val="center"/>
            <w:hideMark/>
          </w:tcPr>
          <w:p w14:paraId="6E4EDFBE" w14:textId="77777777" w:rsidR="000200AA" w:rsidRPr="0023319B" w:rsidRDefault="000200AA" w:rsidP="002E6B58">
            <w:pPr>
              <w:spacing w:line="240" w:lineRule="auto"/>
              <w:rPr>
                <w:rFonts w:ascii="Calibri Light" w:hAnsi="Calibri Light" w:cs="Calibri Light"/>
                <w:sz w:val="18"/>
                <w:szCs w:val="18"/>
                <w:lang w:val="es-CR"/>
              </w:rPr>
            </w:pPr>
            <w:r w:rsidRPr="0023319B">
              <w:rPr>
                <w:rFonts w:ascii="Calibri Light" w:hAnsi="Calibri Light" w:cs="Calibri Light"/>
                <w:color w:val="000000"/>
                <w:sz w:val="18"/>
                <w:szCs w:val="18"/>
                <w:lang w:val="es-CR"/>
              </w:rPr>
              <w:t>Intendente</w:t>
            </w:r>
          </w:p>
        </w:tc>
        <w:tc>
          <w:tcPr>
            <w:tcW w:w="1476" w:type="dxa"/>
            <w:shd w:val="clear" w:color="auto" w:fill="FFFFFF"/>
            <w:tcMar>
              <w:top w:w="0" w:type="dxa"/>
              <w:left w:w="70" w:type="dxa"/>
              <w:bottom w:w="0" w:type="dxa"/>
              <w:right w:w="70" w:type="dxa"/>
            </w:tcMar>
            <w:vAlign w:val="center"/>
            <w:hideMark/>
          </w:tcPr>
          <w:p w14:paraId="62EA6DC3" w14:textId="77777777" w:rsidR="000200AA" w:rsidRPr="0023319B" w:rsidRDefault="000200AA" w:rsidP="002E6B58">
            <w:pPr>
              <w:spacing w:line="240" w:lineRule="auto"/>
              <w:jc w:val="center"/>
              <w:rPr>
                <w:rFonts w:ascii="Calibri Light" w:hAnsi="Calibri Light" w:cs="Calibri Light"/>
                <w:sz w:val="18"/>
                <w:szCs w:val="18"/>
                <w:lang w:val="es-CR"/>
              </w:rPr>
            </w:pPr>
            <w:r w:rsidRPr="0023319B">
              <w:rPr>
                <w:rFonts w:ascii="Calibri Light" w:hAnsi="Calibri Light" w:cs="Calibri Light"/>
                <w:color w:val="000000"/>
                <w:sz w:val="18"/>
                <w:szCs w:val="18"/>
                <w:lang w:val="es-CR"/>
              </w:rPr>
              <w:t>26-01-10-10-02</w:t>
            </w:r>
          </w:p>
        </w:tc>
        <w:tc>
          <w:tcPr>
            <w:tcW w:w="1412" w:type="dxa"/>
            <w:shd w:val="clear" w:color="auto" w:fill="FFFFFF"/>
            <w:tcMar>
              <w:top w:w="0" w:type="dxa"/>
              <w:left w:w="70" w:type="dxa"/>
              <w:bottom w:w="0" w:type="dxa"/>
              <w:right w:w="70" w:type="dxa"/>
            </w:tcMar>
            <w:vAlign w:val="center"/>
            <w:hideMark/>
          </w:tcPr>
          <w:p w14:paraId="5681C7DA" w14:textId="77777777" w:rsidR="000200AA" w:rsidRPr="0023319B" w:rsidRDefault="000200AA" w:rsidP="002E6B58">
            <w:pPr>
              <w:spacing w:line="240" w:lineRule="auto"/>
              <w:rPr>
                <w:rFonts w:ascii="Calibri Light" w:hAnsi="Calibri Light" w:cs="Calibri Light"/>
                <w:sz w:val="18"/>
                <w:szCs w:val="18"/>
                <w:lang w:val="es-CR"/>
              </w:rPr>
            </w:pPr>
            <w:r w:rsidRPr="0023319B">
              <w:rPr>
                <w:rFonts w:ascii="Calibri Light" w:hAnsi="Calibri Light" w:cs="Calibri Light"/>
                <w:color w:val="000000"/>
                <w:sz w:val="18"/>
                <w:szCs w:val="18"/>
                <w:lang w:val="es-CR"/>
              </w:rPr>
              <w:t>Despacho Superintendencia</w:t>
            </w:r>
          </w:p>
        </w:tc>
        <w:tc>
          <w:tcPr>
            <w:tcW w:w="1405" w:type="dxa"/>
            <w:shd w:val="clear" w:color="auto" w:fill="FFFFFF"/>
            <w:tcMar>
              <w:top w:w="0" w:type="dxa"/>
              <w:left w:w="70" w:type="dxa"/>
              <w:bottom w:w="0" w:type="dxa"/>
              <w:right w:w="70" w:type="dxa"/>
            </w:tcMar>
            <w:vAlign w:val="center"/>
            <w:hideMark/>
          </w:tcPr>
          <w:p w14:paraId="4BDCD341" w14:textId="77777777" w:rsidR="000200AA" w:rsidRPr="0023319B" w:rsidRDefault="000200AA" w:rsidP="002E6B58">
            <w:pPr>
              <w:spacing w:line="240" w:lineRule="auto"/>
              <w:jc w:val="center"/>
              <w:rPr>
                <w:rFonts w:ascii="Calibri Light" w:hAnsi="Calibri Light" w:cs="Calibri Light"/>
                <w:sz w:val="18"/>
                <w:szCs w:val="18"/>
                <w:lang w:val="es-CR"/>
              </w:rPr>
            </w:pPr>
            <w:r w:rsidRPr="0023319B">
              <w:rPr>
                <w:rFonts w:ascii="Calibri Light" w:hAnsi="Calibri Light" w:cs="Calibri Light"/>
                <w:color w:val="000000"/>
                <w:sz w:val="18"/>
                <w:szCs w:val="18"/>
                <w:lang w:val="es-CR"/>
              </w:rPr>
              <w:t>17 noviembre 2015</w:t>
            </w:r>
          </w:p>
        </w:tc>
        <w:tc>
          <w:tcPr>
            <w:tcW w:w="4152" w:type="dxa"/>
            <w:shd w:val="clear" w:color="auto" w:fill="FFFFFF"/>
            <w:tcMar>
              <w:top w:w="0" w:type="dxa"/>
              <w:left w:w="70" w:type="dxa"/>
              <w:bottom w:w="0" w:type="dxa"/>
              <w:right w:w="70" w:type="dxa"/>
            </w:tcMar>
            <w:vAlign w:val="center"/>
            <w:hideMark/>
          </w:tcPr>
          <w:p w14:paraId="71A15561" w14:textId="77777777" w:rsidR="000200AA" w:rsidRPr="0023319B" w:rsidRDefault="000200AA" w:rsidP="002E6B58">
            <w:pPr>
              <w:spacing w:line="240" w:lineRule="auto"/>
              <w:rPr>
                <w:rFonts w:ascii="Calibri Light" w:hAnsi="Calibri Light" w:cs="Calibri Light"/>
                <w:sz w:val="18"/>
                <w:szCs w:val="18"/>
                <w:lang w:val="es-CR"/>
              </w:rPr>
            </w:pPr>
            <w:r w:rsidRPr="0023319B">
              <w:rPr>
                <w:rFonts w:ascii="Calibri Light" w:hAnsi="Calibri Light" w:cs="Calibri Light"/>
                <w:color w:val="000000"/>
                <w:sz w:val="18"/>
                <w:szCs w:val="18"/>
                <w:lang w:val="es-CR"/>
              </w:rPr>
              <w:t>Vacante por finalización del nombramiento.</w:t>
            </w:r>
          </w:p>
        </w:tc>
      </w:tr>
      <w:tr w:rsidR="000200AA" w:rsidRPr="007658CA" w14:paraId="52839983" w14:textId="77777777" w:rsidTr="00541A7F">
        <w:trPr>
          <w:jc w:val="center"/>
        </w:trPr>
        <w:tc>
          <w:tcPr>
            <w:tcW w:w="1048" w:type="dxa"/>
            <w:shd w:val="clear" w:color="auto" w:fill="F2F2F2"/>
            <w:tcMar>
              <w:top w:w="0" w:type="dxa"/>
              <w:left w:w="70" w:type="dxa"/>
              <w:bottom w:w="0" w:type="dxa"/>
              <w:right w:w="70" w:type="dxa"/>
            </w:tcMar>
            <w:vAlign w:val="center"/>
            <w:hideMark/>
          </w:tcPr>
          <w:p w14:paraId="4540CC7F" w14:textId="77777777" w:rsidR="000200AA" w:rsidRPr="0023319B" w:rsidRDefault="000200AA" w:rsidP="002E6B58">
            <w:pPr>
              <w:spacing w:line="240" w:lineRule="auto"/>
              <w:rPr>
                <w:rFonts w:ascii="Calibri Light" w:hAnsi="Calibri Light" w:cs="Calibri Light"/>
                <w:sz w:val="18"/>
                <w:szCs w:val="18"/>
                <w:lang w:val="es-CR"/>
              </w:rPr>
            </w:pPr>
            <w:r w:rsidRPr="0023319B">
              <w:rPr>
                <w:rFonts w:ascii="Calibri Light" w:hAnsi="Calibri Light" w:cs="Calibri Light"/>
                <w:color w:val="000000"/>
                <w:sz w:val="18"/>
                <w:szCs w:val="18"/>
                <w:lang w:val="es-CR"/>
              </w:rPr>
              <w:t>Asistente de Servicios (ASG2)</w:t>
            </w:r>
          </w:p>
        </w:tc>
        <w:tc>
          <w:tcPr>
            <w:tcW w:w="1476" w:type="dxa"/>
            <w:shd w:val="clear" w:color="auto" w:fill="F2F2F2"/>
            <w:tcMar>
              <w:top w:w="0" w:type="dxa"/>
              <w:left w:w="70" w:type="dxa"/>
              <w:bottom w:w="0" w:type="dxa"/>
              <w:right w:w="70" w:type="dxa"/>
            </w:tcMar>
            <w:vAlign w:val="center"/>
            <w:hideMark/>
          </w:tcPr>
          <w:p w14:paraId="61F1F1E9" w14:textId="77777777" w:rsidR="000200AA" w:rsidRPr="0023319B" w:rsidRDefault="000200AA" w:rsidP="002E6B58">
            <w:pPr>
              <w:spacing w:line="240" w:lineRule="auto"/>
              <w:jc w:val="center"/>
              <w:rPr>
                <w:rFonts w:ascii="Calibri Light" w:hAnsi="Calibri Light" w:cs="Calibri Light"/>
                <w:sz w:val="18"/>
                <w:szCs w:val="18"/>
                <w:lang w:val="es-CR"/>
              </w:rPr>
            </w:pPr>
            <w:r w:rsidRPr="0023319B">
              <w:rPr>
                <w:rFonts w:ascii="Calibri Light" w:hAnsi="Calibri Light" w:cs="Calibri Light"/>
                <w:color w:val="000000"/>
                <w:sz w:val="18"/>
                <w:szCs w:val="18"/>
                <w:lang w:val="es-CR"/>
              </w:rPr>
              <w:t>26-01-10-20-17</w:t>
            </w:r>
          </w:p>
        </w:tc>
        <w:tc>
          <w:tcPr>
            <w:tcW w:w="1412" w:type="dxa"/>
            <w:shd w:val="clear" w:color="auto" w:fill="F2F2F2"/>
            <w:tcMar>
              <w:top w:w="0" w:type="dxa"/>
              <w:left w:w="70" w:type="dxa"/>
              <w:bottom w:w="0" w:type="dxa"/>
              <w:right w:w="70" w:type="dxa"/>
            </w:tcMar>
            <w:vAlign w:val="center"/>
            <w:hideMark/>
          </w:tcPr>
          <w:p w14:paraId="19DA6651" w14:textId="77777777" w:rsidR="000200AA" w:rsidRPr="0023319B" w:rsidRDefault="000200AA" w:rsidP="002E6B58">
            <w:pPr>
              <w:spacing w:line="240" w:lineRule="auto"/>
              <w:rPr>
                <w:rFonts w:ascii="Calibri Light" w:hAnsi="Calibri Light" w:cs="Calibri Light"/>
                <w:sz w:val="18"/>
                <w:szCs w:val="18"/>
                <w:lang w:val="es-CR"/>
              </w:rPr>
            </w:pPr>
            <w:r w:rsidRPr="0023319B">
              <w:rPr>
                <w:rFonts w:ascii="Calibri Light" w:hAnsi="Calibri Light" w:cs="Calibri Light"/>
                <w:color w:val="000000"/>
                <w:sz w:val="18"/>
                <w:szCs w:val="18"/>
                <w:lang w:val="es-CR"/>
              </w:rPr>
              <w:t>Área de Comunicación y Servicios</w:t>
            </w:r>
          </w:p>
        </w:tc>
        <w:tc>
          <w:tcPr>
            <w:tcW w:w="1405" w:type="dxa"/>
            <w:shd w:val="clear" w:color="auto" w:fill="F2F2F2"/>
            <w:tcMar>
              <w:top w:w="0" w:type="dxa"/>
              <w:left w:w="70" w:type="dxa"/>
              <w:bottom w:w="0" w:type="dxa"/>
              <w:right w:w="70" w:type="dxa"/>
            </w:tcMar>
            <w:vAlign w:val="center"/>
            <w:hideMark/>
          </w:tcPr>
          <w:p w14:paraId="6A93EFC4" w14:textId="77777777" w:rsidR="000200AA" w:rsidRPr="0023319B" w:rsidRDefault="000200AA" w:rsidP="002E6B58">
            <w:pPr>
              <w:spacing w:line="240" w:lineRule="auto"/>
              <w:jc w:val="center"/>
              <w:rPr>
                <w:rFonts w:ascii="Calibri Light" w:hAnsi="Calibri Light" w:cs="Calibri Light"/>
                <w:sz w:val="18"/>
                <w:szCs w:val="18"/>
                <w:lang w:val="es-CR"/>
              </w:rPr>
            </w:pPr>
            <w:r w:rsidRPr="0023319B">
              <w:rPr>
                <w:rFonts w:ascii="Calibri Light" w:hAnsi="Calibri Light" w:cs="Calibri Light"/>
                <w:color w:val="000000"/>
                <w:sz w:val="18"/>
                <w:szCs w:val="18"/>
                <w:lang w:val="es-CR"/>
              </w:rPr>
              <w:t>21 abril 2017</w:t>
            </w:r>
          </w:p>
        </w:tc>
        <w:tc>
          <w:tcPr>
            <w:tcW w:w="4152" w:type="dxa"/>
            <w:shd w:val="clear" w:color="auto" w:fill="F2F2F2"/>
            <w:tcMar>
              <w:top w:w="0" w:type="dxa"/>
              <w:left w:w="70" w:type="dxa"/>
              <w:bottom w:w="0" w:type="dxa"/>
              <w:right w:w="70" w:type="dxa"/>
            </w:tcMar>
            <w:vAlign w:val="center"/>
            <w:hideMark/>
          </w:tcPr>
          <w:p w14:paraId="486210D6" w14:textId="77777777" w:rsidR="000200AA" w:rsidRPr="0023319B" w:rsidRDefault="000200AA" w:rsidP="002E6B58">
            <w:pPr>
              <w:spacing w:line="240" w:lineRule="auto"/>
              <w:rPr>
                <w:rFonts w:ascii="Calibri Light" w:hAnsi="Calibri Light" w:cs="Calibri Light"/>
                <w:color w:val="000000"/>
                <w:sz w:val="18"/>
                <w:szCs w:val="18"/>
                <w:lang w:val="es-CR"/>
              </w:rPr>
            </w:pPr>
            <w:r w:rsidRPr="0023319B">
              <w:rPr>
                <w:rFonts w:ascii="Calibri Light" w:hAnsi="Calibri Light" w:cs="Calibri Light"/>
                <w:color w:val="000000"/>
                <w:sz w:val="18"/>
                <w:szCs w:val="18"/>
                <w:lang w:val="es-CR"/>
              </w:rPr>
              <w:t>Vacante por renuncia del titular de la plaza.</w:t>
            </w:r>
          </w:p>
          <w:p w14:paraId="752CCB63" w14:textId="77777777" w:rsidR="000200AA" w:rsidRPr="0023319B" w:rsidRDefault="000200AA" w:rsidP="002E6B58">
            <w:pPr>
              <w:spacing w:line="240" w:lineRule="auto"/>
              <w:rPr>
                <w:rFonts w:ascii="Calibri Light" w:hAnsi="Calibri Light" w:cs="Calibri Light"/>
                <w:sz w:val="18"/>
                <w:szCs w:val="18"/>
                <w:lang w:val="es-CR"/>
              </w:rPr>
            </w:pPr>
            <w:r w:rsidRPr="0023319B">
              <w:rPr>
                <w:rFonts w:ascii="Calibri Light" w:hAnsi="Calibri Light" w:cs="Calibri Light"/>
                <w:color w:val="000000"/>
                <w:sz w:val="18"/>
                <w:szCs w:val="18"/>
                <w:lang w:val="es-CR"/>
              </w:rPr>
              <w:t>En proceso de reconversión de la plaza, en espera de la resolución final por parte del BCCR</w:t>
            </w:r>
          </w:p>
        </w:tc>
      </w:tr>
      <w:tr w:rsidR="000200AA" w:rsidRPr="007658CA" w14:paraId="0F0A0999" w14:textId="77777777" w:rsidTr="00541A7F">
        <w:trPr>
          <w:jc w:val="center"/>
        </w:trPr>
        <w:tc>
          <w:tcPr>
            <w:tcW w:w="1048" w:type="dxa"/>
            <w:shd w:val="clear" w:color="auto" w:fill="auto"/>
            <w:tcMar>
              <w:top w:w="0" w:type="dxa"/>
              <w:left w:w="70" w:type="dxa"/>
              <w:bottom w:w="0" w:type="dxa"/>
              <w:right w:w="70" w:type="dxa"/>
            </w:tcMar>
            <w:vAlign w:val="center"/>
            <w:hideMark/>
          </w:tcPr>
          <w:p w14:paraId="1DA51CDF" w14:textId="77777777" w:rsidR="000200AA" w:rsidRPr="0023319B" w:rsidRDefault="000200AA" w:rsidP="002E6B58">
            <w:pPr>
              <w:spacing w:line="240" w:lineRule="auto"/>
              <w:rPr>
                <w:rFonts w:ascii="Calibri Light" w:hAnsi="Calibri Light" w:cs="Calibri Light"/>
                <w:sz w:val="18"/>
                <w:szCs w:val="18"/>
                <w:lang w:val="es-CR"/>
              </w:rPr>
            </w:pPr>
            <w:r w:rsidRPr="0023319B">
              <w:rPr>
                <w:rFonts w:ascii="Calibri Light" w:hAnsi="Calibri Light" w:cs="Calibri Light"/>
                <w:color w:val="000000"/>
                <w:sz w:val="18"/>
                <w:szCs w:val="18"/>
                <w:lang w:val="es-CR"/>
              </w:rPr>
              <w:t>Líder de Supervisión RC</w:t>
            </w:r>
          </w:p>
        </w:tc>
        <w:tc>
          <w:tcPr>
            <w:tcW w:w="1476" w:type="dxa"/>
            <w:shd w:val="clear" w:color="auto" w:fill="auto"/>
            <w:tcMar>
              <w:top w:w="0" w:type="dxa"/>
              <w:left w:w="70" w:type="dxa"/>
              <w:bottom w:w="0" w:type="dxa"/>
              <w:right w:w="70" w:type="dxa"/>
            </w:tcMar>
            <w:vAlign w:val="center"/>
            <w:hideMark/>
          </w:tcPr>
          <w:p w14:paraId="6251482A" w14:textId="77777777" w:rsidR="000200AA" w:rsidRPr="0023319B" w:rsidRDefault="000200AA" w:rsidP="002E6B58">
            <w:pPr>
              <w:spacing w:line="240" w:lineRule="auto"/>
              <w:jc w:val="center"/>
              <w:rPr>
                <w:rFonts w:ascii="Calibri Light" w:hAnsi="Calibri Light" w:cs="Calibri Light"/>
                <w:sz w:val="18"/>
                <w:szCs w:val="18"/>
                <w:lang w:val="es-CR"/>
              </w:rPr>
            </w:pPr>
            <w:r w:rsidRPr="0023319B">
              <w:rPr>
                <w:rFonts w:ascii="Calibri Light" w:hAnsi="Calibri Light" w:cs="Calibri Light"/>
                <w:color w:val="000000"/>
                <w:sz w:val="18"/>
                <w:szCs w:val="18"/>
                <w:lang w:val="es-CR"/>
              </w:rPr>
              <w:t>26-15-10-10-02</w:t>
            </w:r>
          </w:p>
        </w:tc>
        <w:tc>
          <w:tcPr>
            <w:tcW w:w="1412" w:type="dxa"/>
            <w:shd w:val="clear" w:color="auto" w:fill="auto"/>
            <w:tcMar>
              <w:top w:w="0" w:type="dxa"/>
              <w:left w:w="70" w:type="dxa"/>
              <w:bottom w:w="0" w:type="dxa"/>
              <w:right w:w="70" w:type="dxa"/>
            </w:tcMar>
            <w:vAlign w:val="center"/>
            <w:hideMark/>
          </w:tcPr>
          <w:p w14:paraId="634A5317" w14:textId="77777777" w:rsidR="000200AA" w:rsidRPr="0023319B" w:rsidRDefault="000200AA" w:rsidP="002E6B58">
            <w:pPr>
              <w:spacing w:line="240" w:lineRule="auto"/>
              <w:rPr>
                <w:rFonts w:ascii="Calibri Light" w:hAnsi="Calibri Light" w:cs="Calibri Light"/>
                <w:sz w:val="18"/>
                <w:szCs w:val="18"/>
                <w:lang w:val="es-CR"/>
              </w:rPr>
            </w:pPr>
            <w:r w:rsidRPr="0023319B">
              <w:rPr>
                <w:rFonts w:ascii="Calibri Light" w:hAnsi="Calibri Light" w:cs="Calibri Light"/>
                <w:color w:val="000000"/>
                <w:sz w:val="18"/>
                <w:szCs w:val="18"/>
                <w:lang w:val="es-CR"/>
              </w:rPr>
              <w:t>División Supervisión de RC</w:t>
            </w:r>
          </w:p>
        </w:tc>
        <w:tc>
          <w:tcPr>
            <w:tcW w:w="1405" w:type="dxa"/>
            <w:shd w:val="clear" w:color="auto" w:fill="auto"/>
            <w:tcMar>
              <w:top w:w="0" w:type="dxa"/>
              <w:left w:w="70" w:type="dxa"/>
              <w:bottom w:w="0" w:type="dxa"/>
              <w:right w:w="70" w:type="dxa"/>
            </w:tcMar>
            <w:vAlign w:val="center"/>
            <w:hideMark/>
          </w:tcPr>
          <w:p w14:paraId="35627F69" w14:textId="77777777" w:rsidR="000200AA" w:rsidRPr="0023319B" w:rsidRDefault="000200AA" w:rsidP="002E6B58">
            <w:pPr>
              <w:spacing w:line="240" w:lineRule="auto"/>
              <w:jc w:val="center"/>
              <w:rPr>
                <w:rFonts w:ascii="Calibri Light" w:hAnsi="Calibri Light" w:cs="Calibri Light"/>
                <w:sz w:val="18"/>
                <w:szCs w:val="18"/>
                <w:lang w:val="es-CR"/>
              </w:rPr>
            </w:pPr>
            <w:r w:rsidRPr="0023319B">
              <w:rPr>
                <w:rFonts w:ascii="Calibri Light" w:hAnsi="Calibri Light" w:cs="Calibri Light"/>
                <w:color w:val="000000"/>
                <w:sz w:val="18"/>
                <w:szCs w:val="18"/>
                <w:lang w:val="es-CR"/>
              </w:rPr>
              <w:t>20 agosto 2019</w:t>
            </w:r>
          </w:p>
        </w:tc>
        <w:tc>
          <w:tcPr>
            <w:tcW w:w="4152" w:type="dxa"/>
            <w:shd w:val="clear" w:color="auto" w:fill="auto"/>
            <w:tcMar>
              <w:top w:w="0" w:type="dxa"/>
              <w:left w:w="70" w:type="dxa"/>
              <w:bottom w:w="0" w:type="dxa"/>
              <w:right w:w="70" w:type="dxa"/>
            </w:tcMar>
            <w:vAlign w:val="center"/>
            <w:hideMark/>
          </w:tcPr>
          <w:p w14:paraId="1EBEA1C2" w14:textId="77777777" w:rsidR="000200AA" w:rsidRPr="0023319B" w:rsidRDefault="000200AA" w:rsidP="002E6B58">
            <w:pPr>
              <w:spacing w:line="240" w:lineRule="auto"/>
              <w:rPr>
                <w:rFonts w:ascii="Calibri Light" w:hAnsi="Calibri Light" w:cs="Calibri Light"/>
                <w:sz w:val="18"/>
                <w:szCs w:val="18"/>
                <w:lang w:val="es-CR"/>
              </w:rPr>
            </w:pPr>
            <w:r w:rsidRPr="0023319B">
              <w:rPr>
                <w:rFonts w:ascii="Calibri Light" w:hAnsi="Calibri Light" w:cs="Calibri Light"/>
                <w:sz w:val="18"/>
                <w:szCs w:val="18"/>
                <w:lang w:val="es-CR"/>
              </w:rPr>
              <w:t>Vacante por renuncia del titular, para acogerse a su derecho de jubilación. Se llevó a cabo la modificación al descriptivo y perfil del puesto para alinearlo según lo dispuesto en la Reforma Procesal Laboral. Aprobado mediante Resolución SP-R-1952-2020 del 03 de marzo de 2020.</w:t>
            </w:r>
          </w:p>
          <w:p w14:paraId="12505550" w14:textId="77777777" w:rsidR="000200AA" w:rsidRPr="0023319B" w:rsidRDefault="000200AA" w:rsidP="002E6B58">
            <w:pPr>
              <w:spacing w:line="240" w:lineRule="auto"/>
              <w:rPr>
                <w:rFonts w:ascii="Calibri Light" w:hAnsi="Calibri Light" w:cs="Calibri Light"/>
                <w:sz w:val="18"/>
                <w:szCs w:val="18"/>
                <w:lang w:val="es-CR"/>
              </w:rPr>
            </w:pPr>
            <w:r w:rsidRPr="0023319B">
              <w:rPr>
                <w:rFonts w:ascii="Calibri Light" w:hAnsi="Calibri Light" w:cs="Calibri Light"/>
                <w:sz w:val="18"/>
                <w:szCs w:val="18"/>
                <w:lang w:val="es-CR"/>
              </w:rPr>
              <w:t>Apertura del proceso de contratación PC-027-2020.</w:t>
            </w:r>
          </w:p>
          <w:p w14:paraId="2EE59CA1" w14:textId="77777777" w:rsidR="000200AA" w:rsidRPr="0023319B" w:rsidRDefault="000200AA" w:rsidP="002E6B58">
            <w:pPr>
              <w:spacing w:line="240" w:lineRule="auto"/>
              <w:rPr>
                <w:rFonts w:ascii="Calibri Light" w:hAnsi="Calibri Light" w:cs="Calibri Light"/>
                <w:sz w:val="18"/>
                <w:szCs w:val="18"/>
                <w:lang w:val="es-CR"/>
              </w:rPr>
            </w:pPr>
            <w:r w:rsidRPr="0023319B">
              <w:rPr>
                <w:rFonts w:ascii="Calibri Light" w:hAnsi="Calibri Light" w:cs="Calibri Light"/>
                <w:sz w:val="18"/>
                <w:szCs w:val="18"/>
                <w:lang w:val="es-CR"/>
              </w:rPr>
              <w:t>En proceso etapa III “Oferentes”.</w:t>
            </w:r>
          </w:p>
          <w:p w14:paraId="39B699AA" w14:textId="77777777" w:rsidR="000200AA" w:rsidRPr="0023319B" w:rsidRDefault="000200AA" w:rsidP="002E6B58">
            <w:pPr>
              <w:spacing w:line="240" w:lineRule="auto"/>
              <w:rPr>
                <w:rFonts w:ascii="Calibri Light" w:hAnsi="Calibri Light" w:cs="Calibri Light"/>
                <w:sz w:val="18"/>
                <w:szCs w:val="18"/>
                <w:lang w:val="es-CR"/>
              </w:rPr>
            </w:pPr>
            <w:r w:rsidRPr="0023319B">
              <w:rPr>
                <w:rFonts w:ascii="Calibri Light" w:hAnsi="Calibri Light" w:cs="Calibri Light"/>
                <w:sz w:val="18"/>
                <w:szCs w:val="18"/>
                <w:lang w:val="es-CR"/>
              </w:rPr>
              <w:t>En abril, se remitió el listado de oferentes al área experta para la validación de las ofertas.</w:t>
            </w:r>
          </w:p>
          <w:p w14:paraId="2D31EC0C" w14:textId="77777777" w:rsidR="000200AA" w:rsidRPr="0023319B" w:rsidRDefault="000200AA" w:rsidP="002E6B58">
            <w:pPr>
              <w:spacing w:line="240" w:lineRule="auto"/>
              <w:rPr>
                <w:rFonts w:ascii="Calibri Light" w:hAnsi="Calibri Light" w:cs="Calibri Light"/>
                <w:sz w:val="18"/>
                <w:szCs w:val="18"/>
                <w:lang w:val="es-CR"/>
              </w:rPr>
            </w:pPr>
            <w:r w:rsidRPr="0023319B">
              <w:rPr>
                <w:rFonts w:ascii="Calibri Light" w:hAnsi="Calibri Light" w:cs="Calibri Light"/>
                <w:sz w:val="18"/>
                <w:szCs w:val="18"/>
                <w:lang w:val="es-CR"/>
              </w:rPr>
              <w:t>En mayo se recibió una apelación y la validación por parte del Director de Supervisión RC sobre los oferentes seleccionados que continuarán con la primera prueba del proceso.</w:t>
            </w:r>
          </w:p>
          <w:p w14:paraId="6F39414D" w14:textId="77777777" w:rsidR="000200AA" w:rsidRPr="0023319B" w:rsidRDefault="000200AA" w:rsidP="002E6B58">
            <w:pPr>
              <w:spacing w:line="240" w:lineRule="auto"/>
              <w:rPr>
                <w:rFonts w:ascii="Calibri Light" w:hAnsi="Calibri Light" w:cs="Calibri Light"/>
                <w:sz w:val="18"/>
                <w:szCs w:val="18"/>
                <w:lang w:val="es-CR"/>
              </w:rPr>
            </w:pPr>
            <w:r w:rsidRPr="0023319B">
              <w:rPr>
                <w:rFonts w:ascii="Calibri Light" w:hAnsi="Calibri Light" w:cs="Calibri Light"/>
                <w:sz w:val="18"/>
                <w:szCs w:val="18"/>
                <w:lang w:val="es-CR"/>
              </w:rPr>
              <w:t xml:space="preserve">En relación con el recurso de apelación en subsidio, </w:t>
            </w:r>
          </w:p>
          <w:p w14:paraId="028B28FA" w14:textId="77777777" w:rsidR="000200AA" w:rsidRPr="0023319B" w:rsidRDefault="000200AA" w:rsidP="002E6B58">
            <w:pPr>
              <w:spacing w:line="240" w:lineRule="auto"/>
              <w:rPr>
                <w:rFonts w:ascii="Calibri Light" w:hAnsi="Calibri Light" w:cs="Calibri Light"/>
                <w:sz w:val="18"/>
                <w:szCs w:val="18"/>
                <w:lang w:val="es-CR"/>
              </w:rPr>
            </w:pPr>
            <w:r w:rsidRPr="0023319B">
              <w:rPr>
                <w:rFonts w:ascii="Calibri Light" w:hAnsi="Calibri Light" w:cs="Calibri Light"/>
                <w:sz w:val="18"/>
                <w:szCs w:val="18"/>
                <w:lang w:val="es-CR"/>
              </w:rPr>
              <w:t>el 23 de junio fue notificada la resolución SP-R-1984-2020 al recurrente, con copia al DGFH. A la espera del nuevo listado (filtro de oferentes con corte al 31 de marzo, 2020) por parte del AGTH.</w:t>
            </w:r>
          </w:p>
          <w:p w14:paraId="2FAFB7FE" w14:textId="77777777" w:rsidR="000200AA" w:rsidRPr="0023319B" w:rsidRDefault="000200AA" w:rsidP="002E6B58">
            <w:pPr>
              <w:spacing w:line="240" w:lineRule="auto"/>
              <w:rPr>
                <w:rFonts w:ascii="Calibri Light" w:hAnsi="Calibri Light" w:cs="Calibri Light"/>
                <w:sz w:val="18"/>
                <w:szCs w:val="18"/>
                <w:lang w:val="es-CR"/>
              </w:rPr>
            </w:pPr>
            <w:r w:rsidRPr="0023319B">
              <w:rPr>
                <w:rFonts w:ascii="Calibri Light" w:hAnsi="Calibri Light" w:cs="Calibri Light"/>
                <w:sz w:val="18"/>
                <w:szCs w:val="18"/>
                <w:lang w:val="es-CR"/>
              </w:rPr>
              <w:t>En julio se recibió la nueva lista de oferentes y se comunicó al AGTH la selección de 34 oferentes que estarán aplicando la primera prueba del proceso.</w:t>
            </w:r>
          </w:p>
          <w:p w14:paraId="03325575" w14:textId="77777777" w:rsidR="000200AA" w:rsidRPr="0023319B" w:rsidRDefault="000200AA" w:rsidP="002E6B58">
            <w:pPr>
              <w:spacing w:line="240" w:lineRule="auto"/>
              <w:rPr>
                <w:rFonts w:ascii="Calibri Light" w:hAnsi="Calibri Light" w:cs="Calibri Light"/>
                <w:sz w:val="18"/>
                <w:szCs w:val="18"/>
                <w:lang w:val="es-CR"/>
              </w:rPr>
            </w:pPr>
            <w:r w:rsidRPr="0023319B">
              <w:rPr>
                <w:rFonts w:ascii="Calibri Light" w:hAnsi="Calibri Light" w:cs="Calibri Light"/>
                <w:sz w:val="18"/>
                <w:szCs w:val="18"/>
                <w:lang w:val="es-CR"/>
              </w:rPr>
              <w:t>El 11 de agosto se remitió comunicado de la primera prueba técnica, denominada “Caso Gestión Asignación de Activos en Fondo de Pensiones".</w:t>
            </w:r>
          </w:p>
          <w:p w14:paraId="3D052D3D" w14:textId="77777777" w:rsidR="000200AA" w:rsidRPr="0023319B" w:rsidRDefault="000200AA" w:rsidP="002E6B58">
            <w:pPr>
              <w:spacing w:line="240" w:lineRule="auto"/>
              <w:rPr>
                <w:rFonts w:ascii="Calibri Light" w:hAnsi="Calibri Light" w:cs="Calibri Light"/>
                <w:sz w:val="18"/>
                <w:szCs w:val="18"/>
                <w:lang w:val="es-CR"/>
              </w:rPr>
            </w:pPr>
            <w:r w:rsidRPr="0023319B">
              <w:rPr>
                <w:rFonts w:ascii="Calibri Light" w:hAnsi="Calibri Light" w:cs="Calibri Light"/>
                <w:sz w:val="18"/>
                <w:szCs w:val="18"/>
                <w:lang w:val="es-CR"/>
              </w:rPr>
              <w:t>Al 21 agosto ingresó la documentación correspondiente a 11 participantes, la misma se encuentra en proceso de revisión por parte del Encargado de proceso.</w:t>
            </w:r>
          </w:p>
          <w:p w14:paraId="0AA55ECC" w14:textId="77777777" w:rsidR="000200AA" w:rsidRPr="0023319B" w:rsidRDefault="000200AA" w:rsidP="002E6B58">
            <w:pPr>
              <w:spacing w:line="240" w:lineRule="auto"/>
              <w:rPr>
                <w:rFonts w:ascii="Calibri Light" w:hAnsi="Calibri Light" w:cs="Calibri Light"/>
                <w:sz w:val="18"/>
                <w:szCs w:val="18"/>
                <w:lang w:val="es-CR"/>
              </w:rPr>
            </w:pPr>
            <w:r w:rsidRPr="0023319B">
              <w:rPr>
                <w:rFonts w:ascii="Calibri Light" w:hAnsi="Calibri Light" w:cs="Calibri Light"/>
                <w:sz w:val="18"/>
                <w:szCs w:val="18"/>
                <w:lang w:val="es-CR"/>
              </w:rPr>
              <w:t>El 3 setiembre, el Director remitió los resultados obtenidos en la primera prueba técnica.  Por otra parte, el jueves 10 de setiembre se recibió un recurso de apelación en subsidio por parte de un oferente interno en contra del resultado obtenido en la prueba técnica.</w:t>
            </w:r>
          </w:p>
          <w:p w14:paraId="0532763B" w14:textId="77777777" w:rsidR="000200AA" w:rsidRPr="0023319B" w:rsidRDefault="000200AA" w:rsidP="002E6B58">
            <w:pPr>
              <w:spacing w:line="240" w:lineRule="auto"/>
              <w:rPr>
                <w:rFonts w:ascii="Calibri Light" w:hAnsi="Calibri Light" w:cs="Calibri Light"/>
                <w:sz w:val="18"/>
                <w:szCs w:val="18"/>
                <w:lang w:val="es-CR"/>
              </w:rPr>
            </w:pPr>
            <w:r w:rsidRPr="0023319B">
              <w:rPr>
                <w:rFonts w:ascii="Calibri Light" w:hAnsi="Calibri Light" w:cs="Calibri Light"/>
                <w:sz w:val="18"/>
                <w:szCs w:val="18"/>
                <w:lang w:val="es-CR"/>
              </w:rPr>
              <w:t>El 9 de octubre fue notificada la resolución SP-R-2012-2020 al recurrente.</w:t>
            </w:r>
          </w:p>
          <w:p w14:paraId="7BEE58CC" w14:textId="77777777" w:rsidR="000200AA" w:rsidRPr="0023319B" w:rsidRDefault="000200AA" w:rsidP="002E6B58">
            <w:pPr>
              <w:spacing w:line="240" w:lineRule="auto"/>
              <w:rPr>
                <w:rFonts w:ascii="Calibri Light" w:hAnsi="Calibri Light" w:cs="Calibri Light"/>
                <w:sz w:val="18"/>
                <w:szCs w:val="18"/>
                <w:lang w:val="es-CR"/>
              </w:rPr>
            </w:pPr>
            <w:r w:rsidRPr="0023319B">
              <w:rPr>
                <w:rFonts w:ascii="Calibri Light" w:hAnsi="Calibri Light" w:cs="Calibri Light"/>
                <w:sz w:val="18"/>
                <w:szCs w:val="18"/>
                <w:lang w:val="es-CR"/>
              </w:rPr>
              <w:t>El 22 de octubre se llevaron a cabo las entrevistas.</w:t>
            </w:r>
          </w:p>
          <w:p w14:paraId="01D18020" w14:textId="77777777" w:rsidR="000200AA" w:rsidRPr="0023319B" w:rsidRDefault="000200AA" w:rsidP="002E6B58">
            <w:pPr>
              <w:spacing w:line="240" w:lineRule="auto"/>
              <w:rPr>
                <w:rFonts w:ascii="Calibri Light" w:hAnsi="Calibri Light" w:cs="Calibri Light"/>
                <w:sz w:val="18"/>
                <w:szCs w:val="18"/>
                <w:lang w:val="es-CR"/>
              </w:rPr>
            </w:pPr>
            <w:r w:rsidRPr="0023319B">
              <w:rPr>
                <w:rFonts w:ascii="Calibri Light" w:hAnsi="Calibri Light" w:cs="Calibri Light"/>
                <w:sz w:val="18"/>
                <w:szCs w:val="18"/>
                <w:lang w:val="es-CR"/>
              </w:rPr>
              <w:t>La valoración por competencias se aplicó 29 de octubre.</w:t>
            </w:r>
          </w:p>
          <w:p w14:paraId="5D2D0265" w14:textId="77777777" w:rsidR="000200AA" w:rsidRPr="0023319B" w:rsidRDefault="000200AA" w:rsidP="002E6B58">
            <w:pPr>
              <w:spacing w:line="240" w:lineRule="auto"/>
              <w:rPr>
                <w:rFonts w:ascii="Calibri Light" w:hAnsi="Calibri Light" w:cs="Calibri Light"/>
                <w:sz w:val="18"/>
                <w:szCs w:val="18"/>
                <w:lang w:val="es-CR"/>
              </w:rPr>
            </w:pPr>
            <w:r w:rsidRPr="0023319B">
              <w:rPr>
                <w:rFonts w:ascii="Calibri Light" w:hAnsi="Calibri Light" w:cs="Calibri Light"/>
                <w:sz w:val="18"/>
                <w:szCs w:val="18"/>
                <w:lang w:val="es-CR"/>
              </w:rPr>
              <w:t>El 9 de noviembre ingresó el oficio DAD-GFH-GTH-0431-2020 con el resumen de los resultados obtenidos (pruebas, nivel de inglés y valoración por competencias), así como, el formulario "Lista" con el detalle de los candidatos elegibles.</w:t>
            </w:r>
          </w:p>
          <w:p w14:paraId="22C1D46E" w14:textId="77777777" w:rsidR="000200AA" w:rsidRPr="0023319B" w:rsidRDefault="000200AA" w:rsidP="002E6B58">
            <w:pPr>
              <w:spacing w:line="240" w:lineRule="auto"/>
              <w:rPr>
                <w:rFonts w:ascii="Calibri Light" w:hAnsi="Calibri Light" w:cs="Calibri Light"/>
                <w:sz w:val="18"/>
                <w:szCs w:val="18"/>
                <w:lang w:val="es-CR"/>
              </w:rPr>
            </w:pPr>
            <w:r w:rsidRPr="0023319B">
              <w:rPr>
                <w:rFonts w:ascii="Calibri Light" w:hAnsi="Calibri Light" w:cs="Calibri Light"/>
                <w:sz w:val="18"/>
                <w:szCs w:val="18"/>
                <w:lang w:val="es-CR"/>
              </w:rPr>
              <w:t>El 11 de noviembre se comunica al DGFH mediante el GEC, la lista debidamente firmada. Se envió copia al AGTH.</w:t>
            </w:r>
          </w:p>
          <w:p w14:paraId="00FF547C" w14:textId="77777777" w:rsidR="000200AA" w:rsidRPr="0023319B" w:rsidRDefault="000200AA" w:rsidP="002E6B58">
            <w:pPr>
              <w:spacing w:line="240" w:lineRule="auto"/>
              <w:rPr>
                <w:rFonts w:ascii="Calibri Light" w:hAnsi="Calibri Light" w:cs="Calibri Light"/>
                <w:sz w:val="18"/>
                <w:szCs w:val="18"/>
                <w:lang w:val="es-CR"/>
              </w:rPr>
            </w:pPr>
            <w:r w:rsidRPr="0023319B">
              <w:rPr>
                <w:rFonts w:ascii="Calibri Light" w:hAnsi="Calibri Light" w:cs="Calibri Light"/>
                <w:sz w:val="18"/>
                <w:szCs w:val="18"/>
                <w:lang w:val="es-CR"/>
              </w:rPr>
              <w:t xml:space="preserve">El 16 de noviembre se elaboró la carta de nombramiento de la funcionaria seleccionada, no obstante, el 17 de noviembre se recibió "Recursos Ordinarios de Revocatoria con Apelación en Subsidio" por parte del candidato elegible, por lo que el trámite de nombramiento queda suspendido. </w:t>
            </w:r>
          </w:p>
          <w:p w14:paraId="5E58C853" w14:textId="77777777" w:rsidR="000200AA" w:rsidRPr="0023319B" w:rsidRDefault="000200AA" w:rsidP="002E6B58">
            <w:pPr>
              <w:spacing w:line="240" w:lineRule="auto"/>
              <w:rPr>
                <w:rFonts w:ascii="Calibri Light" w:hAnsi="Calibri Light" w:cs="Calibri Light"/>
                <w:sz w:val="18"/>
                <w:szCs w:val="18"/>
                <w:lang w:val="es-CR"/>
              </w:rPr>
            </w:pPr>
            <w:r w:rsidRPr="0023319B">
              <w:rPr>
                <w:rFonts w:ascii="Calibri Light" w:hAnsi="Calibri Light" w:cs="Calibri Light"/>
                <w:sz w:val="18"/>
                <w:szCs w:val="18"/>
                <w:lang w:val="es-CR"/>
              </w:rPr>
              <w:t>El AGTH se encuentra en proceso de recopilación de la información solicitada por el apelante.</w:t>
            </w:r>
          </w:p>
        </w:tc>
      </w:tr>
      <w:tr w:rsidR="000200AA" w:rsidRPr="007658CA" w14:paraId="225B9836" w14:textId="77777777" w:rsidTr="00541A7F">
        <w:trPr>
          <w:jc w:val="center"/>
        </w:trPr>
        <w:tc>
          <w:tcPr>
            <w:tcW w:w="1048" w:type="dxa"/>
            <w:shd w:val="clear" w:color="auto" w:fill="F2F2F2"/>
            <w:tcMar>
              <w:top w:w="0" w:type="dxa"/>
              <w:left w:w="70" w:type="dxa"/>
              <w:bottom w:w="0" w:type="dxa"/>
              <w:right w:w="70" w:type="dxa"/>
            </w:tcMar>
            <w:vAlign w:val="center"/>
            <w:hideMark/>
          </w:tcPr>
          <w:p w14:paraId="0F1EF1AD" w14:textId="77777777" w:rsidR="000200AA" w:rsidRPr="0023319B" w:rsidRDefault="000200AA" w:rsidP="002E6B58">
            <w:pPr>
              <w:spacing w:line="240" w:lineRule="auto"/>
              <w:rPr>
                <w:rFonts w:ascii="Calibri Light" w:hAnsi="Calibri Light" w:cs="Calibri Light"/>
                <w:sz w:val="18"/>
                <w:szCs w:val="18"/>
                <w:lang w:val="es-CR"/>
              </w:rPr>
            </w:pPr>
            <w:r w:rsidRPr="0023319B">
              <w:rPr>
                <w:rFonts w:ascii="Calibri Light" w:hAnsi="Calibri Light" w:cs="Calibri Light"/>
                <w:color w:val="000000"/>
                <w:sz w:val="18"/>
                <w:szCs w:val="18"/>
                <w:lang w:val="es-CR"/>
              </w:rPr>
              <w:t>Supervisor Principal RCI</w:t>
            </w:r>
          </w:p>
        </w:tc>
        <w:tc>
          <w:tcPr>
            <w:tcW w:w="1476" w:type="dxa"/>
            <w:shd w:val="clear" w:color="auto" w:fill="F2F2F2"/>
            <w:tcMar>
              <w:top w:w="0" w:type="dxa"/>
              <w:left w:w="70" w:type="dxa"/>
              <w:bottom w:w="0" w:type="dxa"/>
              <w:right w:w="70" w:type="dxa"/>
            </w:tcMar>
            <w:vAlign w:val="center"/>
            <w:hideMark/>
          </w:tcPr>
          <w:p w14:paraId="312A2B14" w14:textId="77777777" w:rsidR="000200AA" w:rsidRPr="0023319B" w:rsidRDefault="000200AA" w:rsidP="002E6B58">
            <w:pPr>
              <w:spacing w:line="240" w:lineRule="auto"/>
              <w:jc w:val="center"/>
              <w:rPr>
                <w:rFonts w:ascii="Calibri Light" w:hAnsi="Calibri Light" w:cs="Calibri Light"/>
                <w:sz w:val="18"/>
                <w:szCs w:val="18"/>
                <w:lang w:val="es-CR"/>
              </w:rPr>
            </w:pPr>
            <w:r w:rsidRPr="0023319B">
              <w:rPr>
                <w:rFonts w:ascii="Calibri Light" w:hAnsi="Calibri Light" w:cs="Calibri Light"/>
                <w:color w:val="000000"/>
                <w:sz w:val="18"/>
                <w:szCs w:val="18"/>
                <w:lang w:val="es-CR"/>
              </w:rPr>
              <w:t>26-10-10-10-04</w:t>
            </w:r>
          </w:p>
        </w:tc>
        <w:tc>
          <w:tcPr>
            <w:tcW w:w="1412" w:type="dxa"/>
            <w:shd w:val="clear" w:color="auto" w:fill="F2F2F2"/>
            <w:tcMar>
              <w:top w:w="0" w:type="dxa"/>
              <w:left w:w="70" w:type="dxa"/>
              <w:bottom w:w="0" w:type="dxa"/>
              <w:right w:w="70" w:type="dxa"/>
            </w:tcMar>
            <w:vAlign w:val="center"/>
            <w:hideMark/>
          </w:tcPr>
          <w:p w14:paraId="39C35EB4" w14:textId="77777777" w:rsidR="000200AA" w:rsidRPr="0023319B" w:rsidRDefault="000200AA" w:rsidP="002E6B58">
            <w:pPr>
              <w:spacing w:line="240" w:lineRule="auto"/>
              <w:rPr>
                <w:rFonts w:ascii="Calibri Light" w:hAnsi="Calibri Light" w:cs="Calibri Light"/>
                <w:sz w:val="18"/>
                <w:szCs w:val="18"/>
                <w:lang w:val="es-CR"/>
              </w:rPr>
            </w:pPr>
            <w:r w:rsidRPr="0023319B">
              <w:rPr>
                <w:rFonts w:ascii="Calibri Light" w:hAnsi="Calibri Light" w:cs="Calibri Light"/>
                <w:color w:val="000000"/>
                <w:sz w:val="18"/>
                <w:szCs w:val="18"/>
                <w:lang w:val="es-CR"/>
              </w:rPr>
              <w:t>División Supervisión de RCI</w:t>
            </w:r>
          </w:p>
        </w:tc>
        <w:tc>
          <w:tcPr>
            <w:tcW w:w="1405" w:type="dxa"/>
            <w:shd w:val="clear" w:color="auto" w:fill="F2F2F2"/>
            <w:tcMar>
              <w:top w:w="0" w:type="dxa"/>
              <w:left w:w="70" w:type="dxa"/>
              <w:bottom w:w="0" w:type="dxa"/>
              <w:right w:w="70" w:type="dxa"/>
            </w:tcMar>
            <w:vAlign w:val="center"/>
            <w:hideMark/>
          </w:tcPr>
          <w:p w14:paraId="17150153" w14:textId="77777777" w:rsidR="000200AA" w:rsidRPr="0023319B" w:rsidRDefault="000200AA" w:rsidP="002E6B58">
            <w:pPr>
              <w:spacing w:line="240" w:lineRule="auto"/>
              <w:jc w:val="center"/>
              <w:rPr>
                <w:rFonts w:ascii="Calibri Light" w:hAnsi="Calibri Light" w:cs="Calibri Light"/>
                <w:sz w:val="18"/>
                <w:szCs w:val="18"/>
                <w:lang w:val="es-CR"/>
              </w:rPr>
            </w:pPr>
            <w:r w:rsidRPr="0023319B">
              <w:rPr>
                <w:rFonts w:ascii="Calibri Light" w:hAnsi="Calibri Light" w:cs="Calibri Light"/>
                <w:color w:val="000000"/>
                <w:sz w:val="18"/>
                <w:szCs w:val="18"/>
                <w:lang w:val="es-CR"/>
              </w:rPr>
              <w:t>31 agosto 2019</w:t>
            </w:r>
          </w:p>
        </w:tc>
        <w:tc>
          <w:tcPr>
            <w:tcW w:w="4152" w:type="dxa"/>
            <w:shd w:val="clear" w:color="auto" w:fill="F2F2F2"/>
            <w:tcMar>
              <w:top w:w="0" w:type="dxa"/>
              <w:left w:w="70" w:type="dxa"/>
              <w:bottom w:w="0" w:type="dxa"/>
              <w:right w:w="70" w:type="dxa"/>
            </w:tcMar>
            <w:vAlign w:val="center"/>
            <w:hideMark/>
          </w:tcPr>
          <w:p w14:paraId="1BE09024" w14:textId="77777777" w:rsidR="000200AA" w:rsidRPr="0023319B" w:rsidRDefault="000200AA" w:rsidP="002E6B58">
            <w:pPr>
              <w:spacing w:line="240" w:lineRule="auto"/>
              <w:rPr>
                <w:rFonts w:ascii="Calibri Light" w:hAnsi="Calibri Light" w:cs="Calibri Light"/>
                <w:sz w:val="18"/>
                <w:szCs w:val="18"/>
                <w:lang w:val="es-CR"/>
              </w:rPr>
            </w:pPr>
            <w:r w:rsidRPr="0023319B">
              <w:rPr>
                <w:rFonts w:ascii="Calibri Light" w:hAnsi="Calibri Light" w:cs="Calibri Light"/>
                <w:sz w:val="18"/>
                <w:szCs w:val="18"/>
                <w:lang w:val="es-CR"/>
              </w:rPr>
              <w:t xml:space="preserve">Vacante por renuncia del titular. </w:t>
            </w:r>
          </w:p>
          <w:p w14:paraId="11067765" w14:textId="77777777" w:rsidR="000200AA" w:rsidRPr="0023319B" w:rsidRDefault="000200AA" w:rsidP="002E6B58">
            <w:pPr>
              <w:spacing w:line="240" w:lineRule="auto"/>
              <w:rPr>
                <w:rFonts w:ascii="Calibri Light" w:hAnsi="Calibri Light" w:cs="Calibri Light"/>
                <w:sz w:val="18"/>
                <w:szCs w:val="18"/>
                <w:lang w:val="es-CR"/>
              </w:rPr>
            </w:pPr>
            <w:r w:rsidRPr="0023319B">
              <w:rPr>
                <w:rFonts w:ascii="Calibri Light" w:hAnsi="Calibri Light" w:cs="Calibri Light"/>
                <w:sz w:val="18"/>
                <w:szCs w:val="18"/>
                <w:lang w:val="es-CR"/>
              </w:rPr>
              <w:t>Se llevó a cabo la modificación al descriptivo y perfil del puesto para alinearlo según lo dispuesto en la Reforma Procesal Laboral. Aprobado mediante Resolución SP-R-1934-2019 del 7 de noviembre de 2019.</w:t>
            </w:r>
          </w:p>
          <w:p w14:paraId="401F07A7" w14:textId="77777777" w:rsidR="000200AA" w:rsidRPr="0023319B" w:rsidRDefault="000200AA" w:rsidP="002E6B58">
            <w:pPr>
              <w:spacing w:line="240" w:lineRule="auto"/>
              <w:rPr>
                <w:rFonts w:ascii="Calibri Light" w:hAnsi="Calibri Light" w:cs="Calibri Light"/>
                <w:sz w:val="18"/>
                <w:szCs w:val="18"/>
                <w:lang w:val="es-CR"/>
              </w:rPr>
            </w:pPr>
            <w:r w:rsidRPr="0023319B">
              <w:rPr>
                <w:rFonts w:ascii="Calibri Light" w:hAnsi="Calibri Light" w:cs="Calibri Light"/>
                <w:sz w:val="18"/>
                <w:szCs w:val="18"/>
                <w:lang w:val="es-CR"/>
              </w:rPr>
              <w:t>Apertura del proceso de contratación de personal PC-101-2019.</w:t>
            </w:r>
          </w:p>
          <w:p w14:paraId="017560B9" w14:textId="77777777" w:rsidR="000200AA" w:rsidRPr="0023319B" w:rsidRDefault="000200AA" w:rsidP="002E6B58">
            <w:pPr>
              <w:spacing w:line="240" w:lineRule="auto"/>
              <w:rPr>
                <w:rFonts w:ascii="Calibri Light" w:hAnsi="Calibri Light" w:cs="Calibri Light"/>
                <w:sz w:val="18"/>
                <w:szCs w:val="18"/>
                <w:lang w:val="es-CR"/>
              </w:rPr>
            </w:pPr>
            <w:r w:rsidRPr="0023319B">
              <w:rPr>
                <w:rFonts w:ascii="Calibri Light" w:hAnsi="Calibri Light" w:cs="Calibri Light"/>
                <w:sz w:val="18"/>
                <w:szCs w:val="18"/>
                <w:lang w:val="es-CR"/>
              </w:rPr>
              <w:t>Se recibió la información de la fase III “Oferentes”, no obstante, se comunicó que se cierra por una apelación al perfil debido a una interpretación de la experiencia profesional.</w:t>
            </w:r>
          </w:p>
          <w:p w14:paraId="0F0C3E86" w14:textId="77777777" w:rsidR="000200AA" w:rsidRPr="0023319B" w:rsidRDefault="000200AA" w:rsidP="002E6B58">
            <w:pPr>
              <w:spacing w:line="240" w:lineRule="auto"/>
              <w:rPr>
                <w:rFonts w:ascii="Calibri Light" w:hAnsi="Calibri Light" w:cs="Calibri Light"/>
                <w:sz w:val="18"/>
                <w:szCs w:val="18"/>
                <w:lang w:val="es-CR"/>
              </w:rPr>
            </w:pPr>
            <w:r w:rsidRPr="0023319B">
              <w:rPr>
                <w:rFonts w:ascii="Calibri Light" w:hAnsi="Calibri Light" w:cs="Calibri Light"/>
                <w:sz w:val="18"/>
                <w:szCs w:val="18"/>
                <w:lang w:val="es-CR"/>
              </w:rPr>
              <w:t>En marzo el AGTH confirmó que el proceso continuará, a la espera del listado para iniciar la revisión.</w:t>
            </w:r>
          </w:p>
          <w:p w14:paraId="63C75FB0" w14:textId="77777777" w:rsidR="000200AA" w:rsidRPr="0023319B" w:rsidRDefault="000200AA" w:rsidP="002E6B58">
            <w:pPr>
              <w:spacing w:line="240" w:lineRule="auto"/>
              <w:rPr>
                <w:rFonts w:ascii="Calibri Light" w:hAnsi="Calibri Light" w:cs="Calibri Light"/>
                <w:sz w:val="18"/>
                <w:szCs w:val="18"/>
                <w:lang w:val="es-CR"/>
              </w:rPr>
            </w:pPr>
            <w:r w:rsidRPr="0023319B">
              <w:rPr>
                <w:rFonts w:ascii="Calibri Light" w:hAnsi="Calibri Light" w:cs="Calibri Light"/>
                <w:sz w:val="18"/>
                <w:szCs w:val="18"/>
                <w:lang w:val="es-CR"/>
              </w:rPr>
              <w:t>En mayo se recibió el listado de oferentes y fue remitida al área experta.</w:t>
            </w:r>
          </w:p>
          <w:p w14:paraId="72AED371" w14:textId="77777777" w:rsidR="000200AA" w:rsidRPr="0023319B" w:rsidRDefault="000200AA" w:rsidP="002E6B58">
            <w:pPr>
              <w:spacing w:line="240" w:lineRule="auto"/>
              <w:rPr>
                <w:rFonts w:ascii="Calibri Light" w:hAnsi="Calibri Light" w:cs="Calibri Light"/>
                <w:sz w:val="18"/>
                <w:szCs w:val="18"/>
                <w:lang w:val="es-CR"/>
              </w:rPr>
            </w:pPr>
            <w:r w:rsidRPr="0023319B">
              <w:rPr>
                <w:rFonts w:ascii="Calibri Light" w:hAnsi="Calibri Light" w:cs="Calibri Light"/>
                <w:sz w:val="18"/>
                <w:szCs w:val="18"/>
                <w:lang w:val="es-CR"/>
              </w:rPr>
              <w:t>E junio se recibió la validación del listado de ofertas por parte de la Directora y se comunicó al AGTH los oferentes seleccionados (24 en total) que continuarán con la primera prueba del proceso.</w:t>
            </w:r>
          </w:p>
          <w:p w14:paraId="37F278CF" w14:textId="77777777" w:rsidR="000200AA" w:rsidRPr="0023319B" w:rsidRDefault="000200AA" w:rsidP="002E6B58">
            <w:pPr>
              <w:spacing w:line="240" w:lineRule="auto"/>
              <w:rPr>
                <w:rFonts w:ascii="Calibri Light" w:hAnsi="Calibri Light" w:cs="Calibri Light"/>
                <w:sz w:val="18"/>
                <w:szCs w:val="18"/>
                <w:lang w:val="es-CR"/>
              </w:rPr>
            </w:pPr>
            <w:r w:rsidRPr="0023319B">
              <w:rPr>
                <w:rFonts w:ascii="Calibri Light" w:hAnsi="Calibri Light" w:cs="Calibri Light"/>
                <w:sz w:val="18"/>
                <w:szCs w:val="18"/>
                <w:lang w:val="es-CR"/>
              </w:rPr>
              <w:t>En julio se está a la espera de lo que defina el área experta.</w:t>
            </w:r>
          </w:p>
          <w:p w14:paraId="6C116042" w14:textId="77777777" w:rsidR="000200AA" w:rsidRPr="0023319B" w:rsidRDefault="000200AA" w:rsidP="002E6B58">
            <w:pPr>
              <w:spacing w:line="240" w:lineRule="auto"/>
              <w:rPr>
                <w:rFonts w:ascii="Calibri Light" w:hAnsi="Calibri Light" w:cs="Calibri Light"/>
                <w:sz w:val="18"/>
                <w:szCs w:val="18"/>
                <w:lang w:val="es-CR"/>
              </w:rPr>
            </w:pPr>
            <w:r w:rsidRPr="0023319B">
              <w:rPr>
                <w:rFonts w:ascii="Calibri Light" w:hAnsi="Calibri Light" w:cs="Calibri Light"/>
                <w:sz w:val="18"/>
                <w:szCs w:val="18"/>
                <w:lang w:val="es-CR"/>
              </w:rPr>
              <w:t>El 19 de agosto se remitió al AGTH la solicitud de comunicado de la primera prueba técnica.</w:t>
            </w:r>
          </w:p>
          <w:p w14:paraId="71A6B39E" w14:textId="77777777" w:rsidR="000200AA" w:rsidRPr="0023319B" w:rsidRDefault="000200AA" w:rsidP="002E6B58">
            <w:pPr>
              <w:spacing w:line="240" w:lineRule="auto"/>
              <w:rPr>
                <w:rFonts w:ascii="Calibri Light" w:hAnsi="Calibri Light" w:cs="Calibri Light"/>
                <w:sz w:val="18"/>
                <w:szCs w:val="18"/>
                <w:lang w:val="es-CR"/>
              </w:rPr>
            </w:pPr>
            <w:r w:rsidRPr="0023319B">
              <w:rPr>
                <w:rFonts w:ascii="Calibri Light" w:hAnsi="Calibri Light" w:cs="Calibri Light"/>
                <w:sz w:val="18"/>
                <w:szCs w:val="18"/>
                <w:lang w:val="es-CR"/>
              </w:rPr>
              <w:t>El 25 de agosto ingresaron 12 ensayos, para revisión por parte de la Directora.</w:t>
            </w:r>
          </w:p>
          <w:p w14:paraId="2345A71E" w14:textId="77777777" w:rsidR="000200AA" w:rsidRPr="0023319B" w:rsidRDefault="000200AA" w:rsidP="002E6B58">
            <w:pPr>
              <w:spacing w:line="240" w:lineRule="auto"/>
              <w:rPr>
                <w:rFonts w:ascii="Calibri Light" w:hAnsi="Calibri Light" w:cs="Calibri Light"/>
                <w:sz w:val="18"/>
                <w:szCs w:val="18"/>
                <w:lang w:val="es-CR"/>
              </w:rPr>
            </w:pPr>
            <w:r w:rsidRPr="0023319B">
              <w:rPr>
                <w:rFonts w:ascii="Calibri Light" w:hAnsi="Calibri Light" w:cs="Calibri Light"/>
                <w:sz w:val="18"/>
                <w:szCs w:val="18"/>
                <w:lang w:val="es-CR"/>
              </w:rPr>
              <w:t>El 24 setiembre, se comunicó al AGTH los resultados obtenidos en la primera prueba técnica. Una vez transcurrido el plazo de apelación, se coordinará la siguiente prueba.</w:t>
            </w:r>
          </w:p>
          <w:p w14:paraId="4228E0F9" w14:textId="77777777" w:rsidR="000200AA" w:rsidRPr="0023319B" w:rsidRDefault="000200AA" w:rsidP="002E6B58">
            <w:pPr>
              <w:spacing w:line="240" w:lineRule="auto"/>
              <w:rPr>
                <w:rFonts w:ascii="Calibri Light" w:hAnsi="Calibri Light" w:cs="Calibri Light"/>
                <w:sz w:val="18"/>
                <w:szCs w:val="18"/>
                <w:lang w:val="es-CR"/>
              </w:rPr>
            </w:pPr>
            <w:r w:rsidRPr="0023319B">
              <w:rPr>
                <w:rFonts w:ascii="Calibri Light" w:hAnsi="Calibri Light" w:cs="Calibri Light"/>
                <w:sz w:val="18"/>
                <w:szCs w:val="18"/>
                <w:lang w:val="es-CR"/>
              </w:rPr>
              <w:t>Los días 21, 22 y 23 de octubre, se aplicaron ocho entrevistas técnicas.</w:t>
            </w:r>
          </w:p>
          <w:p w14:paraId="354B7757" w14:textId="77777777" w:rsidR="000200AA" w:rsidRPr="0023319B" w:rsidRDefault="000200AA" w:rsidP="002E6B58">
            <w:pPr>
              <w:spacing w:line="240" w:lineRule="auto"/>
              <w:rPr>
                <w:rFonts w:ascii="Calibri Light" w:hAnsi="Calibri Light" w:cs="Calibri Light"/>
                <w:sz w:val="18"/>
                <w:szCs w:val="18"/>
                <w:lang w:val="es-CR"/>
              </w:rPr>
            </w:pPr>
            <w:r w:rsidRPr="0023319B">
              <w:rPr>
                <w:rFonts w:ascii="Calibri Light" w:hAnsi="Calibri Light" w:cs="Calibri Light"/>
                <w:sz w:val="18"/>
                <w:szCs w:val="18"/>
                <w:lang w:val="es-CR"/>
              </w:rPr>
              <w:t>El 20 de noviembre se recibieron los resultados de las entrevistas por parte del área experta.</w:t>
            </w:r>
          </w:p>
          <w:p w14:paraId="2B2E1801" w14:textId="77777777" w:rsidR="000200AA" w:rsidRPr="0023319B" w:rsidRDefault="000200AA" w:rsidP="002E6B58">
            <w:pPr>
              <w:spacing w:line="240" w:lineRule="auto"/>
              <w:rPr>
                <w:rFonts w:ascii="Calibri Light" w:hAnsi="Calibri Light" w:cs="Calibri Light"/>
                <w:sz w:val="18"/>
                <w:szCs w:val="18"/>
                <w:lang w:val="es-CR"/>
              </w:rPr>
            </w:pPr>
            <w:r w:rsidRPr="0023319B">
              <w:rPr>
                <w:rFonts w:ascii="Calibri Light" w:hAnsi="Calibri Light" w:cs="Calibri Light"/>
                <w:sz w:val="18"/>
                <w:szCs w:val="18"/>
                <w:lang w:val="es-CR"/>
              </w:rPr>
              <w:t>A la espera de los resultados del proceso (incluye la valoración por competencias) y el formulario "Nómina" con los finalistas.</w:t>
            </w:r>
          </w:p>
        </w:tc>
      </w:tr>
      <w:tr w:rsidR="000200AA" w:rsidRPr="007658CA" w14:paraId="707BAC64" w14:textId="77777777" w:rsidTr="00541A7F">
        <w:trPr>
          <w:jc w:val="center"/>
        </w:trPr>
        <w:tc>
          <w:tcPr>
            <w:tcW w:w="1048" w:type="dxa"/>
            <w:shd w:val="clear" w:color="auto" w:fill="FFFFFF"/>
            <w:tcMar>
              <w:top w:w="0" w:type="dxa"/>
              <w:left w:w="70" w:type="dxa"/>
              <w:bottom w:w="0" w:type="dxa"/>
              <w:right w:w="70" w:type="dxa"/>
            </w:tcMar>
            <w:vAlign w:val="center"/>
            <w:hideMark/>
          </w:tcPr>
          <w:p w14:paraId="2EEB0BC9" w14:textId="77777777" w:rsidR="000200AA" w:rsidRPr="0023319B" w:rsidRDefault="000200AA" w:rsidP="002E6B58">
            <w:pPr>
              <w:spacing w:line="240" w:lineRule="auto"/>
              <w:rPr>
                <w:rFonts w:ascii="Calibri Light" w:hAnsi="Calibri Light" w:cs="Calibri Light"/>
                <w:sz w:val="18"/>
                <w:szCs w:val="18"/>
                <w:lang w:val="es-CR"/>
              </w:rPr>
            </w:pPr>
            <w:r w:rsidRPr="0023319B">
              <w:rPr>
                <w:rFonts w:ascii="Calibri Light" w:hAnsi="Calibri Light" w:cs="Calibri Light"/>
                <w:sz w:val="18"/>
                <w:szCs w:val="18"/>
                <w:lang w:val="es-CR"/>
              </w:rPr>
              <w:t>Director de Planificación y Normativa</w:t>
            </w:r>
          </w:p>
        </w:tc>
        <w:tc>
          <w:tcPr>
            <w:tcW w:w="1476" w:type="dxa"/>
            <w:shd w:val="clear" w:color="auto" w:fill="FFFFFF"/>
            <w:tcMar>
              <w:top w:w="0" w:type="dxa"/>
              <w:left w:w="70" w:type="dxa"/>
              <w:bottom w:w="0" w:type="dxa"/>
              <w:right w:w="70" w:type="dxa"/>
            </w:tcMar>
            <w:vAlign w:val="center"/>
            <w:hideMark/>
          </w:tcPr>
          <w:p w14:paraId="0A2FF264" w14:textId="77777777" w:rsidR="000200AA" w:rsidRPr="0023319B" w:rsidRDefault="000200AA" w:rsidP="002E6B58">
            <w:pPr>
              <w:spacing w:line="240" w:lineRule="auto"/>
              <w:jc w:val="center"/>
              <w:rPr>
                <w:rFonts w:ascii="Calibri Light" w:hAnsi="Calibri Light" w:cs="Calibri Light"/>
                <w:sz w:val="18"/>
                <w:szCs w:val="18"/>
                <w:lang w:val="es-CR"/>
              </w:rPr>
            </w:pPr>
            <w:r w:rsidRPr="0023319B">
              <w:rPr>
                <w:rFonts w:ascii="Calibri Light" w:hAnsi="Calibri Light" w:cs="Calibri Light"/>
                <w:color w:val="000000"/>
                <w:sz w:val="18"/>
                <w:szCs w:val="18"/>
                <w:lang w:val="es-CR"/>
              </w:rPr>
              <w:t>26-05-10-10-01</w:t>
            </w:r>
          </w:p>
        </w:tc>
        <w:tc>
          <w:tcPr>
            <w:tcW w:w="1412" w:type="dxa"/>
            <w:shd w:val="clear" w:color="auto" w:fill="FFFFFF"/>
            <w:tcMar>
              <w:top w:w="0" w:type="dxa"/>
              <w:left w:w="70" w:type="dxa"/>
              <w:bottom w:w="0" w:type="dxa"/>
              <w:right w:w="70" w:type="dxa"/>
            </w:tcMar>
            <w:vAlign w:val="center"/>
            <w:hideMark/>
          </w:tcPr>
          <w:p w14:paraId="6C72AE08" w14:textId="77777777" w:rsidR="000200AA" w:rsidRPr="0023319B" w:rsidRDefault="000200AA" w:rsidP="002E6B58">
            <w:pPr>
              <w:spacing w:line="240" w:lineRule="auto"/>
              <w:rPr>
                <w:rFonts w:ascii="Calibri Light" w:hAnsi="Calibri Light" w:cs="Calibri Light"/>
                <w:sz w:val="18"/>
                <w:szCs w:val="18"/>
                <w:lang w:val="es-CR"/>
              </w:rPr>
            </w:pPr>
            <w:r w:rsidRPr="0023319B">
              <w:rPr>
                <w:rFonts w:ascii="Calibri Light" w:hAnsi="Calibri Light" w:cs="Calibri Light"/>
                <w:color w:val="000000"/>
                <w:sz w:val="18"/>
                <w:szCs w:val="18"/>
                <w:lang w:val="es-CR"/>
              </w:rPr>
              <w:t>División de Planificación y Normativa</w:t>
            </w:r>
          </w:p>
        </w:tc>
        <w:tc>
          <w:tcPr>
            <w:tcW w:w="1405" w:type="dxa"/>
            <w:shd w:val="clear" w:color="auto" w:fill="FFFFFF"/>
            <w:tcMar>
              <w:top w:w="0" w:type="dxa"/>
              <w:left w:w="70" w:type="dxa"/>
              <w:bottom w:w="0" w:type="dxa"/>
              <w:right w:w="70" w:type="dxa"/>
            </w:tcMar>
            <w:vAlign w:val="center"/>
            <w:hideMark/>
          </w:tcPr>
          <w:p w14:paraId="068B6298" w14:textId="77777777" w:rsidR="000200AA" w:rsidRPr="0023319B" w:rsidRDefault="000200AA" w:rsidP="002E6B58">
            <w:pPr>
              <w:spacing w:line="240" w:lineRule="auto"/>
              <w:jc w:val="center"/>
              <w:rPr>
                <w:rFonts w:ascii="Calibri Light" w:hAnsi="Calibri Light" w:cs="Calibri Light"/>
                <w:sz w:val="18"/>
                <w:szCs w:val="18"/>
                <w:lang w:val="es-CR"/>
              </w:rPr>
            </w:pPr>
            <w:r w:rsidRPr="0023319B">
              <w:rPr>
                <w:rFonts w:ascii="Calibri Light" w:hAnsi="Calibri Light" w:cs="Calibri Light"/>
                <w:color w:val="000000"/>
                <w:sz w:val="18"/>
                <w:szCs w:val="18"/>
                <w:lang w:val="es-CR"/>
              </w:rPr>
              <w:t>27 diciembre 2019</w:t>
            </w:r>
          </w:p>
        </w:tc>
        <w:tc>
          <w:tcPr>
            <w:tcW w:w="4152" w:type="dxa"/>
            <w:shd w:val="clear" w:color="auto" w:fill="FFFFFF"/>
            <w:tcMar>
              <w:top w:w="0" w:type="dxa"/>
              <w:left w:w="70" w:type="dxa"/>
              <w:bottom w:w="0" w:type="dxa"/>
              <w:right w:w="70" w:type="dxa"/>
            </w:tcMar>
            <w:vAlign w:val="center"/>
            <w:hideMark/>
          </w:tcPr>
          <w:p w14:paraId="2C521419" w14:textId="77777777" w:rsidR="000200AA" w:rsidRPr="0023319B" w:rsidRDefault="000200AA" w:rsidP="002E6B58">
            <w:pPr>
              <w:spacing w:line="240" w:lineRule="auto"/>
              <w:rPr>
                <w:rFonts w:ascii="Calibri Light" w:hAnsi="Calibri Light" w:cs="Calibri Light"/>
                <w:sz w:val="18"/>
                <w:szCs w:val="18"/>
                <w:lang w:val="es-CR"/>
              </w:rPr>
            </w:pPr>
            <w:r w:rsidRPr="0023319B">
              <w:rPr>
                <w:rFonts w:ascii="Calibri Light" w:hAnsi="Calibri Light" w:cs="Calibri Light"/>
                <w:sz w:val="18"/>
                <w:szCs w:val="18"/>
                <w:lang w:val="es-CR"/>
              </w:rPr>
              <w:t xml:space="preserve">Vacante por renuncia de la titular, para acogerse a su derecho de jubilación. </w:t>
            </w:r>
          </w:p>
          <w:p w14:paraId="63D9C35E" w14:textId="77777777" w:rsidR="000200AA" w:rsidRPr="0023319B" w:rsidRDefault="000200AA" w:rsidP="002E6B58">
            <w:pPr>
              <w:spacing w:line="240" w:lineRule="auto"/>
              <w:rPr>
                <w:rFonts w:ascii="Calibri Light" w:hAnsi="Calibri Light" w:cs="Calibri Light"/>
                <w:sz w:val="18"/>
                <w:szCs w:val="18"/>
                <w:lang w:val="es-CR"/>
              </w:rPr>
            </w:pPr>
            <w:r w:rsidRPr="0023319B">
              <w:rPr>
                <w:rFonts w:ascii="Calibri Light" w:hAnsi="Calibri Light" w:cs="Calibri Light"/>
                <w:sz w:val="18"/>
                <w:szCs w:val="18"/>
                <w:lang w:val="es-CR"/>
              </w:rPr>
              <w:t>En abril se recibió el visto bueno para iniciar con la modificación al descriptivo y perfil del puesto y comunican que la modificación del MAO.</w:t>
            </w:r>
          </w:p>
          <w:p w14:paraId="3428E782" w14:textId="77777777" w:rsidR="000200AA" w:rsidRPr="0023319B" w:rsidRDefault="000200AA" w:rsidP="002E6B58">
            <w:pPr>
              <w:spacing w:line="240" w:lineRule="auto"/>
              <w:rPr>
                <w:rFonts w:ascii="Calibri Light" w:hAnsi="Calibri Light" w:cs="Calibri Light"/>
                <w:sz w:val="18"/>
                <w:szCs w:val="18"/>
                <w:lang w:val="es-CR"/>
              </w:rPr>
            </w:pPr>
            <w:r w:rsidRPr="0023319B">
              <w:rPr>
                <w:rFonts w:ascii="Calibri Light" w:hAnsi="Calibri Light" w:cs="Calibri Light"/>
                <w:sz w:val="18"/>
                <w:szCs w:val="18"/>
                <w:lang w:val="es-CR"/>
              </w:rPr>
              <w:t>En junio fue recibido el oficio DGD-0069-2020 con el borrador de resolución del descriptivo y perfil. Aprobado mediante Resolución SP-R-1987-2020.</w:t>
            </w:r>
          </w:p>
          <w:p w14:paraId="20463175" w14:textId="77777777" w:rsidR="000200AA" w:rsidRPr="0023319B" w:rsidRDefault="000200AA" w:rsidP="002E6B58">
            <w:pPr>
              <w:spacing w:line="240" w:lineRule="auto"/>
              <w:rPr>
                <w:rFonts w:ascii="Calibri Light" w:hAnsi="Calibri Light" w:cs="Calibri Light"/>
                <w:sz w:val="18"/>
                <w:szCs w:val="18"/>
                <w:lang w:val="es-CR"/>
              </w:rPr>
            </w:pPr>
            <w:r w:rsidRPr="0023319B">
              <w:rPr>
                <w:rFonts w:ascii="Calibri Light" w:hAnsi="Calibri Light" w:cs="Calibri Light"/>
                <w:sz w:val="18"/>
                <w:szCs w:val="18"/>
                <w:lang w:val="es-CR"/>
              </w:rPr>
              <w:t>En Julio se abrió el concurso y se recibieron 18 ofertas. En proceso de revisar el cumplimiento del perfil.</w:t>
            </w:r>
          </w:p>
          <w:p w14:paraId="3FE41711" w14:textId="77777777" w:rsidR="000200AA" w:rsidRPr="0023319B" w:rsidRDefault="000200AA" w:rsidP="002E6B58">
            <w:pPr>
              <w:spacing w:line="240" w:lineRule="auto"/>
              <w:rPr>
                <w:rFonts w:ascii="Calibri Light" w:hAnsi="Calibri Light" w:cs="Calibri Light"/>
                <w:sz w:val="18"/>
                <w:szCs w:val="18"/>
                <w:lang w:val="es-CR"/>
              </w:rPr>
            </w:pPr>
            <w:r w:rsidRPr="0023319B">
              <w:rPr>
                <w:rFonts w:ascii="Calibri Light" w:hAnsi="Calibri Light" w:cs="Calibri Light"/>
                <w:sz w:val="18"/>
                <w:szCs w:val="18"/>
                <w:lang w:val="es-CR"/>
              </w:rPr>
              <w:t>Se terminó la revisión las ofertas, para un final de 16 candidatos que irán a prueba técnica.</w:t>
            </w:r>
          </w:p>
          <w:p w14:paraId="2C55BE8B" w14:textId="77777777" w:rsidR="000200AA" w:rsidRPr="0023319B" w:rsidRDefault="000200AA" w:rsidP="002E6B58">
            <w:pPr>
              <w:spacing w:line="240" w:lineRule="auto"/>
              <w:rPr>
                <w:rFonts w:ascii="Calibri Light" w:hAnsi="Calibri Light" w:cs="Calibri Light"/>
                <w:sz w:val="18"/>
                <w:szCs w:val="18"/>
                <w:lang w:val="es-CR"/>
              </w:rPr>
            </w:pPr>
            <w:r w:rsidRPr="0023319B">
              <w:rPr>
                <w:rFonts w:ascii="Calibri Light" w:hAnsi="Calibri Light" w:cs="Calibri Light"/>
                <w:sz w:val="18"/>
                <w:szCs w:val="18"/>
                <w:lang w:val="es-CR"/>
              </w:rPr>
              <w:t>El proceso se suspendió a efectos de definir aspectos internos.</w:t>
            </w:r>
          </w:p>
        </w:tc>
      </w:tr>
      <w:tr w:rsidR="000200AA" w:rsidRPr="0023319B" w14:paraId="0C37921C" w14:textId="77777777" w:rsidTr="00541A7F">
        <w:trPr>
          <w:jc w:val="center"/>
        </w:trPr>
        <w:tc>
          <w:tcPr>
            <w:tcW w:w="1048" w:type="dxa"/>
            <w:shd w:val="clear" w:color="auto" w:fill="F2F2F2" w:themeFill="background1" w:themeFillShade="F2"/>
            <w:tcMar>
              <w:top w:w="0" w:type="dxa"/>
              <w:left w:w="70" w:type="dxa"/>
              <w:bottom w:w="0" w:type="dxa"/>
              <w:right w:w="70" w:type="dxa"/>
            </w:tcMar>
            <w:vAlign w:val="center"/>
            <w:hideMark/>
          </w:tcPr>
          <w:p w14:paraId="5391669F" w14:textId="77777777" w:rsidR="000200AA" w:rsidRPr="0023319B" w:rsidRDefault="000200AA" w:rsidP="002E6B58">
            <w:pPr>
              <w:spacing w:line="240" w:lineRule="auto"/>
              <w:rPr>
                <w:rFonts w:ascii="Calibri Light" w:hAnsi="Calibri Light" w:cs="Calibri Light"/>
                <w:sz w:val="18"/>
                <w:szCs w:val="18"/>
                <w:lang w:val="es-CR"/>
              </w:rPr>
            </w:pPr>
            <w:r w:rsidRPr="0023319B">
              <w:rPr>
                <w:rFonts w:ascii="Calibri Light" w:hAnsi="Calibri Light" w:cs="Calibri Light"/>
                <w:sz w:val="18"/>
                <w:szCs w:val="18"/>
                <w:lang w:val="es-CR"/>
              </w:rPr>
              <w:t>Supervisor 1 RC</w:t>
            </w:r>
          </w:p>
        </w:tc>
        <w:tc>
          <w:tcPr>
            <w:tcW w:w="1476" w:type="dxa"/>
            <w:shd w:val="clear" w:color="auto" w:fill="F2F2F2" w:themeFill="background1" w:themeFillShade="F2"/>
            <w:tcMar>
              <w:top w:w="0" w:type="dxa"/>
              <w:left w:w="70" w:type="dxa"/>
              <w:bottom w:w="0" w:type="dxa"/>
              <w:right w:w="70" w:type="dxa"/>
            </w:tcMar>
            <w:vAlign w:val="center"/>
            <w:hideMark/>
          </w:tcPr>
          <w:p w14:paraId="0C1AC9FE" w14:textId="77777777" w:rsidR="000200AA" w:rsidRPr="0023319B" w:rsidRDefault="000200AA" w:rsidP="002E6B58">
            <w:pPr>
              <w:spacing w:line="240" w:lineRule="auto"/>
              <w:jc w:val="center"/>
              <w:rPr>
                <w:rFonts w:ascii="Calibri Light" w:hAnsi="Calibri Light" w:cs="Calibri Light"/>
                <w:sz w:val="18"/>
                <w:szCs w:val="18"/>
                <w:lang w:val="es-CR"/>
              </w:rPr>
            </w:pPr>
            <w:r w:rsidRPr="0023319B">
              <w:rPr>
                <w:rFonts w:ascii="Calibri Light" w:hAnsi="Calibri Light" w:cs="Calibri Light"/>
                <w:sz w:val="18"/>
                <w:szCs w:val="18"/>
                <w:lang w:val="es-CR"/>
              </w:rPr>
              <w:t>26-15-10-10-19</w:t>
            </w:r>
          </w:p>
        </w:tc>
        <w:tc>
          <w:tcPr>
            <w:tcW w:w="1412" w:type="dxa"/>
            <w:shd w:val="clear" w:color="auto" w:fill="F2F2F2" w:themeFill="background1" w:themeFillShade="F2"/>
            <w:tcMar>
              <w:top w:w="0" w:type="dxa"/>
              <w:left w:w="70" w:type="dxa"/>
              <w:bottom w:w="0" w:type="dxa"/>
              <w:right w:w="70" w:type="dxa"/>
            </w:tcMar>
            <w:vAlign w:val="center"/>
            <w:hideMark/>
          </w:tcPr>
          <w:p w14:paraId="7AC3BBC9" w14:textId="77777777" w:rsidR="000200AA" w:rsidRPr="0023319B" w:rsidRDefault="000200AA" w:rsidP="002E6B58">
            <w:pPr>
              <w:spacing w:line="240" w:lineRule="auto"/>
              <w:rPr>
                <w:rFonts w:ascii="Calibri Light" w:hAnsi="Calibri Light" w:cs="Calibri Light"/>
                <w:sz w:val="18"/>
                <w:szCs w:val="18"/>
                <w:lang w:val="es-CR"/>
              </w:rPr>
            </w:pPr>
            <w:r w:rsidRPr="0023319B">
              <w:rPr>
                <w:rFonts w:ascii="Calibri Light" w:hAnsi="Calibri Light" w:cs="Calibri Light"/>
                <w:sz w:val="18"/>
                <w:szCs w:val="18"/>
                <w:lang w:val="es-CR"/>
              </w:rPr>
              <w:t>División Supervisión de RC</w:t>
            </w:r>
          </w:p>
        </w:tc>
        <w:tc>
          <w:tcPr>
            <w:tcW w:w="1405" w:type="dxa"/>
            <w:shd w:val="clear" w:color="auto" w:fill="F2F2F2" w:themeFill="background1" w:themeFillShade="F2"/>
            <w:tcMar>
              <w:top w:w="0" w:type="dxa"/>
              <w:left w:w="70" w:type="dxa"/>
              <w:bottom w:w="0" w:type="dxa"/>
              <w:right w:w="70" w:type="dxa"/>
            </w:tcMar>
            <w:vAlign w:val="center"/>
            <w:hideMark/>
          </w:tcPr>
          <w:p w14:paraId="4207F5CC" w14:textId="77777777" w:rsidR="000200AA" w:rsidRPr="0023319B" w:rsidRDefault="000200AA" w:rsidP="002E6B58">
            <w:pPr>
              <w:spacing w:line="240" w:lineRule="auto"/>
              <w:jc w:val="center"/>
              <w:rPr>
                <w:rFonts w:ascii="Calibri Light" w:hAnsi="Calibri Light" w:cs="Calibri Light"/>
                <w:sz w:val="18"/>
                <w:szCs w:val="18"/>
                <w:lang w:val="es-CR"/>
              </w:rPr>
            </w:pPr>
            <w:r w:rsidRPr="0023319B">
              <w:rPr>
                <w:rFonts w:ascii="Calibri Light" w:hAnsi="Calibri Light" w:cs="Calibri Light"/>
                <w:sz w:val="18"/>
                <w:szCs w:val="18"/>
                <w:lang w:val="es-CR"/>
              </w:rPr>
              <w:t>17 febrero 2020</w:t>
            </w:r>
          </w:p>
        </w:tc>
        <w:tc>
          <w:tcPr>
            <w:tcW w:w="4152" w:type="dxa"/>
            <w:shd w:val="clear" w:color="auto" w:fill="F2F2F2" w:themeFill="background1" w:themeFillShade="F2"/>
            <w:tcMar>
              <w:top w:w="0" w:type="dxa"/>
              <w:left w:w="70" w:type="dxa"/>
              <w:bottom w:w="0" w:type="dxa"/>
              <w:right w:w="70" w:type="dxa"/>
            </w:tcMar>
            <w:vAlign w:val="center"/>
            <w:hideMark/>
          </w:tcPr>
          <w:p w14:paraId="466D5C9D" w14:textId="77777777" w:rsidR="000200AA" w:rsidRPr="0023319B" w:rsidRDefault="000200AA" w:rsidP="002E6B58">
            <w:pPr>
              <w:spacing w:line="240" w:lineRule="auto"/>
              <w:rPr>
                <w:rFonts w:ascii="Calibri Light" w:hAnsi="Calibri Light" w:cs="Calibri Light"/>
                <w:sz w:val="18"/>
                <w:szCs w:val="18"/>
                <w:lang w:val="es-CR"/>
              </w:rPr>
            </w:pPr>
            <w:r w:rsidRPr="0023319B">
              <w:rPr>
                <w:rFonts w:ascii="Calibri Light" w:hAnsi="Calibri Light" w:cs="Calibri Light"/>
                <w:sz w:val="18"/>
                <w:szCs w:val="18"/>
                <w:lang w:val="es-CR"/>
              </w:rPr>
              <w:t>Vacantes por ascenso del titular.</w:t>
            </w:r>
          </w:p>
          <w:p w14:paraId="6C86D424" w14:textId="77777777" w:rsidR="000200AA" w:rsidRPr="0023319B" w:rsidRDefault="000200AA" w:rsidP="002E6B58">
            <w:pPr>
              <w:spacing w:line="240" w:lineRule="auto"/>
              <w:rPr>
                <w:rFonts w:ascii="Calibri Light" w:hAnsi="Calibri Light" w:cs="Calibri Light"/>
                <w:sz w:val="18"/>
                <w:szCs w:val="18"/>
                <w:lang w:val="es-CR"/>
              </w:rPr>
            </w:pPr>
            <w:r w:rsidRPr="0023319B">
              <w:rPr>
                <w:rFonts w:ascii="Calibri Light" w:hAnsi="Calibri Light" w:cs="Calibri Light"/>
                <w:sz w:val="18"/>
                <w:szCs w:val="18"/>
                <w:lang w:val="es-CR"/>
              </w:rPr>
              <w:t>El 23 de setiembre, se recibió la solicitud por parte del Director de RC para iniciar el proceso de contratación de la plaza.</w:t>
            </w:r>
          </w:p>
          <w:p w14:paraId="0B855281" w14:textId="77777777" w:rsidR="000200AA" w:rsidRPr="0023319B" w:rsidRDefault="000200AA" w:rsidP="002E6B58">
            <w:pPr>
              <w:spacing w:line="240" w:lineRule="auto"/>
              <w:rPr>
                <w:rFonts w:ascii="Calibri Light" w:hAnsi="Calibri Light" w:cs="Calibri Light"/>
                <w:sz w:val="18"/>
                <w:szCs w:val="18"/>
                <w:lang w:val="es-CR"/>
              </w:rPr>
            </w:pPr>
            <w:r w:rsidRPr="0023319B">
              <w:rPr>
                <w:rFonts w:ascii="Calibri Light" w:hAnsi="Calibri Light" w:cs="Calibri Light"/>
                <w:sz w:val="18"/>
                <w:szCs w:val="18"/>
                <w:lang w:val="es-CR"/>
              </w:rPr>
              <w:t>El 13 de octubre se aprueba el cronograma PC-073-2020 de la Fase I "Traslados".</w:t>
            </w:r>
          </w:p>
          <w:p w14:paraId="14BAE839" w14:textId="77777777" w:rsidR="000200AA" w:rsidRPr="0023319B" w:rsidRDefault="000200AA" w:rsidP="002E6B58">
            <w:pPr>
              <w:spacing w:line="240" w:lineRule="auto"/>
              <w:rPr>
                <w:rFonts w:ascii="Calibri Light" w:hAnsi="Calibri Light" w:cs="Calibri Light"/>
                <w:sz w:val="18"/>
                <w:szCs w:val="18"/>
                <w:lang w:val="es-CR"/>
              </w:rPr>
            </w:pPr>
            <w:r w:rsidRPr="0023319B">
              <w:rPr>
                <w:rFonts w:ascii="Calibri Light" w:hAnsi="Calibri Light" w:cs="Calibri Light"/>
                <w:sz w:val="18"/>
                <w:szCs w:val="18"/>
                <w:lang w:val="es-CR"/>
              </w:rPr>
              <w:t>El 16 de octubre, según indicaciones del Director de RC, se solicita continuar con la siguiente etapa del proceso, por cuanto no se tiene interés en el listado de oferentes internos.</w:t>
            </w:r>
          </w:p>
          <w:p w14:paraId="616B7F83" w14:textId="77777777" w:rsidR="000200AA" w:rsidRPr="0023319B" w:rsidRDefault="000200AA" w:rsidP="002E6B58">
            <w:pPr>
              <w:spacing w:line="240" w:lineRule="auto"/>
              <w:rPr>
                <w:rFonts w:ascii="Calibri Light" w:hAnsi="Calibri Light" w:cs="Calibri Light"/>
                <w:sz w:val="18"/>
                <w:szCs w:val="18"/>
                <w:lang w:val="es-CR"/>
              </w:rPr>
            </w:pPr>
            <w:r w:rsidRPr="0023319B">
              <w:rPr>
                <w:rFonts w:ascii="Calibri Light" w:hAnsi="Calibri Light" w:cs="Calibri Light"/>
                <w:sz w:val="18"/>
                <w:szCs w:val="18"/>
                <w:lang w:val="es-CR"/>
              </w:rPr>
              <w:t>El 19 de octubre se aprobó el cronograma de la Fase III "Oferentes".</w:t>
            </w:r>
          </w:p>
          <w:p w14:paraId="7407B641" w14:textId="77777777" w:rsidR="000200AA" w:rsidRPr="0023319B" w:rsidRDefault="000200AA" w:rsidP="002E6B58">
            <w:pPr>
              <w:spacing w:line="240" w:lineRule="auto"/>
              <w:rPr>
                <w:rFonts w:ascii="Calibri Light" w:hAnsi="Calibri Light" w:cs="Calibri Light"/>
                <w:sz w:val="18"/>
                <w:szCs w:val="18"/>
                <w:lang w:val="es-CR"/>
              </w:rPr>
            </w:pPr>
            <w:r w:rsidRPr="0023319B">
              <w:rPr>
                <w:rFonts w:ascii="Calibri Light" w:hAnsi="Calibri Light" w:cs="Calibri Light"/>
                <w:sz w:val="18"/>
                <w:szCs w:val="18"/>
                <w:lang w:val="es-CR"/>
              </w:rPr>
              <w:t>El 5 de noviembre, el AGTH hizo envío del listado depurado de oferentes (Fase III).</w:t>
            </w:r>
          </w:p>
          <w:p w14:paraId="66E7CA81" w14:textId="77777777" w:rsidR="000200AA" w:rsidRPr="0023319B" w:rsidRDefault="000200AA" w:rsidP="002E6B58">
            <w:pPr>
              <w:spacing w:line="240" w:lineRule="auto"/>
              <w:rPr>
                <w:rFonts w:ascii="Calibri Light" w:hAnsi="Calibri Light" w:cs="Calibri Light"/>
                <w:sz w:val="18"/>
                <w:szCs w:val="18"/>
                <w:lang w:val="es-CR"/>
              </w:rPr>
            </w:pPr>
            <w:r w:rsidRPr="0023319B">
              <w:rPr>
                <w:rFonts w:ascii="Calibri Light" w:hAnsi="Calibri Light" w:cs="Calibri Light"/>
                <w:sz w:val="18"/>
                <w:szCs w:val="18"/>
                <w:lang w:val="es-CR"/>
              </w:rPr>
              <w:t>El 9 de noviembre se comunicó al AGTH la lista de los 93 oferentes resultaron seleccionados.</w:t>
            </w:r>
          </w:p>
          <w:p w14:paraId="6550B078" w14:textId="77777777" w:rsidR="000200AA" w:rsidRPr="0023319B" w:rsidRDefault="000200AA" w:rsidP="002E6B58">
            <w:pPr>
              <w:spacing w:line="240" w:lineRule="auto"/>
              <w:rPr>
                <w:rFonts w:ascii="Calibri Light" w:hAnsi="Calibri Light" w:cs="Calibri Light"/>
                <w:sz w:val="18"/>
                <w:szCs w:val="18"/>
                <w:lang w:val="es-CR"/>
              </w:rPr>
            </w:pPr>
            <w:r w:rsidRPr="0023319B">
              <w:rPr>
                <w:rFonts w:ascii="Calibri Light" w:hAnsi="Calibri Light" w:cs="Calibri Light"/>
                <w:sz w:val="18"/>
                <w:szCs w:val="18"/>
                <w:lang w:val="es-CR"/>
              </w:rPr>
              <w:t>El 18 de noviembre se comunicado a los oferentes participantes respecto a la prueba. El plazo de envío de los documentos por correo electrónico venció el 25 de noviembre, se recibió respuesta por parte de 19 participantes, se encuentra en proceso de revisión.</w:t>
            </w:r>
          </w:p>
          <w:p w14:paraId="638EE43A" w14:textId="77777777" w:rsidR="000200AA" w:rsidRPr="0023319B" w:rsidRDefault="000200AA" w:rsidP="002E6B58">
            <w:pPr>
              <w:spacing w:line="240" w:lineRule="auto"/>
              <w:rPr>
                <w:rFonts w:ascii="Calibri Light" w:hAnsi="Calibri Light" w:cs="Calibri Light"/>
                <w:sz w:val="18"/>
                <w:szCs w:val="18"/>
                <w:lang w:val="es-CR"/>
              </w:rPr>
            </w:pPr>
            <w:r w:rsidRPr="0023319B">
              <w:rPr>
                <w:rFonts w:ascii="Calibri Light" w:hAnsi="Calibri Light" w:cs="Calibri Light"/>
                <w:sz w:val="18"/>
                <w:szCs w:val="18"/>
                <w:lang w:val="es-CR"/>
              </w:rPr>
              <w:t>El 04 de diciembre el Director de RC remitió directamente los resultados de la prueba técnica al AGTH.</w:t>
            </w:r>
          </w:p>
          <w:p w14:paraId="7BD66FD7" w14:textId="77777777" w:rsidR="000200AA" w:rsidRPr="0023319B" w:rsidRDefault="000200AA" w:rsidP="002E6B58">
            <w:pPr>
              <w:spacing w:line="240" w:lineRule="auto"/>
              <w:rPr>
                <w:rFonts w:ascii="Calibri Light" w:hAnsi="Calibri Light" w:cs="Calibri Light"/>
                <w:sz w:val="18"/>
                <w:szCs w:val="18"/>
                <w:lang w:val="es-CR"/>
              </w:rPr>
            </w:pPr>
            <w:r w:rsidRPr="0023319B">
              <w:rPr>
                <w:rFonts w:ascii="Calibri Light" w:hAnsi="Calibri Light" w:cs="Calibri Light"/>
                <w:sz w:val="18"/>
                <w:szCs w:val="18"/>
                <w:lang w:val="es-CR"/>
              </w:rPr>
              <w:t>El 14 de diciembre fue remitido a la División Jurídica un recurso de revocatoria y apelación en subsidio presentado en contra del resultado obtenido en la prueba técnica.</w:t>
            </w:r>
          </w:p>
          <w:p w14:paraId="6C8D8516" w14:textId="77777777" w:rsidR="000200AA" w:rsidRPr="0023319B" w:rsidRDefault="000200AA" w:rsidP="002E6B58">
            <w:pPr>
              <w:spacing w:line="240" w:lineRule="auto"/>
              <w:rPr>
                <w:rFonts w:ascii="Calibri Light" w:hAnsi="Calibri Light" w:cs="Calibri Light"/>
                <w:sz w:val="18"/>
                <w:szCs w:val="18"/>
                <w:lang w:val="es-CR"/>
              </w:rPr>
            </w:pPr>
            <w:r w:rsidRPr="0023319B">
              <w:rPr>
                <w:rFonts w:ascii="Calibri Light" w:hAnsi="Calibri Light" w:cs="Calibri Light"/>
                <w:sz w:val="18"/>
                <w:szCs w:val="18"/>
                <w:lang w:val="es-CR"/>
              </w:rPr>
              <w:t>En proceso de atención.</w:t>
            </w:r>
          </w:p>
        </w:tc>
      </w:tr>
      <w:tr w:rsidR="000200AA" w:rsidRPr="007658CA" w14:paraId="6062C493" w14:textId="77777777" w:rsidTr="00541A7F">
        <w:trPr>
          <w:jc w:val="center"/>
        </w:trPr>
        <w:tc>
          <w:tcPr>
            <w:tcW w:w="1048" w:type="dxa"/>
            <w:shd w:val="clear" w:color="auto" w:fill="FFFFFF" w:themeFill="background1"/>
            <w:tcMar>
              <w:top w:w="0" w:type="dxa"/>
              <w:left w:w="70" w:type="dxa"/>
              <w:bottom w:w="0" w:type="dxa"/>
              <w:right w:w="70" w:type="dxa"/>
            </w:tcMar>
            <w:vAlign w:val="center"/>
          </w:tcPr>
          <w:p w14:paraId="4AECEC0D" w14:textId="77777777" w:rsidR="000200AA" w:rsidRPr="0023319B" w:rsidRDefault="000200AA" w:rsidP="002E6B58">
            <w:pPr>
              <w:spacing w:line="240" w:lineRule="auto"/>
              <w:rPr>
                <w:rFonts w:ascii="Calibri Light" w:hAnsi="Calibri Light" w:cs="Calibri Light"/>
                <w:sz w:val="18"/>
                <w:szCs w:val="18"/>
                <w:lang w:val="es-CR"/>
              </w:rPr>
            </w:pPr>
            <w:r w:rsidRPr="0023319B">
              <w:rPr>
                <w:rFonts w:ascii="Calibri Light" w:hAnsi="Calibri Light" w:cs="Calibri Light"/>
                <w:sz w:val="18"/>
                <w:szCs w:val="18"/>
                <w:lang w:val="es-CR"/>
              </w:rPr>
              <w:t>Analista de Planificación</w:t>
            </w:r>
          </w:p>
        </w:tc>
        <w:tc>
          <w:tcPr>
            <w:tcW w:w="1476" w:type="dxa"/>
            <w:shd w:val="clear" w:color="auto" w:fill="FFFFFF" w:themeFill="background1"/>
            <w:tcMar>
              <w:top w:w="0" w:type="dxa"/>
              <w:left w:w="70" w:type="dxa"/>
              <w:bottom w:w="0" w:type="dxa"/>
              <w:right w:w="70" w:type="dxa"/>
            </w:tcMar>
            <w:vAlign w:val="center"/>
          </w:tcPr>
          <w:p w14:paraId="7E288B2E" w14:textId="77777777" w:rsidR="000200AA" w:rsidRPr="0023319B" w:rsidRDefault="000200AA" w:rsidP="002E6B58">
            <w:pPr>
              <w:spacing w:line="240" w:lineRule="auto"/>
              <w:jc w:val="center"/>
              <w:rPr>
                <w:rFonts w:ascii="Calibri Light" w:hAnsi="Calibri Light" w:cs="Calibri Light"/>
                <w:sz w:val="18"/>
                <w:szCs w:val="18"/>
                <w:lang w:val="es-CR"/>
              </w:rPr>
            </w:pPr>
            <w:r w:rsidRPr="0023319B">
              <w:rPr>
                <w:rFonts w:ascii="Calibri Light" w:hAnsi="Calibri Light" w:cs="Calibri Light"/>
                <w:sz w:val="18"/>
                <w:szCs w:val="18"/>
                <w:lang w:val="es-CR"/>
              </w:rPr>
              <w:t>26-05-10-10-09</w:t>
            </w:r>
          </w:p>
        </w:tc>
        <w:tc>
          <w:tcPr>
            <w:tcW w:w="1412" w:type="dxa"/>
            <w:shd w:val="clear" w:color="auto" w:fill="FFFFFF" w:themeFill="background1"/>
            <w:tcMar>
              <w:top w:w="0" w:type="dxa"/>
              <w:left w:w="70" w:type="dxa"/>
              <w:bottom w:w="0" w:type="dxa"/>
              <w:right w:w="70" w:type="dxa"/>
            </w:tcMar>
            <w:vAlign w:val="center"/>
          </w:tcPr>
          <w:p w14:paraId="74706974" w14:textId="77777777" w:rsidR="000200AA" w:rsidRPr="0023319B" w:rsidRDefault="000200AA" w:rsidP="002E6B58">
            <w:pPr>
              <w:spacing w:line="240" w:lineRule="auto"/>
              <w:rPr>
                <w:rFonts w:ascii="Calibri Light" w:hAnsi="Calibri Light" w:cs="Calibri Light"/>
                <w:sz w:val="18"/>
                <w:szCs w:val="18"/>
                <w:lang w:val="es-CR"/>
              </w:rPr>
            </w:pPr>
            <w:r w:rsidRPr="0023319B">
              <w:rPr>
                <w:rFonts w:ascii="Calibri Light" w:hAnsi="Calibri Light" w:cs="Calibri Light"/>
                <w:sz w:val="18"/>
                <w:szCs w:val="18"/>
                <w:lang w:val="es-CR"/>
              </w:rPr>
              <w:t>División de Planificación y Normativa</w:t>
            </w:r>
          </w:p>
        </w:tc>
        <w:tc>
          <w:tcPr>
            <w:tcW w:w="1405" w:type="dxa"/>
            <w:shd w:val="clear" w:color="auto" w:fill="FFFFFF" w:themeFill="background1"/>
            <w:tcMar>
              <w:top w:w="0" w:type="dxa"/>
              <w:left w:w="70" w:type="dxa"/>
              <w:bottom w:w="0" w:type="dxa"/>
              <w:right w:w="70" w:type="dxa"/>
            </w:tcMar>
            <w:vAlign w:val="center"/>
          </w:tcPr>
          <w:p w14:paraId="178A9030" w14:textId="77777777" w:rsidR="000200AA" w:rsidRPr="0023319B" w:rsidRDefault="000200AA" w:rsidP="002E6B58">
            <w:pPr>
              <w:spacing w:line="240" w:lineRule="auto"/>
              <w:jc w:val="center"/>
              <w:rPr>
                <w:rFonts w:ascii="Calibri Light" w:hAnsi="Calibri Light" w:cs="Calibri Light"/>
                <w:sz w:val="18"/>
                <w:szCs w:val="18"/>
                <w:lang w:val="es-CR"/>
              </w:rPr>
            </w:pPr>
            <w:r w:rsidRPr="0023319B">
              <w:rPr>
                <w:rFonts w:ascii="Calibri Light" w:hAnsi="Calibri Light" w:cs="Calibri Light"/>
                <w:sz w:val="18"/>
                <w:szCs w:val="18"/>
                <w:lang w:val="es-CR"/>
              </w:rPr>
              <w:t>26 octubre 2020</w:t>
            </w:r>
          </w:p>
        </w:tc>
        <w:tc>
          <w:tcPr>
            <w:tcW w:w="4152" w:type="dxa"/>
            <w:shd w:val="clear" w:color="auto" w:fill="FFFFFF" w:themeFill="background1"/>
            <w:tcMar>
              <w:top w:w="0" w:type="dxa"/>
              <w:left w:w="70" w:type="dxa"/>
              <w:bottom w:w="0" w:type="dxa"/>
              <w:right w:w="70" w:type="dxa"/>
            </w:tcMar>
            <w:vAlign w:val="center"/>
          </w:tcPr>
          <w:p w14:paraId="39CA3D75" w14:textId="77777777" w:rsidR="000200AA" w:rsidRPr="0023319B" w:rsidRDefault="000200AA" w:rsidP="002E6B58">
            <w:pPr>
              <w:spacing w:line="240" w:lineRule="auto"/>
              <w:rPr>
                <w:rFonts w:ascii="Calibri Light" w:hAnsi="Calibri Light" w:cs="Calibri Light"/>
                <w:sz w:val="18"/>
                <w:szCs w:val="18"/>
                <w:lang w:val="es-CR"/>
              </w:rPr>
            </w:pPr>
            <w:r w:rsidRPr="0023319B">
              <w:rPr>
                <w:rFonts w:ascii="Calibri Light" w:hAnsi="Calibri Light" w:cs="Calibri Light"/>
                <w:sz w:val="18"/>
                <w:szCs w:val="18"/>
                <w:lang w:val="es-CR"/>
              </w:rPr>
              <w:t>Vacantes por ascenso de los titulares.</w:t>
            </w:r>
          </w:p>
          <w:p w14:paraId="1EA477F0" w14:textId="77777777" w:rsidR="000200AA" w:rsidRPr="0023319B" w:rsidRDefault="000200AA" w:rsidP="002E6B58">
            <w:pPr>
              <w:spacing w:line="240" w:lineRule="auto"/>
              <w:rPr>
                <w:rFonts w:ascii="Calibri Light" w:hAnsi="Calibri Light" w:cs="Calibri Light"/>
                <w:sz w:val="18"/>
                <w:szCs w:val="18"/>
                <w:lang w:val="es-CR"/>
              </w:rPr>
            </w:pPr>
            <w:r w:rsidRPr="0023319B">
              <w:rPr>
                <w:rFonts w:ascii="Calibri Light" w:hAnsi="Calibri Light" w:cs="Calibri Light"/>
                <w:sz w:val="18"/>
                <w:szCs w:val="18"/>
                <w:lang w:val="es-CR"/>
              </w:rPr>
              <w:t>Inició la etapa de modificación al descriptivo y perfil del puesto para alinearlo según lo dispuesto en la Reforma Procesal Laboral.</w:t>
            </w:r>
          </w:p>
          <w:p w14:paraId="269A0223" w14:textId="77777777" w:rsidR="000200AA" w:rsidRPr="0023319B" w:rsidRDefault="000200AA" w:rsidP="002E6B58">
            <w:pPr>
              <w:spacing w:line="240" w:lineRule="auto"/>
              <w:rPr>
                <w:rFonts w:ascii="Calibri Light" w:hAnsi="Calibri Light" w:cs="Calibri Light"/>
                <w:sz w:val="18"/>
                <w:szCs w:val="18"/>
                <w:lang w:val="es-CR"/>
              </w:rPr>
            </w:pPr>
            <w:r w:rsidRPr="0023319B">
              <w:rPr>
                <w:rFonts w:ascii="Calibri Light" w:hAnsi="Calibri Light" w:cs="Calibri Light"/>
                <w:sz w:val="18"/>
                <w:szCs w:val="18"/>
                <w:lang w:val="es-CR"/>
              </w:rPr>
              <w:t>El 23 de noviembre se recibió respuesta por parte de la DGD con algunas modificaciones realizadas al descriptivo, las cuales serán canalizadas al Director a. i. para su validación.</w:t>
            </w:r>
          </w:p>
          <w:p w14:paraId="7D50CB48" w14:textId="77777777" w:rsidR="000200AA" w:rsidRPr="0023319B" w:rsidRDefault="000200AA" w:rsidP="002E6B58">
            <w:pPr>
              <w:spacing w:line="240" w:lineRule="auto"/>
              <w:rPr>
                <w:rFonts w:ascii="Calibri Light" w:hAnsi="Calibri Light" w:cs="Calibri Light"/>
                <w:sz w:val="18"/>
                <w:szCs w:val="18"/>
                <w:lang w:val="es-CR"/>
              </w:rPr>
            </w:pPr>
            <w:r w:rsidRPr="0023319B">
              <w:rPr>
                <w:rFonts w:ascii="Calibri Light" w:hAnsi="Calibri Light" w:cs="Calibri Light"/>
                <w:sz w:val="18"/>
                <w:szCs w:val="18"/>
                <w:lang w:val="es-CR"/>
              </w:rPr>
              <w:t>El 01 de diciembre se remitió al Director a.i. de PyN el descriptivo en formato vigente y el archivo de modificaciones asociado, para su revisión y trámite.</w:t>
            </w:r>
          </w:p>
          <w:p w14:paraId="1F938FCE" w14:textId="77777777" w:rsidR="000200AA" w:rsidRPr="0023319B" w:rsidRDefault="000200AA" w:rsidP="002E6B58">
            <w:pPr>
              <w:spacing w:line="240" w:lineRule="auto"/>
              <w:rPr>
                <w:rFonts w:ascii="Calibri Light" w:hAnsi="Calibri Light" w:cs="Calibri Light"/>
                <w:sz w:val="18"/>
                <w:szCs w:val="18"/>
                <w:lang w:val="es-CR"/>
              </w:rPr>
            </w:pPr>
            <w:r w:rsidRPr="0023319B">
              <w:rPr>
                <w:rFonts w:ascii="Calibri Light" w:hAnsi="Calibri Light" w:cs="Calibri Light"/>
                <w:sz w:val="18"/>
                <w:szCs w:val="18"/>
                <w:lang w:val="es-CR"/>
              </w:rPr>
              <w:t>El 11 de diciembre fueron remitidos a la DGD para su validación.</w:t>
            </w:r>
          </w:p>
          <w:p w14:paraId="7B00950B" w14:textId="77777777" w:rsidR="000200AA" w:rsidRPr="0023319B" w:rsidRDefault="000200AA" w:rsidP="002E6B58">
            <w:pPr>
              <w:spacing w:line="240" w:lineRule="auto"/>
              <w:rPr>
                <w:rFonts w:ascii="Calibri Light" w:hAnsi="Calibri Light" w:cs="Calibri Light"/>
                <w:sz w:val="18"/>
                <w:szCs w:val="18"/>
                <w:lang w:val="es-CR"/>
              </w:rPr>
            </w:pPr>
            <w:r w:rsidRPr="0023319B">
              <w:rPr>
                <w:rFonts w:ascii="Calibri Light" w:hAnsi="Calibri Light" w:cs="Calibri Light"/>
                <w:sz w:val="18"/>
                <w:szCs w:val="18"/>
                <w:lang w:val="es-CR"/>
              </w:rPr>
              <w:t>El 18 de diciembre se solicitó al Director a.i. firmar digitalmente el documento de modificaciones.</w:t>
            </w:r>
          </w:p>
        </w:tc>
      </w:tr>
      <w:tr w:rsidR="000200AA" w:rsidRPr="007658CA" w14:paraId="0E3AAD4D" w14:textId="77777777" w:rsidTr="00541A7F">
        <w:trPr>
          <w:jc w:val="center"/>
        </w:trPr>
        <w:tc>
          <w:tcPr>
            <w:tcW w:w="1048" w:type="dxa"/>
            <w:shd w:val="clear" w:color="auto" w:fill="FFFFFF" w:themeFill="background1"/>
            <w:tcMar>
              <w:top w:w="0" w:type="dxa"/>
              <w:left w:w="70" w:type="dxa"/>
              <w:bottom w:w="0" w:type="dxa"/>
              <w:right w:w="70" w:type="dxa"/>
            </w:tcMar>
            <w:vAlign w:val="center"/>
          </w:tcPr>
          <w:p w14:paraId="481C25BA" w14:textId="77777777" w:rsidR="000200AA" w:rsidRPr="0023319B" w:rsidRDefault="000200AA" w:rsidP="002E6B58">
            <w:pPr>
              <w:spacing w:line="240" w:lineRule="auto"/>
              <w:rPr>
                <w:rFonts w:ascii="Calibri Light" w:hAnsi="Calibri Light" w:cs="Calibri Light"/>
                <w:sz w:val="18"/>
                <w:szCs w:val="18"/>
                <w:lang w:val="es-CR"/>
              </w:rPr>
            </w:pPr>
            <w:r w:rsidRPr="0023319B">
              <w:rPr>
                <w:rFonts w:ascii="Calibri Light" w:hAnsi="Calibri Light" w:cs="Calibri Light"/>
                <w:sz w:val="18"/>
                <w:szCs w:val="18"/>
                <w:lang w:val="es-CR"/>
              </w:rPr>
              <w:t>Supervisor 2 RCI</w:t>
            </w:r>
          </w:p>
        </w:tc>
        <w:tc>
          <w:tcPr>
            <w:tcW w:w="1476" w:type="dxa"/>
            <w:shd w:val="clear" w:color="auto" w:fill="FFFFFF" w:themeFill="background1"/>
            <w:tcMar>
              <w:top w:w="0" w:type="dxa"/>
              <w:left w:w="70" w:type="dxa"/>
              <w:bottom w:w="0" w:type="dxa"/>
              <w:right w:w="70" w:type="dxa"/>
            </w:tcMar>
            <w:vAlign w:val="center"/>
          </w:tcPr>
          <w:p w14:paraId="7AE020BE" w14:textId="77777777" w:rsidR="000200AA" w:rsidRPr="0023319B" w:rsidRDefault="000200AA" w:rsidP="002E6B58">
            <w:pPr>
              <w:spacing w:line="240" w:lineRule="auto"/>
              <w:jc w:val="center"/>
              <w:rPr>
                <w:rFonts w:ascii="Calibri Light" w:hAnsi="Calibri Light" w:cs="Calibri Light"/>
                <w:sz w:val="18"/>
                <w:szCs w:val="18"/>
                <w:lang w:val="es-CR"/>
              </w:rPr>
            </w:pPr>
            <w:r w:rsidRPr="0023319B">
              <w:rPr>
                <w:rFonts w:ascii="Calibri Light" w:hAnsi="Calibri Light" w:cs="Calibri Light"/>
                <w:sz w:val="18"/>
                <w:szCs w:val="18"/>
                <w:lang w:val="es-CR"/>
              </w:rPr>
              <w:t>26-10-10-10-09</w:t>
            </w:r>
          </w:p>
        </w:tc>
        <w:tc>
          <w:tcPr>
            <w:tcW w:w="1412" w:type="dxa"/>
            <w:shd w:val="clear" w:color="auto" w:fill="FFFFFF" w:themeFill="background1"/>
            <w:tcMar>
              <w:top w:w="0" w:type="dxa"/>
              <w:left w:w="70" w:type="dxa"/>
              <w:bottom w:w="0" w:type="dxa"/>
              <w:right w:w="70" w:type="dxa"/>
            </w:tcMar>
            <w:vAlign w:val="center"/>
          </w:tcPr>
          <w:p w14:paraId="03550081" w14:textId="77777777" w:rsidR="000200AA" w:rsidRPr="0023319B" w:rsidRDefault="000200AA" w:rsidP="002E6B58">
            <w:pPr>
              <w:spacing w:line="240" w:lineRule="auto"/>
              <w:rPr>
                <w:rFonts w:ascii="Calibri Light" w:hAnsi="Calibri Light" w:cs="Calibri Light"/>
                <w:sz w:val="18"/>
                <w:szCs w:val="18"/>
                <w:lang w:val="es-CR"/>
              </w:rPr>
            </w:pPr>
            <w:r w:rsidRPr="0023319B">
              <w:rPr>
                <w:rFonts w:ascii="Calibri Light" w:hAnsi="Calibri Light" w:cs="Calibri Light"/>
                <w:color w:val="000000"/>
                <w:sz w:val="18"/>
                <w:szCs w:val="18"/>
                <w:lang w:val="es-CR"/>
              </w:rPr>
              <w:t>División Supervisión de RCI</w:t>
            </w:r>
          </w:p>
        </w:tc>
        <w:tc>
          <w:tcPr>
            <w:tcW w:w="1405" w:type="dxa"/>
            <w:shd w:val="clear" w:color="auto" w:fill="FFFFFF" w:themeFill="background1"/>
            <w:tcMar>
              <w:top w:w="0" w:type="dxa"/>
              <w:left w:w="70" w:type="dxa"/>
              <w:bottom w:w="0" w:type="dxa"/>
              <w:right w:w="70" w:type="dxa"/>
            </w:tcMar>
            <w:vAlign w:val="center"/>
          </w:tcPr>
          <w:p w14:paraId="6F01027E" w14:textId="77777777" w:rsidR="000200AA" w:rsidRPr="0023319B" w:rsidRDefault="000200AA" w:rsidP="002E6B58">
            <w:pPr>
              <w:spacing w:line="240" w:lineRule="auto"/>
              <w:jc w:val="center"/>
              <w:rPr>
                <w:rFonts w:ascii="Calibri Light" w:hAnsi="Calibri Light" w:cs="Calibri Light"/>
                <w:sz w:val="18"/>
                <w:szCs w:val="18"/>
                <w:lang w:val="es-CR"/>
              </w:rPr>
            </w:pPr>
            <w:r w:rsidRPr="0023319B">
              <w:rPr>
                <w:rFonts w:ascii="Calibri Light" w:hAnsi="Calibri Light" w:cs="Calibri Light"/>
                <w:sz w:val="18"/>
                <w:szCs w:val="18"/>
                <w:lang w:val="es-CR"/>
              </w:rPr>
              <w:t>1 diciembre 2020</w:t>
            </w:r>
          </w:p>
        </w:tc>
        <w:tc>
          <w:tcPr>
            <w:tcW w:w="4152" w:type="dxa"/>
            <w:shd w:val="clear" w:color="auto" w:fill="FFFFFF" w:themeFill="background1"/>
            <w:tcMar>
              <w:top w:w="0" w:type="dxa"/>
              <w:left w:w="70" w:type="dxa"/>
              <w:bottom w:w="0" w:type="dxa"/>
              <w:right w:w="70" w:type="dxa"/>
            </w:tcMar>
            <w:vAlign w:val="center"/>
          </w:tcPr>
          <w:p w14:paraId="14C98D5F" w14:textId="77777777" w:rsidR="000200AA" w:rsidRPr="0023319B" w:rsidRDefault="000200AA" w:rsidP="002E6B58">
            <w:pPr>
              <w:spacing w:line="240" w:lineRule="auto"/>
              <w:rPr>
                <w:rFonts w:ascii="Calibri Light" w:hAnsi="Calibri Light" w:cs="Calibri Light"/>
                <w:sz w:val="18"/>
                <w:szCs w:val="18"/>
                <w:lang w:val="es-CR"/>
              </w:rPr>
            </w:pPr>
            <w:r w:rsidRPr="0023319B">
              <w:rPr>
                <w:rFonts w:ascii="Calibri Light" w:hAnsi="Calibri Light" w:cs="Calibri Light"/>
                <w:sz w:val="18"/>
                <w:szCs w:val="18"/>
                <w:lang w:val="es-CR"/>
              </w:rPr>
              <w:t xml:space="preserve">Vacante por renuncia del titular. </w:t>
            </w:r>
          </w:p>
          <w:p w14:paraId="134127CB" w14:textId="77777777" w:rsidR="000200AA" w:rsidRPr="0023319B" w:rsidRDefault="000200AA" w:rsidP="002E6B58">
            <w:pPr>
              <w:spacing w:line="240" w:lineRule="auto"/>
              <w:rPr>
                <w:rFonts w:ascii="Calibri Light" w:hAnsi="Calibri Light" w:cs="Calibri Light"/>
                <w:sz w:val="18"/>
                <w:szCs w:val="18"/>
                <w:lang w:val="es-CR"/>
              </w:rPr>
            </w:pPr>
            <w:r w:rsidRPr="0023319B">
              <w:rPr>
                <w:rFonts w:ascii="Calibri Light" w:hAnsi="Calibri Light" w:cs="Calibri Light"/>
                <w:sz w:val="18"/>
                <w:szCs w:val="18"/>
                <w:lang w:val="es-CR"/>
              </w:rPr>
              <w:t>El 2 de diciembre se generó una “solicitud de estructura” en el Sistema Integrado de Gestión para la División de Gestión y Desarrollo, para la modificación del descriptivo y perfil del puesto.</w:t>
            </w:r>
          </w:p>
          <w:p w14:paraId="45A045A7" w14:textId="77777777" w:rsidR="000200AA" w:rsidRPr="0023319B" w:rsidRDefault="000200AA" w:rsidP="002E6B58">
            <w:pPr>
              <w:spacing w:line="240" w:lineRule="auto"/>
              <w:rPr>
                <w:rFonts w:ascii="Calibri Light" w:hAnsi="Calibri Light" w:cs="Calibri Light"/>
                <w:sz w:val="18"/>
                <w:szCs w:val="18"/>
                <w:lang w:val="es-CR"/>
              </w:rPr>
            </w:pPr>
            <w:r w:rsidRPr="0023319B">
              <w:rPr>
                <w:rFonts w:ascii="Calibri Light" w:hAnsi="Calibri Light" w:cs="Calibri Light"/>
                <w:sz w:val="18"/>
                <w:szCs w:val="18"/>
                <w:lang w:val="es-CR"/>
              </w:rPr>
              <w:t>El 17 de diciembre fue enviado para revisión y trámite de los Directores de RCI, el descriptivo y perfil del puesto Supervisor 2 en el formato vigente, así como el archivo de modificaciones asociado, remitidos por la DGD.</w:t>
            </w:r>
          </w:p>
          <w:p w14:paraId="309CE645" w14:textId="77777777" w:rsidR="000200AA" w:rsidRPr="0023319B" w:rsidRDefault="000200AA" w:rsidP="002E6B58">
            <w:pPr>
              <w:spacing w:line="240" w:lineRule="auto"/>
              <w:rPr>
                <w:rFonts w:ascii="Calibri Light" w:hAnsi="Calibri Light" w:cs="Calibri Light"/>
                <w:sz w:val="18"/>
                <w:szCs w:val="18"/>
                <w:lang w:val="es-CR"/>
              </w:rPr>
            </w:pPr>
            <w:r w:rsidRPr="0023319B">
              <w:rPr>
                <w:rFonts w:ascii="Calibri Light" w:hAnsi="Calibri Light" w:cs="Calibri Light"/>
                <w:sz w:val="18"/>
                <w:szCs w:val="18"/>
                <w:lang w:val="es-CR"/>
              </w:rPr>
              <w:t xml:space="preserve">A la espera de las observaciones y justificaciones requeridas por parte de la División RCI.  </w:t>
            </w:r>
          </w:p>
        </w:tc>
      </w:tr>
    </w:tbl>
    <w:p w14:paraId="5DD3E2AC" w14:textId="24ABB5FB" w:rsidR="00DC3337" w:rsidRPr="0023319B" w:rsidRDefault="00DC3337" w:rsidP="00DC3337">
      <w:pPr>
        <w:rPr>
          <w:lang w:val="es-CR"/>
        </w:rPr>
      </w:pPr>
    </w:p>
    <w:p w14:paraId="5E7F21ED" w14:textId="4E45680C" w:rsidR="00987BCD" w:rsidRPr="0023319B" w:rsidRDefault="00987BCD" w:rsidP="00093594">
      <w:pPr>
        <w:spacing w:line="240" w:lineRule="auto"/>
        <w:ind w:left="284" w:right="51"/>
        <w:jc w:val="left"/>
        <w:rPr>
          <w:rFonts w:asciiTheme="minorHAnsi" w:hAnsiTheme="minorHAnsi" w:cstheme="minorHAnsi"/>
          <w:b/>
          <w:szCs w:val="22"/>
          <w:lang w:val="es-CR"/>
        </w:rPr>
      </w:pPr>
    </w:p>
    <w:p w14:paraId="435B355F" w14:textId="43B4E212" w:rsidR="00463985" w:rsidRPr="0023319B" w:rsidRDefault="00463985" w:rsidP="00093594">
      <w:pPr>
        <w:spacing w:line="240" w:lineRule="auto"/>
        <w:ind w:left="284" w:right="51"/>
        <w:jc w:val="left"/>
        <w:rPr>
          <w:rFonts w:asciiTheme="minorHAnsi" w:hAnsiTheme="minorHAnsi" w:cstheme="minorHAnsi"/>
          <w:szCs w:val="22"/>
          <w:lang w:val="es-CR"/>
        </w:rPr>
      </w:pPr>
    </w:p>
    <w:p w14:paraId="2CE1BB24" w14:textId="1F54F716" w:rsidR="00FA7585" w:rsidRPr="0023319B" w:rsidRDefault="00FA7585" w:rsidP="00A9221D">
      <w:pPr>
        <w:pStyle w:val="Ttulo3"/>
      </w:pPr>
      <w:bookmarkStart w:id="47" w:name="_Toc61081369"/>
      <w:r w:rsidRPr="0023319B">
        <w:t>Detalle de dietas que se cancelan en la institución</w:t>
      </w:r>
      <w:bookmarkEnd w:id="47"/>
    </w:p>
    <w:p w14:paraId="3B842691" w14:textId="739832FA" w:rsidR="00FA7585" w:rsidRPr="0023319B" w:rsidRDefault="00FA7585" w:rsidP="00093594">
      <w:pPr>
        <w:spacing w:line="240" w:lineRule="auto"/>
        <w:ind w:right="51"/>
        <w:jc w:val="left"/>
        <w:rPr>
          <w:rFonts w:asciiTheme="minorHAnsi" w:hAnsiTheme="minorHAnsi" w:cstheme="minorHAnsi"/>
          <w:sz w:val="24"/>
          <w:szCs w:val="24"/>
          <w:lang w:val="es-CR"/>
        </w:rPr>
      </w:pPr>
    </w:p>
    <w:p w14:paraId="30E886B9" w14:textId="6341C179" w:rsidR="00FA7585" w:rsidRPr="0023319B" w:rsidRDefault="0023212D" w:rsidP="00093594">
      <w:pPr>
        <w:spacing w:line="360" w:lineRule="auto"/>
        <w:ind w:right="51"/>
        <w:rPr>
          <w:rFonts w:asciiTheme="minorHAnsi" w:hAnsiTheme="minorHAnsi" w:cstheme="minorHAnsi"/>
          <w:sz w:val="24"/>
          <w:szCs w:val="24"/>
          <w:lang w:val="es-CR"/>
        </w:rPr>
      </w:pPr>
      <w:r w:rsidRPr="0023319B">
        <w:rPr>
          <w:rFonts w:asciiTheme="minorHAnsi" w:hAnsiTheme="minorHAnsi" w:cstheme="minorHAnsi"/>
          <w:sz w:val="24"/>
          <w:szCs w:val="24"/>
          <w:lang w:val="es-CR"/>
        </w:rPr>
        <w:t>L</w:t>
      </w:r>
      <w:r w:rsidR="00FA7585" w:rsidRPr="0023319B">
        <w:rPr>
          <w:rFonts w:asciiTheme="minorHAnsi" w:hAnsiTheme="minorHAnsi" w:cstheme="minorHAnsi"/>
          <w:sz w:val="24"/>
          <w:szCs w:val="24"/>
          <w:lang w:val="es-CR"/>
        </w:rPr>
        <w:t xml:space="preserve">a </w:t>
      </w:r>
      <w:r w:rsidR="00F61278" w:rsidRPr="0023319B">
        <w:rPr>
          <w:rFonts w:asciiTheme="minorHAnsi" w:hAnsiTheme="minorHAnsi" w:cstheme="minorHAnsi"/>
          <w:sz w:val="24"/>
          <w:szCs w:val="24"/>
          <w:lang w:val="es-CR"/>
        </w:rPr>
        <w:t>SUPEN</w:t>
      </w:r>
      <w:r w:rsidRPr="0023319B">
        <w:rPr>
          <w:rFonts w:asciiTheme="minorHAnsi" w:hAnsiTheme="minorHAnsi" w:cstheme="minorHAnsi"/>
          <w:sz w:val="24"/>
          <w:szCs w:val="24"/>
          <w:lang w:val="es-CR"/>
        </w:rPr>
        <w:t xml:space="preserve"> no realiza erogaciones relacionadas con el pago de dietas</w:t>
      </w:r>
      <w:r w:rsidR="00FA7585" w:rsidRPr="0023319B">
        <w:rPr>
          <w:rFonts w:asciiTheme="minorHAnsi" w:hAnsiTheme="minorHAnsi" w:cstheme="minorHAnsi"/>
          <w:sz w:val="24"/>
          <w:szCs w:val="24"/>
          <w:lang w:val="es-CR"/>
        </w:rPr>
        <w:t xml:space="preserve">, por lo tanto, no corresponde adjuntar </w:t>
      </w:r>
      <w:r w:rsidR="00713464" w:rsidRPr="0023319B">
        <w:rPr>
          <w:rFonts w:asciiTheme="minorHAnsi" w:hAnsiTheme="minorHAnsi" w:cstheme="minorHAnsi"/>
          <w:sz w:val="24"/>
          <w:szCs w:val="24"/>
          <w:lang w:val="es-CR"/>
        </w:rPr>
        <w:t xml:space="preserve">ningún </w:t>
      </w:r>
      <w:r w:rsidR="00FA7585" w:rsidRPr="0023319B">
        <w:rPr>
          <w:rFonts w:asciiTheme="minorHAnsi" w:hAnsiTheme="minorHAnsi" w:cstheme="minorHAnsi"/>
          <w:sz w:val="24"/>
          <w:szCs w:val="24"/>
          <w:lang w:val="es-CR"/>
        </w:rPr>
        <w:t xml:space="preserve">detalle </w:t>
      </w:r>
      <w:r w:rsidR="00D11DE7" w:rsidRPr="0023319B">
        <w:rPr>
          <w:rFonts w:asciiTheme="minorHAnsi" w:hAnsiTheme="minorHAnsi" w:cstheme="minorHAnsi"/>
          <w:sz w:val="24"/>
          <w:szCs w:val="24"/>
          <w:lang w:val="es-CR"/>
        </w:rPr>
        <w:t>en este punto</w:t>
      </w:r>
      <w:r w:rsidR="00FA7585" w:rsidRPr="0023319B">
        <w:rPr>
          <w:rFonts w:asciiTheme="minorHAnsi" w:hAnsiTheme="minorHAnsi" w:cstheme="minorHAnsi"/>
          <w:sz w:val="24"/>
          <w:szCs w:val="24"/>
          <w:lang w:val="es-CR"/>
        </w:rPr>
        <w:t>.</w:t>
      </w:r>
    </w:p>
    <w:p w14:paraId="07D5C87C" w14:textId="77777777" w:rsidR="00FA7585" w:rsidRPr="0023319B" w:rsidRDefault="00FA7585" w:rsidP="00093594">
      <w:pPr>
        <w:spacing w:line="240" w:lineRule="auto"/>
        <w:ind w:right="51"/>
        <w:jc w:val="left"/>
        <w:rPr>
          <w:rFonts w:asciiTheme="minorHAnsi" w:hAnsiTheme="minorHAnsi" w:cstheme="minorHAnsi"/>
          <w:sz w:val="24"/>
          <w:szCs w:val="24"/>
          <w:lang w:val="es-CR"/>
        </w:rPr>
      </w:pPr>
    </w:p>
    <w:p w14:paraId="4612020F" w14:textId="4971697B" w:rsidR="00FE3245" w:rsidRPr="0023319B" w:rsidRDefault="00FE3245" w:rsidP="00A9221D">
      <w:pPr>
        <w:pStyle w:val="Ttulo3"/>
      </w:pPr>
      <w:bookmarkStart w:id="48" w:name="_Toc61081370"/>
      <w:r w:rsidRPr="0023319B">
        <w:t>Desglose de los incentivos salariales que se reconocen</w:t>
      </w:r>
      <w:bookmarkEnd w:id="48"/>
    </w:p>
    <w:p w14:paraId="05187BE5" w14:textId="77777777" w:rsidR="00FE3245" w:rsidRPr="0023319B" w:rsidRDefault="00FE3245" w:rsidP="00093594">
      <w:pPr>
        <w:spacing w:line="240" w:lineRule="auto"/>
        <w:ind w:right="51"/>
        <w:rPr>
          <w:rFonts w:asciiTheme="minorHAnsi" w:hAnsiTheme="minorHAnsi" w:cstheme="minorHAnsi"/>
          <w:sz w:val="24"/>
          <w:szCs w:val="24"/>
          <w:lang w:val="es-CR"/>
        </w:rPr>
      </w:pPr>
    </w:p>
    <w:p w14:paraId="16CA1FDF" w14:textId="14210B18" w:rsidR="00BE1950" w:rsidRPr="0023319B" w:rsidRDefault="00FE3245" w:rsidP="00093594">
      <w:pPr>
        <w:ind w:right="51"/>
        <w:rPr>
          <w:rFonts w:asciiTheme="minorHAnsi" w:hAnsiTheme="minorHAnsi" w:cstheme="minorHAnsi"/>
          <w:sz w:val="24"/>
          <w:szCs w:val="24"/>
          <w:lang w:val="es-CR"/>
        </w:rPr>
      </w:pPr>
      <w:r w:rsidRPr="0023319B">
        <w:rPr>
          <w:rFonts w:asciiTheme="minorHAnsi" w:hAnsiTheme="minorHAnsi" w:cstheme="minorHAnsi"/>
          <w:sz w:val="24"/>
          <w:szCs w:val="24"/>
          <w:lang w:val="es-CR"/>
        </w:rPr>
        <w:t xml:space="preserve">La </w:t>
      </w:r>
      <w:r w:rsidR="00F61278" w:rsidRPr="0023319B">
        <w:rPr>
          <w:rFonts w:asciiTheme="minorHAnsi" w:hAnsiTheme="minorHAnsi" w:cstheme="minorHAnsi"/>
          <w:sz w:val="24"/>
          <w:szCs w:val="24"/>
          <w:lang w:val="es-CR"/>
        </w:rPr>
        <w:t>SUPEN</w:t>
      </w:r>
      <w:r w:rsidRPr="0023319B">
        <w:rPr>
          <w:rFonts w:asciiTheme="minorHAnsi" w:hAnsiTheme="minorHAnsi" w:cstheme="minorHAnsi"/>
          <w:sz w:val="24"/>
          <w:szCs w:val="24"/>
          <w:lang w:val="es-CR"/>
        </w:rPr>
        <w:t xml:space="preserve"> </w:t>
      </w:r>
      <w:r w:rsidR="00BE1950" w:rsidRPr="0023319B">
        <w:rPr>
          <w:rFonts w:asciiTheme="minorHAnsi" w:hAnsiTheme="minorHAnsi" w:cstheme="minorHAnsi"/>
          <w:sz w:val="24"/>
          <w:szCs w:val="24"/>
          <w:lang w:val="es-CR"/>
        </w:rPr>
        <w:t xml:space="preserve">es </w:t>
      </w:r>
      <w:r w:rsidR="00E54527" w:rsidRPr="0023319B">
        <w:rPr>
          <w:rFonts w:asciiTheme="minorHAnsi" w:hAnsiTheme="minorHAnsi" w:cstheme="minorHAnsi"/>
          <w:sz w:val="24"/>
          <w:szCs w:val="24"/>
          <w:lang w:val="es-CR"/>
        </w:rPr>
        <w:t>un Órgano de Desconcentración M</w:t>
      </w:r>
      <w:r w:rsidRPr="0023319B">
        <w:rPr>
          <w:rFonts w:asciiTheme="minorHAnsi" w:hAnsiTheme="minorHAnsi" w:cstheme="minorHAnsi"/>
          <w:sz w:val="24"/>
          <w:szCs w:val="24"/>
          <w:lang w:val="es-CR"/>
        </w:rPr>
        <w:t xml:space="preserve">áxima adscrito al </w:t>
      </w:r>
      <w:r w:rsidR="009468CE" w:rsidRPr="0023319B">
        <w:rPr>
          <w:rFonts w:asciiTheme="minorHAnsi" w:hAnsiTheme="minorHAnsi" w:cstheme="minorHAnsi"/>
          <w:sz w:val="24"/>
          <w:szCs w:val="24"/>
          <w:lang w:val="es-CR"/>
        </w:rPr>
        <w:t>BCCR</w:t>
      </w:r>
      <w:r w:rsidR="00BE1950" w:rsidRPr="0023319B">
        <w:rPr>
          <w:rFonts w:asciiTheme="minorHAnsi" w:hAnsiTheme="minorHAnsi" w:cstheme="minorHAnsi"/>
          <w:sz w:val="24"/>
          <w:szCs w:val="24"/>
          <w:lang w:val="es-CR"/>
        </w:rPr>
        <w:t xml:space="preserve">, por lo </w:t>
      </w:r>
      <w:r w:rsidR="00920472" w:rsidRPr="0023319B">
        <w:rPr>
          <w:rFonts w:asciiTheme="minorHAnsi" w:hAnsiTheme="minorHAnsi" w:cstheme="minorHAnsi"/>
          <w:sz w:val="24"/>
          <w:szCs w:val="24"/>
          <w:lang w:val="es-CR"/>
        </w:rPr>
        <w:t>tanto,</w:t>
      </w:r>
      <w:r w:rsidRPr="0023319B">
        <w:rPr>
          <w:rFonts w:asciiTheme="minorHAnsi" w:hAnsiTheme="minorHAnsi" w:cstheme="minorHAnsi"/>
          <w:sz w:val="24"/>
          <w:szCs w:val="24"/>
          <w:lang w:val="es-CR"/>
        </w:rPr>
        <w:t xml:space="preserve"> </w:t>
      </w:r>
      <w:r w:rsidR="00D11DE7" w:rsidRPr="0023319B">
        <w:rPr>
          <w:rFonts w:asciiTheme="minorHAnsi" w:hAnsiTheme="minorHAnsi" w:cstheme="minorHAnsi"/>
          <w:sz w:val="24"/>
          <w:szCs w:val="24"/>
          <w:lang w:val="es-CR"/>
        </w:rPr>
        <w:t xml:space="preserve">por </w:t>
      </w:r>
      <w:r w:rsidR="00E62065" w:rsidRPr="0023319B">
        <w:rPr>
          <w:rFonts w:asciiTheme="minorHAnsi" w:hAnsiTheme="minorHAnsi" w:cstheme="minorHAnsi"/>
          <w:sz w:val="24"/>
          <w:szCs w:val="24"/>
          <w:lang w:val="es-CR"/>
        </w:rPr>
        <w:t>mandato</w:t>
      </w:r>
      <w:r w:rsidR="00D11DE7" w:rsidRPr="0023319B">
        <w:rPr>
          <w:rFonts w:asciiTheme="minorHAnsi" w:hAnsiTheme="minorHAnsi" w:cstheme="minorHAnsi"/>
          <w:sz w:val="24"/>
          <w:szCs w:val="24"/>
          <w:lang w:val="es-CR"/>
        </w:rPr>
        <w:t xml:space="preserve"> </w:t>
      </w:r>
      <w:r w:rsidR="00E3388B" w:rsidRPr="0023319B">
        <w:rPr>
          <w:rFonts w:asciiTheme="minorHAnsi" w:hAnsiTheme="minorHAnsi" w:cstheme="minorHAnsi"/>
          <w:sz w:val="24"/>
          <w:szCs w:val="24"/>
          <w:lang w:val="es-CR"/>
        </w:rPr>
        <w:t>superi</w:t>
      </w:r>
      <w:r w:rsidR="00C51348" w:rsidRPr="0023319B">
        <w:rPr>
          <w:rFonts w:asciiTheme="minorHAnsi" w:hAnsiTheme="minorHAnsi" w:cstheme="minorHAnsi"/>
          <w:sz w:val="24"/>
          <w:szCs w:val="24"/>
          <w:lang w:val="es-CR"/>
        </w:rPr>
        <w:t xml:space="preserve">or </w:t>
      </w:r>
      <w:r w:rsidRPr="0023319B">
        <w:rPr>
          <w:rFonts w:asciiTheme="minorHAnsi" w:hAnsiTheme="minorHAnsi" w:cstheme="minorHAnsi"/>
          <w:sz w:val="24"/>
          <w:szCs w:val="24"/>
          <w:lang w:val="es-CR"/>
        </w:rPr>
        <w:t>adopta la misma política salarial dict</w:t>
      </w:r>
      <w:r w:rsidR="00166854" w:rsidRPr="0023319B">
        <w:rPr>
          <w:rFonts w:asciiTheme="minorHAnsi" w:hAnsiTheme="minorHAnsi" w:cstheme="minorHAnsi"/>
          <w:sz w:val="24"/>
          <w:szCs w:val="24"/>
          <w:lang w:val="es-CR"/>
        </w:rPr>
        <w:t>ada por la Junta Directiva del Ente E</w:t>
      </w:r>
      <w:r w:rsidRPr="0023319B">
        <w:rPr>
          <w:rFonts w:asciiTheme="minorHAnsi" w:hAnsiTheme="minorHAnsi" w:cstheme="minorHAnsi"/>
          <w:sz w:val="24"/>
          <w:szCs w:val="24"/>
          <w:lang w:val="es-CR"/>
        </w:rPr>
        <w:t>misor.</w:t>
      </w:r>
      <w:r w:rsidR="00BE1950" w:rsidRPr="0023319B">
        <w:rPr>
          <w:rFonts w:asciiTheme="minorHAnsi" w:hAnsiTheme="minorHAnsi" w:cstheme="minorHAnsi"/>
          <w:sz w:val="24"/>
          <w:szCs w:val="24"/>
          <w:lang w:val="es-CR"/>
        </w:rPr>
        <w:t xml:space="preserve"> En la actualidad existen dos escalas salariales, una </w:t>
      </w:r>
      <w:r w:rsidR="00E54527" w:rsidRPr="0023319B">
        <w:rPr>
          <w:rFonts w:asciiTheme="minorHAnsi" w:hAnsiTheme="minorHAnsi" w:cstheme="minorHAnsi"/>
          <w:sz w:val="24"/>
          <w:szCs w:val="24"/>
          <w:lang w:val="es-CR"/>
        </w:rPr>
        <w:t xml:space="preserve">denominada </w:t>
      </w:r>
      <w:r w:rsidR="00BE1950" w:rsidRPr="0023319B">
        <w:rPr>
          <w:rFonts w:asciiTheme="minorHAnsi" w:hAnsiTheme="minorHAnsi" w:cstheme="minorHAnsi"/>
          <w:sz w:val="24"/>
          <w:szCs w:val="24"/>
          <w:lang w:val="es-CR"/>
        </w:rPr>
        <w:t xml:space="preserve">global y </w:t>
      </w:r>
      <w:r w:rsidR="00E54527" w:rsidRPr="0023319B">
        <w:rPr>
          <w:rFonts w:asciiTheme="minorHAnsi" w:hAnsiTheme="minorHAnsi" w:cstheme="minorHAnsi"/>
          <w:sz w:val="24"/>
          <w:szCs w:val="24"/>
          <w:lang w:val="es-CR"/>
        </w:rPr>
        <w:t xml:space="preserve">otra que corresponde al salario </w:t>
      </w:r>
      <w:r w:rsidR="00BE1950" w:rsidRPr="0023319B">
        <w:rPr>
          <w:rFonts w:asciiTheme="minorHAnsi" w:hAnsiTheme="minorHAnsi" w:cstheme="minorHAnsi"/>
          <w:sz w:val="24"/>
          <w:szCs w:val="24"/>
          <w:lang w:val="es-CR"/>
        </w:rPr>
        <w:t xml:space="preserve">básico más </w:t>
      </w:r>
      <w:r w:rsidR="00BB53DE" w:rsidRPr="0023319B">
        <w:rPr>
          <w:rFonts w:asciiTheme="minorHAnsi" w:hAnsiTheme="minorHAnsi" w:cstheme="minorHAnsi"/>
          <w:sz w:val="24"/>
          <w:szCs w:val="24"/>
          <w:lang w:val="es-CR"/>
        </w:rPr>
        <w:t xml:space="preserve">incentivos denominada </w:t>
      </w:r>
      <w:r w:rsidR="00BE1950" w:rsidRPr="0023319B">
        <w:rPr>
          <w:rFonts w:asciiTheme="minorHAnsi" w:hAnsiTheme="minorHAnsi" w:cstheme="minorHAnsi"/>
          <w:sz w:val="24"/>
          <w:szCs w:val="24"/>
          <w:lang w:val="es-CR"/>
        </w:rPr>
        <w:t xml:space="preserve">pluses. </w:t>
      </w:r>
    </w:p>
    <w:p w14:paraId="24E63F83" w14:textId="27ACD3EF" w:rsidR="00BE1950" w:rsidRPr="0023319B" w:rsidRDefault="00BE1950" w:rsidP="00093594">
      <w:pPr>
        <w:ind w:right="51"/>
        <w:rPr>
          <w:rFonts w:asciiTheme="minorHAnsi" w:hAnsiTheme="minorHAnsi" w:cstheme="minorHAnsi"/>
          <w:sz w:val="24"/>
          <w:szCs w:val="24"/>
          <w:lang w:val="es-CR"/>
        </w:rPr>
      </w:pPr>
    </w:p>
    <w:p w14:paraId="2C4B309F" w14:textId="4359B199" w:rsidR="00BE1950" w:rsidRPr="0023319B" w:rsidRDefault="000F16CD" w:rsidP="00093594">
      <w:pPr>
        <w:ind w:right="51"/>
        <w:rPr>
          <w:rFonts w:asciiTheme="minorHAnsi" w:hAnsiTheme="minorHAnsi" w:cstheme="minorHAnsi"/>
          <w:sz w:val="24"/>
          <w:szCs w:val="24"/>
          <w:lang w:val="es-CR"/>
        </w:rPr>
      </w:pPr>
      <w:r w:rsidRPr="0023319B">
        <w:rPr>
          <w:rFonts w:asciiTheme="minorHAnsi" w:hAnsiTheme="minorHAnsi" w:cstheme="minorHAnsi"/>
          <w:sz w:val="24"/>
          <w:szCs w:val="24"/>
          <w:lang w:val="es-CR"/>
        </w:rPr>
        <w:t>D</w:t>
      </w:r>
      <w:r w:rsidR="003C7C97" w:rsidRPr="0023319B">
        <w:rPr>
          <w:rFonts w:asciiTheme="minorHAnsi" w:hAnsiTheme="minorHAnsi" w:cstheme="minorHAnsi"/>
          <w:sz w:val="24"/>
          <w:szCs w:val="24"/>
          <w:lang w:val="es-CR"/>
        </w:rPr>
        <w:t xml:space="preserve">e conformidad con las Normas Técnicas sobre Presupuestos Públicos, a continuación, se detallan </w:t>
      </w:r>
      <w:r w:rsidR="00BE1950" w:rsidRPr="0023319B">
        <w:rPr>
          <w:rFonts w:asciiTheme="minorHAnsi" w:hAnsiTheme="minorHAnsi" w:cstheme="minorHAnsi"/>
          <w:sz w:val="24"/>
          <w:szCs w:val="24"/>
          <w:lang w:val="es-CR"/>
        </w:rPr>
        <w:t>los incentivos salariales que se paga</w:t>
      </w:r>
      <w:r w:rsidR="00DF631F" w:rsidRPr="0023319B">
        <w:rPr>
          <w:rFonts w:asciiTheme="minorHAnsi" w:hAnsiTheme="minorHAnsi" w:cstheme="minorHAnsi"/>
          <w:sz w:val="24"/>
          <w:szCs w:val="24"/>
          <w:lang w:val="es-CR"/>
        </w:rPr>
        <w:t>n</w:t>
      </w:r>
      <w:r w:rsidR="00BE1950" w:rsidRPr="0023319B">
        <w:rPr>
          <w:rFonts w:asciiTheme="minorHAnsi" w:hAnsiTheme="minorHAnsi" w:cstheme="minorHAnsi"/>
          <w:sz w:val="24"/>
          <w:szCs w:val="24"/>
          <w:lang w:val="es-CR"/>
        </w:rPr>
        <w:t xml:space="preserve"> a los empleados de la categoría </w:t>
      </w:r>
      <w:r w:rsidR="003C7C97" w:rsidRPr="0023319B">
        <w:rPr>
          <w:rFonts w:asciiTheme="minorHAnsi" w:hAnsiTheme="minorHAnsi" w:cstheme="minorHAnsi"/>
          <w:sz w:val="24"/>
          <w:szCs w:val="24"/>
          <w:lang w:val="es-CR"/>
        </w:rPr>
        <w:t xml:space="preserve">salarial </w:t>
      </w:r>
      <w:r w:rsidR="00BE1950" w:rsidRPr="0023319B">
        <w:rPr>
          <w:rFonts w:asciiTheme="minorHAnsi" w:hAnsiTheme="minorHAnsi" w:cstheme="minorHAnsi"/>
          <w:sz w:val="24"/>
          <w:szCs w:val="24"/>
          <w:lang w:val="es-CR"/>
        </w:rPr>
        <w:t>básico más pluses</w:t>
      </w:r>
      <w:r w:rsidRPr="0023319B">
        <w:rPr>
          <w:rFonts w:asciiTheme="minorHAnsi" w:hAnsiTheme="minorHAnsi" w:cstheme="minorHAnsi"/>
          <w:sz w:val="24"/>
          <w:szCs w:val="24"/>
          <w:lang w:val="es-CR"/>
        </w:rPr>
        <w:t xml:space="preserve"> y la base legal que da sustento a</w:t>
      </w:r>
      <w:r w:rsidR="001D2C41" w:rsidRPr="0023319B">
        <w:rPr>
          <w:rFonts w:asciiTheme="minorHAnsi" w:hAnsiTheme="minorHAnsi" w:cstheme="minorHAnsi"/>
          <w:sz w:val="24"/>
          <w:szCs w:val="24"/>
          <w:lang w:val="es-CR"/>
        </w:rPr>
        <w:t xml:space="preserve"> es</w:t>
      </w:r>
      <w:r w:rsidR="00920DC2" w:rsidRPr="0023319B">
        <w:rPr>
          <w:rFonts w:asciiTheme="minorHAnsi" w:hAnsiTheme="minorHAnsi" w:cstheme="minorHAnsi"/>
          <w:sz w:val="24"/>
          <w:szCs w:val="24"/>
          <w:lang w:val="es-CR"/>
        </w:rPr>
        <w:t>a</w:t>
      </w:r>
      <w:r w:rsidRPr="0023319B">
        <w:rPr>
          <w:rFonts w:asciiTheme="minorHAnsi" w:hAnsiTheme="minorHAnsi" w:cstheme="minorHAnsi"/>
          <w:sz w:val="24"/>
          <w:szCs w:val="24"/>
          <w:lang w:val="es-CR"/>
        </w:rPr>
        <w:t xml:space="preserve"> </w:t>
      </w:r>
      <w:r w:rsidR="00C44511" w:rsidRPr="0023319B">
        <w:rPr>
          <w:rFonts w:asciiTheme="minorHAnsi" w:hAnsiTheme="minorHAnsi" w:cstheme="minorHAnsi"/>
          <w:sz w:val="24"/>
          <w:szCs w:val="24"/>
          <w:lang w:val="es-CR"/>
        </w:rPr>
        <w:t>erogación</w:t>
      </w:r>
      <w:r w:rsidR="0095254A" w:rsidRPr="0023319B">
        <w:rPr>
          <w:rFonts w:asciiTheme="minorHAnsi" w:hAnsiTheme="minorHAnsi" w:cstheme="minorHAnsi"/>
          <w:sz w:val="24"/>
          <w:szCs w:val="24"/>
          <w:lang w:val="es-CR"/>
        </w:rPr>
        <w:t>.</w:t>
      </w:r>
    </w:p>
    <w:p w14:paraId="4884D621" w14:textId="77777777" w:rsidR="0013408D" w:rsidRPr="0023319B" w:rsidRDefault="0013408D" w:rsidP="0013408D">
      <w:pPr>
        <w:ind w:right="51"/>
        <w:rPr>
          <w:rFonts w:asciiTheme="minorHAnsi" w:hAnsiTheme="minorHAnsi" w:cstheme="minorHAnsi"/>
          <w:sz w:val="24"/>
          <w:szCs w:val="24"/>
          <w:lang w:val="es-CR"/>
        </w:rPr>
      </w:pPr>
    </w:p>
    <w:p w14:paraId="09D4F2CF" w14:textId="5E01DE1C" w:rsidR="00132730" w:rsidRPr="0023319B" w:rsidRDefault="00BE1950" w:rsidP="00132730">
      <w:pPr>
        <w:spacing w:line="240" w:lineRule="auto"/>
        <w:ind w:left="1276" w:right="51" w:hanging="1276"/>
        <w:rPr>
          <w:rFonts w:asciiTheme="minorHAnsi" w:hAnsiTheme="minorHAnsi" w:cstheme="minorHAnsi"/>
          <w:iCs/>
          <w:color w:val="000000"/>
          <w:sz w:val="24"/>
          <w:szCs w:val="24"/>
          <w:lang w:val="es-CR"/>
        </w:rPr>
      </w:pPr>
      <w:r w:rsidRPr="0023319B">
        <w:rPr>
          <w:rFonts w:asciiTheme="minorHAnsi" w:hAnsiTheme="minorHAnsi" w:cstheme="minorHAnsi"/>
          <w:b/>
          <w:bCs/>
          <w:sz w:val="24"/>
          <w:szCs w:val="24"/>
          <w:lang w:val="es-CR"/>
        </w:rPr>
        <w:t xml:space="preserve">Anualidades: </w:t>
      </w:r>
      <w:r w:rsidR="00132730" w:rsidRPr="0023319B">
        <w:rPr>
          <w:rFonts w:asciiTheme="minorHAnsi" w:hAnsiTheme="minorHAnsi" w:cstheme="minorHAnsi"/>
          <w:iCs/>
          <w:color w:val="000000"/>
          <w:sz w:val="24"/>
          <w:szCs w:val="24"/>
          <w:lang w:val="es-CR"/>
        </w:rPr>
        <w:t>El pago de anualidades tiene su fundamento legal en la Ley General de Salarios de la Administración Pública (artículo 5°)</w:t>
      </w:r>
      <w:r w:rsidR="008E7525" w:rsidRPr="0023319B">
        <w:rPr>
          <w:rFonts w:asciiTheme="minorHAnsi" w:hAnsiTheme="minorHAnsi" w:cstheme="minorHAnsi"/>
          <w:iCs/>
          <w:color w:val="000000"/>
          <w:sz w:val="24"/>
          <w:szCs w:val="24"/>
          <w:lang w:val="es-CR"/>
        </w:rPr>
        <w:t xml:space="preserve">. </w:t>
      </w:r>
      <w:r w:rsidR="00132730" w:rsidRPr="0023319B">
        <w:rPr>
          <w:rFonts w:asciiTheme="minorHAnsi" w:hAnsiTheme="minorHAnsi" w:cstheme="minorHAnsi"/>
          <w:iCs/>
          <w:color w:val="000000"/>
          <w:sz w:val="24"/>
          <w:szCs w:val="24"/>
          <w:lang w:val="es-CR"/>
        </w:rPr>
        <w:t xml:space="preserve">Se refiere al reconocimiento económico, por concepto de años servidos </w:t>
      </w:r>
      <w:r w:rsidR="00A7791C" w:rsidRPr="0023319B">
        <w:rPr>
          <w:rFonts w:asciiTheme="minorHAnsi" w:hAnsiTheme="minorHAnsi" w:cstheme="minorHAnsi"/>
          <w:iCs/>
          <w:color w:val="000000"/>
          <w:sz w:val="24"/>
          <w:szCs w:val="24"/>
          <w:lang w:val="es-CR"/>
        </w:rPr>
        <w:t>en el</w:t>
      </w:r>
      <w:r w:rsidR="00132730" w:rsidRPr="0023319B">
        <w:rPr>
          <w:rFonts w:asciiTheme="minorHAnsi" w:hAnsiTheme="minorHAnsi" w:cstheme="minorHAnsi"/>
          <w:iCs/>
          <w:color w:val="000000"/>
          <w:sz w:val="24"/>
          <w:szCs w:val="24"/>
          <w:lang w:val="es-CR"/>
        </w:rPr>
        <w:t xml:space="preserve"> Banco Central de Costa Rica o al Sector Público, a cubrir al trabajador sobre su salario base y costo vida.  Se acumula un 2% adicional por cada año de servicio. Dicho componente es exclusivo para empleados de la escala de básico más pluses y se reconoce en el mes siguiente en el cual el funcionario cumple su aniversario de ingreso a la institución. Solamente se reconoce una vez al año.</w:t>
      </w:r>
    </w:p>
    <w:p w14:paraId="7AA7CB5E" w14:textId="6CA79BCC" w:rsidR="00BE1950" w:rsidRPr="0023319B" w:rsidRDefault="00132730" w:rsidP="008E7525">
      <w:pPr>
        <w:spacing w:line="240" w:lineRule="auto"/>
        <w:ind w:left="1276" w:right="51"/>
        <w:rPr>
          <w:rFonts w:asciiTheme="minorHAnsi" w:hAnsiTheme="minorHAnsi" w:cstheme="minorHAnsi"/>
          <w:sz w:val="24"/>
          <w:szCs w:val="24"/>
          <w:lang w:val="es-CR"/>
        </w:rPr>
      </w:pPr>
      <w:r w:rsidRPr="0023319B">
        <w:rPr>
          <w:rFonts w:asciiTheme="minorHAnsi" w:hAnsiTheme="minorHAnsi" w:cstheme="minorHAnsi"/>
          <w:iCs/>
          <w:color w:val="000000"/>
          <w:sz w:val="24"/>
          <w:szCs w:val="24"/>
          <w:lang w:val="es-CR"/>
        </w:rPr>
        <w:t xml:space="preserve">A partir del 2019, con la </w:t>
      </w:r>
      <w:r w:rsidR="00B90478" w:rsidRPr="0023319B">
        <w:rPr>
          <w:rFonts w:asciiTheme="minorHAnsi" w:hAnsiTheme="minorHAnsi" w:cstheme="minorHAnsi"/>
          <w:iCs/>
          <w:color w:val="000000"/>
          <w:sz w:val="24"/>
          <w:szCs w:val="24"/>
          <w:lang w:val="es-CR"/>
        </w:rPr>
        <w:t>aplicación</w:t>
      </w:r>
      <w:r w:rsidRPr="0023319B">
        <w:rPr>
          <w:rFonts w:asciiTheme="minorHAnsi" w:hAnsiTheme="minorHAnsi" w:cstheme="minorHAnsi"/>
          <w:iCs/>
          <w:color w:val="000000"/>
          <w:sz w:val="24"/>
          <w:szCs w:val="24"/>
          <w:lang w:val="es-CR"/>
        </w:rPr>
        <w:t xml:space="preserve"> de la </w:t>
      </w:r>
      <w:r w:rsidR="006418E1" w:rsidRPr="0023319B">
        <w:rPr>
          <w:rFonts w:asciiTheme="minorHAnsi" w:hAnsiTheme="minorHAnsi" w:cstheme="minorHAnsi"/>
          <w:iCs/>
          <w:color w:val="000000"/>
          <w:sz w:val="24"/>
          <w:szCs w:val="24"/>
          <w:lang w:val="es-CR"/>
        </w:rPr>
        <w:t>L</w:t>
      </w:r>
      <w:r w:rsidRPr="0023319B">
        <w:rPr>
          <w:rFonts w:asciiTheme="minorHAnsi" w:hAnsiTheme="minorHAnsi" w:cstheme="minorHAnsi"/>
          <w:iCs/>
          <w:color w:val="000000"/>
          <w:sz w:val="24"/>
          <w:szCs w:val="24"/>
          <w:lang w:val="es-CR"/>
        </w:rPr>
        <w:t xml:space="preserve">ey de Fortalecimiento de las Finanzas Públicas, el ajuste por anualidades se modifica para que sea un 1.94% para los puestos profesionales y 2.54% para los no profesionales, con base en una evaluación que corresponde </w:t>
      </w:r>
      <w:r w:rsidR="00F649CE" w:rsidRPr="0023319B">
        <w:rPr>
          <w:rFonts w:asciiTheme="minorHAnsi" w:hAnsiTheme="minorHAnsi" w:cstheme="minorHAnsi"/>
          <w:iCs/>
          <w:color w:val="000000"/>
          <w:sz w:val="24"/>
          <w:szCs w:val="24"/>
          <w:lang w:val="es-CR"/>
        </w:rPr>
        <w:t xml:space="preserve">desarrollar a </w:t>
      </w:r>
      <w:r w:rsidRPr="0023319B">
        <w:rPr>
          <w:rFonts w:asciiTheme="minorHAnsi" w:hAnsiTheme="minorHAnsi" w:cstheme="minorHAnsi"/>
          <w:iCs/>
          <w:color w:val="000000"/>
          <w:sz w:val="24"/>
          <w:szCs w:val="24"/>
          <w:lang w:val="es-CR"/>
        </w:rPr>
        <w:t>MIDEPLAN. El incentivo por anualidad se concederá únicamente mediante la evaluación del desempeño para aquellos servidores que hayan cumplido con una calificación mínima de “muy bueno” o su equivalente numérico, según la escala definida, y se utilizará como base de cálculo el salario básico vigente para el 2018</w:t>
      </w:r>
      <w:r w:rsidR="009D2A78" w:rsidRPr="0023319B">
        <w:rPr>
          <w:rFonts w:asciiTheme="minorHAnsi" w:hAnsiTheme="minorHAnsi" w:cstheme="minorHAnsi"/>
          <w:iCs/>
          <w:color w:val="000000"/>
          <w:sz w:val="24"/>
          <w:szCs w:val="24"/>
          <w:lang w:val="es-CR"/>
        </w:rPr>
        <w:t>.</w:t>
      </w:r>
    </w:p>
    <w:p w14:paraId="1231D2BB" w14:textId="77777777" w:rsidR="00BE1950" w:rsidRPr="0023319B" w:rsidRDefault="00BE1950" w:rsidP="00093594">
      <w:pPr>
        <w:ind w:right="51"/>
        <w:rPr>
          <w:rFonts w:asciiTheme="minorHAnsi" w:hAnsiTheme="minorHAnsi" w:cstheme="minorHAnsi"/>
          <w:sz w:val="24"/>
          <w:szCs w:val="24"/>
          <w:lang w:val="es-CR"/>
        </w:rPr>
      </w:pPr>
    </w:p>
    <w:p w14:paraId="622CDB5C" w14:textId="3899D095" w:rsidR="00645AEC" w:rsidRPr="0023319B" w:rsidRDefault="00BE1950" w:rsidP="00645AEC">
      <w:pPr>
        <w:spacing w:line="240" w:lineRule="auto"/>
        <w:ind w:left="1276" w:right="51" w:hanging="1276"/>
        <w:rPr>
          <w:rFonts w:asciiTheme="minorHAnsi" w:hAnsiTheme="minorHAnsi" w:cstheme="minorHAnsi"/>
          <w:bCs/>
          <w:sz w:val="24"/>
          <w:szCs w:val="24"/>
          <w:lang w:val="es-CR"/>
        </w:rPr>
      </w:pPr>
      <w:r w:rsidRPr="0023319B">
        <w:rPr>
          <w:rFonts w:asciiTheme="minorHAnsi" w:hAnsiTheme="minorHAnsi" w:cstheme="minorHAnsi"/>
          <w:b/>
          <w:bCs/>
          <w:sz w:val="24"/>
          <w:szCs w:val="24"/>
          <w:lang w:val="es-CR"/>
        </w:rPr>
        <w:t xml:space="preserve">Bonificación Profesional: </w:t>
      </w:r>
      <w:r w:rsidR="00645AEC" w:rsidRPr="0023319B">
        <w:rPr>
          <w:rFonts w:asciiTheme="minorHAnsi" w:hAnsiTheme="minorHAnsi" w:cstheme="minorHAnsi"/>
          <w:bCs/>
          <w:sz w:val="24"/>
          <w:szCs w:val="24"/>
          <w:lang w:val="es-CR"/>
        </w:rPr>
        <w:t>Incentivo que otorga el Banco Central de Costa Rica a todos aquellos empleados que ocupan puestos cuyo requisito académico mínimo es el de bachiller universitario y que sus titulares también lo ostentan. Es un rubro que funciona de acuerdo con un sistema de puntos, en el cual se asignan y acumulan los puntos por diversos factores, tales como: grado académico, cursos de capacitación, experiencia profesional, experiencia docente y otros, y su filosofía es promover e incentivar el desarrollo profesional del funcionario en su puesto y fuera de éste. Al punto de bonificación se le fija un valor mensual en colones y puede ser ajustado en el futuro por disposición de</w:t>
      </w:r>
      <w:r w:rsidR="003733BD" w:rsidRPr="0023319B">
        <w:rPr>
          <w:rFonts w:asciiTheme="minorHAnsi" w:hAnsiTheme="minorHAnsi" w:cstheme="minorHAnsi"/>
          <w:bCs/>
          <w:sz w:val="24"/>
          <w:szCs w:val="24"/>
          <w:lang w:val="es-CR"/>
        </w:rPr>
        <w:t xml:space="preserve"> </w:t>
      </w:r>
      <w:r w:rsidR="00645AEC" w:rsidRPr="0023319B">
        <w:rPr>
          <w:rFonts w:asciiTheme="minorHAnsi" w:hAnsiTheme="minorHAnsi" w:cstheme="minorHAnsi"/>
          <w:bCs/>
          <w:sz w:val="24"/>
          <w:szCs w:val="24"/>
          <w:lang w:val="es-CR"/>
        </w:rPr>
        <w:t>l</w:t>
      </w:r>
      <w:r w:rsidR="003733BD" w:rsidRPr="0023319B">
        <w:rPr>
          <w:rFonts w:asciiTheme="minorHAnsi" w:hAnsiTheme="minorHAnsi" w:cstheme="minorHAnsi"/>
          <w:bCs/>
          <w:sz w:val="24"/>
          <w:szCs w:val="24"/>
          <w:lang w:val="es-CR"/>
        </w:rPr>
        <w:t>a Dirección General de</w:t>
      </w:r>
      <w:r w:rsidR="00645AEC" w:rsidRPr="0023319B">
        <w:rPr>
          <w:rFonts w:asciiTheme="minorHAnsi" w:hAnsiTheme="minorHAnsi" w:cstheme="minorHAnsi"/>
          <w:bCs/>
          <w:sz w:val="24"/>
          <w:szCs w:val="24"/>
          <w:lang w:val="es-CR"/>
        </w:rPr>
        <w:t xml:space="preserve"> Servicio Civil. Su creación se fundamenta en las normas que rigen a partir del 1° de junio de 1994 para el BCCR y también es exclusivo para empleados de la escala de básico más pluses.  El valor del punto se reajusta semestralmente, por tanto, dos veces cada año.</w:t>
      </w:r>
    </w:p>
    <w:p w14:paraId="3D93BF43" w14:textId="7FEBB42D" w:rsidR="00BE1950" w:rsidRPr="0023319B" w:rsidRDefault="009355CD" w:rsidP="00645AEC">
      <w:pPr>
        <w:spacing w:line="240" w:lineRule="auto"/>
        <w:ind w:left="1276" w:right="51"/>
        <w:rPr>
          <w:rFonts w:asciiTheme="minorHAnsi" w:hAnsiTheme="minorHAnsi" w:cstheme="minorHAnsi"/>
          <w:sz w:val="24"/>
          <w:szCs w:val="24"/>
          <w:lang w:val="es-CR"/>
        </w:rPr>
      </w:pPr>
      <w:r w:rsidRPr="0023319B">
        <w:rPr>
          <w:rFonts w:asciiTheme="minorHAnsi" w:hAnsiTheme="minorHAnsi" w:cstheme="minorHAnsi"/>
          <w:bCs/>
          <w:sz w:val="24"/>
          <w:szCs w:val="24"/>
          <w:lang w:val="es-CR"/>
        </w:rPr>
        <w:t>C</w:t>
      </w:r>
      <w:r w:rsidR="00645AEC" w:rsidRPr="0023319B">
        <w:rPr>
          <w:rFonts w:asciiTheme="minorHAnsi" w:hAnsiTheme="minorHAnsi" w:cstheme="minorHAnsi"/>
          <w:bCs/>
          <w:sz w:val="24"/>
          <w:szCs w:val="24"/>
          <w:lang w:val="es-CR"/>
        </w:rPr>
        <w:t>on la Ley de Fortalecimiento de las Finanzas Públicas, los nuevos puntos solo serán reconocidos salarialmente por un plazo máximo de cinco años y no será</w:t>
      </w:r>
      <w:r w:rsidR="00AF4987" w:rsidRPr="0023319B">
        <w:rPr>
          <w:rFonts w:asciiTheme="minorHAnsi" w:hAnsiTheme="minorHAnsi" w:cstheme="minorHAnsi"/>
          <w:bCs/>
          <w:sz w:val="24"/>
          <w:szCs w:val="24"/>
          <w:lang w:val="es-CR"/>
        </w:rPr>
        <w:t>n</w:t>
      </w:r>
      <w:r w:rsidR="00645AEC" w:rsidRPr="0023319B">
        <w:rPr>
          <w:rFonts w:asciiTheme="minorHAnsi" w:hAnsiTheme="minorHAnsi" w:cstheme="minorHAnsi"/>
          <w:bCs/>
          <w:sz w:val="24"/>
          <w:szCs w:val="24"/>
          <w:lang w:val="es-CR"/>
        </w:rPr>
        <w:t xml:space="preserve"> reconocidos para aquellos títulos o grados académicos que sean requisito para el puesto. Además, las actividades de capacitación se reconocerán a los servidores públicos siempre y cuando estas no hayan sido sufragadas por la institución</w:t>
      </w:r>
      <w:r w:rsidR="009D2A78" w:rsidRPr="0023319B">
        <w:rPr>
          <w:rFonts w:asciiTheme="minorHAnsi" w:hAnsiTheme="minorHAnsi" w:cstheme="minorHAnsi"/>
          <w:bCs/>
          <w:sz w:val="24"/>
          <w:szCs w:val="24"/>
          <w:lang w:val="es-CR"/>
        </w:rPr>
        <w:t>.</w:t>
      </w:r>
    </w:p>
    <w:p w14:paraId="681D4142" w14:textId="28E42F2D" w:rsidR="00BE1950" w:rsidRPr="0023319B" w:rsidRDefault="00BE1950" w:rsidP="00093594">
      <w:pPr>
        <w:ind w:right="51"/>
        <w:rPr>
          <w:rFonts w:asciiTheme="minorHAnsi" w:hAnsiTheme="minorHAnsi" w:cstheme="minorHAnsi"/>
          <w:sz w:val="24"/>
          <w:szCs w:val="24"/>
          <w:lang w:val="es-CR"/>
        </w:rPr>
      </w:pPr>
    </w:p>
    <w:p w14:paraId="625EEC10" w14:textId="2BE6D795" w:rsidR="009D2A78" w:rsidRPr="0023319B" w:rsidRDefault="00BE1950" w:rsidP="00093594">
      <w:pPr>
        <w:spacing w:line="240" w:lineRule="auto"/>
        <w:ind w:left="1276" w:right="51" w:hanging="1276"/>
        <w:rPr>
          <w:rFonts w:asciiTheme="minorHAnsi" w:hAnsiTheme="minorHAnsi" w:cstheme="minorHAnsi"/>
          <w:sz w:val="24"/>
          <w:szCs w:val="24"/>
          <w:lang w:val="es-CR"/>
        </w:rPr>
      </w:pPr>
      <w:r w:rsidRPr="0023319B">
        <w:rPr>
          <w:rFonts w:asciiTheme="minorHAnsi" w:hAnsiTheme="minorHAnsi" w:cstheme="minorHAnsi"/>
          <w:b/>
          <w:bCs/>
          <w:sz w:val="24"/>
          <w:szCs w:val="24"/>
          <w:lang w:val="es-CR"/>
        </w:rPr>
        <w:t>Méritos</w:t>
      </w:r>
      <w:r w:rsidR="00857435" w:rsidRPr="0023319B">
        <w:rPr>
          <w:rFonts w:asciiTheme="minorHAnsi" w:hAnsiTheme="minorHAnsi" w:cstheme="minorHAnsi"/>
          <w:b/>
          <w:bCs/>
          <w:sz w:val="24"/>
          <w:szCs w:val="24"/>
          <w:lang w:val="es-CR"/>
        </w:rPr>
        <w:t>:</w:t>
      </w:r>
      <w:r w:rsidR="00D97C2E" w:rsidRPr="0023319B">
        <w:rPr>
          <w:rFonts w:asciiTheme="minorHAnsi" w:hAnsiTheme="minorHAnsi" w:cstheme="minorHAnsi"/>
          <w:b/>
          <w:bCs/>
          <w:sz w:val="24"/>
          <w:szCs w:val="24"/>
          <w:lang w:val="es-CR"/>
        </w:rPr>
        <w:tab/>
      </w:r>
      <w:r w:rsidR="0034019C" w:rsidRPr="0023319B">
        <w:rPr>
          <w:rFonts w:asciiTheme="minorHAnsi" w:hAnsiTheme="minorHAnsi" w:cstheme="minorHAnsi"/>
          <w:sz w:val="24"/>
          <w:szCs w:val="24"/>
          <w:lang w:val="es-CR"/>
        </w:rPr>
        <w:t>Corresponde a un incentivo salarial del 2.5%, 3.0% o 3.5%, aplicado sobre el salario base y costo vida, al que el empleado se hace acreedor mediante la obtención de dos notas semestrales satisfactorias y consecutivas en la evaluación del desempeño, el cual se calcula en relación directa con la categoría salarial de la escala de básico más pluses en la que se encuentra ubicado el funcionario, según el siguiente cuadro</w:t>
      </w:r>
      <w:r w:rsidR="009D2A78" w:rsidRPr="0023319B">
        <w:rPr>
          <w:rFonts w:asciiTheme="minorHAnsi" w:hAnsiTheme="minorHAnsi" w:cstheme="minorHAnsi"/>
          <w:sz w:val="24"/>
          <w:szCs w:val="24"/>
          <w:lang w:val="es-CR"/>
        </w:rPr>
        <w:t>:</w:t>
      </w:r>
    </w:p>
    <w:p w14:paraId="6E92FE1F" w14:textId="77777777" w:rsidR="009D2A78" w:rsidRPr="0023319B" w:rsidRDefault="009D2A78" w:rsidP="00093594">
      <w:pPr>
        <w:spacing w:line="240" w:lineRule="auto"/>
        <w:ind w:left="1276" w:right="51" w:hanging="1276"/>
        <w:rPr>
          <w:rFonts w:asciiTheme="minorHAnsi" w:hAnsiTheme="minorHAnsi" w:cstheme="minorHAnsi"/>
          <w:sz w:val="24"/>
          <w:szCs w:val="24"/>
          <w:lang w:val="es-CR"/>
        </w:rPr>
      </w:pPr>
    </w:p>
    <w:tbl>
      <w:tblPr>
        <w:tblW w:w="0" w:type="auto"/>
        <w:tblInd w:w="2258" w:type="dxa"/>
        <w:tblCellMar>
          <w:left w:w="0" w:type="dxa"/>
          <w:right w:w="0" w:type="dxa"/>
        </w:tblCellMar>
        <w:tblLook w:val="0000" w:firstRow="0" w:lastRow="0" w:firstColumn="0" w:lastColumn="0" w:noHBand="0" w:noVBand="0"/>
      </w:tblPr>
      <w:tblGrid>
        <w:gridCol w:w="2977"/>
        <w:gridCol w:w="1846"/>
      </w:tblGrid>
      <w:tr w:rsidR="009D2A78" w:rsidRPr="0023319B" w14:paraId="1C8A9D9E" w14:textId="77777777" w:rsidTr="00E924B7">
        <w:tc>
          <w:tcPr>
            <w:tcW w:w="2977" w:type="dxa"/>
            <w:tcBorders>
              <w:top w:val="single" w:sz="8" w:space="0" w:color="auto"/>
              <w:left w:val="single" w:sz="8" w:space="0" w:color="auto"/>
              <w:bottom w:val="single" w:sz="8" w:space="0" w:color="auto"/>
              <w:right w:val="single" w:sz="8" w:space="0" w:color="auto"/>
            </w:tcBorders>
            <w:shd w:val="clear" w:color="auto" w:fill="DFDFDF"/>
            <w:tcMar>
              <w:top w:w="0" w:type="dxa"/>
              <w:left w:w="70" w:type="dxa"/>
              <w:bottom w:w="0" w:type="dxa"/>
              <w:right w:w="70" w:type="dxa"/>
            </w:tcMar>
          </w:tcPr>
          <w:p w14:paraId="10BAB9BE" w14:textId="77777777" w:rsidR="009D2A78" w:rsidRPr="0023319B" w:rsidRDefault="009D2A78" w:rsidP="00093594">
            <w:pPr>
              <w:ind w:right="51"/>
              <w:jc w:val="center"/>
              <w:rPr>
                <w:rFonts w:asciiTheme="minorHAnsi" w:hAnsiTheme="minorHAnsi" w:cstheme="minorHAnsi"/>
                <w:b/>
                <w:bCs/>
                <w:i/>
                <w:iCs/>
                <w:lang w:val="es-CR"/>
              </w:rPr>
            </w:pPr>
            <w:r w:rsidRPr="0023319B">
              <w:rPr>
                <w:rFonts w:asciiTheme="minorHAnsi" w:hAnsiTheme="minorHAnsi" w:cstheme="minorHAnsi"/>
                <w:b/>
                <w:bCs/>
                <w:i/>
                <w:iCs/>
                <w:lang w:val="es-CR"/>
              </w:rPr>
              <w:t>CATEGORÍA</w:t>
            </w:r>
          </w:p>
        </w:tc>
        <w:tc>
          <w:tcPr>
            <w:tcW w:w="1846" w:type="dxa"/>
            <w:tcBorders>
              <w:top w:val="single" w:sz="8" w:space="0" w:color="auto"/>
              <w:left w:val="nil"/>
              <w:bottom w:val="single" w:sz="8" w:space="0" w:color="auto"/>
              <w:right w:val="single" w:sz="8" w:space="0" w:color="auto"/>
            </w:tcBorders>
            <w:shd w:val="clear" w:color="auto" w:fill="DFDFDF"/>
            <w:tcMar>
              <w:top w:w="0" w:type="dxa"/>
              <w:left w:w="70" w:type="dxa"/>
              <w:bottom w:w="0" w:type="dxa"/>
              <w:right w:w="70" w:type="dxa"/>
            </w:tcMar>
          </w:tcPr>
          <w:p w14:paraId="667473C8" w14:textId="77777777" w:rsidR="009D2A78" w:rsidRPr="0023319B" w:rsidRDefault="009D2A78" w:rsidP="00093594">
            <w:pPr>
              <w:ind w:right="51"/>
              <w:jc w:val="center"/>
              <w:rPr>
                <w:rFonts w:asciiTheme="minorHAnsi" w:hAnsiTheme="minorHAnsi" w:cstheme="minorHAnsi"/>
                <w:b/>
                <w:bCs/>
                <w:i/>
                <w:iCs/>
                <w:lang w:val="es-CR"/>
              </w:rPr>
            </w:pPr>
            <w:r w:rsidRPr="0023319B">
              <w:rPr>
                <w:rFonts w:asciiTheme="minorHAnsi" w:hAnsiTheme="minorHAnsi" w:cstheme="minorHAnsi"/>
                <w:b/>
                <w:bCs/>
                <w:i/>
                <w:iCs/>
                <w:lang w:val="es-CR"/>
              </w:rPr>
              <w:t>PORCENTAJE</w:t>
            </w:r>
          </w:p>
        </w:tc>
      </w:tr>
      <w:tr w:rsidR="009D2A78" w:rsidRPr="0023319B" w14:paraId="59DFAE3B" w14:textId="77777777" w:rsidTr="00E924B7">
        <w:tc>
          <w:tcPr>
            <w:tcW w:w="2977"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0CCD87B3" w14:textId="77777777" w:rsidR="009D2A78" w:rsidRPr="0023319B" w:rsidRDefault="009D2A78" w:rsidP="00093594">
            <w:pPr>
              <w:ind w:right="51"/>
              <w:jc w:val="center"/>
              <w:rPr>
                <w:rFonts w:asciiTheme="minorHAnsi" w:hAnsiTheme="minorHAnsi" w:cstheme="minorHAnsi"/>
                <w:i/>
                <w:iCs/>
                <w:lang w:val="es-CR"/>
              </w:rPr>
            </w:pPr>
            <w:r w:rsidRPr="0023319B">
              <w:rPr>
                <w:rFonts w:asciiTheme="minorHAnsi" w:hAnsiTheme="minorHAnsi" w:cstheme="minorHAnsi"/>
                <w:i/>
                <w:iCs/>
                <w:lang w:val="es-CR"/>
              </w:rPr>
              <w:t xml:space="preserve">De la </w:t>
            </w:r>
            <w:smartTag w:uri="urn:schemas-microsoft-com:office:smarttags" w:element="metricconverter">
              <w:smartTagPr>
                <w:attr w:name="ProductID" w:val="01 a"/>
              </w:smartTagPr>
              <w:r w:rsidRPr="0023319B">
                <w:rPr>
                  <w:rFonts w:asciiTheme="minorHAnsi" w:hAnsiTheme="minorHAnsi" w:cstheme="minorHAnsi"/>
                  <w:i/>
                  <w:iCs/>
                  <w:lang w:val="es-CR"/>
                </w:rPr>
                <w:t>01 a</w:t>
              </w:r>
            </w:smartTag>
            <w:r w:rsidRPr="0023319B">
              <w:rPr>
                <w:rFonts w:asciiTheme="minorHAnsi" w:hAnsiTheme="minorHAnsi" w:cstheme="minorHAnsi"/>
                <w:i/>
                <w:iCs/>
                <w:lang w:val="es-CR"/>
              </w:rPr>
              <w:t xml:space="preserve"> la 07</w:t>
            </w:r>
          </w:p>
        </w:tc>
        <w:tc>
          <w:tcPr>
            <w:tcW w:w="1846" w:type="dxa"/>
            <w:tcBorders>
              <w:top w:val="nil"/>
              <w:left w:val="nil"/>
              <w:bottom w:val="single" w:sz="8" w:space="0" w:color="auto"/>
              <w:right w:val="single" w:sz="8" w:space="0" w:color="auto"/>
            </w:tcBorders>
            <w:tcMar>
              <w:top w:w="0" w:type="dxa"/>
              <w:left w:w="70" w:type="dxa"/>
              <w:bottom w:w="0" w:type="dxa"/>
              <w:right w:w="70" w:type="dxa"/>
            </w:tcMar>
          </w:tcPr>
          <w:p w14:paraId="43DB9493" w14:textId="77777777" w:rsidR="009D2A78" w:rsidRPr="0023319B" w:rsidRDefault="009D2A78" w:rsidP="00093594">
            <w:pPr>
              <w:ind w:right="51"/>
              <w:jc w:val="center"/>
              <w:rPr>
                <w:rFonts w:asciiTheme="minorHAnsi" w:hAnsiTheme="minorHAnsi" w:cstheme="minorHAnsi"/>
                <w:i/>
                <w:iCs/>
                <w:lang w:val="es-CR"/>
              </w:rPr>
            </w:pPr>
            <w:r w:rsidRPr="0023319B">
              <w:rPr>
                <w:rFonts w:asciiTheme="minorHAnsi" w:hAnsiTheme="minorHAnsi" w:cstheme="minorHAnsi"/>
                <w:i/>
                <w:iCs/>
                <w:lang w:val="es-CR"/>
              </w:rPr>
              <w:t>2.5</w:t>
            </w:r>
          </w:p>
        </w:tc>
      </w:tr>
      <w:tr w:rsidR="009D2A78" w:rsidRPr="0023319B" w14:paraId="76837E37" w14:textId="77777777" w:rsidTr="00E924B7">
        <w:tc>
          <w:tcPr>
            <w:tcW w:w="2977"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752BFDAC" w14:textId="77777777" w:rsidR="009D2A78" w:rsidRPr="0023319B" w:rsidRDefault="009D2A78" w:rsidP="00093594">
            <w:pPr>
              <w:ind w:right="51"/>
              <w:jc w:val="center"/>
              <w:rPr>
                <w:rFonts w:asciiTheme="minorHAnsi" w:hAnsiTheme="minorHAnsi" w:cstheme="minorHAnsi"/>
                <w:i/>
                <w:iCs/>
                <w:lang w:val="es-CR"/>
              </w:rPr>
            </w:pPr>
            <w:r w:rsidRPr="0023319B">
              <w:rPr>
                <w:rFonts w:asciiTheme="minorHAnsi" w:hAnsiTheme="minorHAnsi" w:cstheme="minorHAnsi"/>
                <w:i/>
                <w:iCs/>
                <w:lang w:val="es-CR"/>
              </w:rPr>
              <w:t xml:space="preserve">De la </w:t>
            </w:r>
            <w:smartTag w:uri="urn:schemas-microsoft-com:office:smarttags" w:element="metricconverter">
              <w:smartTagPr>
                <w:attr w:name="ProductID" w:val="08 a"/>
              </w:smartTagPr>
              <w:r w:rsidRPr="0023319B">
                <w:rPr>
                  <w:rFonts w:asciiTheme="minorHAnsi" w:hAnsiTheme="minorHAnsi" w:cstheme="minorHAnsi"/>
                  <w:i/>
                  <w:iCs/>
                  <w:lang w:val="es-CR"/>
                </w:rPr>
                <w:t>08 a</w:t>
              </w:r>
            </w:smartTag>
            <w:r w:rsidRPr="0023319B">
              <w:rPr>
                <w:rFonts w:asciiTheme="minorHAnsi" w:hAnsiTheme="minorHAnsi" w:cstheme="minorHAnsi"/>
                <w:i/>
                <w:iCs/>
                <w:lang w:val="es-CR"/>
              </w:rPr>
              <w:t xml:space="preserve"> la 19</w:t>
            </w:r>
          </w:p>
        </w:tc>
        <w:tc>
          <w:tcPr>
            <w:tcW w:w="1846" w:type="dxa"/>
            <w:tcBorders>
              <w:top w:val="nil"/>
              <w:left w:val="nil"/>
              <w:bottom w:val="single" w:sz="8" w:space="0" w:color="auto"/>
              <w:right w:val="single" w:sz="8" w:space="0" w:color="auto"/>
            </w:tcBorders>
            <w:tcMar>
              <w:top w:w="0" w:type="dxa"/>
              <w:left w:w="70" w:type="dxa"/>
              <w:bottom w:w="0" w:type="dxa"/>
              <w:right w:w="70" w:type="dxa"/>
            </w:tcMar>
          </w:tcPr>
          <w:p w14:paraId="33AFB36F" w14:textId="77777777" w:rsidR="009D2A78" w:rsidRPr="0023319B" w:rsidRDefault="009D2A78" w:rsidP="00093594">
            <w:pPr>
              <w:ind w:right="51"/>
              <w:jc w:val="center"/>
              <w:rPr>
                <w:rFonts w:asciiTheme="minorHAnsi" w:hAnsiTheme="minorHAnsi" w:cstheme="minorHAnsi"/>
                <w:i/>
                <w:iCs/>
                <w:lang w:val="es-CR"/>
              </w:rPr>
            </w:pPr>
            <w:r w:rsidRPr="0023319B">
              <w:rPr>
                <w:rFonts w:asciiTheme="minorHAnsi" w:hAnsiTheme="minorHAnsi" w:cstheme="minorHAnsi"/>
                <w:i/>
                <w:iCs/>
                <w:lang w:val="es-CR"/>
              </w:rPr>
              <w:t>3.0</w:t>
            </w:r>
          </w:p>
        </w:tc>
      </w:tr>
      <w:tr w:rsidR="009D2A78" w:rsidRPr="0023319B" w14:paraId="1F28EE0A" w14:textId="77777777" w:rsidTr="00E924B7">
        <w:tc>
          <w:tcPr>
            <w:tcW w:w="2977"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2D8DFC77" w14:textId="77777777" w:rsidR="009D2A78" w:rsidRPr="0023319B" w:rsidRDefault="009D2A78" w:rsidP="00093594">
            <w:pPr>
              <w:ind w:right="51"/>
              <w:jc w:val="center"/>
              <w:rPr>
                <w:rFonts w:asciiTheme="minorHAnsi" w:hAnsiTheme="minorHAnsi" w:cstheme="minorHAnsi"/>
                <w:i/>
                <w:iCs/>
                <w:lang w:val="es-CR"/>
              </w:rPr>
            </w:pPr>
            <w:r w:rsidRPr="0023319B">
              <w:rPr>
                <w:rFonts w:asciiTheme="minorHAnsi" w:hAnsiTheme="minorHAnsi" w:cstheme="minorHAnsi"/>
                <w:i/>
                <w:iCs/>
                <w:lang w:val="es-CR"/>
              </w:rPr>
              <w:t>De la 20 en adelante</w:t>
            </w:r>
          </w:p>
        </w:tc>
        <w:tc>
          <w:tcPr>
            <w:tcW w:w="1846" w:type="dxa"/>
            <w:tcBorders>
              <w:top w:val="nil"/>
              <w:left w:val="nil"/>
              <w:bottom w:val="single" w:sz="8" w:space="0" w:color="auto"/>
              <w:right w:val="single" w:sz="8" w:space="0" w:color="auto"/>
            </w:tcBorders>
            <w:tcMar>
              <w:top w:w="0" w:type="dxa"/>
              <w:left w:w="70" w:type="dxa"/>
              <w:bottom w:w="0" w:type="dxa"/>
              <w:right w:w="70" w:type="dxa"/>
            </w:tcMar>
          </w:tcPr>
          <w:p w14:paraId="3B1B3E11" w14:textId="77777777" w:rsidR="009D2A78" w:rsidRPr="0023319B" w:rsidRDefault="009D2A78" w:rsidP="00093594">
            <w:pPr>
              <w:ind w:right="51"/>
              <w:jc w:val="center"/>
              <w:rPr>
                <w:rFonts w:asciiTheme="minorHAnsi" w:hAnsiTheme="minorHAnsi" w:cstheme="minorHAnsi"/>
                <w:i/>
                <w:iCs/>
                <w:lang w:val="es-CR"/>
              </w:rPr>
            </w:pPr>
            <w:r w:rsidRPr="0023319B">
              <w:rPr>
                <w:rFonts w:asciiTheme="minorHAnsi" w:hAnsiTheme="minorHAnsi" w:cstheme="minorHAnsi"/>
                <w:i/>
                <w:iCs/>
                <w:lang w:val="es-CR"/>
              </w:rPr>
              <w:t>3.5</w:t>
            </w:r>
          </w:p>
        </w:tc>
      </w:tr>
    </w:tbl>
    <w:p w14:paraId="182BE313" w14:textId="77777777" w:rsidR="009D2A78" w:rsidRPr="0023319B" w:rsidRDefault="009D2A78" w:rsidP="00093594">
      <w:pPr>
        <w:spacing w:line="240" w:lineRule="auto"/>
        <w:ind w:left="1276" w:right="51" w:hanging="1276"/>
        <w:rPr>
          <w:rFonts w:asciiTheme="minorHAnsi" w:hAnsiTheme="minorHAnsi" w:cstheme="minorHAnsi"/>
          <w:sz w:val="24"/>
          <w:szCs w:val="24"/>
          <w:lang w:val="es-CR"/>
        </w:rPr>
      </w:pPr>
    </w:p>
    <w:p w14:paraId="4ED26085" w14:textId="48E53485" w:rsidR="00D87887" w:rsidRPr="0023319B" w:rsidRDefault="00D87887" w:rsidP="00D87887">
      <w:pPr>
        <w:spacing w:line="240" w:lineRule="auto"/>
        <w:ind w:left="1276" w:right="51"/>
        <w:rPr>
          <w:rFonts w:asciiTheme="minorHAnsi" w:hAnsiTheme="minorHAnsi" w:cstheme="minorHAnsi"/>
          <w:sz w:val="24"/>
          <w:szCs w:val="24"/>
          <w:lang w:val="es-CR"/>
        </w:rPr>
      </w:pPr>
      <w:r w:rsidRPr="0023319B">
        <w:rPr>
          <w:rFonts w:asciiTheme="minorHAnsi" w:hAnsiTheme="minorHAnsi" w:cstheme="minorHAnsi"/>
          <w:sz w:val="24"/>
          <w:szCs w:val="24"/>
          <w:lang w:val="es-CR"/>
        </w:rPr>
        <w:t>Este plus salarial encuentra su fundamento en el documento denominado “Disposiciones Relativas a la Evaluación del Desempeño de los Empleados del Banco Central de Costa Rica”, régimen que también es exclusivo para funcionarios de la escala de básico más pluses y se reajusta una vez al año, sin embargo, si el funcionario ingresó en un mes posterior al mes de junio, se le reajustará dicho  rubro salarial en enero de cada año y al resto del personal que ingresó a laborar antes del mes de julio se le reajusta en julio de cada año en el porcentaje indicado de acuerdo con su categoría salarial.</w:t>
      </w:r>
    </w:p>
    <w:p w14:paraId="435572B2" w14:textId="4FBA3471" w:rsidR="00BE1950" w:rsidRPr="0023319B" w:rsidRDefault="00DA440D" w:rsidP="00D87887">
      <w:pPr>
        <w:spacing w:line="240" w:lineRule="auto"/>
        <w:ind w:left="1276" w:right="51"/>
        <w:rPr>
          <w:rFonts w:asciiTheme="minorHAnsi" w:hAnsiTheme="minorHAnsi" w:cstheme="minorHAnsi"/>
          <w:sz w:val="24"/>
          <w:szCs w:val="24"/>
          <w:lang w:val="es-CR"/>
        </w:rPr>
      </w:pPr>
      <w:r w:rsidRPr="0023319B">
        <w:rPr>
          <w:rFonts w:asciiTheme="minorHAnsi" w:hAnsiTheme="minorHAnsi" w:cstheme="minorHAnsi"/>
          <w:sz w:val="24"/>
          <w:szCs w:val="24"/>
          <w:lang w:val="es-CR"/>
        </w:rPr>
        <w:t>C</w:t>
      </w:r>
      <w:r w:rsidR="00D87887" w:rsidRPr="0023319B">
        <w:rPr>
          <w:rFonts w:asciiTheme="minorHAnsi" w:hAnsiTheme="minorHAnsi" w:cstheme="minorHAnsi"/>
          <w:sz w:val="24"/>
          <w:szCs w:val="24"/>
          <w:lang w:val="es-CR"/>
        </w:rPr>
        <w:t xml:space="preserve">on la </w:t>
      </w:r>
      <w:r w:rsidR="00F62BAA" w:rsidRPr="0023319B">
        <w:rPr>
          <w:rFonts w:asciiTheme="minorHAnsi" w:hAnsiTheme="minorHAnsi" w:cstheme="minorHAnsi"/>
          <w:sz w:val="24"/>
          <w:szCs w:val="24"/>
          <w:lang w:val="es-CR"/>
        </w:rPr>
        <w:t>aplicación</w:t>
      </w:r>
      <w:r w:rsidR="00D87887" w:rsidRPr="0023319B">
        <w:rPr>
          <w:rFonts w:asciiTheme="minorHAnsi" w:hAnsiTheme="minorHAnsi" w:cstheme="minorHAnsi"/>
          <w:sz w:val="24"/>
          <w:szCs w:val="24"/>
          <w:lang w:val="es-CR"/>
        </w:rPr>
        <w:t xml:space="preserve"> de la Ley de Fortalecimiento de las Finanzas Públicas, los méritos se calcularán con el salario base del 2018</w:t>
      </w:r>
      <w:r w:rsidR="009D2A78" w:rsidRPr="0023319B">
        <w:rPr>
          <w:rFonts w:asciiTheme="minorHAnsi" w:hAnsiTheme="minorHAnsi" w:cstheme="minorHAnsi"/>
          <w:sz w:val="24"/>
          <w:szCs w:val="24"/>
          <w:lang w:val="es-CR"/>
        </w:rPr>
        <w:t>.</w:t>
      </w:r>
    </w:p>
    <w:p w14:paraId="401DF885" w14:textId="3014EC6A" w:rsidR="00BE1950" w:rsidRPr="0023319B" w:rsidRDefault="00BE1950" w:rsidP="00093594">
      <w:pPr>
        <w:ind w:right="51"/>
        <w:rPr>
          <w:rFonts w:asciiTheme="minorHAnsi" w:hAnsiTheme="minorHAnsi" w:cstheme="minorHAnsi"/>
          <w:b/>
          <w:sz w:val="24"/>
          <w:szCs w:val="24"/>
          <w:lang w:val="es-CR"/>
        </w:rPr>
      </w:pPr>
    </w:p>
    <w:p w14:paraId="3D7C8392" w14:textId="2B007DFA" w:rsidR="00D937D9" w:rsidRPr="0023319B" w:rsidRDefault="00BE1950" w:rsidP="00D937D9">
      <w:pPr>
        <w:spacing w:line="240" w:lineRule="auto"/>
        <w:ind w:left="1276" w:right="51" w:hanging="1276"/>
        <w:rPr>
          <w:rFonts w:asciiTheme="minorHAnsi" w:hAnsiTheme="minorHAnsi" w:cstheme="minorHAnsi"/>
          <w:sz w:val="24"/>
          <w:szCs w:val="24"/>
          <w:lang w:val="es-CR"/>
        </w:rPr>
      </w:pPr>
      <w:r w:rsidRPr="0023319B">
        <w:rPr>
          <w:rFonts w:asciiTheme="minorHAnsi" w:hAnsiTheme="minorHAnsi" w:cstheme="minorHAnsi"/>
          <w:b/>
          <w:sz w:val="24"/>
          <w:szCs w:val="24"/>
          <w:lang w:val="es-CR"/>
        </w:rPr>
        <w:t>Salario Escolar</w:t>
      </w:r>
      <w:r w:rsidR="003438EC" w:rsidRPr="0023319B">
        <w:rPr>
          <w:rFonts w:asciiTheme="minorHAnsi" w:hAnsiTheme="minorHAnsi" w:cstheme="minorHAnsi"/>
          <w:b/>
          <w:sz w:val="24"/>
          <w:szCs w:val="24"/>
          <w:lang w:val="es-CR"/>
        </w:rPr>
        <w:t xml:space="preserve">: </w:t>
      </w:r>
      <w:r w:rsidR="00D937D9" w:rsidRPr="0023319B">
        <w:rPr>
          <w:rFonts w:asciiTheme="minorHAnsi" w:hAnsiTheme="minorHAnsi" w:cstheme="minorHAnsi"/>
          <w:sz w:val="24"/>
          <w:szCs w:val="24"/>
          <w:lang w:val="es-CR"/>
        </w:rPr>
        <w:t xml:space="preserve">Rubro salarial que corresponde al 8.33% sobre el salario bruto percibido en el período anual anterior, que se hace efectivo en un solo pago en el mes de enero de cada año y estará sujeto a las cargas sociales de Ley, excepto </w:t>
      </w:r>
      <w:r w:rsidR="00E772FF" w:rsidRPr="0023319B">
        <w:rPr>
          <w:rFonts w:asciiTheme="minorHAnsi" w:hAnsiTheme="minorHAnsi" w:cstheme="minorHAnsi"/>
          <w:sz w:val="24"/>
          <w:szCs w:val="24"/>
          <w:lang w:val="es-CR"/>
        </w:rPr>
        <w:t>I</w:t>
      </w:r>
      <w:r w:rsidR="00D937D9" w:rsidRPr="0023319B">
        <w:rPr>
          <w:rFonts w:asciiTheme="minorHAnsi" w:hAnsiTheme="minorHAnsi" w:cstheme="minorHAnsi"/>
          <w:sz w:val="24"/>
          <w:szCs w:val="24"/>
          <w:lang w:val="es-CR"/>
        </w:rPr>
        <w:t xml:space="preserve">mpuesto </w:t>
      </w:r>
      <w:r w:rsidR="00E772FF" w:rsidRPr="0023319B">
        <w:rPr>
          <w:rFonts w:asciiTheme="minorHAnsi" w:hAnsiTheme="minorHAnsi" w:cstheme="minorHAnsi"/>
          <w:sz w:val="24"/>
          <w:szCs w:val="24"/>
          <w:lang w:val="es-CR"/>
        </w:rPr>
        <w:t>General sobre la R</w:t>
      </w:r>
      <w:r w:rsidR="00D937D9" w:rsidRPr="0023319B">
        <w:rPr>
          <w:rFonts w:asciiTheme="minorHAnsi" w:hAnsiTheme="minorHAnsi" w:cstheme="minorHAnsi"/>
          <w:sz w:val="24"/>
          <w:szCs w:val="24"/>
          <w:lang w:val="es-CR"/>
        </w:rPr>
        <w:t>enta. El salario escolar del Sector Público nació por vía Decreto Ejecutivo 23907-H, publicado en La Gaceta 246 del 27 de diciembre de 1994, que establece lo siguiente:</w:t>
      </w:r>
    </w:p>
    <w:p w14:paraId="21E03BD1" w14:textId="1F3F4305" w:rsidR="00BE1950" w:rsidRPr="0023319B" w:rsidRDefault="00D937D9" w:rsidP="00D937D9">
      <w:pPr>
        <w:spacing w:line="240" w:lineRule="auto"/>
        <w:ind w:left="1276" w:right="51"/>
        <w:rPr>
          <w:rFonts w:asciiTheme="minorHAnsi" w:hAnsiTheme="minorHAnsi" w:cstheme="minorHAnsi"/>
          <w:sz w:val="24"/>
          <w:szCs w:val="24"/>
          <w:lang w:val="es-CR"/>
        </w:rPr>
      </w:pPr>
      <w:r w:rsidRPr="0023319B">
        <w:rPr>
          <w:rFonts w:asciiTheme="minorHAnsi" w:hAnsiTheme="minorHAnsi" w:cstheme="minorHAnsi"/>
          <w:sz w:val="24"/>
          <w:szCs w:val="24"/>
          <w:lang w:val="es-CR"/>
        </w:rPr>
        <w:t xml:space="preserve">"Artículo 1º.- Se adiciona a la partida de Servicios Personales el rubro Salario Escolar, para identificar el gasto por ajuste adicional, para los servidores activos, el aumento de salario otorgado a partir del 1º de julio de 1994, que consiste en un porcentaje del salario nominal de dichos servidores, para que sea pagado en forma acumulativa en el mes de enero de cada año.” </w:t>
      </w:r>
      <w:r w:rsidR="004544B7" w:rsidRPr="0023319B">
        <w:rPr>
          <w:rFonts w:asciiTheme="minorHAnsi" w:hAnsiTheme="minorHAnsi" w:cstheme="minorHAnsi"/>
          <w:sz w:val="24"/>
          <w:szCs w:val="24"/>
          <w:lang w:val="es-CR"/>
        </w:rPr>
        <w:t>Este</w:t>
      </w:r>
      <w:r w:rsidRPr="0023319B">
        <w:rPr>
          <w:rFonts w:asciiTheme="minorHAnsi" w:hAnsiTheme="minorHAnsi" w:cstheme="minorHAnsi"/>
          <w:sz w:val="24"/>
          <w:szCs w:val="24"/>
          <w:lang w:val="es-CR"/>
        </w:rPr>
        <w:t xml:space="preserve"> plus es de aplicación exclusiva a los empleados de la escala de básico más pluses, sin embargo, en la actualidad un funcionario de la escala regular global recibe dicho plus salarial con base en la resolución judicial 2016-000581 de la Sala Segunda de la Corte Suprema de Justicia</w:t>
      </w:r>
      <w:r w:rsidR="009D2A78" w:rsidRPr="0023319B">
        <w:rPr>
          <w:rFonts w:asciiTheme="minorHAnsi" w:hAnsiTheme="minorHAnsi" w:cstheme="minorHAnsi"/>
          <w:sz w:val="24"/>
          <w:szCs w:val="24"/>
          <w:lang w:val="es-CR"/>
        </w:rPr>
        <w:t>.</w:t>
      </w:r>
    </w:p>
    <w:p w14:paraId="311E4F6C" w14:textId="77777777" w:rsidR="00BE1950" w:rsidRPr="0023319B" w:rsidRDefault="00BE1950" w:rsidP="00093594">
      <w:pPr>
        <w:ind w:right="51"/>
        <w:rPr>
          <w:rFonts w:asciiTheme="minorHAnsi" w:hAnsiTheme="minorHAnsi" w:cstheme="minorHAnsi"/>
          <w:b/>
          <w:bCs/>
          <w:sz w:val="24"/>
          <w:szCs w:val="24"/>
          <w:lang w:val="es-CR"/>
        </w:rPr>
      </w:pPr>
    </w:p>
    <w:p w14:paraId="6E78E9FE" w14:textId="3F771871" w:rsidR="00BE1950" w:rsidRPr="0023319B" w:rsidRDefault="00BE1950" w:rsidP="00093594">
      <w:pPr>
        <w:spacing w:line="240" w:lineRule="auto"/>
        <w:ind w:left="1276" w:right="51" w:hanging="1276"/>
        <w:rPr>
          <w:rFonts w:asciiTheme="minorHAnsi" w:hAnsiTheme="minorHAnsi" w:cstheme="minorHAnsi"/>
          <w:b/>
          <w:bCs/>
          <w:sz w:val="24"/>
          <w:szCs w:val="24"/>
          <w:lang w:val="es-CR"/>
        </w:rPr>
      </w:pPr>
      <w:r w:rsidRPr="0023319B">
        <w:rPr>
          <w:rFonts w:asciiTheme="minorHAnsi" w:hAnsiTheme="minorHAnsi" w:cstheme="minorHAnsi"/>
          <w:b/>
          <w:bCs/>
          <w:sz w:val="24"/>
          <w:szCs w:val="24"/>
          <w:lang w:val="es-CR"/>
        </w:rPr>
        <w:t>Ajuste Personal</w:t>
      </w:r>
      <w:r w:rsidR="003438EC" w:rsidRPr="0023319B">
        <w:rPr>
          <w:rFonts w:asciiTheme="minorHAnsi" w:hAnsiTheme="minorHAnsi" w:cstheme="minorHAnsi"/>
          <w:b/>
          <w:bCs/>
          <w:sz w:val="24"/>
          <w:szCs w:val="24"/>
          <w:lang w:val="es-CR"/>
        </w:rPr>
        <w:t xml:space="preserve">: </w:t>
      </w:r>
      <w:r w:rsidR="00C04F09" w:rsidRPr="0023319B">
        <w:rPr>
          <w:rFonts w:asciiTheme="minorHAnsi" w:hAnsiTheme="minorHAnsi" w:cstheme="minorHAnsi"/>
          <w:bCs/>
          <w:sz w:val="24"/>
          <w:szCs w:val="24"/>
          <w:lang w:val="es-CR"/>
        </w:rPr>
        <w:t>Es un r</w:t>
      </w:r>
      <w:r w:rsidR="00313396" w:rsidRPr="0023319B">
        <w:rPr>
          <w:rFonts w:asciiTheme="minorHAnsi" w:hAnsiTheme="minorHAnsi" w:cstheme="minorHAnsi"/>
          <w:sz w:val="24"/>
          <w:szCs w:val="24"/>
          <w:lang w:val="es-CR"/>
        </w:rPr>
        <w:t xml:space="preserve">ubro invariable, que corresponde a una cifra absoluta que se mantiene como derecho adquirido </w:t>
      </w:r>
      <w:r w:rsidR="00CF09DA" w:rsidRPr="0023319B">
        <w:rPr>
          <w:rFonts w:asciiTheme="minorHAnsi" w:hAnsiTheme="minorHAnsi" w:cstheme="minorHAnsi"/>
          <w:sz w:val="24"/>
          <w:szCs w:val="24"/>
          <w:lang w:val="es-CR"/>
        </w:rPr>
        <w:t>a favor del trabajador desde e</w:t>
      </w:r>
      <w:r w:rsidR="00313396" w:rsidRPr="0023319B">
        <w:rPr>
          <w:rFonts w:asciiTheme="minorHAnsi" w:hAnsiTheme="minorHAnsi" w:cstheme="minorHAnsi"/>
          <w:sz w:val="24"/>
          <w:szCs w:val="24"/>
          <w:lang w:val="es-CR"/>
        </w:rPr>
        <w:t xml:space="preserve">l 1º de enero de 1989, </w:t>
      </w:r>
      <w:r w:rsidR="0040661C" w:rsidRPr="0023319B">
        <w:rPr>
          <w:rFonts w:asciiTheme="minorHAnsi" w:hAnsiTheme="minorHAnsi" w:cstheme="minorHAnsi"/>
          <w:sz w:val="24"/>
          <w:szCs w:val="24"/>
          <w:lang w:val="es-CR"/>
        </w:rPr>
        <w:t>cuando se modificó el</w:t>
      </w:r>
      <w:r w:rsidR="00313396" w:rsidRPr="0023319B">
        <w:rPr>
          <w:rFonts w:asciiTheme="minorHAnsi" w:hAnsiTheme="minorHAnsi" w:cstheme="minorHAnsi"/>
          <w:sz w:val="24"/>
          <w:szCs w:val="24"/>
          <w:lang w:val="es-CR"/>
        </w:rPr>
        <w:t xml:space="preserve"> Sistema de Evaluación del Desempeño </w:t>
      </w:r>
      <w:r w:rsidR="0040661C" w:rsidRPr="0023319B">
        <w:rPr>
          <w:rFonts w:asciiTheme="minorHAnsi" w:hAnsiTheme="minorHAnsi" w:cstheme="minorHAnsi"/>
          <w:sz w:val="24"/>
          <w:szCs w:val="24"/>
          <w:lang w:val="es-CR"/>
        </w:rPr>
        <w:t xml:space="preserve">del BCCR </w:t>
      </w:r>
      <w:r w:rsidR="00313396" w:rsidRPr="0023319B">
        <w:rPr>
          <w:rFonts w:asciiTheme="minorHAnsi" w:hAnsiTheme="minorHAnsi" w:cstheme="minorHAnsi"/>
          <w:sz w:val="24"/>
          <w:szCs w:val="24"/>
          <w:lang w:val="es-CR"/>
        </w:rPr>
        <w:t xml:space="preserve">y </w:t>
      </w:r>
      <w:r w:rsidR="002C66A1" w:rsidRPr="0023319B">
        <w:rPr>
          <w:rFonts w:asciiTheme="minorHAnsi" w:hAnsiTheme="minorHAnsi" w:cstheme="minorHAnsi"/>
          <w:sz w:val="24"/>
          <w:szCs w:val="24"/>
          <w:lang w:val="es-CR"/>
        </w:rPr>
        <w:t xml:space="preserve">los </w:t>
      </w:r>
      <w:r w:rsidR="00313396" w:rsidRPr="0023319B">
        <w:rPr>
          <w:rFonts w:asciiTheme="minorHAnsi" w:hAnsiTheme="minorHAnsi" w:cstheme="minorHAnsi"/>
          <w:sz w:val="24"/>
          <w:szCs w:val="24"/>
          <w:lang w:val="es-CR"/>
        </w:rPr>
        <w:t>méritos obtenidos anteriormente por el trabajador</w:t>
      </w:r>
      <w:r w:rsidR="002C66A1" w:rsidRPr="0023319B">
        <w:rPr>
          <w:rFonts w:asciiTheme="minorHAnsi" w:hAnsiTheme="minorHAnsi" w:cstheme="minorHAnsi"/>
          <w:sz w:val="24"/>
          <w:szCs w:val="24"/>
          <w:lang w:val="es-CR"/>
        </w:rPr>
        <w:t xml:space="preserve"> quedaron incluido</w:t>
      </w:r>
      <w:r w:rsidR="00313396" w:rsidRPr="0023319B">
        <w:rPr>
          <w:rFonts w:asciiTheme="minorHAnsi" w:hAnsiTheme="minorHAnsi" w:cstheme="minorHAnsi"/>
          <w:sz w:val="24"/>
          <w:szCs w:val="24"/>
          <w:lang w:val="es-CR"/>
        </w:rPr>
        <w:t>s</w:t>
      </w:r>
      <w:r w:rsidR="002C66A1" w:rsidRPr="0023319B">
        <w:rPr>
          <w:rFonts w:asciiTheme="minorHAnsi" w:hAnsiTheme="minorHAnsi" w:cstheme="minorHAnsi"/>
          <w:sz w:val="24"/>
          <w:szCs w:val="24"/>
          <w:lang w:val="es-CR"/>
        </w:rPr>
        <w:t xml:space="preserve"> en este plus</w:t>
      </w:r>
      <w:r w:rsidR="00313396" w:rsidRPr="0023319B">
        <w:rPr>
          <w:rFonts w:asciiTheme="minorHAnsi" w:hAnsiTheme="minorHAnsi" w:cstheme="minorHAnsi"/>
          <w:sz w:val="24"/>
          <w:szCs w:val="24"/>
          <w:lang w:val="es-CR"/>
        </w:rPr>
        <w:t xml:space="preserve"> el cual es exclusivo para empleados de la escala de básico más pluses y es un monto fijo distinto para cada funcionario</w:t>
      </w:r>
      <w:r w:rsidRPr="0023319B">
        <w:rPr>
          <w:rFonts w:asciiTheme="minorHAnsi" w:hAnsiTheme="minorHAnsi" w:cstheme="minorHAnsi"/>
          <w:sz w:val="24"/>
          <w:szCs w:val="24"/>
          <w:lang w:val="es-CR"/>
        </w:rPr>
        <w:t>.</w:t>
      </w:r>
    </w:p>
    <w:p w14:paraId="2FB5B268" w14:textId="423F538B" w:rsidR="00BE1950" w:rsidRPr="0023319B" w:rsidRDefault="00BE1950" w:rsidP="00093594">
      <w:pPr>
        <w:ind w:right="51"/>
        <w:rPr>
          <w:rFonts w:asciiTheme="minorHAnsi" w:hAnsiTheme="minorHAnsi" w:cstheme="minorHAnsi"/>
          <w:sz w:val="24"/>
          <w:szCs w:val="24"/>
          <w:lang w:val="es-CR"/>
        </w:rPr>
      </w:pPr>
    </w:p>
    <w:p w14:paraId="5B631273" w14:textId="748D0C6B" w:rsidR="00BE1950" w:rsidRPr="0023319B" w:rsidRDefault="00BE1950" w:rsidP="00093594">
      <w:pPr>
        <w:spacing w:line="240" w:lineRule="auto"/>
        <w:ind w:left="1276" w:right="51" w:hanging="1276"/>
        <w:rPr>
          <w:rFonts w:asciiTheme="minorHAnsi" w:hAnsiTheme="minorHAnsi" w:cstheme="minorHAnsi"/>
          <w:sz w:val="24"/>
          <w:szCs w:val="24"/>
          <w:lang w:val="es-CR"/>
        </w:rPr>
      </w:pPr>
      <w:bookmarkStart w:id="49" w:name="_Hlk525033338"/>
      <w:r w:rsidRPr="0023319B">
        <w:rPr>
          <w:rFonts w:asciiTheme="minorHAnsi" w:hAnsiTheme="minorHAnsi" w:cstheme="minorHAnsi"/>
          <w:b/>
          <w:bCs/>
          <w:sz w:val="24"/>
          <w:szCs w:val="24"/>
          <w:lang w:val="es-CR"/>
        </w:rPr>
        <w:t>Prohibición</w:t>
      </w:r>
      <w:r w:rsidR="00956F89" w:rsidRPr="0023319B">
        <w:rPr>
          <w:rFonts w:asciiTheme="minorHAnsi" w:hAnsiTheme="minorHAnsi" w:cstheme="minorHAnsi"/>
          <w:b/>
          <w:bCs/>
          <w:sz w:val="24"/>
          <w:szCs w:val="24"/>
          <w:lang w:val="es-CR"/>
        </w:rPr>
        <w:t xml:space="preserve">: </w:t>
      </w:r>
      <w:r w:rsidR="00CA565B" w:rsidRPr="0023319B">
        <w:rPr>
          <w:rFonts w:asciiTheme="minorHAnsi" w:hAnsiTheme="minorHAnsi" w:cstheme="minorHAnsi"/>
          <w:sz w:val="24"/>
          <w:szCs w:val="24"/>
          <w:lang w:val="es-CR"/>
        </w:rPr>
        <w:t>Es un r</w:t>
      </w:r>
      <w:r w:rsidR="000C00C9" w:rsidRPr="0023319B">
        <w:rPr>
          <w:rFonts w:asciiTheme="minorHAnsi" w:hAnsiTheme="minorHAnsi" w:cstheme="minorHAnsi"/>
          <w:sz w:val="24"/>
          <w:szCs w:val="24"/>
          <w:lang w:val="es-CR"/>
        </w:rPr>
        <w:t xml:space="preserve">econocimiento económico de un sesenta y cinco por ciento (65%) sobre el salario base de cada categoría de puesto de las escalas regulares, que se deriva de aplicar la prohibición del ejercicio liberal de la profesión a los funcionarios profesionales de las auditorías internas (incluye Auditor y Sub auditor Interno), según </w:t>
      </w:r>
      <w:r w:rsidR="005716E6" w:rsidRPr="0023319B">
        <w:rPr>
          <w:rFonts w:asciiTheme="minorHAnsi" w:hAnsiTheme="minorHAnsi" w:cstheme="minorHAnsi"/>
          <w:sz w:val="24"/>
          <w:szCs w:val="24"/>
          <w:lang w:val="es-CR"/>
        </w:rPr>
        <w:t xml:space="preserve">lo establecido en el </w:t>
      </w:r>
      <w:r w:rsidR="000C00C9" w:rsidRPr="0023319B">
        <w:rPr>
          <w:rFonts w:asciiTheme="minorHAnsi" w:hAnsiTheme="minorHAnsi" w:cstheme="minorHAnsi"/>
          <w:sz w:val="24"/>
          <w:szCs w:val="24"/>
          <w:lang w:val="es-CR"/>
        </w:rPr>
        <w:t>artículo 34 de la Ley General de Control Interno. Al Director de la División Administrativa, al Director de Departamento de Proveeduría y a todos los puestos de nivel gerencial y ejecutivo, según artículo 14 de la Ley Contra la Corrupción y el Enriquecimiento Ilícito en la Función Pública. En el caso de los empleados regulares que devengan un salario global, se utiliza como referencia para el cálculo del 65% el salario base más el costo de vida del puesto homólogo en la escala de Básico Más Pluses.  En el caso de las escalas gerenciales globales representa el 37.3% del salario global que se defina en cada categoría salarial. Adicionalmente, el Director de la División de Asesoría Jurídica, al Profesional Gestión Bancaria 4 de la misma División, al Director de la División Gestión de Activos y Pasivos, al Director del Departamento de Registro y Liquidación</w:t>
      </w:r>
      <w:r w:rsidR="005626DC" w:rsidRPr="0023319B">
        <w:rPr>
          <w:rFonts w:asciiTheme="minorHAnsi" w:hAnsiTheme="minorHAnsi" w:cstheme="minorHAnsi"/>
          <w:sz w:val="24"/>
          <w:szCs w:val="24"/>
          <w:lang w:val="es-CR"/>
        </w:rPr>
        <w:t>,</w:t>
      </w:r>
      <w:r w:rsidR="000C00C9" w:rsidRPr="0023319B">
        <w:rPr>
          <w:rFonts w:asciiTheme="minorHAnsi" w:hAnsiTheme="minorHAnsi" w:cstheme="minorHAnsi"/>
          <w:sz w:val="24"/>
          <w:szCs w:val="24"/>
          <w:lang w:val="es-CR"/>
        </w:rPr>
        <w:t xml:space="preserve"> así como su subalterno el Profesional en Gestión Bancaria 1, todos ellos, con base en </w:t>
      </w:r>
      <w:r w:rsidR="00BC64A2" w:rsidRPr="0023319B">
        <w:rPr>
          <w:rFonts w:asciiTheme="minorHAnsi" w:hAnsiTheme="minorHAnsi" w:cstheme="minorHAnsi"/>
          <w:sz w:val="24"/>
          <w:szCs w:val="24"/>
          <w:lang w:val="es-CR"/>
        </w:rPr>
        <w:t>la</w:t>
      </w:r>
      <w:r w:rsidR="000C00C9" w:rsidRPr="0023319B">
        <w:rPr>
          <w:rFonts w:asciiTheme="minorHAnsi" w:hAnsiTheme="minorHAnsi" w:cstheme="minorHAnsi"/>
          <w:sz w:val="24"/>
          <w:szCs w:val="24"/>
          <w:lang w:val="es-CR"/>
        </w:rPr>
        <w:t xml:space="preserve"> </w:t>
      </w:r>
      <w:r w:rsidR="00BC64A2" w:rsidRPr="0023319B">
        <w:rPr>
          <w:rFonts w:asciiTheme="minorHAnsi" w:hAnsiTheme="minorHAnsi" w:cstheme="minorHAnsi"/>
          <w:sz w:val="24"/>
          <w:szCs w:val="24"/>
          <w:lang w:val="es-CR"/>
        </w:rPr>
        <w:t>L</w:t>
      </w:r>
      <w:r w:rsidR="000C00C9" w:rsidRPr="0023319B">
        <w:rPr>
          <w:rFonts w:asciiTheme="minorHAnsi" w:hAnsiTheme="minorHAnsi" w:cstheme="minorHAnsi"/>
          <w:sz w:val="24"/>
          <w:szCs w:val="24"/>
          <w:lang w:val="es-CR"/>
        </w:rPr>
        <w:t>ey N°5867</w:t>
      </w:r>
      <w:r w:rsidR="004C4919" w:rsidRPr="0023319B">
        <w:rPr>
          <w:rFonts w:asciiTheme="minorHAnsi" w:hAnsiTheme="minorHAnsi" w:cstheme="minorHAnsi"/>
          <w:sz w:val="24"/>
          <w:szCs w:val="24"/>
          <w:lang w:val="es-CR"/>
        </w:rPr>
        <w:t>. Con</w:t>
      </w:r>
      <w:r w:rsidR="000C00C9" w:rsidRPr="0023319B">
        <w:rPr>
          <w:rFonts w:asciiTheme="minorHAnsi" w:hAnsiTheme="minorHAnsi" w:cstheme="minorHAnsi"/>
          <w:sz w:val="24"/>
          <w:szCs w:val="24"/>
          <w:lang w:val="es-CR"/>
        </w:rPr>
        <w:t xml:space="preserve"> la </w:t>
      </w:r>
      <w:r w:rsidR="00C77D36" w:rsidRPr="0023319B">
        <w:rPr>
          <w:rFonts w:asciiTheme="minorHAnsi" w:hAnsiTheme="minorHAnsi" w:cstheme="minorHAnsi"/>
          <w:sz w:val="24"/>
          <w:szCs w:val="24"/>
          <w:lang w:val="es-CR"/>
        </w:rPr>
        <w:t>aplicación</w:t>
      </w:r>
      <w:r w:rsidR="000C00C9" w:rsidRPr="0023319B">
        <w:rPr>
          <w:rFonts w:asciiTheme="minorHAnsi" w:hAnsiTheme="minorHAnsi" w:cstheme="minorHAnsi"/>
          <w:sz w:val="24"/>
          <w:szCs w:val="24"/>
          <w:lang w:val="es-CR"/>
        </w:rPr>
        <w:t xml:space="preserve"> de la Ley de Fortalecimiento de las Finanzas Públicas, el porcentaje que se reconoce será de un 30% para licenciados y de un 15% para bachilleres, sin embargo, el personal que ya cuenta con dicho plus salarial mantiene la condición anterior (65%)</w:t>
      </w:r>
      <w:r w:rsidRPr="0023319B">
        <w:rPr>
          <w:rFonts w:asciiTheme="minorHAnsi" w:hAnsiTheme="minorHAnsi" w:cstheme="minorHAnsi"/>
          <w:sz w:val="24"/>
          <w:szCs w:val="24"/>
          <w:lang w:val="es-CR"/>
        </w:rPr>
        <w:t xml:space="preserve">. </w:t>
      </w:r>
    </w:p>
    <w:bookmarkEnd w:id="49"/>
    <w:p w14:paraId="3928847A" w14:textId="77777777" w:rsidR="00C97DCD" w:rsidRPr="0023319B" w:rsidRDefault="00C97DCD" w:rsidP="00093594">
      <w:pPr>
        <w:spacing w:line="240" w:lineRule="auto"/>
        <w:ind w:left="1276" w:right="51" w:hanging="1276"/>
        <w:rPr>
          <w:rFonts w:asciiTheme="minorHAnsi" w:hAnsiTheme="minorHAnsi" w:cstheme="minorHAnsi"/>
          <w:b/>
          <w:bCs/>
          <w:sz w:val="24"/>
          <w:szCs w:val="24"/>
          <w:lang w:val="es-CR"/>
        </w:rPr>
      </w:pPr>
    </w:p>
    <w:p w14:paraId="0E7F9BE2" w14:textId="38A99F59" w:rsidR="00BE1950" w:rsidRPr="0023319B" w:rsidRDefault="00BE1950" w:rsidP="00093594">
      <w:pPr>
        <w:spacing w:line="240" w:lineRule="auto"/>
        <w:ind w:left="1276" w:right="51" w:hanging="1276"/>
        <w:rPr>
          <w:rFonts w:asciiTheme="minorHAnsi" w:hAnsiTheme="minorHAnsi" w:cstheme="minorHAnsi"/>
          <w:sz w:val="24"/>
          <w:szCs w:val="24"/>
          <w:lang w:val="es-CR"/>
        </w:rPr>
      </w:pPr>
      <w:r w:rsidRPr="0023319B">
        <w:rPr>
          <w:rFonts w:asciiTheme="minorHAnsi" w:hAnsiTheme="minorHAnsi" w:cstheme="minorHAnsi"/>
          <w:b/>
          <w:bCs/>
          <w:sz w:val="24"/>
          <w:szCs w:val="24"/>
          <w:lang w:val="es-CR"/>
        </w:rPr>
        <w:t>Costo de vida</w:t>
      </w:r>
      <w:r w:rsidR="00956F89" w:rsidRPr="0023319B">
        <w:rPr>
          <w:rFonts w:asciiTheme="minorHAnsi" w:hAnsiTheme="minorHAnsi" w:cstheme="minorHAnsi"/>
          <w:b/>
          <w:bCs/>
          <w:sz w:val="24"/>
          <w:szCs w:val="24"/>
          <w:lang w:val="es-CR"/>
        </w:rPr>
        <w:t xml:space="preserve">: </w:t>
      </w:r>
      <w:r w:rsidR="003329BD" w:rsidRPr="0023319B">
        <w:rPr>
          <w:rFonts w:asciiTheme="minorHAnsi" w:hAnsiTheme="minorHAnsi" w:cstheme="minorHAnsi"/>
          <w:sz w:val="24"/>
          <w:szCs w:val="24"/>
          <w:lang w:val="es-CR"/>
        </w:rPr>
        <w:t xml:space="preserve">Representa la acumulación de aumentos salariales en cifras absolutas, decretadas por el Gobierno de la República y que la Institución no incorporó al salario básico de cada categoría de la escala salarial, para evitar la alteración de la armonía de </w:t>
      </w:r>
      <w:r w:rsidR="00E57923" w:rsidRPr="0023319B">
        <w:rPr>
          <w:rFonts w:asciiTheme="minorHAnsi" w:hAnsiTheme="minorHAnsi" w:cstheme="minorHAnsi"/>
          <w:sz w:val="24"/>
          <w:szCs w:val="24"/>
          <w:lang w:val="es-CR"/>
        </w:rPr>
        <w:t>esta</w:t>
      </w:r>
      <w:r w:rsidR="00682B59" w:rsidRPr="0023319B">
        <w:rPr>
          <w:rFonts w:asciiTheme="minorHAnsi" w:hAnsiTheme="minorHAnsi" w:cstheme="minorHAnsi"/>
          <w:sz w:val="24"/>
          <w:szCs w:val="24"/>
          <w:lang w:val="es-CR"/>
        </w:rPr>
        <w:t xml:space="preserve"> categoría</w:t>
      </w:r>
      <w:r w:rsidR="003329BD" w:rsidRPr="0023319B">
        <w:rPr>
          <w:rFonts w:asciiTheme="minorHAnsi" w:hAnsiTheme="minorHAnsi" w:cstheme="minorHAnsi"/>
          <w:sz w:val="24"/>
          <w:szCs w:val="24"/>
          <w:lang w:val="es-CR"/>
        </w:rPr>
        <w:t>, ya que en ese momento existía una diferencia relativa del 7% entre cada categoría</w:t>
      </w:r>
      <w:r w:rsidR="00C14C98" w:rsidRPr="0023319B">
        <w:rPr>
          <w:rFonts w:asciiTheme="minorHAnsi" w:hAnsiTheme="minorHAnsi" w:cstheme="minorHAnsi"/>
          <w:sz w:val="24"/>
          <w:szCs w:val="24"/>
          <w:lang w:val="es-CR"/>
        </w:rPr>
        <w:t xml:space="preserve"> salarial</w:t>
      </w:r>
      <w:r w:rsidR="003329BD" w:rsidRPr="0023319B">
        <w:rPr>
          <w:rFonts w:asciiTheme="minorHAnsi" w:hAnsiTheme="minorHAnsi" w:cstheme="minorHAnsi"/>
          <w:sz w:val="24"/>
          <w:szCs w:val="24"/>
          <w:lang w:val="es-CR"/>
        </w:rPr>
        <w:t>. De acuerdo con los registros, este rubro se reconoce en el B</w:t>
      </w:r>
      <w:r w:rsidR="00AB33E2" w:rsidRPr="0023319B">
        <w:rPr>
          <w:rFonts w:asciiTheme="minorHAnsi" w:hAnsiTheme="minorHAnsi" w:cstheme="minorHAnsi"/>
          <w:sz w:val="24"/>
          <w:szCs w:val="24"/>
          <w:lang w:val="es-CR"/>
        </w:rPr>
        <w:t>CCR</w:t>
      </w:r>
      <w:r w:rsidR="003329BD" w:rsidRPr="0023319B">
        <w:rPr>
          <w:rFonts w:asciiTheme="minorHAnsi" w:hAnsiTheme="minorHAnsi" w:cstheme="minorHAnsi"/>
          <w:sz w:val="24"/>
          <w:szCs w:val="24"/>
          <w:lang w:val="es-CR"/>
        </w:rPr>
        <w:t xml:space="preserve"> desde el 1º de julio de 1988. </w:t>
      </w:r>
      <w:r w:rsidR="000E4F35" w:rsidRPr="0023319B">
        <w:rPr>
          <w:rFonts w:asciiTheme="minorHAnsi" w:hAnsiTheme="minorHAnsi" w:cstheme="minorHAnsi"/>
          <w:sz w:val="24"/>
          <w:szCs w:val="24"/>
          <w:lang w:val="es-CR"/>
        </w:rPr>
        <w:t xml:space="preserve">Es un </w:t>
      </w:r>
      <w:r w:rsidR="00F17D6D" w:rsidRPr="0023319B">
        <w:rPr>
          <w:rFonts w:asciiTheme="minorHAnsi" w:hAnsiTheme="minorHAnsi" w:cstheme="minorHAnsi"/>
          <w:sz w:val="24"/>
          <w:szCs w:val="24"/>
          <w:lang w:val="es-CR"/>
        </w:rPr>
        <w:t xml:space="preserve">componente </w:t>
      </w:r>
      <w:r w:rsidR="003329BD" w:rsidRPr="0023319B">
        <w:rPr>
          <w:rFonts w:asciiTheme="minorHAnsi" w:hAnsiTheme="minorHAnsi" w:cstheme="minorHAnsi"/>
          <w:sz w:val="24"/>
          <w:szCs w:val="24"/>
          <w:lang w:val="es-CR"/>
        </w:rPr>
        <w:t>del salario base definido en la escala de básico más pluses, sobre el cual se calculan los demás rubros salariales que se encuentran referenciados a él y también por formar parte del salario base</w:t>
      </w:r>
      <w:r w:rsidR="00D25773" w:rsidRPr="0023319B">
        <w:rPr>
          <w:rFonts w:asciiTheme="minorHAnsi" w:hAnsiTheme="minorHAnsi" w:cstheme="minorHAnsi"/>
          <w:sz w:val="24"/>
          <w:szCs w:val="24"/>
          <w:lang w:val="es-CR"/>
        </w:rPr>
        <w:t xml:space="preserve"> que</w:t>
      </w:r>
      <w:r w:rsidR="003329BD" w:rsidRPr="0023319B">
        <w:rPr>
          <w:rFonts w:asciiTheme="minorHAnsi" w:hAnsiTheme="minorHAnsi" w:cstheme="minorHAnsi"/>
          <w:sz w:val="24"/>
          <w:szCs w:val="24"/>
          <w:lang w:val="es-CR"/>
        </w:rPr>
        <w:t xml:space="preserve"> es de aplicación exclusiv</w:t>
      </w:r>
      <w:r w:rsidR="00D25773" w:rsidRPr="0023319B">
        <w:rPr>
          <w:rFonts w:asciiTheme="minorHAnsi" w:hAnsiTheme="minorHAnsi" w:cstheme="minorHAnsi"/>
          <w:sz w:val="24"/>
          <w:szCs w:val="24"/>
          <w:lang w:val="es-CR"/>
        </w:rPr>
        <w:t>a</w:t>
      </w:r>
      <w:r w:rsidR="003329BD" w:rsidRPr="0023319B">
        <w:rPr>
          <w:rFonts w:asciiTheme="minorHAnsi" w:hAnsiTheme="minorHAnsi" w:cstheme="minorHAnsi"/>
          <w:sz w:val="24"/>
          <w:szCs w:val="24"/>
          <w:lang w:val="es-CR"/>
        </w:rPr>
        <w:t xml:space="preserve"> para empleados de la escala de básico más pluses</w:t>
      </w:r>
      <w:r w:rsidR="001C5F32" w:rsidRPr="0023319B">
        <w:rPr>
          <w:rFonts w:asciiTheme="minorHAnsi" w:hAnsiTheme="minorHAnsi" w:cstheme="minorHAnsi"/>
          <w:sz w:val="24"/>
          <w:szCs w:val="24"/>
          <w:lang w:val="es-CR"/>
        </w:rPr>
        <w:t xml:space="preserve"> y</w:t>
      </w:r>
      <w:r w:rsidR="003329BD" w:rsidRPr="0023319B">
        <w:rPr>
          <w:rFonts w:asciiTheme="minorHAnsi" w:hAnsiTheme="minorHAnsi" w:cstheme="minorHAnsi"/>
          <w:sz w:val="24"/>
          <w:szCs w:val="24"/>
          <w:lang w:val="es-CR"/>
        </w:rPr>
        <w:t xml:space="preserve"> cada año se reajusta en la misma proporción en que sea reajustado el salario base</w:t>
      </w:r>
      <w:r w:rsidRPr="0023319B">
        <w:rPr>
          <w:rFonts w:asciiTheme="minorHAnsi" w:hAnsiTheme="minorHAnsi" w:cstheme="minorHAnsi"/>
          <w:sz w:val="24"/>
          <w:szCs w:val="24"/>
          <w:lang w:val="es-CR"/>
        </w:rPr>
        <w:t>.</w:t>
      </w:r>
    </w:p>
    <w:p w14:paraId="508BDA95" w14:textId="20DD4A23" w:rsidR="00BE1950" w:rsidRPr="0023319B" w:rsidRDefault="00BE1950" w:rsidP="00093594">
      <w:pPr>
        <w:spacing w:line="360" w:lineRule="auto"/>
        <w:ind w:right="51"/>
        <w:rPr>
          <w:rFonts w:asciiTheme="minorHAnsi" w:hAnsiTheme="minorHAnsi" w:cstheme="minorHAnsi"/>
          <w:sz w:val="24"/>
          <w:szCs w:val="24"/>
          <w:lang w:val="es-CR"/>
        </w:rPr>
      </w:pPr>
    </w:p>
    <w:p w14:paraId="54E00DD3" w14:textId="02B6F519" w:rsidR="00BE1950" w:rsidRPr="0023319B" w:rsidRDefault="00BE1950" w:rsidP="00093594">
      <w:pPr>
        <w:spacing w:line="240" w:lineRule="auto"/>
        <w:ind w:left="1276" w:right="51" w:hanging="1276"/>
        <w:rPr>
          <w:rFonts w:asciiTheme="minorHAnsi" w:hAnsiTheme="minorHAnsi" w:cstheme="minorHAnsi"/>
          <w:sz w:val="24"/>
          <w:szCs w:val="24"/>
          <w:lang w:val="es-CR"/>
        </w:rPr>
      </w:pPr>
      <w:r w:rsidRPr="0023319B">
        <w:rPr>
          <w:rFonts w:asciiTheme="minorHAnsi" w:hAnsiTheme="minorHAnsi" w:cstheme="minorHAnsi"/>
          <w:b/>
          <w:sz w:val="24"/>
          <w:szCs w:val="24"/>
          <w:lang w:val="es-CR"/>
        </w:rPr>
        <w:t>Ajuste personal de mercado</w:t>
      </w:r>
      <w:r w:rsidR="00956F89" w:rsidRPr="0023319B">
        <w:rPr>
          <w:rFonts w:asciiTheme="minorHAnsi" w:hAnsiTheme="minorHAnsi" w:cstheme="minorHAnsi"/>
          <w:b/>
          <w:sz w:val="24"/>
          <w:szCs w:val="24"/>
          <w:lang w:val="es-CR"/>
        </w:rPr>
        <w:t xml:space="preserve">: </w:t>
      </w:r>
      <w:r w:rsidR="00A70357" w:rsidRPr="0023319B">
        <w:rPr>
          <w:rFonts w:asciiTheme="minorHAnsi" w:hAnsiTheme="minorHAnsi" w:cstheme="minorHAnsi"/>
          <w:sz w:val="24"/>
          <w:szCs w:val="24"/>
          <w:lang w:val="es-CR"/>
        </w:rPr>
        <w:t xml:space="preserve">Componente salarial variable y temporal, que permite equiparar el salario total de un funcionario de la escala regular de básico más pluses con el salario global del puesto homólogo en la escala regular global. </w:t>
      </w:r>
      <w:r w:rsidR="00DD57A2" w:rsidRPr="0023319B">
        <w:rPr>
          <w:rFonts w:asciiTheme="minorHAnsi" w:hAnsiTheme="minorHAnsi" w:cstheme="minorHAnsi"/>
          <w:sz w:val="24"/>
          <w:szCs w:val="24"/>
          <w:lang w:val="es-CR"/>
        </w:rPr>
        <w:t>Fue a</w:t>
      </w:r>
      <w:r w:rsidR="00A70357" w:rsidRPr="0023319B">
        <w:rPr>
          <w:rFonts w:asciiTheme="minorHAnsi" w:hAnsiTheme="minorHAnsi" w:cstheme="minorHAnsi"/>
          <w:sz w:val="24"/>
          <w:szCs w:val="24"/>
          <w:lang w:val="es-CR"/>
        </w:rPr>
        <w:t xml:space="preserve">probado por la Junta Directiva mediante artículo 6 del acta de la sesión 5312-2007. Para funcionarios ubicados en la escala gerencial de básico más pluses, dicho ajuste de mercado fue aprobado en el artículo 25 del acta de la sesión 5373-2008. En ambos casos, dicho componente es de aplicación exclusiva para los funcionarios de la escala de </w:t>
      </w:r>
      <w:r w:rsidR="00872CB4" w:rsidRPr="0023319B">
        <w:rPr>
          <w:rFonts w:asciiTheme="minorHAnsi" w:hAnsiTheme="minorHAnsi" w:cstheme="minorHAnsi"/>
          <w:sz w:val="24"/>
          <w:szCs w:val="24"/>
          <w:lang w:val="es-CR"/>
        </w:rPr>
        <w:t xml:space="preserve">salario </w:t>
      </w:r>
      <w:r w:rsidR="00A70357" w:rsidRPr="0023319B">
        <w:rPr>
          <w:rFonts w:asciiTheme="minorHAnsi" w:hAnsiTheme="minorHAnsi" w:cstheme="minorHAnsi"/>
          <w:sz w:val="24"/>
          <w:szCs w:val="24"/>
          <w:lang w:val="es-CR"/>
        </w:rPr>
        <w:t>básico más pluses</w:t>
      </w:r>
      <w:r w:rsidRPr="0023319B">
        <w:rPr>
          <w:rFonts w:asciiTheme="minorHAnsi" w:hAnsiTheme="minorHAnsi" w:cstheme="minorHAnsi"/>
          <w:sz w:val="24"/>
          <w:szCs w:val="24"/>
          <w:lang w:val="es-CR"/>
        </w:rPr>
        <w:t>.</w:t>
      </w:r>
    </w:p>
    <w:p w14:paraId="2994C9F7" w14:textId="77777777" w:rsidR="009D2A78" w:rsidRPr="0023319B" w:rsidRDefault="009D2A78" w:rsidP="00093594">
      <w:pPr>
        <w:spacing w:line="240" w:lineRule="auto"/>
        <w:ind w:left="1276" w:right="51" w:hanging="1276"/>
        <w:rPr>
          <w:rFonts w:asciiTheme="minorHAnsi" w:hAnsiTheme="minorHAnsi" w:cstheme="minorHAnsi"/>
          <w:sz w:val="24"/>
          <w:szCs w:val="24"/>
          <w:lang w:val="es-CR"/>
        </w:rPr>
      </w:pPr>
    </w:p>
    <w:p w14:paraId="4FC9F1B2" w14:textId="3864BCA6" w:rsidR="009D2A78" w:rsidRPr="0023319B" w:rsidRDefault="009D2A78" w:rsidP="00093594">
      <w:pPr>
        <w:spacing w:line="240" w:lineRule="auto"/>
        <w:ind w:left="1276" w:right="51" w:hanging="1276"/>
        <w:rPr>
          <w:rFonts w:asciiTheme="minorHAnsi" w:hAnsiTheme="minorHAnsi" w:cstheme="minorHAnsi"/>
          <w:sz w:val="24"/>
          <w:szCs w:val="24"/>
          <w:lang w:val="es-CR"/>
        </w:rPr>
      </w:pPr>
      <w:r w:rsidRPr="0023319B">
        <w:rPr>
          <w:rFonts w:asciiTheme="minorHAnsi" w:hAnsiTheme="minorHAnsi" w:cstheme="minorHAnsi"/>
          <w:b/>
          <w:sz w:val="24"/>
          <w:szCs w:val="24"/>
          <w:lang w:val="es-CR"/>
        </w:rPr>
        <w:t>Salario Global:</w:t>
      </w:r>
      <w:r w:rsidRPr="0023319B">
        <w:rPr>
          <w:rFonts w:asciiTheme="minorHAnsi" w:hAnsiTheme="minorHAnsi" w:cstheme="minorHAnsi"/>
          <w:sz w:val="24"/>
          <w:szCs w:val="24"/>
          <w:lang w:val="es-CR"/>
        </w:rPr>
        <w:t xml:space="preserve"> </w:t>
      </w:r>
      <w:r w:rsidR="00F94800" w:rsidRPr="0023319B">
        <w:rPr>
          <w:rFonts w:asciiTheme="minorHAnsi" w:hAnsiTheme="minorHAnsi" w:cstheme="minorHAnsi"/>
          <w:sz w:val="24"/>
          <w:szCs w:val="24"/>
          <w:lang w:val="es-CR"/>
        </w:rPr>
        <w:t>En las escalas de salarios globales (Regular, Gerencial y de Servicios Especiales), corresponde al monto total que devengan la mayor proporción del personal de dichas escalas, se reajusta una vez al año con base en la Política Salarial Vigente en la institución, solamente en algunos casos excepcionales existe personal que recibe el rubro de Prohibición adicional al salario global, se reajusta una vez al año en enero</w:t>
      </w:r>
      <w:r w:rsidR="005A7E57" w:rsidRPr="0023319B">
        <w:rPr>
          <w:rFonts w:asciiTheme="minorHAnsi" w:hAnsiTheme="minorHAnsi" w:cstheme="minorHAnsi"/>
          <w:sz w:val="24"/>
          <w:szCs w:val="24"/>
          <w:lang w:val="es-CR"/>
        </w:rPr>
        <w:t xml:space="preserve"> y no reciben salario escolar</w:t>
      </w:r>
      <w:r w:rsidR="00F94800" w:rsidRPr="0023319B">
        <w:rPr>
          <w:rFonts w:asciiTheme="minorHAnsi" w:hAnsiTheme="minorHAnsi" w:cstheme="minorHAnsi"/>
          <w:sz w:val="24"/>
          <w:szCs w:val="24"/>
          <w:lang w:val="es-CR"/>
        </w:rPr>
        <w:t xml:space="preserve">. A partir de la </w:t>
      </w:r>
      <w:r w:rsidR="00054233" w:rsidRPr="0023319B">
        <w:rPr>
          <w:rFonts w:asciiTheme="minorHAnsi" w:hAnsiTheme="minorHAnsi" w:cstheme="minorHAnsi"/>
          <w:sz w:val="24"/>
          <w:szCs w:val="24"/>
          <w:lang w:val="es-CR"/>
        </w:rPr>
        <w:t>aplicación</w:t>
      </w:r>
      <w:r w:rsidR="00F94800" w:rsidRPr="0023319B">
        <w:rPr>
          <w:rFonts w:asciiTheme="minorHAnsi" w:hAnsiTheme="minorHAnsi" w:cstheme="minorHAnsi"/>
          <w:sz w:val="24"/>
          <w:szCs w:val="24"/>
          <w:lang w:val="es-CR"/>
        </w:rPr>
        <w:t xml:space="preserve"> de la </w:t>
      </w:r>
      <w:r w:rsidR="00E9441A" w:rsidRPr="0023319B">
        <w:rPr>
          <w:rFonts w:asciiTheme="minorHAnsi" w:hAnsiTheme="minorHAnsi" w:cstheme="minorHAnsi"/>
          <w:sz w:val="24"/>
          <w:szCs w:val="24"/>
          <w:lang w:val="es-CR"/>
        </w:rPr>
        <w:t>L</w:t>
      </w:r>
      <w:r w:rsidR="00F94800" w:rsidRPr="0023319B">
        <w:rPr>
          <w:rFonts w:asciiTheme="minorHAnsi" w:hAnsiTheme="minorHAnsi" w:cstheme="minorHAnsi"/>
          <w:sz w:val="24"/>
          <w:szCs w:val="24"/>
          <w:lang w:val="es-CR"/>
        </w:rPr>
        <w:t>ey de Fortalecimiento de las Finanzas Públicas, ningún funcionario podrá superar por mes el equivalente a 20 salarios base mensual de la categoría más baja de la escala de sueldos de la Administración Pública, dicho aspecto contempla, también a los empleados que no perciben un salario global</w:t>
      </w:r>
      <w:r w:rsidRPr="0023319B">
        <w:rPr>
          <w:rFonts w:asciiTheme="minorHAnsi" w:hAnsiTheme="minorHAnsi" w:cstheme="minorHAnsi"/>
          <w:sz w:val="24"/>
          <w:szCs w:val="24"/>
          <w:lang w:val="es-CR"/>
        </w:rPr>
        <w:t>.</w:t>
      </w:r>
    </w:p>
    <w:p w14:paraId="540B8D28" w14:textId="75E9A361" w:rsidR="00172C67" w:rsidRPr="0023319B" w:rsidRDefault="00172C67" w:rsidP="00093594">
      <w:pPr>
        <w:spacing w:line="240" w:lineRule="auto"/>
        <w:ind w:left="1276" w:right="51" w:hanging="1276"/>
        <w:rPr>
          <w:rFonts w:asciiTheme="minorHAnsi" w:hAnsiTheme="minorHAnsi" w:cstheme="minorHAnsi"/>
          <w:sz w:val="24"/>
          <w:szCs w:val="24"/>
          <w:lang w:val="es-CR"/>
        </w:rPr>
      </w:pPr>
    </w:p>
    <w:p w14:paraId="1F2DC071" w14:textId="77777777" w:rsidR="0049621F" w:rsidRPr="0023319B" w:rsidRDefault="0049621F" w:rsidP="00093594">
      <w:pPr>
        <w:spacing w:line="240" w:lineRule="auto"/>
        <w:ind w:left="1276" w:right="51" w:hanging="1276"/>
        <w:rPr>
          <w:rFonts w:asciiTheme="minorHAnsi" w:hAnsiTheme="minorHAnsi" w:cstheme="minorHAnsi"/>
          <w:sz w:val="24"/>
          <w:szCs w:val="24"/>
          <w:lang w:val="es-CR"/>
        </w:rPr>
      </w:pPr>
    </w:p>
    <w:p w14:paraId="64DC75EF" w14:textId="17EEAB94" w:rsidR="00225437" w:rsidRPr="0023319B" w:rsidRDefault="00225437" w:rsidP="003E35E4">
      <w:pPr>
        <w:pStyle w:val="Ttulo2"/>
      </w:pPr>
      <w:bookmarkStart w:id="50" w:name="_Toc61081371"/>
      <w:r w:rsidRPr="0023319B">
        <w:t>Cuenta 1 “</w:t>
      </w:r>
      <w:r w:rsidR="00F21A80" w:rsidRPr="0023319B">
        <w:t>Servicios</w:t>
      </w:r>
      <w:r w:rsidRPr="0023319B">
        <w:t>”</w:t>
      </w:r>
      <w:bookmarkEnd w:id="39"/>
      <w:bookmarkEnd w:id="40"/>
      <w:bookmarkEnd w:id="41"/>
      <w:bookmarkEnd w:id="42"/>
      <w:bookmarkEnd w:id="43"/>
      <w:bookmarkEnd w:id="44"/>
      <w:bookmarkEnd w:id="50"/>
    </w:p>
    <w:p w14:paraId="64DC75F0" w14:textId="07D4A97B" w:rsidR="00225437" w:rsidRPr="0023319B" w:rsidRDefault="00225437" w:rsidP="00093594">
      <w:pPr>
        <w:ind w:right="51"/>
        <w:rPr>
          <w:rFonts w:asciiTheme="minorHAnsi" w:hAnsiTheme="minorHAnsi" w:cstheme="minorHAnsi"/>
          <w:lang w:val="es-CR"/>
        </w:rPr>
      </w:pPr>
    </w:p>
    <w:p w14:paraId="517409D8" w14:textId="58F56FD2" w:rsidR="00EC2C83" w:rsidRPr="0023319B" w:rsidRDefault="00ED3B6A" w:rsidP="00EC2C83">
      <w:pPr>
        <w:pStyle w:val="Textoindependiente"/>
        <w:numPr>
          <w:ilvl w:val="0"/>
          <w:numId w:val="0"/>
        </w:numPr>
        <w:ind w:right="51"/>
        <w:rPr>
          <w:rFonts w:asciiTheme="minorHAnsi" w:hAnsiTheme="minorHAnsi" w:cstheme="minorHAnsi"/>
          <w:szCs w:val="24"/>
          <w:lang w:val="es-CR"/>
        </w:rPr>
      </w:pPr>
      <w:r w:rsidRPr="0023319B">
        <w:rPr>
          <w:rFonts w:asciiTheme="minorHAnsi" w:hAnsiTheme="minorHAnsi" w:cstheme="minorHAnsi"/>
          <w:szCs w:val="24"/>
          <w:lang w:val="es-CR"/>
        </w:rPr>
        <w:t>El nive</w:t>
      </w:r>
      <w:r w:rsidR="007E2393" w:rsidRPr="0023319B">
        <w:rPr>
          <w:rFonts w:asciiTheme="minorHAnsi" w:hAnsiTheme="minorHAnsi" w:cstheme="minorHAnsi"/>
          <w:szCs w:val="24"/>
          <w:lang w:val="es-CR"/>
        </w:rPr>
        <w:t xml:space="preserve">l </w:t>
      </w:r>
      <w:r w:rsidR="007366D9" w:rsidRPr="0023319B">
        <w:rPr>
          <w:rFonts w:asciiTheme="minorHAnsi" w:hAnsiTheme="minorHAnsi" w:cstheme="minorHAnsi"/>
          <w:szCs w:val="24"/>
          <w:lang w:val="es-CR"/>
        </w:rPr>
        <w:t>de ejecución de l</w:t>
      </w:r>
      <w:r w:rsidR="00EC2C83" w:rsidRPr="0023319B">
        <w:rPr>
          <w:rFonts w:asciiTheme="minorHAnsi" w:hAnsiTheme="minorHAnsi" w:cstheme="minorHAnsi"/>
          <w:szCs w:val="24"/>
          <w:lang w:val="es-CR"/>
        </w:rPr>
        <w:t xml:space="preserve">as subpartidas </w:t>
      </w:r>
      <w:r w:rsidR="00FA27D6" w:rsidRPr="0023319B">
        <w:rPr>
          <w:rFonts w:asciiTheme="minorHAnsi" w:hAnsiTheme="minorHAnsi" w:cstheme="minorHAnsi"/>
          <w:szCs w:val="24"/>
          <w:lang w:val="es-CR"/>
        </w:rPr>
        <w:t>de</w:t>
      </w:r>
      <w:r w:rsidR="00EC2C83" w:rsidRPr="0023319B">
        <w:rPr>
          <w:rFonts w:asciiTheme="minorHAnsi" w:hAnsiTheme="minorHAnsi" w:cstheme="minorHAnsi"/>
          <w:szCs w:val="24"/>
          <w:lang w:val="es-CR"/>
        </w:rPr>
        <w:t xml:space="preserve"> “Servicios” se detallan en el </w:t>
      </w:r>
      <w:r w:rsidR="00E45280" w:rsidRPr="0023319B">
        <w:rPr>
          <w:rFonts w:asciiTheme="minorHAnsi" w:hAnsiTheme="minorHAnsi" w:cstheme="minorHAnsi"/>
          <w:szCs w:val="24"/>
          <w:lang w:val="es-CR"/>
        </w:rPr>
        <w:t xml:space="preserve">siguiente </w:t>
      </w:r>
      <w:r w:rsidR="00EC2C83" w:rsidRPr="0023319B">
        <w:rPr>
          <w:rFonts w:asciiTheme="minorHAnsi" w:hAnsiTheme="minorHAnsi" w:cstheme="minorHAnsi"/>
          <w:szCs w:val="24"/>
          <w:lang w:val="es-CR"/>
        </w:rPr>
        <w:t>cuadro:</w:t>
      </w:r>
    </w:p>
    <w:p w14:paraId="6BAA780F" w14:textId="77777777" w:rsidR="00EC2C83" w:rsidRPr="0023319B" w:rsidRDefault="00EC2C83" w:rsidP="00EC2C83">
      <w:pPr>
        <w:pStyle w:val="Textoindependiente"/>
        <w:numPr>
          <w:ilvl w:val="0"/>
          <w:numId w:val="0"/>
        </w:numPr>
        <w:ind w:right="51"/>
        <w:rPr>
          <w:rFonts w:asciiTheme="minorHAnsi" w:hAnsiTheme="minorHAnsi" w:cstheme="minorHAnsi"/>
          <w:szCs w:val="24"/>
          <w:lang w:val="es-CR"/>
        </w:rPr>
      </w:pPr>
    </w:p>
    <w:p w14:paraId="37A677F3" w14:textId="79407175" w:rsidR="00EC2C83" w:rsidRPr="0023319B" w:rsidRDefault="00EC2C83" w:rsidP="0042429C">
      <w:pPr>
        <w:pStyle w:val="Textoindependiente"/>
        <w:numPr>
          <w:ilvl w:val="0"/>
          <w:numId w:val="0"/>
        </w:numPr>
        <w:spacing w:line="240" w:lineRule="auto"/>
        <w:ind w:right="51"/>
        <w:jc w:val="left"/>
        <w:outlineLvl w:val="2"/>
        <w:rPr>
          <w:rFonts w:asciiTheme="minorHAnsi" w:hAnsiTheme="minorHAnsi" w:cstheme="minorHAnsi"/>
          <w:szCs w:val="18"/>
          <w:lang w:val="es-CR"/>
        </w:rPr>
      </w:pPr>
      <w:bookmarkStart w:id="51" w:name="_Toc61081372"/>
      <w:r w:rsidRPr="0023319B">
        <w:rPr>
          <w:rFonts w:asciiTheme="minorHAnsi" w:hAnsiTheme="minorHAnsi" w:cstheme="minorHAnsi"/>
          <w:b/>
          <w:i/>
          <w:lang w:val="es-CR"/>
        </w:rPr>
        <w:t xml:space="preserve">Cuadro </w:t>
      </w:r>
      <w:r w:rsidR="004F552D" w:rsidRPr="0023319B">
        <w:rPr>
          <w:rFonts w:asciiTheme="minorHAnsi" w:hAnsiTheme="minorHAnsi" w:cstheme="minorHAnsi"/>
          <w:b/>
          <w:i/>
          <w:lang w:val="es-CR"/>
        </w:rPr>
        <w:t>3</w:t>
      </w:r>
      <w:r w:rsidRPr="0023319B">
        <w:rPr>
          <w:rFonts w:asciiTheme="minorHAnsi" w:hAnsiTheme="minorHAnsi" w:cstheme="minorHAnsi"/>
          <w:b/>
          <w:i/>
          <w:lang w:val="es-CR"/>
        </w:rPr>
        <w:t xml:space="preserve">: </w:t>
      </w:r>
      <w:r w:rsidRPr="0023319B">
        <w:rPr>
          <w:rFonts w:asciiTheme="minorHAnsi" w:hAnsiTheme="minorHAnsi" w:cstheme="minorHAnsi"/>
          <w:szCs w:val="18"/>
          <w:lang w:val="es-CR"/>
        </w:rPr>
        <w:t>Detalle de ejecución por cuenta</w:t>
      </w:r>
      <w:bookmarkEnd w:id="51"/>
    </w:p>
    <w:p w14:paraId="0854815E" w14:textId="6CE3D23F" w:rsidR="00EC2C83" w:rsidRDefault="00EC2C83" w:rsidP="00EC2C83">
      <w:pPr>
        <w:ind w:right="51"/>
        <w:jc w:val="left"/>
        <w:rPr>
          <w:rFonts w:asciiTheme="minorHAnsi" w:hAnsiTheme="minorHAnsi" w:cstheme="minorHAnsi"/>
          <w:sz w:val="18"/>
          <w:lang w:val="es-CR"/>
        </w:rPr>
      </w:pPr>
      <w:r w:rsidRPr="0023319B">
        <w:rPr>
          <w:rFonts w:asciiTheme="minorHAnsi" w:hAnsiTheme="minorHAnsi" w:cstheme="minorHAnsi"/>
          <w:sz w:val="18"/>
          <w:lang w:val="es-CR"/>
        </w:rPr>
        <w:t>Montos en colones</w:t>
      </w:r>
    </w:p>
    <w:tbl>
      <w:tblPr>
        <w:tblW w:w="9634" w:type="dxa"/>
        <w:tblLayout w:type="fixed"/>
        <w:tblCellMar>
          <w:left w:w="70" w:type="dxa"/>
          <w:right w:w="70" w:type="dxa"/>
        </w:tblCellMar>
        <w:tblLook w:val="04A0" w:firstRow="1" w:lastRow="0" w:firstColumn="1" w:lastColumn="0" w:noHBand="0" w:noVBand="1"/>
      </w:tblPr>
      <w:tblGrid>
        <w:gridCol w:w="688"/>
        <w:gridCol w:w="956"/>
        <w:gridCol w:w="2462"/>
        <w:gridCol w:w="1276"/>
        <w:gridCol w:w="1276"/>
        <w:gridCol w:w="851"/>
        <w:gridCol w:w="1133"/>
        <w:gridCol w:w="992"/>
      </w:tblGrid>
      <w:tr w:rsidR="00074234" w:rsidRPr="008D0A5E" w14:paraId="71687D1F" w14:textId="77777777" w:rsidTr="00B50F48">
        <w:trPr>
          <w:gridAfter w:val="6"/>
          <w:wAfter w:w="7990" w:type="dxa"/>
          <w:trHeight w:val="146"/>
          <w:tblHeader/>
        </w:trPr>
        <w:tc>
          <w:tcPr>
            <w:tcW w:w="1644"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617AC82D" w14:textId="6B03A300" w:rsidR="00074234" w:rsidRPr="00C935FA" w:rsidRDefault="00074234" w:rsidP="00C935FA">
            <w:pPr>
              <w:spacing w:line="240" w:lineRule="auto"/>
              <w:jc w:val="center"/>
              <w:rPr>
                <w:rFonts w:asciiTheme="minorHAnsi" w:hAnsiTheme="minorHAnsi" w:cstheme="minorHAnsi"/>
                <w:sz w:val="18"/>
                <w:szCs w:val="18"/>
                <w:lang w:val="es-CR" w:eastAsia="es-CR"/>
              </w:rPr>
            </w:pPr>
            <w:r>
              <w:rPr>
                <w:rFonts w:asciiTheme="minorHAnsi" w:hAnsiTheme="minorHAnsi" w:cstheme="minorHAnsi"/>
                <w:sz w:val="18"/>
                <w:szCs w:val="18"/>
                <w:lang w:val="es-CR" w:eastAsia="es-CR"/>
              </w:rPr>
              <w:t xml:space="preserve">Clasificador </w:t>
            </w:r>
          </w:p>
        </w:tc>
      </w:tr>
      <w:tr w:rsidR="005F0552" w:rsidRPr="008D0A5E" w14:paraId="5CB45C43" w14:textId="77777777" w:rsidTr="0067152F">
        <w:trPr>
          <w:trHeight w:val="520"/>
          <w:tblHeader/>
        </w:trPr>
        <w:tc>
          <w:tcPr>
            <w:tcW w:w="68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027EAF8D" w14:textId="77777777" w:rsidR="00C935FA" w:rsidRPr="00C935FA" w:rsidRDefault="00C935FA" w:rsidP="00C935FA">
            <w:pPr>
              <w:spacing w:line="240" w:lineRule="auto"/>
              <w:jc w:val="center"/>
              <w:rPr>
                <w:rFonts w:asciiTheme="minorHAnsi" w:hAnsiTheme="minorHAnsi" w:cstheme="minorHAnsi"/>
                <w:sz w:val="18"/>
                <w:szCs w:val="18"/>
                <w:lang w:val="es-CR" w:eastAsia="es-CR"/>
              </w:rPr>
            </w:pPr>
            <w:r w:rsidRPr="00C935FA">
              <w:rPr>
                <w:rFonts w:asciiTheme="minorHAnsi" w:hAnsiTheme="minorHAnsi" w:cstheme="minorHAnsi"/>
                <w:sz w:val="18"/>
                <w:szCs w:val="18"/>
                <w:lang w:val="es-CR" w:eastAsia="es-CR"/>
              </w:rPr>
              <w:t>Gasto</w:t>
            </w:r>
          </w:p>
        </w:tc>
        <w:tc>
          <w:tcPr>
            <w:tcW w:w="956" w:type="dxa"/>
            <w:tcBorders>
              <w:top w:val="single" w:sz="4" w:space="0" w:color="auto"/>
              <w:left w:val="nil"/>
              <w:bottom w:val="single" w:sz="4" w:space="0" w:color="auto"/>
              <w:right w:val="single" w:sz="4" w:space="0" w:color="auto"/>
            </w:tcBorders>
            <w:shd w:val="clear" w:color="auto" w:fill="B8CCE4" w:themeFill="accent1" w:themeFillTint="66"/>
            <w:vAlign w:val="center"/>
            <w:hideMark/>
          </w:tcPr>
          <w:p w14:paraId="5121720A" w14:textId="77777777" w:rsidR="00C935FA" w:rsidRPr="00C935FA" w:rsidRDefault="00C935FA" w:rsidP="00C935FA">
            <w:pPr>
              <w:spacing w:line="240" w:lineRule="auto"/>
              <w:jc w:val="center"/>
              <w:rPr>
                <w:rFonts w:asciiTheme="minorHAnsi" w:hAnsiTheme="minorHAnsi" w:cstheme="minorHAnsi"/>
                <w:sz w:val="18"/>
                <w:szCs w:val="18"/>
                <w:lang w:val="es-CR" w:eastAsia="es-CR"/>
              </w:rPr>
            </w:pPr>
            <w:r w:rsidRPr="00C935FA">
              <w:rPr>
                <w:rFonts w:asciiTheme="minorHAnsi" w:hAnsiTheme="minorHAnsi" w:cstheme="minorHAnsi"/>
                <w:sz w:val="18"/>
                <w:szCs w:val="18"/>
                <w:lang w:val="es-CR" w:eastAsia="es-CR"/>
              </w:rPr>
              <w:t>Económico</w:t>
            </w:r>
          </w:p>
        </w:tc>
        <w:tc>
          <w:tcPr>
            <w:tcW w:w="2462" w:type="dxa"/>
            <w:tcBorders>
              <w:top w:val="single" w:sz="4" w:space="0" w:color="auto"/>
              <w:left w:val="nil"/>
              <w:bottom w:val="single" w:sz="4" w:space="0" w:color="auto"/>
              <w:right w:val="single" w:sz="4" w:space="0" w:color="auto"/>
            </w:tcBorders>
            <w:shd w:val="clear" w:color="auto" w:fill="B8CCE4" w:themeFill="accent1" w:themeFillTint="66"/>
            <w:vAlign w:val="center"/>
            <w:hideMark/>
          </w:tcPr>
          <w:p w14:paraId="0B20BDDC" w14:textId="77777777" w:rsidR="00C935FA" w:rsidRPr="00C935FA" w:rsidRDefault="00C935FA" w:rsidP="00C935FA">
            <w:pPr>
              <w:spacing w:line="240" w:lineRule="auto"/>
              <w:jc w:val="center"/>
              <w:rPr>
                <w:rFonts w:asciiTheme="minorHAnsi" w:hAnsiTheme="minorHAnsi" w:cstheme="minorHAnsi"/>
                <w:sz w:val="18"/>
                <w:szCs w:val="18"/>
                <w:lang w:val="es-CR" w:eastAsia="es-CR"/>
              </w:rPr>
            </w:pPr>
            <w:r w:rsidRPr="00C935FA">
              <w:rPr>
                <w:rFonts w:asciiTheme="minorHAnsi" w:hAnsiTheme="minorHAnsi" w:cstheme="minorHAnsi"/>
                <w:sz w:val="18"/>
                <w:szCs w:val="18"/>
                <w:lang w:val="es-CR" w:eastAsia="es-CR"/>
              </w:rPr>
              <w:t>DESCRIPCIÓN</w:t>
            </w:r>
          </w:p>
        </w:tc>
        <w:tc>
          <w:tcPr>
            <w:tcW w:w="1276" w:type="dxa"/>
            <w:tcBorders>
              <w:top w:val="single" w:sz="4" w:space="0" w:color="auto"/>
              <w:left w:val="nil"/>
              <w:bottom w:val="single" w:sz="4" w:space="0" w:color="auto"/>
              <w:right w:val="single" w:sz="4" w:space="0" w:color="auto"/>
            </w:tcBorders>
            <w:shd w:val="clear" w:color="auto" w:fill="B8CCE4" w:themeFill="accent1" w:themeFillTint="66"/>
            <w:vAlign w:val="center"/>
            <w:hideMark/>
          </w:tcPr>
          <w:p w14:paraId="02204B56" w14:textId="77777777" w:rsidR="00C935FA" w:rsidRPr="00C935FA" w:rsidRDefault="00C935FA" w:rsidP="00C935FA">
            <w:pPr>
              <w:spacing w:line="240" w:lineRule="auto"/>
              <w:jc w:val="center"/>
              <w:rPr>
                <w:rFonts w:asciiTheme="minorHAnsi" w:hAnsiTheme="minorHAnsi" w:cstheme="minorHAnsi"/>
                <w:sz w:val="18"/>
                <w:szCs w:val="18"/>
                <w:lang w:val="es-CR" w:eastAsia="es-CR"/>
              </w:rPr>
            </w:pPr>
            <w:r w:rsidRPr="00C935FA">
              <w:rPr>
                <w:rFonts w:asciiTheme="minorHAnsi" w:hAnsiTheme="minorHAnsi" w:cstheme="minorHAnsi"/>
                <w:sz w:val="18"/>
                <w:szCs w:val="18"/>
                <w:lang w:val="es-CR" w:eastAsia="es-CR"/>
              </w:rPr>
              <w:t xml:space="preserve"> PRESUPUESTO</w:t>
            </w:r>
          </w:p>
        </w:tc>
        <w:tc>
          <w:tcPr>
            <w:tcW w:w="1276" w:type="dxa"/>
            <w:tcBorders>
              <w:top w:val="single" w:sz="4" w:space="0" w:color="auto"/>
              <w:left w:val="nil"/>
              <w:bottom w:val="single" w:sz="4" w:space="0" w:color="auto"/>
              <w:right w:val="single" w:sz="4" w:space="0" w:color="auto"/>
            </w:tcBorders>
            <w:shd w:val="clear" w:color="auto" w:fill="B8CCE4" w:themeFill="accent1" w:themeFillTint="66"/>
            <w:vAlign w:val="center"/>
            <w:hideMark/>
          </w:tcPr>
          <w:p w14:paraId="2BF6CE60" w14:textId="77777777" w:rsidR="00C935FA" w:rsidRPr="00C935FA" w:rsidRDefault="00C935FA" w:rsidP="00C935FA">
            <w:pPr>
              <w:spacing w:line="240" w:lineRule="auto"/>
              <w:jc w:val="center"/>
              <w:rPr>
                <w:rFonts w:asciiTheme="minorHAnsi" w:hAnsiTheme="minorHAnsi" w:cstheme="minorHAnsi"/>
                <w:sz w:val="18"/>
                <w:szCs w:val="18"/>
                <w:lang w:val="es-CR" w:eastAsia="es-CR"/>
              </w:rPr>
            </w:pPr>
            <w:r w:rsidRPr="00C935FA">
              <w:rPr>
                <w:rFonts w:asciiTheme="minorHAnsi" w:hAnsiTheme="minorHAnsi" w:cstheme="minorHAnsi"/>
                <w:sz w:val="18"/>
                <w:szCs w:val="18"/>
                <w:lang w:val="es-CR" w:eastAsia="es-CR"/>
              </w:rPr>
              <w:t>GASTO</w:t>
            </w:r>
          </w:p>
        </w:tc>
        <w:tc>
          <w:tcPr>
            <w:tcW w:w="851" w:type="dxa"/>
            <w:tcBorders>
              <w:top w:val="single" w:sz="4" w:space="0" w:color="auto"/>
              <w:left w:val="nil"/>
              <w:bottom w:val="single" w:sz="4" w:space="0" w:color="auto"/>
              <w:right w:val="single" w:sz="4" w:space="0" w:color="auto"/>
            </w:tcBorders>
            <w:shd w:val="clear" w:color="auto" w:fill="B8CCE4" w:themeFill="accent1" w:themeFillTint="66"/>
            <w:vAlign w:val="center"/>
            <w:hideMark/>
          </w:tcPr>
          <w:p w14:paraId="36581231" w14:textId="77777777" w:rsidR="00C935FA" w:rsidRPr="00C935FA" w:rsidRDefault="00C935FA" w:rsidP="00C935FA">
            <w:pPr>
              <w:spacing w:line="240" w:lineRule="auto"/>
              <w:jc w:val="center"/>
              <w:rPr>
                <w:rFonts w:asciiTheme="minorHAnsi" w:hAnsiTheme="minorHAnsi" w:cstheme="minorHAnsi"/>
                <w:sz w:val="18"/>
                <w:szCs w:val="18"/>
                <w:lang w:val="es-CR" w:eastAsia="es-CR"/>
              </w:rPr>
            </w:pPr>
            <w:r w:rsidRPr="00C935FA">
              <w:rPr>
                <w:rFonts w:asciiTheme="minorHAnsi" w:hAnsiTheme="minorHAnsi" w:cstheme="minorHAnsi"/>
                <w:sz w:val="18"/>
                <w:szCs w:val="18"/>
                <w:lang w:val="es-CR" w:eastAsia="es-CR"/>
              </w:rPr>
              <w:t>COMPROMISO</w:t>
            </w:r>
          </w:p>
        </w:tc>
        <w:tc>
          <w:tcPr>
            <w:tcW w:w="1133" w:type="dxa"/>
            <w:tcBorders>
              <w:top w:val="single" w:sz="4" w:space="0" w:color="auto"/>
              <w:left w:val="nil"/>
              <w:bottom w:val="single" w:sz="4" w:space="0" w:color="auto"/>
              <w:right w:val="single" w:sz="4" w:space="0" w:color="auto"/>
            </w:tcBorders>
            <w:shd w:val="clear" w:color="auto" w:fill="B8CCE4" w:themeFill="accent1" w:themeFillTint="66"/>
            <w:vAlign w:val="center"/>
            <w:hideMark/>
          </w:tcPr>
          <w:p w14:paraId="6BBEC00F" w14:textId="77777777" w:rsidR="00C935FA" w:rsidRPr="00C935FA" w:rsidRDefault="00C935FA" w:rsidP="00C935FA">
            <w:pPr>
              <w:spacing w:line="240" w:lineRule="auto"/>
              <w:jc w:val="center"/>
              <w:rPr>
                <w:rFonts w:asciiTheme="minorHAnsi" w:hAnsiTheme="minorHAnsi" w:cstheme="minorHAnsi"/>
                <w:color w:val="000000"/>
                <w:sz w:val="18"/>
                <w:szCs w:val="18"/>
                <w:lang w:val="es-CR" w:eastAsia="es-CR"/>
              </w:rPr>
            </w:pPr>
            <w:r w:rsidRPr="00C935FA">
              <w:rPr>
                <w:rFonts w:asciiTheme="minorHAnsi" w:hAnsiTheme="minorHAnsi" w:cstheme="minorHAnsi"/>
                <w:color w:val="000000"/>
                <w:sz w:val="18"/>
                <w:szCs w:val="18"/>
                <w:lang w:val="es-CR" w:eastAsia="es-CR"/>
              </w:rPr>
              <w:t>DISPONIBLE</w:t>
            </w:r>
          </w:p>
        </w:tc>
        <w:tc>
          <w:tcPr>
            <w:tcW w:w="992" w:type="dxa"/>
            <w:tcBorders>
              <w:top w:val="single" w:sz="4" w:space="0" w:color="auto"/>
              <w:left w:val="nil"/>
              <w:bottom w:val="single" w:sz="4" w:space="0" w:color="auto"/>
              <w:right w:val="single" w:sz="4" w:space="0" w:color="auto"/>
            </w:tcBorders>
            <w:shd w:val="clear" w:color="auto" w:fill="B8CCE4" w:themeFill="accent1" w:themeFillTint="66"/>
            <w:vAlign w:val="center"/>
            <w:hideMark/>
          </w:tcPr>
          <w:p w14:paraId="0FDAEC9F" w14:textId="77777777" w:rsidR="00C935FA" w:rsidRPr="00C935FA" w:rsidRDefault="00C935FA" w:rsidP="00C935FA">
            <w:pPr>
              <w:spacing w:line="240" w:lineRule="auto"/>
              <w:jc w:val="center"/>
              <w:rPr>
                <w:rFonts w:asciiTheme="minorHAnsi" w:hAnsiTheme="minorHAnsi" w:cstheme="minorHAnsi"/>
                <w:color w:val="000000"/>
                <w:sz w:val="18"/>
                <w:szCs w:val="18"/>
                <w:lang w:val="es-CR" w:eastAsia="es-CR"/>
              </w:rPr>
            </w:pPr>
            <w:r w:rsidRPr="00C935FA">
              <w:rPr>
                <w:rFonts w:asciiTheme="minorHAnsi" w:hAnsiTheme="minorHAnsi" w:cstheme="minorHAnsi"/>
                <w:color w:val="000000"/>
                <w:sz w:val="18"/>
                <w:szCs w:val="18"/>
                <w:lang w:val="es-CR" w:eastAsia="es-CR"/>
              </w:rPr>
              <w:t>% DE EJECUCIÓN</w:t>
            </w:r>
          </w:p>
        </w:tc>
      </w:tr>
      <w:tr w:rsidR="00F7003E" w:rsidRPr="00C935FA" w14:paraId="39FFAE23" w14:textId="77777777" w:rsidTr="006128F8">
        <w:trPr>
          <w:trHeight w:val="260"/>
        </w:trPr>
        <w:tc>
          <w:tcPr>
            <w:tcW w:w="688" w:type="dxa"/>
            <w:tcBorders>
              <w:top w:val="nil"/>
              <w:left w:val="single" w:sz="4" w:space="0" w:color="auto"/>
              <w:bottom w:val="single" w:sz="4" w:space="0" w:color="auto"/>
              <w:right w:val="single" w:sz="4" w:space="0" w:color="auto"/>
            </w:tcBorders>
            <w:shd w:val="clear" w:color="auto" w:fill="auto"/>
            <w:noWrap/>
            <w:vAlign w:val="center"/>
            <w:hideMark/>
          </w:tcPr>
          <w:p w14:paraId="0E4461A4" w14:textId="77777777" w:rsidR="00C935FA" w:rsidRPr="00C935FA" w:rsidRDefault="00C935FA" w:rsidP="00C935FA">
            <w:pPr>
              <w:spacing w:line="240" w:lineRule="auto"/>
              <w:jc w:val="center"/>
              <w:rPr>
                <w:rFonts w:asciiTheme="minorHAnsi" w:hAnsiTheme="minorHAnsi" w:cstheme="minorHAnsi"/>
                <w:sz w:val="18"/>
                <w:szCs w:val="18"/>
                <w:lang w:val="es-CR" w:eastAsia="es-CR"/>
              </w:rPr>
            </w:pPr>
            <w:r w:rsidRPr="00C935FA">
              <w:rPr>
                <w:rFonts w:asciiTheme="minorHAnsi" w:hAnsiTheme="minorHAnsi" w:cstheme="minorHAnsi"/>
                <w:sz w:val="18"/>
                <w:szCs w:val="18"/>
                <w:lang w:val="es-CR" w:eastAsia="es-CR"/>
              </w:rPr>
              <w:t>1.02.03</w:t>
            </w:r>
          </w:p>
        </w:tc>
        <w:tc>
          <w:tcPr>
            <w:tcW w:w="956" w:type="dxa"/>
            <w:tcBorders>
              <w:top w:val="nil"/>
              <w:left w:val="nil"/>
              <w:bottom w:val="single" w:sz="4" w:space="0" w:color="auto"/>
              <w:right w:val="single" w:sz="4" w:space="0" w:color="auto"/>
            </w:tcBorders>
            <w:shd w:val="clear" w:color="auto" w:fill="auto"/>
            <w:noWrap/>
            <w:vAlign w:val="center"/>
            <w:hideMark/>
          </w:tcPr>
          <w:p w14:paraId="7062883F" w14:textId="77777777" w:rsidR="00C935FA" w:rsidRPr="00C935FA" w:rsidRDefault="00C935FA" w:rsidP="00C935FA">
            <w:pPr>
              <w:spacing w:line="240" w:lineRule="auto"/>
              <w:jc w:val="center"/>
              <w:rPr>
                <w:rFonts w:asciiTheme="minorHAnsi" w:hAnsiTheme="minorHAnsi" w:cstheme="minorHAnsi"/>
                <w:sz w:val="18"/>
                <w:szCs w:val="18"/>
                <w:lang w:val="es-CR" w:eastAsia="es-CR"/>
              </w:rPr>
            </w:pPr>
            <w:r w:rsidRPr="00C935FA">
              <w:rPr>
                <w:rFonts w:asciiTheme="minorHAnsi" w:hAnsiTheme="minorHAnsi" w:cstheme="minorHAnsi"/>
                <w:sz w:val="18"/>
                <w:szCs w:val="18"/>
                <w:lang w:val="es-CR" w:eastAsia="es-CR"/>
              </w:rPr>
              <w:t>1.1.2</w:t>
            </w:r>
          </w:p>
        </w:tc>
        <w:tc>
          <w:tcPr>
            <w:tcW w:w="2462" w:type="dxa"/>
            <w:tcBorders>
              <w:top w:val="nil"/>
              <w:left w:val="nil"/>
              <w:bottom w:val="single" w:sz="4" w:space="0" w:color="auto"/>
              <w:right w:val="single" w:sz="4" w:space="0" w:color="auto"/>
            </w:tcBorders>
            <w:shd w:val="clear" w:color="auto" w:fill="auto"/>
            <w:noWrap/>
            <w:vAlign w:val="center"/>
            <w:hideMark/>
          </w:tcPr>
          <w:p w14:paraId="0F11D785" w14:textId="77777777" w:rsidR="00C935FA" w:rsidRPr="00C935FA" w:rsidRDefault="00C935FA" w:rsidP="00C935FA">
            <w:pPr>
              <w:spacing w:line="240" w:lineRule="auto"/>
              <w:jc w:val="left"/>
              <w:rPr>
                <w:rFonts w:asciiTheme="minorHAnsi" w:hAnsiTheme="minorHAnsi" w:cstheme="minorHAnsi"/>
                <w:sz w:val="18"/>
                <w:szCs w:val="18"/>
                <w:lang w:val="es-CR" w:eastAsia="es-CR"/>
              </w:rPr>
            </w:pPr>
            <w:r w:rsidRPr="00C935FA">
              <w:rPr>
                <w:rFonts w:asciiTheme="minorHAnsi" w:hAnsiTheme="minorHAnsi" w:cstheme="minorHAnsi"/>
                <w:sz w:val="18"/>
                <w:szCs w:val="18"/>
                <w:lang w:val="es-CR" w:eastAsia="es-CR"/>
              </w:rPr>
              <w:t>Servicio de correo</w:t>
            </w:r>
          </w:p>
        </w:tc>
        <w:tc>
          <w:tcPr>
            <w:tcW w:w="1276" w:type="dxa"/>
            <w:tcBorders>
              <w:top w:val="nil"/>
              <w:left w:val="nil"/>
              <w:bottom w:val="single" w:sz="4" w:space="0" w:color="auto"/>
              <w:right w:val="single" w:sz="4" w:space="0" w:color="auto"/>
            </w:tcBorders>
            <w:shd w:val="clear" w:color="auto" w:fill="auto"/>
            <w:noWrap/>
            <w:vAlign w:val="center"/>
            <w:hideMark/>
          </w:tcPr>
          <w:p w14:paraId="3A85BBE5" w14:textId="77777777" w:rsidR="00C935FA" w:rsidRPr="00C935FA" w:rsidRDefault="00C935FA" w:rsidP="00C935FA">
            <w:pPr>
              <w:spacing w:line="240" w:lineRule="auto"/>
              <w:jc w:val="right"/>
              <w:rPr>
                <w:rFonts w:asciiTheme="minorHAnsi" w:hAnsiTheme="minorHAnsi" w:cstheme="minorHAnsi"/>
                <w:sz w:val="18"/>
                <w:szCs w:val="18"/>
                <w:lang w:val="es-CR" w:eastAsia="es-CR"/>
              </w:rPr>
            </w:pPr>
            <w:r w:rsidRPr="00C935FA">
              <w:rPr>
                <w:rFonts w:asciiTheme="minorHAnsi" w:hAnsiTheme="minorHAnsi" w:cstheme="minorHAnsi"/>
                <w:sz w:val="18"/>
                <w:szCs w:val="18"/>
                <w:lang w:val="es-CR" w:eastAsia="es-CR"/>
              </w:rPr>
              <w:t>60 000</w:t>
            </w:r>
          </w:p>
        </w:tc>
        <w:tc>
          <w:tcPr>
            <w:tcW w:w="1276" w:type="dxa"/>
            <w:tcBorders>
              <w:top w:val="nil"/>
              <w:left w:val="nil"/>
              <w:bottom w:val="single" w:sz="4" w:space="0" w:color="auto"/>
              <w:right w:val="single" w:sz="4" w:space="0" w:color="auto"/>
            </w:tcBorders>
            <w:shd w:val="clear" w:color="auto" w:fill="auto"/>
            <w:noWrap/>
            <w:vAlign w:val="center"/>
            <w:hideMark/>
          </w:tcPr>
          <w:p w14:paraId="37860AF8" w14:textId="77777777" w:rsidR="00C935FA" w:rsidRPr="00C935FA" w:rsidRDefault="00C935FA" w:rsidP="00C935FA">
            <w:pPr>
              <w:spacing w:line="240" w:lineRule="auto"/>
              <w:jc w:val="right"/>
              <w:rPr>
                <w:rFonts w:asciiTheme="minorHAnsi" w:hAnsiTheme="minorHAnsi" w:cstheme="minorHAnsi"/>
                <w:sz w:val="18"/>
                <w:szCs w:val="18"/>
                <w:lang w:val="es-CR" w:eastAsia="es-CR"/>
              </w:rPr>
            </w:pPr>
            <w:r w:rsidRPr="00C935FA">
              <w:rPr>
                <w:rFonts w:asciiTheme="minorHAnsi" w:hAnsiTheme="minorHAnsi" w:cstheme="minorHAnsi"/>
                <w:sz w:val="18"/>
                <w:szCs w:val="18"/>
                <w:lang w:val="es-CR" w:eastAsia="es-CR"/>
              </w:rPr>
              <w:t>20 210</w:t>
            </w:r>
          </w:p>
        </w:tc>
        <w:tc>
          <w:tcPr>
            <w:tcW w:w="851" w:type="dxa"/>
            <w:tcBorders>
              <w:top w:val="nil"/>
              <w:left w:val="nil"/>
              <w:bottom w:val="single" w:sz="4" w:space="0" w:color="auto"/>
              <w:right w:val="single" w:sz="4" w:space="0" w:color="auto"/>
            </w:tcBorders>
            <w:shd w:val="clear" w:color="auto" w:fill="auto"/>
            <w:noWrap/>
            <w:vAlign w:val="center"/>
            <w:hideMark/>
          </w:tcPr>
          <w:p w14:paraId="2C5FB093" w14:textId="77777777" w:rsidR="00C935FA" w:rsidRPr="00C935FA" w:rsidRDefault="00C935FA" w:rsidP="00C935FA">
            <w:pPr>
              <w:spacing w:line="240" w:lineRule="auto"/>
              <w:jc w:val="right"/>
              <w:rPr>
                <w:rFonts w:asciiTheme="minorHAnsi" w:hAnsiTheme="minorHAnsi" w:cstheme="minorHAnsi"/>
                <w:sz w:val="18"/>
                <w:szCs w:val="18"/>
                <w:lang w:val="es-CR" w:eastAsia="es-CR"/>
              </w:rPr>
            </w:pPr>
            <w:r w:rsidRPr="00C935FA">
              <w:rPr>
                <w:rFonts w:asciiTheme="minorHAnsi" w:hAnsiTheme="minorHAnsi" w:cstheme="minorHAnsi"/>
                <w:sz w:val="18"/>
                <w:szCs w:val="18"/>
                <w:lang w:val="es-CR" w:eastAsia="es-CR"/>
              </w:rPr>
              <w:t>0</w:t>
            </w:r>
          </w:p>
        </w:tc>
        <w:tc>
          <w:tcPr>
            <w:tcW w:w="1133" w:type="dxa"/>
            <w:tcBorders>
              <w:top w:val="nil"/>
              <w:left w:val="nil"/>
              <w:bottom w:val="single" w:sz="4" w:space="0" w:color="auto"/>
              <w:right w:val="single" w:sz="4" w:space="0" w:color="auto"/>
            </w:tcBorders>
            <w:shd w:val="clear" w:color="auto" w:fill="auto"/>
            <w:noWrap/>
            <w:vAlign w:val="center"/>
            <w:hideMark/>
          </w:tcPr>
          <w:p w14:paraId="6E05C121" w14:textId="77777777" w:rsidR="00C935FA" w:rsidRPr="00C935FA" w:rsidRDefault="00C935FA" w:rsidP="00C935FA">
            <w:pPr>
              <w:spacing w:line="240" w:lineRule="auto"/>
              <w:jc w:val="right"/>
              <w:rPr>
                <w:rFonts w:asciiTheme="minorHAnsi" w:hAnsiTheme="minorHAnsi" w:cstheme="minorHAnsi"/>
                <w:sz w:val="18"/>
                <w:szCs w:val="18"/>
                <w:lang w:val="es-CR" w:eastAsia="es-CR"/>
              </w:rPr>
            </w:pPr>
            <w:r w:rsidRPr="00C935FA">
              <w:rPr>
                <w:rFonts w:asciiTheme="minorHAnsi" w:hAnsiTheme="minorHAnsi" w:cstheme="minorHAnsi"/>
                <w:sz w:val="18"/>
                <w:szCs w:val="18"/>
                <w:lang w:val="es-CR" w:eastAsia="es-CR"/>
              </w:rPr>
              <w:t>39 790</w:t>
            </w:r>
          </w:p>
        </w:tc>
        <w:tc>
          <w:tcPr>
            <w:tcW w:w="992" w:type="dxa"/>
            <w:tcBorders>
              <w:top w:val="nil"/>
              <w:left w:val="nil"/>
              <w:bottom w:val="single" w:sz="4" w:space="0" w:color="auto"/>
              <w:right w:val="single" w:sz="4" w:space="0" w:color="auto"/>
            </w:tcBorders>
            <w:shd w:val="clear" w:color="auto" w:fill="auto"/>
            <w:noWrap/>
            <w:vAlign w:val="center"/>
            <w:hideMark/>
          </w:tcPr>
          <w:p w14:paraId="6DCF04FF" w14:textId="77777777" w:rsidR="00C935FA" w:rsidRPr="00C935FA" w:rsidRDefault="00C935FA" w:rsidP="00C935FA">
            <w:pPr>
              <w:spacing w:line="240" w:lineRule="auto"/>
              <w:jc w:val="center"/>
              <w:rPr>
                <w:rFonts w:asciiTheme="minorHAnsi" w:hAnsiTheme="minorHAnsi" w:cstheme="minorHAnsi"/>
                <w:sz w:val="18"/>
                <w:szCs w:val="18"/>
                <w:lang w:val="es-CR" w:eastAsia="es-CR"/>
              </w:rPr>
            </w:pPr>
            <w:r w:rsidRPr="00C935FA">
              <w:rPr>
                <w:rFonts w:asciiTheme="minorHAnsi" w:hAnsiTheme="minorHAnsi" w:cstheme="minorHAnsi"/>
                <w:sz w:val="18"/>
                <w:szCs w:val="18"/>
                <w:lang w:val="es-CR" w:eastAsia="es-CR"/>
              </w:rPr>
              <w:t>34%</w:t>
            </w:r>
          </w:p>
        </w:tc>
      </w:tr>
      <w:tr w:rsidR="00F7003E" w:rsidRPr="00C935FA" w14:paraId="58982C77" w14:textId="77777777" w:rsidTr="006128F8">
        <w:trPr>
          <w:trHeight w:val="260"/>
        </w:trPr>
        <w:tc>
          <w:tcPr>
            <w:tcW w:w="688" w:type="dxa"/>
            <w:tcBorders>
              <w:top w:val="nil"/>
              <w:left w:val="single" w:sz="4" w:space="0" w:color="auto"/>
              <w:bottom w:val="single" w:sz="4" w:space="0" w:color="auto"/>
              <w:right w:val="single" w:sz="4" w:space="0" w:color="auto"/>
            </w:tcBorders>
            <w:shd w:val="clear" w:color="auto" w:fill="auto"/>
            <w:noWrap/>
            <w:vAlign w:val="center"/>
            <w:hideMark/>
          </w:tcPr>
          <w:p w14:paraId="20C8462A" w14:textId="77777777" w:rsidR="00C935FA" w:rsidRPr="00C935FA" w:rsidRDefault="00C935FA" w:rsidP="00C935FA">
            <w:pPr>
              <w:spacing w:line="240" w:lineRule="auto"/>
              <w:jc w:val="center"/>
              <w:rPr>
                <w:rFonts w:asciiTheme="minorHAnsi" w:hAnsiTheme="minorHAnsi" w:cstheme="minorHAnsi"/>
                <w:sz w:val="18"/>
                <w:szCs w:val="18"/>
                <w:lang w:val="es-CR" w:eastAsia="es-CR"/>
              </w:rPr>
            </w:pPr>
            <w:r w:rsidRPr="00C935FA">
              <w:rPr>
                <w:rFonts w:asciiTheme="minorHAnsi" w:hAnsiTheme="minorHAnsi" w:cstheme="minorHAnsi"/>
                <w:sz w:val="18"/>
                <w:szCs w:val="18"/>
                <w:lang w:val="es-CR" w:eastAsia="es-CR"/>
              </w:rPr>
              <w:t>1.02.04</w:t>
            </w:r>
          </w:p>
        </w:tc>
        <w:tc>
          <w:tcPr>
            <w:tcW w:w="956" w:type="dxa"/>
            <w:tcBorders>
              <w:top w:val="nil"/>
              <w:left w:val="nil"/>
              <w:bottom w:val="single" w:sz="4" w:space="0" w:color="auto"/>
              <w:right w:val="single" w:sz="4" w:space="0" w:color="auto"/>
            </w:tcBorders>
            <w:shd w:val="clear" w:color="auto" w:fill="auto"/>
            <w:noWrap/>
            <w:vAlign w:val="center"/>
            <w:hideMark/>
          </w:tcPr>
          <w:p w14:paraId="3E387DBE" w14:textId="77777777" w:rsidR="00C935FA" w:rsidRPr="00C935FA" w:rsidRDefault="00C935FA" w:rsidP="00C935FA">
            <w:pPr>
              <w:spacing w:line="240" w:lineRule="auto"/>
              <w:jc w:val="center"/>
              <w:rPr>
                <w:rFonts w:asciiTheme="minorHAnsi" w:hAnsiTheme="minorHAnsi" w:cstheme="minorHAnsi"/>
                <w:sz w:val="18"/>
                <w:szCs w:val="18"/>
                <w:lang w:val="es-CR" w:eastAsia="es-CR"/>
              </w:rPr>
            </w:pPr>
            <w:r w:rsidRPr="00C935FA">
              <w:rPr>
                <w:rFonts w:asciiTheme="minorHAnsi" w:hAnsiTheme="minorHAnsi" w:cstheme="minorHAnsi"/>
                <w:sz w:val="18"/>
                <w:szCs w:val="18"/>
                <w:lang w:val="es-CR" w:eastAsia="es-CR"/>
              </w:rPr>
              <w:t>1.1.2</w:t>
            </w:r>
          </w:p>
        </w:tc>
        <w:tc>
          <w:tcPr>
            <w:tcW w:w="2462" w:type="dxa"/>
            <w:tcBorders>
              <w:top w:val="nil"/>
              <w:left w:val="nil"/>
              <w:bottom w:val="single" w:sz="4" w:space="0" w:color="auto"/>
              <w:right w:val="single" w:sz="4" w:space="0" w:color="auto"/>
            </w:tcBorders>
            <w:shd w:val="clear" w:color="auto" w:fill="auto"/>
            <w:noWrap/>
            <w:vAlign w:val="center"/>
            <w:hideMark/>
          </w:tcPr>
          <w:p w14:paraId="183CBC9D" w14:textId="77777777" w:rsidR="00C935FA" w:rsidRPr="00C935FA" w:rsidRDefault="00C935FA" w:rsidP="00C935FA">
            <w:pPr>
              <w:spacing w:line="240" w:lineRule="auto"/>
              <w:jc w:val="left"/>
              <w:rPr>
                <w:rFonts w:asciiTheme="minorHAnsi" w:hAnsiTheme="minorHAnsi" w:cstheme="minorHAnsi"/>
                <w:sz w:val="18"/>
                <w:szCs w:val="18"/>
                <w:lang w:val="es-CR" w:eastAsia="es-CR"/>
              </w:rPr>
            </w:pPr>
            <w:r w:rsidRPr="00C935FA">
              <w:rPr>
                <w:rFonts w:asciiTheme="minorHAnsi" w:hAnsiTheme="minorHAnsi" w:cstheme="minorHAnsi"/>
                <w:sz w:val="18"/>
                <w:szCs w:val="18"/>
                <w:lang w:val="es-CR" w:eastAsia="es-CR"/>
              </w:rPr>
              <w:t>Servicio de telecomunicaciones</w:t>
            </w:r>
          </w:p>
        </w:tc>
        <w:tc>
          <w:tcPr>
            <w:tcW w:w="1276" w:type="dxa"/>
            <w:tcBorders>
              <w:top w:val="nil"/>
              <w:left w:val="nil"/>
              <w:bottom w:val="single" w:sz="4" w:space="0" w:color="auto"/>
              <w:right w:val="single" w:sz="4" w:space="0" w:color="auto"/>
            </w:tcBorders>
            <w:shd w:val="clear" w:color="auto" w:fill="auto"/>
            <w:noWrap/>
            <w:vAlign w:val="center"/>
            <w:hideMark/>
          </w:tcPr>
          <w:p w14:paraId="6D1C9DA9" w14:textId="77777777" w:rsidR="00C935FA" w:rsidRPr="00C935FA" w:rsidRDefault="00C935FA" w:rsidP="00C935FA">
            <w:pPr>
              <w:spacing w:line="240" w:lineRule="auto"/>
              <w:jc w:val="right"/>
              <w:rPr>
                <w:rFonts w:asciiTheme="minorHAnsi" w:hAnsiTheme="minorHAnsi" w:cstheme="minorHAnsi"/>
                <w:sz w:val="18"/>
                <w:szCs w:val="18"/>
                <w:lang w:val="es-CR" w:eastAsia="es-CR"/>
              </w:rPr>
            </w:pPr>
            <w:r w:rsidRPr="00C935FA">
              <w:rPr>
                <w:rFonts w:asciiTheme="minorHAnsi" w:hAnsiTheme="minorHAnsi" w:cstheme="minorHAnsi"/>
                <w:sz w:val="18"/>
                <w:szCs w:val="18"/>
                <w:lang w:val="es-CR" w:eastAsia="es-CR"/>
              </w:rPr>
              <w:t>4 200 000</w:t>
            </w:r>
          </w:p>
        </w:tc>
        <w:tc>
          <w:tcPr>
            <w:tcW w:w="1276" w:type="dxa"/>
            <w:tcBorders>
              <w:top w:val="nil"/>
              <w:left w:val="nil"/>
              <w:bottom w:val="single" w:sz="4" w:space="0" w:color="auto"/>
              <w:right w:val="single" w:sz="4" w:space="0" w:color="auto"/>
            </w:tcBorders>
            <w:shd w:val="clear" w:color="auto" w:fill="auto"/>
            <w:noWrap/>
            <w:vAlign w:val="center"/>
            <w:hideMark/>
          </w:tcPr>
          <w:p w14:paraId="7DD9594C" w14:textId="77777777" w:rsidR="00C935FA" w:rsidRPr="00C935FA" w:rsidRDefault="00C935FA" w:rsidP="00C935FA">
            <w:pPr>
              <w:spacing w:line="240" w:lineRule="auto"/>
              <w:jc w:val="right"/>
              <w:rPr>
                <w:rFonts w:asciiTheme="minorHAnsi" w:hAnsiTheme="minorHAnsi" w:cstheme="minorHAnsi"/>
                <w:sz w:val="18"/>
                <w:szCs w:val="18"/>
                <w:lang w:val="es-CR" w:eastAsia="es-CR"/>
              </w:rPr>
            </w:pPr>
            <w:r w:rsidRPr="00C935FA">
              <w:rPr>
                <w:rFonts w:asciiTheme="minorHAnsi" w:hAnsiTheme="minorHAnsi" w:cstheme="minorHAnsi"/>
                <w:sz w:val="18"/>
                <w:szCs w:val="18"/>
                <w:lang w:val="es-CR" w:eastAsia="es-CR"/>
              </w:rPr>
              <w:t>2 015 210</w:t>
            </w:r>
          </w:p>
        </w:tc>
        <w:tc>
          <w:tcPr>
            <w:tcW w:w="851" w:type="dxa"/>
            <w:tcBorders>
              <w:top w:val="nil"/>
              <w:left w:val="nil"/>
              <w:bottom w:val="single" w:sz="4" w:space="0" w:color="auto"/>
              <w:right w:val="single" w:sz="4" w:space="0" w:color="auto"/>
            </w:tcBorders>
            <w:shd w:val="clear" w:color="auto" w:fill="auto"/>
            <w:noWrap/>
            <w:vAlign w:val="center"/>
            <w:hideMark/>
          </w:tcPr>
          <w:p w14:paraId="1643B106" w14:textId="77777777" w:rsidR="00C935FA" w:rsidRPr="00C935FA" w:rsidRDefault="00C935FA" w:rsidP="00C935FA">
            <w:pPr>
              <w:spacing w:line="240" w:lineRule="auto"/>
              <w:jc w:val="right"/>
              <w:rPr>
                <w:rFonts w:asciiTheme="minorHAnsi" w:hAnsiTheme="minorHAnsi" w:cstheme="minorHAnsi"/>
                <w:sz w:val="18"/>
                <w:szCs w:val="18"/>
                <w:lang w:val="es-CR" w:eastAsia="es-CR"/>
              </w:rPr>
            </w:pPr>
            <w:r w:rsidRPr="00C935FA">
              <w:rPr>
                <w:rFonts w:asciiTheme="minorHAnsi" w:hAnsiTheme="minorHAnsi" w:cstheme="minorHAnsi"/>
                <w:sz w:val="18"/>
                <w:szCs w:val="18"/>
                <w:lang w:val="es-CR" w:eastAsia="es-CR"/>
              </w:rPr>
              <w:t>0</w:t>
            </w:r>
          </w:p>
        </w:tc>
        <w:tc>
          <w:tcPr>
            <w:tcW w:w="1133" w:type="dxa"/>
            <w:tcBorders>
              <w:top w:val="nil"/>
              <w:left w:val="nil"/>
              <w:bottom w:val="single" w:sz="4" w:space="0" w:color="auto"/>
              <w:right w:val="single" w:sz="4" w:space="0" w:color="auto"/>
            </w:tcBorders>
            <w:shd w:val="clear" w:color="auto" w:fill="auto"/>
            <w:noWrap/>
            <w:vAlign w:val="center"/>
            <w:hideMark/>
          </w:tcPr>
          <w:p w14:paraId="3DEAE2C2" w14:textId="77777777" w:rsidR="00C935FA" w:rsidRPr="00C935FA" w:rsidRDefault="00C935FA" w:rsidP="00C935FA">
            <w:pPr>
              <w:spacing w:line="240" w:lineRule="auto"/>
              <w:jc w:val="right"/>
              <w:rPr>
                <w:rFonts w:asciiTheme="minorHAnsi" w:hAnsiTheme="minorHAnsi" w:cstheme="minorHAnsi"/>
                <w:sz w:val="18"/>
                <w:szCs w:val="18"/>
                <w:lang w:val="es-CR" w:eastAsia="es-CR"/>
              </w:rPr>
            </w:pPr>
            <w:r w:rsidRPr="00C935FA">
              <w:rPr>
                <w:rFonts w:asciiTheme="minorHAnsi" w:hAnsiTheme="minorHAnsi" w:cstheme="minorHAnsi"/>
                <w:sz w:val="18"/>
                <w:szCs w:val="18"/>
                <w:lang w:val="es-CR" w:eastAsia="es-CR"/>
              </w:rPr>
              <w:t>2 184 790</w:t>
            </w:r>
          </w:p>
        </w:tc>
        <w:tc>
          <w:tcPr>
            <w:tcW w:w="992" w:type="dxa"/>
            <w:tcBorders>
              <w:top w:val="nil"/>
              <w:left w:val="nil"/>
              <w:bottom w:val="single" w:sz="4" w:space="0" w:color="auto"/>
              <w:right w:val="single" w:sz="4" w:space="0" w:color="auto"/>
            </w:tcBorders>
            <w:shd w:val="clear" w:color="auto" w:fill="auto"/>
            <w:noWrap/>
            <w:vAlign w:val="center"/>
            <w:hideMark/>
          </w:tcPr>
          <w:p w14:paraId="770A136D" w14:textId="77777777" w:rsidR="00C935FA" w:rsidRPr="00C935FA" w:rsidRDefault="00C935FA" w:rsidP="00C935FA">
            <w:pPr>
              <w:spacing w:line="240" w:lineRule="auto"/>
              <w:jc w:val="center"/>
              <w:rPr>
                <w:rFonts w:asciiTheme="minorHAnsi" w:hAnsiTheme="minorHAnsi" w:cstheme="minorHAnsi"/>
                <w:sz w:val="18"/>
                <w:szCs w:val="18"/>
                <w:lang w:val="es-CR" w:eastAsia="es-CR"/>
              </w:rPr>
            </w:pPr>
            <w:r w:rsidRPr="00C935FA">
              <w:rPr>
                <w:rFonts w:asciiTheme="minorHAnsi" w:hAnsiTheme="minorHAnsi" w:cstheme="minorHAnsi"/>
                <w:sz w:val="18"/>
                <w:szCs w:val="18"/>
                <w:lang w:val="es-CR" w:eastAsia="es-CR"/>
              </w:rPr>
              <w:t>48%</w:t>
            </w:r>
          </w:p>
        </w:tc>
      </w:tr>
      <w:tr w:rsidR="00F7003E" w:rsidRPr="00C935FA" w14:paraId="3F5062CE" w14:textId="77777777" w:rsidTr="006128F8">
        <w:trPr>
          <w:trHeight w:val="260"/>
        </w:trPr>
        <w:tc>
          <w:tcPr>
            <w:tcW w:w="688" w:type="dxa"/>
            <w:tcBorders>
              <w:top w:val="nil"/>
              <w:left w:val="single" w:sz="4" w:space="0" w:color="auto"/>
              <w:bottom w:val="single" w:sz="4" w:space="0" w:color="auto"/>
              <w:right w:val="single" w:sz="4" w:space="0" w:color="auto"/>
            </w:tcBorders>
            <w:shd w:val="clear" w:color="auto" w:fill="auto"/>
            <w:noWrap/>
            <w:vAlign w:val="center"/>
            <w:hideMark/>
          </w:tcPr>
          <w:p w14:paraId="60EEB269" w14:textId="77777777" w:rsidR="00C935FA" w:rsidRPr="00C935FA" w:rsidRDefault="00C935FA" w:rsidP="00C935FA">
            <w:pPr>
              <w:spacing w:line="240" w:lineRule="auto"/>
              <w:jc w:val="center"/>
              <w:rPr>
                <w:rFonts w:asciiTheme="minorHAnsi" w:hAnsiTheme="minorHAnsi" w:cstheme="minorHAnsi"/>
                <w:sz w:val="18"/>
                <w:szCs w:val="18"/>
                <w:lang w:val="es-CR" w:eastAsia="es-CR"/>
              </w:rPr>
            </w:pPr>
            <w:r w:rsidRPr="00C935FA">
              <w:rPr>
                <w:rFonts w:asciiTheme="minorHAnsi" w:hAnsiTheme="minorHAnsi" w:cstheme="minorHAnsi"/>
                <w:sz w:val="18"/>
                <w:szCs w:val="18"/>
                <w:lang w:val="es-CR" w:eastAsia="es-CR"/>
              </w:rPr>
              <w:t>1.02.99</w:t>
            </w:r>
          </w:p>
        </w:tc>
        <w:tc>
          <w:tcPr>
            <w:tcW w:w="956" w:type="dxa"/>
            <w:tcBorders>
              <w:top w:val="nil"/>
              <w:left w:val="nil"/>
              <w:bottom w:val="single" w:sz="4" w:space="0" w:color="auto"/>
              <w:right w:val="single" w:sz="4" w:space="0" w:color="auto"/>
            </w:tcBorders>
            <w:shd w:val="clear" w:color="auto" w:fill="auto"/>
            <w:noWrap/>
            <w:vAlign w:val="center"/>
            <w:hideMark/>
          </w:tcPr>
          <w:p w14:paraId="403F568A" w14:textId="77777777" w:rsidR="00C935FA" w:rsidRPr="00C935FA" w:rsidRDefault="00C935FA" w:rsidP="00C935FA">
            <w:pPr>
              <w:spacing w:line="240" w:lineRule="auto"/>
              <w:jc w:val="center"/>
              <w:rPr>
                <w:rFonts w:asciiTheme="minorHAnsi" w:hAnsiTheme="minorHAnsi" w:cstheme="minorHAnsi"/>
                <w:sz w:val="18"/>
                <w:szCs w:val="18"/>
                <w:lang w:val="es-CR" w:eastAsia="es-CR"/>
              </w:rPr>
            </w:pPr>
            <w:r w:rsidRPr="00C935FA">
              <w:rPr>
                <w:rFonts w:asciiTheme="minorHAnsi" w:hAnsiTheme="minorHAnsi" w:cstheme="minorHAnsi"/>
                <w:sz w:val="18"/>
                <w:szCs w:val="18"/>
                <w:lang w:val="es-CR" w:eastAsia="es-CR"/>
              </w:rPr>
              <w:t>1.1.2</w:t>
            </w:r>
          </w:p>
        </w:tc>
        <w:tc>
          <w:tcPr>
            <w:tcW w:w="2462" w:type="dxa"/>
            <w:tcBorders>
              <w:top w:val="nil"/>
              <w:left w:val="nil"/>
              <w:bottom w:val="single" w:sz="4" w:space="0" w:color="auto"/>
              <w:right w:val="single" w:sz="4" w:space="0" w:color="auto"/>
            </w:tcBorders>
            <w:shd w:val="clear" w:color="auto" w:fill="auto"/>
            <w:noWrap/>
            <w:vAlign w:val="center"/>
            <w:hideMark/>
          </w:tcPr>
          <w:p w14:paraId="58E7B14A" w14:textId="77777777" w:rsidR="00C935FA" w:rsidRPr="00C935FA" w:rsidRDefault="00C935FA" w:rsidP="00C935FA">
            <w:pPr>
              <w:spacing w:line="240" w:lineRule="auto"/>
              <w:jc w:val="left"/>
              <w:rPr>
                <w:rFonts w:asciiTheme="minorHAnsi" w:hAnsiTheme="minorHAnsi" w:cstheme="minorHAnsi"/>
                <w:sz w:val="18"/>
                <w:szCs w:val="18"/>
                <w:lang w:val="es-CR" w:eastAsia="es-CR"/>
              </w:rPr>
            </w:pPr>
            <w:r w:rsidRPr="00C935FA">
              <w:rPr>
                <w:rFonts w:asciiTheme="minorHAnsi" w:hAnsiTheme="minorHAnsi" w:cstheme="minorHAnsi"/>
                <w:sz w:val="18"/>
                <w:szCs w:val="18"/>
                <w:lang w:val="es-CR" w:eastAsia="es-CR"/>
              </w:rPr>
              <w:t>Otros servicios básicos</w:t>
            </w:r>
          </w:p>
        </w:tc>
        <w:tc>
          <w:tcPr>
            <w:tcW w:w="1276" w:type="dxa"/>
            <w:tcBorders>
              <w:top w:val="nil"/>
              <w:left w:val="nil"/>
              <w:bottom w:val="single" w:sz="4" w:space="0" w:color="auto"/>
              <w:right w:val="single" w:sz="4" w:space="0" w:color="auto"/>
            </w:tcBorders>
            <w:shd w:val="clear" w:color="auto" w:fill="auto"/>
            <w:noWrap/>
            <w:vAlign w:val="center"/>
            <w:hideMark/>
          </w:tcPr>
          <w:p w14:paraId="4B8956D3" w14:textId="77777777" w:rsidR="00C935FA" w:rsidRPr="00C935FA" w:rsidRDefault="00C935FA" w:rsidP="00C935FA">
            <w:pPr>
              <w:spacing w:line="240" w:lineRule="auto"/>
              <w:jc w:val="right"/>
              <w:rPr>
                <w:rFonts w:asciiTheme="minorHAnsi" w:hAnsiTheme="minorHAnsi" w:cstheme="minorHAnsi"/>
                <w:sz w:val="18"/>
                <w:szCs w:val="18"/>
                <w:lang w:val="es-CR" w:eastAsia="es-CR"/>
              </w:rPr>
            </w:pPr>
            <w:r w:rsidRPr="00C935FA">
              <w:rPr>
                <w:rFonts w:asciiTheme="minorHAnsi" w:hAnsiTheme="minorHAnsi" w:cstheme="minorHAnsi"/>
                <w:sz w:val="18"/>
                <w:szCs w:val="18"/>
                <w:lang w:val="es-CR" w:eastAsia="es-CR"/>
              </w:rPr>
              <w:t>350 000</w:t>
            </w:r>
          </w:p>
        </w:tc>
        <w:tc>
          <w:tcPr>
            <w:tcW w:w="1276" w:type="dxa"/>
            <w:tcBorders>
              <w:top w:val="nil"/>
              <w:left w:val="nil"/>
              <w:bottom w:val="single" w:sz="4" w:space="0" w:color="auto"/>
              <w:right w:val="single" w:sz="4" w:space="0" w:color="auto"/>
            </w:tcBorders>
            <w:shd w:val="clear" w:color="auto" w:fill="auto"/>
            <w:noWrap/>
            <w:vAlign w:val="center"/>
            <w:hideMark/>
          </w:tcPr>
          <w:p w14:paraId="6ED4A88D" w14:textId="77777777" w:rsidR="00C935FA" w:rsidRPr="00C935FA" w:rsidRDefault="00C935FA" w:rsidP="00C935FA">
            <w:pPr>
              <w:spacing w:line="240" w:lineRule="auto"/>
              <w:jc w:val="right"/>
              <w:rPr>
                <w:rFonts w:asciiTheme="minorHAnsi" w:hAnsiTheme="minorHAnsi" w:cstheme="minorHAnsi"/>
                <w:sz w:val="18"/>
                <w:szCs w:val="18"/>
                <w:lang w:val="es-CR" w:eastAsia="es-CR"/>
              </w:rPr>
            </w:pPr>
            <w:r w:rsidRPr="00C935FA">
              <w:rPr>
                <w:rFonts w:asciiTheme="minorHAnsi" w:hAnsiTheme="minorHAnsi" w:cstheme="minorHAnsi"/>
                <w:sz w:val="18"/>
                <w:szCs w:val="18"/>
                <w:lang w:val="es-CR" w:eastAsia="es-CR"/>
              </w:rPr>
              <w:t>0</w:t>
            </w:r>
          </w:p>
        </w:tc>
        <w:tc>
          <w:tcPr>
            <w:tcW w:w="851" w:type="dxa"/>
            <w:tcBorders>
              <w:top w:val="nil"/>
              <w:left w:val="nil"/>
              <w:bottom w:val="single" w:sz="4" w:space="0" w:color="auto"/>
              <w:right w:val="single" w:sz="4" w:space="0" w:color="auto"/>
            </w:tcBorders>
            <w:shd w:val="clear" w:color="auto" w:fill="auto"/>
            <w:noWrap/>
            <w:vAlign w:val="center"/>
            <w:hideMark/>
          </w:tcPr>
          <w:p w14:paraId="6F53297F" w14:textId="77777777" w:rsidR="00C935FA" w:rsidRPr="00C935FA" w:rsidRDefault="00C935FA" w:rsidP="00C935FA">
            <w:pPr>
              <w:spacing w:line="240" w:lineRule="auto"/>
              <w:jc w:val="right"/>
              <w:rPr>
                <w:rFonts w:asciiTheme="minorHAnsi" w:hAnsiTheme="minorHAnsi" w:cstheme="minorHAnsi"/>
                <w:sz w:val="18"/>
                <w:szCs w:val="18"/>
                <w:lang w:val="es-CR" w:eastAsia="es-CR"/>
              </w:rPr>
            </w:pPr>
            <w:r w:rsidRPr="00C935FA">
              <w:rPr>
                <w:rFonts w:asciiTheme="minorHAnsi" w:hAnsiTheme="minorHAnsi" w:cstheme="minorHAnsi"/>
                <w:sz w:val="18"/>
                <w:szCs w:val="18"/>
                <w:lang w:val="es-CR" w:eastAsia="es-CR"/>
              </w:rPr>
              <w:t>0</w:t>
            </w:r>
          </w:p>
        </w:tc>
        <w:tc>
          <w:tcPr>
            <w:tcW w:w="1133" w:type="dxa"/>
            <w:tcBorders>
              <w:top w:val="nil"/>
              <w:left w:val="nil"/>
              <w:bottom w:val="single" w:sz="4" w:space="0" w:color="auto"/>
              <w:right w:val="single" w:sz="4" w:space="0" w:color="auto"/>
            </w:tcBorders>
            <w:shd w:val="clear" w:color="auto" w:fill="auto"/>
            <w:noWrap/>
            <w:vAlign w:val="center"/>
            <w:hideMark/>
          </w:tcPr>
          <w:p w14:paraId="646BEC23" w14:textId="77777777" w:rsidR="00C935FA" w:rsidRPr="00C935FA" w:rsidRDefault="00C935FA" w:rsidP="00C935FA">
            <w:pPr>
              <w:spacing w:line="240" w:lineRule="auto"/>
              <w:jc w:val="right"/>
              <w:rPr>
                <w:rFonts w:asciiTheme="minorHAnsi" w:hAnsiTheme="minorHAnsi" w:cstheme="minorHAnsi"/>
                <w:sz w:val="18"/>
                <w:szCs w:val="18"/>
                <w:lang w:val="es-CR" w:eastAsia="es-CR"/>
              </w:rPr>
            </w:pPr>
            <w:r w:rsidRPr="00C935FA">
              <w:rPr>
                <w:rFonts w:asciiTheme="minorHAnsi" w:hAnsiTheme="minorHAnsi" w:cstheme="minorHAnsi"/>
                <w:sz w:val="18"/>
                <w:szCs w:val="18"/>
                <w:lang w:val="es-CR" w:eastAsia="es-CR"/>
              </w:rPr>
              <w:t>350 000</w:t>
            </w:r>
          </w:p>
        </w:tc>
        <w:tc>
          <w:tcPr>
            <w:tcW w:w="992" w:type="dxa"/>
            <w:tcBorders>
              <w:top w:val="nil"/>
              <w:left w:val="nil"/>
              <w:bottom w:val="single" w:sz="4" w:space="0" w:color="auto"/>
              <w:right w:val="single" w:sz="4" w:space="0" w:color="auto"/>
            </w:tcBorders>
            <w:shd w:val="clear" w:color="auto" w:fill="auto"/>
            <w:noWrap/>
            <w:vAlign w:val="center"/>
            <w:hideMark/>
          </w:tcPr>
          <w:p w14:paraId="1B4EF66D" w14:textId="77777777" w:rsidR="00C935FA" w:rsidRPr="00C935FA" w:rsidRDefault="00C935FA" w:rsidP="00C935FA">
            <w:pPr>
              <w:spacing w:line="240" w:lineRule="auto"/>
              <w:jc w:val="center"/>
              <w:rPr>
                <w:rFonts w:asciiTheme="minorHAnsi" w:hAnsiTheme="minorHAnsi" w:cstheme="minorHAnsi"/>
                <w:sz w:val="18"/>
                <w:szCs w:val="18"/>
                <w:lang w:val="es-CR" w:eastAsia="es-CR"/>
              </w:rPr>
            </w:pPr>
            <w:r w:rsidRPr="00C935FA">
              <w:rPr>
                <w:rFonts w:asciiTheme="minorHAnsi" w:hAnsiTheme="minorHAnsi" w:cstheme="minorHAnsi"/>
                <w:sz w:val="18"/>
                <w:szCs w:val="18"/>
                <w:lang w:val="es-CR" w:eastAsia="es-CR"/>
              </w:rPr>
              <w:t>0%</w:t>
            </w:r>
          </w:p>
        </w:tc>
      </w:tr>
      <w:tr w:rsidR="00F7003E" w:rsidRPr="00C935FA" w14:paraId="5DF8F876" w14:textId="77777777" w:rsidTr="006128F8">
        <w:trPr>
          <w:trHeight w:val="260"/>
        </w:trPr>
        <w:tc>
          <w:tcPr>
            <w:tcW w:w="688" w:type="dxa"/>
            <w:tcBorders>
              <w:top w:val="nil"/>
              <w:left w:val="single" w:sz="4" w:space="0" w:color="auto"/>
              <w:bottom w:val="single" w:sz="4" w:space="0" w:color="auto"/>
              <w:right w:val="single" w:sz="4" w:space="0" w:color="auto"/>
            </w:tcBorders>
            <w:shd w:val="clear" w:color="auto" w:fill="auto"/>
            <w:noWrap/>
            <w:vAlign w:val="center"/>
            <w:hideMark/>
          </w:tcPr>
          <w:p w14:paraId="09EB3CF3" w14:textId="77777777" w:rsidR="00C935FA" w:rsidRPr="00C935FA" w:rsidRDefault="00C935FA" w:rsidP="00C935FA">
            <w:pPr>
              <w:spacing w:line="240" w:lineRule="auto"/>
              <w:jc w:val="center"/>
              <w:rPr>
                <w:rFonts w:asciiTheme="minorHAnsi" w:hAnsiTheme="minorHAnsi" w:cstheme="minorHAnsi"/>
                <w:sz w:val="18"/>
                <w:szCs w:val="18"/>
                <w:lang w:val="es-CR" w:eastAsia="es-CR"/>
              </w:rPr>
            </w:pPr>
            <w:r w:rsidRPr="00C935FA">
              <w:rPr>
                <w:rFonts w:asciiTheme="minorHAnsi" w:hAnsiTheme="minorHAnsi" w:cstheme="minorHAnsi"/>
                <w:sz w:val="18"/>
                <w:szCs w:val="18"/>
                <w:lang w:val="es-CR" w:eastAsia="es-CR"/>
              </w:rPr>
              <w:t>1.03.01</w:t>
            </w:r>
          </w:p>
        </w:tc>
        <w:tc>
          <w:tcPr>
            <w:tcW w:w="956" w:type="dxa"/>
            <w:tcBorders>
              <w:top w:val="nil"/>
              <w:left w:val="nil"/>
              <w:bottom w:val="single" w:sz="4" w:space="0" w:color="auto"/>
              <w:right w:val="single" w:sz="4" w:space="0" w:color="auto"/>
            </w:tcBorders>
            <w:shd w:val="clear" w:color="auto" w:fill="auto"/>
            <w:noWrap/>
            <w:vAlign w:val="center"/>
            <w:hideMark/>
          </w:tcPr>
          <w:p w14:paraId="208DEE07" w14:textId="77777777" w:rsidR="00C935FA" w:rsidRPr="00C935FA" w:rsidRDefault="00C935FA" w:rsidP="00C935FA">
            <w:pPr>
              <w:spacing w:line="240" w:lineRule="auto"/>
              <w:jc w:val="center"/>
              <w:rPr>
                <w:rFonts w:asciiTheme="minorHAnsi" w:hAnsiTheme="minorHAnsi" w:cstheme="minorHAnsi"/>
                <w:sz w:val="18"/>
                <w:szCs w:val="18"/>
                <w:lang w:val="es-CR" w:eastAsia="es-CR"/>
              </w:rPr>
            </w:pPr>
            <w:r w:rsidRPr="00C935FA">
              <w:rPr>
                <w:rFonts w:asciiTheme="minorHAnsi" w:hAnsiTheme="minorHAnsi" w:cstheme="minorHAnsi"/>
                <w:sz w:val="18"/>
                <w:szCs w:val="18"/>
                <w:lang w:val="es-CR" w:eastAsia="es-CR"/>
              </w:rPr>
              <w:t>1.1.2</w:t>
            </w:r>
          </w:p>
        </w:tc>
        <w:tc>
          <w:tcPr>
            <w:tcW w:w="2462" w:type="dxa"/>
            <w:tcBorders>
              <w:top w:val="nil"/>
              <w:left w:val="nil"/>
              <w:bottom w:val="single" w:sz="4" w:space="0" w:color="auto"/>
              <w:right w:val="single" w:sz="4" w:space="0" w:color="auto"/>
            </w:tcBorders>
            <w:shd w:val="clear" w:color="auto" w:fill="auto"/>
            <w:noWrap/>
            <w:vAlign w:val="center"/>
            <w:hideMark/>
          </w:tcPr>
          <w:p w14:paraId="7FF13B69" w14:textId="77777777" w:rsidR="00C935FA" w:rsidRPr="00C935FA" w:rsidRDefault="00C935FA" w:rsidP="00C935FA">
            <w:pPr>
              <w:spacing w:line="240" w:lineRule="auto"/>
              <w:jc w:val="left"/>
              <w:rPr>
                <w:rFonts w:asciiTheme="minorHAnsi" w:hAnsiTheme="minorHAnsi" w:cstheme="minorHAnsi"/>
                <w:sz w:val="18"/>
                <w:szCs w:val="18"/>
                <w:lang w:val="es-CR" w:eastAsia="es-CR"/>
              </w:rPr>
            </w:pPr>
            <w:r w:rsidRPr="00C935FA">
              <w:rPr>
                <w:rFonts w:asciiTheme="minorHAnsi" w:hAnsiTheme="minorHAnsi" w:cstheme="minorHAnsi"/>
                <w:sz w:val="18"/>
                <w:szCs w:val="18"/>
                <w:lang w:val="es-CR" w:eastAsia="es-CR"/>
              </w:rPr>
              <w:t>Información</w:t>
            </w:r>
          </w:p>
        </w:tc>
        <w:tc>
          <w:tcPr>
            <w:tcW w:w="1276" w:type="dxa"/>
            <w:tcBorders>
              <w:top w:val="nil"/>
              <w:left w:val="nil"/>
              <w:bottom w:val="single" w:sz="4" w:space="0" w:color="auto"/>
              <w:right w:val="single" w:sz="4" w:space="0" w:color="auto"/>
            </w:tcBorders>
            <w:shd w:val="clear" w:color="auto" w:fill="auto"/>
            <w:noWrap/>
            <w:vAlign w:val="center"/>
            <w:hideMark/>
          </w:tcPr>
          <w:p w14:paraId="6481262D" w14:textId="77777777" w:rsidR="00C935FA" w:rsidRPr="00C935FA" w:rsidRDefault="00C935FA" w:rsidP="00C935FA">
            <w:pPr>
              <w:spacing w:line="240" w:lineRule="auto"/>
              <w:jc w:val="right"/>
              <w:rPr>
                <w:rFonts w:asciiTheme="minorHAnsi" w:hAnsiTheme="minorHAnsi" w:cstheme="minorHAnsi"/>
                <w:sz w:val="18"/>
                <w:szCs w:val="18"/>
                <w:lang w:val="es-CR" w:eastAsia="es-CR"/>
              </w:rPr>
            </w:pPr>
            <w:r w:rsidRPr="00C935FA">
              <w:rPr>
                <w:rFonts w:asciiTheme="minorHAnsi" w:hAnsiTheme="minorHAnsi" w:cstheme="minorHAnsi"/>
                <w:sz w:val="18"/>
                <w:szCs w:val="18"/>
                <w:lang w:val="es-CR" w:eastAsia="es-CR"/>
              </w:rPr>
              <w:t>63 300 000</w:t>
            </w:r>
          </w:p>
        </w:tc>
        <w:tc>
          <w:tcPr>
            <w:tcW w:w="1276" w:type="dxa"/>
            <w:tcBorders>
              <w:top w:val="nil"/>
              <w:left w:val="nil"/>
              <w:bottom w:val="single" w:sz="4" w:space="0" w:color="auto"/>
              <w:right w:val="single" w:sz="4" w:space="0" w:color="auto"/>
            </w:tcBorders>
            <w:shd w:val="clear" w:color="auto" w:fill="auto"/>
            <w:noWrap/>
            <w:vAlign w:val="center"/>
            <w:hideMark/>
          </w:tcPr>
          <w:p w14:paraId="49A27014" w14:textId="77777777" w:rsidR="00C935FA" w:rsidRPr="00C935FA" w:rsidRDefault="00C935FA" w:rsidP="00C935FA">
            <w:pPr>
              <w:spacing w:line="240" w:lineRule="auto"/>
              <w:jc w:val="right"/>
              <w:rPr>
                <w:rFonts w:asciiTheme="minorHAnsi" w:hAnsiTheme="minorHAnsi" w:cstheme="minorHAnsi"/>
                <w:sz w:val="18"/>
                <w:szCs w:val="18"/>
                <w:lang w:val="es-CR" w:eastAsia="es-CR"/>
              </w:rPr>
            </w:pPr>
            <w:r w:rsidRPr="00C935FA">
              <w:rPr>
                <w:rFonts w:asciiTheme="minorHAnsi" w:hAnsiTheme="minorHAnsi" w:cstheme="minorHAnsi"/>
                <w:sz w:val="18"/>
                <w:szCs w:val="18"/>
                <w:lang w:val="es-CR" w:eastAsia="es-CR"/>
              </w:rPr>
              <w:t>1 875 619</w:t>
            </w:r>
          </w:p>
        </w:tc>
        <w:tc>
          <w:tcPr>
            <w:tcW w:w="851" w:type="dxa"/>
            <w:tcBorders>
              <w:top w:val="nil"/>
              <w:left w:val="nil"/>
              <w:bottom w:val="single" w:sz="4" w:space="0" w:color="auto"/>
              <w:right w:val="single" w:sz="4" w:space="0" w:color="auto"/>
            </w:tcBorders>
            <w:shd w:val="clear" w:color="auto" w:fill="auto"/>
            <w:noWrap/>
            <w:vAlign w:val="center"/>
            <w:hideMark/>
          </w:tcPr>
          <w:p w14:paraId="77B28009" w14:textId="77777777" w:rsidR="00C935FA" w:rsidRPr="00C935FA" w:rsidRDefault="00C935FA" w:rsidP="00C935FA">
            <w:pPr>
              <w:spacing w:line="240" w:lineRule="auto"/>
              <w:jc w:val="right"/>
              <w:rPr>
                <w:rFonts w:asciiTheme="minorHAnsi" w:hAnsiTheme="minorHAnsi" w:cstheme="minorHAnsi"/>
                <w:sz w:val="18"/>
                <w:szCs w:val="18"/>
                <w:lang w:val="es-CR" w:eastAsia="es-CR"/>
              </w:rPr>
            </w:pPr>
            <w:r w:rsidRPr="00C935FA">
              <w:rPr>
                <w:rFonts w:asciiTheme="minorHAnsi" w:hAnsiTheme="minorHAnsi" w:cstheme="minorHAnsi"/>
                <w:sz w:val="18"/>
                <w:szCs w:val="18"/>
                <w:lang w:val="es-CR" w:eastAsia="es-CR"/>
              </w:rPr>
              <w:t>0</w:t>
            </w:r>
          </w:p>
        </w:tc>
        <w:tc>
          <w:tcPr>
            <w:tcW w:w="1133" w:type="dxa"/>
            <w:tcBorders>
              <w:top w:val="nil"/>
              <w:left w:val="nil"/>
              <w:bottom w:val="single" w:sz="4" w:space="0" w:color="auto"/>
              <w:right w:val="single" w:sz="4" w:space="0" w:color="auto"/>
            </w:tcBorders>
            <w:shd w:val="clear" w:color="auto" w:fill="auto"/>
            <w:noWrap/>
            <w:vAlign w:val="center"/>
            <w:hideMark/>
          </w:tcPr>
          <w:p w14:paraId="15E6D222" w14:textId="77777777" w:rsidR="00C935FA" w:rsidRPr="00C935FA" w:rsidRDefault="00C935FA" w:rsidP="00C935FA">
            <w:pPr>
              <w:spacing w:line="240" w:lineRule="auto"/>
              <w:jc w:val="right"/>
              <w:rPr>
                <w:rFonts w:asciiTheme="minorHAnsi" w:hAnsiTheme="minorHAnsi" w:cstheme="minorHAnsi"/>
                <w:sz w:val="18"/>
                <w:szCs w:val="18"/>
                <w:lang w:val="es-CR" w:eastAsia="es-CR"/>
              </w:rPr>
            </w:pPr>
            <w:r w:rsidRPr="00C935FA">
              <w:rPr>
                <w:rFonts w:asciiTheme="minorHAnsi" w:hAnsiTheme="minorHAnsi" w:cstheme="minorHAnsi"/>
                <w:sz w:val="18"/>
                <w:szCs w:val="18"/>
                <w:lang w:val="es-CR" w:eastAsia="es-CR"/>
              </w:rPr>
              <w:t>61 424 381</w:t>
            </w:r>
          </w:p>
        </w:tc>
        <w:tc>
          <w:tcPr>
            <w:tcW w:w="992" w:type="dxa"/>
            <w:tcBorders>
              <w:top w:val="nil"/>
              <w:left w:val="nil"/>
              <w:bottom w:val="single" w:sz="4" w:space="0" w:color="auto"/>
              <w:right w:val="single" w:sz="4" w:space="0" w:color="auto"/>
            </w:tcBorders>
            <w:shd w:val="clear" w:color="auto" w:fill="auto"/>
            <w:noWrap/>
            <w:vAlign w:val="center"/>
            <w:hideMark/>
          </w:tcPr>
          <w:p w14:paraId="53181560" w14:textId="77777777" w:rsidR="00C935FA" w:rsidRPr="00C935FA" w:rsidRDefault="00C935FA" w:rsidP="00C935FA">
            <w:pPr>
              <w:spacing w:line="240" w:lineRule="auto"/>
              <w:jc w:val="center"/>
              <w:rPr>
                <w:rFonts w:asciiTheme="minorHAnsi" w:hAnsiTheme="minorHAnsi" w:cstheme="minorHAnsi"/>
                <w:sz w:val="18"/>
                <w:szCs w:val="18"/>
                <w:lang w:val="es-CR" w:eastAsia="es-CR"/>
              </w:rPr>
            </w:pPr>
            <w:r w:rsidRPr="00C935FA">
              <w:rPr>
                <w:rFonts w:asciiTheme="minorHAnsi" w:hAnsiTheme="minorHAnsi" w:cstheme="minorHAnsi"/>
                <w:sz w:val="18"/>
                <w:szCs w:val="18"/>
                <w:lang w:val="es-CR" w:eastAsia="es-CR"/>
              </w:rPr>
              <w:t>3%</w:t>
            </w:r>
          </w:p>
        </w:tc>
      </w:tr>
      <w:tr w:rsidR="00F7003E" w:rsidRPr="00C935FA" w14:paraId="6834B4F4" w14:textId="77777777" w:rsidTr="006128F8">
        <w:trPr>
          <w:trHeight w:val="260"/>
        </w:trPr>
        <w:tc>
          <w:tcPr>
            <w:tcW w:w="688" w:type="dxa"/>
            <w:tcBorders>
              <w:top w:val="nil"/>
              <w:left w:val="single" w:sz="4" w:space="0" w:color="auto"/>
              <w:bottom w:val="single" w:sz="4" w:space="0" w:color="auto"/>
              <w:right w:val="single" w:sz="4" w:space="0" w:color="auto"/>
            </w:tcBorders>
            <w:shd w:val="clear" w:color="auto" w:fill="auto"/>
            <w:noWrap/>
            <w:vAlign w:val="center"/>
            <w:hideMark/>
          </w:tcPr>
          <w:p w14:paraId="3360B8FC" w14:textId="77777777" w:rsidR="00C935FA" w:rsidRPr="00C935FA" w:rsidRDefault="00C935FA" w:rsidP="00C935FA">
            <w:pPr>
              <w:spacing w:line="240" w:lineRule="auto"/>
              <w:jc w:val="center"/>
              <w:rPr>
                <w:rFonts w:asciiTheme="minorHAnsi" w:hAnsiTheme="minorHAnsi" w:cstheme="minorHAnsi"/>
                <w:sz w:val="18"/>
                <w:szCs w:val="18"/>
                <w:lang w:val="es-CR" w:eastAsia="es-CR"/>
              </w:rPr>
            </w:pPr>
            <w:r w:rsidRPr="00C935FA">
              <w:rPr>
                <w:rFonts w:asciiTheme="minorHAnsi" w:hAnsiTheme="minorHAnsi" w:cstheme="minorHAnsi"/>
                <w:sz w:val="18"/>
                <w:szCs w:val="18"/>
                <w:lang w:val="es-CR" w:eastAsia="es-CR"/>
              </w:rPr>
              <w:t>1.03.03</w:t>
            </w:r>
          </w:p>
        </w:tc>
        <w:tc>
          <w:tcPr>
            <w:tcW w:w="956" w:type="dxa"/>
            <w:tcBorders>
              <w:top w:val="nil"/>
              <w:left w:val="nil"/>
              <w:bottom w:val="single" w:sz="4" w:space="0" w:color="auto"/>
              <w:right w:val="single" w:sz="4" w:space="0" w:color="auto"/>
            </w:tcBorders>
            <w:shd w:val="clear" w:color="auto" w:fill="auto"/>
            <w:noWrap/>
            <w:vAlign w:val="center"/>
            <w:hideMark/>
          </w:tcPr>
          <w:p w14:paraId="20A56787" w14:textId="77777777" w:rsidR="00C935FA" w:rsidRPr="00C935FA" w:rsidRDefault="00C935FA" w:rsidP="00C935FA">
            <w:pPr>
              <w:spacing w:line="240" w:lineRule="auto"/>
              <w:jc w:val="center"/>
              <w:rPr>
                <w:rFonts w:asciiTheme="minorHAnsi" w:hAnsiTheme="minorHAnsi" w:cstheme="minorHAnsi"/>
                <w:sz w:val="18"/>
                <w:szCs w:val="18"/>
                <w:lang w:val="es-CR" w:eastAsia="es-CR"/>
              </w:rPr>
            </w:pPr>
            <w:r w:rsidRPr="00C935FA">
              <w:rPr>
                <w:rFonts w:asciiTheme="minorHAnsi" w:hAnsiTheme="minorHAnsi" w:cstheme="minorHAnsi"/>
                <w:sz w:val="18"/>
                <w:szCs w:val="18"/>
                <w:lang w:val="es-CR" w:eastAsia="es-CR"/>
              </w:rPr>
              <w:t>1.1.2</w:t>
            </w:r>
          </w:p>
        </w:tc>
        <w:tc>
          <w:tcPr>
            <w:tcW w:w="2462" w:type="dxa"/>
            <w:tcBorders>
              <w:top w:val="nil"/>
              <w:left w:val="nil"/>
              <w:bottom w:val="single" w:sz="4" w:space="0" w:color="auto"/>
              <w:right w:val="single" w:sz="4" w:space="0" w:color="auto"/>
            </w:tcBorders>
            <w:shd w:val="clear" w:color="auto" w:fill="auto"/>
            <w:noWrap/>
            <w:vAlign w:val="center"/>
            <w:hideMark/>
          </w:tcPr>
          <w:p w14:paraId="04816091" w14:textId="77777777" w:rsidR="00C935FA" w:rsidRPr="00C935FA" w:rsidRDefault="00C935FA" w:rsidP="00C935FA">
            <w:pPr>
              <w:spacing w:line="240" w:lineRule="auto"/>
              <w:jc w:val="left"/>
              <w:rPr>
                <w:rFonts w:asciiTheme="minorHAnsi" w:hAnsiTheme="minorHAnsi" w:cstheme="minorHAnsi"/>
                <w:sz w:val="18"/>
                <w:szCs w:val="18"/>
                <w:lang w:val="es-CR" w:eastAsia="es-CR"/>
              </w:rPr>
            </w:pPr>
            <w:r w:rsidRPr="00C935FA">
              <w:rPr>
                <w:rFonts w:asciiTheme="minorHAnsi" w:hAnsiTheme="minorHAnsi" w:cstheme="minorHAnsi"/>
                <w:sz w:val="18"/>
                <w:szCs w:val="18"/>
                <w:lang w:val="es-CR" w:eastAsia="es-CR"/>
              </w:rPr>
              <w:t>Impresión, encuadernación y otros</w:t>
            </w:r>
          </w:p>
        </w:tc>
        <w:tc>
          <w:tcPr>
            <w:tcW w:w="1276" w:type="dxa"/>
            <w:tcBorders>
              <w:top w:val="nil"/>
              <w:left w:val="nil"/>
              <w:bottom w:val="single" w:sz="4" w:space="0" w:color="auto"/>
              <w:right w:val="single" w:sz="4" w:space="0" w:color="auto"/>
            </w:tcBorders>
            <w:shd w:val="clear" w:color="auto" w:fill="auto"/>
            <w:noWrap/>
            <w:vAlign w:val="center"/>
            <w:hideMark/>
          </w:tcPr>
          <w:p w14:paraId="726248D4" w14:textId="77777777" w:rsidR="00C935FA" w:rsidRPr="00C935FA" w:rsidRDefault="00C935FA" w:rsidP="00C935FA">
            <w:pPr>
              <w:spacing w:line="240" w:lineRule="auto"/>
              <w:jc w:val="right"/>
              <w:rPr>
                <w:rFonts w:asciiTheme="minorHAnsi" w:hAnsiTheme="minorHAnsi" w:cstheme="minorHAnsi"/>
                <w:sz w:val="18"/>
                <w:szCs w:val="18"/>
                <w:lang w:val="es-CR" w:eastAsia="es-CR"/>
              </w:rPr>
            </w:pPr>
            <w:r w:rsidRPr="00C935FA">
              <w:rPr>
                <w:rFonts w:asciiTheme="minorHAnsi" w:hAnsiTheme="minorHAnsi" w:cstheme="minorHAnsi"/>
                <w:sz w:val="18"/>
                <w:szCs w:val="18"/>
                <w:lang w:val="es-CR" w:eastAsia="es-CR"/>
              </w:rPr>
              <w:t>3 000 000</w:t>
            </w:r>
          </w:p>
        </w:tc>
        <w:tc>
          <w:tcPr>
            <w:tcW w:w="1276" w:type="dxa"/>
            <w:tcBorders>
              <w:top w:val="nil"/>
              <w:left w:val="nil"/>
              <w:bottom w:val="single" w:sz="4" w:space="0" w:color="auto"/>
              <w:right w:val="single" w:sz="4" w:space="0" w:color="auto"/>
            </w:tcBorders>
            <w:shd w:val="clear" w:color="auto" w:fill="auto"/>
            <w:noWrap/>
            <w:vAlign w:val="center"/>
            <w:hideMark/>
          </w:tcPr>
          <w:p w14:paraId="3F90E906" w14:textId="77777777" w:rsidR="00C935FA" w:rsidRPr="00C935FA" w:rsidRDefault="00C935FA" w:rsidP="00C935FA">
            <w:pPr>
              <w:spacing w:line="240" w:lineRule="auto"/>
              <w:jc w:val="right"/>
              <w:rPr>
                <w:rFonts w:asciiTheme="minorHAnsi" w:hAnsiTheme="minorHAnsi" w:cstheme="minorHAnsi"/>
                <w:sz w:val="18"/>
                <w:szCs w:val="18"/>
                <w:lang w:val="es-CR" w:eastAsia="es-CR"/>
              </w:rPr>
            </w:pPr>
            <w:r w:rsidRPr="00C935FA">
              <w:rPr>
                <w:rFonts w:asciiTheme="minorHAnsi" w:hAnsiTheme="minorHAnsi" w:cstheme="minorHAnsi"/>
                <w:sz w:val="18"/>
                <w:szCs w:val="18"/>
                <w:lang w:val="es-CR" w:eastAsia="es-CR"/>
              </w:rPr>
              <w:t>0</w:t>
            </w:r>
          </w:p>
        </w:tc>
        <w:tc>
          <w:tcPr>
            <w:tcW w:w="851" w:type="dxa"/>
            <w:tcBorders>
              <w:top w:val="nil"/>
              <w:left w:val="nil"/>
              <w:bottom w:val="single" w:sz="4" w:space="0" w:color="auto"/>
              <w:right w:val="single" w:sz="4" w:space="0" w:color="auto"/>
            </w:tcBorders>
            <w:shd w:val="clear" w:color="auto" w:fill="auto"/>
            <w:noWrap/>
            <w:vAlign w:val="center"/>
            <w:hideMark/>
          </w:tcPr>
          <w:p w14:paraId="35485655" w14:textId="77777777" w:rsidR="00C935FA" w:rsidRPr="00C935FA" w:rsidRDefault="00C935FA" w:rsidP="00C935FA">
            <w:pPr>
              <w:spacing w:line="240" w:lineRule="auto"/>
              <w:jc w:val="right"/>
              <w:rPr>
                <w:rFonts w:asciiTheme="minorHAnsi" w:hAnsiTheme="minorHAnsi" w:cstheme="minorHAnsi"/>
                <w:sz w:val="18"/>
                <w:szCs w:val="18"/>
                <w:lang w:val="es-CR" w:eastAsia="es-CR"/>
              </w:rPr>
            </w:pPr>
            <w:r w:rsidRPr="00C935FA">
              <w:rPr>
                <w:rFonts w:asciiTheme="minorHAnsi" w:hAnsiTheme="minorHAnsi" w:cstheme="minorHAnsi"/>
                <w:sz w:val="18"/>
                <w:szCs w:val="18"/>
                <w:lang w:val="es-CR" w:eastAsia="es-CR"/>
              </w:rPr>
              <w:t>0</w:t>
            </w:r>
          </w:p>
        </w:tc>
        <w:tc>
          <w:tcPr>
            <w:tcW w:w="1133" w:type="dxa"/>
            <w:tcBorders>
              <w:top w:val="nil"/>
              <w:left w:val="nil"/>
              <w:bottom w:val="single" w:sz="4" w:space="0" w:color="auto"/>
              <w:right w:val="single" w:sz="4" w:space="0" w:color="auto"/>
            </w:tcBorders>
            <w:shd w:val="clear" w:color="auto" w:fill="auto"/>
            <w:noWrap/>
            <w:vAlign w:val="center"/>
            <w:hideMark/>
          </w:tcPr>
          <w:p w14:paraId="3324DBD6" w14:textId="77777777" w:rsidR="00C935FA" w:rsidRPr="00C935FA" w:rsidRDefault="00C935FA" w:rsidP="00C935FA">
            <w:pPr>
              <w:spacing w:line="240" w:lineRule="auto"/>
              <w:jc w:val="right"/>
              <w:rPr>
                <w:rFonts w:asciiTheme="minorHAnsi" w:hAnsiTheme="minorHAnsi" w:cstheme="minorHAnsi"/>
                <w:sz w:val="18"/>
                <w:szCs w:val="18"/>
                <w:lang w:val="es-CR" w:eastAsia="es-CR"/>
              </w:rPr>
            </w:pPr>
            <w:r w:rsidRPr="00C935FA">
              <w:rPr>
                <w:rFonts w:asciiTheme="minorHAnsi" w:hAnsiTheme="minorHAnsi" w:cstheme="minorHAnsi"/>
                <w:sz w:val="18"/>
                <w:szCs w:val="18"/>
                <w:lang w:val="es-CR" w:eastAsia="es-CR"/>
              </w:rPr>
              <w:t>3 000 000</w:t>
            </w:r>
          </w:p>
        </w:tc>
        <w:tc>
          <w:tcPr>
            <w:tcW w:w="992" w:type="dxa"/>
            <w:tcBorders>
              <w:top w:val="nil"/>
              <w:left w:val="nil"/>
              <w:bottom w:val="single" w:sz="4" w:space="0" w:color="auto"/>
              <w:right w:val="single" w:sz="4" w:space="0" w:color="auto"/>
            </w:tcBorders>
            <w:shd w:val="clear" w:color="auto" w:fill="auto"/>
            <w:noWrap/>
            <w:vAlign w:val="center"/>
            <w:hideMark/>
          </w:tcPr>
          <w:p w14:paraId="28127C3B" w14:textId="77777777" w:rsidR="00C935FA" w:rsidRPr="00C935FA" w:rsidRDefault="00C935FA" w:rsidP="00C935FA">
            <w:pPr>
              <w:spacing w:line="240" w:lineRule="auto"/>
              <w:jc w:val="center"/>
              <w:rPr>
                <w:rFonts w:asciiTheme="minorHAnsi" w:hAnsiTheme="minorHAnsi" w:cstheme="minorHAnsi"/>
                <w:sz w:val="18"/>
                <w:szCs w:val="18"/>
                <w:lang w:val="es-CR" w:eastAsia="es-CR"/>
              </w:rPr>
            </w:pPr>
            <w:r w:rsidRPr="00C935FA">
              <w:rPr>
                <w:rFonts w:asciiTheme="minorHAnsi" w:hAnsiTheme="minorHAnsi" w:cstheme="minorHAnsi"/>
                <w:sz w:val="18"/>
                <w:szCs w:val="18"/>
                <w:lang w:val="es-CR" w:eastAsia="es-CR"/>
              </w:rPr>
              <w:t>0%</w:t>
            </w:r>
          </w:p>
        </w:tc>
      </w:tr>
      <w:tr w:rsidR="00F7003E" w:rsidRPr="00C935FA" w14:paraId="00778709" w14:textId="77777777" w:rsidTr="006128F8">
        <w:trPr>
          <w:trHeight w:val="260"/>
        </w:trPr>
        <w:tc>
          <w:tcPr>
            <w:tcW w:w="688" w:type="dxa"/>
            <w:tcBorders>
              <w:top w:val="nil"/>
              <w:left w:val="single" w:sz="4" w:space="0" w:color="auto"/>
              <w:bottom w:val="single" w:sz="4" w:space="0" w:color="auto"/>
              <w:right w:val="single" w:sz="4" w:space="0" w:color="auto"/>
            </w:tcBorders>
            <w:shd w:val="clear" w:color="auto" w:fill="auto"/>
            <w:noWrap/>
            <w:vAlign w:val="center"/>
            <w:hideMark/>
          </w:tcPr>
          <w:p w14:paraId="490EE675" w14:textId="77777777" w:rsidR="00C935FA" w:rsidRPr="00C935FA" w:rsidRDefault="00C935FA" w:rsidP="00C935FA">
            <w:pPr>
              <w:spacing w:line="240" w:lineRule="auto"/>
              <w:jc w:val="center"/>
              <w:rPr>
                <w:rFonts w:asciiTheme="minorHAnsi" w:hAnsiTheme="minorHAnsi" w:cstheme="minorHAnsi"/>
                <w:sz w:val="18"/>
                <w:szCs w:val="18"/>
                <w:lang w:val="es-CR" w:eastAsia="es-CR"/>
              </w:rPr>
            </w:pPr>
            <w:r w:rsidRPr="00C935FA">
              <w:rPr>
                <w:rFonts w:asciiTheme="minorHAnsi" w:hAnsiTheme="minorHAnsi" w:cstheme="minorHAnsi"/>
                <w:sz w:val="18"/>
                <w:szCs w:val="18"/>
                <w:lang w:val="es-CR" w:eastAsia="es-CR"/>
              </w:rPr>
              <w:t>1.03.07</w:t>
            </w:r>
          </w:p>
        </w:tc>
        <w:tc>
          <w:tcPr>
            <w:tcW w:w="956" w:type="dxa"/>
            <w:tcBorders>
              <w:top w:val="nil"/>
              <w:left w:val="nil"/>
              <w:bottom w:val="single" w:sz="4" w:space="0" w:color="auto"/>
              <w:right w:val="single" w:sz="4" w:space="0" w:color="auto"/>
            </w:tcBorders>
            <w:shd w:val="clear" w:color="auto" w:fill="auto"/>
            <w:noWrap/>
            <w:vAlign w:val="center"/>
            <w:hideMark/>
          </w:tcPr>
          <w:p w14:paraId="5BABECF8" w14:textId="77777777" w:rsidR="00C935FA" w:rsidRPr="00C935FA" w:rsidRDefault="00C935FA" w:rsidP="00C935FA">
            <w:pPr>
              <w:spacing w:line="240" w:lineRule="auto"/>
              <w:jc w:val="center"/>
              <w:rPr>
                <w:rFonts w:asciiTheme="minorHAnsi" w:hAnsiTheme="minorHAnsi" w:cstheme="minorHAnsi"/>
                <w:sz w:val="18"/>
                <w:szCs w:val="18"/>
                <w:lang w:val="es-CR" w:eastAsia="es-CR"/>
              </w:rPr>
            </w:pPr>
            <w:r w:rsidRPr="00C935FA">
              <w:rPr>
                <w:rFonts w:asciiTheme="minorHAnsi" w:hAnsiTheme="minorHAnsi" w:cstheme="minorHAnsi"/>
                <w:sz w:val="18"/>
                <w:szCs w:val="18"/>
                <w:lang w:val="es-CR" w:eastAsia="es-CR"/>
              </w:rPr>
              <w:t>1.1.2</w:t>
            </w:r>
          </w:p>
        </w:tc>
        <w:tc>
          <w:tcPr>
            <w:tcW w:w="2462" w:type="dxa"/>
            <w:tcBorders>
              <w:top w:val="nil"/>
              <w:left w:val="nil"/>
              <w:bottom w:val="single" w:sz="4" w:space="0" w:color="auto"/>
              <w:right w:val="single" w:sz="4" w:space="0" w:color="auto"/>
            </w:tcBorders>
            <w:shd w:val="clear" w:color="auto" w:fill="auto"/>
            <w:noWrap/>
            <w:vAlign w:val="center"/>
            <w:hideMark/>
          </w:tcPr>
          <w:p w14:paraId="6DAED775" w14:textId="77777777" w:rsidR="00C935FA" w:rsidRPr="00C935FA" w:rsidRDefault="00C935FA" w:rsidP="00C935FA">
            <w:pPr>
              <w:spacing w:line="240" w:lineRule="auto"/>
              <w:jc w:val="left"/>
              <w:rPr>
                <w:rFonts w:asciiTheme="minorHAnsi" w:hAnsiTheme="minorHAnsi" w:cstheme="minorHAnsi"/>
                <w:sz w:val="18"/>
                <w:szCs w:val="18"/>
                <w:lang w:val="es-CR" w:eastAsia="es-CR"/>
              </w:rPr>
            </w:pPr>
            <w:r w:rsidRPr="00C935FA">
              <w:rPr>
                <w:rFonts w:asciiTheme="minorHAnsi" w:hAnsiTheme="minorHAnsi" w:cstheme="minorHAnsi"/>
                <w:sz w:val="18"/>
                <w:szCs w:val="18"/>
                <w:lang w:val="es-CR" w:eastAsia="es-CR"/>
              </w:rPr>
              <w:t>Servicio de transferencia electrónica de información</w:t>
            </w:r>
          </w:p>
        </w:tc>
        <w:tc>
          <w:tcPr>
            <w:tcW w:w="1276" w:type="dxa"/>
            <w:tcBorders>
              <w:top w:val="nil"/>
              <w:left w:val="nil"/>
              <w:bottom w:val="single" w:sz="4" w:space="0" w:color="auto"/>
              <w:right w:val="single" w:sz="4" w:space="0" w:color="auto"/>
            </w:tcBorders>
            <w:shd w:val="clear" w:color="auto" w:fill="auto"/>
            <w:noWrap/>
            <w:vAlign w:val="center"/>
            <w:hideMark/>
          </w:tcPr>
          <w:p w14:paraId="678C9CE3" w14:textId="77777777" w:rsidR="00C935FA" w:rsidRPr="00C935FA" w:rsidRDefault="00C935FA" w:rsidP="00C935FA">
            <w:pPr>
              <w:spacing w:line="240" w:lineRule="auto"/>
              <w:jc w:val="right"/>
              <w:rPr>
                <w:rFonts w:asciiTheme="minorHAnsi" w:hAnsiTheme="minorHAnsi" w:cstheme="minorHAnsi"/>
                <w:sz w:val="18"/>
                <w:szCs w:val="18"/>
                <w:lang w:val="es-CR" w:eastAsia="es-CR"/>
              </w:rPr>
            </w:pPr>
            <w:r w:rsidRPr="00C935FA">
              <w:rPr>
                <w:rFonts w:asciiTheme="minorHAnsi" w:hAnsiTheme="minorHAnsi" w:cstheme="minorHAnsi"/>
                <w:sz w:val="18"/>
                <w:szCs w:val="18"/>
                <w:lang w:val="es-CR" w:eastAsia="es-CR"/>
              </w:rPr>
              <w:t>34 245 928</w:t>
            </w:r>
          </w:p>
        </w:tc>
        <w:tc>
          <w:tcPr>
            <w:tcW w:w="1276" w:type="dxa"/>
            <w:tcBorders>
              <w:top w:val="nil"/>
              <w:left w:val="nil"/>
              <w:bottom w:val="single" w:sz="4" w:space="0" w:color="auto"/>
              <w:right w:val="single" w:sz="4" w:space="0" w:color="auto"/>
            </w:tcBorders>
            <w:shd w:val="clear" w:color="auto" w:fill="auto"/>
            <w:noWrap/>
            <w:vAlign w:val="center"/>
            <w:hideMark/>
          </w:tcPr>
          <w:p w14:paraId="186B9432" w14:textId="77777777" w:rsidR="00C935FA" w:rsidRPr="00C935FA" w:rsidRDefault="00C935FA" w:rsidP="00C935FA">
            <w:pPr>
              <w:spacing w:line="240" w:lineRule="auto"/>
              <w:jc w:val="right"/>
              <w:rPr>
                <w:rFonts w:asciiTheme="minorHAnsi" w:hAnsiTheme="minorHAnsi" w:cstheme="minorHAnsi"/>
                <w:sz w:val="18"/>
                <w:szCs w:val="18"/>
                <w:lang w:val="es-CR" w:eastAsia="es-CR"/>
              </w:rPr>
            </w:pPr>
            <w:r w:rsidRPr="00C935FA">
              <w:rPr>
                <w:rFonts w:asciiTheme="minorHAnsi" w:hAnsiTheme="minorHAnsi" w:cstheme="minorHAnsi"/>
                <w:sz w:val="18"/>
                <w:szCs w:val="18"/>
                <w:lang w:val="es-CR" w:eastAsia="es-CR"/>
              </w:rPr>
              <w:t>18 403 859</w:t>
            </w:r>
          </w:p>
        </w:tc>
        <w:tc>
          <w:tcPr>
            <w:tcW w:w="851" w:type="dxa"/>
            <w:tcBorders>
              <w:top w:val="nil"/>
              <w:left w:val="nil"/>
              <w:bottom w:val="single" w:sz="4" w:space="0" w:color="auto"/>
              <w:right w:val="single" w:sz="4" w:space="0" w:color="auto"/>
            </w:tcBorders>
            <w:shd w:val="clear" w:color="auto" w:fill="auto"/>
            <w:noWrap/>
            <w:vAlign w:val="center"/>
            <w:hideMark/>
          </w:tcPr>
          <w:p w14:paraId="722112EF" w14:textId="77777777" w:rsidR="00C935FA" w:rsidRPr="00C935FA" w:rsidRDefault="00C935FA" w:rsidP="00C935FA">
            <w:pPr>
              <w:spacing w:line="240" w:lineRule="auto"/>
              <w:jc w:val="right"/>
              <w:rPr>
                <w:rFonts w:asciiTheme="minorHAnsi" w:hAnsiTheme="minorHAnsi" w:cstheme="minorHAnsi"/>
                <w:sz w:val="18"/>
                <w:szCs w:val="18"/>
                <w:lang w:val="es-CR" w:eastAsia="es-CR"/>
              </w:rPr>
            </w:pPr>
            <w:r w:rsidRPr="00C935FA">
              <w:rPr>
                <w:rFonts w:asciiTheme="minorHAnsi" w:hAnsiTheme="minorHAnsi" w:cstheme="minorHAnsi"/>
                <w:sz w:val="18"/>
                <w:szCs w:val="18"/>
                <w:lang w:val="es-CR" w:eastAsia="es-CR"/>
              </w:rPr>
              <w:t>0</w:t>
            </w:r>
          </w:p>
        </w:tc>
        <w:tc>
          <w:tcPr>
            <w:tcW w:w="1133" w:type="dxa"/>
            <w:tcBorders>
              <w:top w:val="nil"/>
              <w:left w:val="nil"/>
              <w:bottom w:val="single" w:sz="4" w:space="0" w:color="auto"/>
              <w:right w:val="single" w:sz="4" w:space="0" w:color="auto"/>
            </w:tcBorders>
            <w:shd w:val="clear" w:color="auto" w:fill="auto"/>
            <w:noWrap/>
            <w:vAlign w:val="center"/>
            <w:hideMark/>
          </w:tcPr>
          <w:p w14:paraId="79E053AE" w14:textId="77777777" w:rsidR="00C935FA" w:rsidRPr="00C935FA" w:rsidRDefault="00C935FA" w:rsidP="00C935FA">
            <w:pPr>
              <w:spacing w:line="240" w:lineRule="auto"/>
              <w:jc w:val="right"/>
              <w:rPr>
                <w:rFonts w:asciiTheme="minorHAnsi" w:hAnsiTheme="minorHAnsi" w:cstheme="minorHAnsi"/>
                <w:sz w:val="18"/>
                <w:szCs w:val="18"/>
                <w:lang w:val="es-CR" w:eastAsia="es-CR"/>
              </w:rPr>
            </w:pPr>
            <w:r w:rsidRPr="00C935FA">
              <w:rPr>
                <w:rFonts w:asciiTheme="minorHAnsi" w:hAnsiTheme="minorHAnsi" w:cstheme="minorHAnsi"/>
                <w:sz w:val="18"/>
                <w:szCs w:val="18"/>
                <w:lang w:val="es-CR" w:eastAsia="es-CR"/>
              </w:rPr>
              <w:t>15 842 069</w:t>
            </w:r>
          </w:p>
        </w:tc>
        <w:tc>
          <w:tcPr>
            <w:tcW w:w="992" w:type="dxa"/>
            <w:tcBorders>
              <w:top w:val="nil"/>
              <w:left w:val="nil"/>
              <w:bottom w:val="single" w:sz="4" w:space="0" w:color="auto"/>
              <w:right w:val="single" w:sz="4" w:space="0" w:color="auto"/>
            </w:tcBorders>
            <w:shd w:val="clear" w:color="auto" w:fill="auto"/>
            <w:noWrap/>
            <w:vAlign w:val="center"/>
            <w:hideMark/>
          </w:tcPr>
          <w:p w14:paraId="2DF739F7" w14:textId="77777777" w:rsidR="00C935FA" w:rsidRPr="00C935FA" w:rsidRDefault="00C935FA" w:rsidP="00C935FA">
            <w:pPr>
              <w:spacing w:line="240" w:lineRule="auto"/>
              <w:jc w:val="center"/>
              <w:rPr>
                <w:rFonts w:asciiTheme="minorHAnsi" w:hAnsiTheme="minorHAnsi" w:cstheme="minorHAnsi"/>
                <w:sz w:val="18"/>
                <w:szCs w:val="18"/>
                <w:lang w:val="es-CR" w:eastAsia="es-CR"/>
              </w:rPr>
            </w:pPr>
            <w:r w:rsidRPr="00C935FA">
              <w:rPr>
                <w:rFonts w:asciiTheme="minorHAnsi" w:hAnsiTheme="minorHAnsi" w:cstheme="minorHAnsi"/>
                <w:sz w:val="18"/>
                <w:szCs w:val="18"/>
                <w:lang w:val="es-CR" w:eastAsia="es-CR"/>
              </w:rPr>
              <w:t>54%</w:t>
            </w:r>
          </w:p>
        </w:tc>
      </w:tr>
      <w:tr w:rsidR="00F7003E" w:rsidRPr="00C935FA" w14:paraId="66E19CEE" w14:textId="77777777" w:rsidTr="006128F8">
        <w:trPr>
          <w:trHeight w:val="260"/>
        </w:trPr>
        <w:tc>
          <w:tcPr>
            <w:tcW w:w="688" w:type="dxa"/>
            <w:tcBorders>
              <w:top w:val="nil"/>
              <w:left w:val="single" w:sz="4" w:space="0" w:color="auto"/>
              <w:bottom w:val="single" w:sz="4" w:space="0" w:color="auto"/>
              <w:right w:val="single" w:sz="4" w:space="0" w:color="auto"/>
            </w:tcBorders>
            <w:shd w:val="clear" w:color="auto" w:fill="auto"/>
            <w:noWrap/>
            <w:vAlign w:val="center"/>
            <w:hideMark/>
          </w:tcPr>
          <w:p w14:paraId="048410A2" w14:textId="77777777" w:rsidR="00C935FA" w:rsidRPr="00C935FA" w:rsidRDefault="00C935FA" w:rsidP="00C935FA">
            <w:pPr>
              <w:spacing w:line="240" w:lineRule="auto"/>
              <w:jc w:val="center"/>
              <w:rPr>
                <w:rFonts w:asciiTheme="minorHAnsi" w:hAnsiTheme="minorHAnsi" w:cstheme="minorHAnsi"/>
                <w:sz w:val="18"/>
                <w:szCs w:val="18"/>
                <w:lang w:val="es-CR" w:eastAsia="es-CR"/>
              </w:rPr>
            </w:pPr>
            <w:r w:rsidRPr="00C935FA">
              <w:rPr>
                <w:rFonts w:asciiTheme="minorHAnsi" w:hAnsiTheme="minorHAnsi" w:cstheme="minorHAnsi"/>
                <w:sz w:val="18"/>
                <w:szCs w:val="18"/>
                <w:lang w:val="es-CR" w:eastAsia="es-CR"/>
              </w:rPr>
              <w:t>1.04.01</w:t>
            </w:r>
          </w:p>
        </w:tc>
        <w:tc>
          <w:tcPr>
            <w:tcW w:w="956" w:type="dxa"/>
            <w:tcBorders>
              <w:top w:val="nil"/>
              <w:left w:val="nil"/>
              <w:bottom w:val="single" w:sz="4" w:space="0" w:color="auto"/>
              <w:right w:val="single" w:sz="4" w:space="0" w:color="auto"/>
            </w:tcBorders>
            <w:shd w:val="clear" w:color="auto" w:fill="auto"/>
            <w:noWrap/>
            <w:vAlign w:val="center"/>
            <w:hideMark/>
          </w:tcPr>
          <w:p w14:paraId="597EB858" w14:textId="77777777" w:rsidR="00C935FA" w:rsidRPr="00C935FA" w:rsidRDefault="00C935FA" w:rsidP="00C935FA">
            <w:pPr>
              <w:spacing w:line="240" w:lineRule="auto"/>
              <w:jc w:val="center"/>
              <w:rPr>
                <w:rFonts w:asciiTheme="minorHAnsi" w:hAnsiTheme="minorHAnsi" w:cstheme="minorHAnsi"/>
                <w:sz w:val="18"/>
                <w:szCs w:val="18"/>
                <w:lang w:val="es-CR" w:eastAsia="es-CR"/>
              </w:rPr>
            </w:pPr>
            <w:r w:rsidRPr="00C935FA">
              <w:rPr>
                <w:rFonts w:asciiTheme="minorHAnsi" w:hAnsiTheme="minorHAnsi" w:cstheme="minorHAnsi"/>
                <w:sz w:val="18"/>
                <w:szCs w:val="18"/>
                <w:lang w:val="es-CR" w:eastAsia="es-CR"/>
              </w:rPr>
              <w:t>1.1.2</w:t>
            </w:r>
          </w:p>
        </w:tc>
        <w:tc>
          <w:tcPr>
            <w:tcW w:w="2462" w:type="dxa"/>
            <w:tcBorders>
              <w:top w:val="nil"/>
              <w:left w:val="nil"/>
              <w:bottom w:val="single" w:sz="4" w:space="0" w:color="auto"/>
              <w:right w:val="single" w:sz="4" w:space="0" w:color="auto"/>
            </w:tcBorders>
            <w:shd w:val="clear" w:color="auto" w:fill="auto"/>
            <w:noWrap/>
            <w:vAlign w:val="center"/>
            <w:hideMark/>
          </w:tcPr>
          <w:p w14:paraId="6D72F4B8" w14:textId="77777777" w:rsidR="00C935FA" w:rsidRPr="00C935FA" w:rsidRDefault="00C935FA" w:rsidP="00C935FA">
            <w:pPr>
              <w:spacing w:line="240" w:lineRule="auto"/>
              <w:jc w:val="left"/>
              <w:rPr>
                <w:rFonts w:asciiTheme="minorHAnsi" w:hAnsiTheme="minorHAnsi" w:cstheme="minorHAnsi"/>
                <w:sz w:val="18"/>
                <w:szCs w:val="18"/>
                <w:lang w:val="es-CR" w:eastAsia="es-CR"/>
              </w:rPr>
            </w:pPr>
            <w:r w:rsidRPr="00C935FA">
              <w:rPr>
                <w:rFonts w:asciiTheme="minorHAnsi" w:hAnsiTheme="minorHAnsi" w:cstheme="minorHAnsi"/>
                <w:sz w:val="18"/>
                <w:szCs w:val="18"/>
                <w:lang w:val="es-CR" w:eastAsia="es-CR"/>
              </w:rPr>
              <w:t>Servicios médicos y de laboratorio</w:t>
            </w:r>
          </w:p>
        </w:tc>
        <w:tc>
          <w:tcPr>
            <w:tcW w:w="1276" w:type="dxa"/>
            <w:tcBorders>
              <w:top w:val="nil"/>
              <w:left w:val="nil"/>
              <w:bottom w:val="single" w:sz="4" w:space="0" w:color="auto"/>
              <w:right w:val="single" w:sz="4" w:space="0" w:color="auto"/>
            </w:tcBorders>
            <w:shd w:val="clear" w:color="auto" w:fill="auto"/>
            <w:noWrap/>
            <w:vAlign w:val="center"/>
            <w:hideMark/>
          </w:tcPr>
          <w:p w14:paraId="6E23353F" w14:textId="77777777" w:rsidR="00C935FA" w:rsidRPr="00C935FA" w:rsidRDefault="00C935FA" w:rsidP="00C935FA">
            <w:pPr>
              <w:spacing w:line="240" w:lineRule="auto"/>
              <w:jc w:val="right"/>
              <w:rPr>
                <w:rFonts w:asciiTheme="minorHAnsi" w:hAnsiTheme="minorHAnsi" w:cstheme="minorHAnsi"/>
                <w:sz w:val="18"/>
                <w:szCs w:val="18"/>
                <w:lang w:val="es-CR" w:eastAsia="es-CR"/>
              </w:rPr>
            </w:pPr>
            <w:r w:rsidRPr="00C935FA">
              <w:rPr>
                <w:rFonts w:asciiTheme="minorHAnsi" w:hAnsiTheme="minorHAnsi" w:cstheme="minorHAnsi"/>
                <w:sz w:val="18"/>
                <w:szCs w:val="18"/>
                <w:lang w:val="es-CR" w:eastAsia="es-CR"/>
              </w:rPr>
              <w:t>2 060 000</w:t>
            </w:r>
          </w:p>
        </w:tc>
        <w:tc>
          <w:tcPr>
            <w:tcW w:w="1276" w:type="dxa"/>
            <w:tcBorders>
              <w:top w:val="nil"/>
              <w:left w:val="nil"/>
              <w:bottom w:val="single" w:sz="4" w:space="0" w:color="auto"/>
              <w:right w:val="single" w:sz="4" w:space="0" w:color="auto"/>
            </w:tcBorders>
            <w:shd w:val="clear" w:color="auto" w:fill="auto"/>
            <w:noWrap/>
            <w:vAlign w:val="center"/>
            <w:hideMark/>
          </w:tcPr>
          <w:p w14:paraId="57BE9C35" w14:textId="77777777" w:rsidR="00C935FA" w:rsidRPr="00C935FA" w:rsidRDefault="00C935FA" w:rsidP="00C935FA">
            <w:pPr>
              <w:spacing w:line="240" w:lineRule="auto"/>
              <w:jc w:val="right"/>
              <w:rPr>
                <w:rFonts w:asciiTheme="minorHAnsi" w:hAnsiTheme="minorHAnsi" w:cstheme="minorHAnsi"/>
                <w:sz w:val="18"/>
                <w:szCs w:val="18"/>
                <w:lang w:val="es-CR" w:eastAsia="es-CR"/>
              </w:rPr>
            </w:pPr>
            <w:r w:rsidRPr="00C935FA">
              <w:rPr>
                <w:rFonts w:asciiTheme="minorHAnsi" w:hAnsiTheme="minorHAnsi" w:cstheme="minorHAnsi"/>
                <w:sz w:val="18"/>
                <w:szCs w:val="18"/>
                <w:lang w:val="es-CR" w:eastAsia="es-CR"/>
              </w:rPr>
              <w:t>0</w:t>
            </w:r>
          </w:p>
        </w:tc>
        <w:tc>
          <w:tcPr>
            <w:tcW w:w="851" w:type="dxa"/>
            <w:tcBorders>
              <w:top w:val="nil"/>
              <w:left w:val="nil"/>
              <w:bottom w:val="single" w:sz="4" w:space="0" w:color="auto"/>
              <w:right w:val="single" w:sz="4" w:space="0" w:color="auto"/>
            </w:tcBorders>
            <w:shd w:val="clear" w:color="auto" w:fill="auto"/>
            <w:noWrap/>
            <w:vAlign w:val="center"/>
            <w:hideMark/>
          </w:tcPr>
          <w:p w14:paraId="467B93DE" w14:textId="77777777" w:rsidR="00C935FA" w:rsidRPr="00C935FA" w:rsidRDefault="00C935FA" w:rsidP="00C935FA">
            <w:pPr>
              <w:spacing w:line="240" w:lineRule="auto"/>
              <w:jc w:val="right"/>
              <w:rPr>
                <w:rFonts w:asciiTheme="minorHAnsi" w:hAnsiTheme="minorHAnsi" w:cstheme="minorHAnsi"/>
                <w:sz w:val="18"/>
                <w:szCs w:val="18"/>
                <w:lang w:val="es-CR" w:eastAsia="es-CR"/>
              </w:rPr>
            </w:pPr>
            <w:r w:rsidRPr="00C935FA">
              <w:rPr>
                <w:rFonts w:asciiTheme="minorHAnsi" w:hAnsiTheme="minorHAnsi" w:cstheme="minorHAnsi"/>
                <w:sz w:val="18"/>
                <w:szCs w:val="18"/>
                <w:lang w:val="es-CR" w:eastAsia="es-CR"/>
              </w:rPr>
              <w:t>0</w:t>
            </w:r>
          </w:p>
        </w:tc>
        <w:tc>
          <w:tcPr>
            <w:tcW w:w="1133" w:type="dxa"/>
            <w:tcBorders>
              <w:top w:val="nil"/>
              <w:left w:val="nil"/>
              <w:bottom w:val="single" w:sz="4" w:space="0" w:color="auto"/>
              <w:right w:val="single" w:sz="4" w:space="0" w:color="auto"/>
            </w:tcBorders>
            <w:shd w:val="clear" w:color="auto" w:fill="auto"/>
            <w:noWrap/>
            <w:vAlign w:val="center"/>
            <w:hideMark/>
          </w:tcPr>
          <w:p w14:paraId="0DE473BC" w14:textId="77777777" w:rsidR="00C935FA" w:rsidRPr="00C935FA" w:rsidRDefault="00C935FA" w:rsidP="00C935FA">
            <w:pPr>
              <w:spacing w:line="240" w:lineRule="auto"/>
              <w:jc w:val="right"/>
              <w:rPr>
                <w:rFonts w:asciiTheme="minorHAnsi" w:hAnsiTheme="minorHAnsi" w:cstheme="minorHAnsi"/>
                <w:sz w:val="18"/>
                <w:szCs w:val="18"/>
                <w:lang w:val="es-CR" w:eastAsia="es-CR"/>
              </w:rPr>
            </w:pPr>
            <w:r w:rsidRPr="00C935FA">
              <w:rPr>
                <w:rFonts w:asciiTheme="minorHAnsi" w:hAnsiTheme="minorHAnsi" w:cstheme="minorHAnsi"/>
                <w:sz w:val="18"/>
                <w:szCs w:val="18"/>
                <w:lang w:val="es-CR" w:eastAsia="es-CR"/>
              </w:rPr>
              <w:t>2 060 000</w:t>
            </w:r>
          </w:p>
        </w:tc>
        <w:tc>
          <w:tcPr>
            <w:tcW w:w="992" w:type="dxa"/>
            <w:tcBorders>
              <w:top w:val="nil"/>
              <w:left w:val="nil"/>
              <w:bottom w:val="single" w:sz="4" w:space="0" w:color="auto"/>
              <w:right w:val="single" w:sz="4" w:space="0" w:color="auto"/>
            </w:tcBorders>
            <w:shd w:val="clear" w:color="auto" w:fill="auto"/>
            <w:noWrap/>
            <w:vAlign w:val="center"/>
            <w:hideMark/>
          </w:tcPr>
          <w:p w14:paraId="10389CBC" w14:textId="77777777" w:rsidR="00C935FA" w:rsidRPr="00C935FA" w:rsidRDefault="00C935FA" w:rsidP="00C935FA">
            <w:pPr>
              <w:spacing w:line="240" w:lineRule="auto"/>
              <w:jc w:val="center"/>
              <w:rPr>
                <w:rFonts w:asciiTheme="minorHAnsi" w:hAnsiTheme="minorHAnsi" w:cstheme="minorHAnsi"/>
                <w:sz w:val="18"/>
                <w:szCs w:val="18"/>
                <w:lang w:val="es-CR" w:eastAsia="es-CR"/>
              </w:rPr>
            </w:pPr>
            <w:r w:rsidRPr="00C935FA">
              <w:rPr>
                <w:rFonts w:asciiTheme="minorHAnsi" w:hAnsiTheme="minorHAnsi" w:cstheme="minorHAnsi"/>
                <w:sz w:val="18"/>
                <w:szCs w:val="18"/>
                <w:lang w:val="es-CR" w:eastAsia="es-CR"/>
              </w:rPr>
              <w:t>0%</w:t>
            </w:r>
          </w:p>
        </w:tc>
      </w:tr>
      <w:tr w:rsidR="00F7003E" w:rsidRPr="00C935FA" w14:paraId="1A1087AF" w14:textId="77777777" w:rsidTr="006128F8">
        <w:trPr>
          <w:trHeight w:val="260"/>
        </w:trPr>
        <w:tc>
          <w:tcPr>
            <w:tcW w:w="688" w:type="dxa"/>
            <w:tcBorders>
              <w:top w:val="nil"/>
              <w:left w:val="single" w:sz="4" w:space="0" w:color="auto"/>
              <w:bottom w:val="single" w:sz="4" w:space="0" w:color="auto"/>
              <w:right w:val="single" w:sz="4" w:space="0" w:color="auto"/>
            </w:tcBorders>
            <w:shd w:val="clear" w:color="auto" w:fill="auto"/>
            <w:noWrap/>
            <w:vAlign w:val="center"/>
            <w:hideMark/>
          </w:tcPr>
          <w:p w14:paraId="784E3EFC" w14:textId="77777777" w:rsidR="00C935FA" w:rsidRPr="00C935FA" w:rsidRDefault="00C935FA" w:rsidP="00C935FA">
            <w:pPr>
              <w:spacing w:line="240" w:lineRule="auto"/>
              <w:jc w:val="center"/>
              <w:rPr>
                <w:rFonts w:asciiTheme="minorHAnsi" w:hAnsiTheme="minorHAnsi" w:cstheme="minorHAnsi"/>
                <w:sz w:val="18"/>
                <w:szCs w:val="18"/>
                <w:lang w:val="es-CR" w:eastAsia="es-CR"/>
              </w:rPr>
            </w:pPr>
            <w:r w:rsidRPr="00C935FA">
              <w:rPr>
                <w:rFonts w:asciiTheme="minorHAnsi" w:hAnsiTheme="minorHAnsi" w:cstheme="minorHAnsi"/>
                <w:sz w:val="18"/>
                <w:szCs w:val="18"/>
                <w:lang w:val="es-CR" w:eastAsia="es-CR"/>
              </w:rPr>
              <w:t>1.04.02</w:t>
            </w:r>
          </w:p>
        </w:tc>
        <w:tc>
          <w:tcPr>
            <w:tcW w:w="956" w:type="dxa"/>
            <w:tcBorders>
              <w:top w:val="nil"/>
              <w:left w:val="nil"/>
              <w:bottom w:val="single" w:sz="4" w:space="0" w:color="auto"/>
              <w:right w:val="single" w:sz="4" w:space="0" w:color="auto"/>
            </w:tcBorders>
            <w:shd w:val="clear" w:color="auto" w:fill="auto"/>
            <w:noWrap/>
            <w:vAlign w:val="center"/>
            <w:hideMark/>
          </w:tcPr>
          <w:p w14:paraId="6CD3324B" w14:textId="77777777" w:rsidR="00C935FA" w:rsidRPr="00C935FA" w:rsidRDefault="00C935FA" w:rsidP="00C935FA">
            <w:pPr>
              <w:spacing w:line="240" w:lineRule="auto"/>
              <w:jc w:val="center"/>
              <w:rPr>
                <w:rFonts w:asciiTheme="minorHAnsi" w:hAnsiTheme="minorHAnsi" w:cstheme="minorHAnsi"/>
                <w:sz w:val="18"/>
                <w:szCs w:val="18"/>
                <w:lang w:val="es-CR" w:eastAsia="es-CR"/>
              </w:rPr>
            </w:pPr>
            <w:r w:rsidRPr="00C935FA">
              <w:rPr>
                <w:rFonts w:asciiTheme="minorHAnsi" w:hAnsiTheme="minorHAnsi" w:cstheme="minorHAnsi"/>
                <w:sz w:val="18"/>
                <w:szCs w:val="18"/>
                <w:lang w:val="es-CR" w:eastAsia="es-CR"/>
              </w:rPr>
              <w:t>1.1.2</w:t>
            </w:r>
          </w:p>
        </w:tc>
        <w:tc>
          <w:tcPr>
            <w:tcW w:w="2462" w:type="dxa"/>
            <w:tcBorders>
              <w:top w:val="nil"/>
              <w:left w:val="nil"/>
              <w:bottom w:val="single" w:sz="4" w:space="0" w:color="auto"/>
              <w:right w:val="single" w:sz="4" w:space="0" w:color="auto"/>
            </w:tcBorders>
            <w:shd w:val="clear" w:color="auto" w:fill="auto"/>
            <w:noWrap/>
            <w:vAlign w:val="center"/>
            <w:hideMark/>
          </w:tcPr>
          <w:p w14:paraId="7D3D650C" w14:textId="77777777" w:rsidR="00C935FA" w:rsidRPr="00C935FA" w:rsidRDefault="00C935FA" w:rsidP="00C935FA">
            <w:pPr>
              <w:spacing w:line="240" w:lineRule="auto"/>
              <w:jc w:val="left"/>
              <w:rPr>
                <w:rFonts w:asciiTheme="minorHAnsi" w:hAnsiTheme="minorHAnsi" w:cstheme="minorHAnsi"/>
                <w:sz w:val="18"/>
                <w:szCs w:val="18"/>
                <w:lang w:val="es-CR" w:eastAsia="es-CR"/>
              </w:rPr>
            </w:pPr>
            <w:r w:rsidRPr="00C935FA">
              <w:rPr>
                <w:rFonts w:asciiTheme="minorHAnsi" w:hAnsiTheme="minorHAnsi" w:cstheme="minorHAnsi"/>
                <w:sz w:val="18"/>
                <w:szCs w:val="18"/>
                <w:lang w:val="es-CR" w:eastAsia="es-CR"/>
              </w:rPr>
              <w:t>Servicios Jurídicos</w:t>
            </w:r>
          </w:p>
        </w:tc>
        <w:tc>
          <w:tcPr>
            <w:tcW w:w="1276" w:type="dxa"/>
            <w:tcBorders>
              <w:top w:val="nil"/>
              <w:left w:val="nil"/>
              <w:bottom w:val="single" w:sz="4" w:space="0" w:color="auto"/>
              <w:right w:val="single" w:sz="4" w:space="0" w:color="auto"/>
            </w:tcBorders>
            <w:shd w:val="clear" w:color="auto" w:fill="auto"/>
            <w:noWrap/>
            <w:vAlign w:val="center"/>
            <w:hideMark/>
          </w:tcPr>
          <w:p w14:paraId="375A7CAA" w14:textId="77777777" w:rsidR="00C935FA" w:rsidRPr="00C935FA" w:rsidRDefault="00C935FA" w:rsidP="00C935FA">
            <w:pPr>
              <w:spacing w:line="240" w:lineRule="auto"/>
              <w:jc w:val="right"/>
              <w:rPr>
                <w:rFonts w:asciiTheme="minorHAnsi" w:hAnsiTheme="minorHAnsi" w:cstheme="minorHAnsi"/>
                <w:sz w:val="18"/>
                <w:szCs w:val="18"/>
                <w:lang w:val="es-CR" w:eastAsia="es-CR"/>
              </w:rPr>
            </w:pPr>
            <w:r w:rsidRPr="00C935FA">
              <w:rPr>
                <w:rFonts w:asciiTheme="minorHAnsi" w:hAnsiTheme="minorHAnsi" w:cstheme="minorHAnsi"/>
                <w:sz w:val="18"/>
                <w:szCs w:val="18"/>
                <w:lang w:val="es-CR" w:eastAsia="es-CR"/>
              </w:rPr>
              <w:t>2 000 000</w:t>
            </w:r>
          </w:p>
        </w:tc>
        <w:tc>
          <w:tcPr>
            <w:tcW w:w="1276" w:type="dxa"/>
            <w:tcBorders>
              <w:top w:val="nil"/>
              <w:left w:val="nil"/>
              <w:bottom w:val="single" w:sz="4" w:space="0" w:color="auto"/>
              <w:right w:val="single" w:sz="4" w:space="0" w:color="auto"/>
            </w:tcBorders>
            <w:shd w:val="clear" w:color="auto" w:fill="auto"/>
            <w:noWrap/>
            <w:vAlign w:val="center"/>
            <w:hideMark/>
          </w:tcPr>
          <w:p w14:paraId="256D509D" w14:textId="77777777" w:rsidR="00C935FA" w:rsidRPr="00C935FA" w:rsidRDefault="00C935FA" w:rsidP="00C935FA">
            <w:pPr>
              <w:spacing w:line="240" w:lineRule="auto"/>
              <w:jc w:val="right"/>
              <w:rPr>
                <w:rFonts w:asciiTheme="minorHAnsi" w:hAnsiTheme="minorHAnsi" w:cstheme="minorHAnsi"/>
                <w:sz w:val="18"/>
                <w:szCs w:val="18"/>
                <w:lang w:val="es-CR" w:eastAsia="es-CR"/>
              </w:rPr>
            </w:pPr>
            <w:r w:rsidRPr="00C935FA">
              <w:rPr>
                <w:rFonts w:asciiTheme="minorHAnsi" w:hAnsiTheme="minorHAnsi" w:cstheme="minorHAnsi"/>
                <w:sz w:val="18"/>
                <w:szCs w:val="18"/>
                <w:lang w:val="es-CR" w:eastAsia="es-CR"/>
              </w:rPr>
              <w:t>0</w:t>
            </w:r>
          </w:p>
        </w:tc>
        <w:tc>
          <w:tcPr>
            <w:tcW w:w="851" w:type="dxa"/>
            <w:tcBorders>
              <w:top w:val="nil"/>
              <w:left w:val="nil"/>
              <w:bottom w:val="single" w:sz="4" w:space="0" w:color="auto"/>
              <w:right w:val="single" w:sz="4" w:space="0" w:color="auto"/>
            </w:tcBorders>
            <w:shd w:val="clear" w:color="auto" w:fill="auto"/>
            <w:noWrap/>
            <w:vAlign w:val="center"/>
            <w:hideMark/>
          </w:tcPr>
          <w:p w14:paraId="6DBA5C1E" w14:textId="77777777" w:rsidR="00C935FA" w:rsidRPr="00C935FA" w:rsidRDefault="00C935FA" w:rsidP="00C935FA">
            <w:pPr>
              <w:spacing w:line="240" w:lineRule="auto"/>
              <w:jc w:val="right"/>
              <w:rPr>
                <w:rFonts w:asciiTheme="minorHAnsi" w:hAnsiTheme="minorHAnsi" w:cstheme="minorHAnsi"/>
                <w:sz w:val="18"/>
                <w:szCs w:val="18"/>
                <w:lang w:val="es-CR" w:eastAsia="es-CR"/>
              </w:rPr>
            </w:pPr>
            <w:r w:rsidRPr="00C935FA">
              <w:rPr>
                <w:rFonts w:asciiTheme="minorHAnsi" w:hAnsiTheme="minorHAnsi" w:cstheme="minorHAnsi"/>
                <w:sz w:val="18"/>
                <w:szCs w:val="18"/>
                <w:lang w:val="es-CR" w:eastAsia="es-CR"/>
              </w:rPr>
              <w:t>0</w:t>
            </w:r>
          </w:p>
        </w:tc>
        <w:tc>
          <w:tcPr>
            <w:tcW w:w="1133" w:type="dxa"/>
            <w:tcBorders>
              <w:top w:val="nil"/>
              <w:left w:val="nil"/>
              <w:bottom w:val="single" w:sz="4" w:space="0" w:color="auto"/>
              <w:right w:val="single" w:sz="4" w:space="0" w:color="auto"/>
            </w:tcBorders>
            <w:shd w:val="clear" w:color="auto" w:fill="auto"/>
            <w:noWrap/>
            <w:vAlign w:val="center"/>
            <w:hideMark/>
          </w:tcPr>
          <w:p w14:paraId="216CD6DF" w14:textId="77777777" w:rsidR="00C935FA" w:rsidRPr="00C935FA" w:rsidRDefault="00C935FA" w:rsidP="00C935FA">
            <w:pPr>
              <w:spacing w:line="240" w:lineRule="auto"/>
              <w:jc w:val="right"/>
              <w:rPr>
                <w:rFonts w:asciiTheme="minorHAnsi" w:hAnsiTheme="minorHAnsi" w:cstheme="minorHAnsi"/>
                <w:sz w:val="18"/>
                <w:szCs w:val="18"/>
                <w:lang w:val="es-CR" w:eastAsia="es-CR"/>
              </w:rPr>
            </w:pPr>
            <w:r w:rsidRPr="00C935FA">
              <w:rPr>
                <w:rFonts w:asciiTheme="minorHAnsi" w:hAnsiTheme="minorHAnsi" w:cstheme="minorHAnsi"/>
                <w:sz w:val="18"/>
                <w:szCs w:val="18"/>
                <w:lang w:val="es-CR" w:eastAsia="es-CR"/>
              </w:rPr>
              <w:t>2 000 000</w:t>
            </w:r>
          </w:p>
        </w:tc>
        <w:tc>
          <w:tcPr>
            <w:tcW w:w="992" w:type="dxa"/>
            <w:tcBorders>
              <w:top w:val="nil"/>
              <w:left w:val="nil"/>
              <w:bottom w:val="single" w:sz="4" w:space="0" w:color="auto"/>
              <w:right w:val="single" w:sz="4" w:space="0" w:color="auto"/>
            </w:tcBorders>
            <w:shd w:val="clear" w:color="auto" w:fill="auto"/>
            <w:noWrap/>
            <w:vAlign w:val="center"/>
            <w:hideMark/>
          </w:tcPr>
          <w:p w14:paraId="677BF91C" w14:textId="77777777" w:rsidR="00C935FA" w:rsidRPr="00C935FA" w:rsidRDefault="00C935FA" w:rsidP="00C935FA">
            <w:pPr>
              <w:spacing w:line="240" w:lineRule="auto"/>
              <w:jc w:val="center"/>
              <w:rPr>
                <w:rFonts w:asciiTheme="minorHAnsi" w:hAnsiTheme="minorHAnsi" w:cstheme="minorHAnsi"/>
                <w:sz w:val="18"/>
                <w:szCs w:val="18"/>
                <w:lang w:val="es-CR" w:eastAsia="es-CR"/>
              </w:rPr>
            </w:pPr>
            <w:r w:rsidRPr="00C935FA">
              <w:rPr>
                <w:rFonts w:asciiTheme="minorHAnsi" w:hAnsiTheme="minorHAnsi" w:cstheme="minorHAnsi"/>
                <w:sz w:val="18"/>
                <w:szCs w:val="18"/>
                <w:lang w:val="es-CR" w:eastAsia="es-CR"/>
              </w:rPr>
              <w:t>0%</w:t>
            </w:r>
          </w:p>
        </w:tc>
      </w:tr>
      <w:tr w:rsidR="00F7003E" w:rsidRPr="00C935FA" w14:paraId="24923174" w14:textId="77777777" w:rsidTr="006128F8">
        <w:trPr>
          <w:trHeight w:val="260"/>
        </w:trPr>
        <w:tc>
          <w:tcPr>
            <w:tcW w:w="688" w:type="dxa"/>
            <w:tcBorders>
              <w:top w:val="nil"/>
              <w:left w:val="single" w:sz="4" w:space="0" w:color="auto"/>
              <w:bottom w:val="single" w:sz="4" w:space="0" w:color="auto"/>
              <w:right w:val="single" w:sz="4" w:space="0" w:color="auto"/>
            </w:tcBorders>
            <w:shd w:val="clear" w:color="auto" w:fill="auto"/>
            <w:noWrap/>
            <w:vAlign w:val="center"/>
            <w:hideMark/>
          </w:tcPr>
          <w:p w14:paraId="0731F641" w14:textId="77777777" w:rsidR="00C935FA" w:rsidRPr="00C935FA" w:rsidRDefault="00C935FA" w:rsidP="00C935FA">
            <w:pPr>
              <w:spacing w:line="240" w:lineRule="auto"/>
              <w:jc w:val="center"/>
              <w:rPr>
                <w:rFonts w:asciiTheme="minorHAnsi" w:hAnsiTheme="minorHAnsi" w:cstheme="minorHAnsi"/>
                <w:sz w:val="18"/>
                <w:szCs w:val="18"/>
                <w:lang w:val="es-CR" w:eastAsia="es-CR"/>
              </w:rPr>
            </w:pPr>
            <w:r w:rsidRPr="00C935FA">
              <w:rPr>
                <w:rFonts w:asciiTheme="minorHAnsi" w:hAnsiTheme="minorHAnsi" w:cstheme="minorHAnsi"/>
                <w:sz w:val="18"/>
                <w:szCs w:val="18"/>
                <w:lang w:val="es-CR" w:eastAsia="es-CR"/>
              </w:rPr>
              <w:t>1.04.04</w:t>
            </w:r>
          </w:p>
        </w:tc>
        <w:tc>
          <w:tcPr>
            <w:tcW w:w="956" w:type="dxa"/>
            <w:tcBorders>
              <w:top w:val="nil"/>
              <w:left w:val="nil"/>
              <w:bottom w:val="single" w:sz="4" w:space="0" w:color="auto"/>
              <w:right w:val="single" w:sz="4" w:space="0" w:color="auto"/>
            </w:tcBorders>
            <w:shd w:val="clear" w:color="auto" w:fill="auto"/>
            <w:noWrap/>
            <w:vAlign w:val="center"/>
            <w:hideMark/>
          </w:tcPr>
          <w:p w14:paraId="22C0DF80" w14:textId="77777777" w:rsidR="00C935FA" w:rsidRPr="00C935FA" w:rsidRDefault="00C935FA" w:rsidP="00C935FA">
            <w:pPr>
              <w:spacing w:line="240" w:lineRule="auto"/>
              <w:jc w:val="center"/>
              <w:rPr>
                <w:rFonts w:asciiTheme="minorHAnsi" w:hAnsiTheme="minorHAnsi" w:cstheme="minorHAnsi"/>
                <w:sz w:val="18"/>
                <w:szCs w:val="18"/>
                <w:lang w:val="es-CR" w:eastAsia="es-CR"/>
              </w:rPr>
            </w:pPr>
            <w:r w:rsidRPr="00C935FA">
              <w:rPr>
                <w:rFonts w:asciiTheme="minorHAnsi" w:hAnsiTheme="minorHAnsi" w:cstheme="minorHAnsi"/>
                <w:sz w:val="18"/>
                <w:szCs w:val="18"/>
                <w:lang w:val="es-CR" w:eastAsia="es-CR"/>
              </w:rPr>
              <w:t>1.1.2</w:t>
            </w:r>
          </w:p>
        </w:tc>
        <w:tc>
          <w:tcPr>
            <w:tcW w:w="2462" w:type="dxa"/>
            <w:tcBorders>
              <w:top w:val="nil"/>
              <w:left w:val="nil"/>
              <w:bottom w:val="single" w:sz="4" w:space="0" w:color="auto"/>
              <w:right w:val="single" w:sz="4" w:space="0" w:color="auto"/>
            </w:tcBorders>
            <w:shd w:val="clear" w:color="auto" w:fill="auto"/>
            <w:noWrap/>
            <w:vAlign w:val="center"/>
            <w:hideMark/>
          </w:tcPr>
          <w:p w14:paraId="5C4AFAB4" w14:textId="77777777" w:rsidR="00C935FA" w:rsidRPr="00C935FA" w:rsidRDefault="00C935FA" w:rsidP="00C935FA">
            <w:pPr>
              <w:spacing w:line="240" w:lineRule="auto"/>
              <w:jc w:val="left"/>
              <w:rPr>
                <w:rFonts w:asciiTheme="minorHAnsi" w:hAnsiTheme="minorHAnsi" w:cstheme="minorHAnsi"/>
                <w:sz w:val="18"/>
                <w:szCs w:val="18"/>
                <w:lang w:val="es-CR" w:eastAsia="es-CR"/>
              </w:rPr>
            </w:pPr>
            <w:r w:rsidRPr="00C935FA">
              <w:rPr>
                <w:rFonts w:asciiTheme="minorHAnsi" w:hAnsiTheme="minorHAnsi" w:cstheme="minorHAnsi"/>
                <w:sz w:val="18"/>
                <w:szCs w:val="18"/>
                <w:lang w:val="es-CR" w:eastAsia="es-CR"/>
              </w:rPr>
              <w:t>Servicios en ciencias económicas y sociales</w:t>
            </w:r>
          </w:p>
        </w:tc>
        <w:tc>
          <w:tcPr>
            <w:tcW w:w="1276" w:type="dxa"/>
            <w:tcBorders>
              <w:top w:val="nil"/>
              <w:left w:val="nil"/>
              <w:bottom w:val="single" w:sz="4" w:space="0" w:color="auto"/>
              <w:right w:val="single" w:sz="4" w:space="0" w:color="auto"/>
            </w:tcBorders>
            <w:shd w:val="clear" w:color="auto" w:fill="auto"/>
            <w:noWrap/>
            <w:vAlign w:val="center"/>
            <w:hideMark/>
          </w:tcPr>
          <w:p w14:paraId="4380B6FD" w14:textId="77777777" w:rsidR="00C935FA" w:rsidRPr="00C935FA" w:rsidRDefault="00C935FA" w:rsidP="00C935FA">
            <w:pPr>
              <w:spacing w:line="240" w:lineRule="auto"/>
              <w:jc w:val="right"/>
              <w:rPr>
                <w:rFonts w:asciiTheme="minorHAnsi" w:hAnsiTheme="minorHAnsi" w:cstheme="minorHAnsi"/>
                <w:sz w:val="18"/>
                <w:szCs w:val="18"/>
                <w:lang w:val="es-CR" w:eastAsia="es-CR"/>
              </w:rPr>
            </w:pPr>
            <w:r w:rsidRPr="00C935FA">
              <w:rPr>
                <w:rFonts w:asciiTheme="minorHAnsi" w:hAnsiTheme="minorHAnsi" w:cstheme="minorHAnsi"/>
                <w:sz w:val="18"/>
                <w:szCs w:val="18"/>
                <w:lang w:val="es-CR" w:eastAsia="es-CR"/>
              </w:rPr>
              <w:t>534 516 380</w:t>
            </w:r>
          </w:p>
        </w:tc>
        <w:tc>
          <w:tcPr>
            <w:tcW w:w="1276" w:type="dxa"/>
            <w:tcBorders>
              <w:top w:val="nil"/>
              <w:left w:val="nil"/>
              <w:bottom w:val="single" w:sz="4" w:space="0" w:color="auto"/>
              <w:right w:val="single" w:sz="4" w:space="0" w:color="auto"/>
            </w:tcBorders>
            <w:shd w:val="clear" w:color="auto" w:fill="auto"/>
            <w:noWrap/>
            <w:vAlign w:val="center"/>
            <w:hideMark/>
          </w:tcPr>
          <w:p w14:paraId="3BF8DB75" w14:textId="77777777" w:rsidR="00C935FA" w:rsidRPr="00C935FA" w:rsidRDefault="00C935FA" w:rsidP="00C935FA">
            <w:pPr>
              <w:spacing w:line="240" w:lineRule="auto"/>
              <w:jc w:val="right"/>
              <w:rPr>
                <w:rFonts w:asciiTheme="minorHAnsi" w:hAnsiTheme="minorHAnsi" w:cstheme="minorHAnsi"/>
                <w:sz w:val="18"/>
                <w:szCs w:val="18"/>
                <w:lang w:val="es-CR" w:eastAsia="es-CR"/>
              </w:rPr>
            </w:pPr>
            <w:r w:rsidRPr="00C935FA">
              <w:rPr>
                <w:rFonts w:asciiTheme="minorHAnsi" w:hAnsiTheme="minorHAnsi" w:cstheme="minorHAnsi"/>
                <w:sz w:val="18"/>
                <w:szCs w:val="18"/>
                <w:lang w:val="es-CR" w:eastAsia="es-CR"/>
              </w:rPr>
              <w:t>489 195 734</w:t>
            </w:r>
          </w:p>
        </w:tc>
        <w:tc>
          <w:tcPr>
            <w:tcW w:w="851" w:type="dxa"/>
            <w:tcBorders>
              <w:top w:val="nil"/>
              <w:left w:val="nil"/>
              <w:bottom w:val="single" w:sz="4" w:space="0" w:color="auto"/>
              <w:right w:val="single" w:sz="4" w:space="0" w:color="auto"/>
            </w:tcBorders>
            <w:shd w:val="clear" w:color="auto" w:fill="auto"/>
            <w:noWrap/>
            <w:vAlign w:val="center"/>
            <w:hideMark/>
          </w:tcPr>
          <w:p w14:paraId="5507DF49" w14:textId="77777777" w:rsidR="00C935FA" w:rsidRPr="00C935FA" w:rsidRDefault="00C935FA" w:rsidP="00C935FA">
            <w:pPr>
              <w:spacing w:line="240" w:lineRule="auto"/>
              <w:jc w:val="right"/>
              <w:rPr>
                <w:rFonts w:asciiTheme="minorHAnsi" w:hAnsiTheme="minorHAnsi" w:cstheme="minorHAnsi"/>
                <w:sz w:val="18"/>
                <w:szCs w:val="18"/>
                <w:lang w:val="es-CR" w:eastAsia="es-CR"/>
              </w:rPr>
            </w:pPr>
            <w:r w:rsidRPr="00C935FA">
              <w:rPr>
                <w:rFonts w:asciiTheme="minorHAnsi" w:hAnsiTheme="minorHAnsi" w:cstheme="minorHAnsi"/>
                <w:sz w:val="18"/>
                <w:szCs w:val="18"/>
                <w:lang w:val="es-CR" w:eastAsia="es-CR"/>
              </w:rPr>
              <w:t>0</w:t>
            </w:r>
          </w:p>
        </w:tc>
        <w:tc>
          <w:tcPr>
            <w:tcW w:w="1133" w:type="dxa"/>
            <w:tcBorders>
              <w:top w:val="nil"/>
              <w:left w:val="nil"/>
              <w:bottom w:val="single" w:sz="4" w:space="0" w:color="auto"/>
              <w:right w:val="single" w:sz="4" w:space="0" w:color="auto"/>
            </w:tcBorders>
            <w:shd w:val="clear" w:color="auto" w:fill="auto"/>
            <w:noWrap/>
            <w:vAlign w:val="center"/>
            <w:hideMark/>
          </w:tcPr>
          <w:p w14:paraId="2A0DCDCF" w14:textId="77777777" w:rsidR="00C935FA" w:rsidRPr="00C935FA" w:rsidRDefault="00C935FA" w:rsidP="00C935FA">
            <w:pPr>
              <w:spacing w:line="240" w:lineRule="auto"/>
              <w:jc w:val="right"/>
              <w:rPr>
                <w:rFonts w:asciiTheme="minorHAnsi" w:hAnsiTheme="minorHAnsi" w:cstheme="minorHAnsi"/>
                <w:sz w:val="18"/>
                <w:szCs w:val="18"/>
                <w:lang w:val="es-CR" w:eastAsia="es-CR"/>
              </w:rPr>
            </w:pPr>
            <w:r w:rsidRPr="00C935FA">
              <w:rPr>
                <w:rFonts w:asciiTheme="minorHAnsi" w:hAnsiTheme="minorHAnsi" w:cstheme="minorHAnsi"/>
                <w:sz w:val="18"/>
                <w:szCs w:val="18"/>
                <w:lang w:val="es-CR" w:eastAsia="es-CR"/>
              </w:rPr>
              <w:t>45 320 646</w:t>
            </w:r>
          </w:p>
        </w:tc>
        <w:tc>
          <w:tcPr>
            <w:tcW w:w="992" w:type="dxa"/>
            <w:tcBorders>
              <w:top w:val="nil"/>
              <w:left w:val="nil"/>
              <w:bottom w:val="single" w:sz="4" w:space="0" w:color="auto"/>
              <w:right w:val="single" w:sz="4" w:space="0" w:color="auto"/>
            </w:tcBorders>
            <w:shd w:val="clear" w:color="auto" w:fill="auto"/>
            <w:noWrap/>
            <w:vAlign w:val="center"/>
            <w:hideMark/>
          </w:tcPr>
          <w:p w14:paraId="6E9D5351" w14:textId="77777777" w:rsidR="00C935FA" w:rsidRPr="00C935FA" w:rsidRDefault="00C935FA" w:rsidP="00C935FA">
            <w:pPr>
              <w:spacing w:line="240" w:lineRule="auto"/>
              <w:jc w:val="center"/>
              <w:rPr>
                <w:rFonts w:asciiTheme="minorHAnsi" w:hAnsiTheme="minorHAnsi" w:cstheme="minorHAnsi"/>
                <w:sz w:val="18"/>
                <w:szCs w:val="18"/>
                <w:lang w:val="es-CR" w:eastAsia="es-CR"/>
              </w:rPr>
            </w:pPr>
            <w:r w:rsidRPr="00C935FA">
              <w:rPr>
                <w:rFonts w:asciiTheme="minorHAnsi" w:hAnsiTheme="minorHAnsi" w:cstheme="minorHAnsi"/>
                <w:sz w:val="18"/>
                <w:szCs w:val="18"/>
                <w:lang w:val="es-CR" w:eastAsia="es-CR"/>
              </w:rPr>
              <w:t>92%</w:t>
            </w:r>
          </w:p>
        </w:tc>
      </w:tr>
      <w:tr w:rsidR="00F7003E" w:rsidRPr="00C935FA" w14:paraId="6DA40A47" w14:textId="77777777" w:rsidTr="006128F8">
        <w:trPr>
          <w:trHeight w:val="260"/>
        </w:trPr>
        <w:tc>
          <w:tcPr>
            <w:tcW w:w="688" w:type="dxa"/>
            <w:tcBorders>
              <w:top w:val="nil"/>
              <w:left w:val="single" w:sz="4" w:space="0" w:color="auto"/>
              <w:bottom w:val="single" w:sz="4" w:space="0" w:color="auto"/>
              <w:right w:val="single" w:sz="4" w:space="0" w:color="auto"/>
            </w:tcBorders>
            <w:shd w:val="clear" w:color="auto" w:fill="auto"/>
            <w:noWrap/>
            <w:vAlign w:val="center"/>
            <w:hideMark/>
          </w:tcPr>
          <w:p w14:paraId="177FFFB1" w14:textId="77777777" w:rsidR="00C935FA" w:rsidRPr="00C935FA" w:rsidRDefault="00C935FA" w:rsidP="00C935FA">
            <w:pPr>
              <w:spacing w:line="240" w:lineRule="auto"/>
              <w:jc w:val="center"/>
              <w:rPr>
                <w:rFonts w:asciiTheme="minorHAnsi" w:hAnsiTheme="minorHAnsi" w:cstheme="minorHAnsi"/>
                <w:sz w:val="18"/>
                <w:szCs w:val="18"/>
                <w:lang w:val="es-CR" w:eastAsia="es-CR"/>
              </w:rPr>
            </w:pPr>
            <w:r w:rsidRPr="00C935FA">
              <w:rPr>
                <w:rFonts w:asciiTheme="minorHAnsi" w:hAnsiTheme="minorHAnsi" w:cstheme="minorHAnsi"/>
                <w:sz w:val="18"/>
                <w:szCs w:val="18"/>
                <w:lang w:val="es-CR" w:eastAsia="es-CR"/>
              </w:rPr>
              <w:t>1.04.05</w:t>
            </w:r>
          </w:p>
        </w:tc>
        <w:tc>
          <w:tcPr>
            <w:tcW w:w="956" w:type="dxa"/>
            <w:tcBorders>
              <w:top w:val="nil"/>
              <w:left w:val="nil"/>
              <w:bottom w:val="single" w:sz="4" w:space="0" w:color="auto"/>
              <w:right w:val="single" w:sz="4" w:space="0" w:color="auto"/>
            </w:tcBorders>
            <w:shd w:val="clear" w:color="auto" w:fill="auto"/>
            <w:noWrap/>
            <w:vAlign w:val="center"/>
            <w:hideMark/>
          </w:tcPr>
          <w:p w14:paraId="2480E6E5" w14:textId="77777777" w:rsidR="00C935FA" w:rsidRPr="00C935FA" w:rsidRDefault="00C935FA" w:rsidP="00C935FA">
            <w:pPr>
              <w:spacing w:line="240" w:lineRule="auto"/>
              <w:jc w:val="center"/>
              <w:rPr>
                <w:rFonts w:asciiTheme="minorHAnsi" w:hAnsiTheme="minorHAnsi" w:cstheme="minorHAnsi"/>
                <w:sz w:val="18"/>
                <w:szCs w:val="18"/>
                <w:lang w:val="es-CR" w:eastAsia="es-CR"/>
              </w:rPr>
            </w:pPr>
            <w:r w:rsidRPr="00C935FA">
              <w:rPr>
                <w:rFonts w:asciiTheme="minorHAnsi" w:hAnsiTheme="minorHAnsi" w:cstheme="minorHAnsi"/>
                <w:sz w:val="18"/>
                <w:szCs w:val="18"/>
                <w:lang w:val="es-CR" w:eastAsia="es-CR"/>
              </w:rPr>
              <w:t>1.1.2</w:t>
            </w:r>
          </w:p>
        </w:tc>
        <w:tc>
          <w:tcPr>
            <w:tcW w:w="2462" w:type="dxa"/>
            <w:tcBorders>
              <w:top w:val="nil"/>
              <w:left w:val="nil"/>
              <w:bottom w:val="single" w:sz="4" w:space="0" w:color="auto"/>
              <w:right w:val="single" w:sz="4" w:space="0" w:color="auto"/>
            </w:tcBorders>
            <w:shd w:val="clear" w:color="auto" w:fill="auto"/>
            <w:noWrap/>
            <w:vAlign w:val="center"/>
            <w:hideMark/>
          </w:tcPr>
          <w:p w14:paraId="00269E83" w14:textId="77777777" w:rsidR="00C935FA" w:rsidRPr="00C935FA" w:rsidRDefault="00C935FA" w:rsidP="00C935FA">
            <w:pPr>
              <w:spacing w:line="240" w:lineRule="auto"/>
              <w:jc w:val="left"/>
              <w:rPr>
                <w:rFonts w:asciiTheme="minorHAnsi" w:hAnsiTheme="minorHAnsi" w:cstheme="minorHAnsi"/>
                <w:sz w:val="18"/>
                <w:szCs w:val="18"/>
                <w:lang w:val="es-CR" w:eastAsia="es-CR"/>
              </w:rPr>
            </w:pPr>
            <w:r w:rsidRPr="00C935FA">
              <w:rPr>
                <w:rFonts w:asciiTheme="minorHAnsi" w:hAnsiTheme="minorHAnsi" w:cstheme="minorHAnsi"/>
                <w:sz w:val="18"/>
                <w:szCs w:val="18"/>
                <w:lang w:val="es-CR" w:eastAsia="es-CR"/>
              </w:rPr>
              <w:t>Servicio de desarrollo en sistemas</w:t>
            </w:r>
          </w:p>
        </w:tc>
        <w:tc>
          <w:tcPr>
            <w:tcW w:w="1276" w:type="dxa"/>
            <w:tcBorders>
              <w:top w:val="nil"/>
              <w:left w:val="nil"/>
              <w:bottom w:val="single" w:sz="4" w:space="0" w:color="auto"/>
              <w:right w:val="single" w:sz="4" w:space="0" w:color="auto"/>
            </w:tcBorders>
            <w:shd w:val="clear" w:color="auto" w:fill="auto"/>
            <w:noWrap/>
            <w:vAlign w:val="center"/>
            <w:hideMark/>
          </w:tcPr>
          <w:p w14:paraId="649BA75C" w14:textId="77777777" w:rsidR="00C935FA" w:rsidRPr="00C935FA" w:rsidRDefault="00C935FA" w:rsidP="00C935FA">
            <w:pPr>
              <w:spacing w:line="240" w:lineRule="auto"/>
              <w:jc w:val="right"/>
              <w:rPr>
                <w:rFonts w:asciiTheme="minorHAnsi" w:hAnsiTheme="minorHAnsi" w:cstheme="minorHAnsi"/>
                <w:sz w:val="18"/>
                <w:szCs w:val="18"/>
                <w:lang w:val="es-CR" w:eastAsia="es-CR"/>
              </w:rPr>
            </w:pPr>
            <w:r w:rsidRPr="00C935FA">
              <w:rPr>
                <w:rFonts w:asciiTheme="minorHAnsi" w:hAnsiTheme="minorHAnsi" w:cstheme="minorHAnsi"/>
                <w:sz w:val="18"/>
                <w:szCs w:val="18"/>
                <w:lang w:val="es-CR" w:eastAsia="es-CR"/>
              </w:rPr>
              <w:t>736 603 536</w:t>
            </w:r>
          </w:p>
        </w:tc>
        <w:tc>
          <w:tcPr>
            <w:tcW w:w="1276" w:type="dxa"/>
            <w:tcBorders>
              <w:top w:val="nil"/>
              <w:left w:val="nil"/>
              <w:bottom w:val="single" w:sz="4" w:space="0" w:color="auto"/>
              <w:right w:val="single" w:sz="4" w:space="0" w:color="auto"/>
            </w:tcBorders>
            <w:shd w:val="clear" w:color="auto" w:fill="auto"/>
            <w:noWrap/>
            <w:vAlign w:val="center"/>
            <w:hideMark/>
          </w:tcPr>
          <w:p w14:paraId="42704EDD" w14:textId="77777777" w:rsidR="00C935FA" w:rsidRPr="00C935FA" w:rsidRDefault="00C935FA" w:rsidP="00C935FA">
            <w:pPr>
              <w:spacing w:line="240" w:lineRule="auto"/>
              <w:jc w:val="right"/>
              <w:rPr>
                <w:rFonts w:asciiTheme="minorHAnsi" w:hAnsiTheme="minorHAnsi" w:cstheme="minorHAnsi"/>
                <w:sz w:val="18"/>
                <w:szCs w:val="18"/>
                <w:lang w:val="es-CR" w:eastAsia="es-CR"/>
              </w:rPr>
            </w:pPr>
            <w:r w:rsidRPr="00C935FA">
              <w:rPr>
                <w:rFonts w:asciiTheme="minorHAnsi" w:hAnsiTheme="minorHAnsi" w:cstheme="minorHAnsi"/>
                <w:sz w:val="18"/>
                <w:szCs w:val="18"/>
                <w:lang w:val="es-CR" w:eastAsia="es-CR"/>
              </w:rPr>
              <w:t>687 962 828</w:t>
            </w:r>
          </w:p>
        </w:tc>
        <w:tc>
          <w:tcPr>
            <w:tcW w:w="851" w:type="dxa"/>
            <w:tcBorders>
              <w:top w:val="nil"/>
              <w:left w:val="nil"/>
              <w:bottom w:val="single" w:sz="4" w:space="0" w:color="auto"/>
              <w:right w:val="single" w:sz="4" w:space="0" w:color="auto"/>
            </w:tcBorders>
            <w:shd w:val="clear" w:color="auto" w:fill="auto"/>
            <w:noWrap/>
            <w:vAlign w:val="center"/>
            <w:hideMark/>
          </w:tcPr>
          <w:p w14:paraId="698E3F5C" w14:textId="77777777" w:rsidR="00C935FA" w:rsidRPr="00C935FA" w:rsidRDefault="00C935FA" w:rsidP="00C935FA">
            <w:pPr>
              <w:spacing w:line="240" w:lineRule="auto"/>
              <w:jc w:val="right"/>
              <w:rPr>
                <w:rFonts w:asciiTheme="minorHAnsi" w:hAnsiTheme="minorHAnsi" w:cstheme="minorHAnsi"/>
                <w:sz w:val="18"/>
                <w:szCs w:val="18"/>
                <w:lang w:val="es-CR" w:eastAsia="es-CR"/>
              </w:rPr>
            </w:pPr>
            <w:r w:rsidRPr="00C935FA">
              <w:rPr>
                <w:rFonts w:asciiTheme="minorHAnsi" w:hAnsiTheme="minorHAnsi" w:cstheme="minorHAnsi"/>
                <w:sz w:val="18"/>
                <w:szCs w:val="18"/>
                <w:lang w:val="es-CR" w:eastAsia="es-CR"/>
              </w:rPr>
              <w:t>0</w:t>
            </w:r>
          </w:p>
        </w:tc>
        <w:tc>
          <w:tcPr>
            <w:tcW w:w="1133" w:type="dxa"/>
            <w:tcBorders>
              <w:top w:val="nil"/>
              <w:left w:val="nil"/>
              <w:bottom w:val="single" w:sz="4" w:space="0" w:color="auto"/>
              <w:right w:val="single" w:sz="4" w:space="0" w:color="auto"/>
            </w:tcBorders>
            <w:shd w:val="clear" w:color="auto" w:fill="auto"/>
            <w:noWrap/>
            <w:vAlign w:val="center"/>
            <w:hideMark/>
          </w:tcPr>
          <w:p w14:paraId="1121ACC7" w14:textId="77777777" w:rsidR="00C935FA" w:rsidRPr="00C935FA" w:rsidRDefault="00C935FA" w:rsidP="00C935FA">
            <w:pPr>
              <w:spacing w:line="240" w:lineRule="auto"/>
              <w:jc w:val="right"/>
              <w:rPr>
                <w:rFonts w:asciiTheme="minorHAnsi" w:hAnsiTheme="minorHAnsi" w:cstheme="minorHAnsi"/>
                <w:sz w:val="18"/>
                <w:szCs w:val="18"/>
                <w:lang w:val="es-CR" w:eastAsia="es-CR"/>
              </w:rPr>
            </w:pPr>
            <w:r w:rsidRPr="00C935FA">
              <w:rPr>
                <w:rFonts w:asciiTheme="minorHAnsi" w:hAnsiTheme="minorHAnsi" w:cstheme="minorHAnsi"/>
                <w:sz w:val="18"/>
                <w:szCs w:val="18"/>
                <w:lang w:val="es-CR" w:eastAsia="es-CR"/>
              </w:rPr>
              <w:t>48 640 708</w:t>
            </w:r>
          </w:p>
        </w:tc>
        <w:tc>
          <w:tcPr>
            <w:tcW w:w="992" w:type="dxa"/>
            <w:tcBorders>
              <w:top w:val="nil"/>
              <w:left w:val="nil"/>
              <w:bottom w:val="single" w:sz="4" w:space="0" w:color="auto"/>
              <w:right w:val="single" w:sz="4" w:space="0" w:color="auto"/>
            </w:tcBorders>
            <w:shd w:val="clear" w:color="auto" w:fill="auto"/>
            <w:noWrap/>
            <w:vAlign w:val="center"/>
            <w:hideMark/>
          </w:tcPr>
          <w:p w14:paraId="53EE078A" w14:textId="77777777" w:rsidR="00C935FA" w:rsidRPr="00C935FA" w:rsidRDefault="00C935FA" w:rsidP="00C935FA">
            <w:pPr>
              <w:spacing w:line="240" w:lineRule="auto"/>
              <w:jc w:val="center"/>
              <w:rPr>
                <w:rFonts w:asciiTheme="minorHAnsi" w:hAnsiTheme="minorHAnsi" w:cstheme="minorHAnsi"/>
                <w:sz w:val="18"/>
                <w:szCs w:val="18"/>
                <w:lang w:val="es-CR" w:eastAsia="es-CR"/>
              </w:rPr>
            </w:pPr>
            <w:r w:rsidRPr="00C935FA">
              <w:rPr>
                <w:rFonts w:asciiTheme="minorHAnsi" w:hAnsiTheme="minorHAnsi" w:cstheme="minorHAnsi"/>
                <w:sz w:val="18"/>
                <w:szCs w:val="18"/>
                <w:lang w:val="es-CR" w:eastAsia="es-CR"/>
              </w:rPr>
              <w:t>93%</w:t>
            </w:r>
          </w:p>
        </w:tc>
      </w:tr>
      <w:tr w:rsidR="00F7003E" w:rsidRPr="00C935FA" w14:paraId="7C19FA52" w14:textId="77777777" w:rsidTr="006128F8">
        <w:trPr>
          <w:trHeight w:val="260"/>
        </w:trPr>
        <w:tc>
          <w:tcPr>
            <w:tcW w:w="688" w:type="dxa"/>
            <w:tcBorders>
              <w:top w:val="nil"/>
              <w:left w:val="single" w:sz="4" w:space="0" w:color="auto"/>
              <w:bottom w:val="single" w:sz="4" w:space="0" w:color="auto"/>
              <w:right w:val="single" w:sz="4" w:space="0" w:color="auto"/>
            </w:tcBorders>
            <w:shd w:val="clear" w:color="auto" w:fill="auto"/>
            <w:noWrap/>
            <w:vAlign w:val="center"/>
            <w:hideMark/>
          </w:tcPr>
          <w:p w14:paraId="492B3B21" w14:textId="77777777" w:rsidR="00C935FA" w:rsidRPr="00C935FA" w:rsidRDefault="00C935FA" w:rsidP="00C935FA">
            <w:pPr>
              <w:spacing w:line="240" w:lineRule="auto"/>
              <w:jc w:val="center"/>
              <w:rPr>
                <w:rFonts w:asciiTheme="minorHAnsi" w:hAnsiTheme="minorHAnsi" w:cstheme="minorHAnsi"/>
                <w:sz w:val="18"/>
                <w:szCs w:val="18"/>
                <w:lang w:val="es-CR" w:eastAsia="es-CR"/>
              </w:rPr>
            </w:pPr>
            <w:r w:rsidRPr="00C935FA">
              <w:rPr>
                <w:rFonts w:asciiTheme="minorHAnsi" w:hAnsiTheme="minorHAnsi" w:cstheme="minorHAnsi"/>
                <w:sz w:val="18"/>
                <w:szCs w:val="18"/>
                <w:lang w:val="es-CR" w:eastAsia="es-CR"/>
              </w:rPr>
              <w:t>1.04.99</w:t>
            </w:r>
          </w:p>
        </w:tc>
        <w:tc>
          <w:tcPr>
            <w:tcW w:w="956" w:type="dxa"/>
            <w:tcBorders>
              <w:top w:val="nil"/>
              <w:left w:val="nil"/>
              <w:bottom w:val="single" w:sz="4" w:space="0" w:color="auto"/>
              <w:right w:val="single" w:sz="4" w:space="0" w:color="auto"/>
            </w:tcBorders>
            <w:shd w:val="clear" w:color="auto" w:fill="auto"/>
            <w:noWrap/>
            <w:vAlign w:val="center"/>
            <w:hideMark/>
          </w:tcPr>
          <w:p w14:paraId="1A884C37" w14:textId="77777777" w:rsidR="00C935FA" w:rsidRPr="00C935FA" w:rsidRDefault="00C935FA" w:rsidP="00C935FA">
            <w:pPr>
              <w:spacing w:line="240" w:lineRule="auto"/>
              <w:jc w:val="center"/>
              <w:rPr>
                <w:rFonts w:asciiTheme="minorHAnsi" w:hAnsiTheme="minorHAnsi" w:cstheme="minorHAnsi"/>
                <w:sz w:val="18"/>
                <w:szCs w:val="18"/>
                <w:lang w:val="es-CR" w:eastAsia="es-CR"/>
              </w:rPr>
            </w:pPr>
            <w:r w:rsidRPr="00C935FA">
              <w:rPr>
                <w:rFonts w:asciiTheme="minorHAnsi" w:hAnsiTheme="minorHAnsi" w:cstheme="minorHAnsi"/>
                <w:sz w:val="18"/>
                <w:szCs w:val="18"/>
                <w:lang w:val="es-CR" w:eastAsia="es-CR"/>
              </w:rPr>
              <w:t>1.1.2</w:t>
            </w:r>
          </w:p>
        </w:tc>
        <w:tc>
          <w:tcPr>
            <w:tcW w:w="2462" w:type="dxa"/>
            <w:tcBorders>
              <w:top w:val="nil"/>
              <w:left w:val="nil"/>
              <w:bottom w:val="single" w:sz="4" w:space="0" w:color="auto"/>
              <w:right w:val="single" w:sz="4" w:space="0" w:color="auto"/>
            </w:tcBorders>
            <w:shd w:val="clear" w:color="auto" w:fill="auto"/>
            <w:noWrap/>
            <w:vAlign w:val="center"/>
            <w:hideMark/>
          </w:tcPr>
          <w:p w14:paraId="79E08AAE" w14:textId="77777777" w:rsidR="00C935FA" w:rsidRPr="00C935FA" w:rsidRDefault="00C935FA" w:rsidP="00C935FA">
            <w:pPr>
              <w:spacing w:line="240" w:lineRule="auto"/>
              <w:jc w:val="left"/>
              <w:rPr>
                <w:rFonts w:asciiTheme="minorHAnsi" w:hAnsiTheme="minorHAnsi" w:cstheme="minorHAnsi"/>
                <w:sz w:val="18"/>
                <w:szCs w:val="18"/>
                <w:lang w:val="es-CR" w:eastAsia="es-CR"/>
              </w:rPr>
            </w:pPr>
            <w:r w:rsidRPr="00C935FA">
              <w:rPr>
                <w:rFonts w:asciiTheme="minorHAnsi" w:hAnsiTheme="minorHAnsi" w:cstheme="minorHAnsi"/>
                <w:sz w:val="18"/>
                <w:szCs w:val="18"/>
                <w:lang w:val="es-CR" w:eastAsia="es-CR"/>
              </w:rPr>
              <w:t>Otros servicios de gestión y apoyo</w:t>
            </w:r>
          </w:p>
        </w:tc>
        <w:tc>
          <w:tcPr>
            <w:tcW w:w="1276" w:type="dxa"/>
            <w:tcBorders>
              <w:top w:val="nil"/>
              <w:left w:val="nil"/>
              <w:bottom w:val="single" w:sz="4" w:space="0" w:color="auto"/>
              <w:right w:val="single" w:sz="4" w:space="0" w:color="auto"/>
            </w:tcBorders>
            <w:shd w:val="clear" w:color="auto" w:fill="auto"/>
            <w:noWrap/>
            <w:vAlign w:val="center"/>
            <w:hideMark/>
          </w:tcPr>
          <w:p w14:paraId="363537F6" w14:textId="77777777" w:rsidR="00C935FA" w:rsidRPr="00C935FA" w:rsidRDefault="00C935FA" w:rsidP="00C935FA">
            <w:pPr>
              <w:spacing w:line="240" w:lineRule="auto"/>
              <w:jc w:val="right"/>
              <w:rPr>
                <w:rFonts w:asciiTheme="minorHAnsi" w:hAnsiTheme="minorHAnsi" w:cstheme="minorHAnsi"/>
                <w:sz w:val="18"/>
                <w:szCs w:val="18"/>
                <w:lang w:val="es-CR" w:eastAsia="es-CR"/>
              </w:rPr>
            </w:pPr>
            <w:r w:rsidRPr="00C935FA">
              <w:rPr>
                <w:rFonts w:asciiTheme="minorHAnsi" w:hAnsiTheme="minorHAnsi" w:cstheme="minorHAnsi"/>
                <w:sz w:val="18"/>
                <w:szCs w:val="18"/>
                <w:lang w:val="es-CR" w:eastAsia="es-CR"/>
              </w:rPr>
              <w:t>693 760 797</w:t>
            </w:r>
          </w:p>
        </w:tc>
        <w:tc>
          <w:tcPr>
            <w:tcW w:w="1276" w:type="dxa"/>
            <w:tcBorders>
              <w:top w:val="nil"/>
              <w:left w:val="nil"/>
              <w:bottom w:val="single" w:sz="4" w:space="0" w:color="auto"/>
              <w:right w:val="single" w:sz="4" w:space="0" w:color="auto"/>
            </w:tcBorders>
            <w:shd w:val="clear" w:color="auto" w:fill="auto"/>
            <w:noWrap/>
            <w:vAlign w:val="center"/>
            <w:hideMark/>
          </w:tcPr>
          <w:p w14:paraId="32B0B0DC" w14:textId="77777777" w:rsidR="00C935FA" w:rsidRPr="00C935FA" w:rsidRDefault="00C935FA" w:rsidP="00C935FA">
            <w:pPr>
              <w:spacing w:line="240" w:lineRule="auto"/>
              <w:jc w:val="right"/>
              <w:rPr>
                <w:rFonts w:asciiTheme="minorHAnsi" w:hAnsiTheme="minorHAnsi" w:cstheme="minorHAnsi"/>
                <w:sz w:val="18"/>
                <w:szCs w:val="18"/>
                <w:lang w:val="es-CR" w:eastAsia="es-CR"/>
              </w:rPr>
            </w:pPr>
            <w:r w:rsidRPr="00C935FA">
              <w:rPr>
                <w:rFonts w:asciiTheme="minorHAnsi" w:hAnsiTheme="minorHAnsi" w:cstheme="minorHAnsi"/>
                <w:sz w:val="18"/>
                <w:szCs w:val="18"/>
                <w:lang w:val="es-CR" w:eastAsia="es-CR"/>
              </w:rPr>
              <w:t>563 220 259</w:t>
            </w:r>
          </w:p>
        </w:tc>
        <w:tc>
          <w:tcPr>
            <w:tcW w:w="851" w:type="dxa"/>
            <w:tcBorders>
              <w:top w:val="nil"/>
              <w:left w:val="nil"/>
              <w:bottom w:val="single" w:sz="4" w:space="0" w:color="auto"/>
              <w:right w:val="single" w:sz="4" w:space="0" w:color="auto"/>
            </w:tcBorders>
            <w:shd w:val="clear" w:color="auto" w:fill="auto"/>
            <w:noWrap/>
            <w:vAlign w:val="center"/>
            <w:hideMark/>
          </w:tcPr>
          <w:p w14:paraId="3F7DAF41" w14:textId="77777777" w:rsidR="00C935FA" w:rsidRPr="00C935FA" w:rsidRDefault="00C935FA" w:rsidP="00C935FA">
            <w:pPr>
              <w:spacing w:line="240" w:lineRule="auto"/>
              <w:jc w:val="right"/>
              <w:rPr>
                <w:rFonts w:asciiTheme="minorHAnsi" w:hAnsiTheme="minorHAnsi" w:cstheme="minorHAnsi"/>
                <w:sz w:val="18"/>
                <w:szCs w:val="18"/>
                <w:lang w:val="es-CR" w:eastAsia="es-CR"/>
              </w:rPr>
            </w:pPr>
            <w:r w:rsidRPr="00C935FA">
              <w:rPr>
                <w:rFonts w:asciiTheme="minorHAnsi" w:hAnsiTheme="minorHAnsi" w:cstheme="minorHAnsi"/>
                <w:sz w:val="18"/>
                <w:szCs w:val="18"/>
                <w:lang w:val="es-CR" w:eastAsia="es-CR"/>
              </w:rPr>
              <w:t>0</w:t>
            </w:r>
          </w:p>
        </w:tc>
        <w:tc>
          <w:tcPr>
            <w:tcW w:w="1133" w:type="dxa"/>
            <w:tcBorders>
              <w:top w:val="nil"/>
              <w:left w:val="nil"/>
              <w:bottom w:val="single" w:sz="4" w:space="0" w:color="auto"/>
              <w:right w:val="single" w:sz="4" w:space="0" w:color="auto"/>
            </w:tcBorders>
            <w:shd w:val="clear" w:color="auto" w:fill="auto"/>
            <w:noWrap/>
            <w:vAlign w:val="center"/>
            <w:hideMark/>
          </w:tcPr>
          <w:p w14:paraId="53B92774" w14:textId="77777777" w:rsidR="00C935FA" w:rsidRPr="00C935FA" w:rsidRDefault="00C935FA" w:rsidP="00C935FA">
            <w:pPr>
              <w:spacing w:line="240" w:lineRule="auto"/>
              <w:jc w:val="right"/>
              <w:rPr>
                <w:rFonts w:asciiTheme="minorHAnsi" w:hAnsiTheme="minorHAnsi" w:cstheme="minorHAnsi"/>
                <w:sz w:val="18"/>
                <w:szCs w:val="18"/>
                <w:lang w:val="es-CR" w:eastAsia="es-CR"/>
              </w:rPr>
            </w:pPr>
            <w:r w:rsidRPr="00C935FA">
              <w:rPr>
                <w:rFonts w:asciiTheme="minorHAnsi" w:hAnsiTheme="minorHAnsi" w:cstheme="minorHAnsi"/>
                <w:sz w:val="18"/>
                <w:szCs w:val="18"/>
                <w:lang w:val="es-CR" w:eastAsia="es-CR"/>
              </w:rPr>
              <w:t>130 540 538</w:t>
            </w:r>
          </w:p>
        </w:tc>
        <w:tc>
          <w:tcPr>
            <w:tcW w:w="992" w:type="dxa"/>
            <w:tcBorders>
              <w:top w:val="nil"/>
              <w:left w:val="nil"/>
              <w:bottom w:val="single" w:sz="4" w:space="0" w:color="auto"/>
              <w:right w:val="single" w:sz="4" w:space="0" w:color="auto"/>
            </w:tcBorders>
            <w:shd w:val="clear" w:color="auto" w:fill="auto"/>
            <w:noWrap/>
            <w:vAlign w:val="center"/>
            <w:hideMark/>
          </w:tcPr>
          <w:p w14:paraId="012B7AFD" w14:textId="77777777" w:rsidR="00C935FA" w:rsidRPr="00C935FA" w:rsidRDefault="00C935FA" w:rsidP="00C935FA">
            <w:pPr>
              <w:spacing w:line="240" w:lineRule="auto"/>
              <w:jc w:val="center"/>
              <w:rPr>
                <w:rFonts w:asciiTheme="minorHAnsi" w:hAnsiTheme="minorHAnsi" w:cstheme="minorHAnsi"/>
                <w:sz w:val="18"/>
                <w:szCs w:val="18"/>
                <w:lang w:val="es-CR" w:eastAsia="es-CR"/>
              </w:rPr>
            </w:pPr>
            <w:r w:rsidRPr="00C935FA">
              <w:rPr>
                <w:rFonts w:asciiTheme="minorHAnsi" w:hAnsiTheme="minorHAnsi" w:cstheme="minorHAnsi"/>
                <w:sz w:val="18"/>
                <w:szCs w:val="18"/>
                <w:lang w:val="es-CR" w:eastAsia="es-CR"/>
              </w:rPr>
              <w:t>81%</w:t>
            </w:r>
          </w:p>
        </w:tc>
      </w:tr>
      <w:tr w:rsidR="00F7003E" w:rsidRPr="00C935FA" w14:paraId="147B0D7A" w14:textId="77777777" w:rsidTr="006128F8">
        <w:trPr>
          <w:trHeight w:val="260"/>
        </w:trPr>
        <w:tc>
          <w:tcPr>
            <w:tcW w:w="688" w:type="dxa"/>
            <w:tcBorders>
              <w:top w:val="nil"/>
              <w:left w:val="single" w:sz="4" w:space="0" w:color="auto"/>
              <w:bottom w:val="single" w:sz="4" w:space="0" w:color="auto"/>
              <w:right w:val="single" w:sz="4" w:space="0" w:color="auto"/>
            </w:tcBorders>
            <w:shd w:val="clear" w:color="auto" w:fill="auto"/>
            <w:noWrap/>
            <w:vAlign w:val="center"/>
            <w:hideMark/>
          </w:tcPr>
          <w:p w14:paraId="0BA527C3" w14:textId="77777777" w:rsidR="00C935FA" w:rsidRPr="00C935FA" w:rsidRDefault="00C935FA" w:rsidP="00C935FA">
            <w:pPr>
              <w:spacing w:line="240" w:lineRule="auto"/>
              <w:jc w:val="center"/>
              <w:rPr>
                <w:rFonts w:asciiTheme="minorHAnsi" w:hAnsiTheme="minorHAnsi" w:cstheme="minorHAnsi"/>
                <w:sz w:val="18"/>
                <w:szCs w:val="18"/>
                <w:lang w:val="es-CR" w:eastAsia="es-CR"/>
              </w:rPr>
            </w:pPr>
            <w:r w:rsidRPr="00C935FA">
              <w:rPr>
                <w:rFonts w:asciiTheme="minorHAnsi" w:hAnsiTheme="minorHAnsi" w:cstheme="minorHAnsi"/>
                <w:sz w:val="18"/>
                <w:szCs w:val="18"/>
                <w:lang w:val="es-CR" w:eastAsia="es-CR"/>
              </w:rPr>
              <w:t>1.05.01</w:t>
            </w:r>
          </w:p>
        </w:tc>
        <w:tc>
          <w:tcPr>
            <w:tcW w:w="956" w:type="dxa"/>
            <w:tcBorders>
              <w:top w:val="nil"/>
              <w:left w:val="nil"/>
              <w:bottom w:val="single" w:sz="4" w:space="0" w:color="auto"/>
              <w:right w:val="single" w:sz="4" w:space="0" w:color="auto"/>
            </w:tcBorders>
            <w:shd w:val="clear" w:color="auto" w:fill="auto"/>
            <w:noWrap/>
            <w:vAlign w:val="center"/>
            <w:hideMark/>
          </w:tcPr>
          <w:p w14:paraId="59F3082E" w14:textId="77777777" w:rsidR="00C935FA" w:rsidRPr="00C935FA" w:rsidRDefault="00C935FA" w:rsidP="00C935FA">
            <w:pPr>
              <w:spacing w:line="240" w:lineRule="auto"/>
              <w:jc w:val="center"/>
              <w:rPr>
                <w:rFonts w:asciiTheme="minorHAnsi" w:hAnsiTheme="minorHAnsi" w:cstheme="minorHAnsi"/>
                <w:sz w:val="18"/>
                <w:szCs w:val="18"/>
                <w:lang w:val="es-CR" w:eastAsia="es-CR"/>
              </w:rPr>
            </w:pPr>
            <w:r w:rsidRPr="00C935FA">
              <w:rPr>
                <w:rFonts w:asciiTheme="minorHAnsi" w:hAnsiTheme="minorHAnsi" w:cstheme="minorHAnsi"/>
                <w:sz w:val="18"/>
                <w:szCs w:val="18"/>
                <w:lang w:val="es-CR" w:eastAsia="es-CR"/>
              </w:rPr>
              <w:t>1.1.2</w:t>
            </w:r>
          </w:p>
        </w:tc>
        <w:tc>
          <w:tcPr>
            <w:tcW w:w="2462" w:type="dxa"/>
            <w:tcBorders>
              <w:top w:val="nil"/>
              <w:left w:val="nil"/>
              <w:bottom w:val="single" w:sz="4" w:space="0" w:color="auto"/>
              <w:right w:val="single" w:sz="4" w:space="0" w:color="auto"/>
            </w:tcBorders>
            <w:shd w:val="clear" w:color="auto" w:fill="auto"/>
            <w:noWrap/>
            <w:vAlign w:val="center"/>
            <w:hideMark/>
          </w:tcPr>
          <w:p w14:paraId="5B8DAA38" w14:textId="77777777" w:rsidR="00C935FA" w:rsidRPr="00C935FA" w:rsidRDefault="00C935FA" w:rsidP="00C935FA">
            <w:pPr>
              <w:spacing w:line="240" w:lineRule="auto"/>
              <w:jc w:val="left"/>
              <w:rPr>
                <w:rFonts w:asciiTheme="minorHAnsi" w:hAnsiTheme="minorHAnsi" w:cstheme="minorHAnsi"/>
                <w:sz w:val="18"/>
                <w:szCs w:val="18"/>
                <w:lang w:val="es-CR" w:eastAsia="es-CR"/>
              </w:rPr>
            </w:pPr>
            <w:r w:rsidRPr="00C935FA">
              <w:rPr>
                <w:rFonts w:asciiTheme="minorHAnsi" w:hAnsiTheme="minorHAnsi" w:cstheme="minorHAnsi"/>
                <w:sz w:val="18"/>
                <w:szCs w:val="18"/>
                <w:lang w:val="es-CR" w:eastAsia="es-CR"/>
              </w:rPr>
              <w:t>Transporte dentro del país</w:t>
            </w:r>
          </w:p>
        </w:tc>
        <w:tc>
          <w:tcPr>
            <w:tcW w:w="1276" w:type="dxa"/>
            <w:tcBorders>
              <w:top w:val="nil"/>
              <w:left w:val="nil"/>
              <w:bottom w:val="single" w:sz="4" w:space="0" w:color="auto"/>
              <w:right w:val="single" w:sz="4" w:space="0" w:color="auto"/>
            </w:tcBorders>
            <w:shd w:val="clear" w:color="auto" w:fill="auto"/>
            <w:noWrap/>
            <w:vAlign w:val="center"/>
            <w:hideMark/>
          </w:tcPr>
          <w:p w14:paraId="64C81A8E" w14:textId="77777777" w:rsidR="00C935FA" w:rsidRPr="00C935FA" w:rsidRDefault="00C935FA" w:rsidP="00C935FA">
            <w:pPr>
              <w:spacing w:line="240" w:lineRule="auto"/>
              <w:jc w:val="right"/>
              <w:rPr>
                <w:rFonts w:asciiTheme="minorHAnsi" w:hAnsiTheme="minorHAnsi" w:cstheme="minorHAnsi"/>
                <w:sz w:val="18"/>
                <w:szCs w:val="18"/>
                <w:lang w:val="es-CR" w:eastAsia="es-CR"/>
              </w:rPr>
            </w:pPr>
            <w:r w:rsidRPr="00C935FA">
              <w:rPr>
                <w:rFonts w:asciiTheme="minorHAnsi" w:hAnsiTheme="minorHAnsi" w:cstheme="minorHAnsi"/>
                <w:sz w:val="18"/>
                <w:szCs w:val="18"/>
                <w:lang w:val="es-CR" w:eastAsia="es-CR"/>
              </w:rPr>
              <w:t>62 000</w:t>
            </w:r>
          </w:p>
        </w:tc>
        <w:tc>
          <w:tcPr>
            <w:tcW w:w="1276" w:type="dxa"/>
            <w:tcBorders>
              <w:top w:val="nil"/>
              <w:left w:val="nil"/>
              <w:bottom w:val="single" w:sz="4" w:space="0" w:color="auto"/>
              <w:right w:val="single" w:sz="4" w:space="0" w:color="auto"/>
            </w:tcBorders>
            <w:shd w:val="clear" w:color="auto" w:fill="auto"/>
            <w:noWrap/>
            <w:vAlign w:val="center"/>
            <w:hideMark/>
          </w:tcPr>
          <w:p w14:paraId="6BAFAF39" w14:textId="77777777" w:rsidR="00C935FA" w:rsidRPr="00C935FA" w:rsidRDefault="00C935FA" w:rsidP="00C935FA">
            <w:pPr>
              <w:spacing w:line="240" w:lineRule="auto"/>
              <w:jc w:val="right"/>
              <w:rPr>
                <w:rFonts w:asciiTheme="minorHAnsi" w:hAnsiTheme="minorHAnsi" w:cstheme="minorHAnsi"/>
                <w:sz w:val="18"/>
                <w:szCs w:val="18"/>
                <w:lang w:val="es-CR" w:eastAsia="es-CR"/>
              </w:rPr>
            </w:pPr>
            <w:r w:rsidRPr="00C935FA">
              <w:rPr>
                <w:rFonts w:asciiTheme="minorHAnsi" w:hAnsiTheme="minorHAnsi" w:cstheme="minorHAnsi"/>
                <w:sz w:val="18"/>
                <w:szCs w:val="18"/>
                <w:lang w:val="es-CR" w:eastAsia="es-CR"/>
              </w:rPr>
              <w:t>20 050</w:t>
            </w:r>
          </w:p>
        </w:tc>
        <w:tc>
          <w:tcPr>
            <w:tcW w:w="851" w:type="dxa"/>
            <w:tcBorders>
              <w:top w:val="nil"/>
              <w:left w:val="nil"/>
              <w:bottom w:val="single" w:sz="4" w:space="0" w:color="auto"/>
              <w:right w:val="single" w:sz="4" w:space="0" w:color="auto"/>
            </w:tcBorders>
            <w:shd w:val="clear" w:color="auto" w:fill="auto"/>
            <w:noWrap/>
            <w:vAlign w:val="center"/>
            <w:hideMark/>
          </w:tcPr>
          <w:p w14:paraId="4DE1FE4A" w14:textId="77777777" w:rsidR="00C935FA" w:rsidRPr="00C935FA" w:rsidRDefault="00C935FA" w:rsidP="00C935FA">
            <w:pPr>
              <w:spacing w:line="240" w:lineRule="auto"/>
              <w:jc w:val="right"/>
              <w:rPr>
                <w:rFonts w:asciiTheme="minorHAnsi" w:hAnsiTheme="minorHAnsi" w:cstheme="minorHAnsi"/>
                <w:sz w:val="18"/>
                <w:szCs w:val="18"/>
                <w:lang w:val="es-CR" w:eastAsia="es-CR"/>
              </w:rPr>
            </w:pPr>
            <w:r w:rsidRPr="00C935FA">
              <w:rPr>
                <w:rFonts w:asciiTheme="minorHAnsi" w:hAnsiTheme="minorHAnsi" w:cstheme="minorHAnsi"/>
                <w:sz w:val="18"/>
                <w:szCs w:val="18"/>
                <w:lang w:val="es-CR" w:eastAsia="es-CR"/>
              </w:rPr>
              <w:t>0</w:t>
            </w:r>
          </w:p>
        </w:tc>
        <w:tc>
          <w:tcPr>
            <w:tcW w:w="1133" w:type="dxa"/>
            <w:tcBorders>
              <w:top w:val="nil"/>
              <w:left w:val="nil"/>
              <w:bottom w:val="single" w:sz="4" w:space="0" w:color="auto"/>
              <w:right w:val="single" w:sz="4" w:space="0" w:color="auto"/>
            </w:tcBorders>
            <w:shd w:val="clear" w:color="auto" w:fill="auto"/>
            <w:noWrap/>
            <w:vAlign w:val="center"/>
            <w:hideMark/>
          </w:tcPr>
          <w:p w14:paraId="71E53BF7" w14:textId="77777777" w:rsidR="00C935FA" w:rsidRPr="00C935FA" w:rsidRDefault="00C935FA" w:rsidP="00C935FA">
            <w:pPr>
              <w:spacing w:line="240" w:lineRule="auto"/>
              <w:jc w:val="right"/>
              <w:rPr>
                <w:rFonts w:asciiTheme="minorHAnsi" w:hAnsiTheme="minorHAnsi" w:cstheme="minorHAnsi"/>
                <w:sz w:val="18"/>
                <w:szCs w:val="18"/>
                <w:lang w:val="es-CR" w:eastAsia="es-CR"/>
              </w:rPr>
            </w:pPr>
            <w:r w:rsidRPr="00C935FA">
              <w:rPr>
                <w:rFonts w:asciiTheme="minorHAnsi" w:hAnsiTheme="minorHAnsi" w:cstheme="minorHAnsi"/>
                <w:sz w:val="18"/>
                <w:szCs w:val="18"/>
                <w:lang w:val="es-CR" w:eastAsia="es-CR"/>
              </w:rPr>
              <w:t>41 950</w:t>
            </w:r>
          </w:p>
        </w:tc>
        <w:tc>
          <w:tcPr>
            <w:tcW w:w="992" w:type="dxa"/>
            <w:tcBorders>
              <w:top w:val="nil"/>
              <w:left w:val="nil"/>
              <w:bottom w:val="single" w:sz="4" w:space="0" w:color="auto"/>
              <w:right w:val="single" w:sz="4" w:space="0" w:color="auto"/>
            </w:tcBorders>
            <w:shd w:val="clear" w:color="auto" w:fill="auto"/>
            <w:noWrap/>
            <w:vAlign w:val="center"/>
            <w:hideMark/>
          </w:tcPr>
          <w:p w14:paraId="023A5FD5" w14:textId="77777777" w:rsidR="00C935FA" w:rsidRPr="00C935FA" w:rsidRDefault="00C935FA" w:rsidP="00C935FA">
            <w:pPr>
              <w:spacing w:line="240" w:lineRule="auto"/>
              <w:jc w:val="center"/>
              <w:rPr>
                <w:rFonts w:asciiTheme="minorHAnsi" w:hAnsiTheme="minorHAnsi" w:cstheme="minorHAnsi"/>
                <w:sz w:val="18"/>
                <w:szCs w:val="18"/>
                <w:lang w:val="es-CR" w:eastAsia="es-CR"/>
              </w:rPr>
            </w:pPr>
            <w:r w:rsidRPr="00C935FA">
              <w:rPr>
                <w:rFonts w:asciiTheme="minorHAnsi" w:hAnsiTheme="minorHAnsi" w:cstheme="minorHAnsi"/>
                <w:sz w:val="18"/>
                <w:szCs w:val="18"/>
                <w:lang w:val="es-CR" w:eastAsia="es-CR"/>
              </w:rPr>
              <w:t>32%</w:t>
            </w:r>
          </w:p>
        </w:tc>
      </w:tr>
      <w:tr w:rsidR="00F7003E" w:rsidRPr="00C935FA" w14:paraId="5046E28F" w14:textId="77777777" w:rsidTr="006128F8">
        <w:trPr>
          <w:trHeight w:val="260"/>
        </w:trPr>
        <w:tc>
          <w:tcPr>
            <w:tcW w:w="688" w:type="dxa"/>
            <w:tcBorders>
              <w:top w:val="nil"/>
              <w:left w:val="single" w:sz="4" w:space="0" w:color="auto"/>
              <w:bottom w:val="single" w:sz="4" w:space="0" w:color="auto"/>
              <w:right w:val="single" w:sz="4" w:space="0" w:color="auto"/>
            </w:tcBorders>
            <w:shd w:val="clear" w:color="auto" w:fill="auto"/>
            <w:noWrap/>
            <w:vAlign w:val="center"/>
            <w:hideMark/>
          </w:tcPr>
          <w:p w14:paraId="4FC0C369" w14:textId="77777777" w:rsidR="00C935FA" w:rsidRPr="00C935FA" w:rsidRDefault="00C935FA" w:rsidP="00C935FA">
            <w:pPr>
              <w:spacing w:line="240" w:lineRule="auto"/>
              <w:jc w:val="center"/>
              <w:rPr>
                <w:rFonts w:asciiTheme="minorHAnsi" w:hAnsiTheme="minorHAnsi" w:cstheme="minorHAnsi"/>
                <w:sz w:val="18"/>
                <w:szCs w:val="18"/>
                <w:lang w:val="es-CR" w:eastAsia="es-CR"/>
              </w:rPr>
            </w:pPr>
            <w:r w:rsidRPr="00C935FA">
              <w:rPr>
                <w:rFonts w:asciiTheme="minorHAnsi" w:hAnsiTheme="minorHAnsi" w:cstheme="minorHAnsi"/>
                <w:sz w:val="18"/>
                <w:szCs w:val="18"/>
                <w:lang w:val="es-CR" w:eastAsia="es-CR"/>
              </w:rPr>
              <w:t>1.05.02</w:t>
            </w:r>
          </w:p>
        </w:tc>
        <w:tc>
          <w:tcPr>
            <w:tcW w:w="956" w:type="dxa"/>
            <w:tcBorders>
              <w:top w:val="nil"/>
              <w:left w:val="nil"/>
              <w:bottom w:val="single" w:sz="4" w:space="0" w:color="auto"/>
              <w:right w:val="single" w:sz="4" w:space="0" w:color="auto"/>
            </w:tcBorders>
            <w:shd w:val="clear" w:color="auto" w:fill="auto"/>
            <w:noWrap/>
            <w:vAlign w:val="center"/>
            <w:hideMark/>
          </w:tcPr>
          <w:p w14:paraId="31156591" w14:textId="77777777" w:rsidR="00C935FA" w:rsidRPr="00C935FA" w:rsidRDefault="00C935FA" w:rsidP="00C935FA">
            <w:pPr>
              <w:spacing w:line="240" w:lineRule="auto"/>
              <w:jc w:val="center"/>
              <w:rPr>
                <w:rFonts w:asciiTheme="minorHAnsi" w:hAnsiTheme="minorHAnsi" w:cstheme="minorHAnsi"/>
                <w:sz w:val="18"/>
                <w:szCs w:val="18"/>
                <w:lang w:val="es-CR" w:eastAsia="es-CR"/>
              </w:rPr>
            </w:pPr>
            <w:r w:rsidRPr="00C935FA">
              <w:rPr>
                <w:rFonts w:asciiTheme="minorHAnsi" w:hAnsiTheme="minorHAnsi" w:cstheme="minorHAnsi"/>
                <w:sz w:val="18"/>
                <w:szCs w:val="18"/>
                <w:lang w:val="es-CR" w:eastAsia="es-CR"/>
              </w:rPr>
              <w:t>1.1.2</w:t>
            </w:r>
          </w:p>
        </w:tc>
        <w:tc>
          <w:tcPr>
            <w:tcW w:w="2462" w:type="dxa"/>
            <w:tcBorders>
              <w:top w:val="nil"/>
              <w:left w:val="nil"/>
              <w:bottom w:val="single" w:sz="4" w:space="0" w:color="auto"/>
              <w:right w:val="single" w:sz="4" w:space="0" w:color="auto"/>
            </w:tcBorders>
            <w:shd w:val="clear" w:color="auto" w:fill="auto"/>
            <w:noWrap/>
            <w:vAlign w:val="center"/>
            <w:hideMark/>
          </w:tcPr>
          <w:p w14:paraId="1CE63E06" w14:textId="77777777" w:rsidR="00C935FA" w:rsidRPr="00C935FA" w:rsidRDefault="00C935FA" w:rsidP="00C935FA">
            <w:pPr>
              <w:spacing w:line="240" w:lineRule="auto"/>
              <w:jc w:val="left"/>
              <w:rPr>
                <w:rFonts w:asciiTheme="minorHAnsi" w:hAnsiTheme="minorHAnsi" w:cstheme="minorHAnsi"/>
                <w:sz w:val="18"/>
                <w:szCs w:val="18"/>
                <w:lang w:val="es-CR" w:eastAsia="es-CR"/>
              </w:rPr>
            </w:pPr>
            <w:r w:rsidRPr="00C935FA">
              <w:rPr>
                <w:rFonts w:asciiTheme="minorHAnsi" w:hAnsiTheme="minorHAnsi" w:cstheme="minorHAnsi"/>
                <w:sz w:val="18"/>
                <w:szCs w:val="18"/>
                <w:lang w:val="es-CR" w:eastAsia="es-CR"/>
              </w:rPr>
              <w:t>Viáticos dentro de país</w:t>
            </w:r>
          </w:p>
        </w:tc>
        <w:tc>
          <w:tcPr>
            <w:tcW w:w="1276" w:type="dxa"/>
            <w:tcBorders>
              <w:top w:val="nil"/>
              <w:left w:val="nil"/>
              <w:bottom w:val="single" w:sz="4" w:space="0" w:color="auto"/>
              <w:right w:val="single" w:sz="4" w:space="0" w:color="auto"/>
            </w:tcBorders>
            <w:shd w:val="clear" w:color="auto" w:fill="auto"/>
            <w:noWrap/>
            <w:vAlign w:val="center"/>
            <w:hideMark/>
          </w:tcPr>
          <w:p w14:paraId="47E6378F" w14:textId="77777777" w:rsidR="00C935FA" w:rsidRPr="00C935FA" w:rsidRDefault="00C935FA" w:rsidP="00C935FA">
            <w:pPr>
              <w:spacing w:line="240" w:lineRule="auto"/>
              <w:jc w:val="right"/>
              <w:rPr>
                <w:rFonts w:asciiTheme="minorHAnsi" w:hAnsiTheme="minorHAnsi" w:cstheme="minorHAnsi"/>
                <w:sz w:val="18"/>
                <w:szCs w:val="18"/>
                <w:lang w:val="es-CR" w:eastAsia="es-CR"/>
              </w:rPr>
            </w:pPr>
            <w:r w:rsidRPr="00C935FA">
              <w:rPr>
                <w:rFonts w:asciiTheme="minorHAnsi" w:hAnsiTheme="minorHAnsi" w:cstheme="minorHAnsi"/>
                <w:sz w:val="18"/>
                <w:szCs w:val="18"/>
                <w:lang w:val="es-CR" w:eastAsia="es-CR"/>
              </w:rPr>
              <w:t>100 000</w:t>
            </w:r>
          </w:p>
        </w:tc>
        <w:tc>
          <w:tcPr>
            <w:tcW w:w="1276" w:type="dxa"/>
            <w:tcBorders>
              <w:top w:val="nil"/>
              <w:left w:val="nil"/>
              <w:bottom w:val="single" w:sz="4" w:space="0" w:color="auto"/>
              <w:right w:val="single" w:sz="4" w:space="0" w:color="auto"/>
            </w:tcBorders>
            <w:shd w:val="clear" w:color="auto" w:fill="auto"/>
            <w:noWrap/>
            <w:vAlign w:val="center"/>
            <w:hideMark/>
          </w:tcPr>
          <w:p w14:paraId="65EE3872" w14:textId="77777777" w:rsidR="00C935FA" w:rsidRPr="00C935FA" w:rsidRDefault="00C935FA" w:rsidP="00C935FA">
            <w:pPr>
              <w:spacing w:line="240" w:lineRule="auto"/>
              <w:jc w:val="right"/>
              <w:rPr>
                <w:rFonts w:asciiTheme="minorHAnsi" w:hAnsiTheme="minorHAnsi" w:cstheme="minorHAnsi"/>
                <w:sz w:val="18"/>
                <w:szCs w:val="18"/>
                <w:lang w:val="es-CR" w:eastAsia="es-CR"/>
              </w:rPr>
            </w:pPr>
            <w:r w:rsidRPr="00C935FA">
              <w:rPr>
                <w:rFonts w:asciiTheme="minorHAnsi" w:hAnsiTheme="minorHAnsi" w:cstheme="minorHAnsi"/>
                <w:sz w:val="18"/>
                <w:szCs w:val="18"/>
                <w:lang w:val="es-CR" w:eastAsia="es-CR"/>
              </w:rPr>
              <w:t>1 000</w:t>
            </w:r>
          </w:p>
        </w:tc>
        <w:tc>
          <w:tcPr>
            <w:tcW w:w="851" w:type="dxa"/>
            <w:tcBorders>
              <w:top w:val="nil"/>
              <w:left w:val="nil"/>
              <w:bottom w:val="single" w:sz="4" w:space="0" w:color="auto"/>
              <w:right w:val="single" w:sz="4" w:space="0" w:color="auto"/>
            </w:tcBorders>
            <w:shd w:val="clear" w:color="auto" w:fill="auto"/>
            <w:noWrap/>
            <w:vAlign w:val="center"/>
            <w:hideMark/>
          </w:tcPr>
          <w:p w14:paraId="7EF862E6" w14:textId="77777777" w:rsidR="00C935FA" w:rsidRPr="00C935FA" w:rsidRDefault="00C935FA" w:rsidP="00C935FA">
            <w:pPr>
              <w:spacing w:line="240" w:lineRule="auto"/>
              <w:jc w:val="right"/>
              <w:rPr>
                <w:rFonts w:asciiTheme="minorHAnsi" w:hAnsiTheme="minorHAnsi" w:cstheme="minorHAnsi"/>
                <w:sz w:val="18"/>
                <w:szCs w:val="18"/>
                <w:lang w:val="es-CR" w:eastAsia="es-CR"/>
              </w:rPr>
            </w:pPr>
            <w:r w:rsidRPr="00C935FA">
              <w:rPr>
                <w:rFonts w:asciiTheme="minorHAnsi" w:hAnsiTheme="minorHAnsi" w:cstheme="minorHAnsi"/>
                <w:sz w:val="18"/>
                <w:szCs w:val="18"/>
                <w:lang w:val="es-CR" w:eastAsia="es-CR"/>
              </w:rPr>
              <w:t>0</w:t>
            </w:r>
          </w:p>
        </w:tc>
        <w:tc>
          <w:tcPr>
            <w:tcW w:w="1133" w:type="dxa"/>
            <w:tcBorders>
              <w:top w:val="nil"/>
              <w:left w:val="nil"/>
              <w:bottom w:val="single" w:sz="4" w:space="0" w:color="auto"/>
              <w:right w:val="single" w:sz="4" w:space="0" w:color="auto"/>
            </w:tcBorders>
            <w:shd w:val="clear" w:color="auto" w:fill="auto"/>
            <w:noWrap/>
            <w:vAlign w:val="center"/>
            <w:hideMark/>
          </w:tcPr>
          <w:p w14:paraId="19F70A91" w14:textId="77777777" w:rsidR="00C935FA" w:rsidRPr="00C935FA" w:rsidRDefault="00C935FA" w:rsidP="00C935FA">
            <w:pPr>
              <w:spacing w:line="240" w:lineRule="auto"/>
              <w:jc w:val="right"/>
              <w:rPr>
                <w:rFonts w:asciiTheme="minorHAnsi" w:hAnsiTheme="minorHAnsi" w:cstheme="minorHAnsi"/>
                <w:sz w:val="18"/>
                <w:szCs w:val="18"/>
                <w:lang w:val="es-CR" w:eastAsia="es-CR"/>
              </w:rPr>
            </w:pPr>
            <w:r w:rsidRPr="00C935FA">
              <w:rPr>
                <w:rFonts w:asciiTheme="minorHAnsi" w:hAnsiTheme="minorHAnsi" w:cstheme="minorHAnsi"/>
                <w:sz w:val="18"/>
                <w:szCs w:val="18"/>
                <w:lang w:val="es-CR" w:eastAsia="es-CR"/>
              </w:rPr>
              <w:t>99 000</w:t>
            </w:r>
          </w:p>
        </w:tc>
        <w:tc>
          <w:tcPr>
            <w:tcW w:w="992" w:type="dxa"/>
            <w:tcBorders>
              <w:top w:val="nil"/>
              <w:left w:val="nil"/>
              <w:bottom w:val="single" w:sz="4" w:space="0" w:color="auto"/>
              <w:right w:val="single" w:sz="4" w:space="0" w:color="auto"/>
            </w:tcBorders>
            <w:shd w:val="clear" w:color="auto" w:fill="auto"/>
            <w:noWrap/>
            <w:vAlign w:val="center"/>
            <w:hideMark/>
          </w:tcPr>
          <w:p w14:paraId="355D1DA4" w14:textId="77777777" w:rsidR="00C935FA" w:rsidRPr="00C935FA" w:rsidRDefault="00C935FA" w:rsidP="00C935FA">
            <w:pPr>
              <w:spacing w:line="240" w:lineRule="auto"/>
              <w:jc w:val="center"/>
              <w:rPr>
                <w:rFonts w:asciiTheme="minorHAnsi" w:hAnsiTheme="minorHAnsi" w:cstheme="minorHAnsi"/>
                <w:sz w:val="18"/>
                <w:szCs w:val="18"/>
                <w:lang w:val="es-CR" w:eastAsia="es-CR"/>
              </w:rPr>
            </w:pPr>
            <w:r w:rsidRPr="00C935FA">
              <w:rPr>
                <w:rFonts w:asciiTheme="minorHAnsi" w:hAnsiTheme="minorHAnsi" w:cstheme="minorHAnsi"/>
                <w:sz w:val="18"/>
                <w:szCs w:val="18"/>
                <w:lang w:val="es-CR" w:eastAsia="es-CR"/>
              </w:rPr>
              <w:t>1%</w:t>
            </w:r>
          </w:p>
        </w:tc>
      </w:tr>
      <w:tr w:rsidR="00F7003E" w:rsidRPr="00C935FA" w14:paraId="21D8A14D" w14:textId="77777777" w:rsidTr="006128F8">
        <w:trPr>
          <w:trHeight w:val="260"/>
        </w:trPr>
        <w:tc>
          <w:tcPr>
            <w:tcW w:w="688" w:type="dxa"/>
            <w:tcBorders>
              <w:top w:val="nil"/>
              <w:left w:val="single" w:sz="4" w:space="0" w:color="auto"/>
              <w:bottom w:val="single" w:sz="4" w:space="0" w:color="auto"/>
              <w:right w:val="single" w:sz="4" w:space="0" w:color="auto"/>
            </w:tcBorders>
            <w:shd w:val="clear" w:color="auto" w:fill="auto"/>
            <w:noWrap/>
            <w:vAlign w:val="center"/>
            <w:hideMark/>
          </w:tcPr>
          <w:p w14:paraId="4A6E7AD0" w14:textId="77777777" w:rsidR="00C935FA" w:rsidRPr="00C935FA" w:rsidRDefault="00C935FA" w:rsidP="00C935FA">
            <w:pPr>
              <w:spacing w:line="240" w:lineRule="auto"/>
              <w:jc w:val="center"/>
              <w:rPr>
                <w:rFonts w:asciiTheme="minorHAnsi" w:hAnsiTheme="minorHAnsi" w:cstheme="minorHAnsi"/>
                <w:sz w:val="18"/>
                <w:szCs w:val="18"/>
                <w:lang w:val="es-CR" w:eastAsia="es-CR"/>
              </w:rPr>
            </w:pPr>
            <w:r w:rsidRPr="00C935FA">
              <w:rPr>
                <w:rFonts w:asciiTheme="minorHAnsi" w:hAnsiTheme="minorHAnsi" w:cstheme="minorHAnsi"/>
                <w:sz w:val="18"/>
                <w:szCs w:val="18"/>
                <w:lang w:val="es-CR" w:eastAsia="es-CR"/>
              </w:rPr>
              <w:t>1.05.03</w:t>
            </w:r>
          </w:p>
        </w:tc>
        <w:tc>
          <w:tcPr>
            <w:tcW w:w="956" w:type="dxa"/>
            <w:tcBorders>
              <w:top w:val="nil"/>
              <w:left w:val="nil"/>
              <w:bottom w:val="single" w:sz="4" w:space="0" w:color="auto"/>
              <w:right w:val="single" w:sz="4" w:space="0" w:color="auto"/>
            </w:tcBorders>
            <w:shd w:val="clear" w:color="auto" w:fill="auto"/>
            <w:noWrap/>
            <w:vAlign w:val="center"/>
            <w:hideMark/>
          </w:tcPr>
          <w:p w14:paraId="0B6A68DD" w14:textId="77777777" w:rsidR="00C935FA" w:rsidRPr="00C935FA" w:rsidRDefault="00C935FA" w:rsidP="00C935FA">
            <w:pPr>
              <w:spacing w:line="240" w:lineRule="auto"/>
              <w:jc w:val="center"/>
              <w:rPr>
                <w:rFonts w:asciiTheme="minorHAnsi" w:hAnsiTheme="minorHAnsi" w:cstheme="minorHAnsi"/>
                <w:sz w:val="18"/>
                <w:szCs w:val="18"/>
                <w:lang w:val="es-CR" w:eastAsia="es-CR"/>
              </w:rPr>
            </w:pPr>
            <w:r w:rsidRPr="00C935FA">
              <w:rPr>
                <w:rFonts w:asciiTheme="minorHAnsi" w:hAnsiTheme="minorHAnsi" w:cstheme="minorHAnsi"/>
                <w:sz w:val="18"/>
                <w:szCs w:val="18"/>
                <w:lang w:val="es-CR" w:eastAsia="es-CR"/>
              </w:rPr>
              <w:t>1.1.2</w:t>
            </w:r>
          </w:p>
        </w:tc>
        <w:tc>
          <w:tcPr>
            <w:tcW w:w="2462" w:type="dxa"/>
            <w:tcBorders>
              <w:top w:val="nil"/>
              <w:left w:val="nil"/>
              <w:bottom w:val="single" w:sz="4" w:space="0" w:color="auto"/>
              <w:right w:val="single" w:sz="4" w:space="0" w:color="auto"/>
            </w:tcBorders>
            <w:shd w:val="clear" w:color="auto" w:fill="auto"/>
            <w:noWrap/>
            <w:vAlign w:val="center"/>
            <w:hideMark/>
          </w:tcPr>
          <w:p w14:paraId="0C459DF6" w14:textId="77777777" w:rsidR="00C935FA" w:rsidRPr="00C935FA" w:rsidRDefault="00C935FA" w:rsidP="00C935FA">
            <w:pPr>
              <w:spacing w:line="240" w:lineRule="auto"/>
              <w:jc w:val="left"/>
              <w:rPr>
                <w:rFonts w:asciiTheme="minorHAnsi" w:hAnsiTheme="minorHAnsi" w:cstheme="minorHAnsi"/>
                <w:sz w:val="18"/>
                <w:szCs w:val="18"/>
                <w:lang w:val="es-CR" w:eastAsia="es-CR"/>
              </w:rPr>
            </w:pPr>
            <w:r w:rsidRPr="00C935FA">
              <w:rPr>
                <w:rFonts w:asciiTheme="minorHAnsi" w:hAnsiTheme="minorHAnsi" w:cstheme="minorHAnsi"/>
                <w:sz w:val="18"/>
                <w:szCs w:val="18"/>
                <w:lang w:val="es-CR" w:eastAsia="es-CR"/>
              </w:rPr>
              <w:t>Transporte en el exterior</w:t>
            </w:r>
          </w:p>
        </w:tc>
        <w:tc>
          <w:tcPr>
            <w:tcW w:w="1276" w:type="dxa"/>
            <w:tcBorders>
              <w:top w:val="nil"/>
              <w:left w:val="nil"/>
              <w:bottom w:val="single" w:sz="4" w:space="0" w:color="auto"/>
              <w:right w:val="single" w:sz="4" w:space="0" w:color="auto"/>
            </w:tcBorders>
            <w:shd w:val="clear" w:color="auto" w:fill="auto"/>
            <w:noWrap/>
            <w:vAlign w:val="center"/>
            <w:hideMark/>
          </w:tcPr>
          <w:p w14:paraId="65C99844" w14:textId="77777777" w:rsidR="00C935FA" w:rsidRPr="00C935FA" w:rsidRDefault="00C935FA" w:rsidP="00C935FA">
            <w:pPr>
              <w:spacing w:line="240" w:lineRule="auto"/>
              <w:jc w:val="right"/>
              <w:rPr>
                <w:rFonts w:asciiTheme="minorHAnsi" w:hAnsiTheme="minorHAnsi" w:cstheme="minorHAnsi"/>
                <w:sz w:val="18"/>
                <w:szCs w:val="18"/>
                <w:lang w:val="es-CR" w:eastAsia="es-CR"/>
              </w:rPr>
            </w:pPr>
            <w:r w:rsidRPr="00C935FA">
              <w:rPr>
                <w:rFonts w:asciiTheme="minorHAnsi" w:hAnsiTheme="minorHAnsi" w:cstheme="minorHAnsi"/>
                <w:sz w:val="18"/>
                <w:szCs w:val="18"/>
                <w:lang w:val="es-CR" w:eastAsia="es-CR"/>
              </w:rPr>
              <w:t>3 077 640</w:t>
            </w:r>
          </w:p>
        </w:tc>
        <w:tc>
          <w:tcPr>
            <w:tcW w:w="1276" w:type="dxa"/>
            <w:tcBorders>
              <w:top w:val="nil"/>
              <w:left w:val="nil"/>
              <w:bottom w:val="single" w:sz="4" w:space="0" w:color="auto"/>
              <w:right w:val="single" w:sz="4" w:space="0" w:color="auto"/>
            </w:tcBorders>
            <w:shd w:val="clear" w:color="auto" w:fill="auto"/>
            <w:noWrap/>
            <w:vAlign w:val="center"/>
            <w:hideMark/>
          </w:tcPr>
          <w:p w14:paraId="01E367DC" w14:textId="77777777" w:rsidR="00C935FA" w:rsidRPr="00C935FA" w:rsidRDefault="00C935FA" w:rsidP="00C935FA">
            <w:pPr>
              <w:spacing w:line="240" w:lineRule="auto"/>
              <w:jc w:val="right"/>
              <w:rPr>
                <w:rFonts w:asciiTheme="minorHAnsi" w:hAnsiTheme="minorHAnsi" w:cstheme="minorHAnsi"/>
                <w:sz w:val="18"/>
                <w:szCs w:val="18"/>
                <w:lang w:val="es-CR" w:eastAsia="es-CR"/>
              </w:rPr>
            </w:pPr>
            <w:r w:rsidRPr="00C935FA">
              <w:rPr>
                <w:rFonts w:asciiTheme="minorHAnsi" w:hAnsiTheme="minorHAnsi" w:cstheme="minorHAnsi"/>
                <w:sz w:val="18"/>
                <w:szCs w:val="18"/>
                <w:lang w:val="es-CR" w:eastAsia="es-CR"/>
              </w:rPr>
              <w:t>0</w:t>
            </w:r>
          </w:p>
        </w:tc>
        <w:tc>
          <w:tcPr>
            <w:tcW w:w="851" w:type="dxa"/>
            <w:tcBorders>
              <w:top w:val="nil"/>
              <w:left w:val="nil"/>
              <w:bottom w:val="single" w:sz="4" w:space="0" w:color="auto"/>
              <w:right w:val="single" w:sz="4" w:space="0" w:color="auto"/>
            </w:tcBorders>
            <w:shd w:val="clear" w:color="auto" w:fill="auto"/>
            <w:noWrap/>
            <w:vAlign w:val="center"/>
            <w:hideMark/>
          </w:tcPr>
          <w:p w14:paraId="0C141FC4" w14:textId="77777777" w:rsidR="00C935FA" w:rsidRPr="00C935FA" w:rsidRDefault="00C935FA" w:rsidP="00C935FA">
            <w:pPr>
              <w:spacing w:line="240" w:lineRule="auto"/>
              <w:jc w:val="right"/>
              <w:rPr>
                <w:rFonts w:asciiTheme="minorHAnsi" w:hAnsiTheme="minorHAnsi" w:cstheme="minorHAnsi"/>
                <w:sz w:val="18"/>
                <w:szCs w:val="18"/>
                <w:lang w:val="es-CR" w:eastAsia="es-CR"/>
              </w:rPr>
            </w:pPr>
            <w:r w:rsidRPr="00C935FA">
              <w:rPr>
                <w:rFonts w:asciiTheme="minorHAnsi" w:hAnsiTheme="minorHAnsi" w:cstheme="minorHAnsi"/>
                <w:sz w:val="18"/>
                <w:szCs w:val="18"/>
                <w:lang w:val="es-CR" w:eastAsia="es-CR"/>
              </w:rPr>
              <w:t>0</w:t>
            </w:r>
          </w:p>
        </w:tc>
        <w:tc>
          <w:tcPr>
            <w:tcW w:w="1133" w:type="dxa"/>
            <w:tcBorders>
              <w:top w:val="nil"/>
              <w:left w:val="nil"/>
              <w:bottom w:val="single" w:sz="4" w:space="0" w:color="auto"/>
              <w:right w:val="single" w:sz="4" w:space="0" w:color="auto"/>
            </w:tcBorders>
            <w:shd w:val="clear" w:color="auto" w:fill="auto"/>
            <w:noWrap/>
            <w:vAlign w:val="center"/>
            <w:hideMark/>
          </w:tcPr>
          <w:p w14:paraId="7B13688F" w14:textId="77777777" w:rsidR="00C935FA" w:rsidRPr="00C935FA" w:rsidRDefault="00C935FA" w:rsidP="00C935FA">
            <w:pPr>
              <w:spacing w:line="240" w:lineRule="auto"/>
              <w:jc w:val="right"/>
              <w:rPr>
                <w:rFonts w:asciiTheme="minorHAnsi" w:hAnsiTheme="minorHAnsi" w:cstheme="minorHAnsi"/>
                <w:sz w:val="18"/>
                <w:szCs w:val="18"/>
                <w:lang w:val="es-CR" w:eastAsia="es-CR"/>
              </w:rPr>
            </w:pPr>
            <w:r w:rsidRPr="00C935FA">
              <w:rPr>
                <w:rFonts w:asciiTheme="minorHAnsi" w:hAnsiTheme="minorHAnsi" w:cstheme="minorHAnsi"/>
                <w:sz w:val="18"/>
                <w:szCs w:val="18"/>
                <w:lang w:val="es-CR" w:eastAsia="es-CR"/>
              </w:rPr>
              <w:t>3 077 640</w:t>
            </w:r>
          </w:p>
        </w:tc>
        <w:tc>
          <w:tcPr>
            <w:tcW w:w="992" w:type="dxa"/>
            <w:tcBorders>
              <w:top w:val="nil"/>
              <w:left w:val="nil"/>
              <w:bottom w:val="single" w:sz="4" w:space="0" w:color="auto"/>
              <w:right w:val="single" w:sz="4" w:space="0" w:color="auto"/>
            </w:tcBorders>
            <w:shd w:val="clear" w:color="auto" w:fill="auto"/>
            <w:noWrap/>
            <w:vAlign w:val="center"/>
            <w:hideMark/>
          </w:tcPr>
          <w:p w14:paraId="329F3C4A" w14:textId="77777777" w:rsidR="00C935FA" w:rsidRPr="00C935FA" w:rsidRDefault="00C935FA" w:rsidP="00C935FA">
            <w:pPr>
              <w:spacing w:line="240" w:lineRule="auto"/>
              <w:jc w:val="center"/>
              <w:rPr>
                <w:rFonts w:asciiTheme="minorHAnsi" w:hAnsiTheme="minorHAnsi" w:cstheme="minorHAnsi"/>
                <w:sz w:val="18"/>
                <w:szCs w:val="18"/>
                <w:lang w:val="es-CR" w:eastAsia="es-CR"/>
              </w:rPr>
            </w:pPr>
            <w:r w:rsidRPr="00C935FA">
              <w:rPr>
                <w:rFonts w:asciiTheme="minorHAnsi" w:hAnsiTheme="minorHAnsi" w:cstheme="minorHAnsi"/>
                <w:sz w:val="18"/>
                <w:szCs w:val="18"/>
                <w:lang w:val="es-CR" w:eastAsia="es-CR"/>
              </w:rPr>
              <w:t>0%</w:t>
            </w:r>
          </w:p>
        </w:tc>
      </w:tr>
      <w:tr w:rsidR="00F7003E" w:rsidRPr="00C935FA" w14:paraId="7874FD01" w14:textId="77777777" w:rsidTr="006128F8">
        <w:trPr>
          <w:trHeight w:val="260"/>
        </w:trPr>
        <w:tc>
          <w:tcPr>
            <w:tcW w:w="688" w:type="dxa"/>
            <w:tcBorders>
              <w:top w:val="nil"/>
              <w:left w:val="single" w:sz="4" w:space="0" w:color="auto"/>
              <w:bottom w:val="single" w:sz="4" w:space="0" w:color="auto"/>
              <w:right w:val="single" w:sz="4" w:space="0" w:color="auto"/>
            </w:tcBorders>
            <w:shd w:val="clear" w:color="auto" w:fill="auto"/>
            <w:noWrap/>
            <w:vAlign w:val="center"/>
            <w:hideMark/>
          </w:tcPr>
          <w:p w14:paraId="0EB0C637" w14:textId="77777777" w:rsidR="00C935FA" w:rsidRPr="00C935FA" w:rsidRDefault="00C935FA" w:rsidP="00C935FA">
            <w:pPr>
              <w:spacing w:line="240" w:lineRule="auto"/>
              <w:jc w:val="center"/>
              <w:rPr>
                <w:rFonts w:asciiTheme="minorHAnsi" w:hAnsiTheme="minorHAnsi" w:cstheme="minorHAnsi"/>
                <w:sz w:val="18"/>
                <w:szCs w:val="18"/>
                <w:lang w:val="es-CR" w:eastAsia="es-CR"/>
              </w:rPr>
            </w:pPr>
            <w:r w:rsidRPr="00C935FA">
              <w:rPr>
                <w:rFonts w:asciiTheme="minorHAnsi" w:hAnsiTheme="minorHAnsi" w:cstheme="minorHAnsi"/>
                <w:sz w:val="18"/>
                <w:szCs w:val="18"/>
                <w:lang w:val="es-CR" w:eastAsia="es-CR"/>
              </w:rPr>
              <w:t>1.05.04</w:t>
            </w:r>
          </w:p>
        </w:tc>
        <w:tc>
          <w:tcPr>
            <w:tcW w:w="956" w:type="dxa"/>
            <w:tcBorders>
              <w:top w:val="nil"/>
              <w:left w:val="nil"/>
              <w:bottom w:val="single" w:sz="4" w:space="0" w:color="auto"/>
              <w:right w:val="single" w:sz="4" w:space="0" w:color="auto"/>
            </w:tcBorders>
            <w:shd w:val="clear" w:color="auto" w:fill="auto"/>
            <w:noWrap/>
            <w:vAlign w:val="center"/>
            <w:hideMark/>
          </w:tcPr>
          <w:p w14:paraId="2EB0EB25" w14:textId="77777777" w:rsidR="00C935FA" w:rsidRPr="00C935FA" w:rsidRDefault="00C935FA" w:rsidP="00C935FA">
            <w:pPr>
              <w:spacing w:line="240" w:lineRule="auto"/>
              <w:jc w:val="center"/>
              <w:rPr>
                <w:rFonts w:asciiTheme="minorHAnsi" w:hAnsiTheme="minorHAnsi" w:cstheme="minorHAnsi"/>
                <w:sz w:val="18"/>
                <w:szCs w:val="18"/>
                <w:lang w:val="es-CR" w:eastAsia="es-CR"/>
              </w:rPr>
            </w:pPr>
            <w:r w:rsidRPr="00C935FA">
              <w:rPr>
                <w:rFonts w:asciiTheme="minorHAnsi" w:hAnsiTheme="minorHAnsi" w:cstheme="minorHAnsi"/>
                <w:sz w:val="18"/>
                <w:szCs w:val="18"/>
                <w:lang w:val="es-CR" w:eastAsia="es-CR"/>
              </w:rPr>
              <w:t>1.1.2</w:t>
            </w:r>
          </w:p>
        </w:tc>
        <w:tc>
          <w:tcPr>
            <w:tcW w:w="2462" w:type="dxa"/>
            <w:tcBorders>
              <w:top w:val="nil"/>
              <w:left w:val="nil"/>
              <w:bottom w:val="single" w:sz="4" w:space="0" w:color="auto"/>
              <w:right w:val="single" w:sz="4" w:space="0" w:color="auto"/>
            </w:tcBorders>
            <w:shd w:val="clear" w:color="auto" w:fill="auto"/>
            <w:noWrap/>
            <w:vAlign w:val="center"/>
            <w:hideMark/>
          </w:tcPr>
          <w:p w14:paraId="5439C900" w14:textId="77777777" w:rsidR="00C935FA" w:rsidRPr="00C935FA" w:rsidRDefault="00C935FA" w:rsidP="00C935FA">
            <w:pPr>
              <w:spacing w:line="240" w:lineRule="auto"/>
              <w:jc w:val="left"/>
              <w:rPr>
                <w:rFonts w:asciiTheme="minorHAnsi" w:hAnsiTheme="minorHAnsi" w:cstheme="minorHAnsi"/>
                <w:sz w:val="18"/>
                <w:szCs w:val="18"/>
                <w:lang w:val="es-CR" w:eastAsia="es-CR"/>
              </w:rPr>
            </w:pPr>
            <w:r w:rsidRPr="00C935FA">
              <w:rPr>
                <w:rFonts w:asciiTheme="minorHAnsi" w:hAnsiTheme="minorHAnsi" w:cstheme="minorHAnsi"/>
                <w:sz w:val="18"/>
                <w:szCs w:val="18"/>
                <w:lang w:val="es-CR" w:eastAsia="es-CR"/>
              </w:rPr>
              <w:t>Viáticos en el exterior</w:t>
            </w:r>
          </w:p>
        </w:tc>
        <w:tc>
          <w:tcPr>
            <w:tcW w:w="1276" w:type="dxa"/>
            <w:tcBorders>
              <w:top w:val="nil"/>
              <w:left w:val="nil"/>
              <w:bottom w:val="single" w:sz="4" w:space="0" w:color="auto"/>
              <w:right w:val="single" w:sz="4" w:space="0" w:color="auto"/>
            </w:tcBorders>
            <w:shd w:val="clear" w:color="auto" w:fill="auto"/>
            <w:noWrap/>
            <w:vAlign w:val="center"/>
            <w:hideMark/>
          </w:tcPr>
          <w:p w14:paraId="47E0E7AE" w14:textId="77777777" w:rsidR="00C935FA" w:rsidRPr="00C935FA" w:rsidRDefault="00C935FA" w:rsidP="00C935FA">
            <w:pPr>
              <w:spacing w:line="240" w:lineRule="auto"/>
              <w:jc w:val="right"/>
              <w:rPr>
                <w:rFonts w:asciiTheme="minorHAnsi" w:hAnsiTheme="minorHAnsi" w:cstheme="minorHAnsi"/>
                <w:sz w:val="18"/>
                <w:szCs w:val="18"/>
                <w:lang w:val="es-CR" w:eastAsia="es-CR"/>
              </w:rPr>
            </w:pPr>
            <w:r w:rsidRPr="00C935FA">
              <w:rPr>
                <w:rFonts w:asciiTheme="minorHAnsi" w:hAnsiTheme="minorHAnsi" w:cstheme="minorHAnsi"/>
                <w:sz w:val="18"/>
                <w:szCs w:val="18"/>
                <w:lang w:val="es-CR" w:eastAsia="es-CR"/>
              </w:rPr>
              <w:t>2 748 246</w:t>
            </w:r>
          </w:p>
        </w:tc>
        <w:tc>
          <w:tcPr>
            <w:tcW w:w="1276" w:type="dxa"/>
            <w:tcBorders>
              <w:top w:val="nil"/>
              <w:left w:val="nil"/>
              <w:bottom w:val="single" w:sz="4" w:space="0" w:color="auto"/>
              <w:right w:val="single" w:sz="4" w:space="0" w:color="auto"/>
            </w:tcBorders>
            <w:shd w:val="clear" w:color="auto" w:fill="auto"/>
            <w:noWrap/>
            <w:vAlign w:val="center"/>
            <w:hideMark/>
          </w:tcPr>
          <w:p w14:paraId="1A24E085" w14:textId="77777777" w:rsidR="00C935FA" w:rsidRPr="00C935FA" w:rsidRDefault="00C935FA" w:rsidP="00C935FA">
            <w:pPr>
              <w:spacing w:line="240" w:lineRule="auto"/>
              <w:jc w:val="right"/>
              <w:rPr>
                <w:rFonts w:asciiTheme="minorHAnsi" w:hAnsiTheme="minorHAnsi" w:cstheme="minorHAnsi"/>
                <w:sz w:val="18"/>
                <w:szCs w:val="18"/>
                <w:lang w:val="es-CR" w:eastAsia="es-CR"/>
              </w:rPr>
            </w:pPr>
            <w:r w:rsidRPr="00C935FA">
              <w:rPr>
                <w:rFonts w:asciiTheme="minorHAnsi" w:hAnsiTheme="minorHAnsi" w:cstheme="minorHAnsi"/>
                <w:sz w:val="18"/>
                <w:szCs w:val="18"/>
                <w:lang w:val="es-CR" w:eastAsia="es-CR"/>
              </w:rPr>
              <w:t>0</w:t>
            </w:r>
          </w:p>
        </w:tc>
        <w:tc>
          <w:tcPr>
            <w:tcW w:w="851" w:type="dxa"/>
            <w:tcBorders>
              <w:top w:val="nil"/>
              <w:left w:val="nil"/>
              <w:bottom w:val="single" w:sz="4" w:space="0" w:color="auto"/>
              <w:right w:val="single" w:sz="4" w:space="0" w:color="auto"/>
            </w:tcBorders>
            <w:shd w:val="clear" w:color="auto" w:fill="auto"/>
            <w:noWrap/>
            <w:vAlign w:val="center"/>
            <w:hideMark/>
          </w:tcPr>
          <w:p w14:paraId="13C60DC9" w14:textId="77777777" w:rsidR="00C935FA" w:rsidRPr="00C935FA" w:rsidRDefault="00C935FA" w:rsidP="00C935FA">
            <w:pPr>
              <w:spacing w:line="240" w:lineRule="auto"/>
              <w:jc w:val="right"/>
              <w:rPr>
                <w:rFonts w:asciiTheme="minorHAnsi" w:hAnsiTheme="minorHAnsi" w:cstheme="minorHAnsi"/>
                <w:sz w:val="18"/>
                <w:szCs w:val="18"/>
                <w:lang w:val="es-CR" w:eastAsia="es-CR"/>
              </w:rPr>
            </w:pPr>
            <w:r w:rsidRPr="00C935FA">
              <w:rPr>
                <w:rFonts w:asciiTheme="minorHAnsi" w:hAnsiTheme="minorHAnsi" w:cstheme="minorHAnsi"/>
                <w:sz w:val="18"/>
                <w:szCs w:val="18"/>
                <w:lang w:val="es-CR" w:eastAsia="es-CR"/>
              </w:rPr>
              <w:t>0</w:t>
            </w:r>
          </w:p>
        </w:tc>
        <w:tc>
          <w:tcPr>
            <w:tcW w:w="1133" w:type="dxa"/>
            <w:tcBorders>
              <w:top w:val="nil"/>
              <w:left w:val="nil"/>
              <w:bottom w:val="single" w:sz="4" w:space="0" w:color="auto"/>
              <w:right w:val="single" w:sz="4" w:space="0" w:color="auto"/>
            </w:tcBorders>
            <w:shd w:val="clear" w:color="auto" w:fill="auto"/>
            <w:noWrap/>
            <w:vAlign w:val="center"/>
            <w:hideMark/>
          </w:tcPr>
          <w:p w14:paraId="300B85BA" w14:textId="77777777" w:rsidR="00C935FA" w:rsidRPr="00C935FA" w:rsidRDefault="00C935FA" w:rsidP="00C935FA">
            <w:pPr>
              <w:spacing w:line="240" w:lineRule="auto"/>
              <w:jc w:val="right"/>
              <w:rPr>
                <w:rFonts w:asciiTheme="minorHAnsi" w:hAnsiTheme="minorHAnsi" w:cstheme="minorHAnsi"/>
                <w:sz w:val="18"/>
                <w:szCs w:val="18"/>
                <w:lang w:val="es-CR" w:eastAsia="es-CR"/>
              </w:rPr>
            </w:pPr>
            <w:r w:rsidRPr="00C935FA">
              <w:rPr>
                <w:rFonts w:asciiTheme="minorHAnsi" w:hAnsiTheme="minorHAnsi" w:cstheme="minorHAnsi"/>
                <w:sz w:val="18"/>
                <w:szCs w:val="18"/>
                <w:lang w:val="es-CR" w:eastAsia="es-CR"/>
              </w:rPr>
              <w:t>2 748 246</w:t>
            </w:r>
          </w:p>
        </w:tc>
        <w:tc>
          <w:tcPr>
            <w:tcW w:w="992" w:type="dxa"/>
            <w:tcBorders>
              <w:top w:val="nil"/>
              <w:left w:val="nil"/>
              <w:bottom w:val="single" w:sz="4" w:space="0" w:color="auto"/>
              <w:right w:val="single" w:sz="4" w:space="0" w:color="auto"/>
            </w:tcBorders>
            <w:shd w:val="clear" w:color="auto" w:fill="auto"/>
            <w:noWrap/>
            <w:vAlign w:val="center"/>
            <w:hideMark/>
          </w:tcPr>
          <w:p w14:paraId="451602C4" w14:textId="77777777" w:rsidR="00C935FA" w:rsidRPr="00C935FA" w:rsidRDefault="00C935FA" w:rsidP="00C935FA">
            <w:pPr>
              <w:spacing w:line="240" w:lineRule="auto"/>
              <w:jc w:val="center"/>
              <w:rPr>
                <w:rFonts w:asciiTheme="minorHAnsi" w:hAnsiTheme="minorHAnsi" w:cstheme="minorHAnsi"/>
                <w:sz w:val="18"/>
                <w:szCs w:val="18"/>
                <w:lang w:val="es-CR" w:eastAsia="es-CR"/>
              </w:rPr>
            </w:pPr>
            <w:r w:rsidRPr="00C935FA">
              <w:rPr>
                <w:rFonts w:asciiTheme="minorHAnsi" w:hAnsiTheme="minorHAnsi" w:cstheme="minorHAnsi"/>
                <w:sz w:val="18"/>
                <w:szCs w:val="18"/>
                <w:lang w:val="es-CR" w:eastAsia="es-CR"/>
              </w:rPr>
              <w:t>0%</w:t>
            </w:r>
          </w:p>
        </w:tc>
      </w:tr>
      <w:tr w:rsidR="00F7003E" w:rsidRPr="00C935FA" w14:paraId="088730F2" w14:textId="77777777" w:rsidTr="006128F8">
        <w:trPr>
          <w:trHeight w:val="260"/>
        </w:trPr>
        <w:tc>
          <w:tcPr>
            <w:tcW w:w="688" w:type="dxa"/>
            <w:tcBorders>
              <w:top w:val="nil"/>
              <w:left w:val="single" w:sz="4" w:space="0" w:color="auto"/>
              <w:bottom w:val="single" w:sz="4" w:space="0" w:color="auto"/>
              <w:right w:val="single" w:sz="4" w:space="0" w:color="auto"/>
            </w:tcBorders>
            <w:shd w:val="clear" w:color="auto" w:fill="auto"/>
            <w:noWrap/>
            <w:vAlign w:val="center"/>
            <w:hideMark/>
          </w:tcPr>
          <w:p w14:paraId="3B1B0D78" w14:textId="77777777" w:rsidR="00C935FA" w:rsidRPr="00C935FA" w:rsidRDefault="00C935FA" w:rsidP="00C935FA">
            <w:pPr>
              <w:spacing w:line="240" w:lineRule="auto"/>
              <w:jc w:val="center"/>
              <w:rPr>
                <w:rFonts w:asciiTheme="minorHAnsi" w:hAnsiTheme="minorHAnsi" w:cstheme="minorHAnsi"/>
                <w:sz w:val="18"/>
                <w:szCs w:val="18"/>
                <w:lang w:val="es-CR" w:eastAsia="es-CR"/>
              </w:rPr>
            </w:pPr>
            <w:r w:rsidRPr="00C935FA">
              <w:rPr>
                <w:rFonts w:asciiTheme="minorHAnsi" w:hAnsiTheme="minorHAnsi" w:cstheme="minorHAnsi"/>
                <w:sz w:val="18"/>
                <w:szCs w:val="18"/>
                <w:lang w:val="es-CR" w:eastAsia="es-CR"/>
              </w:rPr>
              <w:t>1.06.01</w:t>
            </w:r>
          </w:p>
        </w:tc>
        <w:tc>
          <w:tcPr>
            <w:tcW w:w="956" w:type="dxa"/>
            <w:tcBorders>
              <w:top w:val="nil"/>
              <w:left w:val="nil"/>
              <w:bottom w:val="single" w:sz="4" w:space="0" w:color="auto"/>
              <w:right w:val="single" w:sz="4" w:space="0" w:color="auto"/>
            </w:tcBorders>
            <w:shd w:val="clear" w:color="auto" w:fill="auto"/>
            <w:noWrap/>
            <w:vAlign w:val="center"/>
            <w:hideMark/>
          </w:tcPr>
          <w:p w14:paraId="17E0830C" w14:textId="77777777" w:rsidR="00C935FA" w:rsidRPr="00C935FA" w:rsidRDefault="00C935FA" w:rsidP="00C935FA">
            <w:pPr>
              <w:spacing w:line="240" w:lineRule="auto"/>
              <w:jc w:val="center"/>
              <w:rPr>
                <w:rFonts w:asciiTheme="minorHAnsi" w:hAnsiTheme="minorHAnsi" w:cstheme="minorHAnsi"/>
                <w:sz w:val="18"/>
                <w:szCs w:val="18"/>
                <w:lang w:val="es-CR" w:eastAsia="es-CR"/>
              </w:rPr>
            </w:pPr>
            <w:r w:rsidRPr="00C935FA">
              <w:rPr>
                <w:rFonts w:asciiTheme="minorHAnsi" w:hAnsiTheme="minorHAnsi" w:cstheme="minorHAnsi"/>
                <w:sz w:val="18"/>
                <w:szCs w:val="18"/>
                <w:lang w:val="es-CR" w:eastAsia="es-CR"/>
              </w:rPr>
              <w:t>1.1.2</w:t>
            </w:r>
          </w:p>
        </w:tc>
        <w:tc>
          <w:tcPr>
            <w:tcW w:w="2462" w:type="dxa"/>
            <w:tcBorders>
              <w:top w:val="nil"/>
              <w:left w:val="nil"/>
              <w:bottom w:val="single" w:sz="4" w:space="0" w:color="auto"/>
              <w:right w:val="single" w:sz="4" w:space="0" w:color="auto"/>
            </w:tcBorders>
            <w:shd w:val="clear" w:color="auto" w:fill="auto"/>
            <w:noWrap/>
            <w:vAlign w:val="center"/>
            <w:hideMark/>
          </w:tcPr>
          <w:p w14:paraId="1B101DA8" w14:textId="77777777" w:rsidR="00C935FA" w:rsidRPr="00C935FA" w:rsidRDefault="00C935FA" w:rsidP="00C935FA">
            <w:pPr>
              <w:spacing w:line="240" w:lineRule="auto"/>
              <w:jc w:val="left"/>
              <w:rPr>
                <w:rFonts w:asciiTheme="minorHAnsi" w:hAnsiTheme="minorHAnsi" w:cstheme="minorHAnsi"/>
                <w:sz w:val="18"/>
                <w:szCs w:val="18"/>
                <w:lang w:val="es-CR" w:eastAsia="es-CR"/>
              </w:rPr>
            </w:pPr>
            <w:r w:rsidRPr="00C935FA">
              <w:rPr>
                <w:rFonts w:asciiTheme="minorHAnsi" w:hAnsiTheme="minorHAnsi" w:cstheme="minorHAnsi"/>
                <w:sz w:val="18"/>
                <w:szCs w:val="18"/>
                <w:lang w:val="es-CR" w:eastAsia="es-CR"/>
              </w:rPr>
              <w:t>Seguros</w:t>
            </w:r>
          </w:p>
        </w:tc>
        <w:tc>
          <w:tcPr>
            <w:tcW w:w="1276" w:type="dxa"/>
            <w:tcBorders>
              <w:top w:val="nil"/>
              <w:left w:val="nil"/>
              <w:bottom w:val="single" w:sz="4" w:space="0" w:color="auto"/>
              <w:right w:val="single" w:sz="4" w:space="0" w:color="auto"/>
            </w:tcBorders>
            <w:shd w:val="clear" w:color="auto" w:fill="auto"/>
            <w:noWrap/>
            <w:vAlign w:val="center"/>
            <w:hideMark/>
          </w:tcPr>
          <w:p w14:paraId="544E75A5" w14:textId="77777777" w:rsidR="00C935FA" w:rsidRPr="00C935FA" w:rsidRDefault="00C935FA" w:rsidP="00C935FA">
            <w:pPr>
              <w:spacing w:line="240" w:lineRule="auto"/>
              <w:jc w:val="right"/>
              <w:rPr>
                <w:rFonts w:asciiTheme="minorHAnsi" w:hAnsiTheme="minorHAnsi" w:cstheme="minorHAnsi"/>
                <w:sz w:val="18"/>
                <w:szCs w:val="18"/>
                <w:lang w:val="es-CR" w:eastAsia="es-CR"/>
              </w:rPr>
            </w:pPr>
            <w:r w:rsidRPr="00C935FA">
              <w:rPr>
                <w:rFonts w:asciiTheme="minorHAnsi" w:hAnsiTheme="minorHAnsi" w:cstheme="minorHAnsi"/>
                <w:sz w:val="18"/>
                <w:szCs w:val="18"/>
                <w:lang w:val="es-CR" w:eastAsia="es-CR"/>
              </w:rPr>
              <w:t>2 500 000</w:t>
            </w:r>
          </w:p>
        </w:tc>
        <w:tc>
          <w:tcPr>
            <w:tcW w:w="1276" w:type="dxa"/>
            <w:tcBorders>
              <w:top w:val="nil"/>
              <w:left w:val="nil"/>
              <w:bottom w:val="single" w:sz="4" w:space="0" w:color="auto"/>
              <w:right w:val="single" w:sz="4" w:space="0" w:color="auto"/>
            </w:tcBorders>
            <w:shd w:val="clear" w:color="auto" w:fill="auto"/>
            <w:noWrap/>
            <w:vAlign w:val="center"/>
            <w:hideMark/>
          </w:tcPr>
          <w:p w14:paraId="61041CF2" w14:textId="77777777" w:rsidR="00C935FA" w:rsidRPr="00C935FA" w:rsidRDefault="00C935FA" w:rsidP="00C935FA">
            <w:pPr>
              <w:spacing w:line="240" w:lineRule="auto"/>
              <w:jc w:val="right"/>
              <w:rPr>
                <w:rFonts w:asciiTheme="minorHAnsi" w:hAnsiTheme="minorHAnsi" w:cstheme="minorHAnsi"/>
                <w:sz w:val="18"/>
                <w:szCs w:val="18"/>
                <w:lang w:val="es-CR" w:eastAsia="es-CR"/>
              </w:rPr>
            </w:pPr>
            <w:r w:rsidRPr="00C935FA">
              <w:rPr>
                <w:rFonts w:asciiTheme="minorHAnsi" w:hAnsiTheme="minorHAnsi" w:cstheme="minorHAnsi"/>
                <w:sz w:val="18"/>
                <w:szCs w:val="18"/>
                <w:lang w:val="es-CR" w:eastAsia="es-CR"/>
              </w:rPr>
              <w:t>1 827 970</w:t>
            </w:r>
          </w:p>
        </w:tc>
        <w:tc>
          <w:tcPr>
            <w:tcW w:w="851" w:type="dxa"/>
            <w:tcBorders>
              <w:top w:val="nil"/>
              <w:left w:val="nil"/>
              <w:bottom w:val="single" w:sz="4" w:space="0" w:color="auto"/>
              <w:right w:val="single" w:sz="4" w:space="0" w:color="auto"/>
            </w:tcBorders>
            <w:shd w:val="clear" w:color="auto" w:fill="auto"/>
            <w:noWrap/>
            <w:vAlign w:val="center"/>
            <w:hideMark/>
          </w:tcPr>
          <w:p w14:paraId="75D7603B" w14:textId="77777777" w:rsidR="00C935FA" w:rsidRPr="00C935FA" w:rsidRDefault="00C935FA" w:rsidP="00C935FA">
            <w:pPr>
              <w:spacing w:line="240" w:lineRule="auto"/>
              <w:jc w:val="right"/>
              <w:rPr>
                <w:rFonts w:asciiTheme="minorHAnsi" w:hAnsiTheme="minorHAnsi" w:cstheme="minorHAnsi"/>
                <w:sz w:val="18"/>
                <w:szCs w:val="18"/>
                <w:lang w:val="es-CR" w:eastAsia="es-CR"/>
              </w:rPr>
            </w:pPr>
            <w:r w:rsidRPr="00C935FA">
              <w:rPr>
                <w:rFonts w:asciiTheme="minorHAnsi" w:hAnsiTheme="minorHAnsi" w:cstheme="minorHAnsi"/>
                <w:sz w:val="18"/>
                <w:szCs w:val="18"/>
                <w:lang w:val="es-CR" w:eastAsia="es-CR"/>
              </w:rPr>
              <w:t>0</w:t>
            </w:r>
          </w:p>
        </w:tc>
        <w:tc>
          <w:tcPr>
            <w:tcW w:w="1133" w:type="dxa"/>
            <w:tcBorders>
              <w:top w:val="nil"/>
              <w:left w:val="nil"/>
              <w:bottom w:val="single" w:sz="4" w:space="0" w:color="auto"/>
              <w:right w:val="single" w:sz="4" w:space="0" w:color="auto"/>
            </w:tcBorders>
            <w:shd w:val="clear" w:color="auto" w:fill="auto"/>
            <w:noWrap/>
            <w:vAlign w:val="center"/>
            <w:hideMark/>
          </w:tcPr>
          <w:p w14:paraId="62939BFC" w14:textId="77777777" w:rsidR="00C935FA" w:rsidRPr="00C935FA" w:rsidRDefault="00C935FA" w:rsidP="00C935FA">
            <w:pPr>
              <w:spacing w:line="240" w:lineRule="auto"/>
              <w:jc w:val="right"/>
              <w:rPr>
                <w:rFonts w:asciiTheme="minorHAnsi" w:hAnsiTheme="minorHAnsi" w:cstheme="minorHAnsi"/>
                <w:sz w:val="18"/>
                <w:szCs w:val="18"/>
                <w:lang w:val="es-CR" w:eastAsia="es-CR"/>
              </w:rPr>
            </w:pPr>
            <w:r w:rsidRPr="00C935FA">
              <w:rPr>
                <w:rFonts w:asciiTheme="minorHAnsi" w:hAnsiTheme="minorHAnsi" w:cstheme="minorHAnsi"/>
                <w:sz w:val="18"/>
                <w:szCs w:val="18"/>
                <w:lang w:val="es-CR" w:eastAsia="es-CR"/>
              </w:rPr>
              <w:t>672 030</w:t>
            </w:r>
          </w:p>
        </w:tc>
        <w:tc>
          <w:tcPr>
            <w:tcW w:w="992" w:type="dxa"/>
            <w:tcBorders>
              <w:top w:val="nil"/>
              <w:left w:val="nil"/>
              <w:bottom w:val="single" w:sz="4" w:space="0" w:color="auto"/>
              <w:right w:val="single" w:sz="4" w:space="0" w:color="auto"/>
            </w:tcBorders>
            <w:shd w:val="clear" w:color="auto" w:fill="auto"/>
            <w:noWrap/>
            <w:vAlign w:val="center"/>
            <w:hideMark/>
          </w:tcPr>
          <w:p w14:paraId="53D409C2" w14:textId="77777777" w:rsidR="00C935FA" w:rsidRPr="00C935FA" w:rsidRDefault="00C935FA" w:rsidP="00C935FA">
            <w:pPr>
              <w:spacing w:line="240" w:lineRule="auto"/>
              <w:jc w:val="center"/>
              <w:rPr>
                <w:rFonts w:asciiTheme="minorHAnsi" w:hAnsiTheme="minorHAnsi" w:cstheme="minorHAnsi"/>
                <w:sz w:val="18"/>
                <w:szCs w:val="18"/>
                <w:lang w:val="es-CR" w:eastAsia="es-CR"/>
              </w:rPr>
            </w:pPr>
            <w:r w:rsidRPr="00C935FA">
              <w:rPr>
                <w:rFonts w:asciiTheme="minorHAnsi" w:hAnsiTheme="minorHAnsi" w:cstheme="minorHAnsi"/>
                <w:sz w:val="18"/>
                <w:szCs w:val="18"/>
                <w:lang w:val="es-CR" w:eastAsia="es-CR"/>
              </w:rPr>
              <w:t>73%</w:t>
            </w:r>
          </w:p>
        </w:tc>
      </w:tr>
      <w:tr w:rsidR="00F7003E" w:rsidRPr="00C935FA" w14:paraId="06F571F4" w14:textId="77777777" w:rsidTr="006128F8">
        <w:trPr>
          <w:trHeight w:val="260"/>
        </w:trPr>
        <w:tc>
          <w:tcPr>
            <w:tcW w:w="688" w:type="dxa"/>
            <w:tcBorders>
              <w:top w:val="nil"/>
              <w:left w:val="single" w:sz="4" w:space="0" w:color="auto"/>
              <w:bottom w:val="single" w:sz="4" w:space="0" w:color="auto"/>
              <w:right w:val="single" w:sz="4" w:space="0" w:color="auto"/>
            </w:tcBorders>
            <w:shd w:val="clear" w:color="auto" w:fill="auto"/>
            <w:noWrap/>
            <w:vAlign w:val="center"/>
            <w:hideMark/>
          </w:tcPr>
          <w:p w14:paraId="456D62BF" w14:textId="77777777" w:rsidR="00C935FA" w:rsidRPr="00C935FA" w:rsidRDefault="00C935FA" w:rsidP="00C935FA">
            <w:pPr>
              <w:spacing w:line="240" w:lineRule="auto"/>
              <w:jc w:val="center"/>
              <w:rPr>
                <w:rFonts w:asciiTheme="minorHAnsi" w:hAnsiTheme="minorHAnsi" w:cstheme="minorHAnsi"/>
                <w:sz w:val="18"/>
                <w:szCs w:val="18"/>
                <w:lang w:val="es-CR" w:eastAsia="es-CR"/>
              </w:rPr>
            </w:pPr>
            <w:r w:rsidRPr="00C935FA">
              <w:rPr>
                <w:rFonts w:asciiTheme="minorHAnsi" w:hAnsiTheme="minorHAnsi" w:cstheme="minorHAnsi"/>
                <w:sz w:val="18"/>
                <w:szCs w:val="18"/>
                <w:lang w:val="es-CR" w:eastAsia="es-CR"/>
              </w:rPr>
              <w:t>1.07.01</w:t>
            </w:r>
          </w:p>
        </w:tc>
        <w:tc>
          <w:tcPr>
            <w:tcW w:w="956" w:type="dxa"/>
            <w:tcBorders>
              <w:top w:val="nil"/>
              <w:left w:val="nil"/>
              <w:bottom w:val="single" w:sz="4" w:space="0" w:color="auto"/>
              <w:right w:val="single" w:sz="4" w:space="0" w:color="auto"/>
            </w:tcBorders>
            <w:shd w:val="clear" w:color="auto" w:fill="auto"/>
            <w:noWrap/>
            <w:vAlign w:val="center"/>
            <w:hideMark/>
          </w:tcPr>
          <w:p w14:paraId="10720105" w14:textId="77777777" w:rsidR="00C935FA" w:rsidRPr="00C935FA" w:rsidRDefault="00C935FA" w:rsidP="00C935FA">
            <w:pPr>
              <w:spacing w:line="240" w:lineRule="auto"/>
              <w:jc w:val="center"/>
              <w:rPr>
                <w:rFonts w:asciiTheme="minorHAnsi" w:hAnsiTheme="minorHAnsi" w:cstheme="minorHAnsi"/>
                <w:sz w:val="18"/>
                <w:szCs w:val="18"/>
                <w:lang w:val="es-CR" w:eastAsia="es-CR"/>
              </w:rPr>
            </w:pPr>
            <w:r w:rsidRPr="00C935FA">
              <w:rPr>
                <w:rFonts w:asciiTheme="minorHAnsi" w:hAnsiTheme="minorHAnsi" w:cstheme="minorHAnsi"/>
                <w:sz w:val="18"/>
                <w:szCs w:val="18"/>
                <w:lang w:val="es-CR" w:eastAsia="es-CR"/>
              </w:rPr>
              <w:t>1.1.2</w:t>
            </w:r>
          </w:p>
        </w:tc>
        <w:tc>
          <w:tcPr>
            <w:tcW w:w="2462" w:type="dxa"/>
            <w:tcBorders>
              <w:top w:val="nil"/>
              <w:left w:val="nil"/>
              <w:bottom w:val="single" w:sz="4" w:space="0" w:color="auto"/>
              <w:right w:val="single" w:sz="4" w:space="0" w:color="auto"/>
            </w:tcBorders>
            <w:shd w:val="clear" w:color="auto" w:fill="auto"/>
            <w:noWrap/>
            <w:vAlign w:val="center"/>
            <w:hideMark/>
          </w:tcPr>
          <w:p w14:paraId="009DE92C" w14:textId="77777777" w:rsidR="00C935FA" w:rsidRPr="00C935FA" w:rsidRDefault="00C935FA" w:rsidP="00C935FA">
            <w:pPr>
              <w:spacing w:line="240" w:lineRule="auto"/>
              <w:jc w:val="left"/>
              <w:rPr>
                <w:rFonts w:asciiTheme="minorHAnsi" w:hAnsiTheme="minorHAnsi" w:cstheme="minorHAnsi"/>
                <w:sz w:val="18"/>
                <w:szCs w:val="18"/>
                <w:lang w:val="es-CR" w:eastAsia="es-CR"/>
              </w:rPr>
            </w:pPr>
            <w:r w:rsidRPr="00C935FA">
              <w:rPr>
                <w:rFonts w:asciiTheme="minorHAnsi" w:hAnsiTheme="minorHAnsi" w:cstheme="minorHAnsi"/>
                <w:sz w:val="18"/>
                <w:szCs w:val="18"/>
                <w:lang w:val="es-CR" w:eastAsia="es-CR"/>
              </w:rPr>
              <w:t>Actividades de capacitación</w:t>
            </w:r>
          </w:p>
        </w:tc>
        <w:tc>
          <w:tcPr>
            <w:tcW w:w="1276" w:type="dxa"/>
            <w:tcBorders>
              <w:top w:val="nil"/>
              <w:left w:val="nil"/>
              <w:bottom w:val="single" w:sz="4" w:space="0" w:color="auto"/>
              <w:right w:val="single" w:sz="4" w:space="0" w:color="auto"/>
            </w:tcBorders>
            <w:shd w:val="clear" w:color="auto" w:fill="auto"/>
            <w:noWrap/>
            <w:vAlign w:val="center"/>
            <w:hideMark/>
          </w:tcPr>
          <w:p w14:paraId="4506F3FB" w14:textId="77777777" w:rsidR="00C935FA" w:rsidRPr="00C935FA" w:rsidRDefault="00C935FA" w:rsidP="00C935FA">
            <w:pPr>
              <w:spacing w:line="240" w:lineRule="auto"/>
              <w:jc w:val="right"/>
              <w:rPr>
                <w:rFonts w:asciiTheme="minorHAnsi" w:hAnsiTheme="minorHAnsi" w:cstheme="minorHAnsi"/>
                <w:sz w:val="18"/>
                <w:szCs w:val="18"/>
                <w:lang w:val="es-CR" w:eastAsia="es-CR"/>
              </w:rPr>
            </w:pPr>
            <w:r w:rsidRPr="00C935FA">
              <w:rPr>
                <w:rFonts w:asciiTheme="minorHAnsi" w:hAnsiTheme="minorHAnsi" w:cstheme="minorHAnsi"/>
                <w:sz w:val="18"/>
                <w:szCs w:val="18"/>
                <w:lang w:val="es-CR" w:eastAsia="es-CR"/>
              </w:rPr>
              <w:t>108 556 430</w:t>
            </w:r>
          </w:p>
        </w:tc>
        <w:tc>
          <w:tcPr>
            <w:tcW w:w="1276" w:type="dxa"/>
            <w:tcBorders>
              <w:top w:val="nil"/>
              <w:left w:val="nil"/>
              <w:bottom w:val="single" w:sz="4" w:space="0" w:color="auto"/>
              <w:right w:val="single" w:sz="4" w:space="0" w:color="auto"/>
            </w:tcBorders>
            <w:shd w:val="clear" w:color="auto" w:fill="auto"/>
            <w:noWrap/>
            <w:vAlign w:val="center"/>
            <w:hideMark/>
          </w:tcPr>
          <w:p w14:paraId="36CACA76" w14:textId="77777777" w:rsidR="00C935FA" w:rsidRPr="00C935FA" w:rsidRDefault="00C935FA" w:rsidP="00C935FA">
            <w:pPr>
              <w:spacing w:line="240" w:lineRule="auto"/>
              <w:jc w:val="right"/>
              <w:rPr>
                <w:rFonts w:asciiTheme="minorHAnsi" w:hAnsiTheme="minorHAnsi" w:cstheme="minorHAnsi"/>
                <w:sz w:val="18"/>
                <w:szCs w:val="18"/>
                <w:lang w:val="es-CR" w:eastAsia="es-CR"/>
              </w:rPr>
            </w:pPr>
            <w:r w:rsidRPr="00C935FA">
              <w:rPr>
                <w:rFonts w:asciiTheme="minorHAnsi" w:hAnsiTheme="minorHAnsi" w:cstheme="minorHAnsi"/>
                <w:sz w:val="18"/>
                <w:szCs w:val="18"/>
                <w:lang w:val="es-CR" w:eastAsia="es-CR"/>
              </w:rPr>
              <w:t>96 273 115</w:t>
            </w:r>
          </w:p>
        </w:tc>
        <w:tc>
          <w:tcPr>
            <w:tcW w:w="851" w:type="dxa"/>
            <w:tcBorders>
              <w:top w:val="nil"/>
              <w:left w:val="nil"/>
              <w:bottom w:val="single" w:sz="4" w:space="0" w:color="auto"/>
              <w:right w:val="single" w:sz="4" w:space="0" w:color="auto"/>
            </w:tcBorders>
            <w:shd w:val="clear" w:color="auto" w:fill="auto"/>
            <w:noWrap/>
            <w:vAlign w:val="center"/>
            <w:hideMark/>
          </w:tcPr>
          <w:p w14:paraId="1CC5F3DA" w14:textId="77777777" w:rsidR="00C935FA" w:rsidRPr="00C935FA" w:rsidRDefault="00C935FA" w:rsidP="00C935FA">
            <w:pPr>
              <w:spacing w:line="240" w:lineRule="auto"/>
              <w:jc w:val="right"/>
              <w:rPr>
                <w:rFonts w:asciiTheme="minorHAnsi" w:hAnsiTheme="minorHAnsi" w:cstheme="minorHAnsi"/>
                <w:sz w:val="18"/>
                <w:szCs w:val="18"/>
                <w:lang w:val="es-CR" w:eastAsia="es-CR"/>
              </w:rPr>
            </w:pPr>
            <w:r w:rsidRPr="00C935FA">
              <w:rPr>
                <w:rFonts w:asciiTheme="minorHAnsi" w:hAnsiTheme="minorHAnsi" w:cstheme="minorHAnsi"/>
                <w:sz w:val="18"/>
                <w:szCs w:val="18"/>
                <w:lang w:val="es-CR" w:eastAsia="es-CR"/>
              </w:rPr>
              <w:t>0</w:t>
            </w:r>
          </w:p>
        </w:tc>
        <w:tc>
          <w:tcPr>
            <w:tcW w:w="1133" w:type="dxa"/>
            <w:tcBorders>
              <w:top w:val="nil"/>
              <w:left w:val="nil"/>
              <w:bottom w:val="single" w:sz="4" w:space="0" w:color="auto"/>
              <w:right w:val="single" w:sz="4" w:space="0" w:color="auto"/>
            </w:tcBorders>
            <w:shd w:val="clear" w:color="auto" w:fill="auto"/>
            <w:noWrap/>
            <w:vAlign w:val="center"/>
            <w:hideMark/>
          </w:tcPr>
          <w:p w14:paraId="7128A3A5" w14:textId="77777777" w:rsidR="00C935FA" w:rsidRPr="00C935FA" w:rsidRDefault="00C935FA" w:rsidP="00C935FA">
            <w:pPr>
              <w:spacing w:line="240" w:lineRule="auto"/>
              <w:jc w:val="right"/>
              <w:rPr>
                <w:rFonts w:asciiTheme="minorHAnsi" w:hAnsiTheme="minorHAnsi" w:cstheme="minorHAnsi"/>
                <w:sz w:val="18"/>
                <w:szCs w:val="18"/>
                <w:lang w:val="es-CR" w:eastAsia="es-CR"/>
              </w:rPr>
            </w:pPr>
            <w:r w:rsidRPr="00C935FA">
              <w:rPr>
                <w:rFonts w:asciiTheme="minorHAnsi" w:hAnsiTheme="minorHAnsi" w:cstheme="minorHAnsi"/>
                <w:sz w:val="18"/>
                <w:szCs w:val="18"/>
                <w:lang w:val="es-CR" w:eastAsia="es-CR"/>
              </w:rPr>
              <w:t>12 283 315</w:t>
            </w:r>
          </w:p>
        </w:tc>
        <w:tc>
          <w:tcPr>
            <w:tcW w:w="992" w:type="dxa"/>
            <w:tcBorders>
              <w:top w:val="nil"/>
              <w:left w:val="nil"/>
              <w:bottom w:val="single" w:sz="4" w:space="0" w:color="auto"/>
              <w:right w:val="single" w:sz="4" w:space="0" w:color="auto"/>
            </w:tcBorders>
            <w:shd w:val="clear" w:color="auto" w:fill="auto"/>
            <w:noWrap/>
            <w:vAlign w:val="center"/>
            <w:hideMark/>
          </w:tcPr>
          <w:p w14:paraId="3F1AECA6" w14:textId="77777777" w:rsidR="00C935FA" w:rsidRPr="00C935FA" w:rsidRDefault="00C935FA" w:rsidP="00C935FA">
            <w:pPr>
              <w:spacing w:line="240" w:lineRule="auto"/>
              <w:jc w:val="center"/>
              <w:rPr>
                <w:rFonts w:asciiTheme="minorHAnsi" w:hAnsiTheme="minorHAnsi" w:cstheme="minorHAnsi"/>
                <w:sz w:val="18"/>
                <w:szCs w:val="18"/>
                <w:lang w:val="es-CR" w:eastAsia="es-CR"/>
              </w:rPr>
            </w:pPr>
            <w:r w:rsidRPr="00C935FA">
              <w:rPr>
                <w:rFonts w:asciiTheme="minorHAnsi" w:hAnsiTheme="minorHAnsi" w:cstheme="minorHAnsi"/>
                <w:sz w:val="18"/>
                <w:szCs w:val="18"/>
                <w:lang w:val="es-CR" w:eastAsia="es-CR"/>
              </w:rPr>
              <w:t>89%</w:t>
            </w:r>
          </w:p>
        </w:tc>
      </w:tr>
      <w:tr w:rsidR="00F7003E" w:rsidRPr="00C935FA" w14:paraId="5B404C6A" w14:textId="77777777" w:rsidTr="006128F8">
        <w:trPr>
          <w:trHeight w:val="260"/>
        </w:trPr>
        <w:tc>
          <w:tcPr>
            <w:tcW w:w="688" w:type="dxa"/>
            <w:tcBorders>
              <w:top w:val="nil"/>
              <w:left w:val="single" w:sz="4" w:space="0" w:color="auto"/>
              <w:bottom w:val="single" w:sz="4" w:space="0" w:color="auto"/>
              <w:right w:val="single" w:sz="4" w:space="0" w:color="auto"/>
            </w:tcBorders>
            <w:shd w:val="clear" w:color="auto" w:fill="auto"/>
            <w:noWrap/>
            <w:vAlign w:val="center"/>
            <w:hideMark/>
          </w:tcPr>
          <w:p w14:paraId="1121425C" w14:textId="77777777" w:rsidR="00C935FA" w:rsidRPr="00C935FA" w:rsidRDefault="00C935FA" w:rsidP="00C935FA">
            <w:pPr>
              <w:spacing w:line="240" w:lineRule="auto"/>
              <w:jc w:val="center"/>
              <w:rPr>
                <w:rFonts w:asciiTheme="minorHAnsi" w:hAnsiTheme="minorHAnsi" w:cstheme="minorHAnsi"/>
                <w:sz w:val="18"/>
                <w:szCs w:val="18"/>
                <w:lang w:val="es-CR" w:eastAsia="es-CR"/>
              </w:rPr>
            </w:pPr>
            <w:r w:rsidRPr="00C935FA">
              <w:rPr>
                <w:rFonts w:asciiTheme="minorHAnsi" w:hAnsiTheme="minorHAnsi" w:cstheme="minorHAnsi"/>
                <w:sz w:val="18"/>
                <w:szCs w:val="18"/>
                <w:lang w:val="es-CR" w:eastAsia="es-CR"/>
              </w:rPr>
              <w:t>1.07.02</w:t>
            </w:r>
          </w:p>
        </w:tc>
        <w:tc>
          <w:tcPr>
            <w:tcW w:w="956" w:type="dxa"/>
            <w:tcBorders>
              <w:top w:val="nil"/>
              <w:left w:val="nil"/>
              <w:bottom w:val="single" w:sz="4" w:space="0" w:color="auto"/>
              <w:right w:val="single" w:sz="4" w:space="0" w:color="auto"/>
            </w:tcBorders>
            <w:shd w:val="clear" w:color="auto" w:fill="auto"/>
            <w:noWrap/>
            <w:vAlign w:val="center"/>
            <w:hideMark/>
          </w:tcPr>
          <w:p w14:paraId="43FB770C" w14:textId="77777777" w:rsidR="00C935FA" w:rsidRPr="00C935FA" w:rsidRDefault="00C935FA" w:rsidP="00C935FA">
            <w:pPr>
              <w:spacing w:line="240" w:lineRule="auto"/>
              <w:jc w:val="center"/>
              <w:rPr>
                <w:rFonts w:asciiTheme="minorHAnsi" w:hAnsiTheme="minorHAnsi" w:cstheme="minorHAnsi"/>
                <w:sz w:val="18"/>
                <w:szCs w:val="18"/>
                <w:lang w:val="es-CR" w:eastAsia="es-CR"/>
              </w:rPr>
            </w:pPr>
            <w:r w:rsidRPr="00C935FA">
              <w:rPr>
                <w:rFonts w:asciiTheme="minorHAnsi" w:hAnsiTheme="minorHAnsi" w:cstheme="minorHAnsi"/>
                <w:sz w:val="18"/>
                <w:szCs w:val="18"/>
                <w:lang w:val="es-CR" w:eastAsia="es-CR"/>
              </w:rPr>
              <w:t>1.1.2</w:t>
            </w:r>
          </w:p>
        </w:tc>
        <w:tc>
          <w:tcPr>
            <w:tcW w:w="2462" w:type="dxa"/>
            <w:tcBorders>
              <w:top w:val="nil"/>
              <w:left w:val="nil"/>
              <w:bottom w:val="single" w:sz="4" w:space="0" w:color="auto"/>
              <w:right w:val="single" w:sz="4" w:space="0" w:color="auto"/>
            </w:tcBorders>
            <w:shd w:val="clear" w:color="auto" w:fill="auto"/>
            <w:noWrap/>
            <w:vAlign w:val="center"/>
            <w:hideMark/>
          </w:tcPr>
          <w:p w14:paraId="2112E6F8" w14:textId="77777777" w:rsidR="00C935FA" w:rsidRPr="00C935FA" w:rsidRDefault="00C935FA" w:rsidP="00C935FA">
            <w:pPr>
              <w:spacing w:line="240" w:lineRule="auto"/>
              <w:jc w:val="left"/>
              <w:rPr>
                <w:rFonts w:asciiTheme="minorHAnsi" w:hAnsiTheme="minorHAnsi" w:cstheme="minorHAnsi"/>
                <w:sz w:val="18"/>
                <w:szCs w:val="18"/>
                <w:lang w:val="es-CR" w:eastAsia="es-CR"/>
              </w:rPr>
            </w:pPr>
            <w:r w:rsidRPr="00C935FA">
              <w:rPr>
                <w:rFonts w:asciiTheme="minorHAnsi" w:hAnsiTheme="minorHAnsi" w:cstheme="minorHAnsi"/>
                <w:sz w:val="18"/>
                <w:szCs w:val="18"/>
                <w:lang w:val="es-CR" w:eastAsia="es-CR"/>
              </w:rPr>
              <w:t>Actividades protocolarias y sociales</w:t>
            </w:r>
          </w:p>
        </w:tc>
        <w:tc>
          <w:tcPr>
            <w:tcW w:w="1276" w:type="dxa"/>
            <w:tcBorders>
              <w:top w:val="nil"/>
              <w:left w:val="nil"/>
              <w:bottom w:val="single" w:sz="4" w:space="0" w:color="auto"/>
              <w:right w:val="single" w:sz="4" w:space="0" w:color="auto"/>
            </w:tcBorders>
            <w:shd w:val="clear" w:color="auto" w:fill="auto"/>
            <w:noWrap/>
            <w:vAlign w:val="center"/>
            <w:hideMark/>
          </w:tcPr>
          <w:p w14:paraId="6D33893D" w14:textId="77777777" w:rsidR="00C935FA" w:rsidRPr="00C935FA" w:rsidRDefault="00C935FA" w:rsidP="00C935FA">
            <w:pPr>
              <w:spacing w:line="240" w:lineRule="auto"/>
              <w:jc w:val="right"/>
              <w:rPr>
                <w:rFonts w:asciiTheme="minorHAnsi" w:hAnsiTheme="minorHAnsi" w:cstheme="minorHAnsi"/>
                <w:sz w:val="18"/>
                <w:szCs w:val="18"/>
                <w:lang w:val="es-CR" w:eastAsia="es-CR"/>
              </w:rPr>
            </w:pPr>
            <w:r w:rsidRPr="00C935FA">
              <w:rPr>
                <w:rFonts w:asciiTheme="minorHAnsi" w:hAnsiTheme="minorHAnsi" w:cstheme="minorHAnsi"/>
                <w:sz w:val="18"/>
                <w:szCs w:val="18"/>
                <w:lang w:val="es-CR" w:eastAsia="es-CR"/>
              </w:rPr>
              <w:t>4 000 000</w:t>
            </w:r>
          </w:p>
        </w:tc>
        <w:tc>
          <w:tcPr>
            <w:tcW w:w="1276" w:type="dxa"/>
            <w:tcBorders>
              <w:top w:val="nil"/>
              <w:left w:val="nil"/>
              <w:bottom w:val="single" w:sz="4" w:space="0" w:color="auto"/>
              <w:right w:val="single" w:sz="4" w:space="0" w:color="auto"/>
            </w:tcBorders>
            <w:shd w:val="clear" w:color="auto" w:fill="auto"/>
            <w:noWrap/>
            <w:vAlign w:val="center"/>
            <w:hideMark/>
          </w:tcPr>
          <w:p w14:paraId="6D24DE7F" w14:textId="77777777" w:rsidR="00C935FA" w:rsidRPr="00C935FA" w:rsidRDefault="00C935FA" w:rsidP="00C935FA">
            <w:pPr>
              <w:spacing w:line="240" w:lineRule="auto"/>
              <w:jc w:val="right"/>
              <w:rPr>
                <w:rFonts w:asciiTheme="minorHAnsi" w:hAnsiTheme="minorHAnsi" w:cstheme="minorHAnsi"/>
                <w:sz w:val="18"/>
                <w:szCs w:val="18"/>
                <w:lang w:val="es-CR" w:eastAsia="es-CR"/>
              </w:rPr>
            </w:pPr>
            <w:r w:rsidRPr="00C935FA">
              <w:rPr>
                <w:rFonts w:asciiTheme="minorHAnsi" w:hAnsiTheme="minorHAnsi" w:cstheme="minorHAnsi"/>
                <w:sz w:val="18"/>
                <w:szCs w:val="18"/>
                <w:lang w:val="es-CR" w:eastAsia="es-CR"/>
              </w:rPr>
              <w:t>1 464 680</w:t>
            </w:r>
          </w:p>
        </w:tc>
        <w:tc>
          <w:tcPr>
            <w:tcW w:w="851" w:type="dxa"/>
            <w:tcBorders>
              <w:top w:val="nil"/>
              <w:left w:val="nil"/>
              <w:bottom w:val="single" w:sz="4" w:space="0" w:color="auto"/>
              <w:right w:val="single" w:sz="4" w:space="0" w:color="auto"/>
            </w:tcBorders>
            <w:shd w:val="clear" w:color="auto" w:fill="auto"/>
            <w:noWrap/>
            <w:vAlign w:val="center"/>
            <w:hideMark/>
          </w:tcPr>
          <w:p w14:paraId="3A78995C" w14:textId="77777777" w:rsidR="00C935FA" w:rsidRPr="00C935FA" w:rsidRDefault="00C935FA" w:rsidP="00C935FA">
            <w:pPr>
              <w:spacing w:line="240" w:lineRule="auto"/>
              <w:jc w:val="right"/>
              <w:rPr>
                <w:rFonts w:asciiTheme="minorHAnsi" w:hAnsiTheme="minorHAnsi" w:cstheme="minorHAnsi"/>
                <w:sz w:val="18"/>
                <w:szCs w:val="18"/>
                <w:lang w:val="es-CR" w:eastAsia="es-CR"/>
              </w:rPr>
            </w:pPr>
            <w:r w:rsidRPr="00C935FA">
              <w:rPr>
                <w:rFonts w:asciiTheme="minorHAnsi" w:hAnsiTheme="minorHAnsi" w:cstheme="minorHAnsi"/>
                <w:sz w:val="18"/>
                <w:szCs w:val="18"/>
                <w:lang w:val="es-CR" w:eastAsia="es-CR"/>
              </w:rPr>
              <w:t>0</w:t>
            </w:r>
          </w:p>
        </w:tc>
        <w:tc>
          <w:tcPr>
            <w:tcW w:w="1133" w:type="dxa"/>
            <w:tcBorders>
              <w:top w:val="nil"/>
              <w:left w:val="nil"/>
              <w:bottom w:val="single" w:sz="4" w:space="0" w:color="auto"/>
              <w:right w:val="single" w:sz="4" w:space="0" w:color="auto"/>
            </w:tcBorders>
            <w:shd w:val="clear" w:color="auto" w:fill="auto"/>
            <w:noWrap/>
            <w:vAlign w:val="center"/>
            <w:hideMark/>
          </w:tcPr>
          <w:p w14:paraId="3FA03590" w14:textId="77777777" w:rsidR="00C935FA" w:rsidRPr="00C935FA" w:rsidRDefault="00C935FA" w:rsidP="00C935FA">
            <w:pPr>
              <w:spacing w:line="240" w:lineRule="auto"/>
              <w:jc w:val="right"/>
              <w:rPr>
                <w:rFonts w:asciiTheme="minorHAnsi" w:hAnsiTheme="minorHAnsi" w:cstheme="minorHAnsi"/>
                <w:sz w:val="18"/>
                <w:szCs w:val="18"/>
                <w:lang w:val="es-CR" w:eastAsia="es-CR"/>
              </w:rPr>
            </w:pPr>
            <w:r w:rsidRPr="00C935FA">
              <w:rPr>
                <w:rFonts w:asciiTheme="minorHAnsi" w:hAnsiTheme="minorHAnsi" w:cstheme="minorHAnsi"/>
                <w:sz w:val="18"/>
                <w:szCs w:val="18"/>
                <w:lang w:val="es-CR" w:eastAsia="es-CR"/>
              </w:rPr>
              <w:t>2 535 320</w:t>
            </w:r>
          </w:p>
        </w:tc>
        <w:tc>
          <w:tcPr>
            <w:tcW w:w="992" w:type="dxa"/>
            <w:tcBorders>
              <w:top w:val="nil"/>
              <w:left w:val="nil"/>
              <w:bottom w:val="single" w:sz="4" w:space="0" w:color="auto"/>
              <w:right w:val="single" w:sz="4" w:space="0" w:color="auto"/>
            </w:tcBorders>
            <w:shd w:val="clear" w:color="auto" w:fill="auto"/>
            <w:noWrap/>
            <w:vAlign w:val="center"/>
            <w:hideMark/>
          </w:tcPr>
          <w:p w14:paraId="0033B8AC" w14:textId="77777777" w:rsidR="00C935FA" w:rsidRPr="00C935FA" w:rsidRDefault="00C935FA" w:rsidP="00C935FA">
            <w:pPr>
              <w:spacing w:line="240" w:lineRule="auto"/>
              <w:jc w:val="center"/>
              <w:rPr>
                <w:rFonts w:asciiTheme="minorHAnsi" w:hAnsiTheme="minorHAnsi" w:cstheme="minorHAnsi"/>
                <w:sz w:val="18"/>
                <w:szCs w:val="18"/>
                <w:lang w:val="es-CR" w:eastAsia="es-CR"/>
              </w:rPr>
            </w:pPr>
            <w:r w:rsidRPr="00C935FA">
              <w:rPr>
                <w:rFonts w:asciiTheme="minorHAnsi" w:hAnsiTheme="minorHAnsi" w:cstheme="minorHAnsi"/>
                <w:sz w:val="18"/>
                <w:szCs w:val="18"/>
                <w:lang w:val="es-CR" w:eastAsia="es-CR"/>
              </w:rPr>
              <w:t>37%</w:t>
            </w:r>
          </w:p>
        </w:tc>
      </w:tr>
      <w:tr w:rsidR="00F7003E" w:rsidRPr="00C935FA" w14:paraId="13FF2E1A" w14:textId="77777777" w:rsidTr="006128F8">
        <w:trPr>
          <w:trHeight w:val="260"/>
        </w:trPr>
        <w:tc>
          <w:tcPr>
            <w:tcW w:w="688" w:type="dxa"/>
            <w:tcBorders>
              <w:top w:val="nil"/>
              <w:left w:val="single" w:sz="4" w:space="0" w:color="auto"/>
              <w:bottom w:val="single" w:sz="4" w:space="0" w:color="auto"/>
              <w:right w:val="single" w:sz="4" w:space="0" w:color="auto"/>
            </w:tcBorders>
            <w:shd w:val="clear" w:color="auto" w:fill="auto"/>
            <w:noWrap/>
            <w:vAlign w:val="center"/>
            <w:hideMark/>
          </w:tcPr>
          <w:p w14:paraId="4CC0659C" w14:textId="77777777" w:rsidR="00C935FA" w:rsidRPr="00C935FA" w:rsidRDefault="00C935FA" w:rsidP="00C935FA">
            <w:pPr>
              <w:spacing w:line="240" w:lineRule="auto"/>
              <w:jc w:val="center"/>
              <w:rPr>
                <w:rFonts w:asciiTheme="minorHAnsi" w:hAnsiTheme="minorHAnsi" w:cstheme="minorHAnsi"/>
                <w:sz w:val="18"/>
                <w:szCs w:val="18"/>
                <w:lang w:val="es-CR" w:eastAsia="es-CR"/>
              </w:rPr>
            </w:pPr>
            <w:r w:rsidRPr="00C935FA">
              <w:rPr>
                <w:rFonts w:asciiTheme="minorHAnsi" w:hAnsiTheme="minorHAnsi" w:cstheme="minorHAnsi"/>
                <w:sz w:val="18"/>
                <w:szCs w:val="18"/>
                <w:lang w:val="es-CR" w:eastAsia="es-CR"/>
              </w:rPr>
              <w:t>1.08.05</w:t>
            </w:r>
          </w:p>
        </w:tc>
        <w:tc>
          <w:tcPr>
            <w:tcW w:w="956" w:type="dxa"/>
            <w:tcBorders>
              <w:top w:val="nil"/>
              <w:left w:val="nil"/>
              <w:bottom w:val="single" w:sz="4" w:space="0" w:color="auto"/>
              <w:right w:val="single" w:sz="4" w:space="0" w:color="auto"/>
            </w:tcBorders>
            <w:shd w:val="clear" w:color="auto" w:fill="auto"/>
            <w:noWrap/>
            <w:vAlign w:val="center"/>
            <w:hideMark/>
          </w:tcPr>
          <w:p w14:paraId="0C06F781" w14:textId="77777777" w:rsidR="00C935FA" w:rsidRPr="00C935FA" w:rsidRDefault="00C935FA" w:rsidP="00C935FA">
            <w:pPr>
              <w:spacing w:line="240" w:lineRule="auto"/>
              <w:jc w:val="center"/>
              <w:rPr>
                <w:rFonts w:asciiTheme="minorHAnsi" w:hAnsiTheme="minorHAnsi" w:cstheme="minorHAnsi"/>
                <w:sz w:val="18"/>
                <w:szCs w:val="18"/>
                <w:lang w:val="es-CR" w:eastAsia="es-CR"/>
              </w:rPr>
            </w:pPr>
            <w:r w:rsidRPr="00C935FA">
              <w:rPr>
                <w:rFonts w:asciiTheme="minorHAnsi" w:hAnsiTheme="minorHAnsi" w:cstheme="minorHAnsi"/>
                <w:sz w:val="18"/>
                <w:szCs w:val="18"/>
                <w:lang w:val="es-CR" w:eastAsia="es-CR"/>
              </w:rPr>
              <w:t>1.1.2</w:t>
            </w:r>
          </w:p>
        </w:tc>
        <w:tc>
          <w:tcPr>
            <w:tcW w:w="2462" w:type="dxa"/>
            <w:tcBorders>
              <w:top w:val="nil"/>
              <w:left w:val="nil"/>
              <w:bottom w:val="single" w:sz="4" w:space="0" w:color="auto"/>
              <w:right w:val="single" w:sz="4" w:space="0" w:color="auto"/>
            </w:tcBorders>
            <w:shd w:val="clear" w:color="auto" w:fill="auto"/>
            <w:noWrap/>
            <w:vAlign w:val="center"/>
            <w:hideMark/>
          </w:tcPr>
          <w:p w14:paraId="0251BD93" w14:textId="77777777" w:rsidR="00C935FA" w:rsidRPr="00C935FA" w:rsidRDefault="00C935FA" w:rsidP="00C935FA">
            <w:pPr>
              <w:spacing w:line="240" w:lineRule="auto"/>
              <w:jc w:val="left"/>
              <w:rPr>
                <w:rFonts w:asciiTheme="minorHAnsi" w:hAnsiTheme="minorHAnsi" w:cstheme="minorHAnsi"/>
                <w:sz w:val="18"/>
                <w:szCs w:val="18"/>
                <w:lang w:val="es-CR" w:eastAsia="es-CR"/>
              </w:rPr>
            </w:pPr>
            <w:r w:rsidRPr="00C935FA">
              <w:rPr>
                <w:rFonts w:asciiTheme="minorHAnsi" w:hAnsiTheme="minorHAnsi" w:cstheme="minorHAnsi"/>
                <w:sz w:val="18"/>
                <w:szCs w:val="18"/>
                <w:lang w:val="es-CR" w:eastAsia="es-CR"/>
              </w:rPr>
              <w:t>Mantenimiento y reparación de equipo de transporte</w:t>
            </w:r>
          </w:p>
        </w:tc>
        <w:tc>
          <w:tcPr>
            <w:tcW w:w="1276" w:type="dxa"/>
            <w:tcBorders>
              <w:top w:val="nil"/>
              <w:left w:val="nil"/>
              <w:bottom w:val="single" w:sz="4" w:space="0" w:color="auto"/>
              <w:right w:val="single" w:sz="4" w:space="0" w:color="auto"/>
            </w:tcBorders>
            <w:shd w:val="clear" w:color="auto" w:fill="auto"/>
            <w:noWrap/>
            <w:vAlign w:val="center"/>
            <w:hideMark/>
          </w:tcPr>
          <w:p w14:paraId="14E25C3D" w14:textId="77777777" w:rsidR="00C935FA" w:rsidRPr="00C935FA" w:rsidRDefault="00C935FA" w:rsidP="00C935FA">
            <w:pPr>
              <w:spacing w:line="240" w:lineRule="auto"/>
              <w:jc w:val="right"/>
              <w:rPr>
                <w:rFonts w:asciiTheme="minorHAnsi" w:hAnsiTheme="minorHAnsi" w:cstheme="minorHAnsi"/>
                <w:sz w:val="18"/>
                <w:szCs w:val="18"/>
                <w:lang w:val="es-CR" w:eastAsia="es-CR"/>
              </w:rPr>
            </w:pPr>
            <w:r w:rsidRPr="00C935FA">
              <w:rPr>
                <w:rFonts w:asciiTheme="minorHAnsi" w:hAnsiTheme="minorHAnsi" w:cstheme="minorHAnsi"/>
                <w:sz w:val="18"/>
                <w:szCs w:val="18"/>
                <w:lang w:val="es-CR" w:eastAsia="es-CR"/>
              </w:rPr>
              <w:t>2 200 000</w:t>
            </w:r>
          </w:p>
        </w:tc>
        <w:tc>
          <w:tcPr>
            <w:tcW w:w="1276" w:type="dxa"/>
            <w:tcBorders>
              <w:top w:val="nil"/>
              <w:left w:val="nil"/>
              <w:bottom w:val="single" w:sz="4" w:space="0" w:color="auto"/>
              <w:right w:val="single" w:sz="4" w:space="0" w:color="auto"/>
            </w:tcBorders>
            <w:shd w:val="clear" w:color="auto" w:fill="auto"/>
            <w:noWrap/>
            <w:vAlign w:val="center"/>
            <w:hideMark/>
          </w:tcPr>
          <w:p w14:paraId="4AF94D9A" w14:textId="77777777" w:rsidR="00C935FA" w:rsidRPr="00C935FA" w:rsidRDefault="00C935FA" w:rsidP="00C935FA">
            <w:pPr>
              <w:spacing w:line="240" w:lineRule="auto"/>
              <w:jc w:val="right"/>
              <w:rPr>
                <w:rFonts w:asciiTheme="minorHAnsi" w:hAnsiTheme="minorHAnsi" w:cstheme="minorHAnsi"/>
                <w:sz w:val="18"/>
                <w:szCs w:val="18"/>
                <w:lang w:val="es-CR" w:eastAsia="es-CR"/>
              </w:rPr>
            </w:pPr>
            <w:r w:rsidRPr="00C935FA">
              <w:rPr>
                <w:rFonts w:asciiTheme="minorHAnsi" w:hAnsiTheme="minorHAnsi" w:cstheme="minorHAnsi"/>
                <w:sz w:val="18"/>
                <w:szCs w:val="18"/>
                <w:lang w:val="es-CR" w:eastAsia="es-CR"/>
              </w:rPr>
              <w:t>0</w:t>
            </w:r>
          </w:p>
        </w:tc>
        <w:tc>
          <w:tcPr>
            <w:tcW w:w="851" w:type="dxa"/>
            <w:tcBorders>
              <w:top w:val="nil"/>
              <w:left w:val="nil"/>
              <w:bottom w:val="single" w:sz="4" w:space="0" w:color="auto"/>
              <w:right w:val="single" w:sz="4" w:space="0" w:color="auto"/>
            </w:tcBorders>
            <w:shd w:val="clear" w:color="auto" w:fill="auto"/>
            <w:noWrap/>
            <w:vAlign w:val="center"/>
            <w:hideMark/>
          </w:tcPr>
          <w:p w14:paraId="5922FBB0" w14:textId="77777777" w:rsidR="00C935FA" w:rsidRPr="00C935FA" w:rsidRDefault="00C935FA" w:rsidP="00C935FA">
            <w:pPr>
              <w:spacing w:line="240" w:lineRule="auto"/>
              <w:jc w:val="right"/>
              <w:rPr>
                <w:rFonts w:asciiTheme="minorHAnsi" w:hAnsiTheme="minorHAnsi" w:cstheme="minorHAnsi"/>
                <w:sz w:val="18"/>
                <w:szCs w:val="18"/>
                <w:lang w:val="es-CR" w:eastAsia="es-CR"/>
              </w:rPr>
            </w:pPr>
            <w:r w:rsidRPr="00C935FA">
              <w:rPr>
                <w:rFonts w:asciiTheme="minorHAnsi" w:hAnsiTheme="minorHAnsi" w:cstheme="minorHAnsi"/>
                <w:sz w:val="18"/>
                <w:szCs w:val="18"/>
                <w:lang w:val="es-CR" w:eastAsia="es-CR"/>
              </w:rPr>
              <w:t>0</w:t>
            </w:r>
          </w:p>
        </w:tc>
        <w:tc>
          <w:tcPr>
            <w:tcW w:w="1133" w:type="dxa"/>
            <w:tcBorders>
              <w:top w:val="nil"/>
              <w:left w:val="nil"/>
              <w:bottom w:val="single" w:sz="4" w:space="0" w:color="auto"/>
              <w:right w:val="single" w:sz="4" w:space="0" w:color="auto"/>
            </w:tcBorders>
            <w:shd w:val="clear" w:color="auto" w:fill="auto"/>
            <w:noWrap/>
            <w:vAlign w:val="center"/>
            <w:hideMark/>
          </w:tcPr>
          <w:p w14:paraId="2E1E7A9C" w14:textId="77777777" w:rsidR="00C935FA" w:rsidRPr="00C935FA" w:rsidRDefault="00C935FA" w:rsidP="00C935FA">
            <w:pPr>
              <w:spacing w:line="240" w:lineRule="auto"/>
              <w:jc w:val="right"/>
              <w:rPr>
                <w:rFonts w:asciiTheme="minorHAnsi" w:hAnsiTheme="minorHAnsi" w:cstheme="minorHAnsi"/>
                <w:sz w:val="18"/>
                <w:szCs w:val="18"/>
                <w:lang w:val="es-CR" w:eastAsia="es-CR"/>
              </w:rPr>
            </w:pPr>
            <w:r w:rsidRPr="00C935FA">
              <w:rPr>
                <w:rFonts w:asciiTheme="minorHAnsi" w:hAnsiTheme="minorHAnsi" w:cstheme="minorHAnsi"/>
                <w:sz w:val="18"/>
                <w:szCs w:val="18"/>
                <w:lang w:val="es-CR" w:eastAsia="es-CR"/>
              </w:rPr>
              <w:t>2 200 000</w:t>
            </w:r>
          </w:p>
        </w:tc>
        <w:tc>
          <w:tcPr>
            <w:tcW w:w="992" w:type="dxa"/>
            <w:tcBorders>
              <w:top w:val="nil"/>
              <w:left w:val="nil"/>
              <w:bottom w:val="single" w:sz="4" w:space="0" w:color="auto"/>
              <w:right w:val="single" w:sz="4" w:space="0" w:color="auto"/>
            </w:tcBorders>
            <w:shd w:val="clear" w:color="auto" w:fill="auto"/>
            <w:noWrap/>
            <w:vAlign w:val="center"/>
            <w:hideMark/>
          </w:tcPr>
          <w:p w14:paraId="62528D2F" w14:textId="77777777" w:rsidR="00C935FA" w:rsidRPr="00C935FA" w:rsidRDefault="00C935FA" w:rsidP="00C935FA">
            <w:pPr>
              <w:spacing w:line="240" w:lineRule="auto"/>
              <w:jc w:val="center"/>
              <w:rPr>
                <w:rFonts w:asciiTheme="minorHAnsi" w:hAnsiTheme="minorHAnsi" w:cstheme="minorHAnsi"/>
                <w:sz w:val="18"/>
                <w:szCs w:val="18"/>
                <w:lang w:val="es-CR" w:eastAsia="es-CR"/>
              </w:rPr>
            </w:pPr>
            <w:r w:rsidRPr="00C935FA">
              <w:rPr>
                <w:rFonts w:asciiTheme="minorHAnsi" w:hAnsiTheme="minorHAnsi" w:cstheme="minorHAnsi"/>
                <w:sz w:val="18"/>
                <w:szCs w:val="18"/>
                <w:lang w:val="es-CR" w:eastAsia="es-CR"/>
              </w:rPr>
              <w:t>0%</w:t>
            </w:r>
          </w:p>
        </w:tc>
      </w:tr>
      <w:tr w:rsidR="00F7003E" w:rsidRPr="00C935FA" w14:paraId="06163DFF" w14:textId="77777777" w:rsidTr="006128F8">
        <w:trPr>
          <w:trHeight w:val="260"/>
        </w:trPr>
        <w:tc>
          <w:tcPr>
            <w:tcW w:w="688" w:type="dxa"/>
            <w:tcBorders>
              <w:top w:val="nil"/>
              <w:left w:val="single" w:sz="4" w:space="0" w:color="auto"/>
              <w:bottom w:val="single" w:sz="4" w:space="0" w:color="auto"/>
              <w:right w:val="single" w:sz="4" w:space="0" w:color="auto"/>
            </w:tcBorders>
            <w:shd w:val="clear" w:color="auto" w:fill="auto"/>
            <w:noWrap/>
            <w:vAlign w:val="center"/>
            <w:hideMark/>
          </w:tcPr>
          <w:p w14:paraId="3F984FBF" w14:textId="77777777" w:rsidR="00C935FA" w:rsidRPr="00C935FA" w:rsidRDefault="00C935FA" w:rsidP="00C935FA">
            <w:pPr>
              <w:spacing w:line="240" w:lineRule="auto"/>
              <w:jc w:val="center"/>
              <w:rPr>
                <w:rFonts w:asciiTheme="minorHAnsi" w:hAnsiTheme="minorHAnsi" w:cstheme="minorHAnsi"/>
                <w:sz w:val="18"/>
                <w:szCs w:val="18"/>
                <w:lang w:val="es-CR" w:eastAsia="es-CR"/>
              </w:rPr>
            </w:pPr>
            <w:r w:rsidRPr="00C935FA">
              <w:rPr>
                <w:rFonts w:asciiTheme="minorHAnsi" w:hAnsiTheme="minorHAnsi" w:cstheme="minorHAnsi"/>
                <w:sz w:val="18"/>
                <w:szCs w:val="18"/>
                <w:lang w:val="es-CR" w:eastAsia="es-CR"/>
              </w:rPr>
              <w:t>1.08.06</w:t>
            </w:r>
          </w:p>
        </w:tc>
        <w:tc>
          <w:tcPr>
            <w:tcW w:w="956" w:type="dxa"/>
            <w:tcBorders>
              <w:top w:val="nil"/>
              <w:left w:val="nil"/>
              <w:bottom w:val="single" w:sz="4" w:space="0" w:color="auto"/>
              <w:right w:val="single" w:sz="4" w:space="0" w:color="auto"/>
            </w:tcBorders>
            <w:shd w:val="clear" w:color="auto" w:fill="auto"/>
            <w:noWrap/>
            <w:vAlign w:val="center"/>
            <w:hideMark/>
          </w:tcPr>
          <w:p w14:paraId="513823FC" w14:textId="77777777" w:rsidR="00C935FA" w:rsidRPr="00C935FA" w:rsidRDefault="00C935FA" w:rsidP="00C935FA">
            <w:pPr>
              <w:spacing w:line="240" w:lineRule="auto"/>
              <w:jc w:val="center"/>
              <w:rPr>
                <w:rFonts w:asciiTheme="minorHAnsi" w:hAnsiTheme="minorHAnsi" w:cstheme="minorHAnsi"/>
                <w:sz w:val="18"/>
                <w:szCs w:val="18"/>
                <w:lang w:val="es-CR" w:eastAsia="es-CR"/>
              </w:rPr>
            </w:pPr>
            <w:r w:rsidRPr="00C935FA">
              <w:rPr>
                <w:rFonts w:asciiTheme="minorHAnsi" w:hAnsiTheme="minorHAnsi" w:cstheme="minorHAnsi"/>
                <w:sz w:val="18"/>
                <w:szCs w:val="18"/>
                <w:lang w:val="es-CR" w:eastAsia="es-CR"/>
              </w:rPr>
              <w:t>1.1.2</w:t>
            </w:r>
          </w:p>
        </w:tc>
        <w:tc>
          <w:tcPr>
            <w:tcW w:w="2462" w:type="dxa"/>
            <w:tcBorders>
              <w:top w:val="nil"/>
              <w:left w:val="nil"/>
              <w:bottom w:val="single" w:sz="4" w:space="0" w:color="auto"/>
              <w:right w:val="single" w:sz="4" w:space="0" w:color="auto"/>
            </w:tcBorders>
            <w:shd w:val="clear" w:color="auto" w:fill="auto"/>
            <w:noWrap/>
            <w:vAlign w:val="center"/>
            <w:hideMark/>
          </w:tcPr>
          <w:p w14:paraId="71C94CF7" w14:textId="77777777" w:rsidR="00C935FA" w:rsidRPr="00C935FA" w:rsidRDefault="00C935FA" w:rsidP="00C935FA">
            <w:pPr>
              <w:spacing w:line="240" w:lineRule="auto"/>
              <w:jc w:val="left"/>
              <w:rPr>
                <w:rFonts w:asciiTheme="minorHAnsi" w:hAnsiTheme="minorHAnsi" w:cstheme="minorHAnsi"/>
                <w:sz w:val="18"/>
                <w:szCs w:val="18"/>
                <w:lang w:val="es-CR" w:eastAsia="es-CR"/>
              </w:rPr>
            </w:pPr>
            <w:r w:rsidRPr="00C935FA">
              <w:rPr>
                <w:rFonts w:asciiTheme="minorHAnsi" w:hAnsiTheme="minorHAnsi" w:cstheme="minorHAnsi"/>
                <w:sz w:val="18"/>
                <w:szCs w:val="18"/>
                <w:lang w:val="es-CR" w:eastAsia="es-CR"/>
              </w:rPr>
              <w:t>Mantenimiento y reparación de equipo de comunicación</w:t>
            </w:r>
          </w:p>
        </w:tc>
        <w:tc>
          <w:tcPr>
            <w:tcW w:w="1276" w:type="dxa"/>
            <w:tcBorders>
              <w:top w:val="nil"/>
              <w:left w:val="nil"/>
              <w:bottom w:val="single" w:sz="4" w:space="0" w:color="auto"/>
              <w:right w:val="single" w:sz="4" w:space="0" w:color="auto"/>
            </w:tcBorders>
            <w:shd w:val="clear" w:color="auto" w:fill="auto"/>
            <w:noWrap/>
            <w:vAlign w:val="center"/>
            <w:hideMark/>
          </w:tcPr>
          <w:p w14:paraId="529A9870" w14:textId="77777777" w:rsidR="00C935FA" w:rsidRPr="00C935FA" w:rsidRDefault="00C935FA" w:rsidP="00C935FA">
            <w:pPr>
              <w:spacing w:line="240" w:lineRule="auto"/>
              <w:jc w:val="right"/>
              <w:rPr>
                <w:rFonts w:asciiTheme="minorHAnsi" w:hAnsiTheme="minorHAnsi" w:cstheme="minorHAnsi"/>
                <w:sz w:val="18"/>
                <w:szCs w:val="18"/>
                <w:lang w:val="es-CR" w:eastAsia="es-CR"/>
              </w:rPr>
            </w:pPr>
            <w:r w:rsidRPr="00C935FA">
              <w:rPr>
                <w:rFonts w:asciiTheme="minorHAnsi" w:hAnsiTheme="minorHAnsi" w:cstheme="minorHAnsi"/>
                <w:sz w:val="18"/>
                <w:szCs w:val="18"/>
                <w:lang w:val="es-CR" w:eastAsia="es-CR"/>
              </w:rPr>
              <w:t>900 000</w:t>
            </w:r>
          </w:p>
        </w:tc>
        <w:tc>
          <w:tcPr>
            <w:tcW w:w="1276" w:type="dxa"/>
            <w:tcBorders>
              <w:top w:val="nil"/>
              <w:left w:val="nil"/>
              <w:bottom w:val="single" w:sz="4" w:space="0" w:color="auto"/>
              <w:right w:val="single" w:sz="4" w:space="0" w:color="auto"/>
            </w:tcBorders>
            <w:shd w:val="clear" w:color="auto" w:fill="auto"/>
            <w:noWrap/>
            <w:vAlign w:val="center"/>
            <w:hideMark/>
          </w:tcPr>
          <w:p w14:paraId="0FD6F282" w14:textId="77777777" w:rsidR="00C935FA" w:rsidRPr="00C935FA" w:rsidRDefault="00C935FA" w:rsidP="00C935FA">
            <w:pPr>
              <w:spacing w:line="240" w:lineRule="auto"/>
              <w:jc w:val="right"/>
              <w:rPr>
                <w:rFonts w:asciiTheme="minorHAnsi" w:hAnsiTheme="minorHAnsi" w:cstheme="minorHAnsi"/>
                <w:sz w:val="18"/>
                <w:szCs w:val="18"/>
                <w:lang w:val="es-CR" w:eastAsia="es-CR"/>
              </w:rPr>
            </w:pPr>
            <w:r w:rsidRPr="00C935FA">
              <w:rPr>
                <w:rFonts w:asciiTheme="minorHAnsi" w:hAnsiTheme="minorHAnsi" w:cstheme="minorHAnsi"/>
                <w:sz w:val="18"/>
                <w:szCs w:val="18"/>
                <w:lang w:val="es-CR" w:eastAsia="es-CR"/>
              </w:rPr>
              <w:t>0</w:t>
            </w:r>
          </w:p>
        </w:tc>
        <w:tc>
          <w:tcPr>
            <w:tcW w:w="851" w:type="dxa"/>
            <w:tcBorders>
              <w:top w:val="nil"/>
              <w:left w:val="nil"/>
              <w:bottom w:val="single" w:sz="4" w:space="0" w:color="auto"/>
              <w:right w:val="single" w:sz="4" w:space="0" w:color="auto"/>
            </w:tcBorders>
            <w:shd w:val="clear" w:color="auto" w:fill="auto"/>
            <w:noWrap/>
            <w:vAlign w:val="center"/>
            <w:hideMark/>
          </w:tcPr>
          <w:p w14:paraId="44221555" w14:textId="77777777" w:rsidR="00C935FA" w:rsidRPr="00C935FA" w:rsidRDefault="00C935FA" w:rsidP="00C935FA">
            <w:pPr>
              <w:spacing w:line="240" w:lineRule="auto"/>
              <w:jc w:val="right"/>
              <w:rPr>
                <w:rFonts w:asciiTheme="minorHAnsi" w:hAnsiTheme="minorHAnsi" w:cstheme="minorHAnsi"/>
                <w:sz w:val="18"/>
                <w:szCs w:val="18"/>
                <w:lang w:val="es-CR" w:eastAsia="es-CR"/>
              </w:rPr>
            </w:pPr>
            <w:r w:rsidRPr="00C935FA">
              <w:rPr>
                <w:rFonts w:asciiTheme="minorHAnsi" w:hAnsiTheme="minorHAnsi" w:cstheme="minorHAnsi"/>
                <w:sz w:val="18"/>
                <w:szCs w:val="18"/>
                <w:lang w:val="es-CR" w:eastAsia="es-CR"/>
              </w:rPr>
              <w:t>0</w:t>
            </w:r>
          </w:p>
        </w:tc>
        <w:tc>
          <w:tcPr>
            <w:tcW w:w="1133" w:type="dxa"/>
            <w:tcBorders>
              <w:top w:val="nil"/>
              <w:left w:val="nil"/>
              <w:bottom w:val="single" w:sz="4" w:space="0" w:color="auto"/>
              <w:right w:val="single" w:sz="4" w:space="0" w:color="auto"/>
            </w:tcBorders>
            <w:shd w:val="clear" w:color="auto" w:fill="auto"/>
            <w:noWrap/>
            <w:vAlign w:val="center"/>
            <w:hideMark/>
          </w:tcPr>
          <w:p w14:paraId="6A9928E1" w14:textId="77777777" w:rsidR="00C935FA" w:rsidRPr="00C935FA" w:rsidRDefault="00C935FA" w:rsidP="00C935FA">
            <w:pPr>
              <w:spacing w:line="240" w:lineRule="auto"/>
              <w:jc w:val="right"/>
              <w:rPr>
                <w:rFonts w:asciiTheme="minorHAnsi" w:hAnsiTheme="minorHAnsi" w:cstheme="minorHAnsi"/>
                <w:sz w:val="18"/>
                <w:szCs w:val="18"/>
                <w:lang w:val="es-CR" w:eastAsia="es-CR"/>
              </w:rPr>
            </w:pPr>
            <w:r w:rsidRPr="00C935FA">
              <w:rPr>
                <w:rFonts w:asciiTheme="minorHAnsi" w:hAnsiTheme="minorHAnsi" w:cstheme="minorHAnsi"/>
                <w:sz w:val="18"/>
                <w:szCs w:val="18"/>
                <w:lang w:val="es-CR" w:eastAsia="es-CR"/>
              </w:rPr>
              <w:t>900 000</w:t>
            </w:r>
          </w:p>
        </w:tc>
        <w:tc>
          <w:tcPr>
            <w:tcW w:w="992" w:type="dxa"/>
            <w:tcBorders>
              <w:top w:val="nil"/>
              <w:left w:val="nil"/>
              <w:bottom w:val="single" w:sz="4" w:space="0" w:color="auto"/>
              <w:right w:val="single" w:sz="4" w:space="0" w:color="auto"/>
            </w:tcBorders>
            <w:shd w:val="clear" w:color="auto" w:fill="auto"/>
            <w:noWrap/>
            <w:vAlign w:val="center"/>
            <w:hideMark/>
          </w:tcPr>
          <w:p w14:paraId="10C23920" w14:textId="77777777" w:rsidR="00C935FA" w:rsidRPr="00C935FA" w:rsidRDefault="00C935FA" w:rsidP="00C935FA">
            <w:pPr>
              <w:spacing w:line="240" w:lineRule="auto"/>
              <w:jc w:val="center"/>
              <w:rPr>
                <w:rFonts w:asciiTheme="minorHAnsi" w:hAnsiTheme="minorHAnsi" w:cstheme="minorHAnsi"/>
                <w:sz w:val="18"/>
                <w:szCs w:val="18"/>
                <w:lang w:val="es-CR" w:eastAsia="es-CR"/>
              </w:rPr>
            </w:pPr>
            <w:r w:rsidRPr="00C935FA">
              <w:rPr>
                <w:rFonts w:asciiTheme="minorHAnsi" w:hAnsiTheme="minorHAnsi" w:cstheme="minorHAnsi"/>
                <w:sz w:val="18"/>
                <w:szCs w:val="18"/>
                <w:lang w:val="es-CR" w:eastAsia="es-CR"/>
              </w:rPr>
              <w:t>0%</w:t>
            </w:r>
          </w:p>
        </w:tc>
      </w:tr>
      <w:tr w:rsidR="00F7003E" w:rsidRPr="00C935FA" w14:paraId="74714487" w14:textId="77777777" w:rsidTr="006128F8">
        <w:trPr>
          <w:trHeight w:val="260"/>
        </w:trPr>
        <w:tc>
          <w:tcPr>
            <w:tcW w:w="688" w:type="dxa"/>
            <w:tcBorders>
              <w:top w:val="nil"/>
              <w:left w:val="single" w:sz="4" w:space="0" w:color="auto"/>
              <w:bottom w:val="single" w:sz="4" w:space="0" w:color="auto"/>
              <w:right w:val="single" w:sz="4" w:space="0" w:color="auto"/>
            </w:tcBorders>
            <w:shd w:val="clear" w:color="auto" w:fill="auto"/>
            <w:noWrap/>
            <w:vAlign w:val="center"/>
            <w:hideMark/>
          </w:tcPr>
          <w:p w14:paraId="1E550A0C" w14:textId="77777777" w:rsidR="00C935FA" w:rsidRPr="00C935FA" w:rsidRDefault="00C935FA" w:rsidP="00C935FA">
            <w:pPr>
              <w:spacing w:line="240" w:lineRule="auto"/>
              <w:jc w:val="center"/>
              <w:rPr>
                <w:rFonts w:asciiTheme="minorHAnsi" w:hAnsiTheme="minorHAnsi" w:cstheme="minorHAnsi"/>
                <w:sz w:val="18"/>
                <w:szCs w:val="18"/>
                <w:lang w:val="es-CR" w:eastAsia="es-CR"/>
              </w:rPr>
            </w:pPr>
            <w:r w:rsidRPr="00C935FA">
              <w:rPr>
                <w:rFonts w:asciiTheme="minorHAnsi" w:hAnsiTheme="minorHAnsi" w:cstheme="minorHAnsi"/>
                <w:sz w:val="18"/>
                <w:szCs w:val="18"/>
                <w:lang w:val="es-CR" w:eastAsia="es-CR"/>
              </w:rPr>
              <w:t>1.08.99</w:t>
            </w:r>
          </w:p>
        </w:tc>
        <w:tc>
          <w:tcPr>
            <w:tcW w:w="956" w:type="dxa"/>
            <w:tcBorders>
              <w:top w:val="nil"/>
              <w:left w:val="nil"/>
              <w:bottom w:val="single" w:sz="4" w:space="0" w:color="auto"/>
              <w:right w:val="single" w:sz="4" w:space="0" w:color="auto"/>
            </w:tcBorders>
            <w:shd w:val="clear" w:color="auto" w:fill="auto"/>
            <w:noWrap/>
            <w:vAlign w:val="center"/>
            <w:hideMark/>
          </w:tcPr>
          <w:p w14:paraId="3F6F40DB" w14:textId="77777777" w:rsidR="00C935FA" w:rsidRPr="00C935FA" w:rsidRDefault="00C935FA" w:rsidP="00C935FA">
            <w:pPr>
              <w:spacing w:line="240" w:lineRule="auto"/>
              <w:jc w:val="center"/>
              <w:rPr>
                <w:rFonts w:asciiTheme="minorHAnsi" w:hAnsiTheme="minorHAnsi" w:cstheme="minorHAnsi"/>
                <w:sz w:val="18"/>
                <w:szCs w:val="18"/>
                <w:lang w:val="es-CR" w:eastAsia="es-CR"/>
              </w:rPr>
            </w:pPr>
            <w:r w:rsidRPr="00C935FA">
              <w:rPr>
                <w:rFonts w:asciiTheme="minorHAnsi" w:hAnsiTheme="minorHAnsi" w:cstheme="minorHAnsi"/>
                <w:sz w:val="18"/>
                <w:szCs w:val="18"/>
                <w:lang w:val="es-CR" w:eastAsia="es-CR"/>
              </w:rPr>
              <w:t>1.1.2</w:t>
            </w:r>
          </w:p>
        </w:tc>
        <w:tc>
          <w:tcPr>
            <w:tcW w:w="2462" w:type="dxa"/>
            <w:tcBorders>
              <w:top w:val="nil"/>
              <w:left w:val="nil"/>
              <w:bottom w:val="single" w:sz="4" w:space="0" w:color="auto"/>
              <w:right w:val="single" w:sz="4" w:space="0" w:color="auto"/>
            </w:tcBorders>
            <w:shd w:val="clear" w:color="auto" w:fill="auto"/>
            <w:noWrap/>
            <w:vAlign w:val="center"/>
            <w:hideMark/>
          </w:tcPr>
          <w:p w14:paraId="2A17EAE0" w14:textId="77777777" w:rsidR="00C935FA" w:rsidRPr="00C935FA" w:rsidRDefault="00C935FA" w:rsidP="00C935FA">
            <w:pPr>
              <w:spacing w:line="240" w:lineRule="auto"/>
              <w:jc w:val="left"/>
              <w:rPr>
                <w:rFonts w:asciiTheme="minorHAnsi" w:hAnsiTheme="minorHAnsi" w:cstheme="minorHAnsi"/>
                <w:sz w:val="18"/>
                <w:szCs w:val="18"/>
                <w:lang w:val="es-CR" w:eastAsia="es-CR"/>
              </w:rPr>
            </w:pPr>
            <w:r w:rsidRPr="00C935FA">
              <w:rPr>
                <w:rFonts w:asciiTheme="minorHAnsi" w:hAnsiTheme="minorHAnsi" w:cstheme="minorHAnsi"/>
                <w:sz w:val="18"/>
                <w:szCs w:val="18"/>
                <w:lang w:val="es-CR" w:eastAsia="es-CR"/>
              </w:rPr>
              <w:t>Mantenimiento y reparación de otros equipos</w:t>
            </w:r>
          </w:p>
        </w:tc>
        <w:tc>
          <w:tcPr>
            <w:tcW w:w="1276" w:type="dxa"/>
            <w:tcBorders>
              <w:top w:val="nil"/>
              <w:left w:val="nil"/>
              <w:bottom w:val="single" w:sz="4" w:space="0" w:color="auto"/>
              <w:right w:val="single" w:sz="4" w:space="0" w:color="auto"/>
            </w:tcBorders>
            <w:shd w:val="clear" w:color="auto" w:fill="auto"/>
            <w:noWrap/>
            <w:vAlign w:val="center"/>
            <w:hideMark/>
          </w:tcPr>
          <w:p w14:paraId="729A5AA1" w14:textId="77777777" w:rsidR="00C935FA" w:rsidRPr="00C935FA" w:rsidRDefault="00C935FA" w:rsidP="00C935FA">
            <w:pPr>
              <w:spacing w:line="240" w:lineRule="auto"/>
              <w:jc w:val="right"/>
              <w:rPr>
                <w:rFonts w:asciiTheme="minorHAnsi" w:hAnsiTheme="minorHAnsi" w:cstheme="minorHAnsi"/>
                <w:sz w:val="18"/>
                <w:szCs w:val="18"/>
                <w:lang w:val="es-CR" w:eastAsia="es-CR"/>
              </w:rPr>
            </w:pPr>
            <w:r w:rsidRPr="00C935FA">
              <w:rPr>
                <w:rFonts w:asciiTheme="minorHAnsi" w:hAnsiTheme="minorHAnsi" w:cstheme="minorHAnsi"/>
                <w:sz w:val="18"/>
                <w:szCs w:val="18"/>
                <w:lang w:val="es-CR" w:eastAsia="es-CR"/>
              </w:rPr>
              <w:t>150 000</w:t>
            </w:r>
          </w:p>
        </w:tc>
        <w:tc>
          <w:tcPr>
            <w:tcW w:w="1276" w:type="dxa"/>
            <w:tcBorders>
              <w:top w:val="nil"/>
              <w:left w:val="nil"/>
              <w:bottom w:val="single" w:sz="4" w:space="0" w:color="auto"/>
              <w:right w:val="single" w:sz="4" w:space="0" w:color="auto"/>
            </w:tcBorders>
            <w:shd w:val="clear" w:color="auto" w:fill="auto"/>
            <w:noWrap/>
            <w:vAlign w:val="center"/>
            <w:hideMark/>
          </w:tcPr>
          <w:p w14:paraId="2693C8BA" w14:textId="77777777" w:rsidR="00C935FA" w:rsidRPr="00C935FA" w:rsidRDefault="00C935FA" w:rsidP="00C935FA">
            <w:pPr>
              <w:spacing w:line="240" w:lineRule="auto"/>
              <w:jc w:val="right"/>
              <w:rPr>
                <w:rFonts w:asciiTheme="minorHAnsi" w:hAnsiTheme="minorHAnsi" w:cstheme="minorHAnsi"/>
                <w:sz w:val="18"/>
                <w:szCs w:val="18"/>
                <w:lang w:val="es-CR" w:eastAsia="es-CR"/>
              </w:rPr>
            </w:pPr>
            <w:r w:rsidRPr="00C935FA">
              <w:rPr>
                <w:rFonts w:asciiTheme="minorHAnsi" w:hAnsiTheme="minorHAnsi" w:cstheme="minorHAnsi"/>
                <w:sz w:val="18"/>
                <w:szCs w:val="18"/>
                <w:lang w:val="es-CR" w:eastAsia="es-CR"/>
              </w:rPr>
              <w:t>0</w:t>
            </w:r>
          </w:p>
        </w:tc>
        <w:tc>
          <w:tcPr>
            <w:tcW w:w="851" w:type="dxa"/>
            <w:tcBorders>
              <w:top w:val="nil"/>
              <w:left w:val="nil"/>
              <w:bottom w:val="single" w:sz="4" w:space="0" w:color="auto"/>
              <w:right w:val="single" w:sz="4" w:space="0" w:color="auto"/>
            </w:tcBorders>
            <w:shd w:val="clear" w:color="auto" w:fill="auto"/>
            <w:noWrap/>
            <w:vAlign w:val="center"/>
            <w:hideMark/>
          </w:tcPr>
          <w:p w14:paraId="0E885353" w14:textId="77777777" w:rsidR="00C935FA" w:rsidRPr="00C935FA" w:rsidRDefault="00C935FA" w:rsidP="00C935FA">
            <w:pPr>
              <w:spacing w:line="240" w:lineRule="auto"/>
              <w:jc w:val="right"/>
              <w:rPr>
                <w:rFonts w:asciiTheme="minorHAnsi" w:hAnsiTheme="minorHAnsi" w:cstheme="minorHAnsi"/>
                <w:sz w:val="18"/>
                <w:szCs w:val="18"/>
                <w:lang w:val="es-CR" w:eastAsia="es-CR"/>
              </w:rPr>
            </w:pPr>
            <w:r w:rsidRPr="00C935FA">
              <w:rPr>
                <w:rFonts w:asciiTheme="minorHAnsi" w:hAnsiTheme="minorHAnsi" w:cstheme="minorHAnsi"/>
                <w:sz w:val="18"/>
                <w:szCs w:val="18"/>
                <w:lang w:val="es-CR" w:eastAsia="es-CR"/>
              </w:rPr>
              <w:t>0</w:t>
            </w:r>
          </w:p>
        </w:tc>
        <w:tc>
          <w:tcPr>
            <w:tcW w:w="1133" w:type="dxa"/>
            <w:tcBorders>
              <w:top w:val="nil"/>
              <w:left w:val="nil"/>
              <w:bottom w:val="single" w:sz="4" w:space="0" w:color="auto"/>
              <w:right w:val="single" w:sz="4" w:space="0" w:color="auto"/>
            </w:tcBorders>
            <w:shd w:val="clear" w:color="auto" w:fill="auto"/>
            <w:noWrap/>
            <w:vAlign w:val="center"/>
            <w:hideMark/>
          </w:tcPr>
          <w:p w14:paraId="1EF16322" w14:textId="77777777" w:rsidR="00C935FA" w:rsidRPr="00C935FA" w:rsidRDefault="00C935FA" w:rsidP="00C935FA">
            <w:pPr>
              <w:spacing w:line="240" w:lineRule="auto"/>
              <w:jc w:val="right"/>
              <w:rPr>
                <w:rFonts w:asciiTheme="minorHAnsi" w:hAnsiTheme="minorHAnsi" w:cstheme="minorHAnsi"/>
                <w:sz w:val="18"/>
                <w:szCs w:val="18"/>
                <w:lang w:val="es-CR" w:eastAsia="es-CR"/>
              </w:rPr>
            </w:pPr>
            <w:r w:rsidRPr="00C935FA">
              <w:rPr>
                <w:rFonts w:asciiTheme="minorHAnsi" w:hAnsiTheme="minorHAnsi" w:cstheme="minorHAnsi"/>
                <w:sz w:val="18"/>
                <w:szCs w:val="18"/>
                <w:lang w:val="es-CR" w:eastAsia="es-CR"/>
              </w:rPr>
              <w:t>150 000</w:t>
            </w:r>
          </w:p>
        </w:tc>
        <w:tc>
          <w:tcPr>
            <w:tcW w:w="992" w:type="dxa"/>
            <w:tcBorders>
              <w:top w:val="nil"/>
              <w:left w:val="nil"/>
              <w:bottom w:val="single" w:sz="4" w:space="0" w:color="auto"/>
              <w:right w:val="single" w:sz="4" w:space="0" w:color="auto"/>
            </w:tcBorders>
            <w:shd w:val="clear" w:color="auto" w:fill="auto"/>
            <w:noWrap/>
            <w:vAlign w:val="center"/>
            <w:hideMark/>
          </w:tcPr>
          <w:p w14:paraId="2D74C9DF" w14:textId="77777777" w:rsidR="00C935FA" w:rsidRPr="00C935FA" w:rsidRDefault="00C935FA" w:rsidP="00C935FA">
            <w:pPr>
              <w:spacing w:line="240" w:lineRule="auto"/>
              <w:jc w:val="center"/>
              <w:rPr>
                <w:rFonts w:asciiTheme="minorHAnsi" w:hAnsiTheme="minorHAnsi" w:cstheme="minorHAnsi"/>
                <w:sz w:val="18"/>
                <w:szCs w:val="18"/>
                <w:lang w:val="es-CR" w:eastAsia="es-CR"/>
              </w:rPr>
            </w:pPr>
            <w:r w:rsidRPr="00C935FA">
              <w:rPr>
                <w:rFonts w:asciiTheme="minorHAnsi" w:hAnsiTheme="minorHAnsi" w:cstheme="minorHAnsi"/>
                <w:sz w:val="18"/>
                <w:szCs w:val="18"/>
                <w:lang w:val="es-CR" w:eastAsia="es-CR"/>
              </w:rPr>
              <w:t>0%</w:t>
            </w:r>
          </w:p>
        </w:tc>
      </w:tr>
      <w:tr w:rsidR="00F7003E" w:rsidRPr="00C935FA" w14:paraId="4040CB4A" w14:textId="77777777" w:rsidTr="006128F8">
        <w:trPr>
          <w:trHeight w:val="260"/>
        </w:trPr>
        <w:tc>
          <w:tcPr>
            <w:tcW w:w="688" w:type="dxa"/>
            <w:tcBorders>
              <w:top w:val="nil"/>
              <w:left w:val="single" w:sz="4" w:space="0" w:color="auto"/>
              <w:bottom w:val="single" w:sz="4" w:space="0" w:color="auto"/>
              <w:right w:val="single" w:sz="4" w:space="0" w:color="auto"/>
            </w:tcBorders>
            <w:shd w:val="clear" w:color="auto" w:fill="auto"/>
            <w:noWrap/>
            <w:vAlign w:val="center"/>
            <w:hideMark/>
          </w:tcPr>
          <w:p w14:paraId="385EEB0D" w14:textId="77777777" w:rsidR="00C935FA" w:rsidRPr="00C935FA" w:rsidRDefault="00C935FA" w:rsidP="00C935FA">
            <w:pPr>
              <w:spacing w:line="240" w:lineRule="auto"/>
              <w:jc w:val="center"/>
              <w:rPr>
                <w:rFonts w:asciiTheme="minorHAnsi" w:hAnsiTheme="minorHAnsi" w:cstheme="minorHAnsi"/>
                <w:sz w:val="18"/>
                <w:szCs w:val="18"/>
                <w:lang w:val="es-CR" w:eastAsia="es-CR"/>
              </w:rPr>
            </w:pPr>
            <w:r w:rsidRPr="00C935FA">
              <w:rPr>
                <w:rFonts w:asciiTheme="minorHAnsi" w:hAnsiTheme="minorHAnsi" w:cstheme="minorHAnsi"/>
                <w:sz w:val="18"/>
                <w:szCs w:val="18"/>
                <w:lang w:val="es-CR" w:eastAsia="es-CR"/>
              </w:rPr>
              <w:t>1.09.99</w:t>
            </w:r>
          </w:p>
        </w:tc>
        <w:tc>
          <w:tcPr>
            <w:tcW w:w="956" w:type="dxa"/>
            <w:tcBorders>
              <w:top w:val="nil"/>
              <w:left w:val="nil"/>
              <w:bottom w:val="single" w:sz="4" w:space="0" w:color="auto"/>
              <w:right w:val="single" w:sz="4" w:space="0" w:color="auto"/>
            </w:tcBorders>
            <w:shd w:val="clear" w:color="auto" w:fill="auto"/>
            <w:noWrap/>
            <w:vAlign w:val="center"/>
            <w:hideMark/>
          </w:tcPr>
          <w:p w14:paraId="2C6C1CE1" w14:textId="77777777" w:rsidR="00C935FA" w:rsidRPr="00C935FA" w:rsidRDefault="00C935FA" w:rsidP="00C935FA">
            <w:pPr>
              <w:spacing w:line="240" w:lineRule="auto"/>
              <w:jc w:val="center"/>
              <w:rPr>
                <w:rFonts w:asciiTheme="minorHAnsi" w:hAnsiTheme="minorHAnsi" w:cstheme="minorHAnsi"/>
                <w:sz w:val="18"/>
                <w:szCs w:val="18"/>
                <w:lang w:val="es-CR" w:eastAsia="es-CR"/>
              </w:rPr>
            </w:pPr>
            <w:r w:rsidRPr="00C935FA">
              <w:rPr>
                <w:rFonts w:asciiTheme="minorHAnsi" w:hAnsiTheme="minorHAnsi" w:cstheme="minorHAnsi"/>
                <w:sz w:val="18"/>
                <w:szCs w:val="18"/>
                <w:lang w:val="es-CR" w:eastAsia="es-CR"/>
              </w:rPr>
              <w:t>1.1.2</w:t>
            </w:r>
          </w:p>
        </w:tc>
        <w:tc>
          <w:tcPr>
            <w:tcW w:w="2462" w:type="dxa"/>
            <w:tcBorders>
              <w:top w:val="nil"/>
              <w:left w:val="nil"/>
              <w:bottom w:val="single" w:sz="4" w:space="0" w:color="auto"/>
              <w:right w:val="single" w:sz="4" w:space="0" w:color="auto"/>
            </w:tcBorders>
            <w:shd w:val="clear" w:color="auto" w:fill="auto"/>
            <w:noWrap/>
            <w:vAlign w:val="center"/>
            <w:hideMark/>
          </w:tcPr>
          <w:p w14:paraId="4A9C9E55" w14:textId="77777777" w:rsidR="00C935FA" w:rsidRPr="00C935FA" w:rsidRDefault="00C935FA" w:rsidP="00C935FA">
            <w:pPr>
              <w:spacing w:line="240" w:lineRule="auto"/>
              <w:jc w:val="left"/>
              <w:rPr>
                <w:rFonts w:asciiTheme="minorHAnsi" w:hAnsiTheme="minorHAnsi" w:cstheme="minorHAnsi"/>
                <w:sz w:val="18"/>
                <w:szCs w:val="18"/>
                <w:lang w:val="es-CR" w:eastAsia="es-CR"/>
              </w:rPr>
            </w:pPr>
            <w:r w:rsidRPr="00C935FA">
              <w:rPr>
                <w:rFonts w:asciiTheme="minorHAnsi" w:hAnsiTheme="minorHAnsi" w:cstheme="minorHAnsi"/>
                <w:sz w:val="18"/>
                <w:szCs w:val="18"/>
                <w:lang w:val="es-CR" w:eastAsia="es-CR"/>
              </w:rPr>
              <w:t>Otros impuestos</w:t>
            </w:r>
          </w:p>
        </w:tc>
        <w:tc>
          <w:tcPr>
            <w:tcW w:w="1276" w:type="dxa"/>
            <w:tcBorders>
              <w:top w:val="nil"/>
              <w:left w:val="nil"/>
              <w:bottom w:val="single" w:sz="4" w:space="0" w:color="auto"/>
              <w:right w:val="single" w:sz="4" w:space="0" w:color="auto"/>
            </w:tcBorders>
            <w:shd w:val="clear" w:color="auto" w:fill="auto"/>
            <w:noWrap/>
            <w:vAlign w:val="center"/>
            <w:hideMark/>
          </w:tcPr>
          <w:p w14:paraId="7572FE5D" w14:textId="77777777" w:rsidR="00C935FA" w:rsidRPr="00C935FA" w:rsidRDefault="00C935FA" w:rsidP="00C935FA">
            <w:pPr>
              <w:spacing w:line="240" w:lineRule="auto"/>
              <w:jc w:val="right"/>
              <w:rPr>
                <w:rFonts w:asciiTheme="minorHAnsi" w:hAnsiTheme="minorHAnsi" w:cstheme="minorHAnsi"/>
                <w:sz w:val="18"/>
                <w:szCs w:val="18"/>
                <w:lang w:val="es-CR" w:eastAsia="es-CR"/>
              </w:rPr>
            </w:pPr>
            <w:r w:rsidRPr="00C935FA">
              <w:rPr>
                <w:rFonts w:asciiTheme="minorHAnsi" w:hAnsiTheme="minorHAnsi" w:cstheme="minorHAnsi"/>
                <w:sz w:val="18"/>
                <w:szCs w:val="18"/>
                <w:lang w:val="es-CR" w:eastAsia="es-CR"/>
              </w:rPr>
              <w:t>80 000</w:t>
            </w:r>
          </w:p>
        </w:tc>
        <w:tc>
          <w:tcPr>
            <w:tcW w:w="1276" w:type="dxa"/>
            <w:tcBorders>
              <w:top w:val="nil"/>
              <w:left w:val="nil"/>
              <w:bottom w:val="single" w:sz="4" w:space="0" w:color="auto"/>
              <w:right w:val="single" w:sz="4" w:space="0" w:color="auto"/>
            </w:tcBorders>
            <w:shd w:val="clear" w:color="auto" w:fill="auto"/>
            <w:noWrap/>
            <w:vAlign w:val="center"/>
            <w:hideMark/>
          </w:tcPr>
          <w:p w14:paraId="57952DAB" w14:textId="77777777" w:rsidR="00C935FA" w:rsidRPr="00C935FA" w:rsidRDefault="00C935FA" w:rsidP="00C935FA">
            <w:pPr>
              <w:spacing w:line="240" w:lineRule="auto"/>
              <w:jc w:val="right"/>
              <w:rPr>
                <w:rFonts w:asciiTheme="minorHAnsi" w:hAnsiTheme="minorHAnsi" w:cstheme="minorHAnsi"/>
                <w:sz w:val="18"/>
                <w:szCs w:val="18"/>
                <w:lang w:val="es-CR" w:eastAsia="es-CR"/>
              </w:rPr>
            </w:pPr>
            <w:r w:rsidRPr="00C935FA">
              <w:rPr>
                <w:rFonts w:asciiTheme="minorHAnsi" w:hAnsiTheme="minorHAnsi" w:cstheme="minorHAnsi"/>
                <w:sz w:val="18"/>
                <w:szCs w:val="18"/>
                <w:lang w:val="es-CR" w:eastAsia="es-CR"/>
              </w:rPr>
              <w:t>0</w:t>
            </w:r>
          </w:p>
        </w:tc>
        <w:tc>
          <w:tcPr>
            <w:tcW w:w="851" w:type="dxa"/>
            <w:tcBorders>
              <w:top w:val="nil"/>
              <w:left w:val="nil"/>
              <w:bottom w:val="single" w:sz="4" w:space="0" w:color="auto"/>
              <w:right w:val="single" w:sz="4" w:space="0" w:color="auto"/>
            </w:tcBorders>
            <w:shd w:val="clear" w:color="auto" w:fill="auto"/>
            <w:noWrap/>
            <w:vAlign w:val="center"/>
            <w:hideMark/>
          </w:tcPr>
          <w:p w14:paraId="1105EAF1" w14:textId="77777777" w:rsidR="00C935FA" w:rsidRPr="00C935FA" w:rsidRDefault="00C935FA" w:rsidP="00C935FA">
            <w:pPr>
              <w:spacing w:line="240" w:lineRule="auto"/>
              <w:jc w:val="right"/>
              <w:rPr>
                <w:rFonts w:asciiTheme="minorHAnsi" w:hAnsiTheme="minorHAnsi" w:cstheme="minorHAnsi"/>
                <w:sz w:val="18"/>
                <w:szCs w:val="18"/>
                <w:lang w:val="es-CR" w:eastAsia="es-CR"/>
              </w:rPr>
            </w:pPr>
            <w:r w:rsidRPr="00C935FA">
              <w:rPr>
                <w:rFonts w:asciiTheme="minorHAnsi" w:hAnsiTheme="minorHAnsi" w:cstheme="minorHAnsi"/>
                <w:sz w:val="18"/>
                <w:szCs w:val="18"/>
                <w:lang w:val="es-CR" w:eastAsia="es-CR"/>
              </w:rPr>
              <w:t>0</w:t>
            </w:r>
          </w:p>
        </w:tc>
        <w:tc>
          <w:tcPr>
            <w:tcW w:w="1133" w:type="dxa"/>
            <w:tcBorders>
              <w:top w:val="nil"/>
              <w:left w:val="nil"/>
              <w:bottom w:val="single" w:sz="4" w:space="0" w:color="auto"/>
              <w:right w:val="single" w:sz="4" w:space="0" w:color="auto"/>
            </w:tcBorders>
            <w:shd w:val="clear" w:color="auto" w:fill="auto"/>
            <w:noWrap/>
            <w:vAlign w:val="center"/>
            <w:hideMark/>
          </w:tcPr>
          <w:p w14:paraId="2B12CFA8" w14:textId="77777777" w:rsidR="00C935FA" w:rsidRPr="00C935FA" w:rsidRDefault="00C935FA" w:rsidP="00C935FA">
            <w:pPr>
              <w:spacing w:line="240" w:lineRule="auto"/>
              <w:jc w:val="right"/>
              <w:rPr>
                <w:rFonts w:asciiTheme="minorHAnsi" w:hAnsiTheme="minorHAnsi" w:cstheme="minorHAnsi"/>
                <w:sz w:val="18"/>
                <w:szCs w:val="18"/>
                <w:lang w:val="es-CR" w:eastAsia="es-CR"/>
              </w:rPr>
            </w:pPr>
            <w:r w:rsidRPr="00C935FA">
              <w:rPr>
                <w:rFonts w:asciiTheme="minorHAnsi" w:hAnsiTheme="minorHAnsi" w:cstheme="minorHAnsi"/>
                <w:sz w:val="18"/>
                <w:szCs w:val="18"/>
                <w:lang w:val="es-CR" w:eastAsia="es-CR"/>
              </w:rPr>
              <w:t>80 000</w:t>
            </w:r>
          </w:p>
        </w:tc>
        <w:tc>
          <w:tcPr>
            <w:tcW w:w="992" w:type="dxa"/>
            <w:tcBorders>
              <w:top w:val="nil"/>
              <w:left w:val="nil"/>
              <w:bottom w:val="single" w:sz="4" w:space="0" w:color="auto"/>
              <w:right w:val="single" w:sz="4" w:space="0" w:color="auto"/>
            </w:tcBorders>
            <w:shd w:val="clear" w:color="auto" w:fill="auto"/>
            <w:noWrap/>
            <w:vAlign w:val="center"/>
            <w:hideMark/>
          </w:tcPr>
          <w:p w14:paraId="0BB52B0A" w14:textId="77777777" w:rsidR="00C935FA" w:rsidRPr="00C935FA" w:rsidRDefault="00C935FA" w:rsidP="00C935FA">
            <w:pPr>
              <w:spacing w:line="240" w:lineRule="auto"/>
              <w:jc w:val="center"/>
              <w:rPr>
                <w:rFonts w:asciiTheme="minorHAnsi" w:hAnsiTheme="minorHAnsi" w:cstheme="minorHAnsi"/>
                <w:sz w:val="18"/>
                <w:szCs w:val="18"/>
                <w:lang w:val="es-CR" w:eastAsia="es-CR"/>
              </w:rPr>
            </w:pPr>
            <w:r w:rsidRPr="00C935FA">
              <w:rPr>
                <w:rFonts w:asciiTheme="minorHAnsi" w:hAnsiTheme="minorHAnsi" w:cstheme="minorHAnsi"/>
                <w:sz w:val="18"/>
                <w:szCs w:val="18"/>
                <w:lang w:val="es-CR" w:eastAsia="es-CR"/>
              </w:rPr>
              <w:t>0%</w:t>
            </w:r>
          </w:p>
        </w:tc>
      </w:tr>
      <w:tr w:rsidR="00F7003E" w:rsidRPr="00C935FA" w14:paraId="2397DD16" w14:textId="77777777" w:rsidTr="006128F8">
        <w:trPr>
          <w:trHeight w:val="260"/>
        </w:trPr>
        <w:tc>
          <w:tcPr>
            <w:tcW w:w="688" w:type="dxa"/>
            <w:tcBorders>
              <w:top w:val="nil"/>
              <w:left w:val="single" w:sz="4" w:space="0" w:color="auto"/>
              <w:bottom w:val="single" w:sz="4" w:space="0" w:color="auto"/>
              <w:right w:val="single" w:sz="4" w:space="0" w:color="auto"/>
            </w:tcBorders>
            <w:shd w:val="clear" w:color="auto" w:fill="auto"/>
            <w:noWrap/>
            <w:vAlign w:val="center"/>
            <w:hideMark/>
          </w:tcPr>
          <w:p w14:paraId="10C3B99E" w14:textId="77777777" w:rsidR="00C935FA" w:rsidRPr="00C935FA" w:rsidRDefault="00C935FA" w:rsidP="00C935FA">
            <w:pPr>
              <w:spacing w:line="240" w:lineRule="auto"/>
              <w:jc w:val="center"/>
              <w:rPr>
                <w:rFonts w:asciiTheme="minorHAnsi" w:hAnsiTheme="minorHAnsi" w:cstheme="minorHAnsi"/>
                <w:sz w:val="18"/>
                <w:szCs w:val="18"/>
                <w:lang w:val="es-CR" w:eastAsia="es-CR"/>
              </w:rPr>
            </w:pPr>
            <w:r w:rsidRPr="00C935FA">
              <w:rPr>
                <w:rFonts w:asciiTheme="minorHAnsi" w:hAnsiTheme="minorHAnsi" w:cstheme="minorHAnsi"/>
                <w:sz w:val="18"/>
                <w:szCs w:val="18"/>
                <w:lang w:val="es-CR" w:eastAsia="es-CR"/>
              </w:rPr>
              <w:t>1.99.99</w:t>
            </w:r>
          </w:p>
        </w:tc>
        <w:tc>
          <w:tcPr>
            <w:tcW w:w="956" w:type="dxa"/>
            <w:tcBorders>
              <w:top w:val="nil"/>
              <w:left w:val="nil"/>
              <w:bottom w:val="single" w:sz="4" w:space="0" w:color="auto"/>
              <w:right w:val="single" w:sz="4" w:space="0" w:color="auto"/>
            </w:tcBorders>
            <w:shd w:val="clear" w:color="auto" w:fill="auto"/>
            <w:noWrap/>
            <w:vAlign w:val="center"/>
            <w:hideMark/>
          </w:tcPr>
          <w:p w14:paraId="3FB48CCF" w14:textId="77777777" w:rsidR="00C935FA" w:rsidRPr="00C935FA" w:rsidRDefault="00C935FA" w:rsidP="00C935FA">
            <w:pPr>
              <w:spacing w:line="240" w:lineRule="auto"/>
              <w:jc w:val="center"/>
              <w:rPr>
                <w:rFonts w:asciiTheme="minorHAnsi" w:hAnsiTheme="minorHAnsi" w:cstheme="minorHAnsi"/>
                <w:sz w:val="18"/>
                <w:szCs w:val="18"/>
                <w:lang w:val="es-CR" w:eastAsia="es-CR"/>
              </w:rPr>
            </w:pPr>
            <w:r w:rsidRPr="00C935FA">
              <w:rPr>
                <w:rFonts w:asciiTheme="minorHAnsi" w:hAnsiTheme="minorHAnsi" w:cstheme="minorHAnsi"/>
                <w:sz w:val="18"/>
                <w:szCs w:val="18"/>
                <w:lang w:val="es-CR" w:eastAsia="es-CR"/>
              </w:rPr>
              <w:t>1.1.2</w:t>
            </w:r>
          </w:p>
        </w:tc>
        <w:tc>
          <w:tcPr>
            <w:tcW w:w="2462" w:type="dxa"/>
            <w:tcBorders>
              <w:top w:val="nil"/>
              <w:left w:val="nil"/>
              <w:bottom w:val="single" w:sz="4" w:space="0" w:color="auto"/>
              <w:right w:val="single" w:sz="4" w:space="0" w:color="auto"/>
            </w:tcBorders>
            <w:shd w:val="clear" w:color="auto" w:fill="auto"/>
            <w:noWrap/>
            <w:vAlign w:val="center"/>
            <w:hideMark/>
          </w:tcPr>
          <w:p w14:paraId="0C8AB3B3" w14:textId="77777777" w:rsidR="00C935FA" w:rsidRPr="00C935FA" w:rsidRDefault="00C935FA" w:rsidP="00C935FA">
            <w:pPr>
              <w:spacing w:line="240" w:lineRule="auto"/>
              <w:jc w:val="left"/>
              <w:rPr>
                <w:rFonts w:asciiTheme="minorHAnsi" w:hAnsiTheme="minorHAnsi" w:cstheme="minorHAnsi"/>
                <w:sz w:val="18"/>
                <w:szCs w:val="18"/>
                <w:lang w:val="es-CR" w:eastAsia="es-CR"/>
              </w:rPr>
            </w:pPr>
            <w:r w:rsidRPr="00C935FA">
              <w:rPr>
                <w:rFonts w:asciiTheme="minorHAnsi" w:hAnsiTheme="minorHAnsi" w:cstheme="minorHAnsi"/>
                <w:sz w:val="18"/>
                <w:szCs w:val="18"/>
                <w:lang w:val="es-CR" w:eastAsia="es-CR"/>
              </w:rPr>
              <w:t>Otros servicios no especificados</w:t>
            </w:r>
          </w:p>
        </w:tc>
        <w:tc>
          <w:tcPr>
            <w:tcW w:w="1276" w:type="dxa"/>
            <w:tcBorders>
              <w:top w:val="nil"/>
              <w:left w:val="nil"/>
              <w:bottom w:val="single" w:sz="4" w:space="0" w:color="auto"/>
              <w:right w:val="single" w:sz="4" w:space="0" w:color="auto"/>
            </w:tcBorders>
            <w:shd w:val="clear" w:color="auto" w:fill="auto"/>
            <w:noWrap/>
            <w:vAlign w:val="center"/>
            <w:hideMark/>
          </w:tcPr>
          <w:p w14:paraId="401C8CFB" w14:textId="77777777" w:rsidR="00C935FA" w:rsidRPr="00C935FA" w:rsidRDefault="00C935FA" w:rsidP="00C935FA">
            <w:pPr>
              <w:spacing w:line="240" w:lineRule="auto"/>
              <w:jc w:val="right"/>
              <w:rPr>
                <w:rFonts w:asciiTheme="minorHAnsi" w:hAnsiTheme="minorHAnsi" w:cstheme="minorHAnsi"/>
                <w:sz w:val="18"/>
                <w:szCs w:val="18"/>
                <w:lang w:val="es-CR" w:eastAsia="es-CR"/>
              </w:rPr>
            </w:pPr>
            <w:r w:rsidRPr="00C935FA">
              <w:rPr>
                <w:rFonts w:asciiTheme="minorHAnsi" w:hAnsiTheme="minorHAnsi" w:cstheme="minorHAnsi"/>
                <w:sz w:val="18"/>
                <w:szCs w:val="18"/>
                <w:lang w:val="es-CR" w:eastAsia="es-CR"/>
              </w:rPr>
              <w:t>400 000</w:t>
            </w:r>
          </w:p>
        </w:tc>
        <w:tc>
          <w:tcPr>
            <w:tcW w:w="1276" w:type="dxa"/>
            <w:tcBorders>
              <w:top w:val="nil"/>
              <w:left w:val="nil"/>
              <w:bottom w:val="single" w:sz="4" w:space="0" w:color="auto"/>
              <w:right w:val="single" w:sz="4" w:space="0" w:color="auto"/>
            </w:tcBorders>
            <w:shd w:val="clear" w:color="auto" w:fill="auto"/>
            <w:noWrap/>
            <w:vAlign w:val="center"/>
            <w:hideMark/>
          </w:tcPr>
          <w:p w14:paraId="22594071" w14:textId="77777777" w:rsidR="00C935FA" w:rsidRPr="00C935FA" w:rsidRDefault="00C935FA" w:rsidP="00C935FA">
            <w:pPr>
              <w:spacing w:line="240" w:lineRule="auto"/>
              <w:jc w:val="right"/>
              <w:rPr>
                <w:rFonts w:asciiTheme="minorHAnsi" w:hAnsiTheme="minorHAnsi" w:cstheme="minorHAnsi"/>
                <w:sz w:val="18"/>
                <w:szCs w:val="18"/>
                <w:lang w:val="es-CR" w:eastAsia="es-CR"/>
              </w:rPr>
            </w:pPr>
            <w:r w:rsidRPr="00C935FA">
              <w:rPr>
                <w:rFonts w:asciiTheme="minorHAnsi" w:hAnsiTheme="minorHAnsi" w:cstheme="minorHAnsi"/>
                <w:sz w:val="18"/>
                <w:szCs w:val="18"/>
                <w:lang w:val="es-CR" w:eastAsia="es-CR"/>
              </w:rPr>
              <w:t>0</w:t>
            </w:r>
          </w:p>
        </w:tc>
        <w:tc>
          <w:tcPr>
            <w:tcW w:w="851" w:type="dxa"/>
            <w:tcBorders>
              <w:top w:val="nil"/>
              <w:left w:val="nil"/>
              <w:bottom w:val="single" w:sz="4" w:space="0" w:color="auto"/>
              <w:right w:val="single" w:sz="4" w:space="0" w:color="auto"/>
            </w:tcBorders>
            <w:shd w:val="clear" w:color="auto" w:fill="auto"/>
            <w:noWrap/>
            <w:vAlign w:val="center"/>
            <w:hideMark/>
          </w:tcPr>
          <w:p w14:paraId="5509FEEC" w14:textId="77777777" w:rsidR="00C935FA" w:rsidRPr="00C935FA" w:rsidRDefault="00C935FA" w:rsidP="00C935FA">
            <w:pPr>
              <w:spacing w:line="240" w:lineRule="auto"/>
              <w:jc w:val="right"/>
              <w:rPr>
                <w:rFonts w:asciiTheme="minorHAnsi" w:hAnsiTheme="minorHAnsi" w:cstheme="minorHAnsi"/>
                <w:sz w:val="18"/>
                <w:szCs w:val="18"/>
                <w:lang w:val="es-CR" w:eastAsia="es-CR"/>
              </w:rPr>
            </w:pPr>
            <w:r w:rsidRPr="00C935FA">
              <w:rPr>
                <w:rFonts w:asciiTheme="minorHAnsi" w:hAnsiTheme="minorHAnsi" w:cstheme="minorHAnsi"/>
                <w:sz w:val="18"/>
                <w:szCs w:val="18"/>
                <w:lang w:val="es-CR" w:eastAsia="es-CR"/>
              </w:rPr>
              <w:t>0</w:t>
            </w:r>
          </w:p>
        </w:tc>
        <w:tc>
          <w:tcPr>
            <w:tcW w:w="1133" w:type="dxa"/>
            <w:tcBorders>
              <w:top w:val="nil"/>
              <w:left w:val="nil"/>
              <w:bottom w:val="single" w:sz="4" w:space="0" w:color="auto"/>
              <w:right w:val="single" w:sz="4" w:space="0" w:color="auto"/>
            </w:tcBorders>
            <w:shd w:val="clear" w:color="auto" w:fill="auto"/>
            <w:noWrap/>
            <w:vAlign w:val="center"/>
            <w:hideMark/>
          </w:tcPr>
          <w:p w14:paraId="7B8595B2" w14:textId="77777777" w:rsidR="00C935FA" w:rsidRPr="00C935FA" w:rsidRDefault="00C935FA" w:rsidP="00C935FA">
            <w:pPr>
              <w:spacing w:line="240" w:lineRule="auto"/>
              <w:jc w:val="right"/>
              <w:rPr>
                <w:rFonts w:asciiTheme="minorHAnsi" w:hAnsiTheme="minorHAnsi" w:cstheme="minorHAnsi"/>
                <w:sz w:val="18"/>
                <w:szCs w:val="18"/>
                <w:lang w:val="es-CR" w:eastAsia="es-CR"/>
              </w:rPr>
            </w:pPr>
            <w:r w:rsidRPr="00C935FA">
              <w:rPr>
                <w:rFonts w:asciiTheme="minorHAnsi" w:hAnsiTheme="minorHAnsi" w:cstheme="minorHAnsi"/>
                <w:sz w:val="18"/>
                <w:szCs w:val="18"/>
                <w:lang w:val="es-CR" w:eastAsia="es-CR"/>
              </w:rPr>
              <w:t>400 000</w:t>
            </w:r>
          </w:p>
        </w:tc>
        <w:tc>
          <w:tcPr>
            <w:tcW w:w="992" w:type="dxa"/>
            <w:tcBorders>
              <w:top w:val="nil"/>
              <w:left w:val="nil"/>
              <w:bottom w:val="single" w:sz="4" w:space="0" w:color="auto"/>
              <w:right w:val="single" w:sz="4" w:space="0" w:color="auto"/>
            </w:tcBorders>
            <w:shd w:val="clear" w:color="auto" w:fill="auto"/>
            <w:noWrap/>
            <w:vAlign w:val="center"/>
            <w:hideMark/>
          </w:tcPr>
          <w:p w14:paraId="4ECCD86E" w14:textId="77777777" w:rsidR="00C935FA" w:rsidRPr="00C935FA" w:rsidRDefault="00C935FA" w:rsidP="00C935FA">
            <w:pPr>
              <w:spacing w:line="240" w:lineRule="auto"/>
              <w:jc w:val="center"/>
              <w:rPr>
                <w:rFonts w:asciiTheme="minorHAnsi" w:hAnsiTheme="minorHAnsi" w:cstheme="minorHAnsi"/>
                <w:sz w:val="18"/>
                <w:szCs w:val="18"/>
                <w:lang w:val="es-CR" w:eastAsia="es-CR"/>
              </w:rPr>
            </w:pPr>
            <w:r w:rsidRPr="00C935FA">
              <w:rPr>
                <w:rFonts w:asciiTheme="minorHAnsi" w:hAnsiTheme="minorHAnsi" w:cstheme="minorHAnsi"/>
                <w:sz w:val="18"/>
                <w:szCs w:val="18"/>
                <w:lang w:val="es-CR" w:eastAsia="es-CR"/>
              </w:rPr>
              <w:t>0%</w:t>
            </w:r>
          </w:p>
        </w:tc>
      </w:tr>
      <w:tr w:rsidR="005F0552" w:rsidRPr="00C935FA" w14:paraId="7E5325E7" w14:textId="77777777" w:rsidTr="006128F8">
        <w:trPr>
          <w:trHeight w:val="370"/>
        </w:trPr>
        <w:tc>
          <w:tcPr>
            <w:tcW w:w="688" w:type="dxa"/>
            <w:tcBorders>
              <w:top w:val="single" w:sz="4" w:space="0" w:color="auto"/>
              <w:left w:val="single" w:sz="4" w:space="0" w:color="auto"/>
              <w:bottom w:val="single" w:sz="8" w:space="0" w:color="2F75B5"/>
              <w:right w:val="nil"/>
            </w:tcBorders>
            <w:shd w:val="clear" w:color="DDEBF7" w:fill="DDEBF7"/>
            <w:noWrap/>
            <w:vAlign w:val="center"/>
            <w:hideMark/>
          </w:tcPr>
          <w:p w14:paraId="140968C4" w14:textId="059F8B91" w:rsidR="00C935FA" w:rsidRPr="00C935FA" w:rsidRDefault="00C935FA" w:rsidP="00C935FA">
            <w:pPr>
              <w:spacing w:line="240" w:lineRule="auto"/>
              <w:jc w:val="left"/>
              <w:rPr>
                <w:rFonts w:asciiTheme="minorHAnsi" w:hAnsiTheme="minorHAnsi" w:cstheme="minorHAnsi"/>
                <w:b/>
                <w:bCs/>
                <w:color w:val="000000"/>
                <w:sz w:val="18"/>
                <w:szCs w:val="18"/>
                <w:lang w:val="es-CR" w:eastAsia="es-CR"/>
              </w:rPr>
            </w:pPr>
            <w:r w:rsidRPr="00C935FA">
              <w:rPr>
                <w:rFonts w:asciiTheme="minorHAnsi" w:hAnsiTheme="minorHAnsi" w:cstheme="minorHAnsi"/>
                <w:b/>
                <w:bCs/>
                <w:color w:val="000000"/>
                <w:sz w:val="18"/>
                <w:szCs w:val="18"/>
                <w:lang w:val="es-CR" w:eastAsia="es-CR"/>
              </w:rPr>
              <w:t xml:space="preserve">Total </w:t>
            </w:r>
          </w:p>
        </w:tc>
        <w:tc>
          <w:tcPr>
            <w:tcW w:w="956" w:type="dxa"/>
            <w:tcBorders>
              <w:top w:val="nil"/>
              <w:left w:val="nil"/>
              <w:bottom w:val="single" w:sz="8" w:space="0" w:color="2F75B5"/>
              <w:right w:val="nil"/>
            </w:tcBorders>
            <w:shd w:val="clear" w:color="DDEBF7" w:fill="DDEBF7"/>
            <w:noWrap/>
            <w:vAlign w:val="center"/>
            <w:hideMark/>
          </w:tcPr>
          <w:p w14:paraId="4804DD87" w14:textId="77777777" w:rsidR="00C935FA" w:rsidRPr="00C935FA" w:rsidRDefault="00C935FA" w:rsidP="00C935FA">
            <w:pPr>
              <w:spacing w:line="240" w:lineRule="auto"/>
              <w:jc w:val="left"/>
              <w:rPr>
                <w:rFonts w:asciiTheme="minorHAnsi" w:hAnsiTheme="minorHAnsi" w:cstheme="minorHAnsi"/>
                <w:b/>
                <w:bCs/>
                <w:color w:val="000000"/>
                <w:sz w:val="18"/>
                <w:szCs w:val="18"/>
                <w:lang w:val="es-CR" w:eastAsia="es-CR"/>
              </w:rPr>
            </w:pPr>
            <w:r w:rsidRPr="00C935FA">
              <w:rPr>
                <w:rFonts w:asciiTheme="minorHAnsi" w:hAnsiTheme="minorHAnsi" w:cstheme="minorHAnsi"/>
                <w:b/>
                <w:bCs/>
                <w:color w:val="000000"/>
                <w:sz w:val="18"/>
                <w:szCs w:val="18"/>
                <w:lang w:val="es-CR" w:eastAsia="es-CR"/>
              </w:rPr>
              <w:t> </w:t>
            </w:r>
          </w:p>
        </w:tc>
        <w:tc>
          <w:tcPr>
            <w:tcW w:w="2462" w:type="dxa"/>
            <w:tcBorders>
              <w:top w:val="nil"/>
              <w:left w:val="nil"/>
              <w:bottom w:val="single" w:sz="8" w:space="0" w:color="2F75B5"/>
              <w:right w:val="nil"/>
            </w:tcBorders>
            <w:shd w:val="clear" w:color="DDEBF7" w:fill="DDEBF7"/>
            <w:noWrap/>
            <w:vAlign w:val="center"/>
            <w:hideMark/>
          </w:tcPr>
          <w:p w14:paraId="7DB351F7" w14:textId="77777777" w:rsidR="00C935FA" w:rsidRPr="00C935FA" w:rsidRDefault="00C935FA" w:rsidP="00C935FA">
            <w:pPr>
              <w:spacing w:line="240" w:lineRule="auto"/>
              <w:jc w:val="left"/>
              <w:rPr>
                <w:rFonts w:asciiTheme="minorHAnsi" w:hAnsiTheme="minorHAnsi" w:cstheme="minorHAnsi"/>
                <w:b/>
                <w:bCs/>
                <w:color w:val="000000"/>
                <w:sz w:val="18"/>
                <w:szCs w:val="18"/>
                <w:lang w:val="es-CR" w:eastAsia="es-CR"/>
              </w:rPr>
            </w:pPr>
            <w:r w:rsidRPr="00C935FA">
              <w:rPr>
                <w:rFonts w:asciiTheme="minorHAnsi" w:hAnsiTheme="minorHAnsi" w:cstheme="minorHAnsi"/>
                <w:b/>
                <w:bCs/>
                <w:color w:val="000000"/>
                <w:sz w:val="18"/>
                <w:szCs w:val="18"/>
                <w:lang w:val="es-CR" w:eastAsia="es-CR"/>
              </w:rPr>
              <w:t> </w:t>
            </w:r>
          </w:p>
        </w:tc>
        <w:tc>
          <w:tcPr>
            <w:tcW w:w="1276" w:type="dxa"/>
            <w:tcBorders>
              <w:top w:val="nil"/>
              <w:left w:val="nil"/>
              <w:bottom w:val="single" w:sz="8" w:space="0" w:color="2F75B5"/>
              <w:right w:val="nil"/>
            </w:tcBorders>
            <w:shd w:val="clear" w:color="DDEBF7" w:fill="DDEBF7"/>
            <w:noWrap/>
            <w:vAlign w:val="center"/>
            <w:hideMark/>
          </w:tcPr>
          <w:p w14:paraId="635C6D56" w14:textId="77777777" w:rsidR="00C935FA" w:rsidRPr="00C935FA" w:rsidRDefault="00C935FA" w:rsidP="00C935FA">
            <w:pPr>
              <w:spacing w:line="240" w:lineRule="auto"/>
              <w:jc w:val="right"/>
              <w:rPr>
                <w:rFonts w:asciiTheme="minorHAnsi" w:hAnsiTheme="minorHAnsi" w:cstheme="minorHAnsi"/>
                <w:b/>
                <w:bCs/>
                <w:color w:val="000000"/>
                <w:sz w:val="18"/>
                <w:szCs w:val="18"/>
                <w:lang w:val="es-CR" w:eastAsia="es-CR"/>
              </w:rPr>
            </w:pPr>
            <w:r w:rsidRPr="00C935FA">
              <w:rPr>
                <w:rFonts w:asciiTheme="minorHAnsi" w:hAnsiTheme="minorHAnsi" w:cstheme="minorHAnsi"/>
                <w:b/>
                <w:bCs/>
                <w:color w:val="000000"/>
                <w:sz w:val="18"/>
                <w:szCs w:val="18"/>
                <w:lang w:val="es-CR" w:eastAsia="es-CR"/>
              </w:rPr>
              <w:t>2 198 870 957</w:t>
            </w:r>
          </w:p>
        </w:tc>
        <w:tc>
          <w:tcPr>
            <w:tcW w:w="1276" w:type="dxa"/>
            <w:tcBorders>
              <w:top w:val="nil"/>
              <w:left w:val="nil"/>
              <w:bottom w:val="single" w:sz="8" w:space="0" w:color="2F75B5"/>
              <w:right w:val="nil"/>
            </w:tcBorders>
            <w:shd w:val="clear" w:color="DDEBF7" w:fill="DDEBF7"/>
            <w:noWrap/>
            <w:vAlign w:val="center"/>
            <w:hideMark/>
          </w:tcPr>
          <w:p w14:paraId="6BDB58C7" w14:textId="77777777" w:rsidR="00C935FA" w:rsidRPr="00C935FA" w:rsidRDefault="00C935FA" w:rsidP="00C935FA">
            <w:pPr>
              <w:spacing w:line="240" w:lineRule="auto"/>
              <w:jc w:val="right"/>
              <w:rPr>
                <w:rFonts w:asciiTheme="minorHAnsi" w:hAnsiTheme="minorHAnsi" w:cstheme="minorHAnsi"/>
                <w:b/>
                <w:bCs/>
                <w:color w:val="000000"/>
                <w:sz w:val="18"/>
                <w:szCs w:val="18"/>
                <w:lang w:val="es-CR" w:eastAsia="es-CR"/>
              </w:rPr>
            </w:pPr>
            <w:r w:rsidRPr="00C935FA">
              <w:rPr>
                <w:rFonts w:asciiTheme="minorHAnsi" w:hAnsiTheme="minorHAnsi" w:cstheme="minorHAnsi"/>
                <w:b/>
                <w:bCs/>
                <w:color w:val="000000"/>
                <w:sz w:val="18"/>
                <w:szCs w:val="18"/>
                <w:lang w:val="es-CR" w:eastAsia="es-CR"/>
              </w:rPr>
              <w:t>1 862 280 535</w:t>
            </w:r>
          </w:p>
        </w:tc>
        <w:tc>
          <w:tcPr>
            <w:tcW w:w="851" w:type="dxa"/>
            <w:tcBorders>
              <w:top w:val="nil"/>
              <w:left w:val="nil"/>
              <w:bottom w:val="single" w:sz="8" w:space="0" w:color="2F75B5"/>
              <w:right w:val="nil"/>
            </w:tcBorders>
            <w:shd w:val="clear" w:color="DDEBF7" w:fill="DDEBF7"/>
            <w:noWrap/>
            <w:vAlign w:val="center"/>
            <w:hideMark/>
          </w:tcPr>
          <w:p w14:paraId="58E9B0A5" w14:textId="77777777" w:rsidR="00C935FA" w:rsidRPr="00C935FA" w:rsidRDefault="00C935FA" w:rsidP="00C935FA">
            <w:pPr>
              <w:spacing w:line="240" w:lineRule="auto"/>
              <w:jc w:val="right"/>
              <w:rPr>
                <w:rFonts w:asciiTheme="minorHAnsi" w:hAnsiTheme="minorHAnsi" w:cstheme="minorHAnsi"/>
                <w:b/>
                <w:bCs/>
                <w:color w:val="000000"/>
                <w:sz w:val="18"/>
                <w:szCs w:val="18"/>
                <w:lang w:val="es-CR" w:eastAsia="es-CR"/>
              </w:rPr>
            </w:pPr>
            <w:r w:rsidRPr="00C935FA">
              <w:rPr>
                <w:rFonts w:asciiTheme="minorHAnsi" w:hAnsiTheme="minorHAnsi" w:cstheme="minorHAnsi"/>
                <w:b/>
                <w:bCs/>
                <w:color w:val="000000"/>
                <w:sz w:val="18"/>
                <w:szCs w:val="18"/>
                <w:lang w:val="es-CR" w:eastAsia="es-CR"/>
              </w:rPr>
              <w:t>0</w:t>
            </w:r>
          </w:p>
        </w:tc>
        <w:tc>
          <w:tcPr>
            <w:tcW w:w="1133" w:type="dxa"/>
            <w:tcBorders>
              <w:top w:val="nil"/>
              <w:left w:val="nil"/>
              <w:bottom w:val="single" w:sz="8" w:space="0" w:color="2F75B5"/>
              <w:right w:val="nil"/>
            </w:tcBorders>
            <w:shd w:val="clear" w:color="DDEBF7" w:fill="DDEBF7"/>
            <w:noWrap/>
            <w:vAlign w:val="center"/>
            <w:hideMark/>
          </w:tcPr>
          <w:p w14:paraId="182A8894" w14:textId="77777777" w:rsidR="00C935FA" w:rsidRPr="00C935FA" w:rsidRDefault="00C935FA" w:rsidP="00C935FA">
            <w:pPr>
              <w:spacing w:line="240" w:lineRule="auto"/>
              <w:jc w:val="right"/>
              <w:rPr>
                <w:rFonts w:asciiTheme="minorHAnsi" w:hAnsiTheme="minorHAnsi" w:cstheme="minorHAnsi"/>
                <w:b/>
                <w:bCs/>
                <w:color w:val="000000"/>
                <w:sz w:val="18"/>
                <w:szCs w:val="18"/>
                <w:lang w:val="es-CR" w:eastAsia="es-CR"/>
              </w:rPr>
            </w:pPr>
            <w:r w:rsidRPr="00C935FA">
              <w:rPr>
                <w:rFonts w:asciiTheme="minorHAnsi" w:hAnsiTheme="minorHAnsi" w:cstheme="minorHAnsi"/>
                <w:b/>
                <w:bCs/>
                <w:color w:val="000000"/>
                <w:sz w:val="18"/>
                <w:szCs w:val="18"/>
                <w:lang w:val="es-CR" w:eastAsia="es-CR"/>
              </w:rPr>
              <w:t>336 590 422</w:t>
            </w:r>
          </w:p>
        </w:tc>
        <w:tc>
          <w:tcPr>
            <w:tcW w:w="992" w:type="dxa"/>
            <w:tcBorders>
              <w:top w:val="nil"/>
              <w:left w:val="nil"/>
              <w:bottom w:val="single" w:sz="8" w:space="0" w:color="2F75B5"/>
              <w:right w:val="nil"/>
            </w:tcBorders>
            <w:shd w:val="clear" w:color="DDEBF7" w:fill="DDEBF7"/>
            <w:noWrap/>
            <w:vAlign w:val="center"/>
            <w:hideMark/>
          </w:tcPr>
          <w:p w14:paraId="32C6590D" w14:textId="77777777" w:rsidR="00C935FA" w:rsidRPr="00C935FA" w:rsidRDefault="00C935FA" w:rsidP="00C935FA">
            <w:pPr>
              <w:spacing w:line="240" w:lineRule="auto"/>
              <w:jc w:val="center"/>
              <w:rPr>
                <w:rFonts w:asciiTheme="minorHAnsi" w:hAnsiTheme="minorHAnsi" w:cstheme="minorHAnsi"/>
                <w:b/>
                <w:bCs/>
                <w:color w:val="000000"/>
                <w:sz w:val="18"/>
                <w:szCs w:val="18"/>
                <w:lang w:val="es-CR" w:eastAsia="es-CR"/>
              </w:rPr>
            </w:pPr>
            <w:r w:rsidRPr="00C935FA">
              <w:rPr>
                <w:rFonts w:asciiTheme="minorHAnsi" w:hAnsiTheme="minorHAnsi" w:cstheme="minorHAnsi"/>
                <w:b/>
                <w:bCs/>
                <w:color w:val="000000"/>
                <w:sz w:val="18"/>
                <w:szCs w:val="18"/>
                <w:lang w:val="es-CR" w:eastAsia="es-CR"/>
              </w:rPr>
              <w:t>85%</w:t>
            </w:r>
          </w:p>
        </w:tc>
      </w:tr>
    </w:tbl>
    <w:p w14:paraId="7B059D6A" w14:textId="53A61484" w:rsidR="00B17777" w:rsidRPr="005F0552" w:rsidRDefault="00B17777" w:rsidP="00EC2C83">
      <w:pPr>
        <w:ind w:right="51"/>
        <w:jc w:val="left"/>
        <w:rPr>
          <w:rFonts w:asciiTheme="minorHAnsi" w:hAnsiTheme="minorHAnsi" w:cstheme="minorHAnsi"/>
          <w:sz w:val="18"/>
          <w:szCs w:val="18"/>
          <w:lang w:val="es-CR"/>
        </w:rPr>
      </w:pPr>
    </w:p>
    <w:p w14:paraId="44340AB1" w14:textId="77777777" w:rsidR="00EC2C83" w:rsidRPr="0023319B" w:rsidRDefault="00EC2C83" w:rsidP="00EC2C83">
      <w:pPr>
        <w:pStyle w:val="Textoindependiente"/>
        <w:numPr>
          <w:ilvl w:val="0"/>
          <w:numId w:val="0"/>
        </w:numPr>
        <w:tabs>
          <w:tab w:val="left" w:pos="1134"/>
          <w:tab w:val="decimal" w:pos="7088"/>
        </w:tabs>
        <w:ind w:right="51"/>
        <w:rPr>
          <w:rFonts w:asciiTheme="minorHAnsi" w:hAnsiTheme="minorHAnsi" w:cstheme="minorHAnsi"/>
          <w:szCs w:val="24"/>
          <w:lang w:val="es-CR"/>
        </w:rPr>
      </w:pPr>
    </w:p>
    <w:p w14:paraId="224FE39F" w14:textId="097AB5B2" w:rsidR="00583855" w:rsidRPr="0023319B" w:rsidRDefault="00583855" w:rsidP="00583855">
      <w:pPr>
        <w:pStyle w:val="Textoindependiente"/>
        <w:numPr>
          <w:ilvl w:val="0"/>
          <w:numId w:val="0"/>
        </w:numPr>
        <w:ind w:right="51"/>
        <w:rPr>
          <w:rFonts w:asciiTheme="minorHAnsi" w:hAnsiTheme="minorHAnsi" w:cstheme="minorHAnsi"/>
          <w:szCs w:val="24"/>
          <w:lang w:val="es-CR"/>
        </w:rPr>
      </w:pPr>
      <w:r w:rsidRPr="0023319B">
        <w:rPr>
          <w:rFonts w:asciiTheme="minorHAnsi" w:hAnsiTheme="minorHAnsi" w:cstheme="minorHAnsi"/>
          <w:szCs w:val="24"/>
          <w:lang w:val="es-CR"/>
        </w:rPr>
        <w:t>Esta partida presupuestaria incluye las obligaciones que la institución contrae, generalmente, mediante contratos administrativos con personas físicas o jurídicas, públicas o privadas, por la prestación de servicios de diversa naturaleza y por el uso de bienes muebles e inmuebles, incluyendo los servicios que se destinan al mantenimiento, conservación y reparación menor u ordinaria, preventiva y habitual de bienes de capital, que tienen como finalidad conservar el activo en condiciones normales de servicio.</w:t>
      </w:r>
    </w:p>
    <w:p w14:paraId="4399160D" w14:textId="77777777" w:rsidR="00583855" w:rsidRPr="0023319B" w:rsidRDefault="00583855" w:rsidP="00583855">
      <w:pPr>
        <w:pStyle w:val="Textoindependiente"/>
        <w:numPr>
          <w:ilvl w:val="0"/>
          <w:numId w:val="0"/>
        </w:numPr>
        <w:ind w:right="51"/>
        <w:rPr>
          <w:rFonts w:asciiTheme="minorHAnsi" w:hAnsiTheme="minorHAnsi" w:cstheme="minorHAnsi"/>
          <w:szCs w:val="24"/>
          <w:lang w:val="es-CR"/>
        </w:rPr>
      </w:pPr>
    </w:p>
    <w:p w14:paraId="2BF712DB" w14:textId="454E14F7" w:rsidR="00583855" w:rsidRPr="0023319B" w:rsidRDefault="00583855" w:rsidP="00583855">
      <w:pPr>
        <w:pStyle w:val="Textoindependiente"/>
        <w:numPr>
          <w:ilvl w:val="0"/>
          <w:numId w:val="0"/>
        </w:numPr>
        <w:ind w:right="51"/>
        <w:rPr>
          <w:rFonts w:asciiTheme="minorHAnsi" w:hAnsiTheme="minorHAnsi" w:cstheme="minorHAnsi"/>
          <w:szCs w:val="24"/>
          <w:lang w:val="es-CR"/>
        </w:rPr>
      </w:pPr>
      <w:r w:rsidRPr="0023319B">
        <w:rPr>
          <w:rFonts w:asciiTheme="minorHAnsi" w:hAnsiTheme="minorHAnsi" w:cstheme="minorHAnsi"/>
          <w:szCs w:val="24"/>
          <w:lang w:val="es-CR"/>
        </w:rPr>
        <w:t>De igual forma</w:t>
      </w:r>
      <w:r w:rsidR="00AA72A3" w:rsidRPr="0023319B">
        <w:rPr>
          <w:rFonts w:asciiTheme="minorHAnsi" w:hAnsiTheme="minorHAnsi" w:cstheme="minorHAnsi"/>
          <w:szCs w:val="24"/>
          <w:lang w:val="es-CR"/>
        </w:rPr>
        <w:t>,</w:t>
      </w:r>
      <w:r w:rsidRPr="0023319B">
        <w:rPr>
          <w:rFonts w:asciiTheme="minorHAnsi" w:hAnsiTheme="minorHAnsi" w:cstheme="minorHAnsi"/>
          <w:szCs w:val="24"/>
          <w:lang w:val="es-CR"/>
        </w:rPr>
        <w:t xml:space="preserve"> incluye entre otros, los pagos por servicios de mantenimiento y reparación, servicios comerciales y financieros, así como la contratación de diversos servicios de carácter profesional y técnico</w:t>
      </w:r>
      <w:r w:rsidR="00D11DE7" w:rsidRPr="0023319B">
        <w:rPr>
          <w:rFonts w:asciiTheme="minorHAnsi" w:hAnsiTheme="minorHAnsi" w:cstheme="minorHAnsi"/>
          <w:szCs w:val="24"/>
          <w:lang w:val="es-CR"/>
        </w:rPr>
        <w:t>,</w:t>
      </w:r>
      <w:r w:rsidRPr="0023319B">
        <w:rPr>
          <w:rFonts w:asciiTheme="minorHAnsi" w:hAnsiTheme="minorHAnsi" w:cstheme="minorHAnsi"/>
          <w:szCs w:val="24"/>
          <w:lang w:val="es-CR"/>
        </w:rPr>
        <w:t xml:space="preserve"> </w:t>
      </w:r>
      <w:r w:rsidR="003623C9" w:rsidRPr="0023319B">
        <w:rPr>
          <w:rFonts w:asciiTheme="minorHAnsi" w:hAnsiTheme="minorHAnsi" w:cstheme="minorHAnsi"/>
          <w:szCs w:val="24"/>
          <w:lang w:val="es-CR"/>
        </w:rPr>
        <w:t>por consultor</w:t>
      </w:r>
      <w:r w:rsidR="001147F5" w:rsidRPr="0023319B">
        <w:rPr>
          <w:rFonts w:asciiTheme="minorHAnsi" w:hAnsiTheme="minorHAnsi" w:cstheme="minorHAnsi"/>
          <w:szCs w:val="24"/>
          <w:lang w:val="es-CR"/>
        </w:rPr>
        <w:t>í</w:t>
      </w:r>
      <w:r w:rsidR="003623C9" w:rsidRPr="0023319B">
        <w:rPr>
          <w:rFonts w:asciiTheme="minorHAnsi" w:hAnsiTheme="minorHAnsi" w:cstheme="minorHAnsi"/>
          <w:szCs w:val="24"/>
          <w:lang w:val="es-CR"/>
        </w:rPr>
        <w:t>as y capacitación</w:t>
      </w:r>
      <w:r w:rsidR="001147F5" w:rsidRPr="0023319B">
        <w:rPr>
          <w:rFonts w:asciiTheme="minorHAnsi" w:hAnsiTheme="minorHAnsi" w:cstheme="minorHAnsi"/>
          <w:szCs w:val="24"/>
          <w:lang w:val="es-CR"/>
        </w:rPr>
        <w:t>,</w:t>
      </w:r>
      <w:r w:rsidR="003623C9" w:rsidRPr="0023319B">
        <w:rPr>
          <w:rFonts w:asciiTheme="minorHAnsi" w:hAnsiTheme="minorHAnsi" w:cstheme="minorHAnsi"/>
          <w:szCs w:val="24"/>
          <w:lang w:val="es-CR"/>
        </w:rPr>
        <w:t xml:space="preserve"> </w:t>
      </w:r>
      <w:r w:rsidRPr="0023319B">
        <w:rPr>
          <w:rFonts w:asciiTheme="minorHAnsi" w:hAnsiTheme="minorHAnsi" w:cstheme="minorHAnsi"/>
          <w:szCs w:val="24"/>
          <w:lang w:val="es-CR"/>
        </w:rPr>
        <w:t>incluyendo los servicios administrativos</w:t>
      </w:r>
      <w:r w:rsidR="00D60811" w:rsidRPr="0023319B">
        <w:rPr>
          <w:rFonts w:asciiTheme="minorHAnsi" w:hAnsiTheme="minorHAnsi" w:cstheme="minorHAnsi"/>
          <w:szCs w:val="24"/>
          <w:lang w:val="es-CR"/>
        </w:rPr>
        <w:t>, de desarrollo de sistema y alquiler de oficinas</w:t>
      </w:r>
      <w:r w:rsidRPr="0023319B">
        <w:rPr>
          <w:rFonts w:asciiTheme="minorHAnsi" w:hAnsiTheme="minorHAnsi" w:cstheme="minorHAnsi"/>
          <w:szCs w:val="24"/>
          <w:lang w:val="es-CR"/>
        </w:rPr>
        <w:t xml:space="preserve"> que brinda el BCCR a la SUPEN.</w:t>
      </w:r>
    </w:p>
    <w:p w14:paraId="64DC75F4" w14:textId="77777777" w:rsidR="00225437" w:rsidRPr="0023319B" w:rsidRDefault="00225437" w:rsidP="00093594">
      <w:pPr>
        <w:pStyle w:val="Textoindependiente"/>
        <w:numPr>
          <w:ilvl w:val="0"/>
          <w:numId w:val="0"/>
        </w:numPr>
        <w:ind w:right="51"/>
        <w:rPr>
          <w:rFonts w:asciiTheme="minorHAnsi" w:hAnsiTheme="minorHAnsi" w:cstheme="minorHAnsi"/>
          <w:szCs w:val="24"/>
          <w:lang w:val="es-CR"/>
        </w:rPr>
      </w:pPr>
    </w:p>
    <w:p w14:paraId="00E2CA39" w14:textId="1EE207A8" w:rsidR="00B36EE4" w:rsidRPr="0023319B" w:rsidRDefault="00423B31" w:rsidP="00093594">
      <w:pPr>
        <w:pStyle w:val="Textoindependiente"/>
        <w:numPr>
          <w:ilvl w:val="0"/>
          <w:numId w:val="0"/>
        </w:numPr>
        <w:ind w:right="51"/>
        <w:rPr>
          <w:rFonts w:asciiTheme="minorHAnsi" w:hAnsiTheme="minorHAnsi" w:cstheme="minorHAnsi"/>
          <w:szCs w:val="24"/>
          <w:lang w:val="es-CR"/>
        </w:rPr>
      </w:pPr>
      <w:r w:rsidRPr="0023319B">
        <w:rPr>
          <w:rFonts w:asciiTheme="minorHAnsi" w:hAnsiTheme="minorHAnsi" w:cstheme="minorHAnsi"/>
          <w:szCs w:val="24"/>
          <w:lang w:val="es-CR"/>
        </w:rPr>
        <w:t>A la fecha de corte de este informe</w:t>
      </w:r>
      <w:r w:rsidR="00B36EE4" w:rsidRPr="0023319B">
        <w:rPr>
          <w:rFonts w:asciiTheme="minorHAnsi" w:hAnsiTheme="minorHAnsi" w:cstheme="minorHAnsi"/>
          <w:szCs w:val="24"/>
          <w:lang w:val="es-CR"/>
        </w:rPr>
        <w:t xml:space="preserve">, </w:t>
      </w:r>
      <w:r w:rsidR="00AB2877" w:rsidRPr="0023319B">
        <w:rPr>
          <w:rFonts w:asciiTheme="minorHAnsi" w:hAnsiTheme="minorHAnsi" w:cstheme="minorHAnsi"/>
          <w:szCs w:val="24"/>
          <w:lang w:val="es-CR"/>
        </w:rPr>
        <w:t xml:space="preserve">la cuenta </w:t>
      </w:r>
      <w:r w:rsidR="00B36EE4" w:rsidRPr="0023319B">
        <w:rPr>
          <w:rFonts w:asciiTheme="minorHAnsi" w:hAnsiTheme="minorHAnsi" w:cstheme="minorHAnsi"/>
          <w:szCs w:val="24"/>
          <w:lang w:val="es-CR"/>
        </w:rPr>
        <w:t>cerró con una ejecución de ¢</w:t>
      </w:r>
      <w:r w:rsidR="005D4F53" w:rsidRPr="0023319B">
        <w:rPr>
          <w:rFonts w:asciiTheme="minorHAnsi" w:hAnsiTheme="minorHAnsi" w:cstheme="minorHAnsi"/>
          <w:szCs w:val="24"/>
          <w:lang w:val="es-CR"/>
        </w:rPr>
        <w:t>1</w:t>
      </w:r>
      <w:r w:rsidR="00C24B00" w:rsidRPr="0023319B">
        <w:rPr>
          <w:rFonts w:asciiTheme="minorHAnsi" w:hAnsiTheme="minorHAnsi" w:cstheme="minorHAnsi"/>
          <w:szCs w:val="24"/>
          <w:lang w:val="es-CR"/>
        </w:rPr>
        <w:t> 862,2</w:t>
      </w:r>
      <w:r w:rsidR="003A1EB7" w:rsidRPr="0023319B">
        <w:rPr>
          <w:rFonts w:asciiTheme="minorHAnsi" w:hAnsiTheme="minorHAnsi" w:cstheme="minorHAnsi"/>
          <w:szCs w:val="24"/>
          <w:lang w:val="es-CR"/>
        </w:rPr>
        <w:t xml:space="preserve"> millones</w:t>
      </w:r>
      <w:r w:rsidR="00447EA0" w:rsidRPr="0023319B">
        <w:rPr>
          <w:rFonts w:asciiTheme="minorHAnsi" w:hAnsiTheme="minorHAnsi" w:cstheme="minorHAnsi"/>
          <w:szCs w:val="24"/>
          <w:lang w:val="es-CR"/>
        </w:rPr>
        <w:t>,</w:t>
      </w:r>
      <w:r w:rsidR="00803643" w:rsidRPr="0023319B">
        <w:rPr>
          <w:rFonts w:asciiTheme="minorHAnsi" w:hAnsiTheme="minorHAnsi" w:cstheme="minorHAnsi"/>
          <w:szCs w:val="24"/>
          <w:lang w:val="es-CR"/>
        </w:rPr>
        <w:t xml:space="preserve"> </w:t>
      </w:r>
      <w:r w:rsidR="00B36EE4" w:rsidRPr="0023319B">
        <w:rPr>
          <w:rFonts w:asciiTheme="minorHAnsi" w:hAnsiTheme="minorHAnsi" w:cstheme="minorHAnsi"/>
          <w:szCs w:val="24"/>
          <w:lang w:val="es-CR"/>
        </w:rPr>
        <w:t xml:space="preserve">cifra que equivale a un </w:t>
      </w:r>
      <w:r w:rsidR="00C24B00" w:rsidRPr="0023319B">
        <w:rPr>
          <w:rFonts w:asciiTheme="minorHAnsi" w:hAnsiTheme="minorHAnsi" w:cstheme="minorHAnsi"/>
          <w:szCs w:val="24"/>
          <w:lang w:val="es-CR"/>
        </w:rPr>
        <w:t>85</w:t>
      </w:r>
      <w:r w:rsidR="00B36EE4" w:rsidRPr="0023319B">
        <w:rPr>
          <w:rFonts w:asciiTheme="minorHAnsi" w:hAnsiTheme="minorHAnsi" w:cstheme="minorHAnsi"/>
          <w:szCs w:val="24"/>
          <w:lang w:val="es-CR"/>
        </w:rPr>
        <w:t>% del total de recursos presupuestados en esta partida.</w:t>
      </w:r>
    </w:p>
    <w:p w14:paraId="64DC75F6" w14:textId="77777777" w:rsidR="00225437" w:rsidRPr="0023319B" w:rsidRDefault="00225437" w:rsidP="00093594">
      <w:pPr>
        <w:pStyle w:val="Textoindependiente"/>
        <w:numPr>
          <w:ilvl w:val="0"/>
          <w:numId w:val="0"/>
        </w:numPr>
        <w:ind w:right="51"/>
        <w:rPr>
          <w:rFonts w:asciiTheme="minorHAnsi" w:hAnsiTheme="minorHAnsi" w:cstheme="minorHAnsi"/>
          <w:szCs w:val="24"/>
          <w:lang w:val="es-CR"/>
        </w:rPr>
      </w:pPr>
    </w:p>
    <w:p w14:paraId="64DC7706" w14:textId="730260D0" w:rsidR="00225437" w:rsidRPr="0023319B" w:rsidRDefault="00225437" w:rsidP="00093594">
      <w:pPr>
        <w:pStyle w:val="Textoindependiente"/>
        <w:numPr>
          <w:ilvl w:val="0"/>
          <w:numId w:val="0"/>
        </w:numPr>
        <w:tabs>
          <w:tab w:val="left" w:pos="1134"/>
          <w:tab w:val="decimal" w:pos="7088"/>
        </w:tabs>
        <w:ind w:right="51"/>
        <w:rPr>
          <w:rFonts w:asciiTheme="minorHAnsi" w:hAnsiTheme="minorHAnsi" w:cstheme="minorHAnsi"/>
          <w:szCs w:val="24"/>
          <w:lang w:val="es-CR"/>
        </w:rPr>
      </w:pPr>
      <w:r w:rsidRPr="0023319B">
        <w:rPr>
          <w:rFonts w:asciiTheme="minorHAnsi" w:hAnsiTheme="minorHAnsi" w:cstheme="minorHAnsi"/>
          <w:szCs w:val="24"/>
          <w:lang w:val="es-CR"/>
        </w:rPr>
        <w:t>Los porcentajes de ejecución en las diferentes partidas que conforman la cuenta de “Servicios” reflejan, en forma general</w:t>
      </w:r>
      <w:r w:rsidR="008D4D14" w:rsidRPr="0023319B">
        <w:rPr>
          <w:rFonts w:asciiTheme="minorHAnsi" w:hAnsiTheme="minorHAnsi" w:cstheme="minorHAnsi"/>
          <w:szCs w:val="24"/>
          <w:lang w:val="es-CR"/>
        </w:rPr>
        <w:t>,</w:t>
      </w:r>
      <w:r w:rsidR="00955C32" w:rsidRPr="0023319B">
        <w:rPr>
          <w:rFonts w:asciiTheme="minorHAnsi" w:hAnsiTheme="minorHAnsi" w:cstheme="minorHAnsi"/>
          <w:szCs w:val="24"/>
          <w:lang w:val="es-CR"/>
        </w:rPr>
        <w:t xml:space="preserve"> un</w:t>
      </w:r>
      <w:r w:rsidRPr="0023319B">
        <w:rPr>
          <w:rFonts w:asciiTheme="minorHAnsi" w:hAnsiTheme="minorHAnsi" w:cstheme="minorHAnsi"/>
          <w:szCs w:val="24"/>
          <w:lang w:val="es-CR"/>
        </w:rPr>
        <w:t xml:space="preserve"> cumplimiento</w:t>
      </w:r>
      <w:r w:rsidR="00955C32" w:rsidRPr="0023319B">
        <w:rPr>
          <w:rFonts w:asciiTheme="minorHAnsi" w:hAnsiTheme="minorHAnsi" w:cstheme="minorHAnsi"/>
          <w:szCs w:val="24"/>
          <w:lang w:val="es-CR"/>
        </w:rPr>
        <w:t xml:space="preserve"> normal</w:t>
      </w:r>
      <w:r w:rsidR="00F95151" w:rsidRPr="0023319B">
        <w:rPr>
          <w:rFonts w:asciiTheme="minorHAnsi" w:hAnsiTheme="minorHAnsi" w:cstheme="minorHAnsi"/>
          <w:szCs w:val="24"/>
          <w:lang w:val="es-CR"/>
        </w:rPr>
        <w:t xml:space="preserve"> de ejecución</w:t>
      </w:r>
      <w:r w:rsidR="00AB2D9B" w:rsidRPr="0023319B">
        <w:rPr>
          <w:rFonts w:asciiTheme="minorHAnsi" w:hAnsiTheme="minorHAnsi" w:cstheme="minorHAnsi"/>
          <w:szCs w:val="24"/>
          <w:lang w:val="es-CR"/>
        </w:rPr>
        <w:t xml:space="preserve"> </w:t>
      </w:r>
      <w:r w:rsidR="008D4D14" w:rsidRPr="0023319B">
        <w:rPr>
          <w:rFonts w:asciiTheme="minorHAnsi" w:hAnsiTheme="minorHAnsi" w:cstheme="minorHAnsi"/>
          <w:szCs w:val="24"/>
          <w:lang w:val="es-CR"/>
        </w:rPr>
        <w:t>de conformidad con los lineamientos establecido</w:t>
      </w:r>
      <w:r w:rsidR="00AB2D9B" w:rsidRPr="0023319B">
        <w:rPr>
          <w:rFonts w:asciiTheme="minorHAnsi" w:hAnsiTheme="minorHAnsi" w:cstheme="minorHAnsi"/>
          <w:szCs w:val="24"/>
          <w:lang w:val="es-CR"/>
        </w:rPr>
        <w:t>s por el Consejo</w:t>
      </w:r>
      <w:r w:rsidR="007A2448" w:rsidRPr="0023319B">
        <w:rPr>
          <w:rFonts w:asciiTheme="minorHAnsi" w:hAnsiTheme="minorHAnsi" w:cstheme="minorHAnsi"/>
          <w:szCs w:val="24"/>
          <w:lang w:val="es-CR"/>
        </w:rPr>
        <w:t xml:space="preserve">, </w:t>
      </w:r>
      <w:r w:rsidR="00F54AF2" w:rsidRPr="0023319B">
        <w:rPr>
          <w:rFonts w:asciiTheme="minorHAnsi" w:hAnsiTheme="minorHAnsi" w:cstheme="minorHAnsi"/>
          <w:szCs w:val="24"/>
          <w:lang w:val="es-CR"/>
        </w:rPr>
        <w:t>afectados directamente por la situación de pandemia</w:t>
      </w:r>
      <w:r w:rsidR="00BC1CDC" w:rsidRPr="0023319B">
        <w:rPr>
          <w:rFonts w:asciiTheme="minorHAnsi" w:hAnsiTheme="minorHAnsi" w:cstheme="minorHAnsi"/>
          <w:szCs w:val="24"/>
          <w:lang w:val="es-CR"/>
        </w:rPr>
        <w:t>, según se detalla:</w:t>
      </w:r>
    </w:p>
    <w:p w14:paraId="742819A7" w14:textId="77777777" w:rsidR="0046011A" w:rsidRPr="0023319B" w:rsidRDefault="0046011A" w:rsidP="00093594">
      <w:pPr>
        <w:pStyle w:val="Textoindependiente"/>
        <w:numPr>
          <w:ilvl w:val="0"/>
          <w:numId w:val="0"/>
        </w:numPr>
        <w:tabs>
          <w:tab w:val="left" w:pos="1134"/>
          <w:tab w:val="decimal" w:pos="7088"/>
        </w:tabs>
        <w:ind w:right="51"/>
        <w:rPr>
          <w:rFonts w:asciiTheme="minorHAnsi" w:hAnsiTheme="minorHAnsi" w:cstheme="minorHAnsi"/>
          <w:szCs w:val="24"/>
          <w:lang w:val="es-CR"/>
        </w:rPr>
      </w:pPr>
    </w:p>
    <w:p w14:paraId="64DC770D" w14:textId="737CB1F4" w:rsidR="002414EC" w:rsidRPr="0023319B" w:rsidRDefault="00A75582" w:rsidP="00093594">
      <w:pPr>
        <w:pStyle w:val="Textoindependiente"/>
        <w:numPr>
          <w:ilvl w:val="0"/>
          <w:numId w:val="8"/>
        </w:numPr>
        <w:tabs>
          <w:tab w:val="decimal" w:pos="7088"/>
        </w:tabs>
        <w:ind w:left="567" w:right="51"/>
        <w:rPr>
          <w:rFonts w:asciiTheme="minorHAnsi" w:hAnsiTheme="minorHAnsi" w:cstheme="minorHAnsi"/>
          <w:szCs w:val="24"/>
          <w:lang w:val="es-CR"/>
        </w:rPr>
      </w:pPr>
      <w:r w:rsidRPr="0023319B">
        <w:rPr>
          <w:rFonts w:asciiTheme="minorHAnsi" w:hAnsiTheme="minorHAnsi" w:cstheme="minorHAnsi"/>
          <w:szCs w:val="24"/>
          <w:lang w:val="es-CR"/>
        </w:rPr>
        <w:t xml:space="preserve"> </w:t>
      </w:r>
      <w:r w:rsidR="002C7CE3" w:rsidRPr="0023319B">
        <w:rPr>
          <w:rFonts w:asciiTheme="minorHAnsi" w:hAnsiTheme="minorHAnsi" w:cstheme="minorHAnsi"/>
          <w:szCs w:val="24"/>
          <w:lang w:val="es-CR"/>
        </w:rPr>
        <w:t>“Servicios de T</w:t>
      </w:r>
      <w:r w:rsidR="002414EC" w:rsidRPr="0023319B">
        <w:rPr>
          <w:rFonts w:asciiTheme="minorHAnsi" w:hAnsiTheme="minorHAnsi" w:cstheme="minorHAnsi"/>
          <w:szCs w:val="24"/>
          <w:lang w:val="es-CR"/>
        </w:rPr>
        <w:t xml:space="preserve">elecomunicación” (1-02-04) con una ejecución del </w:t>
      </w:r>
      <w:r w:rsidR="00070DF4" w:rsidRPr="0023319B">
        <w:rPr>
          <w:rFonts w:asciiTheme="minorHAnsi" w:hAnsiTheme="minorHAnsi" w:cstheme="minorHAnsi"/>
          <w:szCs w:val="24"/>
          <w:lang w:val="es-CR"/>
        </w:rPr>
        <w:t>48</w:t>
      </w:r>
      <w:r w:rsidR="002414EC" w:rsidRPr="0023319B">
        <w:rPr>
          <w:rFonts w:asciiTheme="minorHAnsi" w:hAnsiTheme="minorHAnsi" w:cstheme="minorHAnsi"/>
          <w:szCs w:val="24"/>
          <w:lang w:val="es-CR"/>
        </w:rPr>
        <w:t>%</w:t>
      </w:r>
      <w:r w:rsidR="00402233" w:rsidRPr="0023319B">
        <w:rPr>
          <w:rFonts w:asciiTheme="minorHAnsi" w:hAnsiTheme="minorHAnsi" w:cstheme="minorHAnsi"/>
          <w:szCs w:val="24"/>
          <w:lang w:val="es-CR"/>
        </w:rPr>
        <w:t xml:space="preserve">, </w:t>
      </w:r>
      <w:r w:rsidR="009417B3" w:rsidRPr="0023319B">
        <w:rPr>
          <w:rFonts w:asciiTheme="minorHAnsi" w:hAnsiTheme="minorHAnsi" w:cstheme="minorHAnsi"/>
          <w:szCs w:val="24"/>
          <w:lang w:val="es-CR"/>
        </w:rPr>
        <w:t xml:space="preserve">corresponde al pago </w:t>
      </w:r>
      <w:r w:rsidR="00402233" w:rsidRPr="0023319B">
        <w:rPr>
          <w:rFonts w:asciiTheme="minorHAnsi" w:hAnsiTheme="minorHAnsi" w:cstheme="minorHAnsi"/>
          <w:szCs w:val="24"/>
          <w:lang w:val="es-CR"/>
        </w:rPr>
        <w:t xml:space="preserve">por servicios </w:t>
      </w:r>
      <w:r w:rsidR="00C1223B" w:rsidRPr="0023319B">
        <w:rPr>
          <w:rFonts w:asciiTheme="minorHAnsi" w:hAnsiTheme="minorHAnsi" w:cstheme="minorHAnsi"/>
          <w:szCs w:val="24"/>
          <w:lang w:val="es-CR"/>
        </w:rPr>
        <w:t>telefónicos</w:t>
      </w:r>
      <w:r w:rsidR="002D3A55" w:rsidRPr="0023319B">
        <w:rPr>
          <w:rFonts w:asciiTheme="minorHAnsi" w:hAnsiTheme="minorHAnsi" w:cstheme="minorHAnsi"/>
          <w:szCs w:val="24"/>
          <w:lang w:val="es-CR"/>
        </w:rPr>
        <w:t>.</w:t>
      </w:r>
      <w:r w:rsidR="002414EC" w:rsidRPr="0023319B">
        <w:rPr>
          <w:rFonts w:asciiTheme="minorHAnsi" w:hAnsiTheme="minorHAnsi" w:cstheme="minorHAnsi"/>
          <w:szCs w:val="24"/>
          <w:lang w:val="es-CR"/>
        </w:rPr>
        <w:t xml:space="preserve"> </w:t>
      </w:r>
    </w:p>
    <w:p w14:paraId="64DC770E" w14:textId="43805BFA" w:rsidR="003253F9" w:rsidRPr="0023319B" w:rsidRDefault="00225437" w:rsidP="007F064A">
      <w:pPr>
        <w:pStyle w:val="Textoindependiente"/>
        <w:numPr>
          <w:ilvl w:val="0"/>
          <w:numId w:val="8"/>
        </w:numPr>
        <w:tabs>
          <w:tab w:val="decimal" w:pos="7088"/>
        </w:tabs>
        <w:ind w:left="567" w:right="51"/>
        <w:rPr>
          <w:rFonts w:asciiTheme="minorHAnsi" w:hAnsiTheme="minorHAnsi" w:cstheme="minorHAnsi"/>
          <w:szCs w:val="24"/>
          <w:lang w:val="es-CR"/>
        </w:rPr>
      </w:pPr>
      <w:r w:rsidRPr="0023319B">
        <w:rPr>
          <w:rFonts w:asciiTheme="minorHAnsi" w:hAnsiTheme="minorHAnsi" w:cstheme="minorHAnsi"/>
          <w:szCs w:val="24"/>
          <w:lang w:val="es-CR"/>
        </w:rPr>
        <w:t xml:space="preserve">“Información” (1 03 01) alcanzó una ejecución del </w:t>
      </w:r>
      <w:r w:rsidR="006972E6" w:rsidRPr="0023319B">
        <w:rPr>
          <w:rFonts w:asciiTheme="minorHAnsi" w:hAnsiTheme="minorHAnsi" w:cstheme="minorHAnsi"/>
          <w:szCs w:val="24"/>
          <w:lang w:val="es-CR"/>
        </w:rPr>
        <w:t>3</w:t>
      </w:r>
      <w:r w:rsidR="007329A4" w:rsidRPr="0023319B">
        <w:rPr>
          <w:rFonts w:asciiTheme="minorHAnsi" w:hAnsiTheme="minorHAnsi" w:cstheme="minorHAnsi"/>
          <w:szCs w:val="24"/>
          <w:lang w:val="es-CR"/>
        </w:rPr>
        <w:t>%</w:t>
      </w:r>
      <w:r w:rsidR="00B77CB7" w:rsidRPr="0023319B">
        <w:rPr>
          <w:rFonts w:asciiTheme="minorHAnsi" w:hAnsiTheme="minorHAnsi" w:cstheme="minorHAnsi"/>
          <w:szCs w:val="24"/>
          <w:lang w:val="es-CR"/>
        </w:rPr>
        <w:t>.</w:t>
      </w:r>
      <w:r w:rsidR="006000D7" w:rsidRPr="0023319B">
        <w:rPr>
          <w:rFonts w:asciiTheme="minorHAnsi" w:hAnsiTheme="minorHAnsi" w:cstheme="minorHAnsi"/>
          <w:szCs w:val="24"/>
          <w:lang w:val="es-CR"/>
        </w:rPr>
        <w:t xml:space="preserve"> </w:t>
      </w:r>
      <w:r w:rsidR="007F064A" w:rsidRPr="0023319B">
        <w:rPr>
          <w:rFonts w:asciiTheme="minorHAnsi" w:hAnsiTheme="minorHAnsi" w:cstheme="minorHAnsi"/>
          <w:szCs w:val="24"/>
          <w:lang w:val="es-CR"/>
        </w:rPr>
        <w:t xml:space="preserve">Se </w:t>
      </w:r>
      <w:r w:rsidR="006074C8" w:rsidRPr="0023319B">
        <w:rPr>
          <w:rFonts w:asciiTheme="minorHAnsi" w:hAnsiTheme="minorHAnsi" w:cstheme="minorHAnsi"/>
          <w:szCs w:val="24"/>
          <w:lang w:val="es-CR"/>
        </w:rPr>
        <w:t>presupuestó</w:t>
      </w:r>
      <w:r w:rsidR="001912DF" w:rsidRPr="0023319B">
        <w:rPr>
          <w:rFonts w:asciiTheme="minorHAnsi" w:hAnsiTheme="minorHAnsi" w:cstheme="minorHAnsi"/>
          <w:szCs w:val="24"/>
          <w:lang w:val="es-CR"/>
        </w:rPr>
        <w:t xml:space="preserve"> la ejecución </w:t>
      </w:r>
      <w:r w:rsidR="006A6C93" w:rsidRPr="0023319B">
        <w:rPr>
          <w:rFonts w:asciiTheme="minorHAnsi" w:hAnsiTheme="minorHAnsi" w:cstheme="minorHAnsi"/>
          <w:szCs w:val="24"/>
          <w:lang w:val="es-CR"/>
        </w:rPr>
        <w:t>de</w:t>
      </w:r>
      <w:r w:rsidR="0084551D" w:rsidRPr="0023319B">
        <w:rPr>
          <w:rFonts w:asciiTheme="minorHAnsi" w:hAnsiTheme="minorHAnsi" w:cstheme="minorHAnsi"/>
          <w:szCs w:val="24"/>
          <w:lang w:val="es-CR"/>
        </w:rPr>
        <w:t xml:space="preserve"> </w:t>
      </w:r>
      <w:r w:rsidR="007F064A" w:rsidRPr="0023319B">
        <w:rPr>
          <w:rFonts w:asciiTheme="minorHAnsi" w:hAnsiTheme="minorHAnsi" w:cstheme="minorHAnsi"/>
          <w:szCs w:val="24"/>
          <w:lang w:val="es-CR"/>
        </w:rPr>
        <w:t>una campaña de información</w:t>
      </w:r>
      <w:r w:rsidR="00D32291" w:rsidRPr="0023319B">
        <w:rPr>
          <w:rFonts w:asciiTheme="minorHAnsi" w:hAnsiTheme="minorHAnsi" w:cstheme="minorHAnsi"/>
          <w:szCs w:val="24"/>
          <w:lang w:val="es-CR"/>
        </w:rPr>
        <w:t xml:space="preserve"> </w:t>
      </w:r>
      <w:r w:rsidR="002B7BEB" w:rsidRPr="0023319B">
        <w:rPr>
          <w:rFonts w:asciiTheme="minorHAnsi" w:hAnsiTheme="minorHAnsi" w:cstheme="minorHAnsi"/>
          <w:szCs w:val="24"/>
          <w:lang w:val="es-CR"/>
        </w:rPr>
        <w:t xml:space="preserve">en temas relacionados con pensiones </w:t>
      </w:r>
      <w:r w:rsidR="006074C8" w:rsidRPr="0023319B">
        <w:rPr>
          <w:rFonts w:asciiTheme="minorHAnsi" w:hAnsiTheme="minorHAnsi" w:cstheme="minorHAnsi"/>
          <w:szCs w:val="24"/>
          <w:lang w:val="es-CR"/>
        </w:rPr>
        <w:t>y educación financiera</w:t>
      </w:r>
      <w:r w:rsidR="00BA4C82" w:rsidRPr="0023319B">
        <w:rPr>
          <w:rFonts w:asciiTheme="minorHAnsi" w:hAnsiTheme="minorHAnsi" w:cstheme="minorHAnsi"/>
          <w:szCs w:val="24"/>
          <w:lang w:val="es-CR"/>
        </w:rPr>
        <w:t xml:space="preserve">, </w:t>
      </w:r>
      <w:r w:rsidR="0021729D" w:rsidRPr="0023319B">
        <w:rPr>
          <w:rFonts w:asciiTheme="minorHAnsi" w:hAnsiTheme="minorHAnsi" w:cstheme="minorHAnsi"/>
          <w:szCs w:val="24"/>
          <w:lang w:val="es-CR"/>
        </w:rPr>
        <w:t xml:space="preserve">pero no fue </w:t>
      </w:r>
      <w:r w:rsidR="0015794B" w:rsidRPr="0023319B">
        <w:rPr>
          <w:rFonts w:asciiTheme="minorHAnsi" w:hAnsiTheme="minorHAnsi" w:cstheme="minorHAnsi"/>
          <w:szCs w:val="24"/>
          <w:lang w:val="es-CR"/>
        </w:rPr>
        <w:t xml:space="preserve">posible ejecutarla dadas las circunstancias </w:t>
      </w:r>
      <w:r w:rsidR="005F6B7A" w:rsidRPr="0023319B">
        <w:rPr>
          <w:rFonts w:asciiTheme="minorHAnsi" w:hAnsiTheme="minorHAnsi" w:cstheme="minorHAnsi"/>
          <w:szCs w:val="24"/>
          <w:lang w:val="es-CR"/>
        </w:rPr>
        <w:t>de ese momento</w:t>
      </w:r>
      <w:r w:rsidR="00482BC2" w:rsidRPr="0023319B">
        <w:rPr>
          <w:rFonts w:asciiTheme="minorHAnsi" w:hAnsiTheme="minorHAnsi" w:cstheme="minorHAnsi"/>
          <w:szCs w:val="24"/>
          <w:lang w:val="es-CR"/>
        </w:rPr>
        <w:t>.</w:t>
      </w:r>
    </w:p>
    <w:p w14:paraId="64DC770F" w14:textId="2182366B" w:rsidR="003253F9" w:rsidRPr="0023319B" w:rsidRDefault="002C7CE3" w:rsidP="00093594">
      <w:pPr>
        <w:pStyle w:val="Textoindependiente"/>
        <w:numPr>
          <w:ilvl w:val="0"/>
          <w:numId w:val="8"/>
        </w:numPr>
        <w:tabs>
          <w:tab w:val="decimal" w:pos="7088"/>
        </w:tabs>
        <w:ind w:left="567" w:right="51"/>
        <w:rPr>
          <w:rFonts w:asciiTheme="minorHAnsi" w:hAnsiTheme="minorHAnsi" w:cstheme="minorHAnsi"/>
          <w:szCs w:val="24"/>
          <w:lang w:val="es-CR"/>
        </w:rPr>
      </w:pPr>
      <w:r w:rsidRPr="0023319B">
        <w:rPr>
          <w:rFonts w:asciiTheme="minorHAnsi" w:hAnsiTheme="minorHAnsi" w:cstheme="minorHAnsi"/>
          <w:szCs w:val="24"/>
          <w:lang w:val="es-CR"/>
        </w:rPr>
        <w:t>“Servicios de Transferencia Electrónica de I</w:t>
      </w:r>
      <w:r w:rsidR="00225437" w:rsidRPr="0023319B">
        <w:rPr>
          <w:rFonts w:asciiTheme="minorHAnsi" w:hAnsiTheme="minorHAnsi" w:cstheme="minorHAnsi"/>
          <w:szCs w:val="24"/>
          <w:lang w:val="es-CR"/>
        </w:rPr>
        <w:t xml:space="preserve">nformación” (1 03 07) refleja una ejecución del </w:t>
      </w:r>
      <w:r w:rsidR="005F6B7A" w:rsidRPr="0023319B">
        <w:rPr>
          <w:rFonts w:asciiTheme="minorHAnsi" w:hAnsiTheme="minorHAnsi" w:cstheme="minorHAnsi"/>
          <w:szCs w:val="24"/>
          <w:lang w:val="es-CR"/>
        </w:rPr>
        <w:t>54</w:t>
      </w:r>
      <w:r w:rsidR="002D3A55" w:rsidRPr="0023319B">
        <w:rPr>
          <w:rFonts w:asciiTheme="minorHAnsi" w:hAnsiTheme="minorHAnsi" w:cstheme="minorHAnsi"/>
          <w:szCs w:val="24"/>
          <w:lang w:val="es-CR"/>
        </w:rPr>
        <w:t>%.</w:t>
      </w:r>
      <w:r w:rsidR="00EA0B67" w:rsidRPr="0023319B">
        <w:rPr>
          <w:rFonts w:asciiTheme="minorHAnsi" w:hAnsiTheme="minorHAnsi" w:cstheme="minorHAnsi"/>
          <w:szCs w:val="24"/>
          <w:lang w:val="es-CR"/>
        </w:rPr>
        <w:t xml:space="preserve"> Correspond</w:t>
      </w:r>
      <w:r w:rsidR="00B66334" w:rsidRPr="0023319B">
        <w:rPr>
          <w:rFonts w:asciiTheme="minorHAnsi" w:hAnsiTheme="minorHAnsi" w:cstheme="minorHAnsi"/>
          <w:szCs w:val="24"/>
          <w:lang w:val="es-CR"/>
        </w:rPr>
        <w:t>ió</w:t>
      </w:r>
      <w:r w:rsidR="00EA0B67" w:rsidRPr="0023319B">
        <w:rPr>
          <w:rFonts w:asciiTheme="minorHAnsi" w:hAnsiTheme="minorHAnsi" w:cstheme="minorHAnsi"/>
          <w:szCs w:val="24"/>
          <w:lang w:val="es-CR"/>
        </w:rPr>
        <w:t xml:space="preserve"> al pago del servicio de cone</w:t>
      </w:r>
      <w:r w:rsidR="001B0981" w:rsidRPr="0023319B">
        <w:rPr>
          <w:rFonts w:asciiTheme="minorHAnsi" w:hAnsiTheme="minorHAnsi" w:cstheme="minorHAnsi"/>
          <w:szCs w:val="24"/>
          <w:lang w:val="es-CR"/>
        </w:rPr>
        <w:t>x</w:t>
      </w:r>
      <w:r w:rsidR="00EA0B67" w:rsidRPr="0023319B">
        <w:rPr>
          <w:rFonts w:asciiTheme="minorHAnsi" w:hAnsiTheme="minorHAnsi" w:cstheme="minorHAnsi"/>
          <w:szCs w:val="24"/>
          <w:lang w:val="es-CR"/>
        </w:rPr>
        <w:t>ión a</w:t>
      </w:r>
      <w:r w:rsidR="001B0981" w:rsidRPr="0023319B">
        <w:rPr>
          <w:rFonts w:asciiTheme="minorHAnsi" w:hAnsiTheme="minorHAnsi" w:cstheme="minorHAnsi"/>
          <w:szCs w:val="24"/>
          <w:lang w:val="es-CR"/>
        </w:rPr>
        <w:t xml:space="preserve"> Bloomberg y </w:t>
      </w:r>
      <w:r w:rsidR="00F026E6" w:rsidRPr="0023319B">
        <w:rPr>
          <w:rFonts w:asciiTheme="minorHAnsi" w:hAnsiTheme="minorHAnsi" w:cstheme="minorHAnsi"/>
          <w:szCs w:val="24"/>
          <w:lang w:val="es-CR"/>
        </w:rPr>
        <w:t xml:space="preserve">primeros meses de </w:t>
      </w:r>
      <w:r w:rsidR="001B0981" w:rsidRPr="0023319B">
        <w:rPr>
          <w:rFonts w:asciiTheme="minorHAnsi" w:hAnsiTheme="minorHAnsi" w:cstheme="minorHAnsi"/>
          <w:szCs w:val="24"/>
          <w:lang w:val="es-CR"/>
        </w:rPr>
        <w:t>la BNV.</w:t>
      </w:r>
      <w:r w:rsidR="00EA0B67" w:rsidRPr="0023319B">
        <w:rPr>
          <w:rFonts w:asciiTheme="minorHAnsi" w:hAnsiTheme="minorHAnsi" w:cstheme="minorHAnsi"/>
          <w:szCs w:val="24"/>
          <w:lang w:val="es-CR"/>
        </w:rPr>
        <w:t xml:space="preserve"> </w:t>
      </w:r>
    </w:p>
    <w:p w14:paraId="196AF872" w14:textId="0BB5BE63" w:rsidR="001A2243" w:rsidRPr="0023319B" w:rsidRDefault="001A2243" w:rsidP="00093594">
      <w:pPr>
        <w:pStyle w:val="Textoindependiente"/>
        <w:numPr>
          <w:ilvl w:val="0"/>
          <w:numId w:val="8"/>
        </w:numPr>
        <w:tabs>
          <w:tab w:val="decimal" w:pos="7088"/>
        </w:tabs>
        <w:ind w:left="567" w:right="51"/>
        <w:rPr>
          <w:rFonts w:asciiTheme="minorHAnsi" w:hAnsiTheme="minorHAnsi" w:cstheme="minorHAnsi"/>
          <w:szCs w:val="24"/>
          <w:lang w:val="es-CR"/>
        </w:rPr>
      </w:pPr>
      <w:r w:rsidRPr="0023319B">
        <w:rPr>
          <w:rFonts w:asciiTheme="minorHAnsi" w:hAnsiTheme="minorHAnsi" w:cstheme="minorHAnsi"/>
          <w:szCs w:val="24"/>
          <w:lang w:val="es-CR"/>
        </w:rPr>
        <w:t>“Servicios Jurídicos” (1 04 02) refleja una ejecución del 0%.</w:t>
      </w:r>
      <w:r w:rsidR="00AB2D9B" w:rsidRPr="0023319B">
        <w:rPr>
          <w:rFonts w:asciiTheme="minorHAnsi" w:hAnsiTheme="minorHAnsi" w:cstheme="minorHAnsi"/>
          <w:szCs w:val="24"/>
          <w:lang w:val="es-CR"/>
        </w:rPr>
        <w:t xml:space="preserve"> </w:t>
      </w:r>
      <w:r w:rsidR="00B06BF5" w:rsidRPr="0023319B">
        <w:rPr>
          <w:rFonts w:asciiTheme="minorHAnsi" w:hAnsiTheme="minorHAnsi" w:cstheme="minorHAnsi"/>
          <w:szCs w:val="24"/>
          <w:lang w:val="es-CR"/>
        </w:rPr>
        <w:t>A la fecha n</w:t>
      </w:r>
      <w:r w:rsidR="00AB2D9B" w:rsidRPr="0023319B">
        <w:rPr>
          <w:rFonts w:asciiTheme="minorHAnsi" w:hAnsiTheme="minorHAnsi" w:cstheme="minorHAnsi"/>
          <w:szCs w:val="24"/>
          <w:lang w:val="es-CR"/>
        </w:rPr>
        <w:t>o fue necesario la contratación de expertos en t</w:t>
      </w:r>
      <w:r w:rsidR="00EC51EA" w:rsidRPr="0023319B">
        <w:rPr>
          <w:rFonts w:asciiTheme="minorHAnsi" w:hAnsiTheme="minorHAnsi" w:cstheme="minorHAnsi"/>
          <w:szCs w:val="24"/>
          <w:lang w:val="es-CR"/>
        </w:rPr>
        <w:t>emas legales, lo</w:t>
      </w:r>
      <w:r w:rsidR="00AB2D9B" w:rsidRPr="0023319B">
        <w:rPr>
          <w:rFonts w:asciiTheme="minorHAnsi" w:hAnsiTheme="minorHAnsi" w:cstheme="minorHAnsi"/>
          <w:szCs w:val="24"/>
          <w:lang w:val="es-CR"/>
        </w:rPr>
        <w:t xml:space="preserve">s temas </w:t>
      </w:r>
      <w:r w:rsidR="00270D36" w:rsidRPr="0023319B">
        <w:rPr>
          <w:rFonts w:asciiTheme="minorHAnsi" w:hAnsiTheme="minorHAnsi" w:cstheme="minorHAnsi"/>
          <w:szCs w:val="24"/>
          <w:lang w:val="es-CR"/>
        </w:rPr>
        <w:t xml:space="preserve">que </w:t>
      </w:r>
      <w:r w:rsidR="00AB2D9B" w:rsidRPr="0023319B">
        <w:rPr>
          <w:rFonts w:asciiTheme="minorHAnsi" w:hAnsiTheme="minorHAnsi" w:cstheme="minorHAnsi"/>
          <w:szCs w:val="24"/>
          <w:lang w:val="es-CR"/>
        </w:rPr>
        <w:t>surgi</w:t>
      </w:r>
      <w:r w:rsidR="00270D36" w:rsidRPr="0023319B">
        <w:rPr>
          <w:rFonts w:asciiTheme="minorHAnsi" w:hAnsiTheme="minorHAnsi" w:cstheme="minorHAnsi"/>
          <w:szCs w:val="24"/>
          <w:lang w:val="es-CR"/>
        </w:rPr>
        <w:t>eron</w:t>
      </w:r>
      <w:r w:rsidR="00AB2D9B" w:rsidRPr="0023319B">
        <w:rPr>
          <w:rFonts w:asciiTheme="minorHAnsi" w:hAnsiTheme="minorHAnsi" w:cstheme="minorHAnsi"/>
          <w:szCs w:val="24"/>
          <w:lang w:val="es-CR"/>
        </w:rPr>
        <w:t xml:space="preserve"> se atendieron con el personal </w:t>
      </w:r>
      <w:r w:rsidR="00D17A2E" w:rsidRPr="0023319B">
        <w:rPr>
          <w:rFonts w:asciiTheme="minorHAnsi" w:hAnsiTheme="minorHAnsi" w:cstheme="minorHAnsi"/>
          <w:szCs w:val="24"/>
          <w:lang w:val="es-CR"/>
        </w:rPr>
        <w:t xml:space="preserve">del área jurídica </w:t>
      </w:r>
      <w:r w:rsidR="00AB2D9B" w:rsidRPr="0023319B">
        <w:rPr>
          <w:rFonts w:asciiTheme="minorHAnsi" w:hAnsiTheme="minorHAnsi" w:cstheme="minorHAnsi"/>
          <w:szCs w:val="24"/>
          <w:lang w:val="es-CR"/>
        </w:rPr>
        <w:t>de la SUPEN</w:t>
      </w:r>
      <w:r w:rsidR="008D4D14" w:rsidRPr="0023319B">
        <w:rPr>
          <w:rFonts w:asciiTheme="minorHAnsi" w:hAnsiTheme="minorHAnsi" w:cstheme="minorHAnsi"/>
          <w:szCs w:val="24"/>
          <w:lang w:val="es-CR"/>
        </w:rPr>
        <w:t>.</w:t>
      </w:r>
      <w:r w:rsidR="00AB2D9B" w:rsidRPr="0023319B">
        <w:rPr>
          <w:rFonts w:asciiTheme="minorHAnsi" w:hAnsiTheme="minorHAnsi" w:cstheme="minorHAnsi"/>
          <w:szCs w:val="24"/>
          <w:lang w:val="es-CR"/>
        </w:rPr>
        <w:t xml:space="preserve"> </w:t>
      </w:r>
    </w:p>
    <w:p w14:paraId="64DC7711" w14:textId="087AD298" w:rsidR="00225437" w:rsidRPr="0023319B" w:rsidRDefault="002C7CE3" w:rsidP="00093594">
      <w:pPr>
        <w:pStyle w:val="Textoindependiente"/>
        <w:numPr>
          <w:ilvl w:val="0"/>
          <w:numId w:val="8"/>
        </w:numPr>
        <w:tabs>
          <w:tab w:val="decimal" w:pos="7088"/>
        </w:tabs>
        <w:ind w:left="567" w:right="51"/>
        <w:rPr>
          <w:rFonts w:asciiTheme="minorHAnsi" w:hAnsiTheme="minorHAnsi" w:cstheme="minorHAnsi"/>
          <w:szCs w:val="24"/>
          <w:lang w:val="es-CR"/>
        </w:rPr>
      </w:pPr>
      <w:r w:rsidRPr="0023319B">
        <w:rPr>
          <w:rFonts w:asciiTheme="minorHAnsi" w:hAnsiTheme="minorHAnsi" w:cstheme="minorHAnsi"/>
          <w:szCs w:val="24"/>
          <w:lang w:val="es-CR"/>
        </w:rPr>
        <w:t>“Servicios en Ciencias E</w:t>
      </w:r>
      <w:r w:rsidR="00225437" w:rsidRPr="0023319B">
        <w:rPr>
          <w:rFonts w:asciiTheme="minorHAnsi" w:hAnsiTheme="minorHAnsi" w:cstheme="minorHAnsi"/>
          <w:szCs w:val="24"/>
          <w:lang w:val="es-CR"/>
        </w:rPr>
        <w:t xml:space="preserve">conómicas y Sociales” (1 04 04) el porcentaje de ejecución reflejado es del </w:t>
      </w:r>
      <w:r w:rsidR="00D17A2E" w:rsidRPr="0023319B">
        <w:rPr>
          <w:rFonts w:asciiTheme="minorHAnsi" w:hAnsiTheme="minorHAnsi" w:cstheme="minorHAnsi"/>
          <w:szCs w:val="24"/>
          <w:lang w:val="es-CR"/>
        </w:rPr>
        <w:t>92</w:t>
      </w:r>
      <w:r w:rsidR="00225437" w:rsidRPr="0023319B">
        <w:rPr>
          <w:rFonts w:asciiTheme="minorHAnsi" w:hAnsiTheme="minorHAnsi" w:cstheme="minorHAnsi"/>
          <w:szCs w:val="24"/>
          <w:lang w:val="es-CR"/>
        </w:rPr>
        <w:t xml:space="preserve">%, </w:t>
      </w:r>
      <w:r w:rsidR="008B654E" w:rsidRPr="0023319B">
        <w:rPr>
          <w:rFonts w:asciiTheme="minorHAnsi" w:hAnsiTheme="minorHAnsi" w:cstheme="minorHAnsi"/>
          <w:szCs w:val="24"/>
          <w:lang w:val="es-CR"/>
        </w:rPr>
        <w:t xml:space="preserve">incluye </w:t>
      </w:r>
      <w:r w:rsidR="00297721" w:rsidRPr="0023319B">
        <w:rPr>
          <w:rFonts w:asciiTheme="minorHAnsi" w:hAnsiTheme="minorHAnsi" w:cstheme="minorHAnsi"/>
          <w:szCs w:val="24"/>
          <w:lang w:val="es-CR"/>
        </w:rPr>
        <w:t xml:space="preserve">la contratación de consultorías y </w:t>
      </w:r>
      <w:r w:rsidR="00EE1EBF" w:rsidRPr="0023319B">
        <w:rPr>
          <w:rFonts w:asciiTheme="minorHAnsi" w:hAnsiTheme="minorHAnsi" w:cstheme="minorHAnsi"/>
          <w:szCs w:val="24"/>
          <w:lang w:val="es-CR"/>
        </w:rPr>
        <w:t xml:space="preserve">el pago </w:t>
      </w:r>
      <w:r w:rsidR="001D5483" w:rsidRPr="0023319B">
        <w:rPr>
          <w:rFonts w:asciiTheme="minorHAnsi" w:hAnsiTheme="minorHAnsi" w:cstheme="minorHAnsi"/>
          <w:szCs w:val="24"/>
          <w:lang w:val="es-CR"/>
        </w:rPr>
        <w:t>de los ser</w:t>
      </w:r>
      <w:r w:rsidR="00DE50A0" w:rsidRPr="0023319B">
        <w:rPr>
          <w:rFonts w:asciiTheme="minorHAnsi" w:hAnsiTheme="minorHAnsi" w:cstheme="minorHAnsi"/>
          <w:szCs w:val="24"/>
          <w:lang w:val="es-CR"/>
        </w:rPr>
        <w:t xml:space="preserve">vicios </w:t>
      </w:r>
      <w:r w:rsidR="00DE50A0" w:rsidRPr="0023319B">
        <w:rPr>
          <w:rFonts w:asciiTheme="minorHAnsi" w:hAnsiTheme="minorHAnsi" w:cstheme="minorHAnsi"/>
          <w:szCs w:val="24"/>
          <w:lang w:val="es-CR"/>
        </w:rPr>
        <w:tab/>
        <w:t>que brinda el BCCR a la SUPEN</w:t>
      </w:r>
      <w:r w:rsidR="003B04CD" w:rsidRPr="0023319B">
        <w:rPr>
          <w:rFonts w:asciiTheme="minorHAnsi" w:hAnsiTheme="minorHAnsi" w:cstheme="minorHAnsi"/>
          <w:szCs w:val="24"/>
          <w:lang w:val="es-CR"/>
        </w:rPr>
        <w:t>,</w:t>
      </w:r>
      <w:r w:rsidR="00DE50A0" w:rsidRPr="0023319B">
        <w:rPr>
          <w:rFonts w:asciiTheme="minorHAnsi" w:hAnsiTheme="minorHAnsi" w:cstheme="minorHAnsi"/>
          <w:szCs w:val="24"/>
          <w:lang w:val="es-CR"/>
        </w:rPr>
        <w:t xml:space="preserve"> </w:t>
      </w:r>
      <w:r w:rsidR="00225437" w:rsidRPr="0023319B">
        <w:rPr>
          <w:rFonts w:asciiTheme="minorHAnsi" w:hAnsiTheme="minorHAnsi" w:cstheme="minorHAnsi"/>
          <w:szCs w:val="24"/>
          <w:lang w:val="es-CR"/>
        </w:rPr>
        <w:t>el siguiente cuadro resume la situación en esta cuenta en particular</w:t>
      </w:r>
      <w:r w:rsidR="00E50795" w:rsidRPr="0023319B">
        <w:rPr>
          <w:rFonts w:asciiTheme="minorHAnsi" w:hAnsiTheme="minorHAnsi" w:cstheme="minorHAnsi"/>
          <w:szCs w:val="24"/>
          <w:lang w:val="es-CR"/>
        </w:rPr>
        <w:t>.</w:t>
      </w:r>
      <w:r w:rsidR="00C26CBD" w:rsidRPr="0023319B">
        <w:rPr>
          <w:rFonts w:asciiTheme="minorHAnsi" w:hAnsiTheme="minorHAnsi" w:cstheme="minorHAnsi"/>
          <w:szCs w:val="24"/>
          <w:lang w:val="es-CR"/>
        </w:rPr>
        <w:t xml:space="preserve"> </w:t>
      </w:r>
    </w:p>
    <w:p w14:paraId="7D151110" w14:textId="77777777" w:rsidR="00CD223D" w:rsidRPr="0023319B" w:rsidRDefault="00CD223D" w:rsidP="00CD223D">
      <w:pPr>
        <w:pStyle w:val="Textoindependiente"/>
        <w:numPr>
          <w:ilvl w:val="0"/>
          <w:numId w:val="0"/>
        </w:numPr>
        <w:tabs>
          <w:tab w:val="decimal" w:pos="7088"/>
        </w:tabs>
        <w:ind w:left="207" w:right="51"/>
        <w:rPr>
          <w:rFonts w:asciiTheme="minorHAnsi" w:hAnsiTheme="minorHAnsi" w:cstheme="minorHAnsi"/>
          <w:szCs w:val="24"/>
          <w:lang w:val="es-CR"/>
        </w:rPr>
      </w:pPr>
    </w:p>
    <w:p w14:paraId="012461A5" w14:textId="5F03FC78" w:rsidR="00607083" w:rsidRPr="0023319B" w:rsidRDefault="00E40F15" w:rsidP="00BA61D2">
      <w:pPr>
        <w:pStyle w:val="Textoindependiente"/>
        <w:numPr>
          <w:ilvl w:val="0"/>
          <w:numId w:val="0"/>
        </w:numPr>
        <w:spacing w:line="240" w:lineRule="auto"/>
        <w:ind w:right="51"/>
        <w:jc w:val="left"/>
        <w:outlineLvl w:val="2"/>
        <w:rPr>
          <w:rFonts w:asciiTheme="minorHAnsi" w:hAnsiTheme="minorHAnsi" w:cstheme="minorHAnsi"/>
          <w:szCs w:val="24"/>
          <w:lang w:val="es-CR"/>
        </w:rPr>
      </w:pPr>
      <w:bookmarkStart w:id="52" w:name="_Toc61081373"/>
      <w:r w:rsidRPr="0023319B">
        <w:rPr>
          <w:rFonts w:asciiTheme="minorHAnsi" w:hAnsiTheme="minorHAnsi" w:cstheme="minorHAnsi"/>
          <w:b/>
          <w:i/>
          <w:szCs w:val="24"/>
          <w:lang w:val="es-CR"/>
        </w:rPr>
        <w:t xml:space="preserve">Cuadro </w:t>
      </w:r>
      <w:r w:rsidR="00734EB5" w:rsidRPr="0023319B">
        <w:rPr>
          <w:rFonts w:asciiTheme="minorHAnsi" w:hAnsiTheme="minorHAnsi" w:cstheme="minorHAnsi"/>
          <w:b/>
          <w:i/>
          <w:szCs w:val="24"/>
          <w:lang w:val="es-CR"/>
        </w:rPr>
        <w:t>4</w:t>
      </w:r>
      <w:r w:rsidR="00582911" w:rsidRPr="0023319B">
        <w:rPr>
          <w:rFonts w:asciiTheme="minorHAnsi" w:hAnsiTheme="minorHAnsi" w:cstheme="minorHAnsi"/>
          <w:b/>
          <w:i/>
          <w:szCs w:val="24"/>
          <w:lang w:val="es-CR"/>
        </w:rPr>
        <w:t xml:space="preserve">: </w:t>
      </w:r>
      <w:r w:rsidR="00607083" w:rsidRPr="0023319B">
        <w:rPr>
          <w:rFonts w:asciiTheme="minorHAnsi" w:hAnsiTheme="minorHAnsi" w:cstheme="minorHAnsi"/>
          <w:szCs w:val="24"/>
          <w:lang w:val="es-CR"/>
        </w:rPr>
        <w:t>Detalle consultorías</w:t>
      </w:r>
      <w:bookmarkEnd w:id="52"/>
    </w:p>
    <w:p w14:paraId="6BC2B941" w14:textId="25A70840" w:rsidR="00607083" w:rsidRPr="0023319B" w:rsidRDefault="00607083" w:rsidP="00093594">
      <w:pPr>
        <w:ind w:right="51"/>
        <w:jc w:val="left"/>
        <w:rPr>
          <w:rFonts w:asciiTheme="minorHAnsi" w:hAnsiTheme="minorHAnsi" w:cstheme="minorHAnsi"/>
          <w:sz w:val="16"/>
          <w:szCs w:val="18"/>
          <w:lang w:val="es-CR"/>
        </w:rPr>
      </w:pPr>
      <w:r w:rsidRPr="0023319B">
        <w:rPr>
          <w:rFonts w:asciiTheme="minorHAnsi" w:hAnsiTheme="minorHAnsi" w:cstheme="minorHAnsi"/>
          <w:sz w:val="16"/>
          <w:szCs w:val="18"/>
          <w:lang w:val="es-CR"/>
        </w:rPr>
        <w:t>Montos en colones</w:t>
      </w:r>
    </w:p>
    <w:tbl>
      <w:tblPr>
        <w:tblW w:w="9229" w:type="dxa"/>
        <w:tblCellMar>
          <w:left w:w="70" w:type="dxa"/>
          <w:right w:w="70" w:type="dxa"/>
        </w:tblCellMar>
        <w:tblLook w:val="04A0" w:firstRow="1" w:lastRow="0" w:firstColumn="1" w:lastColumn="0" w:noHBand="0" w:noVBand="1"/>
      </w:tblPr>
      <w:tblGrid>
        <w:gridCol w:w="3397"/>
        <w:gridCol w:w="1247"/>
        <w:gridCol w:w="1247"/>
        <w:gridCol w:w="1241"/>
        <w:gridCol w:w="1247"/>
        <w:gridCol w:w="850"/>
      </w:tblGrid>
      <w:tr w:rsidR="003F625F" w:rsidRPr="0023319B" w14:paraId="0CA6F169" w14:textId="77777777" w:rsidTr="00517199">
        <w:trPr>
          <w:trHeight w:val="689"/>
          <w:tblHeader/>
        </w:trPr>
        <w:tc>
          <w:tcPr>
            <w:tcW w:w="3397" w:type="dxa"/>
            <w:tcBorders>
              <w:top w:val="single" w:sz="4" w:space="0" w:color="auto"/>
              <w:left w:val="single" w:sz="4" w:space="0" w:color="auto"/>
              <w:bottom w:val="single" w:sz="4" w:space="0" w:color="auto"/>
              <w:right w:val="single" w:sz="4" w:space="0" w:color="auto"/>
            </w:tcBorders>
            <w:shd w:val="clear" w:color="000000" w:fill="C6D9F1"/>
            <w:vAlign w:val="center"/>
            <w:hideMark/>
          </w:tcPr>
          <w:p w14:paraId="41A648E2" w14:textId="77777777" w:rsidR="003F625F" w:rsidRPr="0023319B" w:rsidRDefault="003F625F" w:rsidP="003F625F">
            <w:pPr>
              <w:spacing w:line="240" w:lineRule="auto"/>
              <w:rPr>
                <w:rFonts w:ascii="Calibri Light" w:hAnsi="Calibri Light" w:cs="Calibri Light"/>
                <w:b/>
                <w:bCs/>
                <w:color w:val="000000"/>
                <w:sz w:val="18"/>
                <w:szCs w:val="18"/>
                <w:lang w:val="es-CR" w:eastAsia="es-CR"/>
              </w:rPr>
            </w:pPr>
            <w:r w:rsidRPr="0023319B">
              <w:rPr>
                <w:rFonts w:ascii="Calibri Light" w:hAnsi="Calibri Light" w:cs="Calibri Light"/>
                <w:b/>
                <w:bCs/>
                <w:color w:val="000000"/>
                <w:sz w:val="18"/>
                <w:szCs w:val="18"/>
                <w:lang w:val="es-CR" w:eastAsia="es-CR"/>
              </w:rPr>
              <w:t>Detalle</w:t>
            </w:r>
          </w:p>
        </w:tc>
        <w:tc>
          <w:tcPr>
            <w:tcW w:w="1247" w:type="dxa"/>
            <w:tcBorders>
              <w:top w:val="single" w:sz="4" w:space="0" w:color="auto"/>
              <w:left w:val="nil"/>
              <w:bottom w:val="single" w:sz="4" w:space="0" w:color="auto"/>
              <w:right w:val="single" w:sz="4" w:space="0" w:color="auto"/>
            </w:tcBorders>
            <w:shd w:val="clear" w:color="000000" w:fill="C6D9F1"/>
            <w:vAlign w:val="center"/>
            <w:hideMark/>
          </w:tcPr>
          <w:p w14:paraId="2346D6BA" w14:textId="77777777" w:rsidR="003F625F" w:rsidRPr="0023319B" w:rsidRDefault="003F625F" w:rsidP="003F625F">
            <w:pPr>
              <w:spacing w:line="240" w:lineRule="auto"/>
              <w:jc w:val="center"/>
              <w:rPr>
                <w:rFonts w:ascii="Calibri Light" w:hAnsi="Calibri Light" w:cs="Calibri Light"/>
                <w:b/>
                <w:bCs/>
                <w:color w:val="000000"/>
                <w:sz w:val="18"/>
                <w:szCs w:val="18"/>
                <w:lang w:val="es-CR" w:eastAsia="es-CR"/>
              </w:rPr>
            </w:pPr>
            <w:r w:rsidRPr="0023319B">
              <w:rPr>
                <w:rFonts w:ascii="Calibri Light" w:hAnsi="Calibri Light" w:cs="Calibri Light"/>
                <w:b/>
                <w:bCs/>
                <w:color w:val="000000"/>
                <w:sz w:val="18"/>
                <w:szCs w:val="18"/>
                <w:lang w:val="es-CR" w:eastAsia="es-CR"/>
              </w:rPr>
              <w:t>Montos Originales</w:t>
            </w:r>
          </w:p>
        </w:tc>
        <w:tc>
          <w:tcPr>
            <w:tcW w:w="1247" w:type="dxa"/>
            <w:tcBorders>
              <w:top w:val="single" w:sz="4" w:space="0" w:color="auto"/>
              <w:left w:val="nil"/>
              <w:bottom w:val="single" w:sz="4" w:space="0" w:color="auto"/>
              <w:right w:val="single" w:sz="4" w:space="0" w:color="auto"/>
            </w:tcBorders>
            <w:shd w:val="clear" w:color="000000" w:fill="C6D9F1"/>
            <w:vAlign w:val="center"/>
            <w:hideMark/>
          </w:tcPr>
          <w:p w14:paraId="6FA86221" w14:textId="77777777" w:rsidR="003F625F" w:rsidRPr="0023319B" w:rsidRDefault="003F625F" w:rsidP="003F625F">
            <w:pPr>
              <w:spacing w:line="240" w:lineRule="auto"/>
              <w:jc w:val="center"/>
              <w:rPr>
                <w:rFonts w:ascii="Calibri Light" w:hAnsi="Calibri Light" w:cs="Calibri Light"/>
                <w:b/>
                <w:bCs/>
                <w:color w:val="000000"/>
                <w:sz w:val="18"/>
                <w:szCs w:val="18"/>
                <w:lang w:val="es-CR" w:eastAsia="es-CR"/>
              </w:rPr>
            </w:pPr>
            <w:r w:rsidRPr="0023319B">
              <w:rPr>
                <w:rFonts w:ascii="Calibri Light" w:hAnsi="Calibri Light" w:cs="Calibri Light"/>
                <w:b/>
                <w:bCs/>
                <w:color w:val="000000"/>
                <w:sz w:val="18"/>
                <w:szCs w:val="18"/>
                <w:lang w:val="es-CR" w:eastAsia="es-CR"/>
              </w:rPr>
              <w:t>Gasto</w:t>
            </w:r>
          </w:p>
        </w:tc>
        <w:tc>
          <w:tcPr>
            <w:tcW w:w="1241" w:type="dxa"/>
            <w:tcBorders>
              <w:top w:val="single" w:sz="4" w:space="0" w:color="auto"/>
              <w:left w:val="nil"/>
              <w:bottom w:val="single" w:sz="4" w:space="0" w:color="auto"/>
              <w:right w:val="single" w:sz="4" w:space="0" w:color="auto"/>
            </w:tcBorders>
            <w:shd w:val="clear" w:color="000000" w:fill="C6D9F1"/>
            <w:vAlign w:val="center"/>
            <w:hideMark/>
          </w:tcPr>
          <w:p w14:paraId="29C96D8C" w14:textId="77777777" w:rsidR="003F625F" w:rsidRPr="0023319B" w:rsidRDefault="003F625F" w:rsidP="003F625F">
            <w:pPr>
              <w:spacing w:line="240" w:lineRule="auto"/>
              <w:jc w:val="center"/>
              <w:rPr>
                <w:rFonts w:ascii="Calibri Light" w:hAnsi="Calibri Light" w:cs="Calibri Light"/>
                <w:b/>
                <w:bCs/>
                <w:color w:val="000000"/>
                <w:sz w:val="18"/>
                <w:szCs w:val="18"/>
                <w:lang w:val="es-CR" w:eastAsia="es-CR"/>
              </w:rPr>
            </w:pPr>
            <w:r w:rsidRPr="0023319B">
              <w:rPr>
                <w:rFonts w:ascii="Calibri Light" w:hAnsi="Calibri Light" w:cs="Calibri Light"/>
                <w:b/>
                <w:bCs/>
                <w:color w:val="000000"/>
                <w:sz w:val="18"/>
                <w:szCs w:val="18"/>
                <w:lang w:val="es-CR" w:eastAsia="es-CR"/>
              </w:rPr>
              <w:t>Comprometido</w:t>
            </w:r>
          </w:p>
        </w:tc>
        <w:tc>
          <w:tcPr>
            <w:tcW w:w="1247" w:type="dxa"/>
            <w:tcBorders>
              <w:top w:val="single" w:sz="4" w:space="0" w:color="auto"/>
              <w:left w:val="nil"/>
              <w:bottom w:val="single" w:sz="4" w:space="0" w:color="auto"/>
              <w:right w:val="single" w:sz="4" w:space="0" w:color="auto"/>
            </w:tcBorders>
            <w:shd w:val="clear" w:color="000000" w:fill="C6D9F1"/>
            <w:vAlign w:val="center"/>
            <w:hideMark/>
          </w:tcPr>
          <w:p w14:paraId="2F7C5A85" w14:textId="77777777" w:rsidR="003F625F" w:rsidRPr="0023319B" w:rsidRDefault="003F625F" w:rsidP="003F625F">
            <w:pPr>
              <w:spacing w:line="240" w:lineRule="auto"/>
              <w:jc w:val="center"/>
              <w:rPr>
                <w:rFonts w:ascii="Calibri Light" w:hAnsi="Calibri Light" w:cs="Calibri Light"/>
                <w:b/>
                <w:bCs/>
                <w:color w:val="000000"/>
                <w:sz w:val="18"/>
                <w:szCs w:val="18"/>
                <w:lang w:val="es-CR" w:eastAsia="es-CR"/>
              </w:rPr>
            </w:pPr>
            <w:r w:rsidRPr="0023319B">
              <w:rPr>
                <w:rFonts w:ascii="Calibri Light" w:hAnsi="Calibri Light" w:cs="Calibri Light"/>
                <w:b/>
                <w:bCs/>
                <w:color w:val="000000"/>
                <w:sz w:val="18"/>
                <w:szCs w:val="18"/>
                <w:lang w:val="es-CR" w:eastAsia="es-CR"/>
              </w:rPr>
              <w:t>Disponible</w:t>
            </w:r>
          </w:p>
        </w:tc>
        <w:tc>
          <w:tcPr>
            <w:tcW w:w="850" w:type="dxa"/>
            <w:tcBorders>
              <w:top w:val="single" w:sz="4" w:space="0" w:color="auto"/>
              <w:left w:val="nil"/>
              <w:bottom w:val="single" w:sz="4" w:space="0" w:color="auto"/>
              <w:right w:val="single" w:sz="4" w:space="0" w:color="auto"/>
            </w:tcBorders>
            <w:shd w:val="clear" w:color="000000" w:fill="C6D9F1"/>
            <w:vAlign w:val="center"/>
            <w:hideMark/>
          </w:tcPr>
          <w:p w14:paraId="50A95ECE" w14:textId="77777777" w:rsidR="003F625F" w:rsidRPr="0023319B" w:rsidRDefault="003F625F" w:rsidP="003F625F">
            <w:pPr>
              <w:spacing w:line="240" w:lineRule="auto"/>
              <w:jc w:val="center"/>
              <w:rPr>
                <w:rFonts w:ascii="Calibri Light" w:hAnsi="Calibri Light" w:cs="Calibri Light"/>
                <w:b/>
                <w:bCs/>
                <w:color w:val="000000"/>
                <w:sz w:val="18"/>
                <w:szCs w:val="18"/>
                <w:lang w:val="es-CR" w:eastAsia="es-CR"/>
              </w:rPr>
            </w:pPr>
            <w:r w:rsidRPr="0023319B">
              <w:rPr>
                <w:rFonts w:ascii="Calibri Light" w:hAnsi="Calibri Light" w:cs="Calibri Light"/>
                <w:b/>
                <w:bCs/>
                <w:color w:val="000000"/>
                <w:sz w:val="18"/>
                <w:szCs w:val="18"/>
                <w:lang w:val="es-CR" w:eastAsia="es-CR"/>
              </w:rPr>
              <w:t>% Ejecución</w:t>
            </w:r>
          </w:p>
        </w:tc>
      </w:tr>
      <w:tr w:rsidR="00AB461A" w:rsidRPr="0023319B" w14:paraId="41CA6A9D" w14:textId="77777777" w:rsidTr="00517199">
        <w:trPr>
          <w:trHeight w:val="480"/>
        </w:trPr>
        <w:tc>
          <w:tcPr>
            <w:tcW w:w="3397" w:type="dxa"/>
            <w:tcBorders>
              <w:top w:val="nil"/>
              <w:left w:val="single" w:sz="4" w:space="0" w:color="auto"/>
              <w:bottom w:val="single" w:sz="4" w:space="0" w:color="auto"/>
              <w:right w:val="single" w:sz="4" w:space="0" w:color="auto"/>
            </w:tcBorders>
            <w:shd w:val="clear" w:color="000000" w:fill="FFFFFF"/>
            <w:noWrap/>
            <w:vAlign w:val="center"/>
            <w:hideMark/>
          </w:tcPr>
          <w:p w14:paraId="7B88042F" w14:textId="386852DD" w:rsidR="00AB461A" w:rsidRPr="0023319B" w:rsidRDefault="00AB461A" w:rsidP="00AB461A">
            <w:pPr>
              <w:spacing w:line="240" w:lineRule="auto"/>
              <w:ind w:left="209" w:hanging="209"/>
              <w:jc w:val="left"/>
              <w:rPr>
                <w:rFonts w:ascii="Calibri Light" w:hAnsi="Calibri Light" w:cs="Calibri Light"/>
                <w:sz w:val="18"/>
                <w:szCs w:val="18"/>
                <w:lang w:val="es-CR" w:eastAsia="es-CR"/>
              </w:rPr>
            </w:pPr>
            <w:r w:rsidRPr="0023319B">
              <w:rPr>
                <w:rFonts w:ascii="Calibri Light" w:hAnsi="Calibri Light" w:cs="Calibri Light"/>
                <w:sz w:val="18"/>
                <w:szCs w:val="18"/>
                <w:lang w:val="es-CR"/>
              </w:rPr>
              <w:t>– Asesoría supervisión de portafolios internacionales y normativa de inversiones</w:t>
            </w:r>
          </w:p>
        </w:tc>
        <w:tc>
          <w:tcPr>
            <w:tcW w:w="1247" w:type="dxa"/>
            <w:tcBorders>
              <w:top w:val="nil"/>
              <w:left w:val="nil"/>
              <w:bottom w:val="single" w:sz="4" w:space="0" w:color="auto"/>
              <w:right w:val="single" w:sz="4" w:space="0" w:color="auto"/>
            </w:tcBorders>
            <w:shd w:val="clear" w:color="auto" w:fill="auto"/>
            <w:vAlign w:val="center"/>
            <w:hideMark/>
          </w:tcPr>
          <w:p w14:paraId="2C158460" w14:textId="4AD32E1D" w:rsidR="00AB461A" w:rsidRPr="0023319B" w:rsidRDefault="00AB461A" w:rsidP="00AB461A">
            <w:pPr>
              <w:spacing w:line="240" w:lineRule="auto"/>
              <w:jc w:val="right"/>
              <w:rPr>
                <w:rFonts w:ascii="Calibri Light" w:hAnsi="Calibri Light" w:cs="Calibri Light"/>
                <w:color w:val="000000"/>
                <w:sz w:val="18"/>
                <w:szCs w:val="18"/>
                <w:lang w:val="es-CR" w:eastAsia="es-CR"/>
              </w:rPr>
            </w:pPr>
            <w:r w:rsidRPr="0023319B">
              <w:rPr>
                <w:rFonts w:ascii="Calibri Light" w:hAnsi="Calibri Light" w:cs="Calibri Light"/>
                <w:color w:val="000000"/>
                <w:sz w:val="18"/>
                <w:szCs w:val="18"/>
                <w:lang w:val="es-CR"/>
              </w:rPr>
              <w:t>8 060 000</w:t>
            </w:r>
          </w:p>
        </w:tc>
        <w:tc>
          <w:tcPr>
            <w:tcW w:w="1247" w:type="dxa"/>
            <w:tcBorders>
              <w:top w:val="nil"/>
              <w:left w:val="nil"/>
              <w:bottom w:val="single" w:sz="4" w:space="0" w:color="auto"/>
              <w:right w:val="single" w:sz="4" w:space="0" w:color="auto"/>
            </w:tcBorders>
            <w:shd w:val="clear" w:color="auto" w:fill="auto"/>
            <w:vAlign w:val="center"/>
            <w:hideMark/>
          </w:tcPr>
          <w:p w14:paraId="50840FBF" w14:textId="7A9F449E" w:rsidR="00AB461A" w:rsidRPr="0023319B" w:rsidRDefault="00AB461A" w:rsidP="00AB461A">
            <w:pPr>
              <w:spacing w:line="240" w:lineRule="auto"/>
              <w:jc w:val="right"/>
              <w:rPr>
                <w:rFonts w:ascii="Calibri Light" w:hAnsi="Calibri Light" w:cs="Calibri Light"/>
                <w:color w:val="000000"/>
                <w:sz w:val="18"/>
                <w:szCs w:val="18"/>
                <w:lang w:val="es-CR" w:eastAsia="es-CR"/>
              </w:rPr>
            </w:pPr>
            <w:r w:rsidRPr="0023319B">
              <w:rPr>
                <w:rFonts w:ascii="Calibri Light" w:hAnsi="Calibri Light" w:cs="Calibri Light"/>
                <w:color w:val="000000"/>
                <w:sz w:val="18"/>
                <w:szCs w:val="18"/>
                <w:lang w:val="es-CR"/>
              </w:rPr>
              <w:t> </w:t>
            </w:r>
          </w:p>
        </w:tc>
        <w:tc>
          <w:tcPr>
            <w:tcW w:w="1241" w:type="dxa"/>
            <w:tcBorders>
              <w:top w:val="nil"/>
              <w:left w:val="nil"/>
              <w:bottom w:val="single" w:sz="4" w:space="0" w:color="auto"/>
              <w:right w:val="single" w:sz="4" w:space="0" w:color="auto"/>
            </w:tcBorders>
            <w:shd w:val="clear" w:color="auto" w:fill="auto"/>
            <w:vAlign w:val="center"/>
            <w:hideMark/>
          </w:tcPr>
          <w:p w14:paraId="755CE70E" w14:textId="020EBB24" w:rsidR="00AB461A" w:rsidRPr="0023319B" w:rsidRDefault="00AB461A" w:rsidP="00AB461A">
            <w:pPr>
              <w:spacing w:line="240" w:lineRule="auto"/>
              <w:jc w:val="right"/>
              <w:rPr>
                <w:rFonts w:ascii="Calibri Light" w:hAnsi="Calibri Light" w:cs="Calibri Light"/>
                <w:color w:val="000000"/>
                <w:sz w:val="18"/>
                <w:szCs w:val="18"/>
                <w:lang w:val="es-CR" w:eastAsia="es-CR"/>
              </w:rPr>
            </w:pPr>
            <w:r w:rsidRPr="0023319B">
              <w:rPr>
                <w:rFonts w:ascii="Calibri Light" w:hAnsi="Calibri Light" w:cs="Calibri Light"/>
                <w:color w:val="000000"/>
                <w:sz w:val="18"/>
                <w:szCs w:val="18"/>
                <w:lang w:val="es-CR"/>
              </w:rPr>
              <w:t>0</w:t>
            </w:r>
          </w:p>
        </w:tc>
        <w:tc>
          <w:tcPr>
            <w:tcW w:w="1247" w:type="dxa"/>
            <w:tcBorders>
              <w:top w:val="nil"/>
              <w:left w:val="nil"/>
              <w:bottom w:val="single" w:sz="4" w:space="0" w:color="auto"/>
              <w:right w:val="single" w:sz="4" w:space="0" w:color="auto"/>
            </w:tcBorders>
            <w:shd w:val="clear" w:color="auto" w:fill="auto"/>
            <w:vAlign w:val="center"/>
            <w:hideMark/>
          </w:tcPr>
          <w:p w14:paraId="0818E7AB" w14:textId="6ABA1A75" w:rsidR="00AB461A" w:rsidRPr="0023319B" w:rsidRDefault="00AB461A" w:rsidP="00AB461A">
            <w:pPr>
              <w:spacing w:line="240" w:lineRule="auto"/>
              <w:jc w:val="right"/>
              <w:rPr>
                <w:rFonts w:ascii="Calibri Light" w:hAnsi="Calibri Light" w:cs="Calibri Light"/>
                <w:sz w:val="18"/>
                <w:szCs w:val="18"/>
                <w:lang w:val="es-CR" w:eastAsia="es-CR"/>
              </w:rPr>
            </w:pPr>
            <w:r w:rsidRPr="0023319B">
              <w:rPr>
                <w:rFonts w:ascii="Calibri Light" w:hAnsi="Calibri Light" w:cs="Calibri Light"/>
                <w:sz w:val="18"/>
                <w:szCs w:val="18"/>
                <w:lang w:val="es-CR"/>
              </w:rPr>
              <w:t xml:space="preserve">8 060 000 </w:t>
            </w:r>
          </w:p>
        </w:tc>
        <w:tc>
          <w:tcPr>
            <w:tcW w:w="850" w:type="dxa"/>
            <w:tcBorders>
              <w:top w:val="nil"/>
              <w:left w:val="nil"/>
              <w:bottom w:val="single" w:sz="4" w:space="0" w:color="auto"/>
              <w:right w:val="single" w:sz="4" w:space="0" w:color="auto"/>
            </w:tcBorders>
            <w:shd w:val="clear" w:color="auto" w:fill="auto"/>
            <w:noWrap/>
            <w:vAlign w:val="center"/>
            <w:hideMark/>
          </w:tcPr>
          <w:p w14:paraId="3E7C4E08" w14:textId="7B8C9F1D" w:rsidR="00AB461A" w:rsidRPr="0023319B" w:rsidRDefault="00AB461A" w:rsidP="00AB461A">
            <w:pPr>
              <w:spacing w:line="240" w:lineRule="auto"/>
              <w:jc w:val="center"/>
              <w:rPr>
                <w:rFonts w:ascii="Calibri Light" w:hAnsi="Calibri Light" w:cs="Calibri Light"/>
                <w:color w:val="000000"/>
                <w:sz w:val="18"/>
                <w:szCs w:val="18"/>
                <w:lang w:val="es-CR" w:eastAsia="es-CR"/>
              </w:rPr>
            </w:pPr>
            <w:r w:rsidRPr="0023319B">
              <w:rPr>
                <w:rFonts w:ascii="Calibri Light" w:hAnsi="Calibri Light" w:cs="Calibri Light"/>
                <w:color w:val="000000"/>
                <w:sz w:val="18"/>
                <w:szCs w:val="18"/>
                <w:lang w:val="es-CR"/>
              </w:rPr>
              <w:t>0%</w:t>
            </w:r>
          </w:p>
        </w:tc>
      </w:tr>
      <w:tr w:rsidR="00AB461A" w:rsidRPr="0023319B" w14:paraId="73F124FF" w14:textId="77777777" w:rsidTr="00517199">
        <w:trPr>
          <w:trHeight w:val="540"/>
        </w:trPr>
        <w:tc>
          <w:tcPr>
            <w:tcW w:w="3397" w:type="dxa"/>
            <w:tcBorders>
              <w:top w:val="nil"/>
              <w:left w:val="single" w:sz="4" w:space="0" w:color="auto"/>
              <w:bottom w:val="single" w:sz="4" w:space="0" w:color="auto"/>
              <w:right w:val="single" w:sz="4" w:space="0" w:color="auto"/>
            </w:tcBorders>
            <w:shd w:val="clear" w:color="000000" w:fill="FFFFFF"/>
            <w:noWrap/>
            <w:vAlign w:val="center"/>
            <w:hideMark/>
          </w:tcPr>
          <w:p w14:paraId="0D68DD7C" w14:textId="74B9F134" w:rsidR="00AB461A" w:rsidRPr="0023319B" w:rsidRDefault="00AB461A" w:rsidP="00AB461A">
            <w:pPr>
              <w:spacing w:line="240" w:lineRule="auto"/>
              <w:ind w:left="209" w:hanging="209"/>
              <w:jc w:val="left"/>
              <w:rPr>
                <w:rFonts w:ascii="Calibri Light" w:hAnsi="Calibri Light" w:cs="Calibri Light"/>
                <w:sz w:val="18"/>
                <w:szCs w:val="18"/>
                <w:lang w:val="es-CR" w:eastAsia="es-CR"/>
              </w:rPr>
            </w:pPr>
            <w:r w:rsidRPr="0023319B">
              <w:rPr>
                <w:rFonts w:ascii="Calibri Light" w:hAnsi="Calibri Light" w:cs="Calibri Light"/>
                <w:sz w:val="18"/>
                <w:szCs w:val="18"/>
                <w:lang w:val="es-CR"/>
              </w:rPr>
              <w:t>– Elaboración de herramienta minería de datos</w:t>
            </w:r>
          </w:p>
        </w:tc>
        <w:tc>
          <w:tcPr>
            <w:tcW w:w="1247" w:type="dxa"/>
            <w:tcBorders>
              <w:top w:val="nil"/>
              <w:left w:val="nil"/>
              <w:bottom w:val="single" w:sz="4" w:space="0" w:color="auto"/>
              <w:right w:val="single" w:sz="4" w:space="0" w:color="auto"/>
            </w:tcBorders>
            <w:shd w:val="clear" w:color="auto" w:fill="auto"/>
            <w:vAlign w:val="center"/>
            <w:hideMark/>
          </w:tcPr>
          <w:p w14:paraId="0B05865D" w14:textId="42890F9A" w:rsidR="00AB461A" w:rsidRPr="0023319B" w:rsidRDefault="00AB461A" w:rsidP="00AB461A">
            <w:pPr>
              <w:spacing w:line="240" w:lineRule="auto"/>
              <w:jc w:val="right"/>
              <w:rPr>
                <w:rFonts w:ascii="Calibri Light" w:hAnsi="Calibri Light" w:cs="Calibri Light"/>
                <w:color w:val="000000"/>
                <w:sz w:val="18"/>
                <w:szCs w:val="18"/>
                <w:lang w:val="es-CR" w:eastAsia="es-CR"/>
              </w:rPr>
            </w:pPr>
            <w:r w:rsidRPr="0023319B">
              <w:rPr>
                <w:rFonts w:ascii="Calibri Light" w:hAnsi="Calibri Light" w:cs="Calibri Light"/>
                <w:color w:val="000000"/>
                <w:sz w:val="18"/>
                <w:szCs w:val="18"/>
                <w:lang w:val="es-CR"/>
              </w:rPr>
              <w:t>10 000 000</w:t>
            </w:r>
          </w:p>
        </w:tc>
        <w:tc>
          <w:tcPr>
            <w:tcW w:w="1247" w:type="dxa"/>
            <w:tcBorders>
              <w:top w:val="nil"/>
              <w:left w:val="nil"/>
              <w:bottom w:val="single" w:sz="4" w:space="0" w:color="auto"/>
              <w:right w:val="single" w:sz="4" w:space="0" w:color="auto"/>
            </w:tcBorders>
            <w:shd w:val="clear" w:color="auto" w:fill="auto"/>
            <w:vAlign w:val="center"/>
            <w:hideMark/>
          </w:tcPr>
          <w:p w14:paraId="6E00469E" w14:textId="6C3DE35E" w:rsidR="00AB461A" w:rsidRPr="0023319B" w:rsidRDefault="00AB461A" w:rsidP="00AB461A">
            <w:pPr>
              <w:spacing w:line="240" w:lineRule="auto"/>
              <w:jc w:val="right"/>
              <w:rPr>
                <w:rFonts w:ascii="Calibri Light" w:hAnsi="Calibri Light" w:cs="Calibri Light"/>
                <w:color w:val="000000"/>
                <w:sz w:val="18"/>
                <w:szCs w:val="18"/>
                <w:lang w:val="es-CR" w:eastAsia="es-CR"/>
              </w:rPr>
            </w:pPr>
            <w:r w:rsidRPr="0023319B">
              <w:rPr>
                <w:rFonts w:ascii="Calibri Light" w:hAnsi="Calibri Light" w:cs="Calibri Light"/>
                <w:color w:val="000000"/>
                <w:sz w:val="18"/>
                <w:szCs w:val="18"/>
                <w:lang w:val="es-CR"/>
              </w:rPr>
              <w:t>7 345 000</w:t>
            </w:r>
          </w:p>
        </w:tc>
        <w:tc>
          <w:tcPr>
            <w:tcW w:w="1241" w:type="dxa"/>
            <w:tcBorders>
              <w:top w:val="nil"/>
              <w:left w:val="nil"/>
              <w:bottom w:val="single" w:sz="4" w:space="0" w:color="auto"/>
              <w:right w:val="single" w:sz="4" w:space="0" w:color="auto"/>
            </w:tcBorders>
            <w:shd w:val="clear" w:color="auto" w:fill="auto"/>
            <w:vAlign w:val="center"/>
            <w:hideMark/>
          </w:tcPr>
          <w:p w14:paraId="1BA21B61" w14:textId="02F36C6A" w:rsidR="00AB461A" w:rsidRPr="0023319B" w:rsidRDefault="00AB461A" w:rsidP="00AB461A">
            <w:pPr>
              <w:spacing w:line="240" w:lineRule="auto"/>
              <w:jc w:val="right"/>
              <w:rPr>
                <w:rFonts w:ascii="Calibri Light" w:hAnsi="Calibri Light" w:cs="Calibri Light"/>
                <w:color w:val="000000"/>
                <w:sz w:val="18"/>
                <w:szCs w:val="18"/>
                <w:lang w:val="es-CR" w:eastAsia="es-CR"/>
              </w:rPr>
            </w:pPr>
            <w:r w:rsidRPr="0023319B">
              <w:rPr>
                <w:rFonts w:ascii="Calibri Light" w:hAnsi="Calibri Light" w:cs="Calibri Light"/>
                <w:color w:val="000000"/>
                <w:sz w:val="18"/>
                <w:szCs w:val="18"/>
                <w:lang w:val="es-CR"/>
              </w:rPr>
              <w:t>0</w:t>
            </w:r>
          </w:p>
        </w:tc>
        <w:tc>
          <w:tcPr>
            <w:tcW w:w="1247" w:type="dxa"/>
            <w:tcBorders>
              <w:top w:val="nil"/>
              <w:left w:val="nil"/>
              <w:bottom w:val="single" w:sz="4" w:space="0" w:color="auto"/>
              <w:right w:val="single" w:sz="4" w:space="0" w:color="auto"/>
            </w:tcBorders>
            <w:shd w:val="clear" w:color="auto" w:fill="auto"/>
            <w:vAlign w:val="center"/>
            <w:hideMark/>
          </w:tcPr>
          <w:p w14:paraId="35011502" w14:textId="0095F83D" w:rsidR="00AB461A" w:rsidRPr="0023319B" w:rsidRDefault="00AB461A" w:rsidP="00AB461A">
            <w:pPr>
              <w:spacing w:line="240" w:lineRule="auto"/>
              <w:jc w:val="right"/>
              <w:rPr>
                <w:rFonts w:ascii="Calibri Light" w:hAnsi="Calibri Light" w:cs="Calibri Light"/>
                <w:sz w:val="18"/>
                <w:szCs w:val="18"/>
                <w:lang w:val="es-CR" w:eastAsia="es-CR"/>
              </w:rPr>
            </w:pPr>
            <w:r w:rsidRPr="0023319B">
              <w:rPr>
                <w:rFonts w:ascii="Calibri Light" w:hAnsi="Calibri Light" w:cs="Calibri Light"/>
                <w:sz w:val="18"/>
                <w:szCs w:val="18"/>
                <w:lang w:val="es-CR"/>
              </w:rPr>
              <w:t xml:space="preserve">2 655 000 </w:t>
            </w:r>
          </w:p>
        </w:tc>
        <w:tc>
          <w:tcPr>
            <w:tcW w:w="850" w:type="dxa"/>
            <w:tcBorders>
              <w:top w:val="nil"/>
              <w:left w:val="nil"/>
              <w:bottom w:val="single" w:sz="4" w:space="0" w:color="auto"/>
              <w:right w:val="single" w:sz="4" w:space="0" w:color="auto"/>
            </w:tcBorders>
            <w:shd w:val="clear" w:color="auto" w:fill="auto"/>
            <w:noWrap/>
            <w:vAlign w:val="center"/>
            <w:hideMark/>
          </w:tcPr>
          <w:p w14:paraId="058FAD1F" w14:textId="2A5F3046" w:rsidR="00AB461A" w:rsidRPr="0023319B" w:rsidRDefault="00AB461A" w:rsidP="00AB461A">
            <w:pPr>
              <w:spacing w:line="240" w:lineRule="auto"/>
              <w:jc w:val="center"/>
              <w:rPr>
                <w:rFonts w:ascii="Calibri Light" w:hAnsi="Calibri Light" w:cs="Calibri Light"/>
                <w:color w:val="000000"/>
                <w:sz w:val="18"/>
                <w:szCs w:val="18"/>
                <w:lang w:val="es-CR" w:eastAsia="es-CR"/>
              </w:rPr>
            </w:pPr>
            <w:r w:rsidRPr="0023319B">
              <w:rPr>
                <w:rFonts w:ascii="Calibri Light" w:hAnsi="Calibri Light" w:cs="Calibri Light"/>
                <w:color w:val="000000"/>
                <w:sz w:val="18"/>
                <w:szCs w:val="18"/>
                <w:lang w:val="es-CR"/>
              </w:rPr>
              <w:t>73%</w:t>
            </w:r>
          </w:p>
        </w:tc>
      </w:tr>
      <w:tr w:rsidR="00AB461A" w:rsidRPr="0023319B" w14:paraId="549ABC6A" w14:textId="77777777" w:rsidTr="00517199">
        <w:trPr>
          <w:trHeight w:val="480"/>
        </w:trPr>
        <w:tc>
          <w:tcPr>
            <w:tcW w:w="3397" w:type="dxa"/>
            <w:tcBorders>
              <w:top w:val="nil"/>
              <w:left w:val="single" w:sz="4" w:space="0" w:color="auto"/>
              <w:bottom w:val="single" w:sz="4" w:space="0" w:color="auto"/>
              <w:right w:val="single" w:sz="4" w:space="0" w:color="auto"/>
            </w:tcBorders>
            <w:shd w:val="clear" w:color="000000" w:fill="FFFFFF"/>
            <w:noWrap/>
            <w:vAlign w:val="center"/>
            <w:hideMark/>
          </w:tcPr>
          <w:p w14:paraId="05254752" w14:textId="40A921C7" w:rsidR="00AB461A" w:rsidRPr="0023319B" w:rsidRDefault="00AB461A" w:rsidP="00AB461A">
            <w:pPr>
              <w:spacing w:line="240" w:lineRule="auto"/>
              <w:ind w:left="209" w:hanging="209"/>
              <w:jc w:val="left"/>
              <w:rPr>
                <w:rFonts w:ascii="Calibri Light" w:hAnsi="Calibri Light" w:cs="Calibri Light"/>
                <w:sz w:val="18"/>
                <w:szCs w:val="18"/>
                <w:lang w:val="es-CR" w:eastAsia="es-CR"/>
              </w:rPr>
            </w:pPr>
            <w:r w:rsidRPr="0023319B">
              <w:rPr>
                <w:rFonts w:ascii="Calibri Light" w:hAnsi="Calibri Light" w:cs="Calibri Light"/>
                <w:sz w:val="18"/>
                <w:szCs w:val="18"/>
                <w:lang w:val="es-CR"/>
              </w:rPr>
              <w:t>– Asesoría en cambio de Ley para la Afiliación automática</w:t>
            </w:r>
          </w:p>
        </w:tc>
        <w:tc>
          <w:tcPr>
            <w:tcW w:w="1247" w:type="dxa"/>
            <w:tcBorders>
              <w:top w:val="nil"/>
              <w:left w:val="nil"/>
              <w:bottom w:val="single" w:sz="4" w:space="0" w:color="auto"/>
              <w:right w:val="single" w:sz="4" w:space="0" w:color="auto"/>
            </w:tcBorders>
            <w:shd w:val="clear" w:color="auto" w:fill="auto"/>
            <w:vAlign w:val="center"/>
            <w:hideMark/>
          </w:tcPr>
          <w:p w14:paraId="022DD1DC" w14:textId="11957FC4" w:rsidR="00AB461A" w:rsidRPr="0023319B" w:rsidRDefault="00AB461A" w:rsidP="00AB461A">
            <w:pPr>
              <w:spacing w:line="240" w:lineRule="auto"/>
              <w:jc w:val="right"/>
              <w:rPr>
                <w:rFonts w:ascii="Calibri Light" w:hAnsi="Calibri Light" w:cs="Calibri Light"/>
                <w:color w:val="000000"/>
                <w:sz w:val="18"/>
                <w:szCs w:val="18"/>
                <w:lang w:val="es-CR" w:eastAsia="es-CR"/>
              </w:rPr>
            </w:pPr>
            <w:r w:rsidRPr="0023319B">
              <w:rPr>
                <w:rFonts w:ascii="Calibri Light" w:hAnsi="Calibri Light" w:cs="Calibri Light"/>
                <w:color w:val="000000"/>
                <w:sz w:val="18"/>
                <w:szCs w:val="18"/>
                <w:lang w:val="es-CR"/>
              </w:rPr>
              <w:t>7 000 000</w:t>
            </w:r>
          </w:p>
        </w:tc>
        <w:tc>
          <w:tcPr>
            <w:tcW w:w="1247" w:type="dxa"/>
            <w:tcBorders>
              <w:top w:val="nil"/>
              <w:left w:val="nil"/>
              <w:bottom w:val="single" w:sz="4" w:space="0" w:color="auto"/>
              <w:right w:val="single" w:sz="4" w:space="0" w:color="auto"/>
            </w:tcBorders>
            <w:shd w:val="clear" w:color="auto" w:fill="auto"/>
            <w:vAlign w:val="center"/>
            <w:hideMark/>
          </w:tcPr>
          <w:p w14:paraId="32D899D3" w14:textId="280B1131" w:rsidR="00AB461A" w:rsidRPr="0023319B" w:rsidRDefault="00AB461A" w:rsidP="00AB461A">
            <w:pPr>
              <w:spacing w:line="240" w:lineRule="auto"/>
              <w:jc w:val="right"/>
              <w:rPr>
                <w:rFonts w:ascii="Calibri Light" w:hAnsi="Calibri Light" w:cs="Calibri Light"/>
                <w:color w:val="000000"/>
                <w:sz w:val="18"/>
                <w:szCs w:val="18"/>
                <w:lang w:val="es-CR" w:eastAsia="es-CR"/>
              </w:rPr>
            </w:pPr>
            <w:r w:rsidRPr="0023319B">
              <w:rPr>
                <w:rFonts w:ascii="Calibri Light" w:hAnsi="Calibri Light" w:cs="Calibri Light"/>
                <w:color w:val="000000"/>
                <w:sz w:val="18"/>
                <w:szCs w:val="18"/>
                <w:lang w:val="es-CR"/>
              </w:rPr>
              <w:t> </w:t>
            </w:r>
          </w:p>
        </w:tc>
        <w:tc>
          <w:tcPr>
            <w:tcW w:w="1241" w:type="dxa"/>
            <w:tcBorders>
              <w:top w:val="nil"/>
              <w:left w:val="nil"/>
              <w:bottom w:val="single" w:sz="4" w:space="0" w:color="auto"/>
              <w:right w:val="single" w:sz="4" w:space="0" w:color="auto"/>
            </w:tcBorders>
            <w:shd w:val="clear" w:color="auto" w:fill="auto"/>
            <w:vAlign w:val="center"/>
            <w:hideMark/>
          </w:tcPr>
          <w:p w14:paraId="3A91F046" w14:textId="3AD95871" w:rsidR="00AB461A" w:rsidRPr="0023319B" w:rsidRDefault="00AB461A" w:rsidP="00AB461A">
            <w:pPr>
              <w:spacing w:line="240" w:lineRule="auto"/>
              <w:jc w:val="right"/>
              <w:rPr>
                <w:rFonts w:ascii="Calibri Light" w:hAnsi="Calibri Light" w:cs="Calibri Light"/>
                <w:color w:val="000000"/>
                <w:sz w:val="18"/>
                <w:szCs w:val="18"/>
                <w:lang w:val="es-CR" w:eastAsia="es-CR"/>
              </w:rPr>
            </w:pPr>
            <w:r w:rsidRPr="0023319B">
              <w:rPr>
                <w:rFonts w:ascii="Calibri Light" w:hAnsi="Calibri Light" w:cs="Calibri Light"/>
                <w:color w:val="000000"/>
                <w:sz w:val="18"/>
                <w:szCs w:val="18"/>
                <w:lang w:val="es-CR"/>
              </w:rPr>
              <w:t>0</w:t>
            </w:r>
          </w:p>
        </w:tc>
        <w:tc>
          <w:tcPr>
            <w:tcW w:w="1247" w:type="dxa"/>
            <w:tcBorders>
              <w:top w:val="nil"/>
              <w:left w:val="nil"/>
              <w:bottom w:val="single" w:sz="4" w:space="0" w:color="auto"/>
              <w:right w:val="single" w:sz="4" w:space="0" w:color="auto"/>
            </w:tcBorders>
            <w:shd w:val="clear" w:color="auto" w:fill="auto"/>
            <w:vAlign w:val="center"/>
            <w:hideMark/>
          </w:tcPr>
          <w:p w14:paraId="0BBB75E4" w14:textId="1460E7B2" w:rsidR="00AB461A" w:rsidRPr="0023319B" w:rsidRDefault="00AB461A" w:rsidP="00AB461A">
            <w:pPr>
              <w:spacing w:line="240" w:lineRule="auto"/>
              <w:jc w:val="right"/>
              <w:rPr>
                <w:rFonts w:ascii="Calibri Light" w:hAnsi="Calibri Light" w:cs="Calibri Light"/>
                <w:sz w:val="18"/>
                <w:szCs w:val="18"/>
                <w:lang w:val="es-CR" w:eastAsia="es-CR"/>
              </w:rPr>
            </w:pPr>
            <w:r w:rsidRPr="0023319B">
              <w:rPr>
                <w:rFonts w:ascii="Calibri Light" w:hAnsi="Calibri Light" w:cs="Calibri Light"/>
                <w:sz w:val="18"/>
                <w:szCs w:val="18"/>
                <w:lang w:val="es-CR"/>
              </w:rPr>
              <w:t xml:space="preserve">7 000 000 </w:t>
            </w:r>
          </w:p>
        </w:tc>
        <w:tc>
          <w:tcPr>
            <w:tcW w:w="850" w:type="dxa"/>
            <w:tcBorders>
              <w:top w:val="nil"/>
              <w:left w:val="nil"/>
              <w:bottom w:val="single" w:sz="4" w:space="0" w:color="auto"/>
              <w:right w:val="single" w:sz="4" w:space="0" w:color="auto"/>
            </w:tcBorders>
            <w:shd w:val="clear" w:color="auto" w:fill="auto"/>
            <w:noWrap/>
            <w:vAlign w:val="center"/>
            <w:hideMark/>
          </w:tcPr>
          <w:p w14:paraId="31A651BE" w14:textId="08205A61" w:rsidR="00AB461A" w:rsidRPr="0023319B" w:rsidRDefault="00AB461A" w:rsidP="00AB461A">
            <w:pPr>
              <w:spacing w:line="240" w:lineRule="auto"/>
              <w:jc w:val="center"/>
              <w:rPr>
                <w:rFonts w:ascii="Calibri Light" w:hAnsi="Calibri Light" w:cs="Calibri Light"/>
                <w:color w:val="000000"/>
                <w:sz w:val="18"/>
                <w:szCs w:val="18"/>
                <w:lang w:val="es-CR" w:eastAsia="es-CR"/>
              </w:rPr>
            </w:pPr>
            <w:r w:rsidRPr="0023319B">
              <w:rPr>
                <w:rFonts w:ascii="Calibri Light" w:hAnsi="Calibri Light" w:cs="Calibri Light"/>
                <w:color w:val="000000"/>
                <w:sz w:val="18"/>
                <w:szCs w:val="18"/>
                <w:lang w:val="es-CR"/>
              </w:rPr>
              <w:t>0%</w:t>
            </w:r>
          </w:p>
        </w:tc>
      </w:tr>
      <w:tr w:rsidR="00AB461A" w:rsidRPr="0023319B" w14:paraId="62860B12" w14:textId="77777777" w:rsidTr="00517199">
        <w:trPr>
          <w:trHeight w:val="480"/>
        </w:trPr>
        <w:tc>
          <w:tcPr>
            <w:tcW w:w="3397" w:type="dxa"/>
            <w:tcBorders>
              <w:top w:val="nil"/>
              <w:left w:val="single" w:sz="4" w:space="0" w:color="auto"/>
              <w:bottom w:val="single" w:sz="4" w:space="0" w:color="auto"/>
              <w:right w:val="single" w:sz="4" w:space="0" w:color="auto"/>
            </w:tcBorders>
            <w:shd w:val="clear" w:color="000000" w:fill="FFFFFF"/>
            <w:noWrap/>
            <w:vAlign w:val="center"/>
            <w:hideMark/>
          </w:tcPr>
          <w:p w14:paraId="4F3B18E8" w14:textId="69F8A6B3" w:rsidR="00AB461A" w:rsidRPr="0023319B" w:rsidRDefault="00AB461A" w:rsidP="00AB461A">
            <w:pPr>
              <w:spacing w:line="240" w:lineRule="auto"/>
              <w:ind w:left="209" w:hanging="209"/>
              <w:jc w:val="left"/>
              <w:rPr>
                <w:rFonts w:ascii="Calibri Light" w:hAnsi="Calibri Light" w:cs="Calibri Light"/>
                <w:sz w:val="18"/>
                <w:szCs w:val="18"/>
                <w:lang w:val="es-CR" w:eastAsia="es-CR"/>
              </w:rPr>
            </w:pPr>
            <w:r w:rsidRPr="0023319B">
              <w:rPr>
                <w:rFonts w:ascii="Calibri Light" w:hAnsi="Calibri Light" w:cs="Calibri Light"/>
                <w:sz w:val="18"/>
                <w:szCs w:val="18"/>
                <w:lang w:val="es-CR"/>
              </w:rPr>
              <w:t>– Asesoría en revisión de indicadores y límites de riesgo para beneficio definido</w:t>
            </w:r>
          </w:p>
        </w:tc>
        <w:tc>
          <w:tcPr>
            <w:tcW w:w="1247" w:type="dxa"/>
            <w:tcBorders>
              <w:top w:val="nil"/>
              <w:left w:val="nil"/>
              <w:bottom w:val="single" w:sz="4" w:space="0" w:color="auto"/>
              <w:right w:val="single" w:sz="4" w:space="0" w:color="auto"/>
            </w:tcBorders>
            <w:shd w:val="clear" w:color="auto" w:fill="auto"/>
            <w:vAlign w:val="center"/>
            <w:hideMark/>
          </w:tcPr>
          <w:p w14:paraId="2937536D" w14:textId="01997244" w:rsidR="00AB461A" w:rsidRPr="0023319B" w:rsidRDefault="00AB461A" w:rsidP="00AB461A">
            <w:pPr>
              <w:spacing w:line="240" w:lineRule="auto"/>
              <w:jc w:val="right"/>
              <w:rPr>
                <w:rFonts w:ascii="Calibri Light" w:hAnsi="Calibri Light" w:cs="Calibri Light"/>
                <w:color w:val="000000"/>
                <w:sz w:val="18"/>
                <w:szCs w:val="18"/>
                <w:lang w:val="es-CR" w:eastAsia="es-CR"/>
              </w:rPr>
            </w:pPr>
            <w:r w:rsidRPr="0023319B">
              <w:rPr>
                <w:rFonts w:ascii="Calibri Light" w:hAnsi="Calibri Light" w:cs="Calibri Light"/>
                <w:color w:val="000000"/>
                <w:sz w:val="18"/>
                <w:szCs w:val="18"/>
                <w:lang w:val="es-CR"/>
              </w:rPr>
              <w:t>8 540 000</w:t>
            </w:r>
          </w:p>
        </w:tc>
        <w:tc>
          <w:tcPr>
            <w:tcW w:w="1247" w:type="dxa"/>
            <w:tcBorders>
              <w:top w:val="nil"/>
              <w:left w:val="nil"/>
              <w:bottom w:val="single" w:sz="4" w:space="0" w:color="auto"/>
              <w:right w:val="single" w:sz="4" w:space="0" w:color="auto"/>
            </w:tcBorders>
            <w:shd w:val="clear" w:color="auto" w:fill="auto"/>
            <w:vAlign w:val="center"/>
            <w:hideMark/>
          </w:tcPr>
          <w:p w14:paraId="4A883997" w14:textId="715F9DB0" w:rsidR="00AB461A" w:rsidRPr="0023319B" w:rsidRDefault="00AB461A" w:rsidP="00AB461A">
            <w:pPr>
              <w:spacing w:line="240" w:lineRule="auto"/>
              <w:jc w:val="right"/>
              <w:rPr>
                <w:rFonts w:ascii="Calibri Light" w:hAnsi="Calibri Light" w:cs="Calibri Light"/>
                <w:color w:val="000000"/>
                <w:sz w:val="18"/>
                <w:szCs w:val="18"/>
                <w:lang w:val="es-CR" w:eastAsia="es-CR"/>
              </w:rPr>
            </w:pPr>
            <w:r w:rsidRPr="0023319B">
              <w:rPr>
                <w:rFonts w:ascii="Calibri Light" w:hAnsi="Calibri Light" w:cs="Calibri Light"/>
                <w:color w:val="000000"/>
                <w:sz w:val="18"/>
                <w:szCs w:val="18"/>
                <w:lang w:val="es-CR"/>
              </w:rPr>
              <w:t> </w:t>
            </w:r>
          </w:p>
        </w:tc>
        <w:tc>
          <w:tcPr>
            <w:tcW w:w="1241" w:type="dxa"/>
            <w:tcBorders>
              <w:top w:val="nil"/>
              <w:left w:val="nil"/>
              <w:bottom w:val="single" w:sz="4" w:space="0" w:color="auto"/>
              <w:right w:val="single" w:sz="4" w:space="0" w:color="auto"/>
            </w:tcBorders>
            <w:shd w:val="clear" w:color="auto" w:fill="auto"/>
            <w:vAlign w:val="center"/>
            <w:hideMark/>
          </w:tcPr>
          <w:p w14:paraId="67162A26" w14:textId="0BE3BB20" w:rsidR="00AB461A" w:rsidRPr="0023319B" w:rsidRDefault="00AB461A" w:rsidP="00AB461A">
            <w:pPr>
              <w:spacing w:line="240" w:lineRule="auto"/>
              <w:jc w:val="right"/>
              <w:rPr>
                <w:rFonts w:ascii="Calibri Light" w:hAnsi="Calibri Light" w:cs="Calibri Light"/>
                <w:color w:val="000000"/>
                <w:sz w:val="18"/>
                <w:szCs w:val="18"/>
                <w:lang w:val="es-CR" w:eastAsia="es-CR"/>
              </w:rPr>
            </w:pPr>
            <w:r w:rsidRPr="0023319B">
              <w:rPr>
                <w:rFonts w:ascii="Calibri Light" w:hAnsi="Calibri Light" w:cs="Calibri Light"/>
                <w:color w:val="000000"/>
                <w:sz w:val="18"/>
                <w:szCs w:val="18"/>
                <w:lang w:val="es-CR"/>
              </w:rPr>
              <w:t>0</w:t>
            </w:r>
          </w:p>
        </w:tc>
        <w:tc>
          <w:tcPr>
            <w:tcW w:w="1247" w:type="dxa"/>
            <w:tcBorders>
              <w:top w:val="nil"/>
              <w:left w:val="nil"/>
              <w:bottom w:val="single" w:sz="4" w:space="0" w:color="auto"/>
              <w:right w:val="single" w:sz="4" w:space="0" w:color="auto"/>
            </w:tcBorders>
            <w:shd w:val="clear" w:color="auto" w:fill="auto"/>
            <w:vAlign w:val="center"/>
            <w:hideMark/>
          </w:tcPr>
          <w:p w14:paraId="585BDAE8" w14:textId="64A55F98" w:rsidR="00AB461A" w:rsidRPr="0023319B" w:rsidRDefault="00AB461A" w:rsidP="00AB461A">
            <w:pPr>
              <w:spacing w:line="240" w:lineRule="auto"/>
              <w:jc w:val="right"/>
              <w:rPr>
                <w:rFonts w:ascii="Calibri Light" w:hAnsi="Calibri Light" w:cs="Calibri Light"/>
                <w:sz w:val="18"/>
                <w:szCs w:val="18"/>
                <w:lang w:val="es-CR" w:eastAsia="es-CR"/>
              </w:rPr>
            </w:pPr>
            <w:r w:rsidRPr="0023319B">
              <w:rPr>
                <w:rFonts w:ascii="Calibri Light" w:hAnsi="Calibri Light" w:cs="Calibri Light"/>
                <w:sz w:val="18"/>
                <w:szCs w:val="18"/>
                <w:lang w:val="es-CR"/>
              </w:rPr>
              <w:t xml:space="preserve">8 540 000 </w:t>
            </w:r>
          </w:p>
        </w:tc>
        <w:tc>
          <w:tcPr>
            <w:tcW w:w="850" w:type="dxa"/>
            <w:tcBorders>
              <w:top w:val="nil"/>
              <w:left w:val="nil"/>
              <w:bottom w:val="single" w:sz="4" w:space="0" w:color="auto"/>
              <w:right w:val="single" w:sz="4" w:space="0" w:color="auto"/>
            </w:tcBorders>
            <w:shd w:val="clear" w:color="auto" w:fill="auto"/>
            <w:noWrap/>
            <w:vAlign w:val="center"/>
            <w:hideMark/>
          </w:tcPr>
          <w:p w14:paraId="56E9CDB9" w14:textId="540AA38C" w:rsidR="00AB461A" w:rsidRPr="0023319B" w:rsidRDefault="00AB461A" w:rsidP="00AB461A">
            <w:pPr>
              <w:spacing w:line="240" w:lineRule="auto"/>
              <w:jc w:val="center"/>
              <w:rPr>
                <w:rFonts w:ascii="Calibri Light" w:hAnsi="Calibri Light" w:cs="Calibri Light"/>
                <w:color w:val="000000"/>
                <w:sz w:val="18"/>
                <w:szCs w:val="18"/>
                <w:lang w:val="es-CR" w:eastAsia="es-CR"/>
              </w:rPr>
            </w:pPr>
            <w:r w:rsidRPr="0023319B">
              <w:rPr>
                <w:rFonts w:ascii="Calibri Light" w:hAnsi="Calibri Light" w:cs="Calibri Light"/>
                <w:color w:val="000000"/>
                <w:sz w:val="18"/>
                <w:szCs w:val="18"/>
                <w:lang w:val="es-CR"/>
              </w:rPr>
              <w:t>0%</w:t>
            </w:r>
          </w:p>
        </w:tc>
      </w:tr>
      <w:tr w:rsidR="00AB461A" w:rsidRPr="0023319B" w14:paraId="6EDB1663" w14:textId="77777777" w:rsidTr="00517199">
        <w:trPr>
          <w:trHeight w:val="450"/>
        </w:trPr>
        <w:tc>
          <w:tcPr>
            <w:tcW w:w="3397" w:type="dxa"/>
            <w:tcBorders>
              <w:top w:val="nil"/>
              <w:left w:val="single" w:sz="4" w:space="0" w:color="auto"/>
              <w:bottom w:val="single" w:sz="4" w:space="0" w:color="auto"/>
              <w:right w:val="single" w:sz="4" w:space="0" w:color="auto"/>
            </w:tcBorders>
            <w:shd w:val="clear" w:color="000000" w:fill="FFFFFF"/>
            <w:noWrap/>
            <w:vAlign w:val="center"/>
            <w:hideMark/>
          </w:tcPr>
          <w:p w14:paraId="4B639BB6" w14:textId="6E197507" w:rsidR="00AB461A" w:rsidRPr="0023319B" w:rsidRDefault="00AB461A" w:rsidP="00AB461A">
            <w:pPr>
              <w:spacing w:line="240" w:lineRule="auto"/>
              <w:ind w:left="209" w:hanging="209"/>
              <w:jc w:val="left"/>
              <w:rPr>
                <w:rFonts w:ascii="Calibri Light" w:hAnsi="Calibri Light" w:cs="Calibri Light"/>
                <w:sz w:val="18"/>
                <w:szCs w:val="18"/>
                <w:lang w:val="es-CR" w:eastAsia="es-CR"/>
              </w:rPr>
            </w:pPr>
            <w:r w:rsidRPr="0023319B">
              <w:rPr>
                <w:rFonts w:ascii="Calibri Light" w:hAnsi="Calibri Light" w:cs="Calibri Light"/>
                <w:sz w:val="18"/>
                <w:szCs w:val="18"/>
                <w:lang w:val="es-CR"/>
              </w:rPr>
              <w:t xml:space="preserve">– Asesoría crear modelo para evaluar la gestión de activos de los fondos supervisados  </w:t>
            </w:r>
          </w:p>
        </w:tc>
        <w:tc>
          <w:tcPr>
            <w:tcW w:w="1247" w:type="dxa"/>
            <w:tcBorders>
              <w:top w:val="nil"/>
              <w:left w:val="nil"/>
              <w:bottom w:val="single" w:sz="4" w:space="0" w:color="auto"/>
              <w:right w:val="single" w:sz="4" w:space="0" w:color="auto"/>
            </w:tcBorders>
            <w:shd w:val="clear" w:color="auto" w:fill="auto"/>
            <w:vAlign w:val="center"/>
            <w:hideMark/>
          </w:tcPr>
          <w:p w14:paraId="47597DB8" w14:textId="09DD5301" w:rsidR="00AB461A" w:rsidRPr="0023319B" w:rsidRDefault="00AB461A" w:rsidP="00AB461A">
            <w:pPr>
              <w:spacing w:line="240" w:lineRule="auto"/>
              <w:jc w:val="right"/>
              <w:rPr>
                <w:rFonts w:ascii="Calibri Light" w:hAnsi="Calibri Light" w:cs="Calibri Light"/>
                <w:color w:val="000000"/>
                <w:sz w:val="18"/>
                <w:szCs w:val="18"/>
                <w:lang w:val="es-CR" w:eastAsia="es-CR"/>
              </w:rPr>
            </w:pPr>
            <w:r w:rsidRPr="0023319B">
              <w:rPr>
                <w:rFonts w:ascii="Calibri Light" w:hAnsi="Calibri Light" w:cs="Calibri Light"/>
                <w:color w:val="000000"/>
                <w:sz w:val="18"/>
                <w:szCs w:val="18"/>
                <w:lang w:val="es-CR"/>
              </w:rPr>
              <w:t>8 060 000</w:t>
            </w:r>
          </w:p>
        </w:tc>
        <w:tc>
          <w:tcPr>
            <w:tcW w:w="1247" w:type="dxa"/>
            <w:tcBorders>
              <w:top w:val="nil"/>
              <w:left w:val="nil"/>
              <w:bottom w:val="nil"/>
              <w:right w:val="nil"/>
            </w:tcBorders>
            <w:shd w:val="clear" w:color="auto" w:fill="auto"/>
            <w:vAlign w:val="center"/>
            <w:hideMark/>
          </w:tcPr>
          <w:p w14:paraId="4F38C533" w14:textId="69C4A225" w:rsidR="00AB461A" w:rsidRPr="0023319B" w:rsidRDefault="00AB461A" w:rsidP="00AB461A">
            <w:pPr>
              <w:spacing w:line="240" w:lineRule="auto"/>
              <w:jc w:val="right"/>
              <w:rPr>
                <w:rFonts w:ascii="Calibri Light" w:hAnsi="Calibri Light" w:cs="Calibri Light"/>
                <w:color w:val="000000"/>
                <w:sz w:val="18"/>
                <w:szCs w:val="18"/>
                <w:lang w:val="es-CR" w:eastAsia="es-CR"/>
              </w:rPr>
            </w:pPr>
            <w:r w:rsidRPr="0023319B">
              <w:rPr>
                <w:rFonts w:ascii="Calibri Light" w:hAnsi="Calibri Light" w:cs="Calibri Light"/>
                <w:color w:val="000000"/>
                <w:sz w:val="18"/>
                <w:szCs w:val="18"/>
                <w:lang w:val="es-CR"/>
              </w:rPr>
              <w:t>6 737 500</w:t>
            </w:r>
          </w:p>
        </w:tc>
        <w:tc>
          <w:tcPr>
            <w:tcW w:w="1241" w:type="dxa"/>
            <w:tcBorders>
              <w:top w:val="nil"/>
              <w:left w:val="single" w:sz="4" w:space="0" w:color="auto"/>
              <w:bottom w:val="single" w:sz="4" w:space="0" w:color="auto"/>
              <w:right w:val="single" w:sz="4" w:space="0" w:color="auto"/>
            </w:tcBorders>
            <w:shd w:val="clear" w:color="auto" w:fill="auto"/>
            <w:vAlign w:val="center"/>
            <w:hideMark/>
          </w:tcPr>
          <w:p w14:paraId="4FF208B2" w14:textId="1649B11B" w:rsidR="00AB461A" w:rsidRPr="0023319B" w:rsidRDefault="00B33514" w:rsidP="00AB461A">
            <w:pPr>
              <w:spacing w:line="240" w:lineRule="auto"/>
              <w:jc w:val="right"/>
              <w:rPr>
                <w:rFonts w:ascii="Calibri Light" w:hAnsi="Calibri Light" w:cs="Calibri Light"/>
                <w:color w:val="000000"/>
                <w:sz w:val="18"/>
                <w:szCs w:val="18"/>
                <w:lang w:val="es-CR" w:eastAsia="es-CR"/>
              </w:rPr>
            </w:pPr>
            <w:r>
              <w:rPr>
                <w:rFonts w:ascii="Calibri Light" w:hAnsi="Calibri Light" w:cs="Calibri Light"/>
                <w:color w:val="000000"/>
                <w:sz w:val="18"/>
                <w:szCs w:val="18"/>
                <w:lang w:val="es-CR"/>
              </w:rPr>
              <w:t>0</w:t>
            </w:r>
            <w:r w:rsidR="00AB461A" w:rsidRPr="0023319B">
              <w:rPr>
                <w:rFonts w:ascii="Calibri Light" w:hAnsi="Calibri Light" w:cs="Calibri Light"/>
                <w:color w:val="000000"/>
                <w:sz w:val="18"/>
                <w:szCs w:val="18"/>
                <w:lang w:val="es-CR"/>
              </w:rPr>
              <w:t> </w:t>
            </w:r>
          </w:p>
        </w:tc>
        <w:tc>
          <w:tcPr>
            <w:tcW w:w="1247" w:type="dxa"/>
            <w:tcBorders>
              <w:top w:val="nil"/>
              <w:left w:val="nil"/>
              <w:bottom w:val="single" w:sz="4" w:space="0" w:color="auto"/>
              <w:right w:val="single" w:sz="4" w:space="0" w:color="auto"/>
            </w:tcBorders>
            <w:shd w:val="clear" w:color="auto" w:fill="auto"/>
            <w:vAlign w:val="center"/>
            <w:hideMark/>
          </w:tcPr>
          <w:p w14:paraId="13448655" w14:textId="37513DF2" w:rsidR="00AB461A" w:rsidRPr="0023319B" w:rsidRDefault="00AB461A" w:rsidP="00AB461A">
            <w:pPr>
              <w:spacing w:line="240" w:lineRule="auto"/>
              <w:jc w:val="right"/>
              <w:rPr>
                <w:rFonts w:ascii="Calibri Light" w:hAnsi="Calibri Light" w:cs="Calibri Light"/>
                <w:sz w:val="18"/>
                <w:szCs w:val="18"/>
                <w:lang w:val="es-CR" w:eastAsia="es-CR"/>
              </w:rPr>
            </w:pPr>
            <w:r w:rsidRPr="0023319B">
              <w:rPr>
                <w:rFonts w:ascii="Calibri Light" w:hAnsi="Calibri Light" w:cs="Calibri Light"/>
                <w:sz w:val="18"/>
                <w:szCs w:val="18"/>
                <w:lang w:val="es-CR"/>
              </w:rPr>
              <w:t xml:space="preserve">1 322 500 </w:t>
            </w:r>
          </w:p>
        </w:tc>
        <w:tc>
          <w:tcPr>
            <w:tcW w:w="850" w:type="dxa"/>
            <w:tcBorders>
              <w:top w:val="nil"/>
              <w:left w:val="nil"/>
              <w:bottom w:val="single" w:sz="4" w:space="0" w:color="auto"/>
              <w:right w:val="single" w:sz="4" w:space="0" w:color="auto"/>
            </w:tcBorders>
            <w:shd w:val="clear" w:color="auto" w:fill="auto"/>
            <w:noWrap/>
            <w:vAlign w:val="center"/>
            <w:hideMark/>
          </w:tcPr>
          <w:p w14:paraId="46E23369" w14:textId="7D8D7281" w:rsidR="00AB461A" w:rsidRPr="0023319B" w:rsidRDefault="00AB461A" w:rsidP="00AB461A">
            <w:pPr>
              <w:spacing w:line="240" w:lineRule="auto"/>
              <w:jc w:val="center"/>
              <w:rPr>
                <w:rFonts w:ascii="Calibri Light" w:hAnsi="Calibri Light" w:cs="Calibri Light"/>
                <w:color w:val="000000"/>
                <w:sz w:val="18"/>
                <w:szCs w:val="18"/>
                <w:lang w:val="es-CR" w:eastAsia="es-CR"/>
              </w:rPr>
            </w:pPr>
            <w:r w:rsidRPr="0023319B">
              <w:rPr>
                <w:rFonts w:ascii="Calibri Light" w:hAnsi="Calibri Light" w:cs="Calibri Light"/>
                <w:color w:val="000000"/>
                <w:sz w:val="18"/>
                <w:szCs w:val="18"/>
                <w:lang w:val="es-CR"/>
              </w:rPr>
              <w:t>84%</w:t>
            </w:r>
          </w:p>
        </w:tc>
      </w:tr>
      <w:tr w:rsidR="00AB461A" w:rsidRPr="0023319B" w14:paraId="2D4466A9" w14:textId="77777777" w:rsidTr="00517199">
        <w:trPr>
          <w:trHeight w:val="480"/>
        </w:trPr>
        <w:tc>
          <w:tcPr>
            <w:tcW w:w="3397" w:type="dxa"/>
            <w:tcBorders>
              <w:top w:val="nil"/>
              <w:left w:val="single" w:sz="4" w:space="0" w:color="auto"/>
              <w:bottom w:val="single" w:sz="4" w:space="0" w:color="auto"/>
              <w:right w:val="single" w:sz="4" w:space="0" w:color="auto"/>
            </w:tcBorders>
            <w:shd w:val="clear" w:color="000000" w:fill="FFFFFF"/>
            <w:noWrap/>
            <w:vAlign w:val="center"/>
            <w:hideMark/>
          </w:tcPr>
          <w:p w14:paraId="65F6CC99" w14:textId="4E7185DB" w:rsidR="00AB461A" w:rsidRPr="0023319B" w:rsidRDefault="00AB461A" w:rsidP="00AB461A">
            <w:pPr>
              <w:spacing w:line="240" w:lineRule="auto"/>
              <w:ind w:left="209" w:hanging="209"/>
              <w:jc w:val="left"/>
              <w:rPr>
                <w:rFonts w:ascii="Calibri Light" w:hAnsi="Calibri Light" w:cs="Calibri Light"/>
                <w:sz w:val="18"/>
                <w:szCs w:val="18"/>
                <w:lang w:val="es-CR" w:eastAsia="es-CR"/>
              </w:rPr>
            </w:pPr>
            <w:r w:rsidRPr="0023319B">
              <w:rPr>
                <w:rFonts w:ascii="Calibri Light" w:hAnsi="Calibri Light" w:cs="Calibri Light"/>
                <w:sz w:val="18"/>
                <w:szCs w:val="18"/>
                <w:lang w:val="es-CR"/>
              </w:rPr>
              <w:t>– Asesoría en educación al afiliado en temas previsionales</w:t>
            </w:r>
          </w:p>
        </w:tc>
        <w:tc>
          <w:tcPr>
            <w:tcW w:w="1247" w:type="dxa"/>
            <w:tcBorders>
              <w:top w:val="nil"/>
              <w:left w:val="nil"/>
              <w:bottom w:val="single" w:sz="4" w:space="0" w:color="auto"/>
              <w:right w:val="single" w:sz="4" w:space="0" w:color="auto"/>
            </w:tcBorders>
            <w:shd w:val="clear" w:color="auto" w:fill="auto"/>
            <w:vAlign w:val="center"/>
            <w:hideMark/>
          </w:tcPr>
          <w:p w14:paraId="4813F481" w14:textId="6336C8EC" w:rsidR="00AB461A" w:rsidRPr="0023319B" w:rsidRDefault="00AB461A" w:rsidP="00AB461A">
            <w:pPr>
              <w:spacing w:line="240" w:lineRule="auto"/>
              <w:jc w:val="right"/>
              <w:rPr>
                <w:rFonts w:ascii="Calibri Light" w:hAnsi="Calibri Light" w:cs="Calibri Light"/>
                <w:color w:val="000000"/>
                <w:sz w:val="18"/>
                <w:szCs w:val="18"/>
                <w:lang w:val="es-CR" w:eastAsia="es-CR"/>
              </w:rPr>
            </w:pPr>
            <w:r w:rsidRPr="0023319B">
              <w:rPr>
                <w:rFonts w:ascii="Calibri Light" w:hAnsi="Calibri Light" w:cs="Calibri Light"/>
                <w:color w:val="000000"/>
                <w:sz w:val="18"/>
                <w:szCs w:val="18"/>
                <w:lang w:val="es-CR"/>
              </w:rPr>
              <w:t>28 000 000</w:t>
            </w:r>
          </w:p>
        </w:tc>
        <w:tc>
          <w:tcPr>
            <w:tcW w:w="1247" w:type="dxa"/>
            <w:tcBorders>
              <w:top w:val="single" w:sz="4" w:space="0" w:color="auto"/>
              <w:left w:val="nil"/>
              <w:bottom w:val="single" w:sz="4" w:space="0" w:color="auto"/>
              <w:right w:val="single" w:sz="4" w:space="0" w:color="auto"/>
            </w:tcBorders>
            <w:shd w:val="clear" w:color="auto" w:fill="auto"/>
            <w:vAlign w:val="center"/>
            <w:hideMark/>
          </w:tcPr>
          <w:p w14:paraId="4097DA6C" w14:textId="382D6604" w:rsidR="00AB461A" w:rsidRPr="0023319B" w:rsidRDefault="00AB461A" w:rsidP="00AB461A">
            <w:pPr>
              <w:spacing w:line="240" w:lineRule="auto"/>
              <w:jc w:val="right"/>
              <w:rPr>
                <w:rFonts w:ascii="Calibri Light" w:hAnsi="Calibri Light" w:cs="Calibri Light"/>
                <w:color w:val="000000"/>
                <w:sz w:val="18"/>
                <w:szCs w:val="18"/>
                <w:lang w:val="es-CR" w:eastAsia="es-CR"/>
              </w:rPr>
            </w:pPr>
            <w:r w:rsidRPr="0023319B">
              <w:rPr>
                <w:rFonts w:ascii="Calibri Light" w:hAnsi="Calibri Light" w:cs="Calibri Light"/>
                <w:color w:val="000000"/>
                <w:sz w:val="18"/>
                <w:szCs w:val="18"/>
                <w:lang w:val="es-CR"/>
              </w:rPr>
              <w:t>27 730 200</w:t>
            </w:r>
          </w:p>
        </w:tc>
        <w:tc>
          <w:tcPr>
            <w:tcW w:w="1241" w:type="dxa"/>
            <w:tcBorders>
              <w:top w:val="nil"/>
              <w:left w:val="nil"/>
              <w:bottom w:val="single" w:sz="4" w:space="0" w:color="auto"/>
              <w:right w:val="single" w:sz="4" w:space="0" w:color="auto"/>
            </w:tcBorders>
            <w:shd w:val="clear" w:color="auto" w:fill="auto"/>
            <w:vAlign w:val="center"/>
            <w:hideMark/>
          </w:tcPr>
          <w:p w14:paraId="1CA327BF" w14:textId="287E663B" w:rsidR="00AB461A" w:rsidRPr="0023319B" w:rsidRDefault="00AB461A" w:rsidP="00AB461A">
            <w:pPr>
              <w:spacing w:line="240" w:lineRule="auto"/>
              <w:jc w:val="right"/>
              <w:rPr>
                <w:rFonts w:ascii="Calibri Light" w:hAnsi="Calibri Light" w:cs="Calibri Light"/>
                <w:color w:val="000000"/>
                <w:sz w:val="18"/>
                <w:szCs w:val="18"/>
                <w:lang w:val="es-CR" w:eastAsia="es-CR"/>
              </w:rPr>
            </w:pPr>
            <w:r w:rsidRPr="0023319B">
              <w:rPr>
                <w:rFonts w:ascii="Calibri Light" w:hAnsi="Calibri Light" w:cs="Calibri Light"/>
                <w:color w:val="000000"/>
                <w:sz w:val="18"/>
                <w:szCs w:val="18"/>
                <w:lang w:val="es-CR"/>
              </w:rPr>
              <w:t>0</w:t>
            </w:r>
          </w:p>
        </w:tc>
        <w:tc>
          <w:tcPr>
            <w:tcW w:w="1247" w:type="dxa"/>
            <w:tcBorders>
              <w:top w:val="nil"/>
              <w:left w:val="nil"/>
              <w:bottom w:val="single" w:sz="4" w:space="0" w:color="auto"/>
              <w:right w:val="single" w:sz="4" w:space="0" w:color="auto"/>
            </w:tcBorders>
            <w:shd w:val="clear" w:color="auto" w:fill="auto"/>
            <w:vAlign w:val="center"/>
            <w:hideMark/>
          </w:tcPr>
          <w:p w14:paraId="3A387AF1" w14:textId="42C2487A" w:rsidR="00AB461A" w:rsidRPr="0023319B" w:rsidRDefault="00AB461A" w:rsidP="00AB461A">
            <w:pPr>
              <w:spacing w:line="240" w:lineRule="auto"/>
              <w:jc w:val="right"/>
              <w:rPr>
                <w:rFonts w:ascii="Calibri Light" w:hAnsi="Calibri Light" w:cs="Calibri Light"/>
                <w:sz w:val="18"/>
                <w:szCs w:val="18"/>
                <w:lang w:val="es-CR" w:eastAsia="es-CR"/>
              </w:rPr>
            </w:pPr>
            <w:r w:rsidRPr="0023319B">
              <w:rPr>
                <w:rFonts w:ascii="Calibri Light" w:hAnsi="Calibri Light" w:cs="Calibri Light"/>
                <w:sz w:val="18"/>
                <w:szCs w:val="18"/>
                <w:lang w:val="es-CR"/>
              </w:rPr>
              <w:t xml:space="preserve">269 800 </w:t>
            </w:r>
          </w:p>
        </w:tc>
        <w:tc>
          <w:tcPr>
            <w:tcW w:w="850" w:type="dxa"/>
            <w:tcBorders>
              <w:top w:val="nil"/>
              <w:left w:val="nil"/>
              <w:bottom w:val="single" w:sz="4" w:space="0" w:color="auto"/>
              <w:right w:val="single" w:sz="4" w:space="0" w:color="auto"/>
            </w:tcBorders>
            <w:shd w:val="clear" w:color="auto" w:fill="auto"/>
            <w:noWrap/>
            <w:vAlign w:val="center"/>
            <w:hideMark/>
          </w:tcPr>
          <w:p w14:paraId="23D13E01" w14:textId="00573B53" w:rsidR="00AB461A" w:rsidRPr="0023319B" w:rsidRDefault="00AB461A" w:rsidP="00AB461A">
            <w:pPr>
              <w:spacing w:line="240" w:lineRule="auto"/>
              <w:jc w:val="center"/>
              <w:rPr>
                <w:rFonts w:ascii="Calibri Light" w:hAnsi="Calibri Light" w:cs="Calibri Light"/>
                <w:color w:val="000000"/>
                <w:sz w:val="18"/>
                <w:szCs w:val="18"/>
                <w:lang w:val="es-CR" w:eastAsia="es-CR"/>
              </w:rPr>
            </w:pPr>
            <w:r w:rsidRPr="0023319B">
              <w:rPr>
                <w:rFonts w:ascii="Calibri Light" w:hAnsi="Calibri Light" w:cs="Calibri Light"/>
                <w:color w:val="000000"/>
                <w:sz w:val="18"/>
                <w:szCs w:val="18"/>
                <w:lang w:val="es-CR"/>
              </w:rPr>
              <w:t>99%</w:t>
            </w:r>
          </w:p>
        </w:tc>
      </w:tr>
      <w:tr w:rsidR="00AB461A" w:rsidRPr="0023319B" w14:paraId="0615078B" w14:textId="77777777" w:rsidTr="00517199">
        <w:trPr>
          <w:trHeight w:val="480"/>
        </w:trPr>
        <w:tc>
          <w:tcPr>
            <w:tcW w:w="3397" w:type="dxa"/>
            <w:tcBorders>
              <w:top w:val="nil"/>
              <w:left w:val="single" w:sz="4" w:space="0" w:color="auto"/>
              <w:bottom w:val="single" w:sz="4" w:space="0" w:color="auto"/>
              <w:right w:val="single" w:sz="4" w:space="0" w:color="auto"/>
            </w:tcBorders>
            <w:shd w:val="clear" w:color="000000" w:fill="FFFFFF"/>
            <w:noWrap/>
            <w:vAlign w:val="center"/>
          </w:tcPr>
          <w:p w14:paraId="4C7DF6B3" w14:textId="606DA62D" w:rsidR="00AB461A" w:rsidRPr="0023319B" w:rsidRDefault="00AB461A" w:rsidP="00AB461A">
            <w:pPr>
              <w:spacing w:line="240" w:lineRule="auto"/>
              <w:ind w:left="209" w:hanging="209"/>
              <w:jc w:val="left"/>
              <w:rPr>
                <w:rFonts w:ascii="Calibri Light" w:hAnsi="Calibri Light" w:cs="Calibri Light"/>
                <w:sz w:val="18"/>
                <w:szCs w:val="18"/>
                <w:lang w:val="es-CR" w:eastAsia="es-CR"/>
              </w:rPr>
            </w:pPr>
            <w:r w:rsidRPr="0023319B">
              <w:rPr>
                <w:rFonts w:ascii="Calibri Light" w:hAnsi="Calibri Light" w:cs="Calibri Light"/>
                <w:sz w:val="18"/>
                <w:szCs w:val="18"/>
                <w:lang w:val="es-CR"/>
              </w:rPr>
              <w:t xml:space="preserve">– Elaboración de encuesta para conocer el uso del ROP </w:t>
            </w:r>
          </w:p>
        </w:tc>
        <w:tc>
          <w:tcPr>
            <w:tcW w:w="1247" w:type="dxa"/>
            <w:tcBorders>
              <w:top w:val="nil"/>
              <w:left w:val="nil"/>
              <w:bottom w:val="single" w:sz="4" w:space="0" w:color="auto"/>
              <w:right w:val="single" w:sz="4" w:space="0" w:color="auto"/>
            </w:tcBorders>
            <w:shd w:val="clear" w:color="auto" w:fill="auto"/>
            <w:vAlign w:val="center"/>
          </w:tcPr>
          <w:p w14:paraId="176E1882" w14:textId="5DFD0A62" w:rsidR="00AB461A" w:rsidRPr="0023319B" w:rsidRDefault="00AB461A" w:rsidP="00AB461A">
            <w:pPr>
              <w:spacing w:line="240" w:lineRule="auto"/>
              <w:jc w:val="right"/>
              <w:rPr>
                <w:rFonts w:ascii="Calibri Light" w:hAnsi="Calibri Light" w:cs="Calibri Light"/>
                <w:sz w:val="18"/>
                <w:szCs w:val="18"/>
                <w:lang w:val="es-CR"/>
              </w:rPr>
            </w:pPr>
            <w:r w:rsidRPr="0023319B">
              <w:rPr>
                <w:rFonts w:ascii="Calibri Light" w:hAnsi="Calibri Light" w:cs="Calibri Light"/>
                <w:color w:val="000000"/>
                <w:sz w:val="18"/>
                <w:szCs w:val="18"/>
                <w:lang w:val="es-CR"/>
              </w:rPr>
              <w:t>5 000 000</w:t>
            </w:r>
          </w:p>
        </w:tc>
        <w:tc>
          <w:tcPr>
            <w:tcW w:w="1247" w:type="dxa"/>
            <w:tcBorders>
              <w:top w:val="single" w:sz="4" w:space="0" w:color="auto"/>
              <w:left w:val="nil"/>
              <w:bottom w:val="single" w:sz="4" w:space="0" w:color="auto"/>
              <w:right w:val="single" w:sz="4" w:space="0" w:color="auto"/>
            </w:tcBorders>
            <w:shd w:val="clear" w:color="auto" w:fill="auto"/>
            <w:vAlign w:val="center"/>
          </w:tcPr>
          <w:p w14:paraId="75AEE0C8" w14:textId="1ED38515" w:rsidR="00AB461A" w:rsidRPr="0023319B" w:rsidRDefault="00AB461A" w:rsidP="00AB461A">
            <w:pPr>
              <w:spacing w:line="240" w:lineRule="auto"/>
              <w:jc w:val="right"/>
              <w:rPr>
                <w:rFonts w:ascii="Calibri Light" w:hAnsi="Calibri Light" w:cs="Calibri Light"/>
                <w:color w:val="000000"/>
                <w:sz w:val="18"/>
                <w:szCs w:val="18"/>
                <w:lang w:val="es-CR" w:eastAsia="es-CR"/>
              </w:rPr>
            </w:pPr>
            <w:r w:rsidRPr="0023319B">
              <w:rPr>
                <w:rFonts w:ascii="Calibri Light" w:hAnsi="Calibri Light" w:cs="Calibri Light"/>
                <w:color w:val="000000"/>
                <w:sz w:val="18"/>
                <w:szCs w:val="18"/>
                <w:lang w:val="es-CR"/>
              </w:rPr>
              <w:t>2 486 000</w:t>
            </w:r>
          </w:p>
        </w:tc>
        <w:tc>
          <w:tcPr>
            <w:tcW w:w="1241" w:type="dxa"/>
            <w:tcBorders>
              <w:top w:val="nil"/>
              <w:left w:val="nil"/>
              <w:bottom w:val="single" w:sz="4" w:space="0" w:color="auto"/>
              <w:right w:val="single" w:sz="4" w:space="0" w:color="auto"/>
            </w:tcBorders>
            <w:shd w:val="clear" w:color="auto" w:fill="auto"/>
            <w:vAlign w:val="center"/>
          </w:tcPr>
          <w:p w14:paraId="50F24347" w14:textId="673DE693" w:rsidR="00AB461A" w:rsidRPr="0023319B" w:rsidRDefault="00AB461A" w:rsidP="00AB461A">
            <w:pPr>
              <w:spacing w:line="240" w:lineRule="auto"/>
              <w:jc w:val="right"/>
              <w:rPr>
                <w:rFonts w:ascii="Calibri Light" w:hAnsi="Calibri Light" w:cs="Calibri Light"/>
                <w:sz w:val="18"/>
                <w:szCs w:val="18"/>
                <w:lang w:val="es-CR"/>
              </w:rPr>
            </w:pPr>
            <w:r w:rsidRPr="0023319B">
              <w:rPr>
                <w:rFonts w:ascii="Calibri Light" w:hAnsi="Calibri Light" w:cs="Calibri Light"/>
                <w:color w:val="000000"/>
                <w:sz w:val="18"/>
                <w:szCs w:val="18"/>
                <w:lang w:val="es-CR"/>
              </w:rPr>
              <w:t>0</w:t>
            </w:r>
          </w:p>
        </w:tc>
        <w:tc>
          <w:tcPr>
            <w:tcW w:w="1247" w:type="dxa"/>
            <w:tcBorders>
              <w:top w:val="nil"/>
              <w:left w:val="nil"/>
              <w:bottom w:val="single" w:sz="4" w:space="0" w:color="auto"/>
              <w:right w:val="single" w:sz="4" w:space="0" w:color="auto"/>
            </w:tcBorders>
            <w:shd w:val="clear" w:color="auto" w:fill="auto"/>
            <w:vAlign w:val="center"/>
          </w:tcPr>
          <w:p w14:paraId="790BE6E9" w14:textId="326348D0" w:rsidR="00AB461A" w:rsidRPr="0023319B" w:rsidRDefault="00AB461A" w:rsidP="00AB461A">
            <w:pPr>
              <w:spacing w:line="240" w:lineRule="auto"/>
              <w:jc w:val="right"/>
              <w:rPr>
                <w:rFonts w:ascii="Calibri Light" w:hAnsi="Calibri Light" w:cs="Calibri Light"/>
                <w:sz w:val="18"/>
                <w:szCs w:val="18"/>
                <w:lang w:val="es-CR"/>
              </w:rPr>
            </w:pPr>
            <w:r w:rsidRPr="0023319B">
              <w:rPr>
                <w:rFonts w:ascii="Calibri Light" w:hAnsi="Calibri Light" w:cs="Calibri Light"/>
                <w:sz w:val="18"/>
                <w:szCs w:val="18"/>
                <w:lang w:val="es-CR"/>
              </w:rPr>
              <w:t xml:space="preserve">2 514 000 </w:t>
            </w:r>
          </w:p>
        </w:tc>
        <w:tc>
          <w:tcPr>
            <w:tcW w:w="850" w:type="dxa"/>
            <w:tcBorders>
              <w:top w:val="nil"/>
              <w:left w:val="nil"/>
              <w:bottom w:val="single" w:sz="4" w:space="0" w:color="auto"/>
              <w:right w:val="single" w:sz="4" w:space="0" w:color="auto"/>
            </w:tcBorders>
            <w:shd w:val="clear" w:color="auto" w:fill="auto"/>
            <w:noWrap/>
            <w:vAlign w:val="center"/>
          </w:tcPr>
          <w:p w14:paraId="58A67CF7" w14:textId="614CC2D5" w:rsidR="00AB461A" w:rsidRPr="0023319B" w:rsidRDefault="00AB461A" w:rsidP="00AB461A">
            <w:pPr>
              <w:spacing w:line="240" w:lineRule="auto"/>
              <w:jc w:val="center"/>
              <w:rPr>
                <w:rFonts w:ascii="Calibri Light" w:hAnsi="Calibri Light" w:cs="Calibri Light"/>
                <w:sz w:val="18"/>
                <w:szCs w:val="18"/>
                <w:lang w:val="es-CR"/>
              </w:rPr>
            </w:pPr>
            <w:r w:rsidRPr="0023319B">
              <w:rPr>
                <w:rFonts w:ascii="Calibri Light" w:hAnsi="Calibri Light" w:cs="Calibri Light"/>
                <w:color w:val="000000"/>
                <w:sz w:val="18"/>
                <w:szCs w:val="18"/>
                <w:lang w:val="es-CR"/>
              </w:rPr>
              <w:t>50%</w:t>
            </w:r>
          </w:p>
        </w:tc>
      </w:tr>
      <w:tr w:rsidR="00AB461A" w:rsidRPr="0023319B" w14:paraId="4D61C94E" w14:textId="77777777" w:rsidTr="00517199">
        <w:trPr>
          <w:trHeight w:val="407"/>
        </w:trPr>
        <w:tc>
          <w:tcPr>
            <w:tcW w:w="3397" w:type="dxa"/>
            <w:tcBorders>
              <w:top w:val="nil"/>
              <w:left w:val="single" w:sz="4" w:space="0" w:color="auto"/>
              <w:bottom w:val="single" w:sz="4" w:space="0" w:color="auto"/>
              <w:right w:val="single" w:sz="4" w:space="0" w:color="auto"/>
            </w:tcBorders>
            <w:shd w:val="clear" w:color="000000" w:fill="FFFFFF"/>
            <w:noWrap/>
            <w:vAlign w:val="center"/>
            <w:hideMark/>
          </w:tcPr>
          <w:p w14:paraId="1C67CE54" w14:textId="347B12C1" w:rsidR="00AB461A" w:rsidRPr="0023319B" w:rsidRDefault="00AB461A" w:rsidP="00AB461A">
            <w:pPr>
              <w:spacing w:line="240" w:lineRule="auto"/>
              <w:ind w:left="209" w:hanging="209"/>
              <w:jc w:val="left"/>
              <w:rPr>
                <w:rFonts w:ascii="Calibri Light" w:hAnsi="Calibri Light" w:cs="Calibri Light"/>
                <w:sz w:val="18"/>
                <w:szCs w:val="18"/>
                <w:lang w:val="es-CR" w:eastAsia="es-CR"/>
              </w:rPr>
            </w:pPr>
            <w:r w:rsidRPr="0023319B">
              <w:rPr>
                <w:rFonts w:ascii="Calibri Light" w:hAnsi="Calibri Light" w:cs="Calibri Light"/>
                <w:sz w:val="18"/>
                <w:szCs w:val="18"/>
                <w:lang w:val="es-CR"/>
              </w:rPr>
              <w:t>– Asesoría competencias del personal</w:t>
            </w:r>
          </w:p>
        </w:tc>
        <w:tc>
          <w:tcPr>
            <w:tcW w:w="1247" w:type="dxa"/>
            <w:tcBorders>
              <w:top w:val="nil"/>
              <w:left w:val="nil"/>
              <w:bottom w:val="single" w:sz="4" w:space="0" w:color="auto"/>
              <w:right w:val="single" w:sz="4" w:space="0" w:color="auto"/>
            </w:tcBorders>
            <w:shd w:val="clear" w:color="auto" w:fill="auto"/>
            <w:vAlign w:val="center"/>
            <w:hideMark/>
          </w:tcPr>
          <w:p w14:paraId="55632B14" w14:textId="058CFD86" w:rsidR="00AB461A" w:rsidRPr="0023319B" w:rsidRDefault="00AB461A" w:rsidP="00AB461A">
            <w:pPr>
              <w:spacing w:line="240" w:lineRule="auto"/>
              <w:jc w:val="right"/>
              <w:rPr>
                <w:rFonts w:ascii="Calibri Light" w:hAnsi="Calibri Light" w:cs="Calibri Light"/>
                <w:color w:val="000000"/>
                <w:sz w:val="18"/>
                <w:szCs w:val="18"/>
                <w:lang w:val="es-CR" w:eastAsia="es-CR"/>
              </w:rPr>
            </w:pPr>
            <w:r w:rsidRPr="0023319B">
              <w:rPr>
                <w:rFonts w:ascii="Calibri Light" w:hAnsi="Calibri Light" w:cs="Calibri Light"/>
                <w:color w:val="000000"/>
                <w:sz w:val="18"/>
                <w:szCs w:val="18"/>
                <w:lang w:val="es-CR"/>
              </w:rPr>
              <w:t>5 000 000</w:t>
            </w:r>
          </w:p>
        </w:tc>
        <w:tc>
          <w:tcPr>
            <w:tcW w:w="1247" w:type="dxa"/>
            <w:tcBorders>
              <w:top w:val="nil"/>
              <w:left w:val="nil"/>
              <w:bottom w:val="single" w:sz="4" w:space="0" w:color="auto"/>
              <w:right w:val="single" w:sz="4" w:space="0" w:color="auto"/>
            </w:tcBorders>
            <w:shd w:val="clear" w:color="auto" w:fill="auto"/>
            <w:vAlign w:val="center"/>
            <w:hideMark/>
          </w:tcPr>
          <w:p w14:paraId="587891CE" w14:textId="0A82ED8F" w:rsidR="00AB461A" w:rsidRPr="0023319B" w:rsidRDefault="00AB461A" w:rsidP="00AB461A">
            <w:pPr>
              <w:spacing w:line="240" w:lineRule="auto"/>
              <w:jc w:val="right"/>
              <w:rPr>
                <w:rFonts w:ascii="Calibri Light" w:hAnsi="Calibri Light" w:cs="Calibri Light"/>
                <w:color w:val="000000"/>
                <w:sz w:val="18"/>
                <w:szCs w:val="18"/>
                <w:lang w:val="es-CR" w:eastAsia="es-CR"/>
              </w:rPr>
            </w:pPr>
            <w:r w:rsidRPr="0023319B">
              <w:rPr>
                <w:rFonts w:ascii="Calibri Light" w:hAnsi="Calibri Light" w:cs="Calibri Light"/>
                <w:color w:val="000000"/>
                <w:sz w:val="18"/>
                <w:szCs w:val="18"/>
                <w:lang w:val="es-CR"/>
              </w:rPr>
              <w:t> </w:t>
            </w:r>
          </w:p>
        </w:tc>
        <w:tc>
          <w:tcPr>
            <w:tcW w:w="1241" w:type="dxa"/>
            <w:tcBorders>
              <w:top w:val="nil"/>
              <w:left w:val="nil"/>
              <w:bottom w:val="single" w:sz="4" w:space="0" w:color="auto"/>
              <w:right w:val="single" w:sz="4" w:space="0" w:color="auto"/>
            </w:tcBorders>
            <w:shd w:val="clear" w:color="auto" w:fill="auto"/>
            <w:vAlign w:val="center"/>
            <w:hideMark/>
          </w:tcPr>
          <w:p w14:paraId="247E6920" w14:textId="441FD9EB" w:rsidR="00AB461A" w:rsidRPr="0023319B" w:rsidRDefault="00AB461A" w:rsidP="00AB461A">
            <w:pPr>
              <w:spacing w:line="240" w:lineRule="auto"/>
              <w:jc w:val="right"/>
              <w:rPr>
                <w:rFonts w:ascii="Calibri Light" w:hAnsi="Calibri Light" w:cs="Calibri Light"/>
                <w:color w:val="000000"/>
                <w:sz w:val="18"/>
                <w:szCs w:val="18"/>
                <w:lang w:val="es-CR" w:eastAsia="es-CR"/>
              </w:rPr>
            </w:pPr>
            <w:r w:rsidRPr="0023319B">
              <w:rPr>
                <w:rFonts w:ascii="Calibri Light" w:hAnsi="Calibri Light" w:cs="Calibri Light"/>
                <w:color w:val="000000"/>
                <w:sz w:val="18"/>
                <w:szCs w:val="18"/>
                <w:lang w:val="es-CR"/>
              </w:rPr>
              <w:t>0</w:t>
            </w:r>
          </w:p>
        </w:tc>
        <w:tc>
          <w:tcPr>
            <w:tcW w:w="1247" w:type="dxa"/>
            <w:tcBorders>
              <w:top w:val="nil"/>
              <w:left w:val="nil"/>
              <w:bottom w:val="single" w:sz="4" w:space="0" w:color="auto"/>
              <w:right w:val="single" w:sz="4" w:space="0" w:color="auto"/>
            </w:tcBorders>
            <w:shd w:val="clear" w:color="auto" w:fill="auto"/>
            <w:vAlign w:val="center"/>
            <w:hideMark/>
          </w:tcPr>
          <w:p w14:paraId="2093A993" w14:textId="25ED1AE5" w:rsidR="00AB461A" w:rsidRPr="0023319B" w:rsidRDefault="00AB461A" w:rsidP="00AB461A">
            <w:pPr>
              <w:spacing w:line="240" w:lineRule="auto"/>
              <w:jc w:val="right"/>
              <w:rPr>
                <w:rFonts w:ascii="Calibri Light" w:hAnsi="Calibri Light" w:cs="Calibri Light"/>
                <w:sz w:val="18"/>
                <w:szCs w:val="18"/>
                <w:lang w:val="es-CR" w:eastAsia="es-CR"/>
              </w:rPr>
            </w:pPr>
            <w:r w:rsidRPr="0023319B">
              <w:rPr>
                <w:rFonts w:ascii="Calibri Light" w:hAnsi="Calibri Light" w:cs="Calibri Light"/>
                <w:sz w:val="18"/>
                <w:szCs w:val="18"/>
                <w:lang w:val="es-CR"/>
              </w:rPr>
              <w:t xml:space="preserve">5 000 000 </w:t>
            </w:r>
          </w:p>
        </w:tc>
        <w:tc>
          <w:tcPr>
            <w:tcW w:w="850" w:type="dxa"/>
            <w:tcBorders>
              <w:top w:val="nil"/>
              <w:left w:val="nil"/>
              <w:bottom w:val="single" w:sz="4" w:space="0" w:color="auto"/>
              <w:right w:val="single" w:sz="4" w:space="0" w:color="auto"/>
            </w:tcBorders>
            <w:shd w:val="clear" w:color="auto" w:fill="auto"/>
            <w:noWrap/>
            <w:vAlign w:val="center"/>
            <w:hideMark/>
          </w:tcPr>
          <w:p w14:paraId="5BDD21AD" w14:textId="0FF0C963" w:rsidR="00AB461A" w:rsidRPr="0023319B" w:rsidRDefault="00AB461A" w:rsidP="00AB461A">
            <w:pPr>
              <w:spacing w:line="240" w:lineRule="auto"/>
              <w:jc w:val="center"/>
              <w:rPr>
                <w:rFonts w:ascii="Calibri Light" w:hAnsi="Calibri Light" w:cs="Calibri Light"/>
                <w:color w:val="000000"/>
                <w:sz w:val="18"/>
                <w:szCs w:val="18"/>
                <w:lang w:val="es-CR" w:eastAsia="es-CR"/>
              </w:rPr>
            </w:pPr>
            <w:r w:rsidRPr="0023319B">
              <w:rPr>
                <w:rFonts w:ascii="Calibri Light" w:hAnsi="Calibri Light" w:cs="Calibri Light"/>
                <w:color w:val="000000"/>
                <w:sz w:val="18"/>
                <w:szCs w:val="18"/>
                <w:lang w:val="es-CR"/>
              </w:rPr>
              <w:t>0%</w:t>
            </w:r>
          </w:p>
        </w:tc>
      </w:tr>
      <w:tr w:rsidR="00AB461A" w:rsidRPr="0023319B" w14:paraId="335F9B12" w14:textId="77777777" w:rsidTr="00517199">
        <w:trPr>
          <w:trHeight w:val="352"/>
        </w:trPr>
        <w:tc>
          <w:tcPr>
            <w:tcW w:w="3397" w:type="dxa"/>
            <w:tcBorders>
              <w:top w:val="nil"/>
              <w:left w:val="single" w:sz="4" w:space="0" w:color="auto"/>
              <w:bottom w:val="single" w:sz="4" w:space="0" w:color="auto"/>
              <w:right w:val="single" w:sz="4" w:space="0" w:color="auto"/>
            </w:tcBorders>
            <w:shd w:val="clear" w:color="000000" w:fill="FFFFFF"/>
            <w:noWrap/>
            <w:vAlign w:val="center"/>
            <w:hideMark/>
          </w:tcPr>
          <w:p w14:paraId="1134514F" w14:textId="4D00B307" w:rsidR="00AB461A" w:rsidRPr="0023319B" w:rsidRDefault="00AB461A" w:rsidP="00AB461A">
            <w:pPr>
              <w:spacing w:line="240" w:lineRule="auto"/>
              <w:ind w:left="209" w:hanging="209"/>
              <w:jc w:val="left"/>
              <w:rPr>
                <w:rFonts w:ascii="Calibri Light" w:hAnsi="Calibri Light" w:cs="Calibri Light"/>
                <w:sz w:val="18"/>
                <w:szCs w:val="18"/>
                <w:lang w:val="es-CR" w:eastAsia="es-CR"/>
              </w:rPr>
            </w:pPr>
            <w:r w:rsidRPr="0023319B">
              <w:rPr>
                <w:rFonts w:ascii="Calibri Light" w:hAnsi="Calibri Light" w:cs="Calibri Light"/>
                <w:sz w:val="18"/>
                <w:szCs w:val="18"/>
                <w:lang w:val="es-CR"/>
              </w:rPr>
              <w:t>– Certificación ISO 9000.</w:t>
            </w:r>
          </w:p>
        </w:tc>
        <w:tc>
          <w:tcPr>
            <w:tcW w:w="1247" w:type="dxa"/>
            <w:tcBorders>
              <w:top w:val="nil"/>
              <w:left w:val="nil"/>
              <w:bottom w:val="single" w:sz="4" w:space="0" w:color="auto"/>
              <w:right w:val="single" w:sz="4" w:space="0" w:color="auto"/>
            </w:tcBorders>
            <w:shd w:val="clear" w:color="auto" w:fill="auto"/>
            <w:vAlign w:val="center"/>
            <w:hideMark/>
          </w:tcPr>
          <w:p w14:paraId="1F2002DE" w14:textId="07F3C3C6" w:rsidR="00AB461A" w:rsidRPr="0023319B" w:rsidRDefault="00AB461A" w:rsidP="00AB461A">
            <w:pPr>
              <w:spacing w:line="240" w:lineRule="auto"/>
              <w:jc w:val="right"/>
              <w:rPr>
                <w:rFonts w:ascii="Calibri Light" w:hAnsi="Calibri Light" w:cs="Calibri Light"/>
                <w:color w:val="000000"/>
                <w:sz w:val="18"/>
                <w:szCs w:val="18"/>
                <w:lang w:val="es-CR" w:eastAsia="es-CR"/>
              </w:rPr>
            </w:pPr>
            <w:r w:rsidRPr="0023319B">
              <w:rPr>
                <w:rFonts w:ascii="Calibri Light" w:hAnsi="Calibri Light" w:cs="Calibri Light"/>
                <w:sz w:val="18"/>
                <w:szCs w:val="18"/>
                <w:lang w:val="es-CR"/>
              </w:rPr>
              <w:t>1 150 000</w:t>
            </w:r>
          </w:p>
        </w:tc>
        <w:tc>
          <w:tcPr>
            <w:tcW w:w="1247" w:type="dxa"/>
            <w:tcBorders>
              <w:top w:val="nil"/>
              <w:left w:val="nil"/>
              <w:bottom w:val="single" w:sz="4" w:space="0" w:color="auto"/>
              <w:right w:val="single" w:sz="4" w:space="0" w:color="auto"/>
            </w:tcBorders>
            <w:shd w:val="clear" w:color="auto" w:fill="auto"/>
            <w:vAlign w:val="center"/>
            <w:hideMark/>
          </w:tcPr>
          <w:p w14:paraId="2A1AB6D9" w14:textId="77AAF1CB" w:rsidR="00AB461A" w:rsidRPr="0023319B" w:rsidRDefault="00AB461A" w:rsidP="00AB461A">
            <w:pPr>
              <w:spacing w:line="240" w:lineRule="auto"/>
              <w:jc w:val="right"/>
              <w:rPr>
                <w:rFonts w:ascii="Calibri Light" w:hAnsi="Calibri Light" w:cs="Calibri Light"/>
                <w:color w:val="000000"/>
                <w:sz w:val="18"/>
                <w:szCs w:val="18"/>
                <w:lang w:val="es-CR" w:eastAsia="es-CR"/>
              </w:rPr>
            </w:pPr>
            <w:r w:rsidRPr="0023319B">
              <w:rPr>
                <w:rFonts w:ascii="Calibri Light" w:hAnsi="Calibri Light" w:cs="Calibri Light"/>
                <w:sz w:val="18"/>
                <w:szCs w:val="18"/>
                <w:lang w:val="es-CR"/>
              </w:rPr>
              <w:t>1 095 829</w:t>
            </w:r>
          </w:p>
        </w:tc>
        <w:tc>
          <w:tcPr>
            <w:tcW w:w="1241" w:type="dxa"/>
            <w:tcBorders>
              <w:top w:val="nil"/>
              <w:left w:val="nil"/>
              <w:bottom w:val="single" w:sz="4" w:space="0" w:color="auto"/>
              <w:right w:val="single" w:sz="4" w:space="0" w:color="auto"/>
            </w:tcBorders>
            <w:shd w:val="clear" w:color="auto" w:fill="auto"/>
            <w:vAlign w:val="center"/>
            <w:hideMark/>
          </w:tcPr>
          <w:p w14:paraId="5DE55F26" w14:textId="024E70CA" w:rsidR="00AB461A" w:rsidRPr="0023319B" w:rsidRDefault="00B33514" w:rsidP="00AB461A">
            <w:pPr>
              <w:spacing w:line="240" w:lineRule="auto"/>
              <w:jc w:val="right"/>
              <w:rPr>
                <w:rFonts w:ascii="Calibri Light" w:hAnsi="Calibri Light" w:cs="Calibri Light"/>
                <w:sz w:val="18"/>
                <w:szCs w:val="18"/>
                <w:lang w:val="es-CR" w:eastAsia="es-CR"/>
              </w:rPr>
            </w:pPr>
            <w:r>
              <w:rPr>
                <w:rFonts w:ascii="Calibri Light" w:hAnsi="Calibri Light" w:cs="Calibri Light"/>
                <w:sz w:val="18"/>
                <w:szCs w:val="18"/>
                <w:lang w:val="es-CR"/>
              </w:rPr>
              <w:t>0</w:t>
            </w:r>
            <w:r w:rsidR="00AB461A" w:rsidRPr="0023319B">
              <w:rPr>
                <w:rFonts w:ascii="Calibri Light" w:hAnsi="Calibri Light" w:cs="Calibri Light"/>
                <w:sz w:val="18"/>
                <w:szCs w:val="18"/>
                <w:lang w:val="es-CR"/>
              </w:rPr>
              <w:t> </w:t>
            </w:r>
          </w:p>
        </w:tc>
        <w:tc>
          <w:tcPr>
            <w:tcW w:w="1247" w:type="dxa"/>
            <w:tcBorders>
              <w:top w:val="nil"/>
              <w:left w:val="nil"/>
              <w:bottom w:val="single" w:sz="4" w:space="0" w:color="auto"/>
              <w:right w:val="single" w:sz="4" w:space="0" w:color="auto"/>
            </w:tcBorders>
            <w:shd w:val="clear" w:color="auto" w:fill="auto"/>
            <w:vAlign w:val="center"/>
            <w:hideMark/>
          </w:tcPr>
          <w:p w14:paraId="4380171C" w14:textId="142D9A09" w:rsidR="00AB461A" w:rsidRPr="0023319B" w:rsidRDefault="00AB461A" w:rsidP="00AB461A">
            <w:pPr>
              <w:spacing w:line="240" w:lineRule="auto"/>
              <w:jc w:val="right"/>
              <w:rPr>
                <w:rFonts w:ascii="Calibri Light" w:hAnsi="Calibri Light" w:cs="Calibri Light"/>
                <w:sz w:val="18"/>
                <w:szCs w:val="18"/>
                <w:lang w:val="es-CR" w:eastAsia="es-CR"/>
              </w:rPr>
            </w:pPr>
            <w:r w:rsidRPr="0023319B">
              <w:rPr>
                <w:rFonts w:ascii="Calibri Light" w:hAnsi="Calibri Light" w:cs="Calibri Light"/>
                <w:sz w:val="18"/>
                <w:szCs w:val="18"/>
                <w:lang w:val="es-CR"/>
              </w:rPr>
              <w:t xml:space="preserve">54 171 </w:t>
            </w:r>
          </w:p>
        </w:tc>
        <w:tc>
          <w:tcPr>
            <w:tcW w:w="850" w:type="dxa"/>
            <w:tcBorders>
              <w:top w:val="nil"/>
              <w:left w:val="nil"/>
              <w:bottom w:val="single" w:sz="4" w:space="0" w:color="auto"/>
              <w:right w:val="single" w:sz="4" w:space="0" w:color="auto"/>
            </w:tcBorders>
            <w:shd w:val="clear" w:color="auto" w:fill="auto"/>
            <w:noWrap/>
            <w:vAlign w:val="center"/>
            <w:hideMark/>
          </w:tcPr>
          <w:p w14:paraId="24037300" w14:textId="16EC8FE6" w:rsidR="00AB461A" w:rsidRPr="0023319B" w:rsidRDefault="00AB461A" w:rsidP="00AB461A">
            <w:pPr>
              <w:spacing w:line="240" w:lineRule="auto"/>
              <w:jc w:val="center"/>
              <w:rPr>
                <w:rFonts w:ascii="Calibri Light" w:hAnsi="Calibri Light" w:cs="Calibri Light"/>
                <w:color w:val="000000"/>
                <w:sz w:val="18"/>
                <w:szCs w:val="18"/>
                <w:lang w:val="es-CR" w:eastAsia="es-CR"/>
              </w:rPr>
            </w:pPr>
            <w:r w:rsidRPr="0023319B">
              <w:rPr>
                <w:rFonts w:ascii="Calibri Light" w:hAnsi="Calibri Light" w:cs="Calibri Light"/>
                <w:color w:val="000000"/>
                <w:sz w:val="18"/>
                <w:szCs w:val="18"/>
                <w:lang w:val="es-CR"/>
              </w:rPr>
              <w:t>95%</w:t>
            </w:r>
          </w:p>
        </w:tc>
      </w:tr>
      <w:tr w:rsidR="00B33514" w:rsidRPr="00B33514" w14:paraId="79D6126B" w14:textId="77777777" w:rsidTr="00517199">
        <w:trPr>
          <w:trHeight w:val="352"/>
        </w:trPr>
        <w:tc>
          <w:tcPr>
            <w:tcW w:w="3397" w:type="dxa"/>
            <w:tcBorders>
              <w:top w:val="nil"/>
              <w:left w:val="single" w:sz="4" w:space="0" w:color="auto"/>
              <w:bottom w:val="single" w:sz="4" w:space="0" w:color="auto"/>
              <w:right w:val="single" w:sz="4" w:space="0" w:color="auto"/>
            </w:tcBorders>
            <w:shd w:val="clear" w:color="000000" w:fill="FFFFFF"/>
            <w:noWrap/>
            <w:vAlign w:val="center"/>
          </w:tcPr>
          <w:p w14:paraId="7D4983D8" w14:textId="2A34F658" w:rsidR="00B33514" w:rsidRPr="0023319B" w:rsidRDefault="00B33514" w:rsidP="00B33514">
            <w:pPr>
              <w:spacing w:line="240" w:lineRule="auto"/>
              <w:ind w:left="209" w:hanging="209"/>
              <w:jc w:val="left"/>
              <w:rPr>
                <w:rFonts w:ascii="Calibri Light" w:hAnsi="Calibri Light" w:cs="Calibri Light"/>
                <w:sz w:val="18"/>
                <w:szCs w:val="18"/>
                <w:lang w:val="es-CR"/>
              </w:rPr>
            </w:pPr>
            <w:r w:rsidRPr="00B33514">
              <w:rPr>
                <w:rFonts w:ascii="Calibri Light" w:hAnsi="Calibri Light" w:cs="Calibri Light"/>
                <w:sz w:val="18"/>
                <w:szCs w:val="18"/>
                <w:lang w:val="es-CR"/>
              </w:rPr>
              <w:t>– Banco Central de Costa Rica</w:t>
            </w:r>
          </w:p>
        </w:tc>
        <w:tc>
          <w:tcPr>
            <w:tcW w:w="1247" w:type="dxa"/>
            <w:tcBorders>
              <w:top w:val="nil"/>
              <w:left w:val="nil"/>
              <w:bottom w:val="single" w:sz="4" w:space="0" w:color="auto"/>
              <w:right w:val="single" w:sz="4" w:space="0" w:color="auto"/>
            </w:tcBorders>
            <w:shd w:val="clear" w:color="auto" w:fill="auto"/>
            <w:vAlign w:val="center"/>
          </w:tcPr>
          <w:p w14:paraId="0853F5D3" w14:textId="4CDB55F9" w:rsidR="00B33514" w:rsidRPr="0023319B" w:rsidRDefault="00B33514" w:rsidP="00B33514">
            <w:pPr>
              <w:spacing w:line="240" w:lineRule="auto"/>
              <w:jc w:val="right"/>
              <w:rPr>
                <w:rFonts w:ascii="Calibri Light" w:hAnsi="Calibri Light" w:cs="Calibri Light"/>
                <w:sz w:val="18"/>
                <w:szCs w:val="18"/>
                <w:lang w:val="es-CR"/>
              </w:rPr>
            </w:pPr>
            <w:r w:rsidRPr="00B33514">
              <w:rPr>
                <w:rFonts w:ascii="Calibri Light" w:hAnsi="Calibri Light" w:cs="Calibri Light"/>
                <w:sz w:val="18"/>
                <w:szCs w:val="18"/>
                <w:lang w:val="es-CR"/>
              </w:rPr>
              <w:t>453 706 380</w:t>
            </w:r>
          </w:p>
        </w:tc>
        <w:tc>
          <w:tcPr>
            <w:tcW w:w="1247" w:type="dxa"/>
            <w:tcBorders>
              <w:top w:val="nil"/>
              <w:left w:val="nil"/>
              <w:bottom w:val="single" w:sz="4" w:space="0" w:color="auto"/>
              <w:right w:val="single" w:sz="4" w:space="0" w:color="auto"/>
            </w:tcBorders>
            <w:shd w:val="clear" w:color="auto" w:fill="auto"/>
            <w:vAlign w:val="center"/>
          </w:tcPr>
          <w:p w14:paraId="180A58FA" w14:textId="157E20A7" w:rsidR="00B33514" w:rsidRPr="0023319B" w:rsidRDefault="00B33514" w:rsidP="00B33514">
            <w:pPr>
              <w:spacing w:line="240" w:lineRule="auto"/>
              <w:jc w:val="right"/>
              <w:rPr>
                <w:rFonts w:ascii="Calibri Light" w:hAnsi="Calibri Light" w:cs="Calibri Light"/>
                <w:sz w:val="18"/>
                <w:szCs w:val="18"/>
                <w:lang w:val="es-CR"/>
              </w:rPr>
            </w:pPr>
            <w:r w:rsidRPr="00B33514">
              <w:rPr>
                <w:rFonts w:ascii="Calibri Light" w:hAnsi="Calibri Light" w:cs="Calibri Light"/>
                <w:sz w:val="18"/>
                <w:szCs w:val="18"/>
                <w:lang w:val="es-CR"/>
              </w:rPr>
              <w:t>443 801 206</w:t>
            </w:r>
          </w:p>
        </w:tc>
        <w:tc>
          <w:tcPr>
            <w:tcW w:w="1241" w:type="dxa"/>
            <w:tcBorders>
              <w:top w:val="nil"/>
              <w:left w:val="nil"/>
              <w:bottom w:val="single" w:sz="4" w:space="0" w:color="auto"/>
              <w:right w:val="single" w:sz="4" w:space="0" w:color="auto"/>
            </w:tcBorders>
            <w:shd w:val="clear" w:color="auto" w:fill="auto"/>
            <w:vAlign w:val="center"/>
          </w:tcPr>
          <w:p w14:paraId="60042092" w14:textId="22B76F6D" w:rsidR="00B33514" w:rsidRPr="0023319B" w:rsidRDefault="00B33514" w:rsidP="00B33514">
            <w:pPr>
              <w:spacing w:line="240" w:lineRule="auto"/>
              <w:jc w:val="right"/>
              <w:rPr>
                <w:rFonts w:ascii="Calibri Light" w:hAnsi="Calibri Light" w:cs="Calibri Light"/>
                <w:sz w:val="18"/>
                <w:szCs w:val="18"/>
                <w:lang w:val="es-CR"/>
              </w:rPr>
            </w:pPr>
            <w:r w:rsidRPr="00B33514">
              <w:rPr>
                <w:rFonts w:ascii="Calibri Light" w:hAnsi="Calibri Light" w:cs="Calibri Light"/>
                <w:sz w:val="18"/>
                <w:szCs w:val="18"/>
                <w:lang w:val="es-CR"/>
              </w:rPr>
              <w:t>0</w:t>
            </w:r>
          </w:p>
        </w:tc>
        <w:tc>
          <w:tcPr>
            <w:tcW w:w="1247" w:type="dxa"/>
            <w:tcBorders>
              <w:top w:val="nil"/>
              <w:left w:val="nil"/>
              <w:bottom w:val="single" w:sz="4" w:space="0" w:color="auto"/>
              <w:right w:val="single" w:sz="4" w:space="0" w:color="auto"/>
            </w:tcBorders>
            <w:shd w:val="clear" w:color="auto" w:fill="auto"/>
            <w:vAlign w:val="center"/>
          </w:tcPr>
          <w:p w14:paraId="19627242" w14:textId="23F92723" w:rsidR="00B33514" w:rsidRPr="0023319B" w:rsidRDefault="00B33514" w:rsidP="00B33514">
            <w:pPr>
              <w:spacing w:line="240" w:lineRule="auto"/>
              <w:jc w:val="right"/>
              <w:rPr>
                <w:rFonts w:ascii="Calibri Light" w:hAnsi="Calibri Light" w:cs="Calibri Light"/>
                <w:sz w:val="18"/>
                <w:szCs w:val="18"/>
                <w:lang w:val="es-CR"/>
              </w:rPr>
            </w:pPr>
            <w:r w:rsidRPr="00B33514">
              <w:rPr>
                <w:rFonts w:ascii="Calibri Light" w:hAnsi="Calibri Light" w:cs="Calibri Light"/>
                <w:sz w:val="18"/>
                <w:szCs w:val="18"/>
                <w:lang w:val="es-CR"/>
              </w:rPr>
              <w:t xml:space="preserve"> 9 905 174 </w:t>
            </w:r>
          </w:p>
        </w:tc>
        <w:tc>
          <w:tcPr>
            <w:tcW w:w="850" w:type="dxa"/>
            <w:tcBorders>
              <w:top w:val="nil"/>
              <w:left w:val="nil"/>
              <w:bottom w:val="single" w:sz="4" w:space="0" w:color="auto"/>
              <w:right w:val="single" w:sz="4" w:space="0" w:color="auto"/>
            </w:tcBorders>
            <w:shd w:val="clear" w:color="auto" w:fill="auto"/>
            <w:noWrap/>
            <w:vAlign w:val="center"/>
          </w:tcPr>
          <w:p w14:paraId="70C6130F" w14:textId="46101DDF" w:rsidR="00B33514" w:rsidRPr="00B33514" w:rsidRDefault="00B33514" w:rsidP="00B33514">
            <w:pPr>
              <w:spacing w:line="240" w:lineRule="auto"/>
              <w:jc w:val="center"/>
              <w:rPr>
                <w:rFonts w:ascii="Calibri Light" w:hAnsi="Calibri Light" w:cs="Calibri Light"/>
                <w:sz w:val="18"/>
                <w:szCs w:val="18"/>
                <w:lang w:val="es-CR"/>
              </w:rPr>
            </w:pPr>
            <w:r w:rsidRPr="00B33514">
              <w:rPr>
                <w:rFonts w:ascii="Calibri Light" w:hAnsi="Calibri Light" w:cs="Calibri Light"/>
                <w:sz w:val="18"/>
                <w:szCs w:val="18"/>
                <w:lang w:val="es-CR"/>
              </w:rPr>
              <w:t>98%</w:t>
            </w:r>
          </w:p>
        </w:tc>
      </w:tr>
      <w:tr w:rsidR="00517199" w:rsidRPr="00B33514" w14:paraId="5A33B4F6" w14:textId="77777777" w:rsidTr="00517199">
        <w:trPr>
          <w:trHeight w:val="206"/>
        </w:trPr>
        <w:tc>
          <w:tcPr>
            <w:tcW w:w="3397" w:type="dxa"/>
            <w:tcBorders>
              <w:top w:val="nil"/>
              <w:left w:val="single" w:sz="4" w:space="0" w:color="auto"/>
              <w:bottom w:val="single" w:sz="4" w:space="0" w:color="auto"/>
              <w:right w:val="single" w:sz="4" w:space="0" w:color="auto"/>
            </w:tcBorders>
            <w:shd w:val="clear" w:color="000000" w:fill="FFFFFF"/>
            <w:noWrap/>
            <w:vAlign w:val="center"/>
            <w:hideMark/>
          </w:tcPr>
          <w:p w14:paraId="75CCD3BC" w14:textId="0F5EE339" w:rsidR="00517199" w:rsidRPr="0023319B" w:rsidRDefault="00517199" w:rsidP="00517199">
            <w:pPr>
              <w:spacing w:line="240" w:lineRule="auto"/>
              <w:jc w:val="left"/>
              <w:rPr>
                <w:rFonts w:ascii="Calibri Light" w:hAnsi="Calibri Light" w:cs="Calibri Light"/>
                <w:color w:val="000000"/>
                <w:sz w:val="18"/>
                <w:szCs w:val="18"/>
                <w:lang w:val="es-CR" w:eastAsia="es-CR"/>
              </w:rPr>
            </w:pPr>
            <w:r w:rsidRPr="0023319B">
              <w:rPr>
                <w:rFonts w:ascii="Calibri Light" w:hAnsi="Calibri Light" w:cs="Calibri Light"/>
                <w:color w:val="000000"/>
                <w:sz w:val="18"/>
                <w:szCs w:val="18"/>
                <w:lang w:val="es-CR"/>
              </w:rPr>
              <w:t> </w:t>
            </w:r>
          </w:p>
        </w:tc>
        <w:tc>
          <w:tcPr>
            <w:tcW w:w="1247" w:type="dxa"/>
            <w:tcBorders>
              <w:top w:val="nil"/>
              <w:left w:val="nil"/>
              <w:bottom w:val="single" w:sz="4" w:space="0" w:color="auto"/>
              <w:right w:val="single" w:sz="4" w:space="0" w:color="auto"/>
            </w:tcBorders>
            <w:shd w:val="clear" w:color="auto" w:fill="auto"/>
            <w:vAlign w:val="center"/>
            <w:hideMark/>
          </w:tcPr>
          <w:p w14:paraId="4DE3B71A" w14:textId="13928F35" w:rsidR="00517199" w:rsidRPr="0023319B" w:rsidRDefault="00517199" w:rsidP="00517199">
            <w:pPr>
              <w:spacing w:line="240" w:lineRule="auto"/>
              <w:jc w:val="right"/>
              <w:rPr>
                <w:rFonts w:ascii="Calibri Light" w:hAnsi="Calibri Light" w:cs="Calibri Light"/>
                <w:color w:val="000000"/>
                <w:sz w:val="18"/>
                <w:szCs w:val="18"/>
                <w:lang w:val="es-CR" w:eastAsia="es-CR"/>
              </w:rPr>
            </w:pPr>
            <w:r w:rsidRPr="0023319B">
              <w:rPr>
                <w:rFonts w:ascii="Calibri Light" w:hAnsi="Calibri Light" w:cs="Calibri Light"/>
                <w:color w:val="000000"/>
                <w:sz w:val="18"/>
                <w:szCs w:val="18"/>
                <w:lang w:val="es-CR"/>
              </w:rPr>
              <w:t> </w:t>
            </w:r>
          </w:p>
        </w:tc>
        <w:tc>
          <w:tcPr>
            <w:tcW w:w="1247" w:type="dxa"/>
            <w:tcBorders>
              <w:top w:val="nil"/>
              <w:left w:val="nil"/>
              <w:bottom w:val="single" w:sz="4" w:space="0" w:color="auto"/>
              <w:right w:val="single" w:sz="4" w:space="0" w:color="auto"/>
            </w:tcBorders>
            <w:shd w:val="clear" w:color="auto" w:fill="auto"/>
            <w:vAlign w:val="center"/>
            <w:hideMark/>
          </w:tcPr>
          <w:p w14:paraId="33F43830" w14:textId="47773225" w:rsidR="00517199" w:rsidRPr="0023319B" w:rsidRDefault="00517199" w:rsidP="00517199">
            <w:pPr>
              <w:spacing w:line="240" w:lineRule="auto"/>
              <w:jc w:val="right"/>
              <w:rPr>
                <w:rFonts w:ascii="Calibri Light" w:hAnsi="Calibri Light" w:cs="Calibri Light"/>
                <w:color w:val="000000"/>
                <w:sz w:val="18"/>
                <w:szCs w:val="18"/>
                <w:lang w:val="es-CR" w:eastAsia="es-CR"/>
              </w:rPr>
            </w:pPr>
            <w:r w:rsidRPr="0023319B">
              <w:rPr>
                <w:rFonts w:ascii="Calibri Light" w:hAnsi="Calibri Light" w:cs="Calibri Light"/>
                <w:color w:val="000000"/>
                <w:sz w:val="18"/>
                <w:szCs w:val="18"/>
                <w:lang w:val="es-CR"/>
              </w:rPr>
              <w:t> </w:t>
            </w:r>
          </w:p>
        </w:tc>
        <w:tc>
          <w:tcPr>
            <w:tcW w:w="1241" w:type="dxa"/>
            <w:tcBorders>
              <w:top w:val="nil"/>
              <w:left w:val="nil"/>
              <w:bottom w:val="single" w:sz="4" w:space="0" w:color="auto"/>
              <w:right w:val="single" w:sz="4" w:space="0" w:color="auto"/>
            </w:tcBorders>
            <w:shd w:val="clear" w:color="auto" w:fill="auto"/>
            <w:vAlign w:val="center"/>
            <w:hideMark/>
          </w:tcPr>
          <w:p w14:paraId="3B1C57D0" w14:textId="166CCD05" w:rsidR="00517199" w:rsidRPr="0023319B" w:rsidRDefault="00517199" w:rsidP="00517199">
            <w:pPr>
              <w:spacing w:line="240" w:lineRule="auto"/>
              <w:jc w:val="right"/>
              <w:rPr>
                <w:rFonts w:ascii="Calibri Light" w:hAnsi="Calibri Light" w:cs="Calibri Light"/>
                <w:sz w:val="18"/>
                <w:szCs w:val="18"/>
                <w:lang w:val="es-CR" w:eastAsia="es-CR"/>
              </w:rPr>
            </w:pPr>
            <w:r w:rsidRPr="0023319B">
              <w:rPr>
                <w:rFonts w:ascii="Calibri Light" w:hAnsi="Calibri Light" w:cs="Calibri Light"/>
                <w:sz w:val="18"/>
                <w:szCs w:val="18"/>
                <w:lang w:val="es-CR"/>
              </w:rPr>
              <w:t> </w:t>
            </w:r>
          </w:p>
        </w:tc>
        <w:tc>
          <w:tcPr>
            <w:tcW w:w="1247" w:type="dxa"/>
            <w:tcBorders>
              <w:top w:val="nil"/>
              <w:left w:val="nil"/>
              <w:bottom w:val="single" w:sz="4" w:space="0" w:color="auto"/>
              <w:right w:val="single" w:sz="4" w:space="0" w:color="auto"/>
            </w:tcBorders>
            <w:shd w:val="clear" w:color="auto" w:fill="auto"/>
            <w:vAlign w:val="center"/>
            <w:hideMark/>
          </w:tcPr>
          <w:p w14:paraId="4961A040" w14:textId="529BAAD8" w:rsidR="00517199" w:rsidRPr="0023319B" w:rsidRDefault="00517199" w:rsidP="00517199">
            <w:pPr>
              <w:spacing w:line="240" w:lineRule="auto"/>
              <w:jc w:val="right"/>
              <w:rPr>
                <w:rFonts w:ascii="Calibri Light" w:hAnsi="Calibri Light" w:cs="Calibri Light"/>
                <w:sz w:val="18"/>
                <w:szCs w:val="18"/>
                <w:lang w:val="es-CR" w:eastAsia="es-CR"/>
              </w:rPr>
            </w:pPr>
            <w:r w:rsidRPr="0023319B">
              <w:rPr>
                <w:rFonts w:ascii="Calibri Light" w:hAnsi="Calibri Light" w:cs="Calibri Light"/>
                <w:sz w:val="18"/>
                <w:szCs w:val="18"/>
                <w:lang w:val="es-CR"/>
              </w:rPr>
              <w:t> </w:t>
            </w:r>
          </w:p>
        </w:tc>
        <w:tc>
          <w:tcPr>
            <w:tcW w:w="850" w:type="dxa"/>
            <w:tcBorders>
              <w:top w:val="nil"/>
              <w:left w:val="nil"/>
              <w:bottom w:val="single" w:sz="4" w:space="0" w:color="auto"/>
              <w:right w:val="single" w:sz="4" w:space="0" w:color="auto"/>
            </w:tcBorders>
            <w:shd w:val="clear" w:color="auto" w:fill="auto"/>
            <w:noWrap/>
            <w:vAlign w:val="center"/>
            <w:hideMark/>
          </w:tcPr>
          <w:p w14:paraId="414DA159" w14:textId="5190235A" w:rsidR="00517199" w:rsidRPr="0023319B" w:rsidRDefault="00517199" w:rsidP="00517199">
            <w:pPr>
              <w:spacing w:line="240" w:lineRule="auto"/>
              <w:jc w:val="center"/>
              <w:rPr>
                <w:rFonts w:ascii="Calibri Light" w:hAnsi="Calibri Light" w:cs="Calibri Light"/>
                <w:color w:val="000000"/>
                <w:sz w:val="18"/>
                <w:szCs w:val="18"/>
                <w:lang w:val="es-CR" w:eastAsia="es-CR"/>
              </w:rPr>
            </w:pPr>
            <w:r w:rsidRPr="0023319B">
              <w:rPr>
                <w:rFonts w:ascii="Calibri Light" w:hAnsi="Calibri Light" w:cs="Calibri Light"/>
                <w:color w:val="000000"/>
                <w:sz w:val="18"/>
                <w:szCs w:val="18"/>
                <w:lang w:val="es-CR"/>
              </w:rPr>
              <w:t> </w:t>
            </w:r>
          </w:p>
        </w:tc>
      </w:tr>
      <w:tr w:rsidR="002D6F16" w:rsidRPr="0023319B" w14:paraId="52FC3604" w14:textId="77777777" w:rsidTr="009F54FB">
        <w:trPr>
          <w:trHeight w:val="404"/>
        </w:trPr>
        <w:tc>
          <w:tcPr>
            <w:tcW w:w="3397" w:type="dxa"/>
            <w:tcBorders>
              <w:top w:val="nil"/>
              <w:left w:val="single" w:sz="4" w:space="0" w:color="auto"/>
              <w:bottom w:val="single" w:sz="4" w:space="0" w:color="auto"/>
              <w:right w:val="single" w:sz="4" w:space="0" w:color="auto"/>
            </w:tcBorders>
            <w:shd w:val="clear" w:color="000000" w:fill="DCE6F1"/>
            <w:vAlign w:val="center"/>
            <w:hideMark/>
          </w:tcPr>
          <w:p w14:paraId="0CB23536" w14:textId="748D24D3" w:rsidR="002D6F16" w:rsidRPr="0023319B" w:rsidRDefault="002D6F16" w:rsidP="002D6F16">
            <w:pPr>
              <w:spacing w:line="240" w:lineRule="auto"/>
              <w:jc w:val="left"/>
              <w:rPr>
                <w:rFonts w:ascii="Calibri Light" w:hAnsi="Calibri Light" w:cs="Calibri Light"/>
                <w:b/>
                <w:bCs/>
                <w:color w:val="000000"/>
                <w:sz w:val="18"/>
                <w:szCs w:val="18"/>
                <w:lang w:val="es-CR" w:eastAsia="es-CR"/>
              </w:rPr>
            </w:pPr>
            <w:r w:rsidRPr="0023319B">
              <w:rPr>
                <w:rFonts w:ascii="Calibri Light" w:hAnsi="Calibri Light" w:cs="Calibri Light"/>
                <w:b/>
                <w:bCs/>
                <w:color w:val="000000"/>
                <w:sz w:val="18"/>
                <w:szCs w:val="18"/>
                <w:lang w:val="es-CR"/>
              </w:rPr>
              <w:t xml:space="preserve">Totales </w:t>
            </w:r>
          </w:p>
        </w:tc>
        <w:tc>
          <w:tcPr>
            <w:tcW w:w="1247" w:type="dxa"/>
            <w:tcBorders>
              <w:top w:val="nil"/>
              <w:left w:val="nil"/>
              <w:bottom w:val="single" w:sz="4" w:space="0" w:color="auto"/>
              <w:right w:val="single" w:sz="4" w:space="0" w:color="auto"/>
            </w:tcBorders>
            <w:shd w:val="clear" w:color="000000" w:fill="DCE6F1"/>
            <w:vAlign w:val="center"/>
            <w:hideMark/>
          </w:tcPr>
          <w:p w14:paraId="2BB0050D" w14:textId="4949B4F6" w:rsidR="002D6F16" w:rsidRPr="0023319B" w:rsidRDefault="002D6F16" w:rsidP="002D6F16">
            <w:pPr>
              <w:spacing w:line="240" w:lineRule="auto"/>
              <w:jc w:val="right"/>
              <w:rPr>
                <w:rFonts w:asciiTheme="minorHAnsi" w:hAnsiTheme="minorHAnsi" w:cstheme="minorHAnsi"/>
                <w:b/>
                <w:bCs/>
                <w:color w:val="000000"/>
                <w:sz w:val="18"/>
                <w:szCs w:val="18"/>
                <w:lang w:val="es-CR" w:eastAsia="es-CR"/>
              </w:rPr>
            </w:pPr>
            <w:r w:rsidRPr="0023319B">
              <w:rPr>
                <w:rFonts w:asciiTheme="minorHAnsi" w:hAnsiTheme="minorHAnsi" w:cstheme="minorHAnsi"/>
                <w:sz w:val="18"/>
                <w:szCs w:val="18"/>
                <w:lang w:val="es-CR"/>
              </w:rPr>
              <w:t>534 516 380</w:t>
            </w:r>
          </w:p>
        </w:tc>
        <w:tc>
          <w:tcPr>
            <w:tcW w:w="1247" w:type="dxa"/>
            <w:tcBorders>
              <w:top w:val="nil"/>
              <w:left w:val="nil"/>
              <w:bottom w:val="single" w:sz="4" w:space="0" w:color="auto"/>
              <w:right w:val="single" w:sz="4" w:space="0" w:color="auto"/>
            </w:tcBorders>
            <w:shd w:val="clear" w:color="000000" w:fill="DCE6F1"/>
            <w:vAlign w:val="center"/>
            <w:hideMark/>
          </w:tcPr>
          <w:p w14:paraId="1ABE928D" w14:textId="1D24DC88" w:rsidR="002D6F16" w:rsidRPr="0023319B" w:rsidRDefault="002D6F16" w:rsidP="002D6F16">
            <w:pPr>
              <w:spacing w:line="240" w:lineRule="auto"/>
              <w:jc w:val="right"/>
              <w:rPr>
                <w:rFonts w:asciiTheme="minorHAnsi" w:hAnsiTheme="minorHAnsi" w:cstheme="minorHAnsi"/>
                <w:b/>
                <w:bCs/>
                <w:color w:val="000000"/>
                <w:sz w:val="18"/>
                <w:szCs w:val="18"/>
                <w:lang w:val="es-CR" w:eastAsia="es-CR"/>
              </w:rPr>
            </w:pPr>
            <w:r w:rsidRPr="0023319B">
              <w:rPr>
                <w:rFonts w:asciiTheme="minorHAnsi" w:hAnsiTheme="minorHAnsi" w:cstheme="minorHAnsi"/>
                <w:sz w:val="18"/>
                <w:szCs w:val="18"/>
                <w:lang w:val="es-CR"/>
              </w:rPr>
              <w:t>489 195 734</w:t>
            </w:r>
          </w:p>
        </w:tc>
        <w:tc>
          <w:tcPr>
            <w:tcW w:w="1241" w:type="dxa"/>
            <w:tcBorders>
              <w:top w:val="nil"/>
              <w:left w:val="nil"/>
              <w:bottom w:val="single" w:sz="4" w:space="0" w:color="auto"/>
              <w:right w:val="single" w:sz="4" w:space="0" w:color="auto"/>
            </w:tcBorders>
            <w:shd w:val="clear" w:color="000000" w:fill="DCE6F1"/>
            <w:vAlign w:val="center"/>
            <w:hideMark/>
          </w:tcPr>
          <w:p w14:paraId="1C08E1FF" w14:textId="201C7B03" w:rsidR="002D6F16" w:rsidRPr="0023319B" w:rsidRDefault="002D6F16" w:rsidP="002D6F16">
            <w:pPr>
              <w:spacing w:line="240" w:lineRule="auto"/>
              <w:jc w:val="right"/>
              <w:rPr>
                <w:rFonts w:asciiTheme="minorHAnsi" w:hAnsiTheme="minorHAnsi" w:cstheme="minorHAnsi"/>
                <w:b/>
                <w:bCs/>
                <w:color w:val="000000"/>
                <w:sz w:val="18"/>
                <w:szCs w:val="18"/>
                <w:lang w:val="es-CR" w:eastAsia="es-CR"/>
              </w:rPr>
            </w:pPr>
            <w:r w:rsidRPr="0023319B">
              <w:rPr>
                <w:rFonts w:asciiTheme="minorHAnsi" w:hAnsiTheme="minorHAnsi" w:cstheme="minorHAnsi"/>
                <w:sz w:val="18"/>
                <w:szCs w:val="18"/>
                <w:lang w:val="es-CR"/>
              </w:rPr>
              <w:t>0</w:t>
            </w:r>
          </w:p>
        </w:tc>
        <w:tc>
          <w:tcPr>
            <w:tcW w:w="1247" w:type="dxa"/>
            <w:tcBorders>
              <w:top w:val="nil"/>
              <w:left w:val="nil"/>
              <w:bottom w:val="single" w:sz="4" w:space="0" w:color="auto"/>
              <w:right w:val="single" w:sz="4" w:space="0" w:color="auto"/>
            </w:tcBorders>
            <w:shd w:val="clear" w:color="000000" w:fill="DCE6F1"/>
            <w:vAlign w:val="center"/>
            <w:hideMark/>
          </w:tcPr>
          <w:p w14:paraId="1BD2C503" w14:textId="65A4A2BE" w:rsidR="002D6F16" w:rsidRPr="0023319B" w:rsidRDefault="002D6F16" w:rsidP="002D6F16">
            <w:pPr>
              <w:spacing w:line="240" w:lineRule="auto"/>
              <w:jc w:val="right"/>
              <w:rPr>
                <w:rFonts w:asciiTheme="minorHAnsi" w:hAnsiTheme="minorHAnsi" w:cstheme="minorHAnsi"/>
                <w:b/>
                <w:bCs/>
                <w:color w:val="000000"/>
                <w:sz w:val="18"/>
                <w:szCs w:val="18"/>
                <w:lang w:val="es-CR" w:eastAsia="es-CR"/>
              </w:rPr>
            </w:pPr>
            <w:r w:rsidRPr="0023319B">
              <w:rPr>
                <w:rFonts w:asciiTheme="minorHAnsi" w:hAnsiTheme="minorHAnsi" w:cstheme="minorHAnsi"/>
                <w:sz w:val="18"/>
                <w:szCs w:val="18"/>
                <w:lang w:val="es-CR"/>
              </w:rPr>
              <w:t>45 320 646</w:t>
            </w:r>
          </w:p>
        </w:tc>
        <w:tc>
          <w:tcPr>
            <w:tcW w:w="850" w:type="dxa"/>
            <w:tcBorders>
              <w:top w:val="nil"/>
              <w:left w:val="nil"/>
              <w:bottom w:val="single" w:sz="4" w:space="0" w:color="auto"/>
              <w:right w:val="single" w:sz="4" w:space="0" w:color="auto"/>
            </w:tcBorders>
            <w:shd w:val="clear" w:color="000000" w:fill="DCE6F1"/>
            <w:vAlign w:val="center"/>
            <w:hideMark/>
          </w:tcPr>
          <w:p w14:paraId="7FDCC19A" w14:textId="5442600F" w:rsidR="002D6F16" w:rsidRPr="0023319B" w:rsidRDefault="002D6F16" w:rsidP="002D6F16">
            <w:pPr>
              <w:spacing w:line="240" w:lineRule="auto"/>
              <w:jc w:val="center"/>
              <w:rPr>
                <w:rFonts w:asciiTheme="minorHAnsi" w:hAnsiTheme="minorHAnsi" w:cstheme="minorHAnsi"/>
                <w:b/>
                <w:bCs/>
                <w:color w:val="000000"/>
                <w:sz w:val="18"/>
                <w:szCs w:val="18"/>
                <w:lang w:val="es-CR" w:eastAsia="es-CR"/>
              </w:rPr>
            </w:pPr>
            <w:r w:rsidRPr="0023319B">
              <w:rPr>
                <w:rFonts w:asciiTheme="minorHAnsi" w:hAnsiTheme="minorHAnsi" w:cstheme="minorHAnsi"/>
                <w:sz w:val="18"/>
                <w:szCs w:val="18"/>
                <w:lang w:val="es-CR"/>
              </w:rPr>
              <w:t>92%</w:t>
            </w:r>
          </w:p>
        </w:tc>
      </w:tr>
    </w:tbl>
    <w:p w14:paraId="331B07DC" w14:textId="77777777" w:rsidR="00FD0404" w:rsidRPr="0023319B" w:rsidRDefault="00FD0404" w:rsidP="00093594">
      <w:pPr>
        <w:ind w:right="51"/>
        <w:jc w:val="left"/>
        <w:rPr>
          <w:rFonts w:asciiTheme="minorHAnsi" w:hAnsiTheme="minorHAnsi" w:cstheme="minorHAnsi"/>
          <w:sz w:val="24"/>
          <w:szCs w:val="16"/>
          <w:lang w:val="es-CR"/>
        </w:rPr>
      </w:pPr>
    </w:p>
    <w:p w14:paraId="64DC776E" w14:textId="73DB9DF3" w:rsidR="00216C86" w:rsidRPr="0023319B" w:rsidRDefault="00225437" w:rsidP="00093594">
      <w:pPr>
        <w:pStyle w:val="Textoindependiente"/>
        <w:numPr>
          <w:ilvl w:val="0"/>
          <w:numId w:val="9"/>
        </w:numPr>
        <w:tabs>
          <w:tab w:val="left" w:pos="1134"/>
          <w:tab w:val="decimal" w:pos="7088"/>
        </w:tabs>
        <w:ind w:left="567" w:right="51"/>
        <w:rPr>
          <w:rFonts w:asciiTheme="minorHAnsi" w:hAnsiTheme="minorHAnsi" w:cstheme="minorHAnsi"/>
          <w:szCs w:val="24"/>
          <w:lang w:val="es-CR"/>
        </w:rPr>
      </w:pPr>
      <w:r w:rsidRPr="0023319B">
        <w:rPr>
          <w:rFonts w:asciiTheme="minorHAnsi" w:hAnsiTheme="minorHAnsi" w:cstheme="minorHAnsi"/>
          <w:szCs w:val="24"/>
          <w:lang w:val="es-CR"/>
        </w:rPr>
        <w:t xml:space="preserve">“Servicios </w:t>
      </w:r>
      <w:r w:rsidR="00794351" w:rsidRPr="0023319B">
        <w:rPr>
          <w:rFonts w:asciiTheme="minorHAnsi" w:hAnsiTheme="minorHAnsi" w:cstheme="minorHAnsi"/>
          <w:szCs w:val="24"/>
          <w:lang w:val="es-CR"/>
        </w:rPr>
        <w:t>Desarrollo de Sistema</w:t>
      </w:r>
      <w:r w:rsidRPr="0023319B">
        <w:rPr>
          <w:rFonts w:asciiTheme="minorHAnsi" w:hAnsiTheme="minorHAnsi" w:cstheme="minorHAnsi"/>
          <w:szCs w:val="24"/>
          <w:lang w:val="es-CR"/>
        </w:rPr>
        <w:t>” (1 04 0</w:t>
      </w:r>
      <w:r w:rsidR="00794351" w:rsidRPr="0023319B">
        <w:rPr>
          <w:rFonts w:asciiTheme="minorHAnsi" w:hAnsiTheme="minorHAnsi" w:cstheme="minorHAnsi"/>
          <w:szCs w:val="24"/>
          <w:lang w:val="es-CR"/>
        </w:rPr>
        <w:t>5</w:t>
      </w:r>
      <w:r w:rsidRPr="0023319B">
        <w:rPr>
          <w:rFonts w:asciiTheme="minorHAnsi" w:hAnsiTheme="minorHAnsi" w:cstheme="minorHAnsi"/>
          <w:szCs w:val="24"/>
          <w:lang w:val="es-CR"/>
        </w:rPr>
        <w:t xml:space="preserve">) refleja una ejecución del </w:t>
      </w:r>
      <w:r w:rsidR="00AD1356" w:rsidRPr="0023319B">
        <w:rPr>
          <w:rFonts w:asciiTheme="minorHAnsi" w:hAnsiTheme="minorHAnsi" w:cstheme="minorHAnsi"/>
          <w:szCs w:val="24"/>
          <w:lang w:val="es-CR"/>
        </w:rPr>
        <w:t>93</w:t>
      </w:r>
      <w:r w:rsidRPr="0023319B">
        <w:rPr>
          <w:rFonts w:asciiTheme="minorHAnsi" w:hAnsiTheme="minorHAnsi" w:cstheme="minorHAnsi"/>
          <w:szCs w:val="24"/>
          <w:lang w:val="es-CR"/>
        </w:rPr>
        <w:t>%</w:t>
      </w:r>
      <w:r w:rsidR="00216C86" w:rsidRPr="0023319B">
        <w:rPr>
          <w:rFonts w:asciiTheme="minorHAnsi" w:hAnsiTheme="minorHAnsi" w:cstheme="minorHAnsi"/>
          <w:szCs w:val="24"/>
          <w:lang w:val="es-CR"/>
        </w:rPr>
        <w:t>,</w:t>
      </w:r>
      <w:r w:rsidRPr="0023319B">
        <w:rPr>
          <w:rFonts w:asciiTheme="minorHAnsi" w:hAnsiTheme="minorHAnsi" w:cstheme="minorHAnsi"/>
          <w:szCs w:val="24"/>
          <w:lang w:val="es-CR"/>
        </w:rPr>
        <w:t xml:space="preserve"> corresponde a </w:t>
      </w:r>
      <w:r w:rsidR="003F03F4" w:rsidRPr="0023319B">
        <w:rPr>
          <w:rFonts w:asciiTheme="minorHAnsi" w:hAnsiTheme="minorHAnsi" w:cstheme="minorHAnsi"/>
          <w:szCs w:val="24"/>
          <w:lang w:val="es-CR"/>
        </w:rPr>
        <w:t xml:space="preserve">los servicios de tecnologías </w:t>
      </w:r>
      <w:r w:rsidR="00D13C07" w:rsidRPr="0023319B">
        <w:rPr>
          <w:rFonts w:asciiTheme="minorHAnsi" w:hAnsiTheme="minorHAnsi" w:cstheme="minorHAnsi"/>
          <w:szCs w:val="24"/>
          <w:lang w:val="es-CR"/>
        </w:rPr>
        <w:t xml:space="preserve">y de desarrollo de programas </w:t>
      </w:r>
      <w:r w:rsidR="003F03F4" w:rsidRPr="0023319B">
        <w:rPr>
          <w:rFonts w:asciiTheme="minorHAnsi" w:hAnsiTheme="minorHAnsi" w:cstheme="minorHAnsi"/>
          <w:szCs w:val="24"/>
          <w:lang w:val="es-CR"/>
        </w:rPr>
        <w:t xml:space="preserve">que brinda el BCCR a la </w:t>
      </w:r>
      <w:r w:rsidR="003A02BE" w:rsidRPr="0023319B">
        <w:rPr>
          <w:rFonts w:asciiTheme="minorHAnsi" w:hAnsiTheme="minorHAnsi" w:cstheme="minorHAnsi"/>
          <w:szCs w:val="24"/>
          <w:lang w:val="es-CR"/>
        </w:rPr>
        <w:t>SUPEN</w:t>
      </w:r>
      <w:r w:rsidR="002D3A55" w:rsidRPr="0023319B">
        <w:rPr>
          <w:rFonts w:asciiTheme="minorHAnsi" w:hAnsiTheme="minorHAnsi" w:cstheme="minorHAnsi"/>
          <w:szCs w:val="24"/>
          <w:lang w:val="es-CR"/>
        </w:rPr>
        <w:t>.</w:t>
      </w:r>
    </w:p>
    <w:p w14:paraId="658434D7" w14:textId="1D1E01D4" w:rsidR="007B7F1D" w:rsidRPr="0023319B" w:rsidRDefault="009559F2" w:rsidP="004412CA">
      <w:pPr>
        <w:pStyle w:val="Textoindependiente"/>
        <w:numPr>
          <w:ilvl w:val="0"/>
          <w:numId w:val="9"/>
        </w:numPr>
        <w:tabs>
          <w:tab w:val="left" w:pos="1134"/>
          <w:tab w:val="decimal" w:pos="7088"/>
        </w:tabs>
        <w:ind w:left="567" w:right="51"/>
        <w:rPr>
          <w:rFonts w:asciiTheme="minorHAnsi" w:hAnsiTheme="minorHAnsi" w:cstheme="minorHAnsi"/>
          <w:szCs w:val="24"/>
          <w:lang w:val="es-CR"/>
        </w:rPr>
      </w:pPr>
      <w:r w:rsidRPr="0023319B">
        <w:rPr>
          <w:rFonts w:asciiTheme="minorHAnsi" w:hAnsiTheme="minorHAnsi" w:cstheme="minorHAnsi"/>
          <w:szCs w:val="24"/>
          <w:lang w:val="es-CR"/>
        </w:rPr>
        <w:t xml:space="preserve"> </w:t>
      </w:r>
      <w:r w:rsidR="004F6ECF" w:rsidRPr="0023319B">
        <w:rPr>
          <w:rFonts w:asciiTheme="minorHAnsi" w:hAnsiTheme="minorHAnsi" w:cstheme="minorHAnsi"/>
          <w:szCs w:val="24"/>
          <w:lang w:val="es-CR"/>
        </w:rPr>
        <w:t xml:space="preserve">“Otros servicios de gestión y apoyo” (1 04 99) </w:t>
      </w:r>
      <w:r w:rsidR="007A141F" w:rsidRPr="0023319B">
        <w:rPr>
          <w:rFonts w:asciiTheme="minorHAnsi" w:hAnsiTheme="minorHAnsi" w:cstheme="minorHAnsi"/>
          <w:szCs w:val="24"/>
          <w:lang w:val="es-CR"/>
        </w:rPr>
        <w:t xml:space="preserve">refleja una ejecución de </w:t>
      </w:r>
      <w:r w:rsidR="00AD1356" w:rsidRPr="0023319B">
        <w:rPr>
          <w:rFonts w:asciiTheme="minorHAnsi" w:hAnsiTheme="minorHAnsi" w:cstheme="minorHAnsi"/>
          <w:szCs w:val="24"/>
          <w:lang w:val="es-CR"/>
        </w:rPr>
        <w:t>8</w:t>
      </w:r>
      <w:r w:rsidR="006A6644" w:rsidRPr="0023319B">
        <w:rPr>
          <w:rFonts w:asciiTheme="minorHAnsi" w:hAnsiTheme="minorHAnsi" w:cstheme="minorHAnsi"/>
          <w:szCs w:val="24"/>
          <w:lang w:val="es-CR"/>
        </w:rPr>
        <w:t>1</w:t>
      </w:r>
      <w:r w:rsidR="007A141F" w:rsidRPr="0023319B">
        <w:rPr>
          <w:rFonts w:asciiTheme="minorHAnsi" w:hAnsiTheme="minorHAnsi" w:cstheme="minorHAnsi"/>
          <w:szCs w:val="24"/>
          <w:lang w:val="es-CR"/>
        </w:rPr>
        <w:t xml:space="preserve">%, corresponde </w:t>
      </w:r>
      <w:r w:rsidR="008A3741" w:rsidRPr="0023319B">
        <w:rPr>
          <w:rFonts w:asciiTheme="minorHAnsi" w:hAnsiTheme="minorHAnsi" w:cstheme="minorHAnsi"/>
          <w:szCs w:val="24"/>
          <w:lang w:val="es-CR"/>
        </w:rPr>
        <w:t xml:space="preserve">la contabilización del pago del alquiler </w:t>
      </w:r>
      <w:r w:rsidR="00AD1356" w:rsidRPr="0023319B">
        <w:rPr>
          <w:rFonts w:asciiTheme="minorHAnsi" w:hAnsiTheme="minorHAnsi" w:cstheme="minorHAnsi"/>
          <w:szCs w:val="24"/>
          <w:lang w:val="es-CR"/>
        </w:rPr>
        <w:t>y servicios p</w:t>
      </w:r>
      <w:r w:rsidR="00F66F89" w:rsidRPr="0023319B">
        <w:rPr>
          <w:rFonts w:asciiTheme="minorHAnsi" w:hAnsiTheme="minorHAnsi" w:cstheme="minorHAnsi"/>
          <w:szCs w:val="24"/>
          <w:lang w:val="es-CR"/>
        </w:rPr>
        <w:t xml:space="preserve">úblicos </w:t>
      </w:r>
      <w:r w:rsidR="008A3741" w:rsidRPr="0023319B">
        <w:rPr>
          <w:rFonts w:asciiTheme="minorHAnsi" w:hAnsiTheme="minorHAnsi" w:cstheme="minorHAnsi"/>
          <w:szCs w:val="24"/>
          <w:lang w:val="es-CR"/>
        </w:rPr>
        <w:t xml:space="preserve">de las oficinas que se le hace al BCCR. </w:t>
      </w:r>
      <w:r w:rsidR="004F6ECF" w:rsidRPr="0023319B">
        <w:rPr>
          <w:rFonts w:asciiTheme="minorHAnsi" w:hAnsiTheme="minorHAnsi" w:cstheme="minorHAnsi"/>
          <w:szCs w:val="24"/>
          <w:lang w:val="es-CR"/>
        </w:rPr>
        <w:t xml:space="preserve"> </w:t>
      </w:r>
    </w:p>
    <w:p w14:paraId="64DC7770" w14:textId="5C662A32" w:rsidR="00216C86" w:rsidRPr="0023319B" w:rsidRDefault="00840C43" w:rsidP="00093594">
      <w:pPr>
        <w:pStyle w:val="Textoindependiente"/>
        <w:numPr>
          <w:ilvl w:val="0"/>
          <w:numId w:val="9"/>
        </w:numPr>
        <w:tabs>
          <w:tab w:val="left" w:pos="1134"/>
          <w:tab w:val="decimal" w:pos="7088"/>
        </w:tabs>
        <w:ind w:left="567" w:right="51"/>
        <w:rPr>
          <w:rFonts w:asciiTheme="minorHAnsi" w:hAnsiTheme="minorHAnsi" w:cstheme="minorHAnsi"/>
          <w:szCs w:val="24"/>
          <w:lang w:val="es-CR"/>
        </w:rPr>
      </w:pPr>
      <w:r w:rsidRPr="0023319B">
        <w:rPr>
          <w:rFonts w:asciiTheme="minorHAnsi" w:hAnsiTheme="minorHAnsi" w:cstheme="minorHAnsi"/>
          <w:szCs w:val="24"/>
          <w:lang w:val="es-CR"/>
        </w:rPr>
        <w:t>“Transporte en el E</w:t>
      </w:r>
      <w:r w:rsidR="00225437" w:rsidRPr="0023319B">
        <w:rPr>
          <w:rFonts w:asciiTheme="minorHAnsi" w:hAnsiTheme="minorHAnsi" w:cstheme="minorHAnsi"/>
          <w:szCs w:val="24"/>
          <w:lang w:val="es-CR"/>
        </w:rPr>
        <w:t xml:space="preserve">xterior” (1 05 03) refleja una ejecución del </w:t>
      </w:r>
      <w:r w:rsidR="005C396F" w:rsidRPr="0023319B">
        <w:rPr>
          <w:rFonts w:asciiTheme="minorHAnsi" w:hAnsiTheme="minorHAnsi" w:cstheme="minorHAnsi"/>
          <w:szCs w:val="24"/>
          <w:lang w:val="es-CR"/>
        </w:rPr>
        <w:t>0</w:t>
      </w:r>
      <w:r w:rsidR="00225437" w:rsidRPr="0023319B">
        <w:rPr>
          <w:rFonts w:asciiTheme="minorHAnsi" w:hAnsiTheme="minorHAnsi" w:cstheme="minorHAnsi"/>
          <w:szCs w:val="24"/>
          <w:lang w:val="es-CR"/>
        </w:rPr>
        <w:t xml:space="preserve">% </w:t>
      </w:r>
      <w:r w:rsidR="00216C86" w:rsidRPr="0023319B">
        <w:rPr>
          <w:rFonts w:asciiTheme="minorHAnsi" w:hAnsiTheme="minorHAnsi" w:cstheme="minorHAnsi"/>
          <w:szCs w:val="24"/>
          <w:lang w:val="es-CR"/>
        </w:rPr>
        <w:t>y</w:t>
      </w:r>
      <w:r w:rsidRPr="0023319B">
        <w:rPr>
          <w:rFonts w:asciiTheme="minorHAnsi" w:hAnsiTheme="minorHAnsi" w:cstheme="minorHAnsi"/>
          <w:szCs w:val="24"/>
          <w:lang w:val="es-CR"/>
        </w:rPr>
        <w:t xml:space="preserve"> la cuenta de “Viáticos en el E</w:t>
      </w:r>
      <w:r w:rsidR="00225437" w:rsidRPr="0023319B">
        <w:rPr>
          <w:rFonts w:asciiTheme="minorHAnsi" w:hAnsiTheme="minorHAnsi" w:cstheme="minorHAnsi"/>
          <w:szCs w:val="24"/>
          <w:lang w:val="es-CR"/>
        </w:rPr>
        <w:t xml:space="preserve">xterior” (1 05 04) presenta un </w:t>
      </w:r>
      <w:r w:rsidR="005C396F" w:rsidRPr="0023319B">
        <w:rPr>
          <w:rFonts w:asciiTheme="minorHAnsi" w:hAnsiTheme="minorHAnsi" w:cstheme="minorHAnsi"/>
          <w:szCs w:val="24"/>
          <w:lang w:val="es-CR"/>
        </w:rPr>
        <w:t>0</w:t>
      </w:r>
      <w:r w:rsidR="00225437" w:rsidRPr="0023319B">
        <w:rPr>
          <w:rFonts w:asciiTheme="minorHAnsi" w:hAnsiTheme="minorHAnsi" w:cstheme="minorHAnsi"/>
          <w:szCs w:val="24"/>
          <w:lang w:val="es-CR"/>
        </w:rPr>
        <w:t>%</w:t>
      </w:r>
      <w:r w:rsidR="00FB2033" w:rsidRPr="0023319B">
        <w:rPr>
          <w:rFonts w:asciiTheme="minorHAnsi" w:hAnsiTheme="minorHAnsi" w:cstheme="minorHAnsi"/>
          <w:szCs w:val="24"/>
          <w:lang w:val="es-CR"/>
        </w:rPr>
        <w:t>,</w:t>
      </w:r>
      <w:r w:rsidR="00225437" w:rsidRPr="0023319B">
        <w:rPr>
          <w:rFonts w:asciiTheme="minorHAnsi" w:hAnsiTheme="minorHAnsi" w:cstheme="minorHAnsi"/>
          <w:szCs w:val="24"/>
          <w:lang w:val="es-CR"/>
        </w:rPr>
        <w:t xml:space="preserve"> </w:t>
      </w:r>
      <w:r w:rsidR="005C396F" w:rsidRPr="0023319B">
        <w:rPr>
          <w:rFonts w:asciiTheme="minorHAnsi" w:hAnsiTheme="minorHAnsi" w:cstheme="minorHAnsi"/>
          <w:szCs w:val="24"/>
          <w:lang w:val="es-CR"/>
        </w:rPr>
        <w:t>a la fecha no se ha</w:t>
      </w:r>
      <w:r w:rsidR="00775B3F" w:rsidRPr="0023319B">
        <w:rPr>
          <w:rFonts w:asciiTheme="minorHAnsi" w:hAnsiTheme="minorHAnsi" w:cstheme="minorHAnsi"/>
          <w:szCs w:val="24"/>
          <w:lang w:val="es-CR"/>
        </w:rPr>
        <w:t xml:space="preserve"> ejecutado </w:t>
      </w:r>
      <w:r w:rsidR="00B8757B" w:rsidRPr="0023319B">
        <w:rPr>
          <w:rFonts w:asciiTheme="minorHAnsi" w:hAnsiTheme="minorHAnsi" w:cstheme="minorHAnsi"/>
          <w:szCs w:val="24"/>
          <w:lang w:val="es-CR"/>
        </w:rPr>
        <w:t>viajes oficiales</w:t>
      </w:r>
      <w:r w:rsidR="00775B3F" w:rsidRPr="0023319B">
        <w:rPr>
          <w:rFonts w:asciiTheme="minorHAnsi" w:hAnsiTheme="minorHAnsi" w:cstheme="minorHAnsi"/>
          <w:szCs w:val="24"/>
          <w:lang w:val="es-CR"/>
        </w:rPr>
        <w:t>.</w:t>
      </w:r>
      <w:r w:rsidR="00225437" w:rsidRPr="0023319B">
        <w:rPr>
          <w:rFonts w:asciiTheme="minorHAnsi" w:hAnsiTheme="minorHAnsi" w:cstheme="minorHAnsi"/>
          <w:szCs w:val="24"/>
          <w:lang w:val="es-CR"/>
        </w:rPr>
        <w:t xml:space="preserve"> </w:t>
      </w:r>
    </w:p>
    <w:p w14:paraId="64DC7771" w14:textId="7587E8C9" w:rsidR="00225437" w:rsidRPr="0023319B" w:rsidRDefault="00225437" w:rsidP="00093594">
      <w:pPr>
        <w:pStyle w:val="Textoindependiente"/>
        <w:numPr>
          <w:ilvl w:val="0"/>
          <w:numId w:val="9"/>
        </w:numPr>
        <w:tabs>
          <w:tab w:val="left" w:pos="1134"/>
          <w:tab w:val="decimal" w:pos="7088"/>
        </w:tabs>
        <w:ind w:left="567" w:right="51"/>
        <w:rPr>
          <w:rFonts w:asciiTheme="minorHAnsi" w:hAnsiTheme="minorHAnsi" w:cstheme="minorHAnsi"/>
          <w:szCs w:val="24"/>
          <w:lang w:val="es-CR"/>
        </w:rPr>
      </w:pPr>
      <w:r w:rsidRPr="0023319B">
        <w:rPr>
          <w:rFonts w:asciiTheme="minorHAnsi" w:hAnsiTheme="minorHAnsi" w:cstheme="minorHAnsi"/>
          <w:szCs w:val="24"/>
          <w:lang w:val="es-CR"/>
        </w:rPr>
        <w:t xml:space="preserve">“Seguros” (1 06 01) muestra una ejecución del </w:t>
      </w:r>
      <w:r w:rsidR="005303D4" w:rsidRPr="0023319B">
        <w:rPr>
          <w:rFonts w:asciiTheme="minorHAnsi" w:hAnsiTheme="minorHAnsi" w:cstheme="minorHAnsi"/>
          <w:szCs w:val="24"/>
          <w:lang w:val="es-CR"/>
        </w:rPr>
        <w:t>73</w:t>
      </w:r>
      <w:r w:rsidRPr="0023319B">
        <w:rPr>
          <w:rFonts w:asciiTheme="minorHAnsi" w:hAnsiTheme="minorHAnsi" w:cstheme="minorHAnsi"/>
          <w:szCs w:val="24"/>
          <w:lang w:val="es-CR"/>
        </w:rPr>
        <w:t xml:space="preserve">%, de conformidad con los pagos de pólizas que se </w:t>
      </w:r>
      <w:r w:rsidR="008D4D14" w:rsidRPr="0023319B">
        <w:rPr>
          <w:rFonts w:asciiTheme="minorHAnsi" w:hAnsiTheme="minorHAnsi" w:cstheme="minorHAnsi"/>
          <w:szCs w:val="24"/>
          <w:lang w:val="es-CR"/>
        </w:rPr>
        <w:t>adquieren</w:t>
      </w:r>
      <w:r w:rsidRPr="0023319B">
        <w:rPr>
          <w:rFonts w:asciiTheme="minorHAnsi" w:hAnsiTheme="minorHAnsi" w:cstheme="minorHAnsi"/>
          <w:szCs w:val="24"/>
          <w:lang w:val="es-CR"/>
        </w:rPr>
        <w:t xml:space="preserve"> al Instituto Nacional de Seguros.</w:t>
      </w:r>
    </w:p>
    <w:p w14:paraId="64DC7775" w14:textId="3907F583" w:rsidR="00216C86" w:rsidRPr="0023319B" w:rsidRDefault="00216C86" w:rsidP="00D10EF7">
      <w:pPr>
        <w:pStyle w:val="Textoindependiente"/>
        <w:numPr>
          <w:ilvl w:val="0"/>
          <w:numId w:val="9"/>
        </w:numPr>
        <w:tabs>
          <w:tab w:val="left" w:pos="1134"/>
          <w:tab w:val="decimal" w:pos="7088"/>
        </w:tabs>
        <w:ind w:left="567" w:right="51"/>
        <w:rPr>
          <w:rFonts w:asciiTheme="minorHAnsi" w:hAnsiTheme="minorHAnsi" w:cstheme="minorHAnsi"/>
          <w:szCs w:val="24"/>
          <w:lang w:val="es-CR"/>
        </w:rPr>
      </w:pPr>
      <w:r w:rsidRPr="0023319B">
        <w:rPr>
          <w:rFonts w:asciiTheme="minorHAnsi" w:hAnsiTheme="minorHAnsi" w:cstheme="minorHAnsi"/>
          <w:szCs w:val="24"/>
          <w:lang w:val="es-CR"/>
        </w:rPr>
        <w:t xml:space="preserve">Mantenimiento y reparación de equipo de transporte (1 08 05), el porcentaje de ejecución alcanzado fue del </w:t>
      </w:r>
      <w:r w:rsidR="0023614D" w:rsidRPr="0023319B">
        <w:rPr>
          <w:rFonts w:asciiTheme="minorHAnsi" w:hAnsiTheme="minorHAnsi" w:cstheme="minorHAnsi"/>
          <w:szCs w:val="24"/>
          <w:lang w:val="es-CR"/>
        </w:rPr>
        <w:t>0</w:t>
      </w:r>
      <w:r w:rsidRPr="0023319B">
        <w:rPr>
          <w:rFonts w:asciiTheme="minorHAnsi" w:hAnsiTheme="minorHAnsi" w:cstheme="minorHAnsi"/>
          <w:szCs w:val="24"/>
          <w:lang w:val="es-CR"/>
        </w:rPr>
        <w:t xml:space="preserve">% </w:t>
      </w:r>
      <w:r w:rsidR="009902C3" w:rsidRPr="0023319B">
        <w:rPr>
          <w:rFonts w:asciiTheme="minorHAnsi" w:hAnsiTheme="minorHAnsi" w:cstheme="minorHAnsi"/>
          <w:szCs w:val="24"/>
          <w:lang w:val="es-CR"/>
        </w:rPr>
        <w:t>los vehículos no han requerido servicio de mantenimiento</w:t>
      </w:r>
      <w:r w:rsidRPr="0023319B">
        <w:rPr>
          <w:rFonts w:asciiTheme="minorHAnsi" w:hAnsiTheme="minorHAnsi" w:cstheme="minorHAnsi"/>
          <w:szCs w:val="24"/>
          <w:lang w:val="es-CR"/>
        </w:rPr>
        <w:t>.</w:t>
      </w:r>
    </w:p>
    <w:p w14:paraId="2936011D" w14:textId="63D9AB7D" w:rsidR="00577C5A" w:rsidRPr="0023319B" w:rsidRDefault="00E6170C" w:rsidP="006C608D">
      <w:pPr>
        <w:pStyle w:val="Textoindependiente"/>
        <w:numPr>
          <w:ilvl w:val="0"/>
          <w:numId w:val="9"/>
        </w:numPr>
        <w:tabs>
          <w:tab w:val="left" w:pos="1134"/>
          <w:tab w:val="decimal" w:pos="7088"/>
        </w:tabs>
        <w:ind w:left="567" w:right="51"/>
        <w:rPr>
          <w:rFonts w:asciiTheme="minorHAnsi" w:hAnsiTheme="minorHAnsi" w:cstheme="minorHAnsi"/>
          <w:szCs w:val="24"/>
          <w:lang w:val="es-CR"/>
        </w:rPr>
      </w:pPr>
      <w:r w:rsidRPr="0023319B">
        <w:rPr>
          <w:rFonts w:asciiTheme="minorHAnsi" w:hAnsiTheme="minorHAnsi" w:cstheme="minorHAnsi"/>
          <w:szCs w:val="24"/>
          <w:lang w:val="es-CR"/>
        </w:rPr>
        <w:t xml:space="preserve">Mantenimiento y reparación de equipo de </w:t>
      </w:r>
      <w:r w:rsidR="001B1F00" w:rsidRPr="0023319B">
        <w:rPr>
          <w:rFonts w:asciiTheme="minorHAnsi" w:hAnsiTheme="minorHAnsi" w:cstheme="minorHAnsi"/>
          <w:szCs w:val="24"/>
          <w:lang w:val="es-CR"/>
        </w:rPr>
        <w:t>cómputo</w:t>
      </w:r>
      <w:r w:rsidRPr="0023319B">
        <w:rPr>
          <w:rFonts w:asciiTheme="minorHAnsi" w:hAnsiTheme="minorHAnsi" w:cstheme="minorHAnsi"/>
          <w:szCs w:val="24"/>
          <w:lang w:val="es-CR"/>
        </w:rPr>
        <w:t xml:space="preserve"> (1 08 </w:t>
      </w:r>
      <w:r w:rsidR="00127DF7" w:rsidRPr="0023319B">
        <w:rPr>
          <w:rFonts w:asciiTheme="minorHAnsi" w:hAnsiTheme="minorHAnsi" w:cstheme="minorHAnsi"/>
          <w:szCs w:val="24"/>
          <w:lang w:val="es-CR"/>
        </w:rPr>
        <w:t>0</w:t>
      </w:r>
      <w:r w:rsidR="00F00F51" w:rsidRPr="0023319B">
        <w:rPr>
          <w:rFonts w:asciiTheme="minorHAnsi" w:hAnsiTheme="minorHAnsi" w:cstheme="minorHAnsi"/>
          <w:szCs w:val="24"/>
          <w:lang w:val="es-CR"/>
        </w:rPr>
        <w:t>6</w:t>
      </w:r>
      <w:r w:rsidR="00127DF7" w:rsidRPr="0023319B">
        <w:rPr>
          <w:rFonts w:asciiTheme="minorHAnsi" w:hAnsiTheme="minorHAnsi" w:cstheme="minorHAnsi"/>
          <w:szCs w:val="24"/>
          <w:lang w:val="es-CR"/>
        </w:rPr>
        <w:t xml:space="preserve">) refleja una ejecución del </w:t>
      </w:r>
      <w:r w:rsidR="00EA0A3B" w:rsidRPr="0023319B">
        <w:rPr>
          <w:rFonts w:asciiTheme="minorHAnsi" w:hAnsiTheme="minorHAnsi" w:cstheme="minorHAnsi"/>
          <w:szCs w:val="24"/>
          <w:lang w:val="es-CR"/>
        </w:rPr>
        <w:t>0</w:t>
      </w:r>
      <w:r w:rsidRPr="0023319B">
        <w:rPr>
          <w:rFonts w:asciiTheme="minorHAnsi" w:hAnsiTheme="minorHAnsi" w:cstheme="minorHAnsi"/>
          <w:szCs w:val="24"/>
          <w:lang w:val="es-CR"/>
        </w:rPr>
        <w:t>%.</w:t>
      </w:r>
    </w:p>
    <w:p w14:paraId="42ECB9E4" w14:textId="0CBC5427" w:rsidR="008D4D14" w:rsidRPr="0023319B" w:rsidRDefault="00225437" w:rsidP="00093594">
      <w:pPr>
        <w:pStyle w:val="Textoindependiente"/>
        <w:numPr>
          <w:ilvl w:val="0"/>
          <w:numId w:val="0"/>
        </w:numPr>
        <w:tabs>
          <w:tab w:val="left" w:pos="1134"/>
          <w:tab w:val="decimal" w:pos="7088"/>
        </w:tabs>
        <w:ind w:right="51"/>
        <w:rPr>
          <w:rFonts w:asciiTheme="minorHAnsi" w:hAnsiTheme="minorHAnsi" w:cstheme="minorHAnsi"/>
          <w:szCs w:val="24"/>
          <w:lang w:val="es-CR"/>
        </w:rPr>
      </w:pPr>
      <w:r w:rsidRPr="0023319B">
        <w:rPr>
          <w:rFonts w:asciiTheme="minorHAnsi" w:hAnsiTheme="minorHAnsi" w:cstheme="minorHAnsi"/>
          <w:szCs w:val="24"/>
          <w:lang w:val="es-CR"/>
        </w:rPr>
        <w:t>En lo que concierne a las Actividades de Capacitación (1 07 01). Al finalizar</w:t>
      </w:r>
      <w:r w:rsidR="004911BF" w:rsidRPr="0023319B">
        <w:rPr>
          <w:rFonts w:asciiTheme="minorHAnsi" w:hAnsiTheme="minorHAnsi" w:cstheme="minorHAnsi"/>
          <w:szCs w:val="24"/>
          <w:lang w:val="es-CR"/>
        </w:rPr>
        <w:t xml:space="preserve"> el </w:t>
      </w:r>
      <w:r w:rsidR="006D213D" w:rsidRPr="0023319B">
        <w:rPr>
          <w:rFonts w:asciiTheme="minorHAnsi" w:hAnsiTheme="minorHAnsi" w:cstheme="minorHAnsi"/>
          <w:szCs w:val="24"/>
          <w:lang w:val="es-CR"/>
        </w:rPr>
        <w:t>per</w:t>
      </w:r>
      <w:r w:rsidR="00F42894" w:rsidRPr="0023319B">
        <w:rPr>
          <w:rFonts w:asciiTheme="minorHAnsi" w:hAnsiTheme="minorHAnsi" w:cstheme="minorHAnsi"/>
          <w:szCs w:val="24"/>
          <w:lang w:val="es-CR"/>
        </w:rPr>
        <w:t>i</w:t>
      </w:r>
      <w:r w:rsidR="006D213D" w:rsidRPr="0023319B">
        <w:rPr>
          <w:rFonts w:asciiTheme="minorHAnsi" w:hAnsiTheme="minorHAnsi" w:cstheme="minorHAnsi"/>
          <w:szCs w:val="24"/>
          <w:lang w:val="es-CR"/>
        </w:rPr>
        <w:t>odo</w:t>
      </w:r>
      <w:r w:rsidRPr="0023319B">
        <w:rPr>
          <w:rFonts w:asciiTheme="minorHAnsi" w:hAnsiTheme="minorHAnsi" w:cstheme="minorHAnsi"/>
          <w:szCs w:val="24"/>
          <w:lang w:val="es-CR"/>
        </w:rPr>
        <w:t xml:space="preserve">, el porcentaje de ejecución alcanzado fue del </w:t>
      </w:r>
      <w:r w:rsidR="005303D4" w:rsidRPr="0023319B">
        <w:rPr>
          <w:rFonts w:asciiTheme="minorHAnsi" w:hAnsiTheme="minorHAnsi" w:cstheme="minorHAnsi"/>
          <w:szCs w:val="24"/>
          <w:lang w:val="es-CR"/>
        </w:rPr>
        <w:t>89</w:t>
      </w:r>
      <w:r w:rsidRPr="0023319B">
        <w:rPr>
          <w:rFonts w:asciiTheme="minorHAnsi" w:hAnsiTheme="minorHAnsi" w:cstheme="minorHAnsi"/>
          <w:szCs w:val="24"/>
          <w:lang w:val="es-CR"/>
        </w:rPr>
        <w:t xml:space="preserve">%, </w:t>
      </w:r>
      <w:r w:rsidR="00216C86" w:rsidRPr="0023319B">
        <w:rPr>
          <w:rFonts w:asciiTheme="minorHAnsi" w:hAnsiTheme="minorHAnsi" w:cstheme="minorHAnsi"/>
          <w:szCs w:val="24"/>
          <w:lang w:val="es-CR"/>
        </w:rPr>
        <w:t xml:space="preserve">el cual se </w:t>
      </w:r>
      <w:r w:rsidR="00144A9A" w:rsidRPr="0023319B">
        <w:rPr>
          <w:rFonts w:asciiTheme="minorHAnsi" w:hAnsiTheme="minorHAnsi" w:cstheme="minorHAnsi"/>
          <w:szCs w:val="24"/>
          <w:lang w:val="es-CR"/>
        </w:rPr>
        <w:t xml:space="preserve">cataloga </w:t>
      </w:r>
      <w:r w:rsidR="009B7003" w:rsidRPr="0023319B">
        <w:rPr>
          <w:rFonts w:asciiTheme="minorHAnsi" w:hAnsiTheme="minorHAnsi" w:cstheme="minorHAnsi"/>
          <w:szCs w:val="24"/>
          <w:lang w:val="es-CR"/>
        </w:rPr>
        <w:t xml:space="preserve">razonable considerando las </w:t>
      </w:r>
      <w:r w:rsidR="00665466" w:rsidRPr="0023319B">
        <w:rPr>
          <w:rFonts w:asciiTheme="minorHAnsi" w:hAnsiTheme="minorHAnsi" w:cstheme="minorHAnsi"/>
          <w:szCs w:val="24"/>
          <w:lang w:val="es-CR"/>
        </w:rPr>
        <w:t xml:space="preserve">circunstancias </w:t>
      </w:r>
      <w:r w:rsidR="000961CC" w:rsidRPr="0023319B">
        <w:rPr>
          <w:rFonts w:asciiTheme="minorHAnsi" w:hAnsiTheme="minorHAnsi" w:cstheme="minorHAnsi"/>
          <w:szCs w:val="24"/>
          <w:lang w:val="es-CR"/>
        </w:rPr>
        <w:t>actuales</w:t>
      </w:r>
      <w:r w:rsidR="00216C86" w:rsidRPr="0023319B">
        <w:rPr>
          <w:rFonts w:asciiTheme="minorHAnsi" w:hAnsiTheme="minorHAnsi" w:cstheme="minorHAnsi"/>
          <w:szCs w:val="24"/>
          <w:lang w:val="es-CR"/>
        </w:rPr>
        <w:t>.</w:t>
      </w:r>
    </w:p>
    <w:p w14:paraId="4DEEBF2A" w14:textId="77777777" w:rsidR="008D4D14" w:rsidRPr="0023319B" w:rsidRDefault="008D4D14" w:rsidP="00093594">
      <w:pPr>
        <w:pStyle w:val="Textoindependiente"/>
        <w:numPr>
          <w:ilvl w:val="0"/>
          <w:numId w:val="0"/>
        </w:numPr>
        <w:tabs>
          <w:tab w:val="left" w:pos="1134"/>
          <w:tab w:val="decimal" w:pos="7088"/>
        </w:tabs>
        <w:ind w:right="51"/>
        <w:rPr>
          <w:rFonts w:asciiTheme="minorHAnsi" w:hAnsiTheme="minorHAnsi" w:cstheme="minorHAnsi"/>
          <w:szCs w:val="24"/>
          <w:lang w:val="es-CR"/>
        </w:rPr>
      </w:pPr>
    </w:p>
    <w:p w14:paraId="64DC777B" w14:textId="0EA43E17" w:rsidR="00225437" w:rsidRPr="0023319B" w:rsidRDefault="00225437" w:rsidP="00093594">
      <w:pPr>
        <w:pStyle w:val="Textoindependiente"/>
        <w:numPr>
          <w:ilvl w:val="0"/>
          <w:numId w:val="0"/>
        </w:numPr>
        <w:tabs>
          <w:tab w:val="left" w:pos="1134"/>
          <w:tab w:val="decimal" w:pos="7088"/>
        </w:tabs>
        <w:ind w:right="51"/>
        <w:rPr>
          <w:rFonts w:asciiTheme="minorHAnsi" w:hAnsiTheme="minorHAnsi" w:cstheme="minorHAnsi"/>
          <w:szCs w:val="24"/>
          <w:lang w:val="es-CR"/>
        </w:rPr>
      </w:pPr>
      <w:r w:rsidRPr="0023319B">
        <w:rPr>
          <w:rFonts w:asciiTheme="minorHAnsi" w:hAnsiTheme="minorHAnsi" w:cstheme="minorHAnsi"/>
          <w:szCs w:val="24"/>
          <w:lang w:val="es-CR"/>
        </w:rPr>
        <w:t xml:space="preserve">Las actividades de capacitación impartidas comprendieron los siguientes temas: </w:t>
      </w:r>
    </w:p>
    <w:p w14:paraId="25254427" w14:textId="77777777" w:rsidR="005D19E0" w:rsidRPr="0023319B" w:rsidRDefault="005D19E0" w:rsidP="00093594">
      <w:pPr>
        <w:pStyle w:val="Textoindependiente"/>
        <w:numPr>
          <w:ilvl w:val="0"/>
          <w:numId w:val="0"/>
        </w:numPr>
        <w:spacing w:line="240" w:lineRule="auto"/>
        <w:ind w:right="51"/>
        <w:jc w:val="left"/>
        <w:rPr>
          <w:rFonts w:asciiTheme="minorHAnsi" w:hAnsiTheme="minorHAnsi" w:cstheme="minorHAnsi"/>
          <w:b/>
          <w:i/>
          <w:lang w:val="es-CR"/>
        </w:rPr>
      </w:pPr>
    </w:p>
    <w:p w14:paraId="4999EAC6" w14:textId="1772D490" w:rsidR="002043B6" w:rsidRPr="0023319B" w:rsidRDefault="00E40F15" w:rsidP="009B2DED">
      <w:pPr>
        <w:pStyle w:val="Textoindependiente"/>
        <w:numPr>
          <w:ilvl w:val="0"/>
          <w:numId w:val="0"/>
        </w:numPr>
        <w:spacing w:line="240" w:lineRule="auto"/>
        <w:ind w:right="51"/>
        <w:jc w:val="left"/>
        <w:outlineLvl w:val="2"/>
        <w:rPr>
          <w:rFonts w:asciiTheme="minorHAnsi" w:hAnsiTheme="minorHAnsi" w:cstheme="minorHAnsi"/>
          <w:szCs w:val="16"/>
          <w:lang w:val="es-CR"/>
        </w:rPr>
      </w:pPr>
      <w:bookmarkStart w:id="53" w:name="_Toc61081374"/>
      <w:r w:rsidRPr="0023319B">
        <w:rPr>
          <w:rFonts w:asciiTheme="minorHAnsi" w:hAnsiTheme="minorHAnsi" w:cstheme="minorHAnsi"/>
          <w:b/>
          <w:i/>
          <w:lang w:val="es-CR"/>
        </w:rPr>
        <w:t xml:space="preserve">Cuadro </w:t>
      </w:r>
      <w:r w:rsidR="00CD223D" w:rsidRPr="0023319B">
        <w:rPr>
          <w:rFonts w:asciiTheme="minorHAnsi" w:hAnsiTheme="minorHAnsi" w:cstheme="minorHAnsi"/>
          <w:b/>
          <w:i/>
          <w:lang w:val="es-CR"/>
        </w:rPr>
        <w:t>5</w:t>
      </w:r>
      <w:r w:rsidR="009B2DED" w:rsidRPr="0023319B">
        <w:rPr>
          <w:rFonts w:asciiTheme="minorHAnsi" w:hAnsiTheme="minorHAnsi" w:cstheme="minorHAnsi"/>
          <w:b/>
          <w:i/>
          <w:lang w:val="es-CR"/>
        </w:rPr>
        <w:t xml:space="preserve">: </w:t>
      </w:r>
      <w:r w:rsidR="002D3A55" w:rsidRPr="0023319B">
        <w:rPr>
          <w:rFonts w:asciiTheme="minorHAnsi" w:hAnsiTheme="minorHAnsi" w:cstheme="minorHAnsi"/>
          <w:szCs w:val="16"/>
          <w:lang w:val="es-CR"/>
        </w:rPr>
        <w:t>Detalle de la C</w:t>
      </w:r>
      <w:r w:rsidR="002043B6" w:rsidRPr="0023319B">
        <w:rPr>
          <w:rFonts w:asciiTheme="minorHAnsi" w:hAnsiTheme="minorHAnsi" w:cstheme="minorHAnsi"/>
          <w:szCs w:val="16"/>
          <w:lang w:val="es-CR"/>
        </w:rPr>
        <w:t>apacitación</w:t>
      </w:r>
      <w:r w:rsidR="009B2DED" w:rsidRPr="0023319B">
        <w:rPr>
          <w:rFonts w:asciiTheme="minorHAnsi" w:hAnsiTheme="minorHAnsi" w:cstheme="minorHAnsi"/>
          <w:szCs w:val="16"/>
          <w:lang w:val="es-CR"/>
        </w:rPr>
        <w:t xml:space="preserve"> en el país</w:t>
      </w:r>
      <w:bookmarkEnd w:id="53"/>
    </w:p>
    <w:p w14:paraId="1352482B" w14:textId="28D9D358" w:rsidR="003B6B30" w:rsidRPr="0023319B" w:rsidRDefault="003B6B30" w:rsidP="003B6B30">
      <w:pPr>
        <w:ind w:right="51"/>
        <w:jc w:val="left"/>
        <w:rPr>
          <w:rFonts w:asciiTheme="minorHAnsi" w:hAnsiTheme="minorHAnsi" w:cstheme="minorHAnsi"/>
          <w:sz w:val="16"/>
          <w:szCs w:val="16"/>
          <w:lang w:val="es-CR"/>
        </w:rPr>
      </w:pPr>
      <w:r w:rsidRPr="0023319B">
        <w:rPr>
          <w:rFonts w:asciiTheme="minorHAnsi" w:hAnsiTheme="minorHAnsi" w:cstheme="minorHAnsi"/>
          <w:sz w:val="16"/>
          <w:szCs w:val="16"/>
          <w:lang w:val="es-CR"/>
        </w:rPr>
        <w:t>Montos en colones</w:t>
      </w:r>
    </w:p>
    <w:tbl>
      <w:tblPr>
        <w:tblW w:w="9210" w:type="dxa"/>
        <w:tblCellMar>
          <w:left w:w="70" w:type="dxa"/>
          <w:right w:w="70" w:type="dxa"/>
        </w:tblCellMar>
        <w:tblLook w:val="04A0" w:firstRow="1" w:lastRow="0" w:firstColumn="1" w:lastColumn="0" w:noHBand="0" w:noVBand="1"/>
      </w:tblPr>
      <w:tblGrid>
        <w:gridCol w:w="1192"/>
        <w:gridCol w:w="5324"/>
        <w:gridCol w:w="1276"/>
        <w:gridCol w:w="1418"/>
      </w:tblGrid>
      <w:tr w:rsidR="00BD2A28" w:rsidRPr="0023319B" w14:paraId="367FD124" w14:textId="77777777" w:rsidTr="00EA7B9E">
        <w:trPr>
          <w:trHeight w:val="780"/>
          <w:tblHeader/>
        </w:trPr>
        <w:tc>
          <w:tcPr>
            <w:tcW w:w="1192"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103019C" w14:textId="60FFE284" w:rsidR="00C04E40" w:rsidRPr="0023319B" w:rsidRDefault="00C04E40" w:rsidP="00BD2A28">
            <w:pPr>
              <w:spacing w:line="240" w:lineRule="auto"/>
              <w:jc w:val="center"/>
              <w:rPr>
                <w:rFonts w:ascii="Calibri Light" w:hAnsi="Calibri Light" w:cs="Calibri Light"/>
                <w:b/>
                <w:bCs/>
                <w:color w:val="000000"/>
                <w:lang w:val="es-CR" w:eastAsia="es-CR"/>
              </w:rPr>
            </w:pPr>
            <w:r w:rsidRPr="0023319B">
              <w:rPr>
                <w:rFonts w:ascii="Calibri Light" w:hAnsi="Calibri Light" w:cs="Calibri Light"/>
                <w:b/>
                <w:bCs/>
                <w:color w:val="000000"/>
                <w:lang w:val="es-CR" w:eastAsia="es-CR"/>
              </w:rPr>
              <w:t>Cantidad</w:t>
            </w:r>
            <w:r w:rsidRPr="0023319B">
              <w:rPr>
                <w:rFonts w:ascii="Calibri Light" w:hAnsi="Calibri Light" w:cs="Calibri Light"/>
                <w:b/>
                <w:bCs/>
                <w:color w:val="000000"/>
                <w:lang w:val="es-CR" w:eastAsia="es-CR"/>
              </w:rPr>
              <w:br/>
              <w:t>participantes</w:t>
            </w:r>
          </w:p>
        </w:tc>
        <w:tc>
          <w:tcPr>
            <w:tcW w:w="5324" w:type="dxa"/>
            <w:tcBorders>
              <w:top w:val="single" w:sz="4" w:space="0" w:color="auto"/>
              <w:left w:val="nil"/>
              <w:bottom w:val="single" w:sz="4" w:space="0" w:color="auto"/>
              <w:right w:val="single" w:sz="4" w:space="0" w:color="auto"/>
            </w:tcBorders>
            <w:shd w:val="clear" w:color="auto" w:fill="B8CCE4" w:themeFill="accent1" w:themeFillTint="66"/>
            <w:vAlign w:val="center"/>
            <w:hideMark/>
          </w:tcPr>
          <w:p w14:paraId="0B617114" w14:textId="77777777" w:rsidR="00C04E40" w:rsidRPr="0023319B" w:rsidRDefault="00C04E40" w:rsidP="00BD2A28">
            <w:pPr>
              <w:spacing w:line="240" w:lineRule="auto"/>
              <w:jc w:val="center"/>
              <w:rPr>
                <w:rFonts w:ascii="Calibri Light" w:hAnsi="Calibri Light" w:cs="Calibri Light"/>
                <w:b/>
                <w:bCs/>
                <w:color w:val="000000"/>
                <w:lang w:val="es-CR" w:eastAsia="es-CR"/>
              </w:rPr>
            </w:pPr>
            <w:r w:rsidRPr="0023319B">
              <w:rPr>
                <w:rFonts w:ascii="Calibri Light" w:hAnsi="Calibri Light" w:cs="Calibri Light"/>
                <w:b/>
                <w:bCs/>
                <w:color w:val="000000"/>
                <w:lang w:val="es-CR" w:eastAsia="es-CR"/>
              </w:rPr>
              <w:t>Detalle</w:t>
            </w:r>
          </w:p>
        </w:tc>
        <w:tc>
          <w:tcPr>
            <w:tcW w:w="1276" w:type="dxa"/>
            <w:tcBorders>
              <w:top w:val="single" w:sz="4" w:space="0" w:color="auto"/>
              <w:left w:val="nil"/>
              <w:bottom w:val="single" w:sz="4" w:space="0" w:color="auto"/>
              <w:right w:val="single" w:sz="4" w:space="0" w:color="auto"/>
            </w:tcBorders>
            <w:shd w:val="clear" w:color="auto" w:fill="B8CCE4" w:themeFill="accent1" w:themeFillTint="66"/>
            <w:vAlign w:val="center"/>
            <w:hideMark/>
          </w:tcPr>
          <w:p w14:paraId="343BB09B" w14:textId="77777777" w:rsidR="00C04E40" w:rsidRPr="0023319B" w:rsidRDefault="00C04E40" w:rsidP="00BD2A28">
            <w:pPr>
              <w:spacing w:line="240" w:lineRule="auto"/>
              <w:jc w:val="center"/>
              <w:rPr>
                <w:rFonts w:ascii="Calibri Light" w:hAnsi="Calibri Light" w:cs="Calibri Light"/>
                <w:b/>
                <w:bCs/>
                <w:color w:val="000000"/>
                <w:lang w:val="es-CR" w:eastAsia="es-CR"/>
              </w:rPr>
            </w:pPr>
            <w:r w:rsidRPr="0023319B">
              <w:rPr>
                <w:rFonts w:ascii="Calibri Light" w:hAnsi="Calibri Light" w:cs="Calibri Light"/>
                <w:b/>
                <w:bCs/>
                <w:color w:val="000000"/>
                <w:lang w:val="es-CR" w:eastAsia="es-CR"/>
              </w:rPr>
              <w:t>Fecha de inicio curso</w:t>
            </w:r>
          </w:p>
        </w:tc>
        <w:tc>
          <w:tcPr>
            <w:tcW w:w="1418" w:type="dxa"/>
            <w:tcBorders>
              <w:top w:val="single" w:sz="4" w:space="0" w:color="auto"/>
              <w:left w:val="nil"/>
              <w:bottom w:val="single" w:sz="4" w:space="0" w:color="auto"/>
              <w:right w:val="single" w:sz="4" w:space="0" w:color="auto"/>
            </w:tcBorders>
            <w:shd w:val="clear" w:color="auto" w:fill="B8CCE4" w:themeFill="accent1" w:themeFillTint="66"/>
            <w:vAlign w:val="center"/>
            <w:hideMark/>
          </w:tcPr>
          <w:p w14:paraId="70F307D1" w14:textId="15AB9070" w:rsidR="00C04E40" w:rsidRPr="0023319B" w:rsidRDefault="00C04E40" w:rsidP="00BD2A28">
            <w:pPr>
              <w:spacing w:line="240" w:lineRule="auto"/>
              <w:jc w:val="center"/>
              <w:rPr>
                <w:rFonts w:ascii="Calibri Light" w:hAnsi="Calibri Light" w:cs="Calibri Light"/>
                <w:b/>
                <w:bCs/>
                <w:color w:val="000000"/>
                <w:lang w:val="es-CR" w:eastAsia="es-CR"/>
              </w:rPr>
            </w:pPr>
            <w:r w:rsidRPr="0023319B">
              <w:rPr>
                <w:rFonts w:ascii="Calibri Light" w:hAnsi="Calibri Light" w:cs="Calibri Light"/>
                <w:b/>
                <w:bCs/>
                <w:color w:val="000000"/>
                <w:lang w:val="es-CR" w:eastAsia="es-CR"/>
              </w:rPr>
              <w:t>Gasto / Comprometido</w:t>
            </w:r>
          </w:p>
        </w:tc>
      </w:tr>
      <w:tr w:rsidR="00C04E40" w:rsidRPr="0023319B" w14:paraId="2C44EEE5" w14:textId="77777777" w:rsidTr="00BD2A28">
        <w:trPr>
          <w:trHeight w:val="310"/>
        </w:trPr>
        <w:tc>
          <w:tcPr>
            <w:tcW w:w="1192" w:type="dxa"/>
            <w:tcBorders>
              <w:top w:val="nil"/>
              <w:left w:val="single" w:sz="4" w:space="0" w:color="auto"/>
              <w:bottom w:val="single" w:sz="4" w:space="0" w:color="auto"/>
              <w:right w:val="single" w:sz="4" w:space="0" w:color="auto"/>
            </w:tcBorders>
            <w:shd w:val="clear" w:color="auto" w:fill="auto"/>
            <w:vAlign w:val="center"/>
            <w:hideMark/>
          </w:tcPr>
          <w:p w14:paraId="6087216D" w14:textId="77AED2A6" w:rsidR="00C04E40" w:rsidRPr="0023319B" w:rsidRDefault="00C04E40" w:rsidP="00BD2A28">
            <w:pPr>
              <w:spacing w:line="240" w:lineRule="auto"/>
              <w:jc w:val="center"/>
              <w:rPr>
                <w:rFonts w:ascii="Calibri Light" w:hAnsi="Calibri Light" w:cs="Calibri Light"/>
                <w:color w:val="000000"/>
                <w:sz w:val="18"/>
                <w:szCs w:val="18"/>
                <w:lang w:val="es-CR" w:eastAsia="es-CR"/>
              </w:rPr>
            </w:pPr>
            <w:bookmarkStart w:id="54" w:name="RANGE!B2:E16"/>
            <w:r w:rsidRPr="0023319B">
              <w:rPr>
                <w:rFonts w:ascii="Calibri Light" w:hAnsi="Calibri Light" w:cs="Calibri Light"/>
                <w:color w:val="000000"/>
                <w:sz w:val="18"/>
                <w:szCs w:val="18"/>
                <w:lang w:val="es-CR" w:eastAsia="es-CR"/>
              </w:rPr>
              <w:t>2</w:t>
            </w:r>
            <w:bookmarkEnd w:id="54"/>
          </w:p>
        </w:tc>
        <w:tc>
          <w:tcPr>
            <w:tcW w:w="5324" w:type="dxa"/>
            <w:tcBorders>
              <w:top w:val="nil"/>
              <w:left w:val="nil"/>
              <w:bottom w:val="single" w:sz="4" w:space="0" w:color="auto"/>
              <w:right w:val="single" w:sz="4" w:space="0" w:color="auto"/>
            </w:tcBorders>
            <w:shd w:val="clear" w:color="auto" w:fill="auto"/>
            <w:vAlign w:val="center"/>
            <w:hideMark/>
          </w:tcPr>
          <w:p w14:paraId="3B1A3A26" w14:textId="77777777" w:rsidR="00C04E40" w:rsidRPr="0023319B" w:rsidRDefault="00C04E40" w:rsidP="00BD2A28">
            <w:pPr>
              <w:spacing w:line="240" w:lineRule="auto"/>
              <w:rPr>
                <w:rFonts w:ascii="Calibri Light" w:hAnsi="Calibri Light" w:cs="Calibri Light"/>
                <w:color w:val="000000"/>
                <w:sz w:val="18"/>
                <w:szCs w:val="18"/>
                <w:lang w:val="es-CR" w:eastAsia="es-CR"/>
              </w:rPr>
            </w:pPr>
            <w:r w:rsidRPr="0023319B">
              <w:rPr>
                <w:rFonts w:ascii="Calibri Light" w:hAnsi="Calibri Light" w:cs="Calibri Light"/>
                <w:color w:val="000000"/>
                <w:sz w:val="18"/>
                <w:szCs w:val="18"/>
                <w:lang w:val="es-CR" w:eastAsia="es-CR"/>
              </w:rPr>
              <w:t>Curso en línea Financial risk and regulatión</w:t>
            </w:r>
          </w:p>
        </w:tc>
        <w:tc>
          <w:tcPr>
            <w:tcW w:w="1276" w:type="dxa"/>
            <w:tcBorders>
              <w:top w:val="nil"/>
              <w:left w:val="nil"/>
              <w:bottom w:val="single" w:sz="4" w:space="0" w:color="auto"/>
              <w:right w:val="single" w:sz="4" w:space="0" w:color="auto"/>
            </w:tcBorders>
            <w:shd w:val="clear" w:color="auto" w:fill="auto"/>
            <w:vAlign w:val="center"/>
            <w:hideMark/>
          </w:tcPr>
          <w:p w14:paraId="78359EB1" w14:textId="77777777" w:rsidR="00C04E40" w:rsidRPr="0023319B" w:rsidRDefault="00C04E40" w:rsidP="00BD2A28">
            <w:pPr>
              <w:spacing w:line="240" w:lineRule="auto"/>
              <w:jc w:val="center"/>
              <w:rPr>
                <w:rFonts w:ascii="Calibri Light" w:hAnsi="Calibri Light" w:cs="Calibri Light"/>
                <w:color w:val="000000"/>
                <w:sz w:val="18"/>
                <w:szCs w:val="18"/>
                <w:lang w:val="es-CR" w:eastAsia="es-CR"/>
              </w:rPr>
            </w:pPr>
            <w:r w:rsidRPr="0023319B">
              <w:rPr>
                <w:rFonts w:ascii="Calibri Light" w:hAnsi="Calibri Light" w:cs="Calibri Light"/>
                <w:color w:val="000000"/>
                <w:sz w:val="18"/>
                <w:szCs w:val="18"/>
                <w:lang w:val="es-CR" w:eastAsia="es-CR"/>
              </w:rPr>
              <w:t>2-feb-2020</w:t>
            </w:r>
          </w:p>
        </w:tc>
        <w:tc>
          <w:tcPr>
            <w:tcW w:w="1418" w:type="dxa"/>
            <w:tcBorders>
              <w:top w:val="nil"/>
              <w:left w:val="nil"/>
              <w:bottom w:val="single" w:sz="4" w:space="0" w:color="auto"/>
              <w:right w:val="single" w:sz="4" w:space="0" w:color="auto"/>
            </w:tcBorders>
            <w:shd w:val="clear" w:color="auto" w:fill="auto"/>
            <w:noWrap/>
            <w:vAlign w:val="center"/>
            <w:hideMark/>
          </w:tcPr>
          <w:p w14:paraId="3C15D2CE" w14:textId="2E834736" w:rsidR="00C04E40" w:rsidRPr="0023319B" w:rsidRDefault="00C04E40" w:rsidP="00BD2A28">
            <w:pPr>
              <w:spacing w:line="240" w:lineRule="auto"/>
              <w:jc w:val="right"/>
              <w:rPr>
                <w:rFonts w:ascii="Calibri Light" w:hAnsi="Calibri Light" w:cs="Calibri Light"/>
                <w:sz w:val="18"/>
                <w:szCs w:val="18"/>
                <w:lang w:val="es-CR" w:eastAsia="es-CR"/>
              </w:rPr>
            </w:pPr>
            <w:r w:rsidRPr="0023319B">
              <w:rPr>
                <w:rFonts w:ascii="Calibri Light" w:hAnsi="Calibri Light" w:cs="Calibri Light"/>
                <w:sz w:val="18"/>
                <w:szCs w:val="18"/>
                <w:lang w:val="es-CR" w:eastAsia="es-CR"/>
              </w:rPr>
              <w:t xml:space="preserve">644 117 </w:t>
            </w:r>
          </w:p>
        </w:tc>
      </w:tr>
      <w:tr w:rsidR="00C04E40" w:rsidRPr="0023319B" w14:paraId="0A9DE5C2" w14:textId="77777777" w:rsidTr="00BD2A28">
        <w:trPr>
          <w:trHeight w:val="486"/>
        </w:trPr>
        <w:tc>
          <w:tcPr>
            <w:tcW w:w="1192" w:type="dxa"/>
            <w:tcBorders>
              <w:top w:val="nil"/>
              <w:left w:val="single" w:sz="4" w:space="0" w:color="auto"/>
              <w:bottom w:val="single" w:sz="4" w:space="0" w:color="auto"/>
              <w:right w:val="single" w:sz="4" w:space="0" w:color="auto"/>
            </w:tcBorders>
            <w:shd w:val="clear" w:color="auto" w:fill="auto"/>
            <w:vAlign w:val="center"/>
            <w:hideMark/>
          </w:tcPr>
          <w:p w14:paraId="6B8D9AA9" w14:textId="77777777" w:rsidR="00C04E40" w:rsidRPr="0023319B" w:rsidRDefault="00C04E40" w:rsidP="00BD2A28">
            <w:pPr>
              <w:spacing w:line="240" w:lineRule="auto"/>
              <w:jc w:val="center"/>
              <w:rPr>
                <w:rFonts w:ascii="Calibri Light" w:hAnsi="Calibri Light" w:cs="Calibri Light"/>
                <w:color w:val="000000"/>
                <w:sz w:val="18"/>
                <w:szCs w:val="18"/>
                <w:lang w:val="es-CR" w:eastAsia="es-CR"/>
              </w:rPr>
            </w:pPr>
            <w:r w:rsidRPr="0023319B">
              <w:rPr>
                <w:rFonts w:ascii="Calibri Light" w:hAnsi="Calibri Light" w:cs="Calibri Light"/>
                <w:color w:val="000000"/>
                <w:sz w:val="18"/>
                <w:szCs w:val="18"/>
                <w:lang w:val="es-CR" w:eastAsia="es-CR"/>
              </w:rPr>
              <w:t>4</w:t>
            </w:r>
          </w:p>
        </w:tc>
        <w:tc>
          <w:tcPr>
            <w:tcW w:w="5324" w:type="dxa"/>
            <w:tcBorders>
              <w:top w:val="nil"/>
              <w:left w:val="nil"/>
              <w:bottom w:val="single" w:sz="4" w:space="0" w:color="auto"/>
              <w:right w:val="single" w:sz="4" w:space="0" w:color="auto"/>
            </w:tcBorders>
            <w:shd w:val="clear" w:color="auto" w:fill="auto"/>
            <w:vAlign w:val="center"/>
            <w:hideMark/>
          </w:tcPr>
          <w:p w14:paraId="32732C92" w14:textId="77777777" w:rsidR="00C04E40" w:rsidRPr="0023319B" w:rsidRDefault="00C04E40" w:rsidP="00BD2A28">
            <w:pPr>
              <w:spacing w:line="240" w:lineRule="auto"/>
              <w:rPr>
                <w:rFonts w:ascii="Calibri Light" w:hAnsi="Calibri Light" w:cs="Calibri Light"/>
                <w:color w:val="000000"/>
                <w:sz w:val="18"/>
                <w:szCs w:val="18"/>
                <w:lang w:val="es-CR" w:eastAsia="es-CR"/>
              </w:rPr>
            </w:pPr>
            <w:r w:rsidRPr="0023319B">
              <w:rPr>
                <w:rFonts w:ascii="Calibri Light" w:hAnsi="Calibri Light" w:cs="Calibri Light"/>
                <w:color w:val="000000"/>
                <w:sz w:val="18"/>
                <w:szCs w:val="18"/>
                <w:lang w:val="es-CR" w:eastAsia="es-CR"/>
              </w:rPr>
              <w:t>Seminario-taller evaluación de juntas directivas y otros órganos colegiados</w:t>
            </w:r>
          </w:p>
        </w:tc>
        <w:tc>
          <w:tcPr>
            <w:tcW w:w="1276" w:type="dxa"/>
            <w:tcBorders>
              <w:top w:val="nil"/>
              <w:left w:val="nil"/>
              <w:bottom w:val="single" w:sz="4" w:space="0" w:color="auto"/>
              <w:right w:val="single" w:sz="4" w:space="0" w:color="auto"/>
            </w:tcBorders>
            <w:shd w:val="clear" w:color="auto" w:fill="auto"/>
            <w:vAlign w:val="center"/>
            <w:hideMark/>
          </w:tcPr>
          <w:p w14:paraId="0781BB87" w14:textId="77777777" w:rsidR="00C04E40" w:rsidRPr="0023319B" w:rsidRDefault="00C04E40" w:rsidP="00BD2A28">
            <w:pPr>
              <w:spacing w:line="240" w:lineRule="auto"/>
              <w:jc w:val="center"/>
              <w:rPr>
                <w:rFonts w:ascii="Calibri Light" w:hAnsi="Calibri Light" w:cs="Calibri Light"/>
                <w:color w:val="000000"/>
                <w:sz w:val="18"/>
                <w:szCs w:val="18"/>
                <w:lang w:val="es-CR" w:eastAsia="es-CR"/>
              </w:rPr>
            </w:pPr>
            <w:r w:rsidRPr="0023319B">
              <w:rPr>
                <w:rFonts w:ascii="Calibri Light" w:hAnsi="Calibri Light" w:cs="Calibri Light"/>
                <w:color w:val="000000"/>
                <w:sz w:val="18"/>
                <w:szCs w:val="18"/>
                <w:lang w:val="es-CR" w:eastAsia="es-CR"/>
              </w:rPr>
              <w:t>29-ene-2020</w:t>
            </w:r>
          </w:p>
        </w:tc>
        <w:tc>
          <w:tcPr>
            <w:tcW w:w="1418" w:type="dxa"/>
            <w:tcBorders>
              <w:top w:val="nil"/>
              <w:left w:val="nil"/>
              <w:bottom w:val="single" w:sz="4" w:space="0" w:color="auto"/>
              <w:right w:val="single" w:sz="4" w:space="0" w:color="auto"/>
            </w:tcBorders>
            <w:shd w:val="clear" w:color="auto" w:fill="auto"/>
            <w:noWrap/>
            <w:vAlign w:val="center"/>
            <w:hideMark/>
          </w:tcPr>
          <w:p w14:paraId="1703DF65" w14:textId="7D4F9DCF" w:rsidR="00C04E40" w:rsidRPr="0023319B" w:rsidRDefault="00C04E40" w:rsidP="00BD2A28">
            <w:pPr>
              <w:spacing w:line="240" w:lineRule="auto"/>
              <w:jc w:val="right"/>
              <w:rPr>
                <w:rFonts w:ascii="Calibri Light" w:hAnsi="Calibri Light" w:cs="Calibri Light"/>
                <w:color w:val="000000"/>
                <w:sz w:val="18"/>
                <w:szCs w:val="18"/>
                <w:lang w:val="es-CR" w:eastAsia="es-CR"/>
              </w:rPr>
            </w:pPr>
            <w:r w:rsidRPr="0023319B">
              <w:rPr>
                <w:rFonts w:ascii="Calibri Light" w:hAnsi="Calibri Light" w:cs="Calibri Light"/>
                <w:color w:val="000000"/>
                <w:sz w:val="18"/>
                <w:szCs w:val="18"/>
                <w:lang w:val="es-CR" w:eastAsia="es-CR"/>
              </w:rPr>
              <w:t xml:space="preserve">700 000 </w:t>
            </w:r>
          </w:p>
        </w:tc>
      </w:tr>
      <w:tr w:rsidR="00C04E40" w:rsidRPr="0023319B" w14:paraId="264F7E19" w14:textId="77777777" w:rsidTr="00BD2A28">
        <w:trPr>
          <w:trHeight w:val="282"/>
        </w:trPr>
        <w:tc>
          <w:tcPr>
            <w:tcW w:w="1192" w:type="dxa"/>
            <w:tcBorders>
              <w:top w:val="nil"/>
              <w:left w:val="single" w:sz="4" w:space="0" w:color="auto"/>
              <w:bottom w:val="single" w:sz="4" w:space="0" w:color="auto"/>
              <w:right w:val="single" w:sz="4" w:space="0" w:color="auto"/>
            </w:tcBorders>
            <w:shd w:val="clear" w:color="auto" w:fill="auto"/>
            <w:vAlign w:val="center"/>
            <w:hideMark/>
          </w:tcPr>
          <w:p w14:paraId="66840290" w14:textId="77777777" w:rsidR="00C04E40" w:rsidRPr="0023319B" w:rsidRDefault="00C04E40" w:rsidP="00BD2A28">
            <w:pPr>
              <w:spacing w:line="240" w:lineRule="auto"/>
              <w:jc w:val="center"/>
              <w:rPr>
                <w:rFonts w:ascii="Calibri Light" w:hAnsi="Calibri Light" w:cs="Calibri Light"/>
                <w:color w:val="000000"/>
                <w:sz w:val="18"/>
                <w:szCs w:val="18"/>
                <w:lang w:val="es-CR" w:eastAsia="es-CR"/>
              </w:rPr>
            </w:pPr>
            <w:r w:rsidRPr="0023319B">
              <w:rPr>
                <w:rFonts w:ascii="Calibri Light" w:hAnsi="Calibri Light" w:cs="Calibri Light"/>
                <w:color w:val="000000"/>
                <w:sz w:val="18"/>
                <w:szCs w:val="18"/>
                <w:lang w:val="es-CR" w:eastAsia="es-CR"/>
              </w:rPr>
              <w:t>6</w:t>
            </w:r>
          </w:p>
        </w:tc>
        <w:tc>
          <w:tcPr>
            <w:tcW w:w="5324" w:type="dxa"/>
            <w:tcBorders>
              <w:top w:val="nil"/>
              <w:left w:val="nil"/>
              <w:bottom w:val="single" w:sz="4" w:space="0" w:color="auto"/>
              <w:right w:val="single" w:sz="4" w:space="0" w:color="auto"/>
            </w:tcBorders>
            <w:shd w:val="clear" w:color="auto" w:fill="auto"/>
            <w:vAlign w:val="center"/>
            <w:hideMark/>
          </w:tcPr>
          <w:p w14:paraId="71634C44" w14:textId="77777777" w:rsidR="00C04E40" w:rsidRPr="0023319B" w:rsidRDefault="00C04E40" w:rsidP="00BD2A28">
            <w:pPr>
              <w:spacing w:line="240" w:lineRule="auto"/>
              <w:rPr>
                <w:rFonts w:ascii="Calibri Light" w:hAnsi="Calibri Light" w:cs="Calibri Light"/>
                <w:color w:val="000000"/>
                <w:sz w:val="18"/>
                <w:szCs w:val="18"/>
                <w:lang w:val="es-CR" w:eastAsia="es-CR"/>
              </w:rPr>
            </w:pPr>
            <w:r w:rsidRPr="0023319B">
              <w:rPr>
                <w:rFonts w:ascii="Calibri Light" w:hAnsi="Calibri Light" w:cs="Calibri Light"/>
                <w:color w:val="000000"/>
                <w:sz w:val="18"/>
                <w:szCs w:val="18"/>
                <w:lang w:val="es-CR" w:eastAsia="es-CR"/>
              </w:rPr>
              <w:t>Taller Teletrabajo: Aspectos legales y mejores prácticas</w:t>
            </w:r>
          </w:p>
        </w:tc>
        <w:tc>
          <w:tcPr>
            <w:tcW w:w="1276" w:type="dxa"/>
            <w:tcBorders>
              <w:top w:val="nil"/>
              <w:left w:val="nil"/>
              <w:bottom w:val="single" w:sz="4" w:space="0" w:color="auto"/>
              <w:right w:val="single" w:sz="4" w:space="0" w:color="auto"/>
            </w:tcBorders>
            <w:shd w:val="clear" w:color="auto" w:fill="auto"/>
            <w:vAlign w:val="center"/>
            <w:hideMark/>
          </w:tcPr>
          <w:p w14:paraId="0971B382" w14:textId="77777777" w:rsidR="00C04E40" w:rsidRPr="0023319B" w:rsidRDefault="00C04E40" w:rsidP="00BD2A28">
            <w:pPr>
              <w:spacing w:line="240" w:lineRule="auto"/>
              <w:jc w:val="center"/>
              <w:rPr>
                <w:rFonts w:ascii="Calibri Light" w:hAnsi="Calibri Light" w:cs="Calibri Light"/>
                <w:color w:val="000000"/>
                <w:sz w:val="18"/>
                <w:szCs w:val="18"/>
                <w:lang w:val="es-CR" w:eastAsia="es-CR"/>
              </w:rPr>
            </w:pPr>
            <w:r w:rsidRPr="0023319B">
              <w:rPr>
                <w:rFonts w:ascii="Calibri Light" w:hAnsi="Calibri Light" w:cs="Calibri Light"/>
                <w:color w:val="000000"/>
                <w:sz w:val="18"/>
                <w:szCs w:val="18"/>
                <w:lang w:val="es-CR" w:eastAsia="es-CR"/>
              </w:rPr>
              <w:t>28-ene-2020</w:t>
            </w:r>
          </w:p>
        </w:tc>
        <w:tc>
          <w:tcPr>
            <w:tcW w:w="1418" w:type="dxa"/>
            <w:tcBorders>
              <w:top w:val="nil"/>
              <w:left w:val="nil"/>
              <w:bottom w:val="single" w:sz="4" w:space="0" w:color="auto"/>
              <w:right w:val="single" w:sz="4" w:space="0" w:color="auto"/>
            </w:tcBorders>
            <w:shd w:val="clear" w:color="auto" w:fill="auto"/>
            <w:noWrap/>
            <w:vAlign w:val="center"/>
            <w:hideMark/>
          </w:tcPr>
          <w:p w14:paraId="6A003DCB" w14:textId="7265FB11" w:rsidR="00C04E40" w:rsidRPr="0023319B" w:rsidRDefault="00C04E40" w:rsidP="00BD2A28">
            <w:pPr>
              <w:spacing w:line="240" w:lineRule="auto"/>
              <w:jc w:val="right"/>
              <w:rPr>
                <w:rFonts w:ascii="Calibri Light" w:hAnsi="Calibri Light" w:cs="Calibri Light"/>
                <w:color w:val="000000"/>
                <w:sz w:val="18"/>
                <w:szCs w:val="18"/>
                <w:lang w:val="es-CR" w:eastAsia="es-CR"/>
              </w:rPr>
            </w:pPr>
            <w:r w:rsidRPr="0023319B">
              <w:rPr>
                <w:rFonts w:ascii="Calibri Light" w:hAnsi="Calibri Light" w:cs="Calibri Light"/>
                <w:color w:val="000000"/>
                <w:sz w:val="18"/>
                <w:szCs w:val="18"/>
                <w:lang w:val="es-CR" w:eastAsia="es-CR"/>
              </w:rPr>
              <w:t xml:space="preserve">642 600 </w:t>
            </w:r>
          </w:p>
        </w:tc>
      </w:tr>
      <w:tr w:rsidR="00C04E40" w:rsidRPr="0023319B" w14:paraId="74BF97A7" w14:textId="77777777" w:rsidTr="00BD2A28">
        <w:trPr>
          <w:trHeight w:val="310"/>
        </w:trPr>
        <w:tc>
          <w:tcPr>
            <w:tcW w:w="1192" w:type="dxa"/>
            <w:tcBorders>
              <w:top w:val="nil"/>
              <w:left w:val="single" w:sz="4" w:space="0" w:color="auto"/>
              <w:bottom w:val="single" w:sz="4" w:space="0" w:color="auto"/>
              <w:right w:val="single" w:sz="4" w:space="0" w:color="auto"/>
            </w:tcBorders>
            <w:shd w:val="clear" w:color="auto" w:fill="auto"/>
            <w:vAlign w:val="center"/>
            <w:hideMark/>
          </w:tcPr>
          <w:p w14:paraId="52A54765" w14:textId="77777777" w:rsidR="00C04E40" w:rsidRPr="0023319B" w:rsidRDefault="00C04E40" w:rsidP="00BD2A28">
            <w:pPr>
              <w:spacing w:line="240" w:lineRule="auto"/>
              <w:jc w:val="center"/>
              <w:rPr>
                <w:rFonts w:ascii="Calibri Light" w:hAnsi="Calibri Light" w:cs="Calibri Light"/>
                <w:color w:val="000000"/>
                <w:sz w:val="18"/>
                <w:szCs w:val="18"/>
                <w:lang w:val="es-CR" w:eastAsia="es-CR"/>
              </w:rPr>
            </w:pPr>
            <w:r w:rsidRPr="0023319B">
              <w:rPr>
                <w:rFonts w:ascii="Calibri Light" w:hAnsi="Calibri Light" w:cs="Calibri Light"/>
                <w:color w:val="000000"/>
                <w:sz w:val="18"/>
                <w:szCs w:val="18"/>
                <w:lang w:val="es-CR" w:eastAsia="es-CR"/>
              </w:rPr>
              <w:t>1</w:t>
            </w:r>
          </w:p>
        </w:tc>
        <w:tc>
          <w:tcPr>
            <w:tcW w:w="5324" w:type="dxa"/>
            <w:tcBorders>
              <w:top w:val="nil"/>
              <w:left w:val="nil"/>
              <w:bottom w:val="single" w:sz="4" w:space="0" w:color="auto"/>
              <w:right w:val="single" w:sz="4" w:space="0" w:color="auto"/>
            </w:tcBorders>
            <w:shd w:val="clear" w:color="auto" w:fill="auto"/>
            <w:vAlign w:val="center"/>
            <w:hideMark/>
          </w:tcPr>
          <w:p w14:paraId="29B0BE04" w14:textId="77777777" w:rsidR="00C04E40" w:rsidRPr="0023319B" w:rsidRDefault="00C04E40" w:rsidP="00BD2A28">
            <w:pPr>
              <w:spacing w:line="240" w:lineRule="auto"/>
              <w:rPr>
                <w:rFonts w:ascii="Calibri Light" w:hAnsi="Calibri Light" w:cs="Calibri Light"/>
                <w:color w:val="000000"/>
                <w:sz w:val="18"/>
                <w:szCs w:val="18"/>
                <w:lang w:val="es-CR" w:eastAsia="es-CR"/>
              </w:rPr>
            </w:pPr>
            <w:r w:rsidRPr="0023319B">
              <w:rPr>
                <w:rFonts w:ascii="Calibri Light" w:hAnsi="Calibri Light" w:cs="Calibri Light"/>
                <w:color w:val="000000"/>
                <w:sz w:val="18"/>
                <w:szCs w:val="18"/>
                <w:lang w:val="es-CR" w:eastAsia="es-CR"/>
              </w:rPr>
              <w:t>Certificación en riesgos FRM II</w:t>
            </w:r>
          </w:p>
        </w:tc>
        <w:tc>
          <w:tcPr>
            <w:tcW w:w="1276" w:type="dxa"/>
            <w:tcBorders>
              <w:top w:val="nil"/>
              <w:left w:val="nil"/>
              <w:bottom w:val="single" w:sz="4" w:space="0" w:color="auto"/>
              <w:right w:val="single" w:sz="4" w:space="0" w:color="auto"/>
            </w:tcBorders>
            <w:shd w:val="clear" w:color="auto" w:fill="auto"/>
            <w:vAlign w:val="center"/>
            <w:hideMark/>
          </w:tcPr>
          <w:p w14:paraId="7C766E80" w14:textId="77777777" w:rsidR="00C04E40" w:rsidRPr="0023319B" w:rsidRDefault="00C04E40" w:rsidP="00BD2A28">
            <w:pPr>
              <w:spacing w:line="240" w:lineRule="auto"/>
              <w:jc w:val="center"/>
              <w:rPr>
                <w:rFonts w:ascii="Calibri Light" w:hAnsi="Calibri Light" w:cs="Calibri Light"/>
                <w:color w:val="000000"/>
                <w:sz w:val="18"/>
                <w:szCs w:val="18"/>
                <w:lang w:val="es-CR" w:eastAsia="es-CR"/>
              </w:rPr>
            </w:pPr>
            <w:r w:rsidRPr="0023319B">
              <w:rPr>
                <w:rFonts w:ascii="Calibri Light" w:hAnsi="Calibri Light" w:cs="Calibri Light"/>
                <w:color w:val="000000"/>
                <w:sz w:val="18"/>
                <w:szCs w:val="18"/>
                <w:lang w:val="es-CR" w:eastAsia="es-CR"/>
              </w:rPr>
              <w:t>16-may-2020</w:t>
            </w:r>
          </w:p>
        </w:tc>
        <w:tc>
          <w:tcPr>
            <w:tcW w:w="1418" w:type="dxa"/>
            <w:tcBorders>
              <w:top w:val="nil"/>
              <w:left w:val="nil"/>
              <w:bottom w:val="single" w:sz="4" w:space="0" w:color="auto"/>
              <w:right w:val="single" w:sz="4" w:space="0" w:color="auto"/>
            </w:tcBorders>
            <w:shd w:val="clear" w:color="auto" w:fill="auto"/>
            <w:noWrap/>
            <w:vAlign w:val="center"/>
            <w:hideMark/>
          </w:tcPr>
          <w:p w14:paraId="667A168A" w14:textId="4D5DB888" w:rsidR="00C04E40" w:rsidRPr="0023319B" w:rsidRDefault="00C04E40" w:rsidP="00BD2A28">
            <w:pPr>
              <w:spacing w:line="240" w:lineRule="auto"/>
              <w:jc w:val="right"/>
              <w:rPr>
                <w:rFonts w:ascii="Calibri Light" w:hAnsi="Calibri Light" w:cs="Calibri Light"/>
                <w:color w:val="000000"/>
                <w:sz w:val="18"/>
                <w:szCs w:val="18"/>
                <w:lang w:val="es-CR" w:eastAsia="es-CR"/>
              </w:rPr>
            </w:pPr>
            <w:r w:rsidRPr="0023319B">
              <w:rPr>
                <w:rFonts w:ascii="Calibri Light" w:hAnsi="Calibri Light" w:cs="Calibri Light"/>
                <w:color w:val="000000"/>
                <w:sz w:val="18"/>
                <w:szCs w:val="18"/>
                <w:lang w:val="es-CR" w:eastAsia="es-CR"/>
              </w:rPr>
              <w:t xml:space="preserve">229 831 </w:t>
            </w:r>
          </w:p>
        </w:tc>
      </w:tr>
      <w:tr w:rsidR="00C04E40" w:rsidRPr="0023319B" w14:paraId="147090BE" w14:textId="77777777" w:rsidTr="00BD2A28">
        <w:trPr>
          <w:trHeight w:val="516"/>
        </w:trPr>
        <w:tc>
          <w:tcPr>
            <w:tcW w:w="1192" w:type="dxa"/>
            <w:tcBorders>
              <w:top w:val="nil"/>
              <w:left w:val="single" w:sz="4" w:space="0" w:color="auto"/>
              <w:bottom w:val="single" w:sz="4" w:space="0" w:color="auto"/>
              <w:right w:val="single" w:sz="4" w:space="0" w:color="auto"/>
            </w:tcBorders>
            <w:shd w:val="clear" w:color="auto" w:fill="auto"/>
            <w:vAlign w:val="center"/>
            <w:hideMark/>
          </w:tcPr>
          <w:p w14:paraId="7529D49B" w14:textId="77777777" w:rsidR="00C04E40" w:rsidRPr="0023319B" w:rsidRDefault="00C04E40" w:rsidP="00BD2A28">
            <w:pPr>
              <w:spacing w:line="240" w:lineRule="auto"/>
              <w:jc w:val="center"/>
              <w:rPr>
                <w:rFonts w:ascii="Calibri Light" w:hAnsi="Calibri Light" w:cs="Calibri Light"/>
                <w:color w:val="000000"/>
                <w:sz w:val="18"/>
                <w:szCs w:val="18"/>
                <w:lang w:val="es-CR" w:eastAsia="es-CR"/>
              </w:rPr>
            </w:pPr>
            <w:r w:rsidRPr="0023319B">
              <w:rPr>
                <w:rFonts w:ascii="Calibri Light" w:hAnsi="Calibri Light" w:cs="Calibri Light"/>
                <w:color w:val="000000"/>
                <w:sz w:val="18"/>
                <w:szCs w:val="18"/>
                <w:lang w:val="es-CR" w:eastAsia="es-CR"/>
              </w:rPr>
              <w:t>5</w:t>
            </w:r>
          </w:p>
        </w:tc>
        <w:tc>
          <w:tcPr>
            <w:tcW w:w="5324" w:type="dxa"/>
            <w:tcBorders>
              <w:top w:val="nil"/>
              <w:left w:val="nil"/>
              <w:bottom w:val="single" w:sz="4" w:space="0" w:color="auto"/>
              <w:right w:val="single" w:sz="4" w:space="0" w:color="auto"/>
            </w:tcBorders>
            <w:shd w:val="clear" w:color="auto" w:fill="auto"/>
            <w:vAlign w:val="center"/>
            <w:hideMark/>
          </w:tcPr>
          <w:p w14:paraId="60CE30B9" w14:textId="77777777" w:rsidR="00C04E40" w:rsidRPr="0023319B" w:rsidRDefault="00C04E40" w:rsidP="00BD2A28">
            <w:pPr>
              <w:spacing w:line="240" w:lineRule="auto"/>
              <w:rPr>
                <w:rFonts w:ascii="Calibri Light" w:hAnsi="Calibri Light" w:cs="Calibri Light"/>
                <w:color w:val="000000"/>
                <w:sz w:val="18"/>
                <w:szCs w:val="18"/>
                <w:lang w:val="es-CR" w:eastAsia="es-CR"/>
              </w:rPr>
            </w:pPr>
            <w:r w:rsidRPr="0023319B">
              <w:rPr>
                <w:rFonts w:ascii="Calibri Light" w:hAnsi="Calibri Light" w:cs="Calibri Light"/>
                <w:color w:val="000000"/>
                <w:sz w:val="18"/>
                <w:szCs w:val="18"/>
                <w:lang w:val="es-CR" w:eastAsia="es-CR"/>
              </w:rPr>
              <w:t>Curso en línea Data OPS, Mejores prácticas para el desarrollo y despliegue iterativo de productos de datos</w:t>
            </w:r>
          </w:p>
        </w:tc>
        <w:tc>
          <w:tcPr>
            <w:tcW w:w="1276" w:type="dxa"/>
            <w:tcBorders>
              <w:top w:val="nil"/>
              <w:left w:val="nil"/>
              <w:bottom w:val="single" w:sz="4" w:space="0" w:color="auto"/>
              <w:right w:val="single" w:sz="4" w:space="0" w:color="auto"/>
            </w:tcBorders>
            <w:shd w:val="clear" w:color="auto" w:fill="auto"/>
            <w:vAlign w:val="center"/>
            <w:hideMark/>
          </w:tcPr>
          <w:p w14:paraId="61301122" w14:textId="77777777" w:rsidR="00C04E40" w:rsidRPr="0023319B" w:rsidRDefault="00C04E40" w:rsidP="00BD2A28">
            <w:pPr>
              <w:spacing w:line="240" w:lineRule="auto"/>
              <w:jc w:val="center"/>
              <w:rPr>
                <w:rFonts w:ascii="Calibri Light" w:hAnsi="Calibri Light" w:cs="Calibri Light"/>
                <w:color w:val="000000"/>
                <w:sz w:val="18"/>
                <w:szCs w:val="18"/>
                <w:lang w:val="es-CR" w:eastAsia="es-CR"/>
              </w:rPr>
            </w:pPr>
            <w:r w:rsidRPr="0023319B">
              <w:rPr>
                <w:rFonts w:ascii="Calibri Light" w:hAnsi="Calibri Light" w:cs="Calibri Light"/>
                <w:color w:val="000000"/>
                <w:sz w:val="18"/>
                <w:szCs w:val="18"/>
                <w:lang w:val="es-CR" w:eastAsia="es-CR"/>
              </w:rPr>
              <w:t>5-feb-2020</w:t>
            </w:r>
          </w:p>
        </w:tc>
        <w:tc>
          <w:tcPr>
            <w:tcW w:w="1418" w:type="dxa"/>
            <w:tcBorders>
              <w:top w:val="nil"/>
              <w:left w:val="nil"/>
              <w:bottom w:val="single" w:sz="4" w:space="0" w:color="auto"/>
              <w:right w:val="single" w:sz="4" w:space="0" w:color="auto"/>
            </w:tcBorders>
            <w:shd w:val="clear" w:color="auto" w:fill="auto"/>
            <w:noWrap/>
            <w:vAlign w:val="center"/>
            <w:hideMark/>
          </w:tcPr>
          <w:p w14:paraId="0C0E1CB9" w14:textId="1F7D0EE7" w:rsidR="00C04E40" w:rsidRPr="0023319B" w:rsidRDefault="00C04E40" w:rsidP="00BD2A28">
            <w:pPr>
              <w:spacing w:line="240" w:lineRule="auto"/>
              <w:jc w:val="right"/>
              <w:rPr>
                <w:rFonts w:ascii="Calibri Light" w:hAnsi="Calibri Light" w:cs="Calibri Light"/>
                <w:color w:val="000000"/>
                <w:sz w:val="18"/>
                <w:szCs w:val="18"/>
                <w:lang w:val="es-CR" w:eastAsia="es-CR"/>
              </w:rPr>
            </w:pPr>
            <w:r w:rsidRPr="0023319B">
              <w:rPr>
                <w:rFonts w:ascii="Calibri Light" w:hAnsi="Calibri Light" w:cs="Calibri Light"/>
                <w:color w:val="000000"/>
                <w:sz w:val="18"/>
                <w:szCs w:val="18"/>
                <w:lang w:val="es-CR" w:eastAsia="es-CR"/>
              </w:rPr>
              <w:t xml:space="preserve">2 938 212 </w:t>
            </w:r>
          </w:p>
        </w:tc>
      </w:tr>
      <w:tr w:rsidR="00C04E40" w:rsidRPr="0023319B" w14:paraId="35541EEF" w14:textId="77777777" w:rsidTr="00BD2A28">
        <w:trPr>
          <w:trHeight w:val="423"/>
        </w:trPr>
        <w:tc>
          <w:tcPr>
            <w:tcW w:w="1192" w:type="dxa"/>
            <w:tcBorders>
              <w:top w:val="nil"/>
              <w:left w:val="single" w:sz="4" w:space="0" w:color="auto"/>
              <w:bottom w:val="single" w:sz="4" w:space="0" w:color="auto"/>
              <w:right w:val="single" w:sz="4" w:space="0" w:color="auto"/>
            </w:tcBorders>
            <w:shd w:val="clear" w:color="auto" w:fill="auto"/>
            <w:vAlign w:val="center"/>
            <w:hideMark/>
          </w:tcPr>
          <w:p w14:paraId="3D6D90F5" w14:textId="77777777" w:rsidR="00C04E40" w:rsidRPr="0023319B" w:rsidRDefault="00C04E40" w:rsidP="00BD2A28">
            <w:pPr>
              <w:spacing w:line="240" w:lineRule="auto"/>
              <w:jc w:val="center"/>
              <w:rPr>
                <w:rFonts w:ascii="Calibri Light" w:hAnsi="Calibri Light" w:cs="Calibri Light"/>
                <w:color w:val="000000"/>
                <w:sz w:val="18"/>
                <w:szCs w:val="18"/>
                <w:lang w:val="es-CR" w:eastAsia="es-CR"/>
              </w:rPr>
            </w:pPr>
            <w:r w:rsidRPr="0023319B">
              <w:rPr>
                <w:rFonts w:ascii="Calibri Light" w:hAnsi="Calibri Light" w:cs="Calibri Light"/>
                <w:color w:val="000000"/>
                <w:sz w:val="18"/>
                <w:szCs w:val="18"/>
                <w:lang w:val="es-CR" w:eastAsia="es-CR"/>
              </w:rPr>
              <w:t>2</w:t>
            </w:r>
          </w:p>
        </w:tc>
        <w:tc>
          <w:tcPr>
            <w:tcW w:w="5324" w:type="dxa"/>
            <w:tcBorders>
              <w:top w:val="nil"/>
              <w:left w:val="nil"/>
              <w:bottom w:val="single" w:sz="4" w:space="0" w:color="auto"/>
              <w:right w:val="single" w:sz="4" w:space="0" w:color="auto"/>
            </w:tcBorders>
            <w:shd w:val="clear" w:color="auto" w:fill="auto"/>
            <w:vAlign w:val="center"/>
            <w:hideMark/>
          </w:tcPr>
          <w:p w14:paraId="2F5EC8DE" w14:textId="77777777" w:rsidR="00C04E40" w:rsidRPr="0023319B" w:rsidRDefault="00C04E40" w:rsidP="00BD2A28">
            <w:pPr>
              <w:spacing w:line="240" w:lineRule="auto"/>
              <w:rPr>
                <w:rFonts w:ascii="Calibri Light" w:hAnsi="Calibri Light" w:cs="Calibri Light"/>
                <w:color w:val="000000"/>
                <w:sz w:val="18"/>
                <w:szCs w:val="18"/>
                <w:lang w:val="es-CR" w:eastAsia="es-CR"/>
              </w:rPr>
            </w:pPr>
            <w:r w:rsidRPr="0023319B">
              <w:rPr>
                <w:rFonts w:ascii="Calibri Light" w:hAnsi="Calibri Light" w:cs="Calibri Light"/>
                <w:color w:val="000000"/>
                <w:sz w:val="18"/>
                <w:szCs w:val="18"/>
                <w:lang w:val="es-CR" w:eastAsia="es-CR"/>
              </w:rPr>
              <w:t>Inscripción en el FinTech &amp; Regulatory Innovation online programme</w:t>
            </w:r>
          </w:p>
        </w:tc>
        <w:tc>
          <w:tcPr>
            <w:tcW w:w="1276" w:type="dxa"/>
            <w:tcBorders>
              <w:top w:val="nil"/>
              <w:left w:val="nil"/>
              <w:bottom w:val="single" w:sz="4" w:space="0" w:color="auto"/>
              <w:right w:val="single" w:sz="4" w:space="0" w:color="auto"/>
            </w:tcBorders>
            <w:shd w:val="clear" w:color="auto" w:fill="auto"/>
            <w:vAlign w:val="center"/>
            <w:hideMark/>
          </w:tcPr>
          <w:p w14:paraId="624CB986" w14:textId="77777777" w:rsidR="00C04E40" w:rsidRPr="0023319B" w:rsidRDefault="00C04E40" w:rsidP="00BD2A28">
            <w:pPr>
              <w:spacing w:line="240" w:lineRule="auto"/>
              <w:jc w:val="center"/>
              <w:rPr>
                <w:rFonts w:ascii="Calibri Light" w:hAnsi="Calibri Light" w:cs="Calibri Light"/>
                <w:color w:val="000000"/>
                <w:sz w:val="18"/>
                <w:szCs w:val="18"/>
                <w:lang w:val="es-CR" w:eastAsia="es-CR"/>
              </w:rPr>
            </w:pPr>
            <w:r w:rsidRPr="0023319B">
              <w:rPr>
                <w:rFonts w:ascii="Calibri Light" w:hAnsi="Calibri Light" w:cs="Calibri Light"/>
                <w:color w:val="000000"/>
                <w:sz w:val="18"/>
                <w:szCs w:val="18"/>
                <w:lang w:val="es-CR" w:eastAsia="es-CR"/>
              </w:rPr>
              <w:t>26-feb-2020</w:t>
            </w:r>
          </w:p>
        </w:tc>
        <w:tc>
          <w:tcPr>
            <w:tcW w:w="1418" w:type="dxa"/>
            <w:tcBorders>
              <w:top w:val="nil"/>
              <w:left w:val="nil"/>
              <w:bottom w:val="single" w:sz="4" w:space="0" w:color="auto"/>
              <w:right w:val="single" w:sz="4" w:space="0" w:color="auto"/>
            </w:tcBorders>
            <w:shd w:val="clear" w:color="auto" w:fill="auto"/>
            <w:noWrap/>
            <w:vAlign w:val="center"/>
            <w:hideMark/>
          </w:tcPr>
          <w:p w14:paraId="34763175" w14:textId="1BB17110" w:rsidR="00C04E40" w:rsidRPr="0023319B" w:rsidRDefault="00C04E40" w:rsidP="00BD2A28">
            <w:pPr>
              <w:spacing w:line="240" w:lineRule="auto"/>
              <w:jc w:val="right"/>
              <w:rPr>
                <w:rFonts w:ascii="Calibri Light" w:hAnsi="Calibri Light" w:cs="Calibri Light"/>
                <w:color w:val="000000"/>
                <w:sz w:val="18"/>
                <w:szCs w:val="18"/>
                <w:lang w:val="es-CR" w:eastAsia="es-CR"/>
              </w:rPr>
            </w:pPr>
            <w:r w:rsidRPr="0023319B">
              <w:rPr>
                <w:rFonts w:ascii="Calibri Light" w:hAnsi="Calibri Light" w:cs="Calibri Light"/>
                <w:color w:val="000000"/>
                <w:sz w:val="18"/>
                <w:szCs w:val="18"/>
                <w:lang w:val="es-CR" w:eastAsia="es-CR"/>
              </w:rPr>
              <w:t xml:space="preserve">2 608 388 </w:t>
            </w:r>
          </w:p>
        </w:tc>
      </w:tr>
      <w:tr w:rsidR="00C04E40" w:rsidRPr="0023319B" w14:paraId="01F200E6" w14:textId="77777777" w:rsidTr="00BD2A28">
        <w:trPr>
          <w:trHeight w:val="529"/>
        </w:trPr>
        <w:tc>
          <w:tcPr>
            <w:tcW w:w="1192" w:type="dxa"/>
            <w:tcBorders>
              <w:top w:val="nil"/>
              <w:left w:val="single" w:sz="4" w:space="0" w:color="auto"/>
              <w:bottom w:val="single" w:sz="4" w:space="0" w:color="auto"/>
              <w:right w:val="single" w:sz="4" w:space="0" w:color="auto"/>
            </w:tcBorders>
            <w:shd w:val="clear" w:color="auto" w:fill="auto"/>
            <w:vAlign w:val="center"/>
            <w:hideMark/>
          </w:tcPr>
          <w:p w14:paraId="773390F6" w14:textId="77777777" w:rsidR="00C04E40" w:rsidRPr="0023319B" w:rsidRDefault="00C04E40" w:rsidP="00BD2A28">
            <w:pPr>
              <w:spacing w:line="240" w:lineRule="auto"/>
              <w:jc w:val="center"/>
              <w:rPr>
                <w:rFonts w:ascii="Calibri Light" w:hAnsi="Calibri Light" w:cs="Calibri Light"/>
                <w:color w:val="000000"/>
                <w:sz w:val="18"/>
                <w:szCs w:val="18"/>
                <w:lang w:val="es-CR" w:eastAsia="es-CR"/>
              </w:rPr>
            </w:pPr>
            <w:r w:rsidRPr="0023319B">
              <w:rPr>
                <w:rFonts w:ascii="Calibri Light" w:hAnsi="Calibri Light" w:cs="Calibri Light"/>
                <w:color w:val="000000"/>
                <w:sz w:val="18"/>
                <w:szCs w:val="18"/>
                <w:lang w:val="es-CR" w:eastAsia="es-CR"/>
              </w:rPr>
              <w:t>2</w:t>
            </w:r>
          </w:p>
        </w:tc>
        <w:tc>
          <w:tcPr>
            <w:tcW w:w="5324" w:type="dxa"/>
            <w:tcBorders>
              <w:top w:val="nil"/>
              <w:left w:val="nil"/>
              <w:bottom w:val="single" w:sz="4" w:space="0" w:color="auto"/>
              <w:right w:val="single" w:sz="4" w:space="0" w:color="auto"/>
            </w:tcBorders>
            <w:shd w:val="clear" w:color="auto" w:fill="auto"/>
            <w:vAlign w:val="center"/>
            <w:hideMark/>
          </w:tcPr>
          <w:p w14:paraId="104D1AEA" w14:textId="77777777" w:rsidR="00C04E40" w:rsidRPr="0023319B" w:rsidRDefault="00C04E40" w:rsidP="00BD2A28">
            <w:pPr>
              <w:spacing w:line="240" w:lineRule="auto"/>
              <w:rPr>
                <w:rFonts w:ascii="Calibri Light" w:hAnsi="Calibri Light" w:cs="Calibri Light"/>
                <w:color w:val="000000"/>
                <w:sz w:val="18"/>
                <w:szCs w:val="18"/>
                <w:lang w:val="es-CR" w:eastAsia="es-CR"/>
              </w:rPr>
            </w:pPr>
            <w:r w:rsidRPr="0023319B">
              <w:rPr>
                <w:rFonts w:ascii="Calibri Light" w:hAnsi="Calibri Light" w:cs="Calibri Light"/>
                <w:color w:val="000000"/>
                <w:sz w:val="18"/>
                <w:szCs w:val="18"/>
                <w:lang w:val="es-CR" w:eastAsia="es-CR"/>
              </w:rPr>
              <w:t>Curso Los principios básicos del presupuesto público para las administraciones actuales</w:t>
            </w:r>
          </w:p>
        </w:tc>
        <w:tc>
          <w:tcPr>
            <w:tcW w:w="1276" w:type="dxa"/>
            <w:tcBorders>
              <w:top w:val="nil"/>
              <w:left w:val="nil"/>
              <w:bottom w:val="single" w:sz="4" w:space="0" w:color="auto"/>
              <w:right w:val="single" w:sz="4" w:space="0" w:color="auto"/>
            </w:tcBorders>
            <w:shd w:val="clear" w:color="auto" w:fill="auto"/>
            <w:vAlign w:val="center"/>
            <w:hideMark/>
          </w:tcPr>
          <w:p w14:paraId="790E4C0F" w14:textId="77777777" w:rsidR="00C04E40" w:rsidRPr="0023319B" w:rsidRDefault="00C04E40" w:rsidP="00BD2A28">
            <w:pPr>
              <w:spacing w:line="240" w:lineRule="auto"/>
              <w:jc w:val="center"/>
              <w:rPr>
                <w:rFonts w:ascii="Calibri Light" w:hAnsi="Calibri Light" w:cs="Calibri Light"/>
                <w:color w:val="000000"/>
                <w:sz w:val="18"/>
                <w:szCs w:val="18"/>
                <w:lang w:val="es-CR" w:eastAsia="es-CR"/>
              </w:rPr>
            </w:pPr>
            <w:r w:rsidRPr="0023319B">
              <w:rPr>
                <w:rFonts w:ascii="Calibri Light" w:hAnsi="Calibri Light" w:cs="Calibri Light"/>
                <w:color w:val="000000"/>
                <w:sz w:val="18"/>
                <w:szCs w:val="18"/>
                <w:lang w:val="es-CR" w:eastAsia="es-CR"/>
              </w:rPr>
              <w:t>4-mar-2020</w:t>
            </w:r>
          </w:p>
        </w:tc>
        <w:tc>
          <w:tcPr>
            <w:tcW w:w="1418" w:type="dxa"/>
            <w:tcBorders>
              <w:top w:val="nil"/>
              <w:left w:val="nil"/>
              <w:bottom w:val="single" w:sz="4" w:space="0" w:color="auto"/>
              <w:right w:val="single" w:sz="4" w:space="0" w:color="auto"/>
            </w:tcBorders>
            <w:shd w:val="clear" w:color="auto" w:fill="auto"/>
            <w:noWrap/>
            <w:vAlign w:val="center"/>
            <w:hideMark/>
          </w:tcPr>
          <w:p w14:paraId="3488DF79" w14:textId="014B2EAF" w:rsidR="00C04E40" w:rsidRPr="0023319B" w:rsidRDefault="00C04E40" w:rsidP="00BD2A28">
            <w:pPr>
              <w:spacing w:line="240" w:lineRule="auto"/>
              <w:jc w:val="right"/>
              <w:rPr>
                <w:rFonts w:ascii="Calibri Light" w:hAnsi="Calibri Light" w:cs="Calibri Light"/>
                <w:color w:val="000000"/>
                <w:sz w:val="18"/>
                <w:szCs w:val="18"/>
                <w:lang w:val="es-CR" w:eastAsia="es-CR"/>
              </w:rPr>
            </w:pPr>
            <w:r w:rsidRPr="0023319B">
              <w:rPr>
                <w:rFonts w:ascii="Calibri Light" w:hAnsi="Calibri Light" w:cs="Calibri Light"/>
                <w:color w:val="000000"/>
                <w:sz w:val="18"/>
                <w:szCs w:val="18"/>
                <w:lang w:val="es-CR" w:eastAsia="es-CR"/>
              </w:rPr>
              <w:t xml:space="preserve">357 000 </w:t>
            </w:r>
          </w:p>
        </w:tc>
      </w:tr>
      <w:tr w:rsidR="00C04E40" w:rsidRPr="0023319B" w14:paraId="05CAF5AF" w14:textId="77777777" w:rsidTr="00BD2A28">
        <w:trPr>
          <w:trHeight w:val="319"/>
        </w:trPr>
        <w:tc>
          <w:tcPr>
            <w:tcW w:w="1192" w:type="dxa"/>
            <w:tcBorders>
              <w:top w:val="nil"/>
              <w:left w:val="single" w:sz="4" w:space="0" w:color="auto"/>
              <w:bottom w:val="single" w:sz="4" w:space="0" w:color="auto"/>
              <w:right w:val="single" w:sz="4" w:space="0" w:color="auto"/>
            </w:tcBorders>
            <w:shd w:val="clear" w:color="auto" w:fill="auto"/>
            <w:vAlign w:val="center"/>
            <w:hideMark/>
          </w:tcPr>
          <w:p w14:paraId="3C192629" w14:textId="77777777" w:rsidR="00C04E40" w:rsidRPr="0023319B" w:rsidRDefault="00C04E40" w:rsidP="00BD2A28">
            <w:pPr>
              <w:spacing w:line="240" w:lineRule="auto"/>
              <w:jc w:val="center"/>
              <w:rPr>
                <w:rFonts w:ascii="Calibri Light" w:hAnsi="Calibri Light" w:cs="Calibri Light"/>
                <w:color w:val="000000"/>
                <w:sz w:val="18"/>
                <w:szCs w:val="18"/>
                <w:lang w:val="es-CR" w:eastAsia="es-CR"/>
              </w:rPr>
            </w:pPr>
            <w:r w:rsidRPr="0023319B">
              <w:rPr>
                <w:rFonts w:ascii="Calibri Light" w:hAnsi="Calibri Light" w:cs="Calibri Light"/>
                <w:color w:val="000000"/>
                <w:sz w:val="18"/>
                <w:szCs w:val="18"/>
                <w:lang w:val="es-CR" w:eastAsia="es-CR"/>
              </w:rPr>
              <w:t>2</w:t>
            </w:r>
          </w:p>
        </w:tc>
        <w:tc>
          <w:tcPr>
            <w:tcW w:w="5324" w:type="dxa"/>
            <w:tcBorders>
              <w:top w:val="nil"/>
              <w:left w:val="nil"/>
              <w:bottom w:val="single" w:sz="4" w:space="0" w:color="auto"/>
              <w:right w:val="single" w:sz="4" w:space="0" w:color="auto"/>
            </w:tcBorders>
            <w:shd w:val="clear" w:color="auto" w:fill="auto"/>
            <w:vAlign w:val="center"/>
            <w:hideMark/>
          </w:tcPr>
          <w:p w14:paraId="2BD9CBFD" w14:textId="77777777" w:rsidR="00C04E40" w:rsidRPr="0023319B" w:rsidRDefault="00C04E40" w:rsidP="00BD2A28">
            <w:pPr>
              <w:spacing w:line="240" w:lineRule="auto"/>
              <w:rPr>
                <w:rFonts w:ascii="Calibri Light" w:hAnsi="Calibri Light" w:cs="Calibri Light"/>
                <w:color w:val="000000"/>
                <w:sz w:val="18"/>
                <w:szCs w:val="18"/>
                <w:lang w:val="es-CR" w:eastAsia="es-CR"/>
              </w:rPr>
            </w:pPr>
            <w:r w:rsidRPr="0023319B">
              <w:rPr>
                <w:rFonts w:ascii="Calibri Light" w:hAnsi="Calibri Light" w:cs="Calibri Light"/>
                <w:color w:val="000000"/>
                <w:sz w:val="18"/>
                <w:szCs w:val="18"/>
                <w:lang w:val="es-CR" w:eastAsia="es-CR"/>
              </w:rPr>
              <w:t>Taller Teletrabajo: Aspectos legales y mejores prácticas</w:t>
            </w:r>
          </w:p>
        </w:tc>
        <w:tc>
          <w:tcPr>
            <w:tcW w:w="1276" w:type="dxa"/>
            <w:tcBorders>
              <w:top w:val="nil"/>
              <w:left w:val="nil"/>
              <w:bottom w:val="single" w:sz="4" w:space="0" w:color="auto"/>
              <w:right w:val="single" w:sz="4" w:space="0" w:color="auto"/>
            </w:tcBorders>
            <w:shd w:val="clear" w:color="auto" w:fill="auto"/>
            <w:vAlign w:val="center"/>
            <w:hideMark/>
          </w:tcPr>
          <w:p w14:paraId="5D737243" w14:textId="77777777" w:rsidR="00C04E40" w:rsidRPr="0023319B" w:rsidRDefault="00C04E40" w:rsidP="00BD2A28">
            <w:pPr>
              <w:spacing w:line="240" w:lineRule="auto"/>
              <w:jc w:val="center"/>
              <w:rPr>
                <w:rFonts w:ascii="Calibri Light" w:hAnsi="Calibri Light" w:cs="Calibri Light"/>
                <w:color w:val="000000"/>
                <w:sz w:val="18"/>
                <w:szCs w:val="18"/>
                <w:lang w:val="es-CR" w:eastAsia="es-CR"/>
              </w:rPr>
            </w:pPr>
            <w:r w:rsidRPr="0023319B">
              <w:rPr>
                <w:rFonts w:ascii="Calibri Light" w:hAnsi="Calibri Light" w:cs="Calibri Light"/>
                <w:color w:val="000000"/>
                <w:sz w:val="18"/>
                <w:szCs w:val="18"/>
                <w:lang w:val="es-CR" w:eastAsia="es-CR"/>
              </w:rPr>
              <w:t>28-ene-2020</w:t>
            </w:r>
          </w:p>
        </w:tc>
        <w:tc>
          <w:tcPr>
            <w:tcW w:w="1418" w:type="dxa"/>
            <w:tcBorders>
              <w:top w:val="nil"/>
              <w:left w:val="nil"/>
              <w:bottom w:val="single" w:sz="4" w:space="0" w:color="auto"/>
              <w:right w:val="single" w:sz="4" w:space="0" w:color="auto"/>
            </w:tcBorders>
            <w:shd w:val="clear" w:color="auto" w:fill="auto"/>
            <w:noWrap/>
            <w:vAlign w:val="center"/>
            <w:hideMark/>
          </w:tcPr>
          <w:p w14:paraId="30F36DE0" w14:textId="3C4AA812" w:rsidR="00C04E40" w:rsidRPr="0023319B" w:rsidRDefault="00C04E40" w:rsidP="00BD2A28">
            <w:pPr>
              <w:spacing w:line="240" w:lineRule="auto"/>
              <w:jc w:val="right"/>
              <w:rPr>
                <w:rFonts w:ascii="Calibri Light" w:hAnsi="Calibri Light" w:cs="Calibri Light"/>
                <w:color w:val="000000"/>
                <w:sz w:val="18"/>
                <w:szCs w:val="18"/>
                <w:lang w:val="es-CR" w:eastAsia="es-CR"/>
              </w:rPr>
            </w:pPr>
            <w:r w:rsidRPr="0023319B">
              <w:rPr>
                <w:rFonts w:ascii="Calibri Light" w:hAnsi="Calibri Light" w:cs="Calibri Light"/>
                <w:color w:val="000000"/>
                <w:sz w:val="18"/>
                <w:szCs w:val="18"/>
                <w:lang w:val="es-CR" w:eastAsia="es-CR"/>
              </w:rPr>
              <w:t xml:space="preserve">214 200 </w:t>
            </w:r>
          </w:p>
        </w:tc>
      </w:tr>
      <w:tr w:rsidR="00C04E40" w:rsidRPr="0023319B" w14:paraId="48504BD0" w14:textId="77777777" w:rsidTr="00BD2A28">
        <w:trPr>
          <w:trHeight w:val="430"/>
        </w:trPr>
        <w:tc>
          <w:tcPr>
            <w:tcW w:w="1192" w:type="dxa"/>
            <w:tcBorders>
              <w:top w:val="nil"/>
              <w:left w:val="single" w:sz="4" w:space="0" w:color="auto"/>
              <w:bottom w:val="single" w:sz="4" w:space="0" w:color="auto"/>
              <w:right w:val="single" w:sz="4" w:space="0" w:color="auto"/>
            </w:tcBorders>
            <w:shd w:val="clear" w:color="auto" w:fill="auto"/>
            <w:vAlign w:val="center"/>
            <w:hideMark/>
          </w:tcPr>
          <w:p w14:paraId="563FDCBE" w14:textId="77777777" w:rsidR="00C04E40" w:rsidRPr="0023319B" w:rsidRDefault="00C04E40" w:rsidP="00BD2A28">
            <w:pPr>
              <w:spacing w:line="240" w:lineRule="auto"/>
              <w:jc w:val="center"/>
              <w:rPr>
                <w:rFonts w:ascii="Calibri Light" w:hAnsi="Calibri Light" w:cs="Calibri Light"/>
                <w:color w:val="000000"/>
                <w:sz w:val="18"/>
                <w:szCs w:val="18"/>
                <w:lang w:val="es-CR" w:eastAsia="es-CR"/>
              </w:rPr>
            </w:pPr>
            <w:r w:rsidRPr="0023319B">
              <w:rPr>
                <w:rFonts w:ascii="Calibri Light" w:hAnsi="Calibri Light" w:cs="Calibri Light"/>
                <w:color w:val="000000"/>
                <w:sz w:val="18"/>
                <w:szCs w:val="18"/>
                <w:lang w:val="es-CR" w:eastAsia="es-CR"/>
              </w:rPr>
              <w:t>2</w:t>
            </w:r>
          </w:p>
        </w:tc>
        <w:tc>
          <w:tcPr>
            <w:tcW w:w="5324" w:type="dxa"/>
            <w:tcBorders>
              <w:top w:val="nil"/>
              <w:left w:val="nil"/>
              <w:bottom w:val="single" w:sz="4" w:space="0" w:color="auto"/>
              <w:right w:val="single" w:sz="4" w:space="0" w:color="auto"/>
            </w:tcBorders>
            <w:shd w:val="clear" w:color="auto" w:fill="auto"/>
            <w:vAlign w:val="center"/>
            <w:hideMark/>
          </w:tcPr>
          <w:p w14:paraId="6B043844" w14:textId="77777777" w:rsidR="00C04E40" w:rsidRPr="0023319B" w:rsidRDefault="00C04E40" w:rsidP="00BD2A28">
            <w:pPr>
              <w:spacing w:line="240" w:lineRule="auto"/>
              <w:rPr>
                <w:rFonts w:ascii="Calibri Light" w:hAnsi="Calibri Light" w:cs="Calibri Light"/>
                <w:color w:val="000000"/>
                <w:sz w:val="18"/>
                <w:szCs w:val="18"/>
                <w:lang w:val="es-CR" w:eastAsia="es-CR"/>
              </w:rPr>
            </w:pPr>
            <w:r w:rsidRPr="0023319B">
              <w:rPr>
                <w:rFonts w:ascii="Calibri Light" w:hAnsi="Calibri Light" w:cs="Calibri Light"/>
                <w:color w:val="000000"/>
                <w:sz w:val="18"/>
                <w:szCs w:val="18"/>
                <w:lang w:val="es-CR" w:eastAsia="es-CR"/>
              </w:rPr>
              <w:t xml:space="preserve"> Curso práctico sobre el acoso laboral, como denunciarlo, detectarlo y sancionarlo</w:t>
            </w:r>
          </w:p>
        </w:tc>
        <w:tc>
          <w:tcPr>
            <w:tcW w:w="1276" w:type="dxa"/>
            <w:tcBorders>
              <w:top w:val="nil"/>
              <w:left w:val="nil"/>
              <w:bottom w:val="single" w:sz="4" w:space="0" w:color="auto"/>
              <w:right w:val="single" w:sz="4" w:space="0" w:color="auto"/>
            </w:tcBorders>
            <w:shd w:val="clear" w:color="auto" w:fill="auto"/>
            <w:vAlign w:val="center"/>
            <w:hideMark/>
          </w:tcPr>
          <w:p w14:paraId="1BEF8157" w14:textId="77777777" w:rsidR="00C04E40" w:rsidRPr="0023319B" w:rsidRDefault="00C04E40" w:rsidP="00BD2A28">
            <w:pPr>
              <w:spacing w:line="240" w:lineRule="auto"/>
              <w:jc w:val="center"/>
              <w:rPr>
                <w:rFonts w:ascii="Calibri Light" w:hAnsi="Calibri Light" w:cs="Calibri Light"/>
                <w:color w:val="000000"/>
                <w:sz w:val="18"/>
                <w:szCs w:val="18"/>
                <w:lang w:val="es-CR" w:eastAsia="es-CR"/>
              </w:rPr>
            </w:pPr>
            <w:r w:rsidRPr="0023319B">
              <w:rPr>
                <w:rFonts w:ascii="Calibri Light" w:hAnsi="Calibri Light" w:cs="Calibri Light"/>
                <w:color w:val="000000"/>
                <w:sz w:val="18"/>
                <w:szCs w:val="18"/>
                <w:lang w:val="es-CR" w:eastAsia="es-CR"/>
              </w:rPr>
              <w:t>12-mar-2020</w:t>
            </w:r>
          </w:p>
        </w:tc>
        <w:tc>
          <w:tcPr>
            <w:tcW w:w="1418" w:type="dxa"/>
            <w:tcBorders>
              <w:top w:val="nil"/>
              <w:left w:val="nil"/>
              <w:bottom w:val="single" w:sz="4" w:space="0" w:color="auto"/>
              <w:right w:val="single" w:sz="4" w:space="0" w:color="auto"/>
            </w:tcBorders>
            <w:shd w:val="clear" w:color="auto" w:fill="auto"/>
            <w:noWrap/>
            <w:vAlign w:val="center"/>
            <w:hideMark/>
          </w:tcPr>
          <w:p w14:paraId="4E41AB2A" w14:textId="258E7BAC" w:rsidR="00C04E40" w:rsidRPr="0023319B" w:rsidRDefault="00C04E40" w:rsidP="00BD2A28">
            <w:pPr>
              <w:spacing w:line="240" w:lineRule="auto"/>
              <w:jc w:val="right"/>
              <w:rPr>
                <w:rFonts w:ascii="Calibri Light" w:hAnsi="Calibri Light" w:cs="Calibri Light"/>
                <w:color w:val="000000"/>
                <w:sz w:val="18"/>
                <w:szCs w:val="18"/>
                <w:lang w:val="es-CR" w:eastAsia="es-CR"/>
              </w:rPr>
            </w:pPr>
            <w:r w:rsidRPr="0023319B">
              <w:rPr>
                <w:rFonts w:ascii="Calibri Light" w:hAnsi="Calibri Light" w:cs="Calibri Light"/>
                <w:color w:val="000000"/>
                <w:sz w:val="18"/>
                <w:szCs w:val="18"/>
                <w:lang w:val="es-CR" w:eastAsia="es-CR"/>
              </w:rPr>
              <w:t xml:space="preserve">249 900 </w:t>
            </w:r>
          </w:p>
        </w:tc>
      </w:tr>
      <w:tr w:rsidR="00C04E40" w:rsidRPr="0023319B" w14:paraId="04D04784" w14:textId="77777777" w:rsidTr="00BD2A28">
        <w:trPr>
          <w:trHeight w:val="634"/>
        </w:trPr>
        <w:tc>
          <w:tcPr>
            <w:tcW w:w="1192" w:type="dxa"/>
            <w:tcBorders>
              <w:top w:val="nil"/>
              <w:left w:val="single" w:sz="4" w:space="0" w:color="auto"/>
              <w:bottom w:val="single" w:sz="4" w:space="0" w:color="auto"/>
              <w:right w:val="single" w:sz="4" w:space="0" w:color="auto"/>
            </w:tcBorders>
            <w:shd w:val="clear" w:color="auto" w:fill="auto"/>
            <w:vAlign w:val="center"/>
            <w:hideMark/>
          </w:tcPr>
          <w:p w14:paraId="4B79576F" w14:textId="77777777" w:rsidR="00C04E40" w:rsidRPr="0023319B" w:rsidRDefault="00C04E40" w:rsidP="00BD2A28">
            <w:pPr>
              <w:spacing w:line="240" w:lineRule="auto"/>
              <w:jc w:val="center"/>
              <w:rPr>
                <w:rFonts w:ascii="Calibri Light" w:hAnsi="Calibri Light" w:cs="Calibri Light"/>
                <w:color w:val="000000"/>
                <w:sz w:val="18"/>
                <w:szCs w:val="18"/>
                <w:lang w:val="es-CR" w:eastAsia="es-CR"/>
              </w:rPr>
            </w:pPr>
            <w:r w:rsidRPr="0023319B">
              <w:rPr>
                <w:rFonts w:ascii="Calibri Light" w:hAnsi="Calibri Light" w:cs="Calibri Light"/>
                <w:color w:val="000000"/>
                <w:sz w:val="18"/>
                <w:szCs w:val="18"/>
                <w:lang w:val="es-CR" w:eastAsia="es-CR"/>
              </w:rPr>
              <w:t>38</w:t>
            </w:r>
          </w:p>
        </w:tc>
        <w:tc>
          <w:tcPr>
            <w:tcW w:w="5324" w:type="dxa"/>
            <w:tcBorders>
              <w:top w:val="nil"/>
              <w:left w:val="nil"/>
              <w:bottom w:val="single" w:sz="4" w:space="0" w:color="auto"/>
              <w:right w:val="single" w:sz="4" w:space="0" w:color="auto"/>
            </w:tcBorders>
            <w:shd w:val="clear" w:color="auto" w:fill="auto"/>
            <w:vAlign w:val="center"/>
            <w:hideMark/>
          </w:tcPr>
          <w:p w14:paraId="091C143F" w14:textId="77777777" w:rsidR="00C04E40" w:rsidRPr="0023319B" w:rsidRDefault="00C04E40" w:rsidP="00BD2A28">
            <w:pPr>
              <w:spacing w:line="240" w:lineRule="auto"/>
              <w:rPr>
                <w:rFonts w:ascii="Calibri Light" w:hAnsi="Calibri Light" w:cs="Calibri Light"/>
                <w:color w:val="000000"/>
                <w:sz w:val="18"/>
                <w:szCs w:val="18"/>
                <w:lang w:val="es-CR" w:eastAsia="es-CR"/>
              </w:rPr>
            </w:pPr>
            <w:r w:rsidRPr="0023319B">
              <w:rPr>
                <w:rFonts w:ascii="Calibri Light" w:hAnsi="Calibri Light" w:cs="Calibri Light"/>
                <w:color w:val="000000"/>
                <w:sz w:val="18"/>
                <w:szCs w:val="18"/>
                <w:lang w:val="es-CR" w:eastAsia="es-CR"/>
              </w:rPr>
              <w:t>Seminario Calibración, desarrollo e implementación de modelos para cálculo de pérdida esperada de la cartera de inversión bajo NIIF 9</w:t>
            </w:r>
          </w:p>
        </w:tc>
        <w:tc>
          <w:tcPr>
            <w:tcW w:w="1276" w:type="dxa"/>
            <w:tcBorders>
              <w:top w:val="nil"/>
              <w:left w:val="nil"/>
              <w:bottom w:val="single" w:sz="4" w:space="0" w:color="auto"/>
              <w:right w:val="single" w:sz="4" w:space="0" w:color="auto"/>
            </w:tcBorders>
            <w:shd w:val="clear" w:color="auto" w:fill="auto"/>
            <w:vAlign w:val="center"/>
            <w:hideMark/>
          </w:tcPr>
          <w:p w14:paraId="15415CFA" w14:textId="77777777" w:rsidR="00C04E40" w:rsidRPr="0023319B" w:rsidRDefault="00C04E40" w:rsidP="00BD2A28">
            <w:pPr>
              <w:spacing w:line="240" w:lineRule="auto"/>
              <w:jc w:val="center"/>
              <w:rPr>
                <w:rFonts w:ascii="Calibri Light" w:hAnsi="Calibri Light" w:cs="Calibri Light"/>
                <w:color w:val="000000"/>
                <w:sz w:val="18"/>
                <w:szCs w:val="18"/>
                <w:lang w:val="es-CR" w:eastAsia="es-CR"/>
              </w:rPr>
            </w:pPr>
            <w:r w:rsidRPr="0023319B">
              <w:rPr>
                <w:rFonts w:ascii="Calibri Light" w:hAnsi="Calibri Light" w:cs="Calibri Light"/>
                <w:color w:val="000000"/>
                <w:sz w:val="18"/>
                <w:szCs w:val="18"/>
                <w:lang w:val="es-CR" w:eastAsia="es-CR"/>
              </w:rPr>
              <w:t>2-mar-2020</w:t>
            </w:r>
          </w:p>
        </w:tc>
        <w:tc>
          <w:tcPr>
            <w:tcW w:w="1418" w:type="dxa"/>
            <w:tcBorders>
              <w:top w:val="nil"/>
              <w:left w:val="nil"/>
              <w:bottom w:val="single" w:sz="4" w:space="0" w:color="auto"/>
              <w:right w:val="single" w:sz="4" w:space="0" w:color="auto"/>
            </w:tcBorders>
            <w:shd w:val="clear" w:color="auto" w:fill="auto"/>
            <w:noWrap/>
            <w:vAlign w:val="center"/>
            <w:hideMark/>
          </w:tcPr>
          <w:p w14:paraId="07989D1E" w14:textId="08CF5178" w:rsidR="00C04E40" w:rsidRPr="0023319B" w:rsidRDefault="00C04E40" w:rsidP="00BD2A28">
            <w:pPr>
              <w:spacing w:line="240" w:lineRule="auto"/>
              <w:jc w:val="right"/>
              <w:rPr>
                <w:rFonts w:ascii="Calibri Light" w:hAnsi="Calibri Light" w:cs="Calibri Light"/>
                <w:color w:val="000000"/>
                <w:sz w:val="18"/>
                <w:szCs w:val="18"/>
                <w:lang w:val="es-CR" w:eastAsia="es-CR"/>
              </w:rPr>
            </w:pPr>
            <w:r w:rsidRPr="0023319B">
              <w:rPr>
                <w:rFonts w:ascii="Calibri Light" w:hAnsi="Calibri Light" w:cs="Calibri Light"/>
                <w:color w:val="000000"/>
                <w:sz w:val="18"/>
                <w:szCs w:val="18"/>
                <w:lang w:val="es-CR" w:eastAsia="es-CR"/>
              </w:rPr>
              <w:t xml:space="preserve">3 630 541 </w:t>
            </w:r>
          </w:p>
        </w:tc>
      </w:tr>
      <w:tr w:rsidR="00C04E40" w:rsidRPr="0023319B" w14:paraId="49B3C3B9" w14:textId="77777777" w:rsidTr="00BD2A28">
        <w:trPr>
          <w:trHeight w:val="274"/>
        </w:trPr>
        <w:tc>
          <w:tcPr>
            <w:tcW w:w="1192" w:type="dxa"/>
            <w:tcBorders>
              <w:top w:val="nil"/>
              <w:left w:val="single" w:sz="4" w:space="0" w:color="auto"/>
              <w:bottom w:val="single" w:sz="4" w:space="0" w:color="auto"/>
              <w:right w:val="single" w:sz="4" w:space="0" w:color="auto"/>
            </w:tcBorders>
            <w:shd w:val="clear" w:color="auto" w:fill="auto"/>
            <w:vAlign w:val="center"/>
            <w:hideMark/>
          </w:tcPr>
          <w:p w14:paraId="45544E99" w14:textId="77777777" w:rsidR="00C04E40" w:rsidRPr="0023319B" w:rsidRDefault="00C04E40" w:rsidP="00BD2A28">
            <w:pPr>
              <w:spacing w:line="240" w:lineRule="auto"/>
              <w:jc w:val="center"/>
              <w:rPr>
                <w:rFonts w:ascii="Calibri Light" w:hAnsi="Calibri Light" w:cs="Calibri Light"/>
                <w:color w:val="000000"/>
                <w:sz w:val="18"/>
                <w:szCs w:val="18"/>
                <w:lang w:val="es-CR" w:eastAsia="es-CR"/>
              </w:rPr>
            </w:pPr>
            <w:r w:rsidRPr="0023319B">
              <w:rPr>
                <w:rFonts w:ascii="Calibri Light" w:hAnsi="Calibri Light" w:cs="Calibri Light"/>
                <w:color w:val="000000"/>
                <w:sz w:val="18"/>
                <w:szCs w:val="18"/>
                <w:lang w:val="es-CR" w:eastAsia="es-CR"/>
              </w:rPr>
              <w:t>2</w:t>
            </w:r>
          </w:p>
        </w:tc>
        <w:tc>
          <w:tcPr>
            <w:tcW w:w="5324" w:type="dxa"/>
            <w:tcBorders>
              <w:top w:val="nil"/>
              <w:left w:val="nil"/>
              <w:bottom w:val="single" w:sz="4" w:space="0" w:color="auto"/>
              <w:right w:val="single" w:sz="4" w:space="0" w:color="auto"/>
            </w:tcBorders>
            <w:shd w:val="clear" w:color="auto" w:fill="auto"/>
            <w:vAlign w:val="center"/>
            <w:hideMark/>
          </w:tcPr>
          <w:p w14:paraId="4E580D89" w14:textId="77777777" w:rsidR="00C04E40" w:rsidRPr="0023319B" w:rsidRDefault="00C04E40" w:rsidP="00BD2A28">
            <w:pPr>
              <w:spacing w:line="240" w:lineRule="auto"/>
              <w:rPr>
                <w:rFonts w:ascii="Calibri Light" w:hAnsi="Calibri Light" w:cs="Calibri Light"/>
                <w:color w:val="000000"/>
                <w:sz w:val="18"/>
                <w:szCs w:val="18"/>
                <w:lang w:val="es-CR" w:eastAsia="es-CR"/>
              </w:rPr>
            </w:pPr>
            <w:r w:rsidRPr="0023319B">
              <w:rPr>
                <w:rFonts w:ascii="Calibri Light" w:hAnsi="Calibri Light" w:cs="Calibri Light"/>
                <w:color w:val="000000"/>
                <w:sz w:val="18"/>
                <w:szCs w:val="18"/>
                <w:lang w:val="es-CR" w:eastAsia="es-CR"/>
              </w:rPr>
              <w:t>Seminario taller: Evaluación y Gestión de Riesgo LAFT</w:t>
            </w:r>
          </w:p>
        </w:tc>
        <w:tc>
          <w:tcPr>
            <w:tcW w:w="1276" w:type="dxa"/>
            <w:tcBorders>
              <w:top w:val="nil"/>
              <w:left w:val="nil"/>
              <w:bottom w:val="single" w:sz="4" w:space="0" w:color="auto"/>
              <w:right w:val="single" w:sz="4" w:space="0" w:color="auto"/>
            </w:tcBorders>
            <w:shd w:val="clear" w:color="auto" w:fill="auto"/>
            <w:vAlign w:val="center"/>
            <w:hideMark/>
          </w:tcPr>
          <w:p w14:paraId="230C2553" w14:textId="77777777" w:rsidR="00C04E40" w:rsidRPr="0023319B" w:rsidRDefault="00C04E40" w:rsidP="00BD2A28">
            <w:pPr>
              <w:spacing w:line="240" w:lineRule="auto"/>
              <w:jc w:val="center"/>
              <w:rPr>
                <w:rFonts w:ascii="Calibri Light" w:hAnsi="Calibri Light" w:cs="Calibri Light"/>
                <w:color w:val="000000"/>
                <w:sz w:val="18"/>
                <w:szCs w:val="18"/>
                <w:lang w:val="es-CR" w:eastAsia="es-CR"/>
              </w:rPr>
            </w:pPr>
            <w:r w:rsidRPr="0023319B">
              <w:rPr>
                <w:rFonts w:ascii="Calibri Light" w:hAnsi="Calibri Light" w:cs="Calibri Light"/>
                <w:color w:val="000000"/>
                <w:sz w:val="18"/>
                <w:szCs w:val="18"/>
                <w:lang w:val="es-CR" w:eastAsia="es-CR"/>
              </w:rPr>
              <w:t>26-feb-2020</w:t>
            </w:r>
          </w:p>
        </w:tc>
        <w:tc>
          <w:tcPr>
            <w:tcW w:w="1418" w:type="dxa"/>
            <w:tcBorders>
              <w:top w:val="nil"/>
              <w:left w:val="nil"/>
              <w:bottom w:val="single" w:sz="4" w:space="0" w:color="auto"/>
              <w:right w:val="single" w:sz="4" w:space="0" w:color="auto"/>
            </w:tcBorders>
            <w:shd w:val="clear" w:color="auto" w:fill="auto"/>
            <w:noWrap/>
            <w:vAlign w:val="center"/>
            <w:hideMark/>
          </w:tcPr>
          <w:p w14:paraId="2400B1DA" w14:textId="662B2AAE" w:rsidR="00C04E40" w:rsidRPr="0023319B" w:rsidRDefault="00C04E40" w:rsidP="00BD2A28">
            <w:pPr>
              <w:spacing w:line="240" w:lineRule="auto"/>
              <w:jc w:val="right"/>
              <w:rPr>
                <w:rFonts w:ascii="Calibri Light" w:hAnsi="Calibri Light" w:cs="Calibri Light"/>
                <w:color w:val="000000"/>
                <w:sz w:val="18"/>
                <w:szCs w:val="18"/>
                <w:lang w:val="es-CR" w:eastAsia="es-CR"/>
              </w:rPr>
            </w:pPr>
            <w:r w:rsidRPr="0023319B">
              <w:rPr>
                <w:rFonts w:ascii="Calibri Light" w:hAnsi="Calibri Light" w:cs="Calibri Light"/>
                <w:color w:val="000000"/>
                <w:sz w:val="18"/>
                <w:szCs w:val="18"/>
                <w:lang w:val="es-CR" w:eastAsia="es-CR"/>
              </w:rPr>
              <w:t xml:space="preserve">332 107 </w:t>
            </w:r>
          </w:p>
        </w:tc>
      </w:tr>
      <w:tr w:rsidR="00C04E40" w:rsidRPr="0023319B" w14:paraId="2DE61835" w14:textId="77777777" w:rsidTr="00BD2A28">
        <w:trPr>
          <w:trHeight w:val="561"/>
        </w:trPr>
        <w:tc>
          <w:tcPr>
            <w:tcW w:w="1192" w:type="dxa"/>
            <w:tcBorders>
              <w:top w:val="nil"/>
              <w:left w:val="single" w:sz="4" w:space="0" w:color="auto"/>
              <w:bottom w:val="single" w:sz="4" w:space="0" w:color="auto"/>
              <w:right w:val="single" w:sz="4" w:space="0" w:color="auto"/>
            </w:tcBorders>
            <w:shd w:val="clear" w:color="auto" w:fill="auto"/>
            <w:vAlign w:val="center"/>
            <w:hideMark/>
          </w:tcPr>
          <w:p w14:paraId="10686DA5" w14:textId="77777777" w:rsidR="00C04E40" w:rsidRPr="0023319B" w:rsidRDefault="00C04E40" w:rsidP="00BD2A28">
            <w:pPr>
              <w:spacing w:line="240" w:lineRule="auto"/>
              <w:jc w:val="center"/>
              <w:rPr>
                <w:rFonts w:ascii="Calibri Light" w:hAnsi="Calibri Light" w:cs="Calibri Light"/>
                <w:color w:val="000000"/>
                <w:sz w:val="18"/>
                <w:szCs w:val="18"/>
                <w:lang w:val="es-CR" w:eastAsia="es-CR"/>
              </w:rPr>
            </w:pPr>
            <w:r w:rsidRPr="0023319B">
              <w:rPr>
                <w:rFonts w:ascii="Calibri Light" w:hAnsi="Calibri Light" w:cs="Calibri Light"/>
                <w:color w:val="000000"/>
                <w:sz w:val="18"/>
                <w:szCs w:val="18"/>
                <w:lang w:val="es-CR" w:eastAsia="es-CR"/>
              </w:rPr>
              <w:t>7</w:t>
            </w:r>
          </w:p>
        </w:tc>
        <w:tc>
          <w:tcPr>
            <w:tcW w:w="5324" w:type="dxa"/>
            <w:tcBorders>
              <w:top w:val="nil"/>
              <w:left w:val="nil"/>
              <w:bottom w:val="single" w:sz="4" w:space="0" w:color="auto"/>
              <w:right w:val="single" w:sz="4" w:space="0" w:color="auto"/>
            </w:tcBorders>
            <w:shd w:val="clear" w:color="auto" w:fill="auto"/>
            <w:vAlign w:val="center"/>
            <w:hideMark/>
          </w:tcPr>
          <w:p w14:paraId="114319D4" w14:textId="77777777" w:rsidR="00C04E40" w:rsidRPr="0023319B" w:rsidRDefault="00C04E40" w:rsidP="00BD2A28">
            <w:pPr>
              <w:spacing w:line="240" w:lineRule="auto"/>
              <w:rPr>
                <w:rFonts w:ascii="Calibri Light" w:hAnsi="Calibri Light" w:cs="Calibri Light"/>
                <w:color w:val="000000"/>
                <w:sz w:val="18"/>
                <w:szCs w:val="18"/>
                <w:lang w:val="es-CR" w:eastAsia="es-CR"/>
              </w:rPr>
            </w:pPr>
            <w:r w:rsidRPr="0023319B">
              <w:rPr>
                <w:rFonts w:ascii="Calibri Light" w:hAnsi="Calibri Light" w:cs="Calibri Light"/>
                <w:color w:val="000000"/>
                <w:sz w:val="18"/>
                <w:szCs w:val="18"/>
                <w:lang w:val="es-CR" w:eastAsia="es-CR"/>
              </w:rPr>
              <w:t>Seminario Responsabilidades del funcionario público frente a la corrupción, enfoque jurídico y jurisprudencial</w:t>
            </w:r>
          </w:p>
        </w:tc>
        <w:tc>
          <w:tcPr>
            <w:tcW w:w="1276" w:type="dxa"/>
            <w:tcBorders>
              <w:top w:val="nil"/>
              <w:left w:val="nil"/>
              <w:bottom w:val="single" w:sz="4" w:space="0" w:color="auto"/>
              <w:right w:val="single" w:sz="4" w:space="0" w:color="auto"/>
            </w:tcBorders>
            <w:shd w:val="clear" w:color="auto" w:fill="auto"/>
            <w:vAlign w:val="center"/>
            <w:hideMark/>
          </w:tcPr>
          <w:p w14:paraId="5642870C" w14:textId="77777777" w:rsidR="00C04E40" w:rsidRPr="0023319B" w:rsidRDefault="00C04E40" w:rsidP="00BD2A28">
            <w:pPr>
              <w:spacing w:line="240" w:lineRule="auto"/>
              <w:jc w:val="center"/>
              <w:rPr>
                <w:rFonts w:ascii="Calibri Light" w:hAnsi="Calibri Light" w:cs="Calibri Light"/>
                <w:color w:val="000000"/>
                <w:sz w:val="18"/>
                <w:szCs w:val="18"/>
                <w:lang w:val="es-CR" w:eastAsia="es-CR"/>
              </w:rPr>
            </w:pPr>
            <w:r w:rsidRPr="0023319B">
              <w:rPr>
                <w:rFonts w:ascii="Calibri Light" w:hAnsi="Calibri Light" w:cs="Calibri Light"/>
                <w:color w:val="000000"/>
                <w:sz w:val="18"/>
                <w:szCs w:val="18"/>
                <w:lang w:val="es-CR" w:eastAsia="es-CR"/>
              </w:rPr>
              <w:t>6-mar-2020</w:t>
            </w:r>
          </w:p>
        </w:tc>
        <w:tc>
          <w:tcPr>
            <w:tcW w:w="1418" w:type="dxa"/>
            <w:tcBorders>
              <w:top w:val="nil"/>
              <w:left w:val="nil"/>
              <w:bottom w:val="single" w:sz="4" w:space="0" w:color="auto"/>
              <w:right w:val="single" w:sz="4" w:space="0" w:color="auto"/>
            </w:tcBorders>
            <w:shd w:val="clear" w:color="auto" w:fill="auto"/>
            <w:noWrap/>
            <w:vAlign w:val="center"/>
            <w:hideMark/>
          </w:tcPr>
          <w:p w14:paraId="5143B791" w14:textId="14751B19" w:rsidR="00C04E40" w:rsidRPr="0023319B" w:rsidRDefault="00C04E40" w:rsidP="00BD2A28">
            <w:pPr>
              <w:spacing w:line="240" w:lineRule="auto"/>
              <w:jc w:val="right"/>
              <w:rPr>
                <w:rFonts w:ascii="Calibri Light" w:hAnsi="Calibri Light" w:cs="Calibri Light"/>
                <w:color w:val="000000"/>
                <w:sz w:val="18"/>
                <w:szCs w:val="18"/>
                <w:lang w:val="es-CR" w:eastAsia="es-CR"/>
              </w:rPr>
            </w:pPr>
            <w:r w:rsidRPr="0023319B">
              <w:rPr>
                <w:rFonts w:ascii="Calibri Light" w:hAnsi="Calibri Light" w:cs="Calibri Light"/>
                <w:color w:val="000000"/>
                <w:sz w:val="18"/>
                <w:szCs w:val="18"/>
                <w:lang w:val="es-CR" w:eastAsia="es-CR"/>
              </w:rPr>
              <w:t xml:space="preserve">1 428 278 </w:t>
            </w:r>
          </w:p>
        </w:tc>
      </w:tr>
      <w:tr w:rsidR="00C04E40" w:rsidRPr="0023319B" w14:paraId="1B11FD40" w14:textId="77777777" w:rsidTr="00BD2A28">
        <w:trPr>
          <w:trHeight w:val="310"/>
        </w:trPr>
        <w:tc>
          <w:tcPr>
            <w:tcW w:w="1192" w:type="dxa"/>
            <w:tcBorders>
              <w:top w:val="nil"/>
              <w:left w:val="single" w:sz="4" w:space="0" w:color="auto"/>
              <w:bottom w:val="single" w:sz="4" w:space="0" w:color="auto"/>
              <w:right w:val="single" w:sz="4" w:space="0" w:color="auto"/>
            </w:tcBorders>
            <w:shd w:val="clear" w:color="auto" w:fill="auto"/>
            <w:vAlign w:val="center"/>
            <w:hideMark/>
          </w:tcPr>
          <w:p w14:paraId="6F3B7D9F" w14:textId="77777777" w:rsidR="00C04E40" w:rsidRPr="0023319B" w:rsidRDefault="00C04E40" w:rsidP="00BD2A28">
            <w:pPr>
              <w:spacing w:line="240" w:lineRule="auto"/>
              <w:jc w:val="center"/>
              <w:rPr>
                <w:rFonts w:ascii="Calibri Light" w:hAnsi="Calibri Light" w:cs="Calibri Light"/>
                <w:color w:val="000000"/>
                <w:sz w:val="18"/>
                <w:szCs w:val="18"/>
                <w:lang w:val="es-CR" w:eastAsia="es-CR"/>
              </w:rPr>
            </w:pPr>
            <w:r w:rsidRPr="0023319B">
              <w:rPr>
                <w:rFonts w:ascii="Calibri Light" w:hAnsi="Calibri Light" w:cs="Calibri Light"/>
                <w:color w:val="000000"/>
                <w:sz w:val="18"/>
                <w:szCs w:val="18"/>
                <w:lang w:val="es-CR" w:eastAsia="es-CR"/>
              </w:rPr>
              <w:t>1</w:t>
            </w:r>
          </w:p>
        </w:tc>
        <w:tc>
          <w:tcPr>
            <w:tcW w:w="5324" w:type="dxa"/>
            <w:tcBorders>
              <w:top w:val="nil"/>
              <w:left w:val="nil"/>
              <w:bottom w:val="single" w:sz="4" w:space="0" w:color="auto"/>
              <w:right w:val="single" w:sz="4" w:space="0" w:color="auto"/>
            </w:tcBorders>
            <w:shd w:val="clear" w:color="auto" w:fill="auto"/>
            <w:vAlign w:val="center"/>
            <w:hideMark/>
          </w:tcPr>
          <w:p w14:paraId="584F2AD5" w14:textId="77777777" w:rsidR="00C04E40" w:rsidRPr="0023319B" w:rsidRDefault="00C04E40" w:rsidP="00BD2A28">
            <w:pPr>
              <w:spacing w:line="240" w:lineRule="auto"/>
              <w:rPr>
                <w:rFonts w:ascii="Calibri Light" w:hAnsi="Calibri Light" w:cs="Calibri Light"/>
                <w:color w:val="000000"/>
                <w:sz w:val="18"/>
                <w:szCs w:val="18"/>
                <w:lang w:val="es-CR" w:eastAsia="es-CR"/>
              </w:rPr>
            </w:pPr>
            <w:r w:rsidRPr="0023319B">
              <w:rPr>
                <w:rFonts w:ascii="Calibri Light" w:hAnsi="Calibri Light" w:cs="Calibri Light"/>
                <w:color w:val="000000"/>
                <w:sz w:val="18"/>
                <w:szCs w:val="18"/>
                <w:lang w:val="es-CR" w:eastAsia="es-CR"/>
              </w:rPr>
              <w:t>Programa técnico en riesgos (PTR).</w:t>
            </w:r>
          </w:p>
        </w:tc>
        <w:tc>
          <w:tcPr>
            <w:tcW w:w="1276" w:type="dxa"/>
            <w:tcBorders>
              <w:top w:val="nil"/>
              <w:left w:val="nil"/>
              <w:bottom w:val="single" w:sz="4" w:space="0" w:color="auto"/>
              <w:right w:val="single" w:sz="4" w:space="0" w:color="auto"/>
            </w:tcBorders>
            <w:shd w:val="clear" w:color="auto" w:fill="auto"/>
            <w:vAlign w:val="center"/>
            <w:hideMark/>
          </w:tcPr>
          <w:p w14:paraId="702B00C5" w14:textId="77777777" w:rsidR="00C04E40" w:rsidRPr="0023319B" w:rsidRDefault="00C04E40" w:rsidP="00BD2A28">
            <w:pPr>
              <w:spacing w:line="240" w:lineRule="auto"/>
              <w:jc w:val="center"/>
              <w:rPr>
                <w:rFonts w:ascii="Calibri Light" w:hAnsi="Calibri Light" w:cs="Calibri Light"/>
                <w:color w:val="000000"/>
                <w:sz w:val="18"/>
                <w:szCs w:val="18"/>
                <w:lang w:val="es-CR" w:eastAsia="es-CR"/>
              </w:rPr>
            </w:pPr>
            <w:r w:rsidRPr="0023319B">
              <w:rPr>
                <w:rFonts w:ascii="Calibri Light" w:hAnsi="Calibri Light" w:cs="Calibri Light"/>
                <w:color w:val="000000"/>
                <w:sz w:val="18"/>
                <w:szCs w:val="18"/>
                <w:lang w:val="es-CR" w:eastAsia="es-CR"/>
              </w:rPr>
              <w:t>18-oct-2019</w:t>
            </w:r>
          </w:p>
        </w:tc>
        <w:tc>
          <w:tcPr>
            <w:tcW w:w="1418" w:type="dxa"/>
            <w:tcBorders>
              <w:top w:val="nil"/>
              <w:left w:val="nil"/>
              <w:bottom w:val="single" w:sz="4" w:space="0" w:color="auto"/>
              <w:right w:val="single" w:sz="4" w:space="0" w:color="auto"/>
            </w:tcBorders>
            <w:shd w:val="clear" w:color="auto" w:fill="auto"/>
            <w:noWrap/>
            <w:vAlign w:val="center"/>
            <w:hideMark/>
          </w:tcPr>
          <w:p w14:paraId="3CC98C23" w14:textId="21115411" w:rsidR="00C04E40" w:rsidRPr="0023319B" w:rsidRDefault="00C04E40" w:rsidP="00BD2A28">
            <w:pPr>
              <w:spacing w:line="240" w:lineRule="auto"/>
              <w:jc w:val="right"/>
              <w:rPr>
                <w:rFonts w:ascii="Calibri Light" w:hAnsi="Calibri Light" w:cs="Calibri Light"/>
                <w:color w:val="000000"/>
                <w:sz w:val="18"/>
                <w:szCs w:val="18"/>
                <w:lang w:val="es-CR" w:eastAsia="es-CR"/>
              </w:rPr>
            </w:pPr>
            <w:r w:rsidRPr="0023319B">
              <w:rPr>
                <w:rFonts w:ascii="Calibri Light" w:hAnsi="Calibri Light" w:cs="Calibri Light"/>
                <w:color w:val="000000"/>
                <w:sz w:val="18"/>
                <w:szCs w:val="18"/>
                <w:lang w:val="es-CR" w:eastAsia="es-CR"/>
              </w:rPr>
              <w:t xml:space="preserve">938 400 </w:t>
            </w:r>
          </w:p>
        </w:tc>
      </w:tr>
      <w:tr w:rsidR="00C04E40" w:rsidRPr="0023319B" w14:paraId="316DF59D" w14:textId="77777777" w:rsidTr="00BD2A28">
        <w:trPr>
          <w:trHeight w:val="514"/>
        </w:trPr>
        <w:tc>
          <w:tcPr>
            <w:tcW w:w="1192" w:type="dxa"/>
            <w:tcBorders>
              <w:top w:val="nil"/>
              <w:left w:val="single" w:sz="4" w:space="0" w:color="auto"/>
              <w:bottom w:val="single" w:sz="4" w:space="0" w:color="auto"/>
              <w:right w:val="single" w:sz="4" w:space="0" w:color="auto"/>
            </w:tcBorders>
            <w:shd w:val="clear" w:color="auto" w:fill="auto"/>
            <w:vAlign w:val="center"/>
            <w:hideMark/>
          </w:tcPr>
          <w:p w14:paraId="1C2D2E42" w14:textId="77777777" w:rsidR="00C04E40" w:rsidRPr="0023319B" w:rsidRDefault="00C04E40" w:rsidP="00BD2A28">
            <w:pPr>
              <w:spacing w:line="240" w:lineRule="auto"/>
              <w:jc w:val="center"/>
              <w:rPr>
                <w:rFonts w:ascii="Calibri Light" w:hAnsi="Calibri Light" w:cs="Calibri Light"/>
                <w:color w:val="000000"/>
                <w:sz w:val="18"/>
                <w:szCs w:val="18"/>
                <w:lang w:val="es-CR" w:eastAsia="es-CR"/>
              </w:rPr>
            </w:pPr>
            <w:r w:rsidRPr="0023319B">
              <w:rPr>
                <w:rFonts w:ascii="Calibri Light" w:hAnsi="Calibri Light" w:cs="Calibri Light"/>
                <w:color w:val="000000"/>
                <w:sz w:val="18"/>
                <w:szCs w:val="18"/>
                <w:lang w:val="es-CR" w:eastAsia="es-CR"/>
              </w:rPr>
              <w:t>8</w:t>
            </w:r>
          </w:p>
        </w:tc>
        <w:tc>
          <w:tcPr>
            <w:tcW w:w="5324" w:type="dxa"/>
            <w:tcBorders>
              <w:top w:val="nil"/>
              <w:left w:val="nil"/>
              <w:bottom w:val="single" w:sz="4" w:space="0" w:color="auto"/>
              <w:right w:val="single" w:sz="4" w:space="0" w:color="auto"/>
            </w:tcBorders>
            <w:shd w:val="clear" w:color="auto" w:fill="auto"/>
            <w:vAlign w:val="center"/>
            <w:hideMark/>
          </w:tcPr>
          <w:p w14:paraId="0C5461B0" w14:textId="77777777" w:rsidR="00C04E40" w:rsidRPr="0023319B" w:rsidRDefault="00C04E40" w:rsidP="00BD2A28">
            <w:pPr>
              <w:spacing w:line="240" w:lineRule="auto"/>
              <w:rPr>
                <w:rFonts w:ascii="Calibri Light" w:hAnsi="Calibri Light" w:cs="Calibri Light"/>
                <w:color w:val="000000"/>
                <w:sz w:val="18"/>
                <w:szCs w:val="18"/>
                <w:lang w:val="es-CR" w:eastAsia="es-CR"/>
              </w:rPr>
            </w:pPr>
            <w:r w:rsidRPr="0023319B">
              <w:rPr>
                <w:rFonts w:ascii="Calibri Light" w:hAnsi="Calibri Light" w:cs="Calibri Light"/>
                <w:color w:val="000000"/>
                <w:sz w:val="18"/>
                <w:szCs w:val="18"/>
                <w:lang w:val="es-CR" w:eastAsia="es-CR"/>
              </w:rPr>
              <w:t>Seminario Calidad en la comunicación y mejora continua del desempeño laboral</w:t>
            </w:r>
          </w:p>
        </w:tc>
        <w:tc>
          <w:tcPr>
            <w:tcW w:w="1276" w:type="dxa"/>
            <w:tcBorders>
              <w:top w:val="nil"/>
              <w:left w:val="nil"/>
              <w:bottom w:val="single" w:sz="4" w:space="0" w:color="auto"/>
              <w:right w:val="single" w:sz="4" w:space="0" w:color="auto"/>
            </w:tcBorders>
            <w:shd w:val="clear" w:color="auto" w:fill="auto"/>
            <w:vAlign w:val="center"/>
            <w:hideMark/>
          </w:tcPr>
          <w:p w14:paraId="1C3449E6" w14:textId="77777777" w:rsidR="00C04E40" w:rsidRPr="0023319B" w:rsidRDefault="00C04E40" w:rsidP="00BD2A28">
            <w:pPr>
              <w:spacing w:line="240" w:lineRule="auto"/>
              <w:jc w:val="center"/>
              <w:rPr>
                <w:rFonts w:ascii="Calibri Light" w:hAnsi="Calibri Light" w:cs="Calibri Light"/>
                <w:color w:val="000000"/>
                <w:sz w:val="18"/>
                <w:szCs w:val="18"/>
                <w:lang w:val="es-CR" w:eastAsia="es-CR"/>
              </w:rPr>
            </w:pPr>
            <w:r w:rsidRPr="0023319B">
              <w:rPr>
                <w:rFonts w:ascii="Calibri Light" w:hAnsi="Calibri Light" w:cs="Calibri Light"/>
                <w:color w:val="000000"/>
                <w:sz w:val="18"/>
                <w:szCs w:val="18"/>
                <w:lang w:val="es-CR" w:eastAsia="es-CR"/>
              </w:rPr>
              <w:t>18-mar-2020</w:t>
            </w:r>
          </w:p>
        </w:tc>
        <w:tc>
          <w:tcPr>
            <w:tcW w:w="1418" w:type="dxa"/>
            <w:tcBorders>
              <w:top w:val="nil"/>
              <w:left w:val="nil"/>
              <w:bottom w:val="single" w:sz="4" w:space="0" w:color="auto"/>
              <w:right w:val="single" w:sz="4" w:space="0" w:color="auto"/>
            </w:tcBorders>
            <w:shd w:val="clear" w:color="auto" w:fill="auto"/>
            <w:noWrap/>
            <w:vAlign w:val="center"/>
            <w:hideMark/>
          </w:tcPr>
          <w:p w14:paraId="1D03AF6F" w14:textId="30D2D782" w:rsidR="00C04E40" w:rsidRPr="0023319B" w:rsidRDefault="00C04E40" w:rsidP="00BD2A28">
            <w:pPr>
              <w:spacing w:line="240" w:lineRule="auto"/>
              <w:jc w:val="right"/>
              <w:rPr>
                <w:rFonts w:ascii="Calibri Light" w:hAnsi="Calibri Light" w:cs="Calibri Light"/>
                <w:color w:val="000000"/>
                <w:sz w:val="18"/>
                <w:szCs w:val="18"/>
                <w:lang w:val="es-CR" w:eastAsia="es-CR"/>
              </w:rPr>
            </w:pPr>
            <w:r w:rsidRPr="0023319B">
              <w:rPr>
                <w:rFonts w:ascii="Calibri Light" w:hAnsi="Calibri Light" w:cs="Calibri Light"/>
                <w:color w:val="000000"/>
                <w:sz w:val="18"/>
                <w:szCs w:val="18"/>
                <w:lang w:val="es-CR" w:eastAsia="es-CR"/>
              </w:rPr>
              <w:t xml:space="preserve">689 520 </w:t>
            </w:r>
          </w:p>
        </w:tc>
      </w:tr>
      <w:tr w:rsidR="00C04E40" w:rsidRPr="0023319B" w14:paraId="7BB7B7CA" w14:textId="77777777" w:rsidTr="00BD2A28">
        <w:trPr>
          <w:trHeight w:val="598"/>
        </w:trPr>
        <w:tc>
          <w:tcPr>
            <w:tcW w:w="1192" w:type="dxa"/>
            <w:tcBorders>
              <w:top w:val="nil"/>
              <w:left w:val="single" w:sz="4" w:space="0" w:color="auto"/>
              <w:bottom w:val="single" w:sz="4" w:space="0" w:color="auto"/>
              <w:right w:val="single" w:sz="4" w:space="0" w:color="auto"/>
            </w:tcBorders>
            <w:shd w:val="clear" w:color="auto" w:fill="auto"/>
            <w:vAlign w:val="center"/>
            <w:hideMark/>
          </w:tcPr>
          <w:p w14:paraId="62745C07" w14:textId="77777777" w:rsidR="00C04E40" w:rsidRPr="0023319B" w:rsidRDefault="00C04E40" w:rsidP="00BD2A28">
            <w:pPr>
              <w:spacing w:line="240" w:lineRule="auto"/>
              <w:jc w:val="center"/>
              <w:rPr>
                <w:rFonts w:ascii="Calibri Light" w:hAnsi="Calibri Light" w:cs="Calibri Light"/>
                <w:color w:val="000000"/>
                <w:sz w:val="18"/>
                <w:szCs w:val="18"/>
                <w:lang w:val="es-CR" w:eastAsia="es-CR"/>
              </w:rPr>
            </w:pPr>
            <w:r w:rsidRPr="0023319B">
              <w:rPr>
                <w:rFonts w:ascii="Calibri Light" w:hAnsi="Calibri Light" w:cs="Calibri Light"/>
                <w:color w:val="000000"/>
                <w:sz w:val="18"/>
                <w:szCs w:val="18"/>
                <w:lang w:val="es-CR" w:eastAsia="es-CR"/>
              </w:rPr>
              <w:t>15</w:t>
            </w:r>
          </w:p>
        </w:tc>
        <w:tc>
          <w:tcPr>
            <w:tcW w:w="5324" w:type="dxa"/>
            <w:tcBorders>
              <w:top w:val="nil"/>
              <w:left w:val="nil"/>
              <w:bottom w:val="single" w:sz="4" w:space="0" w:color="auto"/>
              <w:right w:val="single" w:sz="4" w:space="0" w:color="auto"/>
            </w:tcBorders>
            <w:shd w:val="clear" w:color="auto" w:fill="auto"/>
            <w:vAlign w:val="center"/>
            <w:hideMark/>
          </w:tcPr>
          <w:p w14:paraId="24FB6A23" w14:textId="77777777" w:rsidR="00C04E40" w:rsidRPr="0023319B" w:rsidRDefault="00C04E40" w:rsidP="00BD2A28">
            <w:pPr>
              <w:spacing w:line="240" w:lineRule="auto"/>
              <w:rPr>
                <w:rFonts w:ascii="Calibri Light" w:hAnsi="Calibri Light" w:cs="Calibri Light"/>
                <w:color w:val="000000"/>
                <w:sz w:val="18"/>
                <w:szCs w:val="18"/>
                <w:lang w:val="es-CR" w:eastAsia="es-CR"/>
              </w:rPr>
            </w:pPr>
            <w:r w:rsidRPr="0023319B">
              <w:rPr>
                <w:rFonts w:ascii="Calibri Light" w:hAnsi="Calibri Light" w:cs="Calibri Light"/>
                <w:color w:val="000000"/>
                <w:sz w:val="18"/>
                <w:szCs w:val="18"/>
                <w:lang w:val="es-CR" w:eastAsia="es-CR"/>
              </w:rPr>
              <w:t>Curso en línea Aprender haciendo: ciencia de datos con R "Productividad y análisis de datos con R"</w:t>
            </w:r>
          </w:p>
        </w:tc>
        <w:tc>
          <w:tcPr>
            <w:tcW w:w="1276" w:type="dxa"/>
            <w:tcBorders>
              <w:top w:val="nil"/>
              <w:left w:val="nil"/>
              <w:bottom w:val="single" w:sz="4" w:space="0" w:color="auto"/>
              <w:right w:val="single" w:sz="4" w:space="0" w:color="auto"/>
            </w:tcBorders>
            <w:shd w:val="clear" w:color="auto" w:fill="auto"/>
            <w:vAlign w:val="center"/>
            <w:hideMark/>
          </w:tcPr>
          <w:p w14:paraId="5C238247" w14:textId="77777777" w:rsidR="00C04E40" w:rsidRPr="0023319B" w:rsidRDefault="00C04E40" w:rsidP="00BD2A28">
            <w:pPr>
              <w:spacing w:line="240" w:lineRule="auto"/>
              <w:jc w:val="center"/>
              <w:rPr>
                <w:rFonts w:ascii="Calibri Light" w:hAnsi="Calibri Light" w:cs="Calibri Light"/>
                <w:color w:val="000000"/>
                <w:sz w:val="18"/>
                <w:szCs w:val="18"/>
                <w:lang w:val="es-CR" w:eastAsia="es-CR"/>
              </w:rPr>
            </w:pPr>
            <w:r w:rsidRPr="0023319B">
              <w:rPr>
                <w:rFonts w:ascii="Calibri Light" w:hAnsi="Calibri Light" w:cs="Calibri Light"/>
                <w:color w:val="000000"/>
                <w:sz w:val="18"/>
                <w:szCs w:val="18"/>
                <w:lang w:val="es-CR" w:eastAsia="es-CR"/>
              </w:rPr>
              <w:t>23-jun-2020</w:t>
            </w:r>
          </w:p>
        </w:tc>
        <w:tc>
          <w:tcPr>
            <w:tcW w:w="1418" w:type="dxa"/>
            <w:tcBorders>
              <w:top w:val="nil"/>
              <w:left w:val="nil"/>
              <w:bottom w:val="single" w:sz="4" w:space="0" w:color="auto"/>
              <w:right w:val="single" w:sz="4" w:space="0" w:color="auto"/>
            </w:tcBorders>
            <w:shd w:val="clear" w:color="auto" w:fill="auto"/>
            <w:noWrap/>
            <w:vAlign w:val="center"/>
            <w:hideMark/>
          </w:tcPr>
          <w:p w14:paraId="5949B528" w14:textId="6B9D51E4" w:rsidR="00C04E40" w:rsidRPr="0023319B" w:rsidRDefault="00C04E40" w:rsidP="00BD2A28">
            <w:pPr>
              <w:spacing w:line="240" w:lineRule="auto"/>
              <w:jc w:val="right"/>
              <w:rPr>
                <w:rFonts w:ascii="Calibri Light" w:hAnsi="Calibri Light" w:cs="Calibri Light"/>
                <w:color w:val="000000"/>
                <w:sz w:val="18"/>
                <w:szCs w:val="18"/>
                <w:lang w:val="es-CR" w:eastAsia="es-CR"/>
              </w:rPr>
            </w:pPr>
            <w:r w:rsidRPr="0023319B">
              <w:rPr>
                <w:rFonts w:ascii="Calibri Light" w:hAnsi="Calibri Light" w:cs="Calibri Light"/>
                <w:color w:val="000000"/>
                <w:sz w:val="18"/>
                <w:szCs w:val="18"/>
                <w:lang w:val="es-CR" w:eastAsia="es-CR"/>
              </w:rPr>
              <w:t xml:space="preserve">4 739 521 </w:t>
            </w:r>
          </w:p>
        </w:tc>
      </w:tr>
      <w:tr w:rsidR="00C04E40" w:rsidRPr="0023319B" w14:paraId="6AB6D1F7" w14:textId="77777777" w:rsidTr="00BD2A28">
        <w:trPr>
          <w:trHeight w:val="515"/>
        </w:trPr>
        <w:tc>
          <w:tcPr>
            <w:tcW w:w="1192" w:type="dxa"/>
            <w:tcBorders>
              <w:top w:val="nil"/>
              <w:left w:val="single" w:sz="4" w:space="0" w:color="auto"/>
              <w:bottom w:val="single" w:sz="4" w:space="0" w:color="auto"/>
              <w:right w:val="single" w:sz="4" w:space="0" w:color="auto"/>
            </w:tcBorders>
            <w:shd w:val="clear" w:color="auto" w:fill="auto"/>
            <w:vAlign w:val="center"/>
            <w:hideMark/>
          </w:tcPr>
          <w:p w14:paraId="5212AEAD" w14:textId="77777777" w:rsidR="00C04E40" w:rsidRPr="0023319B" w:rsidRDefault="00C04E40" w:rsidP="00BD2A28">
            <w:pPr>
              <w:spacing w:line="240" w:lineRule="auto"/>
              <w:jc w:val="center"/>
              <w:rPr>
                <w:rFonts w:ascii="Calibri Light" w:hAnsi="Calibri Light" w:cs="Calibri Light"/>
                <w:color w:val="000000"/>
                <w:sz w:val="18"/>
                <w:szCs w:val="18"/>
                <w:lang w:val="es-CR" w:eastAsia="es-CR"/>
              </w:rPr>
            </w:pPr>
            <w:r w:rsidRPr="0023319B">
              <w:rPr>
                <w:rFonts w:ascii="Calibri Light" w:hAnsi="Calibri Light" w:cs="Calibri Light"/>
                <w:color w:val="000000"/>
                <w:sz w:val="18"/>
                <w:szCs w:val="18"/>
                <w:lang w:val="es-CR" w:eastAsia="es-CR"/>
              </w:rPr>
              <w:t>3</w:t>
            </w:r>
          </w:p>
        </w:tc>
        <w:tc>
          <w:tcPr>
            <w:tcW w:w="5324" w:type="dxa"/>
            <w:tcBorders>
              <w:top w:val="nil"/>
              <w:left w:val="nil"/>
              <w:bottom w:val="single" w:sz="4" w:space="0" w:color="auto"/>
              <w:right w:val="single" w:sz="4" w:space="0" w:color="auto"/>
            </w:tcBorders>
            <w:shd w:val="clear" w:color="auto" w:fill="auto"/>
            <w:vAlign w:val="center"/>
            <w:hideMark/>
          </w:tcPr>
          <w:p w14:paraId="31C40B13" w14:textId="77777777" w:rsidR="00C04E40" w:rsidRPr="0023319B" w:rsidRDefault="00C04E40" w:rsidP="00BD2A28">
            <w:pPr>
              <w:spacing w:line="240" w:lineRule="auto"/>
              <w:rPr>
                <w:rFonts w:ascii="Calibri Light" w:hAnsi="Calibri Light" w:cs="Calibri Light"/>
                <w:color w:val="000000"/>
                <w:sz w:val="18"/>
                <w:szCs w:val="18"/>
                <w:lang w:val="es-CR" w:eastAsia="es-CR"/>
              </w:rPr>
            </w:pPr>
            <w:r w:rsidRPr="0023319B">
              <w:rPr>
                <w:rFonts w:ascii="Calibri Light" w:hAnsi="Calibri Light" w:cs="Calibri Light"/>
                <w:color w:val="000000"/>
                <w:sz w:val="18"/>
                <w:szCs w:val="18"/>
                <w:lang w:val="es-CR" w:eastAsia="es-CR"/>
              </w:rPr>
              <w:t>Curso General sobre el Código Procesal Contencioso Administrativo</w:t>
            </w:r>
          </w:p>
        </w:tc>
        <w:tc>
          <w:tcPr>
            <w:tcW w:w="1276" w:type="dxa"/>
            <w:tcBorders>
              <w:top w:val="nil"/>
              <w:left w:val="nil"/>
              <w:bottom w:val="single" w:sz="4" w:space="0" w:color="auto"/>
              <w:right w:val="single" w:sz="4" w:space="0" w:color="auto"/>
            </w:tcBorders>
            <w:shd w:val="clear" w:color="auto" w:fill="auto"/>
            <w:vAlign w:val="center"/>
            <w:hideMark/>
          </w:tcPr>
          <w:p w14:paraId="48E9A4C7" w14:textId="77777777" w:rsidR="00C04E40" w:rsidRPr="0023319B" w:rsidRDefault="00C04E40" w:rsidP="00BD2A28">
            <w:pPr>
              <w:spacing w:line="240" w:lineRule="auto"/>
              <w:jc w:val="center"/>
              <w:rPr>
                <w:rFonts w:ascii="Calibri Light" w:hAnsi="Calibri Light" w:cs="Calibri Light"/>
                <w:color w:val="000000"/>
                <w:sz w:val="18"/>
                <w:szCs w:val="18"/>
                <w:lang w:val="es-CR" w:eastAsia="es-CR"/>
              </w:rPr>
            </w:pPr>
            <w:r w:rsidRPr="0023319B">
              <w:rPr>
                <w:rFonts w:ascii="Calibri Light" w:hAnsi="Calibri Light" w:cs="Calibri Light"/>
                <w:color w:val="000000"/>
                <w:sz w:val="18"/>
                <w:szCs w:val="18"/>
                <w:lang w:val="es-CR" w:eastAsia="es-CR"/>
              </w:rPr>
              <w:t>21-may-2020</w:t>
            </w:r>
          </w:p>
        </w:tc>
        <w:tc>
          <w:tcPr>
            <w:tcW w:w="1418" w:type="dxa"/>
            <w:tcBorders>
              <w:top w:val="nil"/>
              <w:left w:val="nil"/>
              <w:bottom w:val="single" w:sz="4" w:space="0" w:color="auto"/>
              <w:right w:val="single" w:sz="4" w:space="0" w:color="auto"/>
            </w:tcBorders>
            <w:shd w:val="clear" w:color="auto" w:fill="auto"/>
            <w:noWrap/>
            <w:vAlign w:val="center"/>
            <w:hideMark/>
          </w:tcPr>
          <w:p w14:paraId="46634E12" w14:textId="23A26D12" w:rsidR="00C04E40" w:rsidRPr="0023319B" w:rsidRDefault="00C04E40" w:rsidP="00BD2A28">
            <w:pPr>
              <w:spacing w:line="240" w:lineRule="auto"/>
              <w:jc w:val="right"/>
              <w:rPr>
                <w:rFonts w:ascii="Calibri Light" w:hAnsi="Calibri Light" w:cs="Calibri Light"/>
                <w:color w:val="000000"/>
                <w:sz w:val="18"/>
                <w:szCs w:val="18"/>
                <w:lang w:val="es-CR" w:eastAsia="es-CR"/>
              </w:rPr>
            </w:pPr>
            <w:r w:rsidRPr="0023319B">
              <w:rPr>
                <w:rFonts w:ascii="Calibri Light" w:hAnsi="Calibri Light" w:cs="Calibri Light"/>
                <w:color w:val="000000"/>
                <w:sz w:val="18"/>
                <w:szCs w:val="18"/>
                <w:lang w:val="es-CR" w:eastAsia="es-CR"/>
              </w:rPr>
              <w:t xml:space="preserve">232 560 </w:t>
            </w:r>
          </w:p>
        </w:tc>
      </w:tr>
      <w:tr w:rsidR="00C04E40" w:rsidRPr="0023319B" w14:paraId="09D00098" w14:textId="77777777" w:rsidTr="00BD2A28">
        <w:trPr>
          <w:trHeight w:val="424"/>
        </w:trPr>
        <w:tc>
          <w:tcPr>
            <w:tcW w:w="1192" w:type="dxa"/>
            <w:tcBorders>
              <w:top w:val="nil"/>
              <w:left w:val="single" w:sz="4" w:space="0" w:color="auto"/>
              <w:bottom w:val="single" w:sz="4" w:space="0" w:color="auto"/>
              <w:right w:val="single" w:sz="4" w:space="0" w:color="auto"/>
            </w:tcBorders>
            <w:shd w:val="clear" w:color="auto" w:fill="auto"/>
            <w:vAlign w:val="center"/>
            <w:hideMark/>
          </w:tcPr>
          <w:p w14:paraId="02A1F13D" w14:textId="77777777" w:rsidR="00C04E40" w:rsidRPr="0023319B" w:rsidRDefault="00C04E40" w:rsidP="00BD2A28">
            <w:pPr>
              <w:spacing w:line="240" w:lineRule="auto"/>
              <w:jc w:val="center"/>
              <w:rPr>
                <w:rFonts w:ascii="Calibri Light" w:hAnsi="Calibri Light" w:cs="Calibri Light"/>
                <w:color w:val="000000"/>
                <w:sz w:val="18"/>
                <w:szCs w:val="18"/>
                <w:lang w:val="es-CR" w:eastAsia="es-CR"/>
              </w:rPr>
            </w:pPr>
            <w:r w:rsidRPr="0023319B">
              <w:rPr>
                <w:rFonts w:ascii="Calibri Light" w:hAnsi="Calibri Light" w:cs="Calibri Light"/>
                <w:color w:val="000000"/>
                <w:sz w:val="18"/>
                <w:szCs w:val="18"/>
                <w:lang w:val="es-CR" w:eastAsia="es-CR"/>
              </w:rPr>
              <w:t>1</w:t>
            </w:r>
          </w:p>
        </w:tc>
        <w:tc>
          <w:tcPr>
            <w:tcW w:w="5324" w:type="dxa"/>
            <w:tcBorders>
              <w:top w:val="nil"/>
              <w:left w:val="nil"/>
              <w:bottom w:val="single" w:sz="4" w:space="0" w:color="auto"/>
              <w:right w:val="single" w:sz="4" w:space="0" w:color="auto"/>
            </w:tcBorders>
            <w:shd w:val="clear" w:color="auto" w:fill="auto"/>
            <w:vAlign w:val="center"/>
            <w:hideMark/>
          </w:tcPr>
          <w:p w14:paraId="19B051FB" w14:textId="41A253F7" w:rsidR="00C04E40" w:rsidRPr="0023319B" w:rsidRDefault="00C04E40" w:rsidP="00BD2A28">
            <w:pPr>
              <w:spacing w:line="240" w:lineRule="auto"/>
              <w:rPr>
                <w:rFonts w:ascii="Calibri Light" w:hAnsi="Calibri Light" w:cs="Calibri Light"/>
                <w:color w:val="000000"/>
                <w:sz w:val="18"/>
                <w:szCs w:val="18"/>
                <w:lang w:val="es-CR" w:eastAsia="es-CR"/>
              </w:rPr>
            </w:pPr>
            <w:r w:rsidRPr="0023319B">
              <w:rPr>
                <w:rFonts w:ascii="Calibri Light" w:hAnsi="Calibri Light" w:cs="Calibri Light"/>
                <w:color w:val="000000"/>
                <w:sz w:val="18"/>
                <w:szCs w:val="18"/>
                <w:lang w:val="es-CR" w:eastAsia="es-CR"/>
              </w:rPr>
              <w:t xml:space="preserve">Curso </w:t>
            </w:r>
            <w:r w:rsidR="00BD2A28" w:rsidRPr="0023319B">
              <w:rPr>
                <w:rFonts w:ascii="Calibri Light" w:hAnsi="Calibri Light" w:cs="Calibri Light"/>
                <w:color w:val="000000"/>
                <w:sz w:val="18"/>
                <w:szCs w:val="18"/>
                <w:lang w:val="es-CR" w:eastAsia="es-CR"/>
              </w:rPr>
              <w:t xml:space="preserve">en </w:t>
            </w:r>
            <w:r w:rsidRPr="0023319B">
              <w:rPr>
                <w:rFonts w:ascii="Calibri Light" w:hAnsi="Calibri Light" w:cs="Calibri Light"/>
                <w:color w:val="000000"/>
                <w:sz w:val="18"/>
                <w:szCs w:val="18"/>
                <w:lang w:val="es-CR" w:eastAsia="es-CR"/>
              </w:rPr>
              <w:t>l</w:t>
            </w:r>
            <w:r w:rsidR="00BD2A28" w:rsidRPr="0023319B">
              <w:rPr>
                <w:rFonts w:ascii="Calibri Light" w:hAnsi="Calibri Light" w:cs="Calibri Light"/>
                <w:color w:val="000000"/>
                <w:sz w:val="18"/>
                <w:szCs w:val="18"/>
                <w:lang w:val="es-CR" w:eastAsia="es-CR"/>
              </w:rPr>
              <w:t>í</w:t>
            </w:r>
            <w:r w:rsidRPr="0023319B">
              <w:rPr>
                <w:rFonts w:ascii="Calibri Light" w:hAnsi="Calibri Light" w:cs="Calibri Light"/>
                <w:color w:val="000000"/>
                <w:sz w:val="18"/>
                <w:szCs w:val="18"/>
                <w:lang w:val="es-CR" w:eastAsia="es-CR"/>
              </w:rPr>
              <w:t>nea Fundamentos del SCRUM para la gestión de proyectos Ágiles</w:t>
            </w:r>
          </w:p>
        </w:tc>
        <w:tc>
          <w:tcPr>
            <w:tcW w:w="1276" w:type="dxa"/>
            <w:tcBorders>
              <w:top w:val="nil"/>
              <w:left w:val="nil"/>
              <w:bottom w:val="single" w:sz="4" w:space="0" w:color="auto"/>
              <w:right w:val="single" w:sz="4" w:space="0" w:color="auto"/>
            </w:tcBorders>
            <w:shd w:val="clear" w:color="auto" w:fill="auto"/>
            <w:vAlign w:val="center"/>
            <w:hideMark/>
          </w:tcPr>
          <w:p w14:paraId="1C45D318" w14:textId="77777777" w:rsidR="00C04E40" w:rsidRPr="0023319B" w:rsidRDefault="00C04E40" w:rsidP="00BD2A28">
            <w:pPr>
              <w:spacing w:line="240" w:lineRule="auto"/>
              <w:jc w:val="center"/>
              <w:rPr>
                <w:rFonts w:ascii="Calibri Light" w:hAnsi="Calibri Light" w:cs="Calibri Light"/>
                <w:color w:val="000000"/>
                <w:sz w:val="18"/>
                <w:szCs w:val="18"/>
                <w:lang w:val="es-CR" w:eastAsia="es-CR"/>
              </w:rPr>
            </w:pPr>
            <w:r w:rsidRPr="0023319B">
              <w:rPr>
                <w:rFonts w:ascii="Calibri Light" w:hAnsi="Calibri Light" w:cs="Calibri Light"/>
                <w:color w:val="000000"/>
                <w:sz w:val="18"/>
                <w:szCs w:val="18"/>
                <w:lang w:val="es-CR" w:eastAsia="es-CR"/>
              </w:rPr>
              <w:t>1-jul-2020</w:t>
            </w:r>
          </w:p>
        </w:tc>
        <w:tc>
          <w:tcPr>
            <w:tcW w:w="1418" w:type="dxa"/>
            <w:tcBorders>
              <w:top w:val="nil"/>
              <w:left w:val="nil"/>
              <w:bottom w:val="single" w:sz="4" w:space="0" w:color="auto"/>
              <w:right w:val="single" w:sz="4" w:space="0" w:color="auto"/>
            </w:tcBorders>
            <w:shd w:val="clear" w:color="auto" w:fill="auto"/>
            <w:noWrap/>
            <w:vAlign w:val="center"/>
            <w:hideMark/>
          </w:tcPr>
          <w:p w14:paraId="3DC00015" w14:textId="293F1306" w:rsidR="00C04E40" w:rsidRPr="0023319B" w:rsidRDefault="00C04E40" w:rsidP="00BD2A28">
            <w:pPr>
              <w:spacing w:line="240" w:lineRule="auto"/>
              <w:jc w:val="right"/>
              <w:rPr>
                <w:rFonts w:ascii="Calibri Light" w:hAnsi="Calibri Light" w:cs="Calibri Light"/>
                <w:color w:val="000000"/>
                <w:sz w:val="18"/>
                <w:szCs w:val="18"/>
                <w:lang w:val="es-CR" w:eastAsia="es-CR"/>
              </w:rPr>
            </w:pPr>
            <w:r w:rsidRPr="0023319B">
              <w:rPr>
                <w:rFonts w:ascii="Calibri Light" w:hAnsi="Calibri Light" w:cs="Calibri Light"/>
                <w:color w:val="000000"/>
                <w:sz w:val="18"/>
                <w:szCs w:val="18"/>
                <w:lang w:val="es-CR" w:eastAsia="es-CR"/>
              </w:rPr>
              <w:t xml:space="preserve">400 092 </w:t>
            </w:r>
          </w:p>
        </w:tc>
      </w:tr>
      <w:tr w:rsidR="00C04E40" w:rsidRPr="0023319B" w14:paraId="0C1599B4" w14:textId="77777777" w:rsidTr="00BD2A28">
        <w:trPr>
          <w:trHeight w:val="310"/>
        </w:trPr>
        <w:tc>
          <w:tcPr>
            <w:tcW w:w="1192" w:type="dxa"/>
            <w:tcBorders>
              <w:top w:val="nil"/>
              <w:left w:val="single" w:sz="4" w:space="0" w:color="auto"/>
              <w:bottom w:val="single" w:sz="4" w:space="0" w:color="auto"/>
              <w:right w:val="single" w:sz="4" w:space="0" w:color="auto"/>
            </w:tcBorders>
            <w:shd w:val="clear" w:color="auto" w:fill="auto"/>
            <w:vAlign w:val="center"/>
            <w:hideMark/>
          </w:tcPr>
          <w:p w14:paraId="0BB38E54" w14:textId="77777777" w:rsidR="00C04E40" w:rsidRPr="0023319B" w:rsidRDefault="00C04E40" w:rsidP="00BD2A28">
            <w:pPr>
              <w:spacing w:line="240" w:lineRule="auto"/>
              <w:jc w:val="center"/>
              <w:rPr>
                <w:rFonts w:ascii="Calibri Light" w:hAnsi="Calibri Light" w:cs="Calibri Light"/>
                <w:color w:val="000000"/>
                <w:sz w:val="18"/>
                <w:szCs w:val="18"/>
                <w:lang w:val="es-CR" w:eastAsia="es-CR"/>
              </w:rPr>
            </w:pPr>
            <w:r w:rsidRPr="0023319B">
              <w:rPr>
                <w:rFonts w:ascii="Calibri Light" w:hAnsi="Calibri Light" w:cs="Calibri Light"/>
                <w:color w:val="000000"/>
                <w:sz w:val="18"/>
                <w:szCs w:val="18"/>
                <w:lang w:val="es-CR" w:eastAsia="es-CR"/>
              </w:rPr>
              <w:t>3</w:t>
            </w:r>
          </w:p>
        </w:tc>
        <w:tc>
          <w:tcPr>
            <w:tcW w:w="5324" w:type="dxa"/>
            <w:tcBorders>
              <w:top w:val="nil"/>
              <w:left w:val="nil"/>
              <w:bottom w:val="single" w:sz="4" w:space="0" w:color="auto"/>
              <w:right w:val="single" w:sz="4" w:space="0" w:color="auto"/>
            </w:tcBorders>
            <w:shd w:val="clear" w:color="auto" w:fill="auto"/>
            <w:vAlign w:val="center"/>
            <w:hideMark/>
          </w:tcPr>
          <w:p w14:paraId="0267EE75" w14:textId="77777777" w:rsidR="00C04E40" w:rsidRPr="0023319B" w:rsidRDefault="00C04E40" w:rsidP="00BD2A28">
            <w:pPr>
              <w:spacing w:line="240" w:lineRule="auto"/>
              <w:rPr>
                <w:rFonts w:ascii="Calibri Light" w:hAnsi="Calibri Light" w:cs="Calibri Light"/>
                <w:color w:val="000000"/>
                <w:sz w:val="18"/>
                <w:szCs w:val="18"/>
                <w:lang w:val="es-CR" w:eastAsia="es-CR"/>
              </w:rPr>
            </w:pPr>
            <w:r w:rsidRPr="0023319B">
              <w:rPr>
                <w:rFonts w:ascii="Calibri Light" w:hAnsi="Calibri Light" w:cs="Calibri Light"/>
                <w:color w:val="000000"/>
                <w:sz w:val="18"/>
                <w:szCs w:val="18"/>
                <w:lang w:val="es-CR" w:eastAsia="es-CR"/>
              </w:rPr>
              <w:t>Adaptándome positivamente al nuevo presente</w:t>
            </w:r>
          </w:p>
        </w:tc>
        <w:tc>
          <w:tcPr>
            <w:tcW w:w="1276" w:type="dxa"/>
            <w:tcBorders>
              <w:top w:val="nil"/>
              <w:left w:val="nil"/>
              <w:bottom w:val="single" w:sz="4" w:space="0" w:color="auto"/>
              <w:right w:val="single" w:sz="4" w:space="0" w:color="auto"/>
            </w:tcBorders>
            <w:shd w:val="clear" w:color="auto" w:fill="auto"/>
            <w:vAlign w:val="center"/>
            <w:hideMark/>
          </w:tcPr>
          <w:p w14:paraId="6833ABFC" w14:textId="77777777" w:rsidR="00C04E40" w:rsidRPr="0023319B" w:rsidRDefault="00C04E40" w:rsidP="00BD2A28">
            <w:pPr>
              <w:spacing w:line="240" w:lineRule="auto"/>
              <w:jc w:val="center"/>
              <w:rPr>
                <w:rFonts w:ascii="Calibri Light" w:hAnsi="Calibri Light" w:cs="Calibri Light"/>
                <w:color w:val="000000"/>
                <w:sz w:val="18"/>
                <w:szCs w:val="18"/>
                <w:lang w:val="es-CR" w:eastAsia="es-CR"/>
              </w:rPr>
            </w:pPr>
            <w:r w:rsidRPr="0023319B">
              <w:rPr>
                <w:rFonts w:ascii="Calibri Light" w:hAnsi="Calibri Light" w:cs="Calibri Light"/>
                <w:color w:val="000000"/>
                <w:sz w:val="18"/>
                <w:szCs w:val="18"/>
                <w:lang w:val="es-CR" w:eastAsia="es-CR"/>
              </w:rPr>
              <w:t>10-jun-2020</w:t>
            </w:r>
          </w:p>
        </w:tc>
        <w:tc>
          <w:tcPr>
            <w:tcW w:w="1418" w:type="dxa"/>
            <w:tcBorders>
              <w:top w:val="nil"/>
              <w:left w:val="nil"/>
              <w:bottom w:val="single" w:sz="4" w:space="0" w:color="auto"/>
              <w:right w:val="single" w:sz="4" w:space="0" w:color="auto"/>
            </w:tcBorders>
            <w:shd w:val="clear" w:color="auto" w:fill="auto"/>
            <w:noWrap/>
            <w:vAlign w:val="center"/>
            <w:hideMark/>
          </w:tcPr>
          <w:p w14:paraId="2159C635" w14:textId="73C98B98" w:rsidR="00C04E40" w:rsidRPr="0023319B" w:rsidRDefault="00C04E40" w:rsidP="00BD2A28">
            <w:pPr>
              <w:spacing w:line="240" w:lineRule="auto"/>
              <w:jc w:val="right"/>
              <w:rPr>
                <w:rFonts w:ascii="Calibri Light" w:hAnsi="Calibri Light" w:cs="Calibri Light"/>
                <w:color w:val="000000"/>
                <w:sz w:val="18"/>
                <w:szCs w:val="18"/>
                <w:lang w:val="es-CR" w:eastAsia="es-CR"/>
              </w:rPr>
            </w:pPr>
            <w:r w:rsidRPr="0023319B">
              <w:rPr>
                <w:rFonts w:ascii="Calibri Light" w:hAnsi="Calibri Light" w:cs="Calibri Light"/>
                <w:color w:val="000000"/>
                <w:sz w:val="18"/>
                <w:szCs w:val="18"/>
                <w:lang w:val="es-CR" w:eastAsia="es-CR"/>
              </w:rPr>
              <w:t xml:space="preserve">  61 200 </w:t>
            </w:r>
          </w:p>
        </w:tc>
      </w:tr>
      <w:tr w:rsidR="00C04E40" w:rsidRPr="0023319B" w14:paraId="68594E4B" w14:textId="77777777" w:rsidTr="00BD2A28">
        <w:trPr>
          <w:trHeight w:val="310"/>
        </w:trPr>
        <w:tc>
          <w:tcPr>
            <w:tcW w:w="1192" w:type="dxa"/>
            <w:tcBorders>
              <w:top w:val="nil"/>
              <w:left w:val="single" w:sz="4" w:space="0" w:color="auto"/>
              <w:bottom w:val="single" w:sz="4" w:space="0" w:color="auto"/>
              <w:right w:val="single" w:sz="4" w:space="0" w:color="auto"/>
            </w:tcBorders>
            <w:shd w:val="clear" w:color="auto" w:fill="auto"/>
            <w:vAlign w:val="center"/>
            <w:hideMark/>
          </w:tcPr>
          <w:p w14:paraId="33B63594" w14:textId="77777777" w:rsidR="00C04E40" w:rsidRPr="0023319B" w:rsidRDefault="00C04E40" w:rsidP="00BD2A28">
            <w:pPr>
              <w:spacing w:line="240" w:lineRule="auto"/>
              <w:jc w:val="center"/>
              <w:rPr>
                <w:rFonts w:ascii="Calibri Light" w:hAnsi="Calibri Light" w:cs="Calibri Light"/>
                <w:color w:val="000000"/>
                <w:sz w:val="18"/>
                <w:szCs w:val="18"/>
                <w:lang w:val="es-CR" w:eastAsia="es-CR"/>
              </w:rPr>
            </w:pPr>
            <w:r w:rsidRPr="0023319B">
              <w:rPr>
                <w:rFonts w:ascii="Calibri Light" w:hAnsi="Calibri Light" w:cs="Calibri Light"/>
                <w:color w:val="000000"/>
                <w:sz w:val="18"/>
                <w:szCs w:val="18"/>
                <w:lang w:val="es-CR" w:eastAsia="es-CR"/>
              </w:rPr>
              <w:t>2</w:t>
            </w:r>
          </w:p>
        </w:tc>
        <w:tc>
          <w:tcPr>
            <w:tcW w:w="5324" w:type="dxa"/>
            <w:tcBorders>
              <w:top w:val="nil"/>
              <w:left w:val="nil"/>
              <w:bottom w:val="single" w:sz="4" w:space="0" w:color="auto"/>
              <w:right w:val="single" w:sz="4" w:space="0" w:color="auto"/>
            </w:tcBorders>
            <w:shd w:val="clear" w:color="auto" w:fill="auto"/>
            <w:vAlign w:val="center"/>
            <w:hideMark/>
          </w:tcPr>
          <w:p w14:paraId="70324887" w14:textId="77777777" w:rsidR="00C04E40" w:rsidRPr="0023319B" w:rsidRDefault="00C04E40" w:rsidP="00BD2A28">
            <w:pPr>
              <w:spacing w:line="240" w:lineRule="auto"/>
              <w:rPr>
                <w:rFonts w:ascii="Calibri Light" w:hAnsi="Calibri Light" w:cs="Calibri Light"/>
                <w:color w:val="000000"/>
                <w:sz w:val="18"/>
                <w:szCs w:val="18"/>
                <w:lang w:val="es-CR" w:eastAsia="es-CR"/>
              </w:rPr>
            </w:pPr>
            <w:r w:rsidRPr="0023319B">
              <w:rPr>
                <w:rFonts w:ascii="Calibri Light" w:hAnsi="Calibri Light" w:cs="Calibri Light"/>
                <w:color w:val="000000"/>
                <w:sz w:val="18"/>
                <w:szCs w:val="18"/>
                <w:lang w:val="es-CR" w:eastAsia="es-CR"/>
              </w:rPr>
              <w:t>Auditor interno en sistemas de gestión de la Calidad</w:t>
            </w:r>
          </w:p>
        </w:tc>
        <w:tc>
          <w:tcPr>
            <w:tcW w:w="1276" w:type="dxa"/>
            <w:tcBorders>
              <w:top w:val="nil"/>
              <w:left w:val="nil"/>
              <w:bottom w:val="single" w:sz="4" w:space="0" w:color="auto"/>
              <w:right w:val="single" w:sz="4" w:space="0" w:color="auto"/>
            </w:tcBorders>
            <w:shd w:val="clear" w:color="auto" w:fill="auto"/>
            <w:vAlign w:val="center"/>
            <w:hideMark/>
          </w:tcPr>
          <w:p w14:paraId="5415541C" w14:textId="77777777" w:rsidR="00C04E40" w:rsidRPr="0023319B" w:rsidRDefault="00C04E40" w:rsidP="00BD2A28">
            <w:pPr>
              <w:spacing w:line="240" w:lineRule="auto"/>
              <w:jc w:val="center"/>
              <w:rPr>
                <w:rFonts w:ascii="Calibri Light" w:hAnsi="Calibri Light" w:cs="Calibri Light"/>
                <w:color w:val="000000"/>
                <w:sz w:val="18"/>
                <w:szCs w:val="18"/>
                <w:lang w:val="es-CR" w:eastAsia="es-CR"/>
              </w:rPr>
            </w:pPr>
            <w:r w:rsidRPr="0023319B">
              <w:rPr>
                <w:rFonts w:ascii="Calibri Light" w:hAnsi="Calibri Light" w:cs="Calibri Light"/>
                <w:color w:val="000000"/>
                <w:sz w:val="18"/>
                <w:szCs w:val="18"/>
                <w:lang w:val="es-CR" w:eastAsia="es-CR"/>
              </w:rPr>
              <w:t>25-may-2020</w:t>
            </w:r>
          </w:p>
        </w:tc>
        <w:tc>
          <w:tcPr>
            <w:tcW w:w="1418" w:type="dxa"/>
            <w:tcBorders>
              <w:top w:val="nil"/>
              <w:left w:val="nil"/>
              <w:bottom w:val="single" w:sz="4" w:space="0" w:color="auto"/>
              <w:right w:val="single" w:sz="4" w:space="0" w:color="auto"/>
            </w:tcBorders>
            <w:shd w:val="clear" w:color="auto" w:fill="auto"/>
            <w:noWrap/>
            <w:vAlign w:val="center"/>
            <w:hideMark/>
          </w:tcPr>
          <w:p w14:paraId="514893C2" w14:textId="15FD2BD3" w:rsidR="00C04E40" w:rsidRPr="0023319B" w:rsidRDefault="00C04E40" w:rsidP="00BD2A28">
            <w:pPr>
              <w:spacing w:line="240" w:lineRule="auto"/>
              <w:jc w:val="right"/>
              <w:rPr>
                <w:rFonts w:ascii="Calibri Light" w:hAnsi="Calibri Light" w:cs="Calibri Light"/>
                <w:color w:val="000000"/>
                <w:sz w:val="18"/>
                <w:szCs w:val="18"/>
                <w:lang w:val="es-CR" w:eastAsia="es-CR"/>
              </w:rPr>
            </w:pPr>
            <w:r w:rsidRPr="0023319B">
              <w:rPr>
                <w:rFonts w:ascii="Calibri Light" w:hAnsi="Calibri Light" w:cs="Calibri Light"/>
                <w:color w:val="000000"/>
                <w:sz w:val="18"/>
                <w:szCs w:val="18"/>
                <w:lang w:val="es-CR" w:eastAsia="es-CR"/>
              </w:rPr>
              <w:t xml:space="preserve">297 860 </w:t>
            </w:r>
          </w:p>
        </w:tc>
      </w:tr>
      <w:tr w:rsidR="00C04E40" w:rsidRPr="0023319B" w14:paraId="50881043" w14:textId="77777777" w:rsidTr="00BD2A28">
        <w:trPr>
          <w:trHeight w:val="310"/>
        </w:trPr>
        <w:tc>
          <w:tcPr>
            <w:tcW w:w="1192" w:type="dxa"/>
            <w:tcBorders>
              <w:top w:val="nil"/>
              <w:left w:val="single" w:sz="4" w:space="0" w:color="auto"/>
              <w:bottom w:val="single" w:sz="4" w:space="0" w:color="auto"/>
              <w:right w:val="single" w:sz="4" w:space="0" w:color="auto"/>
            </w:tcBorders>
            <w:shd w:val="clear" w:color="auto" w:fill="auto"/>
            <w:vAlign w:val="center"/>
            <w:hideMark/>
          </w:tcPr>
          <w:p w14:paraId="451D84C3" w14:textId="77777777" w:rsidR="00C04E40" w:rsidRPr="0023319B" w:rsidRDefault="00C04E40" w:rsidP="00BD2A28">
            <w:pPr>
              <w:spacing w:line="240" w:lineRule="auto"/>
              <w:jc w:val="center"/>
              <w:rPr>
                <w:rFonts w:ascii="Calibri Light" w:hAnsi="Calibri Light" w:cs="Calibri Light"/>
                <w:color w:val="000000"/>
                <w:sz w:val="18"/>
                <w:szCs w:val="18"/>
                <w:lang w:val="es-CR" w:eastAsia="es-CR"/>
              </w:rPr>
            </w:pPr>
            <w:r w:rsidRPr="0023319B">
              <w:rPr>
                <w:rFonts w:ascii="Calibri Light" w:hAnsi="Calibri Light" w:cs="Calibri Light"/>
                <w:color w:val="000000"/>
                <w:sz w:val="18"/>
                <w:szCs w:val="18"/>
                <w:lang w:val="es-CR" w:eastAsia="es-CR"/>
              </w:rPr>
              <w:t>2</w:t>
            </w:r>
          </w:p>
        </w:tc>
        <w:tc>
          <w:tcPr>
            <w:tcW w:w="5324" w:type="dxa"/>
            <w:tcBorders>
              <w:top w:val="nil"/>
              <w:left w:val="nil"/>
              <w:bottom w:val="single" w:sz="4" w:space="0" w:color="auto"/>
              <w:right w:val="single" w:sz="4" w:space="0" w:color="auto"/>
            </w:tcBorders>
            <w:shd w:val="clear" w:color="auto" w:fill="auto"/>
            <w:vAlign w:val="center"/>
            <w:hideMark/>
          </w:tcPr>
          <w:p w14:paraId="187B0DCD" w14:textId="77777777" w:rsidR="00C04E40" w:rsidRPr="0023319B" w:rsidRDefault="00C04E40" w:rsidP="00BD2A28">
            <w:pPr>
              <w:spacing w:line="240" w:lineRule="auto"/>
              <w:rPr>
                <w:rFonts w:ascii="Calibri Light" w:hAnsi="Calibri Light" w:cs="Calibri Light"/>
                <w:color w:val="000000"/>
                <w:sz w:val="18"/>
                <w:szCs w:val="18"/>
                <w:lang w:val="es-CR" w:eastAsia="es-CR"/>
              </w:rPr>
            </w:pPr>
            <w:r w:rsidRPr="0023319B">
              <w:rPr>
                <w:rFonts w:ascii="Calibri Light" w:hAnsi="Calibri Light" w:cs="Calibri Light"/>
                <w:color w:val="000000"/>
                <w:sz w:val="18"/>
                <w:szCs w:val="18"/>
                <w:lang w:val="es-CR" w:eastAsia="es-CR"/>
              </w:rPr>
              <w:t>Auditor interno en sistemas de gestión ambiental</w:t>
            </w:r>
          </w:p>
        </w:tc>
        <w:tc>
          <w:tcPr>
            <w:tcW w:w="1276" w:type="dxa"/>
            <w:tcBorders>
              <w:top w:val="nil"/>
              <w:left w:val="nil"/>
              <w:bottom w:val="single" w:sz="4" w:space="0" w:color="auto"/>
              <w:right w:val="single" w:sz="4" w:space="0" w:color="auto"/>
            </w:tcBorders>
            <w:shd w:val="clear" w:color="auto" w:fill="auto"/>
            <w:vAlign w:val="center"/>
            <w:hideMark/>
          </w:tcPr>
          <w:p w14:paraId="43CD2699" w14:textId="77777777" w:rsidR="00C04E40" w:rsidRPr="0023319B" w:rsidRDefault="00C04E40" w:rsidP="00BD2A28">
            <w:pPr>
              <w:spacing w:line="240" w:lineRule="auto"/>
              <w:jc w:val="center"/>
              <w:rPr>
                <w:rFonts w:ascii="Calibri Light" w:hAnsi="Calibri Light" w:cs="Calibri Light"/>
                <w:color w:val="000000"/>
                <w:sz w:val="18"/>
                <w:szCs w:val="18"/>
                <w:lang w:val="es-CR" w:eastAsia="es-CR"/>
              </w:rPr>
            </w:pPr>
            <w:r w:rsidRPr="0023319B">
              <w:rPr>
                <w:rFonts w:ascii="Calibri Light" w:hAnsi="Calibri Light" w:cs="Calibri Light"/>
                <w:color w:val="000000"/>
                <w:sz w:val="18"/>
                <w:szCs w:val="18"/>
                <w:lang w:val="es-CR" w:eastAsia="es-CR"/>
              </w:rPr>
              <w:t>20-may-2020</w:t>
            </w:r>
          </w:p>
        </w:tc>
        <w:tc>
          <w:tcPr>
            <w:tcW w:w="1418" w:type="dxa"/>
            <w:tcBorders>
              <w:top w:val="nil"/>
              <w:left w:val="nil"/>
              <w:bottom w:val="single" w:sz="4" w:space="0" w:color="auto"/>
              <w:right w:val="single" w:sz="4" w:space="0" w:color="auto"/>
            </w:tcBorders>
            <w:shd w:val="clear" w:color="auto" w:fill="auto"/>
            <w:noWrap/>
            <w:vAlign w:val="center"/>
            <w:hideMark/>
          </w:tcPr>
          <w:p w14:paraId="304E8D1B" w14:textId="2C86FCD2" w:rsidR="00C04E40" w:rsidRPr="0023319B" w:rsidRDefault="00C04E40" w:rsidP="00BD2A28">
            <w:pPr>
              <w:spacing w:line="240" w:lineRule="auto"/>
              <w:jc w:val="right"/>
              <w:rPr>
                <w:rFonts w:ascii="Calibri Light" w:hAnsi="Calibri Light" w:cs="Calibri Light"/>
                <w:color w:val="000000"/>
                <w:sz w:val="18"/>
                <w:szCs w:val="18"/>
                <w:lang w:val="es-CR" w:eastAsia="es-CR"/>
              </w:rPr>
            </w:pPr>
            <w:r w:rsidRPr="0023319B">
              <w:rPr>
                <w:rFonts w:ascii="Calibri Light" w:hAnsi="Calibri Light" w:cs="Calibri Light"/>
                <w:color w:val="000000"/>
                <w:sz w:val="18"/>
                <w:szCs w:val="18"/>
                <w:lang w:val="es-CR" w:eastAsia="es-CR"/>
              </w:rPr>
              <w:t xml:space="preserve">293 352 </w:t>
            </w:r>
          </w:p>
        </w:tc>
      </w:tr>
      <w:tr w:rsidR="00C04E40" w:rsidRPr="0023319B" w14:paraId="10040EA7" w14:textId="77777777" w:rsidTr="00BD2A28">
        <w:trPr>
          <w:trHeight w:val="310"/>
        </w:trPr>
        <w:tc>
          <w:tcPr>
            <w:tcW w:w="1192" w:type="dxa"/>
            <w:tcBorders>
              <w:top w:val="nil"/>
              <w:left w:val="single" w:sz="4" w:space="0" w:color="auto"/>
              <w:bottom w:val="single" w:sz="4" w:space="0" w:color="auto"/>
              <w:right w:val="single" w:sz="4" w:space="0" w:color="auto"/>
            </w:tcBorders>
            <w:shd w:val="clear" w:color="auto" w:fill="auto"/>
            <w:vAlign w:val="center"/>
            <w:hideMark/>
          </w:tcPr>
          <w:p w14:paraId="0EE4B0CF" w14:textId="77777777" w:rsidR="00C04E40" w:rsidRPr="0023319B" w:rsidRDefault="00C04E40" w:rsidP="00BD2A28">
            <w:pPr>
              <w:spacing w:line="240" w:lineRule="auto"/>
              <w:jc w:val="center"/>
              <w:rPr>
                <w:rFonts w:ascii="Calibri Light" w:hAnsi="Calibri Light" w:cs="Calibri Light"/>
                <w:color w:val="000000"/>
                <w:sz w:val="18"/>
                <w:szCs w:val="18"/>
                <w:lang w:val="es-CR" w:eastAsia="es-CR"/>
              </w:rPr>
            </w:pPr>
            <w:r w:rsidRPr="0023319B">
              <w:rPr>
                <w:rFonts w:ascii="Calibri Light" w:hAnsi="Calibri Light" w:cs="Calibri Light"/>
                <w:color w:val="000000"/>
                <w:sz w:val="18"/>
                <w:szCs w:val="18"/>
                <w:lang w:val="es-CR" w:eastAsia="es-CR"/>
              </w:rPr>
              <w:t>15</w:t>
            </w:r>
          </w:p>
        </w:tc>
        <w:tc>
          <w:tcPr>
            <w:tcW w:w="5324" w:type="dxa"/>
            <w:tcBorders>
              <w:top w:val="nil"/>
              <w:left w:val="nil"/>
              <w:bottom w:val="single" w:sz="4" w:space="0" w:color="auto"/>
              <w:right w:val="single" w:sz="4" w:space="0" w:color="auto"/>
            </w:tcBorders>
            <w:shd w:val="clear" w:color="auto" w:fill="auto"/>
            <w:vAlign w:val="center"/>
            <w:hideMark/>
          </w:tcPr>
          <w:p w14:paraId="765FC033" w14:textId="3088BE0C" w:rsidR="00C04E40" w:rsidRPr="0023319B" w:rsidRDefault="00C04E40" w:rsidP="00BD2A28">
            <w:pPr>
              <w:spacing w:line="240" w:lineRule="auto"/>
              <w:rPr>
                <w:rFonts w:ascii="Calibri Light" w:hAnsi="Calibri Light" w:cs="Calibri Light"/>
                <w:color w:val="000000"/>
                <w:sz w:val="18"/>
                <w:szCs w:val="18"/>
                <w:lang w:val="es-CR" w:eastAsia="es-CR"/>
              </w:rPr>
            </w:pPr>
            <w:r w:rsidRPr="0023319B">
              <w:rPr>
                <w:rFonts w:ascii="Calibri Light" w:hAnsi="Calibri Light" w:cs="Calibri Light"/>
                <w:color w:val="000000"/>
                <w:sz w:val="18"/>
                <w:szCs w:val="18"/>
                <w:lang w:val="es-CR" w:eastAsia="es-CR"/>
              </w:rPr>
              <w:t>Finanzas en l</w:t>
            </w:r>
            <w:r w:rsidR="00BD2A28" w:rsidRPr="0023319B">
              <w:rPr>
                <w:rFonts w:ascii="Calibri Light" w:hAnsi="Calibri Light" w:cs="Calibri Light"/>
                <w:color w:val="000000"/>
                <w:sz w:val="18"/>
                <w:szCs w:val="18"/>
                <w:lang w:val="es-CR" w:eastAsia="es-CR"/>
              </w:rPr>
              <w:t>í</w:t>
            </w:r>
            <w:r w:rsidRPr="0023319B">
              <w:rPr>
                <w:rFonts w:ascii="Calibri Light" w:hAnsi="Calibri Light" w:cs="Calibri Light"/>
                <w:color w:val="000000"/>
                <w:sz w:val="18"/>
                <w:szCs w:val="18"/>
                <w:lang w:val="es-CR" w:eastAsia="es-CR"/>
              </w:rPr>
              <w:t>nea</w:t>
            </w:r>
          </w:p>
        </w:tc>
        <w:tc>
          <w:tcPr>
            <w:tcW w:w="1276" w:type="dxa"/>
            <w:tcBorders>
              <w:top w:val="nil"/>
              <w:left w:val="nil"/>
              <w:bottom w:val="single" w:sz="4" w:space="0" w:color="auto"/>
              <w:right w:val="single" w:sz="4" w:space="0" w:color="auto"/>
            </w:tcBorders>
            <w:shd w:val="clear" w:color="auto" w:fill="auto"/>
            <w:vAlign w:val="center"/>
            <w:hideMark/>
          </w:tcPr>
          <w:p w14:paraId="525D5DE9" w14:textId="77777777" w:rsidR="00C04E40" w:rsidRPr="0023319B" w:rsidRDefault="00C04E40" w:rsidP="00BD2A28">
            <w:pPr>
              <w:spacing w:line="240" w:lineRule="auto"/>
              <w:jc w:val="center"/>
              <w:rPr>
                <w:rFonts w:ascii="Calibri Light" w:hAnsi="Calibri Light" w:cs="Calibri Light"/>
                <w:color w:val="000000"/>
                <w:sz w:val="18"/>
                <w:szCs w:val="18"/>
                <w:lang w:val="es-CR" w:eastAsia="es-CR"/>
              </w:rPr>
            </w:pPr>
            <w:r w:rsidRPr="0023319B">
              <w:rPr>
                <w:rFonts w:ascii="Calibri Light" w:hAnsi="Calibri Light" w:cs="Calibri Light"/>
                <w:color w:val="000000"/>
                <w:sz w:val="18"/>
                <w:szCs w:val="18"/>
                <w:lang w:val="es-CR" w:eastAsia="es-CR"/>
              </w:rPr>
              <w:t>6-may-2020</w:t>
            </w:r>
          </w:p>
        </w:tc>
        <w:tc>
          <w:tcPr>
            <w:tcW w:w="1418" w:type="dxa"/>
            <w:tcBorders>
              <w:top w:val="nil"/>
              <w:left w:val="nil"/>
              <w:bottom w:val="single" w:sz="4" w:space="0" w:color="auto"/>
              <w:right w:val="single" w:sz="4" w:space="0" w:color="auto"/>
            </w:tcBorders>
            <w:shd w:val="clear" w:color="auto" w:fill="auto"/>
            <w:noWrap/>
            <w:vAlign w:val="center"/>
            <w:hideMark/>
          </w:tcPr>
          <w:p w14:paraId="62E8975F" w14:textId="0D5B806E" w:rsidR="00C04E40" w:rsidRPr="0023319B" w:rsidRDefault="00C04E40" w:rsidP="00BD2A28">
            <w:pPr>
              <w:spacing w:line="240" w:lineRule="auto"/>
              <w:jc w:val="right"/>
              <w:rPr>
                <w:rFonts w:ascii="Calibri Light" w:hAnsi="Calibri Light" w:cs="Calibri Light"/>
                <w:color w:val="000000"/>
                <w:sz w:val="18"/>
                <w:szCs w:val="18"/>
                <w:lang w:val="es-CR" w:eastAsia="es-CR"/>
              </w:rPr>
            </w:pPr>
            <w:r w:rsidRPr="0023319B">
              <w:rPr>
                <w:rFonts w:ascii="Calibri Light" w:hAnsi="Calibri Light" w:cs="Calibri Light"/>
                <w:color w:val="000000"/>
                <w:sz w:val="18"/>
                <w:szCs w:val="18"/>
                <w:lang w:val="es-CR" w:eastAsia="es-CR"/>
              </w:rPr>
              <w:t xml:space="preserve">6 401 675 </w:t>
            </w:r>
          </w:p>
        </w:tc>
      </w:tr>
      <w:tr w:rsidR="00C04E40" w:rsidRPr="0023319B" w14:paraId="0F9CADBF" w14:textId="77777777" w:rsidTr="00BD2A28">
        <w:trPr>
          <w:trHeight w:val="310"/>
        </w:trPr>
        <w:tc>
          <w:tcPr>
            <w:tcW w:w="1192" w:type="dxa"/>
            <w:tcBorders>
              <w:top w:val="nil"/>
              <w:left w:val="single" w:sz="4" w:space="0" w:color="auto"/>
              <w:bottom w:val="single" w:sz="4" w:space="0" w:color="auto"/>
              <w:right w:val="single" w:sz="4" w:space="0" w:color="auto"/>
            </w:tcBorders>
            <w:shd w:val="clear" w:color="auto" w:fill="auto"/>
            <w:vAlign w:val="center"/>
            <w:hideMark/>
          </w:tcPr>
          <w:p w14:paraId="06B2C8CE" w14:textId="77777777" w:rsidR="00C04E40" w:rsidRPr="0023319B" w:rsidRDefault="00C04E40" w:rsidP="00BD2A28">
            <w:pPr>
              <w:spacing w:line="240" w:lineRule="auto"/>
              <w:jc w:val="center"/>
              <w:rPr>
                <w:rFonts w:ascii="Calibri Light" w:hAnsi="Calibri Light" w:cs="Calibri Light"/>
                <w:color w:val="000000"/>
                <w:sz w:val="18"/>
                <w:szCs w:val="18"/>
                <w:lang w:val="es-CR" w:eastAsia="es-CR"/>
              </w:rPr>
            </w:pPr>
            <w:r w:rsidRPr="0023319B">
              <w:rPr>
                <w:rFonts w:ascii="Calibri Light" w:hAnsi="Calibri Light" w:cs="Calibri Light"/>
                <w:color w:val="000000"/>
                <w:sz w:val="18"/>
                <w:szCs w:val="18"/>
                <w:lang w:val="es-CR" w:eastAsia="es-CR"/>
              </w:rPr>
              <w:t>5</w:t>
            </w:r>
          </w:p>
        </w:tc>
        <w:tc>
          <w:tcPr>
            <w:tcW w:w="5324" w:type="dxa"/>
            <w:tcBorders>
              <w:top w:val="nil"/>
              <w:left w:val="nil"/>
              <w:bottom w:val="single" w:sz="4" w:space="0" w:color="auto"/>
              <w:right w:val="single" w:sz="4" w:space="0" w:color="auto"/>
            </w:tcBorders>
            <w:shd w:val="clear" w:color="auto" w:fill="auto"/>
            <w:vAlign w:val="center"/>
            <w:hideMark/>
          </w:tcPr>
          <w:p w14:paraId="13CE39CA" w14:textId="77777777" w:rsidR="00C04E40" w:rsidRPr="0023319B" w:rsidRDefault="00C04E40" w:rsidP="00BD2A28">
            <w:pPr>
              <w:spacing w:line="240" w:lineRule="auto"/>
              <w:rPr>
                <w:rFonts w:ascii="Calibri Light" w:hAnsi="Calibri Light" w:cs="Calibri Light"/>
                <w:color w:val="000000"/>
                <w:sz w:val="18"/>
                <w:szCs w:val="18"/>
                <w:lang w:val="es-CR" w:eastAsia="es-CR"/>
              </w:rPr>
            </w:pPr>
            <w:r w:rsidRPr="0023319B">
              <w:rPr>
                <w:rFonts w:ascii="Calibri Light" w:hAnsi="Calibri Light" w:cs="Calibri Light"/>
                <w:color w:val="000000"/>
                <w:sz w:val="18"/>
                <w:szCs w:val="18"/>
                <w:lang w:val="es-CR" w:eastAsia="es-CR"/>
              </w:rPr>
              <w:t>Comunicación de resultados con R</w:t>
            </w:r>
          </w:p>
        </w:tc>
        <w:tc>
          <w:tcPr>
            <w:tcW w:w="1276" w:type="dxa"/>
            <w:tcBorders>
              <w:top w:val="nil"/>
              <w:left w:val="nil"/>
              <w:bottom w:val="single" w:sz="4" w:space="0" w:color="auto"/>
              <w:right w:val="single" w:sz="4" w:space="0" w:color="auto"/>
            </w:tcBorders>
            <w:shd w:val="clear" w:color="auto" w:fill="auto"/>
            <w:vAlign w:val="center"/>
            <w:hideMark/>
          </w:tcPr>
          <w:p w14:paraId="698BC1A3" w14:textId="77777777" w:rsidR="00C04E40" w:rsidRPr="0023319B" w:rsidRDefault="00C04E40" w:rsidP="00BD2A28">
            <w:pPr>
              <w:spacing w:line="240" w:lineRule="auto"/>
              <w:jc w:val="center"/>
              <w:rPr>
                <w:rFonts w:ascii="Calibri Light" w:hAnsi="Calibri Light" w:cs="Calibri Light"/>
                <w:color w:val="000000"/>
                <w:sz w:val="18"/>
                <w:szCs w:val="18"/>
                <w:lang w:val="es-CR" w:eastAsia="es-CR"/>
              </w:rPr>
            </w:pPr>
            <w:r w:rsidRPr="0023319B">
              <w:rPr>
                <w:rFonts w:ascii="Calibri Light" w:hAnsi="Calibri Light" w:cs="Calibri Light"/>
                <w:color w:val="000000"/>
                <w:sz w:val="18"/>
                <w:szCs w:val="18"/>
                <w:lang w:val="es-CR" w:eastAsia="es-CR"/>
              </w:rPr>
              <w:t>29-abr-2020</w:t>
            </w:r>
          </w:p>
        </w:tc>
        <w:tc>
          <w:tcPr>
            <w:tcW w:w="1418" w:type="dxa"/>
            <w:tcBorders>
              <w:top w:val="nil"/>
              <w:left w:val="nil"/>
              <w:bottom w:val="single" w:sz="4" w:space="0" w:color="auto"/>
              <w:right w:val="single" w:sz="4" w:space="0" w:color="auto"/>
            </w:tcBorders>
            <w:shd w:val="clear" w:color="auto" w:fill="auto"/>
            <w:noWrap/>
            <w:vAlign w:val="center"/>
            <w:hideMark/>
          </w:tcPr>
          <w:p w14:paraId="31908074" w14:textId="0A5AC552" w:rsidR="00C04E40" w:rsidRPr="0023319B" w:rsidRDefault="00C04E40" w:rsidP="00BD2A28">
            <w:pPr>
              <w:spacing w:line="240" w:lineRule="auto"/>
              <w:jc w:val="right"/>
              <w:rPr>
                <w:rFonts w:ascii="Calibri Light" w:hAnsi="Calibri Light" w:cs="Calibri Light"/>
                <w:color w:val="000000"/>
                <w:sz w:val="18"/>
                <w:szCs w:val="18"/>
                <w:lang w:val="es-CR" w:eastAsia="es-CR"/>
              </w:rPr>
            </w:pPr>
            <w:r w:rsidRPr="0023319B">
              <w:rPr>
                <w:rFonts w:ascii="Calibri Light" w:hAnsi="Calibri Light" w:cs="Calibri Light"/>
                <w:color w:val="000000"/>
                <w:sz w:val="18"/>
                <w:szCs w:val="18"/>
                <w:lang w:val="es-CR" w:eastAsia="es-CR"/>
              </w:rPr>
              <w:t xml:space="preserve">2 902 053 </w:t>
            </w:r>
          </w:p>
        </w:tc>
      </w:tr>
      <w:tr w:rsidR="00C04E40" w:rsidRPr="0023319B" w14:paraId="2F36A827" w14:textId="77777777" w:rsidTr="00BD2A28">
        <w:trPr>
          <w:trHeight w:val="310"/>
        </w:trPr>
        <w:tc>
          <w:tcPr>
            <w:tcW w:w="1192" w:type="dxa"/>
            <w:tcBorders>
              <w:top w:val="nil"/>
              <w:left w:val="single" w:sz="4" w:space="0" w:color="auto"/>
              <w:bottom w:val="single" w:sz="4" w:space="0" w:color="auto"/>
              <w:right w:val="single" w:sz="4" w:space="0" w:color="auto"/>
            </w:tcBorders>
            <w:shd w:val="clear" w:color="auto" w:fill="auto"/>
            <w:vAlign w:val="center"/>
            <w:hideMark/>
          </w:tcPr>
          <w:p w14:paraId="08C2366E" w14:textId="77777777" w:rsidR="00C04E40" w:rsidRPr="0023319B" w:rsidRDefault="00C04E40" w:rsidP="00BD2A28">
            <w:pPr>
              <w:spacing w:line="240" w:lineRule="auto"/>
              <w:jc w:val="center"/>
              <w:rPr>
                <w:rFonts w:ascii="Calibri Light" w:hAnsi="Calibri Light" w:cs="Calibri Light"/>
                <w:color w:val="000000"/>
                <w:sz w:val="18"/>
                <w:szCs w:val="18"/>
                <w:lang w:val="es-CR" w:eastAsia="es-CR"/>
              </w:rPr>
            </w:pPr>
            <w:r w:rsidRPr="0023319B">
              <w:rPr>
                <w:rFonts w:ascii="Calibri Light" w:hAnsi="Calibri Light" w:cs="Calibri Light"/>
                <w:color w:val="000000"/>
                <w:sz w:val="18"/>
                <w:szCs w:val="18"/>
                <w:lang w:val="es-CR" w:eastAsia="es-CR"/>
              </w:rPr>
              <w:t>1</w:t>
            </w:r>
          </w:p>
        </w:tc>
        <w:tc>
          <w:tcPr>
            <w:tcW w:w="5324" w:type="dxa"/>
            <w:tcBorders>
              <w:top w:val="nil"/>
              <w:left w:val="nil"/>
              <w:bottom w:val="single" w:sz="4" w:space="0" w:color="auto"/>
              <w:right w:val="single" w:sz="4" w:space="0" w:color="auto"/>
            </w:tcBorders>
            <w:shd w:val="clear" w:color="auto" w:fill="auto"/>
            <w:vAlign w:val="center"/>
            <w:hideMark/>
          </w:tcPr>
          <w:p w14:paraId="1DAEDCB9" w14:textId="77777777" w:rsidR="00C04E40" w:rsidRPr="0023319B" w:rsidRDefault="00C04E40" w:rsidP="00BD2A28">
            <w:pPr>
              <w:spacing w:line="240" w:lineRule="auto"/>
              <w:rPr>
                <w:rFonts w:ascii="Calibri Light" w:hAnsi="Calibri Light" w:cs="Calibri Light"/>
                <w:color w:val="000000"/>
                <w:sz w:val="18"/>
                <w:szCs w:val="18"/>
                <w:lang w:val="es-CR" w:eastAsia="es-CR"/>
              </w:rPr>
            </w:pPr>
            <w:r w:rsidRPr="0023319B">
              <w:rPr>
                <w:rFonts w:ascii="Calibri Light" w:hAnsi="Calibri Light" w:cs="Calibri Light"/>
                <w:color w:val="000000"/>
                <w:sz w:val="18"/>
                <w:szCs w:val="18"/>
                <w:lang w:val="es-CR" w:eastAsia="es-CR"/>
              </w:rPr>
              <w:t>Curso Excel 2016</w:t>
            </w:r>
          </w:p>
        </w:tc>
        <w:tc>
          <w:tcPr>
            <w:tcW w:w="1276" w:type="dxa"/>
            <w:tcBorders>
              <w:top w:val="nil"/>
              <w:left w:val="nil"/>
              <w:bottom w:val="single" w:sz="4" w:space="0" w:color="auto"/>
              <w:right w:val="single" w:sz="4" w:space="0" w:color="auto"/>
            </w:tcBorders>
            <w:shd w:val="clear" w:color="auto" w:fill="auto"/>
            <w:vAlign w:val="center"/>
            <w:hideMark/>
          </w:tcPr>
          <w:p w14:paraId="585678FA" w14:textId="77777777" w:rsidR="00C04E40" w:rsidRPr="0023319B" w:rsidRDefault="00C04E40" w:rsidP="00BD2A28">
            <w:pPr>
              <w:spacing w:line="240" w:lineRule="auto"/>
              <w:jc w:val="center"/>
              <w:rPr>
                <w:rFonts w:ascii="Calibri Light" w:hAnsi="Calibri Light" w:cs="Calibri Light"/>
                <w:color w:val="000000"/>
                <w:sz w:val="18"/>
                <w:szCs w:val="18"/>
                <w:lang w:val="es-CR" w:eastAsia="es-CR"/>
              </w:rPr>
            </w:pPr>
            <w:r w:rsidRPr="0023319B">
              <w:rPr>
                <w:rFonts w:ascii="Calibri Light" w:hAnsi="Calibri Light" w:cs="Calibri Light"/>
                <w:color w:val="000000"/>
                <w:sz w:val="18"/>
                <w:szCs w:val="18"/>
                <w:lang w:val="es-CR" w:eastAsia="es-CR"/>
              </w:rPr>
              <w:t>9-nov-2019</w:t>
            </w:r>
          </w:p>
        </w:tc>
        <w:tc>
          <w:tcPr>
            <w:tcW w:w="1418" w:type="dxa"/>
            <w:tcBorders>
              <w:top w:val="nil"/>
              <w:left w:val="nil"/>
              <w:bottom w:val="single" w:sz="4" w:space="0" w:color="auto"/>
              <w:right w:val="single" w:sz="4" w:space="0" w:color="auto"/>
            </w:tcBorders>
            <w:shd w:val="clear" w:color="auto" w:fill="auto"/>
            <w:noWrap/>
            <w:vAlign w:val="center"/>
            <w:hideMark/>
          </w:tcPr>
          <w:p w14:paraId="086BEB83" w14:textId="519DBC7C" w:rsidR="00C04E40" w:rsidRPr="0023319B" w:rsidRDefault="00C04E40" w:rsidP="00BD2A28">
            <w:pPr>
              <w:spacing w:line="240" w:lineRule="auto"/>
              <w:jc w:val="right"/>
              <w:rPr>
                <w:rFonts w:ascii="Calibri Light" w:hAnsi="Calibri Light" w:cs="Calibri Light"/>
                <w:color w:val="000000"/>
                <w:sz w:val="18"/>
                <w:szCs w:val="18"/>
                <w:lang w:val="es-CR" w:eastAsia="es-CR"/>
              </w:rPr>
            </w:pPr>
            <w:r w:rsidRPr="0023319B">
              <w:rPr>
                <w:rFonts w:ascii="Calibri Light" w:hAnsi="Calibri Light" w:cs="Calibri Light"/>
                <w:color w:val="000000"/>
                <w:sz w:val="18"/>
                <w:szCs w:val="18"/>
                <w:lang w:val="es-CR" w:eastAsia="es-CR"/>
              </w:rPr>
              <w:t xml:space="preserve">109 140 </w:t>
            </w:r>
          </w:p>
        </w:tc>
      </w:tr>
      <w:tr w:rsidR="00C04E40" w:rsidRPr="0023319B" w14:paraId="7C4A767C" w14:textId="77777777" w:rsidTr="00BD2A28">
        <w:trPr>
          <w:trHeight w:val="310"/>
        </w:trPr>
        <w:tc>
          <w:tcPr>
            <w:tcW w:w="1192" w:type="dxa"/>
            <w:tcBorders>
              <w:top w:val="nil"/>
              <w:left w:val="single" w:sz="4" w:space="0" w:color="auto"/>
              <w:bottom w:val="single" w:sz="4" w:space="0" w:color="auto"/>
              <w:right w:val="single" w:sz="4" w:space="0" w:color="auto"/>
            </w:tcBorders>
            <w:shd w:val="clear" w:color="auto" w:fill="auto"/>
            <w:vAlign w:val="center"/>
            <w:hideMark/>
          </w:tcPr>
          <w:p w14:paraId="5EDDB669" w14:textId="77777777" w:rsidR="00C04E40" w:rsidRPr="0023319B" w:rsidRDefault="00C04E40" w:rsidP="00BD2A28">
            <w:pPr>
              <w:spacing w:line="240" w:lineRule="auto"/>
              <w:jc w:val="center"/>
              <w:rPr>
                <w:rFonts w:ascii="Calibri Light" w:hAnsi="Calibri Light" w:cs="Calibri Light"/>
                <w:color w:val="000000"/>
                <w:sz w:val="18"/>
                <w:szCs w:val="18"/>
                <w:lang w:val="es-CR" w:eastAsia="es-CR"/>
              </w:rPr>
            </w:pPr>
            <w:r w:rsidRPr="0023319B">
              <w:rPr>
                <w:rFonts w:ascii="Calibri Light" w:hAnsi="Calibri Light" w:cs="Calibri Light"/>
                <w:color w:val="000000"/>
                <w:sz w:val="18"/>
                <w:szCs w:val="18"/>
                <w:lang w:val="es-CR" w:eastAsia="es-CR"/>
              </w:rPr>
              <w:t>1</w:t>
            </w:r>
          </w:p>
        </w:tc>
        <w:tc>
          <w:tcPr>
            <w:tcW w:w="5324" w:type="dxa"/>
            <w:tcBorders>
              <w:top w:val="nil"/>
              <w:left w:val="nil"/>
              <w:bottom w:val="single" w:sz="4" w:space="0" w:color="auto"/>
              <w:right w:val="single" w:sz="4" w:space="0" w:color="auto"/>
            </w:tcBorders>
            <w:shd w:val="clear" w:color="auto" w:fill="auto"/>
            <w:vAlign w:val="center"/>
            <w:hideMark/>
          </w:tcPr>
          <w:p w14:paraId="7AABB69A" w14:textId="77777777" w:rsidR="00C04E40" w:rsidRPr="0023319B" w:rsidRDefault="00C04E40" w:rsidP="00BD2A28">
            <w:pPr>
              <w:spacing w:line="240" w:lineRule="auto"/>
              <w:rPr>
                <w:rFonts w:ascii="Calibri Light" w:hAnsi="Calibri Light" w:cs="Calibri Light"/>
                <w:color w:val="000000"/>
                <w:sz w:val="18"/>
                <w:szCs w:val="18"/>
                <w:lang w:val="es-CR" w:eastAsia="es-CR"/>
              </w:rPr>
            </w:pPr>
            <w:r w:rsidRPr="0023319B">
              <w:rPr>
                <w:rFonts w:ascii="Calibri Light" w:hAnsi="Calibri Light" w:cs="Calibri Light"/>
                <w:color w:val="000000"/>
                <w:sz w:val="18"/>
                <w:szCs w:val="18"/>
                <w:lang w:val="es-CR" w:eastAsia="es-CR"/>
              </w:rPr>
              <w:t>Charla liderazgo</w:t>
            </w:r>
          </w:p>
        </w:tc>
        <w:tc>
          <w:tcPr>
            <w:tcW w:w="1276" w:type="dxa"/>
            <w:tcBorders>
              <w:top w:val="nil"/>
              <w:left w:val="nil"/>
              <w:bottom w:val="single" w:sz="4" w:space="0" w:color="auto"/>
              <w:right w:val="single" w:sz="4" w:space="0" w:color="auto"/>
            </w:tcBorders>
            <w:shd w:val="clear" w:color="auto" w:fill="auto"/>
            <w:vAlign w:val="center"/>
            <w:hideMark/>
          </w:tcPr>
          <w:p w14:paraId="288937B2" w14:textId="77777777" w:rsidR="00C04E40" w:rsidRPr="0023319B" w:rsidRDefault="00C04E40" w:rsidP="00BD2A28">
            <w:pPr>
              <w:spacing w:line="240" w:lineRule="auto"/>
              <w:jc w:val="center"/>
              <w:rPr>
                <w:rFonts w:ascii="Calibri Light" w:hAnsi="Calibri Light" w:cs="Calibri Light"/>
                <w:color w:val="000000"/>
                <w:sz w:val="18"/>
                <w:szCs w:val="18"/>
                <w:lang w:val="es-CR" w:eastAsia="es-CR"/>
              </w:rPr>
            </w:pPr>
            <w:r w:rsidRPr="0023319B">
              <w:rPr>
                <w:rFonts w:ascii="Calibri Light" w:hAnsi="Calibri Light" w:cs="Calibri Light"/>
                <w:color w:val="000000"/>
                <w:sz w:val="18"/>
                <w:szCs w:val="18"/>
                <w:lang w:val="es-CR" w:eastAsia="es-CR"/>
              </w:rPr>
              <w:t>17-jun-2020</w:t>
            </w:r>
          </w:p>
        </w:tc>
        <w:tc>
          <w:tcPr>
            <w:tcW w:w="1418" w:type="dxa"/>
            <w:tcBorders>
              <w:top w:val="nil"/>
              <w:left w:val="nil"/>
              <w:bottom w:val="single" w:sz="4" w:space="0" w:color="auto"/>
              <w:right w:val="single" w:sz="4" w:space="0" w:color="auto"/>
            </w:tcBorders>
            <w:shd w:val="clear" w:color="auto" w:fill="auto"/>
            <w:noWrap/>
            <w:vAlign w:val="center"/>
            <w:hideMark/>
          </w:tcPr>
          <w:p w14:paraId="332A63FC" w14:textId="2B54C3BB" w:rsidR="00C04E40" w:rsidRPr="0023319B" w:rsidRDefault="00C04E40" w:rsidP="00BD2A28">
            <w:pPr>
              <w:spacing w:line="240" w:lineRule="auto"/>
              <w:jc w:val="right"/>
              <w:rPr>
                <w:rFonts w:ascii="Calibri Light" w:hAnsi="Calibri Light" w:cs="Calibri Light"/>
                <w:color w:val="000000"/>
                <w:sz w:val="18"/>
                <w:szCs w:val="18"/>
                <w:lang w:val="es-CR" w:eastAsia="es-CR"/>
              </w:rPr>
            </w:pPr>
            <w:r w:rsidRPr="0023319B">
              <w:rPr>
                <w:rFonts w:ascii="Calibri Light" w:hAnsi="Calibri Light" w:cs="Calibri Light"/>
                <w:color w:val="000000"/>
                <w:sz w:val="18"/>
                <w:szCs w:val="18"/>
                <w:lang w:val="es-CR" w:eastAsia="es-CR"/>
              </w:rPr>
              <w:t xml:space="preserve">  20 400 </w:t>
            </w:r>
          </w:p>
        </w:tc>
      </w:tr>
      <w:tr w:rsidR="00C04E40" w:rsidRPr="0023319B" w14:paraId="5D941130" w14:textId="77777777" w:rsidTr="00BD2A28">
        <w:trPr>
          <w:trHeight w:val="310"/>
        </w:trPr>
        <w:tc>
          <w:tcPr>
            <w:tcW w:w="1192" w:type="dxa"/>
            <w:tcBorders>
              <w:top w:val="nil"/>
              <w:left w:val="single" w:sz="4" w:space="0" w:color="auto"/>
              <w:bottom w:val="single" w:sz="4" w:space="0" w:color="auto"/>
              <w:right w:val="single" w:sz="4" w:space="0" w:color="auto"/>
            </w:tcBorders>
            <w:shd w:val="clear" w:color="auto" w:fill="auto"/>
            <w:vAlign w:val="center"/>
            <w:hideMark/>
          </w:tcPr>
          <w:p w14:paraId="4FB07F3D" w14:textId="77777777" w:rsidR="00C04E40" w:rsidRPr="0023319B" w:rsidRDefault="00C04E40" w:rsidP="00BD2A28">
            <w:pPr>
              <w:spacing w:line="240" w:lineRule="auto"/>
              <w:jc w:val="center"/>
              <w:rPr>
                <w:rFonts w:ascii="Calibri Light" w:hAnsi="Calibri Light" w:cs="Calibri Light"/>
                <w:color w:val="000000"/>
                <w:sz w:val="18"/>
                <w:szCs w:val="18"/>
                <w:lang w:val="es-CR" w:eastAsia="es-CR"/>
              </w:rPr>
            </w:pPr>
            <w:r w:rsidRPr="0023319B">
              <w:rPr>
                <w:rFonts w:ascii="Calibri Light" w:hAnsi="Calibri Light" w:cs="Calibri Light"/>
                <w:color w:val="000000"/>
                <w:sz w:val="18"/>
                <w:szCs w:val="18"/>
                <w:lang w:val="es-CR" w:eastAsia="es-CR"/>
              </w:rPr>
              <w:t>2</w:t>
            </w:r>
          </w:p>
        </w:tc>
        <w:tc>
          <w:tcPr>
            <w:tcW w:w="5324" w:type="dxa"/>
            <w:tcBorders>
              <w:top w:val="nil"/>
              <w:left w:val="nil"/>
              <w:bottom w:val="single" w:sz="4" w:space="0" w:color="auto"/>
              <w:right w:val="single" w:sz="4" w:space="0" w:color="auto"/>
            </w:tcBorders>
            <w:shd w:val="clear" w:color="auto" w:fill="auto"/>
            <w:vAlign w:val="center"/>
            <w:hideMark/>
          </w:tcPr>
          <w:p w14:paraId="410E1B4E" w14:textId="77777777" w:rsidR="00C04E40" w:rsidRPr="0023319B" w:rsidRDefault="00C04E40" w:rsidP="00BD2A28">
            <w:pPr>
              <w:spacing w:line="240" w:lineRule="auto"/>
              <w:rPr>
                <w:rFonts w:ascii="Calibri Light" w:hAnsi="Calibri Light" w:cs="Calibri Light"/>
                <w:color w:val="000000"/>
                <w:sz w:val="18"/>
                <w:szCs w:val="18"/>
                <w:lang w:val="es-CR" w:eastAsia="es-CR"/>
              </w:rPr>
            </w:pPr>
            <w:r w:rsidRPr="0023319B">
              <w:rPr>
                <w:rFonts w:ascii="Calibri Light" w:hAnsi="Calibri Light" w:cs="Calibri Light"/>
                <w:color w:val="000000"/>
                <w:sz w:val="18"/>
                <w:szCs w:val="18"/>
                <w:lang w:val="es-CR" w:eastAsia="es-CR"/>
              </w:rPr>
              <w:t>Curso Fintech &amp; Regulatory Innovation</w:t>
            </w:r>
          </w:p>
        </w:tc>
        <w:tc>
          <w:tcPr>
            <w:tcW w:w="1276" w:type="dxa"/>
            <w:tcBorders>
              <w:top w:val="nil"/>
              <w:left w:val="nil"/>
              <w:bottom w:val="single" w:sz="4" w:space="0" w:color="auto"/>
              <w:right w:val="single" w:sz="4" w:space="0" w:color="auto"/>
            </w:tcBorders>
            <w:shd w:val="clear" w:color="auto" w:fill="auto"/>
            <w:vAlign w:val="center"/>
            <w:hideMark/>
          </w:tcPr>
          <w:p w14:paraId="553A5880" w14:textId="77777777" w:rsidR="00C04E40" w:rsidRPr="0023319B" w:rsidRDefault="00C04E40" w:rsidP="00BD2A28">
            <w:pPr>
              <w:spacing w:line="240" w:lineRule="auto"/>
              <w:jc w:val="center"/>
              <w:rPr>
                <w:rFonts w:ascii="Calibri Light" w:hAnsi="Calibri Light" w:cs="Calibri Light"/>
                <w:color w:val="000000"/>
                <w:sz w:val="18"/>
                <w:szCs w:val="18"/>
                <w:lang w:val="es-CR" w:eastAsia="es-CR"/>
              </w:rPr>
            </w:pPr>
            <w:r w:rsidRPr="0023319B">
              <w:rPr>
                <w:rFonts w:ascii="Calibri Light" w:hAnsi="Calibri Light" w:cs="Calibri Light"/>
                <w:color w:val="000000"/>
                <w:sz w:val="18"/>
                <w:szCs w:val="18"/>
                <w:lang w:val="es-CR" w:eastAsia="es-CR"/>
              </w:rPr>
              <w:t>26-feb-2020</w:t>
            </w:r>
          </w:p>
        </w:tc>
        <w:tc>
          <w:tcPr>
            <w:tcW w:w="1418" w:type="dxa"/>
            <w:tcBorders>
              <w:top w:val="nil"/>
              <w:left w:val="nil"/>
              <w:bottom w:val="single" w:sz="4" w:space="0" w:color="auto"/>
              <w:right w:val="single" w:sz="4" w:space="0" w:color="auto"/>
            </w:tcBorders>
            <w:shd w:val="clear" w:color="auto" w:fill="auto"/>
            <w:noWrap/>
            <w:vAlign w:val="center"/>
            <w:hideMark/>
          </w:tcPr>
          <w:p w14:paraId="3A62062F" w14:textId="6DE598E0" w:rsidR="00C04E40" w:rsidRPr="0023319B" w:rsidRDefault="00C04E40" w:rsidP="00BD2A28">
            <w:pPr>
              <w:spacing w:line="240" w:lineRule="auto"/>
              <w:jc w:val="right"/>
              <w:rPr>
                <w:rFonts w:ascii="Calibri Light" w:hAnsi="Calibri Light" w:cs="Calibri Light"/>
                <w:color w:val="000000"/>
                <w:sz w:val="18"/>
                <w:szCs w:val="18"/>
                <w:lang w:val="es-CR" w:eastAsia="es-CR"/>
              </w:rPr>
            </w:pPr>
            <w:r w:rsidRPr="0023319B">
              <w:rPr>
                <w:rFonts w:ascii="Calibri Light" w:hAnsi="Calibri Light" w:cs="Calibri Light"/>
                <w:color w:val="000000"/>
                <w:sz w:val="18"/>
                <w:szCs w:val="18"/>
                <w:lang w:val="es-CR" w:eastAsia="es-CR"/>
              </w:rPr>
              <w:t xml:space="preserve">  17 039 </w:t>
            </w:r>
          </w:p>
        </w:tc>
      </w:tr>
      <w:tr w:rsidR="00C04E40" w:rsidRPr="0023319B" w14:paraId="01314CCB" w14:textId="77777777" w:rsidTr="00BD2A28">
        <w:trPr>
          <w:trHeight w:val="310"/>
        </w:trPr>
        <w:tc>
          <w:tcPr>
            <w:tcW w:w="1192" w:type="dxa"/>
            <w:tcBorders>
              <w:top w:val="nil"/>
              <w:left w:val="single" w:sz="4" w:space="0" w:color="auto"/>
              <w:bottom w:val="single" w:sz="4" w:space="0" w:color="auto"/>
              <w:right w:val="single" w:sz="4" w:space="0" w:color="auto"/>
            </w:tcBorders>
            <w:shd w:val="clear" w:color="auto" w:fill="auto"/>
            <w:vAlign w:val="center"/>
            <w:hideMark/>
          </w:tcPr>
          <w:p w14:paraId="14644FA8" w14:textId="77777777" w:rsidR="00C04E40" w:rsidRPr="0023319B" w:rsidRDefault="00C04E40" w:rsidP="00BD2A28">
            <w:pPr>
              <w:spacing w:line="240" w:lineRule="auto"/>
              <w:jc w:val="center"/>
              <w:rPr>
                <w:rFonts w:ascii="Calibri Light" w:hAnsi="Calibri Light" w:cs="Calibri Light"/>
                <w:color w:val="000000"/>
                <w:sz w:val="18"/>
                <w:szCs w:val="18"/>
                <w:lang w:val="es-CR" w:eastAsia="es-CR"/>
              </w:rPr>
            </w:pPr>
            <w:r w:rsidRPr="0023319B">
              <w:rPr>
                <w:rFonts w:ascii="Calibri Light" w:hAnsi="Calibri Light" w:cs="Calibri Light"/>
                <w:color w:val="000000"/>
                <w:sz w:val="18"/>
                <w:szCs w:val="18"/>
                <w:lang w:val="es-CR" w:eastAsia="es-CR"/>
              </w:rPr>
              <w:t>6</w:t>
            </w:r>
          </w:p>
        </w:tc>
        <w:tc>
          <w:tcPr>
            <w:tcW w:w="5324" w:type="dxa"/>
            <w:tcBorders>
              <w:top w:val="nil"/>
              <w:left w:val="nil"/>
              <w:bottom w:val="single" w:sz="4" w:space="0" w:color="auto"/>
              <w:right w:val="single" w:sz="4" w:space="0" w:color="auto"/>
            </w:tcBorders>
            <w:shd w:val="clear" w:color="auto" w:fill="auto"/>
            <w:vAlign w:val="center"/>
            <w:hideMark/>
          </w:tcPr>
          <w:p w14:paraId="6750A51D" w14:textId="77777777" w:rsidR="00C04E40" w:rsidRPr="0023319B" w:rsidRDefault="00C04E40" w:rsidP="00BD2A28">
            <w:pPr>
              <w:spacing w:line="240" w:lineRule="auto"/>
              <w:rPr>
                <w:rFonts w:ascii="Calibri Light" w:hAnsi="Calibri Light" w:cs="Calibri Light"/>
                <w:color w:val="000000"/>
                <w:sz w:val="18"/>
                <w:szCs w:val="18"/>
                <w:lang w:val="es-CR" w:eastAsia="es-CR"/>
              </w:rPr>
            </w:pPr>
            <w:r w:rsidRPr="0023319B">
              <w:rPr>
                <w:rFonts w:ascii="Calibri Light" w:hAnsi="Calibri Light" w:cs="Calibri Light"/>
                <w:color w:val="000000"/>
                <w:sz w:val="18"/>
                <w:szCs w:val="18"/>
                <w:lang w:val="es-CR" w:eastAsia="es-CR"/>
              </w:rPr>
              <w:t>Programación en lenguaje R</w:t>
            </w:r>
          </w:p>
        </w:tc>
        <w:tc>
          <w:tcPr>
            <w:tcW w:w="1276" w:type="dxa"/>
            <w:tcBorders>
              <w:top w:val="nil"/>
              <w:left w:val="nil"/>
              <w:bottom w:val="single" w:sz="4" w:space="0" w:color="auto"/>
              <w:right w:val="single" w:sz="4" w:space="0" w:color="auto"/>
            </w:tcBorders>
            <w:shd w:val="clear" w:color="auto" w:fill="auto"/>
            <w:vAlign w:val="center"/>
            <w:hideMark/>
          </w:tcPr>
          <w:p w14:paraId="1BDB3582" w14:textId="77777777" w:rsidR="00C04E40" w:rsidRPr="0023319B" w:rsidRDefault="00C04E40" w:rsidP="00BD2A28">
            <w:pPr>
              <w:spacing w:line="240" w:lineRule="auto"/>
              <w:jc w:val="center"/>
              <w:rPr>
                <w:rFonts w:ascii="Calibri Light" w:hAnsi="Calibri Light" w:cs="Calibri Light"/>
                <w:color w:val="000000"/>
                <w:sz w:val="18"/>
                <w:szCs w:val="18"/>
                <w:lang w:val="es-CR" w:eastAsia="es-CR"/>
              </w:rPr>
            </w:pPr>
            <w:r w:rsidRPr="0023319B">
              <w:rPr>
                <w:rFonts w:ascii="Calibri Light" w:hAnsi="Calibri Light" w:cs="Calibri Light"/>
                <w:color w:val="000000"/>
                <w:sz w:val="18"/>
                <w:szCs w:val="18"/>
                <w:lang w:val="es-CR" w:eastAsia="es-CR"/>
              </w:rPr>
              <w:t>21-jul-2020</w:t>
            </w:r>
          </w:p>
        </w:tc>
        <w:tc>
          <w:tcPr>
            <w:tcW w:w="1418" w:type="dxa"/>
            <w:tcBorders>
              <w:top w:val="nil"/>
              <w:left w:val="nil"/>
              <w:bottom w:val="single" w:sz="4" w:space="0" w:color="auto"/>
              <w:right w:val="single" w:sz="4" w:space="0" w:color="auto"/>
            </w:tcBorders>
            <w:shd w:val="clear" w:color="auto" w:fill="auto"/>
            <w:noWrap/>
            <w:vAlign w:val="center"/>
            <w:hideMark/>
          </w:tcPr>
          <w:p w14:paraId="43A08C40" w14:textId="57508798" w:rsidR="00C04E40" w:rsidRPr="0023319B" w:rsidRDefault="00C04E40" w:rsidP="00BD2A28">
            <w:pPr>
              <w:spacing w:line="240" w:lineRule="auto"/>
              <w:jc w:val="right"/>
              <w:rPr>
                <w:rFonts w:ascii="Calibri Light" w:hAnsi="Calibri Light" w:cs="Calibri Light"/>
                <w:color w:val="000000"/>
                <w:sz w:val="18"/>
                <w:szCs w:val="18"/>
                <w:lang w:val="es-CR" w:eastAsia="es-CR"/>
              </w:rPr>
            </w:pPr>
            <w:r w:rsidRPr="0023319B">
              <w:rPr>
                <w:rFonts w:ascii="Calibri Light" w:hAnsi="Calibri Light" w:cs="Calibri Light"/>
                <w:color w:val="000000"/>
                <w:sz w:val="18"/>
                <w:szCs w:val="18"/>
                <w:lang w:val="es-CR" w:eastAsia="es-CR"/>
              </w:rPr>
              <w:t xml:space="preserve">2 196 884 </w:t>
            </w:r>
          </w:p>
        </w:tc>
      </w:tr>
      <w:tr w:rsidR="00C04E40" w:rsidRPr="0023319B" w14:paraId="2FBB74F2" w14:textId="77777777" w:rsidTr="00BD2A28">
        <w:trPr>
          <w:trHeight w:val="310"/>
        </w:trPr>
        <w:tc>
          <w:tcPr>
            <w:tcW w:w="1192" w:type="dxa"/>
            <w:tcBorders>
              <w:top w:val="nil"/>
              <w:left w:val="single" w:sz="4" w:space="0" w:color="auto"/>
              <w:bottom w:val="single" w:sz="4" w:space="0" w:color="auto"/>
              <w:right w:val="single" w:sz="4" w:space="0" w:color="auto"/>
            </w:tcBorders>
            <w:shd w:val="clear" w:color="auto" w:fill="auto"/>
            <w:vAlign w:val="center"/>
            <w:hideMark/>
          </w:tcPr>
          <w:p w14:paraId="5B5BBD8B" w14:textId="77777777" w:rsidR="00C04E40" w:rsidRPr="0023319B" w:rsidRDefault="00C04E40" w:rsidP="00BD2A28">
            <w:pPr>
              <w:spacing w:line="240" w:lineRule="auto"/>
              <w:jc w:val="center"/>
              <w:rPr>
                <w:rFonts w:ascii="Calibri Light" w:hAnsi="Calibri Light" w:cs="Calibri Light"/>
                <w:color w:val="000000"/>
                <w:sz w:val="18"/>
                <w:szCs w:val="18"/>
                <w:lang w:val="es-CR" w:eastAsia="es-CR"/>
              </w:rPr>
            </w:pPr>
            <w:r w:rsidRPr="0023319B">
              <w:rPr>
                <w:rFonts w:ascii="Calibri Light" w:hAnsi="Calibri Light" w:cs="Calibri Light"/>
                <w:color w:val="000000"/>
                <w:sz w:val="18"/>
                <w:szCs w:val="18"/>
                <w:lang w:val="es-CR" w:eastAsia="es-CR"/>
              </w:rPr>
              <w:t>1</w:t>
            </w:r>
          </w:p>
        </w:tc>
        <w:tc>
          <w:tcPr>
            <w:tcW w:w="5324" w:type="dxa"/>
            <w:tcBorders>
              <w:top w:val="nil"/>
              <w:left w:val="nil"/>
              <w:bottom w:val="single" w:sz="4" w:space="0" w:color="auto"/>
              <w:right w:val="single" w:sz="4" w:space="0" w:color="auto"/>
            </w:tcBorders>
            <w:shd w:val="clear" w:color="auto" w:fill="auto"/>
            <w:vAlign w:val="center"/>
            <w:hideMark/>
          </w:tcPr>
          <w:p w14:paraId="6983675E" w14:textId="77777777" w:rsidR="00C04E40" w:rsidRPr="0023319B" w:rsidRDefault="00C04E40" w:rsidP="00BD2A28">
            <w:pPr>
              <w:spacing w:line="240" w:lineRule="auto"/>
              <w:rPr>
                <w:rFonts w:ascii="Calibri Light" w:hAnsi="Calibri Light" w:cs="Calibri Light"/>
                <w:color w:val="000000"/>
                <w:sz w:val="18"/>
                <w:szCs w:val="18"/>
                <w:lang w:val="es-CR" w:eastAsia="es-CR"/>
              </w:rPr>
            </w:pPr>
            <w:r w:rsidRPr="0023319B">
              <w:rPr>
                <w:rFonts w:ascii="Calibri Light" w:hAnsi="Calibri Light" w:cs="Calibri Light"/>
                <w:color w:val="000000"/>
                <w:sz w:val="18"/>
                <w:szCs w:val="18"/>
                <w:lang w:val="es-CR" w:eastAsia="es-CR"/>
              </w:rPr>
              <w:t>Programa técnico en riesgos (PTR).</w:t>
            </w:r>
          </w:p>
        </w:tc>
        <w:tc>
          <w:tcPr>
            <w:tcW w:w="1276" w:type="dxa"/>
            <w:tcBorders>
              <w:top w:val="nil"/>
              <w:left w:val="nil"/>
              <w:bottom w:val="single" w:sz="4" w:space="0" w:color="auto"/>
              <w:right w:val="single" w:sz="4" w:space="0" w:color="auto"/>
            </w:tcBorders>
            <w:shd w:val="clear" w:color="auto" w:fill="auto"/>
            <w:vAlign w:val="center"/>
            <w:hideMark/>
          </w:tcPr>
          <w:p w14:paraId="71217FB3" w14:textId="77777777" w:rsidR="00C04E40" w:rsidRPr="0023319B" w:rsidRDefault="00C04E40" w:rsidP="00BD2A28">
            <w:pPr>
              <w:spacing w:line="240" w:lineRule="auto"/>
              <w:jc w:val="center"/>
              <w:rPr>
                <w:rFonts w:ascii="Calibri Light" w:hAnsi="Calibri Light" w:cs="Calibri Light"/>
                <w:color w:val="000000"/>
                <w:sz w:val="18"/>
                <w:szCs w:val="18"/>
                <w:lang w:val="es-CR" w:eastAsia="es-CR"/>
              </w:rPr>
            </w:pPr>
            <w:r w:rsidRPr="0023319B">
              <w:rPr>
                <w:rFonts w:ascii="Calibri Light" w:hAnsi="Calibri Light" w:cs="Calibri Light"/>
                <w:color w:val="000000"/>
                <w:sz w:val="18"/>
                <w:szCs w:val="18"/>
                <w:lang w:val="es-CR" w:eastAsia="es-CR"/>
              </w:rPr>
              <w:t>26-jun-2020</w:t>
            </w:r>
          </w:p>
        </w:tc>
        <w:tc>
          <w:tcPr>
            <w:tcW w:w="1418" w:type="dxa"/>
            <w:tcBorders>
              <w:top w:val="nil"/>
              <w:left w:val="nil"/>
              <w:bottom w:val="single" w:sz="4" w:space="0" w:color="auto"/>
              <w:right w:val="single" w:sz="4" w:space="0" w:color="auto"/>
            </w:tcBorders>
            <w:shd w:val="clear" w:color="auto" w:fill="auto"/>
            <w:noWrap/>
            <w:vAlign w:val="center"/>
            <w:hideMark/>
          </w:tcPr>
          <w:p w14:paraId="2D2CEE37" w14:textId="1C26AF34" w:rsidR="00C04E40" w:rsidRPr="0023319B" w:rsidRDefault="00C04E40" w:rsidP="00BD2A28">
            <w:pPr>
              <w:spacing w:line="240" w:lineRule="auto"/>
              <w:jc w:val="right"/>
              <w:rPr>
                <w:rFonts w:ascii="Calibri Light" w:hAnsi="Calibri Light" w:cs="Calibri Light"/>
                <w:color w:val="000000"/>
                <w:sz w:val="18"/>
                <w:szCs w:val="18"/>
                <w:lang w:val="es-CR" w:eastAsia="es-CR"/>
              </w:rPr>
            </w:pPr>
            <w:r w:rsidRPr="0023319B">
              <w:rPr>
                <w:rFonts w:ascii="Calibri Light" w:hAnsi="Calibri Light" w:cs="Calibri Light"/>
                <w:color w:val="000000"/>
                <w:sz w:val="18"/>
                <w:szCs w:val="18"/>
                <w:lang w:val="es-CR" w:eastAsia="es-CR"/>
              </w:rPr>
              <w:t xml:space="preserve">469 200 </w:t>
            </w:r>
          </w:p>
        </w:tc>
      </w:tr>
      <w:tr w:rsidR="00C04E40" w:rsidRPr="0023319B" w14:paraId="1C41B37C" w14:textId="77777777" w:rsidTr="00BD2A28">
        <w:trPr>
          <w:trHeight w:val="310"/>
        </w:trPr>
        <w:tc>
          <w:tcPr>
            <w:tcW w:w="1192" w:type="dxa"/>
            <w:tcBorders>
              <w:top w:val="nil"/>
              <w:left w:val="single" w:sz="4" w:space="0" w:color="auto"/>
              <w:bottom w:val="single" w:sz="4" w:space="0" w:color="auto"/>
              <w:right w:val="single" w:sz="4" w:space="0" w:color="auto"/>
            </w:tcBorders>
            <w:shd w:val="clear" w:color="auto" w:fill="auto"/>
            <w:vAlign w:val="center"/>
            <w:hideMark/>
          </w:tcPr>
          <w:p w14:paraId="45822DE6" w14:textId="77777777" w:rsidR="00C04E40" w:rsidRPr="0023319B" w:rsidRDefault="00C04E40" w:rsidP="00BD2A28">
            <w:pPr>
              <w:spacing w:line="240" w:lineRule="auto"/>
              <w:jc w:val="center"/>
              <w:rPr>
                <w:rFonts w:ascii="Calibri Light" w:hAnsi="Calibri Light" w:cs="Calibri Light"/>
                <w:color w:val="000000"/>
                <w:sz w:val="18"/>
                <w:szCs w:val="18"/>
                <w:lang w:val="es-CR" w:eastAsia="es-CR"/>
              </w:rPr>
            </w:pPr>
            <w:r w:rsidRPr="0023319B">
              <w:rPr>
                <w:rFonts w:ascii="Calibri Light" w:hAnsi="Calibri Light" w:cs="Calibri Light"/>
                <w:color w:val="000000"/>
                <w:sz w:val="18"/>
                <w:szCs w:val="18"/>
                <w:lang w:val="es-CR" w:eastAsia="es-CR"/>
              </w:rPr>
              <w:t>4</w:t>
            </w:r>
          </w:p>
        </w:tc>
        <w:tc>
          <w:tcPr>
            <w:tcW w:w="5324" w:type="dxa"/>
            <w:tcBorders>
              <w:top w:val="nil"/>
              <w:left w:val="nil"/>
              <w:bottom w:val="single" w:sz="4" w:space="0" w:color="auto"/>
              <w:right w:val="single" w:sz="4" w:space="0" w:color="auto"/>
            </w:tcBorders>
            <w:shd w:val="clear" w:color="auto" w:fill="auto"/>
            <w:vAlign w:val="center"/>
            <w:hideMark/>
          </w:tcPr>
          <w:p w14:paraId="2E279D0F" w14:textId="77777777" w:rsidR="00C04E40" w:rsidRPr="0023319B" w:rsidRDefault="00C04E40" w:rsidP="00BD2A28">
            <w:pPr>
              <w:spacing w:line="240" w:lineRule="auto"/>
              <w:rPr>
                <w:rFonts w:ascii="Calibri Light" w:hAnsi="Calibri Light" w:cs="Calibri Light"/>
                <w:color w:val="000000"/>
                <w:sz w:val="18"/>
                <w:szCs w:val="18"/>
                <w:lang w:val="es-CR" w:eastAsia="es-CR"/>
              </w:rPr>
            </w:pPr>
            <w:r w:rsidRPr="0023319B">
              <w:rPr>
                <w:rFonts w:ascii="Calibri Light" w:hAnsi="Calibri Light" w:cs="Calibri Light"/>
                <w:color w:val="000000"/>
                <w:sz w:val="18"/>
                <w:szCs w:val="18"/>
                <w:lang w:val="es-CR" w:eastAsia="es-CR"/>
              </w:rPr>
              <w:t>Seminario virtual creación de dashboard</w:t>
            </w:r>
          </w:p>
        </w:tc>
        <w:tc>
          <w:tcPr>
            <w:tcW w:w="1276" w:type="dxa"/>
            <w:tcBorders>
              <w:top w:val="nil"/>
              <w:left w:val="nil"/>
              <w:bottom w:val="single" w:sz="4" w:space="0" w:color="auto"/>
              <w:right w:val="single" w:sz="4" w:space="0" w:color="auto"/>
            </w:tcBorders>
            <w:shd w:val="clear" w:color="auto" w:fill="auto"/>
            <w:vAlign w:val="center"/>
            <w:hideMark/>
          </w:tcPr>
          <w:p w14:paraId="40C10D62" w14:textId="77777777" w:rsidR="00C04E40" w:rsidRPr="0023319B" w:rsidRDefault="00C04E40" w:rsidP="00BD2A28">
            <w:pPr>
              <w:spacing w:line="240" w:lineRule="auto"/>
              <w:jc w:val="center"/>
              <w:rPr>
                <w:rFonts w:ascii="Calibri Light" w:hAnsi="Calibri Light" w:cs="Calibri Light"/>
                <w:color w:val="000000"/>
                <w:sz w:val="18"/>
                <w:szCs w:val="18"/>
                <w:lang w:val="es-CR" w:eastAsia="es-CR"/>
              </w:rPr>
            </w:pPr>
            <w:r w:rsidRPr="0023319B">
              <w:rPr>
                <w:rFonts w:ascii="Calibri Light" w:hAnsi="Calibri Light" w:cs="Calibri Light"/>
                <w:color w:val="000000"/>
                <w:sz w:val="18"/>
                <w:szCs w:val="18"/>
                <w:lang w:val="es-CR" w:eastAsia="es-CR"/>
              </w:rPr>
              <w:t>23-jun-2020</w:t>
            </w:r>
          </w:p>
        </w:tc>
        <w:tc>
          <w:tcPr>
            <w:tcW w:w="1418" w:type="dxa"/>
            <w:tcBorders>
              <w:top w:val="nil"/>
              <w:left w:val="nil"/>
              <w:bottom w:val="single" w:sz="4" w:space="0" w:color="auto"/>
              <w:right w:val="single" w:sz="4" w:space="0" w:color="auto"/>
            </w:tcBorders>
            <w:shd w:val="clear" w:color="auto" w:fill="auto"/>
            <w:noWrap/>
            <w:vAlign w:val="center"/>
            <w:hideMark/>
          </w:tcPr>
          <w:p w14:paraId="492B46A3" w14:textId="131C320A" w:rsidR="00C04E40" w:rsidRPr="0023319B" w:rsidRDefault="00C04E40" w:rsidP="00BD2A28">
            <w:pPr>
              <w:spacing w:line="240" w:lineRule="auto"/>
              <w:jc w:val="right"/>
              <w:rPr>
                <w:rFonts w:ascii="Calibri Light" w:hAnsi="Calibri Light" w:cs="Calibri Light"/>
                <w:color w:val="000000"/>
                <w:sz w:val="18"/>
                <w:szCs w:val="18"/>
                <w:lang w:val="es-CR" w:eastAsia="es-CR"/>
              </w:rPr>
            </w:pPr>
            <w:r w:rsidRPr="0023319B">
              <w:rPr>
                <w:rFonts w:ascii="Calibri Light" w:hAnsi="Calibri Light" w:cs="Calibri Light"/>
                <w:color w:val="000000"/>
                <w:sz w:val="18"/>
                <w:szCs w:val="18"/>
                <w:lang w:val="es-CR" w:eastAsia="es-CR"/>
              </w:rPr>
              <w:t xml:space="preserve">387 600 </w:t>
            </w:r>
          </w:p>
        </w:tc>
      </w:tr>
      <w:tr w:rsidR="00C04E40" w:rsidRPr="0023319B" w14:paraId="74475DED" w14:textId="77777777" w:rsidTr="00BD2A28">
        <w:trPr>
          <w:trHeight w:val="306"/>
        </w:trPr>
        <w:tc>
          <w:tcPr>
            <w:tcW w:w="1192" w:type="dxa"/>
            <w:tcBorders>
              <w:top w:val="nil"/>
              <w:left w:val="single" w:sz="4" w:space="0" w:color="auto"/>
              <w:bottom w:val="single" w:sz="4" w:space="0" w:color="auto"/>
              <w:right w:val="single" w:sz="4" w:space="0" w:color="auto"/>
            </w:tcBorders>
            <w:shd w:val="clear" w:color="auto" w:fill="auto"/>
            <w:vAlign w:val="center"/>
            <w:hideMark/>
          </w:tcPr>
          <w:p w14:paraId="1F8F4E7A" w14:textId="77777777" w:rsidR="00C04E40" w:rsidRPr="0023319B" w:rsidRDefault="00C04E40" w:rsidP="00BD2A28">
            <w:pPr>
              <w:spacing w:line="240" w:lineRule="auto"/>
              <w:jc w:val="center"/>
              <w:rPr>
                <w:rFonts w:ascii="Calibri Light" w:hAnsi="Calibri Light" w:cs="Calibri Light"/>
                <w:color w:val="000000"/>
                <w:sz w:val="18"/>
                <w:szCs w:val="18"/>
                <w:lang w:val="es-CR" w:eastAsia="es-CR"/>
              </w:rPr>
            </w:pPr>
            <w:r w:rsidRPr="0023319B">
              <w:rPr>
                <w:rFonts w:ascii="Calibri Light" w:hAnsi="Calibri Light" w:cs="Calibri Light"/>
                <w:color w:val="000000"/>
                <w:sz w:val="18"/>
                <w:szCs w:val="18"/>
                <w:lang w:val="es-CR" w:eastAsia="es-CR"/>
              </w:rPr>
              <w:t>5</w:t>
            </w:r>
          </w:p>
        </w:tc>
        <w:tc>
          <w:tcPr>
            <w:tcW w:w="5324" w:type="dxa"/>
            <w:tcBorders>
              <w:top w:val="nil"/>
              <w:left w:val="nil"/>
              <w:bottom w:val="single" w:sz="4" w:space="0" w:color="auto"/>
              <w:right w:val="single" w:sz="4" w:space="0" w:color="auto"/>
            </w:tcBorders>
            <w:shd w:val="clear" w:color="auto" w:fill="auto"/>
            <w:vAlign w:val="center"/>
            <w:hideMark/>
          </w:tcPr>
          <w:p w14:paraId="57C25B29" w14:textId="77777777" w:rsidR="00C04E40" w:rsidRPr="0023319B" w:rsidRDefault="00C04E40" w:rsidP="00BD2A28">
            <w:pPr>
              <w:spacing w:line="240" w:lineRule="auto"/>
              <w:rPr>
                <w:rFonts w:ascii="Calibri Light" w:hAnsi="Calibri Light" w:cs="Calibri Light"/>
                <w:color w:val="000000"/>
                <w:sz w:val="18"/>
                <w:szCs w:val="18"/>
                <w:lang w:val="es-CR" w:eastAsia="es-CR"/>
              </w:rPr>
            </w:pPr>
            <w:r w:rsidRPr="0023319B">
              <w:rPr>
                <w:rFonts w:ascii="Calibri Light" w:hAnsi="Calibri Light" w:cs="Calibri Light"/>
                <w:color w:val="000000"/>
                <w:sz w:val="18"/>
                <w:szCs w:val="18"/>
                <w:lang w:val="es-CR" w:eastAsia="es-CR"/>
              </w:rPr>
              <w:t>Curso virtual redacción de resoluciones administrativas</w:t>
            </w:r>
          </w:p>
        </w:tc>
        <w:tc>
          <w:tcPr>
            <w:tcW w:w="1276" w:type="dxa"/>
            <w:tcBorders>
              <w:top w:val="nil"/>
              <w:left w:val="nil"/>
              <w:bottom w:val="single" w:sz="4" w:space="0" w:color="auto"/>
              <w:right w:val="single" w:sz="4" w:space="0" w:color="auto"/>
            </w:tcBorders>
            <w:shd w:val="clear" w:color="auto" w:fill="auto"/>
            <w:vAlign w:val="center"/>
            <w:hideMark/>
          </w:tcPr>
          <w:p w14:paraId="5630209D" w14:textId="77777777" w:rsidR="00C04E40" w:rsidRPr="0023319B" w:rsidRDefault="00C04E40" w:rsidP="00BD2A28">
            <w:pPr>
              <w:spacing w:line="240" w:lineRule="auto"/>
              <w:jc w:val="center"/>
              <w:rPr>
                <w:rFonts w:ascii="Calibri Light" w:hAnsi="Calibri Light" w:cs="Calibri Light"/>
                <w:color w:val="000000"/>
                <w:sz w:val="18"/>
                <w:szCs w:val="18"/>
                <w:lang w:val="es-CR" w:eastAsia="es-CR"/>
              </w:rPr>
            </w:pPr>
            <w:r w:rsidRPr="0023319B">
              <w:rPr>
                <w:rFonts w:ascii="Calibri Light" w:hAnsi="Calibri Light" w:cs="Calibri Light"/>
                <w:color w:val="000000"/>
                <w:sz w:val="18"/>
                <w:szCs w:val="18"/>
                <w:lang w:val="es-CR" w:eastAsia="es-CR"/>
              </w:rPr>
              <w:t>23-jun-2020</w:t>
            </w:r>
          </w:p>
        </w:tc>
        <w:tc>
          <w:tcPr>
            <w:tcW w:w="1418" w:type="dxa"/>
            <w:tcBorders>
              <w:top w:val="nil"/>
              <w:left w:val="nil"/>
              <w:bottom w:val="single" w:sz="4" w:space="0" w:color="auto"/>
              <w:right w:val="single" w:sz="4" w:space="0" w:color="auto"/>
            </w:tcBorders>
            <w:shd w:val="clear" w:color="auto" w:fill="auto"/>
            <w:noWrap/>
            <w:vAlign w:val="center"/>
            <w:hideMark/>
          </w:tcPr>
          <w:p w14:paraId="0F601662" w14:textId="3BB85C6F" w:rsidR="00C04E40" w:rsidRPr="0023319B" w:rsidRDefault="00C04E40" w:rsidP="00BD2A28">
            <w:pPr>
              <w:spacing w:line="240" w:lineRule="auto"/>
              <w:jc w:val="right"/>
              <w:rPr>
                <w:rFonts w:ascii="Calibri Light" w:hAnsi="Calibri Light" w:cs="Calibri Light"/>
                <w:color w:val="000000"/>
                <w:sz w:val="18"/>
                <w:szCs w:val="18"/>
                <w:lang w:val="es-CR" w:eastAsia="es-CR"/>
              </w:rPr>
            </w:pPr>
            <w:r w:rsidRPr="0023319B">
              <w:rPr>
                <w:rFonts w:ascii="Calibri Light" w:hAnsi="Calibri Light" w:cs="Calibri Light"/>
                <w:color w:val="000000"/>
                <w:sz w:val="18"/>
                <w:szCs w:val="18"/>
                <w:lang w:val="es-CR" w:eastAsia="es-CR"/>
              </w:rPr>
              <w:t xml:space="preserve">300 900 </w:t>
            </w:r>
          </w:p>
        </w:tc>
      </w:tr>
      <w:tr w:rsidR="00C04E40" w:rsidRPr="0023319B" w14:paraId="0BD2F458" w14:textId="77777777" w:rsidTr="00BD2A28">
        <w:trPr>
          <w:trHeight w:val="310"/>
        </w:trPr>
        <w:tc>
          <w:tcPr>
            <w:tcW w:w="1192" w:type="dxa"/>
            <w:tcBorders>
              <w:top w:val="nil"/>
              <w:left w:val="single" w:sz="4" w:space="0" w:color="auto"/>
              <w:bottom w:val="single" w:sz="4" w:space="0" w:color="auto"/>
              <w:right w:val="single" w:sz="4" w:space="0" w:color="auto"/>
            </w:tcBorders>
            <w:shd w:val="clear" w:color="auto" w:fill="auto"/>
            <w:vAlign w:val="center"/>
            <w:hideMark/>
          </w:tcPr>
          <w:p w14:paraId="70EB535E" w14:textId="77777777" w:rsidR="00C04E40" w:rsidRPr="0023319B" w:rsidRDefault="00C04E40" w:rsidP="00BD2A28">
            <w:pPr>
              <w:spacing w:line="240" w:lineRule="auto"/>
              <w:jc w:val="center"/>
              <w:rPr>
                <w:rFonts w:ascii="Calibri Light" w:hAnsi="Calibri Light" w:cs="Calibri Light"/>
                <w:color w:val="000000"/>
                <w:sz w:val="18"/>
                <w:szCs w:val="18"/>
                <w:lang w:val="es-CR" w:eastAsia="es-CR"/>
              </w:rPr>
            </w:pPr>
            <w:r w:rsidRPr="0023319B">
              <w:rPr>
                <w:rFonts w:ascii="Calibri Light" w:hAnsi="Calibri Light" w:cs="Calibri Light"/>
                <w:color w:val="000000"/>
                <w:sz w:val="18"/>
                <w:szCs w:val="18"/>
                <w:lang w:val="es-CR" w:eastAsia="es-CR"/>
              </w:rPr>
              <w:t>1</w:t>
            </w:r>
          </w:p>
        </w:tc>
        <w:tc>
          <w:tcPr>
            <w:tcW w:w="5324" w:type="dxa"/>
            <w:tcBorders>
              <w:top w:val="nil"/>
              <w:left w:val="nil"/>
              <w:bottom w:val="single" w:sz="4" w:space="0" w:color="auto"/>
              <w:right w:val="single" w:sz="4" w:space="0" w:color="auto"/>
            </w:tcBorders>
            <w:shd w:val="clear" w:color="auto" w:fill="auto"/>
            <w:vAlign w:val="center"/>
            <w:hideMark/>
          </w:tcPr>
          <w:p w14:paraId="0EEA2A2C" w14:textId="77777777" w:rsidR="00C04E40" w:rsidRPr="0023319B" w:rsidRDefault="00C04E40" w:rsidP="00BD2A28">
            <w:pPr>
              <w:spacing w:line="240" w:lineRule="auto"/>
              <w:rPr>
                <w:rFonts w:ascii="Calibri Light" w:hAnsi="Calibri Light" w:cs="Calibri Light"/>
                <w:color w:val="000000"/>
                <w:sz w:val="18"/>
                <w:szCs w:val="18"/>
                <w:lang w:val="es-CR" w:eastAsia="es-CR"/>
              </w:rPr>
            </w:pPr>
            <w:r w:rsidRPr="0023319B">
              <w:rPr>
                <w:rFonts w:ascii="Calibri Light" w:hAnsi="Calibri Light" w:cs="Calibri Light"/>
                <w:color w:val="000000"/>
                <w:sz w:val="18"/>
                <w:szCs w:val="18"/>
                <w:lang w:val="es-CR" w:eastAsia="es-CR"/>
              </w:rPr>
              <w:t>Análisis de datos y big data.</w:t>
            </w:r>
          </w:p>
        </w:tc>
        <w:tc>
          <w:tcPr>
            <w:tcW w:w="1276" w:type="dxa"/>
            <w:tcBorders>
              <w:top w:val="nil"/>
              <w:left w:val="nil"/>
              <w:bottom w:val="single" w:sz="4" w:space="0" w:color="auto"/>
              <w:right w:val="single" w:sz="4" w:space="0" w:color="auto"/>
            </w:tcBorders>
            <w:shd w:val="clear" w:color="auto" w:fill="auto"/>
            <w:vAlign w:val="center"/>
            <w:hideMark/>
          </w:tcPr>
          <w:p w14:paraId="4860988D" w14:textId="77777777" w:rsidR="00C04E40" w:rsidRPr="0023319B" w:rsidRDefault="00C04E40" w:rsidP="00BD2A28">
            <w:pPr>
              <w:spacing w:line="240" w:lineRule="auto"/>
              <w:jc w:val="center"/>
              <w:rPr>
                <w:rFonts w:ascii="Calibri Light" w:hAnsi="Calibri Light" w:cs="Calibri Light"/>
                <w:color w:val="000000"/>
                <w:sz w:val="18"/>
                <w:szCs w:val="18"/>
                <w:lang w:val="es-CR" w:eastAsia="es-CR"/>
              </w:rPr>
            </w:pPr>
            <w:r w:rsidRPr="0023319B">
              <w:rPr>
                <w:rFonts w:ascii="Calibri Light" w:hAnsi="Calibri Light" w:cs="Calibri Light"/>
                <w:color w:val="000000"/>
                <w:sz w:val="18"/>
                <w:szCs w:val="18"/>
                <w:lang w:val="es-CR" w:eastAsia="es-CR"/>
              </w:rPr>
              <w:t>27-jun-2020</w:t>
            </w:r>
          </w:p>
        </w:tc>
        <w:tc>
          <w:tcPr>
            <w:tcW w:w="1418" w:type="dxa"/>
            <w:tcBorders>
              <w:top w:val="nil"/>
              <w:left w:val="nil"/>
              <w:bottom w:val="single" w:sz="4" w:space="0" w:color="auto"/>
              <w:right w:val="single" w:sz="4" w:space="0" w:color="auto"/>
            </w:tcBorders>
            <w:shd w:val="clear" w:color="auto" w:fill="auto"/>
            <w:noWrap/>
            <w:vAlign w:val="center"/>
            <w:hideMark/>
          </w:tcPr>
          <w:p w14:paraId="3CC92666" w14:textId="2ABEEE02" w:rsidR="00C04E40" w:rsidRPr="0023319B" w:rsidRDefault="00C04E40" w:rsidP="00BD2A28">
            <w:pPr>
              <w:spacing w:line="240" w:lineRule="auto"/>
              <w:jc w:val="right"/>
              <w:rPr>
                <w:rFonts w:ascii="Calibri Light" w:hAnsi="Calibri Light" w:cs="Calibri Light"/>
                <w:color w:val="000000"/>
                <w:sz w:val="18"/>
                <w:szCs w:val="18"/>
                <w:lang w:val="es-CR" w:eastAsia="es-CR"/>
              </w:rPr>
            </w:pPr>
            <w:r w:rsidRPr="0023319B">
              <w:rPr>
                <w:rFonts w:ascii="Calibri Light" w:hAnsi="Calibri Light" w:cs="Calibri Light"/>
                <w:color w:val="000000"/>
                <w:sz w:val="18"/>
                <w:szCs w:val="18"/>
                <w:lang w:val="es-CR" w:eastAsia="es-CR"/>
              </w:rPr>
              <w:t xml:space="preserve">168 300 </w:t>
            </w:r>
          </w:p>
        </w:tc>
      </w:tr>
      <w:tr w:rsidR="00C04E40" w:rsidRPr="0023319B" w14:paraId="1B932AB5" w14:textId="77777777" w:rsidTr="00BD2A28">
        <w:trPr>
          <w:trHeight w:val="310"/>
        </w:trPr>
        <w:tc>
          <w:tcPr>
            <w:tcW w:w="1192" w:type="dxa"/>
            <w:tcBorders>
              <w:top w:val="nil"/>
              <w:left w:val="single" w:sz="4" w:space="0" w:color="auto"/>
              <w:bottom w:val="single" w:sz="4" w:space="0" w:color="auto"/>
              <w:right w:val="single" w:sz="4" w:space="0" w:color="auto"/>
            </w:tcBorders>
            <w:shd w:val="clear" w:color="auto" w:fill="auto"/>
            <w:vAlign w:val="center"/>
            <w:hideMark/>
          </w:tcPr>
          <w:p w14:paraId="36F48CEA" w14:textId="77777777" w:rsidR="00C04E40" w:rsidRPr="0023319B" w:rsidRDefault="00C04E40" w:rsidP="00BD2A28">
            <w:pPr>
              <w:spacing w:line="240" w:lineRule="auto"/>
              <w:jc w:val="center"/>
              <w:rPr>
                <w:rFonts w:ascii="Calibri Light" w:hAnsi="Calibri Light" w:cs="Calibri Light"/>
                <w:color w:val="000000"/>
                <w:sz w:val="18"/>
                <w:szCs w:val="18"/>
                <w:lang w:val="es-CR" w:eastAsia="es-CR"/>
              </w:rPr>
            </w:pPr>
            <w:r w:rsidRPr="0023319B">
              <w:rPr>
                <w:rFonts w:ascii="Calibri Light" w:hAnsi="Calibri Light" w:cs="Calibri Light"/>
                <w:color w:val="000000"/>
                <w:sz w:val="18"/>
                <w:szCs w:val="18"/>
                <w:lang w:val="es-CR" w:eastAsia="es-CR"/>
              </w:rPr>
              <w:t>1</w:t>
            </w:r>
          </w:p>
        </w:tc>
        <w:tc>
          <w:tcPr>
            <w:tcW w:w="5324" w:type="dxa"/>
            <w:tcBorders>
              <w:top w:val="nil"/>
              <w:left w:val="nil"/>
              <w:bottom w:val="single" w:sz="4" w:space="0" w:color="auto"/>
              <w:right w:val="single" w:sz="4" w:space="0" w:color="auto"/>
            </w:tcBorders>
            <w:shd w:val="clear" w:color="auto" w:fill="auto"/>
            <w:vAlign w:val="center"/>
            <w:hideMark/>
          </w:tcPr>
          <w:p w14:paraId="5ECEC8A5" w14:textId="77777777" w:rsidR="00C04E40" w:rsidRPr="0023319B" w:rsidRDefault="00C04E40" w:rsidP="00BD2A28">
            <w:pPr>
              <w:spacing w:line="240" w:lineRule="auto"/>
              <w:rPr>
                <w:rFonts w:ascii="Calibri Light" w:hAnsi="Calibri Light" w:cs="Calibri Light"/>
                <w:color w:val="000000"/>
                <w:sz w:val="18"/>
                <w:szCs w:val="18"/>
                <w:lang w:val="es-CR" w:eastAsia="es-CR"/>
              </w:rPr>
            </w:pPr>
            <w:r w:rsidRPr="0023319B">
              <w:rPr>
                <w:rFonts w:ascii="Calibri Light" w:hAnsi="Calibri Light" w:cs="Calibri Light"/>
                <w:color w:val="000000"/>
                <w:sz w:val="18"/>
                <w:szCs w:val="18"/>
                <w:lang w:val="es-CR" w:eastAsia="es-CR"/>
              </w:rPr>
              <w:t>Programa Especialista en Marketing Digital.</w:t>
            </w:r>
          </w:p>
        </w:tc>
        <w:tc>
          <w:tcPr>
            <w:tcW w:w="1276" w:type="dxa"/>
            <w:tcBorders>
              <w:top w:val="nil"/>
              <w:left w:val="nil"/>
              <w:bottom w:val="single" w:sz="4" w:space="0" w:color="auto"/>
              <w:right w:val="single" w:sz="4" w:space="0" w:color="auto"/>
            </w:tcBorders>
            <w:shd w:val="clear" w:color="auto" w:fill="auto"/>
            <w:vAlign w:val="center"/>
            <w:hideMark/>
          </w:tcPr>
          <w:p w14:paraId="3DF44167" w14:textId="77777777" w:rsidR="00C04E40" w:rsidRPr="0023319B" w:rsidRDefault="00C04E40" w:rsidP="00BD2A28">
            <w:pPr>
              <w:spacing w:line="240" w:lineRule="auto"/>
              <w:jc w:val="center"/>
              <w:rPr>
                <w:rFonts w:ascii="Calibri Light" w:hAnsi="Calibri Light" w:cs="Calibri Light"/>
                <w:color w:val="000000"/>
                <w:sz w:val="18"/>
                <w:szCs w:val="18"/>
                <w:lang w:val="es-CR" w:eastAsia="es-CR"/>
              </w:rPr>
            </w:pPr>
            <w:r w:rsidRPr="0023319B">
              <w:rPr>
                <w:rFonts w:ascii="Calibri Light" w:hAnsi="Calibri Light" w:cs="Calibri Light"/>
                <w:color w:val="000000"/>
                <w:sz w:val="18"/>
                <w:szCs w:val="18"/>
                <w:lang w:val="es-CR" w:eastAsia="es-CR"/>
              </w:rPr>
              <w:t>11-jul-2020</w:t>
            </w:r>
          </w:p>
        </w:tc>
        <w:tc>
          <w:tcPr>
            <w:tcW w:w="1418" w:type="dxa"/>
            <w:tcBorders>
              <w:top w:val="nil"/>
              <w:left w:val="nil"/>
              <w:bottom w:val="single" w:sz="4" w:space="0" w:color="auto"/>
              <w:right w:val="single" w:sz="4" w:space="0" w:color="auto"/>
            </w:tcBorders>
            <w:shd w:val="clear" w:color="auto" w:fill="auto"/>
            <w:noWrap/>
            <w:vAlign w:val="center"/>
            <w:hideMark/>
          </w:tcPr>
          <w:p w14:paraId="5E7DCFA1" w14:textId="79BD9AD7" w:rsidR="00C04E40" w:rsidRPr="0023319B" w:rsidRDefault="00C04E40" w:rsidP="00BD2A28">
            <w:pPr>
              <w:spacing w:line="240" w:lineRule="auto"/>
              <w:jc w:val="right"/>
              <w:rPr>
                <w:rFonts w:ascii="Calibri Light" w:hAnsi="Calibri Light" w:cs="Calibri Light"/>
                <w:color w:val="000000"/>
                <w:sz w:val="18"/>
                <w:szCs w:val="18"/>
                <w:lang w:val="es-CR" w:eastAsia="es-CR"/>
              </w:rPr>
            </w:pPr>
            <w:r w:rsidRPr="0023319B">
              <w:rPr>
                <w:rFonts w:ascii="Calibri Light" w:hAnsi="Calibri Light" w:cs="Calibri Light"/>
                <w:color w:val="000000"/>
                <w:sz w:val="18"/>
                <w:szCs w:val="18"/>
                <w:lang w:val="es-CR" w:eastAsia="es-CR"/>
              </w:rPr>
              <w:t xml:space="preserve">173 400 </w:t>
            </w:r>
          </w:p>
        </w:tc>
      </w:tr>
      <w:tr w:rsidR="00C04E40" w:rsidRPr="0023319B" w14:paraId="139049D4" w14:textId="77777777" w:rsidTr="00BD2A28">
        <w:trPr>
          <w:trHeight w:val="490"/>
        </w:trPr>
        <w:tc>
          <w:tcPr>
            <w:tcW w:w="1192" w:type="dxa"/>
            <w:tcBorders>
              <w:top w:val="nil"/>
              <w:left w:val="single" w:sz="4" w:space="0" w:color="auto"/>
              <w:bottom w:val="single" w:sz="4" w:space="0" w:color="auto"/>
              <w:right w:val="single" w:sz="4" w:space="0" w:color="auto"/>
            </w:tcBorders>
            <w:shd w:val="clear" w:color="auto" w:fill="auto"/>
            <w:vAlign w:val="center"/>
            <w:hideMark/>
          </w:tcPr>
          <w:p w14:paraId="77DA25B6" w14:textId="77777777" w:rsidR="00C04E40" w:rsidRPr="0023319B" w:rsidRDefault="00C04E40" w:rsidP="00BD2A28">
            <w:pPr>
              <w:spacing w:line="240" w:lineRule="auto"/>
              <w:jc w:val="center"/>
              <w:rPr>
                <w:rFonts w:ascii="Calibri Light" w:hAnsi="Calibri Light" w:cs="Calibri Light"/>
                <w:color w:val="000000"/>
                <w:sz w:val="18"/>
                <w:szCs w:val="18"/>
                <w:lang w:val="es-CR" w:eastAsia="es-CR"/>
              </w:rPr>
            </w:pPr>
            <w:r w:rsidRPr="0023319B">
              <w:rPr>
                <w:rFonts w:ascii="Calibri Light" w:hAnsi="Calibri Light" w:cs="Calibri Light"/>
                <w:color w:val="000000"/>
                <w:sz w:val="18"/>
                <w:szCs w:val="18"/>
                <w:lang w:val="es-CR" w:eastAsia="es-CR"/>
              </w:rPr>
              <w:t>1</w:t>
            </w:r>
          </w:p>
        </w:tc>
        <w:tc>
          <w:tcPr>
            <w:tcW w:w="5324" w:type="dxa"/>
            <w:tcBorders>
              <w:top w:val="nil"/>
              <w:left w:val="nil"/>
              <w:bottom w:val="single" w:sz="4" w:space="0" w:color="auto"/>
              <w:right w:val="single" w:sz="4" w:space="0" w:color="auto"/>
            </w:tcBorders>
            <w:shd w:val="clear" w:color="auto" w:fill="auto"/>
            <w:vAlign w:val="center"/>
            <w:hideMark/>
          </w:tcPr>
          <w:p w14:paraId="06E5ADA8" w14:textId="77777777" w:rsidR="00C04E40" w:rsidRPr="0023319B" w:rsidRDefault="00C04E40" w:rsidP="00BD2A28">
            <w:pPr>
              <w:spacing w:line="240" w:lineRule="auto"/>
              <w:rPr>
                <w:rFonts w:ascii="Calibri Light" w:hAnsi="Calibri Light" w:cs="Calibri Light"/>
                <w:color w:val="000000"/>
                <w:sz w:val="18"/>
                <w:szCs w:val="18"/>
                <w:lang w:val="es-CR" w:eastAsia="es-CR"/>
              </w:rPr>
            </w:pPr>
            <w:r w:rsidRPr="0023319B">
              <w:rPr>
                <w:rFonts w:ascii="Calibri Light" w:hAnsi="Calibri Light" w:cs="Calibri Light"/>
                <w:color w:val="000000"/>
                <w:sz w:val="18"/>
                <w:szCs w:val="18"/>
                <w:lang w:val="es-CR" w:eastAsia="es-CR"/>
              </w:rPr>
              <w:t>Seminario virtual calidad en la comunicación y mejora del desempeño laboral</w:t>
            </w:r>
          </w:p>
        </w:tc>
        <w:tc>
          <w:tcPr>
            <w:tcW w:w="1276" w:type="dxa"/>
            <w:tcBorders>
              <w:top w:val="nil"/>
              <w:left w:val="nil"/>
              <w:bottom w:val="single" w:sz="4" w:space="0" w:color="auto"/>
              <w:right w:val="single" w:sz="4" w:space="0" w:color="auto"/>
            </w:tcBorders>
            <w:shd w:val="clear" w:color="auto" w:fill="auto"/>
            <w:vAlign w:val="center"/>
            <w:hideMark/>
          </w:tcPr>
          <w:p w14:paraId="3443C74B" w14:textId="77777777" w:rsidR="00C04E40" w:rsidRPr="0023319B" w:rsidRDefault="00C04E40" w:rsidP="00BD2A28">
            <w:pPr>
              <w:spacing w:line="240" w:lineRule="auto"/>
              <w:jc w:val="center"/>
              <w:rPr>
                <w:rFonts w:ascii="Calibri Light" w:hAnsi="Calibri Light" w:cs="Calibri Light"/>
                <w:color w:val="000000"/>
                <w:sz w:val="18"/>
                <w:szCs w:val="18"/>
                <w:lang w:val="es-CR" w:eastAsia="es-CR"/>
              </w:rPr>
            </w:pPr>
            <w:r w:rsidRPr="0023319B">
              <w:rPr>
                <w:rFonts w:ascii="Calibri Light" w:hAnsi="Calibri Light" w:cs="Calibri Light"/>
                <w:color w:val="000000"/>
                <w:sz w:val="18"/>
                <w:szCs w:val="18"/>
                <w:lang w:val="es-CR" w:eastAsia="es-CR"/>
              </w:rPr>
              <w:t>2-jun-2020</w:t>
            </w:r>
          </w:p>
        </w:tc>
        <w:tc>
          <w:tcPr>
            <w:tcW w:w="1418" w:type="dxa"/>
            <w:tcBorders>
              <w:top w:val="nil"/>
              <w:left w:val="nil"/>
              <w:bottom w:val="single" w:sz="4" w:space="0" w:color="auto"/>
              <w:right w:val="single" w:sz="4" w:space="0" w:color="auto"/>
            </w:tcBorders>
            <w:shd w:val="clear" w:color="auto" w:fill="auto"/>
            <w:noWrap/>
            <w:vAlign w:val="center"/>
            <w:hideMark/>
          </w:tcPr>
          <w:p w14:paraId="27416A1B" w14:textId="79EA1B52" w:rsidR="00C04E40" w:rsidRPr="0023319B" w:rsidRDefault="00C04E40" w:rsidP="00BD2A28">
            <w:pPr>
              <w:spacing w:line="240" w:lineRule="auto"/>
              <w:jc w:val="right"/>
              <w:rPr>
                <w:rFonts w:ascii="Calibri Light" w:hAnsi="Calibri Light" w:cs="Calibri Light"/>
                <w:color w:val="000000"/>
                <w:sz w:val="18"/>
                <w:szCs w:val="18"/>
                <w:lang w:val="es-CR" w:eastAsia="es-CR"/>
              </w:rPr>
            </w:pPr>
            <w:r w:rsidRPr="0023319B">
              <w:rPr>
                <w:rFonts w:ascii="Calibri Light" w:hAnsi="Calibri Light" w:cs="Calibri Light"/>
                <w:color w:val="000000"/>
                <w:sz w:val="18"/>
                <w:szCs w:val="18"/>
                <w:lang w:val="es-CR" w:eastAsia="es-CR"/>
              </w:rPr>
              <w:t xml:space="preserve">  86 190 </w:t>
            </w:r>
          </w:p>
        </w:tc>
      </w:tr>
      <w:tr w:rsidR="00C04E40" w:rsidRPr="0023319B" w14:paraId="10078CAA" w14:textId="77777777" w:rsidTr="00BD2A28">
        <w:trPr>
          <w:trHeight w:val="246"/>
        </w:trPr>
        <w:tc>
          <w:tcPr>
            <w:tcW w:w="1192" w:type="dxa"/>
            <w:tcBorders>
              <w:top w:val="nil"/>
              <w:left w:val="single" w:sz="4" w:space="0" w:color="auto"/>
              <w:bottom w:val="single" w:sz="4" w:space="0" w:color="auto"/>
              <w:right w:val="single" w:sz="4" w:space="0" w:color="auto"/>
            </w:tcBorders>
            <w:shd w:val="clear" w:color="auto" w:fill="auto"/>
            <w:vAlign w:val="center"/>
            <w:hideMark/>
          </w:tcPr>
          <w:p w14:paraId="216D1073" w14:textId="77777777" w:rsidR="00C04E40" w:rsidRPr="0023319B" w:rsidRDefault="00C04E40" w:rsidP="00BD2A28">
            <w:pPr>
              <w:spacing w:line="240" w:lineRule="auto"/>
              <w:jc w:val="center"/>
              <w:rPr>
                <w:rFonts w:ascii="Calibri Light" w:hAnsi="Calibri Light" w:cs="Calibri Light"/>
                <w:color w:val="000000"/>
                <w:sz w:val="18"/>
                <w:szCs w:val="18"/>
                <w:lang w:val="es-CR" w:eastAsia="es-CR"/>
              </w:rPr>
            </w:pPr>
            <w:r w:rsidRPr="0023319B">
              <w:rPr>
                <w:rFonts w:ascii="Calibri Light" w:hAnsi="Calibri Light" w:cs="Calibri Light"/>
                <w:color w:val="000000"/>
                <w:sz w:val="18"/>
                <w:szCs w:val="18"/>
                <w:lang w:val="es-CR" w:eastAsia="es-CR"/>
              </w:rPr>
              <w:t>1</w:t>
            </w:r>
          </w:p>
        </w:tc>
        <w:tc>
          <w:tcPr>
            <w:tcW w:w="5324" w:type="dxa"/>
            <w:tcBorders>
              <w:top w:val="nil"/>
              <w:left w:val="nil"/>
              <w:bottom w:val="single" w:sz="4" w:space="0" w:color="auto"/>
              <w:right w:val="single" w:sz="4" w:space="0" w:color="auto"/>
            </w:tcBorders>
            <w:shd w:val="clear" w:color="auto" w:fill="auto"/>
            <w:vAlign w:val="center"/>
            <w:hideMark/>
          </w:tcPr>
          <w:p w14:paraId="701CDBB9" w14:textId="7318CA82" w:rsidR="00C04E40" w:rsidRPr="0023319B" w:rsidRDefault="00C04E40" w:rsidP="00BD2A28">
            <w:pPr>
              <w:spacing w:line="240" w:lineRule="auto"/>
              <w:rPr>
                <w:rFonts w:ascii="Calibri Light" w:hAnsi="Calibri Light" w:cs="Calibri Light"/>
                <w:color w:val="000000"/>
                <w:sz w:val="18"/>
                <w:szCs w:val="18"/>
                <w:lang w:val="es-CR" w:eastAsia="es-CR"/>
              </w:rPr>
            </w:pPr>
            <w:r w:rsidRPr="0023319B">
              <w:rPr>
                <w:rFonts w:ascii="Calibri Light" w:hAnsi="Calibri Light" w:cs="Calibri Light"/>
                <w:color w:val="000000"/>
                <w:sz w:val="18"/>
                <w:szCs w:val="18"/>
                <w:lang w:val="es-CR" w:eastAsia="es-CR"/>
              </w:rPr>
              <w:t xml:space="preserve">Curso virtual audiencias orales en </w:t>
            </w:r>
            <w:r w:rsidR="00BD2A28" w:rsidRPr="0023319B">
              <w:rPr>
                <w:rFonts w:ascii="Calibri Light" w:hAnsi="Calibri Light" w:cs="Calibri Light"/>
                <w:color w:val="000000"/>
                <w:sz w:val="18"/>
                <w:szCs w:val="18"/>
                <w:lang w:val="es-CR" w:eastAsia="es-CR"/>
              </w:rPr>
              <w:t>materia</w:t>
            </w:r>
            <w:r w:rsidRPr="0023319B">
              <w:rPr>
                <w:rFonts w:ascii="Calibri Light" w:hAnsi="Calibri Light" w:cs="Calibri Light"/>
                <w:color w:val="000000"/>
                <w:sz w:val="18"/>
                <w:szCs w:val="18"/>
                <w:lang w:val="es-CR" w:eastAsia="es-CR"/>
              </w:rPr>
              <w:t xml:space="preserve"> civil y contenciosa.</w:t>
            </w:r>
          </w:p>
        </w:tc>
        <w:tc>
          <w:tcPr>
            <w:tcW w:w="1276" w:type="dxa"/>
            <w:tcBorders>
              <w:top w:val="nil"/>
              <w:left w:val="nil"/>
              <w:bottom w:val="single" w:sz="4" w:space="0" w:color="auto"/>
              <w:right w:val="single" w:sz="4" w:space="0" w:color="auto"/>
            </w:tcBorders>
            <w:shd w:val="clear" w:color="auto" w:fill="auto"/>
            <w:vAlign w:val="center"/>
            <w:hideMark/>
          </w:tcPr>
          <w:p w14:paraId="1E264125" w14:textId="77777777" w:rsidR="00C04E40" w:rsidRPr="0023319B" w:rsidRDefault="00C04E40" w:rsidP="00BD2A28">
            <w:pPr>
              <w:spacing w:line="240" w:lineRule="auto"/>
              <w:jc w:val="center"/>
              <w:rPr>
                <w:rFonts w:ascii="Calibri Light" w:hAnsi="Calibri Light" w:cs="Calibri Light"/>
                <w:color w:val="000000"/>
                <w:sz w:val="18"/>
                <w:szCs w:val="18"/>
                <w:lang w:val="es-CR" w:eastAsia="es-CR"/>
              </w:rPr>
            </w:pPr>
            <w:r w:rsidRPr="0023319B">
              <w:rPr>
                <w:rFonts w:ascii="Calibri Light" w:hAnsi="Calibri Light" w:cs="Calibri Light"/>
                <w:color w:val="000000"/>
                <w:sz w:val="18"/>
                <w:szCs w:val="18"/>
                <w:lang w:val="es-CR" w:eastAsia="es-CR"/>
              </w:rPr>
              <w:t>11-jun-2020</w:t>
            </w:r>
          </w:p>
        </w:tc>
        <w:tc>
          <w:tcPr>
            <w:tcW w:w="1418" w:type="dxa"/>
            <w:tcBorders>
              <w:top w:val="nil"/>
              <w:left w:val="nil"/>
              <w:bottom w:val="single" w:sz="4" w:space="0" w:color="auto"/>
              <w:right w:val="single" w:sz="4" w:space="0" w:color="auto"/>
            </w:tcBorders>
            <w:shd w:val="clear" w:color="auto" w:fill="auto"/>
            <w:noWrap/>
            <w:vAlign w:val="center"/>
            <w:hideMark/>
          </w:tcPr>
          <w:p w14:paraId="3C9DE283" w14:textId="25270450" w:rsidR="00C04E40" w:rsidRPr="0023319B" w:rsidRDefault="00C04E40" w:rsidP="00BD2A28">
            <w:pPr>
              <w:spacing w:line="240" w:lineRule="auto"/>
              <w:jc w:val="right"/>
              <w:rPr>
                <w:rFonts w:ascii="Calibri Light" w:hAnsi="Calibri Light" w:cs="Calibri Light"/>
                <w:color w:val="000000"/>
                <w:sz w:val="18"/>
                <w:szCs w:val="18"/>
                <w:lang w:val="es-CR" w:eastAsia="es-CR"/>
              </w:rPr>
            </w:pPr>
            <w:r w:rsidRPr="0023319B">
              <w:rPr>
                <w:rFonts w:ascii="Calibri Light" w:hAnsi="Calibri Light" w:cs="Calibri Light"/>
                <w:color w:val="000000"/>
                <w:sz w:val="18"/>
                <w:szCs w:val="18"/>
                <w:lang w:val="es-CR" w:eastAsia="es-CR"/>
              </w:rPr>
              <w:t xml:space="preserve">  85 680 </w:t>
            </w:r>
          </w:p>
        </w:tc>
      </w:tr>
      <w:tr w:rsidR="00C04E40" w:rsidRPr="0023319B" w14:paraId="2E257FCA" w14:textId="77777777" w:rsidTr="00BD2A28">
        <w:trPr>
          <w:trHeight w:val="310"/>
        </w:trPr>
        <w:tc>
          <w:tcPr>
            <w:tcW w:w="1192" w:type="dxa"/>
            <w:tcBorders>
              <w:top w:val="nil"/>
              <w:left w:val="single" w:sz="4" w:space="0" w:color="auto"/>
              <w:bottom w:val="single" w:sz="4" w:space="0" w:color="auto"/>
              <w:right w:val="single" w:sz="4" w:space="0" w:color="auto"/>
            </w:tcBorders>
            <w:shd w:val="clear" w:color="auto" w:fill="auto"/>
            <w:vAlign w:val="center"/>
            <w:hideMark/>
          </w:tcPr>
          <w:p w14:paraId="0CAC1DC4" w14:textId="77777777" w:rsidR="00C04E40" w:rsidRPr="0023319B" w:rsidRDefault="00C04E40" w:rsidP="00BD2A28">
            <w:pPr>
              <w:spacing w:line="240" w:lineRule="auto"/>
              <w:jc w:val="center"/>
              <w:rPr>
                <w:rFonts w:ascii="Calibri Light" w:hAnsi="Calibri Light" w:cs="Calibri Light"/>
                <w:color w:val="000000"/>
                <w:sz w:val="18"/>
                <w:szCs w:val="18"/>
                <w:lang w:val="es-CR" w:eastAsia="es-CR"/>
              </w:rPr>
            </w:pPr>
            <w:r w:rsidRPr="0023319B">
              <w:rPr>
                <w:rFonts w:ascii="Calibri Light" w:hAnsi="Calibri Light" w:cs="Calibri Light"/>
                <w:color w:val="000000"/>
                <w:sz w:val="18"/>
                <w:szCs w:val="18"/>
                <w:lang w:val="es-CR" w:eastAsia="es-CR"/>
              </w:rPr>
              <w:t>13</w:t>
            </w:r>
          </w:p>
        </w:tc>
        <w:tc>
          <w:tcPr>
            <w:tcW w:w="5324" w:type="dxa"/>
            <w:tcBorders>
              <w:top w:val="nil"/>
              <w:left w:val="nil"/>
              <w:bottom w:val="single" w:sz="4" w:space="0" w:color="auto"/>
              <w:right w:val="single" w:sz="4" w:space="0" w:color="auto"/>
            </w:tcBorders>
            <w:shd w:val="clear" w:color="auto" w:fill="auto"/>
            <w:vAlign w:val="center"/>
            <w:hideMark/>
          </w:tcPr>
          <w:p w14:paraId="41FEB109" w14:textId="283AC881" w:rsidR="00C04E40" w:rsidRPr="0023319B" w:rsidRDefault="00C04E40" w:rsidP="00BD2A28">
            <w:pPr>
              <w:spacing w:line="240" w:lineRule="auto"/>
              <w:rPr>
                <w:rFonts w:ascii="Calibri Light" w:hAnsi="Calibri Light" w:cs="Calibri Light"/>
                <w:color w:val="000000"/>
                <w:sz w:val="18"/>
                <w:szCs w:val="18"/>
                <w:lang w:val="es-CR" w:eastAsia="es-CR"/>
              </w:rPr>
            </w:pPr>
            <w:r w:rsidRPr="0023319B">
              <w:rPr>
                <w:rFonts w:ascii="Calibri Light" w:hAnsi="Calibri Light" w:cs="Calibri Light"/>
                <w:color w:val="000000"/>
                <w:sz w:val="18"/>
                <w:szCs w:val="18"/>
                <w:lang w:val="es-CR" w:eastAsia="es-CR"/>
              </w:rPr>
              <w:t>Finanzas en l</w:t>
            </w:r>
            <w:r w:rsidR="00BD2A28" w:rsidRPr="0023319B">
              <w:rPr>
                <w:rFonts w:ascii="Calibri Light" w:hAnsi="Calibri Light" w:cs="Calibri Light"/>
                <w:color w:val="000000"/>
                <w:sz w:val="18"/>
                <w:szCs w:val="18"/>
                <w:lang w:val="es-CR" w:eastAsia="es-CR"/>
              </w:rPr>
              <w:t>í</w:t>
            </w:r>
            <w:r w:rsidRPr="0023319B">
              <w:rPr>
                <w:rFonts w:ascii="Calibri Light" w:hAnsi="Calibri Light" w:cs="Calibri Light"/>
                <w:color w:val="000000"/>
                <w:sz w:val="18"/>
                <w:szCs w:val="18"/>
                <w:lang w:val="es-CR" w:eastAsia="es-CR"/>
              </w:rPr>
              <w:t>nea</w:t>
            </w:r>
          </w:p>
        </w:tc>
        <w:tc>
          <w:tcPr>
            <w:tcW w:w="1276" w:type="dxa"/>
            <w:tcBorders>
              <w:top w:val="nil"/>
              <w:left w:val="nil"/>
              <w:bottom w:val="single" w:sz="4" w:space="0" w:color="auto"/>
              <w:right w:val="single" w:sz="4" w:space="0" w:color="auto"/>
            </w:tcBorders>
            <w:shd w:val="clear" w:color="auto" w:fill="auto"/>
            <w:vAlign w:val="center"/>
            <w:hideMark/>
          </w:tcPr>
          <w:p w14:paraId="62DA6F06" w14:textId="77777777" w:rsidR="00C04E40" w:rsidRPr="0023319B" w:rsidRDefault="00C04E40" w:rsidP="00BD2A28">
            <w:pPr>
              <w:spacing w:line="240" w:lineRule="auto"/>
              <w:jc w:val="center"/>
              <w:rPr>
                <w:rFonts w:ascii="Calibri Light" w:hAnsi="Calibri Light" w:cs="Calibri Light"/>
                <w:color w:val="000000"/>
                <w:sz w:val="18"/>
                <w:szCs w:val="18"/>
                <w:lang w:val="es-CR" w:eastAsia="es-CR"/>
              </w:rPr>
            </w:pPr>
            <w:r w:rsidRPr="0023319B">
              <w:rPr>
                <w:rFonts w:ascii="Calibri Light" w:hAnsi="Calibri Light" w:cs="Calibri Light"/>
                <w:color w:val="000000"/>
                <w:sz w:val="18"/>
                <w:szCs w:val="18"/>
                <w:lang w:val="es-CR" w:eastAsia="es-CR"/>
              </w:rPr>
              <w:t>pendiente pago</w:t>
            </w:r>
          </w:p>
        </w:tc>
        <w:tc>
          <w:tcPr>
            <w:tcW w:w="1418" w:type="dxa"/>
            <w:tcBorders>
              <w:top w:val="nil"/>
              <w:left w:val="nil"/>
              <w:bottom w:val="single" w:sz="4" w:space="0" w:color="auto"/>
              <w:right w:val="single" w:sz="4" w:space="0" w:color="auto"/>
            </w:tcBorders>
            <w:shd w:val="clear" w:color="auto" w:fill="auto"/>
            <w:noWrap/>
            <w:vAlign w:val="center"/>
            <w:hideMark/>
          </w:tcPr>
          <w:p w14:paraId="70E22154" w14:textId="476EC3E3" w:rsidR="00C04E40" w:rsidRPr="0023319B" w:rsidRDefault="00C04E40" w:rsidP="00BD2A28">
            <w:pPr>
              <w:spacing w:line="240" w:lineRule="auto"/>
              <w:jc w:val="right"/>
              <w:rPr>
                <w:rFonts w:ascii="Calibri Light" w:hAnsi="Calibri Light" w:cs="Calibri Light"/>
                <w:color w:val="000000"/>
                <w:sz w:val="18"/>
                <w:szCs w:val="18"/>
                <w:lang w:val="es-CR" w:eastAsia="es-CR"/>
              </w:rPr>
            </w:pPr>
            <w:r w:rsidRPr="0023319B">
              <w:rPr>
                <w:rFonts w:ascii="Calibri Light" w:hAnsi="Calibri Light" w:cs="Calibri Light"/>
                <w:color w:val="000000"/>
                <w:sz w:val="18"/>
                <w:szCs w:val="18"/>
                <w:lang w:val="es-CR" w:eastAsia="es-CR"/>
              </w:rPr>
              <w:t xml:space="preserve">7 429 698 </w:t>
            </w:r>
          </w:p>
        </w:tc>
      </w:tr>
      <w:tr w:rsidR="00C04E40" w:rsidRPr="0023319B" w14:paraId="1A1028C2" w14:textId="77777777" w:rsidTr="00BD2A28">
        <w:trPr>
          <w:trHeight w:val="310"/>
        </w:trPr>
        <w:tc>
          <w:tcPr>
            <w:tcW w:w="1192" w:type="dxa"/>
            <w:tcBorders>
              <w:top w:val="nil"/>
              <w:left w:val="single" w:sz="4" w:space="0" w:color="auto"/>
              <w:bottom w:val="single" w:sz="4" w:space="0" w:color="auto"/>
              <w:right w:val="single" w:sz="4" w:space="0" w:color="auto"/>
            </w:tcBorders>
            <w:shd w:val="clear" w:color="auto" w:fill="auto"/>
            <w:vAlign w:val="center"/>
            <w:hideMark/>
          </w:tcPr>
          <w:p w14:paraId="6FA42DFD" w14:textId="77777777" w:rsidR="00C04E40" w:rsidRPr="0023319B" w:rsidRDefault="00C04E40" w:rsidP="00BD2A28">
            <w:pPr>
              <w:spacing w:line="240" w:lineRule="auto"/>
              <w:jc w:val="center"/>
              <w:rPr>
                <w:rFonts w:ascii="Calibri Light" w:hAnsi="Calibri Light" w:cs="Calibri Light"/>
                <w:color w:val="000000"/>
                <w:sz w:val="18"/>
                <w:szCs w:val="18"/>
                <w:lang w:val="es-CR" w:eastAsia="es-CR"/>
              </w:rPr>
            </w:pPr>
            <w:r w:rsidRPr="0023319B">
              <w:rPr>
                <w:rFonts w:ascii="Calibri Light" w:hAnsi="Calibri Light" w:cs="Calibri Light"/>
                <w:color w:val="000000"/>
                <w:sz w:val="18"/>
                <w:szCs w:val="18"/>
                <w:lang w:val="es-CR" w:eastAsia="es-CR"/>
              </w:rPr>
              <w:t>20</w:t>
            </w:r>
          </w:p>
        </w:tc>
        <w:tc>
          <w:tcPr>
            <w:tcW w:w="5324" w:type="dxa"/>
            <w:tcBorders>
              <w:top w:val="nil"/>
              <w:left w:val="nil"/>
              <w:bottom w:val="single" w:sz="4" w:space="0" w:color="auto"/>
              <w:right w:val="single" w:sz="4" w:space="0" w:color="auto"/>
            </w:tcBorders>
            <w:shd w:val="clear" w:color="auto" w:fill="auto"/>
            <w:vAlign w:val="center"/>
            <w:hideMark/>
          </w:tcPr>
          <w:p w14:paraId="0885394D" w14:textId="77777777" w:rsidR="00C04E40" w:rsidRPr="0023319B" w:rsidRDefault="00C04E40" w:rsidP="00BD2A28">
            <w:pPr>
              <w:spacing w:line="240" w:lineRule="auto"/>
              <w:rPr>
                <w:rFonts w:ascii="Calibri Light" w:hAnsi="Calibri Light" w:cs="Calibri Light"/>
                <w:color w:val="000000"/>
                <w:sz w:val="18"/>
                <w:szCs w:val="18"/>
                <w:lang w:val="es-CR" w:eastAsia="es-CR"/>
              </w:rPr>
            </w:pPr>
            <w:r w:rsidRPr="0023319B">
              <w:rPr>
                <w:rFonts w:ascii="Calibri Light" w:hAnsi="Calibri Light" w:cs="Calibri Light"/>
                <w:color w:val="000000"/>
                <w:sz w:val="18"/>
                <w:szCs w:val="18"/>
                <w:lang w:val="es-CR" w:eastAsia="es-CR"/>
              </w:rPr>
              <w:t>Programa Desarrollo de Competencias</w:t>
            </w:r>
          </w:p>
        </w:tc>
        <w:tc>
          <w:tcPr>
            <w:tcW w:w="1276" w:type="dxa"/>
            <w:tcBorders>
              <w:top w:val="nil"/>
              <w:left w:val="nil"/>
              <w:bottom w:val="single" w:sz="4" w:space="0" w:color="auto"/>
              <w:right w:val="single" w:sz="4" w:space="0" w:color="auto"/>
            </w:tcBorders>
            <w:shd w:val="clear" w:color="auto" w:fill="auto"/>
            <w:vAlign w:val="center"/>
            <w:hideMark/>
          </w:tcPr>
          <w:p w14:paraId="79F3F225" w14:textId="77777777" w:rsidR="00C04E40" w:rsidRPr="0023319B" w:rsidRDefault="00C04E40" w:rsidP="00BD2A28">
            <w:pPr>
              <w:spacing w:line="240" w:lineRule="auto"/>
              <w:jc w:val="center"/>
              <w:rPr>
                <w:rFonts w:ascii="Calibri Light" w:hAnsi="Calibri Light" w:cs="Calibri Light"/>
                <w:color w:val="000000"/>
                <w:sz w:val="18"/>
                <w:szCs w:val="18"/>
                <w:lang w:val="es-CR" w:eastAsia="es-CR"/>
              </w:rPr>
            </w:pPr>
            <w:r w:rsidRPr="0023319B">
              <w:rPr>
                <w:rFonts w:ascii="Calibri Light" w:hAnsi="Calibri Light" w:cs="Calibri Light"/>
                <w:color w:val="000000"/>
                <w:sz w:val="18"/>
                <w:szCs w:val="18"/>
                <w:lang w:val="es-CR" w:eastAsia="es-CR"/>
              </w:rPr>
              <w:t>19-ago-2020</w:t>
            </w:r>
          </w:p>
        </w:tc>
        <w:tc>
          <w:tcPr>
            <w:tcW w:w="1418" w:type="dxa"/>
            <w:tcBorders>
              <w:top w:val="nil"/>
              <w:left w:val="nil"/>
              <w:bottom w:val="single" w:sz="4" w:space="0" w:color="auto"/>
              <w:right w:val="single" w:sz="4" w:space="0" w:color="auto"/>
            </w:tcBorders>
            <w:shd w:val="clear" w:color="auto" w:fill="auto"/>
            <w:noWrap/>
            <w:vAlign w:val="center"/>
            <w:hideMark/>
          </w:tcPr>
          <w:p w14:paraId="1E9D77F8" w14:textId="7F5DA3FE" w:rsidR="00C04E40" w:rsidRPr="0023319B" w:rsidRDefault="00C04E40" w:rsidP="00BD2A28">
            <w:pPr>
              <w:spacing w:line="240" w:lineRule="auto"/>
              <w:jc w:val="right"/>
              <w:rPr>
                <w:rFonts w:ascii="Calibri Light" w:hAnsi="Calibri Light" w:cs="Calibri Light"/>
                <w:color w:val="000000"/>
                <w:sz w:val="18"/>
                <w:szCs w:val="18"/>
                <w:lang w:val="es-CR" w:eastAsia="es-CR"/>
              </w:rPr>
            </w:pPr>
            <w:r w:rsidRPr="0023319B">
              <w:rPr>
                <w:rFonts w:ascii="Calibri Light" w:hAnsi="Calibri Light" w:cs="Calibri Light"/>
                <w:color w:val="000000"/>
                <w:sz w:val="18"/>
                <w:szCs w:val="18"/>
                <w:lang w:val="es-CR" w:eastAsia="es-CR"/>
              </w:rPr>
              <w:t xml:space="preserve">1 376 136 </w:t>
            </w:r>
          </w:p>
        </w:tc>
      </w:tr>
      <w:tr w:rsidR="00C04E40" w:rsidRPr="0023319B" w14:paraId="1A18C9DA" w14:textId="77777777" w:rsidTr="00BD2A28">
        <w:trPr>
          <w:trHeight w:val="310"/>
        </w:trPr>
        <w:tc>
          <w:tcPr>
            <w:tcW w:w="1192" w:type="dxa"/>
            <w:tcBorders>
              <w:top w:val="nil"/>
              <w:left w:val="single" w:sz="4" w:space="0" w:color="auto"/>
              <w:bottom w:val="single" w:sz="4" w:space="0" w:color="auto"/>
              <w:right w:val="single" w:sz="4" w:space="0" w:color="auto"/>
            </w:tcBorders>
            <w:shd w:val="clear" w:color="auto" w:fill="auto"/>
            <w:vAlign w:val="center"/>
            <w:hideMark/>
          </w:tcPr>
          <w:p w14:paraId="78F84EC6" w14:textId="77777777" w:rsidR="00C04E40" w:rsidRPr="0023319B" w:rsidRDefault="00C04E40" w:rsidP="00BD2A28">
            <w:pPr>
              <w:spacing w:line="240" w:lineRule="auto"/>
              <w:jc w:val="center"/>
              <w:rPr>
                <w:rFonts w:ascii="Calibri Light" w:hAnsi="Calibri Light" w:cs="Calibri Light"/>
                <w:color w:val="000000"/>
                <w:sz w:val="18"/>
                <w:szCs w:val="18"/>
                <w:lang w:val="es-CR" w:eastAsia="es-CR"/>
              </w:rPr>
            </w:pPr>
            <w:r w:rsidRPr="0023319B">
              <w:rPr>
                <w:rFonts w:ascii="Calibri Light" w:hAnsi="Calibri Light" w:cs="Calibri Light"/>
                <w:color w:val="000000"/>
                <w:sz w:val="18"/>
                <w:szCs w:val="18"/>
                <w:lang w:val="es-CR" w:eastAsia="es-CR"/>
              </w:rPr>
              <w:t>5</w:t>
            </w:r>
          </w:p>
        </w:tc>
        <w:tc>
          <w:tcPr>
            <w:tcW w:w="5324" w:type="dxa"/>
            <w:tcBorders>
              <w:top w:val="nil"/>
              <w:left w:val="nil"/>
              <w:bottom w:val="single" w:sz="4" w:space="0" w:color="auto"/>
              <w:right w:val="single" w:sz="4" w:space="0" w:color="auto"/>
            </w:tcBorders>
            <w:shd w:val="clear" w:color="auto" w:fill="auto"/>
            <w:vAlign w:val="center"/>
            <w:hideMark/>
          </w:tcPr>
          <w:p w14:paraId="68F2F9E3" w14:textId="77777777" w:rsidR="00C04E40" w:rsidRPr="0023319B" w:rsidRDefault="00C04E40" w:rsidP="00BD2A28">
            <w:pPr>
              <w:spacing w:line="240" w:lineRule="auto"/>
              <w:rPr>
                <w:rFonts w:ascii="Calibri Light" w:hAnsi="Calibri Light" w:cs="Calibri Light"/>
                <w:color w:val="000000"/>
                <w:sz w:val="18"/>
                <w:szCs w:val="18"/>
                <w:lang w:val="es-CR" w:eastAsia="es-CR"/>
              </w:rPr>
            </w:pPr>
            <w:r w:rsidRPr="0023319B">
              <w:rPr>
                <w:rFonts w:ascii="Calibri Light" w:hAnsi="Calibri Light" w:cs="Calibri Light"/>
                <w:color w:val="000000"/>
                <w:sz w:val="18"/>
                <w:szCs w:val="18"/>
                <w:lang w:val="es-CR" w:eastAsia="es-CR"/>
              </w:rPr>
              <w:t>Gestionando proyectos</w:t>
            </w:r>
          </w:p>
        </w:tc>
        <w:tc>
          <w:tcPr>
            <w:tcW w:w="1276" w:type="dxa"/>
            <w:tcBorders>
              <w:top w:val="nil"/>
              <w:left w:val="nil"/>
              <w:bottom w:val="single" w:sz="4" w:space="0" w:color="auto"/>
              <w:right w:val="single" w:sz="4" w:space="0" w:color="auto"/>
            </w:tcBorders>
            <w:shd w:val="clear" w:color="auto" w:fill="auto"/>
            <w:vAlign w:val="center"/>
            <w:hideMark/>
          </w:tcPr>
          <w:p w14:paraId="4C697253" w14:textId="77777777" w:rsidR="00C04E40" w:rsidRPr="0023319B" w:rsidRDefault="00C04E40" w:rsidP="00BD2A28">
            <w:pPr>
              <w:spacing w:line="240" w:lineRule="auto"/>
              <w:jc w:val="center"/>
              <w:rPr>
                <w:rFonts w:ascii="Calibri Light" w:hAnsi="Calibri Light" w:cs="Calibri Light"/>
                <w:color w:val="000000"/>
                <w:sz w:val="18"/>
                <w:szCs w:val="18"/>
                <w:lang w:val="es-CR" w:eastAsia="es-CR"/>
              </w:rPr>
            </w:pPr>
            <w:r w:rsidRPr="0023319B">
              <w:rPr>
                <w:rFonts w:ascii="Calibri Light" w:hAnsi="Calibri Light" w:cs="Calibri Light"/>
                <w:color w:val="000000"/>
                <w:sz w:val="18"/>
                <w:szCs w:val="18"/>
                <w:lang w:val="es-CR" w:eastAsia="es-CR"/>
              </w:rPr>
              <w:t>11-ago-2020</w:t>
            </w:r>
          </w:p>
        </w:tc>
        <w:tc>
          <w:tcPr>
            <w:tcW w:w="1418" w:type="dxa"/>
            <w:tcBorders>
              <w:top w:val="nil"/>
              <w:left w:val="nil"/>
              <w:bottom w:val="single" w:sz="4" w:space="0" w:color="auto"/>
              <w:right w:val="single" w:sz="4" w:space="0" w:color="auto"/>
            </w:tcBorders>
            <w:shd w:val="clear" w:color="auto" w:fill="auto"/>
            <w:noWrap/>
            <w:vAlign w:val="center"/>
            <w:hideMark/>
          </w:tcPr>
          <w:p w14:paraId="0453B379" w14:textId="64DD3DB6" w:rsidR="00C04E40" w:rsidRPr="0023319B" w:rsidRDefault="00C04E40" w:rsidP="00BD2A28">
            <w:pPr>
              <w:spacing w:line="240" w:lineRule="auto"/>
              <w:jc w:val="right"/>
              <w:rPr>
                <w:rFonts w:ascii="Calibri Light" w:hAnsi="Calibri Light" w:cs="Calibri Light"/>
                <w:color w:val="000000"/>
                <w:sz w:val="18"/>
                <w:szCs w:val="18"/>
                <w:lang w:val="es-CR" w:eastAsia="es-CR"/>
              </w:rPr>
            </w:pPr>
            <w:r w:rsidRPr="0023319B">
              <w:rPr>
                <w:rFonts w:ascii="Calibri Light" w:hAnsi="Calibri Light" w:cs="Calibri Light"/>
                <w:color w:val="000000"/>
                <w:sz w:val="18"/>
                <w:szCs w:val="18"/>
                <w:lang w:val="es-CR" w:eastAsia="es-CR"/>
              </w:rPr>
              <w:t xml:space="preserve">326 400 </w:t>
            </w:r>
          </w:p>
        </w:tc>
      </w:tr>
      <w:tr w:rsidR="00C04E40" w:rsidRPr="0023319B" w14:paraId="27A2BB0C" w14:textId="77777777" w:rsidTr="00BD2A28">
        <w:trPr>
          <w:trHeight w:val="310"/>
        </w:trPr>
        <w:tc>
          <w:tcPr>
            <w:tcW w:w="1192" w:type="dxa"/>
            <w:tcBorders>
              <w:top w:val="nil"/>
              <w:left w:val="single" w:sz="4" w:space="0" w:color="auto"/>
              <w:bottom w:val="single" w:sz="4" w:space="0" w:color="auto"/>
              <w:right w:val="single" w:sz="4" w:space="0" w:color="auto"/>
            </w:tcBorders>
            <w:shd w:val="clear" w:color="auto" w:fill="auto"/>
            <w:vAlign w:val="center"/>
            <w:hideMark/>
          </w:tcPr>
          <w:p w14:paraId="44048012" w14:textId="77777777" w:rsidR="00C04E40" w:rsidRPr="0023319B" w:rsidRDefault="00C04E40" w:rsidP="00BD2A28">
            <w:pPr>
              <w:spacing w:line="240" w:lineRule="auto"/>
              <w:jc w:val="center"/>
              <w:rPr>
                <w:rFonts w:ascii="Calibri Light" w:hAnsi="Calibri Light" w:cs="Calibri Light"/>
                <w:color w:val="000000"/>
                <w:sz w:val="18"/>
                <w:szCs w:val="18"/>
                <w:lang w:val="es-CR" w:eastAsia="es-CR"/>
              </w:rPr>
            </w:pPr>
            <w:r w:rsidRPr="0023319B">
              <w:rPr>
                <w:rFonts w:ascii="Calibri Light" w:hAnsi="Calibri Light" w:cs="Calibri Light"/>
                <w:color w:val="000000"/>
                <w:sz w:val="18"/>
                <w:szCs w:val="18"/>
                <w:lang w:val="es-CR" w:eastAsia="es-CR"/>
              </w:rPr>
              <w:t>2</w:t>
            </w:r>
          </w:p>
        </w:tc>
        <w:tc>
          <w:tcPr>
            <w:tcW w:w="5324" w:type="dxa"/>
            <w:tcBorders>
              <w:top w:val="nil"/>
              <w:left w:val="nil"/>
              <w:bottom w:val="single" w:sz="4" w:space="0" w:color="auto"/>
              <w:right w:val="single" w:sz="4" w:space="0" w:color="auto"/>
            </w:tcBorders>
            <w:shd w:val="clear" w:color="auto" w:fill="auto"/>
            <w:vAlign w:val="center"/>
            <w:hideMark/>
          </w:tcPr>
          <w:p w14:paraId="7BB1FE23" w14:textId="77777777" w:rsidR="00C04E40" w:rsidRPr="0023319B" w:rsidRDefault="00C04E40" w:rsidP="00BD2A28">
            <w:pPr>
              <w:spacing w:line="240" w:lineRule="auto"/>
              <w:rPr>
                <w:rFonts w:ascii="Calibri Light" w:hAnsi="Calibri Light" w:cs="Calibri Light"/>
                <w:color w:val="000000"/>
                <w:sz w:val="18"/>
                <w:szCs w:val="18"/>
                <w:lang w:val="es-CR" w:eastAsia="es-CR"/>
              </w:rPr>
            </w:pPr>
            <w:r w:rsidRPr="0023319B">
              <w:rPr>
                <w:rFonts w:ascii="Calibri Light" w:hAnsi="Calibri Light" w:cs="Calibri Light"/>
                <w:color w:val="000000"/>
                <w:sz w:val="18"/>
                <w:szCs w:val="18"/>
                <w:lang w:val="es-CR" w:eastAsia="es-CR"/>
              </w:rPr>
              <w:t>Auditor interno en sistemas de gestión de la Calidad</w:t>
            </w:r>
          </w:p>
        </w:tc>
        <w:tc>
          <w:tcPr>
            <w:tcW w:w="1276" w:type="dxa"/>
            <w:tcBorders>
              <w:top w:val="nil"/>
              <w:left w:val="nil"/>
              <w:bottom w:val="single" w:sz="4" w:space="0" w:color="auto"/>
              <w:right w:val="single" w:sz="4" w:space="0" w:color="auto"/>
            </w:tcBorders>
            <w:shd w:val="clear" w:color="auto" w:fill="auto"/>
            <w:vAlign w:val="center"/>
            <w:hideMark/>
          </w:tcPr>
          <w:p w14:paraId="766F8F7B" w14:textId="77777777" w:rsidR="00C04E40" w:rsidRPr="0023319B" w:rsidRDefault="00C04E40" w:rsidP="00BD2A28">
            <w:pPr>
              <w:spacing w:line="240" w:lineRule="auto"/>
              <w:jc w:val="center"/>
              <w:rPr>
                <w:rFonts w:ascii="Calibri Light" w:hAnsi="Calibri Light" w:cs="Calibri Light"/>
                <w:color w:val="000000"/>
                <w:sz w:val="18"/>
                <w:szCs w:val="18"/>
                <w:lang w:val="es-CR" w:eastAsia="es-CR"/>
              </w:rPr>
            </w:pPr>
            <w:r w:rsidRPr="0023319B">
              <w:rPr>
                <w:rFonts w:ascii="Calibri Light" w:hAnsi="Calibri Light" w:cs="Calibri Light"/>
                <w:color w:val="000000"/>
                <w:sz w:val="18"/>
                <w:szCs w:val="18"/>
                <w:lang w:val="es-CR" w:eastAsia="es-CR"/>
              </w:rPr>
              <w:t>18-ago-2020</w:t>
            </w:r>
          </w:p>
        </w:tc>
        <w:tc>
          <w:tcPr>
            <w:tcW w:w="1418" w:type="dxa"/>
            <w:tcBorders>
              <w:top w:val="nil"/>
              <w:left w:val="nil"/>
              <w:bottom w:val="single" w:sz="4" w:space="0" w:color="auto"/>
              <w:right w:val="single" w:sz="4" w:space="0" w:color="auto"/>
            </w:tcBorders>
            <w:shd w:val="clear" w:color="auto" w:fill="auto"/>
            <w:noWrap/>
            <w:vAlign w:val="center"/>
            <w:hideMark/>
          </w:tcPr>
          <w:p w14:paraId="30E04ACF" w14:textId="1695685B" w:rsidR="00C04E40" w:rsidRPr="0023319B" w:rsidRDefault="00C04E40" w:rsidP="00BD2A28">
            <w:pPr>
              <w:spacing w:line="240" w:lineRule="auto"/>
              <w:jc w:val="right"/>
              <w:rPr>
                <w:rFonts w:ascii="Calibri Light" w:hAnsi="Calibri Light" w:cs="Calibri Light"/>
                <w:color w:val="000000"/>
                <w:sz w:val="18"/>
                <w:szCs w:val="18"/>
                <w:lang w:val="es-CR" w:eastAsia="es-CR"/>
              </w:rPr>
            </w:pPr>
            <w:r w:rsidRPr="0023319B">
              <w:rPr>
                <w:rFonts w:ascii="Calibri Light" w:hAnsi="Calibri Light" w:cs="Calibri Light"/>
                <w:color w:val="000000"/>
                <w:sz w:val="18"/>
                <w:szCs w:val="18"/>
                <w:lang w:val="es-CR" w:eastAsia="es-CR"/>
              </w:rPr>
              <w:t xml:space="preserve">367 690 </w:t>
            </w:r>
          </w:p>
        </w:tc>
      </w:tr>
      <w:tr w:rsidR="00C04E40" w:rsidRPr="0023319B" w14:paraId="33A31AC0" w14:textId="77777777" w:rsidTr="00BD2A28">
        <w:trPr>
          <w:trHeight w:val="409"/>
        </w:trPr>
        <w:tc>
          <w:tcPr>
            <w:tcW w:w="1192" w:type="dxa"/>
            <w:tcBorders>
              <w:top w:val="nil"/>
              <w:left w:val="single" w:sz="4" w:space="0" w:color="auto"/>
              <w:bottom w:val="single" w:sz="4" w:space="0" w:color="auto"/>
              <w:right w:val="single" w:sz="4" w:space="0" w:color="auto"/>
            </w:tcBorders>
            <w:shd w:val="clear" w:color="auto" w:fill="auto"/>
            <w:vAlign w:val="center"/>
            <w:hideMark/>
          </w:tcPr>
          <w:p w14:paraId="28EE78A7" w14:textId="77777777" w:rsidR="00C04E40" w:rsidRPr="0023319B" w:rsidRDefault="00C04E40" w:rsidP="00BD2A28">
            <w:pPr>
              <w:spacing w:line="240" w:lineRule="auto"/>
              <w:jc w:val="center"/>
              <w:rPr>
                <w:rFonts w:ascii="Calibri Light" w:hAnsi="Calibri Light" w:cs="Calibri Light"/>
                <w:color w:val="000000"/>
                <w:sz w:val="18"/>
                <w:szCs w:val="18"/>
                <w:lang w:val="es-CR" w:eastAsia="es-CR"/>
              </w:rPr>
            </w:pPr>
            <w:r w:rsidRPr="0023319B">
              <w:rPr>
                <w:rFonts w:ascii="Calibri Light" w:hAnsi="Calibri Light" w:cs="Calibri Light"/>
                <w:color w:val="000000"/>
                <w:sz w:val="18"/>
                <w:szCs w:val="18"/>
                <w:lang w:val="es-CR" w:eastAsia="es-CR"/>
              </w:rPr>
              <w:t>4</w:t>
            </w:r>
          </w:p>
        </w:tc>
        <w:tc>
          <w:tcPr>
            <w:tcW w:w="5324" w:type="dxa"/>
            <w:tcBorders>
              <w:top w:val="nil"/>
              <w:left w:val="nil"/>
              <w:bottom w:val="single" w:sz="4" w:space="0" w:color="auto"/>
              <w:right w:val="single" w:sz="4" w:space="0" w:color="auto"/>
            </w:tcBorders>
            <w:shd w:val="clear" w:color="auto" w:fill="auto"/>
            <w:vAlign w:val="center"/>
            <w:hideMark/>
          </w:tcPr>
          <w:p w14:paraId="5F976879" w14:textId="77777777" w:rsidR="00C04E40" w:rsidRPr="0023319B" w:rsidRDefault="00C04E40" w:rsidP="00BD2A28">
            <w:pPr>
              <w:spacing w:line="240" w:lineRule="auto"/>
              <w:rPr>
                <w:rFonts w:ascii="Calibri Light" w:hAnsi="Calibri Light" w:cs="Calibri Light"/>
                <w:color w:val="000000"/>
                <w:sz w:val="18"/>
                <w:szCs w:val="18"/>
                <w:lang w:val="es-CR" w:eastAsia="es-CR"/>
              </w:rPr>
            </w:pPr>
            <w:r w:rsidRPr="0023319B">
              <w:rPr>
                <w:rFonts w:ascii="Calibri Light" w:hAnsi="Calibri Light" w:cs="Calibri Light"/>
                <w:color w:val="000000"/>
                <w:sz w:val="18"/>
                <w:szCs w:val="18"/>
                <w:lang w:val="es-CR" w:eastAsia="es-CR"/>
              </w:rPr>
              <w:t>Curso Técnicas de interrogatorios y contra interrogatorios en los procesos civiles y contencioso</w:t>
            </w:r>
          </w:p>
        </w:tc>
        <w:tc>
          <w:tcPr>
            <w:tcW w:w="1276" w:type="dxa"/>
            <w:tcBorders>
              <w:top w:val="nil"/>
              <w:left w:val="nil"/>
              <w:bottom w:val="single" w:sz="4" w:space="0" w:color="auto"/>
              <w:right w:val="single" w:sz="4" w:space="0" w:color="auto"/>
            </w:tcBorders>
            <w:shd w:val="clear" w:color="auto" w:fill="auto"/>
            <w:vAlign w:val="center"/>
            <w:hideMark/>
          </w:tcPr>
          <w:p w14:paraId="4E8FC093" w14:textId="77777777" w:rsidR="00C04E40" w:rsidRPr="0023319B" w:rsidRDefault="00C04E40" w:rsidP="00BD2A28">
            <w:pPr>
              <w:spacing w:line="240" w:lineRule="auto"/>
              <w:jc w:val="center"/>
              <w:rPr>
                <w:rFonts w:ascii="Calibri Light" w:hAnsi="Calibri Light" w:cs="Calibri Light"/>
                <w:color w:val="000000"/>
                <w:sz w:val="18"/>
                <w:szCs w:val="18"/>
                <w:lang w:val="es-CR" w:eastAsia="es-CR"/>
              </w:rPr>
            </w:pPr>
            <w:r w:rsidRPr="0023319B">
              <w:rPr>
                <w:rFonts w:ascii="Calibri Light" w:hAnsi="Calibri Light" w:cs="Calibri Light"/>
                <w:color w:val="000000"/>
                <w:sz w:val="18"/>
                <w:szCs w:val="18"/>
                <w:lang w:val="es-CR" w:eastAsia="es-CR"/>
              </w:rPr>
              <w:t>7-ago-2020</w:t>
            </w:r>
          </w:p>
        </w:tc>
        <w:tc>
          <w:tcPr>
            <w:tcW w:w="1418" w:type="dxa"/>
            <w:tcBorders>
              <w:top w:val="nil"/>
              <w:left w:val="nil"/>
              <w:bottom w:val="single" w:sz="4" w:space="0" w:color="auto"/>
              <w:right w:val="single" w:sz="4" w:space="0" w:color="auto"/>
            </w:tcBorders>
            <w:shd w:val="clear" w:color="auto" w:fill="auto"/>
            <w:noWrap/>
            <w:vAlign w:val="center"/>
            <w:hideMark/>
          </w:tcPr>
          <w:p w14:paraId="7BDBA057" w14:textId="7CD11A7C" w:rsidR="00C04E40" w:rsidRPr="0023319B" w:rsidRDefault="00C04E40" w:rsidP="00BD2A28">
            <w:pPr>
              <w:spacing w:line="240" w:lineRule="auto"/>
              <w:jc w:val="right"/>
              <w:rPr>
                <w:rFonts w:ascii="Calibri Light" w:hAnsi="Calibri Light" w:cs="Calibri Light"/>
                <w:color w:val="000000"/>
                <w:sz w:val="18"/>
                <w:szCs w:val="18"/>
                <w:lang w:val="es-CR" w:eastAsia="es-CR"/>
              </w:rPr>
            </w:pPr>
            <w:r w:rsidRPr="0023319B">
              <w:rPr>
                <w:rFonts w:ascii="Calibri Light" w:hAnsi="Calibri Light" w:cs="Calibri Light"/>
                <w:color w:val="000000"/>
                <w:sz w:val="18"/>
                <w:szCs w:val="18"/>
                <w:lang w:val="es-CR" w:eastAsia="es-CR"/>
              </w:rPr>
              <w:t xml:space="preserve">171 360 </w:t>
            </w:r>
          </w:p>
        </w:tc>
      </w:tr>
      <w:tr w:rsidR="00C04E40" w:rsidRPr="0023319B" w14:paraId="2CC9B40F" w14:textId="77777777" w:rsidTr="00BD2A28">
        <w:trPr>
          <w:trHeight w:val="310"/>
        </w:trPr>
        <w:tc>
          <w:tcPr>
            <w:tcW w:w="1192" w:type="dxa"/>
            <w:tcBorders>
              <w:top w:val="nil"/>
              <w:left w:val="single" w:sz="4" w:space="0" w:color="auto"/>
              <w:bottom w:val="single" w:sz="4" w:space="0" w:color="auto"/>
              <w:right w:val="single" w:sz="4" w:space="0" w:color="auto"/>
            </w:tcBorders>
            <w:shd w:val="clear" w:color="auto" w:fill="auto"/>
            <w:vAlign w:val="center"/>
            <w:hideMark/>
          </w:tcPr>
          <w:p w14:paraId="1345F605" w14:textId="77777777" w:rsidR="00C04E40" w:rsidRPr="0023319B" w:rsidRDefault="00C04E40" w:rsidP="00BD2A28">
            <w:pPr>
              <w:spacing w:line="240" w:lineRule="auto"/>
              <w:jc w:val="center"/>
              <w:rPr>
                <w:rFonts w:ascii="Calibri Light" w:hAnsi="Calibri Light" w:cs="Calibri Light"/>
                <w:color w:val="000000"/>
                <w:sz w:val="18"/>
                <w:szCs w:val="18"/>
                <w:lang w:val="es-CR" w:eastAsia="es-CR"/>
              </w:rPr>
            </w:pPr>
            <w:r w:rsidRPr="0023319B">
              <w:rPr>
                <w:rFonts w:ascii="Calibri Light" w:hAnsi="Calibri Light" w:cs="Calibri Light"/>
                <w:color w:val="000000"/>
                <w:sz w:val="18"/>
                <w:szCs w:val="18"/>
                <w:lang w:val="es-CR" w:eastAsia="es-CR"/>
              </w:rPr>
              <w:t>4</w:t>
            </w:r>
          </w:p>
        </w:tc>
        <w:tc>
          <w:tcPr>
            <w:tcW w:w="5324" w:type="dxa"/>
            <w:tcBorders>
              <w:top w:val="nil"/>
              <w:left w:val="nil"/>
              <w:bottom w:val="single" w:sz="4" w:space="0" w:color="auto"/>
              <w:right w:val="single" w:sz="4" w:space="0" w:color="auto"/>
            </w:tcBorders>
            <w:shd w:val="clear" w:color="auto" w:fill="auto"/>
            <w:vAlign w:val="center"/>
            <w:hideMark/>
          </w:tcPr>
          <w:p w14:paraId="7DFBCF1E" w14:textId="77777777" w:rsidR="00C04E40" w:rsidRPr="0023319B" w:rsidRDefault="00C04E40" w:rsidP="00BD2A28">
            <w:pPr>
              <w:spacing w:line="240" w:lineRule="auto"/>
              <w:rPr>
                <w:rFonts w:ascii="Calibri Light" w:hAnsi="Calibri Light" w:cs="Calibri Light"/>
                <w:color w:val="000000"/>
                <w:sz w:val="18"/>
                <w:szCs w:val="18"/>
                <w:lang w:val="es-CR" w:eastAsia="es-CR"/>
              </w:rPr>
            </w:pPr>
            <w:r w:rsidRPr="0023319B">
              <w:rPr>
                <w:rFonts w:ascii="Calibri Light" w:hAnsi="Calibri Light" w:cs="Calibri Light"/>
                <w:color w:val="000000"/>
                <w:sz w:val="18"/>
                <w:szCs w:val="18"/>
                <w:lang w:val="es-CR" w:eastAsia="es-CR"/>
              </w:rPr>
              <w:t>Taller como dar un buen Feedback</w:t>
            </w:r>
          </w:p>
        </w:tc>
        <w:tc>
          <w:tcPr>
            <w:tcW w:w="1276" w:type="dxa"/>
            <w:tcBorders>
              <w:top w:val="nil"/>
              <w:left w:val="nil"/>
              <w:bottom w:val="single" w:sz="4" w:space="0" w:color="auto"/>
              <w:right w:val="single" w:sz="4" w:space="0" w:color="auto"/>
            </w:tcBorders>
            <w:shd w:val="clear" w:color="auto" w:fill="auto"/>
            <w:vAlign w:val="center"/>
            <w:hideMark/>
          </w:tcPr>
          <w:p w14:paraId="40459FAB" w14:textId="77777777" w:rsidR="00C04E40" w:rsidRPr="0023319B" w:rsidRDefault="00C04E40" w:rsidP="00BD2A28">
            <w:pPr>
              <w:spacing w:line="240" w:lineRule="auto"/>
              <w:jc w:val="center"/>
              <w:rPr>
                <w:rFonts w:ascii="Calibri Light" w:hAnsi="Calibri Light" w:cs="Calibri Light"/>
                <w:color w:val="000000"/>
                <w:sz w:val="18"/>
                <w:szCs w:val="18"/>
                <w:lang w:val="es-CR" w:eastAsia="es-CR"/>
              </w:rPr>
            </w:pPr>
            <w:r w:rsidRPr="0023319B">
              <w:rPr>
                <w:rFonts w:ascii="Calibri Light" w:hAnsi="Calibri Light" w:cs="Calibri Light"/>
                <w:color w:val="000000"/>
                <w:sz w:val="18"/>
                <w:szCs w:val="18"/>
                <w:lang w:val="es-CR" w:eastAsia="es-CR"/>
              </w:rPr>
              <w:t>13-ago-2020</w:t>
            </w:r>
          </w:p>
        </w:tc>
        <w:tc>
          <w:tcPr>
            <w:tcW w:w="1418" w:type="dxa"/>
            <w:tcBorders>
              <w:top w:val="nil"/>
              <w:left w:val="nil"/>
              <w:bottom w:val="single" w:sz="4" w:space="0" w:color="auto"/>
              <w:right w:val="single" w:sz="4" w:space="0" w:color="auto"/>
            </w:tcBorders>
            <w:shd w:val="clear" w:color="auto" w:fill="auto"/>
            <w:noWrap/>
            <w:vAlign w:val="center"/>
            <w:hideMark/>
          </w:tcPr>
          <w:p w14:paraId="4A0B4102" w14:textId="7CF2066C" w:rsidR="00C04E40" w:rsidRPr="0023319B" w:rsidRDefault="00C04E40" w:rsidP="00BD2A28">
            <w:pPr>
              <w:spacing w:line="240" w:lineRule="auto"/>
              <w:jc w:val="right"/>
              <w:rPr>
                <w:rFonts w:ascii="Calibri Light" w:hAnsi="Calibri Light" w:cs="Calibri Light"/>
                <w:color w:val="000000"/>
                <w:sz w:val="18"/>
                <w:szCs w:val="18"/>
                <w:lang w:val="es-CR" w:eastAsia="es-CR"/>
              </w:rPr>
            </w:pPr>
            <w:r w:rsidRPr="0023319B">
              <w:rPr>
                <w:rFonts w:ascii="Calibri Light" w:hAnsi="Calibri Light" w:cs="Calibri Light"/>
                <w:color w:val="000000"/>
                <w:sz w:val="18"/>
                <w:szCs w:val="18"/>
                <w:lang w:val="es-CR" w:eastAsia="es-CR"/>
              </w:rPr>
              <w:t xml:space="preserve">122 400 </w:t>
            </w:r>
          </w:p>
        </w:tc>
      </w:tr>
      <w:tr w:rsidR="00C04E40" w:rsidRPr="0023319B" w14:paraId="32A2649C" w14:textId="77777777" w:rsidTr="00BD2A28">
        <w:trPr>
          <w:trHeight w:val="478"/>
        </w:trPr>
        <w:tc>
          <w:tcPr>
            <w:tcW w:w="1192" w:type="dxa"/>
            <w:tcBorders>
              <w:top w:val="nil"/>
              <w:left w:val="single" w:sz="4" w:space="0" w:color="auto"/>
              <w:bottom w:val="single" w:sz="4" w:space="0" w:color="auto"/>
              <w:right w:val="single" w:sz="4" w:space="0" w:color="auto"/>
            </w:tcBorders>
            <w:shd w:val="clear" w:color="auto" w:fill="auto"/>
            <w:vAlign w:val="center"/>
            <w:hideMark/>
          </w:tcPr>
          <w:p w14:paraId="510D5E1E" w14:textId="77777777" w:rsidR="00C04E40" w:rsidRPr="0023319B" w:rsidRDefault="00C04E40" w:rsidP="00BD2A28">
            <w:pPr>
              <w:spacing w:line="240" w:lineRule="auto"/>
              <w:jc w:val="center"/>
              <w:rPr>
                <w:rFonts w:ascii="Calibri Light" w:hAnsi="Calibri Light" w:cs="Calibri Light"/>
                <w:color w:val="000000"/>
                <w:sz w:val="18"/>
                <w:szCs w:val="18"/>
                <w:lang w:val="es-CR" w:eastAsia="es-CR"/>
              </w:rPr>
            </w:pPr>
            <w:r w:rsidRPr="0023319B">
              <w:rPr>
                <w:rFonts w:ascii="Calibri Light" w:hAnsi="Calibri Light" w:cs="Calibri Light"/>
                <w:color w:val="000000"/>
                <w:sz w:val="18"/>
                <w:szCs w:val="18"/>
                <w:lang w:val="es-CR" w:eastAsia="es-CR"/>
              </w:rPr>
              <w:t>2</w:t>
            </w:r>
          </w:p>
        </w:tc>
        <w:tc>
          <w:tcPr>
            <w:tcW w:w="5324" w:type="dxa"/>
            <w:tcBorders>
              <w:top w:val="nil"/>
              <w:left w:val="nil"/>
              <w:bottom w:val="single" w:sz="4" w:space="0" w:color="auto"/>
              <w:right w:val="single" w:sz="4" w:space="0" w:color="auto"/>
            </w:tcBorders>
            <w:shd w:val="clear" w:color="auto" w:fill="auto"/>
            <w:vAlign w:val="center"/>
            <w:hideMark/>
          </w:tcPr>
          <w:p w14:paraId="08E0875C" w14:textId="77777777" w:rsidR="00C04E40" w:rsidRPr="0023319B" w:rsidRDefault="00C04E40" w:rsidP="00BD2A28">
            <w:pPr>
              <w:spacing w:line="240" w:lineRule="auto"/>
              <w:rPr>
                <w:rFonts w:ascii="Calibri Light" w:hAnsi="Calibri Light" w:cs="Calibri Light"/>
                <w:color w:val="000000"/>
                <w:sz w:val="18"/>
                <w:szCs w:val="18"/>
                <w:lang w:val="es-CR" w:eastAsia="es-CR"/>
              </w:rPr>
            </w:pPr>
            <w:r w:rsidRPr="0023319B">
              <w:rPr>
                <w:rFonts w:ascii="Calibri Light" w:hAnsi="Calibri Light" w:cs="Calibri Light"/>
                <w:color w:val="000000"/>
                <w:sz w:val="18"/>
                <w:szCs w:val="18"/>
                <w:lang w:val="es-CR" w:eastAsia="es-CR"/>
              </w:rPr>
              <w:t>Curso la comunicación y notificación de los actos de los procedimientos administrativos.</w:t>
            </w:r>
          </w:p>
        </w:tc>
        <w:tc>
          <w:tcPr>
            <w:tcW w:w="1276" w:type="dxa"/>
            <w:tcBorders>
              <w:top w:val="nil"/>
              <w:left w:val="nil"/>
              <w:bottom w:val="single" w:sz="4" w:space="0" w:color="auto"/>
              <w:right w:val="single" w:sz="4" w:space="0" w:color="auto"/>
            </w:tcBorders>
            <w:shd w:val="clear" w:color="auto" w:fill="auto"/>
            <w:vAlign w:val="center"/>
            <w:hideMark/>
          </w:tcPr>
          <w:p w14:paraId="28B57B76" w14:textId="77777777" w:rsidR="00C04E40" w:rsidRPr="0023319B" w:rsidRDefault="00C04E40" w:rsidP="00BD2A28">
            <w:pPr>
              <w:spacing w:line="240" w:lineRule="auto"/>
              <w:jc w:val="center"/>
              <w:rPr>
                <w:rFonts w:ascii="Calibri Light" w:hAnsi="Calibri Light" w:cs="Calibri Light"/>
                <w:color w:val="000000"/>
                <w:sz w:val="18"/>
                <w:szCs w:val="18"/>
                <w:lang w:val="es-CR" w:eastAsia="es-CR"/>
              </w:rPr>
            </w:pPr>
            <w:r w:rsidRPr="0023319B">
              <w:rPr>
                <w:rFonts w:ascii="Calibri Light" w:hAnsi="Calibri Light" w:cs="Calibri Light"/>
                <w:color w:val="000000"/>
                <w:sz w:val="18"/>
                <w:szCs w:val="18"/>
                <w:lang w:val="es-CR" w:eastAsia="es-CR"/>
              </w:rPr>
              <w:t>29-jul-2020</w:t>
            </w:r>
          </w:p>
        </w:tc>
        <w:tc>
          <w:tcPr>
            <w:tcW w:w="1418" w:type="dxa"/>
            <w:tcBorders>
              <w:top w:val="nil"/>
              <w:left w:val="nil"/>
              <w:bottom w:val="single" w:sz="4" w:space="0" w:color="auto"/>
              <w:right w:val="single" w:sz="4" w:space="0" w:color="auto"/>
            </w:tcBorders>
            <w:shd w:val="clear" w:color="auto" w:fill="auto"/>
            <w:noWrap/>
            <w:vAlign w:val="center"/>
            <w:hideMark/>
          </w:tcPr>
          <w:p w14:paraId="554E29B2" w14:textId="6BED5558" w:rsidR="00C04E40" w:rsidRPr="0023319B" w:rsidRDefault="00C04E40" w:rsidP="00BD2A28">
            <w:pPr>
              <w:spacing w:line="240" w:lineRule="auto"/>
              <w:jc w:val="right"/>
              <w:rPr>
                <w:rFonts w:ascii="Calibri Light" w:hAnsi="Calibri Light" w:cs="Calibri Light"/>
                <w:color w:val="000000"/>
                <w:sz w:val="18"/>
                <w:szCs w:val="18"/>
                <w:lang w:val="es-CR" w:eastAsia="es-CR"/>
              </w:rPr>
            </w:pPr>
            <w:r w:rsidRPr="0023319B">
              <w:rPr>
                <w:rFonts w:ascii="Calibri Light" w:hAnsi="Calibri Light" w:cs="Calibri Light"/>
                <w:color w:val="000000"/>
                <w:sz w:val="18"/>
                <w:szCs w:val="18"/>
                <w:lang w:val="es-CR" w:eastAsia="es-CR"/>
              </w:rPr>
              <w:t xml:space="preserve">132 600 </w:t>
            </w:r>
          </w:p>
        </w:tc>
      </w:tr>
      <w:tr w:rsidR="00C04E40" w:rsidRPr="0023319B" w14:paraId="529A2C09" w14:textId="77777777" w:rsidTr="00BD2A28">
        <w:trPr>
          <w:trHeight w:val="310"/>
        </w:trPr>
        <w:tc>
          <w:tcPr>
            <w:tcW w:w="1192" w:type="dxa"/>
            <w:tcBorders>
              <w:top w:val="nil"/>
              <w:left w:val="single" w:sz="4" w:space="0" w:color="auto"/>
              <w:bottom w:val="single" w:sz="4" w:space="0" w:color="auto"/>
              <w:right w:val="single" w:sz="4" w:space="0" w:color="auto"/>
            </w:tcBorders>
            <w:shd w:val="clear" w:color="auto" w:fill="auto"/>
            <w:vAlign w:val="center"/>
            <w:hideMark/>
          </w:tcPr>
          <w:p w14:paraId="1AFA9170" w14:textId="77777777" w:rsidR="00C04E40" w:rsidRPr="0023319B" w:rsidRDefault="00C04E40" w:rsidP="00BD2A28">
            <w:pPr>
              <w:spacing w:line="240" w:lineRule="auto"/>
              <w:jc w:val="center"/>
              <w:rPr>
                <w:rFonts w:ascii="Calibri Light" w:hAnsi="Calibri Light" w:cs="Calibri Light"/>
                <w:color w:val="000000"/>
                <w:sz w:val="18"/>
                <w:szCs w:val="18"/>
                <w:lang w:val="es-CR" w:eastAsia="es-CR"/>
              </w:rPr>
            </w:pPr>
            <w:r w:rsidRPr="0023319B">
              <w:rPr>
                <w:rFonts w:ascii="Calibri Light" w:hAnsi="Calibri Light" w:cs="Calibri Light"/>
                <w:color w:val="000000"/>
                <w:sz w:val="18"/>
                <w:szCs w:val="18"/>
                <w:lang w:val="es-CR" w:eastAsia="es-CR"/>
              </w:rPr>
              <w:t>1</w:t>
            </w:r>
          </w:p>
        </w:tc>
        <w:tc>
          <w:tcPr>
            <w:tcW w:w="5324" w:type="dxa"/>
            <w:tcBorders>
              <w:top w:val="nil"/>
              <w:left w:val="nil"/>
              <w:bottom w:val="single" w:sz="4" w:space="0" w:color="auto"/>
              <w:right w:val="single" w:sz="4" w:space="0" w:color="auto"/>
            </w:tcBorders>
            <w:shd w:val="clear" w:color="auto" w:fill="auto"/>
            <w:vAlign w:val="center"/>
            <w:hideMark/>
          </w:tcPr>
          <w:p w14:paraId="19AA2438" w14:textId="77777777" w:rsidR="00C04E40" w:rsidRPr="0023319B" w:rsidRDefault="00C04E40" w:rsidP="00BD2A28">
            <w:pPr>
              <w:spacing w:line="240" w:lineRule="auto"/>
              <w:rPr>
                <w:rFonts w:ascii="Calibri Light" w:hAnsi="Calibri Light" w:cs="Calibri Light"/>
                <w:color w:val="000000"/>
                <w:sz w:val="18"/>
                <w:szCs w:val="18"/>
                <w:lang w:val="es-CR" w:eastAsia="es-CR"/>
              </w:rPr>
            </w:pPr>
            <w:r w:rsidRPr="0023319B">
              <w:rPr>
                <w:rFonts w:ascii="Calibri Light" w:hAnsi="Calibri Light" w:cs="Calibri Light"/>
                <w:color w:val="000000"/>
                <w:sz w:val="18"/>
                <w:szCs w:val="18"/>
                <w:lang w:val="es-CR" w:eastAsia="es-CR"/>
              </w:rPr>
              <w:t>Taller como dar un buen Feedback</w:t>
            </w:r>
          </w:p>
        </w:tc>
        <w:tc>
          <w:tcPr>
            <w:tcW w:w="1276" w:type="dxa"/>
            <w:tcBorders>
              <w:top w:val="nil"/>
              <w:left w:val="nil"/>
              <w:bottom w:val="single" w:sz="4" w:space="0" w:color="auto"/>
              <w:right w:val="single" w:sz="4" w:space="0" w:color="auto"/>
            </w:tcBorders>
            <w:shd w:val="clear" w:color="auto" w:fill="auto"/>
            <w:vAlign w:val="center"/>
            <w:hideMark/>
          </w:tcPr>
          <w:p w14:paraId="2F3C4A77" w14:textId="77777777" w:rsidR="00C04E40" w:rsidRPr="0023319B" w:rsidRDefault="00C04E40" w:rsidP="00BD2A28">
            <w:pPr>
              <w:spacing w:line="240" w:lineRule="auto"/>
              <w:jc w:val="center"/>
              <w:rPr>
                <w:rFonts w:ascii="Calibri Light" w:hAnsi="Calibri Light" w:cs="Calibri Light"/>
                <w:color w:val="000000"/>
                <w:sz w:val="18"/>
                <w:szCs w:val="18"/>
                <w:lang w:val="es-CR" w:eastAsia="es-CR"/>
              </w:rPr>
            </w:pPr>
            <w:r w:rsidRPr="0023319B">
              <w:rPr>
                <w:rFonts w:ascii="Calibri Light" w:hAnsi="Calibri Light" w:cs="Calibri Light"/>
                <w:color w:val="000000"/>
                <w:sz w:val="18"/>
                <w:szCs w:val="18"/>
                <w:lang w:val="es-CR" w:eastAsia="es-CR"/>
              </w:rPr>
              <w:t>13-ago-2020</w:t>
            </w:r>
          </w:p>
        </w:tc>
        <w:tc>
          <w:tcPr>
            <w:tcW w:w="1418" w:type="dxa"/>
            <w:tcBorders>
              <w:top w:val="nil"/>
              <w:left w:val="nil"/>
              <w:bottom w:val="single" w:sz="4" w:space="0" w:color="auto"/>
              <w:right w:val="single" w:sz="4" w:space="0" w:color="auto"/>
            </w:tcBorders>
            <w:shd w:val="clear" w:color="auto" w:fill="auto"/>
            <w:noWrap/>
            <w:vAlign w:val="center"/>
            <w:hideMark/>
          </w:tcPr>
          <w:p w14:paraId="37019411" w14:textId="0AEFF168" w:rsidR="00C04E40" w:rsidRPr="0023319B" w:rsidRDefault="00C04E40" w:rsidP="00BD2A28">
            <w:pPr>
              <w:spacing w:line="240" w:lineRule="auto"/>
              <w:jc w:val="right"/>
              <w:rPr>
                <w:rFonts w:ascii="Calibri Light" w:hAnsi="Calibri Light" w:cs="Calibri Light"/>
                <w:color w:val="000000"/>
                <w:sz w:val="18"/>
                <w:szCs w:val="18"/>
                <w:lang w:val="es-CR" w:eastAsia="es-CR"/>
              </w:rPr>
            </w:pPr>
            <w:r w:rsidRPr="0023319B">
              <w:rPr>
                <w:rFonts w:ascii="Calibri Light" w:hAnsi="Calibri Light" w:cs="Calibri Light"/>
                <w:color w:val="000000"/>
                <w:sz w:val="18"/>
                <w:szCs w:val="18"/>
                <w:lang w:val="es-CR" w:eastAsia="es-CR"/>
              </w:rPr>
              <w:t xml:space="preserve">122 400 </w:t>
            </w:r>
          </w:p>
        </w:tc>
      </w:tr>
      <w:tr w:rsidR="00C04E40" w:rsidRPr="0023319B" w14:paraId="4270D92F" w14:textId="77777777" w:rsidTr="00BD2A28">
        <w:trPr>
          <w:trHeight w:val="310"/>
        </w:trPr>
        <w:tc>
          <w:tcPr>
            <w:tcW w:w="1192" w:type="dxa"/>
            <w:tcBorders>
              <w:top w:val="nil"/>
              <w:left w:val="single" w:sz="4" w:space="0" w:color="auto"/>
              <w:bottom w:val="single" w:sz="4" w:space="0" w:color="auto"/>
              <w:right w:val="single" w:sz="4" w:space="0" w:color="auto"/>
            </w:tcBorders>
            <w:shd w:val="clear" w:color="auto" w:fill="auto"/>
            <w:vAlign w:val="center"/>
            <w:hideMark/>
          </w:tcPr>
          <w:p w14:paraId="7F9849A1" w14:textId="77777777" w:rsidR="00C04E40" w:rsidRPr="0023319B" w:rsidRDefault="00C04E40" w:rsidP="00BD2A28">
            <w:pPr>
              <w:spacing w:line="240" w:lineRule="auto"/>
              <w:jc w:val="center"/>
              <w:rPr>
                <w:rFonts w:ascii="Calibri Light" w:hAnsi="Calibri Light" w:cs="Calibri Light"/>
                <w:color w:val="000000"/>
                <w:sz w:val="18"/>
                <w:szCs w:val="18"/>
                <w:lang w:val="es-CR" w:eastAsia="es-CR"/>
              </w:rPr>
            </w:pPr>
            <w:r w:rsidRPr="0023319B">
              <w:rPr>
                <w:rFonts w:ascii="Calibri Light" w:hAnsi="Calibri Light" w:cs="Calibri Light"/>
                <w:color w:val="000000"/>
                <w:sz w:val="18"/>
                <w:szCs w:val="18"/>
                <w:lang w:val="es-CR" w:eastAsia="es-CR"/>
              </w:rPr>
              <w:t>1</w:t>
            </w:r>
          </w:p>
        </w:tc>
        <w:tc>
          <w:tcPr>
            <w:tcW w:w="5324" w:type="dxa"/>
            <w:tcBorders>
              <w:top w:val="nil"/>
              <w:left w:val="nil"/>
              <w:bottom w:val="single" w:sz="4" w:space="0" w:color="auto"/>
              <w:right w:val="single" w:sz="4" w:space="0" w:color="auto"/>
            </w:tcBorders>
            <w:shd w:val="clear" w:color="auto" w:fill="auto"/>
            <w:vAlign w:val="center"/>
            <w:hideMark/>
          </w:tcPr>
          <w:p w14:paraId="104DA911" w14:textId="77777777" w:rsidR="00C04E40" w:rsidRPr="0023319B" w:rsidRDefault="00C04E40" w:rsidP="00BD2A28">
            <w:pPr>
              <w:spacing w:line="240" w:lineRule="auto"/>
              <w:rPr>
                <w:rFonts w:ascii="Calibri Light" w:hAnsi="Calibri Light" w:cs="Calibri Light"/>
                <w:color w:val="000000"/>
                <w:sz w:val="18"/>
                <w:szCs w:val="18"/>
                <w:lang w:val="es-CR" w:eastAsia="es-CR"/>
              </w:rPr>
            </w:pPr>
            <w:r w:rsidRPr="0023319B">
              <w:rPr>
                <w:rFonts w:ascii="Calibri Light" w:hAnsi="Calibri Light" w:cs="Calibri Light"/>
                <w:color w:val="000000"/>
                <w:sz w:val="18"/>
                <w:szCs w:val="18"/>
                <w:lang w:val="es-CR" w:eastAsia="es-CR"/>
              </w:rPr>
              <w:t>Curso Dashboard con tablas y gráficos dinámicos</w:t>
            </w:r>
          </w:p>
        </w:tc>
        <w:tc>
          <w:tcPr>
            <w:tcW w:w="1276" w:type="dxa"/>
            <w:tcBorders>
              <w:top w:val="nil"/>
              <w:left w:val="nil"/>
              <w:bottom w:val="single" w:sz="4" w:space="0" w:color="auto"/>
              <w:right w:val="single" w:sz="4" w:space="0" w:color="auto"/>
            </w:tcBorders>
            <w:shd w:val="clear" w:color="auto" w:fill="auto"/>
            <w:vAlign w:val="center"/>
            <w:hideMark/>
          </w:tcPr>
          <w:p w14:paraId="0E5BA328" w14:textId="77777777" w:rsidR="00C04E40" w:rsidRPr="0023319B" w:rsidRDefault="00C04E40" w:rsidP="00BD2A28">
            <w:pPr>
              <w:spacing w:line="240" w:lineRule="auto"/>
              <w:jc w:val="center"/>
              <w:rPr>
                <w:rFonts w:ascii="Calibri Light" w:hAnsi="Calibri Light" w:cs="Calibri Light"/>
                <w:color w:val="000000"/>
                <w:sz w:val="18"/>
                <w:szCs w:val="18"/>
                <w:lang w:val="es-CR" w:eastAsia="es-CR"/>
              </w:rPr>
            </w:pPr>
            <w:r w:rsidRPr="0023319B">
              <w:rPr>
                <w:rFonts w:ascii="Calibri Light" w:hAnsi="Calibri Light" w:cs="Calibri Light"/>
                <w:color w:val="000000"/>
                <w:sz w:val="18"/>
                <w:szCs w:val="18"/>
                <w:lang w:val="es-CR" w:eastAsia="es-CR"/>
              </w:rPr>
              <w:t>20-ago-2020</w:t>
            </w:r>
          </w:p>
        </w:tc>
        <w:tc>
          <w:tcPr>
            <w:tcW w:w="1418" w:type="dxa"/>
            <w:tcBorders>
              <w:top w:val="nil"/>
              <w:left w:val="nil"/>
              <w:bottom w:val="single" w:sz="4" w:space="0" w:color="auto"/>
              <w:right w:val="single" w:sz="4" w:space="0" w:color="auto"/>
            </w:tcBorders>
            <w:shd w:val="clear" w:color="auto" w:fill="auto"/>
            <w:noWrap/>
            <w:vAlign w:val="center"/>
            <w:hideMark/>
          </w:tcPr>
          <w:p w14:paraId="6C8EEEED" w14:textId="320CCD91" w:rsidR="00C04E40" w:rsidRPr="0023319B" w:rsidRDefault="00C04E40" w:rsidP="00BD2A28">
            <w:pPr>
              <w:spacing w:line="240" w:lineRule="auto"/>
              <w:jc w:val="right"/>
              <w:rPr>
                <w:rFonts w:ascii="Calibri Light" w:hAnsi="Calibri Light" w:cs="Calibri Light"/>
                <w:color w:val="000000"/>
                <w:sz w:val="18"/>
                <w:szCs w:val="18"/>
                <w:lang w:val="es-CR" w:eastAsia="es-CR"/>
              </w:rPr>
            </w:pPr>
            <w:r w:rsidRPr="0023319B">
              <w:rPr>
                <w:rFonts w:ascii="Calibri Light" w:hAnsi="Calibri Light" w:cs="Calibri Light"/>
                <w:color w:val="000000"/>
                <w:sz w:val="18"/>
                <w:szCs w:val="18"/>
                <w:lang w:val="es-CR" w:eastAsia="es-CR"/>
              </w:rPr>
              <w:t xml:space="preserve">  94 860 </w:t>
            </w:r>
          </w:p>
        </w:tc>
      </w:tr>
      <w:tr w:rsidR="00C04E40" w:rsidRPr="0023319B" w14:paraId="0B2B8D04" w14:textId="77777777" w:rsidTr="00BD2A28">
        <w:trPr>
          <w:trHeight w:val="310"/>
        </w:trPr>
        <w:tc>
          <w:tcPr>
            <w:tcW w:w="1192" w:type="dxa"/>
            <w:tcBorders>
              <w:top w:val="nil"/>
              <w:left w:val="single" w:sz="4" w:space="0" w:color="auto"/>
              <w:bottom w:val="single" w:sz="4" w:space="0" w:color="auto"/>
              <w:right w:val="single" w:sz="4" w:space="0" w:color="auto"/>
            </w:tcBorders>
            <w:shd w:val="clear" w:color="auto" w:fill="auto"/>
            <w:vAlign w:val="center"/>
            <w:hideMark/>
          </w:tcPr>
          <w:p w14:paraId="7E48A6E1" w14:textId="77777777" w:rsidR="00C04E40" w:rsidRPr="0023319B" w:rsidRDefault="00C04E40" w:rsidP="00BD2A28">
            <w:pPr>
              <w:spacing w:line="240" w:lineRule="auto"/>
              <w:jc w:val="center"/>
              <w:rPr>
                <w:rFonts w:ascii="Calibri Light" w:hAnsi="Calibri Light" w:cs="Calibri Light"/>
                <w:color w:val="000000"/>
                <w:sz w:val="18"/>
                <w:szCs w:val="18"/>
                <w:lang w:val="es-CR" w:eastAsia="es-CR"/>
              </w:rPr>
            </w:pPr>
            <w:r w:rsidRPr="0023319B">
              <w:rPr>
                <w:rFonts w:ascii="Calibri Light" w:hAnsi="Calibri Light" w:cs="Calibri Light"/>
                <w:color w:val="000000"/>
                <w:sz w:val="18"/>
                <w:szCs w:val="18"/>
                <w:lang w:val="es-CR" w:eastAsia="es-CR"/>
              </w:rPr>
              <w:t>2</w:t>
            </w:r>
          </w:p>
        </w:tc>
        <w:tc>
          <w:tcPr>
            <w:tcW w:w="5324" w:type="dxa"/>
            <w:tcBorders>
              <w:top w:val="nil"/>
              <w:left w:val="nil"/>
              <w:bottom w:val="single" w:sz="4" w:space="0" w:color="auto"/>
              <w:right w:val="single" w:sz="4" w:space="0" w:color="auto"/>
            </w:tcBorders>
            <w:shd w:val="clear" w:color="auto" w:fill="auto"/>
            <w:vAlign w:val="center"/>
            <w:hideMark/>
          </w:tcPr>
          <w:p w14:paraId="4436F887" w14:textId="77777777" w:rsidR="00C04E40" w:rsidRPr="0023319B" w:rsidRDefault="00C04E40" w:rsidP="00BD2A28">
            <w:pPr>
              <w:spacing w:line="240" w:lineRule="auto"/>
              <w:rPr>
                <w:rFonts w:ascii="Calibri Light" w:hAnsi="Calibri Light" w:cs="Calibri Light"/>
                <w:color w:val="000000"/>
                <w:sz w:val="18"/>
                <w:szCs w:val="18"/>
                <w:lang w:val="es-CR" w:eastAsia="es-CR"/>
              </w:rPr>
            </w:pPr>
            <w:r w:rsidRPr="0023319B">
              <w:rPr>
                <w:rFonts w:ascii="Calibri Light" w:hAnsi="Calibri Light" w:cs="Calibri Light"/>
                <w:color w:val="000000"/>
                <w:sz w:val="18"/>
                <w:szCs w:val="18"/>
                <w:lang w:val="es-CR" w:eastAsia="es-CR"/>
              </w:rPr>
              <w:t>Taller Intra Innovación</w:t>
            </w:r>
          </w:p>
        </w:tc>
        <w:tc>
          <w:tcPr>
            <w:tcW w:w="1276" w:type="dxa"/>
            <w:tcBorders>
              <w:top w:val="nil"/>
              <w:left w:val="nil"/>
              <w:bottom w:val="single" w:sz="4" w:space="0" w:color="auto"/>
              <w:right w:val="single" w:sz="4" w:space="0" w:color="auto"/>
            </w:tcBorders>
            <w:shd w:val="clear" w:color="auto" w:fill="auto"/>
            <w:vAlign w:val="center"/>
            <w:hideMark/>
          </w:tcPr>
          <w:p w14:paraId="0BE93760" w14:textId="77777777" w:rsidR="00C04E40" w:rsidRPr="0023319B" w:rsidRDefault="00C04E40" w:rsidP="00BD2A28">
            <w:pPr>
              <w:spacing w:line="240" w:lineRule="auto"/>
              <w:jc w:val="center"/>
              <w:rPr>
                <w:rFonts w:ascii="Calibri Light" w:hAnsi="Calibri Light" w:cs="Calibri Light"/>
                <w:color w:val="000000"/>
                <w:sz w:val="18"/>
                <w:szCs w:val="18"/>
                <w:lang w:val="es-CR" w:eastAsia="es-CR"/>
              </w:rPr>
            </w:pPr>
            <w:r w:rsidRPr="0023319B">
              <w:rPr>
                <w:rFonts w:ascii="Calibri Light" w:hAnsi="Calibri Light" w:cs="Calibri Light"/>
                <w:color w:val="000000"/>
                <w:sz w:val="18"/>
                <w:szCs w:val="18"/>
                <w:lang w:val="es-CR" w:eastAsia="es-CR"/>
              </w:rPr>
              <w:t>4-ago-2020</w:t>
            </w:r>
          </w:p>
        </w:tc>
        <w:tc>
          <w:tcPr>
            <w:tcW w:w="1418" w:type="dxa"/>
            <w:tcBorders>
              <w:top w:val="nil"/>
              <w:left w:val="nil"/>
              <w:bottom w:val="single" w:sz="4" w:space="0" w:color="auto"/>
              <w:right w:val="single" w:sz="4" w:space="0" w:color="auto"/>
            </w:tcBorders>
            <w:shd w:val="clear" w:color="auto" w:fill="auto"/>
            <w:noWrap/>
            <w:vAlign w:val="center"/>
            <w:hideMark/>
          </w:tcPr>
          <w:p w14:paraId="0CFE19AC" w14:textId="303702A7" w:rsidR="00C04E40" w:rsidRPr="0023319B" w:rsidRDefault="00C04E40" w:rsidP="00BD2A28">
            <w:pPr>
              <w:spacing w:line="240" w:lineRule="auto"/>
              <w:jc w:val="right"/>
              <w:rPr>
                <w:rFonts w:ascii="Calibri Light" w:hAnsi="Calibri Light" w:cs="Calibri Light"/>
                <w:color w:val="000000"/>
                <w:sz w:val="18"/>
                <w:szCs w:val="18"/>
                <w:lang w:val="es-CR" w:eastAsia="es-CR"/>
              </w:rPr>
            </w:pPr>
            <w:r w:rsidRPr="0023319B">
              <w:rPr>
                <w:rFonts w:ascii="Calibri Light" w:hAnsi="Calibri Light" w:cs="Calibri Light"/>
                <w:color w:val="000000"/>
                <w:sz w:val="18"/>
                <w:szCs w:val="18"/>
                <w:lang w:val="es-CR" w:eastAsia="es-CR"/>
              </w:rPr>
              <w:t xml:space="preserve">  81 600 </w:t>
            </w:r>
          </w:p>
        </w:tc>
      </w:tr>
      <w:tr w:rsidR="00C04E40" w:rsidRPr="0023319B" w14:paraId="787D2B2D" w14:textId="77777777" w:rsidTr="00BD2A28">
        <w:trPr>
          <w:trHeight w:val="310"/>
        </w:trPr>
        <w:tc>
          <w:tcPr>
            <w:tcW w:w="1192" w:type="dxa"/>
            <w:tcBorders>
              <w:top w:val="nil"/>
              <w:left w:val="single" w:sz="4" w:space="0" w:color="auto"/>
              <w:bottom w:val="single" w:sz="4" w:space="0" w:color="auto"/>
              <w:right w:val="single" w:sz="4" w:space="0" w:color="auto"/>
            </w:tcBorders>
            <w:shd w:val="clear" w:color="auto" w:fill="auto"/>
            <w:vAlign w:val="center"/>
            <w:hideMark/>
          </w:tcPr>
          <w:p w14:paraId="20CD8867" w14:textId="77777777" w:rsidR="00C04E40" w:rsidRPr="0023319B" w:rsidRDefault="00C04E40" w:rsidP="00BD2A28">
            <w:pPr>
              <w:spacing w:line="240" w:lineRule="auto"/>
              <w:jc w:val="center"/>
              <w:rPr>
                <w:rFonts w:ascii="Calibri Light" w:hAnsi="Calibri Light" w:cs="Calibri Light"/>
                <w:color w:val="000000"/>
                <w:sz w:val="18"/>
                <w:szCs w:val="18"/>
                <w:lang w:val="es-CR" w:eastAsia="es-CR"/>
              </w:rPr>
            </w:pPr>
            <w:r w:rsidRPr="0023319B">
              <w:rPr>
                <w:rFonts w:ascii="Calibri Light" w:hAnsi="Calibri Light" w:cs="Calibri Light"/>
                <w:color w:val="000000"/>
                <w:sz w:val="18"/>
                <w:szCs w:val="18"/>
                <w:lang w:val="es-CR" w:eastAsia="es-CR"/>
              </w:rPr>
              <w:t>4</w:t>
            </w:r>
          </w:p>
        </w:tc>
        <w:tc>
          <w:tcPr>
            <w:tcW w:w="5324" w:type="dxa"/>
            <w:tcBorders>
              <w:top w:val="nil"/>
              <w:left w:val="nil"/>
              <w:bottom w:val="single" w:sz="4" w:space="0" w:color="auto"/>
              <w:right w:val="single" w:sz="4" w:space="0" w:color="auto"/>
            </w:tcBorders>
            <w:shd w:val="clear" w:color="auto" w:fill="auto"/>
            <w:vAlign w:val="center"/>
            <w:hideMark/>
          </w:tcPr>
          <w:p w14:paraId="07F6A8DE" w14:textId="77777777" w:rsidR="00C04E40" w:rsidRPr="0023319B" w:rsidRDefault="00C04E40" w:rsidP="00BD2A28">
            <w:pPr>
              <w:spacing w:line="240" w:lineRule="auto"/>
              <w:rPr>
                <w:rFonts w:ascii="Calibri Light" w:hAnsi="Calibri Light" w:cs="Calibri Light"/>
                <w:color w:val="000000"/>
                <w:sz w:val="18"/>
                <w:szCs w:val="18"/>
                <w:lang w:val="es-CR" w:eastAsia="es-CR"/>
              </w:rPr>
            </w:pPr>
            <w:r w:rsidRPr="0023319B">
              <w:rPr>
                <w:rFonts w:ascii="Calibri Light" w:hAnsi="Calibri Light" w:cs="Calibri Light"/>
                <w:color w:val="000000"/>
                <w:sz w:val="18"/>
                <w:szCs w:val="18"/>
                <w:lang w:val="es-CR" w:eastAsia="es-CR"/>
              </w:rPr>
              <w:t>Webinar Gobierno Corporativo</w:t>
            </w:r>
          </w:p>
        </w:tc>
        <w:tc>
          <w:tcPr>
            <w:tcW w:w="1276" w:type="dxa"/>
            <w:tcBorders>
              <w:top w:val="nil"/>
              <w:left w:val="nil"/>
              <w:bottom w:val="single" w:sz="4" w:space="0" w:color="auto"/>
              <w:right w:val="single" w:sz="4" w:space="0" w:color="auto"/>
            </w:tcBorders>
            <w:shd w:val="clear" w:color="auto" w:fill="auto"/>
            <w:vAlign w:val="center"/>
            <w:hideMark/>
          </w:tcPr>
          <w:p w14:paraId="1CB91123" w14:textId="77777777" w:rsidR="00C04E40" w:rsidRPr="0023319B" w:rsidRDefault="00C04E40" w:rsidP="00BD2A28">
            <w:pPr>
              <w:spacing w:line="240" w:lineRule="auto"/>
              <w:jc w:val="center"/>
              <w:rPr>
                <w:rFonts w:ascii="Calibri Light" w:hAnsi="Calibri Light" w:cs="Calibri Light"/>
                <w:color w:val="000000"/>
                <w:sz w:val="18"/>
                <w:szCs w:val="18"/>
                <w:lang w:val="es-CR" w:eastAsia="es-CR"/>
              </w:rPr>
            </w:pPr>
            <w:r w:rsidRPr="0023319B">
              <w:rPr>
                <w:rFonts w:ascii="Calibri Light" w:hAnsi="Calibri Light" w:cs="Calibri Light"/>
                <w:color w:val="000000"/>
                <w:sz w:val="18"/>
                <w:szCs w:val="18"/>
                <w:lang w:val="es-CR" w:eastAsia="es-CR"/>
              </w:rPr>
              <w:t>18-ago-2020</w:t>
            </w:r>
          </w:p>
        </w:tc>
        <w:tc>
          <w:tcPr>
            <w:tcW w:w="1418" w:type="dxa"/>
            <w:tcBorders>
              <w:top w:val="nil"/>
              <w:left w:val="nil"/>
              <w:bottom w:val="single" w:sz="4" w:space="0" w:color="auto"/>
              <w:right w:val="single" w:sz="4" w:space="0" w:color="auto"/>
            </w:tcBorders>
            <w:shd w:val="clear" w:color="auto" w:fill="auto"/>
            <w:noWrap/>
            <w:vAlign w:val="center"/>
            <w:hideMark/>
          </w:tcPr>
          <w:p w14:paraId="02D31FF2" w14:textId="496D8561" w:rsidR="00C04E40" w:rsidRPr="0023319B" w:rsidRDefault="00C04E40" w:rsidP="00BD2A28">
            <w:pPr>
              <w:spacing w:line="240" w:lineRule="auto"/>
              <w:jc w:val="right"/>
              <w:rPr>
                <w:rFonts w:ascii="Calibri Light" w:hAnsi="Calibri Light" w:cs="Calibri Light"/>
                <w:color w:val="000000"/>
                <w:sz w:val="18"/>
                <w:szCs w:val="18"/>
                <w:lang w:val="es-CR" w:eastAsia="es-CR"/>
              </w:rPr>
            </w:pPr>
            <w:r w:rsidRPr="0023319B">
              <w:rPr>
                <w:rFonts w:ascii="Calibri Light" w:hAnsi="Calibri Light" w:cs="Calibri Light"/>
                <w:color w:val="000000"/>
                <w:sz w:val="18"/>
                <w:szCs w:val="18"/>
                <w:lang w:val="es-CR" w:eastAsia="es-CR"/>
              </w:rPr>
              <w:t xml:space="preserve">  83 267 </w:t>
            </w:r>
          </w:p>
        </w:tc>
      </w:tr>
      <w:tr w:rsidR="00C04E40" w:rsidRPr="0023319B" w14:paraId="6DDADD95" w14:textId="77777777" w:rsidTr="00BD2A28">
        <w:trPr>
          <w:trHeight w:val="310"/>
        </w:trPr>
        <w:tc>
          <w:tcPr>
            <w:tcW w:w="1192" w:type="dxa"/>
            <w:tcBorders>
              <w:top w:val="nil"/>
              <w:left w:val="single" w:sz="4" w:space="0" w:color="auto"/>
              <w:bottom w:val="single" w:sz="4" w:space="0" w:color="auto"/>
              <w:right w:val="single" w:sz="4" w:space="0" w:color="auto"/>
            </w:tcBorders>
            <w:shd w:val="clear" w:color="auto" w:fill="auto"/>
            <w:vAlign w:val="center"/>
            <w:hideMark/>
          </w:tcPr>
          <w:p w14:paraId="74EE5A41" w14:textId="77777777" w:rsidR="00C04E40" w:rsidRPr="0023319B" w:rsidRDefault="00C04E40" w:rsidP="00BD2A28">
            <w:pPr>
              <w:spacing w:line="240" w:lineRule="auto"/>
              <w:jc w:val="center"/>
              <w:rPr>
                <w:rFonts w:ascii="Calibri Light" w:hAnsi="Calibri Light" w:cs="Calibri Light"/>
                <w:color w:val="000000"/>
                <w:sz w:val="18"/>
                <w:szCs w:val="18"/>
                <w:lang w:val="es-CR" w:eastAsia="es-CR"/>
              </w:rPr>
            </w:pPr>
            <w:r w:rsidRPr="0023319B">
              <w:rPr>
                <w:rFonts w:ascii="Calibri Light" w:hAnsi="Calibri Light" w:cs="Calibri Light"/>
                <w:color w:val="000000"/>
                <w:sz w:val="18"/>
                <w:szCs w:val="18"/>
                <w:lang w:val="es-CR" w:eastAsia="es-CR"/>
              </w:rPr>
              <w:t>1</w:t>
            </w:r>
          </w:p>
        </w:tc>
        <w:tc>
          <w:tcPr>
            <w:tcW w:w="5324" w:type="dxa"/>
            <w:tcBorders>
              <w:top w:val="nil"/>
              <w:left w:val="nil"/>
              <w:bottom w:val="single" w:sz="4" w:space="0" w:color="auto"/>
              <w:right w:val="single" w:sz="4" w:space="0" w:color="auto"/>
            </w:tcBorders>
            <w:shd w:val="clear" w:color="auto" w:fill="auto"/>
            <w:vAlign w:val="center"/>
            <w:hideMark/>
          </w:tcPr>
          <w:p w14:paraId="77095896" w14:textId="77777777" w:rsidR="00C04E40" w:rsidRPr="0023319B" w:rsidRDefault="00C04E40" w:rsidP="00BD2A28">
            <w:pPr>
              <w:spacing w:line="240" w:lineRule="auto"/>
              <w:rPr>
                <w:rFonts w:ascii="Calibri Light" w:hAnsi="Calibri Light" w:cs="Calibri Light"/>
                <w:color w:val="000000"/>
                <w:sz w:val="18"/>
                <w:szCs w:val="18"/>
                <w:lang w:val="es-CR" w:eastAsia="es-CR"/>
              </w:rPr>
            </w:pPr>
            <w:r w:rsidRPr="0023319B">
              <w:rPr>
                <w:rFonts w:ascii="Calibri Light" w:hAnsi="Calibri Light" w:cs="Calibri Light"/>
                <w:color w:val="000000"/>
                <w:sz w:val="18"/>
                <w:szCs w:val="18"/>
                <w:lang w:val="es-CR" w:eastAsia="es-CR"/>
              </w:rPr>
              <w:t>Gestionando proyectos</w:t>
            </w:r>
          </w:p>
        </w:tc>
        <w:tc>
          <w:tcPr>
            <w:tcW w:w="1276" w:type="dxa"/>
            <w:tcBorders>
              <w:top w:val="nil"/>
              <w:left w:val="nil"/>
              <w:bottom w:val="single" w:sz="4" w:space="0" w:color="auto"/>
              <w:right w:val="single" w:sz="4" w:space="0" w:color="auto"/>
            </w:tcBorders>
            <w:shd w:val="clear" w:color="auto" w:fill="auto"/>
            <w:vAlign w:val="center"/>
            <w:hideMark/>
          </w:tcPr>
          <w:p w14:paraId="3C985EC4" w14:textId="77777777" w:rsidR="00C04E40" w:rsidRPr="0023319B" w:rsidRDefault="00C04E40" w:rsidP="00BD2A28">
            <w:pPr>
              <w:spacing w:line="240" w:lineRule="auto"/>
              <w:jc w:val="center"/>
              <w:rPr>
                <w:rFonts w:ascii="Calibri Light" w:hAnsi="Calibri Light" w:cs="Calibri Light"/>
                <w:color w:val="000000"/>
                <w:sz w:val="18"/>
                <w:szCs w:val="18"/>
                <w:lang w:val="es-CR" w:eastAsia="es-CR"/>
              </w:rPr>
            </w:pPr>
            <w:r w:rsidRPr="0023319B">
              <w:rPr>
                <w:rFonts w:ascii="Calibri Light" w:hAnsi="Calibri Light" w:cs="Calibri Light"/>
                <w:color w:val="000000"/>
                <w:sz w:val="18"/>
                <w:szCs w:val="18"/>
                <w:lang w:val="es-CR" w:eastAsia="es-CR"/>
              </w:rPr>
              <w:t>11-ago-2020</w:t>
            </w:r>
          </w:p>
        </w:tc>
        <w:tc>
          <w:tcPr>
            <w:tcW w:w="1418" w:type="dxa"/>
            <w:tcBorders>
              <w:top w:val="nil"/>
              <w:left w:val="nil"/>
              <w:bottom w:val="single" w:sz="4" w:space="0" w:color="auto"/>
              <w:right w:val="single" w:sz="4" w:space="0" w:color="auto"/>
            </w:tcBorders>
            <w:shd w:val="clear" w:color="auto" w:fill="auto"/>
            <w:noWrap/>
            <w:vAlign w:val="center"/>
            <w:hideMark/>
          </w:tcPr>
          <w:p w14:paraId="3C784AD0" w14:textId="09A2A35F" w:rsidR="00C04E40" w:rsidRPr="0023319B" w:rsidRDefault="00C04E40" w:rsidP="00BD2A28">
            <w:pPr>
              <w:spacing w:line="240" w:lineRule="auto"/>
              <w:jc w:val="right"/>
              <w:rPr>
                <w:rFonts w:ascii="Calibri Light" w:hAnsi="Calibri Light" w:cs="Calibri Light"/>
                <w:color w:val="000000"/>
                <w:sz w:val="18"/>
                <w:szCs w:val="18"/>
                <w:lang w:val="es-CR" w:eastAsia="es-CR"/>
              </w:rPr>
            </w:pPr>
            <w:r w:rsidRPr="0023319B">
              <w:rPr>
                <w:rFonts w:ascii="Calibri Light" w:hAnsi="Calibri Light" w:cs="Calibri Light"/>
                <w:color w:val="000000"/>
                <w:sz w:val="18"/>
                <w:szCs w:val="18"/>
                <w:lang w:val="es-CR" w:eastAsia="es-CR"/>
              </w:rPr>
              <w:t xml:space="preserve">  81 600 </w:t>
            </w:r>
          </w:p>
        </w:tc>
      </w:tr>
      <w:tr w:rsidR="00C04E40" w:rsidRPr="0023319B" w14:paraId="3AA892E7" w14:textId="77777777" w:rsidTr="00BD2A28">
        <w:trPr>
          <w:trHeight w:val="310"/>
        </w:trPr>
        <w:tc>
          <w:tcPr>
            <w:tcW w:w="1192" w:type="dxa"/>
            <w:tcBorders>
              <w:top w:val="nil"/>
              <w:left w:val="single" w:sz="4" w:space="0" w:color="auto"/>
              <w:bottom w:val="single" w:sz="4" w:space="0" w:color="auto"/>
              <w:right w:val="single" w:sz="4" w:space="0" w:color="auto"/>
            </w:tcBorders>
            <w:shd w:val="clear" w:color="auto" w:fill="auto"/>
            <w:vAlign w:val="center"/>
            <w:hideMark/>
          </w:tcPr>
          <w:p w14:paraId="00739D09" w14:textId="77777777" w:rsidR="00C04E40" w:rsidRPr="0023319B" w:rsidRDefault="00C04E40" w:rsidP="00BD2A28">
            <w:pPr>
              <w:spacing w:line="240" w:lineRule="auto"/>
              <w:jc w:val="center"/>
              <w:rPr>
                <w:rFonts w:ascii="Calibri Light" w:hAnsi="Calibri Light" w:cs="Calibri Light"/>
                <w:color w:val="000000"/>
                <w:sz w:val="18"/>
                <w:szCs w:val="18"/>
                <w:lang w:val="es-CR" w:eastAsia="es-CR"/>
              </w:rPr>
            </w:pPr>
            <w:r w:rsidRPr="0023319B">
              <w:rPr>
                <w:rFonts w:ascii="Calibri Light" w:hAnsi="Calibri Light" w:cs="Calibri Light"/>
                <w:color w:val="000000"/>
                <w:sz w:val="18"/>
                <w:szCs w:val="18"/>
                <w:lang w:val="es-CR" w:eastAsia="es-CR"/>
              </w:rPr>
              <w:t>3</w:t>
            </w:r>
          </w:p>
        </w:tc>
        <w:tc>
          <w:tcPr>
            <w:tcW w:w="5324" w:type="dxa"/>
            <w:tcBorders>
              <w:top w:val="nil"/>
              <w:left w:val="nil"/>
              <w:bottom w:val="single" w:sz="4" w:space="0" w:color="auto"/>
              <w:right w:val="single" w:sz="4" w:space="0" w:color="auto"/>
            </w:tcBorders>
            <w:shd w:val="clear" w:color="auto" w:fill="auto"/>
            <w:vAlign w:val="center"/>
            <w:hideMark/>
          </w:tcPr>
          <w:p w14:paraId="6E5C1824" w14:textId="77777777" w:rsidR="00C04E40" w:rsidRPr="0023319B" w:rsidRDefault="00C04E40" w:rsidP="00BD2A28">
            <w:pPr>
              <w:spacing w:line="240" w:lineRule="auto"/>
              <w:rPr>
                <w:rFonts w:ascii="Calibri Light" w:hAnsi="Calibri Light" w:cs="Calibri Light"/>
                <w:color w:val="000000"/>
                <w:sz w:val="18"/>
                <w:szCs w:val="18"/>
                <w:lang w:val="es-CR" w:eastAsia="es-CR"/>
              </w:rPr>
            </w:pPr>
            <w:r w:rsidRPr="0023319B">
              <w:rPr>
                <w:rFonts w:ascii="Calibri Light" w:hAnsi="Calibri Light" w:cs="Calibri Light"/>
                <w:color w:val="000000"/>
                <w:sz w:val="18"/>
                <w:szCs w:val="18"/>
                <w:lang w:val="es-CR" w:eastAsia="es-CR"/>
              </w:rPr>
              <w:t>Taller Guía práctica</w:t>
            </w:r>
          </w:p>
        </w:tc>
        <w:tc>
          <w:tcPr>
            <w:tcW w:w="1276" w:type="dxa"/>
            <w:tcBorders>
              <w:top w:val="nil"/>
              <w:left w:val="nil"/>
              <w:bottom w:val="single" w:sz="4" w:space="0" w:color="auto"/>
              <w:right w:val="single" w:sz="4" w:space="0" w:color="auto"/>
            </w:tcBorders>
            <w:shd w:val="clear" w:color="auto" w:fill="auto"/>
            <w:vAlign w:val="center"/>
            <w:hideMark/>
          </w:tcPr>
          <w:p w14:paraId="5E170DEB" w14:textId="77777777" w:rsidR="00C04E40" w:rsidRPr="0023319B" w:rsidRDefault="00C04E40" w:rsidP="00BD2A28">
            <w:pPr>
              <w:spacing w:line="240" w:lineRule="auto"/>
              <w:jc w:val="center"/>
              <w:rPr>
                <w:rFonts w:ascii="Calibri Light" w:hAnsi="Calibri Light" w:cs="Calibri Light"/>
                <w:color w:val="000000"/>
                <w:sz w:val="18"/>
                <w:szCs w:val="18"/>
                <w:lang w:val="es-CR" w:eastAsia="es-CR"/>
              </w:rPr>
            </w:pPr>
            <w:r w:rsidRPr="0023319B">
              <w:rPr>
                <w:rFonts w:ascii="Calibri Light" w:hAnsi="Calibri Light" w:cs="Calibri Light"/>
                <w:color w:val="000000"/>
                <w:sz w:val="18"/>
                <w:szCs w:val="18"/>
                <w:lang w:val="es-CR" w:eastAsia="es-CR"/>
              </w:rPr>
              <w:t>18-ago-2020</w:t>
            </w:r>
          </w:p>
        </w:tc>
        <w:tc>
          <w:tcPr>
            <w:tcW w:w="1418" w:type="dxa"/>
            <w:tcBorders>
              <w:top w:val="nil"/>
              <w:left w:val="nil"/>
              <w:bottom w:val="single" w:sz="4" w:space="0" w:color="auto"/>
              <w:right w:val="single" w:sz="4" w:space="0" w:color="auto"/>
            </w:tcBorders>
            <w:shd w:val="clear" w:color="auto" w:fill="auto"/>
            <w:noWrap/>
            <w:vAlign w:val="center"/>
            <w:hideMark/>
          </w:tcPr>
          <w:p w14:paraId="357DEAE1" w14:textId="3F6231C7" w:rsidR="00C04E40" w:rsidRPr="0023319B" w:rsidRDefault="00C04E40" w:rsidP="00BD2A28">
            <w:pPr>
              <w:spacing w:line="240" w:lineRule="auto"/>
              <w:jc w:val="right"/>
              <w:rPr>
                <w:rFonts w:ascii="Calibri Light" w:hAnsi="Calibri Light" w:cs="Calibri Light"/>
                <w:color w:val="000000"/>
                <w:sz w:val="18"/>
                <w:szCs w:val="18"/>
                <w:lang w:val="es-CR" w:eastAsia="es-CR"/>
              </w:rPr>
            </w:pPr>
            <w:r w:rsidRPr="0023319B">
              <w:rPr>
                <w:rFonts w:ascii="Calibri Light" w:hAnsi="Calibri Light" w:cs="Calibri Light"/>
                <w:color w:val="000000"/>
                <w:sz w:val="18"/>
                <w:szCs w:val="18"/>
                <w:lang w:val="es-CR" w:eastAsia="es-CR"/>
              </w:rPr>
              <w:t xml:space="preserve">  36 000 </w:t>
            </w:r>
          </w:p>
        </w:tc>
      </w:tr>
      <w:tr w:rsidR="00C04E40" w:rsidRPr="0023319B" w14:paraId="4ECFCABB" w14:textId="77777777" w:rsidTr="00BD2A28">
        <w:trPr>
          <w:trHeight w:val="310"/>
        </w:trPr>
        <w:tc>
          <w:tcPr>
            <w:tcW w:w="1192" w:type="dxa"/>
            <w:tcBorders>
              <w:top w:val="nil"/>
              <w:left w:val="single" w:sz="4" w:space="0" w:color="auto"/>
              <w:bottom w:val="single" w:sz="4" w:space="0" w:color="auto"/>
              <w:right w:val="single" w:sz="4" w:space="0" w:color="auto"/>
            </w:tcBorders>
            <w:shd w:val="clear" w:color="auto" w:fill="auto"/>
            <w:vAlign w:val="center"/>
            <w:hideMark/>
          </w:tcPr>
          <w:p w14:paraId="70188799" w14:textId="77777777" w:rsidR="00C04E40" w:rsidRPr="0023319B" w:rsidRDefault="00C04E40" w:rsidP="00BD2A28">
            <w:pPr>
              <w:spacing w:line="240" w:lineRule="auto"/>
              <w:jc w:val="center"/>
              <w:rPr>
                <w:rFonts w:ascii="Calibri Light" w:hAnsi="Calibri Light" w:cs="Calibri Light"/>
                <w:color w:val="000000"/>
                <w:sz w:val="18"/>
                <w:szCs w:val="18"/>
                <w:lang w:val="es-CR" w:eastAsia="es-CR"/>
              </w:rPr>
            </w:pPr>
            <w:r w:rsidRPr="0023319B">
              <w:rPr>
                <w:rFonts w:ascii="Calibri Light" w:hAnsi="Calibri Light" w:cs="Calibri Light"/>
                <w:color w:val="000000"/>
                <w:sz w:val="18"/>
                <w:szCs w:val="18"/>
                <w:lang w:val="es-CR" w:eastAsia="es-CR"/>
              </w:rPr>
              <w:t>4</w:t>
            </w:r>
          </w:p>
        </w:tc>
        <w:tc>
          <w:tcPr>
            <w:tcW w:w="5324" w:type="dxa"/>
            <w:tcBorders>
              <w:top w:val="nil"/>
              <w:left w:val="nil"/>
              <w:bottom w:val="single" w:sz="4" w:space="0" w:color="auto"/>
              <w:right w:val="single" w:sz="4" w:space="0" w:color="auto"/>
            </w:tcBorders>
            <w:shd w:val="clear" w:color="auto" w:fill="auto"/>
            <w:vAlign w:val="center"/>
            <w:hideMark/>
          </w:tcPr>
          <w:p w14:paraId="7816F70F" w14:textId="77777777" w:rsidR="00C04E40" w:rsidRPr="0023319B" w:rsidRDefault="00C04E40" w:rsidP="00BD2A28">
            <w:pPr>
              <w:spacing w:line="240" w:lineRule="auto"/>
              <w:rPr>
                <w:rFonts w:ascii="Calibri Light" w:hAnsi="Calibri Light" w:cs="Calibri Light"/>
                <w:color w:val="000000"/>
                <w:sz w:val="18"/>
                <w:szCs w:val="18"/>
                <w:lang w:val="es-CR" w:eastAsia="es-CR"/>
              </w:rPr>
            </w:pPr>
            <w:r w:rsidRPr="0023319B">
              <w:rPr>
                <w:rFonts w:ascii="Calibri Light" w:hAnsi="Calibri Light" w:cs="Calibri Light"/>
                <w:color w:val="000000"/>
                <w:sz w:val="18"/>
                <w:szCs w:val="18"/>
                <w:lang w:val="es-CR" w:eastAsia="es-CR"/>
              </w:rPr>
              <w:t>Curso virtual Behavioral Finance</w:t>
            </w:r>
          </w:p>
        </w:tc>
        <w:tc>
          <w:tcPr>
            <w:tcW w:w="1276" w:type="dxa"/>
            <w:tcBorders>
              <w:top w:val="nil"/>
              <w:left w:val="nil"/>
              <w:bottom w:val="single" w:sz="4" w:space="0" w:color="auto"/>
              <w:right w:val="single" w:sz="4" w:space="0" w:color="auto"/>
            </w:tcBorders>
            <w:shd w:val="clear" w:color="auto" w:fill="auto"/>
            <w:vAlign w:val="center"/>
            <w:hideMark/>
          </w:tcPr>
          <w:p w14:paraId="2410EBAB" w14:textId="77777777" w:rsidR="00C04E40" w:rsidRPr="0023319B" w:rsidRDefault="00C04E40" w:rsidP="00BD2A28">
            <w:pPr>
              <w:spacing w:line="240" w:lineRule="auto"/>
              <w:jc w:val="center"/>
              <w:rPr>
                <w:rFonts w:ascii="Calibri Light" w:hAnsi="Calibri Light" w:cs="Calibri Light"/>
                <w:color w:val="000000"/>
                <w:sz w:val="18"/>
                <w:szCs w:val="18"/>
                <w:lang w:val="es-CR" w:eastAsia="es-CR"/>
              </w:rPr>
            </w:pPr>
            <w:r w:rsidRPr="0023319B">
              <w:rPr>
                <w:rFonts w:ascii="Calibri Light" w:hAnsi="Calibri Light" w:cs="Calibri Light"/>
                <w:color w:val="000000"/>
                <w:sz w:val="18"/>
                <w:szCs w:val="18"/>
                <w:lang w:val="es-CR" w:eastAsia="es-CR"/>
              </w:rPr>
              <w:t>22-sep-2020</w:t>
            </w:r>
          </w:p>
        </w:tc>
        <w:tc>
          <w:tcPr>
            <w:tcW w:w="1418" w:type="dxa"/>
            <w:tcBorders>
              <w:top w:val="nil"/>
              <w:left w:val="nil"/>
              <w:bottom w:val="single" w:sz="4" w:space="0" w:color="auto"/>
              <w:right w:val="single" w:sz="4" w:space="0" w:color="auto"/>
            </w:tcBorders>
            <w:shd w:val="clear" w:color="auto" w:fill="auto"/>
            <w:noWrap/>
            <w:vAlign w:val="center"/>
            <w:hideMark/>
          </w:tcPr>
          <w:p w14:paraId="382DC448" w14:textId="466940E2" w:rsidR="00C04E40" w:rsidRPr="0023319B" w:rsidRDefault="00C04E40" w:rsidP="00BD2A28">
            <w:pPr>
              <w:spacing w:line="240" w:lineRule="auto"/>
              <w:jc w:val="right"/>
              <w:rPr>
                <w:rFonts w:ascii="Calibri Light" w:hAnsi="Calibri Light" w:cs="Calibri Light"/>
                <w:color w:val="000000"/>
                <w:sz w:val="18"/>
                <w:szCs w:val="18"/>
                <w:lang w:val="es-CR" w:eastAsia="es-CR"/>
              </w:rPr>
            </w:pPr>
            <w:r w:rsidRPr="0023319B">
              <w:rPr>
                <w:rFonts w:ascii="Calibri Light" w:hAnsi="Calibri Light" w:cs="Calibri Light"/>
                <w:color w:val="000000"/>
                <w:sz w:val="18"/>
                <w:szCs w:val="18"/>
                <w:lang w:val="es-CR" w:eastAsia="es-CR"/>
              </w:rPr>
              <w:t xml:space="preserve">5 838 310 </w:t>
            </w:r>
          </w:p>
        </w:tc>
      </w:tr>
      <w:tr w:rsidR="00C04E40" w:rsidRPr="0023319B" w14:paraId="7603EDC9" w14:textId="77777777" w:rsidTr="00BD2A28">
        <w:trPr>
          <w:trHeight w:val="367"/>
        </w:trPr>
        <w:tc>
          <w:tcPr>
            <w:tcW w:w="1192" w:type="dxa"/>
            <w:tcBorders>
              <w:top w:val="nil"/>
              <w:left w:val="single" w:sz="4" w:space="0" w:color="auto"/>
              <w:bottom w:val="single" w:sz="4" w:space="0" w:color="auto"/>
              <w:right w:val="single" w:sz="4" w:space="0" w:color="auto"/>
            </w:tcBorders>
            <w:shd w:val="clear" w:color="auto" w:fill="auto"/>
            <w:vAlign w:val="center"/>
            <w:hideMark/>
          </w:tcPr>
          <w:p w14:paraId="14A15A34" w14:textId="77777777" w:rsidR="00C04E40" w:rsidRPr="0023319B" w:rsidRDefault="00C04E40" w:rsidP="00BD2A28">
            <w:pPr>
              <w:spacing w:line="240" w:lineRule="auto"/>
              <w:jc w:val="center"/>
              <w:rPr>
                <w:rFonts w:ascii="Calibri Light" w:hAnsi="Calibri Light" w:cs="Calibri Light"/>
                <w:color w:val="000000"/>
                <w:sz w:val="18"/>
                <w:szCs w:val="18"/>
                <w:lang w:val="es-CR" w:eastAsia="es-CR"/>
              </w:rPr>
            </w:pPr>
            <w:r w:rsidRPr="0023319B">
              <w:rPr>
                <w:rFonts w:ascii="Calibri Light" w:hAnsi="Calibri Light" w:cs="Calibri Light"/>
                <w:color w:val="000000"/>
                <w:sz w:val="18"/>
                <w:szCs w:val="18"/>
                <w:lang w:val="es-CR" w:eastAsia="es-CR"/>
              </w:rPr>
              <w:t>2</w:t>
            </w:r>
          </w:p>
        </w:tc>
        <w:tc>
          <w:tcPr>
            <w:tcW w:w="5324" w:type="dxa"/>
            <w:tcBorders>
              <w:top w:val="nil"/>
              <w:left w:val="nil"/>
              <w:bottom w:val="single" w:sz="4" w:space="0" w:color="auto"/>
              <w:right w:val="single" w:sz="4" w:space="0" w:color="auto"/>
            </w:tcBorders>
            <w:shd w:val="clear" w:color="auto" w:fill="auto"/>
            <w:vAlign w:val="center"/>
            <w:hideMark/>
          </w:tcPr>
          <w:p w14:paraId="0D0E3072" w14:textId="77777777" w:rsidR="00C04E40" w:rsidRPr="0023319B" w:rsidRDefault="00C04E40" w:rsidP="00BD2A28">
            <w:pPr>
              <w:spacing w:line="240" w:lineRule="auto"/>
              <w:rPr>
                <w:rFonts w:ascii="Calibri Light" w:hAnsi="Calibri Light" w:cs="Calibri Light"/>
                <w:color w:val="000000"/>
                <w:sz w:val="18"/>
                <w:szCs w:val="18"/>
                <w:lang w:val="es-CR" w:eastAsia="es-CR"/>
              </w:rPr>
            </w:pPr>
            <w:r w:rsidRPr="0023319B">
              <w:rPr>
                <w:rFonts w:ascii="Calibri Light" w:hAnsi="Calibri Light" w:cs="Calibri Light"/>
                <w:color w:val="000000"/>
                <w:sz w:val="18"/>
                <w:szCs w:val="18"/>
                <w:lang w:val="es-CR" w:eastAsia="es-CR"/>
              </w:rPr>
              <w:t>Curso on-line: Gobierno Corporativo para Instituciones Financieras</w:t>
            </w:r>
          </w:p>
        </w:tc>
        <w:tc>
          <w:tcPr>
            <w:tcW w:w="1276" w:type="dxa"/>
            <w:tcBorders>
              <w:top w:val="nil"/>
              <w:left w:val="nil"/>
              <w:bottom w:val="single" w:sz="4" w:space="0" w:color="auto"/>
              <w:right w:val="single" w:sz="4" w:space="0" w:color="auto"/>
            </w:tcBorders>
            <w:shd w:val="clear" w:color="auto" w:fill="auto"/>
            <w:vAlign w:val="center"/>
            <w:hideMark/>
          </w:tcPr>
          <w:p w14:paraId="746537B0" w14:textId="77777777" w:rsidR="00C04E40" w:rsidRPr="0023319B" w:rsidRDefault="00C04E40" w:rsidP="00BD2A28">
            <w:pPr>
              <w:spacing w:line="240" w:lineRule="auto"/>
              <w:jc w:val="center"/>
              <w:rPr>
                <w:rFonts w:ascii="Calibri Light" w:hAnsi="Calibri Light" w:cs="Calibri Light"/>
                <w:color w:val="000000"/>
                <w:sz w:val="18"/>
                <w:szCs w:val="18"/>
                <w:lang w:val="es-CR" w:eastAsia="es-CR"/>
              </w:rPr>
            </w:pPr>
            <w:r w:rsidRPr="0023319B">
              <w:rPr>
                <w:rFonts w:ascii="Calibri Light" w:hAnsi="Calibri Light" w:cs="Calibri Light"/>
                <w:color w:val="000000"/>
                <w:sz w:val="18"/>
                <w:szCs w:val="18"/>
                <w:lang w:val="es-CR" w:eastAsia="es-CR"/>
              </w:rPr>
              <w:t>7-sep-2020</w:t>
            </w:r>
          </w:p>
        </w:tc>
        <w:tc>
          <w:tcPr>
            <w:tcW w:w="1418" w:type="dxa"/>
            <w:tcBorders>
              <w:top w:val="nil"/>
              <w:left w:val="nil"/>
              <w:bottom w:val="single" w:sz="4" w:space="0" w:color="auto"/>
              <w:right w:val="single" w:sz="4" w:space="0" w:color="auto"/>
            </w:tcBorders>
            <w:shd w:val="clear" w:color="auto" w:fill="auto"/>
            <w:noWrap/>
            <w:vAlign w:val="center"/>
            <w:hideMark/>
          </w:tcPr>
          <w:p w14:paraId="6A165691" w14:textId="351C76F6" w:rsidR="00C04E40" w:rsidRPr="0023319B" w:rsidRDefault="00C04E40" w:rsidP="00BD2A28">
            <w:pPr>
              <w:spacing w:line="240" w:lineRule="auto"/>
              <w:jc w:val="right"/>
              <w:rPr>
                <w:rFonts w:ascii="Calibri Light" w:hAnsi="Calibri Light" w:cs="Calibri Light"/>
                <w:color w:val="000000"/>
                <w:sz w:val="18"/>
                <w:szCs w:val="18"/>
                <w:lang w:val="es-CR" w:eastAsia="es-CR"/>
              </w:rPr>
            </w:pPr>
            <w:r w:rsidRPr="0023319B">
              <w:rPr>
                <w:rFonts w:ascii="Calibri Light" w:hAnsi="Calibri Light" w:cs="Calibri Light"/>
                <w:color w:val="000000"/>
                <w:sz w:val="18"/>
                <w:szCs w:val="18"/>
                <w:lang w:val="es-CR" w:eastAsia="es-CR"/>
              </w:rPr>
              <w:t xml:space="preserve">824 869 </w:t>
            </w:r>
          </w:p>
        </w:tc>
      </w:tr>
      <w:tr w:rsidR="00C04E40" w:rsidRPr="0023319B" w14:paraId="7F368B8E" w14:textId="77777777" w:rsidTr="00BD2A28">
        <w:trPr>
          <w:trHeight w:val="573"/>
        </w:trPr>
        <w:tc>
          <w:tcPr>
            <w:tcW w:w="1192" w:type="dxa"/>
            <w:tcBorders>
              <w:top w:val="nil"/>
              <w:left w:val="single" w:sz="4" w:space="0" w:color="auto"/>
              <w:bottom w:val="single" w:sz="4" w:space="0" w:color="auto"/>
              <w:right w:val="single" w:sz="4" w:space="0" w:color="auto"/>
            </w:tcBorders>
            <w:shd w:val="clear" w:color="auto" w:fill="auto"/>
            <w:vAlign w:val="center"/>
            <w:hideMark/>
          </w:tcPr>
          <w:p w14:paraId="0FC6348E" w14:textId="77777777" w:rsidR="00C04E40" w:rsidRPr="0023319B" w:rsidRDefault="00C04E40" w:rsidP="00BD2A28">
            <w:pPr>
              <w:spacing w:line="240" w:lineRule="auto"/>
              <w:jc w:val="center"/>
              <w:rPr>
                <w:rFonts w:ascii="Calibri Light" w:hAnsi="Calibri Light" w:cs="Calibri Light"/>
                <w:color w:val="000000"/>
                <w:sz w:val="18"/>
                <w:szCs w:val="18"/>
                <w:lang w:val="es-CR" w:eastAsia="es-CR"/>
              </w:rPr>
            </w:pPr>
            <w:r w:rsidRPr="0023319B">
              <w:rPr>
                <w:rFonts w:ascii="Calibri Light" w:hAnsi="Calibri Light" w:cs="Calibri Light"/>
                <w:color w:val="000000"/>
                <w:sz w:val="18"/>
                <w:szCs w:val="18"/>
                <w:lang w:val="es-CR" w:eastAsia="es-CR"/>
              </w:rPr>
              <w:t>18</w:t>
            </w:r>
          </w:p>
        </w:tc>
        <w:tc>
          <w:tcPr>
            <w:tcW w:w="5324" w:type="dxa"/>
            <w:tcBorders>
              <w:top w:val="nil"/>
              <w:left w:val="nil"/>
              <w:bottom w:val="single" w:sz="4" w:space="0" w:color="auto"/>
              <w:right w:val="single" w:sz="4" w:space="0" w:color="auto"/>
            </w:tcBorders>
            <w:shd w:val="clear" w:color="auto" w:fill="auto"/>
            <w:vAlign w:val="center"/>
            <w:hideMark/>
          </w:tcPr>
          <w:p w14:paraId="41DADADE" w14:textId="69330977" w:rsidR="00C04E40" w:rsidRPr="0023319B" w:rsidRDefault="00C04E40" w:rsidP="00BD2A28">
            <w:pPr>
              <w:spacing w:line="240" w:lineRule="auto"/>
              <w:rPr>
                <w:rFonts w:ascii="Calibri Light" w:hAnsi="Calibri Light" w:cs="Calibri Light"/>
                <w:color w:val="000000"/>
                <w:sz w:val="18"/>
                <w:szCs w:val="18"/>
                <w:lang w:val="es-CR" w:eastAsia="es-CR"/>
              </w:rPr>
            </w:pPr>
            <w:r w:rsidRPr="0023319B">
              <w:rPr>
                <w:rFonts w:ascii="Calibri Light" w:hAnsi="Calibri Light" w:cs="Calibri Light"/>
                <w:color w:val="000000"/>
                <w:sz w:val="18"/>
                <w:szCs w:val="18"/>
                <w:lang w:val="es-CR" w:eastAsia="es-CR"/>
              </w:rPr>
              <w:t xml:space="preserve">Taller virtual: Revisión de modelos de deterioro (NIIF 9) para supervisores y auditores internos </w:t>
            </w:r>
          </w:p>
        </w:tc>
        <w:tc>
          <w:tcPr>
            <w:tcW w:w="1276" w:type="dxa"/>
            <w:tcBorders>
              <w:top w:val="nil"/>
              <w:left w:val="nil"/>
              <w:bottom w:val="single" w:sz="4" w:space="0" w:color="auto"/>
              <w:right w:val="single" w:sz="4" w:space="0" w:color="auto"/>
            </w:tcBorders>
            <w:shd w:val="clear" w:color="auto" w:fill="auto"/>
            <w:vAlign w:val="center"/>
            <w:hideMark/>
          </w:tcPr>
          <w:p w14:paraId="040B41BB" w14:textId="77777777" w:rsidR="00C04E40" w:rsidRPr="0023319B" w:rsidRDefault="00C04E40" w:rsidP="00BD2A28">
            <w:pPr>
              <w:spacing w:line="240" w:lineRule="auto"/>
              <w:jc w:val="center"/>
              <w:rPr>
                <w:rFonts w:ascii="Calibri Light" w:hAnsi="Calibri Light" w:cs="Calibri Light"/>
                <w:color w:val="000000"/>
                <w:sz w:val="18"/>
                <w:szCs w:val="18"/>
                <w:lang w:val="es-CR" w:eastAsia="es-CR"/>
              </w:rPr>
            </w:pPr>
            <w:r w:rsidRPr="0023319B">
              <w:rPr>
                <w:rFonts w:ascii="Calibri Light" w:hAnsi="Calibri Light" w:cs="Calibri Light"/>
                <w:color w:val="000000"/>
                <w:sz w:val="18"/>
                <w:szCs w:val="18"/>
                <w:lang w:val="es-CR" w:eastAsia="es-CR"/>
              </w:rPr>
              <w:t>5-oct-2020</w:t>
            </w:r>
          </w:p>
        </w:tc>
        <w:tc>
          <w:tcPr>
            <w:tcW w:w="1418" w:type="dxa"/>
            <w:tcBorders>
              <w:top w:val="nil"/>
              <w:left w:val="nil"/>
              <w:bottom w:val="single" w:sz="4" w:space="0" w:color="auto"/>
              <w:right w:val="single" w:sz="4" w:space="0" w:color="auto"/>
            </w:tcBorders>
            <w:shd w:val="clear" w:color="auto" w:fill="auto"/>
            <w:noWrap/>
            <w:vAlign w:val="center"/>
            <w:hideMark/>
          </w:tcPr>
          <w:p w14:paraId="3EE5568F" w14:textId="4EEAF072" w:rsidR="00C04E40" w:rsidRPr="0023319B" w:rsidRDefault="00C04E40" w:rsidP="00BD2A28">
            <w:pPr>
              <w:spacing w:line="240" w:lineRule="auto"/>
              <w:jc w:val="right"/>
              <w:rPr>
                <w:rFonts w:ascii="Calibri Light" w:hAnsi="Calibri Light" w:cs="Calibri Light"/>
                <w:color w:val="000000"/>
                <w:sz w:val="18"/>
                <w:szCs w:val="18"/>
                <w:lang w:val="es-CR" w:eastAsia="es-CR"/>
              </w:rPr>
            </w:pPr>
            <w:r w:rsidRPr="0023319B">
              <w:rPr>
                <w:rFonts w:ascii="Calibri Light" w:hAnsi="Calibri Light" w:cs="Calibri Light"/>
                <w:color w:val="000000"/>
                <w:sz w:val="18"/>
                <w:szCs w:val="18"/>
                <w:lang w:val="es-CR" w:eastAsia="es-CR"/>
              </w:rPr>
              <w:t xml:space="preserve">8 366 784 </w:t>
            </w:r>
          </w:p>
        </w:tc>
      </w:tr>
      <w:tr w:rsidR="00C04E40" w:rsidRPr="0023319B" w14:paraId="30709903" w14:textId="77777777" w:rsidTr="00BD2A28">
        <w:trPr>
          <w:trHeight w:val="553"/>
        </w:trPr>
        <w:tc>
          <w:tcPr>
            <w:tcW w:w="1192" w:type="dxa"/>
            <w:tcBorders>
              <w:top w:val="nil"/>
              <w:left w:val="single" w:sz="4" w:space="0" w:color="auto"/>
              <w:bottom w:val="single" w:sz="4" w:space="0" w:color="auto"/>
              <w:right w:val="single" w:sz="4" w:space="0" w:color="auto"/>
            </w:tcBorders>
            <w:shd w:val="clear" w:color="auto" w:fill="auto"/>
            <w:vAlign w:val="center"/>
            <w:hideMark/>
          </w:tcPr>
          <w:p w14:paraId="6A94BE18" w14:textId="77777777" w:rsidR="00C04E40" w:rsidRPr="0023319B" w:rsidRDefault="00C04E40" w:rsidP="00BD2A28">
            <w:pPr>
              <w:spacing w:line="240" w:lineRule="auto"/>
              <w:jc w:val="center"/>
              <w:rPr>
                <w:rFonts w:ascii="Calibri Light" w:hAnsi="Calibri Light" w:cs="Calibri Light"/>
                <w:color w:val="000000"/>
                <w:sz w:val="18"/>
                <w:szCs w:val="18"/>
                <w:lang w:val="es-CR" w:eastAsia="es-CR"/>
              </w:rPr>
            </w:pPr>
            <w:r w:rsidRPr="0023319B">
              <w:rPr>
                <w:rFonts w:ascii="Calibri Light" w:hAnsi="Calibri Light" w:cs="Calibri Light"/>
                <w:color w:val="000000"/>
                <w:sz w:val="18"/>
                <w:szCs w:val="18"/>
                <w:lang w:val="es-CR" w:eastAsia="es-CR"/>
              </w:rPr>
              <w:t>15</w:t>
            </w:r>
          </w:p>
        </w:tc>
        <w:tc>
          <w:tcPr>
            <w:tcW w:w="5324" w:type="dxa"/>
            <w:tcBorders>
              <w:top w:val="nil"/>
              <w:left w:val="nil"/>
              <w:bottom w:val="single" w:sz="4" w:space="0" w:color="auto"/>
              <w:right w:val="single" w:sz="4" w:space="0" w:color="auto"/>
            </w:tcBorders>
            <w:shd w:val="clear" w:color="auto" w:fill="auto"/>
            <w:vAlign w:val="center"/>
            <w:hideMark/>
          </w:tcPr>
          <w:p w14:paraId="674D9421" w14:textId="65FEF80A" w:rsidR="00C04E40" w:rsidRPr="0023319B" w:rsidRDefault="00C04E40" w:rsidP="00BD2A28">
            <w:pPr>
              <w:spacing w:line="240" w:lineRule="auto"/>
              <w:rPr>
                <w:rFonts w:ascii="Calibri Light" w:hAnsi="Calibri Light" w:cs="Calibri Light"/>
                <w:color w:val="000000"/>
                <w:sz w:val="18"/>
                <w:szCs w:val="18"/>
                <w:lang w:val="es-CR" w:eastAsia="es-CR"/>
              </w:rPr>
            </w:pPr>
            <w:r w:rsidRPr="0023319B">
              <w:rPr>
                <w:rFonts w:ascii="Calibri Light" w:hAnsi="Calibri Light" w:cs="Calibri Light"/>
                <w:color w:val="000000"/>
                <w:sz w:val="18"/>
                <w:szCs w:val="18"/>
                <w:lang w:val="es-CR" w:eastAsia="es-CR"/>
              </w:rPr>
              <w:t xml:space="preserve">Taller virtual: Revisión de modelos de deterioro (NIIF 9) para supervisores y auditores internos </w:t>
            </w:r>
          </w:p>
        </w:tc>
        <w:tc>
          <w:tcPr>
            <w:tcW w:w="1276" w:type="dxa"/>
            <w:tcBorders>
              <w:top w:val="nil"/>
              <w:left w:val="nil"/>
              <w:bottom w:val="single" w:sz="4" w:space="0" w:color="auto"/>
              <w:right w:val="single" w:sz="4" w:space="0" w:color="auto"/>
            </w:tcBorders>
            <w:shd w:val="clear" w:color="auto" w:fill="auto"/>
            <w:vAlign w:val="center"/>
            <w:hideMark/>
          </w:tcPr>
          <w:p w14:paraId="2638A808" w14:textId="77777777" w:rsidR="00C04E40" w:rsidRPr="0023319B" w:rsidRDefault="00C04E40" w:rsidP="00BD2A28">
            <w:pPr>
              <w:spacing w:line="240" w:lineRule="auto"/>
              <w:jc w:val="center"/>
              <w:rPr>
                <w:rFonts w:ascii="Calibri Light" w:hAnsi="Calibri Light" w:cs="Calibri Light"/>
                <w:color w:val="000000"/>
                <w:sz w:val="18"/>
                <w:szCs w:val="18"/>
                <w:lang w:val="es-CR" w:eastAsia="es-CR"/>
              </w:rPr>
            </w:pPr>
            <w:r w:rsidRPr="0023319B">
              <w:rPr>
                <w:rFonts w:ascii="Calibri Light" w:hAnsi="Calibri Light" w:cs="Calibri Light"/>
                <w:color w:val="000000"/>
                <w:sz w:val="18"/>
                <w:szCs w:val="18"/>
                <w:lang w:val="es-CR" w:eastAsia="es-CR"/>
              </w:rPr>
              <w:t>13-oct-2020</w:t>
            </w:r>
          </w:p>
        </w:tc>
        <w:tc>
          <w:tcPr>
            <w:tcW w:w="1418" w:type="dxa"/>
            <w:tcBorders>
              <w:top w:val="nil"/>
              <w:left w:val="nil"/>
              <w:bottom w:val="single" w:sz="4" w:space="0" w:color="auto"/>
              <w:right w:val="single" w:sz="4" w:space="0" w:color="auto"/>
            </w:tcBorders>
            <w:shd w:val="clear" w:color="auto" w:fill="auto"/>
            <w:noWrap/>
            <w:vAlign w:val="center"/>
            <w:hideMark/>
          </w:tcPr>
          <w:p w14:paraId="6692FFEA" w14:textId="1458DAD2" w:rsidR="00C04E40" w:rsidRPr="0023319B" w:rsidRDefault="00C04E40" w:rsidP="00BD2A28">
            <w:pPr>
              <w:spacing w:line="240" w:lineRule="auto"/>
              <w:jc w:val="right"/>
              <w:rPr>
                <w:rFonts w:ascii="Calibri Light" w:hAnsi="Calibri Light" w:cs="Calibri Light"/>
                <w:color w:val="000000"/>
                <w:sz w:val="18"/>
                <w:szCs w:val="18"/>
                <w:lang w:val="es-CR" w:eastAsia="es-CR"/>
              </w:rPr>
            </w:pPr>
            <w:r w:rsidRPr="0023319B">
              <w:rPr>
                <w:rFonts w:ascii="Calibri Light" w:hAnsi="Calibri Light" w:cs="Calibri Light"/>
                <w:color w:val="000000"/>
                <w:sz w:val="18"/>
                <w:szCs w:val="18"/>
                <w:lang w:val="es-CR" w:eastAsia="es-CR"/>
              </w:rPr>
              <w:t xml:space="preserve">6 605 356 </w:t>
            </w:r>
          </w:p>
        </w:tc>
      </w:tr>
      <w:tr w:rsidR="00C04E40" w:rsidRPr="0023319B" w14:paraId="03BD93F6" w14:textId="77777777" w:rsidTr="00BD2A28">
        <w:trPr>
          <w:trHeight w:val="404"/>
        </w:trPr>
        <w:tc>
          <w:tcPr>
            <w:tcW w:w="1192" w:type="dxa"/>
            <w:tcBorders>
              <w:top w:val="nil"/>
              <w:left w:val="single" w:sz="4" w:space="0" w:color="auto"/>
              <w:bottom w:val="single" w:sz="4" w:space="0" w:color="auto"/>
              <w:right w:val="single" w:sz="4" w:space="0" w:color="auto"/>
            </w:tcBorders>
            <w:shd w:val="clear" w:color="auto" w:fill="auto"/>
            <w:vAlign w:val="center"/>
            <w:hideMark/>
          </w:tcPr>
          <w:p w14:paraId="6AAADC3B" w14:textId="77777777" w:rsidR="00C04E40" w:rsidRPr="0023319B" w:rsidRDefault="00C04E40" w:rsidP="00BD2A28">
            <w:pPr>
              <w:spacing w:line="240" w:lineRule="auto"/>
              <w:jc w:val="center"/>
              <w:rPr>
                <w:rFonts w:ascii="Calibri Light" w:hAnsi="Calibri Light" w:cs="Calibri Light"/>
                <w:color w:val="000000"/>
                <w:sz w:val="18"/>
                <w:szCs w:val="18"/>
                <w:lang w:val="es-CR" w:eastAsia="es-CR"/>
              </w:rPr>
            </w:pPr>
            <w:r w:rsidRPr="0023319B">
              <w:rPr>
                <w:rFonts w:ascii="Calibri Light" w:hAnsi="Calibri Light" w:cs="Calibri Light"/>
                <w:color w:val="000000"/>
                <w:sz w:val="18"/>
                <w:szCs w:val="18"/>
                <w:lang w:val="es-CR" w:eastAsia="es-CR"/>
              </w:rPr>
              <w:t>2</w:t>
            </w:r>
          </w:p>
        </w:tc>
        <w:tc>
          <w:tcPr>
            <w:tcW w:w="5324" w:type="dxa"/>
            <w:tcBorders>
              <w:top w:val="nil"/>
              <w:left w:val="nil"/>
              <w:bottom w:val="single" w:sz="4" w:space="0" w:color="auto"/>
              <w:right w:val="single" w:sz="4" w:space="0" w:color="auto"/>
            </w:tcBorders>
            <w:shd w:val="clear" w:color="auto" w:fill="auto"/>
            <w:vAlign w:val="center"/>
            <w:hideMark/>
          </w:tcPr>
          <w:p w14:paraId="37CFC2F6" w14:textId="77777777" w:rsidR="00C04E40" w:rsidRPr="0023319B" w:rsidRDefault="00C04E40" w:rsidP="00BD2A28">
            <w:pPr>
              <w:spacing w:line="240" w:lineRule="auto"/>
              <w:rPr>
                <w:rFonts w:ascii="Calibri Light" w:hAnsi="Calibri Light" w:cs="Calibri Light"/>
                <w:color w:val="000000"/>
                <w:sz w:val="18"/>
                <w:szCs w:val="18"/>
                <w:lang w:val="es-CR" w:eastAsia="es-CR"/>
              </w:rPr>
            </w:pPr>
            <w:r w:rsidRPr="0023319B">
              <w:rPr>
                <w:rFonts w:ascii="Calibri Light" w:hAnsi="Calibri Light" w:cs="Calibri Light"/>
                <w:color w:val="000000"/>
                <w:sz w:val="18"/>
                <w:szCs w:val="18"/>
                <w:lang w:val="es-CR" w:eastAsia="es-CR"/>
              </w:rPr>
              <w:t xml:space="preserve">Curso virtual Análisis y modelado de datos con Microsoft Power BI </w:t>
            </w:r>
          </w:p>
        </w:tc>
        <w:tc>
          <w:tcPr>
            <w:tcW w:w="1276" w:type="dxa"/>
            <w:tcBorders>
              <w:top w:val="nil"/>
              <w:left w:val="nil"/>
              <w:bottom w:val="single" w:sz="4" w:space="0" w:color="auto"/>
              <w:right w:val="single" w:sz="4" w:space="0" w:color="auto"/>
            </w:tcBorders>
            <w:shd w:val="clear" w:color="auto" w:fill="auto"/>
            <w:vAlign w:val="center"/>
            <w:hideMark/>
          </w:tcPr>
          <w:p w14:paraId="3877370D" w14:textId="77777777" w:rsidR="00C04E40" w:rsidRPr="0023319B" w:rsidRDefault="00C04E40" w:rsidP="00BD2A28">
            <w:pPr>
              <w:spacing w:line="240" w:lineRule="auto"/>
              <w:jc w:val="center"/>
              <w:rPr>
                <w:rFonts w:ascii="Calibri Light" w:hAnsi="Calibri Light" w:cs="Calibri Light"/>
                <w:color w:val="000000"/>
                <w:sz w:val="18"/>
                <w:szCs w:val="18"/>
                <w:lang w:val="es-CR" w:eastAsia="es-CR"/>
              </w:rPr>
            </w:pPr>
            <w:r w:rsidRPr="0023319B">
              <w:rPr>
                <w:rFonts w:ascii="Calibri Light" w:hAnsi="Calibri Light" w:cs="Calibri Light"/>
                <w:color w:val="000000"/>
                <w:sz w:val="18"/>
                <w:szCs w:val="18"/>
                <w:lang w:val="es-CR" w:eastAsia="es-CR"/>
              </w:rPr>
              <w:t>6-oct-2020</w:t>
            </w:r>
          </w:p>
        </w:tc>
        <w:tc>
          <w:tcPr>
            <w:tcW w:w="1418" w:type="dxa"/>
            <w:tcBorders>
              <w:top w:val="nil"/>
              <w:left w:val="nil"/>
              <w:bottom w:val="single" w:sz="4" w:space="0" w:color="auto"/>
              <w:right w:val="single" w:sz="4" w:space="0" w:color="auto"/>
            </w:tcBorders>
            <w:shd w:val="clear" w:color="auto" w:fill="auto"/>
            <w:noWrap/>
            <w:vAlign w:val="center"/>
            <w:hideMark/>
          </w:tcPr>
          <w:p w14:paraId="5087C5D6" w14:textId="200C82C7" w:rsidR="00C04E40" w:rsidRPr="0023319B" w:rsidRDefault="00C04E40" w:rsidP="00BD2A28">
            <w:pPr>
              <w:spacing w:line="240" w:lineRule="auto"/>
              <w:jc w:val="right"/>
              <w:rPr>
                <w:rFonts w:ascii="Calibri Light" w:hAnsi="Calibri Light" w:cs="Calibri Light"/>
                <w:color w:val="000000"/>
                <w:sz w:val="18"/>
                <w:szCs w:val="18"/>
                <w:lang w:val="es-CR" w:eastAsia="es-CR"/>
              </w:rPr>
            </w:pPr>
            <w:r w:rsidRPr="0023319B">
              <w:rPr>
                <w:rFonts w:ascii="Calibri Light" w:hAnsi="Calibri Light" w:cs="Calibri Light"/>
                <w:color w:val="000000"/>
                <w:sz w:val="18"/>
                <w:szCs w:val="18"/>
                <w:lang w:val="es-CR" w:eastAsia="es-CR"/>
              </w:rPr>
              <w:t xml:space="preserve">528 367 </w:t>
            </w:r>
          </w:p>
        </w:tc>
      </w:tr>
      <w:tr w:rsidR="00C04E40" w:rsidRPr="0023319B" w14:paraId="3A2D41C2" w14:textId="77777777" w:rsidTr="00BD2A28">
        <w:trPr>
          <w:trHeight w:val="427"/>
        </w:trPr>
        <w:tc>
          <w:tcPr>
            <w:tcW w:w="1192" w:type="dxa"/>
            <w:tcBorders>
              <w:top w:val="nil"/>
              <w:left w:val="single" w:sz="4" w:space="0" w:color="auto"/>
              <w:bottom w:val="single" w:sz="4" w:space="0" w:color="auto"/>
              <w:right w:val="single" w:sz="4" w:space="0" w:color="auto"/>
            </w:tcBorders>
            <w:shd w:val="clear" w:color="auto" w:fill="auto"/>
            <w:vAlign w:val="center"/>
            <w:hideMark/>
          </w:tcPr>
          <w:p w14:paraId="1AE20974" w14:textId="77777777" w:rsidR="00C04E40" w:rsidRPr="0023319B" w:rsidRDefault="00C04E40" w:rsidP="00BD2A28">
            <w:pPr>
              <w:spacing w:line="240" w:lineRule="auto"/>
              <w:jc w:val="center"/>
              <w:rPr>
                <w:rFonts w:ascii="Calibri Light" w:hAnsi="Calibri Light" w:cs="Calibri Light"/>
                <w:color w:val="000000"/>
                <w:sz w:val="18"/>
                <w:szCs w:val="18"/>
                <w:lang w:val="es-CR" w:eastAsia="es-CR"/>
              </w:rPr>
            </w:pPr>
            <w:r w:rsidRPr="0023319B">
              <w:rPr>
                <w:rFonts w:ascii="Calibri Light" w:hAnsi="Calibri Light" w:cs="Calibri Light"/>
                <w:color w:val="000000"/>
                <w:sz w:val="18"/>
                <w:szCs w:val="18"/>
                <w:lang w:val="es-CR" w:eastAsia="es-CR"/>
              </w:rPr>
              <w:t>6</w:t>
            </w:r>
          </w:p>
        </w:tc>
        <w:tc>
          <w:tcPr>
            <w:tcW w:w="5324" w:type="dxa"/>
            <w:tcBorders>
              <w:top w:val="nil"/>
              <w:left w:val="nil"/>
              <w:bottom w:val="single" w:sz="4" w:space="0" w:color="auto"/>
              <w:right w:val="single" w:sz="4" w:space="0" w:color="auto"/>
            </w:tcBorders>
            <w:shd w:val="clear" w:color="auto" w:fill="auto"/>
            <w:vAlign w:val="center"/>
            <w:hideMark/>
          </w:tcPr>
          <w:p w14:paraId="6C916CBF" w14:textId="77777777" w:rsidR="00C04E40" w:rsidRPr="0023319B" w:rsidRDefault="00C04E40" w:rsidP="00BD2A28">
            <w:pPr>
              <w:spacing w:line="240" w:lineRule="auto"/>
              <w:rPr>
                <w:rFonts w:ascii="Calibri Light" w:hAnsi="Calibri Light" w:cs="Calibri Light"/>
                <w:color w:val="000000"/>
                <w:sz w:val="18"/>
                <w:szCs w:val="18"/>
                <w:lang w:val="es-CR" w:eastAsia="es-CR"/>
              </w:rPr>
            </w:pPr>
            <w:r w:rsidRPr="0023319B">
              <w:rPr>
                <w:rFonts w:ascii="Calibri Light" w:hAnsi="Calibri Light" w:cs="Calibri Light"/>
                <w:color w:val="000000"/>
                <w:sz w:val="18"/>
                <w:szCs w:val="18"/>
                <w:lang w:val="es-CR" w:eastAsia="es-CR"/>
              </w:rPr>
              <w:t>Curso virtual Las mejores técnicas de redacción para documentos administrativos</w:t>
            </w:r>
          </w:p>
        </w:tc>
        <w:tc>
          <w:tcPr>
            <w:tcW w:w="1276" w:type="dxa"/>
            <w:tcBorders>
              <w:top w:val="nil"/>
              <w:left w:val="nil"/>
              <w:bottom w:val="single" w:sz="4" w:space="0" w:color="auto"/>
              <w:right w:val="single" w:sz="4" w:space="0" w:color="auto"/>
            </w:tcBorders>
            <w:shd w:val="clear" w:color="auto" w:fill="auto"/>
            <w:vAlign w:val="center"/>
            <w:hideMark/>
          </w:tcPr>
          <w:p w14:paraId="2205D1C7" w14:textId="77777777" w:rsidR="00C04E40" w:rsidRPr="0023319B" w:rsidRDefault="00C04E40" w:rsidP="00BD2A28">
            <w:pPr>
              <w:spacing w:line="240" w:lineRule="auto"/>
              <w:jc w:val="center"/>
              <w:rPr>
                <w:rFonts w:ascii="Calibri Light" w:hAnsi="Calibri Light" w:cs="Calibri Light"/>
                <w:color w:val="000000"/>
                <w:sz w:val="18"/>
                <w:szCs w:val="18"/>
                <w:lang w:val="es-CR" w:eastAsia="es-CR"/>
              </w:rPr>
            </w:pPr>
            <w:r w:rsidRPr="0023319B">
              <w:rPr>
                <w:rFonts w:ascii="Calibri Light" w:hAnsi="Calibri Light" w:cs="Calibri Light"/>
                <w:color w:val="000000"/>
                <w:sz w:val="18"/>
                <w:szCs w:val="18"/>
                <w:lang w:val="es-CR" w:eastAsia="es-CR"/>
              </w:rPr>
              <w:t>16-sep-2020</w:t>
            </w:r>
          </w:p>
        </w:tc>
        <w:tc>
          <w:tcPr>
            <w:tcW w:w="1418" w:type="dxa"/>
            <w:tcBorders>
              <w:top w:val="nil"/>
              <w:left w:val="nil"/>
              <w:bottom w:val="single" w:sz="4" w:space="0" w:color="auto"/>
              <w:right w:val="single" w:sz="4" w:space="0" w:color="auto"/>
            </w:tcBorders>
            <w:shd w:val="clear" w:color="auto" w:fill="auto"/>
            <w:noWrap/>
            <w:vAlign w:val="center"/>
            <w:hideMark/>
          </w:tcPr>
          <w:p w14:paraId="544D7278" w14:textId="1B01C3BE" w:rsidR="00C04E40" w:rsidRPr="0023319B" w:rsidRDefault="00C04E40" w:rsidP="00BD2A28">
            <w:pPr>
              <w:spacing w:line="240" w:lineRule="auto"/>
              <w:jc w:val="right"/>
              <w:rPr>
                <w:rFonts w:ascii="Calibri Light" w:hAnsi="Calibri Light" w:cs="Calibri Light"/>
                <w:color w:val="000000"/>
                <w:sz w:val="18"/>
                <w:szCs w:val="18"/>
                <w:lang w:val="es-CR" w:eastAsia="es-CR"/>
              </w:rPr>
            </w:pPr>
            <w:r w:rsidRPr="0023319B">
              <w:rPr>
                <w:rFonts w:ascii="Calibri Light" w:hAnsi="Calibri Light" w:cs="Calibri Light"/>
                <w:color w:val="000000"/>
                <w:sz w:val="18"/>
                <w:szCs w:val="18"/>
                <w:lang w:val="es-CR" w:eastAsia="es-CR"/>
              </w:rPr>
              <w:t xml:space="preserve">465 120 </w:t>
            </w:r>
          </w:p>
        </w:tc>
      </w:tr>
      <w:tr w:rsidR="00C04E40" w:rsidRPr="0023319B" w14:paraId="04A94CDF" w14:textId="77777777" w:rsidTr="00BD2A28">
        <w:trPr>
          <w:trHeight w:val="534"/>
        </w:trPr>
        <w:tc>
          <w:tcPr>
            <w:tcW w:w="1192" w:type="dxa"/>
            <w:tcBorders>
              <w:top w:val="nil"/>
              <w:left w:val="single" w:sz="4" w:space="0" w:color="auto"/>
              <w:bottom w:val="single" w:sz="4" w:space="0" w:color="auto"/>
              <w:right w:val="single" w:sz="4" w:space="0" w:color="auto"/>
            </w:tcBorders>
            <w:shd w:val="clear" w:color="auto" w:fill="auto"/>
            <w:vAlign w:val="center"/>
            <w:hideMark/>
          </w:tcPr>
          <w:p w14:paraId="754072FC" w14:textId="77777777" w:rsidR="00C04E40" w:rsidRPr="0023319B" w:rsidRDefault="00C04E40" w:rsidP="00BD2A28">
            <w:pPr>
              <w:spacing w:line="240" w:lineRule="auto"/>
              <w:jc w:val="center"/>
              <w:rPr>
                <w:rFonts w:ascii="Calibri Light" w:hAnsi="Calibri Light" w:cs="Calibri Light"/>
                <w:color w:val="000000"/>
                <w:sz w:val="18"/>
                <w:szCs w:val="18"/>
                <w:lang w:val="es-CR" w:eastAsia="es-CR"/>
              </w:rPr>
            </w:pPr>
            <w:r w:rsidRPr="0023319B">
              <w:rPr>
                <w:rFonts w:ascii="Calibri Light" w:hAnsi="Calibri Light" w:cs="Calibri Light"/>
                <w:color w:val="000000"/>
                <w:sz w:val="18"/>
                <w:szCs w:val="18"/>
                <w:lang w:val="es-CR" w:eastAsia="es-CR"/>
              </w:rPr>
              <w:t>4</w:t>
            </w:r>
          </w:p>
        </w:tc>
        <w:tc>
          <w:tcPr>
            <w:tcW w:w="5324" w:type="dxa"/>
            <w:tcBorders>
              <w:top w:val="nil"/>
              <w:left w:val="nil"/>
              <w:bottom w:val="single" w:sz="4" w:space="0" w:color="auto"/>
              <w:right w:val="single" w:sz="4" w:space="0" w:color="auto"/>
            </w:tcBorders>
            <w:shd w:val="clear" w:color="auto" w:fill="auto"/>
            <w:vAlign w:val="center"/>
            <w:hideMark/>
          </w:tcPr>
          <w:p w14:paraId="448820A3" w14:textId="77777777" w:rsidR="00C04E40" w:rsidRPr="0023319B" w:rsidRDefault="00C04E40" w:rsidP="00BD2A28">
            <w:pPr>
              <w:spacing w:line="240" w:lineRule="auto"/>
              <w:rPr>
                <w:rFonts w:ascii="Calibri Light" w:hAnsi="Calibri Light" w:cs="Calibri Light"/>
                <w:color w:val="000000"/>
                <w:sz w:val="18"/>
                <w:szCs w:val="18"/>
                <w:lang w:val="es-CR" w:eastAsia="es-CR"/>
              </w:rPr>
            </w:pPr>
            <w:r w:rsidRPr="0023319B">
              <w:rPr>
                <w:rFonts w:ascii="Calibri Light" w:hAnsi="Calibri Light" w:cs="Calibri Light"/>
                <w:color w:val="000000"/>
                <w:sz w:val="18"/>
                <w:szCs w:val="18"/>
                <w:lang w:val="es-CR" w:eastAsia="es-CR"/>
              </w:rPr>
              <w:t>Taller virtual: Desarrollo de destrezas de comunicación Oral ¿Cómo hablar en público?</w:t>
            </w:r>
          </w:p>
        </w:tc>
        <w:tc>
          <w:tcPr>
            <w:tcW w:w="1276" w:type="dxa"/>
            <w:tcBorders>
              <w:top w:val="nil"/>
              <w:left w:val="nil"/>
              <w:bottom w:val="single" w:sz="4" w:space="0" w:color="auto"/>
              <w:right w:val="single" w:sz="4" w:space="0" w:color="auto"/>
            </w:tcBorders>
            <w:shd w:val="clear" w:color="auto" w:fill="auto"/>
            <w:vAlign w:val="center"/>
            <w:hideMark/>
          </w:tcPr>
          <w:p w14:paraId="3558E70E" w14:textId="77777777" w:rsidR="00C04E40" w:rsidRPr="0023319B" w:rsidRDefault="00C04E40" w:rsidP="00BD2A28">
            <w:pPr>
              <w:spacing w:line="240" w:lineRule="auto"/>
              <w:jc w:val="center"/>
              <w:rPr>
                <w:rFonts w:ascii="Calibri Light" w:hAnsi="Calibri Light" w:cs="Calibri Light"/>
                <w:color w:val="000000"/>
                <w:sz w:val="18"/>
                <w:szCs w:val="18"/>
                <w:lang w:val="es-CR" w:eastAsia="es-CR"/>
              </w:rPr>
            </w:pPr>
            <w:r w:rsidRPr="0023319B">
              <w:rPr>
                <w:rFonts w:ascii="Calibri Light" w:hAnsi="Calibri Light" w:cs="Calibri Light"/>
                <w:color w:val="000000"/>
                <w:sz w:val="18"/>
                <w:szCs w:val="18"/>
                <w:lang w:val="es-CR" w:eastAsia="es-CR"/>
              </w:rPr>
              <w:t>5-oct-2020</w:t>
            </w:r>
          </w:p>
        </w:tc>
        <w:tc>
          <w:tcPr>
            <w:tcW w:w="1418" w:type="dxa"/>
            <w:tcBorders>
              <w:top w:val="nil"/>
              <w:left w:val="nil"/>
              <w:bottom w:val="single" w:sz="4" w:space="0" w:color="auto"/>
              <w:right w:val="single" w:sz="4" w:space="0" w:color="auto"/>
            </w:tcBorders>
            <w:shd w:val="clear" w:color="auto" w:fill="auto"/>
            <w:noWrap/>
            <w:vAlign w:val="center"/>
            <w:hideMark/>
          </w:tcPr>
          <w:p w14:paraId="2EA4D5C2" w14:textId="2DBF1363" w:rsidR="00C04E40" w:rsidRPr="0023319B" w:rsidRDefault="00C04E40" w:rsidP="00BD2A28">
            <w:pPr>
              <w:spacing w:line="240" w:lineRule="auto"/>
              <w:jc w:val="right"/>
              <w:rPr>
                <w:rFonts w:ascii="Calibri Light" w:hAnsi="Calibri Light" w:cs="Calibri Light"/>
                <w:color w:val="000000"/>
                <w:sz w:val="18"/>
                <w:szCs w:val="18"/>
                <w:lang w:val="es-CR" w:eastAsia="es-CR"/>
              </w:rPr>
            </w:pPr>
            <w:r w:rsidRPr="0023319B">
              <w:rPr>
                <w:rFonts w:ascii="Calibri Light" w:hAnsi="Calibri Light" w:cs="Calibri Light"/>
                <w:color w:val="000000"/>
                <w:sz w:val="18"/>
                <w:szCs w:val="18"/>
                <w:lang w:val="es-CR" w:eastAsia="es-CR"/>
              </w:rPr>
              <w:t xml:space="preserve">310 080 </w:t>
            </w:r>
          </w:p>
        </w:tc>
      </w:tr>
      <w:tr w:rsidR="00C04E40" w:rsidRPr="0023319B" w14:paraId="5CCEDD72" w14:textId="77777777" w:rsidTr="00BD2A28">
        <w:trPr>
          <w:trHeight w:val="570"/>
        </w:trPr>
        <w:tc>
          <w:tcPr>
            <w:tcW w:w="1192" w:type="dxa"/>
            <w:tcBorders>
              <w:top w:val="nil"/>
              <w:left w:val="single" w:sz="4" w:space="0" w:color="auto"/>
              <w:bottom w:val="single" w:sz="4" w:space="0" w:color="auto"/>
              <w:right w:val="single" w:sz="4" w:space="0" w:color="auto"/>
            </w:tcBorders>
            <w:shd w:val="clear" w:color="auto" w:fill="auto"/>
            <w:vAlign w:val="center"/>
            <w:hideMark/>
          </w:tcPr>
          <w:p w14:paraId="6DF6AEDF" w14:textId="77777777" w:rsidR="00C04E40" w:rsidRPr="0023319B" w:rsidRDefault="00C04E40" w:rsidP="00BD2A28">
            <w:pPr>
              <w:spacing w:line="240" w:lineRule="auto"/>
              <w:jc w:val="center"/>
              <w:rPr>
                <w:rFonts w:ascii="Calibri Light" w:hAnsi="Calibri Light" w:cs="Calibri Light"/>
                <w:color w:val="000000"/>
                <w:sz w:val="18"/>
                <w:szCs w:val="18"/>
                <w:lang w:val="es-CR" w:eastAsia="es-CR"/>
              </w:rPr>
            </w:pPr>
            <w:r w:rsidRPr="0023319B">
              <w:rPr>
                <w:rFonts w:ascii="Calibri Light" w:hAnsi="Calibri Light" w:cs="Calibri Light"/>
                <w:color w:val="000000"/>
                <w:sz w:val="18"/>
                <w:szCs w:val="18"/>
                <w:lang w:val="es-CR" w:eastAsia="es-CR"/>
              </w:rPr>
              <w:t>1</w:t>
            </w:r>
          </w:p>
        </w:tc>
        <w:tc>
          <w:tcPr>
            <w:tcW w:w="5324" w:type="dxa"/>
            <w:tcBorders>
              <w:top w:val="nil"/>
              <w:left w:val="nil"/>
              <w:bottom w:val="single" w:sz="4" w:space="0" w:color="auto"/>
              <w:right w:val="single" w:sz="4" w:space="0" w:color="auto"/>
            </w:tcBorders>
            <w:shd w:val="clear" w:color="auto" w:fill="auto"/>
            <w:vAlign w:val="center"/>
            <w:hideMark/>
          </w:tcPr>
          <w:p w14:paraId="2B9F9321" w14:textId="77777777" w:rsidR="00C04E40" w:rsidRPr="0023319B" w:rsidRDefault="00C04E40" w:rsidP="00BD2A28">
            <w:pPr>
              <w:spacing w:line="240" w:lineRule="auto"/>
              <w:rPr>
                <w:rFonts w:ascii="Calibri Light" w:hAnsi="Calibri Light" w:cs="Calibri Light"/>
                <w:color w:val="000000"/>
                <w:sz w:val="18"/>
                <w:szCs w:val="18"/>
                <w:lang w:val="es-CR" w:eastAsia="es-CR"/>
              </w:rPr>
            </w:pPr>
            <w:r w:rsidRPr="0023319B">
              <w:rPr>
                <w:rFonts w:ascii="Calibri Light" w:hAnsi="Calibri Light" w:cs="Calibri Light"/>
                <w:color w:val="000000"/>
                <w:sz w:val="18"/>
                <w:szCs w:val="18"/>
                <w:lang w:val="es-CR" w:eastAsia="es-CR"/>
              </w:rPr>
              <w:t>Taller virtual: Lineamientos de la Contraloría para la investigación de hechos presuntamente irregulares</w:t>
            </w:r>
          </w:p>
        </w:tc>
        <w:tc>
          <w:tcPr>
            <w:tcW w:w="1276" w:type="dxa"/>
            <w:tcBorders>
              <w:top w:val="nil"/>
              <w:left w:val="nil"/>
              <w:bottom w:val="single" w:sz="4" w:space="0" w:color="auto"/>
              <w:right w:val="single" w:sz="4" w:space="0" w:color="auto"/>
            </w:tcBorders>
            <w:shd w:val="clear" w:color="auto" w:fill="auto"/>
            <w:vAlign w:val="center"/>
            <w:hideMark/>
          </w:tcPr>
          <w:p w14:paraId="23DC250B" w14:textId="77777777" w:rsidR="00C04E40" w:rsidRPr="0023319B" w:rsidRDefault="00C04E40" w:rsidP="00BD2A28">
            <w:pPr>
              <w:spacing w:line="240" w:lineRule="auto"/>
              <w:jc w:val="center"/>
              <w:rPr>
                <w:rFonts w:ascii="Calibri Light" w:hAnsi="Calibri Light" w:cs="Calibri Light"/>
                <w:color w:val="000000"/>
                <w:sz w:val="18"/>
                <w:szCs w:val="18"/>
                <w:lang w:val="es-CR" w:eastAsia="es-CR"/>
              </w:rPr>
            </w:pPr>
            <w:r w:rsidRPr="0023319B">
              <w:rPr>
                <w:rFonts w:ascii="Calibri Light" w:hAnsi="Calibri Light" w:cs="Calibri Light"/>
                <w:color w:val="000000"/>
                <w:sz w:val="18"/>
                <w:szCs w:val="18"/>
                <w:lang w:val="es-CR" w:eastAsia="es-CR"/>
              </w:rPr>
              <w:t>20-oct-2020</w:t>
            </w:r>
          </w:p>
        </w:tc>
        <w:tc>
          <w:tcPr>
            <w:tcW w:w="1418" w:type="dxa"/>
            <w:tcBorders>
              <w:top w:val="nil"/>
              <w:left w:val="nil"/>
              <w:bottom w:val="single" w:sz="4" w:space="0" w:color="auto"/>
              <w:right w:val="single" w:sz="4" w:space="0" w:color="auto"/>
            </w:tcBorders>
            <w:shd w:val="clear" w:color="auto" w:fill="auto"/>
            <w:noWrap/>
            <w:vAlign w:val="center"/>
            <w:hideMark/>
          </w:tcPr>
          <w:p w14:paraId="4F85D87C" w14:textId="16577BC2" w:rsidR="00C04E40" w:rsidRPr="0023319B" w:rsidRDefault="00C04E40" w:rsidP="00BD2A28">
            <w:pPr>
              <w:spacing w:line="240" w:lineRule="auto"/>
              <w:jc w:val="right"/>
              <w:rPr>
                <w:rFonts w:ascii="Calibri Light" w:hAnsi="Calibri Light" w:cs="Calibri Light"/>
                <w:color w:val="000000"/>
                <w:sz w:val="18"/>
                <w:szCs w:val="18"/>
                <w:lang w:val="es-CR" w:eastAsia="es-CR"/>
              </w:rPr>
            </w:pPr>
            <w:r w:rsidRPr="0023319B">
              <w:rPr>
                <w:rFonts w:ascii="Calibri Light" w:hAnsi="Calibri Light" w:cs="Calibri Light"/>
                <w:color w:val="000000"/>
                <w:sz w:val="18"/>
                <w:szCs w:val="18"/>
                <w:lang w:val="es-CR" w:eastAsia="es-CR"/>
              </w:rPr>
              <w:t xml:space="preserve">  81 600 </w:t>
            </w:r>
          </w:p>
        </w:tc>
      </w:tr>
      <w:tr w:rsidR="00C04E40" w:rsidRPr="0023319B" w14:paraId="296B7AF2" w14:textId="77777777" w:rsidTr="00BD2A28">
        <w:trPr>
          <w:trHeight w:val="550"/>
        </w:trPr>
        <w:tc>
          <w:tcPr>
            <w:tcW w:w="1192" w:type="dxa"/>
            <w:tcBorders>
              <w:top w:val="nil"/>
              <w:left w:val="single" w:sz="4" w:space="0" w:color="auto"/>
              <w:bottom w:val="single" w:sz="4" w:space="0" w:color="auto"/>
              <w:right w:val="single" w:sz="4" w:space="0" w:color="auto"/>
            </w:tcBorders>
            <w:shd w:val="clear" w:color="auto" w:fill="auto"/>
            <w:vAlign w:val="center"/>
            <w:hideMark/>
          </w:tcPr>
          <w:p w14:paraId="0712346F" w14:textId="77777777" w:rsidR="00C04E40" w:rsidRPr="0023319B" w:rsidRDefault="00C04E40" w:rsidP="00BD2A28">
            <w:pPr>
              <w:spacing w:line="240" w:lineRule="auto"/>
              <w:jc w:val="center"/>
              <w:rPr>
                <w:rFonts w:ascii="Calibri Light" w:hAnsi="Calibri Light" w:cs="Calibri Light"/>
                <w:color w:val="000000"/>
                <w:sz w:val="18"/>
                <w:szCs w:val="18"/>
                <w:lang w:val="es-CR" w:eastAsia="es-CR"/>
              </w:rPr>
            </w:pPr>
            <w:r w:rsidRPr="0023319B">
              <w:rPr>
                <w:rFonts w:ascii="Calibri Light" w:hAnsi="Calibri Light" w:cs="Calibri Light"/>
                <w:color w:val="000000"/>
                <w:sz w:val="18"/>
                <w:szCs w:val="18"/>
                <w:lang w:val="es-CR" w:eastAsia="es-CR"/>
              </w:rPr>
              <w:t>15</w:t>
            </w:r>
          </w:p>
        </w:tc>
        <w:tc>
          <w:tcPr>
            <w:tcW w:w="5324" w:type="dxa"/>
            <w:tcBorders>
              <w:top w:val="nil"/>
              <w:left w:val="nil"/>
              <w:bottom w:val="single" w:sz="4" w:space="0" w:color="auto"/>
              <w:right w:val="single" w:sz="4" w:space="0" w:color="auto"/>
            </w:tcBorders>
            <w:shd w:val="clear" w:color="auto" w:fill="auto"/>
            <w:vAlign w:val="center"/>
            <w:hideMark/>
          </w:tcPr>
          <w:p w14:paraId="60724DE1" w14:textId="77777777" w:rsidR="00C04E40" w:rsidRPr="0023319B" w:rsidRDefault="00C04E40" w:rsidP="00BD2A28">
            <w:pPr>
              <w:spacing w:line="240" w:lineRule="auto"/>
              <w:rPr>
                <w:rFonts w:ascii="Calibri Light" w:hAnsi="Calibri Light" w:cs="Calibri Light"/>
                <w:color w:val="000000"/>
                <w:sz w:val="18"/>
                <w:szCs w:val="18"/>
                <w:lang w:val="es-CR" w:eastAsia="es-CR"/>
              </w:rPr>
            </w:pPr>
            <w:r w:rsidRPr="0023319B">
              <w:rPr>
                <w:rFonts w:ascii="Calibri Light" w:hAnsi="Calibri Light" w:cs="Calibri Light"/>
                <w:color w:val="000000"/>
                <w:sz w:val="18"/>
                <w:szCs w:val="18"/>
                <w:lang w:val="es-CR" w:eastAsia="es-CR"/>
              </w:rPr>
              <w:t>Curso en línea Aprender haciendo: ciencia de datos con R "Rmarkdown para reportes y visualización de datos</w:t>
            </w:r>
          </w:p>
        </w:tc>
        <w:tc>
          <w:tcPr>
            <w:tcW w:w="1276" w:type="dxa"/>
            <w:tcBorders>
              <w:top w:val="nil"/>
              <w:left w:val="nil"/>
              <w:bottom w:val="single" w:sz="4" w:space="0" w:color="auto"/>
              <w:right w:val="single" w:sz="4" w:space="0" w:color="auto"/>
            </w:tcBorders>
            <w:shd w:val="clear" w:color="auto" w:fill="auto"/>
            <w:vAlign w:val="center"/>
            <w:hideMark/>
          </w:tcPr>
          <w:p w14:paraId="1C229C7D" w14:textId="77777777" w:rsidR="00C04E40" w:rsidRPr="0023319B" w:rsidRDefault="00C04E40" w:rsidP="00BD2A28">
            <w:pPr>
              <w:spacing w:line="240" w:lineRule="auto"/>
              <w:jc w:val="center"/>
              <w:rPr>
                <w:rFonts w:ascii="Calibri Light" w:hAnsi="Calibri Light" w:cs="Calibri Light"/>
                <w:color w:val="000000"/>
                <w:sz w:val="18"/>
                <w:szCs w:val="18"/>
                <w:lang w:val="es-CR" w:eastAsia="es-CR"/>
              </w:rPr>
            </w:pPr>
            <w:r w:rsidRPr="0023319B">
              <w:rPr>
                <w:rFonts w:ascii="Calibri Light" w:hAnsi="Calibri Light" w:cs="Calibri Light"/>
                <w:color w:val="000000"/>
                <w:sz w:val="18"/>
                <w:szCs w:val="18"/>
                <w:lang w:val="es-CR" w:eastAsia="es-CR"/>
              </w:rPr>
              <w:t>8-sep-2020</w:t>
            </w:r>
          </w:p>
        </w:tc>
        <w:tc>
          <w:tcPr>
            <w:tcW w:w="1418" w:type="dxa"/>
            <w:tcBorders>
              <w:top w:val="nil"/>
              <w:left w:val="nil"/>
              <w:bottom w:val="single" w:sz="4" w:space="0" w:color="auto"/>
              <w:right w:val="single" w:sz="4" w:space="0" w:color="auto"/>
            </w:tcBorders>
            <w:shd w:val="clear" w:color="auto" w:fill="auto"/>
            <w:noWrap/>
            <w:vAlign w:val="center"/>
            <w:hideMark/>
          </w:tcPr>
          <w:p w14:paraId="76DA2287" w14:textId="26173728" w:rsidR="00C04E40" w:rsidRPr="0023319B" w:rsidRDefault="00C04E40" w:rsidP="00BD2A28">
            <w:pPr>
              <w:spacing w:line="240" w:lineRule="auto"/>
              <w:jc w:val="right"/>
              <w:rPr>
                <w:rFonts w:ascii="Calibri Light" w:hAnsi="Calibri Light" w:cs="Calibri Light"/>
                <w:color w:val="000000"/>
                <w:sz w:val="18"/>
                <w:szCs w:val="18"/>
                <w:lang w:val="es-CR" w:eastAsia="es-CR"/>
              </w:rPr>
            </w:pPr>
            <w:r w:rsidRPr="0023319B">
              <w:rPr>
                <w:rFonts w:ascii="Calibri Light" w:hAnsi="Calibri Light" w:cs="Calibri Light"/>
                <w:color w:val="000000"/>
                <w:sz w:val="18"/>
                <w:szCs w:val="18"/>
                <w:lang w:val="es-CR" w:eastAsia="es-CR"/>
              </w:rPr>
              <w:t xml:space="preserve">4 899 774 </w:t>
            </w:r>
          </w:p>
        </w:tc>
      </w:tr>
      <w:tr w:rsidR="00C04E40" w:rsidRPr="0023319B" w14:paraId="632BA82B" w14:textId="77777777" w:rsidTr="00BD2A28">
        <w:trPr>
          <w:trHeight w:val="699"/>
        </w:trPr>
        <w:tc>
          <w:tcPr>
            <w:tcW w:w="1192" w:type="dxa"/>
            <w:tcBorders>
              <w:top w:val="nil"/>
              <w:left w:val="single" w:sz="4" w:space="0" w:color="auto"/>
              <w:bottom w:val="single" w:sz="4" w:space="0" w:color="auto"/>
              <w:right w:val="single" w:sz="4" w:space="0" w:color="auto"/>
            </w:tcBorders>
            <w:shd w:val="clear" w:color="auto" w:fill="auto"/>
            <w:vAlign w:val="center"/>
            <w:hideMark/>
          </w:tcPr>
          <w:p w14:paraId="1B5870F4" w14:textId="77777777" w:rsidR="00C04E40" w:rsidRPr="0023319B" w:rsidRDefault="00C04E40" w:rsidP="00BD2A28">
            <w:pPr>
              <w:spacing w:line="240" w:lineRule="auto"/>
              <w:jc w:val="center"/>
              <w:rPr>
                <w:rFonts w:ascii="Calibri Light" w:hAnsi="Calibri Light" w:cs="Calibri Light"/>
                <w:color w:val="000000"/>
                <w:sz w:val="18"/>
                <w:szCs w:val="18"/>
                <w:lang w:val="es-CR" w:eastAsia="es-CR"/>
              </w:rPr>
            </w:pPr>
            <w:r w:rsidRPr="0023319B">
              <w:rPr>
                <w:rFonts w:ascii="Calibri Light" w:hAnsi="Calibri Light" w:cs="Calibri Light"/>
                <w:color w:val="000000"/>
                <w:sz w:val="18"/>
                <w:szCs w:val="18"/>
                <w:lang w:val="es-CR" w:eastAsia="es-CR"/>
              </w:rPr>
              <w:t>6</w:t>
            </w:r>
          </w:p>
        </w:tc>
        <w:tc>
          <w:tcPr>
            <w:tcW w:w="5324" w:type="dxa"/>
            <w:tcBorders>
              <w:top w:val="nil"/>
              <w:left w:val="nil"/>
              <w:bottom w:val="single" w:sz="4" w:space="0" w:color="auto"/>
              <w:right w:val="single" w:sz="4" w:space="0" w:color="auto"/>
            </w:tcBorders>
            <w:shd w:val="clear" w:color="auto" w:fill="auto"/>
            <w:vAlign w:val="center"/>
            <w:hideMark/>
          </w:tcPr>
          <w:p w14:paraId="2AF20EB8" w14:textId="77777777" w:rsidR="00C04E40" w:rsidRPr="0023319B" w:rsidRDefault="00C04E40" w:rsidP="00BD2A28">
            <w:pPr>
              <w:spacing w:line="240" w:lineRule="auto"/>
              <w:rPr>
                <w:rFonts w:ascii="Calibri Light" w:hAnsi="Calibri Light" w:cs="Calibri Light"/>
                <w:color w:val="000000"/>
                <w:sz w:val="18"/>
                <w:szCs w:val="18"/>
                <w:lang w:val="es-CR" w:eastAsia="es-CR"/>
              </w:rPr>
            </w:pPr>
            <w:r w:rsidRPr="0023319B">
              <w:rPr>
                <w:rFonts w:ascii="Calibri Light" w:hAnsi="Calibri Light" w:cs="Calibri Light"/>
                <w:color w:val="000000"/>
                <w:sz w:val="18"/>
                <w:szCs w:val="18"/>
                <w:lang w:val="es-CR" w:eastAsia="es-CR"/>
              </w:rPr>
              <w:t>Curso virtual: La investigación preliminar y la prueba para el procedimiento administrativo de la Ley General de la Administración Pública</w:t>
            </w:r>
          </w:p>
        </w:tc>
        <w:tc>
          <w:tcPr>
            <w:tcW w:w="1276" w:type="dxa"/>
            <w:tcBorders>
              <w:top w:val="nil"/>
              <w:left w:val="nil"/>
              <w:bottom w:val="single" w:sz="4" w:space="0" w:color="auto"/>
              <w:right w:val="single" w:sz="4" w:space="0" w:color="auto"/>
            </w:tcBorders>
            <w:shd w:val="clear" w:color="auto" w:fill="auto"/>
            <w:vAlign w:val="center"/>
            <w:hideMark/>
          </w:tcPr>
          <w:p w14:paraId="232B66A9" w14:textId="77777777" w:rsidR="00C04E40" w:rsidRPr="0023319B" w:rsidRDefault="00C04E40" w:rsidP="00BD2A28">
            <w:pPr>
              <w:spacing w:line="240" w:lineRule="auto"/>
              <w:jc w:val="center"/>
              <w:rPr>
                <w:rFonts w:ascii="Calibri Light" w:hAnsi="Calibri Light" w:cs="Calibri Light"/>
                <w:color w:val="000000"/>
                <w:sz w:val="18"/>
                <w:szCs w:val="18"/>
                <w:lang w:val="es-CR" w:eastAsia="es-CR"/>
              </w:rPr>
            </w:pPr>
            <w:r w:rsidRPr="0023319B">
              <w:rPr>
                <w:rFonts w:ascii="Calibri Light" w:hAnsi="Calibri Light" w:cs="Calibri Light"/>
                <w:color w:val="000000"/>
                <w:sz w:val="18"/>
                <w:szCs w:val="18"/>
                <w:lang w:val="es-CR" w:eastAsia="es-CR"/>
              </w:rPr>
              <w:t>3-sep-2020</w:t>
            </w:r>
          </w:p>
        </w:tc>
        <w:tc>
          <w:tcPr>
            <w:tcW w:w="1418" w:type="dxa"/>
            <w:tcBorders>
              <w:top w:val="nil"/>
              <w:left w:val="nil"/>
              <w:bottom w:val="single" w:sz="4" w:space="0" w:color="auto"/>
              <w:right w:val="single" w:sz="4" w:space="0" w:color="auto"/>
            </w:tcBorders>
            <w:shd w:val="clear" w:color="auto" w:fill="auto"/>
            <w:noWrap/>
            <w:vAlign w:val="center"/>
            <w:hideMark/>
          </w:tcPr>
          <w:p w14:paraId="530E359D" w14:textId="35337D32" w:rsidR="00C04E40" w:rsidRPr="0023319B" w:rsidRDefault="00C04E40" w:rsidP="00BD2A28">
            <w:pPr>
              <w:spacing w:line="240" w:lineRule="auto"/>
              <w:jc w:val="right"/>
              <w:rPr>
                <w:rFonts w:ascii="Calibri Light" w:hAnsi="Calibri Light" w:cs="Calibri Light"/>
                <w:color w:val="000000"/>
                <w:sz w:val="18"/>
                <w:szCs w:val="18"/>
                <w:lang w:val="es-CR" w:eastAsia="es-CR"/>
              </w:rPr>
            </w:pPr>
            <w:r w:rsidRPr="0023319B">
              <w:rPr>
                <w:rFonts w:ascii="Calibri Light" w:hAnsi="Calibri Light" w:cs="Calibri Light"/>
                <w:color w:val="000000"/>
                <w:sz w:val="18"/>
                <w:szCs w:val="18"/>
                <w:lang w:val="es-CR" w:eastAsia="es-CR"/>
              </w:rPr>
              <w:t xml:space="preserve">465 120 </w:t>
            </w:r>
          </w:p>
        </w:tc>
      </w:tr>
      <w:tr w:rsidR="00C04E40" w:rsidRPr="0023319B" w14:paraId="5F6F4585" w14:textId="77777777" w:rsidTr="00BD2A28">
        <w:trPr>
          <w:trHeight w:val="310"/>
        </w:trPr>
        <w:tc>
          <w:tcPr>
            <w:tcW w:w="1192" w:type="dxa"/>
            <w:tcBorders>
              <w:top w:val="nil"/>
              <w:left w:val="single" w:sz="4" w:space="0" w:color="auto"/>
              <w:bottom w:val="single" w:sz="4" w:space="0" w:color="auto"/>
              <w:right w:val="single" w:sz="4" w:space="0" w:color="auto"/>
            </w:tcBorders>
            <w:shd w:val="clear" w:color="auto" w:fill="auto"/>
            <w:vAlign w:val="center"/>
            <w:hideMark/>
          </w:tcPr>
          <w:p w14:paraId="1CDF5530" w14:textId="77777777" w:rsidR="00C04E40" w:rsidRPr="0023319B" w:rsidRDefault="00C04E40" w:rsidP="00BD2A28">
            <w:pPr>
              <w:spacing w:line="240" w:lineRule="auto"/>
              <w:jc w:val="center"/>
              <w:rPr>
                <w:rFonts w:ascii="Calibri Light" w:hAnsi="Calibri Light" w:cs="Calibri Light"/>
                <w:color w:val="000000"/>
                <w:sz w:val="18"/>
                <w:szCs w:val="18"/>
                <w:lang w:val="es-CR" w:eastAsia="es-CR"/>
              </w:rPr>
            </w:pPr>
            <w:r w:rsidRPr="0023319B">
              <w:rPr>
                <w:rFonts w:ascii="Calibri Light" w:hAnsi="Calibri Light" w:cs="Calibri Light"/>
                <w:color w:val="000000"/>
                <w:sz w:val="18"/>
                <w:szCs w:val="18"/>
                <w:lang w:val="es-CR" w:eastAsia="es-CR"/>
              </w:rPr>
              <w:t>1</w:t>
            </w:r>
          </w:p>
        </w:tc>
        <w:tc>
          <w:tcPr>
            <w:tcW w:w="5324" w:type="dxa"/>
            <w:tcBorders>
              <w:top w:val="nil"/>
              <w:left w:val="nil"/>
              <w:bottom w:val="single" w:sz="4" w:space="0" w:color="auto"/>
              <w:right w:val="single" w:sz="4" w:space="0" w:color="auto"/>
            </w:tcBorders>
            <w:shd w:val="clear" w:color="auto" w:fill="auto"/>
            <w:vAlign w:val="center"/>
            <w:hideMark/>
          </w:tcPr>
          <w:p w14:paraId="3ED3C491" w14:textId="77777777" w:rsidR="00C04E40" w:rsidRPr="0023319B" w:rsidRDefault="00C04E40" w:rsidP="00BD2A28">
            <w:pPr>
              <w:spacing w:line="240" w:lineRule="auto"/>
              <w:rPr>
                <w:rFonts w:ascii="Calibri Light" w:hAnsi="Calibri Light" w:cs="Calibri Light"/>
                <w:color w:val="000000"/>
                <w:sz w:val="18"/>
                <w:szCs w:val="18"/>
                <w:lang w:val="es-CR" w:eastAsia="es-CR"/>
              </w:rPr>
            </w:pPr>
            <w:r w:rsidRPr="0023319B">
              <w:rPr>
                <w:rFonts w:ascii="Calibri Light" w:hAnsi="Calibri Light" w:cs="Calibri Light"/>
                <w:color w:val="000000"/>
                <w:sz w:val="18"/>
                <w:szCs w:val="18"/>
                <w:lang w:val="es-CR" w:eastAsia="es-CR"/>
              </w:rPr>
              <w:t xml:space="preserve"> Congreso ISACA Costa Rica 2020</w:t>
            </w:r>
          </w:p>
        </w:tc>
        <w:tc>
          <w:tcPr>
            <w:tcW w:w="1276" w:type="dxa"/>
            <w:tcBorders>
              <w:top w:val="nil"/>
              <w:left w:val="nil"/>
              <w:bottom w:val="single" w:sz="4" w:space="0" w:color="auto"/>
              <w:right w:val="single" w:sz="4" w:space="0" w:color="auto"/>
            </w:tcBorders>
            <w:shd w:val="clear" w:color="auto" w:fill="auto"/>
            <w:vAlign w:val="center"/>
            <w:hideMark/>
          </w:tcPr>
          <w:p w14:paraId="5D28B602" w14:textId="77777777" w:rsidR="00C04E40" w:rsidRPr="0023319B" w:rsidRDefault="00C04E40" w:rsidP="00BD2A28">
            <w:pPr>
              <w:spacing w:line="240" w:lineRule="auto"/>
              <w:jc w:val="center"/>
              <w:rPr>
                <w:rFonts w:ascii="Calibri Light" w:hAnsi="Calibri Light" w:cs="Calibri Light"/>
                <w:color w:val="000000"/>
                <w:sz w:val="18"/>
                <w:szCs w:val="18"/>
                <w:lang w:val="es-CR" w:eastAsia="es-CR"/>
              </w:rPr>
            </w:pPr>
            <w:r w:rsidRPr="0023319B">
              <w:rPr>
                <w:rFonts w:ascii="Calibri Light" w:hAnsi="Calibri Light" w:cs="Calibri Light"/>
                <w:color w:val="000000"/>
                <w:sz w:val="18"/>
                <w:szCs w:val="18"/>
                <w:lang w:val="es-CR" w:eastAsia="es-CR"/>
              </w:rPr>
              <w:t>8-sep-2020</w:t>
            </w:r>
          </w:p>
        </w:tc>
        <w:tc>
          <w:tcPr>
            <w:tcW w:w="1418" w:type="dxa"/>
            <w:tcBorders>
              <w:top w:val="nil"/>
              <w:left w:val="nil"/>
              <w:bottom w:val="single" w:sz="4" w:space="0" w:color="auto"/>
              <w:right w:val="single" w:sz="4" w:space="0" w:color="auto"/>
            </w:tcBorders>
            <w:shd w:val="clear" w:color="auto" w:fill="auto"/>
            <w:noWrap/>
            <w:vAlign w:val="center"/>
            <w:hideMark/>
          </w:tcPr>
          <w:p w14:paraId="7DDB4191" w14:textId="1356B817" w:rsidR="00C04E40" w:rsidRPr="0023319B" w:rsidRDefault="00C04E40" w:rsidP="00BD2A28">
            <w:pPr>
              <w:spacing w:line="240" w:lineRule="auto"/>
              <w:jc w:val="right"/>
              <w:rPr>
                <w:rFonts w:ascii="Calibri Light" w:hAnsi="Calibri Light" w:cs="Calibri Light"/>
                <w:color w:val="000000"/>
                <w:sz w:val="18"/>
                <w:szCs w:val="18"/>
                <w:lang w:val="es-CR" w:eastAsia="es-CR"/>
              </w:rPr>
            </w:pPr>
            <w:r w:rsidRPr="0023319B">
              <w:rPr>
                <w:rFonts w:ascii="Calibri Light" w:hAnsi="Calibri Light" w:cs="Calibri Light"/>
                <w:color w:val="000000"/>
                <w:sz w:val="18"/>
                <w:szCs w:val="18"/>
                <w:lang w:val="es-CR" w:eastAsia="es-CR"/>
              </w:rPr>
              <w:t xml:space="preserve">107 832 </w:t>
            </w:r>
          </w:p>
        </w:tc>
      </w:tr>
      <w:tr w:rsidR="00C04E40" w:rsidRPr="0023319B" w14:paraId="1B4B32F8" w14:textId="77777777" w:rsidTr="00BD2A28">
        <w:trPr>
          <w:trHeight w:val="310"/>
        </w:trPr>
        <w:tc>
          <w:tcPr>
            <w:tcW w:w="1192" w:type="dxa"/>
            <w:tcBorders>
              <w:top w:val="nil"/>
              <w:left w:val="single" w:sz="4" w:space="0" w:color="auto"/>
              <w:bottom w:val="single" w:sz="4" w:space="0" w:color="auto"/>
              <w:right w:val="single" w:sz="4" w:space="0" w:color="auto"/>
            </w:tcBorders>
            <w:shd w:val="clear" w:color="auto" w:fill="auto"/>
            <w:vAlign w:val="center"/>
            <w:hideMark/>
          </w:tcPr>
          <w:p w14:paraId="4ACAE43F" w14:textId="77777777" w:rsidR="00C04E40" w:rsidRPr="0023319B" w:rsidRDefault="00C04E40" w:rsidP="00BD2A28">
            <w:pPr>
              <w:spacing w:line="240" w:lineRule="auto"/>
              <w:jc w:val="center"/>
              <w:rPr>
                <w:rFonts w:ascii="Calibri Light" w:hAnsi="Calibri Light" w:cs="Calibri Light"/>
                <w:color w:val="000000"/>
                <w:sz w:val="18"/>
                <w:szCs w:val="18"/>
                <w:lang w:val="es-CR" w:eastAsia="es-CR"/>
              </w:rPr>
            </w:pPr>
            <w:r w:rsidRPr="0023319B">
              <w:rPr>
                <w:rFonts w:ascii="Calibri Light" w:hAnsi="Calibri Light" w:cs="Calibri Light"/>
                <w:color w:val="000000"/>
                <w:sz w:val="18"/>
                <w:szCs w:val="18"/>
                <w:lang w:val="es-CR" w:eastAsia="es-CR"/>
              </w:rPr>
              <w:t>2</w:t>
            </w:r>
          </w:p>
        </w:tc>
        <w:tc>
          <w:tcPr>
            <w:tcW w:w="5324" w:type="dxa"/>
            <w:tcBorders>
              <w:top w:val="nil"/>
              <w:left w:val="nil"/>
              <w:bottom w:val="single" w:sz="4" w:space="0" w:color="auto"/>
              <w:right w:val="single" w:sz="4" w:space="0" w:color="auto"/>
            </w:tcBorders>
            <w:shd w:val="clear" w:color="auto" w:fill="auto"/>
            <w:vAlign w:val="center"/>
            <w:hideMark/>
          </w:tcPr>
          <w:p w14:paraId="64A31210" w14:textId="77777777" w:rsidR="00C04E40" w:rsidRPr="0023319B" w:rsidRDefault="00C04E40" w:rsidP="00BD2A28">
            <w:pPr>
              <w:spacing w:line="240" w:lineRule="auto"/>
              <w:rPr>
                <w:rFonts w:ascii="Calibri Light" w:hAnsi="Calibri Light" w:cs="Calibri Light"/>
                <w:color w:val="000000"/>
                <w:sz w:val="18"/>
                <w:szCs w:val="18"/>
                <w:lang w:val="es-CR" w:eastAsia="es-CR"/>
              </w:rPr>
            </w:pPr>
            <w:r w:rsidRPr="0023319B">
              <w:rPr>
                <w:rFonts w:ascii="Calibri Light" w:hAnsi="Calibri Light" w:cs="Calibri Light"/>
                <w:color w:val="000000"/>
                <w:sz w:val="18"/>
                <w:szCs w:val="18"/>
                <w:lang w:val="es-CR" w:eastAsia="es-CR"/>
              </w:rPr>
              <w:t>Taller en línea: Comunicador Rockstar</w:t>
            </w:r>
          </w:p>
        </w:tc>
        <w:tc>
          <w:tcPr>
            <w:tcW w:w="1276" w:type="dxa"/>
            <w:tcBorders>
              <w:top w:val="nil"/>
              <w:left w:val="nil"/>
              <w:bottom w:val="single" w:sz="4" w:space="0" w:color="auto"/>
              <w:right w:val="single" w:sz="4" w:space="0" w:color="auto"/>
            </w:tcBorders>
            <w:shd w:val="clear" w:color="auto" w:fill="auto"/>
            <w:vAlign w:val="center"/>
            <w:hideMark/>
          </w:tcPr>
          <w:p w14:paraId="5EF8CD19" w14:textId="77777777" w:rsidR="00C04E40" w:rsidRPr="0023319B" w:rsidRDefault="00C04E40" w:rsidP="00BD2A28">
            <w:pPr>
              <w:spacing w:line="240" w:lineRule="auto"/>
              <w:jc w:val="center"/>
              <w:rPr>
                <w:rFonts w:ascii="Calibri Light" w:hAnsi="Calibri Light" w:cs="Calibri Light"/>
                <w:color w:val="000000"/>
                <w:sz w:val="18"/>
                <w:szCs w:val="18"/>
                <w:lang w:val="es-CR" w:eastAsia="es-CR"/>
              </w:rPr>
            </w:pPr>
            <w:r w:rsidRPr="0023319B">
              <w:rPr>
                <w:rFonts w:ascii="Calibri Light" w:hAnsi="Calibri Light" w:cs="Calibri Light"/>
                <w:color w:val="000000"/>
                <w:sz w:val="18"/>
                <w:szCs w:val="18"/>
                <w:lang w:val="es-CR" w:eastAsia="es-CR"/>
              </w:rPr>
              <w:t>8-sep-2020</w:t>
            </w:r>
          </w:p>
        </w:tc>
        <w:tc>
          <w:tcPr>
            <w:tcW w:w="1418" w:type="dxa"/>
            <w:tcBorders>
              <w:top w:val="nil"/>
              <w:left w:val="nil"/>
              <w:bottom w:val="single" w:sz="4" w:space="0" w:color="auto"/>
              <w:right w:val="single" w:sz="4" w:space="0" w:color="auto"/>
            </w:tcBorders>
            <w:shd w:val="clear" w:color="auto" w:fill="auto"/>
            <w:noWrap/>
            <w:vAlign w:val="center"/>
            <w:hideMark/>
          </w:tcPr>
          <w:p w14:paraId="09E11765" w14:textId="00E1046E" w:rsidR="00C04E40" w:rsidRPr="0023319B" w:rsidRDefault="00C04E40" w:rsidP="00BD2A28">
            <w:pPr>
              <w:spacing w:line="240" w:lineRule="auto"/>
              <w:jc w:val="right"/>
              <w:rPr>
                <w:rFonts w:ascii="Calibri Light" w:hAnsi="Calibri Light" w:cs="Calibri Light"/>
                <w:color w:val="000000"/>
                <w:sz w:val="18"/>
                <w:szCs w:val="18"/>
                <w:lang w:val="es-CR" w:eastAsia="es-CR"/>
              </w:rPr>
            </w:pPr>
            <w:r w:rsidRPr="0023319B">
              <w:rPr>
                <w:rFonts w:ascii="Calibri Light" w:hAnsi="Calibri Light" w:cs="Calibri Light"/>
                <w:color w:val="000000"/>
                <w:sz w:val="18"/>
                <w:szCs w:val="18"/>
                <w:lang w:val="es-CR" w:eastAsia="es-CR"/>
              </w:rPr>
              <w:t xml:space="preserve">  81 600 </w:t>
            </w:r>
          </w:p>
        </w:tc>
      </w:tr>
      <w:tr w:rsidR="00C04E40" w:rsidRPr="0023319B" w14:paraId="79E453A4" w14:textId="77777777" w:rsidTr="00BD2A28">
        <w:trPr>
          <w:trHeight w:val="335"/>
        </w:trPr>
        <w:tc>
          <w:tcPr>
            <w:tcW w:w="1192" w:type="dxa"/>
            <w:tcBorders>
              <w:top w:val="nil"/>
              <w:left w:val="single" w:sz="4" w:space="0" w:color="auto"/>
              <w:bottom w:val="single" w:sz="4" w:space="0" w:color="auto"/>
              <w:right w:val="single" w:sz="4" w:space="0" w:color="auto"/>
            </w:tcBorders>
            <w:shd w:val="clear" w:color="auto" w:fill="auto"/>
            <w:vAlign w:val="center"/>
            <w:hideMark/>
          </w:tcPr>
          <w:p w14:paraId="2EEF0D31" w14:textId="77777777" w:rsidR="00C04E40" w:rsidRPr="0023319B" w:rsidRDefault="00C04E40" w:rsidP="00BD2A28">
            <w:pPr>
              <w:spacing w:line="240" w:lineRule="auto"/>
              <w:jc w:val="center"/>
              <w:rPr>
                <w:rFonts w:ascii="Calibri Light" w:hAnsi="Calibri Light" w:cs="Calibri Light"/>
                <w:color w:val="000000"/>
                <w:sz w:val="18"/>
                <w:szCs w:val="18"/>
                <w:lang w:val="es-CR" w:eastAsia="es-CR"/>
              </w:rPr>
            </w:pPr>
            <w:r w:rsidRPr="0023319B">
              <w:rPr>
                <w:rFonts w:ascii="Calibri Light" w:hAnsi="Calibri Light" w:cs="Calibri Light"/>
                <w:color w:val="000000"/>
                <w:sz w:val="18"/>
                <w:szCs w:val="18"/>
                <w:lang w:val="es-CR" w:eastAsia="es-CR"/>
              </w:rPr>
              <w:t>2</w:t>
            </w:r>
          </w:p>
        </w:tc>
        <w:tc>
          <w:tcPr>
            <w:tcW w:w="5324" w:type="dxa"/>
            <w:tcBorders>
              <w:top w:val="nil"/>
              <w:left w:val="nil"/>
              <w:bottom w:val="single" w:sz="4" w:space="0" w:color="auto"/>
              <w:right w:val="single" w:sz="4" w:space="0" w:color="auto"/>
            </w:tcBorders>
            <w:shd w:val="clear" w:color="auto" w:fill="auto"/>
            <w:vAlign w:val="center"/>
            <w:hideMark/>
          </w:tcPr>
          <w:p w14:paraId="23D9D403" w14:textId="77777777" w:rsidR="00C04E40" w:rsidRPr="0023319B" w:rsidRDefault="00C04E40" w:rsidP="00BD2A28">
            <w:pPr>
              <w:spacing w:line="240" w:lineRule="auto"/>
              <w:rPr>
                <w:rFonts w:ascii="Calibri Light" w:hAnsi="Calibri Light" w:cs="Calibri Light"/>
                <w:color w:val="000000"/>
                <w:sz w:val="18"/>
                <w:szCs w:val="18"/>
                <w:lang w:val="es-CR" w:eastAsia="es-CR"/>
              </w:rPr>
            </w:pPr>
            <w:r w:rsidRPr="0023319B">
              <w:rPr>
                <w:rFonts w:ascii="Calibri Light" w:hAnsi="Calibri Light" w:cs="Calibri Light"/>
                <w:color w:val="000000"/>
                <w:sz w:val="18"/>
                <w:szCs w:val="18"/>
                <w:lang w:val="es-CR" w:eastAsia="es-CR"/>
              </w:rPr>
              <w:t>Curso virtual Gestión de impuestos a servicios transfronterizos</w:t>
            </w:r>
          </w:p>
        </w:tc>
        <w:tc>
          <w:tcPr>
            <w:tcW w:w="1276" w:type="dxa"/>
            <w:tcBorders>
              <w:top w:val="nil"/>
              <w:left w:val="nil"/>
              <w:bottom w:val="single" w:sz="4" w:space="0" w:color="auto"/>
              <w:right w:val="single" w:sz="4" w:space="0" w:color="auto"/>
            </w:tcBorders>
            <w:shd w:val="clear" w:color="auto" w:fill="auto"/>
            <w:vAlign w:val="center"/>
            <w:hideMark/>
          </w:tcPr>
          <w:p w14:paraId="76A74E4E" w14:textId="77777777" w:rsidR="00C04E40" w:rsidRPr="0023319B" w:rsidRDefault="00C04E40" w:rsidP="00BD2A28">
            <w:pPr>
              <w:spacing w:line="240" w:lineRule="auto"/>
              <w:jc w:val="center"/>
              <w:rPr>
                <w:rFonts w:ascii="Calibri Light" w:hAnsi="Calibri Light" w:cs="Calibri Light"/>
                <w:color w:val="000000"/>
                <w:sz w:val="18"/>
                <w:szCs w:val="18"/>
                <w:lang w:val="es-CR" w:eastAsia="es-CR"/>
              </w:rPr>
            </w:pPr>
            <w:r w:rsidRPr="0023319B">
              <w:rPr>
                <w:rFonts w:ascii="Calibri Light" w:hAnsi="Calibri Light" w:cs="Calibri Light"/>
                <w:color w:val="000000"/>
                <w:sz w:val="18"/>
                <w:szCs w:val="18"/>
                <w:lang w:val="es-CR" w:eastAsia="es-CR"/>
              </w:rPr>
              <w:t>4-sep-2020</w:t>
            </w:r>
          </w:p>
        </w:tc>
        <w:tc>
          <w:tcPr>
            <w:tcW w:w="1418" w:type="dxa"/>
            <w:tcBorders>
              <w:top w:val="nil"/>
              <w:left w:val="nil"/>
              <w:bottom w:val="single" w:sz="4" w:space="0" w:color="auto"/>
              <w:right w:val="single" w:sz="4" w:space="0" w:color="auto"/>
            </w:tcBorders>
            <w:shd w:val="clear" w:color="auto" w:fill="auto"/>
            <w:noWrap/>
            <w:vAlign w:val="center"/>
            <w:hideMark/>
          </w:tcPr>
          <w:p w14:paraId="0B73F0AA" w14:textId="53739AAB" w:rsidR="00C04E40" w:rsidRPr="0023319B" w:rsidRDefault="00C04E40" w:rsidP="00BD2A28">
            <w:pPr>
              <w:spacing w:line="240" w:lineRule="auto"/>
              <w:jc w:val="right"/>
              <w:rPr>
                <w:rFonts w:ascii="Calibri Light" w:hAnsi="Calibri Light" w:cs="Calibri Light"/>
                <w:color w:val="000000"/>
                <w:sz w:val="18"/>
                <w:szCs w:val="18"/>
                <w:lang w:val="es-CR" w:eastAsia="es-CR"/>
              </w:rPr>
            </w:pPr>
            <w:r w:rsidRPr="0023319B">
              <w:rPr>
                <w:rFonts w:ascii="Calibri Light" w:hAnsi="Calibri Light" w:cs="Calibri Light"/>
                <w:color w:val="000000"/>
                <w:sz w:val="18"/>
                <w:szCs w:val="18"/>
                <w:lang w:val="es-CR" w:eastAsia="es-CR"/>
              </w:rPr>
              <w:t xml:space="preserve">  51 000 </w:t>
            </w:r>
          </w:p>
        </w:tc>
      </w:tr>
      <w:tr w:rsidR="00C04E40" w:rsidRPr="0023319B" w14:paraId="587D81EE" w14:textId="77777777" w:rsidTr="00BD2A28">
        <w:trPr>
          <w:trHeight w:val="284"/>
        </w:trPr>
        <w:tc>
          <w:tcPr>
            <w:tcW w:w="1192" w:type="dxa"/>
            <w:tcBorders>
              <w:top w:val="nil"/>
              <w:left w:val="single" w:sz="4" w:space="0" w:color="auto"/>
              <w:bottom w:val="single" w:sz="4" w:space="0" w:color="auto"/>
              <w:right w:val="single" w:sz="4" w:space="0" w:color="auto"/>
            </w:tcBorders>
            <w:shd w:val="clear" w:color="auto" w:fill="auto"/>
            <w:vAlign w:val="center"/>
            <w:hideMark/>
          </w:tcPr>
          <w:p w14:paraId="4769A906" w14:textId="77777777" w:rsidR="00C04E40" w:rsidRPr="0023319B" w:rsidRDefault="00C04E40" w:rsidP="00BD2A28">
            <w:pPr>
              <w:spacing w:line="240" w:lineRule="auto"/>
              <w:jc w:val="center"/>
              <w:rPr>
                <w:rFonts w:ascii="Calibri Light" w:hAnsi="Calibri Light" w:cs="Calibri Light"/>
                <w:color w:val="000000"/>
                <w:sz w:val="18"/>
                <w:szCs w:val="18"/>
                <w:lang w:val="es-CR" w:eastAsia="es-CR"/>
              </w:rPr>
            </w:pPr>
            <w:r w:rsidRPr="0023319B">
              <w:rPr>
                <w:rFonts w:ascii="Calibri Light" w:hAnsi="Calibri Light" w:cs="Calibri Light"/>
                <w:color w:val="000000"/>
                <w:sz w:val="18"/>
                <w:szCs w:val="18"/>
                <w:lang w:val="es-CR" w:eastAsia="es-CR"/>
              </w:rPr>
              <w:t>2</w:t>
            </w:r>
          </w:p>
        </w:tc>
        <w:tc>
          <w:tcPr>
            <w:tcW w:w="5324" w:type="dxa"/>
            <w:tcBorders>
              <w:top w:val="nil"/>
              <w:left w:val="nil"/>
              <w:bottom w:val="single" w:sz="4" w:space="0" w:color="auto"/>
              <w:right w:val="single" w:sz="4" w:space="0" w:color="auto"/>
            </w:tcBorders>
            <w:shd w:val="clear" w:color="auto" w:fill="auto"/>
            <w:vAlign w:val="center"/>
            <w:hideMark/>
          </w:tcPr>
          <w:p w14:paraId="3B861B21" w14:textId="77777777" w:rsidR="00C04E40" w:rsidRPr="00D84EA9" w:rsidRDefault="00C04E40" w:rsidP="00BD2A28">
            <w:pPr>
              <w:spacing w:line="240" w:lineRule="auto"/>
              <w:rPr>
                <w:rFonts w:ascii="Calibri Light" w:hAnsi="Calibri Light" w:cs="Calibri Light"/>
                <w:color w:val="000000"/>
                <w:sz w:val="18"/>
                <w:szCs w:val="18"/>
                <w:lang w:eastAsia="es-CR"/>
              </w:rPr>
            </w:pPr>
            <w:r w:rsidRPr="00D84EA9">
              <w:rPr>
                <w:rFonts w:ascii="Calibri Light" w:hAnsi="Calibri Light" w:cs="Calibri Light"/>
                <w:color w:val="000000"/>
                <w:sz w:val="18"/>
                <w:szCs w:val="18"/>
                <w:lang w:eastAsia="es-CR"/>
              </w:rPr>
              <w:t>Fin Tech &amp; Regulatory Innovation Online Programme</w:t>
            </w:r>
          </w:p>
        </w:tc>
        <w:tc>
          <w:tcPr>
            <w:tcW w:w="1276" w:type="dxa"/>
            <w:tcBorders>
              <w:top w:val="nil"/>
              <w:left w:val="nil"/>
              <w:bottom w:val="single" w:sz="4" w:space="0" w:color="auto"/>
              <w:right w:val="single" w:sz="4" w:space="0" w:color="auto"/>
            </w:tcBorders>
            <w:shd w:val="clear" w:color="auto" w:fill="auto"/>
            <w:vAlign w:val="center"/>
            <w:hideMark/>
          </w:tcPr>
          <w:p w14:paraId="22CB9390" w14:textId="77777777" w:rsidR="00C04E40" w:rsidRPr="0023319B" w:rsidRDefault="00C04E40" w:rsidP="00BD2A28">
            <w:pPr>
              <w:spacing w:line="240" w:lineRule="auto"/>
              <w:jc w:val="center"/>
              <w:rPr>
                <w:rFonts w:ascii="Calibri Light" w:hAnsi="Calibri Light" w:cs="Calibri Light"/>
                <w:color w:val="000000"/>
                <w:sz w:val="18"/>
                <w:szCs w:val="18"/>
                <w:lang w:val="es-CR" w:eastAsia="es-CR"/>
              </w:rPr>
            </w:pPr>
            <w:r w:rsidRPr="0023319B">
              <w:rPr>
                <w:rFonts w:ascii="Calibri Light" w:hAnsi="Calibri Light" w:cs="Calibri Light"/>
                <w:color w:val="000000"/>
                <w:sz w:val="18"/>
                <w:szCs w:val="18"/>
                <w:lang w:val="es-CR" w:eastAsia="es-CR"/>
              </w:rPr>
              <w:t>30-sep-2020</w:t>
            </w:r>
          </w:p>
        </w:tc>
        <w:tc>
          <w:tcPr>
            <w:tcW w:w="1418" w:type="dxa"/>
            <w:tcBorders>
              <w:top w:val="nil"/>
              <w:left w:val="nil"/>
              <w:bottom w:val="single" w:sz="4" w:space="0" w:color="auto"/>
              <w:right w:val="single" w:sz="4" w:space="0" w:color="auto"/>
            </w:tcBorders>
            <w:shd w:val="clear" w:color="auto" w:fill="auto"/>
            <w:noWrap/>
            <w:vAlign w:val="center"/>
            <w:hideMark/>
          </w:tcPr>
          <w:p w14:paraId="76E8B53B" w14:textId="63ABC907" w:rsidR="00C04E40" w:rsidRPr="0023319B" w:rsidRDefault="00C04E40" w:rsidP="00BD2A28">
            <w:pPr>
              <w:spacing w:line="240" w:lineRule="auto"/>
              <w:jc w:val="right"/>
              <w:rPr>
                <w:rFonts w:ascii="Calibri Light" w:hAnsi="Calibri Light" w:cs="Calibri Light"/>
                <w:color w:val="000000"/>
                <w:sz w:val="18"/>
                <w:szCs w:val="18"/>
                <w:lang w:val="es-CR" w:eastAsia="es-CR"/>
              </w:rPr>
            </w:pPr>
            <w:r w:rsidRPr="0023319B">
              <w:rPr>
                <w:rFonts w:ascii="Calibri Light" w:hAnsi="Calibri Light" w:cs="Calibri Light"/>
                <w:color w:val="000000"/>
                <w:sz w:val="18"/>
                <w:szCs w:val="18"/>
                <w:lang w:val="es-CR" w:eastAsia="es-CR"/>
              </w:rPr>
              <w:t xml:space="preserve">2 039 643 </w:t>
            </w:r>
          </w:p>
        </w:tc>
      </w:tr>
      <w:tr w:rsidR="00C04E40" w:rsidRPr="0023319B" w14:paraId="767AC741" w14:textId="77777777" w:rsidTr="00BD2A28">
        <w:trPr>
          <w:trHeight w:val="402"/>
        </w:trPr>
        <w:tc>
          <w:tcPr>
            <w:tcW w:w="1192" w:type="dxa"/>
            <w:tcBorders>
              <w:top w:val="nil"/>
              <w:left w:val="single" w:sz="4" w:space="0" w:color="auto"/>
              <w:bottom w:val="single" w:sz="4" w:space="0" w:color="auto"/>
              <w:right w:val="single" w:sz="4" w:space="0" w:color="auto"/>
            </w:tcBorders>
            <w:shd w:val="clear" w:color="auto" w:fill="auto"/>
            <w:vAlign w:val="center"/>
            <w:hideMark/>
          </w:tcPr>
          <w:p w14:paraId="61EE7E12" w14:textId="77777777" w:rsidR="00C04E40" w:rsidRPr="0023319B" w:rsidRDefault="00C04E40" w:rsidP="00BD2A28">
            <w:pPr>
              <w:spacing w:line="240" w:lineRule="auto"/>
              <w:jc w:val="center"/>
              <w:rPr>
                <w:rFonts w:ascii="Calibri Light" w:hAnsi="Calibri Light" w:cs="Calibri Light"/>
                <w:color w:val="000000"/>
                <w:sz w:val="18"/>
                <w:szCs w:val="18"/>
                <w:lang w:val="es-CR" w:eastAsia="es-CR"/>
              </w:rPr>
            </w:pPr>
            <w:r w:rsidRPr="0023319B">
              <w:rPr>
                <w:rFonts w:ascii="Calibri Light" w:hAnsi="Calibri Light" w:cs="Calibri Light"/>
                <w:color w:val="000000"/>
                <w:sz w:val="18"/>
                <w:szCs w:val="18"/>
                <w:lang w:val="es-CR" w:eastAsia="es-CR"/>
              </w:rPr>
              <w:t>1</w:t>
            </w:r>
          </w:p>
        </w:tc>
        <w:tc>
          <w:tcPr>
            <w:tcW w:w="5324" w:type="dxa"/>
            <w:tcBorders>
              <w:top w:val="nil"/>
              <w:left w:val="nil"/>
              <w:bottom w:val="single" w:sz="4" w:space="0" w:color="auto"/>
              <w:right w:val="single" w:sz="4" w:space="0" w:color="auto"/>
            </w:tcBorders>
            <w:shd w:val="clear" w:color="auto" w:fill="auto"/>
            <w:vAlign w:val="center"/>
            <w:hideMark/>
          </w:tcPr>
          <w:p w14:paraId="156766FC" w14:textId="77777777" w:rsidR="00C04E40" w:rsidRPr="00D84EA9" w:rsidRDefault="00C04E40" w:rsidP="00BD2A28">
            <w:pPr>
              <w:spacing w:line="240" w:lineRule="auto"/>
              <w:rPr>
                <w:rFonts w:ascii="Calibri Light" w:hAnsi="Calibri Light" w:cs="Calibri Light"/>
                <w:color w:val="000000"/>
                <w:sz w:val="18"/>
                <w:szCs w:val="18"/>
                <w:lang w:eastAsia="es-CR"/>
              </w:rPr>
            </w:pPr>
            <w:r w:rsidRPr="00D84EA9">
              <w:rPr>
                <w:rFonts w:ascii="Calibri Light" w:hAnsi="Calibri Light" w:cs="Calibri Light"/>
                <w:color w:val="000000"/>
                <w:sz w:val="18"/>
                <w:szCs w:val="18"/>
                <w:lang w:eastAsia="es-CR"/>
              </w:rPr>
              <w:t>E-Learning on Actuarial Modeling for Social Protection Analysts</w:t>
            </w:r>
          </w:p>
        </w:tc>
        <w:tc>
          <w:tcPr>
            <w:tcW w:w="1276" w:type="dxa"/>
            <w:tcBorders>
              <w:top w:val="nil"/>
              <w:left w:val="nil"/>
              <w:bottom w:val="single" w:sz="4" w:space="0" w:color="auto"/>
              <w:right w:val="single" w:sz="4" w:space="0" w:color="auto"/>
            </w:tcBorders>
            <w:shd w:val="clear" w:color="auto" w:fill="auto"/>
            <w:vAlign w:val="center"/>
            <w:hideMark/>
          </w:tcPr>
          <w:p w14:paraId="3AE6A159" w14:textId="77777777" w:rsidR="00C04E40" w:rsidRPr="0023319B" w:rsidRDefault="00C04E40" w:rsidP="00BD2A28">
            <w:pPr>
              <w:spacing w:line="240" w:lineRule="auto"/>
              <w:jc w:val="center"/>
              <w:rPr>
                <w:rFonts w:ascii="Calibri Light" w:hAnsi="Calibri Light" w:cs="Calibri Light"/>
                <w:color w:val="000000"/>
                <w:sz w:val="18"/>
                <w:szCs w:val="18"/>
                <w:lang w:val="es-CR" w:eastAsia="es-CR"/>
              </w:rPr>
            </w:pPr>
            <w:r w:rsidRPr="0023319B">
              <w:rPr>
                <w:rFonts w:ascii="Calibri Light" w:hAnsi="Calibri Light" w:cs="Calibri Light"/>
                <w:color w:val="000000"/>
                <w:sz w:val="18"/>
                <w:szCs w:val="18"/>
                <w:lang w:val="es-CR" w:eastAsia="es-CR"/>
              </w:rPr>
              <w:t>5-oct-2020</w:t>
            </w:r>
          </w:p>
        </w:tc>
        <w:tc>
          <w:tcPr>
            <w:tcW w:w="1418" w:type="dxa"/>
            <w:tcBorders>
              <w:top w:val="nil"/>
              <w:left w:val="nil"/>
              <w:bottom w:val="single" w:sz="4" w:space="0" w:color="auto"/>
              <w:right w:val="single" w:sz="4" w:space="0" w:color="auto"/>
            </w:tcBorders>
            <w:shd w:val="clear" w:color="auto" w:fill="auto"/>
            <w:noWrap/>
            <w:vAlign w:val="center"/>
            <w:hideMark/>
          </w:tcPr>
          <w:p w14:paraId="3CC897F8" w14:textId="504C0708" w:rsidR="00C04E40" w:rsidRPr="0023319B" w:rsidRDefault="00C04E40" w:rsidP="00BD2A28">
            <w:pPr>
              <w:spacing w:line="240" w:lineRule="auto"/>
              <w:jc w:val="right"/>
              <w:rPr>
                <w:rFonts w:ascii="Calibri Light" w:hAnsi="Calibri Light" w:cs="Calibri Light"/>
                <w:color w:val="000000"/>
                <w:sz w:val="18"/>
                <w:szCs w:val="18"/>
                <w:lang w:val="es-CR" w:eastAsia="es-CR"/>
              </w:rPr>
            </w:pPr>
            <w:r w:rsidRPr="0023319B">
              <w:rPr>
                <w:rFonts w:ascii="Calibri Light" w:hAnsi="Calibri Light" w:cs="Calibri Light"/>
                <w:color w:val="000000"/>
                <w:sz w:val="18"/>
                <w:szCs w:val="18"/>
                <w:lang w:val="es-CR" w:eastAsia="es-CR"/>
              </w:rPr>
              <w:t xml:space="preserve">1 326 827 </w:t>
            </w:r>
          </w:p>
        </w:tc>
      </w:tr>
      <w:tr w:rsidR="00C04E40" w:rsidRPr="0023319B" w14:paraId="26A9A5FB" w14:textId="77777777" w:rsidTr="00BD2A28">
        <w:trPr>
          <w:trHeight w:val="421"/>
        </w:trPr>
        <w:tc>
          <w:tcPr>
            <w:tcW w:w="1192" w:type="dxa"/>
            <w:tcBorders>
              <w:top w:val="nil"/>
              <w:left w:val="single" w:sz="4" w:space="0" w:color="auto"/>
              <w:bottom w:val="single" w:sz="4" w:space="0" w:color="auto"/>
              <w:right w:val="single" w:sz="4" w:space="0" w:color="auto"/>
            </w:tcBorders>
            <w:shd w:val="clear" w:color="auto" w:fill="auto"/>
            <w:vAlign w:val="center"/>
            <w:hideMark/>
          </w:tcPr>
          <w:p w14:paraId="5F3AF15D" w14:textId="77777777" w:rsidR="00C04E40" w:rsidRPr="0023319B" w:rsidRDefault="00C04E40" w:rsidP="00BD2A28">
            <w:pPr>
              <w:spacing w:line="240" w:lineRule="auto"/>
              <w:jc w:val="center"/>
              <w:rPr>
                <w:rFonts w:ascii="Calibri Light" w:hAnsi="Calibri Light" w:cs="Calibri Light"/>
                <w:color w:val="000000"/>
                <w:sz w:val="18"/>
                <w:szCs w:val="18"/>
                <w:lang w:val="es-CR" w:eastAsia="es-CR"/>
              </w:rPr>
            </w:pPr>
            <w:r w:rsidRPr="0023319B">
              <w:rPr>
                <w:rFonts w:ascii="Calibri Light" w:hAnsi="Calibri Light" w:cs="Calibri Light"/>
                <w:color w:val="000000"/>
                <w:sz w:val="18"/>
                <w:szCs w:val="18"/>
                <w:lang w:val="es-CR" w:eastAsia="es-CR"/>
              </w:rPr>
              <w:t>4</w:t>
            </w:r>
          </w:p>
        </w:tc>
        <w:tc>
          <w:tcPr>
            <w:tcW w:w="5324" w:type="dxa"/>
            <w:tcBorders>
              <w:top w:val="nil"/>
              <w:left w:val="nil"/>
              <w:bottom w:val="single" w:sz="4" w:space="0" w:color="auto"/>
              <w:right w:val="single" w:sz="4" w:space="0" w:color="auto"/>
            </w:tcBorders>
            <w:shd w:val="clear" w:color="auto" w:fill="auto"/>
            <w:vAlign w:val="center"/>
            <w:hideMark/>
          </w:tcPr>
          <w:p w14:paraId="734A5439" w14:textId="77777777" w:rsidR="00C04E40" w:rsidRPr="0023319B" w:rsidRDefault="00C04E40" w:rsidP="00BD2A28">
            <w:pPr>
              <w:spacing w:line="240" w:lineRule="auto"/>
              <w:rPr>
                <w:rFonts w:ascii="Calibri Light" w:hAnsi="Calibri Light" w:cs="Calibri Light"/>
                <w:color w:val="000000"/>
                <w:sz w:val="18"/>
                <w:szCs w:val="18"/>
                <w:lang w:val="es-CR" w:eastAsia="es-CR"/>
              </w:rPr>
            </w:pPr>
            <w:r w:rsidRPr="0023319B">
              <w:rPr>
                <w:rFonts w:ascii="Calibri Light" w:hAnsi="Calibri Light" w:cs="Calibri Light"/>
                <w:color w:val="000000"/>
                <w:sz w:val="18"/>
                <w:szCs w:val="18"/>
                <w:lang w:val="es-CR" w:eastAsia="es-CR"/>
              </w:rPr>
              <w:t>Congreso Latinoamericano Virtual de Derecho Financiero y Bancario - COLADE 2020</w:t>
            </w:r>
          </w:p>
        </w:tc>
        <w:tc>
          <w:tcPr>
            <w:tcW w:w="1276" w:type="dxa"/>
            <w:tcBorders>
              <w:top w:val="nil"/>
              <w:left w:val="nil"/>
              <w:bottom w:val="single" w:sz="4" w:space="0" w:color="auto"/>
              <w:right w:val="single" w:sz="4" w:space="0" w:color="auto"/>
            </w:tcBorders>
            <w:shd w:val="clear" w:color="auto" w:fill="auto"/>
            <w:vAlign w:val="center"/>
            <w:hideMark/>
          </w:tcPr>
          <w:p w14:paraId="058E0DF0" w14:textId="77777777" w:rsidR="00C04E40" w:rsidRPr="0023319B" w:rsidRDefault="00C04E40" w:rsidP="00BD2A28">
            <w:pPr>
              <w:spacing w:line="240" w:lineRule="auto"/>
              <w:jc w:val="center"/>
              <w:rPr>
                <w:rFonts w:ascii="Calibri Light" w:hAnsi="Calibri Light" w:cs="Calibri Light"/>
                <w:color w:val="000000"/>
                <w:sz w:val="18"/>
                <w:szCs w:val="18"/>
                <w:lang w:val="es-CR" w:eastAsia="es-CR"/>
              </w:rPr>
            </w:pPr>
            <w:r w:rsidRPr="0023319B">
              <w:rPr>
                <w:rFonts w:ascii="Calibri Light" w:hAnsi="Calibri Light" w:cs="Calibri Light"/>
                <w:color w:val="000000"/>
                <w:sz w:val="18"/>
                <w:szCs w:val="18"/>
                <w:lang w:val="es-CR" w:eastAsia="es-CR"/>
              </w:rPr>
              <w:t>15-oct-2020</w:t>
            </w:r>
          </w:p>
        </w:tc>
        <w:tc>
          <w:tcPr>
            <w:tcW w:w="1418" w:type="dxa"/>
            <w:tcBorders>
              <w:top w:val="nil"/>
              <w:left w:val="nil"/>
              <w:bottom w:val="single" w:sz="4" w:space="0" w:color="auto"/>
              <w:right w:val="single" w:sz="4" w:space="0" w:color="auto"/>
            </w:tcBorders>
            <w:shd w:val="clear" w:color="auto" w:fill="auto"/>
            <w:noWrap/>
            <w:vAlign w:val="center"/>
            <w:hideMark/>
          </w:tcPr>
          <w:p w14:paraId="35B97426" w14:textId="1501807F" w:rsidR="00C04E40" w:rsidRPr="0023319B" w:rsidRDefault="00C04E40" w:rsidP="00BD2A28">
            <w:pPr>
              <w:spacing w:line="240" w:lineRule="auto"/>
              <w:jc w:val="right"/>
              <w:rPr>
                <w:rFonts w:ascii="Calibri Light" w:hAnsi="Calibri Light" w:cs="Calibri Light"/>
                <w:color w:val="000000"/>
                <w:sz w:val="18"/>
                <w:szCs w:val="18"/>
                <w:lang w:val="es-CR" w:eastAsia="es-CR"/>
              </w:rPr>
            </w:pPr>
            <w:r w:rsidRPr="0023319B">
              <w:rPr>
                <w:rFonts w:ascii="Calibri Light" w:hAnsi="Calibri Light" w:cs="Calibri Light"/>
                <w:color w:val="000000"/>
                <w:sz w:val="18"/>
                <w:szCs w:val="18"/>
                <w:lang w:val="es-CR" w:eastAsia="es-CR"/>
              </w:rPr>
              <w:t xml:space="preserve">360 462 </w:t>
            </w:r>
          </w:p>
        </w:tc>
      </w:tr>
      <w:tr w:rsidR="00C04E40" w:rsidRPr="0023319B" w14:paraId="110F05D5" w14:textId="77777777" w:rsidTr="00BD2A28">
        <w:trPr>
          <w:trHeight w:val="310"/>
        </w:trPr>
        <w:tc>
          <w:tcPr>
            <w:tcW w:w="1192" w:type="dxa"/>
            <w:tcBorders>
              <w:top w:val="nil"/>
              <w:left w:val="single" w:sz="4" w:space="0" w:color="auto"/>
              <w:bottom w:val="single" w:sz="4" w:space="0" w:color="auto"/>
              <w:right w:val="single" w:sz="4" w:space="0" w:color="auto"/>
            </w:tcBorders>
            <w:shd w:val="clear" w:color="auto" w:fill="auto"/>
            <w:vAlign w:val="center"/>
            <w:hideMark/>
          </w:tcPr>
          <w:p w14:paraId="55514F4C" w14:textId="77777777" w:rsidR="00C04E40" w:rsidRPr="0023319B" w:rsidRDefault="00C04E40" w:rsidP="00BD2A28">
            <w:pPr>
              <w:spacing w:line="240" w:lineRule="auto"/>
              <w:jc w:val="center"/>
              <w:rPr>
                <w:rFonts w:ascii="Calibri Light" w:hAnsi="Calibri Light" w:cs="Calibri Light"/>
                <w:color w:val="000000"/>
                <w:sz w:val="18"/>
                <w:szCs w:val="18"/>
                <w:lang w:val="es-CR" w:eastAsia="es-CR"/>
              </w:rPr>
            </w:pPr>
            <w:r w:rsidRPr="0023319B">
              <w:rPr>
                <w:rFonts w:ascii="Calibri Light" w:hAnsi="Calibri Light" w:cs="Calibri Light"/>
                <w:color w:val="000000"/>
                <w:sz w:val="18"/>
                <w:szCs w:val="18"/>
                <w:lang w:val="es-CR" w:eastAsia="es-CR"/>
              </w:rPr>
              <w:t>3</w:t>
            </w:r>
          </w:p>
        </w:tc>
        <w:tc>
          <w:tcPr>
            <w:tcW w:w="5324" w:type="dxa"/>
            <w:tcBorders>
              <w:top w:val="nil"/>
              <w:left w:val="nil"/>
              <w:bottom w:val="single" w:sz="4" w:space="0" w:color="auto"/>
              <w:right w:val="single" w:sz="4" w:space="0" w:color="auto"/>
            </w:tcBorders>
            <w:shd w:val="clear" w:color="auto" w:fill="auto"/>
            <w:vAlign w:val="center"/>
            <w:hideMark/>
          </w:tcPr>
          <w:p w14:paraId="2B5BEA88" w14:textId="77777777" w:rsidR="00C04E40" w:rsidRPr="0023319B" w:rsidRDefault="00C04E40" w:rsidP="00BD2A28">
            <w:pPr>
              <w:spacing w:line="240" w:lineRule="auto"/>
              <w:rPr>
                <w:rFonts w:ascii="Calibri Light" w:hAnsi="Calibri Light" w:cs="Calibri Light"/>
                <w:color w:val="000000"/>
                <w:sz w:val="18"/>
                <w:szCs w:val="18"/>
                <w:lang w:val="es-CR" w:eastAsia="es-CR"/>
              </w:rPr>
            </w:pPr>
            <w:r w:rsidRPr="0023319B">
              <w:rPr>
                <w:rFonts w:ascii="Calibri Light" w:hAnsi="Calibri Light" w:cs="Calibri Light"/>
                <w:color w:val="000000"/>
                <w:sz w:val="18"/>
                <w:szCs w:val="18"/>
                <w:lang w:val="es-CR" w:eastAsia="es-CR"/>
              </w:rPr>
              <w:t xml:space="preserve"> Creación de dashboard con power BI</w:t>
            </w:r>
          </w:p>
        </w:tc>
        <w:tc>
          <w:tcPr>
            <w:tcW w:w="1276" w:type="dxa"/>
            <w:tcBorders>
              <w:top w:val="nil"/>
              <w:left w:val="nil"/>
              <w:bottom w:val="single" w:sz="4" w:space="0" w:color="auto"/>
              <w:right w:val="single" w:sz="4" w:space="0" w:color="auto"/>
            </w:tcBorders>
            <w:shd w:val="clear" w:color="auto" w:fill="auto"/>
            <w:vAlign w:val="center"/>
            <w:hideMark/>
          </w:tcPr>
          <w:p w14:paraId="004127AC" w14:textId="77777777" w:rsidR="00C04E40" w:rsidRPr="0023319B" w:rsidRDefault="00C04E40" w:rsidP="00BD2A28">
            <w:pPr>
              <w:spacing w:line="240" w:lineRule="auto"/>
              <w:jc w:val="center"/>
              <w:rPr>
                <w:rFonts w:ascii="Calibri Light" w:hAnsi="Calibri Light" w:cs="Calibri Light"/>
                <w:color w:val="000000"/>
                <w:sz w:val="18"/>
                <w:szCs w:val="18"/>
                <w:lang w:val="es-CR" w:eastAsia="es-CR"/>
              </w:rPr>
            </w:pPr>
            <w:r w:rsidRPr="0023319B">
              <w:rPr>
                <w:rFonts w:ascii="Calibri Light" w:hAnsi="Calibri Light" w:cs="Calibri Light"/>
                <w:color w:val="000000"/>
                <w:sz w:val="18"/>
                <w:szCs w:val="18"/>
                <w:lang w:val="es-CR" w:eastAsia="es-CR"/>
              </w:rPr>
              <w:t>15-oct-2020</w:t>
            </w:r>
          </w:p>
        </w:tc>
        <w:tc>
          <w:tcPr>
            <w:tcW w:w="1418" w:type="dxa"/>
            <w:tcBorders>
              <w:top w:val="nil"/>
              <w:left w:val="nil"/>
              <w:bottom w:val="single" w:sz="4" w:space="0" w:color="auto"/>
              <w:right w:val="single" w:sz="4" w:space="0" w:color="auto"/>
            </w:tcBorders>
            <w:shd w:val="clear" w:color="auto" w:fill="auto"/>
            <w:noWrap/>
            <w:vAlign w:val="center"/>
            <w:hideMark/>
          </w:tcPr>
          <w:p w14:paraId="5E9B90CE" w14:textId="75AB3611" w:rsidR="00C04E40" w:rsidRPr="0023319B" w:rsidRDefault="00C04E40" w:rsidP="00BD2A28">
            <w:pPr>
              <w:spacing w:line="240" w:lineRule="auto"/>
              <w:jc w:val="right"/>
              <w:rPr>
                <w:rFonts w:ascii="Calibri Light" w:hAnsi="Calibri Light" w:cs="Calibri Light"/>
                <w:color w:val="000000"/>
                <w:sz w:val="18"/>
                <w:szCs w:val="18"/>
                <w:lang w:val="es-CR" w:eastAsia="es-CR"/>
              </w:rPr>
            </w:pPr>
            <w:r w:rsidRPr="0023319B">
              <w:rPr>
                <w:rFonts w:ascii="Calibri Light" w:hAnsi="Calibri Light" w:cs="Calibri Light"/>
                <w:color w:val="000000"/>
                <w:sz w:val="18"/>
                <w:szCs w:val="18"/>
                <w:lang w:val="es-CR" w:eastAsia="es-CR"/>
              </w:rPr>
              <w:t xml:space="preserve">351 900 </w:t>
            </w:r>
          </w:p>
        </w:tc>
      </w:tr>
      <w:tr w:rsidR="00C04E40" w:rsidRPr="0023319B" w14:paraId="3EAFA191" w14:textId="77777777" w:rsidTr="00BD2A28">
        <w:trPr>
          <w:trHeight w:val="310"/>
        </w:trPr>
        <w:tc>
          <w:tcPr>
            <w:tcW w:w="1192" w:type="dxa"/>
            <w:tcBorders>
              <w:top w:val="nil"/>
              <w:left w:val="single" w:sz="4" w:space="0" w:color="auto"/>
              <w:bottom w:val="single" w:sz="4" w:space="0" w:color="auto"/>
              <w:right w:val="single" w:sz="4" w:space="0" w:color="auto"/>
            </w:tcBorders>
            <w:shd w:val="clear" w:color="auto" w:fill="auto"/>
            <w:vAlign w:val="center"/>
            <w:hideMark/>
          </w:tcPr>
          <w:p w14:paraId="085F79D3" w14:textId="77777777" w:rsidR="00C04E40" w:rsidRPr="0023319B" w:rsidRDefault="00C04E40" w:rsidP="00BD2A28">
            <w:pPr>
              <w:spacing w:line="240" w:lineRule="auto"/>
              <w:jc w:val="center"/>
              <w:rPr>
                <w:rFonts w:ascii="Calibri Light" w:hAnsi="Calibri Light" w:cs="Calibri Light"/>
                <w:color w:val="000000"/>
                <w:sz w:val="18"/>
                <w:szCs w:val="18"/>
                <w:lang w:val="es-CR" w:eastAsia="es-CR"/>
              </w:rPr>
            </w:pPr>
            <w:r w:rsidRPr="0023319B">
              <w:rPr>
                <w:rFonts w:ascii="Calibri Light" w:hAnsi="Calibri Light" w:cs="Calibri Light"/>
                <w:color w:val="000000"/>
                <w:sz w:val="18"/>
                <w:szCs w:val="18"/>
                <w:lang w:val="es-CR" w:eastAsia="es-CR"/>
              </w:rPr>
              <w:t>2</w:t>
            </w:r>
          </w:p>
        </w:tc>
        <w:tc>
          <w:tcPr>
            <w:tcW w:w="5324" w:type="dxa"/>
            <w:tcBorders>
              <w:top w:val="nil"/>
              <w:left w:val="nil"/>
              <w:bottom w:val="single" w:sz="4" w:space="0" w:color="auto"/>
              <w:right w:val="single" w:sz="4" w:space="0" w:color="auto"/>
            </w:tcBorders>
            <w:shd w:val="clear" w:color="auto" w:fill="auto"/>
            <w:vAlign w:val="center"/>
            <w:hideMark/>
          </w:tcPr>
          <w:p w14:paraId="51D14508" w14:textId="77777777" w:rsidR="00C04E40" w:rsidRPr="0023319B" w:rsidRDefault="00C04E40" w:rsidP="00BD2A28">
            <w:pPr>
              <w:spacing w:line="240" w:lineRule="auto"/>
              <w:rPr>
                <w:rFonts w:ascii="Calibri Light" w:hAnsi="Calibri Light" w:cs="Calibri Light"/>
                <w:color w:val="000000"/>
                <w:sz w:val="18"/>
                <w:szCs w:val="18"/>
                <w:lang w:val="es-CR" w:eastAsia="es-CR"/>
              </w:rPr>
            </w:pPr>
            <w:r w:rsidRPr="0023319B">
              <w:rPr>
                <w:rFonts w:ascii="Calibri Light" w:hAnsi="Calibri Light" w:cs="Calibri Light"/>
                <w:color w:val="000000"/>
                <w:sz w:val="18"/>
                <w:szCs w:val="18"/>
                <w:lang w:val="es-CR" w:eastAsia="es-CR"/>
              </w:rPr>
              <w:t>Programa Integral de Contratación Administrativa</w:t>
            </w:r>
          </w:p>
        </w:tc>
        <w:tc>
          <w:tcPr>
            <w:tcW w:w="1276" w:type="dxa"/>
            <w:tcBorders>
              <w:top w:val="nil"/>
              <w:left w:val="nil"/>
              <w:bottom w:val="single" w:sz="4" w:space="0" w:color="auto"/>
              <w:right w:val="single" w:sz="4" w:space="0" w:color="auto"/>
            </w:tcBorders>
            <w:shd w:val="clear" w:color="auto" w:fill="auto"/>
            <w:vAlign w:val="center"/>
            <w:hideMark/>
          </w:tcPr>
          <w:p w14:paraId="64521248" w14:textId="77777777" w:rsidR="00C04E40" w:rsidRPr="0023319B" w:rsidRDefault="00C04E40" w:rsidP="00BD2A28">
            <w:pPr>
              <w:spacing w:line="240" w:lineRule="auto"/>
              <w:jc w:val="center"/>
              <w:rPr>
                <w:rFonts w:ascii="Calibri Light" w:hAnsi="Calibri Light" w:cs="Calibri Light"/>
                <w:color w:val="000000"/>
                <w:sz w:val="18"/>
                <w:szCs w:val="18"/>
                <w:lang w:val="es-CR" w:eastAsia="es-CR"/>
              </w:rPr>
            </w:pPr>
            <w:r w:rsidRPr="0023319B">
              <w:rPr>
                <w:rFonts w:ascii="Calibri Light" w:hAnsi="Calibri Light" w:cs="Calibri Light"/>
                <w:color w:val="000000"/>
                <w:sz w:val="18"/>
                <w:szCs w:val="18"/>
                <w:lang w:val="es-CR" w:eastAsia="es-CR"/>
              </w:rPr>
              <w:t>12-oct-2020</w:t>
            </w:r>
          </w:p>
        </w:tc>
        <w:tc>
          <w:tcPr>
            <w:tcW w:w="1418" w:type="dxa"/>
            <w:tcBorders>
              <w:top w:val="nil"/>
              <w:left w:val="nil"/>
              <w:bottom w:val="single" w:sz="4" w:space="0" w:color="auto"/>
              <w:right w:val="single" w:sz="4" w:space="0" w:color="auto"/>
            </w:tcBorders>
            <w:shd w:val="clear" w:color="auto" w:fill="auto"/>
            <w:noWrap/>
            <w:vAlign w:val="center"/>
            <w:hideMark/>
          </w:tcPr>
          <w:p w14:paraId="3B942DD9" w14:textId="44461147" w:rsidR="00C04E40" w:rsidRPr="0023319B" w:rsidRDefault="00C04E40" w:rsidP="00BD2A28">
            <w:pPr>
              <w:spacing w:line="240" w:lineRule="auto"/>
              <w:jc w:val="right"/>
              <w:rPr>
                <w:rFonts w:ascii="Calibri Light" w:hAnsi="Calibri Light" w:cs="Calibri Light"/>
                <w:color w:val="000000"/>
                <w:sz w:val="18"/>
                <w:szCs w:val="18"/>
                <w:lang w:val="es-CR" w:eastAsia="es-CR"/>
              </w:rPr>
            </w:pPr>
            <w:r w:rsidRPr="0023319B">
              <w:rPr>
                <w:rFonts w:ascii="Calibri Light" w:hAnsi="Calibri Light" w:cs="Calibri Light"/>
                <w:color w:val="000000"/>
                <w:sz w:val="18"/>
                <w:szCs w:val="18"/>
                <w:lang w:val="es-CR" w:eastAsia="es-CR"/>
              </w:rPr>
              <w:t xml:space="preserve">310 080 </w:t>
            </w:r>
          </w:p>
        </w:tc>
      </w:tr>
      <w:tr w:rsidR="00C04E40" w:rsidRPr="0023319B" w14:paraId="628909C5" w14:textId="77777777" w:rsidTr="00BD2A28">
        <w:trPr>
          <w:trHeight w:val="310"/>
        </w:trPr>
        <w:tc>
          <w:tcPr>
            <w:tcW w:w="1192" w:type="dxa"/>
            <w:tcBorders>
              <w:top w:val="nil"/>
              <w:left w:val="single" w:sz="4" w:space="0" w:color="auto"/>
              <w:bottom w:val="single" w:sz="4" w:space="0" w:color="auto"/>
              <w:right w:val="single" w:sz="4" w:space="0" w:color="auto"/>
            </w:tcBorders>
            <w:shd w:val="clear" w:color="auto" w:fill="auto"/>
            <w:vAlign w:val="center"/>
            <w:hideMark/>
          </w:tcPr>
          <w:p w14:paraId="72D6194E" w14:textId="77777777" w:rsidR="00C04E40" w:rsidRPr="0023319B" w:rsidRDefault="00C04E40" w:rsidP="00BD2A28">
            <w:pPr>
              <w:spacing w:line="240" w:lineRule="auto"/>
              <w:jc w:val="center"/>
              <w:rPr>
                <w:rFonts w:ascii="Calibri Light" w:hAnsi="Calibri Light" w:cs="Calibri Light"/>
                <w:color w:val="000000"/>
                <w:sz w:val="18"/>
                <w:szCs w:val="18"/>
                <w:lang w:val="es-CR" w:eastAsia="es-CR"/>
              </w:rPr>
            </w:pPr>
            <w:r w:rsidRPr="0023319B">
              <w:rPr>
                <w:rFonts w:ascii="Calibri Light" w:hAnsi="Calibri Light" w:cs="Calibri Light"/>
                <w:color w:val="000000"/>
                <w:sz w:val="18"/>
                <w:szCs w:val="18"/>
                <w:lang w:val="es-CR" w:eastAsia="es-CR"/>
              </w:rPr>
              <w:t>1</w:t>
            </w:r>
          </w:p>
        </w:tc>
        <w:tc>
          <w:tcPr>
            <w:tcW w:w="5324" w:type="dxa"/>
            <w:tcBorders>
              <w:top w:val="nil"/>
              <w:left w:val="nil"/>
              <w:bottom w:val="single" w:sz="4" w:space="0" w:color="auto"/>
              <w:right w:val="single" w:sz="4" w:space="0" w:color="auto"/>
            </w:tcBorders>
            <w:shd w:val="clear" w:color="auto" w:fill="auto"/>
            <w:vAlign w:val="center"/>
            <w:hideMark/>
          </w:tcPr>
          <w:p w14:paraId="1A95B92D" w14:textId="77777777" w:rsidR="00C04E40" w:rsidRPr="0023319B" w:rsidRDefault="00C04E40" w:rsidP="00BD2A28">
            <w:pPr>
              <w:spacing w:line="240" w:lineRule="auto"/>
              <w:rPr>
                <w:rFonts w:ascii="Calibri Light" w:hAnsi="Calibri Light" w:cs="Calibri Light"/>
                <w:color w:val="000000"/>
                <w:sz w:val="18"/>
                <w:szCs w:val="18"/>
                <w:lang w:val="es-CR" w:eastAsia="es-CR"/>
              </w:rPr>
            </w:pPr>
            <w:r w:rsidRPr="0023319B">
              <w:rPr>
                <w:rFonts w:ascii="Calibri Light" w:hAnsi="Calibri Light" w:cs="Calibri Light"/>
                <w:color w:val="000000"/>
                <w:sz w:val="18"/>
                <w:szCs w:val="18"/>
                <w:lang w:val="es-CR" w:eastAsia="es-CR"/>
              </w:rPr>
              <w:t>Como liderar equipos de trabajo de forma remota</w:t>
            </w:r>
          </w:p>
        </w:tc>
        <w:tc>
          <w:tcPr>
            <w:tcW w:w="1276" w:type="dxa"/>
            <w:tcBorders>
              <w:top w:val="nil"/>
              <w:left w:val="nil"/>
              <w:bottom w:val="single" w:sz="4" w:space="0" w:color="auto"/>
              <w:right w:val="single" w:sz="4" w:space="0" w:color="auto"/>
            </w:tcBorders>
            <w:shd w:val="clear" w:color="auto" w:fill="auto"/>
            <w:vAlign w:val="center"/>
            <w:hideMark/>
          </w:tcPr>
          <w:p w14:paraId="7CEDC64A" w14:textId="77777777" w:rsidR="00C04E40" w:rsidRPr="0023319B" w:rsidRDefault="00C04E40" w:rsidP="00BD2A28">
            <w:pPr>
              <w:spacing w:line="240" w:lineRule="auto"/>
              <w:jc w:val="center"/>
              <w:rPr>
                <w:rFonts w:ascii="Calibri Light" w:hAnsi="Calibri Light" w:cs="Calibri Light"/>
                <w:color w:val="000000"/>
                <w:sz w:val="18"/>
                <w:szCs w:val="18"/>
                <w:lang w:val="es-CR" w:eastAsia="es-CR"/>
              </w:rPr>
            </w:pPr>
            <w:r w:rsidRPr="0023319B">
              <w:rPr>
                <w:rFonts w:ascii="Calibri Light" w:hAnsi="Calibri Light" w:cs="Calibri Light"/>
                <w:color w:val="000000"/>
                <w:sz w:val="18"/>
                <w:szCs w:val="18"/>
                <w:lang w:val="es-CR" w:eastAsia="es-CR"/>
              </w:rPr>
              <w:t>28-oct-2020</w:t>
            </w:r>
          </w:p>
        </w:tc>
        <w:tc>
          <w:tcPr>
            <w:tcW w:w="1418" w:type="dxa"/>
            <w:tcBorders>
              <w:top w:val="nil"/>
              <w:left w:val="nil"/>
              <w:bottom w:val="single" w:sz="4" w:space="0" w:color="auto"/>
              <w:right w:val="single" w:sz="4" w:space="0" w:color="auto"/>
            </w:tcBorders>
            <w:shd w:val="clear" w:color="auto" w:fill="auto"/>
            <w:noWrap/>
            <w:vAlign w:val="center"/>
            <w:hideMark/>
          </w:tcPr>
          <w:p w14:paraId="48DD0802" w14:textId="4F11A83C" w:rsidR="00C04E40" w:rsidRPr="0023319B" w:rsidRDefault="00C04E40" w:rsidP="00BD2A28">
            <w:pPr>
              <w:spacing w:line="240" w:lineRule="auto"/>
              <w:jc w:val="right"/>
              <w:rPr>
                <w:rFonts w:ascii="Calibri Light" w:hAnsi="Calibri Light" w:cs="Calibri Light"/>
                <w:color w:val="000000"/>
                <w:sz w:val="18"/>
                <w:szCs w:val="18"/>
                <w:lang w:val="es-CR" w:eastAsia="es-CR"/>
              </w:rPr>
            </w:pPr>
            <w:r w:rsidRPr="0023319B">
              <w:rPr>
                <w:rFonts w:ascii="Calibri Light" w:hAnsi="Calibri Light" w:cs="Calibri Light"/>
                <w:color w:val="000000"/>
                <w:sz w:val="18"/>
                <w:szCs w:val="18"/>
                <w:lang w:val="es-CR" w:eastAsia="es-CR"/>
              </w:rPr>
              <w:t xml:space="preserve">  45 499 </w:t>
            </w:r>
          </w:p>
        </w:tc>
      </w:tr>
      <w:tr w:rsidR="00C04E40" w:rsidRPr="0023319B" w14:paraId="5AEE333B" w14:textId="77777777" w:rsidTr="00BD2A28">
        <w:trPr>
          <w:trHeight w:val="310"/>
        </w:trPr>
        <w:tc>
          <w:tcPr>
            <w:tcW w:w="1192" w:type="dxa"/>
            <w:tcBorders>
              <w:top w:val="nil"/>
              <w:left w:val="single" w:sz="4" w:space="0" w:color="auto"/>
              <w:bottom w:val="single" w:sz="4" w:space="0" w:color="auto"/>
              <w:right w:val="single" w:sz="4" w:space="0" w:color="auto"/>
            </w:tcBorders>
            <w:shd w:val="clear" w:color="auto" w:fill="auto"/>
            <w:vAlign w:val="center"/>
            <w:hideMark/>
          </w:tcPr>
          <w:p w14:paraId="3E48AAA0" w14:textId="77777777" w:rsidR="00C04E40" w:rsidRPr="0023319B" w:rsidRDefault="00C04E40" w:rsidP="00BD2A28">
            <w:pPr>
              <w:spacing w:line="240" w:lineRule="auto"/>
              <w:jc w:val="center"/>
              <w:rPr>
                <w:rFonts w:ascii="Calibri Light" w:hAnsi="Calibri Light" w:cs="Calibri Light"/>
                <w:color w:val="000000"/>
                <w:sz w:val="18"/>
                <w:szCs w:val="18"/>
                <w:lang w:val="es-CR" w:eastAsia="es-CR"/>
              </w:rPr>
            </w:pPr>
            <w:r w:rsidRPr="0023319B">
              <w:rPr>
                <w:rFonts w:ascii="Calibri Light" w:hAnsi="Calibri Light" w:cs="Calibri Light"/>
                <w:color w:val="000000"/>
                <w:sz w:val="18"/>
                <w:szCs w:val="18"/>
                <w:lang w:val="es-CR" w:eastAsia="es-CR"/>
              </w:rPr>
              <w:t>4,2</w:t>
            </w:r>
          </w:p>
        </w:tc>
        <w:tc>
          <w:tcPr>
            <w:tcW w:w="5324" w:type="dxa"/>
            <w:tcBorders>
              <w:top w:val="nil"/>
              <w:left w:val="nil"/>
              <w:bottom w:val="single" w:sz="4" w:space="0" w:color="auto"/>
              <w:right w:val="single" w:sz="4" w:space="0" w:color="auto"/>
            </w:tcBorders>
            <w:shd w:val="clear" w:color="auto" w:fill="auto"/>
            <w:vAlign w:val="center"/>
            <w:hideMark/>
          </w:tcPr>
          <w:p w14:paraId="04C690B9" w14:textId="77777777" w:rsidR="00C04E40" w:rsidRPr="0023319B" w:rsidRDefault="00C04E40" w:rsidP="00BD2A28">
            <w:pPr>
              <w:spacing w:line="240" w:lineRule="auto"/>
              <w:rPr>
                <w:rFonts w:ascii="Calibri Light" w:hAnsi="Calibri Light" w:cs="Calibri Light"/>
                <w:color w:val="000000"/>
                <w:sz w:val="18"/>
                <w:szCs w:val="18"/>
                <w:lang w:val="es-CR" w:eastAsia="es-CR"/>
              </w:rPr>
            </w:pPr>
            <w:r w:rsidRPr="0023319B">
              <w:rPr>
                <w:rFonts w:ascii="Calibri Light" w:hAnsi="Calibri Light" w:cs="Calibri Light"/>
                <w:color w:val="000000"/>
                <w:sz w:val="18"/>
                <w:szCs w:val="18"/>
                <w:lang w:val="es-CR" w:eastAsia="es-CR"/>
              </w:rPr>
              <w:t>Curso virtual Entrenamiento de vocerías</w:t>
            </w:r>
          </w:p>
        </w:tc>
        <w:tc>
          <w:tcPr>
            <w:tcW w:w="1276" w:type="dxa"/>
            <w:tcBorders>
              <w:top w:val="nil"/>
              <w:left w:val="nil"/>
              <w:bottom w:val="single" w:sz="4" w:space="0" w:color="auto"/>
              <w:right w:val="single" w:sz="4" w:space="0" w:color="auto"/>
            </w:tcBorders>
            <w:shd w:val="clear" w:color="auto" w:fill="auto"/>
            <w:vAlign w:val="center"/>
            <w:hideMark/>
          </w:tcPr>
          <w:p w14:paraId="50AABF74" w14:textId="77777777" w:rsidR="00C04E40" w:rsidRPr="0023319B" w:rsidRDefault="00C04E40" w:rsidP="00BD2A28">
            <w:pPr>
              <w:spacing w:line="240" w:lineRule="auto"/>
              <w:jc w:val="center"/>
              <w:rPr>
                <w:rFonts w:ascii="Calibri Light" w:hAnsi="Calibri Light" w:cs="Calibri Light"/>
                <w:color w:val="000000"/>
                <w:sz w:val="18"/>
                <w:szCs w:val="18"/>
                <w:lang w:val="es-CR" w:eastAsia="es-CR"/>
              </w:rPr>
            </w:pPr>
            <w:r w:rsidRPr="0023319B">
              <w:rPr>
                <w:rFonts w:ascii="Calibri Light" w:hAnsi="Calibri Light" w:cs="Calibri Light"/>
                <w:color w:val="000000"/>
                <w:sz w:val="18"/>
                <w:szCs w:val="18"/>
                <w:lang w:val="es-CR" w:eastAsia="es-CR"/>
              </w:rPr>
              <w:t>5-nov-2020</w:t>
            </w:r>
          </w:p>
        </w:tc>
        <w:tc>
          <w:tcPr>
            <w:tcW w:w="1418" w:type="dxa"/>
            <w:tcBorders>
              <w:top w:val="nil"/>
              <w:left w:val="nil"/>
              <w:bottom w:val="single" w:sz="4" w:space="0" w:color="auto"/>
              <w:right w:val="single" w:sz="4" w:space="0" w:color="auto"/>
            </w:tcBorders>
            <w:shd w:val="clear" w:color="auto" w:fill="auto"/>
            <w:noWrap/>
            <w:vAlign w:val="center"/>
            <w:hideMark/>
          </w:tcPr>
          <w:p w14:paraId="417FB276" w14:textId="0FB6908E" w:rsidR="00C04E40" w:rsidRPr="0023319B" w:rsidRDefault="00C04E40" w:rsidP="00BD2A28">
            <w:pPr>
              <w:spacing w:line="240" w:lineRule="auto"/>
              <w:jc w:val="right"/>
              <w:rPr>
                <w:rFonts w:ascii="Calibri Light" w:hAnsi="Calibri Light" w:cs="Calibri Light"/>
                <w:color w:val="000000"/>
                <w:sz w:val="18"/>
                <w:szCs w:val="18"/>
                <w:lang w:val="es-CR" w:eastAsia="es-CR"/>
              </w:rPr>
            </w:pPr>
            <w:r w:rsidRPr="0023319B">
              <w:rPr>
                <w:rFonts w:ascii="Calibri Light" w:hAnsi="Calibri Light" w:cs="Calibri Light"/>
                <w:color w:val="000000"/>
                <w:sz w:val="18"/>
                <w:szCs w:val="18"/>
                <w:lang w:val="es-CR" w:eastAsia="es-CR"/>
              </w:rPr>
              <w:t xml:space="preserve">2 490 799 </w:t>
            </w:r>
          </w:p>
        </w:tc>
      </w:tr>
      <w:tr w:rsidR="00C04E40" w:rsidRPr="0023319B" w14:paraId="5FF286C9" w14:textId="77777777" w:rsidTr="00BD2A28">
        <w:trPr>
          <w:trHeight w:val="531"/>
        </w:trPr>
        <w:tc>
          <w:tcPr>
            <w:tcW w:w="1192" w:type="dxa"/>
            <w:tcBorders>
              <w:top w:val="nil"/>
              <w:left w:val="single" w:sz="4" w:space="0" w:color="auto"/>
              <w:bottom w:val="single" w:sz="4" w:space="0" w:color="auto"/>
              <w:right w:val="single" w:sz="4" w:space="0" w:color="auto"/>
            </w:tcBorders>
            <w:shd w:val="clear" w:color="auto" w:fill="auto"/>
            <w:vAlign w:val="center"/>
            <w:hideMark/>
          </w:tcPr>
          <w:p w14:paraId="7F303A84" w14:textId="77777777" w:rsidR="00C04E40" w:rsidRPr="0023319B" w:rsidRDefault="00C04E40" w:rsidP="00BD2A28">
            <w:pPr>
              <w:spacing w:line="240" w:lineRule="auto"/>
              <w:jc w:val="center"/>
              <w:rPr>
                <w:rFonts w:ascii="Calibri Light" w:hAnsi="Calibri Light" w:cs="Calibri Light"/>
                <w:color w:val="000000"/>
                <w:sz w:val="18"/>
                <w:szCs w:val="18"/>
                <w:lang w:val="es-CR" w:eastAsia="es-CR"/>
              </w:rPr>
            </w:pPr>
            <w:r w:rsidRPr="0023319B">
              <w:rPr>
                <w:rFonts w:ascii="Calibri Light" w:hAnsi="Calibri Light" w:cs="Calibri Light"/>
                <w:color w:val="000000"/>
                <w:sz w:val="18"/>
                <w:szCs w:val="18"/>
                <w:lang w:val="es-CR" w:eastAsia="es-CR"/>
              </w:rPr>
              <w:t>20</w:t>
            </w:r>
          </w:p>
        </w:tc>
        <w:tc>
          <w:tcPr>
            <w:tcW w:w="5324" w:type="dxa"/>
            <w:tcBorders>
              <w:top w:val="nil"/>
              <w:left w:val="nil"/>
              <w:bottom w:val="single" w:sz="4" w:space="0" w:color="auto"/>
              <w:right w:val="single" w:sz="4" w:space="0" w:color="auto"/>
            </w:tcBorders>
            <w:shd w:val="clear" w:color="auto" w:fill="auto"/>
            <w:vAlign w:val="center"/>
            <w:hideMark/>
          </w:tcPr>
          <w:p w14:paraId="7841E338" w14:textId="77777777" w:rsidR="00C04E40" w:rsidRPr="0023319B" w:rsidRDefault="00C04E40" w:rsidP="00BD2A28">
            <w:pPr>
              <w:spacing w:line="240" w:lineRule="auto"/>
              <w:rPr>
                <w:rFonts w:ascii="Calibri Light" w:hAnsi="Calibri Light" w:cs="Calibri Light"/>
                <w:color w:val="000000"/>
                <w:sz w:val="18"/>
                <w:szCs w:val="18"/>
                <w:lang w:val="es-CR" w:eastAsia="es-CR"/>
              </w:rPr>
            </w:pPr>
            <w:r w:rsidRPr="0023319B">
              <w:rPr>
                <w:rFonts w:ascii="Calibri Light" w:hAnsi="Calibri Light" w:cs="Calibri Light"/>
                <w:color w:val="000000"/>
                <w:sz w:val="18"/>
                <w:szCs w:val="18"/>
                <w:lang w:val="es-CR" w:eastAsia="es-CR"/>
              </w:rPr>
              <w:t>Curso virtual sobre Gobierno Corporativo en Regímenes de Capitalización Colectiva</w:t>
            </w:r>
          </w:p>
        </w:tc>
        <w:tc>
          <w:tcPr>
            <w:tcW w:w="1276" w:type="dxa"/>
            <w:tcBorders>
              <w:top w:val="nil"/>
              <w:left w:val="nil"/>
              <w:bottom w:val="single" w:sz="4" w:space="0" w:color="auto"/>
              <w:right w:val="single" w:sz="4" w:space="0" w:color="auto"/>
            </w:tcBorders>
            <w:shd w:val="clear" w:color="auto" w:fill="auto"/>
            <w:vAlign w:val="center"/>
            <w:hideMark/>
          </w:tcPr>
          <w:p w14:paraId="12B6D28F" w14:textId="77777777" w:rsidR="00C04E40" w:rsidRPr="0023319B" w:rsidRDefault="00C04E40" w:rsidP="00BD2A28">
            <w:pPr>
              <w:spacing w:line="240" w:lineRule="auto"/>
              <w:jc w:val="center"/>
              <w:rPr>
                <w:rFonts w:ascii="Calibri Light" w:hAnsi="Calibri Light" w:cs="Calibri Light"/>
                <w:color w:val="000000"/>
                <w:sz w:val="18"/>
                <w:szCs w:val="18"/>
                <w:lang w:val="es-CR" w:eastAsia="es-CR"/>
              </w:rPr>
            </w:pPr>
            <w:r w:rsidRPr="0023319B">
              <w:rPr>
                <w:rFonts w:ascii="Calibri Light" w:hAnsi="Calibri Light" w:cs="Calibri Light"/>
                <w:color w:val="000000"/>
                <w:sz w:val="18"/>
                <w:szCs w:val="18"/>
                <w:lang w:val="es-CR" w:eastAsia="es-CR"/>
              </w:rPr>
              <w:t>7-dic-2020</w:t>
            </w:r>
          </w:p>
        </w:tc>
        <w:tc>
          <w:tcPr>
            <w:tcW w:w="1418" w:type="dxa"/>
            <w:tcBorders>
              <w:top w:val="nil"/>
              <w:left w:val="nil"/>
              <w:bottom w:val="single" w:sz="4" w:space="0" w:color="auto"/>
              <w:right w:val="single" w:sz="4" w:space="0" w:color="auto"/>
            </w:tcBorders>
            <w:shd w:val="clear" w:color="auto" w:fill="auto"/>
            <w:noWrap/>
            <w:vAlign w:val="center"/>
            <w:hideMark/>
          </w:tcPr>
          <w:p w14:paraId="0AB86B21" w14:textId="69D45879" w:rsidR="00C04E40" w:rsidRPr="0023319B" w:rsidRDefault="00C04E40" w:rsidP="00BD2A28">
            <w:pPr>
              <w:spacing w:line="240" w:lineRule="auto"/>
              <w:jc w:val="right"/>
              <w:rPr>
                <w:rFonts w:ascii="Calibri Light" w:hAnsi="Calibri Light" w:cs="Calibri Light"/>
                <w:color w:val="000000"/>
                <w:sz w:val="18"/>
                <w:szCs w:val="18"/>
                <w:lang w:val="es-CR" w:eastAsia="es-CR"/>
              </w:rPr>
            </w:pPr>
            <w:r w:rsidRPr="0023319B">
              <w:rPr>
                <w:rFonts w:ascii="Calibri Light" w:hAnsi="Calibri Light" w:cs="Calibri Light"/>
                <w:color w:val="000000"/>
                <w:sz w:val="18"/>
                <w:szCs w:val="18"/>
                <w:lang w:val="es-CR" w:eastAsia="es-CR"/>
              </w:rPr>
              <w:t xml:space="preserve">11 072 888 </w:t>
            </w:r>
          </w:p>
        </w:tc>
      </w:tr>
      <w:tr w:rsidR="00C04E40" w:rsidRPr="0023319B" w14:paraId="4E6C1546" w14:textId="77777777" w:rsidTr="00BD2A28">
        <w:trPr>
          <w:trHeight w:val="620"/>
        </w:trPr>
        <w:tc>
          <w:tcPr>
            <w:tcW w:w="1192" w:type="dxa"/>
            <w:tcBorders>
              <w:top w:val="nil"/>
              <w:left w:val="single" w:sz="4" w:space="0" w:color="auto"/>
              <w:bottom w:val="single" w:sz="4" w:space="0" w:color="auto"/>
              <w:right w:val="single" w:sz="4" w:space="0" w:color="auto"/>
            </w:tcBorders>
            <w:shd w:val="clear" w:color="auto" w:fill="auto"/>
            <w:vAlign w:val="center"/>
            <w:hideMark/>
          </w:tcPr>
          <w:p w14:paraId="7629B6E4" w14:textId="77777777" w:rsidR="00C04E40" w:rsidRPr="0023319B" w:rsidRDefault="00C04E40" w:rsidP="00BD2A28">
            <w:pPr>
              <w:spacing w:line="240" w:lineRule="auto"/>
              <w:jc w:val="center"/>
              <w:rPr>
                <w:rFonts w:ascii="Calibri Light" w:hAnsi="Calibri Light" w:cs="Calibri Light"/>
                <w:color w:val="000000"/>
                <w:sz w:val="18"/>
                <w:szCs w:val="18"/>
                <w:lang w:val="es-CR" w:eastAsia="es-CR"/>
              </w:rPr>
            </w:pPr>
            <w:r w:rsidRPr="0023319B">
              <w:rPr>
                <w:rFonts w:ascii="Calibri Light" w:hAnsi="Calibri Light" w:cs="Calibri Light"/>
                <w:color w:val="000000"/>
                <w:sz w:val="18"/>
                <w:szCs w:val="18"/>
                <w:lang w:val="es-CR" w:eastAsia="es-CR"/>
              </w:rPr>
              <w:t>7</w:t>
            </w:r>
          </w:p>
        </w:tc>
        <w:tc>
          <w:tcPr>
            <w:tcW w:w="5324" w:type="dxa"/>
            <w:tcBorders>
              <w:top w:val="nil"/>
              <w:left w:val="nil"/>
              <w:bottom w:val="single" w:sz="4" w:space="0" w:color="auto"/>
              <w:right w:val="single" w:sz="4" w:space="0" w:color="auto"/>
            </w:tcBorders>
            <w:shd w:val="clear" w:color="auto" w:fill="auto"/>
            <w:vAlign w:val="center"/>
            <w:hideMark/>
          </w:tcPr>
          <w:p w14:paraId="395A3BEB" w14:textId="77777777" w:rsidR="00C04E40" w:rsidRPr="0023319B" w:rsidRDefault="00C04E40" w:rsidP="00BD2A28">
            <w:pPr>
              <w:spacing w:line="240" w:lineRule="auto"/>
              <w:rPr>
                <w:rFonts w:ascii="Calibri Light" w:hAnsi="Calibri Light" w:cs="Calibri Light"/>
                <w:color w:val="000000"/>
                <w:sz w:val="18"/>
                <w:szCs w:val="18"/>
                <w:lang w:val="es-CR" w:eastAsia="es-CR"/>
              </w:rPr>
            </w:pPr>
            <w:r w:rsidRPr="0023319B">
              <w:rPr>
                <w:rFonts w:ascii="Calibri Light" w:hAnsi="Calibri Light" w:cs="Calibri Light"/>
                <w:color w:val="000000"/>
                <w:sz w:val="18"/>
                <w:szCs w:val="18"/>
                <w:lang w:val="es-CR" w:eastAsia="es-CR"/>
              </w:rPr>
              <w:t>Taller Desarrollo de competencias para el mejoramiento del clima organizacional</w:t>
            </w:r>
          </w:p>
        </w:tc>
        <w:tc>
          <w:tcPr>
            <w:tcW w:w="1276" w:type="dxa"/>
            <w:tcBorders>
              <w:top w:val="nil"/>
              <w:left w:val="nil"/>
              <w:bottom w:val="single" w:sz="4" w:space="0" w:color="auto"/>
              <w:right w:val="single" w:sz="4" w:space="0" w:color="auto"/>
            </w:tcBorders>
            <w:shd w:val="clear" w:color="auto" w:fill="auto"/>
            <w:vAlign w:val="center"/>
            <w:hideMark/>
          </w:tcPr>
          <w:p w14:paraId="55B98036" w14:textId="77777777" w:rsidR="00C04E40" w:rsidRPr="0023319B" w:rsidRDefault="00C04E40" w:rsidP="00BD2A28">
            <w:pPr>
              <w:spacing w:line="240" w:lineRule="auto"/>
              <w:jc w:val="center"/>
              <w:rPr>
                <w:rFonts w:ascii="Calibri Light" w:hAnsi="Calibri Light" w:cs="Calibri Light"/>
                <w:color w:val="000000"/>
                <w:sz w:val="18"/>
                <w:szCs w:val="18"/>
                <w:lang w:val="es-CR" w:eastAsia="es-CR"/>
              </w:rPr>
            </w:pPr>
            <w:r w:rsidRPr="0023319B">
              <w:rPr>
                <w:rFonts w:ascii="Calibri Light" w:hAnsi="Calibri Light" w:cs="Calibri Light"/>
                <w:color w:val="000000"/>
                <w:sz w:val="18"/>
                <w:szCs w:val="18"/>
                <w:lang w:val="es-CR" w:eastAsia="es-CR"/>
              </w:rPr>
              <w:t>2-nov-2020</w:t>
            </w:r>
          </w:p>
        </w:tc>
        <w:tc>
          <w:tcPr>
            <w:tcW w:w="1418" w:type="dxa"/>
            <w:tcBorders>
              <w:top w:val="nil"/>
              <w:left w:val="nil"/>
              <w:bottom w:val="single" w:sz="4" w:space="0" w:color="auto"/>
              <w:right w:val="single" w:sz="4" w:space="0" w:color="auto"/>
            </w:tcBorders>
            <w:shd w:val="clear" w:color="auto" w:fill="auto"/>
            <w:noWrap/>
            <w:vAlign w:val="center"/>
            <w:hideMark/>
          </w:tcPr>
          <w:p w14:paraId="4878694A" w14:textId="1252FF57" w:rsidR="00C04E40" w:rsidRPr="0023319B" w:rsidRDefault="00C04E40" w:rsidP="00BD2A28">
            <w:pPr>
              <w:spacing w:line="240" w:lineRule="auto"/>
              <w:jc w:val="right"/>
              <w:rPr>
                <w:rFonts w:ascii="Calibri Light" w:hAnsi="Calibri Light" w:cs="Calibri Light"/>
                <w:color w:val="000000"/>
                <w:sz w:val="18"/>
                <w:szCs w:val="18"/>
                <w:lang w:val="es-CR" w:eastAsia="es-CR"/>
              </w:rPr>
            </w:pPr>
            <w:r w:rsidRPr="0023319B">
              <w:rPr>
                <w:rFonts w:ascii="Calibri Light" w:hAnsi="Calibri Light" w:cs="Calibri Light"/>
                <w:color w:val="000000"/>
                <w:sz w:val="18"/>
                <w:szCs w:val="18"/>
                <w:lang w:val="es-CR" w:eastAsia="es-CR"/>
              </w:rPr>
              <w:t xml:space="preserve">1 837 026 </w:t>
            </w:r>
          </w:p>
        </w:tc>
      </w:tr>
      <w:tr w:rsidR="00C04E40" w:rsidRPr="0023319B" w14:paraId="61BE1B93" w14:textId="77777777" w:rsidTr="00BD2A28">
        <w:trPr>
          <w:trHeight w:val="558"/>
        </w:trPr>
        <w:tc>
          <w:tcPr>
            <w:tcW w:w="1192" w:type="dxa"/>
            <w:tcBorders>
              <w:top w:val="nil"/>
              <w:left w:val="single" w:sz="4" w:space="0" w:color="auto"/>
              <w:bottom w:val="single" w:sz="4" w:space="0" w:color="auto"/>
              <w:right w:val="single" w:sz="4" w:space="0" w:color="auto"/>
            </w:tcBorders>
            <w:shd w:val="clear" w:color="auto" w:fill="auto"/>
            <w:vAlign w:val="center"/>
            <w:hideMark/>
          </w:tcPr>
          <w:p w14:paraId="2378ECA8" w14:textId="77777777" w:rsidR="00C04E40" w:rsidRPr="0023319B" w:rsidRDefault="00C04E40" w:rsidP="00BD2A28">
            <w:pPr>
              <w:spacing w:line="240" w:lineRule="auto"/>
              <w:jc w:val="center"/>
              <w:rPr>
                <w:rFonts w:ascii="Calibri Light" w:hAnsi="Calibri Light" w:cs="Calibri Light"/>
                <w:color w:val="000000"/>
                <w:sz w:val="18"/>
                <w:szCs w:val="18"/>
                <w:lang w:val="es-CR" w:eastAsia="es-CR"/>
              </w:rPr>
            </w:pPr>
            <w:r w:rsidRPr="0023319B">
              <w:rPr>
                <w:rFonts w:ascii="Calibri Light" w:hAnsi="Calibri Light" w:cs="Calibri Light"/>
                <w:color w:val="000000"/>
                <w:sz w:val="18"/>
                <w:szCs w:val="18"/>
                <w:lang w:val="es-CR" w:eastAsia="es-CR"/>
              </w:rPr>
              <w:t>15</w:t>
            </w:r>
          </w:p>
        </w:tc>
        <w:tc>
          <w:tcPr>
            <w:tcW w:w="5324" w:type="dxa"/>
            <w:tcBorders>
              <w:top w:val="nil"/>
              <w:left w:val="nil"/>
              <w:bottom w:val="single" w:sz="4" w:space="0" w:color="auto"/>
              <w:right w:val="single" w:sz="4" w:space="0" w:color="auto"/>
            </w:tcBorders>
            <w:shd w:val="clear" w:color="auto" w:fill="auto"/>
            <w:vAlign w:val="center"/>
            <w:hideMark/>
          </w:tcPr>
          <w:p w14:paraId="711BB4C8" w14:textId="77777777" w:rsidR="00C04E40" w:rsidRPr="0023319B" w:rsidRDefault="00C04E40" w:rsidP="00BD2A28">
            <w:pPr>
              <w:spacing w:line="240" w:lineRule="auto"/>
              <w:rPr>
                <w:rFonts w:ascii="Calibri Light" w:hAnsi="Calibri Light" w:cs="Calibri Light"/>
                <w:color w:val="000000"/>
                <w:sz w:val="18"/>
                <w:szCs w:val="18"/>
                <w:lang w:val="es-CR" w:eastAsia="es-CR"/>
              </w:rPr>
            </w:pPr>
            <w:r w:rsidRPr="0023319B">
              <w:rPr>
                <w:rFonts w:ascii="Calibri Light" w:hAnsi="Calibri Light" w:cs="Calibri Light"/>
                <w:color w:val="000000"/>
                <w:sz w:val="18"/>
                <w:szCs w:val="18"/>
                <w:lang w:val="es-CR" w:eastAsia="es-CR"/>
              </w:rPr>
              <w:t>Curso virtual Metodologías de evaluación de desempeño para órganos de Gobierno Corporativo</w:t>
            </w:r>
          </w:p>
        </w:tc>
        <w:tc>
          <w:tcPr>
            <w:tcW w:w="1276" w:type="dxa"/>
            <w:tcBorders>
              <w:top w:val="nil"/>
              <w:left w:val="nil"/>
              <w:bottom w:val="single" w:sz="4" w:space="0" w:color="auto"/>
              <w:right w:val="single" w:sz="4" w:space="0" w:color="auto"/>
            </w:tcBorders>
            <w:shd w:val="clear" w:color="auto" w:fill="auto"/>
            <w:vAlign w:val="center"/>
            <w:hideMark/>
          </w:tcPr>
          <w:p w14:paraId="4EF34EFF" w14:textId="77777777" w:rsidR="00C04E40" w:rsidRPr="0023319B" w:rsidRDefault="00C04E40" w:rsidP="00BD2A28">
            <w:pPr>
              <w:spacing w:line="240" w:lineRule="auto"/>
              <w:jc w:val="center"/>
              <w:rPr>
                <w:rFonts w:ascii="Calibri Light" w:hAnsi="Calibri Light" w:cs="Calibri Light"/>
                <w:color w:val="000000"/>
                <w:sz w:val="18"/>
                <w:szCs w:val="18"/>
                <w:lang w:val="es-CR" w:eastAsia="es-CR"/>
              </w:rPr>
            </w:pPr>
            <w:r w:rsidRPr="0023319B">
              <w:rPr>
                <w:rFonts w:ascii="Calibri Light" w:hAnsi="Calibri Light" w:cs="Calibri Light"/>
                <w:color w:val="000000"/>
                <w:sz w:val="18"/>
                <w:szCs w:val="18"/>
                <w:lang w:val="es-CR" w:eastAsia="es-CR"/>
              </w:rPr>
              <w:t>17-nov-2020</w:t>
            </w:r>
          </w:p>
        </w:tc>
        <w:tc>
          <w:tcPr>
            <w:tcW w:w="1418" w:type="dxa"/>
            <w:tcBorders>
              <w:top w:val="nil"/>
              <w:left w:val="nil"/>
              <w:bottom w:val="single" w:sz="4" w:space="0" w:color="auto"/>
              <w:right w:val="single" w:sz="4" w:space="0" w:color="auto"/>
            </w:tcBorders>
            <w:shd w:val="clear" w:color="auto" w:fill="auto"/>
            <w:noWrap/>
            <w:vAlign w:val="center"/>
            <w:hideMark/>
          </w:tcPr>
          <w:p w14:paraId="672A6DAB" w14:textId="736FDEA9" w:rsidR="00C04E40" w:rsidRPr="0023319B" w:rsidRDefault="00C04E40" w:rsidP="00BD2A28">
            <w:pPr>
              <w:spacing w:line="240" w:lineRule="auto"/>
              <w:jc w:val="right"/>
              <w:rPr>
                <w:rFonts w:ascii="Calibri Light" w:hAnsi="Calibri Light" w:cs="Calibri Light"/>
                <w:color w:val="000000"/>
                <w:sz w:val="18"/>
                <w:szCs w:val="18"/>
                <w:lang w:val="es-CR" w:eastAsia="es-CR"/>
              </w:rPr>
            </w:pPr>
            <w:r w:rsidRPr="0023319B">
              <w:rPr>
                <w:rFonts w:ascii="Calibri Light" w:hAnsi="Calibri Light" w:cs="Calibri Light"/>
                <w:color w:val="000000"/>
                <w:sz w:val="18"/>
                <w:szCs w:val="18"/>
                <w:lang w:val="es-CR" w:eastAsia="es-CR"/>
              </w:rPr>
              <w:t xml:space="preserve">509 394 </w:t>
            </w:r>
          </w:p>
        </w:tc>
      </w:tr>
      <w:tr w:rsidR="00C04E40" w:rsidRPr="0023319B" w14:paraId="4F6438FD" w14:textId="77777777" w:rsidTr="00BD2A28">
        <w:trPr>
          <w:trHeight w:val="410"/>
        </w:trPr>
        <w:tc>
          <w:tcPr>
            <w:tcW w:w="1192" w:type="dxa"/>
            <w:tcBorders>
              <w:top w:val="nil"/>
              <w:left w:val="single" w:sz="4" w:space="0" w:color="auto"/>
              <w:bottom w:val="single" w:sz="4" w:space="0" w:color="auto"/>
              <w:right w:val="single" w:sz="4" w:space="0" w:color="auto"/>
            </w:tcBorders>
            <w:shd w:val="clear" w:color="auto" w:fill="auto"/>
            <w:vAlign w:val="center"/>
            <w:hideMark/>
          </w:tcPr>
          <w:p w14:paraId="5534CA2A" w14:textId="77777777" w:rsidR="00C04E40" w:rsidRPr="0023319B" w:rsidRDefault="00C04E40" w:rsidP="00BD2A28">
            <w:pPr>
              <w:spacing w:line="240" w:lineRule="auto"/>
              <w:jc w:val="center"/>
              <w:rPr>
                <w:rFonts w:ascii="Calibri Light" w:hAnsi="Calibri Light" w:cs="Calibri Light"/>
                <w:color w:val="000000"/>
                <w:sz w:val="18"/>
                <w:szCs w:val="18"/>
                <w:lang w:val="es-CR" w:eastAsia="es-CR"/>
              </w:rPr>
            </w:pPr>
            <w:r w:rsidRPr="0023319B">
              <w:rPr>
                <w:rFonts w:ascii="Calibri Light" w:hAnsi="Calibri Light" w:cs="Calibri Light"/>
                <w:color w:val="000000"/>
                <w:sz w:val="18"/>
                <w:szCs w:val="18"/>
                <w:lang w:val="es-CR" w:eastAsia="es-CR"/>
              </w:rPr>
              <w:t>2</w:t>
            </w:r>
          </w:p>
        </w:tc>
        <w:tc>
          <w:tcPr>
            <w:tcW w:w="5324" w:type="dxa"/>
            <w:tcBorders>
              <w:top w:val="nil"/>
              <w:left w:val="nil"/>
              <w:bottom w:val="single" w:sz="4" w:space="0" w:color="auto"/>
              <w:right w:val="single" w:sz="4" w:space="0" w:color="auto"/>
            </w:tcBorders>
            <w:shd w:val="clear" w:color="auto" w:fill="auto"/>
            <w:vAlign w:val="center"/>
            <w:hideMark/>
          </w:tcPr>
          <w:p w14:paraId="653C9F72" w14:textId="77777777" w:rsidR="00C04E40" w:rsidRPr="0023319B" w:rsidRDefault="00C04E40" w:rsidP="00BD2A28">
            <w:pPr>
              <w:spacing w:line="240" w:lineRule="auto"/>
              <w:rPr>
                <w:rFonts w:ascii="Calibri Light" w:hAnsi="Calibri Light" w:cs="Calibri Light"/>
                <w:color w:val="000000"/>
                <w:sz w:val="18"/>
                <w:szCs w:val="18"/>
                <w:lang w:val="es-CR" w:eastAsia="es-CR"/>
              </w:rPr>
            </w:pPr>
            <w:r w:rsidRPr="0023319B">
              <w:rPr>
                <w:rFonts w:ascii="Calibri Light" w:hAnsi="Calibri Light" w:cs="Calibri Light"/>
                <w:color w:val="000000"/>
                <w:sz w:val="18"/>
                <w:szCs w:val="18"/>
                <w:lang w:val="es-CR" w:eastAsia="es-CR"/>
              </w:rPr>
              <w:t>6° Congreso de Prevención de Lavado de Activos y Financiamiento al Terrorismo - ABCPLAT 2020</w:t>
            </w:r>
          </w:p>
        </w:tc>
        <w:tc>
          <w:tcPr>
            <w:tcW w:w="1276" w:type="dxa"/>
            <w:tcBorders>
              <w:top w:val="nil"/>
              <w:left w:val="nil"/>
              <w:bottom w:val="single" w:sz="4" w:space="0" w:color="auto"/>
              <w:right w:val="single" w:sz="4" w:space="0" w:color="auto"/>
            </w:tcBorders>
            <w:shd w:val="clear" w:color="auto" w:fill="auto"/>
            <w:vAlign w:val="center"/>
            <w:hideMark/>
          </w:tcPr>
          <w:p w14:paraId="61BDD1B9" w14:textId="77777777" w:rsidR="00C04E40" w:rsidRPr="0023319B" w:rsidRDefault="00C04E40" w:rsidP="00BD2A28">
            <w:pPr>
              <w:spacing w:line="240" w:lineRule="auto"/>
              <w:jc w:val="center"/>
              <w:rPr>
                <w:rFonts w:ascii="Calibri Light" w:hAnsi="Calibri Light" w:cs="Calibri Light"/>
                <w:color w:val="000000"/>
                <w:sz w:val="18"/>
                <w:szCs w:val="18"/>
                <w:lang w:val="es-CR" w:eastAsia="es-CR"/>
              </w:rPr>
            </w:pPr>
            <w:r w:rsidRPr="0023319B">
              <w:rPr>
                <w:rFonts w:ascii="Calibri Light" w:hAnsi="Calibri Light" w:cs="Calibri Light"/>
                <w:color w:val="000000"/>
                <w:sz w:val="18"/>
                <w:szCs w:val="18"/>
                <w:lang w:val="es-CR" w:eastAsia="es-CR"/>
              </w:rPr>
              <w:t>9-nov-2020</w:t>
            </w:r>
          </w:p>
        </w:tc>
        <w:tc>
          <w:tcPr>
            <w:tcW w:w="1418" w:type="dxa"/>
            <w:tcBorders>
              <w:top w:val="nil"/>
              <w:left w:val="nil"/>
              <w:bottom w:val="single" w:sz="4" w:space="0" w:color="auto"/>
              <w:right w:val="single" w:sz="4" w:space="0" w:color="auto"/>
            </w:tcBorders>
            <w:shd w:val="clear" w:color="auto" w:fill="auto"/>
            <w:noWrap/>
            <w:vAlign w:val="center"/>
            <w:hideMark/>
          </w:tcPr>
          <w:p w14:paraId="4A2382F8" w14:textId="25BDE392" w:rsidR="00C04E40" w:rsidRPr="0023319B" w:rsidRDefault="00C04E40" w:rsidP="00BD2A28">
            <w:pPr>
              <w:spacing w:line="240" w:lineRule="auto"/>
              <w:jc w:val="right"/>
              <w:rPr>
                <w:rFonts w:ascii="Calibri Light" w:hAnsi="Calibri Light" w:cs="Calibri Light"/>
                <w:color w:val="000000"/>
                <w:sz w:val="18"/>
                <w:szCs w:val="18"/>
                <w:lang w:val="es-CR" w:eastAsia="es-CR"/>
              </w:rPr>
            </w:pPr>
            <w:r w:rsidRPr="0023319B">
              <w:rPr>
                <w:rFonts w:ascii="Calibri Light" w:hAnsi="Calibri Light" w:cs="Calibri Light"/>
                <w:color w:val="000000"/>
                <w:sz w:val="18"/>
                <w:szCs w:val="18"/>
                <w:lang w:val="es-CR" w:eastAsia="es-CR"/>
              </w:rPr>
              <w:t xml:space="preserve">438 521 </w:t>
            </w:r>
          </w:p>
        </w:tc>
      </w:tr>
      <w:tr w:rsidR="00C04E40" w:rsidRPr="0023319B" w14:paraId="17B98F72" w14:textId="77777777" w:rsidTr="00BD2A28">
        <w:trPr>
          <w:trHeight w:val="310"/>
        </w:trPr>
        <w:tc>
          <w:tcPr>
            <w:tcW w:w="1192" w:type="dxa"/>
            <w:tcBorders>
              <w:top w:val="nil"/>
              <w:left w:val="single" w:sz="4" w:space="0" w:color="auto"/>
              <w:bottom w:val="single" w:sz="4" w:space="0" w:color="auto"/>
              <w:right w:val="single" w:sz="4" w:space="0" w:color="auto"/>
            </w:tcBorders>
            <w:shd w:val="clear" w:color="auto" w:fill="auto"/>
            <w:vAlign w:val="center"/>
            <w:hideMark/>
          </w:tcPr>
          <w:p w14:paraId="52EB1408" w14:textId="77777777" w:rsidR="00C04E40" w:rsidRPr="0023319B" w:rsidRDefault="00C04E40" w:rsidP="00BD2A28">
            <w:pPr>
              <w:spacing w:line="240" w:lineRule="auto"/>
              <w:jc w:val="center"/>
              <w:rPr>
                <w:rFonts w:ascii="Calibri Light" w:hAnsi="Calibri Light" w:cs="Calibri Light"/>
                <w:color w:val="000000"/>
                <w:sz w:val="18"/>
                <w:szCs w:val="18"/>
                <w:lang w:val="es-CR" w:eastAsia="es-CR"/>
              </w:rPr>
            </w:pPr>
            <w:r w:rsidRPr="0023319B">
              <w:rPr>
                <w:rFonts w:ascii="Calibri Light" w:hAnsi="Calibri Light" w:cs="Calibri Light"/>
                <w:color w:val="000000"/>
                <w:sz w:val="18"/>
                <w:szCs w:val="18"/>
                <w:lang w:val="es-CR" w:eastAsia="es-CR"/>
              </w:rPr>
              <w:t>1</w:t>
            </w:r>
          </w:p>
        </w:tc>
        <w:tc>
          <w:tcPr>
            <w:tcW w:w="5324" w:type="dxa"/>
            <w:tcBorders>
              <w:top w:val="nil"/>
              <w:left w:val="nil"/>
              <w:bottom w:val="single" w:sz="4" w:space="0" w:color="auto"/>
              <w:right w:val="single" w:sz="4" w:space="0" w:color="auto"/>
            </w:tcBorders>
            <w:shd w:val="clear" w:color="auto" w:fill="auto"/>
            <w:vAlign w:val="center"/>
            <w:hideMark/>
          </w:tcPr>
          <w:p w14:paraId="1F6C53BF" w14:textId="77777777" w:rsidR="00C04E40" w:rsidRPr="0023319B" w:rsidRDefault="00C04E40" w:rsidP="00BD2A28">
            <w:pPr>
              <w:spacing w:line="240" w:lineRule="auto"/>
              <w:rPr>
                <w:rFonts w:ascii="Calibri Light" w:hAnsi="Calibri Light" w:cs="Calibri Light"/>
                <w:color w:val="000000"/>
                <w:sz w:val="18"/>
                <w:szCs w:val="18"/>
                <w:lang w:val="es-CR" w:eastAsia="es-CR"/>
              </w:rPr>
            </w:pPr>
            <w:r w:rsidRPr="0023319B">
              <w:rPr>
                <w:rFonts w:ascii="Calibri Light" w:hAnsi="Calibri Light" w:cs="Calibri Light"/>
                <w:color w:val="000000"/>
                <w:sz w:val="18"/>
                <w:szCs w:val="18"/>
                <w:lang w:val="es-CR" w:eastAsia="es-CR"/>
              </w:rPr>
              <w:t>Gestión del riesgo para un sistema de gestión</w:t>
            </w:r>
          </w:p>
        </w:tc>
        <w:tc>
          <w:tcPr>
            <w:tcW w:w="1276" w:type="dxa"/>
            <w:tcBorders>
              <w:top w:val="nil"/>
              <w:left w:val="nil"/>
              <w:bottom w:val="single" w:sz="4" w:space="0" w:color="auto"/>
              <w:right w:val="single" w:sz="4" w:space="0" w:color="auto"/>
            </w:tcBorders>
            <w:shd w:val="clear" w:color="auto" w:fill="auto"/>
            <w:vAlign w:val="center"/>
            <w:hideMark/>
          </w:tcPr>
          <w:p w14:paraId="19D57BE3" w14:textId="77777777" w:rsidR="00C04E40" w:rsidRPr="0023319B" w:rsidRDefault="00C04E40" w:rsidP="00BD2A28">
            <w:pPr>
              <w:spacing w:line="240" w:lineRule="auto"/>
              <w:jc w:val="center"/>
              <w:rPr>
                <w:rFonts w:ascii="Calibri Light" w:hAnsi="Calibri Light" w:cs="Calibri Light"/>
                <w:color w:val="000000"/>
                <w:sz w:val="18"/>
                <w:szCs w:val="18"/>
                <w:lang w:val="es-CR" w:eastAsia="es-CR"/>
              </w:rPr>
            </w:pPr>
            <w:r w:rsidRPr="0023319B">
              <w:rPr>
                <w:rFonts w:ascii="Calibri Light" w:hAnsi="Calibri Light" w:cs="Calibri Light"/>
                <w:color w:val="000000"/>
                <w:sz w:val="18"/>
                <w:szCs w:val="18"/>
                <w:lang w:val="es-CR" w:eastAsia="es-CR"/>
              </w:rPr>
              <w:t>7-nov-2020</w:t>
            </w:r>
          </w:p>
        </w:tc>
        <w:tc>
          <w:tcPr>
            <w:tcW w:w="1418" w:type="dxa"/>
            <w:tcBorders>
              <w:top w:val="nil"/>
              <w:left w:val="nil"/>
              <w:bottom w:val="single" w:sz="4" w:space="0" w:color="auto"/>
              <w:right w:val="single" w:sz="4" w:space="0" w:color="auto"/>
            </w:tcBorders>
            <w:shd w:val="clear" w:color="auto" w:fill="auto"/>
            <w:noWrap/>
            <w:vAlign w:val="center"/>
            <w:hideMark/>
          </w:tcPr>
          <w:p w14:paraId="2DFE8177" w14:textId="00D01A5B" w:rsidR="00C04E40" w:rsidRPr="0023319B" w:rsidRDefault="00C04E40" w:rsidP="00BD2A28">
            <w:pPr>
              <w:spacing w:line="240" w:lineRule="auto"/>
              <w:jc w:val="right"/>
              <w:rPr>
                <w:rFonts w:ascii="Calibri Light" w:hAnsi="Calibri Light" w:cs="Calibri Light"/>
                <w:color w:val="000000"/>
                <w:sz w:val="18"/>
                <w:szCs w:val="18"/>
                <w:lang w:val="es-CR" w:eastAsia="es-CR"/>
              </w:rPr>
            </w:pPr>
            <w:r w:rsidRPr="0023319B">
              <w:rPr>
                <w:rFonts w:ascii="Calibri Light" w:hAnsi="Calibri Light" w:cs="Calibri Light"/>
                <w:color w:val="000000"/>
                <w:sz w:val="18"/>
                <w:szCs w:val="18"/>
                <w:lang w:val="es-CR" w:eastAsia="es-CR"/>
              </w:rPr>
              <w:t xml:space="preserve">217 738 </w:t>
            </w:r>
          </w:p>
        </w:tc>
      </w:tr>
      <w:tr w:rsidR="00C04E40" w:rsidRPr="0023319B" w14:paraId="17359C76" w14:textId="77777777" w:rsidTr="00BD2A28">
        <w:trPr>
          <w:trHeight w:val="634"/>
        </w:trPr>
        <w:tc>
          <w:tcPr>
            <w:tcW w:w="1192" w:type="dxa"/>
            <w:tcBorders>
              <w:top w:val="nil"/>
              <w:left w:val="single" w:sz="4" w:space="0" w:color="auto"/>
              <w:bottom w:val="single" w:sz="4" w:space="0" w:color="auto"/>
              <w:right w:val="single" w:sz="4" w:space="0" w:color="auto"/>
            </w:tcBorders>
            <w:shd w:val="clear" w:color="auto" w:fill="auto"/>
            <w:vAlign w:val="center"/>
            <w:hideMark/>
          </w:tcPr>
          <w:p w14:paraId="44C0BA64" w14:textId="77777777" w:rsidR="00C04E40" w:rsidRPr="0023319B" w:rsidRDefault="00C04E40" w:rsidP="00BD2A28">
            <w:pPr>
              <w:spacing w:line="240" w:lineRule="auto"/>
              <w:jc w:val="center"/>
              <w:rPr>
                <w:rFonts w:ascii="Calibri Light" w:hAnsi="Calibri Light" w:cs="Calibri Light"/>
                <w:color w:val="000000"/>
                <w:sz w:val="18"/>
                <w:szCs w:val="18"/>
                <w:lang w:val="es-CR" w:eastAsia="es-CR"/>
              </w:rPr>
            </w:pPr>
            <w:r w:rsidRPr="0023319B">
              <w:rPr>
                <w:rFonts w:ascii="Calibri Light" w:hAnsi="Calibri Light" w:cs="Calibri Light"/>
                <w:color w:val="000000"/>
                <w:sz w:val="18"/>
                <w:szCs w:val="18"/>
                <w:lang w:val="es-CR" w:eastAsia="es-CR"/>
              </w:rPr>
              <w:t>3</w:t>
            </w:r>
          </w:p>
        </w:tc>
        <w:tc>
          <w:tcPr>
            <w:tcW w:w="5324" w:type="dxa"/>
            <w:tcBorders>
              <w:top w:val="nil"/>
              <w:left w:val="nil"/>
              <w:bottom w:val="single" w:sz="4" w:space="0" w:color="auto"/>
              <w:right w:val="single" w:sz="4" w:space="0" w:color="auto"/>
            </w:tcBorders>
            <w:shd w:val="clear" w:color="auto" w:fill="auto"/>
            <w:vAlign w:val="center"/>
            <w:hideMark/>
          </w:tcPr>
          <w:p w14:paraId="30BB6E16" w14:textId="77777777" w:rsidR="00C04E40" w:rsidRPr="0023319B" w:rsidRDefault="00C04E40" w:rsidP="00BD2A28">
            <w:pPr>
              <w:spacing w:line="240" w:lineRule="auto"/>
              <w:rPr>
                <w:rFonts w:ascii="Calibri Light" w:hAnsi="Calibri Light" w:cs="Calibri Light"/>
                <w:color w:val="000000"/>
                <w:sz w:val="18"/>
                <w:szCs w:val="18"/>
                <w:lang w:val="es-CR" w:eastAsia="es-CR"/>
              </w:rPr>
            </w:pPr>
            <w:r w:rsidRPr="0023319B">
              <w:rPr>
                <w:rFonts w:ascii="Calibri Light" w:hAnsi="Calibri Light" w:cs="Calibri Light"/>
                <w:color w:val="000000"/>
                <w:sz w:val="18"/>
                <w:szCs w:val="18"/>
                <w:lang w:val="es-CR" w:eastAsia="es-CR"/>
              </w:rPr>
              <w:t>¿Cómo auditar exitosamente el riesgo de legitimación de capitales y financiamiento al terrorismo?</w:t>
            </w:r>
          </w:p>
        </w:tc>
        <w:tc>
          <w:tcPr>
            <w:tcW w:w="1276" w:type="dxa"/>
            <w:tcBorders>
              <w:top w:val="nil"/>
              <w:left w:val="nil"/>
              <w:bottom w:val="single" w:sz="4" w:space="0" w:color="auto"/>
              <w:right w:val="single" w:sz="4" w:space="0" w:color="auto"/>
            </w:tcBorders>
            <w:shd w:val="clear" w:color="auto" w:fill="auto"/>
            <w:vAlign w:val="center"/>
            <w:hideMark/>
          </w:tcPr>
          <w:p w14:paraId="217B2114" w14:textId="77777777" w:rsidR="00C04E40" w:rsidRPr="0023319B" w:rsidRDefault="00C04E40" w:rsidP="00BD2A28">
            <w:pPr>
              <w:spacing w:line="240" w:lineRule="auto"/>
              <w:jc w:val="center"/>
              <w:rPr>
                <w:rFonts w:ascii="Calibri Light" w:hAnsi="Calibri Light" w:cs="Calibri Light"/>
                <w:color w:val="000000"/>
                <w:sz w:val="18"/>
                <w:szCs w:val="18"/>
                <w:lang w:val="es-CR" w:eastAsia="es-CR"/>
              </w:rPr>
            </w:pPr>
            <w:r w:rsidRPr="0023319B">
              <w:rPr>
                <w:rFonts w:ascii="Calibri Light" w:hAnsi="Calibri Light" w:cs="Calibri Light"/>
                <w:color w:val="000000"/>
                <w:sz w:val="18"/>
                <w:szCs w:val="18"/>
                <w:lang w:val="es-CR" w:eastAsia="es-CR"/>
              </w:rPr>
              <w:t>6-nov-2020</w:t>
            </w:r>
          </w:p>
        </w:tc>
        <w:tc>
          <w:tcPr>
            <w:tcW w:w="1418" w:type="dxa"/>
            <w:tcBorders>
              <w:top w:val="nil"/>
              <w:left w:val="nil"/>
              <w:bottom w:val="single" w:sz="4" w:space="0" w:color="auto"/>
              <w:right w:val="single" w:sz="4" w:space="0" w:color="auto"/>
            </w:tcBorders>
            <w:shd w:val="clear" w:color="auto" w:fill="auto"/>
            <w:noWrap/>
            <w:vAlign w:val="center"/>
            <w:hideMark/>
          </w:tcPr>
          <w:p w14:paraId="0BB0C300" w14:textId="4A8FBF05" w:rsidR="00C04E40" w:rsidRPr="0023319B" w:rsidRDefault="00C04E40" w:rsidP="00BD2A28">
            <w:pPr>
              <w:spacing w:line="240" w:lineRule="auto"/>
              <w:jc w:val="right"/>
              <w:rPr>
                <w:rFonts w:ascii="Calibri Light" w:hAnsi="Calibri Light" w:cs="Calibri Light"/>
                <w:color w:val="000000"/>
                <w:sz w:val="18"/>
                <w:szCs w:val="18"/>
                <w:lang w:val="es-CR" w:eastAsia="es-CR"/>
              </w:rPr>
            </w:pPr>
            <w:r w:rsidRPr="0023319B">
              <w:rPr>
                <w:rFonts w:ascii="Calibri Light" w:hAnsi="Calibri Light" w:cs="Calibri Light"/>
                <w:color w:val="000000"/>
                <w:sz w:val="18"/>
                <w:szCs w:val="18"/>
                <w:lang w:val="es-CR" w:eastAsia="es-CR"/>
              </w:rPr>
              <w:t xml:space="preserve">180 540 </w:t>
            </w:r>
          </w:p>
        </w:tc>
      </w:tr>
      <w:tr w:rsidR="00C04E40" w:rsidRPr="0023319B" w14:paraId="12AFE364" w14:textId="77777777" w:rsidTr="00BD2A28">
        <w:trPr>
          <w:trHeight w:val="310"/>
        </w:trPr>
        <w:tc>
          <w:tcPr>
            <w:tcW w:w="1192" w:type="dxa"/>
            <w:tcBorders>
              <w:top w:val="nil"/>
              <w:left w:val="single" w:sz="4" w:space="0" w:color="auto"/>
              <w:bottom w:val="single" w:sz="4" w:space="0" w:color="auto"/>
              <w:right w:val="single" w:sz="4" w:space="0" w:color="auto"/>
            </w:tcBorders>
            <w:shd w:val="clear" w:color="auto" w:fill="auto"/>
            <w:vAlign w:val="center"/>
            <w:hideMark/>
          </w:tcPr>
          <w:p w14:paraId="7EC01CF3" w14:textId="77777777" w:rsidR="00C04E40" w:rsidRPr="0023319B" w:rsidRDefault="00C04E40" w:rsidP="00BD2A28">
            <w:pPr>
              <w:spacing w:line="240" w:lineRule="auto"/>
              <w:jc w:val="center"/>
              <w:rPr>
                <w:rFonts w:ascii="Calibri Light" w:hAnsi="Calibri Light" w:cs="Calibri Light"/>
                <w:color w:val="000000"/>
                <w:sz w:val="18"/>
                <w:szCs w:val="18"/>
                <w:lang w:val="es-CR" w:eastAsia="es-CR"/>
              </w:rPr>
            </w:pPr>
            <w:r w:rsidRPr="0023319B">
              <w:rPr>
                <w:rFonts w:ascii="Calibri Light" w:hAnsi="Calibri Light" w:cs="Calibri Light"/>
                <w:color w:val="000000"/>
                <w:sz w:val="18"/>
                <w:szCs w:val="18"/>
                <w:lang w:val="es-CR" w:eastAsia="es-CR"/>
              </w:rPr>
              <w:t>1</w:t>
            </w:r>
          </w:p>
        </w:tc>
        <w:tc>
          <w:tcPr>
            <w:tcW w:w="5324" w:type="dxa"/>
            <w:tcBorders>
              <w:top w:val="nil"/>
              <w:left w:val="nil"/>
              <w:bottom w:val="single" w:sz="4" w:space="0" w:color="auto"/>
              <w:right w:val="single" w:sz="4" w:space="0" w:color="auto"/>
            </w:tcBorders>
            <w:shd w:val="clear" w:color="auto" w:fill="auto"/>
            <w:vAlign w:val="center"/>
            <w:hideMark/>
          </w:tcPr>
          <w:p w14:paraId="2B239E6C" w14:textId="77777777" w:rsidR="00C04E40" w:rsidRPr="0023319B" w:rsidRDefault="00C04E40" w:rsidP="00BD2A28">
            <w:pPr>
              <w:spacing w:line="240" w:lineRule="auto"/>
              <w:rPr>
                <w:rFonts w:ascii="Calibri Light" w:hAnsi="Calibri Light" w:cs="Calibri Light"/>
                <w:color w:val="000000"/>
                <w:sz w:val="18"/>
                <w:szCs w:val="18"/>
                <w:lang w:val="es-CR" w:eastAsia="es-CR"/>
              </w:rPr>
            </w:pPr>
            <w:r w:rsidRPr="0023319B">
              <w:rPr>
                <w:rFonts w:ascii="Calibri Light" w:hAnsi="Calibri Light" w:cs="Calibri Light"/>
                <w:color w:val="000000"/>
                <w:sz w:val="18"/>
                <w:szCs w:val="18"/>
                <w:lang w:val="es-CR" w:eastAsia="es-CR"/>
              </w:rPr>
              <w:t>Curso virtual Excel Intensivo</w:t>
            </w:r>
          </w:p>
        </w:tc>
        <w:tc>
          <w:tcPr>
            <w:tcW w:w="1276" w:type="dxa"/>
            <w:tcBorders>
              <w:top w:val="nil"/>
              <w:left w:val="nil"/>
              <w:bottom w:val="single" w:sz="4" w:space="0" w:color="auto"/>
              <w:right w:val="single" w:sz="4" w:space="0" w:color="auto"/>
            </w:tcBorders>
            <w:shd w:val="clear" w:color="auto" w:fill="auto"/>
            <w:vAlign w:val="center"/>
            <w:hideMark/>
          </w:tcPr>
          <w:p w14:paraId="108170BA" w14:textId="77777777" w:rsidR="00C04E40" w:rsidRPr="0023319B" w:rsidRDefault="00C04E40" w:rsidP="00BD2A28">
            <w:pPr>
              <w:spacing w:line="240" w:lineRule="auto"/>
              <w:jc w:val="center"/>
              <w:rPr>
                <w:rFonts w:ascii="Calibri Light" w:hAnsi="Calibri Light" w:cs="Calibri Light"/>
                <w:color w:val="000000"/>
                <w:sz w:val="18"/>
                <w:szCs w:val="18"/>
                <w:lang w:val="es-CR" w:eastAsia="es-CR"/>
              </w:rPr>
            </w:pPr>
            <w:r w:rsidRPr="0023319B">
              <w:rPr>
                <w:rFonts w:ascii="Calibri Light" w:hAnsi="Calibri Light" w:cs="Calibri Light"/>
                <w:color w:val="000000"/>
                <w:sz w:val="18"/>
                <w:szCs w:val="18"/>
                <w:lang w:val="es-CR" w:eastAsia="es-CR"/>
              </w:rPr>
              <w:t>31-oct-2020</w:t>
            </w:r>
          </w:p>
        </w:tc>
        <w:tc>
          <w:tcPr>
            <w:tcW w:w="1418" w:type="dxa"/>
            <w:tcBorders>
              <w:top w:val="nil"/>
              <w:left w:val="nil"/>
              <w:bottom w:val="single" w:sz="4" w:space="0" w:color="auto"/>
              <w:right w:val="single" w:sz="4" w:space="0" w:color="auto"/>
            </w:tcBorders>
            <w:shd w:val="clear" w:color="auto" w:fill="auto"/>
            <w:noWrap/>
            <w:vAlign w:val="center"/>
            <w:hideMark/>
          </w:tcPr>
          <w:p w14:paraId="50CE3ABA" w14:textId="079FF1DF" w:rsidR="00C04E40" w:rsidRPr="0023319B" w:rsidRDefault="00C04E40" w:rsidP="00BD2A28">
            <w:pPr>
              <w:spacing w:line="240" w:lineRule="auto"/>
              <w:jc w:val="right"/>
              <w:rPr>
                <w:rFonts w:ascii="Calibri Light" w:hAnsi="Calibri Light" w:cs="Calibri Light"/>
                <w:color w:val="000000"/>
                <w:sz w:val="18"/>
                <w:szCs w:val="18"/>
                <w:lang w:val="es-CR" w:eastAsia="es-CR"/>
              </w:rPr>
            </w:pPr>
            <w:r w:rsidRPr="0023319B">
              <w:rPr>
                <w:rFonts w:ascii="Calibri Light" w:hAnsi="Calibri Light" w:cs="Calibri Light"/>
                <w:color w:val="000000"/>
                <w:sz w:val="18"/>
                <w:szCs w:val="18"/>
                <w:lang w:val="es-CR" w:eastAsia="es-CR"/>
              </w:rPr>
              <w:t xml:space="preserve">  61 200 </w:t>
            </w:r>
          </w:p>
        </w:tc>
      </w:tr>
      <w:tr w:rsidR="00C04E40" w:rsidRPr="0023319B" w14:paraId="2F68AF5C" w14:textId="77777777" w:rsidTr="00BD2A28">
        <w:trPr>
          <w:trHeight w:val="310"/>
        </w:trPr>
        <w:tc>
          <w:tcPr>
            <w:tcW w:w="1192" w:type="dxa"/>
            <w:tcBorders>
              <w:top w:val="nil"/>
              <w:left w:val="single" w:sz="4" w:space="0" w:color="auto"/>
              <w:bottom w:val="single" w:sz="4" w:space="0" w:color="auto"/>
              <w:right w:val="single" w:sz="4" w:space="0" w:color="auto"/>
            </w:tcBorders>
            <w:shd w:val="clear" w:color="auto" w:fill="auto"/>
            <w:vAlign w:val="center"/>
            <w:hideMark/>
          </w:tcPr>
          <w:p w14:paraId="00B32370" w14:textId="77777777" w:rsidR="00C04E40" w:rsidRPr="0023319B" w:rsidRDefault="00C04E40" w:rsidP="00BD2A28">
            <w:pPr>
              <w:spacing w:line="240" w:lineRule="auto"/>
              <w:jc w:val="center"/>
              <w:rPr>
                <w:rFonts w:ascii="Calibri Light" w:hAnsi="Calibri Light" w:cs="Calibri Light"/>
                <w:color w:val="000000"/>
                <w:sz w:val="18"/>
                <w:szCs w:val="18"/>
                <w:lang w:val="es-CR" w:eastAsia="es-CR"/>
              </w:rPr>
            </w:pPr>
            <w:r w:rsidRPr="0023319B">
              <w:rPr>
                <w:rFonts w:ascii="Calibri Light" w:hAnsi="Calibri Light" w:cs="Calibri Light"/>
                <w:color w:val="000000"/>
                <w:sz w:val="18"/>
                <w:szCs w:val="18"/>
                <w:lang w:val="es-CR" w:eastAsia="es-CR"/>
              </w:rPr>
              <w:t>1</w:t>
            </w:r>
          </w:p>
        </w:tc>
        <w:tc>
          <w:tcPr>
            <w:tcW w:w="5324" w:type="dxa"/>
            <w:tcBorders>
              <w:top w:val="nil"/>
              <w:left w:val="nil"/>
              <w:bottom w:val="single" w:sz="4" w:space="0" w:color="auto"/>
              <w:right w:val="single" w:sz="4" w:space="0" w:color="auto"/>
            </w:tcBorders>
            <w:shd w:val="clear" w:color="auto" w:fill="auto"/>
            <w:vAlign w:val="center"/>
            <w:hideMark/>
          </w:tcPr>
          <w:p w14:paraId="73632453" w14:textId="77777777" w:rsidR="00C04E40" w:rsidRPr="0023319B" w:rsidRDefault="00C04E40" w:rsidP="00BD2A28">
            <w:pPr>
              <w:spacing w:line="240" w:lineRule="auto"/>
              <w:rPr>
                <w:rFonts w:ascii="Calibri Light" w:hAnsi="Calibri Light" w:cs="Calibri Light"/>
                <w:color w:val="000000"/>
                <w:sz w:val="18"/>
                <w:szCs w:val="18"/>
                <w:lang w:val="es-CR" w:eastAsia="es-CR"/>
              </w:rPr>
            </w:pPr>
            <w:r w:rsidRPr="0023319B">
              <w:rPr>
                <w:rFonts w:ascii="Calibri Light" w:hAnsi="Calibri Light" w:cs="Calibri Light"/>
                <w:color w:val="000000"/>
                <w:sz w:val="18"/>
                <w:szCs w:val="18"/>
                <w:lang w:val="es-CR" w:eastAsia="es-CR"/>
              </w:rPr>
              <w:t>Curso virtual Fideicomisos de obra pública</w:t>
            </w:r>
          </w:p>
        </w:tc>
        <w:tc>
          <w:tcPr>
            <w:tcW w:w="1276" w:type="dxa"/>
            <w:tcBorders>
              <w:top w:val="nil"/>
              <w:left w:val="nil"/>
              <w:bottom w:val="single" w:sz="4" w:space="0" w:color="auto"/>
              <w:right w:val="single" w:sz="4" w:space="0" w:color="auto"/>
            </w:tcBorders>
            <w:shd w:val="clear" w:color="auto" w:fill="auto"/>
            <w:vAlign w:val="center"/>
            <w:hideMark/>
          </w:tcPr>
          <w:p w14:paraId="3D757D8A" w14:textId="77777777" w:rsidR="00C04E40" w:rsidRPr="0023319B" w:rsidRDefault="00C04E40" w:rsidP="00BD2A28">
            <w:pPr>
              <w:spacing w:line="240" w:lineRule="auto"/>
              <w:jc w:val="center"/>
              <w:rPr>
                <w:rFonts w:ascii="Calibri Light" w:hAnsi="Calibri Light" w:cs="Calibri Light"/>
                <w:color w:val="000000"/>
                <w:sz w:val="18"/>
                <w:szCs w:val="18"/>
                <w:lang w:val="es-CR" w:eastAsia="es-CR"/>
              </w:rPr>
            </w:pPr>
            <w:r w:rsidRPr="0023319B">
              <w:rPr>
                <w:rFonts w:ascii="Calibri Light" w:hAnsi="Calibri Light" w:cs="Calibri Light"/>
                <w:color w:val="000000"/>
                <w:sz w:val="18"/>
                <w:szCs w:val="18"/>
                <w:lang w:val="es-CR" w:eastAsia="es-CR"/>
              </w:rPr>
              <w:t>21-oct-2020</w:t>
            </w:r>
          </w:p>
        </w:tc>
        <w:tc>
          <w:tcPr>
            <w:tcW w:w="1418" w:type="dxa"/>
            <w:tcBorders>
              <w:top w:val="nil"/>
              <w:left w:val="nil"/>
              <w:bottom w:val="single" w:sz="4" w:space="0" w:color="auto"/>
              <w:right w:val="single" w:sz="4" w:space="0" w:color="auto"/>
            </w:tcBorders>
            <w:shd w:val="clear" w:color="auto" w:fill="auto"/>
            <w:noWrap/>
            <w:vAlign w:val="center"/>
            <w:hideMark/>
          </w:tcPr>
          <w:p w14:paraId="5F5DE009" w14:textId="1E0EA8CB" w:rsidR="00C04E40" w:rsidRPr="0023319B" w:rsidRDefault="00C04E40" w:rsidP="00BD2A28">
            <w:pPr>
              <w:spacing w:line="240" w:lineRule="auto"/>
              <w:jc w:val="right"/>
              <w:rPr>
                <w:rFonts w:ascii="Calibri Light" w:hAnsi="Calibri Light" w:cs="Calibri Light"/>
                <w:color w:val="000000"/>
                <w:sz w:val="18"/>
                <w:szCs w:val="18"/>
                <w:lang w:val="es-CR" w:eastAsia="es-CR"/>
              </w:rPr>
            </w:pPr>
            <w:r w:rsidRPr="0023319B">
              <w:rPr>
                <w:rFonts w:ascii="Calibri Light" w:hAnsi="Calibri Light" w:cs="Calibri Light"/>
                <w:color w:val="000000"/>
                <w:sz w:val="18"/>
                <w:szCs w:val="18"/>
                <w:lang w:val="es-CR" w:eastAsia="es-CR"/>
              </w:rPr>
              <w:t xml:space="preserve">  45 900 </w:t>
            </w:r>
          </w:p>
        </w:tc>
      </w:tr>
      <w:tr w:rsidR="00C04E40" w:rsidRPr="0023319B" w14:paraId="44D81D86" w14:textId="77777777" w:rsidTr="00BD2A28">
        <w:trPr>
          <w:trHeight w:val="310"/>
        </w:trPr>
        <w:tc>
          <w:tcPr>
            <w:tcW w:w="1192" w:type="dxa"/>
            <w:tcBorders>
              <w:top w:val="nil"/>
              <w:left w:val="single" w:sz="4" w:space="0" w:color="auto"/>
              <w:bottom w:val="single" w:sz="4" w:space="0" w:color="auto"/>
              <w:right w:val="single" w:sz="4" w:space="0" w:color="auto"/>
            </w:tcBorders>
            <w:shd w:val="clear" w:color="auto" w:fill="auto"/>
            <w:vAlign w:val="center"/>
            <w:hideMark/>
          </w:tcPr>
          <w:p w14:paraId="5E1C1A16" w14:textId="77777777" w:rsidR="00C04E40" w:rsidRPr="0023319B" w:rsidRDefault="00C04E40" w:rsidP="00BD2A28">
            <w:pPr>
              <w:spacing w:line="240" w:lineRule="auto"/>
              <w:jc w:val="center"/>
              <w:rPr>
                <w:rFonts w:ascii="Calibri Light" w:hAnsi="Calibri Light" w:cs="Calibri Light"/>
                <w:color w:val="000000"/>
                <w:sz w:val="18"/>
                <w:szCs w:val="18"/>
                <w:lang w:val="es-CR" w:eastAsia="es-CR"/>
              </w:rPr>
            </w:pPr>
            <w:r w:rsidRPr="0023319B">
              <w:rPr>
                <w:rFonts w:ascii="Calibri Light" w:hAnsi="Calibri Light" w:cs="Calibri Light"/>
                <w:color w:val="000000"/>
                <w:sz w:val="18"/>
                <w:szCs w:val="18"/>
                <w:lang w:val="es-CR" w:eastAsia="es-CR"/>
              </w:rPr>
              <w:t>1</w:t>
            </w:r>
          </w:p>
        </w:tc>
        <w:tc>
          <w:tcPr>
            <w:tcW w:w="5324" w:type="dxa"/>
            <w:tcBorders>
              <w:top w:val="nil"/>
              <w:left w:val="nil"/>
              <w:bottom w:val="single" w:sz="4" w:space="0" w:color="auto"/>
              <w:right w:val="single" w:sz="4" w:space="0" w:color="auto"/>
            </w:tcBorders>
            <w:shd w:val="clear" w:color="auto" w:fill="auto"/>
            <w:vAlign w:val="center"/>
            <w:hideMark/>
          </w:tcPr>
          <w:p w14:paraId="7721AAA3" w14:textId="77777777" w:rsidR="00C04E40" w:rsidRPr="0023319B" w:rsidRDefault="00C04E40" w:rsidP="00BD2A28">
            <w:pPr>
              <w:spacing w:line="240" w:lineRule="auto"/>
              <w:rPr>
                <w:rFonts w:ascii="Calibri Light" w:hAnsi="Calibri Light" w:cs="Calibri Light"/>
                <w:color w:val="000000"/>
                <w:sz w:val="18"/>
                <w:szCs w:val="18"/>
                <w:lang w:val="es-CR" w:eastAsia="es-CR"/>
              </w:rPr>
            </w:pPr>
            <w:r w:rsidRPr="0023319B">
              <w:rPr>
                <w:rFonts w:ascii="Calibri Light" w:hAnsi="Calibri Light" w:cs="Calibri Light"/>
                <w:color w:val="000000"/>
                <w:sz w:val="18"/>
                <w:szCs w:val="18"/>
                <w:lang w:val="es-CR" w:eastAsia="es-CR"/>
              </w:rPr>
              <w:t>La entrevista de selección online</w:t>
            </w:r>
          </w:p>
        </w:tc>
        <w:tc>
          <w:tcPr>
            <w:tcW w:w="1276" w:type="dxa"/>
            <w:tcBorders>
              <w:top w:val="nil"/>
              <w:left w:val="nil"/>
              <w:bottom w:val="single" w:sz="4" w:space="0" w:color="auto"/>
              <w:right w:val="single" w:sz="4" w:space="0" w:color="auto"/>
            </w:tcBorders>
            <w:shd w:val="clear" w:color="auto" w:fill="auto"/>
            <w:vAlign w:val="center"/>
            <w:hideMark/>
          </w:tcPr>
          <w:p w14:paraId="619C1797" w14:textId="77777777" w:rsidR="00C04E40" w:rsidRPr="0023319B" w:rsidRDefault="00C04E40" w:rsidP="00BD2A28">
            <w:pPr>
              <w:spacing w:line="240" w:lineRule="auto"/>
              <w:jc w:val="center"/>
              <w:rPr>
                <w:rFonts w:ascii="Calibri Light" w:hAnsi="Calibri Light" w:cs="Calibri Light"/>
                <w:color w:val="000000"/>
                <w:sz w:val="18"/>
                <w:szCs w:val="18"/>
                <w:lang w:val="es-CR" w:eastAsia="es-CR"/>
              </w:rPr>
            </w:pPr>
            <w:r w:rsidRPr="0023319B">
              <w:rPr>
                <w:rFonts w:ascii="Calibri Light" w:hAnsi="Calibri Light" w:cs="Calibri Light"/>
                <w:color w:val="000000"/>
                <w:sz w:val="18"/>
                <w:szCs w:val="18"/>
                <w:lang w:val="es-CR" w:eastAsia="es-CR"/>
              </w:rPr>
              <w:t>29-oct-2020</w:t>
            </w:r>
          </w:p>
        </w:tc>
        <w:tc>
          <w:tcPr>
            <w:tcW w:w="1418" w:type="dxa"/>
            <w:tcBorders>
              <w:top w:val="nil"/>
              <w:left w:val="nil"/>
              <w:bottom w:val="single" w:sz="4" w:space="0" w:color="auto"/>
              <w:right w:val="single" w:sz="4" w:space="0" w:color="auto"/>
            </w:tcBorders>
            <w:shd w:val="clear" w:color="auto" w:fill="auto"/>
            <w:noWrap/>
            <w:vAlign w:val="center"/>
            <w:hideMark/>
          </w:tcPr>
          <w:p w14:paraId="3C41D6BE" w14:textId="336E30BD" w:rsidR="00C04E40" w:rsidRPr="0023319B" w:rsidRDefault="00C04E40" w:rsidP="00BD2A28">
            <w:pPr>
              <w:spacing w:line="240" w:lineRule="auto"/>
              <w:jc w:val="right"/>
              <w:rPr>
                <w:rFonts w:ascii="Calibri Light" w:hAnsi="Calibri Light" w:cs="Calibri Light"/>
                <w:color w:val="000000"/>
                <w:sz w:val="18"/>
                <w:szCs w:val="18"/>
                <w:lang w:val="es-CR" w:eastAsia="es-CR"/>
              </w:rPr>
            </w:pPr>
            <w:r w:rsidRPr="0023319B">
              <w:rPr>
                <w:rFonts w:ascii="Calibri Light" w:hAnsi="Calibri Light" w:cs="Calibri Light"/>
                <w:color w:val="000000"/>
                <w:sz w:val="18"/>
                <w:szCs w:val="18"/>
                <w:lang w:val="es-CR" w:eastAsia="es-CR"/>
              </w:rPr>
              <w:t xml:space="preserve">  25 500 </w:t>
            </w:r>
          </w:p>
        </w:tc>
      </w:tr>
      <w:tr w:rsidR="00C04E40" w:rsidRPr="0023319B" w14:paraId="247E08CB" w14:textId="77777777" w:rsidTr="00BD2A28">
        <w:trPr>
          <w:trHeight w:val="458"/>
        </w:trPr>
        <w:tc>
          <w:tcPr>
            <w:tcW w:w="1192" w:type="dxa"/>
            <w:tcBorders>
              <w:top w:val="nil"/>
              <w:left w:val="single" w:sz="4" w:space="0" w:color="auto"/>
              <w:bottom w:val="single" w:sz="4" w:space="0" w:color="auto"/>
              <w:right w:val="single" w:sz="4" w:space="0" w:color="auto"/>
            </w:tcBorders>
            <w:shd w:val="clear" w:color="auto" w:fill="auto"/>
            <w:vAlign w:val="center"/>
            <w:hideMark/>
          </w:tcPr>
          <w:p w14:paraId="31F18A1A" w14:textId="77777777" w:rsidR="00C04E40" w:rsidRPr="0023319B" w:rsidRDefault="00C04E40" w:rsidP="00BD2A28">
            <w:pPr>
              <w:spacing w:line="240" w:lineRule="auto"/>
              <w:jc w:val="center"/>
              <w:rPr>
                <w:rFonts w:ascii="Calibri Light" w:hAnsi="Calibri Light" w:cs="Calibri Light"/>
                <w:color w:val="000000"/>
                <w:sz w:val="18"/>
                <w:szCs w:val="18"/>
                <w:lang w:val="es-CR" w:eastAsia="es-CR"/>
              </w:rPr>
            </w:pPr>
            <w:r w:rsidRPr="0023319B">
              <w:rPr>
                <w:rFonts w:ascii="Calibri Light" w:hAnsi="Calibri Light" w:cs="Calibri Light"/>
                <w:color w:val="000000"/>
                <w:sz w:val="18"/>
                <w:szCs w:val="18"/>
                <w:lang w:val="es-CR" w:eastAsia="es-CR"/>
              </w:rPr>
              <w:t>1</w:t>
            </w:r>
          </w:p>
        </w:tc>
        <w:tc>
          <w:tcPr>
            <w:tcW w:w="5324" w:type="dxa"/>
            <w:tcBorders>
              <w:top w:val="nil"/>
              <w:left w:val="nil"/>
              <w:bottom w:val="single" w:sz="4" w:space="0" w:color="auto"/>
              <w:right w:val="single" w:sz="4" w:space="0" w:color="auto"/>
            </w:tcBorders>
            <w:shd w:val="clear" w:color="auto" w:fill="auto"/>
            <w:vAlign w:val="center"/>
            <w:hideMark/>
          </w:tcPr>
          <w:p w14:paraId="1A4BDAEB" w14:textId="77777777" w:rsidR="00C04E40" w:rsidRPr="00D84EA9" w:rsidRDefault="00C04E40" w:rsidP="00BD2A28">
            <w:pPr>
              <w:spacing w:line="240" w:lineRule="auto"/>
              <w:rPr>
                <w:rFonts w:ascii="Calibri Light" w:hAnsi="Calibri Light" w:cs="Calibri Light"/>
                <w:color w:val="000000"/>
                <w:sz w:val="18"/>
                <w:szCs w:val="18"/>
                <w:lang w:eastAsia="es-CR"/>
              </w:rPr>
            </w:pPr>
            <w:r w:rsidRPr="00D84EA9">
              <w:rPr>
                <w:rFonts w:ascii="Calibri Light" w:hAnsi="Calibri Light" w:cs="Calibri Light"/>
                <w:color w:val="000000"/>
                <w:sz w:val="18"/>
                <w:szCs w:val="18"/>
                <w:lang w:eastAsia="es-CR"/>
              </w:rPr>
              <w:t>Curso On-line professional certificate in operations and compliance</w:t>
            </w:r>
          </w:p>
        </w:tc>
        <w:tc>
          <w:tcPr>
            <w:tcW w:w="1276" w:type="dxa"/>
            <w:tcBorders>
              <w:top w:val="nil"/>
              <w:left w:val="nil"/>
              <w:bottom w:val="single" w:sz="4" w:space="0" w:color="auto"/>
              <w:right w:val="single" w:sz="4" w:space="0" w:color="auto"/>
            </w:tcBorders>
            <w:shd w:val="clear" w:color="auto" w:fill="auto"/>
            <w:vAlign w:val="center"/>
            <w:hideMark/>
          </w:tcPr>
          <w:p w14:paraId="6B1A2A2F" w14:textId="77777777" w:rsidR="00C04E40" w:rsidRPr="0023319B" w:rsidRDefault="00C04E40" w:rsidP="00BD2A28">
            <w:pPr>
              <w:spacing w:line="240" w:lineRule="auto"/>
              <w:jc w:val="center"/>
              <w:rPr>
                <w:rFonts w:ascii="Calibri Light" w:hAnsi="Calibri Light" w:cs="Calibri Light"/>
                <w:color w:val="000000"/>
                <w:sz w:val="18"/>
                <w:szCs w:val="18"/>
                <w:lang w:val="es-CR" w:eastAsia="es-CR"/>
              </w:rPr>
            </w:pPr>
            <w:r w:rsidRPr="0023319B">
              <w:rPr>
                <w:rFonts w:ascii="Calibri Light" w:hAnsi="Calibri Light" w:cs="Calibri Light"/>
                <w:color w:val="000000"/>
                <w:sz w:val="18"/>
                <w:szCs w:val="18"/>
                <w:lang w:val="es-CR" w:eastAsia="es-CR"/>
              </w:rPr>
              <w:t>1-dic-2020</w:t>
            </w:r>
          </w:p>
        </w:tc>
        <w:tc>
          <w:tcPr>
            <w:tcW w:w="1418" w:type="dxa"/>
            <w:tcBorders>
              <w:top w:val="nil"/>
              <w:left w:val="nil"/>
              <w:bottom w:val="single" w:sz="4" w:space="0" w:color="auto"/>
              <w:right w:val="single" w:sz="4" w:space="0" w:color="auto"/>
            </w:tcBorders>
            <w:shd w:val="clear" w:color="auto" w:fill="auto"/>
            <w:noWrap/>
            <w:vAlign w:val="center"/>
            <w:hideMark/>
          </w:tcPr>
          <w:p w14:paraId="65D12B7B" w14:textId="255096F5" w:rsidR="00C04E40" w:rsidRPr="0023319B" w:rsidRDefault="00C04E40" w:rsidP="00BD2A28">
            <w:pPr>
              <w:spacing w:line="240" w:lineRule="auto"/>
              <w:jc w:val="right"/>
              <w:rPr>
                <w:rFonts w:ascii="Calibri Light" w:hAnsi="Calibri Light" w:cs="Calibri Light"/>
                <w:color w:val="000000"/>
                <w:sz w:val="18"/>
                <w:szCs w:val="18"/>
                <w:lang w:val="es-CR" w:eastAsia="es-CR"/>
              </w:rPr>
            </w:pPr>
            <w:r w:rsidRPr="0023319B">
              <w:rPr>
                <w:rFonts w:ascii="Calibri Light" w:hAnsi="Calibri Light" w:cs="Calibri Light"/>
                <w:color w:val="000000"/>
                <w:sz w:val="18"/>
                <w:szCs w:val="18"/>
                <w:lang w:val="es-CR" w:eastAsia="es-CR"/>
              </w:rPr>
              <w:t xml:space="preserve">961 236 </w:t>
            </w:r>
          </w:p>
        </w:tc>
      </w:tr>
      <w:tr w:rsidR="00C04E40" w:rsidRPr="0023319B" w14:paraId="1061BE86" w14:textId="77777777" w:rsidTr="00BD2A28">
        <w:trPr>
          <w:trHeight w:val="310"/>
        </w:trPr>
        <w:tc>
          <w:tcPr>
            <w:tcW w:w="1192" w:type="dxa"/>
            <w:tcBorders>
              <w:top w:val="nil"/>
              <w:left w:val="single" w:sz="4" w:space="0" w:color="auto"/>
              <w:bottom w:val="single" w:sz="4" w:space="0" w:color="auto"/>
              <w:right w:val="single" w:sz="4" w:space="0" w:color="auto"/>
            </w:tcBorders>
            <w:shd w:val="clear" w:color="auto" w:fill="auto"/>
            <w:vAlign w:val="center"/>
            <w:hideMark/>
          </w:tcPr>
          <w:p w14:paraId="122417EF" w14:textId="77777777" w:rsidR="00C04E40" w:rsidRPr="0023319B" w:rsidRDefault="00C04E40" w:rsidP="00BD2A28">
            <w:pPr>
              <w:spacing w:line="240" w:lineRule="auto"/>
              <w:jc w:val="center"/>
              <w:rPr>
                <w:rFonts w:ascii="Calibri Light" w:hAnsi="Calibri Light" w:cs="Calibri Light"/>
                <w:color w:val="000000"/>
                <w:sz w:val="18"/>
                <w:szCs w:val="18"/>
                <w:lang w:val="es-CR" w:eastAsia="es-CR"/>
              </w:rPr>
            </w:pPr>
            <w:r w:rsidRPr="0023319B">
              <w:rPr>
                <w:rFonts w:ascii="Calibri Light" w:hAnsi="Calibri Light" w:cs="Calibri Light"/>
                <w:color w:val="000000"/>
                <w:sz w:val="18"/>
                <w:szCs w:val="18"/>
                <w:lang w:val="es-CR" w:eastAsia="es-CR"/>
              </w:rPr>
              <w:t>1</w:t>
            </w:r>
          </w:p>
        </w:tc>
        <w:tc>
          <w:tcPr>
            <w:tcW w:w="5324" w:type="dxa"/>
            <w:tcBorders>
              <w:top w:val="nil"/>
              <w:left w:val="nil"/>
              <w:bottom w:val="single" w:sz="4" w:space="0" w:color="auto"/>
              <w:right w:val="single" w:sz="4" w:space="0" w:color="auto"/>
            </w:tcBorders>
            <w:shd w:val="clear" w:color="auto" w:fill="auto"/>
            <w:vAlign w:val="center"/>
            <w:hideMark/>
          </w:tcPr>
          <w:p w14:paraId="0DB6EA8B" w14:textId="77777777" w:rsidR="00C04E40" w:rsidRPr="0023319B" w:rsidRDefault="00C04E40" w:rsidP="00BD2A28">
            <w:pPr>
              <w:spacing w:line="240" w:lineRule="auto"/>
              <w:rPr>
                <w:rFonts w:ascii="Calibri Light" w:hAnsi="Calibri Light" w:cs="Calibri Light"/>
                <w:color w:val="000000"/>
                <w:sz w:val="18"/>
                <w:szCs w:val="18"/>
                <w:lang w:val="es-CR" w:eastAsia="es-CR"/>
              </w:rPr>
            </w:pPr>
            <w:r w:rsidRPr="0023319B">
              <w:rPr>
                <w:rFonts w:ascii="Calibri Light" w:hAnsi="Calibri Light" w:cs="Calibri Light"/>
                <w:color w:val="000000"/>
                <w:sz w:val="18"/>
                <w:szCs w:val="18"/>
                <w:lang w:val="es-CR" w:eastAsia="es-CR"/>
              </w:rPr>
              <w:t>Creación de dashboard con power Bi</w:t>
            </w:r>
          </w:p>
        </w:tc>
        <w:tc>
          <w:tcPr>
            <w:tcW w:w="1276" w:type="dxa"/>
            <w:tcBorders>
              <w:top w:val="nil"/>
              <w:left w:val="nil"/>
              <w:bottom w:val="single" w:sz="4" w:space="0" w:color="auto"/>
              <w:right w:val="single" w:sz="4" w:space="0" w:color="auto"/>
            </w:tcBorders>
            <w:shd w:val="clear" w:color="auto" w:fill="auto"/>
            <w:vAlign w:val="center"/>
            <w:hideMark/>
          </w:tcPr>
          <w:p w14:paraId="3D508B3F" w14:textId="77777777" w:rsidR="00C04E40" w:rsidRPr="0023319B" w:rsidRDefault="00C04E40" w:rsidP="00BD2A28">
            <w:pPr>
              <w:spacing w:line="240" w:lineRule="auto"/>
              <w:jc w:val="center"/>
              <w:rPr>
                <w:rFonts w:ascii="Calibri Light" w:hAnsi="Calibri Light" w:cs="Calibri Light"/>
                <w:color w:val="000000"/>
                <w:sz w:val="18"/>
                <w:szCs w:val="18"/>
                <w:lang w:val="es-CR" w:eastAsia="es-CR"/>
              </w:rPr>
            </w:pPr>
            <w:r w:rsidRPr="0023319B">
              <w:rPr>
                <w:rFonts w:ascii="Calibri Light" w:hAnsi="Calibri Light" w:cs="Calibri Light"/>
                <w:color w:val="000000"/>
                <w:sz w:val="18"/>
                <w:szCs w:val="18"/>
                <w:lang w:val="es-CR" w:eastAsia="es-CR"/>
              </w:rPr>
              <w:t>7-dic-2020</w:t>
            </w:r>
          </w:p>
        </w:tc>
        <w:tc>
          <w:tcPr>
            <w:tcW w:w="1418" w:type="dxa"/>
            <w:tcBorders>
              <w:top w:val="nil"/>
              <w:left w:val="nil"/>
              <w:bottom w:val="single" w:sz="4" w:space="0" w:color="auto"/>
              <w:right w:val="single" w:sz="4" w:space="0" w:color="auto"/>
            </w:tcBorders>
            <w:shd w:val="clear" w:color="auto" w:fill="auto"/>
            <w:noWrap/>
            <w:vAlign w:val="center"/>
            <w:hideMark/>
          </w:tcPr>
          <w:p w14:paraId="55FAC4EE" w14:textId="151A56DE" w:rsidR="00C04E40" w:rsidRPr="0023319B" w:rsidRDefault="00C04E40" w:rsidP="00BD2A28">
            <w:pPr>
              <w:spacing w:line="240" w:lineRule="auto"/>
              <w:jc w:val="right"/>
              <w:rPr>
                <w:rFonts w:ascii="Calibri Light" w:hAnsi="Calibri Light" w:cs="Calibri Light"/>
                <w:color w:val="000000"/>
                <w:sz w:val="18"/>
                <w:szCs w:val="18"/>
                <w:lang w:val="es-CR" w:eastAsia="es-CR"/>
              </w:rPr>
            </w:pPr>
            <w:r w:rsidRPr="0023319B">
              <w:rPr>
                <w:rFonts w:ascii="Calibri Light" w:hAnsi="Calibri Light" w:cs="Calibri Light"/>
                <w:color w:val="000000"/>
                <w:sz w:val="18"/>
                <w:szCs w:val="18"/>
                <w:lang w:val="es-CR" w:eastAsia="es-CR"/>
              </w:rPr>
              <w:t xml:space="preserve">- </w:t>
            </w:r>
          </w:p>
        </w:tc>
      </w:tr>
      <w:tr w:rsidR="00AF7D6C" w:rsidRPr="0023319B" w14:paraId="15A9D187" w14:textId="77777777" w:rsidTr="00BD2A28">
        <w:trPr>
          <w:trHeight w:val="370"/>
        </w:trPr>
        <w:tc>
          <w:tcPr>
            <w:tcW w:w="1192" w:type="dxa"/>
            <w:tcBorders>
              <w:top w:val="nil"/>
              <w:left w:val="single" w:sz="4" w:space="0" w:color="auto"/>
              <w:bottom w:val="single" w:sz="4" w:space="0" w:color="auto"/>
              <w:right w:val="single" w:sz="4" w:space="0" w:color="auto"/>
            </w:tcBorders>
            <w:shd w:val="clear" w:color="000000" w:fill="95B3D7"/>
            <w:noWrap/>
            <w:vAlign w:val="center"/>
            <w:hideMark/>
          </w:tcPr>
          <w:p w14:paraId="10D6C8EA" w14:textId="77777777" w:rsidR="00C04E40" w:rsidRPr="0023319B" w:rsidRDefault="00C04E40" w:rsidP="00BD2A28">
            <w:pPr>
              <w:spacing w:line="240" w:lineRule="auto"/>
              <w:jc w:val="center"/>
              <w:rPr>
                <w:rFonts w:ascii="Calibri Light" w:hAnsi="Calibri Light" w:cs="Calibri Light"/>
                <w:b/>
                <w:bCs/>
                <w:color w:val="000000"/>
                <w:sz w:val="18"/>
                <w:szCs w:val="18"/>
                <w:lang w:val="es-CR" w:eastAsia="es-CR"/>
              </w:rPr>
            </w:pPr>
            <w:r w:rsidRPr="0023319B">
              <w:rPr>
                <w:rFonts w:ascii="Calibri Light" w:hAnsi="Calibri Light" w:cs="Calibri Light"/>
                <w:b/>
                <w:bCs/>
                <w:color w:val="000000"/>
                <w:sz w:val="18"/>
                <w:szCs w:val="18"/>
                <w:lang w:val="es-CR" w:eastAsia="es-CR"/>
              </w:rPr>
              <w:t> </w:t>
            </w:r>
          </w:p>
        </w:tc>
        <w:tc>
          <w:tcPr>
            <w:tcW w:w="5324" w:type="dxa"/>
            <w:tcBorders>
              <w:top w:val="nil"/>
              <w:left w:val="nil"/>
              <w:bottom w:val="single" w:sz="4" w:space="0" w:color="auto"/>
              <w:right w:val="single" w:sz="4" w:space="0" w:color="auto"/>
            </w:tcBorders>
            <w:shd w:val="clear" w:color="000000" w:fill="95B3D7"/>
            <w:noWrap/>
            <w:vAlign w:val="center"/>
            <w:hideMark/>
          </w:tcPr>
          <w:p w14:paraId="1AE66F42" w14:textId="76B16D39" w:rsidR="00C04E40" w:rsidRPr="0023319B" w:rsidRDefault="00C04E40" w:rsidP="00BD2A28">
            <w:pPr>
              <w:spacing w:line="240" w:lineRule="auto"/>
              <w:jc w:val="center"/>
              <w:rPr>
                <w:rFonts w:ascii="Calibri Light" w:hAnsi="Calibri Light" w:cs="Calibri Light"/>
                <w:b/>
                <w:bCs/>
                <w:color w:val="000000"/>
                <w:sz w:val="18"/>
                <w:szCs w:val="18"/>
                <w:lang w:val="es-CR" w:eastAsia="es-CR"/>
              </w:rPr>
            </w:pPr>
            <w:r w:rsidRPr="0023319B">
              <w:rPr>
                <w:rFonts w:ascii="Calibri Light" w:hAnsi="Calibri Light" w:cs="Calibri Light"/>
                <w:b/>
                <w:bCs/>
                <w:color w:val="000000"/>
                <w:sz w:val="18"/>
                <w:szCs w:val="18"/>
                <w:lang w:val="es-CR" w:eastAsia="es-CR"/>
              </w:rPr>
              <w:t xml:space="preserve">Total </w:t>
            </w:r>
          </w:p>
        </w:tc>
        <w:tc>
          <w:tcPr>
            <w:tcW w:w="1276" w:type="dxa"/>
            <w:tcBorders>
              <w:top w:val="nil"/>
              <w:left w:val="nil"/>
              <w:bottom w:val="single" w:sz="4" w:space="0" w:color="auto"/>
              <w:right w:val="single" w:sz="4" w:space="0" w:color="auto"/>
            </w:tcBorders>
            <w:shd w:val="clear" w:color="000000" w:fill="95B3D7"/>
            <w:noWrap/>
            <w:vAlign w:val="center"/>
            <w:hideMark/>
          </w:tcPr>
          <w:p w14:paraId="1546FDF0" w14:textId="77777777" w:rsidR="00C04E40" w:rsidRPr="0023319B" w:rsidRDefault="00C04E40" w:rsidP="00BD2A28">
            <w:pPr>
              <w:spacing w:line="240" w:lineRule="auto"/>
              <w:jc w:val="left"/>
              <w:rPr>
                <w:rFonts w:ascii="Calibri Light" w:hAnsi="Calibri Light" w:cs="Calibri Light"/>
                <w:color w:val="000000"/>
                <w:sz w:val="18"/>
                <w:szCs w:val="18"/>
                <w:lang w:val="es-CR" w:eastAsia="es-CR"/>
              </w:rPr>
            </w:pPr>
            <w:r w:rsidRPr="0023319B">
              <w:rPr>
                <w:rFonts w:ascii="Calibri Light" w:hAnsi="Calibri Light" w:cs="Calibri Light"/>
                <w:color w:val="000000"/>
                <w:sz w:val="18"/>
                <w:szCs w:val="18"/>
                <w:lang w:val="es-CR" w:eastAsia="es-CR"/>
              </w:rPr>
              <w:t> </w:t>
            </w:r>
          </w:p>
        </w:tc>
        <w:tc>
          <w:tcPr>
            <w:tcW w:w="1418" w:type="dxa"/>
            <w:tcBorders>
              <w:top w:val="nil"/>
              <w:left w:val="nil"/>
              <w:bottom w:val="single" w:sz="4" w:space="0" w:color="auto"/>
              <w:right w:val="single" w:sz="4" w:space="0" w:color="auto"/>
            </w:tcBorders>
            <w:shd w:val="clear" w:color="000000" w:fill="95B3D7"/>
            <w:noWrap/>
            <w:vAlign w:val="center"/>
            <w:hideMark/>
          </w:tcPr>
          <w:p w14:paraId="5F889430" w14:textId="0E7EA26D" w:rsidR="00C04E40" w:rsidRPr="0023319B" w:rsidRDefault="00C04E40" w:rsidP="00BD2A28">
            <w:pPr>
              <w:spacing w:line="240" w:lineRule="auto"/>
              <w:jc w:val="right"/>
              <w:rPr>
                <w:rFonts w:ascii="Calibri Light" w:hAnsi="Calibri Light" w:cs="Calibri Light"/>
                <w:b/>
                <w:bCs/>
                <w:sz w:val="18"/>
                <w:szCs w:val="18"/>
                <w:lang w:val="es-CR" w:eastAsia="es-CR"/>
              </w:rPr>
            </w:pPr>
            <w:r w:rsidRPr="0023319B">
              <w:rPr>
                <w:rFonts w:ascii="Calibri Light" w:hAnsi="Calibri Light" w:cs="Calibri Light"/>
                <w:b/>
                <w:bCs/>
                <w:sz w:val="18"/>
                <w:szCs w:val="18"/>
                <w:lang w:val="es-CR" w:eastAsia="es-CR"/>
              </w:rPr>
              <w:t xml:space="preserve">96 273 115 </w:t>
            </w:r>
          </w:p>
        </w:tc>
      </w:tr>
    </w:tbl>
    <w:p w14:paraId="478DB1EE" w14:textId="244E8CE2" w:rsidR="00C04E40" w:rsidRPr="0023319B" w:rsidRDefault="00C04E40" w:rsidP="00204633">
      <w:pPr>
        <w:ind w:right="51"/>
        <w:rPr>
          <w:rFonts w:asciiTheme="minorHAnsi" w:hAnsiTheme="minorHAnsi" w:cstheme="minorHAnsi"/>
          <w:sz w:val="24"/>
          <w:szCs w:val="24"/>
          <w:lang w:val="es-CR"/>
        </w:rPr>
      </w:pPr>
    </w:p>
    <w:p w14:paraId="3217E28E" w14:textId="77777777" w:rsidR="00BD2A28" w:rsidRPr="0023319B" w:rsidRDefault="00BD2A28" w:rsidP="00204633">
      <w:pPr>
        <w:ind w:right="51"/>
        <w:rPr>
          <w:rFonts w:asciiTheme="minorHAnsi" w:hAnsiTheme="minorHAnsi" w:cstheme="minorHAnsi"/>
          <w:sz w:val="24"/>
          <w:szCs w:val="24"/>
          <w:lang w:val="es-CR"/>
        </w:rPr>
      </w:pPr>
    </w:p>
    <w:p w14:paraId="5C79C177" w14:textId="45FFD8E2" w:rsidR="00D137AC" w:rsidRPr="0023319B" w:rsidRDefault="00D137AC" w:rsidP="00204633">
      <w:pPr>
        <w:ind w:right="51"/>
        <w:rPr>
          <w:rFonts w:asciiTheme="minorHAnsi" w:hAnsiTheme="minorHAnsi" w:cstheme="minorHAnsi"/>
          <w:sz w:val="24"/>
          <w:szCs w:val="24"/>
          <w:lang w:val="es-CR"/>
        </w:rPr>
      </w:pPr>
    </w:p>
    <w:p w14:paraId="64DC7898" w14:textId="58E0F057" w:rsidR="00225437" w:rsidRPr="0023319B" w:rsidRDefault="00225437" w:rsidP="003E35E4">
      <w:pPr>
        <w:pStyle w:val="Ttulo2"/>
      </w:pPr>
      <w:bookmarkStart w:id="55" w:name="_Toc70497975"/>
      <w:bookmarkStart w:id="56" w:name="_Toc131912455"/>
      <w:bookmarkStart w:id="57" w:name="_Toc163371960"/>
      <w:bookmarkStart w:id="58" w:name="_Toc195505393"/>
      <w:bookmarkStart w:id="59" w:name="_Toc226364826"/>
      <w:bookmarkStart w:id="60" w:name="_Toc273448680"/>
      <w:bookmarkStart w:id="61" w:name="_Toc61081375"/>
      <w:r w:rsidRPr="0023319B">
        <w:t>Cuenta 2 “</w:t>
      </w:r>
      <w:r w:rsidR="00F75C74" w:rsidRPr="0023319B">
        <w:t>Materiales y Suministros</w:t>
      </w:r>
      <w:r w:rsidRPr="0023319B">
        <w:t>”</w:t>
      </w:r>
      <w:bookmarkEnd w:id="55"/>
      <w:bookmarkEnd w:id="56"/>
      <w:bookmarkEnd w:id="57"/>
      <w:bookmarkEnd w:id="58"/>
      <w:bookmarkEnd w:id="59"/>
      <w:bookmarkEnd w:id="60"/>
      <w:bookmarkEnd w:id="61"/>
    </w:p>
    <w:p w14:paraId="64DC7899" w14:textId="77777777" w:rsidR="00225437" w:rsidRPr="0023319B" w:rsidRDefault="00225437" w:rsidP="00093594">
      <w:pPr>
        <w:ind w:right="51"/>
        <w:rPr>
          <w:rFonts w:asciiTheme="minorHAnsi" w:hAnsiTheme="minorHAnsi" w:cstheme="minorHAnsi"/>
          <w:sz w:val="24"/>
          <w:szCs w:val="24"/>
          <w:lang w:val="es-CR"/>
        </w:rPr>
      </w:pPr>
    </w:p>
    <w:p w14:paraId="338D5E2D" w14:textId="5CEA6A4B" w:rsidR="00E925F4" w:rsidRPr="0023319B" w:rsidRDefault="00E925F4" w:rsidP="00E925F4">
      <w:pPr>
        <w:pStyle w:val="Textoindependiente"/>
        <w:numPr>
          <w:ilvl w:val="0"/>
          <w:numId w:val="0"/>
        </w:numPr>
        <w:ind w:right="51"/>
        <w:rPr>
          <w:rFonts w:asciiTheme="minorHAnsi" w:hAnsiTheme="minorHAnsi" w:cstheme="minorHAnsi"/>
          <w:szCs w:val="24"/>
          <w:lang w:val="es-CR"/>
        </w:rPr>
      </w:pPr>
      <w:r w:rsidRPr="0023319B">
        <w:rPr>
          <w:rFonts w:asciiTheme="minorHAnsi" w:hAnsiTheme="minorHAnsi" w:cstheme="minorHAnsi"/>
          <w:szCs w:val="24"/>
          <w:lang w:val="es-CR"/>
        </w:rPr>
        <w:t>El nivel de ejecución de las subpartidas que conforman la cuenta “Materia</w:t>
      </w:r>
      <w:r w:rsidR="000F56DF" w:rsidRPr="0023319B">
        <w:rPr>
          <w:rFonts w:asciiTheme="minorHAnsi" w:hAnsiTheme="minorHAnsi" w:cstheme="minorHAnsi"/>
          <w:szCs w:val="24"/>
          <w:lang w:val="es-CR"/>
        </w:rPr>
        <w:t>l</w:t>
      </w:r>
      <w:r w:rsidRPr="0023319B">
        <w:rPr>
          <w:rFonts w:asciiTheme="minorHAnsi" w:hAnsiTheme="minorHAnsi" w:cstheme="minorHAnsi"/>
          <w:szCs w:val="24"/>
          <w:lang w:val="es-CR"/>
        </w:rPr>
        <w:t>es y Suministros” se detallan en el siguiente cuadro:</w:t>
      </w:r>
    </w:p>
    <w:p w14:paraId="394EB175" w14:textId="0330BA1B" w:rsidR="00CD2FDB" w:rsidRPr="0023319B" w:rsidRDefault="00CD2FDB" w:rsidP="00C42C97">
      <w:pPr>
        <w:ind w:right="51"/>
        <w:rPr>
          <w:rFonts w:asciiTheme="minorHAnsi" w:hAnsiTheme="minorHAnsi" w:cstheme="minorHAnsi"/>
          <w:sz w:val="24"/>
          <w:szCs w:val="24"/>
          <w:lang w:val="es-CR"/>
        </w:rPr>
      </w:pPr>
    </w:p>
    <w:p w14:paraId="470E7AD0" w14:textId="3D8527CF" w:rsidR="008E1A4E" w:rsidRPr="0023319B" w:rsidRDefault="008E1A4E" w:rsidP="008F3B3D">
      <w:pPr>
        <w:pStyle w:val="Textoindependiente"/>
        <w:numPr>
          <w:ilvl w:val="0"/>
          <w:numId w:val="0"/>
        </w:numPr>
        <w:tabs>
          <w:tab w:val="left" w:pos="1134"/>
          <w:tab w:val="decimal" w:pos="7088"/>
        </w:tabs>
        <w:spacing w:line="240" w:lineRule="auto"/>
        <w:ind w:left="-76" w:right="51"/>
        <w:jc w:val="left"/>
        <w:outlineLvl w:val="2"/>
        <w:rPr>
          <w:rFonts w:asciiTheme="minorHAnsi" w:hAnsiTheme="minorHAnsi" w:cstheme="minorHAnsi"/>
          <w:szCs w:val="24"/>
          <w:lang w:val="es-CR"/>
        </w:rPr>
      </w:pPr>
      <w:bookmarkStart w:id="62" w:name="_Toc61081376"/>
      <w:r w:rsidRPr="0023319B">
        <w:rPr>
          <w:rFonts w:asciiTheme="minorHAnsi" w:hAnsiTheme="minorHAnsi" w:cstheme="minorHAnsi"/>
          <w:b/>
          <w:i/>
          <w:szCs w:val="24"/>
          <w:lang w:val="es-CR"/>
        </w:rPr>
        <w:t xml:space="preserve">Cuadro </w:t>
      </w:r>
      <w:r w:rsidR="00CD223D" w:rsidRPr="0023319B">
        <w:rPr>
          <w:rFonts w:asciiTheme="minorHAnsi" w:hAnsiTheme="minorHAnsi" w:cstheme="minorHAnsi"/>
          <w:b/>
          <w:i/>
          <w:szCs w:val="24"/>
          <w:lang w:val="es-CR"/>
        </w:rPr>
        <w:t>6</w:t>
      </w:r>
      <w:r w:rsidRPr="0023319B">
        <w:rPr>
          <w:rFonts w:asciiTheme="minorHAnsi" w:hAnsiTheme="minorHAnsi" w:cstheme="minorHAnsi"/>
          <w:b/>
          <w:i/>
          <w:szCs w:val="24"/>
          <w:lang w:val="es-CR"/>
        </w:rPr>
        <w:t xml:space="preserve">: </w:t>
      </w:r>
      <w:r w:rsidRPr="0023319B">
        <w:rPr>
          <w:rFonts w:asciiTheme="minorHAnsi" w:hAnsiTheme="minorHAnsi" w:cstheme="minorHAnsi"/>
          <w:szCs w:val="24"/>
          <w:lang w:val="es-CR"/>
        </w:rPr>
        <w:t>Detalle de ejecución por cuenta</w:t>
      </w:r>
      <w:bookmarkEnd w:id="62"/>
    </w:p>
    <w:p w14:paraId="118A51B6" w14:textId="14A87D97" w:rsidR="008E1A4E" w:rsidRDefault="008E1A4E" w:rsidP="008E1A4E">
      <w:pPr>
        <w:spacing w:line="240" w:lineRule="auto"/>
        <w:ind w:right="51"/>
        <w:jc w:val="left"/>
        <w:rPr>
          <w:rFonts w:asciiTheme="minorHAnsi" w:hAnsiTheme="minorHAnsi" w:cstheme="minorHAnsi"/>
          <w:sz w:val="18"/>
          <w:lang w:val="es-CR"/>
        </w:rPr>
      </w:pPr>
      <w:r w:rsidRPr="0023319B">
        <w:rPr>
          <w:rFonts w:asciiTheme="minorHAnsi" w:hAnsiTheme="minorHAnsi" w:cstheme="minorHAnsi"/>
          <w:sz w:val="18"/>
          <w:lang w:val="es-CR"/>
        </w:rPr>
        <w:t>Montos en colones</w:t>
      </w:r>
    </w:p>
    <w:tbl>
      <w:tblPr>
        <w:tblW w:w="9634" w:type="dxa"/>
        <w:tblLayout w:type="fixed"/>
        <w:tblCellMar>
          <w:left w:w="70" w:type="dxa"/>
          <w:right w:w="70" w:type="dxa"/>
        </w:tblCellMar>
        <w:tblLook w:val="04A0" w:firstRow="1" w:lastRow="0" w:firstColumn="1" w:lastColumn="0" w:noHBand="0" w:noVBand="1"/>
      </w:tblPr>
      <w:tblGrid>
        <w:gridCol w:w="704"/>
        <w:gridCol w:w="956"/>
        <w:gridCol w:w="2446"/>
        <w:gridCol w:w="1276"/>
        <w:gridCol w:w="1134"/>
        <w:gridCol w:w="850"/>
        <w:gridCol w:w="1276"/>
        <w:gridCol w:w="992"/>
      </w:tblGrid>
      <w:tr w:rsidR="008B6BED" w:rsidRPr="00976BD3" w14:paraId="21D2E418" w14:textId="77777777" w:rsidTr="008B6BED">
        <w:trPr>
          <w:gridAfter w:val="6"/>
          <w:wAfter w:w="7974" w:type="dxa"/>
          <w:trHeight w:val="272"/>
          <w:tblHeader/>
        </w:trPr>
        <w:tc>
          <w:tcPr>
            <w:tcW w:w="1660"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2C8E7C45" w14:textId="284820F7" w:rsidR="008B6BED" w:rsidRPr="00976BD3" w:rsidRDefault="008B6BED" w:rsidP="00976BD3">
            <w:pPr>
              <w:spacing w:line="240" w:lineRule="auto"/>
              <w:jc w:val="center"/>
              <w:rPr>
                <w:rFonts w:asciiTheme="minorHAnsi" w:hAnsiTheme="minorHAnsi" w:cstheme="minorHAnsi"/>
                <w:sz w:val="18"/>
                <w:szCs w:val="18"/>
                <w:lang w:val="es-CR" w:eastAsia="es-CR"/>
              </w:rPr>
            </w:pPr>
            <w:r>
              <w:rPr>
                <w:rFonts w:asciiTheme="minorHAnsi" w:hAnsiTheme="minorHAnsi" w:cstheme="minorHAnsi"/>
                <w:sz w:val="18"/>
                <w:szCs w:val="18"/>
                <w:lang w:val="es-CR" w:eastAsia="es-CR"/>
              </w:rPr>
              <w:t>Clasificador</w:t>
            </w:r>
          </w:p>
        </w:tc>
      </w:tr>
      <w:tr w:rsidR="00976BD3" w:rsidRPr="00976BD3" w14:paraId="7502204C" w14:textId="77777777" w:rsidTr="00976BD3">
        <w:trPr>
          <w:trHeight w:val="520"/>
          <w:tblHeader/>
        </w:trPr>
        <w:tc>
          <w:tcPr>
            <w:tcW w:w="704"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379F341" w14:textId="77777777" w:rsidR="00976BD3" w:rsidRPr="00976BD3" w:rsidRDefault="00976BD3" w:rsidP="00976BD3">
            <w:pPr>
              <w:spacing w:line="240" w:lineRule="auto"/>
              <w:jc w:val="center"/>
              <w:rPr>
                <w:rFonts w:asciiTheme="minorHAnsi" w:hAnsiTheme="minorHAnsi" w:cstheme="minorHAnsi"/>
                <w:sz w:val="18"/>
                <w:szCs w:val="18"/>
                <w:lang w:val="es-CR" w:eastAsia="es-CR"/>
              </w:rPr>
            </w:pPr>
            <w:r w:rsidRPr="00976BD3">
              <w:rPr>
                <w:rFonts w:asciiTheme="minorHAnsi" w:hAnsiTheme="minorHAnsi" w:cstheme="minorHAnsi"/>
                <w:sz w:val="18"/>
                <w:szCs w:val="18"/>
                <w:lang w:val="es-CR" w:eastAsia="es-CR"/>
              </w:rPr>
              <w:t>Gasto</w:t>
            </w:r>
          </w:p>
        </w:tc>
        <w:tc>
          <w:tcPr>
            <w:tcW w:w="956" w:type="dxa"/>
            <w:tcBorders>
              <w:top w:val="single" w:sz="4" w:space="0" w:color="auto"/>
              <w:left w:val="nil"/>
              <w:bottom w:val="single" w:sz="4" w:space="0" w:color="auto"/>
              <w:right w:val="single" w:sz="4" w:space="0" w:color="auto"/>
            </w:tcBorders>
            <w:shd w:val="clear" w:color="auto" w:fill="B8CCE4" w:themeFill="accent1" w:themeFillTint="66"/>
            <w:vAlign w:val="center"/>
            <w:hideMark/>
          </w:tcPr>
          <w:p w14:paraId="6875CF77" w14:textId="77777777" w:rsidR="00976BD3" w:rsidRPr="00976BD3" w:rsidRDefault="00976BD3" w:rsidP="00976BD3">
            <w:pPr>
              <w:spacing w:line="240" w:lineRule="auto"/>
              <w:jc w:val="center"/>
              <w:rPr>
                <w:rFonts w:asciiTheme="minorHAnsi" w:hAnsiTheme="minorHAnsi" w:cstheme="minorHAnsi"/>
                <w:sz w:val="18"/>
                <w:szCs w:val="18"/>
                <w:lang w:val="es-CR" w:eastAsia="es-CR"/>
              </w:rPr>
            </w:pPr>
            <w:r w:rsidRPr="00976BD3">
              <w:rPr>
                <w:rFonts w:asciiTheme="minorHAnsi" w:hAnsiTheme="minorHAnsi" w:cstheme="minorHAnsi"/>
                <w:sz w:val="18"/>
                <w:szCs w:val="18"/>
                <w:lang w:val="es-CR" w:eastAsia="es-CR"/>
              </w:rPr>
              <w:t>Económico</w:t>
            </w:r>
          </w:p>
        </w:tc>
        <w:tc>
          <w:tcPr>
            <w:tcW w:w="2446" w:type="dxa"/>
            <w:tcBorders>
              <w:top w:val="single" w:sz="4" w:space="0" w:color="auto"/>
              <w:left w:val="nil"/>
              <w:bottom w:val="single" w:sz="4" w:space="0" w:color="auto"/>
              <w:right w:val="single" w:sz="4" w:space="0" w:color="auto"/>
            </w:tcBorders>
            <w:shd w:val="clear" w:color="auto" w:fill="B8CCE4" w:themeFill="accent1" w:themeFillTint="66"/>
            <w:vAlign w:val="center"/>
            <w:hideMark/>
          </w:tcPr>
          <w:p w14:paraId="0AA4F3AE" w14:textId="77777777" w:rsidR="00976BD3" w:rsidRPr="00976BD3" w:rsidRDefault="00976BD3" w:rsidP="00976BD3">
            <w:pPr>
              <w:spacing w:line="240" w:lineRule="auto"/>
              <w:jc w:val="center"/>
              <w:rPr>
                <w:rFonts w:asciiTheme="minorHAnsi" w:hAnsiTheme="minorHAnsi" w:cstheme="minorHAnsi"/>
                <w:sz w:val="18"/>
                <w:szCs w:val="18"/>
                <w:lang w:val="es-CR" w:eastAsia="es-CR"/>
              </w:rPr>
            </w:pPr>
            <w:r w:rsidRPr="00976BD3">
              <w:rPr>
                <w:rFonts w:asciiTheme="minorHAnsi" w:hAnsiTheme="minorHAnsi" w:cstheme="minorHAnsi"/>
                <w:sz w:val="18"/>
                <w:szCs w:val="18"/>
                <w:lang w:val="es-CR" w:eastAsia="es-CR"/>
              </w:rPr>
              <w:t>DESCRIPCIÓN</w:t>
            </w:r>
          </w:p>
        </w:tc>
        <w:tc>
          <w:tcPr>
            <w:tcW w:w="1276" w:type="dxa"/>
            <w:tcBorders>
              <w:top w:val="single" w:sz="4" w:space="0" w:color="auto"/>
              <w:left w:val="nil"/>
              <w:bottom w:val="single" w:sz="4" w:space="0" w:color="auto"/>
              <w:right w:val="single" w:sz="4" w:space="0" w:color="auto"/>
            </w:tcBorders>
            <w:shd w:val="clear" w:color="auto" w:fill="B8CCE4" w:themeFill="accent1" w:themeFillTint="66"/>
            <w:vAlign w:val="center"/>
            <w:hideMark/>
          </w:tcPr>
          <w:p w14:paraId="75251FD1" w14:textId="77777777" w:rsidR="00976BD3" w:rsidRPr="00976BD3" w:rsidRDefault="00976BD3" w:rsidP="00976BD3">
            <w:pPr>
              <w:spacing w:line="240" w:lineRule="auto"/>
              <w:jc w:val="center"/>
              <w:rPr>
                <w:rFonts w:asciiTheme="minorHAnsi" w:hAnsiTheme="minorHAnsi" w:cstheme="minorHAnsi"/>
                <w:sz w:val="18"/>
                <w:szCs w:val="18"/>
                <w:lang w:val="es-CR" w:eastAsia="es-CR"/>
              </w:rPr>
            </w:pPr>
            <w:r w:rsidRPr="00976BD3">
              <w:rPr>
                <w:rFonts w:asciiTheme="minorHAnsi" w:hAnsiTheme="minorHAnsi" w:cstheme="minorHAnsi"/>
                <w:sz w:val="18"/>
                <w:szCs w:val="18"/>
                <w:lang w:val="es-CR" w:eastAsia="es-CR"/>
              </w:rPr>
              <w:t xml:space="preserve"> PRESUPUESTO</w:t>
            </w:r>
          </w:p>
        </w:tc>
        <w:tc>
          <w:tcPr>
            <w:tcW w:w="1134" w:type="dxa"/>
            <w:tcBorders>
              <w:top w:val="single" w:sz="4" w:space="0" w:color="auto"/>
              <w:left w:val="nil"/>
              <w:bottom w:val="single" w:sz="4" w:space="0" w:color="auto"/>
              <w:right w:val="single" w:sz="4" w:space="0" w:color="auto"/>
            </w:tcBorders>
            <w:shd w:val="clear" w:color="auto" w:fill="B8CCE4" w:themeFill="accent1" w:themeFillTint="66"/>
            <w:vAlign w:val="center"/>
            <w:hideMark/>
          </w:tcPr>
          <w:p w14:paraId="2C428B50" w14:textId="77777777" w:rsidR="00976BD3" w:rsidRPr="00976BD3" w:rsidRDefault="00976BD3" w:rsidP="00976BD3">
            <w:pPr>
              <w:spacing w:line="240" w:lineRule="auto"/>
              <w:jc w:val="center"/>
              <w:rPr>
                <w:rFonts w:asciiTheme="minorHAnsi" w:hAnsiTheme="minorHAnsi" w:cstheme="minorHAnsi"/>
                <w:sz w:val="18"/>
                <w:szCs w:val="18"/>
                <w:lang w:val="es-CR" w:eastAsia="es-CR"/>
              </w:rPr>
            </w:pPr>
            <w:r w:rsidRPr="00976BD3">
              <w:rPr>
                <w:rFonts w:asciiTheme="minorHAnsi" w:hAnsiTheme="minorHAnsi" w:cstheme="minorHAnsi"/>
                <w:sz w:val="18"/>
                <w:szCs w:val="18"/>
                <w:lang w:val="es-CR" w:eastAsia="es-CR"/>
              </w:rPr>
              <w:t>GASTO</w:t>
            </w:r>
          </w:p>
        </w:tc>
        <w:tc>
          <w:tcPr>
            <w:tcW w:w="850" w:type="dxa"/>
            <w:tcBorders>
              <w:top w:val="single" w:sz="4" w:space="0" w:color="auto"/>
              <w:left w:val="nil"/>
              <w:bottom w:val="single" w:sz="4" w:space="0" w:color="auto"/>
              <w:right w:val="single" w:sz="4" w:space="0" w:color="auto"/>
            </w:tcBorders>
            <w:shd w:val="clear" w:color="auto" w:fill="B8CCE4" w:themeFill="accent1" w:themeFillTint="66"/>
            <w:vAlign w:val="center"/>
            <w:hideMark/>
          </w:tcPr>
          <w:p w14:paraId="0FE7559B" w14:textId="77777777" w:rsidR="00976BD3" w:rsidRPr="00976BD3" w:rsidRDefault="00976BD3" w:rsidP="00976BD3">
            <w:pPr>
              <w:spacing w:line="240" w:lineRule="auto"/>
              <w:jc w:val="center"/>
              <w:rPr>
                <w:rFonts w:asciiTheme="minorHAnsi" w:hAnsiTheme="minorHAnsi" w:cstheme="minorHAnsi"/>
                <w:sz w:val="18"/>
                <w:szCs w:val="18"/>
                <w:lang w:val="es-CR" w:eastAsia="es-CR"/>
              </w:rPr>
            </w:pPr>
            <w:r w:rsidRPr="00976BD3">
              <w:rPr>
                <w:rFonts w:asciiTheme="minorHAnsi" w:hAnsiTheme="minorHAnsi" w:cstheme="minorHAnsi"/>
                <w:sz w:val="18"/>
                <w:szCs w:val="18"/>
                <w:lang w:val="es-CR" w:eastAsia="es-CR"/>
              </w:rPr>
              <w:t>COMPROMISO</w:t>
            </w:r>
          </w:p>
        </w:tc>
        <w:tc>
          <w:tcPr>
            <w:tcW w:w="1276" w:type="dxa"/>
            <w:tcBorders>
              <w:top w:val="single" w:sz="4" w:space="0" w:color="auto"/>
              <w:left w:val="nil"/>
              <w:bottom w:val="single" w:sz="4" w:space="0" w:color="auto"/>
              <w:right w:val="single" w:sz="4" w:space="0" w:color="auto"/>
            </w:tcBorders>
            <w:shd w:val="clear" w:color="auto" w:fill="B8CCE4" w:themeFill="accent1" w:themeFillTint="66"/>
            <w:vAlign w:val="center"/>
            <w:hideMark/>
          </w:tcPr>
          <w:p w14:paraId="38CBD11C" w14:textId="77777777" w:rsidR="00976BD3" w:rsidRPr="00976BD3" w:rsidRDefault="00976BD3" w:rsidP="00976BD3">
            <w:pPr>
              <w:spacing w:line="240" w:lineRule="auto"/>
              <w:jc w:val="center"/>
              <w:rPr>
                <w:rFonts w:asciiTheme="minorHAnsi" w:hAnsiTheme="minorHAnsi" w:cstheme="minorHAnsi"/>
                <w:color w:val="000000"/>
                <w:sz w:val="18"/>
                <w:szCs w:val="18"/>
                <w:lang w:val="es-CR" w:eastAsia="es-CR"/>
              </w:rPr>
            </w:pPr>
            <w:r w:rsidRPr="00976BD3">
              <w:rPr>
                <w:rFonts w:asciiTheme="minorHAnsi" w:hAnsiTheme="minorHAnsi" w:cstheme="minorHAnsi"/>
                <w:color w:val="000000"/>
                <w:sz w:val="18"/>
                <w:szCs w:val="18"/>
                <w:lang w:val="es-CR" w:eastAsia="es-CR"/>
              </w:rPr>
              <w:t>DISPONIBLE</w:t>
            </w:r>
          </w:p>
        </w:tc>
        <w:tc>
          <w:tcPr>
            <w:tcW w:w="992" w:type="dxa"/>
            <w:tcBorders>
              <w:top w:val="single" w:sz="4" w:space="0" w:color="auto"/>
              <w:left w:val="nil"/>
              <w:bottom w:val="single" w:sz="4" w:space="0" w:color="auto"/>
              <w:right w:val="single" w:sz="4" w:space="0" w:color="auto"/>
            </w:tcBorders>
            <w:shd w:val="clear" w:color="auto" w:fill="B8CCE4" w:themeFill="accent1" w:themeFillTint="66"/>
            <w:vAlign w:val="center"/>
            <w:hideMark/>
          </w:tcPr>
          <w:p w14:paraId="7E21E2AE" w14:textId="77777777" w:rsidR="00976BD3" w:rsidRPr="00976BD3" w:rsidRDefault="00976BD3" w:rsidP="00976BD3">
            <w:pPr>
              <w:spacing w:line="240" w:lineRule="auto"/>
              <w:jc w:val="center"/>
              <w:rPr>
                <w:rFonts w:asciiTheme="minorHAnsi" w:hAnsiTheme="minorHAnsi" w:cstheme="minorHAnsi"/>
                <w:color w:val="000000"/>
                <w:sz w:val="18"/>
                <w:szCs w:val="18"/>
                <w:lang w:val="es-CR" w:eastAsia="es-CR"/>
              </w:rPr>
            </w:pPr>
            <w:r w:rsidRPr="00976BD3">
              <w:rPr>
                <w:rFonts w:asciiTheme="minorHAnsi" w:hAnsiTheme="minorHAnsi" w:cstheme="minorHAnsi"/>
                <w:color w:val="000000"/>
                <w:sz w:val="18"/>
                <w:szCs w:val="18"/>
                <w:lang w:val="es-CR" w:eastAsia="es-CR"/>
              </w:rPr>
              <w:t>% DE EJECUCIÓN</w:t>
            </w:r>
          </w:p>
        </w:tc>
      </w:tr>
      <w:tr w:rsidR="00976BD3" w:rsidRPr="00976BD3" w14:paraId="0858C60E" w14:textId="77777777" w:rsidTr="00976BD3">
        <w:trPr>
          <w:trHeight w:val="26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D9E03CF" w14:textId="77777777" w:rsidR="00976BD3" w:rsidRPr="00976BD3" w:rsidRDefault="00976BD3" w:rsidP="00976BD3">
            <w:pPr>
              <w:spacing w:line="240" w:lineRule="auto"/>
              <w:jc w:val="center"/>
              <w:rPr>
                <w:rFonts w:asciiTheme="minorHAnsi" w:hAnsiTheme="minorHAnsi" w:cstheme="minorHAnsi"/>
                <w:sz w:val="18"/>
                <w:szCs w:val="18"/>
                <w:lang w:val="es-CR" w:eastAsia="es-CR"/>
              </w:rPr>
            </w:pPr>
            <w:r w:rsidRPr="00976BD3">
              <w:rPr>
                <w:rFonts w:asciiTheme="minorHAnsi" w:hAnsiTheme="minorHAnsi" w:cstheme="minorHAnsi"/>
                <w:sz w:val="18"/>
                <w:szCs w:val="18"/>
                <w:lang w:val="es-CR" w:eastAsia="es-CR"/>
              </w:rPr>
              <w:t>2.01.01</w:t>
            </w:r>
          </w:p>
        </w:tc>
        <w:tc>
          <w:tcPr>
            <w:tcW w:w="956" w:type="dxa"/>
            <w:tcBorders>
              <w:top w:val="nil"/>
              <w:left w:val="nil"/>
              <w:bottom w:val="single" w:sz="4" w:space="0" w:color="auto"/>
              <w:right w:val="single" w:sz="4" w:space="0" w:color="auto"/>
            </w:tcBorders>
            <w:shd w:val="clear" w:color="auto" w:fill="auto"/>
            <w:noWrap/>
            <w:vAlign w:val="center"/>
            <w:hideMark/>
          </w:tcPr>
          <w:p w14:paraId="6205144F" w14:textId="77777777" w:rsidR="00976BD3" w:rsidRPr="00976BD3" w:rsidRDefault="00976BD3" w:rsidP="00976BD3">
            <w:pPr>
              <w:spacing w:line="240" w:lineRule="auto"/>
              <w:jc w:val="center"/>
              <w:rPr>
                <w:rFonts w:asciiTheme="minorHAnsi" w:hAnsiTheme="minorHAnsi" w:cstheme="minorHAnsi"/>
                <w:sz w:val="18"/>
                <w:szCs w:val="18"/>
                <w:lang w:val="es-CR" w:eastAsia="es-CR"/>
              </w:rPr>
            </w:pPr>
            <w:r w:rsidRPr="00976BD3">
              <w:rPr>
                <w:rFonts w:asciiTheme="minorHAnsi" w:hAnsiTheme="minorHAnsi" w:cstheme="minorHAnsi"/>
                <w:sz w:val="18"/>
                <w:szCs w:val="18"/>
                <w:lang w:val="es-CR" w:eastAsia="es-CR"/>
              </w:rPr>
              <w:t>1.1.2</w:t>
            </w:r>
          </w:p>
        </w:tc>
        <w:tc>
          <w:tcPr>
            <w:tcW w:w="2446" w:type="dxa"/>
            <w:tcBorders>
              <w:top w:val="nil"/>
              <w:left w:val="nil"/>
              <w:bottom w:val="single" w:sz="4" w:space="0" w:color="auto"/>
              <w:right w:val="single" w:sz="4" w:space="0" w:color="auto"/>
            </w:tcBorders>
            <w:shd w:val="clear" w:color="auto" w:fill="auto"/>
            <w:noWrap/>
            <w:vAlign w:val="center"/>
            <w:hideMark/>
          </w:tcPr>
          <w:p w14:paraId="77E8FB21" w14:textId="77777777" w:rsidR="00976BD3" w:rsidRPr="00976BD3" w:rsidRDefault="00976BD3" w:rsidP="00976BD3">
            <w:pPr>
              <w:spacing w:line="240" w:lineRule="auto"/>
              <w:jc w:val="left"/>
              <w:rPr>
                <w:rFonts w:asciiTheme="minorHAnsi" w:hAnsiTheme="minorHAnsi" w:cstheme="minorHAnsi"/>
                <w:sz w:val="18"/>
                <w:szCs w:val="18"/>
                <w:lang w:val="es-CR" w:eastAsia="es-CR"/>
              </w:rPr>
            </w:pPr>
            <w:r w:rsidRPr="00976BD3">
              <w:rPr>
                <w:rFonts w:asciiTheme="minorHAnsi" w:hAnsiTheme="minorHAnsi" w:cstheme="minorHAnsi"/>
                <w:sz w:val="18"/>
                <w:szCs w:val="18"/>
                <w:lang w:val="es-CR" w:eastAsia="es-CR"/>
              </w:rPr>
              <w:t>Combustibles y lubricantes</w:t>
            </w:r>
          </w:p>
        </w:tc>
        <w:tc>
          <w:tcPr>
            <w:tcW w:w="1276" w:type="dxa"/>
            <w:tcBorders>
              <w:top w:val="nil"/>
              <w:left w:val="nil"/>
              <w:bottom w:val="single" w:sz="4" w:space="0" w:color="auto"/>
              <w:right w:val="single" w:sz="4" w:space="0" w:color="auto"/>
            </w:tcBorders>
            <w:shd w:val="clear" w:color="auto" w:fill="auto"/>
            <w:noWrap/>
            <w:vAlign w:val="center"/>
            <w:hideMark/>
          </w:tcPr>
          <w:p w14:paraId="3FF7186D" w14:textId="77777777" w:rsidR="00976BD3" w:rsidRPr="00976BD3" w:rsidRDefault="00976BD3" w:rsidP="00976BD3">
            <w:pPr>
              <w:spacing w:line="240" w:lineRule="auto"/>
              <w:jc w:val="right"/>
              <w:rPr>
                <w:rFonts w:asciiTheme="minorHAnsi" w:hAnsiTheme="minorHAnsi" w:cstheme="minorHAnsi"/>
                <w:sz w:val="18"/>
                <w:szCs w:val="18"/>
                <w:lang w:val="es-CR" w:eastAsia="es-CR"/>
              </w:rPr>
            </w:pPr>
            <w:r w:rsidRPr="00976BD3">
              <w:rPr>
                <w:rFonts w:asciiTheme="minorHAnsi" w:hAnsiTheme="minorHAnsi" w:cstheme="minorHAnsi"/>
                <w:sz w:val="18"/>
                <w:szCs w:val="18"/>
                <w:lang w:val="es-CR" w:eastAsia="es-CR"/>
              </w:rPr>
              <w:t>840 000</w:t>
            </w:r>
          </w:p>
        </w:tc>
        <w:tc>
          <w:tcPr>
            <w:tcW w:w="1134" w:type="dxa"/>
            <w:tcBorders>
              <w:top w:val="nil"/>
              <w:left w:val="nil"/>
              <w:bottom w:val="single" w:sz="4" w:space="0" w:color="auto"/>
              <w:right w:val="single" w:sz="4" w:space="0" w:color="auto"/>
            </w:tcBorders>
            <w:shd w:val="clear" w:color="auto" w:fill="auto"/>
            <w:noWrap/>
            <w:vAlign w:val="center"/>
            <w:hideMark/>
          </w:tcPr>
          <w:p w14:paraId="0570D5C2" w14:textId="77777777" w:rsidR="00976BD3" w:rsidRPr="00976BD3" w:rsidRDefault="00976BD3" w:rsidP="00976BD3">
            <w:pPr>
              <w:spacing w:line="240" w:lineRule="auto"/>
              <w:jc w:val="right"/>
              <w:rPr>
                <w:rFonts w:asciiTheme="minorHAnsi" w:hAnsiTheme="minorHAnsi" w:cstheme="minorHAnsi"/>
                <w:sz w:val="18"/>
                <w:szCs w:val="18"/>
                <w:lang w:val="es-CR" w:eastAsia="es-CR"/>
              </w:rPr>
            </w:pPr>
            <w:r w:rsidRPr="00976BD3">
              <w:rPr>
                <w:rFonts w:asciiTheme="minorHAnsi" w:hAnsiTheme="minorHAnsi" w:cstheme="minorHAnsi"/>
                <w:sz w:val="18"/>
                <w:szCs w:val="18"/>
                <w:lang w:val="es-CR" w:eastAsia="es-CR"/>
              </w:rPr>
              <w:t>45 806</w:t>
            </w:r>
          </w:p>
        </w:tc>
        <w:tc>
          <w:tcPr>
            <w:tcW w:w="850" w:type="dxa"/>
            <w:tcBorders>
              <w:top w:val="nil"/>
              <w:left w:val="nil"/>
              <w:bottom w:val="single" w:sz="4" w:space="0" w:color="auto"/>
              <w:right w:val="single" w:sz="4" w:space="0" w:color="auto"/>
            </w:tcBorders>
            <w:shd w:val="clear" w:color="auto" w:fill="auto"/>
            <w:noWrap/>
            <w:vAlign w:val="center"/>
            <w:hideMark/>
          </w:tcPr>
          <w:p w14:paraId="54C523E1" w14:textId="77777777" w:rsidR="00976BD3" w:rsidRPr="00976BD3" w:rsidRDefault="00976BD3" w:rsidP="00976BD3">
            <w:pPr>
              <w:spacing w:line="240" w:lineRule="auto"/>
              <w:jc w:val="right"/>
              <w:rPr>
                <w:rFonts w:asciiTheme="minorHAnsi" w:hAnsiTheme="minorHAnsi" w:cstheme="minorHAnsi"/>
                <w:sz w:val="18"/>
                <w:szCs w:val="18"/>
                <w:lang w:val="es-CR" w:eastAsia="es-CR"/>
              </w:rPr>
            </w:pPr>
            <w:r w:rsidRPr="00976BD3">
              <w:rPr>
                <w:rFonts w:asciiTheme="minorHAnsi" w:hAnsiTheme="minorHAnsi" w:cstheme="minorHAnsi"/>
                <w:sz w:val="18"/>
                <w:szCs w:val="18"/>
                <w:lang w:val="es-CR" w:eastAsia="es-CR"/>
              </w:rPr>
              <w:t>0</w:t>
            </w:r>
          </w:p>
        </w:tc>
        <w:tc>
          <w:tcPr>
            <w:tcW w:w="1276" w:type="dxa"/>
            <w:tcBorders>
              <w:top w:val="nil"/>
              <w:left w:val="nil"/>
              <w:bottom w:val="single" w:sz="4" w:space="0" w:color="auto"/>
              <w:right w:val="single" w:sz="4" w:space="0" w:color="auto"/>
            </w:tcBorders>
            <w:shd w:val="clear" w:color="auto" w:fill="auto"/>
            <w:noWrap/>
            <w:vAlign w:val="center"/>
            <w:hideMark/>
          </w:tcPr>
          <w:p w14:paraId="29FE559E" w14:textId="77777777" w:rsidR="00976BD3" w:rsidRPr="00976BD3" w:rsidRDefault="00976BD3" w:rsidP="00976BD3">
            <w:pPr>
              <w:spacing w:line="240" w:lineRule="auto"/>
              <w:jc w:val="right"/>
              <w:rPr>
                <w:rFonts w:asciiTheme="minorHAnsi" w:hAnsiTheme="minorHAnsi" w:cstheme="minorHAnsi"/>
                <w:sz w:val="18"/>
                <w:szCs w:val="18"/>
                <w:lang w:val="es-CR" w:eastAsia="es-CR"/>
              </w:rPr>
            </w:pPr>
            <w:r w:rsidRPr="00976BD3">
              <w:rPr>
                <w:rFonts w:asciiTheme="minorHAnsi" w:hAnsiTheme="minorHAnsi" w:cstheme="minorHAnsi"/>
                <w:sz w:val="18"/>
                <w:szCs w:val="18"/>
                <w:lang w:val="es-CR" w:eastAsia="es-CR"/>
              </w:rPr>
              <w:t>794 194</w:t>
            </w:r>
          </w:p>
        </w:tc>
        <w:tc>
          <w:tcPr>
            <w:tcW w:w="992" w:type="dxa"/>
            <w:tcBorders>
              <w:top w:val="nil"/>
              <w:left w:val="nil"/>
              <w:bottom w:val="single" w:sz="4" w:space="0" w:color="auto"/>
              <w:right w:val="single" w:sz="4" w:space="0" w:color="auto"/>
            </w:tcBorders>
            <w:shd w:val="clear" w:color="auto" w:fill="auto"/>
            <w:noWrap/>
            <w:vAlign w:val="center"/>
            <w:hideMark/>
          </w:tcPr>
          <w:p w14:paraId="1D2750F0" w14:textId="77777777" w:rsidR="00976BD3" w:rsidRPr="00976BD3" w:rsidRDefault="00976BD3" w:rsidP="00976BD3">
            <w:pPr>
              <w:spacing w:line="240" w:lineRule="auto"/>
              <w:jc w:val="center"/>
              <w:rPr>
                <w:rFonts w:asciiTheme="minorHAnsi" w:hAnsiTheme="minorHAnsi" w:cstheme="minorHAnsi"/>
                <w:sz w:val="18"/>
                <w:szCs w:val="18"/>
                <w:lang w:val="es-CR" w:eastAsia="es-CR"/>
              </w:rPr>
            </w:pPr>
            <w:r w:rsidRPr="00976BD3">
              <w:rPr>
                <w:rFonts w:asciiTheme="minorHAnsi" w:hAnsiTheme="minorHAnsi" w:cstheme="minorHAnsi"/>
                <w:sz w:val="18"/>
                <w:szCs w:val="18"/>
                <w:lang w:val="es-CR" w:eastAsia="es-CR"/>
              </w:rPr>
              <w:t>5%</w:t>
            </w:r>
          </w:p>
        </w:tc>
      </w:tr>
      <w:tr w:rsidR="00976BD3" w:rsidRPr="00976BD3" w14:paraId="1995D1F3" w14:textId="77777777" w:rsidTr="00976BD3">
        <w:trPr>
          <w:trHeight w:val="26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0B2C9C5" w14:textId="77777777" w:rsidR="00976BD3" w:rsidRPr="00976BD3" w:rsidRDefault="00976BD3" w:rsidP="00976BD3">
            <w:pPr>
              <w:spacing w:line="240" w:lineRule="auto"/>
              <w:jc w:val="center"/>
              <w:rPr>
                <w:rFonts w:asciiTheme="minorHAnsi" w:hAnsiTheme="minorHAnsi" w:cstheme="minorHAnsi"/>
                <w:sz w:val="18"/>
                <w:szCs w:val="18"/>
                <w:lang w:val="es-CR" w:eastAsia="es-CR"/>
              </w:rPr>
            </w:pPr>
            <w:r w:rsidRPr="00976BD3">
              <w:rPr>
                <w:rFonts w:asciiTheme="minorHAnsi" w:hAnsiTheme="minorHAnsi" w:cstheme="minorHAnsi"/>
                <w:sz w:val="18"/>
                <w:szCs w:val="18"/>
                <w:lang w:val="es-CR" w:eastAsia="es-CR"/>
              </w:rPr>
              <w:t>2.01.02</w:t>
            </w:r>
          </w:p>
        </w:tc>
        <w:tc>
          <w:tcPr>
            <w:tcW w:w="956" w:type="dxa"/>
            <w:tcBorders>
              <w:top w:val="nil"/>
              <w:left w:val="nil"/>
              <w:bottom w:val="single" w:sz="4" w:space="0" w:color="auto"/>
              <w:right w:val="single" w:sz="4" w:space="0" w:color="auto"/>
            </w:tcBorders>
            <w:shd w:val="clear" w:color="auto" w:fill="auto"/>
            <w:noWrap/>
            <w:vAlign w:val="center"/>
            <w:hideMark/>
          </w:tcPr>
          <w:p w14:paraId="75F37DBA" w14:textId="77777777" w:rsidR="00976BD3" w:rsidRPr="00976BD3" w:rsidRDefault="00976BD3" w:rsidP="00976BD3">
            <w:pPr>
              <w:spacing w:line="240" w:lineRule="auto"/>
              <w:jc w:val="center"/>
              <w:rPr>
                <w:rFonts w:asciiTheme="minorHAnsi" w:hAnsiTheme="minorHAnsi" w:cstheme="minorHAnsi"/>
                <w:sz w:val="18"/>
                <w:szCs w:val="18"/>
                <w:lang w:val="es-CR" w:eastAsia="es-CR"/>
              </w:rPr>
            </w:pPr>
            <w:r w:rsidRPr="00976BD3">
              <w:rPr>
                <w:rFonts w:asciiTheme="minorHAnsi" w:hAnsiTheme="minorHAnsi" w:cstheme="minorHAnsi"/>
                <w:sz w:val="18"/>
                <w:szCs w:val="18"/>
                <w:lang w:val="es-CR" w:eastAsia="es-CR"/>
              </w:rPr>
              <w:t>1.1.2</w:t>
            </w:r>
          </w:p>
        </w:tc>
        <w:tc>
          <w:tcPr>
            <w:tcW w:w="2446" w:type="dxa"/>
            <w:tcBorders>
              <w:top w:val="nil"/>
              <w:left w:val="nil"/>
              <w:bottom w:val="single" w:sz="4" w:space="0" w:color="auto"/>
              <w:right w:val="single" w:sz="4" w:space="0" w:color="auto"/>
            </w:tcBorders>
            <w:shd w:val="clear" w:color="auto" w:fill="auto"/>
            <w:noWrap/>
            <w:vAlign w:val="center"/>
            <w:hideMark/>
          </w:tcPr>
          <w:p w14:paraId="192B4FBE" w14:textId="77777777" w:rsidR="00976BD3" w:rsidRPr="00976BD3" w:rsidRDefault="00976BD3" w:rsidP="00976BD3">
            <w:pPr>
              <w:spacing w:line="240" w:lineRule="auto"/>
              <w:jc w:val="left"/>
              <w:rPr>
                <w:rFonts w:asciiTheme="minorHAnsi" w:hAnsiTheme="minorHAnsi" w:cstheme="minorHAnsi"/>
                <w:sz w:val="18"/>
                <w:szCs w:val="18"/>
                <w:lang w:val="es-CR" w:eastAsia="es-CR"/>
              </w:rPr>
            </w:pPr>
            <w:r w:rsidRPr="00976BD3">
              <w:rPr>
                <w:rFonts w:asciiTheme="minorHAnsi" w:hAnsiTheme="minorHAnsi" w:cstheme="minorHAnsi"/>
                <w:sz w:val="18"/>
                <w:szCs w:val="18"/>
                <w:lang w:val="es-CR" w:eastAsia="es-CR"/>
              </w:rPr>
              <w:t>Productos farmacéuticos y medicinas</w:t>
            </w:r>
          </w:p>
        </w:tc>
        <w:tc>
          <w:tcPr>
            <w:tcW w:w="1276" w:type="dxa"/>
            <w:tcBorders>
              <w:top w:val="nil"/>
              <w:left w:val="nil"/>
              <w:bottom w:val="single" w:sz="4" w:space="0" w:color="auto"/>
              <w:right w:val="single" w:sz="4" w:space="0" w:color="auto"/>
            </w:tcBorders>
            <w:shd w:val="clear" w:color="auto" w:fill="auto"/>
            <w:noWrap/>
            <w:vAlign w:val="center"/>
            <w:hideMark/>
          </w:tcPr>
          <w:p w14:paraId="2D9EF993" w14:textId="77777777" w:rsidR="00976BD3" w:rsidRPr="00976BD3" w:rsidRDefault="00976BD3" w:rsidP="00976BD3">
            <w:pPr>
              <w:spacing w:line="240" w:lineRule="auto"/>
              <w:jc w:val="right"/>
              <w:rPr>
                <w:rFonts w:asciiTheme="minorHAnsi" w:hAnsiTheme="minorHAnsi" w:cstheme="minorHAnsi"/>
                <w:sz w:val="18"/>
                <w:szCs w:val="18"/>
                <w:lang w:val="es-CR" w:eastAsia="es-CR"/>
              </w:rPr>
            </w:pPr>
            <w:r w:rsidRPr="00976BD3">
              <w:rPr>
                <w:rFonts w:asciiTheme="minorHAnsi" w:hAnsiTheme="minorHAnsi" w:cstheme="minorHAnsi"/>
                <w:sz w:val="18"/>
                <w:szCs w:val="18"/>
                <w:lang w:val="es-CR" w:eastAsia="es-CR"/>
              </w:rPr>
              <w:t>400 000</w:t>
            </w:r>
          </w:p>
        </w:tc>
        <w:tc>
          <w:tcPr>
            <w:tcW w:w="1134" w:type="dxa"/>
            <w:tcBorders>
              <w:top w:val="nil"/>
              <w:left w:val="nil"/>
              <w:bottom w:val="single" w:sz="4" w:space="0" w:color="auto"/>
              <w:right w:val="single" w:sz="4" w:space="0" w:color="auto"/>
            </w:tcBorders>
            <w:shd w:val="clear" w:color="auto" w:fill="auto"/>
            <w:noWrap/>
            <w:vAlign w:val="center"/>
            <w:hideMark/>
          </w:tcPr>
          <w:p w14:paraId="46D9562B" w14:textId="77777777" w:rsidR="00976BD3" w:rsidRPr="00976BD3" w:rsidRDefault="00976BD3" w:rsidP="00976BD3">
            <w:pPr>
              <w:spacing w:line="240" w:lineRule="auto"/>
              <w:jc w:val="right"/>
              <w:rPr>
                <w:rFonts w:asciiTheme="minorHAnsi" w:hAnsiTheme="minorHAnsi" w:cstheme="minorHAnsi"/>
                <w:sz w:val="18"/>
                <w:szCs w:val="18"/>
                <w:lang w:val="es-CR" w:eastAsia="es-CR"/>
              </w:rPr>
            </w:pPr>
            <w:r w:rsidRPr="00976BD3">
              <w:rPr>
                <w:rFonts w:asciiTheme="minorHAnsi" w:hAnsiTheme="minorHAnsi" w:cstheme="minorHAnsi"/>
                <w:sz w:val="18"/>
                <w:szCs w:val="18"/>
                <w:lang w:val="es-CR" w:eastAsia="es-CR"/>
              </w:rPr>
              <w:t>0</w:t>
            </w:r>
          </w:p>
        </w:tc>
        <w:tc>
          <w:tcPr>
            <w:tcW w:w="850" w:type="dxa"/>
            <w:tcBorders>
              <w:top w:val="nil"/>
              <w:left w:val="nil"/>
              <w:bottom w:val="single" w:sz="4" w:space="0" w:color="auto"/>
              <w:right w:val="single" w:sz="4" w:space="0" w:color="auto"/>
            </w:tcBorders>
            <w:shd w:val="clear" w:color="auto" w:fill="auto"/>
            <w:noWrap/>
            <w:vAlign w:val="center"/>
            <w:hideMark/>
          </w:tcPr>
          <w:p w14:paraId="1ACB7A54" w14:textId="77777777" w:rsidR="00976BD3" w:rsidRPr="00976BD3" w:rsidRDefault="00976BD3" w:rsidP="00976BD3">
            <w:pPr>
              <w:spacing w:line="240" w:lineRule="auto"/>
              <w:jc w:val="right"/>
              <w:rPr>
                <w:rFonts w:asciiTheme="minorHAnsi" w:hAnsiTheme="minorHAnsi" w:cstheme="minorHAnsi"/>
                <w:sz w:val="18"/>
                <w:szCs w:val="18"/>
                <w:lang w:val="es-CR" w:eastAsia="es-CR"/>
              </w:rPr>
            </w:pPr>
            <w:r w:rsidRPr="00976BD3">
              <w:rPr>
                <w:rFonts w:asciiTheme="minorHAnsi" w:hAnsiTheme="minorHAnsi" w:cstheme="minorHAnsi"/>
                <w:sz w:val="18"/>
                <w:szCs w:val="18"/>
                <w:lang w:val="es-CR" w:eastAsia="es-CR"/>
              </w:rPr>
              <w:t>0</w:t>
            </w:r>
          </w:p>
        </w:tc>
        <w:tc>
          <w:tcPr>
            <w:tcW w:w="1276" w:type="dxa"/>
            <w:tcBorders>
              <w:top w:val="nil"/>
              <w:left w:val="nil"/>
              <w:bottom w:val="single" w:sz="4" w:space="0" w:color="auto"/>
              <w:right w:val="single" w:sz="4" w:space="0" w:color="auto"/>
            </w:tcBorders>
            <w:shd w:val="clear" w:color="auto" w:fill="auto"/>
            <w:noWrap/>
            <w:vAlign w:val="center"/>
            <w:hideMark/>
          </w:tcPr>
          <w:p w14:paraId="0B209FAB" w14:textId="77777777" w:rsidR="00976BD3" w:rsidRPr="00976BD3" w:rsidRDefault="00976BD3" w:rsidP="00976BD3">
            <w:pPr>
              <w:spacing w:line="240" w:lineRule="auto"/>
              <w:jc w:val="right"/>
              <w:rPr>
                <w:rFonts w:asciiTheme="minorHAnsi" w:hAnsiTheme="minorHAnsi" w:cstheme="minorHAnsi"/>
                <w:sz w:val="18"/>
                <w:szCs w:val="18"/>
                <w:lang w:val="es-CR" w:eastAsia="es-CR"/>
              </w:rPr>
            </w:pPr>
            <w:r w:rsidRPr="00976BD3">
              <w:rPr>
                <w:rFonts w:asciiTheme="minorHAnsi" w:hAnsiTheme="minorHAnsi" w:cstheme="minorHAnsi"/>
                <w:sz w:val="18"/>
                <w:szCs w:val="18"/>
                <w:lang w:val="es-CR" w:eastAsia="es-CR"/>
              </w:rPr>
              <w:t>400 000</w:t>
            </w:r>
          </w:p>
        </w:tc>
        <w:tc>
          <w:tcPr>
            <w:tcW w:w="992" w:type="dxa"/>
            <w:tcBorders>
              <w:top w:val="nil"/>
              <w:left w:val="nil"/>
              <w:bottom w:val="single" w:sz="4" w:space="0" w:color="auto"/>
              <w:right w:val="single" w:sz="4" w:space="0" w:color="auto"/>
            </w:tcBorders>
            <w:shd w:val="clear" w:color="auto" w:fill="auto"/>
            <w:noWrap/>
            <w:vAlign w:val="center"/>
            <w:hideMark/>
          </w:tcPr>
          <w:p w14:paraId="7D9A0A9B" w14:textId="77777777" w:rsidR="00976BD3" w:rsidRPr="00976BD3" w:rsidRDefault="00976BD3" w:rsidP="00976BD3">
            <w:pPr>
              <w:spacing w:line="240" w:lineRule="auto"/>
              <w:jc w:val="center"/>
              <w:rPr>
                <w:rFonts w:asciiTheme="minorHAnsi" w:hAnsiTheme="minorHAnsi" w:cstheme="minorHAnsi"/>
                <w:sz w:val="18"/>
                <w:szCs w:val="18"/>
                <w:lang w:val="es-CR" w:eastAsia="es-CR"/>
              </w:rPr>
            </w:pPr>
            <w:r w:rsidRPr="00976BD3">
              <w:rPr>
                <w:rFonts w:asciiTheme="minorHAnsi" w:hAnsiTheme="minorHAnsi" w:cstheme="minorHAnsi"/>
                <w:sz w:val="18"/>
                <w:szCs w:val="18"/>
                <w:lang w:val="es-CR" w:eastAsia="es-CR"/>
              </w:rPr>
              <w:t>0%</w:t>
            </w:r>
          </w:p>
        </w:tc>
      </w:tr>
      <w:tr w:rsidR="00976BD3" w:rsidRPr="00976BD3" w14:paraId="7B50C8FB" w14:textId="77777777" w:rsidTr="00976BD3">
        <w:trPr>
          <w:trHeight w:val="26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3A411A6" w14:textId="77777777" w:rsidR="00976BD3" w:rsidRPr="00976BD3" w:rsidRDefault="00976BD3" w:rsidP="00976BD3">
            <w:pPr>
              <w:spacing w:line="240" w:lineRule="auto"/>
              <w:jc w:val="center"/>
              <w:rPr>
                <w:rFonts w:asciiTheme="minorHAnsi" w:hAnsiTheme="minorHAnsi" w:cstheme="minorHAnsi"/>
                <w:sz w:val="18"/>
                <w:szCs w:val="18"/>
                <w:lang w:val="es-CR" w:eastAsia="es-CR"/>
              </w:rPr>
            </w:pPr>
            <w:r w:rsidRPr="00976BD3">
              <w:rPr>
                <w:rFonts w:asciiTheme="minorHAnsi" w:hAnsiTheme="minorHAnsi" w:cstheme="minorHAnsi"/>
                <w:sz w:val="18"/>
                <w:szCs w:val="18"/>
                <w:lang w:val="es-CR" w:eastAsia="es-CR"/>
              </w:rPr>
              <w:t>2.01.04</w:t>
            </w:r>
          </w:p>
        </w:tc>
        <w:tc>
          <w:tcPr>
            <w:tcW w:w="956" w:type="dxa"/>
            <w:tcBorders>
              <w:top w:val="nil"/>
              <w:left w:val="nil"/>
              <w:bottom w:val="single" w:sz="4" w:space="0" w:color="auto"/>
              <w:right w:val="single" w:sz="4" w:space="0" w:color="auto"/>
            </w:tcBorders>
            <w:shd w:val="clear" w:color="auto" w:fill="auto"/>
            <w:noWrap/>
            <w:vAlign w:val="center"/>
            <w:hideMark/>
          </w:tcPr>
          <w:p w14:paraId="6845D3E3" w14:textId="77777777" w:rsidR="00976BD3" w:rsidRPr="00976BD3" w:rsidRDefault="00976BD3" w:rsidP="00976BD3">
            <w:pPr>
              <w:spacing w:line="240" w:lineRule="auto"/>
              <w:jc w:val="center"/>
              <w:rPr>
                <w:rFonts w:asciiTheme="minorHAnsi" w:hAnsiTheme="minorHAnsi" w:cstheme="minorHAnsi"/>
                <w:sz w:val="18"/>
                <w:szCs w:val="18"/>
                <w:lang w:val="es-CR" w:eastAsia="es-CR"/>
              </w:rPr>
            </w:pPr>
            <w:r w:rsidRPr="00976BD3">
              <w:rPr>
                <w:rFonts w:asciiTheme="minorHAnsi" w:hAnsiTheme="minorHAnsi" w:cstheme="minorHAnsi"/>
                <w:sz w:val="18"/>
                <w:szCs w:val="18"/>
                <w:lang w:val="es-CR" w:eastAsia="es-CR"/>
              </w:rPr>
              <w:t>1.1.2</w:t>
            </w:r>
          </w:p>
        </w:tc>
        <w:tc>
          <w:tcPr>
            <w:tcW w:w="2446" w:type="dxa"/>
            <w:tcBorders>
              <w:top w:val="nil"/>
              <w:left w:val="nil"/>
              <w:bottom w:val="single" w:sz="4" w:space="0" w:color="auto"/>
              <w:right w:val="single" w:sz="4" w:space="0" w:color="auto"/>
            </w:tcBorders>
            <w:shd w:val="clear" w:color="auto" w:fill="auto"/>
            <w:noWrap/>
            <w:vAlign w:val="center"/>
            <w:hideMark/>
          </w:tcPr>
          <w:p w14:paraId="59DE8959" w14:textId="77777777" w:rsidR="00976BD3" w:rsidRPr="00976BD3" w:rsidRDefault="00976BD3" w:rsidP="00976BD3">
            <w:pPr>
              <w:spacing w:line="240" w:lineRule="auto"/>
              <w:jc w:val="left"/>
              <w:rPr>
                <w:rFonts w:asciiTheme="minorHAnsi" w:hAnsiTheme="minorHAnsi" w:cstheme="minorHAnsi"/>
                <w:sz w:val="18"/>
                <w:szCs w:val="18"/>
                <w:lang w:val="es-CR" w:eastAsia="es-CR"/>
              </w:rPr>
            </w:pPr>
            <w:r w:rsidRPr="00976BD3">
              <w:rPr>
                <w:rFonts w:asciiTheme="minorHAnsi" w:hAnsiTheme="minorHAnsi" w:cstheme="minorHAnsi"/>
                <w:sz w:val="18"/>
                <w:szCs w:val="18"/>
                <w:lang w:val="es-CR" w:eastAsia="es-CR"/>
              </w:rPr>
              <w:t>Tintas, pintura y diluyentes</w:t>
            </w:r>
          </w:p>
        </w:tc>
        <w:tc>
          <w:tcPr>
            <w:tcW w:w="1276" w:type="dxa"/>
            <w:tcBorders>
              <w:top w:val="nil"/>
              <w:left w:val="nil"/>
              <w:bottom w:val="single" w:sz="4" w:space="0" w:color="auto"/>
              <w:right w:val="single" w:sz="4" w:space="0" w:color="auto"/>
            </w:tcBorders>
            <w:shd w:val="clear" w:color="auto" w:fill="auto"/>
            <w:noWrap/>
            <w:vAlign w:val="center"/>
            <w:hideMark/>
          </w:tcPr>
          <w:p w14:paraId="49480C06" w14:textId="77777777" w:rsidR="00976BD3" w:rsidRPr="00976BD3" w:rsidRDefault="00976BD3" w:rsidP="00976BD3">
            <w:pPr>
              <w:spacing w:line="240" w:lineRule="auto"/>
              <w:jc w:val="right"/>
              <w:rPr>
                <w:rFonts w:asciiTheme="minorHAnsi" w:hAnsiTheme="minorHAnsi" w:cstheme="minorHAnsi"/>
                <w:sz w:val="18"/>
                <w:szCs w:val="18"/>
                <w:lang w:val="es-CR" w:eastAsia="es-CR"/>
              </w:rPr>
            </w:pPr>
            <w:r w:rsidRPr="00976BD3">
              <w:rPr>
                <w:rFonts w:asciiTheme="minorHAnsi" w:hAnsiTheme="minorHAnsi" w:cstheme="minorHAnsi"/>
                <w:sz w:val="18"/>
                <w:szCs w:val="18"/>
                <w:lang w:val="es-CR" w:eastAsia="es-CR"/>
              </w:rPr>
              <w:t>650 000</w:t>
            </w:r>
          </w:p>
        </w:tc>
        <w:tc>
          <w:tcPr>
            <w:tcW w:w="1134" w:type="dxa"/>
            <w:tcBorders>
              <w:top w:val="nil"/>
              <w:left w:val="nil"/>
              <w:bottom w:val="single" w:sz="4" w:space="0" w:color="auto"/>
              <w:right w:val="single" w:sz="4" w:space="0" w:color="auto"/>
            </w:tcBorders>
            <w:shd w:val="clear" w:color="auto" w:fill="auto"/>
            <w:noWrap/>
            <w:vAlign w:val="center"/>
            <w:hideMark/>
          </w:tcPr>
          <w:p w14:paraId="6C022336" w14:textId="77777777" w:rsidR="00976BD3" w:rsidRPr="00976BD3" w:rsidRDefault="00976BD3" w:rsidP="00976BD3">
            <w:pPr>
              <w:spacing w:line="240" w:lineRule="auto"/>
              <w:jc w:val="right"/>
              <w:rPr>
                <w:rFonts w:asciiTheme="minorHAnsi" w:hAnsiTheme="minorHAnsi" w:cstheme="minorHAnsi"/>
                <w:sz w:val="18"/>
                <w:szCs w:val="18"/>
                <w:lang w:val="es-CR" w:eastAsia="es-CR"/>
              </w:rPr>
            </w:pPr>
            <w:r w:rsidRPr="00976BD3">
              <w:rPr>
                <w:rFonts w:asciiTheme="minorHAnsi" w:hAnsiTheme="minorHAnsi" w:cstheme="minorHAnsi"/>
                <w:sz w:val="18"/>
                <w:szCs w:val="18"/>
                <w:lang w:val="es-CR" w:eastAsia="es-CR"/>
              </w:rPr>
              <w:t>0</w:t>
            </w:r>
          </w:p>
        </w:tc>
        <w:tc>
          <w:tcPr>
            <w:tcW w:w="850" w:type="dxa"/>
            <w:tcBorders>
              <w:top w:val="nil"/>
              <w:left w:val="nil"/>
              <w:bottom w:val="single" w:sz="4" w:space="0" w:color="auto"/>
              <w:right w:val="single" w:sz="4" w:space="0" w:color="auto"/>
            </w:tcBorders>
            <w:shd w:val="clear" w:color="auto" w:fill="auto"/>
            <w:noWrap/>
            <w:vAlign w:val="center"/>
            <w:hideMark/>
          </w:tcPr>
          <w:p w14:paraId="290DB113" w14:textId="77777777" w:rsidR="00976BD3" w:rsidRPr="00976BD3" w:rsidRDefault="00976BD3" w:rsidP="00976BD3">
            <w:pPr>
              <w:spacing w:line="240" w:lineRule="auto"/>
              <w:jc w:val="right"/>
              <w:rPr>
                <w:rFonts w:asciiTheme="minorHAnsi" w:hAnsiTheme="minorHAnsi" w:cstheme="minorHAnsi"/>
                <w:sz w:val="18"/>
                <w:szCs w:val="18"/>
                <w:lang w:val="es-CR" w:eastAsia="es-CR"/>
              </w:rPr>
            </w:pPr>
            <w:r w:rsidRPr="00976BD3">
              <w:rPr>
                <w:rFonts w:asciiTheme="minorHAnsi" w:hAnsiTheme="minorHAnsi" w:cstheme="minorHAnsi"/>
                <w:sz w:val="18"/>
                <w:szCs w:val="18"/>
                <w:lang w:val="es-CR" w:eastAsia="es-CR"/>
              </w:rPr>
              <w:t>0</w:t>
            </w:r>
          </w:p>
        </w:tc>
        <w:tc>
          <w:tcPr>
            <w:tcW w:w="1276" w:type="dxa"/>
            <w:tcBorders>
              <w:top w:val="nil"/>
              <w:left w:val="nil"/>
              <w:bottom w:val="single" w:sz="4" w:space="0" w:color="auto"/>
              <w:right w:val="single" w:sz="4" w:space="0" w:color="auto"/>
            </w:tcBorders>
            <w:shd w:val="clear" w:color="auto" w:fill="auto"/>
            <w:noWrap/>
            <w:vAlign w:val="center"/>
            <w:hideMark/>
          </w:tcPr>
          <w:p w14:paraId="0D4EF375" w14:textId="77777777" w:rsidR="00976BD3" w:rsidRPr="00976BD3" w:rsidRDefault="00976BD3" w:rsidP="00976BD3">
            <w:pPr>
              <w:spacing w:line="240" w:lineRule="auto"/>
              <w:jc w:val="right"/>
              <w:rPr>
                <w:rFonts w:asciiTheme="minorHAnsi" w:hAnsiTheme="minorHAnsi" w:cstheme="minorHAnsi"/>
                <w:sz w:val="18"/>
                <w:szCs w:val="18"/>
                <w:lang w:val="es-CR" w:eastAsia="es-CR"/>
              </w:rPr>
            </w:pPr>
            <w:r w:rsidRPr="00976BD3">
              <w:rPr>
                <w:rFonts w:asciiTheme="minorHAnsi" w:hAnsiTheme="minorHAnsi" w:cstheme="minorHAnsi"/>
                <w:sz w:val="18"/>
                <w:szCs w:val="18"/>
                <w:lang w:val="es-CR" w:eastAsia="es-CR"/>
              </w:rPr>
              <w:t>650 000</w:t>
            </w:r>
          </w:p>
        </w:tc>
        <w:tc>
          <w:tcPr>
            <w:tcW w:w="992" w:type="dxa"/>
            <w:tcBorders>
              <w:top w:val="nil"/>
              <w:left w:val="nil"/>
              <w:bottom w:val="single" w:sz="4" w:space="0" w:color="auto"/>
              <w:right w:val="single" w:sz="4" w:space="0" w:color="auto"/>
            </w:tcBorders>
            <w:shd w:val="clear" w:color="auto" w:fill="auto"/>
            <w:noWrap/>
            <w:vAlign w:val="center"/>
            <w:hideMark/>
          </w:tcPr>
          <w:p w14:paraId="28DE82E8" w14:textId="77777777" w:rsidR="00976BD3" w:rsidRPr="00976BD3" w:rsidRDefault="00976BD3" w:rsidP="00976BD3">
            <w:pPr>
              <w:spacing w:line="240" w:lineRule="auto"/>
              <w:jc w:val="center"/>
              <w:rPr>
                <w:rFonts w:asciiTheme="minorHAnsi" w:hAnsiTheme="minorHAnsi" w:cstheme="minorHAnsi"/>
                <w:sz w:val="18"/>
                <w:szCs w:val="18"/>
                <w:lang w:val="es-CR" w:eastAsia="es-CR"/>
              </w:rPr>
            </w:pPr>
            <w:r w:rsidRPr="00976BD3">
              <w:rPr>
                <w:rFonts w:asciiTheme="minorHAnsi" w:hAnsiTheme="minorHAnsi" w:cstheme="minorHAnsi"/>
                <w:sz w:val="18"/>
                <w:szCs w:val="18"/>
                <w:lang w:val="es-CR" w:eastAsia="es-CR"/>
              </w:rPr>
              <w:t>0%</w:t>
            </w:r>
          </w:p>
        </w:tc>
      </w:tr>
      <w:tr w:rsidR="00976BD3" w:rsidRPr="00976BD3" w14:paraId="610FEBC7" w14:textId="77777777" w:rsidTr="00976BD3">
        <w:trPr>
          <w:trHeight w:val="26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53B490E" w14:textId="77777777" w:rsidR="00976BD3" w:rsidRPr="00976BD3" w:rsidRDefault="00976BD3" w:rsidP="00976BD3">
            <w:pPr>
              <w:spacing w:line="240" w:lineRule="auto"/>
              <w:jc w:val="center"/>
              <w:rPr>
                <w:rFonts w:asciiTheme="minorHAnsi" w:hAnsiTheme="minorHAnsi" w:cstheme="minorHAnsi"/>
                <w:sz w:val="18"/>
                <w:szCs w:val="18"/>
                <w:lang w:val="es-CR" w:eastAsia="es-CR"/>
              </w:rPr>
            </w:pPr>
            <w:r w:rsidRPr="00976BD3">
              <w:rPr>
                <w:rFonts w:asciiTheme="minorHAnsi" w:hAnsiTheme="minorHAnsi" w:cstheme="minorHAnsi"/>
                <w:sz w:val="18"/>
                <w:szCs w:val="18"/>
                <w:lang w:val="es-CR" w:eastAsia="es-CR"/>
              </w:rPr>
              <w:t>2.02.03</w:t>
            </w:r>
          </w:p>
        </w:tc>
        <w:tc>
          <w:tcPr>
            <w:tcW w:w="956" w:type="dxa"/>
            <w:tcBorders>
              <w:top w:val="nil"/>
              <w:left w:val="nil"/>
              <w:bottom w:val="single" w:sz="4" w:space="0" w:color="auto"/>
              <w:right w:val="single" w:sz="4" w:space="0" w:color="auto"/>
            </w:tcBorders>
            <w:shd w:val="clear" w:color="auto" w:fill="auto"/>
            <w:noWrap/>
            <w:vAlign w:val="center"/>
            <w:hideMark/>
          </w:tcPr>
          <w:p w14:paraId="2E6E924D" w14:textId="77777777" w:rsidR="00976BD3" w:rsidRPr="00976BD3" w:rsidRDefault="00976BD3" w:rsidP="00976BD3">
            <w:pPr>
              <w:spacing w:line="240" w:lineRule="auto"/>
              <w:jc w:val="center"/>
              <w:rPr>
                <w:rFonts w:asciiTheme="minorHAnsi" w:hAnsiTheme="minorHAnsi" w:cstheme="minorHAnsi"/>
                <w:sz w:val="18"/>
                <w:szCs w:val="18"/>
                <w:lang w:val="es-CR" w:eastAsia="es-CR"/>
              </w:rPr>
            </w:pPr>
            <w:r w:rsidRPr="00976BD3">
              <w:rPr>
                <w:rFonts w:asciiTheme="minorHAnsi" w:hAnsiTheme="minorHAnsi" w:cstheme="minorHAnsi"/>
                <w:sz w:val="18"/>
                <w:szCs w:val="18"/>
                <w:lang w:val="es-CR" w:eastAsia="es-CR"/>
              </w:rPr>
              <w:t>1.1.2</w:t>
            </w:r>
          </w:p>
        </w:tc>
        <w:tc>
          <w:tcPr>
            <w:tcW w:w="2446" w:type="dxa"/>
            <w:tcBorders>
              <w:top w:val="nil"/>
              <w:left w:val="nil"/>
              <w:bottom w:val="single" w:sz="4" w:space="0" w:color="auto"/>
              <w:right w:val="single" w:sz="4" w:space="0" w:color="auto"/>
            </w:tcBorders>
            <w:shd w:val="clear" w:color="auto" w:fill="auto"/>
            <w:noWrap/>
            <w:vAlign w:val="center"/>
            <w:hideMark/>
          </w:tcPr>
          <w:p w14:paraId="62EF633F" w14:textId="77777777" w:rsidR="00976BD3" w:rsidRPr="00976BD3" w:rsidRDefault="00976BD3" w:rsidP="00976BD3">
            <w:pPr>
              <w:spacing w:line="240" w:lineRule="auto"/>
              <w:jc w:val="left"/>
              <w:rPr>
                <w:rFonts w:asciiTheme="minorHAnsi" w:hAnsiTheme="minorHAnsi" w:cstheme="minorHAnsi"/>
                <w:sz w:val="18"/>
                <w:szCs w:val="18"/>
                <w:lang w:val="es-CR" w:eastAsia="es-CR"/>
              </w:rPr>
            </w:pPr>
            <w:r w:rsidRPr="00976BD3">
              <w:rPr>
                <w:rFonts w:asciiTheme="minorHAnsi" w:hAnsiTheme="minorHAnsi" w:cstheme="minorHAnsi"/>
                <w:sz w:val="18"/>
                <w:szCs w:val="18"/>
                <w:lang w:val="es-CR" w:eastAsia="es-CR"/>
              </w:rPr>
              <w:t>Alimentos y bebidas</w:t>
            </w:r>
          </w:p>
        </w:tc>
        <w:tc>
          <w:tcPr>
            <w:tcW w:w="1276" w:type="dxa"/>
            <w:tcBorders>
              <w:top w:val="nil"/>
              <w:left w:val="nil"/>
              <w:bottom w:val="single" w:sz="4" w:space="0" w:color="auto"/>
              <w:right w:val="single" w:sz="4" w:space="0" w:color="auto"/>
            </w:tcBorders>
            <w:shd w:val="clear" w:color="auto" w:fill="auto"/>
            <w:noWrap/>
            <w:vAlign w:val="center"/>
            <w:hideMark/>
          </w:tcPr>
          <w:p w14:paraId="14BF4879" w14:textId="77777777" w:rsidR="00976BD3" w:rsidRPr="00976BD3" w:rsidRDefault="00976BD3" w:rsidP="00976BD3">
            <w:pPr>
              <w:spacing w:line="240" w:lineRule="auto"/>
              <w:jc w:val="right"/>
              <w:rPr>
                <w:rFonts w:asciiTheme="minorHAnsi" w:hAnsiTheme="minorHAnsi" w:cstheme="minorHAnsi"/>
                <w:sz w:val="18"/>
                <w:szCs w:val="18"/>
                <w:lang w:val="es-CR" w:eastAsia="es-CR"/>
              </w:rPr>
            </w:pPr>
            <w:r w:rsidRPr="00976BD3">
              <w:rPr>
                <w:rFonts w:asciiTheme="minorHAnsi" w:hAnsiTheme="minorHAnsi" w:cstheme="minorHAnsi"/>
                <w:sz w:val="18"/>
                <w:szCs w:val="18"/>
                <w:lang w:val="es-CR" w:eastAsia="es-CR"/>
              </w:rPr>
              <w:t>3 200 000</w:t>
            </w:r>
          </w:p>
        </w:tc>
        <w:tc>
          <w:tcPr>
            <w:tcW w:w="1134" w:type="dxa"/>
            <w:tcBorders>
              <w:top w:val="nil"/>
              <w:left w:val="nil"/>
              <w:bottom w:val="single" w:sz="4" w:space="0" w:color="auto"/>
              <w:right w:val="single" w:sz="4" w:space="0" w:color="auto"/>
            </w:tcBorders>
            <w:shd w:val="clear" w:color="auto" w:fill="auto"/>
            <w:noWrap/>
            <w:vAlign w:val="center"/>
            <w:hideMark/>
          </w:tcPr>
          <w:p w14:paraId="094C029B" w14:textId="77777777" w:rsidR="00976BD3" w:rsidRPr="00976BD3" w:rsidRDefault="00976BD3" w:rsidP="00976BD3">
            <w:pPr>
              <w:spacing w:line="240" w:lineRule="auto"/>
              <w:jc w:val="right"/>
              <w:rPr>
                <w:rFonts w:asciiTheme="minorHAnsi" w:hAnsiTheme="minorHAnsi" w:cstheme="minorHAnsi"/>
                <w:sz w:val="18"/>
                <w:szCs w:val="18"/>
                <w:lang w:val="es-CR" w:eastAsia="es-CR"/>
              </w:rPr>
            </w:pPr>
            <w:r w:rsidRPr="00976BD3">
              <w:rPr>
                <w:rFonts w:asciiTheme="minorHAnsi" w:hAnsiTheme="minorHAnsi" w:cstheme="minorHAnsi"/>
                <w:sz w:val="18"/>
                <w:szCs w:val="18"/>
                <w:lang w:val="es-CR" w:eastAsia="es-CR"/>
              </w:rPr>
              <w:t>35 300</w:t>
            </w:r>
          </w:p>
        </w:tc>
        <w:tc>
          <w:tcPr>
            <w:tcW w:w="850" w:type="dxa"/>
            <w:tcBorders>
              <w:top w:val="nil"/>
              <w:left w:val="nil"/>
              <w:bottom w:val="single" w:sz="4" w:space="0" w:color="auto"/>
              <w:right w:val="single" w:sz="4" w:space="0" w:color="auto"/>
            </w:tcBorders>
            <w:shd w:val="clear" w:color="auto" w:fill="auto"/>
            <w:noWrap/>
            <w:vAlign w:val="center"/>
            <w:hideMark/>
          </w:tcPr>
          <w:p w14:paraId="440CB413" w14:textId="77777777" w:rsidR="00976BD3" w:rsidRPr="00976BD3" w:rsidRDefault="00976BD3" w:rsidP="00976BD3">
            <w:pPr>
              <w:spacing w:line="240" w:lineRule="auto"/>
              <w:jc w:val="right"/>
              <w:rPr>
                <w:rFonts w:asciiTheme="minorHAnsi" w:hAnsiTheme="minorHAnsi" w:cstheme="minorHAnsi"/>
                <w:sz w:val="18"/>
                <w:szCs w:val="18"/>
                <w:lang w:val="es-CR" w:eastAsia="es-CR"/>
              </w:rPr>
            </w:pPr>
            <w:r w:rsidRPr="00976BD3">
              <w:rPr>
                <w:rFonts w:asciiTheme="minorHAnsi" w:hAnsiTheme="minorHAnsi" w:cstheme="minorHAnsi"/>
                <w:sz w:val="18"/>
                <w:szCs w:val="18"/>
                <w:lang w:val="es-CR" w:eastAsia="es-CR"/>
              </w:rPr>
              <w:t>0</w:t>
            </w:r>
          </w:p>
        </w:tc>
        <w:tc>
          <w:tcPr>
            <w:tcW w:w="1276" w:type="dxa"/>
            <w:tcBorders>
              <w:top w:val="nil"/>
              <w:left w:val="nil"/>
              <w:bottom w:val="single" w:sz="4" w:space="0" w:color="auto"/>
              <w:right w:val="single" w:sz="4" w:space="0" w:color="auto"/>
            </w:tcBorders>
            <w:shd w:val="clear" w:color="auto" w:fill="auto"/>
            <w:noWrap/>
            <w:vAlign w:val="center"/>
            <w:hideMark/>
          </w:tcPr>
          <w:p w14:paraId="3665067C" w14:textId="77777777" w:rsidR="00976BD3" w:rsidRPr="00976BD3" w:rsidRDefault="00976BD3" w:rsidP="00976BD3">
            <w:pPr>
              <w:spacing w:line="240" w:lineRule="auto"/>
              <w:jc w:val="right"/>
              <w:rPr>
                <w:rFonts w:asciiTheme="minorHAnsi" w:hAnsiTheme="minorHAnsi" w:cstheme="minorHAnsi"/>
                <w:sz w:val="18"/>
                <w:szCs w:val="18"/>
                <w:lang w:val="es-CR" w:eastAsia="es-CR"/>
              </w:rPr>
            </w:pPr>
            <w:r w:rsidRPr="00976BD3">
              <w:rPr>
                <w:rFonts w:asciiTheme="minorHAnsi" w:hAnsiTheme="minorHAnsi" w:cstheme="minorHAnsi"/>
                <w:sz w:val="18"/>
                <w:szCs w:val="18"/>
                <w:lang w:val="es-CR" w:eastAsia="es-CR"/>
              </w:rPr>
              <w:t>3 164 700</w:t>
            </w:r>
          </w:p>
        </w:tc>
        <w:tc>
          <w:tcPr>
            <w:tcW w:w="992" w:type="dxa"/>
            <w:tcBorders>
              <w:top w:val="nil"/>
              <w:left w:val="nil"/>
              <w:bottom w:val="single" w:sz="4" w:space="0" w:color="auto"/>
              <w:right w:val="single" w:sz="4" w:space="0" w:color="auto"/>
            </w:tcBorders>
            <w:shd w:val="clear" w:color="auto" w:fill="auto"/>
            <w:noWrap/>
            <w:vAlign w:val="center"/>
            <w:hideMark/>
          </w:tcPr>
          <w:p w14:paraId="5CB684C2" w14:textId="77777777" w:rsidR="00976BD3" w:rsidRPr="00976BD3" w:rsidRDefault="00976BD3" w:rsidP="00976BD3">
            <w:pPr>
              <w:spacing w:line="240" w:lineRule="auto"/>
              <w:jc w:val="center"/>
              <w:rPr>
                <w:rFonts w:asciiTheme="minorHAnsi" w:hAnsiTheme="minorHAnsi" w:cstheme="minorHAnsi"/>
                <w:sz w:val="18"/>
                <w:szCs w:val="18"/>
                <w:lang w:val="es-CR" w:eastAsia="es-CR"/>
              </w:rPr>
            </w:pPr>
            <w:r w:rsidRPr="00976BD3">
              <w:rPr>
                <w:rFonts w:asciiTheme="minorHAnsi" w:hAnsiTheme="minorHAnsi" w:cstheme="minorHAnsi"/>
                <w:sz w:val="18"/>
                <w:szCs w:val="18"/>
                <w:lang w:val="es-CR" w:eastAsia="es-CR"/>
              </w:rPr>
              <w:t>1%</w:t>
            </w:r>
          </w:p>
        </w:tc>
      </w:tr>
      <w:tr w:rsidR="00976BD3" w:rsidRPr="00976BD3" w14:paraId="16182567" w14:textId="77777777" w:rsidTr="00976BD3">
        <w:trPr>
          <w:trHeight w:val="26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AD52150" w14:textId="77777777" w:rsidR="00976BD3" w:rsidRPr="00976BD3" w:rsidRDefault="00976BD3" w:rsidP="00976BD3">
            <w:pPr>
              <w:spacing w:line="240" w:lineRule="auto"/>
              <w:jc w:val="center"/>
              <w:rPr>
                <w:rFonts w:asciiTheme="minorHAnsi" w:hAnsiTheme="minorHAnsi" w:cstheme="minorHAnsi"/>
                <w:sz w:val="18"/>
                <w:szCs w:val="18"/>
                <w:lang w:val="es-CR" w:eastAsia="es-CR"/>
              </w:rPr>
            </w:pPr>
            <w:r w:rsidRPr="00976BD3">
              <w:rPr>
                <w:rFonts w:asciiTheme="minorHAnsi" w:hAnsiTheme="minorHAnsi" w:cstheme="minorHAnsi"/>
                <w:sz w:val="18"/>
                <w:szCs w:val="18"/>
                <w:lang w:val="es-CR" w:eastAsia="es-CR"/>
              </w:rPr>
              <w:t>2.04.01</w:t>
            </w:r>
          </w:p>
        </w:tc>
        <w:tc>
          <w:tcPr>
            <w:tcW w:w="956" w:type="dxa"/>
            <w:tcBorders>
              <w:top w:val="nil"/>
              <w:left w:val="nil"/>
              <w:bottom w:val="single" w:sz="4" w:space="0" w:color="auto"/>
              <w:right w:val="single" w:sz="4" w:space="0" w:color="auto"/>
            </w:tcBorders>
            <w:shd w:val="clear" w:color="auto" w:fill="auto"/>
            <w:noWrap/>
            <w:vAlign w:val="center"/>
            <w:hideMark/>
          </w:tcPr>
          <w:p w14:paraId="1D6BC2BF" w14:textId="77777777" w:rsidR="00976BD3" w:rsidRPr="00976BD3" w:rsidRDefault="00976BD3" w:rsidP="00976BD3">
            <w:pPr>
              <w:spacing w:line="240" w:lineRule="auto"/>
              <w:jc w:val="center"/>
              <w:rPr>
                <w:rFonts w:asciiTheme="minorHAnsi" w:hAnsiTheme="minorHAnsi" w:cstheme="minorHAnsi"/>
                <w:sz w:val="18"/>
                <w:szCs w:val="18"/>
                <w:lang w:val="es-CR" w:eastAsia="es-CR"/>
              </w:rPr>
            </w:pPr>
            <w:r w:rsidRPr="00976BD3">
              <w:rPr>
                <w:rFonts w:asciiTheme="minorHAnsi" w:hAnsiTheme="minorHAnsi" w:cstheme="minorHAnsi"/>
                <w:sz w:val="18"/>
                <w:szCs w:val="18"/>
                <w:lang w:val="es-CR" w:eastAsia="es-CR"/>
              </w:rPr>
              <w:t>1.1.2</w:t>
            </w:r>
          </w:p>
        </w:tc>
        <w:tc>
          <w:tcPr>
            <w:tcW w:w="2446" w:type="dxa"/>
            <w:tcBorders>
              <w:top w:val="nil"/>
              <w:left w:val="nil"/>
              <w:bottom w:val="single" w:sz="4" w:space="0" w:color="auto"/>
              <w:right w:val="single" w:sz="4" w:space="0" w:color="auto"/>
            </w:tcBorders>
            <w:shd w:val="clear" w:color="auto" w:fill="auto"/>
            <w:noWrap/>
            <w:vAlign w:val="center"/>
            <w:hideMark/>
          </w:tcPr>
          <w:p w14:paraId="4A1AD435" w14:textId="77777777" w:rsidR="00976BD3" w:rsidRPr="00976BD3" w:rsidRDefault="00976BD3" w:rsidP="00976BD3">
            <w:pPr>
              <w:spacing w:line="240" w:lineRule="auto"/>
              <w:jc w:val="left"/>
              <w:rPr>
                <w:rFonts w:asciiTheme="minorHAnsi" w:hAnsiTheme="minorHAnsi" w:cstheme="minorHAnsi"/>
                <w:sz w:val="18"/>
                <w:szCs w:val="18"/>
                <w:lang w:val="es-CR" w:eastAsia="es-CR"/>
              </w:rPr>
            </w:pPr>
            <w:r w:rsidRPr="00976BD3">
              <w:rPr>
                <w:rFonts w:asciiTheme="minorHAnsi" w:hAnsiTheme="minorHAnsi" w:cstheme="minorHAnsi"/>
                <w:sz w:val="18"/>
                <w:szCs w:val="18"/>
                <w:lang w:val="es-CR" w:eastAsia="es-CR"/>
              </w:rPr>
              <w:t>Herramientas e instrumentos</w:t>
            </w:r>
          </w:p>
        </w:tc>
        <w:tc>
          <w:tcPr>
            <w:tcW w:w="1276" w:type="dxa"/>
            <w:tcBorders>
              <w:top w:val="nil"/>
              <w:left w:val="nil"/>
              <w:bottom w:val="single" w:sz="4" w:space="0" w:color="auto"/>
              <w:right w:val="single" w:sz="4" w:space="0" w:color="auto"/>
            </w:tcBorders>
            <w:shd w:val="clear" w:color="auto" w:fill="auto"/>
            <w:noWrap/>
            <w:vAlign w:val="center"/>
            <w:hideMark/>
          </w:tcPr>
          <w:p w14:paraId="024BBF4A" w14:textId="77777777" w:rsidR="00976BD3" w:rsidRPr="00976BD3" w:rsidRDefault="00976BD3" w:rsidP="00976BD3">
            <w:pPr>
              <w:spacing w:line="240" w:lineRule="auto"/>
              <w:jc w:val="right"/>
              <w:rPr>
                <w:rFonts w:asciiTheme="minorHAnsi" w:hAnsiTheme="minorHAnsi" w:cstheme="minorHAnsi"/>
                <w:sz w:val="18"/>
                <w:szCs w:val="18"/>
                <w:lang w:val="es-CR" w:eastAsia="es-CR"/>
              </w:rPr>
            </w:pPr>
            <w:r w:rsidRPr="00976BD3">
              <w:rPr>
                <w:rFonts w:asciiTheme="minorHAnsi" w:hAnsiTheme="minorHAnsi" w:cstheme="minorHAnsi"/>
                <w:sz w:val="18"/>
                <w:szCs w:val="18"/>
                <w:lang w:val="es-CR" w:eastAsia="es-CR"/>
              </w:rPr>
              <w:t>200 000</w:t>
            </w:r>
          </w:p>
        </w:tc>
        <w:tc>
          <w:tcPr>
            <w:tcW w:w="1134" w:type="dxa"/>
            <w:tcBorders>
              <w:top w:val="nil"/>
              <w:left w:val="nil"/>
              <w:bottom w:val="single" w:sz="4" w:space="0" w:color="auto"/>
              <w:right w:val="single" w:sz="4" w:space="0" w:color="auto"/>
            </w:tcBorders>
            <w:shd w:val="clear" w:color="auto" w:fill="auto"/>
            <w:noWrap/>
            <w:vAlign w:val="center"/>
            <w:hideMark/>
          </w:tcPr>
          <w:p w14:paraId="2EF618AE" w14:textId="77777777" w:rsidR="00976BD3" w:rsidRPr="00976BD3" w:rsidRDefault="00976BD3" w:rsidP="00976BD3">
            <w:pPr>
              <w:spacing w:line="240" w:lineRule="auto"/>
              <w:jc w:val="right"/>
              <w:rPr>
                <w:rFonts w:asciiTheme="minorHAnsi" w:hAnsiTheme="minorHAnsi" w:cstheme="minorHAnsi"/>
                <w:sz w:val="18"/>
                <w:szCs w:val="18"/>
                <w:lang w:val="es-CR" w:eastAsia="es-CR"/>
              </w:rPr>
            </w:pPr>
            <w:r w:rsidRPr="00976BD3">
              <w:rPr>
                <w:rFonts w:asciiTheme="minorHAnsi" w:hAnsiTheme="minorHAnsi" w:cstheme="minorHAnsi"/>
                <w:sz w:val="18"/>
                <w:szCs w:val="18"/>
                <w:lang w:val="es-CR" w:eastAsia="es-CR"/>
              </w:rPr>
              <w:t>0</w:t>
            </w:r>
          </w:p>
        </w:tc>
        <w:tc>
          <w:tcPr>
            <w:tcW w:w="850" w:type="dxa"/>
            <w:tcBorders>
              <w:top w:val="nil"/>
              <w:left w:val="nil"/>
              <w:bottom w:val="single" w:sz="4" w:space="0" w:color="auto"/>
              <w:right w:val="single" w:sz="4" w:space="0" w:color="auto"/>
            </w:tcBorders>
            <w:shd w:val="clear" w:color="auto" w:fill="auto"/>
            <w:noWrap/>
            <w:vAlign w:val="center"/>
            <w:hideMark/>
          </w:tcPr>
          <w:p w14:paraId="321D97CB" w14:textId="77777777" w:rsidR="00976BD3" w:rsidRPr="00976BD3" w:rsidRDefault="00976BD3" w:rsidP="00976BD3">
            <w:pPr>
              <w:spacing w:line="240" w:lineRule="auto"/>
              <w:jc w:val="right"/>
              <w:rPr>
                <w:rFonts w:asciiTheme="minorHAnsi" w:hAnsiTheme="minorHAnsi" w:cstheme="minorHAnsi"/>
                <w:sz w:val="18"/>
                <w:szCs w:val="18"/>
                <w:lang w:val="es-CR" w:eastAsia="es-CR"/>
              </w:rPr>
            </w:pPr>
            <w:r w:rsidRPr="00976BD3">
              <w:rPr>
                <w:rFonts w:asciiTheme="minorHAnsi" w:hAnsiTheme="minorHAnsi" w:cstheme="minorHAnsi"/>
                <w:sz w:val="18"/>
                <w:szCs w:val="18"/>
                <w:lang w:val="es-CR" w:eastAsia="es-CR"/>
              </w:rPr>
              <w:t>0</w:t>
            </w:r>
          </w:p>
        </w:tc>
        <w:tc>
          <w:tcPr>
            <w:tcW w:w="1276" w:type="dxa"/>
            <w:tcBorders>
              <w:top w:val="nil"/>
              <w:left w:val="nil"/>
              <w:bottom w:val="single" w:sz="4" w:space="0" w:color="auto"/>
              <w:right w:val="single" w:sz="4" w:space="0" w:color="auto"/>
            </w:tcBorders>
            <w:shd w:val="clear" w:color="auto" w:fill="auto"/>
            <w:noWrap/>
            <w:vAlign w:val="center"/>
            <w:hideMark/>
          </w:tcPr>
          <w:p w14:paraId="3455034A" w14:textId="77777777" w:rsidR="00976BD3" w:rsidRPr="00976BD3" w:rsidRDefault="00976BD3" w:rsidP="00976BD3">
            <w:pPr>
              <w:spacing w:line="240" w:lineRule="auto"/>
              <w:jc w:val="right"/>
              <w:rPr>
                <w:rFonts w:asciiTheme="minorHAnsi" w:hAnsiTheme="minorHAnsi" w:cstheme="minorHAnsi"/>
                <w:sz w:val="18"/>
                <w:szCs w:val="18"/>
                <w:lang w:val="es-CR" w:eastAsia="es-CR"/>
              </w:rPr>
            </w:pPr>
            <w:r w:rsidRPr="00976BD3">
              <w:rPr>
                <w:rFonts w:asciiTheme="minorHAnsi" w:hAnsiTheme="minorHAnsi" w:cstheme="minorHAnsi"/>
                <w:sz w:val="18"/>
                <w:szCs w:val="18"/>
                <w:lang w:val="es-CR" w:eastAsia="es-CR"/>
              </w:rPr>
              <w:t>200 000</w:t>
            </w:r>
          </w:p>
        </w:tc>
        <w:tc>
          <w:tcPr>
            <w:tcW w:w="992" w:type="dxa"/>
            <w:tcBorders>
              <w:top w:val="nil"/>
              <w:left w:val="nil"/>
              <w:bottom w:val="single" w:sz="4" w:space="0" w:color="auto"/>
              <w:right w:val="single" w:sz="4" w:space="0" w:color="auto"/>
            </w:tcBorders>
            <w:shd w:val="clear" w:color="auto" w:fill="auto"/>
            <w:noWrap/>
            <w:vAlign w:val="center"/>
            <w:hideMark/>
          </w:tcPr>
          <w:p w14:paraId="3C6BFEBB" w14:textId="77777777" w:rsidR="00976BD3" w:rsidRPr="00976BD3" w:rsidRDefault="00976BD3" w:rsidP="00976BD3">
            <w:pPr>
              <w:spacing w:line="240" w:lineRule="auto"/>
              <w:jc w:val="center"/>
              <w:rPr>
                <w:rFonts w:asciiTheme="minorHAnsi" w:hAnsiTheme="minorHAnsi" w:cstheme="minorHAnsi"/>
                <w:sz w:val="18"/>
                <w:szCs w:val="18"/>
                <w:lang w:val="es-CR" w:eastAsia="es-CR"/>
              </w:rPr>
            </w:pPr>
            <w:r w:rsidRPr="00976BD3">
              <w:rPr>
                <w:rFonts w:asciiTheme="minorHAnsi" w:hAnsiTheme="minorHAnsi" w:cstheme="minorHAnsi"/>
                <w:sz w:val="18"/>
                <w:szCs w:val="18"/>
                <w:lang w:val="es-CR" w:eastAsia="es-CR"/>
              </w:rPr>
              <w:t>0%</w:t>
            </w:r>
          </w:p>
        </w:tc>
      </w:tr>
      <w:tr w:rsidR="00976BD3" w:rsidRPr="00976BD3" w14:paraId="35A116A9" w14:textId="77777777" w:rsidTr="00976BD3">
        <w:trPr>
          <w:trHeight w:val="26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75F8F40" w14:textId="77777777" w:rsidR="00976BD3" w:rsidRPr="00976BD3" w:rsidRDefault="00976BD3" w:rsidP="00976BD3">
            <w:pPr>
              <w:spacing w:line="240" w:lineRule="auto"/>
              <w:jc w:val="center"/>
              <w:rPr>
                <w:rFonts w:asciiTheme="minorHAnsi" w:hAnsiTheme="minorHAnsi" w:cstheme="minorHAnsi"/>
                <w:sz w:val="18"/>
                <w:szCs w:val="18"/>
                <w:lang w:val="es-CR" w:eastAsia="es-CR"/>
              </w:rPr>
            </w:pPr>
            <w:r w:rsidRPr="00976BD3">
              <w:rPr>
                <w:rFonts w:asciiTheme="minorHAnsi" w:hAnsiTheme="minorHAnsi" w:cstheme="minorHAnsi"/>
                <w:sz w:val="18"/>
                <w:szCs w:val="18"/>
                <w:lang w:val="es-CR" w:eastAsia="es-CR"/>
              </w:rPr>
              <w:t>2.04.02</w:t>
            </w:r>
          </w:p>
        </w:tc>
        <w:tc>
          <w:tcPr>
            <w:tcW w:w="956" w:type="dxa"/>
            <w:tcBorders>
              <w:top w:val="nil"/>
              <w:left w:val="nil"/>
              <w:bottom w:val="single" w:sz="4" w:space="0" w:color="auto"/>
              <w:right w:val="single" w:sz="4" w:space="0" w:color="auto"/>
            </w:tcBorders>
            <w:shd w:val="clear" w:color="auto" w:fill="auto"/>
            <w:noWrap/>
            <w:vAlign w:val="center"/>
            <w:hideMark/>
          </w:tcPr>
          <w:p w14:paraId="680751E1" w14:textId="77777777" w:rsidR="00976BD3" w:rsidRPr="00976BD3" w:rsidRDefault="00976BD3" w:rsidP="00976BD3">
            <w:pPr>
              <w:spacing w:line="240" w:lineRule="auto"/>
              <w:jc w:val="center"/>
              <w:rPr>
                <w:rFonts w:asciiTheme="minorHAnsi" w:hAnsiTheme="minorHAnsi" w:cstheme="minorHAnsi"/>
                <w:sz w:val="18"/>
                <w:szCs w:val="18"/>
                <w:lang w:val="es-CR" w:eastAsia="es-CR"/>
              </w:rPr>
            </w:pPr>
            <w:r w:rsidRPr="00976BD3">
              <w:rPr>
                <w:rFonts w:asciiTheme="minorHAnsi" w:hAnsiTheme="minorHAnsi" w:cstheme="minorHAnsi"/>
                <w:sz w:val="18"/>
                <w:szCs w:val="18"/>
                <w:lang w:val="es-CR" w:eastAsia="es-CR"/>
              </w:rPr>
              <w:t>1.1.2</w:t>
            </w:r>
          </w:p>
        </w:tc>
        <w:tc>
          <w:tcPr>
            <w:tcW w:w="2446" w:type="dxa"/>
            <w:tcBorders>
              <w:top w:val="nil"/>
              <w:left w:val="nil"/>
              <w:bottom w:val="single" w:sz="4" w:space="0" w:color="auto"/>
              <w:right w:val="single" w:sz="4" w:space="0" w:color="auto"/>
            </w:tcBorders>
            <w:shd w:val="clear" w:color="auto" w:fill="auto"/>
            <w:noWrap/>
            <w:vAlign w:val="center"/>
            <w:hideMark/>
          </w:tcPr>
          <w:p w14:paraId="7BDD1773" w14:textId="77777777" w:rsidR="00976BD3" w:rsidRPr="00976BD3" w:rsidRDefault="00976BD3" w:rsidP="00976BD3">
            <w:pPr>
              <w:spacing w:line="240" w:lineRule="auto"/>
              <w:jc w:val="left"/>
              <w:rPr>
                <w:rFonts w:asciiTheme="minorHAnsi" w:hAnsiTheme="minorHAnsi" w:cstheme="minorHAnsi"/>
                <w:sz w:val="18"/>
                <w:szCs w:val="18"/>
                <w:lang w:val="es-CR" w:eastAsia="es-CR"/>
              </w:rPr>
            </w:pPr>
            <w:r w:rsidRPr="00976BD3">
              <w:rPr>
                <w:rFonts w:asciiTheme="minorHAnsi" w:hAnsiTheme="minorHAnsi" w:cstheme="minorHAnsi"/>
                <w:sz w:val="18"/>
                <w:szCs w:val="18"/>
                <w:lang w:val="es-CR" w:eastAsia="es-CR"/>
              </w:rPr>
              <w:t>Repuestos y accesorios</w:t>
            </w:r>
          </w:p>
        </w:tc>
        <w:tc>
          <w:tcPr>
            <w:tcW w:w="1276" w:type="dxa"/>
            <w:tcBorders>
              <w:top w:val="nil"/>
              <w:left w:val="nil"/>
              <w:bottom w:val="single" w:sz="4" w:space="0" w:color="auto"/>
              <w:right w:val="single" w:sz="4" w:space="0" w:color="auto"/>
            </w:tcBorders>
            <w:shd w:val="clear" w:color="auto" w:fill="auto"/>
            <w:noWrap/>
            <w:vAlign w:val="center"/>
            <w:hideMark/>
          </w:tcPr>
          <w:p w14:paraId="6BD99A80" w14:textId="77777777" w:rsidR="00976BD3" w:rsidRPr="00976BD3" w:rsidRDefault="00976BD3" w:rsidP="00976BD3">
            <w:pPr>
              <w:spacing w:line="240" w:lineRule="auto"/>
              <w:jc w:val="right"/>
              <w:rPr>
                <w:rFonts w:asciiTheme="minorHAnsi" w:hAnsiTheme="minorHAnsi" w:cstheme="minorHAnsi"/>
                <w:sz w:val="18"/>
                <w:szCs w:val="18"/>
                <w:lang w:val="es-CR" w:eastAsia="es-CR"/>
              </w:rPr>
            </w:pPr>
            <w:r w:rsidRPr="00976BD3">
              <w:rPr>
                <w:rFonts w:asciiTheme="minorHAnsi" w:hAnsiTheme="minorHAnsi" w:cstheme="minorHAnsi"/>
                <w:sz w:val="18"/>
                <w:szCs w:val="18"/>
                <w:lang w:val="es-CR" w:eastAsia="es-CR"/>
              </w:rPr>
              <w:t>900 000</w:t>
            </w:r>
          </w:p>
        </w:tc>
        <w:tc>
          <w:tcPr>
            <w:tcW w:w="1134" w:type="dxa"/>
            <w:tcBorders>
              <w:top w:val="nil"/>
              <w:left w:val="nil"/>
              <w:bottom w:val="single" w:sz="4" w:space="0" w:color="auto"/>
              <w:right w:val="single" w:sz="4" w:space="0" w:color="auto"/>
            </w:tcBorders>
            <w:shd w:val="clear" w:color="auto" w:fill="auto"/>
            <w:noWrap/>
            <w:vAlign w:val="center"/>
            <w:hideMark/>
          </w:tcPr>
          <w:p w14:paraId="160906EE" w14:textId="77777777" w:rsidR="00976BD3" w:rsidRPr="00976BD3" w:rsidRDefault="00976BD3" w:rsidP="00976BD3">
            <w:pPr>
              <w:spacing w:line="240" w:lineRule="auto"/>
              <w:jc w:val="right"/>
              <w:rPr>
                <w:rFonts w:asciiTheme="minorHAnsi" w:hAnsiTheme="minorHAnsi" w:cstheme="minorHAnsi"/>
                <w:sz w:val="18"/>
                <w:szCs w:val="18"/>
                <w:lang w:val="es-CR" w:eastAsia="es-CR"/>
              </w:rPr>
            </w:pPr>
            <w:r w:rsidRPr="00976BD3">
              <w:rPr>
                <w:rFonts w:asciiTheme="minorHAnsi" w:hAnsiTheme="minorHAnsi" w:cstheme="minorHAnsi"/>
                <w:sz w:val="18"/>
                <w:szCs w:val="18"/>
                <w:lang w:val="es-CR" w:eastAsia="es-CR"/>
              </w:rPr>
              <w:t>162 000</w:t>
            </w:r>
          </w:p>
        </w:tc>
        <w:tc>
          <w:tcPr>
            <w:tcW w:w="850" w:type="dxa"/>
            <w:tcBorders>
              <w:top w:val="nil"/>
              <w:left w:val="nil"/>
              <w:bottom w:val="single" w:sz="4" w:space="0" w:color="auto"/>
              <w:right w:val="single" w:sz="4" w:space="0" w:color="auto"/>
            </w:tcBorders>
            <w:shd w:val="clear" w:color="auto" w:fill="auto"/>
            <w:noWrap/>
            <w:vAlign w:val="center"/>
            <w:hideMark/>
          </w:tcPr>
          <w:p w14:paraId="735B979F" w14:textId="77777777" w:rsidR="00976BD3" w:rsidRPr="00976BD3" w:rsidRDefault="00976BD3" w:rsidP="00976BD3">
            <w:pPr>
              <w:spacing w:line="240" w:lineRule="auto"/>
              <w:jc w:val="right"/>
              <w:rPr>
                <w:rFonts w:asciiTheme="minorHAnsi" w:hAnsiTheme="minorHAnsi" w:cstheme="minorHAnsi"/>
                <w:sz w:val="18"/>
                <w:szCs w:val="18"/>
                <w:lang w:val="es-CR" w:eastAsia="es-CR"/>
              </w:rPr>
            </w:pPr>
            <w:r w:rsidRPr="00976BD3">
              <w:rPr>
                <w:rFonts w:asciiTheme="minorHAnsi" w:hAnsiTheme="minorHAnsi" w:cstheme="minorHAnsi"/>
                <w:sz w:val="18"/>
                <w:szCs w:val="18"/>
                <w:lang w:val="es-CR" w:eastAsia="es-CR"/>
              </w:rPr>
              <w:t>0</w:t>
            </w:r>
          </w:p>
        </w:tc>
        <w:tc>
          <w:tcPr>
            <w:tcW w:w="1276" w:type="dxa"/>
            <w:tcBorders>
              <w:top w:val="nil"/>
              <w:left w:val="nil"/>
              <w:bottom w:val="single" w:sz="4" w:space="0" w:color="auto"/>
              <w:right w:val="single" w:sz="4" w:space="0" w:color="auto"/>
            </w:tcBorders>
            <w:shd w:val="clear" w:color="auto" w:fill="auto"/>
            <w:noWrap/>
            <w:vAlign w:val="center"/>
            <w:hideMark/>
          </w:tcPr>
          <w:p w14:paraId="1BD4B3B0" w14:textId="77777777" w:rsidR="00976BD3" w:rsidRPr="00976BD3" w:rsidRDefault="00976BD3" w:rsidP="00976BD3">
            <w:pPr>
              <w:spacing w:line="240" w:lineRule="auto"/>
              <w:jc w:val="right"/>
              <w:rPr>
                <w:rFonts w:asciiTheme="minorHAnsi" w:hAnsiTheme="minorHAnsi" w:cstheme="minorHAnsi"/>
                <w:sz w:val="18"/>
                <w:szCs w:val="18"/>
                <w:lang w:val="es-CR" w:eastAsia="es-CR"/>
              </w:rPr>
            </w:pPr>
            <w:r w:rsidRPr="00976BD3">
              <w:rPr>
                <w:rFonts w:asciiTheme="minorHAnsi" w:hAnsiTheme="minorHAnsi" w:cstheme="minorHAnsi"/>
                <w:sz w:val="18"/>
                <w:szCs w:val="18"/>
                <w:lang w:val="es-CR" w:eastAsia="es-CR"/>
              </w:rPr>
              <w:t>738 000</w:t>
            </w:r>
          </w:p>
        </w:tc>
        <w:tc>
          <w:tcPr>
            <w:tcW w:w="992" w:type="dxa"/>
            <w:tcBorders>
              <w:top w:val="nil"/>
              <w:left w:val="nil"/>
              <w:bottom w:val="single" w:sz="4" w:space="0" w:color="auto"/>
              <w:right w:val="single" w:sz="4" w:space="0" w:color="auto"/>
            </w:tcBorders>
            <w:shd w:val="clear" w:color="auto" w:fill="auto"/>
            <w:noWrap/>
            <w:vAlign w:val="center"/>
            <w:hideMark/>
          </w:tcPr>
          <w:p w14:paraId="49FE2368" w14:textId="77777777" w:rsidR="00976BD3" w:rsidRPr="00976BD3" w:rsidRDefault="00976BD3" w:rsidP="00976BD3">
            <w:pPr>
              <w:spacing w:line="240" w:lineRule="auto"/>
              <w:jc w:val="center"/>
              <w:rPr>
                <w:rFonts w:asciiTheme="minorHAnsi" w:hAnsiTheme="minorHAnsi" w:cstheme="minorHAnsi"/>
                <w:sz w:val="18"/>
                <w:szCs w:val="18"/>
                <w:lang w:val="es-CR" w:eastAsia="es-CR"/>
              </w:rPr>
            </w:pPr>
            <w:r w:rsidRPr="00976BD3">
              <w:rPr>
                <w:rFonts w:asciiTheme="minorHAnsi" w:hAnsiTheme="minorHAnsi" w:cstheme="minorHAnsi"/>
                <w:sz w:val="18"/>
                <w:szCs w:val="18"/>
                <w:lang w:val="es-CR" w:eastAsia="es-CR"/>
              </w:rPr>
              <w:t>18%</w:t>
            </w:r>
          </w:p>
        </w:tc>
      </w:tr>
      <w:tr w:rsidR="00976BD3" w:rsidRPr="00976BD3" w14:paraId="3DF0770D" w14:textId="77777777" w:rsidTr="00976BD3">
        <w:trPr>
          <w:trHeight w:val="26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FEF2EFA" w14:textId="77777777" w:rsidR="00976BD3" w:rsidRPr="00976BD3" w:rsidRDefault="00976BD3" w:rsidP="00976BD3">
            <w:pPr>
              <w:spacing w:line="240" w:lineRule="auto"/>
              <w:jc w:val="center"/>
              <w:rPr>
                <w:rFonts w:asciiTheme="minorHAnsi" w:hAnsiTheme="minorHAnsi" w:cstheme="minorHAnsi"/>
                <w:sz w:val="18"/>
                <w:szCs w:val="18"/>
                <w:lang w:val="es-CR" w:eastAsia="es-CR"/>
              </w:rPr>
            </w:pPr>
            <w:r w:rsidRPr="00976BD3">
              <w:rPr>
                <w:rFonts w:asciiTheme="minorHAnsi" w:hAnsiTheme="minorHAnsi" w:cstheme="minorHAnsi"/>
                <w:sz w:val="18"/>
                <w:szCs w:val="18"/>
                <w:lang w:val="es-CR" w:eastAsia="es-CR"/>
              </w:rPr>
              <w:t>2.99.01</w:t>
            </w:r>
          </w:p>
        </w:tc>
        <w:tc>
          <w:tcPr>
            <w:tcW w:w="956" w:type="dxa"/>
            <w:tcBorders>
              <w:top w:val="nil"/>
              <w:left w:val="nil"/>
              <w:bottom w:val="single" w:sz="4" w:space="0" w:color="auto"/>
              <w:right w:val="single" w:sz="4" w:space="0" w:color="auto"/>
            </w:tcBorders>
            <w:shd w:val="clear" w:color="auto" w:fill="auto"/>
            <w:noWrap/>
            <w:vAlign w:val="center"/>
            <w:hideMark/>
          </w:tcPr>
          <w:p w14:paraId="15EA2801" w14:textId="77777777" w:rsidR="00976BD3" w:rsidRPr="00976BD3" w:rsidRDefault="00976BD3" w:rsidP="00976BD3">
            <w:pPr>
              <w:spacing w:line="240" w:lineRule="auto"/>
              <w:jc w:val="center"/>
              <w:rPr>
                <w:rFonts w:asciiTheme="minorHAnsi" w:hAnsiTheme="minorHAnsi" w:cstheme="minorHAnsi"/>
                <w:sz w:val="18"/>
                <w:szCs w:val="18"/>
                <w:lang w:val="es-CR" w:eastAsia="es-CR"/>
              </w:rPr>
            </w:pPr>
            <w:r w:rsidRPr="00976BD3">
              <w:rPr>
                <w:rFonts w:asciiTheme="minorHAnsi" w:hAnsiTheme="minorHAnsi" w:cstheme="minorHAnsi"/>
                <w:sz w:val="18"/>
                <w:szCs w:val="18"/>
                <w:lang w:val="es-CR" w:eastAsia="es-CR"/>
              </w:rPr>
              <w:t>1.1.2</w:t>
            </w:r>
          </w:p>
        </w:tc>
        <w:tc>
          <w:tcPr>
            <w:tcW w:w="2446" w:type="dxa"/>
            <w:tcBorders>
              <w:top w:val="nil"/>
              <w:left w:val="nil"/>
              <w:bottom w:val="single" w:sz="4" w:space="0" w:color="auto"/>
              <w:right w:val="single" w:sz="4" w:space="0" w:color="auto"/>
            </w:tcBorders>
            <w:shd w:val="clear" w:color="auto" w:fill="auto"/>
            <w:noWrap/>
            <w:vAlign w:val="center"/>
            <w:hideMark/>
          </w:tcPr>
          <w:p w14:paraId="530D7984" w14:textId="77777777" w:rsidR="00976BD3" w:rsidRPr="00976BD3" w:rsidRDefault="00976BD3" w:rsidP="00976BD3">
            <w:pPr>
              <w:spacing w:line="240" w:lineRule="auto"/>
              <w:jc w:val="left"/>
              <w:rPr>
                <w:rFonts w:asciiTheme="minorHAnsi" w:hAnsiTheme="minorHAnsi" w:cstheme="minorHAnsi"/>
                <w:sz w:val="18"/>
                <w:szCs w:val="18"/>
                <w:lang w:val="es-CR" w:eastAsia="es-CR"/>
              </w:rPr>
            </w:pPr>
            <w:r w:rsidRPr="00976BD3">
              <w:rPr>
                <w:rFonts w:asciiTheme="minorHAnsi" w:hAnsiTheme="minorHAnsi" w:cstheme="minorHAnsi"/>
                <w:sz w:val="18"/>
                <w:szCs w:val="18"/>
                <w:lang w:val="es-CR" w:eastAsia="es-CR"/>
              </w:rPr>
              <w:t>Útiles y materiales de oficina y cómputo</w:t>
            </w:r>
          </w:p>
        </w:tc>
        <w:tc>
          <w:tcPr>
            <w:tcW w:w="1276" w:type="dxa"/>
            <w:tcBorders>
              <w:top w:val="nil"/>
              <w:left w:val="nil"/>
              <w:bottom w:val="single" w:sz="4" w:space="0" w:color="auto"/>
              <w:right w:val="single" w:sz="4" w:space="0" w:color="auto"/>
            </w:tcBorders>
            <w:shd w:val="clear" w:color="auto" w:fill="auto"/>
            <w:noWrap/>
            <w:vAlign w:val="center"/>
            <w:hideMark/>
          </w:tcPr>
          <w:p w14:paraId="46FB9DE9" w14:textId="77777777" w:rsidR="00976BD3" w:rsidRPr="00976BD3" w:rsidRDefault="00976BD3" w:rsidP="00976BD3">
            <w:pPr>
              <w:spacing w:line="240" w:lineRule="auto"/>
              <w:jc w:val="right"/>
              <w:rPr>
                <w:rFonts w:asciiTheme="minorHAnsi" w:hAnsiTheme="minorHAnsi" w:cstheme="minorHAnsi"/>
                <w:sz w:val="18"/>
                <w:szCs w:val="18"/>
                <w:lang w:val="es-CR" w:eastAsia="es-CR"/>
              </w:rPr>
            </w:pPr>
            <w:r w:rsidRPr="00976BD3">
              <w:rPr>
                <w:rFonts w:asciiTheme="minorHAnsi" w:hAnsiTheme="minorHAnsi" w:cstheme="minorHAnsi"/>
                <w:sz w:val="18"/>
                <w:szCs w:val="18"/>
                <w:lang w:val="es-CR" w:eastAsia="es-CR"/>
              </w:rPr>
              <w:t>1 000 000</w:t>
            </w:r>
          </w:p>
        </w:tc>
        <w:tc>
          <w:tcPr>
            <w:tcW w:w="1134" w:type="dxa"/>
            <w:tcBorders>
              <w:top w:val="nil"/>
              <w:left w:val="nil"/>
              <w:bottom w:val="single" w:sz="4" w:space="0" w:color="auto"/>
              <w:right w:val="single" w:sz="4" w:space="0" w:color="auto"/>
            </w:tcBorders>
            <w:shd w:val="clear" w:color="auto" w:fill="auto"/>
            <w:noWrap/>
            <w:vAlign w:val="center"/>
            <w:hideMark/>
          </w:tcPr>
          <w:p w14:paraId="3DE5CF22" w14:textId="77777777" w:rsidR="00976BD3" w:rsidRPr="00976BD3" w:rsidRDefault="00976BD3" w:rsidP="00976BD3">
            <w:pPr>
              <w:spacing w:line="240" w:lineRule="auto"/>
              <w:jc w:val="right"/>
              <w:rPr>
                <w:rFonts w:asciiTheme="minorHAnsi" w:hAnsiTheme="minorHAnsi" w:cstheme="minorHAnsi"/>
                <w:sz w:val="18"/>
                <w:szCs w:val="18"/>
                <w:lang w:val="es-CR" w:eastAsia="es-CR"/>
              </w:rPr>
            </w:pPr>
            <w:r w:rsidRPr="00976BD3">
              <w:rPr>
                <w:rFonts w:asciiTheme="minorHAnsi" w:hAnsiTheme="minorHAnsi" w:cstheme="minorHAnsi"/>
                <w:sz w:val="18"/>
                <w:szCs w:val="18"/>
                <w:lang w:val="es-CR" w:eastAsia="es-CR"/>
              </w:rPr>
              <w:t>48 244</w:t>
            </w:r>
          </w:p>
        </w:tc>
        <w:tc>
          <w:tcPr>
            <w:tcW w:w="850" w:type="dxa"/>
            <w:tcBorders>
              <w:top w:val="nil"/>
              <w:left w:val="nil"/>
              <w:bottom w:val="single" w:sz="4" w:space="0" w:color="auto"/>
              <w:right w:val="single" w:sz="4" w:space="0" w:color="auto"/>
            </w:tcBorders>
            <w:shd w:val="clear" w:color="auto" w:fill="auto"/>
            <w:noWrap/>
            <w:vAlign w:val="center"/>
            <w:hideMark/>
          </w:tcPr>
          <w:p w14:paraId="34481CE0" w14:textId="77777777" w:rsidR="00976BD3" w:rsidRPr="00976BD3" w:rsidRDefault="00976BD3" w:rsidP="00976BD3">
            <w:pPr>
              <w:spacing w:line="240" w:lineRule="auto"/>
              <w:jc w:val="right"/>
              <w:rPr>
                <w:rFonts w:asciiTheme="minorHAnsi" w:hAnsiTheme="minorHAnsi" w:cstheme="minorHAnsi"/>
                <w:sz w:val="18"/>
                <w:szCs w:val="18"/>
                <w:lang w:val="es-CR" w:eastAsia="es-CR"/>
              </w:rPr>
            </w:pPr>
            <w:r w:rsidRPr="00976BD3">
              <w:rPr>
                <w:rFonts w:asciiTheme="minorHAnsi" w:hAnsiTheme="minorHAnsi" w:cstheme="minorHAnsi"/>
                <w:sz w:val="18"/>
                <w:szCs w:val="18"/>
                <w:lang w:val="es-CR" w:eastAsia="es-CR"/>
              </w:rPr>
              <w:t>0</w:t>
            </w:r>
          </w:p>
        </w:tc>
        <w:tc>
          <w:tcPr>
            <w:tcW w:w="1276" w:type="dxa"/>
            <w:tcBorders>
              <w:top w:val="nil"/>
              <w:left w:val="nil"/>
              <w:bottom w:val="single" w:sz="4" w:space="0" w:color="auto"/>
              <w:right w:val="single" w:sz="4" w:space="0" w:color="auto"/>
            </w:tcBorders>
            <w:shd w:val="clear" w:color="auto" w:fill="auto"/>
            <w:noWrap/>
            <w:vAlign w:val="center"/>
            <w:hideMark/>
          </w:tcPr>
          <w:p w14:paraId="4D8888D4" w14:textId="77777777" w:rsidR="00976BD3" w:rsidRPr="00976BD3" w:rsidRDefault="00976BD3" w:rsidP="00976BD3">
            <w:pPr>
              <w:spacing w:line="240" w:lineRule="auto"/>
              <w:jc w:val="right"/>
              <w:rPr>
                <w:rFonts w:asciiTheme="minorHAnsi" w:hAnsiTheme="minorHAnsi" w:cstheme="minorHAnsi"/>
                <w:sz w:val="18"/>
                <w:szCs w:val="18"/>
                <w:lang w:val="es-CR" w:eastAsia="es-CR"/>
              </w:rPr>
            </w:pPr>
            <w:r w:rsidRPr="00976BD3">
              <w:rPr>
                <w:rFonts w:asciiTheme="minorHAnsi" w:hAnsiTheme="minorHAnsi" w:cstheme="minorHAnsi"/>
                <w:sz w:val="18"/>
                <w:szCs w:val="18"/>
                <w:lang w:val="es-CR" w:eastAsia="es-CR"/>
              </w:rPr>
              <w:t>951 756</w:t>
            </w:r>
          </w:p>
        </w:tc>
        <w:tc>
          <w:tcPr>
            <w:tcW w:w="992" w:type="dxa"/>
            <w:tcBorders>
              <w:top w:val="nil"/>
              <w:left w:val="nil"/>
              <w:bottom w:val="single" w:sz="4" w:space="0" w:color="auto"/>
              <w:right w:val="single" w:sz="4" w:space="0" w:color="auto"/>
            </w:tcBorders>
            <w:shd w:val="clear" w:color="auto" w:fill="auto"/>
            <w:noWrap/>
            <w:vAlign w:val="center"/>
            <w:hideMark/>
          </w:tcPr>
          <w:p w14:paraId="09F6037D" w14:textId="77777777" w:rsidR="00976BD3" w:rsidRPr="00976BD3" w:rsidRDefault="00976BD3" w:rsidP="00976BD3">
            <w:pPr>
              <w:spacing w:line="240" w:lineRule="auto"/>
              <w:jc w:val="center"/>
              <w:rPr>
                <w:rFonts w:asciiTheme="minorHAnsi" w:hAnsiTheme="minorHAnsi" w:cstheme="minorHAnsi"/>
                <w:sz w:val="18"/>
                <w:szCs w:val="18"/>
                <w:lang w:val="es-CR" w:eastAsia="es-CR"/>
              </w:rPr>
            </w:pPr>
            <w:r w:rsidRPr="00976BD3">
              <w:rPr>
                <w:rFonts w:asciiTheme="minorHAnsi" w:hAnsiTheme="minorHAnsi" w:cstheme="minorHAnsi"/>
                <w:sz w:val="18"/>
                <w:szCs w:val="18"/>
                <w:lang w:val="es-CR" w:eastAsia="es-CR"/>
              </w:rPr>
              <w:t>5%</w:t>
            </w:r>
          </w:p>
        </w:tc>
      </w:tr>
      <w:tr w:rsidR="00976BD3" w:rsidRPr="00976BD3" w14:paraId="2455C047" w14:textId="77777777" w:rsidTr="00976BD3">
        <w:trPr>
          <w:trHeight w:val="26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D1400BE" w14:textId="77777777" w:rsidR="00976BD3" w:rsidRPr="00976BD3" w:rsidRDefault="00976BD3" w:rsidP="00976BD3">
            <w:pPr>
              <w:spacing w:line="240" w:lineRule="auto"/>
              <w:jc w:val="center"/>
              <w:rPr>
                <w:rFonts w:asciiTheme="minorHAnsi" w:hAnsiTheme="minorHAnsi" w:cstheme="minorHAnsi"/>
                <w:sz w:val="18"/>
                <w:szCs w:val="18"/>
                <w:lang w:val="es-CR" w:eastAsia="es-CR"/>
              </w:rPr>
            </w:pPr>
            <w:r w:rsidRPr="00976BD3">
              <w:rPr>
                <w:rFonts w:asciiTheme="minorHAnsi" w:hAnsiTheme="minorHAnsi" w:cstheme="minorHAnsi"/>
                <w:sz w:val="18"/>
                <w:szCs w:val="18"/>
                <w:lang w:val="es-CR" w:eastAsia="es-CR"/>
              </w:rPr>
              <w:t>2.99.03</w:t>
            </w:r>
          </w:p>
        </w:tc>
        <w:tc>
          <w:tcPr>
            <w:tcW w:w="956" w:type="dxa"/>
            <w:tcBorders>
              <w:top w:val="nil"/>
              <w:left w:val="nil"/>
              <w:bottom w:val="single" w:sz="4" w:space="0" w:color="auto"/>
              <w:right w:val="single" w:sz="4" w:space="0" w:color="auto"/>
            </w:tcBorders>
            <w:shd w:val="clear" w:color="auto" w:fill="auto"/>
            <w:noWrap/>
            <w:vAlign w:val="center"/>
            <w:hideMark/>
          </w:tcPr>
          <w:p w14:paraId="136D5CC2" w14:textId="77777777" w:rsidR="00976BD3" w:rsidRPr="00976BD3" w:rsidRDefault="00976BD3" w:rsidP="00976BD3">
            <w:pPr>
              <w:spacing w:line="240" w:lineRule="auto"/>
              <w:jc w:val="center"/>
              <w:rPr>
                <w:rFonts w:asciiTheme="minorHAnsi" w:hAnsiTheme="minorHAnsi" w:cstheme="minorHAnsi"/>
                <w:sz w:val="18"/>
                <w:szCs w:val="18"/>
                <w:lang w:val="es-CR" w:eastAsia="es-CR"/>
              </w:rPr>
            </w:pPr>
            <w:r w:rsidRPr="00976BD3">
              <w:rPr>
                <w:rFonts w:asciiTheme="minorHAnsi" w:hAnsiTheme="minorHAnsi" w:cstheme="minorHAnsi"/>
                <w:sz w:val="18"/>
                <w:szCs w:val="18"/>
                <w:lang w:val="es-CR" w:eastAsia="es-CR"/>
              </w:rPr>
              <w:t>1.1.2</w:t>
            </w:r>
          </w:p>
        </w:tc>
        <w:tc>
          <w:tcPr>
            <w:tcW w:w="2446" w:type="dxa"/>
            <w:tcBorders>
              <w:top w:val="nil"/>
              <w:left w:val="nil"/>
              <w:bottom w:val="single" w:sz="4" w:space="0" w:color="auto"/>
              <w:right w:val="single" w:sz="4" w:space="0" w:color="auto"/>
            </w:tcBorders>
            <w:shd w:val="clear" w:color="auto" w:fill="auto"/>
            <w:noWrap/>
            <w:vAlign w:val="center"/>
            <w:hideMark/>
          </w:tcPr>
          <w:p w14:paraId="658C28E2" w14:textId="77777777" w:rsidR="00976BD3" w:rsidRPr="00976BD3" w:rsidRDefault="00976BD3" w:rsidP="00976BD3">
            <w:pPr>
              <w:spacing w:line="240" w:lineRule="auto"/>
              <w:jc w:val="left"/>
              <w:rPr>
                <w:rFonts w:asciiTheme="minorHAnsi" w:hAnsiTheme="minorHAnsi" w:cstheme="minorHAnsi"/>
                <w:sz w:val="18"/>
                <w:szCs w:val="18"/>
                <w:lang w:val="es-CR" w:eastAsia="es-CR"/>
              </w:rPr>
            </w:pPr>
            <w:r w:rsidRPr="00976BD3">
              <w:rPr>
                <w:rFonts w:asciiTheme="minorHAnsi" w:hAnsiTheme="minorHAnsi" w:cstheme="minorHAnsi"/>
                <w:sz w:val="18"/>
                <w:szCs w:val="18"/>
                <w:lang w:val="es-CR" w:eastAsia="es-CR"/>
              </w:rPr>
              <w:t>Productos de papel, cartón e impresos</w:t>
            </w:r>
          </w:p>
        </w:tc>
        <w:tc>
          <w:tcPr>
            <w:tcW w:w="1276" w:type="dxa"/>
            <w:tcBorders>
              <w:top w:val="nil"/>
              <w:left w:val="nil"/>
              <w:bottom w:val="single" w:sz="4" w:space="0" w:color="auto"/>
              <w:right w:val="single" w:sz="4" w:space="0" w:color="auto"/>
            </w:tcBorders>
            <w:shd w:val="clear" w:color="auto" w:fill="auto"/>
            <w:noWrap/>
            <w:vAlign w:val="center"/>
            <w:hideMark/>
          </w:tcPr>
          <w:p w14:paraId="4D095EF6" w14:textId="77777777" w:rsidR="00976BD3" w:rsidRPr="00976BD3" w:rsidRDefault="00976BD3" w:rsidP="00976BD3">
            <w:pPr>
              <w:spacing w:line="240" w:lineRule="auto"/>
              <w:jc w:val="right"/>
              <w:rPr>
                <w:rFonts w:asciiTheme="minorHAnsi" w:hAnsiTheme="minorHAnsi" w:cstheme="minorHAnsi"/>
                <w:sz w:val="18"/>
                <w:szCs w:val="18"/>
                <w:lang w:val="es-CR" w:eastAsia="es-CR"/>
              </w:rPr>
            </w:pPr>
            <w:r w:rsidRPr="00976BD3">
              <w:rPr>
                <w:rFonts w:asciiTheme="minorHAnsi" w:hAnsiTheme="minorHAnsi" w:cstheme="minorHAnsi"/>
                <w:sz w:val="18"/>
                <w:szCs w:val="18"/>
                <w:lang w:val="es-CR" w:eastAsia="es-CR"/>
              </w:rPr>
              <w:t>2 120 000</w:t>
            </w:r>
          </w:p>
        </w:tc>
        <w:tc>
          <w:tcPr>
            <w:tcW w:w="1134" w:type="dxa"/>
            <w:tcBorders>
              <w:top w:val="nil"/>
              <w:left w:val="nil"/>
              <w:bottom w:val="single" w:sz="4" w:space="0" w:color="auto"/>
              <w:right w:val="single" w:sz="4" w:space="0" w:color="auto"/>
            </w:tcBorders>
            <w:shd w:val="clear" w:color="auto" w:fill="auto"/>
            <w:noWrap/>
            <w:vAlign w:val="center"/>
            <w:hideMark/>
          </w:tcPr>
          <w:p w14:paraId="7B8CDCAE" w14:textId="77777777" w:rsidR="00976BD3" w:rsidRPr="00976BD3" w:rsidRDefault="00976BD3" w:rsidP="00976BD3">
            <w:pPr>
              <w:spacing w:line="240" w:lineRule="auto"/>
              <w:jc w:val="right"/>
              <w:rPr>
                <w:rFonts w:asciiTheme="minorHAnsi" w:hAnsiTheme="minorHAnsi" w:cstheme="minorHAnsi"/>
                <w:sz w:val="18"/>
                <w:szCs w:val="18"/>
                <w:lang w:val="es-CR" w:eastAsia="es-CR"/>
              </w:rPr>
            </w:pPr>
            <w:r w:rsidRPr="00976BD3">
              <w:rPr>
                <w:rFonts w:asciiTheme="minorHAnsi" w:hAnsiTheme="minorHAnsi" w:cstheme="minorHAnsi"/>
                <w:sz w:val="18"/>
                <w:szCs w:val="18"/>
                <w:lang w:val="es-CR" w:eastAsia="es-CR"/>
              </w:rPr>
              <w:t>501 580</w:t>
            </w:r>
          </w:p>
        </w:tc>
        <w:tc>
          <w:tcPr>
            <w:tcW w:w="850" w:type="dxa"/>
            <w:tcBorders>
              <w:top w:val="nil"/>
              <w:left w:val="nil"/>
              <w:bottom w:val="single" w:sz="4" w:space="0" w:color="auto"/>
              <w:right w:val="single" w:sz="4" w:space="0" w:color="auto"/>
            </w:tcBorders>
            <w:shd w:val="clear" w:color="auto" w:fill="auto"/>
            <w:noWrap/>
            <w:vAlign w:val="center"/>
            <w:hideMark/>
          </w:tcPr>
          <w:p w14:paraId="65FAECD4" w14:textId="77777777" w:rsidR="00976BD3" w:rsidRPr="00976BD3" w:rsidRDefault="00976BD3" w:rsidP="00976BD3">
            <w:pPr>
              <w:spacing w:line="240" w:lineRule="auto"/>
              <w:jc w:val="right"/>
              <w:rPr>
                <w:rFonts w:asciiTheme="minorHAnsi" w:hAnsiTheme="minorHAnsi" w:cstheme="minorHAnsi"/>
                <w:sz w:val="18"/>
                <w:szCs w:val="18"/>
                <w:lang w:val="es-CR" w:eastAsia="es-CR"/>
              </w:rPr>
            </w:pPr>
            <w:r w:rsidRPr="00976BD3">
              <w:rPr>
                <w:rFonts w:asciiTheme="minorHAnsi" w:hAnsiTheme="minorHAnsi" w:cstheme="minorHAnsi"/>
                <w:sz w:val="18"/>
                <w:szCs w:val="18"/>
                <w:lang w:val="es-CR" w:eastAsia="es-CR"/>
              </w:rPr>
              <w:t>0</w:t>
            </w:r>
          </w:p>
        </w:tc>
        <w:tc>
          <w:tcPr>
            <w:tcW w:w="1276" w:type="dxa"/>
            <w:tcBorders>
              <w:top w:val="nil"/>
              <w:left w:val="nil"/>
              <w:bottom w:val="single" w:sz="4" w:space="0" w:color="auto"/>
              <w:right w:val="single" w:sz="4" w:space="0" w:color="auto"/>
            </w:tcBorders>
            <w:shd w:val="clear" w:color="auto" w:fill="auto"/>
            <w:noWrap/>
            <w:vAlign w:val="center"/>
            <w:hideMark/>
          </w:tcPr>
          <w:p w14:paraId="665C7753" w14:textId="77777777" w:rsidR="00976BD3" w:rsidRPr="00976BD3" w:rsidRDefault="00976BD3" w:rsidP="00976BD3">
            <w:pPr>
              <w:spacing w:line="240" w:lineRule="auto"/>
              <w:jc w:val="right"/>
              <w:rPr>
                <w:rFonts w:asciiTheme="minorHAnsi" w:hAnsiTheme="minorHAnsi" w:cstheme="minorHAnsi"/>
                <w:sz w:val="18"/>
                <w:szCs w:val="18"/>
                <w:lang w:val="es-CR" w:eastAsia="es-CR"/>
              </w:rPr>
            </w:pPr>
            <w:r w:rsidRPr="00976BD3">
              <w:rPr>
                <w:rFonts w:asciiTheme="minorHAnsi" w:hAnsiTheme="minorHAnsi" w:cstheme="minorHAnsi"/>
                <w:sz w:val="18"/>
                <w:szCs w:val="18"/>
                <w:lang w:val="es-CR" w:eastAsia="es-CR"/>
              </w:rPr>
              <w:t>1 618 420</w:t>
            </w:r>
          </w:p>
        </w:tc>
        <w:tc>
          <w:tcPr>
            <w:tcW w:w="992" w:type="dxa"/>
            <w:tcBorders>
              <w:top w:val="nil"/>
              <w:left w:val="nil"/>
              <w:bottom w:val="single" w:sz="4" w:space="0" w:color="auto"/>
              <w:right w:val="single" w:sz="4" w:space="0" w:color="auto"/>
            </w:tcBorders>
            <w:shd w:val="clear" w:color="auto" w:fill="auto"/>
            <w:noWrap/>
            <w:vAlign w:val="center"/>
            <w:hideMark/>
          </w:tcPr>
          <w:p w14:paraId="045AA417" w14:textId="77777777" w:rsidR="00976BD3" w:rsidRPr="00976BD3" w:rsidRDefault="00976BD3" w:rsidP="00976BD3">
            <w:pPr>
              <w:spacing w:line="240" w:lineRule="auto"/>
              <w:jc w:val="center"/>
              <w:rPr>
                <w:rFonts w:asciiTheme="minorHAnsi" w:hAnsiTheme="minorHAnsi" w:cstheme="minorHAnsi"/>
                <w:sz w:val="18"/>
                <w:szCs w:val="18"/>
                <w:lang w:val="es-CR" w:eastAsia="es-CR"/>
              </w:rPr>
            </w:pPr>
            <w:r w:rsidRPr="00976BD3">
              <w:rPr>
                <w:rFonts w:asciiTheme="minorHAnsi" w:hAnsiTheme="minorHAnsi" w:cstheme="minorHAnsi"/>
                <w:sz w:val="18"/>
                <w:szCs w:val="18"/>
                <w:lang w:val="es-CR" w:eastAsia="es-CR"/>
              </w:rPr>
              <w:t>24%</w:t>
            </w:r>
          </w:p>
        </w:tc>
      </w:tr>
      <w:tr w:rsidR="00976BD3" w:rsidRPr="00976BD3" w14:paraId="19F097DA" w14:textId="77777777" w:rsidTr="00976BD3">
        <w:trPr>
          <w:trHeight w:val="26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8BE26EF" w14:textId="77777777" w:rsidR="00976BD3" w:rsidRPr="00976BD3" w:rsidRDefault="00976BD3" w:rsidP="00976BD3">
            <w:pPr>
              <w:spacing w:line="240" w:lineRule="auto"/>
              <w:jc w:val="center"/>
              <w:rPr>
                <w:rFonts w:asciiTheme="minorHAnsi" w:hAnsiTheme="minorHAnsi" w:cstheme="minorHAnsi"/>
                <w:sz w:val="18"/>
                <w:szCs w:val="18"/>
                <w:lang w:val="es-CR" w:eastAsia="es-CR"/>
              </w:rPr>
            </w:pPr>
            <w:r w:rsidRPr="00976BD3">
              <w:rPr>
                <w:rFonts w:asciiTheme="minorHAnsi" w:hAnsiTheme="minorHAnsi" w:cstheme="minorHAnsi"/>
                <w:sz w:val="18"/>
                <w:szCs w:val="18"/>
                <w:lang w:val="es-CR" w:eastAsia="es-CR"/>
              </w:rPr>
              <w:t>2.99.04</w:t>
            </w:r>
          </w:p>
        </w:tc>
        <w:tc>
          <w:tcPr>
            <w:tcW w:w="956" w:type="dxa"/>
            <w:tcBorders>
              <w:top w:val="nil"/>
              <w:left w:val="nil"/>
              <w:bottom w:val="single" w:sz="4" w:space="0" w:color="auto"/>
              <w:right w:val="single" w:sz="4" w:space="0" w:color="auto"/>
            </w:tcBorders>
            <w:shd w:val="clear" w:color="auto" w:fill="auto"/>
            <w:noWrap/>
            <w:vAlign w:val="center"/>
            <w:hideMark/>
          </w:tcPr>
          <w:p w14:paraId="01E848B7" w14:textId="77777777" w:rsidR="00976BD3" w:rsidRPr="00976BD3" w:rsidRDefault="00976BD3" w:rsidP="00976BD3">
            <w:pPr>
              <w:spacing w:line="240" w:lineRule="auto"/>
              <w:jc w:val="center"/>
              <w:rPr>
                <w:rFonts w:asciiTheme="minorHAnsi" w:hAnsiTheme="minorHAnsi" w:cstheme="minorHAnsi"/>
                <w:sz w:val="18"/>
                <w:szCs w:val="18"/>
                <w:lang w:val="es-CR" w:eastAsia="es-CR"/>
              </w:rPr>
            </w:pPr>
            <w:r w:rsidRPr="00976BD3">
              <w:rPr>
                <w:rFonts w:asciiTheme="minorHAnsi" w:hAnsiTheme="minorHAnsi" w:cstheme="minorHAnsi"/>
                <w:sz w:val="18"/>
                <w:szCs w:val="18"/>
                <w:lang w:val="es-CR" w:eastAsia="es-CR"/>
              </w:rPr>
              <w:t>1.1.2</w:t>
            </w:r>
          </w:p>
        </w:tc>
        <w:tc>
          <w:tcPr>
            <w:tcW w:w="2446" w:type="dxa"/>
            <w:tcBorders>
              <w:top w:val="nil"/>
              <w:left w:val="nil"/>
              <w:bottom w:val="single" w:sz="4" w:space="0" w:color="auto"/>
              <w:right w:val="single" w:sz="4" w:space="0" w:color="auto"/>
            </w:tcBorders>
            <w:shd w:val="clear" w:color="auto" w:fill="auto"/>
            <w:noWrap/>
            <w:vAlign w:val="center"/>
            <w:hideMark/>
          </w:tcPr>
          <w:p w14:paraId="473A3633" w14:textId="77777777" w:rsidR="00976BD3" w:rsidRPr="00976BD3" w:rsidRDefault="00976BD3" w:rsidP="00976BD3">
            <w:pPr>
              <w:spacing w:line="240" w:lineRule="auto"/>
              <w:jc w:val="left"/>
              <w:rPr>
                <w:rFonts w:asciiTheme="minorHAnsi" w:hAnsiTheme="minorHAnsi" w:cstheme="minorHAnsi"/>
                <w:sz w:val="18"/>
                <w:szCs w:val="18"/>
                <w:lang w:val="es-CR" w:eastAsia="es-CR"/>
              </w:rPr>
            </w:pPr>
            <w:r w:rsidRPr="00976BD3">
              <w:rPr>
                <w:rFonts w:asciiTheme="minorHAnsi" w:hAnsiTheme="minorHAnsi" w:cstheme="minorHAnsi"/>
                <w:sz w:val="18"/>
                <w:szCs w:val="18"/>
                <w:lang w:val="es-CR" w:eastAsia="es-CR"/>
              </w:rPr>
              <w:t>Textiles y vestuario</w:t>
            </w:r>
          </w:p>
        </w:tc>
        <w:tc>
          <w:tcPr>
            <w:tcW w:w="1276" w:type="dxa"/>
            <w:tcBorders>
              <w:top w:val="nil"/>
              <w:left w:val="nil"/>
              <w:bottom w:val="single" w:sz="4" w:space="0" w:color="auto"/>
              <w:right w:val="single" w:sz="4" w:space="0" w:color="auto"/>
            </w:tcBorders>
            <w:shd w:val="clear" w:color="auto" w:fill="auto"/>
            <w:noWrap/>
            <w:vAlign w:val="center"/>
            <w:hideMark/>
          </w:tcPr>
          <w:p w14:paraId="1F3E1255" w14:textId="77777777" w:rsidR="00976BD3" w:rsidRPr="00976BD3" w:rsidRDefault="00976BD3" w:rsidP="00976BD3">
            <w:pPr>
              <w:spacing w:line="240" w:lineRule="auto"/>
              <w:jc w:val="right"/>
              <w:rPr>
                <w:rFonts w:asciiTheme="minorHAnsi" w:hAnsiTheme="minorHAnsi" w:cstheme="minorHAnsi"/>
                <w:sz w:val="18"/>
                <w:szCs w:val="18"/>
                <w:lang w:val="es-CR" w:eastAsia="es-CR"/>
              </w:rPr>
            </w:pPr>
            <w:r w:rsidRPr="00976BD3">
              <w:rPr>
                <w:rFonts w:asciiTheme="minorHAnsi" w:hAnsiTheme="minorHAnsi" w:cstheme="minorHAnsi"/>
                <w:sz w:val="18"/>
                <w:szCs w:val="18"/>
                <w:lang w:val="es-CR" w:eastAsia="es-CR"/>
              </w:rPr>
              <w:t>600 000</w:t>
            </w:r>
          </w:p>
        </w:tc>
        <w:tc>
          <w:tcPr>
            <w:tcW w:w="1134" w:type="dxa"/>
            <w:tcBorders>
              <w:top w:val="nil"/>
              <w:left w:val="nil"/>
              <w:bottom w:val="single" w:sz="4" w:space="0" w:color="auto"/>
              <w:right w:val="single" w:sz="4" w:space="0" w:color="auto"/>
            </w:tcBorders>
            <w:shd w:val="clear" w:color="auto" w:fill="auto"/>
            <w:noWrap/>
            <w:vAlign w:val="center"/>
            <w:hideMark/>
          </w:tcPr>
          <w:p w14:paraId="2B51FC28" w14:textId="77777777" w:rsidR="00976BD3" w:rsidRPr="00976BD3" w:rsidRDefault="00976BD3" w:rsidP="00976BD3">
            <w:pPr>
              <w:spacing w:line="240" w:lineRule="auto"/>
              <w:jc w:val="right"/>
              <w:rPr>
                <w:rFonts w:asciiTheme="minorHAnsi" w:hAnsiTheme="minorHAnsi" w:cstheme="minorHAnsi"/>
                <w:sz w:val="18"/>
                <w:szCs w:val="18"/>
                <w:lang w:val="es-CR" w:eastAsia="es-CR"/>
              </w:rPr>
            </w:pPr>
            <w:r w:rsidRPr="00976BD3">
              <w:rPr>
                <w:rFonts w:asciiTheme="minorHAnsi" w:hAnsiTheme="minorHAnsi" w:cstheme="minorHAnsi"/>
                <w:sz w:val="18"/>
                <w:szCs w:val="18"/>
                <w:lang w:val="es-CR" w:eastAsia="es-CR"/>
              </w:rPr>
              <w:t>0</w:t>
            </w:r>
          </w:p>
        </w:tc>
        <w:tc>
          <w:tcPr>
            <w:tcW w:w="850" w:type="dxa"/>
            <w:tcBorders>
              <w:top w:val="nil"/>
              <w:left w:val="nil"/>
              <w:bottom w:val="single" w:sz="4" w:space="0" w:color="auto"/>
              <w:right w:val="single" w:sz="4" w:space="0" w:color="auto"/>
            </w:tcBorders>
            <w:shd w:val="clear" w:color="auto" w:fill="auto"/>
            <w:noWrap/>
            <w:vAlign w:val="center"/>
            <w:hideMark/>
          </w:tcPr>
          <w:p w14:paraId="034343A1" w14:textId="77777777" w:rsidR="00976BD3" w:rsidRPr="00976BD3" w:rsidRDefault="00976BD3" w:rsidP="00976BD3">
            <w:pPr>
              <w:spacing w:line="240" w:lineRule="auto"/>
              <w:jc w:val="right"/>
              <w:rPr>
                <w:rFonts w:asciiTheme="minorHAnsi" w:hAnsiTheme="minorHAnsi" w:cstheme="minorHAnsi"/>
                <w:sz w:val="18"/>
                <w:szCs w:val="18"/>
                <w:lang w:val="es-CR" w:eastAsia="es-CR"/>
              </w:rPr>
            </w:pPr>
            <w:r w:rsidRPr="00976BD3">
              <w:rPr>
                <w:rFonts w:asciiTheme="minorHAnsi" w:hAnsiTheme="minorHAnsi" w:cstheme="minorHAnsi"/>
                <w:sz w:val="18"/>
                <w:szCs w:val="18"/>
                <w:lang w:val="es-CR" w:eastAsia="es-CR"/>
              </w:rPr>
              <w:t>0</w:t>
            </w:r>
          </w:p>
        </w:tc>
        <w:tc>
          <w:tcPr>
            <w:tcW w:w="1276" w:type="dxa"/>
            <w:tcBorders>
              <w:top w:val="nil"/>
              <w:left w:val="nil"/>
              <w:bottom w:val="single" w:sz="4" w:space="0" w:color="auto"/>
              <w:right w:val="single" w:sz="4" w:space="0" w:color="auto"/>
            </w:tcBorders>
            <w:shd w:val="clear" w:color="auto" w:fill="auto"/>
            <w:noWrap/>
            <w:vAlign w:val="center"/>
            <w:hideMark/>
          </w:tcPr>
          <w:p w14:paraId="46863AB3" w14:textId="77777777" w:rsidR="00976BD3" w:rsidRPr="00976BD3" w:rsidRDefault="00976BD3" w:rsidP="00976BD3">
            <w:pPr>
              <w:spacing w:line="240" w:lineRule="auto"/>
              <w:jc w:val="right"/>
              <w:rPr>
                <w:rFonts w:asciiTheme="minorHAnsi" w:hAnsiTheme="minorHAnsi" w:cstheme="minorHAnsi"/>
                <w:sz w:val="18"/>
                <w:szCs w:val="18"/>
                <w:lang w:val="es-CR" w:eastAsia="es-CR"/>
              </w:rPr>
            </w:pPr>
            <w:r w:rsidRPr="00976BD3">
              <w:rPr>
                <w:rFonts w:asciiTheme="minorHAnsi" w:hAnsiTheme="minorHAnsi" w:cstheme="minorHAnsi"/>
                <w:sz w:val="18"/>
                <w:szCs w:val="18"/>
                <w:lang w:val="es-CR" w:eastAsia="es-CR"/>
              </w:rPr>
              <w:t>600 000</w:t>
            </w:r>
          </w:p>
        </w:tc>
        <w:tc>
          <w:tcPr>
            <w:tcW w:w="992" w:type="dxa"/>
            <w:tcBorders>
              <w:top w:val="nil"/>
              <w:left w:val="nil"/>
              <w:bottom w:val="single" w:sz="4" w:space="0" w:color="auto"/>
              <w:right w:val="single" w:sz="4" w:space="0" w:color="auto"/>
            </w:tcBorders>
            <w:shd w:val="clear" w:color="auto" w:fill="auto"/>
            <w:noWrap/>
            <w:vAlign w:val="center"/>
            <w:hideMark/>
          </w:tcPr>
          <w:p w14:paraId="2686BC40" w14:textId="77777777" w:rsidR="00976BD3" w:rsidRPr="00976BD3" w:rsidRDefault="00976BD3" w:rsidP="00976BD3">
            <w:pPr>
              <w:spacing w:line="240" w:lineRule="auto"/>
              <w:jc w:val="center"/>
              <w:rPr>
                <w:rFonts w:asciiTheme="minorHAnsi" w:hAnsiTheme="minorHAnsi" w:cstheme="minorHAnsi"/>
                <w:sz w:val="18"/>
                <w:szCs w:val="18"/>
                <w:lang w:val="es-CR" w:eastAsia="es-CR"/>
              </w:rPr>
            </w:pPr>
            <w:r w:rsidRPr="00976BD3">
              <w:rPr>
                <w:rFonts w:asciiTheme="minorHAnsi" w:hAnsiTheme="minorHAnsi" w:cstheme="minorHAnsi"/>
                <w:sz w:val="18"/>
                <w:szCs w:val="18"/>
                <w:lang w:val="es-CR" w:eastAsia="es-CR"/>
              </w:rPr>
              <w:t>0%</w:t>
            </w:r>
          </w:p>
        </w:tc>
      </w:tr>
      <w:tr w:rsidR="00976BD3" w:rsidRPr="00976BD3" w14:paraId="2546BB05" w14:textId="77777777" w:rsidTr="00976BD3">
        <w:trPr>
          <w:trHeight w:val="26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DFE4D4D" w14:textId="77777777" w:rsidR="00976BD3" w:rsidRPr="00976BD3" w:rsidRDefault="00976BD3" w:rsidP="00976BD3">
            <w:pPr>
              <w:spacing w:line="240" w:lineRule="auto"/>
              <w:jc w:val="center"/>
              <w:rPr>
                <w:rFonts w:asciiTheme="minorHAnsi" w:hAnsiTheme="minorHAnsi" w:cstheme="minorHAnsi"/>
                <w:sz w:val="18"/>
                <w:szCs w:val="18"/>
                <w:lang w:val="es-CR" w:eastAsia="es-CR"/>
              </w:rPr>
            </w:pPr>
            <w:r w:rsidRPr="00976BD3">
              <w:rPr>
                <w:rFonts w:asciiTheme="minorHAnsi" w:hAnsiTheme="minorHAnsi" w:cstheme="minorHAnsi"/>
                <w:sz w:val="18"/>
                <w:szCs w:val="18"/>
                <w:lang w:val="es-CR" w:eastAsia="es-CR"/>
              </w:rPr>
              <w:t>2.99.05</w:t>
            </w:r>
          </w:p>
        </w:tc>
        <w:tc>
          <w:tcPr>
            <w:tcW w:w="956" w:type="dxa"/>
            <w:tcBorders>
              <w:top w:val="nil"/>
              <w:left w:val="nil"/>
              <w:bottom w:val="single" w:sz="4" w:space="0" w:color="auto"/>
              <w:right w:val="single" w:sz="4" w:space="0" w:color="auto"/>
            </w:tcBorders>
            <w:shd w:val="clear" w:color="auto" w:fill="auto"/>
            <w:noWrap/>
            <w:vAlign w:val="center"/>
            <w:hideMark/>
          </w:tcPr>
          <w:p w14:paraId="5FE86B45" w14:textId="77777777" w:rsidR="00976BD3" w:rsidRPr="00976BD3" w:rsidRDefault="00976BD3" w:rsidP="00976BD3">
            <w:pPr>
              <w:spacing w:line="240" w:lineRule="auto"/>
              <w:jc w:val="center"/>
              <w:rPr>
                <w:rFonts w:asciiTheme="minorHAnsi" w:hAnsiTheme="minorHAnsi" w:cstheme="minorHAnsi"/>
                <w:sz w:val="18"/>
                <w:szCs w:val="18"/>
                <w:lang w:val="es-CR" w:eastAsia="es-CR"/>
              </w:rPr>
            </w:pPr>
            <w:r w:rsidRPr="00976BD3">
              <w:rPr>
                <w:rFonts w:asciiTheme="minorHAnsi" w:hAnsiTheme="minorHAnsi" w:cstheme="minorHAnsi"/>
                <w:sz w:val="18"/>
                <w:szCs w:val="18"/>
                <w:lang w:val="es-CR" w:eastAsia="es-CR"/>
              </w:rPr>
              <w:t>1.1.2</w:t>
            </w:r>
          </w:p>
        </w:tc>
        <w:tc>
          <w:tcPr>
            <w:tcW w:w="2446" w:type="dxa"/>
            <w:tcBorders>
              <w:top w:val="nil"/>
              <w:left w:val="nil"/>
              <w:bottom w:val="single" w:sz="4" w:space="0" w:color="auto"/>
              <w:right w:val="single" w:sz="4" w:space="0" w:color="auto"/>
            </w:tcBorders>
            <w:shd w:val="clear" w:color="auto" w:fill="auto"/>
            <w:noWrap/>
            <w:vAlign w:val="center"/>
            <w:hideMark/>
          </w:tcPr>
          <w:p w14:paraId="72683046" w14:textId="77777777" w:rsidR="00976BD3" w:rsidRPr="00976BD3" w:rsidRDefault="00976BD3" w:rsidP="00976BD3">
            <w:pPr>
              <w:spacing w:line="240" w:lineRule="auto"/>
              <w:jc w:val="left"/>
              <w:rPr>
                <w:rFonts w:asciiTheme="minorHAnsi" w:hAnsiTheme="minorHAnsi" w:cstheme="minorHAnsi"/>
                <w:sz w:val="18"/>
                <w:szCs w:val="18"/>
                <w:lang w:val="es-CR" w:eastAsia="es-CR"/>
              </w:rPr>
            </w:pPr>
            <w:r w:rsidRPr="00976BD3">
              <w:rPr>
                <w:rFonts w:asciiTheme="minorHAnsi" w:hAnsiTheme="minorHAnsi" w:cstheme="minorHAnsi"/>
                <w:sz w:val="18"/>
                <w:szCs w:val="18"/>
                <w:lang w:val="es-CR" w:eastAsia="es-CR"/>
              </w:rPr>
              <w:t>Útiles y materiales de limpieza</w:t>
            </w:r>
          </w:p>
        </w:tc>
        <w:tc>
          <w:tcPr>
            <w:tcW w:w="1276" w:type="dxa"/>
            <w:tcBorders>
              <w:top w:val="nil"/>
              <w:left w:val="nil"/>
              <w:bottom w:val="single" w:sz="4" w:space="0" w:color="auto"/>
              <w:right w:val="single" w:sz="4" w:space="0" w:color="auto"/>
            </w:tcBorders>
            <w:shd w:val="clear" w:color="auto" w:fill="auto"/>
            <w:noWrap/>
            <w:vAlign w:val="center"/>
            <w:hideMark/>
          </w:tcPr>
          <w:p w14:paraId="2210D116" w14:textId="77777777" w:rsidR="00976BD3" w:rsidRPr="00976BD3" w:rsidRDefault="00976BD3" w:rsidP="00976BD3">
            <w:pPr>
              <w:spacing w:line="240" w:lineRule="auto"/>
              <w:jc w:val="right"/>
              <w:rPr>
                <w:rFonts w:asciiTheme="minorHAnsi" w:hAnsiTheme="minorHAnsi" w:cstheme="minorHAnsi"/>
                <w:sz w:val="18"/>
                <w:szCs w:val="18"/>
                <w:lang w:val="es-CR" w:eastAsia="es-CR"/>
              </w:rPr>
            </w:pPr>
            <w:r w:rsidRPr="00976BD3">
              <w:rPr>
                <w:rFonts w:asciiTheme="minorHAnsi" w:hAnsiTheme="minorHAnsi" w:cstheme="minorHAnsi"/>
                <w:sz w:val="18"/>
                <w:szCs w:val="18"/>
                <w:lang w:val="es-CR" w:eastAsia="es-CR"/>
              </w:rPr>
              <w:t>7 365 000</w:t>
            </w:r>
          </w:p>
        </w:tc>
        <w:tc>
          <w:tcPr>
            <w:tcW w:w="1134" w:type="dxa"/>
            <w:tcBorders>
              <w:top w:val="nil"/>
              <w:left w:val="nil"/>
              <w:bottom w:val="single" w:sz="4" w:space="0" w:color="auto"/>
              <w:right w:val="single" w:sz="4" w:space="0" w:color="auto"/>
            </w:tcBorders>
            <w:shd w:val="clear" w:color="auto" w:fill="auto"/>
            <w:noWrap/>
            <w:vAlign w:val="center"/>
            <w:hideMark/>
          </w:tcPr>
          <w:p w14:paraId="7A3202F1" w14:textId="77777777" w:rsidR="00976BD3" w:rsidRPr="00976BD3" w:rsidRDefault="00976BD3" w:rsidP="00976BD3">
            <w:pPr>
              <w:spacing w:line="240" w:lineRule="auto"/>
              <w:jc w:val="right"/>
              <w:rPr>
                <w:rFonts w:asciiTheme="minorHAnsi" w:hAnsiTheme="minorHAnsi" w:cstheme="minorHAnsi"/>
                <w:sz w:val="18"/>
                <w:szCs w:val="18"/>
                <w:lang w:val="es-CR" w:eastAsia="es-CR"/>
              </w:rPr>
            </w:pPr>
            <w:r w:rsidRPr="00976BD3">
              <w:rPr>
                <w:rFonts w:asciiTheme="minorHAnsi" w:hAnsiTheme="minorHAnsi" w:cstheme="minorHAnsi"/>
                <w:sz w:val="18"/>
                <w:szCs w:val="18"/>
                <w:lang w:val="es-CR" w:eastAsia="es-CR"/>
              </w:rPr>
              <w:t>1 505 190</w:t>
            </w:r>
          </w:p>
        </w:tc>
        <w:tc>
          <w:tcPr>
            <w:tcW w:w="850" w:type="dxa"/>
            <w:tcBorders>
              <w:top w:val="nil"/>
              <w:left w:val="nil"/>
              <w:bottom w:val="single" w:sz="4" w:space="0" w:color="auto"/>
              <w:right w:val="single" w:sz="4" w:space="0" w:color="auto"/>
            </w:tcBorders>
            <w:shd w:val="clear" w:color="auto" w:fill="auto"/>
            <w:noWrap/>
            <w:vAlign w:val="center"/>
            <w:hideMark/>
          </w:tcPr>
          <w:p w14:paraId="6BA7E277" w14:textId="77777777" w:rsidR="00976BD3" w:rsidRPr="00976BD3" w:rsidRDefault="00976BD3" w:rsidP="00976BD3">
            <w:pPr>
              <w:spacing w:line="240" w:lineRule="auto"/>
              <w:jc w:val="right"/>
              <w:rPr>
                <w:rFonts w:asciiTheme="minorHAnsi" w:hAnsiTheme="minorHAnsi" w:cstheme="minorHAnsi"/>
                <w:sz w:val="18"/>
                <w:szCs w:val="18"/>
                <w:lang w:val="es-CR" w:eastAsia="es-CR"/>
              </w:rPr>
            </w:pPr>
            <w:r w:rsidRPr="00976BD3">
              <w:rPr>
                <w:rFonts w:asciiTheme="minorHAnsi" w:hAnsiTheme="minorHAnsi" w:cstheme="minorHAnsi"/>
                <w:sz w:val="18"/>
                <w:szCs w:val="18"/>
                <w:lang w:val="es-CR" w:eastAsia="es-CR"/>
              </w:rPr>
              <w:t>0</w:t>
            </w:r>
          </w:p>
        </w:tc>
        <w:tc>
          <w:tcPr>
            <w:tcW w:w="1276" w:type="dxa"/>
            <w:tcBorders>
              <w:top w:val="nil"/>
              <w:left w:val="nil"/>
              <w:bottom w:val="single" w:sz="4" w:space="0" w:color="auto"/>
              <w:right w:val="single" w:sz="4" w:space="0" w:color="auto"/>
            </w:tcBorders>
            <w:shd w:val="clear" w:color="auto" w:fill="auto"/>
            <w:noWrap/>
            <w:vAlign w:val="center"/>
            <w:hideMark/>
          </w:tcPr>
          <w:p w14:paraId="22A7E672" w14:textId="77777777" w:rsidR="00976BD3" w:rsidRPr="00976BD3" w:rsidRDefault="00976BD3" w:rsidP="00976BD3">
            <w:pPr>
              <w:spacing w:line="240" w:lineRule="auto"/>
              <w:jc w:val="right"/>
              <w:rPr>
                <w:rFonts w:asciiTheme="minorHAnsi" w:hAnsiTheme="minorHAnsi" w:cstheme="minorHAnsi"/>
                <w:sz w:val="18"/>
                <w:szCs w:val="18"/>
                <w:lang w:val="es-CR" w:eastAsia="es-CR"/>
              </w:rPr>
            </w:pPr>
            <w:r w:rsidRPr="00976BD3">
              <w:rPr>
                <w:rFonts w:asciiTheme="minorHAnsi" w:hAnsiTheme="minorHAnsi" w:cstheme="minorHAnsi"/>
                <w:sz w:val="18"/>
                <w:szCs w:val="18"/>
                <w:lang w:val="es-CR" w:eastAsia="es-CR"/>
              </w:rPr>
              <w:t>5 859 810</w:t>
            </w:r>
          </w:p>
        </w:tc>
        <w:tc>
          <w:tcPr>
            <w:tcW w:w="992" w:type="dxa"/>
            <w:tcBorders>
              <w:top w:val="nil"/>
              <w:left w:val="nil"/>
              <w:bottom w:val="single" w:sz="4" w:space="0" w:color="auto"/>
              <w:right w:val="single" w:sz="4" w:space="0" w:color="auto"/>
            </w:tcBorders>
            <w:shd w:val="clear" w:color="auto" w:fill="auto"/>
            <w:noWrap/>
            <w:vAlign w:val="center"/>
            <w:hideMark/>
          </w:tcPr>
          <w:p w14:paraId="1E405698" w14:textId="77777777" w:rsidR="00976BD3" w:rsidRPr="00976BD3" w:rsidRDefault="00976BD3" w:rsidP="00976BD3">
            <w:pPr>
              <w:spacing w:line="240" w:lineRule="auto"/>
              <w:jc w:val="center"/>
              <w:rPr>
                <w:rFonts w:asciiTheme="minorHAnsi" w:hAnsiTheme="minorHAnsi" w:cstheme="minorHAnsi"/>
                <w:sz w:val="18"/>
                <w:szCs w:val="18"/>
                <w:lang w:val="es-CR" w:eastAsia="es-CR"/>
              </w:rPr>
            </w:pPr>
            <w:r w:rsidRPr="00976BD3">
              <w:rPr>
                <w:rFonts w:asciiTheme="minorHAnsi" w:hAnsiTheme="minorHAnsi" w:cstheme="minorHAnsi"/>
                <w:sz w:val="18"/>
                <w:szCs w:val="18"/>
                <w:lang w:val="es-CR" w:eastAsia="es-CR"/>
              </w:rPr>
              <w:t>20%</w:t>
            </w:r>
          </w:p>
        </w:tc>
      </w:tr>
      <w:tr w:rsidR="00976BD3" w:rsidRPr="00976BD3" w14:paraId="1D12D9A4" w14:textId="77777777" w:rsidTr="00976BD3">
        <w:trPr>
          <w:trHeight w:val="26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5817254" w14:textId="77777777" w:rsidR="00976BD3" w:rsidRPr="00976BD3" w:rsidRDefault="00976BD3" w:rsidP="00976BD3">
            <w:pPr>
              <w:spacing w:line="240" w:lineRule="auto"/>
              <w:jc w:val="center"/>
              <w:rPr>
                <w:rFonts w:asciiTheme="minorHAnsi" w:hAnsiTheme="minorHAnsi" w:cstheme="minorHAnsi"/>
                <w:sz w:val="18"/>
                <w:szCs w:val="18"/>
                <w:lang w:val="es-CR" w:eastAsia="es-CR"/>
              </w:rPr>
            </w:pPr>
            <w:r w:rsidRPr="00976BD3">
              <w:rPr>
                <w:rFonts w:asciiTheme="minorHAnsi" w:hAnsiTheme="minorHAnsi" w:cstheme="minorHAnsi"/>
                <w:sz w:val="18"/>
                <w:szCs w:val="18"/>
                <w:lang w:val="es-CR" w:eastAsia="es-CR"/>
              </w:rPr>
              <w:t>2.99.06</w:t>
            </w:r>
          </w:p>
        </w:tc>
        <w:tc>
          <w:tcPr>
            <w:tcW w:w="956" w:type="dxa"/>
            <w:tcBorders>
              <w:top w:val="nil"/>
              <w:left w:val="nil"/>
              <w:bottom w:val="single" w:sz="4" w:space="0" w:color="auto"/>
              <w:right w:val="single" w:sz="4" w:space="0" w:color="auto"/>
            </w:tcBorders>
            <w:shd w:val="clear" w:color="auto" w:fill="auto"/>
            <w:noWrap/>
            <w:vAlign w:val="center"/>
            <w:hideMark/>
          </w:tcPr>
          <w:p w14:paraId="720BCD3D" w14:textId="77777777" w:rsidR="00976BD3" w:rsidRPr="00976BD3" w:rsidRDefault="00976BD3" w:rsidP="00976BD3">
            <w:pPr>
              <w:spacing w:line="240" w:lineRule="auto"/>
              <w:jc w:val="center"/>
              <w:rPr>
                <w:rFonts w:asciiTheme="minorHAnsi" w:hAnsiTheme="minorHAnsi" w:cstheme="minorHAnsi"/>
                <w:sz w:val="18"/>
                <w:szCs w:val="18"/>
                <w:lang w:val="es-CR" w:eastAsia="es-CR"/>
              </w:rPr>
            </w:pPr>
            <w:r w:rsidRPr="00976BD3">
              <w:rPr>
                <w:rFonts w:asciiTheme="minorHAnsi" w:hAnsiTheme="minorHAnsi" w:cstheme="minorHAnsi"/>
                <w:sz w:val="18"/>
                <w:szCs w:val="18"/>
                <w:lang w:val="es-CR" w:eastAsia="es-CR"/>
              </w:rPr>
              <w:t>1.1.2</w:t>
            </w:r>
          </w:p>
        </w:tc>
        <w:tc>
          <w:tcPr>
            <w:tcW w:w="2446" w:type="dxa"/>
            <w:tcBorders>
              <w:top w:val="nil"/>
              <w:left w:val="nil"/>
              <w:bottom w:val="single" w:sz="4" w:space="0" w:color="auto"/>
              <w:right w:val="single" w:sz="4" w:space="0" w:color="auto"/>
            </w:tcBorders>
            <w:shd w:val="clear" w:color="auto" w:fill="auto"/>
            <w:noWrap/>
            <w:vAlign w:val="center"/>
            <w:hideMark/>
          </w:tcPr>
          <w:p w14:paraId="49CD9D5D" w14:textId="77777777" w:rsidR="00976BD3" w:rsidRPr="00976BD3" w:rsidRDefault="00976BD3" w:rsidP="00976BD3">
            <w:pPr>
              <w:spacing w:line="240" w:lineRule="auto"/>
              <w:jc w:val="left"/>
              <w:rPr>
                <w:rFonts w:asciiTheme="minorHAnsi" w:hAnsiTheme="minorHAnsi" w:cstheme="minorHAnsi"/>
                <w:sz w:val="18"/>
                <w:szCs w:val="18"/>
                <w:lang w:val="es-CR" w:eastAsia="es-CR"/>
              </w:rPr>
            </w:pPr>
            <w:r w:rsidRPr="00976BD3">
              <w:rPr>
                <w:rFonts w:asciiTheme="minorHAnsi" w:hAnsiTheme="minorHAnsi" w:cstheme="minorHAnsi"/>
                <w:sz w:val="18"/>
                <w:szCs w:val="18"/>
                <w:lang w:val="es-CR" w:eastAsia="es-CR"/>
              </w:rPr>
              <w:t>Útiles y materiales de resguardo y seguridad</w:t>
            </w:r>
          </w:p>
        </w:tc>
        <w:tc>
          <w:tcPr>
            <w:tcW w:w="1276" w:type="dxa"/>
            <w:tcBorders>
              <w:top w:val="nil"/>
              <w:left w:val="nil"/>
              <w:bottom w:val="single" w:sz="4" w:space="0" w:color="auto"/>
              <w:right w:val="single" w:sz="4" w:space="0" w:color="auto"/>
            </w:tcBorders>
            <w:shd w:val="clear" w:color="auto" w:fill="auto"/>
            <w:noWrap/>
            <w:vAlign w:val="center"/>
            <w:hideMark/>
          </w:tcPr>
          <w:p w14:paraId="701ACA88" w14:textId="77777777" w:rsidR="00976BD3" w:rsidRPr="00976BD3" w:rsidRDefault="00976BD3" w:rsidP="00976BD3">
            <w:pPr>
              <w:spacing w:line="240" w:lineRule="auto"/>
              <w:jc w:val="right"/>
              <w:rPr>
                <w:rFonts w:asciiTheme="minorHAnsi" w:hAnsiTheme="minorHAnsi" w:cstheme="minorHAnsi"/>
                <w:sz w:val="18"/>
                <w:szCs w:val="18"/>
                <w:lang w:val="es-CR" w:eastAsia="es-CR"/>
              </w:rPr>
            </w:pPr>
            <w:r w:rsidRPr="00976BD3">
              <w:rPr>
                <w:rFonts w:asciiTheme="minorHAnsi" w:hAnsiTheme="minorHAnsi" w:cstheme="minorHAnsi"/>
                <w:sz w:val="18"/>
                <w:szCs w:val="18"/>
                <w:lang w:val="es-CR" w:eastAsia="es-CR"/>
              </w:rPr>
              <w:t>300 000</w:t>
            </w:r>
          </w:p>
        </w:tc>
        <w:tc>
          <w:tcPr>
            <w:tcW w:w="1134" w:type="dxa"/>
            <w:tcBorders>
              <w:top w:val="nil"/>
              <w:left w:val="nil"/>
              <w:bottom w:val="single" w:sz="4" w:space="0" w:color="auto"/>
              <w:right w:val="single" w:sz="4" w:space="0" w:color="auto"/>
            </w:tcBorders>
            <w:shd w:val="clear" w:color="auto" w:fill="auto"/>
            <w:noWrap/>
            <w:vAlign w:val="center"/>
            <w:hideMark/>
          </w:tcPr>
          <w:p w14:paraId="4ED8A3C3" w14:textId="77777777" w:rsidR="00976BD3" w:rsidRPr="00976BD3" w:rsidRDefault="00976BD3" w:rsidP="00976BD3">
            <w:pPr>
              <w:spacing w:line="240" w:lineRule="auto"/>
              <w:jc w:val="right"/>
              <w:rPr>
                <w:rFonts w:asciiTheme="minorHAnsi" w:hAnsiTheme="minorHAnsi" w:cstheme="minorHAnsi"/>
                <w:sz w:val="18"/>
                <w:szCs w:val="18"/>
                <w:lang w:val="es-CR" w:eastAsia="es-CR"/>
              </w:rPr>
            </w:pPr>
            <w:r w:rsidRPr="00976BD3">
              <w:rPr>
                <w:rFonts w:asciiTheme="minorHAnsi" w:hAnsiTheme="minorHAnsi" w:cstheme="minorHAnsi"/>
                <w:sz w:val="18"/>
                <w:szCs w:val="18"/>
                <w:lang w:val="es-CR" w:eastAsia="es-CR"/>
              </w:rPr>
              <w:t>0</w:t>
            </w:r>
          </w:p>
        </w:tc>
        <w:tc>
          <w:tcPr>
            <w:tcW w:w="850" w:type="dxa"/>
            <w:tcBorders>
              <w:top w:val="nil"/>
              <w:left w:val="nil"/>
              <w:bottom w:val="single" w:sz="4" w:space="0" w:color="auto"/>
              <w:right w:val="single" w:sz="4" w:space="0" w:color="auto"/>
            </w:tcBorders>
            <w:shd w:val="clear" w:color="auto" w:fill="auto"/>
            <w:noWrap/>
            <w:vAlign w:val="center"/>
            <w:hideMark/>
          </w:tcPr>
          <w:p w14:paraId="680F6074" w14:textId="77777777" w:rsidR="00976BD3" w:rsidRPr="00976BD3" w:rsidRDefault="00976BD3" w:rsidP="00976BD3">
            <w:pPr>
              <w:spacing w:line="240" w:lineRule="auto"/>
              <w:jc w:val="right"/>
              <w:rPr>
                <w:rFonts w:asciiTheme="minorHAnsi" w:hAnsiTheme="minorHAnsi" w:cstheme="minorHAnsi"/>
                <w:sz w:val="18"/>
                <w:szCs w:val="18"/>
                <w:lang w:val="es-CR" w:eastAsia="es-CR"/>
              </w:rPr>
            </w:pPr>
            <w:r w:rsidRPr="00976BD3">
              <w:rPr>
                <w:rFonts w:asciiTheme="minorHAnsi" w:hAnsiTheme="minorHAnsi" w:cstheme="minorHAnsi"/>
                <w:sz w:val="18"/>
                <w:szCs w:val="18"/>
                <w:lang w:val="es-CR" w:eastAsia="es-CR"/>
              </w:rPr>
              <w:t>0</w:t>
            </w:r>
          </w:p>
        </w:tc>
        <w:tc>
          <w:tcPr>
            <w:tcW w:w="1276" w:type="dxa"/>
            <w:tcBorders>
              <w:top w:val="nil"/>
              <w:left w:val="nil"/>
              <w:bottom w:val="single" w:sz="4" w:space="0" w:color="auto"/>
              <w:right w:val="single" w:sz="4" w:space="0" w:color="auto"/>
            </w:tcBorders>
            <w:shd w:val="clear" w:color="auto" w:fill="auto"/>
            <w:noWrap/>
            <w:vAlign w:val="center"/>
            <w:hideMark/>
          </w:tcPr>
          <w:p w14:paraId="30F44292" w14:textId="77777777" w:rsidR="00976BD3" w:rsidRPr="00976BD3" w:rsidRDefault="00976BD3" w:rsidP="00976BD3">
            <w:pPr>
              <w:spacing w:line="240" w:lineRule="auto"/>
              <w:jc w:val="right"/>
              <w:rPr>
                <w:rFonts w:asciiTheme="minorHAnsi" w:hAnsiTheme="minorHAnsi" w:cstheme="minorHAnsi"/>
                <w:sz w:val="18"/>
                <w:szCs w:val="18"/>
                <w:lang w:val="es-CR" w:eastAsia="es-CR"/>
              </w:rPr>
            </w:pPr>
            <w:r w:rsidRPr="00976BD3">
              <w:rPr>
                <w:rFonts w:asciiTheme="minorHAnsi" w:hAnsiTheme="minorHAnsi" w:cstheme="minorHAnsi"/>
                <w:sz w:val="18"/>
                <w:szCs w:val="18"/>
                <w:lang w:val="es-CR" w:eastAsia="es-CR"/>
              </w:rPr>
              <w:t>300 000</w:t>
            </w:r>
          </w:p>
        </w:tc>
        <w:tc>
          <w:tcPr>
            <w:tcW w:w="992" w:type="dxa"/>
            <w:tcBorders>
              <w:top w:val="nil"/>
              <w:left w:val="nil"/>
              <w:bottom w:val="single" w:sz="4" w:space="0" w:color="auto"/>
              <w:right w:val="single" w:sz="4" w:space="0" w:color="auto"/>
            </w:tcBorders>
            <w:shd w:val="clear" w:color="auto" w:fill="auto"/>
            <w:noWrap/>
            <w:vAlign w:val="center"/>
            <w:hideMark/>
          </w:tcPr>
          <w:p w14:paraId="25AA9B41" w14:textId="77777777" w:rsidR="00976BD3" w:rsidRPr="00976BD3" w:rsidRDefault="00976BD3" w:rsidP="00976BD3">
            <w:pPr>
              <w:spacing w:line="240" w:lineRule="auto"/>
              <w:jc w:val="center"/>
              <w:rPr>
                <w:rFonts w:asciiTheme="minorHAnsi" w:hAnsiTheme="minorHAnsi" w:cstheme="minorHAnsi"/>
                <w:sz w:val="18"/>
                <w:szCs w:val="18"/>
                <w:lang w:val="es-CR" w:eastAsia="es-CR"/>
              </w:rPr>
            </w:pPr>
            <w:r w:rsidRPr="00976BD3">
              <w:rPr>
                <w:rFonts w:asciiTheme="minorHAnsi" w:hAnsiTheme="minorHAnsi" w:cstheme="minorHAnsi"/>
                <w:sz w:val="18"/>
                <w:szCs w:val="18"/>
                <w:lang w:val="es-CR" w:eastAsia="es-CR"/>
              </w:rPr>
              <w:t>0%</w:t>
            </w:r>
          </w:p>
        </w:tc>
      </w:tr>
      <w:tr w:rsidR="00976BD3" w:rsidRPr="00976BD3" w14:paraId="30CDF689" w14:textId="77777777" w:rsidTr="00976BD3">
        <w:trPr>
          <w:trHeight w:val="26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73437ED" w14:textId="77777777" w:rsidR="00976BD3" w:rsidRPr="00976BD3" w:rsidRDefault="00976BD3" w:rsidP="00976BD3">
            <w:pPr>
              <w:spacing w:line="240" w:lineRule="auto"/>
              <w:jc w:val="center"/>
              <w:rPr>
                <w:rFonts w:asciiTheme="minorHAnsi" w:hAnsiTheme="minorHAnsi" w:cstheme="minorHAnsi"/>
                <w:sz w:val="18"/>
                <w:szCs w:val="18"/>
                <w:lang w:val="es-CR" w:eastAsia="es-CR"/>
              </w:rPr>
            </w:pPr>
            <w:r w:rsidRPr="00976BD3">
              <w:rPr>
                <w:rFonts w:asciiTheme="minorHAnsi" w:hAnsiTheme="minorHAnsi" w:cstheme="minorHAnsi"/>
                <w:sz w:val="18"/>
                <w:szCs w:val="18"/>
                <w:lang w:val="es-CR" w:eastAsia="es-CR"/>
              </w:rPr>
              <w:t>2.99.07</w:t>
            </w:r>
          </w:p>
        </w:tc>
        <w:tc>
          <w:tcPr>
            <w:tcW w:w="956" w:type="dxa"/>
            <w:tcBorders>
              <w:top w:val="nil"/>
              <w:left w:val="nil"/>
              <w:bottom w:val="single" w:sz="4" w:space="0" w:color="auto"/>
              <w:right w:val="single" w:sz="4" w:space="0" w:color="auto"/>
            </w:tcBorders>
            <w:shd w:val="clear" w:color="auto" w:fill="auto"/>
            <w:noWrap/>
            <w:vAlign w:val="center"/>
            <w:hideMark/>
          </w:tcPr>
          <w:p w14:paraId="295266A6" w14:textId="77777777" w:rsidR="00976BD3" w:rsidRPr="00976BD3" w:rsidRDefault="00976BD3" w:rsidP="00976BD3">
            <w:pPr>
              <w:spacing w:line="240" w:lineRule="auto"/>
              <w:jc w:val="center"/>
              <w:rPr>
                <w:rFonts w:asciiTheme="minorHAnsi" w:hAnsiTheme="minorHAnsi" w:cstheme="minorHAnsi"/>
                <w:sz w:val="18"/>
                <w:szCs w:val="18"/>
                <w:lang w:val="es-CR" w:eastAsia="es-CR"/>
              </w:rPr>
            </w:pPr>
            <w:r w:rsidRPr="00976BD3">
              <w:rPr>
                <w:rFonts w:asciiTheme="minorHAnsi" w:hAnsiTheme="minorHAnsi" w:cstheme="minorHAnsi"/>
                <w:sz w:val="18"/>
                <w:szCs w:val="18"/>
                <w:lang w:val="es-CR" w:eastAsia="es-CR"/>
              </w:rPr>
              <w:t>1.1.2</w:t>
            </w:r>
          </w:p>
        </w:tc>
        <w:tc>
          <w:tcPr>
            <w:tcW w:w="2446" w:type="dxa"/>
            <w:tcBorders>
              <w:top w:val="nil"/>
              <w:left w:val="nil"/>
              <w:bottom w:val="single" w:sz="4" w:space="0" w:color="auto"/>
              <w:right w:val="single" w:sz="4" w:space="0" w:color="auto"/>
            </w:tcBorders>
            <w:shd w:val="clear" w:color="auto" w:fill="auto"/>
            <w:noWrap/>
            <w:vAlign w:val="center"/>
            <w:hideMark/>
          </w:tcPr>
          <w:p w14:paraId="5938C957" w14:textId="77777777" w:rsidR="00976BD3" w:rsidRPr="00976BD3" w:rsidRDefault="00976BD3" w:rsidP="00976BD3">
            <w:pPr>
              <w:spacing w:line="240" w:lineRule="auto"/>
              <w:jc w:val="left"/>
              <w:rPr>
                <w:rFonts w:asciiTheme="minorHAnsi" w:hAnsiTheme="minorHAnsi" w:cstheme="minorHAnsi"/>
                <w:sz w:val="18"/>
                <w:szCs w:val="18"/>
                <w:lang w:val="es-CR" w:eastAsia="es-CR"/>
              </w:rPr>
            </w:pPr>
            <w:r w:rsidRPr="00976BD3">
              <w:rPr>
                <w:rFonts w:asciiTheme="minorHAnsi" w:hAnsiTheme="minorHAnsi" w:cstheme="minorHAnsi"/>
                <w:sz w:val="18"/>
                <w:szCs w:val="18"/>
                <w:lang w:val="es-CR" w:eastAsia="es-CR"/>
              </w:rPr>
              <w:t>Útiles y materiales de cocina y comedor</w:t>
            </w:r>
          </w:p>
        </w:tc>
        <w:tc>
          <w:tcPr>
            <w:tcW w:w="1276" w:type="dxa"/>
            <w:tcBorders>
              <w:top w:val="nil"/>
              <w:left w:val="nil"/>
              <w:bottom w:val="single" w:sz="4" w:space="0" w:color="auto"/>
              <w:right w:val="single" w:sz="4" w:space="0" w:color="auto"/>
            </w:tcBorders>
            <w:shd w:val="clear" w:color="auto" w:fill="auto"/>
            <w:noWrap/>
            <w:vAlign w:val="center"/>
            <w:hideMark/>
          </w:tcPr>
          <w:p w14:paraId="7291030B" w14:textId="77777777" w:rsidR="00976BD3" w:rsidRPr="00976BD3" w:rsidRDefault="00976BD3" w:rsidP="00976BD3">
            <w:pPr>
              <w:spacing w:line="240" w:lineRule="auto"/>
              <w:jc w:val="right"/>
              <w:rPr>
                <w:rFonts w:asciiTheme="minorHAnsi" w:hAnsiTheme="minorHAnsi" w:cstheme="minorHAnsi"/>
                <w:sz w:val="18"/>
                <w:szCs w:val="18"/>
                <w:lang w:val="es-CR" w:eastAsia="es-CR"/>
              </w:rPr>
            </w:pPr>
            <w:r w:rsidRPr="00976BD3">
              <w:rPr>
                <w:rFonts w:asciiTheme="minorHAnsi" w:hAnsiTheme="minorHAnsi" w:cstheme="minorHAnsi"/>
                <w:sz w:val="18"/>
                <w:szCs w:val="18"/>
                <w:lang w:val="es-CR" w:eastAsia="es-CR"/>
              </w:rPr>
              <w:t>400 000</w:t>
            </w:r>
          </w:p>
        </w:tc>
        <w:tc>
          <w:tcPr>
            <w:tcW w:w="1134" w:type="dxa"/>
            <w:tcBorders>
              <w:top w:val="nil"/>
              <w:left w:val="nil"/>
              <w:bottom w:val="single" w:sz="4" w:space="0" w:color="auto"/>
              <w:right w:val="single" w:sz="4" w:space="0" w:color="auto"/>
            </w:tcBorders>
            <w:shd w:val="clear" w:color="auto" w:fill="auto"/>
            <w:noWrap/>
            <w:vAlign w:val="center"/>
            <w:hideMark/>
          </w:tcPr>
          <w:p w14:paraId="402EA12D" w14:textId="77777777" w:rsidR="00976BD3" w:rsidRPr="00976BD3" w:rsidRDefault="00976BD3" w:rsidP="00976BD3">
            <w:pPr>
              <w:spacing w:line="240" w:lineRule="auto"/>
              <w:jc w:val="right"/>
              <w:rPr>
                <w:rFonts w:asciiTheme="minorHAnsi" w:hAnsiTheme="minorHAnsi" w:cstheme="minorHAnsi"/>
                <w:sz w:val="18"/>
                <w:szCs w:val="18"/>
                <w:lang w:val="es-CR" w:eastAsia="es-CR"/>
              </w:rPr>
            </w:pPr>
            <w:r w:rsidRPr="00976BD3">
              <w:rPr>
                <w:rFonts w:asciiTheme="minorHAnsi" w:hAnsiTheme="minorHAnsi" w:cstheme="minorHAnsi"/>
                <w:sz w:val="18"/>
                <w:szCs w:val="18"/>
                <w:lang w:val="es-CR" w:eastAsia="es-CR"/>
              </w:rPr>
              <w:t>2 500</w:t>
            </w:r>
          </w:p>
        </w:tc>
        <w:tc>
          <w:tcPr>
            <w:tcW w:w="850" w:type="dxa"/>
            <w:tcBorders>
              <w:top w:val="nil"/>
              <w:left w:val="nil"/>
              <w:bottom w:val="single" w:sz="4" w:space="0" w:color="auto"/>
              <w:right w:val="single" w:sz="4" w:space="0" w:color="auto"/>
            </w:tcBorders>
            <w:shd w:val="clear" w:color="auto" w:fill="auto"/>
            <w:noWrap/>
            <w:vAlign w:val="center"/>
            <w:hideMark/>
          </w:tcPr>
          <w:p w14:paraId="57EA0FA4" w14:textId="77777777" w:rsidR="00976BD3" w:rsidRPr="00976BD3" w:rsidRDefault="00976BD3" w:rsidP="00976BD3">
            <w:pPr>
              <w:spacing w:line="240" w:lineRule="auto"/>
              <w:jc w:val="right"/>
              <w:rPr>
                <w:rFonts w:asciiTheme="minorHAnsi" w:hAnsiTheme="minorHAnsi" w:cstheme="minorHAnsi"/>
                <w:sz w:val="18"/>
                <w:szCs w:val="18"/>
                <w:lang w:val="es-CR" w:eastAsia="es-CR"/>
              </w:rPr>
            </w:pPr>
            <w:r w:rsidRPr="00976BD3">
              <w:rPr>
                <w:rFonts w:asciiTheme="minorHAnsi" w:hAnsiTheme="minorHAnsi" w:cstheme="minorHAnsi"/>
                <w:sz w:val="18"/>
                <w:szCs w:val="18"/>
                <w:lang w:val="es-CR" w:eastAsia="es-CR"/>
              </w:rPr>
              <w:t>0</w:t>
            </w:r>
          </w:p>
        </w:tc>
        <w:tc>
          <w:tcPr>
            <w:tcW w:w="1276" w:type="dxa"/>
            <w:tcBorders>
              <w:top w:val="nil"/>
              <w:left w:val="nil"/>
              <w:bottom w:val="single" w:sz="4" w:space="0" w:color="auto"/>
              <w:right w:val="single" w:sz="4" w:space="0" w:color="auto"/>
            </w:tcBorders>
            <w:shd w:val="clear" w:color="auto" w:fill="auto"/>
            <w:noWrap/>
            <w:vAlign w:val="center"/>
            <w:hideMark/>
          </w:tcPr>
          <w:p w14:paraId="4966EDAE" w14:textId="77777777" w:rsidR="00976BD3" w:rsidRPr="00976BD3" w:rsidRDefault="00976BD3" w:rsidP="00976BD3">
            <w:pPr>
              <w:spacing w:line="240" w:lineRule="auto"/>
              <w:jc w:val="right"/>
              <w:rPr>
                <w:rFonts w:asciiTheme="minorHAnsi" w:hAnsiTheme="minorHAnsi" w:cstheme="minorHAnsi"/>
                <w:sz w:val="18"/>
                <w:szCs w:val="18"/>
                <w:lang w:val="es-CR" w:eastAsia="es-CR"/>
              </w:rPr>
            </w:pPr>
            <w:r w:rsidRPr="00976BD3">
              <w:rPr>
                <w:rFonts w:asciiTheme="minorHAnsi" w:hAnsiTheme="minorHAnsi" w:cstheme="minorHAnsi"/>
                <w:sz w:val="18"/>
                <w:szCs w:val="18"/>
                <w:lang w:val="es-CR" w:eastAsia="es-CR"/>
              </w:rPr>
              <w:t>397 500</w:t>
            </w:r>
          </w:p>
        </w:tc>
        <w:tc>
          <w:tcPr>
            <w:tcW w:w="992" w:type="dxa"/>
            <w:tcBorders>
              <w:top w:val="nil"/>
              <w:left w:val="nil"/>
              <w:bottom w:val="single" w:sz="4" w:space="0" w:color="auto"/>
              <w:right w:val="single" w:sz="4" w:space="0" w:color="auto"/>
            </w:tcBorders>
            <w:shd w:val="clear" w:color="auto" w:fill="auto"/>
            <w:noWrap/>
            <w:vAlign w:val="center"/>
            <w:hideMark/>
          </w:tcPr>
          <w:p w14:paraId="0CB903A8" w14:textId="77777777" w:rsidR="00976BD3" w:rsidRPr="00976BD3" w:rsidRDefault="00976BD3" w:rsidP="00976BD3">
            <w:pPr>
              <w:spacing w:line="240" w:lineRule="auto"/>
              <w:jc w:val="center"/>
              <w:rPr>
                <w:rFonts w:asciiTheme="minorHAnsi" w:hAnsiTheme="minorHAnsi" w:cstheme="minorHAnsi"/>
                <w:sz w:val="18"/>
                <w:szCs w:val="18"/>
                <w:lang w:val="es-CR" w:eastAsia="es-CR"/>
              </w:rPr>
            </w:pPr>
            <w:r w:rsidRPr="00976BD3">
              <w:rPr>
                <w:rFonts w:asciiTheme="minorHAnsi" w:hAnsiTheme="minorHAnsi" w:cstheme="minorHAnsi"/>
                <w:sz w:val="18"/>
                <w:szCs w:val="18"/>
                <w:lang w:val="es-CR" w:eastAsia="es-CR"/>
              </w:rPr>
              <w:t>1%</w:t>
            </w:r>
          </w:p>
        </w:tc>
      </w:tr>
      <w:tr w:rsidR="00976BD3" w:rsidRPr="00976BD3" w14:paraId="3191FCF9" w14:textId="77777777" w:rsidTr="00976BD3">
        <w:trPr>
          <w:trHeight w:val="26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877A994" w14:textId="77777777" w:rsidR="00976BD3" w:rsidRPr="00976BD3" w:rsidRDefault="00976BD3" w:rsidP="00976BD3">
            <w:pPr>
              <w:spacing w:line="240" w:lineRule="auto"/>
              <w:jc w:val="center"/>
              <w:rPr>
                <w:rFonts w:asciiTheme="minorHAnsi" w:hAnsiTheme="minorHAnsi" w:cstheme="minorHAnsi"/>
                <w:sz w:val="18"/>
                <w:szCs w:val="18"/>
                <w:lang w:val="es-CR" w:eastAsia="es-CR"/>
              </w:rPr>
            </w:pPr>
            <w:r w:rsidRPr="00976BD3">
              <w:rPr>
                <w:rFonts w:asciiTheme="minorHAnsi" w:hAnsiTheme="minorHAnsi" w:cstheme="minorHAnsi"/>
                <w:sz w:val="18"/>
                <w:szCs w:val="18"/>
                <w:lang w:val="es-CR" w:eastAsia="es-CR"/>
              </w:rPr>
              <w:t>2.99.99</w:t>
            </w:r>
          </w:p>
        </w:tc>
        <w:tc>
          <w:tcPr>
            <w:tcW w:w="956" w:type="dxa"/>
            <w:tcBorders>
              <w:top w:val="nil"/>
              <w:left w:val="nil"/>
              <w:bottom w:val="single" w:sz="4" w:space="0" w:color="auto"/>
              <w:right w:val="single" w:sz="4" w:space="0" w:color="auto"/>
            </w:tcBorders>
            <w:shd w:val="clear" w:color="auto" w:fill="auto"/>
            <w:noWrap/>
            <w:vAlign w:val="center"/>
            <w:hideMark/>
          </w:tcPr>
          <w:p w14:paraId="51B17B5D" w14:textId="77777777" w:rsidR="00976BD3" w:rsidRPr="00976BD3" w:rsidRDefault="00976BD3" w:rsidP="00976BD3">
            <w:pPr>
              <w:spacing w:line="240" w:lineRule="auto"/>
              <w:jc w:val="center"/>
              <w:rPr>
                <w:rFonts w:asciiTheme="minorHAnsi" w:hAnsiTheme="minorHAnsi" w:cstheme="minorHAnsi"/>
                <w:sz w:val="18"/>
                <w:szCs w:val="18"/>
                <w:lang w:val="es-CR" w:eastAsia="es-CR"/>
              </w:rPr>
            </w:pPr>
            <w:r w:rsidRPr="00976BD3">
              <w:rPr>
                <w:rFonts w:asciiTheme="minorHAnsi" w:hAnsiTheme="minorHAnsi" w:cstheme="minorHAnsi"/>
                <w:sz w:val="18"/>
                <w:szCs w:val="18"/>
                <w:lang w:val="es-CR" w:eastAsia="es-CR"/>
              </w:rPr>
              <w:t>1.1.2</w:t>
            </w:r>
          </w:p>
        </w:tc>
        <w:tc>
          <w:tcPr>
            <w:tcW w:w="2446" w:type="dxa"/>
            <w:tcBorders>
              <w:top w:val="nil"/>
              <w:left w:val="nil"/>
              <w:bottom w:val="single" w:sz="4" w:space="0" w:color="auto"/>
              <w:right w:val="single" w:sz="4" w:space="0" w:color="auto"/>
            </w:tcBorders>
            <w:shd w:val="clear" w:color="auto" w:fill="auto"/>
            <w:noWrap/>
            <w:vAlign w:val="center"/>
            <w:hideMark/>
          </w:tcPr>
          <w:p w14:paraId="20D68E81" w14:textId="77777777" w:rsidR="00976BD3" w:rsidRPr="00976BD3" w:rsidRDefault="00976BD3" w:rsidP="00976BD3">
            <w:pPr>
              <w:spacing w:line="240" w:lineRule="auto"/>
              <w:jc w:val="left"/>
              <w:rPr>
                <w:rFonts w:asciiTheme="minorHAnsi" w:hAnsiTheme="minorHAnsi" w:cstheme="minorHAnsi"/>
                <w:sz w:val="18"/>
                <w:szCs w:val="18"/>
                <w:lang w:val="es-CR" w:eastAsia="es-CR"/>
              </w:rPr>
            </w:pPr>
            <w:r w:rsidRPr="00976BD3">
              <w:rPr>
                <w:rFonts w:asciiTheme="minorHAnsi" w:hAnsiTheme="minorHAnsi" w:cstheme="minorHAnsi"/>
                <w:sz w:val="18"/>
                <w:szCs w:val="18"/>
                <w:lang w:val="es-CR" w:eastAsia="es-CR"/>
              </w:rPr>
              <w:t>Otros útiles, materiales y suministros</w:t>
            </w:r>
          </w:p>
        </w:tc>
        <w:tc>
          <w:tcPr>
            <w:tcW w:w="1276" w:type="dxa"/>
            <w:tcBorders>
              <w:top w:val="nil"/>
              <w:left w:val="nil"/>
              <w:bottom w:val="single" w:sz="4" w:space="0" w:color="auto"/>
              <w:right w:val="single" w:sz="4" w:space="0" w:color="auto"/>
            </w:tcBorders>
            <w:shd w:val="clear" w:color="auto" w:fill="auto"/>
            <w:noWrap/>
            <w:vAlign w:val="center"/>
            <w:hideMark/>
          </w:tcPr>
          <w:p w14:paraId="6225BE08" w14:textId="77777777" w:rsidR="00976BD3" w:rsidRPr="00976BD3" w:rsidRDefault="00976BD3" w:rsidP="00976BD3">
            <w:pPr>
              <w:spacing w:line="240" w:lineRule="auto"/>
              <w:jc w:val="right"/>
              <w:rPr>
                <w:rFonts w:asciiTheme="minorHAnsi" w:hAnsiTheme="minorHAnsi" w:cstheme="minorHAnsi"/>
                <w:sz w:val="18"/>
                <w:szCs w:val="18"/>
                <w:lang w:val="es-CR" w:eastAsia="es-CR"/>
              </w:rPr>
            </w:pPr>
            <w:r w:rsidRPr="00976BD3">
              <w:rPr>
                <w:rFonts w:asciiTheme="minorHAnsi" w:hAnsiTheme="minorHAnsi" w:cstheme="minorHAnsi"/>
                <w:sz w:val="18"/>
                <w:szCs w:val="18"/>
                <w:lang w:val="es-CR" w:eastAsia="es-CR"/>
              </w:rPr>
              <w:t>500 000</w:t>
            </w:r>
          </w:p>
        </w:tc>
        <w:tc>
          <w:tcPr>
            <w:tcW w:w="1134" w:type="dxa"/>
            <w:tcBorders>
              <w:top w:val="nil"/>
              <w:left w:val="nil"/>
              <w:bottom w:val="single" w:sz="4" w:space="0" w:color="auto"/>
              <w:right w:val="single" w:sz="4" w:space="0" w:color="auto"/>
            </w:tcBorders>
            <w:shd w:val="clear" w:color="auto" w:fill="auto"/>
            <w:noWrap/>
            <w:vAlign w:val="center"/>
            <w:hideMark/>
          </w:tcPr>
          <w:p w14:paraId="5CF82A92" w14:textId="77777777" w:rsidR="00976BD3" w:rsidRPr="00976BD3" w:rsidRDefault="00976BD3" w:rsidP="00976BD3">
            <w:pPr>
              <w:spacing w:line="240" w:lineRule="auto"/>
              <w:jc w:val="right"/>
              <w:rPr>
                <w:rFonts w:asciiTheme="minorHAnsi" w:hAnsiTheme="minorHAnsi" w:cstheme="minorHAnsi"/>
                <w:sz w:val="18"/>
                <w:szCs w:val="18"/>
                <w:lang w:val="es-CR" w:eastAsia="es-CR"/>
              </w:rPr>
            </w:pPr>
            <w:r w:rsidRPr="00976BD3">
              <w:rPr>
                <w:rFonts w:asciiTheme="minorHAnsi" w:hAnsiTheme="minorHAnsi" w:cstheme="minorHAnsi"/>
                <w:sz w:val="18"/>
                <w:szCs w:val="18"/>
                <w:lang w:val="es-CR" w:eastAsia="es-CR"/>
              </w:rPr>
              <w:t>19 800</w:t>
            </w:r>
          </w:p>
        </w:tc>
        <w:tc>
          <w:tcPr>
            <w:tcW w:w="850" w:type="dxa"/>
            <w:tcBorders>
              <w:top w:val="nil"/>
              <w:left w:val="nil"/>
              <w:bottom w:val="single" w:sz="4" w:space="0" w:color="auto"/>
              <w:right w:val="single" w:sz="4" w:space="0" w:color="auto"/>
            </w:tcBorders>
            <w:shd w:val="clear" w:color="auto" w:fill="auto"/>
            <w:noWrap/>
            <w:vAlign w:val="center"/>
            <w:hideMark/>
          </w:tcPr>
          <w:p w14:paraId="378611EF" w14:textId="77777777" w:rsidR="00976BD3" w:rsidRPr="00976BD3" w:rsidRDefault="00976BD3" w:rsidP="00976BD3">
            <w:pPr>
              <w:spacing w:line="240" w:lineRule="auto"/>
              <w:jc w:val="right"/>
              <w:rPr>
                <w:rFonts w:asciiTheme="minorHAnsi" w:hAnsiTheme="minorHAnsi" w:cstheme="minorHAnsi"/>
                <w:sz w:val="18"/>
                <w:szCs w:val="18"/>
                <w:lang w:val="es-CR" w:eastAsia="es-CR"/>
              </w:rPr>
            </w:pPr>
            <w:r w:rsidRPr="00976BD3">
              <w:rPr>
                <w:rFonts w:asciiTheme="minorHAnsi" w:hAnsiTheme="minorHAnsi" w:cstheme="minorHAnsi"/>
                <w:sz w:val="18"/>
                <w:szCs w:val="18"/>
                <w:lang w:val="es-CR" w:eastAsia="es-CR"/>
              </w:rPr>
              <w:t>0</w:t>
            </w:r>
          </w:p>
        </w:tc>
        <w:tc>
          <w:tcPr>
            <w:tcW w:w="1276" w:type="dxa"/>
            <w:tcBorders>
              <w:top w:val="nil"/>
              <w:left w:val="nil"/>
              <w:bottom w:val="single" w:sz="4" w:space="0" w:color="auto"/>
              <w:right w:val="single" w:sz="4" w:space="0" w:color="auto"/>
            </w:tcBorders>
            <w:shd w:val="clear" w:color="auto" w:fill="auto"/>
            <w:noWrap/>
            <w:vAlign w:val="center"/>
            <w:hideMark/>
          </w:tcPr>
          <w:p w14:paraId="2D6AD112" w14:textId="77777777" w:rsidR="00976BD3" w:rsidRPr="00976BD3" w:rsidRDefault="00976BD3" w:rsidP="00976BD3">
            <w:pPr>
              <w:spacing w:line="240" w:lineRule="auto"/>
              <w:jc w:val="right"/>
              <w:rPr>
                <w:rFonts w:asciiTheme="minorHAnsi" w:hAnsiTheme="minorHAnsi" w:cstheme="minorHAnsi"/>
                <w:sz w:val="18"/>
                <w:szCs w:val="18"/>
                <w:lang w:val="es-CR" w:eastAsia="es-CR"/>
              </w:rPr>
            </w:pPr>
            <w:r w:rsidRPr="00976BD3">
              <w:rPr>
                <w:rFonts w:asciiTheme="minorHAnsi" w:hAnsiTheme="minorHAnsi" w:cstheme="minorHAnsi"/>
                <w:sz w:val="18"/>
                <w:szCs w:val="18"/>
                <w:lang w:val="es-CR" w:eastAsia="es-CR"/>
              </w:rPr>
              <w:t>480 200</w:t>
            </w:r>
          </w:p>
        </w:tc>
        <w:tc>
          <w:tcPr>
            <w:tcW w:w="992" w:type="dxa"/>
            <w:tcBorders>
              <w:top w:val="nil"/>
              <w:left w:val="nil"/>
              <w:bottom w:val="single" w:sz="4" w:space="0" w:color="auto"/>
              <w:right w:val="single" w:sz="4" w:space="0" w:color="auto"/>
            </w:tcBorders>
            <w:shd w:val="clear" w:color="auto" w:fill="auto"/>
            <w:noWrap/>
            <w:vAlign w:val="center"/>
            <w:hideMark/>
          </w:tcPr>
          <w:p w14:paraId="75E371CF" w14:textId="77777777" w:rsidR="00976BD3" w:rsidRPr="00976BD3" w:rsidRDefault="00976BD3" w:rsidP="00976BD3">
            <w:pPr>
              <w:spacing w:line="240" w:lineRule="auto"/>
              <w:jc w:val="center"/>
              <w:rPr>
                <w:rFonts w:asciiTheme="minorHAnsi" w:hAnsiTheme="minorHAnsi" w:cstheme="minorHAnsi"/>
                <w:sz w:val="18"/>
                <w:szCs w:val="18"/>
                <w:lang w:val="es-CR" w:eastAsia="es-CR"/>
              </w:rPr>
            </w:pPr>
            <w:r w:rsidRPr="00976BD3">
              <w:rPr>
                <w:rFonts w:asciiTheme="minorHAnsi" w:hAnsiTheme="minorHAnsi" w:cstheme="minorHAnsi"/>
                <w:sz w:val="18"/>
                <w:szCs w:val="18"/>
                <w:lang w:val="es-CR" w:eastAsia="es-CR"/>
              </w:rPr>
              <w:t>4%</w:t>
            </w:r>
          </w:p>
        </w:tc>
      </w:tr>
      <w:tr w:rsidR="00976BD3" w:rsidRPr="00976BD3" w14:paraId="2CD9EECD" w14:textId="77777777" w:rsidTr="00976BD3">
        <w:trPr>
          <w:trHeight w:val="380"/>
        </w:trPr>
        <w:tc>
          <w:tcPr>
            <w:tcW w:w="704" w:type="dxa"/>
            <w:tcBorders>
              <w:top w:val="nil"/>
              <w:left w:val="nil"/>
              <w:bottom w:val="single" w:sz="8" w:space="0" w:color="2F75B5"/>
              <w:right w:val="nil"/>
            </w:tcBorders>
            <w:shd w:val="clear" w:color="DDEBF7" w:fill="DDEBF7"/>
            <w:noWrap/>
            <w:vAlign w:val="center"/>
            <w:hideMark/>
          </w:tcPr>
          <w:p w14:paraId="48A2B027" w14:textId="77777777" w:rsidR="00976BD3" w:rsidRPr="00976BD3" w:rsidRDefault="00976BD3" w:rsidP="00976BD3">
            <w:pPr>
              <w:spacing w:line="240" w:lineRule="auto"/>
              <w:jc w:val="left"/>
              <w:rPr>
                <w:rFonts w:asciiTheme="minorHAnsi" w:hAnsiTheme="minorHAnsi" w:cstheme="minorHAnsi"/>
                <w:b/>
                <w:bCs/>
                <w:color w:val="000000"/>
                <w:sz w:val="18"/>
                <w:szCs w:val="18"/>
                <w:lang w:val="es-CR" w:eastAsia="es-CR"/>
              </w:rPr>
            </w:pPr>
            <w:r w:rsidRPr="00976BD3">
              <w:rPr>
                <w:rFonts w:asciiTheme="minorHAnsi" w:hAnsiTheme="minorHAnsi" w:cstheme="minorHAnsi"/>
                <w:b/>
                <w:bCs/>
                <w:color w:val="000000"/>
                <w:sz w:val="18"/>
                <w:szCs w:val="18"/>
                <w:lang w:val="es-CR" w:eastAsia="es-CR"/>
              </w:rPr>
              <w:t xml:space="preserve">Total </w:t>
            </w:r>
          </w:p>
        </w:tc>
        <w:tc>
          <w:tcPr>
            <w:tcW w:w="956" w:type="dxa"/>
            <w:tcBorders>
              <w:top w:val="nil"/>
              <w:left w:val="nil"/>
              <w:bottom w:val="single" w:sz="8" w:space="0" w:color="2F75B5"/>
              <w:right w:val="nil"/>
            </w:tcBorders>
            <w:shd w:val="clear" w:color="DDEBF7" w:fill="DDEBF7"/>
            <w:noWrap/>
            <w:vAlign w:val="center"/>
            <w:hideMark/>
          </w:tcPr>
          <w:p w14:paraId="244C9DE3" w14:textId="77777777" w:rsidR="00976BD3" w:rsidRPr="00976BD3" w:rsidRDefault="00976BD3" w:rsidP="00976BD3">
            <w:pPr>
              <w:spacing w:line="240" w:lineRule="auto"/>
              <w:jc w:val="left"/>
              <w:rPr>
                <w:rFonts w:asciiTheme="minorHAnsi" w:hAnsiTheme="minorHAnsi" w:cstheme="minorHAnsi"/>
                <w:b/>
                <w:bCs/>
                <w:color w:val="000000"/>
                <w:sz w:val="18"/>
                <w:szCs w:val="18"/>
                <w:lang w:val="es-CR" w:eastAsia="es-CR"/>
              </w:rPr>
            </w:pPr>
            <w:r w:rsidRPr="00976BD3">
              <w:rPr>
                <w:rFonts w:asciiTheme="minorHAnsi" w:hAnsiTheme="minorHAnsi" w:cstheme="minorHAnsi"/>
                <w:b/>
                <w:bCs/>
                <w:color w:val="000000"/>
                <w:sz w:val="18"/>
                <w:szCs w:val="18"/>
                <w:lang w:val="es-CR" w:eastAsia="es-CR"/>
              </w:rPr>
              <w:t> </w:t>
            </w:r>
          </w:p>
        </w:tc>
        <w:tc>
          <w:tcPr>
            <w:tcW w:w="2446" w:type="dxa"/>
            <w:tcBorders>
              <w:top w:val="nil"/>
              <w:left w:val="nil"/>
              <w:bottom w:val="single" w:sz="8" w:space="0" w:color="2F75B5"/>
              <w:right w:val="nil"/>
            </w:tcBorders>
            <w:shd w:val="clear" w:color="DDEBF7" w:fill="DDEBF7"/>
            <w:noWrap/>
            <w:vAlign w:val="center"/>
            <w:hideMark/>
          </w:tcPr>
          <w:p w14:paraId="2A51DF83" w14:textId="77777777" w:rsidR="00976BD3" w:rsidRPr="00976BD3" w:rsidRDefault="00976BD3" w:rsidP="00976BD3">
            <w:pPr>
              <w:spacing w:line="240" w:lineRule="auto"/>
              <w:jc w:val="left"/>
              <w:rPr>
                <w:rFonts w:asciiTheme="minorHAnsi" w:hAnsiTheme="minorHAnsi" w:cstheme="minorHAnsi"/>
                <w:b/>
                <w:bCs/>
                <w:color w:val="000000"/>
                <w:sz w:val="18"/>
                <w:szCs w:val="18"/>
                <w:lang w:val="es-CR" w:eastAsia="es-CR"/>
              </w:rPr>
            </w:pPr>
            <w:r w:rsidRPr="00976BD3">
              <w:rPr>
                <w:rFonts w:asciiTheme="minorHAnsi" w:hAnsiTheme="minorHAnsi" w:cstheme="minorHAnsi"/>
                <w:b/>
                <w:bCs/>
                <w:color w:val="000000"/>
                <w:sz w:val="18"/>
                <w:szCs w:val="18"/>
                <w:lang w:val="es-CR" w:eastAsia="es-CR"/>
              </w:rPr>
              <w:t> </w:t>
            </w:r>
          </w:p>
        </w:tc>
        <w:tc>
          <w:tcPr>
            <w:tcW w:w="1276" w:type="dxa"/>
            <w:tcBorders>
              <w:top w:val="nil"/>
              <w:left w:val="nil"/>
              <w:bottom w:val="single" w:sz="8" w:space="0" w:color="2F75B5"/>
              <w:right w:val="nil"/>
            </w:tcBorders>
            <w:shd w:val="clear" w:color="DDEBF7" w:fill="DDEBF7"/>
            <w:noWrap/>
            <w:vAlign w:val="center"/>
            <w:hideMark/>
          </w:tcPr>
          <w:p w14:paraId="21F87A76" w14:textId="77777777" w:rsidR="00976BD3" w:rsidRPr="00976BD3" w:rsidRDefault="00976BD3" w:rsidP="00976BD3">
            <w:pPr>
              <w:spacing w:line="240" w:lineRule="auto"/>
              <w:jc w:val="right"/>
              <w:rPr>
                <w:rFonts w:asciiTheme="minorHAnsi" w:hAnsiTheme="minorHAnsi" w:cstheme="minorHAnsi"/>
                <w:b/>
                <w:bCs/>
                <w:color w:val="000000"/>
                <w:sz w:val="18"/>
                <w:szCs w:val="18"/>
                <w:lang w:val="es-CR" w:eastAsia="es-CR"/>
              </w:rPr>
            </w:pPr>
            <w:r w:rsidRPr="00976BD3">
              <w:rPr>
                <w:rFonts w:asciiTheme="minorHAnsi" w:hAnsiTheme="minorHAnsi" w:cstheme="minorHAnsi"/>
                <w:b/>
                <w:bCs/>
                <w:color w:val="000000"/>
                <w:sz w:val="18"/>
                <w:szCs w:val="18"/>
                <w:lang w:val="es-CR" w:eastAsia="es-CR"/>
              </w:rPr>
              <w:t>18 475 000</w:t>
            </w:r>
          </w:p>
        </w:tc>
        <w:tc>
          <w:tcPr>
            <w:tcW w:w="1134" w:type="dxa"/>
            <w:tcBorders>
              <w:top w:val="nil"/>
              <w:left w:val="nil"/>
              <w:bottom w:val="single" w:sz="8" w:space="0" w:color="2F75B5"/>
              <w:right w:val="nil"/>
            </w:tcBorders>
            <w:shd w:val="clear" w:color="DDEBF7" w:fill="DDEBF7"/>
            <w:noWrap/>
            <w:vAlign w:val="center"/>
            <w:hideMark/>
          </w:tcPr>
          <w:p w14:paraId="547EBA7C" w14:textId="77777777" w:rsidR="00976BD3" w:rsidRPr="00976BD3" w:rsidRDefault="00976BD3" w:rsidP="00976BD3">
            <w:pPr>
              <w:spacing w:line="240" w:lineRule="auto"/>
              <w:jc w:val="right"/>
              <w:rPr>
                <w:rFonts w:asciiTheme="minorHAnsi" w:hAnsiTheme="minorHAnsi" w:cstheme="minorHAnsi"/>
                <w:b/>
                <w:bCs/>
                <w:color w:val="000000"/>
                <w:sz w:val="18"/>
                <w:szCs w:val="18"/>
                <w:lang w:val="es-CR" w:eastAsia="es-CR"/>
              </w:rPr>
            </w:pPr>
            <w:r w:rsidRPr="00976BD3">
              <w:rPr>
                <w:rFonts w:asciiTheme="minorHAnsi" w:hAnsiTheme="minorHAnsi" w:cstheme="minorHAnsi"/>
                <w:b/>
                <w:bCs/>
                <w:color w:val="000000"/>
                <w:sz w:val="18"/>
                <w:szCs w:val="18"/>
                <w:lang w:val="es-CR" w:eastAsia="es-CR"/>
              </w:rPr>
              <w:t>2 320 421</w:t>
            </w:r>
          </w:p>
        </w:tc>
        <w:tc>
          <w:tcPr>
            <w:tcW w:w="850" w:type="dxa"/>
            <w:tcBorders>
              <w:top w:val="nil"/>
              <w:left w:val="nil"/>
              <w:bottom w:val="single" w:sz="8" w:space="0" w:color="2F75B5"/>
              <w:right w:val="nil"/>
            </w:tcBorders>
            <w:shd w:val="clear" w:color="DDEBF7" w:fill="DDEBF7"/>
            <w:noWrap/>
            <w:vAlign w:val="center"/>
            <w:hideMark/>
          </w:tcPr>
          <w:p w14:paraId="1CC51B0A" w14:textId="77777777" w:rsidR="00976BD3" w:rsidRPr="00976BD3" w:rsidRDefault="00976BD3" w:rsidP="00976BD3">
            <w:pPr>
              <w:spacing w:line="240" w:lineRule="auto"/>
              <w:jc w:val="right"/>
              <w:rPr>
                <w:rFonts w:asciiTheme="minorHAnsi" w:hAnsiTheme="minorHAnsi" w:cstheme="minorHAnsi"/>
                <w:b/>
                <w:bCs/>
                <w:color w:val="000000"/>
                <w:sz w:val="18"/>
                <w:szCs w:val="18"/>
                <w:lang w:val="es-CR" w:eastAsia="es-CR"/>
              </w:rPr>
            </w:pPr>
            <w:r w:rsidRPr="00976BD3">
              <w:rPr>
                <w:rFonts w:asciiTheme="minorHAnsi" w:hAnsiTheme="minorHAnsi" w:cstheme="minorHAnsi"/>
                <w:b/>
                <w:bCs/>
                <w:color w:val="000000"/>
                <w:sz w:val="18"/>
                <w:szCs w:val="18"/>
                <w:lang w:val="es-CR" w:eastAsia="es-CR"/>
              </w:rPr>
              <w:t>0</w:t>
            </w:r>
          </w:p>
        </w:tc>
        <w:tc>
          <w:tcPr>
            <w:tcW w:w="1276" w:type="dxa"/>
            <w:tcBorders>
              <w:top w:val="nil"/>
              <w:left w:val="nil"/>
              <w:bottom w:val="single" w:sz="8" w:space="0" w:color="2F75B5"/>
              <w:right w:val="nil"/>
            </w:tcBorders>
            <w:shd w:val="clear" w:color="DDEBF7" w:fill="DDEBF7"/>
            <w:noWrap/>
            <w:vAlign w:val="center"/>
            <w:hideMark/>
          </w:tcPr>
          <w:p w14:paraId="50AB0900" w14:textId="77777777" w:rsidR="00976BD3" w:rsidRPr="00976BD3" w:rsidRDefault="00976BD3" w:rsidP="00976BD3">
            <w:pPr>
              <w:spacing w:line="240" w:lineRule="auto"/>
              <w:jc w:val="right"/>
              <w:rPr>
                <w:rFonts w:asciiTheme="minorHAnsi" w:hAnsiTheme="minorHAnsi" w:cstheme="minorHAnsi"/>
                <w:b/>
                <w:bCs/>
                <w:color w:val="000000"/>
                <w:sz w:val="18"/>
                <w:szCs w:val="18"/>
                <w:lang w:val="es-CR" w:eastAsia="es-CR"/>
              </w:rPr>
            </w:pPr>
            <w:r w:rsidRPr="00976BD3">
              <w:rPr>
                <w:rFonts w:asciiTheme="minorHAnsi" w:hAnsiTheme="minorHAnsi" w:cstheme="minorHAnsi"/>
                <w:b/>
                <w:bCs/>
                <w:color w:val="000000"/>
                <w:sz w:val="18"/>
                <w:szCs w:val="18"/>
                <w:lang w:val="es-CR" w:eastAsia="es-CR"/>
              </w:rPr>
              <w:t>16 154 579</w:t>
            </w:r>
          </w:p>
        </w:tc>
        <w:tc>
          <w:tcPr>
            <w:tcW w:w="992" w:type="dxa"/>
            <w:tcBorders>
              <w:top w:val="nil"/>
              <w:left w:val="nil"/>
              <w:bottom w:val="single" w:sz="8" w:space="0" w:color="2F75B5"/>
              <w:right w:val="nil"/>
            </w:tcBorders>
            <w:shd w:val="clear" w:color="DDEBF7" w:fill="DDEBF7"/>
            <w:noWrap/>
            <w:vAlign w:val="center"/>
            <w:hideMark/>
          </w:tcPr>
          <w:p w14:paraId="4C8531F2" w14:textId="77777777" w:rsidR="00976BD3" w:rsidRPr="00976BD3" w:rsidRDefault="00976BD3" w:rsidP="00976BD3">
            <w:pPr>
              <w:spacing w:line="240" w:lineRule="auto"/>
              <w:jc w:val="center"/>
              <w:rPr>
                <w:rFonts w:asciiTheme="minorHAnsi" w:hAnsiTheme="minorHAnsi" w:cstheme="minorHAnsi"/>
                <w:b/>
                <w:bCs/>
                <w:color w:val="000000"/>
                <w:sz w:val="18"/>
                <w:szCs w:val="18"/>
                <w:lang w:val="es-CR" w:eastAsia="es-CR"/>
              </w:rPr>
            </w:pPr>
            <w:r w:rsidRPr="00976BD3">
              <w:rPr>
                <w:rFonts w:asciiTheme="minorHAnsi" w:hAnsiTheme="minorHAnsi" w:cstheme="minorHAnsi"/>
                <w:b/>
                <w:bCs/>
                <w:color w:val="000000"/>
                <w:sz w:val="18"/>
                <w:szCs w:val="18"/>
                <w:lang w:val="es-CR" w:eastAsia="es-CR"/>
              </w:rPr>
              <w:t>13%</w:t>
            </w:r>
          </w:p>
        </w:tc>
      </w:tr>
    </w:tbl>
    <w:p w14:paraId="4FC025AE" w14:textId="1972562F" w:rsidR="00FB0A84" w:rsidRDefault="00FB0A84" w:rsidP="008E1A4E">
      <w:pPr>
        <w:spacing w:line="240" w:lineRule="auto"/>
        <w:ind w:right="51"/>
        <w:jc w:val="left"/>
        <w:rPr>
          <w:rFonts w:asciiTheme="minorHAnsi" w:hAnsiTheme="minorHAnsi" w:cstheme="minorHAnsi"/>
          <w:sz w:val="18"/>
          <w:lang w:val="es-CR"/>
        </w:rPr>
      </w:pPr>
    </w:p>
    <w:p w14:paraId="526117F9" w14:textId="71E18F8F" w:rsidR="00FB0A84" w:rsidRDefault="00FB0A84" w:rsidP="008E1A4E">
      <w:pPr>
        <w:spacing w:line="240" w:lineRule="auto"/>
        <w:ind w:right="51"/>
        <w:jc w:val="left"/>
        <w:rPr>
          <w:rFonts w:asciiTheme="minorHAnsi" w:hAnsiTheme="minorHAnsi" w:cstheme="minorHAnsi"/>
          <w:sz w:val="18"/>
          <w:lang w:val="es-CR"/>
        </w:rPr>
      </w:pPr>
    </w:p>
    <w:p w14:paraId="765686AB" w14:textId="77777777" w:rsidR="008A5102" w:rsidRPr="0023319B" w:rsidRDefault="008A5102" w:rsidP="008A5102">
      <w:pPr>
        <w:ind w:right="51"/>
        <w:rPr>
          <w:rFonts w:asciiTheme="minorHAnsi" w:hAnsiTheme="minorHAnsi" w:cstheme="minorHAnsi"/>
          <w:sz w:val="24"/>
          <w:szCs w:val="24"/>
          <w:lang w:val="es-CR"/>
        </w:rPr>
      </w:pPr>
      <w:r w:rsidRPr="0023319B">
        <w:rPr>
          <w:rFonts w:asciiTheme="minorHAnsi" w:hAnsiTheme="minorHAnsi" w:cstheme="minorHAnsi"/>
          <w:sz w:val="24"/>
          <w:szCs w:val="24"/>
          <w:lang w:val="es-CR"/>
        </w:rPr>
        <w:t>En esta partida se incluyen los útiles, materiales, artículos y suministros que tienen como característica principal su corta durabilidad, pues se estima que se consumirán en el lapso de un año. Sin embargo, por conveniencia se incluyen algunos bienes de mayor durabilidad, por su bajo costo. También los artículos y suministros que se destinan al mantenimiento y reparación de bienes del activo fijo.</w:t>
      </w:r>
    </w:p>
    <w:p w14:paraId="05C53CA8" w14:textId="77777777" w:rsidR="008E1A4E" w:rsidRPr="0023319B" w:rsidRDefault="008E1A4E" w:rsidP="00C42C97">
      <w:pPr>
        <w:ind w:right="51"/>
        <w:rPr>
          <w:rFonts w:asciiTheme="minorHAnsi" w:hAnsiTheme="minorHAnsi" w:cstheme="minorHAnsi"/>
          <w:sz w:val="24"/>
          <w:szCs w:val="24"/>
          <w:lang w:val="es-CR"/>
        </w:rPr>
      </w:pPr>
    </w:p>
    <w:p w14:paraId="035C5D37" w14:textId="208B467B" w:rsidR="00B83A6D" w:rsidRPr="0023319B" w:rsidRDefault="00EF4F30" w:rsidP="00A27237">
      <w:pPr>
        <w:shd w:val="clear" w:color="auto" w:fill="FFFFFF" w:themeFill="background1"/>
        <w:ind w:right="51"/>
        <w:rPr>
          <w:rFonts w:asciiTheme="minorHAnsi" w:hAnsiTheme="minorHAnsi" w:cstheme="minorHAnsi"/>
          <w:sz w:val="24"/>
          <w:szCs w:val="24"/>
          <w:lang w:val="es-CR"/>
        </w:rPr>
      </w:pPr>
      <w:r w:rsidRPr="0023319B">
        <w:rPr>
          <w:rFonts w:asciiTheme="minorHAnsi" w:hAnsiTheme="minorHAnsi" w:cstheme="minorHAnsi"/>
          <w:sz w:val="24"/>
          <w:szCs w:val="24"/>
          <w:lang w:val="es-CR"/>
        </w:rPr>
        <w:t>El nivel de ejecución en e</w:t>
      </w:r>
      <w:r w:rsidR="00225437" w:rsidRPr="0023319B">
        <w:rPr>
          <w:rFonts w:asciiTheme="minorHAnsi" w:hAnsiTheme="minorHAnsi" w:cstheme="minorHAnsi"/>
          <w:sz w:val="24"/>
          <w:szCs w:val="24"/>
          <w:lang w:val="es-CR"/>
        </w:rPr>
        <w:t xml:space="preserve">sta partida </w:t>
      </w:r>
      <w:r w:rsidR="008873AC" w:rsidRPr="0023319B">
        <w:rPr>
          <w:rFonts w:asciiTheme="minorHAnsi" w:hAnsiTheme="minorHAnsi" w:cstheme="minorHAnsi"/>
          <w:sz w:val="24"/>
          <w:szCs w:val="24"/>
          <w:lang w:val="es-CR"/>
        </w:rPr>
        <w:t>fue de</w:t>
      </w:r>
      <w:r w:rsidR="00225437" w:rsidRPr="0023319B">
        <w:rPr>
          <w:rFonts w:asciiTheme="minorHAnsi" w:hAnsiTheme="minorHAnsi" w:cstheme="minorHAnsi"/>
          <w:sz w:val="24"/>
          <w:szCs w:val="24"/>
          <w:lang w:val="es-CR"/>
        </w:rPr>
        <w:t xml:space="preserve"> </w:t>
      </w:r>
      <w:r w:rsidR="00907E68" w:rsidRPr="0023319B">
        <w:rPr>
          <w:rFonts w:asciiTheme="minorHAnsi" w:hAnsiTheme="minorHAnsi" w:cstheme="minorHAnsi"/>
          <w:szCs w:val="24"/>
          <w:lang w:val="es-CR"/>
        </w:rPr>
        <w:t>¢</w:t>
      </w:r>
      <w:r w:rsidR="003C1384" w:rsidRPr="0023319B">
        <w:rPr>
          <w:rFonts w:asciiTheme="minorHAnsi" w:hAnsiTheme="minorHAnsi" w:cstheme="minorHAnsi"/>
          <w:sz w:val="24"/>
          <w:szCs w:val="24"/>
          <w:lang w:val="es-CR"/>
        </w:rPr>
        <w:t>2</w:t>
      </w:r>
      <w:r w:rsidR="00D215C8" w:rsidRPr="0023319B">
        <w:rPr>
          <w:rFonts w:asciiTheme="minorHAnsi" w:hAnsiTheme="minorHAnsi" w:cstheme="minorHAnsi"/>
          <w:sz w:val="24"/>
          <w:szCs w:val="24"/>
          <w:lang w:val="es-CR"/>
        </w:rPr>
        <w:t>,</w:t>
      </w:r>
      <w:r w:rsidR="003C1384" w:rsidRPr="0023319B">
        <w:rPr>
          <w:rFonts w:asciiTheme="minorHAnsi" w:hAnsiTheme="minorHAnsi" w:cstheme="minorHAnsi"/>
          <w:sz w:val="24"/>
          <w:szCs w:val="24"/>
          <w:lang w:val="es-CR"/>
        </w:rPr>
        <w:t>3</w:t>
      </w:r>
      <w:r w:rsidR="00907E68" w:rsidRPr="0023319B">
        <w:rPr>
          <w:rFonts w:asciiTheme="minorHAnsi" w:hAnsiTheme="minorHAnsi" w:cstheme="minorHAnsi"/>
          <w:sz w:val="24"/>
          <w:szCs w:val="24"/>
          <w:lang w:val="es-CR"/>
        </w:rPr>
        <w:t xml:space="preserve"> millones</w:t>
      </w:r>
      <w:r w:rsidR="00225437" w:rsidRPr="0023319B">
        <w:rPr>
          <w:rFonts w:asciiTheme="minorHAnsi" w:hAnsiTheme="minorHAnsi" w:cstheme="minorHAnsi"/>
          <w:sz w:val="24"/>
          <w:szCs w:val="24"/>
          <w:lang w:val="es-CR"/>
        </w:rPr>
        <w:t xml:space="preserve">, lo que representa un </w:t>
      </w:r>
      <w:r w:rsidR="00194F78" w:rsidRPr="0023319B">
        <w:rPr>
          <w:rFonts w:asciiTheme="minorHAnsi" w:hAnsiTheme="minorHAnsi" w:cstheme="minorHAnsi"/>
          <w:sz w:val="24"/>
          <w:szCs w:val="24"/>
          <w:lang w:val="es-CR"/>
        </w:rPr>
        <w:t>13</w:t>
      </w:r>
      <w:r w:rsidR="00225437" w:rsidRPr="0023319B">
        <w:rPr>
          <w:rFonts w:asciiTheme="minorHAnsi" w:hAnsiTheme="minorHAnsi" w:cstheme="minorHAnsi"/>
          <w:sz w:val="24"/>
          <w:szCs w:val="24"/>
          <w:lang w:val="es-CR"/>
        </w:rPr>
        <w:t>% del total de recursos presupuestados en esta cuenta</w:t>
      </w:r>
      <w:r w:rsidR="00FF2AB5" w:rsidRPr="0023319B">
        <w:rPr>
          <w:rFonts w:asciiTheme="minorHAnsi" w:hAnsiTheme="minorHAnsi" w:cstheme="minorHAnsi"/>
          <w:sz w:val="24"/>
          <w:szCs w:val="24"/>
          <w:lang w:val="es-CR"/>
        </w:rPr>
        <w:t xml:space="preserve">, hay que </w:t>
      </w:r>
      <w:r w:rsidR="00263EB2" w:rsidRPr="0023319B">
        <w:rPr>
          <w:rFonts w:asciiTheme="minorHAnsi" w:hAnsiTheme="minorHAnsi" w:cstheme="minorHAnsi"/>
          <w:sz w:val="24"/>
          <w:szCs w:val="24"/>
          <w:lang w:val="es-CR"/>
        </w:rPr>
        <w:t xml:space="preserve">considerar </w:t>
      </w:r>
      <w:r w:rsidR="00FF2AB5" w:rsidRPr="0023319B">
        <w:rPr>
          <w:rFonts w:asciiTheme="minorHAnsi" w:hAnsiTheme="minorHAnsi" w:cstheme="minorHAnsi"/>
          <w:sz w:val="24"/>
          <w:szCs w:val="24"/>
          <w:lang w:val="es-CR"/>
        </w:rPr>
        <w:t xml:space="preserve">el hecho </w:t>
      </w:r>
      <w:r w:rsidR="00263EB2" w:rsidRPr="0023319B">
        <w:rPr>
          <w:rFonts w:asciiTheme="minorHAnsi" w:hAnsiTheme="minorHAnsi" w:cstheme="minorHAnsi"/>
          <w:sz w:val="24"/>
          <w:szCs w:val="24"/>
          <w:lang w:val="es-CR"/>
        </w:rPr>
        <w:t xml:space="preserve">de que </w:t>
      </w:r>
      <w:r w:rsidR="00FF2AB5" w:rsidRPr="0023319B">
        <w:rPr>
          <w:rFonts w:asciiTheme="minorHAnsi" w:hAnsiTheme="minorHAnsi" w:cstheme="minorHAnsi"/>
          <w:sz w:val="24"/>
          <w:szCs w:val="24"/>
          <w:lang w:val="es-CR"/>
        </w:rPr>
        <w:t xml:space="preserve">todo el personal </w:t>
      </w:r>
      <w:r w:rsidR="00183BF6" w:rsidRPr="0023319B">
        <w:rPr>
          <w:rFonts w:asciiTheme="minorHAnsi" w:hAnsiTheme="minorHAnsi" w:cstheme="minorHAnsi"/>
          <w:sz w:val="24"/>
          <w:szCs w:val="24"/>
          <w:lang w:val="es-CR"/>
        </w:rPr>
        <w:t xml:space="preserve">está </w:t>
      </w:r>
      <w:r w:rsidR="00FF2AB5" w:rsidRPr="0023319B">
        <w:rPr>
          <w:rFonts w:asciiTheme="minorHAnsi" w:hAnsiTheme="minorHAnsi" w:cstheme="minorHAnsi"/>
          <w:sz w:val="24"/>
          <w:szCs w:val="24"/>
          <w:lang w:val="es-CR"/>
        </w:rPr>
        <w:t xml:space="preserve">en modalidad de </w:t>
      </w:r>
      <w:r w:rsidR="00CA59CC" w:rsidRPr="0023319B">
        <w:rPr>
          <w:rFonts w:asciiTheme="minorHAnsi" w:hAnsiTheme="minorHAnsi" w:cstheme="minorHAnsi"/>
          <w:sz w:val="24"/>
          <w:szCs w:val="24"/>
          <w:lang w:val="es-CR"/>
        </w:rPr>
        <w:t>tele</w:t>
      </w:r>
      <w:r w:rsidR="00FF2AB5" w:rsidRPr="0023319B">
        <w:rPr>
          <w:rFonts w:asciiTheme="minorHAnsi" w:hAnsiTheme="minorHAnsi" w:cstheme="minorHAnsi"/>
          <w:sz w:val="24"/>
          <w:szCs w:val="24"/>
          <w:lang w:val="es-CR"/>
        </w:rPr>
        <w:t>trabajo</w:t>
      </w:r>
      <w:r w:rsidR="00D9436B" w:rsidRPr="0023319B">
        <w:rPr>
          <w:rFonts w:asciiTheme="minorHAnsi" w:hAnsiTheme="minorHAnsi" w:cstheme="minorHAnsi"/>
          <w:sz w:val="24"/>
          <w:szCs w:val="24"/>
          <w:lang w:val="es-CR"/>
        </w:rPr>
        <w:t xml:space="preserve">, </w:t>
      </w:r>
      <w:r w:rsidR="00183BF6" w:rsidRPr="0023319B">
        <w:rPr>
          <w:rFonts w:asciiTheme="minorHAnsi" w:hAnsiTheme="minorHAnsi" w:cstheme="minorHAnsi"/>
          <w:sz w:val="24"/>
          <w:szCs w:val="24"/>
          <w:lang w:val="es-CR"/>
        </w:rPr>
        <w:t xml:space="preserve">por lo </w:t>
      </w:r>
      <w:r w:rsidR="00A6076B" w:rsidRPr="0023319B">
        <w:rPr>
          <w:rFonts w:asciiTheme="minorHAnsi" w:hAnsiTheme="minorHAnsi" w:cstheme="minorHAnsi"/>
          <w:sz w:val="24"/>
          <w:szCs w:val="24"/>
          <w:lang w:val="es-CR"/>
        </w:rPr>
        <w:t xml:space="preserve">no fue </w:t>
      </w:r>
      <w:r w:rsidR="00067441" w:rsidRPr="0023319B">
        <w:rPr>
          <w:rFonts w:asciiTheme="minorHAnsi" w:hAnsiTheme="minorHAnsi" w:cstheme="minorHAnsi"/>
          <w:sz w:val="24"/>
          <w:szCs w:val="24"/>
          <w:lang w:val="es-CR"/>
        </w:rPr>
        <w:t>necesario incurrir en gasto</w:t>
      </w:r>
      <w:r w:rsidR="00584AAC" w:rsidRPr="0023319B">
        <w:rPr>
          <w:rFonts w:asciiTheme="minorHAnsi" w:hAnsiTheme="minorHAnsi" w:cstheme="minorHAnsi"/>
          <w:sz w:val="24"/>
          <w:szCs w:val="24"/>
          <w:lang w:val="es-CR"/>
        </w:rPr>
        <w:t xml:space="preserve">s ni compras </w:t>
      </w:r>
      <w:r w:rsidR="00B77DFA" w:rsidRPr="0023319B">
        <w:rPr>
          <w:rFonts w:asciiTheme="minorHAnsi" w:hAnsiTheme="minorHAnsi" w:cstheme="minorHAnsi"/>
          <w:sz w:val="24"/>
          <w:szCs w:val="24"/>
          <w:lang w:val="es-CR"/>
        </w:rPr>
        <w:t>, eso explica el nivel bajo de ejecución en toda</w:t>
      </w:r>
      <w:r w:rsidR="00AE485D" w:rsidRPr="0023319B">
        <w:rPr>
          <w:rFonts w:asciiTheme="minorHAnsi" w:hAnsiTheme="minorHAnsi" w:cstheme="minorHAnsi"/>
          <w:sz w:val="24"/>
          <w:szCs w:val="24"/>
          <w:lang w:val="es-CR"/>
        </w:rPr>
        <w:t>s</w:t>
      </w:r>
      <w:r w:rsidR="00B77DFA" w:rsidRPr="0023319B">
        <w:rPr>
          <w:rFonts w:asciiTheme="minorHAnsi" w:hAnsiTheme="minorHAnsi" w:cstheme="minorHAnsi"/>
          <w:sz w:val="24"/>
          <w:szCs w:val="24"/>
          <w:lang w:val="es-CR"/>
        </w:rPr>
        <w:t xml:space="preserve"> las cuentas</w:t>
      </w:r>
      <w:r w:rsidR="00225437" w:rsidRPr="0023319B">
        <w:rPr>
          <w:rFonts w:asciiTheme="minorHAnsi" w:hAnsiTheme="minorHAnsi" w:cstheme="minorHAnsi"/>
          <w:sz w:val="24"/>
          <w:szCs w:val="24"/>
          <w:lang w:val="es-CR"/>
        </w:rPr>
        <w:t>.</w:t>
      </w:r>
      <w:r w:rsidR="00EC131E" w:rsidRPr="0023319B">
        <w:rPr>
          <w:rFonts w:asciiTheme="minorHAnsi" w:hAnsiTheme="minorHAnsi" w:cstheme="minorHAnsi"/>
          <w:sz w:val="24"/>
          <w:szCs w:val="24"/>
          <w:lang w:val="es-CR"/>
        </w:rPr>
        <w:t xml:space="preserve"> </w:t>
      </w:r>
    </w:p>
    <w:p w14:paraId="3E17C035" w14:textId="3035913D" w:rsidR="00B83A6D" w:rsidRPr="0023319B" w:rsidRDefault="00B83A6D" w:rsidP="00093594">
      <w:pPr>
        <w:ind w:right="51"/>
        <w:rPr>
          <w:rFonts w:asciiTheme="minorHAnsi" w:hAnsiTheme="minorHAnsi" w:cstheme="minorHAnsi"/>
          <w:sz w:val="24"/>
          <w:szCs w:val="24"/>
          <w:lang w:val="es-CR"/>
        </w:rPr>
      </w:pPr>
    </w:p>
    <w:p w14:paraId="490565C0" w14:textId="1C21467A" w:rsidR="00B83A6D" w:rsidRPr="0023319B" w:rsidRDefault="00B83A6D" w:rsidP="00B83A6D">
      <w:pPr>
        <w:pStyle w:val="Textoindependiente"/>
        <w:numPr>
          <w:ilvl w:val="0"/>
          <w:numId w:val="0"/>
        </w:numPr>
        <w:tabs>
          <w:tab w:val="left" w:pos="1134"/>
          <w:tab w:val="decimal" w:pos="7088"/>
        </w:tabs>
        <w:ind w:right="51"/>
        <w:rPr>
          <w:rFonts w:asciiTheme="minorHAnsi" w:hAnsiTheme="minorHAnsi" w:cstheme="minorHAnsi"/>
          <w:szCs w:val="24"/>
          <w:lang w:val="es-CR"/>
        </w:rPr>
      </w:pPr>
      <w:r w:rsidRPr="0023319B">
        <w:rPr>
          <w:rFonts w:asciiTheme="minorHAnsi" w:hAnsiTheme="minorHAnsi" w:cstheme="minorHAnsi"/>
          <w:szCs w:val="24"/>
          <w:lang w:val="es-CR"/>
        </w:rPr>
        <w:t>Las siguientes cuentas presentaron un porcentaje de ejecución razonable</w:t>
      </w:r>
      <w:r w:rsidR="00A91D20" w:rsidRPr="0023319B">
        <w:rPr>
          <w:rFonts w:asciiTheme="minorHAnsi" w:hAnsiTheme="minorHAnsi" w:cstheme="minorHAnsi"/>
          <w:szCs w:val="24"/>
          <w:lang w:val="es-CR"/>
        </w:rPr>
        <w:t xml:space="preserve"> y por su relevancia se detallan a continuación</w:t>
      </w:r>
      <w:r w:rsidRPr="0023319B">
        <w:rPr>
          <w:rFonts w:asciiTheme="minorHAnsi" w:hAnsiTheme="minorHAnsi" w:cstheme="minorHAnsi"/>
          <w:szCs w:val="24"/>
          <w:lang w:val="es-CR"/>
        </w:rPr>
        <w:t>:</w:t>
      </w:r>
    </w:p>
    <w:p w14:paraId="430A3F0F" w14:textId="77777777" w:rsidR="00B83A6D" w:rsidRPr="0023319B" w:rsidRDefault="00B83A6D" w:rsidP="00093594">
      <w:pPr>
        <w:ind w:right="51"/>
        <w:rPr>
          <w:rFonts w:asciiTheme="minorHAnsi" w:hAnsiTheme="minorHAnsi" w:cstheme="minorHAnsi"/>
          <w:sz w:val="24"/>
          <w:szCs w:val="24"/>
          <w:lang w:val="es-CR"/>
        </w:rPr>
      </w:pPr>
    </w:p>
    <w:p w14:paraId="5586818C" w14:textId="016B87B3" w:rsidR="00B83A6D" w:rsidRPr="0023319B" w:rsidRDefault="00B83A6D" w:rsidP="00093594">
      <w:pPr>
        <w:pStyle w:val="Textoindependiente"/>
        <w:numPr>
          <w:ilvl w:val="0"/>
          <w:numId w:val="8"/>
        </w:numPr>
        <w:tabs>
          <w:tab w:val="decimal" w:pos="7088"/>
        </w:tabs>
        <w:ind w:left="567" w:right="51"/>
        <w:rPr>
          <w:rFonts w:asciiTheme="minorHAnsi" w:hAnsiTheme="minorHAnsi" w:cstheme="minorHAnsi"/>
          <w:szCs w:val="24"/>
          <w:lang w:val="es-CR"/>
        </w:rPr>
      </w:pPr>
      <w:r w:rsidRPr="0023319B">
        <w:rPr>
          <w:rFonts w:asciiTheme="minorHAnsi" w:hAnsiTheme="minorHAnsi" w:cstheme="minorHAnsi"/>
          <w:szCs w:val="24"/>
          <w:lang w:val="es-CR"/>
        </w:rPr>
        <w:t xml:space="preserve"> “2 01 01 Combustibles y lubricantes” la ejecución alcanzado de </w:t>
      </w:r>
      <w:r w:rsidR="00194F78" w:rsidRPr="0023319B">
        <w:rPr>
          <w:rFonts w:asciiTheme="minorHAnsi" w:hAnsiTheme="minorHAnsi" w:cstheme="minorHAnsi"/>
          <w:szCs w:val="24"/>
          <w:lang w:val="es-CR"/>
        </w:rPr>
        <w:t>5</w:t>
      </w:r>
      <w:r w:rsidRPr="0023319B">
        <w:rPr>
          <w:rFonts w:asciiTheme="minorHAnsi" w:hAnsiTheme="minorHAnsi" w:cstheme="minorHAnsi"/>
          <w:szCs w:val="24"/>
          <w:lang w:val="es-CR"/>
        </w:rPr>
        <w:t>%, correspondiente</w:t>
      </w:r>
      <w:r w:rsidR="005D5CBE" w:rsidRPr="0023319B">
        <w:rPr>
          <w:rFonts w:asciiTheme="minorHAnsi" w:hAnsiTheme="minorHAnsi" w:cstheme="minorHAnsi"/>
          <w:szCs w:val="24"/>
          <w:lang w:val="es-CR"/>
        </w:rPr>
        <w:t xml:space="preserve"> a la </w:t>
      </w:r>
      <w:r w:rsidRPr="0023319B">
        <w:rPr>
          <w:rFonts w:asciiTheme="minorHAnsi" w:hAnsiTheme="minorHAnsi" w:cstheme="minorHAnsi"/>
          <w:szCs w:val="24"/>
          <w:lang w:val="es-CR"/>
        </w:rPr>
        <w:t>compra de combustible para los vehículos oficiales</w:t>
      </w:r>
      <w:r w:rsidR="00023F69" w:rsidRPr="0023319B">
        <w:rPr>
          <w:rFonts w:asciiTheme="minorHAnsi" w:hAnsiTheme="minorHAnsi" w:cstheme="minorHAnsi"/>
          <w:szCs w:val="24"/>
          <w:lang w:val="es-CR"/>
        </w:rPr>
        <w:t xml:space="preserve">, durante este año no </w:t>
      </w:r>
      <w:r w:rsidR="00587F2A" w:rsidRPr="0023319B">
        <w:rPr>
          <w:rFonts w:asciiTheme="minorHAnsi" w:hAnsiTheme="minorHAnsi" w:cstheme="minorHAnsi"/>
          <w:szCs w:val="24"/>
          <w:lang w:val="es-CR"/>
        </w:rPr>
        <w:t>se utilizaron los vehículos para transportar a los supervisores</w:t>
      </w:r>
      <w:r w:rsidRPr="0023319B">
        <w:rPr>
          <w:rFonts w:asciiTheme="minorHAnsi" w:hAnsiTheme="minorHAnsi" w:cstheme="minorHAnsi"/>
          <w:szCs w:val="24"/>
          <w:lang w:val="es-CR"/>
        </w:rPr>
        <w:t>.</w:t>
      </w:r>
    </w:p>
    <w:p w14:paraId="5E8579E2" w14:textId="448287CA" w:rsidR="00824A09" w:rsidRPr="0023319B" w:rsidRDefault="0087734E" w:rsidP="00093594">
      <w:pPr>
        <w:pStyle w:val="Textoindependiente"/>
        <w:numPr>
          <w:ilvl w:val="0"/>
          <w:numId w:val="8"/>
        </w:numPr>
        <w:tabs>
          <w:tab w:val="decimal" w:pos="7088"/>
        </w:tabs>
        <w:ind w:left="567" w:right="51"/>
        <w:rPr>
          <w:rFonts w:asciiTheme="minorHAnsi" w:hAnsiTheme="minorHAnsi" w:cstheme="minorHAnsi"/>
          <w:szCs w:val="24"/>
          <w:lang w:val="es-CR"/>
        </w:rPr>
      </w:pPr>
      <w:r w:rsidRPr="0023319B">
        <w:rPr>
          <w:rFonts w:asciiTheme="minorHAnsi" w:hAnsiTheme="minorHAnsi" w:cstheme="minorHAnsi"/>
          <w:szCs w:val="24"/>
          <w:lang w:val="es-CR"/>
        </w:rPr>
        <w:t>“2 01 02 Productos farmacéuticos y medicinas” l</w:t>
      </w:r>
      <w:r w:rsidR="00F37C26" w:rsidRPr="0023319B">
        <w:rPr>
          <w:rFonts w:asciiTheme="minorHAnsi" w:hAnsiTheme="minorHAnsi" w:cstheme="minorHAnsi"/>
          <w:szCs w:val="24"/>
          <w:lang w:val="es-CR"/>
        </w:rPr>
        <w:t xml:space="preserve">a ejecución del período es de </w:t>
      </w:r>
      <w:r w:rsidR="00254D6A" w:rsidRPr="0023319B">
        <w:rPr>
          <w:rFonts w:asciiTheme="minorHAnsi" w:hAnsiTheme="minorHAnsi" w:cstheme="minorHAnsi"/>
          <w:szCs w:val="24"/>
          <w:lang w:val="es-CR"/>
        </w:rPr>
        <w:t>0</w:t>
      </w:r>
      <w:r w:rsidRPr="0023319B">
        <w:rPr>
          <w:rFonts w:asciiTheme="minorHAnsi" w:hAnsiTheme="minorHAnsi" w:cstheme="minorHAnsi"/>
          <w:szCs w:val="24"/>
          <w:lang w:val="es-CR"/>
        </w:rPr>
        <w:t>%</w:t>
      </w:r>
      <w:r w:rsidR="00824A09" w:rsidRPr="0023319B">
        <w:rPr>
          <w:rFonts w:asciiTheme="minorHAnsi" w:hAnsiTheme="minorHAnsi" w:cstheme="minorHAnsi"/>
          <w:szCs w:val="24"/>
          <w:lang w:val="es-CR"/>
        </w:rPr>
        <w:t xml:space="preserve">, </w:t>
      </w:r>
      <w:r w:rsidR="00201BCC" w:rsidRPr="0023319B">
        <w:rPr>
          <w:rFonts w:asciiTheme="minorHAnsi" w:hAnsiTheme="minorHAnsi" w:cstheme="minorHAnsi"/>
          <w:szCs w:val="24"/>
          <w:lang w:val="es-CR"/>
        </w:rPr>
        <w:t xml:space="preserve">no fue necesario adquirir </w:t>
      </w:r>
      <w:r w:rsidR="00CF3EA8" w:rsidRPr="0023319B">
        <w:rPr>
          <w:rFonts w:asciiTheme="minorHAnsi" w:hAnsiTheme="minorHAnsi" w:cstheme="minorHAnsi"/>
          <w:szCs w:val="24"/>
          <w:lang w:val="es-CR"/>
        </w:rPr>
        <w:t>medicamentos</w:t>
      </w:r>
      <w:r w:rsidR="00824A09" w:rsidRPr="0023319B">
        <w:rPr>
          <w:rFonts w:asciiTheme="minorHAnsi" w:hAnsiTheme="minorHAnsi" w:cstheme="minorHAnsi"/>
          <w:szCs w:val="24"/>
          <w:lang w:val="es-CR"/>
        </w:rPr>
        <w:t xml:space="preserve">, para </w:t>
      </w:r>
      <w:r w:rsidR="00CF3EA8" w:rsidRPr="0023319B">
        <w:rPr>
          <w:rFonts w:asciiTheme="minorHAnsi" w:hAnsiTheme="minorHAnsi" w:cstheme="minorHAnsi"/>
          <w:szCs w:val="24"/>
          <w:lang w:val="es-CR"/>
        </w:rPr>
        <w:t>el botiquín de emergencias</w:t>
      </w:r>
      <w:r w:rsidRPr="0023319B">
        <w:rPr>
          <w:rFonts w:asciiTheme="minorHAnsi" w:hAnsiTheme="minorHAnsi" w:cstheme="minorHAnsi"/>
          <w:szCs w:val="24"/>
          <w:lang w:val="es-CR"/>
        </w:rPr>
        <w:t>.</w:t>
      </w:r>
    </w:p>
    <w:p w14:paraId="66751A28" w14:textId="6F97C1D5" w:rsidR="00B1540D" w:rsidRPr="0023319B" w:rsidRDefault="00B1540D" w:rsidP="00B1540D">
      <w:pPr>
        <w:pStyle w:val="Textoindependiente"/>
        <w:numPr>
          <w:ilvl w:val="0"/>
          <w:numId w:val="8"/>
        </w:numPr>
        <w:tabs>
          <w:tab w:val="decimal" w:pos="7088"/>
        </w:tabs>
        <w:ind w:left="567" w:right="51"/>
        <w:rPr>
          <w:rFonts w:asciiTheme="minorHAnsi" w:hAnsiTheme="minorHAnsi" w:cstheme="minorHAnsi"/>
          <w:szCs w:val="24"/>
          <w:lang w:val="es-CR"/>
        </w:rPr>
      </w:pPr>
      <w:r w:rsidRPr="0023319B">
        <w:rPr>
          <w:rFonts w:asciiTheme="minorHAnsi" w:hAnsiTheme="minorHAnsi" w:cstheme="minorHAnsi"/>
          <w:szCs w:val="24"/>
          <w:lang w:val="es-CR"/>
        </w:rPr>
        <w:t>“2 01 04 Tint</w:t>
      </w:r>
      <w:r w:rsidR="00C8661A" w:rsidRPr="0023319B">
        <w:rPr>
          <w:rFonts w:asciiTheme="minorHAnsi" w:hAnsiTheme="minorHAnsi" w:cstheme="minorHAnsi"/>
          <w:szCs w:val="24"/>
          <w:lang w:val="es-CR"/>
        </w:rPr>
        <w:t>as, pinturas y lubricantes</w:t>
      </w:r>
      <w:r w:rsidRPr="0023319B">
        <w:rPr>
          <w:rFonts w:asciiTheme="minorHAnsi" w:hAnsiTheme="minorHAnsi" w:cstheme="minorHAnsi"/>
          <w:szCs w:val="24"/>
          <w:lang w:val="es-CR"/>
        </w:rPr>
        <w:t xml:space="preserve">” la ejecución del período es de </w:t>
      </w:r>
      <w:r w:rsidR="00B8186D" w:rsidRPr="0023319B">
        <w:rPr>
          <w:rFonts w:asciiTheme="minorHAnsi" w:hAnsiTheme="minorHAnsi" w:cstheme="minorHAnsi"/>
          <w:szCs w:val="24"/>
          <w:lang w:val="es-CR"/>
        </w:rPr>
        <w:t>0</w:t>
      </w:r>
      <w:r w:rsidRPr="0023319B">
        <w:rPr>
          <w:rFonts w:asciiTheme="minorHAnsi" w:hAnsiTheme="minorHAnsi" w:cstheme="minorHAnsi"/>
          <w:szCs w:val="24"/>
          <w:lang w:val="es-CR"/>
        </w:rPr>
        <w:t xml:space="preserve">%, </w:t>
      </w:r>
      <w:r w:rsidR="00320461" w:rsidRPr="0023319B">
        <w:rPr>
          <w:rFonts w:asciiTheme="minorHAnsi" w:hAnsiTheme="minorHAnsi" w:cstheme="minorHAnsi"/>
          <w:szCs w:val="24"/>
          <w:lang w:val="es-CR"/>
        </w:rPr>
        <w:t xml:space="preserve">durante este período no se requirió </w:t>
      </w:r>
      <w:r w:rsidR="00582389" w:rsidRPr="0023319B">
        <w:rPr>
          <w:rFonts w:asciiTheme="minorHAnsi" w:hAnsiTheme="minorHAnsi" w:cstheme="minorHAnsi"/>
          <w:szCs w:val="24"/>
          <w:lang w:val="es-CR"/>
        </w:rPr>
        <w:t>la compra de toner</w:t>
      </w:r>
      <w:r w:rsidR="00A529EB" w:rsidRPr="0023319B">
        <w:rPr>
          <w:rFonts w:asciiTheme="minorHAnsi" w:hAnsiTheme="minorHAnsi" w:cstheme="minorHAnsi"/>
          <w:szCs w:val="24"/>
          <w:lang w:val="es-CR"/>
        </w:rPr>
        <w:t>, para las impresoras</w:t>
      </w:r>
      <w:r w:rsidR="00582389" w:rsidRPr="0023319B">
        <w:rPr>
          <w:rFonts w:asciiTheme="minorHAnsi" w:hAnsiTheme="minorHAnsi" w:cstheme="minorHAnsi"/>
          <w:szCs w:val="24"/>
          <w:lang w:val="es-CR"/>
        </w:rPr>
        <w:t>, fotocopiadoras y facsímil</w:t>
      </w:r>
      <w:r w:rsidRPr="0023319B">
        <w:rPr>
          <w:rFonts w:asciiTheme="minorHAnsi" w:hAnsiTheme="minorHAnsi" w:cstheme="minorHAnsi"/>
          <w:szCs w:val="24"/>
          <w:lang w:val="es-CR"/>
        </w:rPr>
        <w:t>.</w:t>
      </w:r>
    </w:p>
    <w:p w14:paraId="674B54E7" w14:textId="1D8BA248" w:rsidR="00824A09" w:rsidRPr="0023319B" w:rsidRDefault="00824A09" w:rsidP="00093594">
      <w:pPr>
        <w:pStyle w:val="Textoindependiente"/>
        <w:numPr>
          <w:ilvl w:val="0"/>
          <w:numId w:val="8"/>
        </w:numPr>
        <w:tabs>
          <w:tab w:val="decimal" w:pos="7088"/>
        </w:tabs>
        <w:ind w:left="567" w:right="51"/>
        <w:rPr>
          <w:rFonts w:asciiTheme="minorHAnsi" w:hAnsiTheme="minorHAnsi" w:cstheme="minorHAnsi"/>
          <w:szCs w:val="24"/>
          <w:lang w:val="es-CR"/>
        </w:rPr>
      </w:pPr>
      <w:r w:rsidRPr="0023319B">
        <w:rPr>
          <w:rFonts w:asciiTheme="minorHAnsi" w:hAnsiTheme="minorHAnsi" w:cstheme="minorHAnsi"/>
          <w:szCs w:val="24"/>
          <w:lang w:val="es-CR"/>
        </w:rPr>
        <w:t xml:space="preserve">“2 02 03 Alimentos y bebidas” </w:t>
      </w:r>
      <w:r w:rsidR="00F37C26" w:rsidRPr="0023319B">
        <w:rPr>
          <w:rFonts w:asciiTheme="minorHAnsi" w:hAnsiTheme="minorHAnsi" w:cstheme="minorHAnsi"/>
          <w:szCs w:val="24"/>
          <w:lang w:val="es-CR"/>
        </w:rPr>
        <w:t>la ejecución</w:t>
      </w:r>
      <w:r w:rsidR="00087CC7" w:rsidRPr="0023319B">
        <w:rPr>
          <w:rFonts w:asciiTheme="minorHAnsi" w:hAnsiTheme="minorHAnsi" w:cstheme="minorHAnsi"/>
          <w:szCs w:val="24"/>
          <w:lang w:val="es-CR"/>
        </w:rPr>
        <w:t xml:space="preserve"> reflejada</w:t>
      </w:r>
      <w:r w:rsidR="00F37C26" w:rsidRPr="0023319B">
        <w:rPr>
          <w:rFonts w:asciiTheme="minorHAnsi" w:hAnsiTheme="minorHAnsi" w:cstheme="minorHAnsi"/>
          <w:szCs w:val="24"/>
          <w:lang w:val="es-CR"/>
        </w:rPr>
        <w:t xml:space="preserve"> es del </w:t>
      </w:r>
      <w:r w:rsidR="005A76BC" w:rsidRPr="0023319B">
        <w:rPr>
          <w:rFonts w:asciiTheme="minorHAnsi" w:hAnsiTheme="minorHAnsi" w:cstheme="minorHAnsi"/>
          <w:szCs w:val="24"/>
          <w:lang w:val="es-CR"/>
        </w:rPr>
        <w:t>1</w:t>
      </w:r>
      <w:r w:rsidR="00493A7A" w:rsidRPr="0023319B">
        <w:rPr>
          <w:rFonts w:asciiTheme="minorHAnsi" w:hAnsiTheme="minorHAnsi" w:cstheme="minorHAnsi"/>
          <w:szCs w:val="24"/>
          <w:lang w:val="es-CR"/>
        </w:rPr>
        <w:t xml:space="preserve">%, </w:t>
      </w:r>
      <w:r w:rsidR="00087CC7" w:rsidRPr="0023319B">
        <w:rPr>
          <w:rFonts w:asciiTheme="minorHAnsi" w:hAnsiTheme="minorHAnsi" w:cstheme="minorHAnsi"/>
          <w:szCs w:val="24"/>
          <w:lang w:val="es-CR"/>
        </w:rPr>
        <w:t>corresponde</w:t>
      </w:r>
      <w:r w:rsidR="00A9383F" w:rsidRPr="0023319B">
        <w:rPr>
          <w:rFonts w:asciiTheme="minorHAnsi" w:hAnsiTheme="minorHAnsi" w:cstheme="minorHAnsi"/>
          <w:szCs w:val="24"/>
          <w:lang w:val="es-CR"/>
        </w:rPr>
        <w:t xml:space="preserve"> a la</w:t>
      </w:r>
      <w:r w:rsidR="001C4928" w:rsidRPr="0023319B">
        <w:rPr>
          <w:rFonts w:asciiTheme="minorHAnsi" w:hAnsiTheme="minorHAnsi" w:cstheme="minorHAnsi"/>
          <w:szCs w:val="24"/>
          <w:lang w:val="es-CR"/>
        </w:rPr>
        <w:t xml:space="preserve"> </w:t>
      </w:r>
      <w:r w:rsidR="005A76BC" w:rsidRPr="0023319B">
        <w:rPr>
          <w:rFonts w:asciiTheme="minorHAnsi" w:hAnsiTheme="minorHAnsi" w:cstheme="minorHAnsi"/>
          <w:szCs w:val="24"/>
          <w:lang w:val="es-CR"/>
        </w:rPr>
        <w:t>compra</w:t>
      </w:r>
      <w:r w:rsidR="001C4928" w:rsidRPr="0023319B">
        <w:rPr>
          <w:rFonts w:asciiTheme="minorHAnsi" w:hAnsiTheme="minorHAnsi" w:cstheme="minorHAnsi"/>
          <w:szCs w:val="24"/>
          <w:lang w:val="es-CR"/>
        </w:rPr>
        <w:t xml:space="preserve"> para la</w:t>
      </w:r>
      <w:r w:rsidR="00A9383F" w:rsidRPr="0023319B">
        <w:rPr>
          <w:rFonts w:asciiTheme="minorHAnsi" w:hAnsiTheme="minorHAnsi" w:cstheme="minorHAnsi"/>
          <w:szCs w:val="24"/>
          <w:lang w:val="es-CR"/>
        </w:rPr>
        <w:t xml:space="preserve"> atención de</w:t>
      </w:r>
      <w:r w:rsidRPr="0023319B">
        <w:rPr>
          <w:rFonts w:asciiTheme="minorHAnsi" w:hAnsiTheme="minorHAnsi" w:cstheme="minorHAnsi"/>
          <w:szCs w:val="24"/>
          <w:lang w:val="es-CR"/>
        </w:rPr>
        <w:t xml:space="preserve"> reuniones </w:t>
      </w:r>
      <w:r w:rsidR="00CB7307" w:rsidRPr="0023319B">
        <w:rPr>
          <w:rFonts w:asciiTheme="minorHAnsi" w:hAnsiTheme="minorHAnsi" w:cstheme="minorHAnsi"/>
          <w:szCs w:val="24"/>
          <w:lang w:val="es-CR"/>
        </w:rPr>
        <w:t xml:space="preserve">oficiales </w:t>
      </w:r>
      <w:r w:rsidRPr="0023319B">
        <w:rPr>
          <w:rFonts w:asciiTheme="minorHAnsi" w:hAnsiTheme="minorHAnsi" w:cstheme="minorHAnsi"/>
          <w:szCs w:val="24"/>
          <w:lang w:val="es-CR"/>
        </w:rPr>
        <w:t>y capacitaciones internas</w:t>
      </w:r>
      <w:r w:rsidR="00EA0C5B" w:rsidRPr="0023319B">
        <w:rPr>
          <w:rFonts w:asciiTheme="minorHAnsi" w:hAnsiTheme="minorHAnsi" w:cstheme="minorHAnsi"/>
          <w:szCs w:val="24"/>
          <w:lang w:val="es-CR"/>
        </w:rPr>
        <w:t xml:space="preserve">, </w:t>
      </w:r>
      <w:r w:rsidR="002C1ADA" w:rsidRPr="0023319B">
        <w:rPr>
          <w:rFonts w:asciiTheme="minorHAnsi" w:hAnsiTheme="minorHAnsi" w:cstheme="minorHAnsi"/>
          <w:szCs w:val="24"/>
          <w:lang w:val="es-CR"/>
        </w:rPr>
        <w:t>por la situación conocida, no se requirió la compra de alimentos durante el período</w:t>
      </w:r>
      <w:r w:rsidRPr="0023319B">
        <w:rPr>
          <w:rFonts w:asciiTheme="minorHAnsi" w:hAnsiTheme="minorHAnsi" w:cstheme="minorHAnsi"/>
          <w:szCs w:val="24"/>
          <w:lang w:val="es-CR"/>
        </w:rPr>
        <w:t xml:space="preserve">. </w:t>
      </w:r>
    </w:p>
    <w:p w14:paraId="279B3CCE" w14:textId="27A094EE" w:rsidR="00824A09" w:rsidRPr="0023319B" w:rsidRDefault="00800C9A" w:rsidP="00093594">
      <w:pPr>
        <w:pStyle w:val="Textoindependiente"/>
        <w:numPr>
          <w:ilvl w:val="0"/>
          <w:numId w:val="8"/>
        </w:numPr>
        <w:tabs>
          <w:tab w:val="decimal" w:pos="7088"/>
        </w:tabs>
        <w:ind w:left="567" w:right="51"/>
        <w:rPr>
          <w:rFonts w:asciiTheme="minorHAnsi" w:hAnsiTheme="minorHAnsi" w:cstheme="minorHAnsi"/>
          <w:szCs w:val="24"/>
          <w:lang w:val="es-CR"/>
        </w:rPr>
      </w:pPr>
      <w:r w:rsidRPr="0023319B">
        <w:rPr>
          <w:rFonts w:asciiTheme="minorHAnsi" w:hAnsiTheme="minorHAnsi" w:cstheme="minorHAnsi"/>
          <w:szCs w:val="24"/>
          <w:lang w:val="es-CR"/>
        </w:rPr>
        <w:t xml:space="preserve"> </w:t>
      </w:r>
      <w:r w:rsidR="00824A09" w:rsidRPr="0023319B">
        <w:rPr>
          <w:rFonts w:asciiTheme="minorHAnsi" w:hAnsiTheme="minorHAnsi" w:cstheme="minorHAnsi"/>
          <w:szCs w:val="24"/>
          <w:lang w:val="es-CR"/>
        </w:rPr>
        <w:t xml:space="preserve">“2 04 02 Repuestos y accesorios” </w:t>
      </w:r>
      <w:r w:rsidR="00F37C26" w:rsidRPr="0023319B">
        <w:rPr>
          <w:rFonts w:asciiTheme="minorHAnsi" w:hAnsiTheme="minorHAnsi" w:cstheme="minorHAnsi"/>
          <w:szCs w:val="24"/>
          <w:lang w:val="es-CR"/>
        </w:rPr>
        <w:t xml:space="preserve">la ejecución es del </w:t>
      </w:r>
      <w:r w:rsidR="003D5D8D" w:rsidRPr="0023319B">
        <w:rPr>
          <w:rFonts w:asciiTheme="minorHAnsi" w:hAnsiTheme="minorHAnsi" w:cstheme="minorHAnsi"/>
          <w:szCs w:val="24"/>
          <w:lang w:val="es-CR"/>
        </w:rPr>
        <w:t>18</w:t>
      </w:r>
      <w:r w:rsidR="00493A7A" w:rsidRPr="0023319B">
        <w:rPr>
          <w:rFonts w:asciiTheme="minorHAnsi" w:hAnsiTheme="minorHAnsi" w:cstheme="minorHAnsi"/>
          <w:szCs w:val="24"/>
          <w:lang w:val="es-CR"/>
        </w:rPr>
        <w:t>%</w:t>
      </w:r>
      <w:r w:rsidR="00CD4FB9" w:rsidRPr="0023319B">
        <w:rPr>
          <w:rFonts w:asciiTheme="minorHAnsi" w:hAnsiTheme="minorHAnsi" w:cstheme="minorHAnsi"/>
          <w:szCs w:val="24"/>
          <w:lang w:val="es-CR"/>
        </w:rPr>
        <w:t xml:space="preserve">, </w:t>
      </w:r>
      <w:r w:rsidR="00C40DB4" w:rsidRPr="0023319B">
        <w:rPr>
          <w:rFonts w:asciiTheme="minorHAnsi" w:hAnsiTheme="minorHAnsi" w:cstheme="minorHAnsi"/>
          <w:szCs w:val="24"/>
          <w:lang w:val="es-CR"/>
        </w:rPr>
        <w:t>co</w:t>
      </w:r>
      <w:r w:rsidR="00300B50" w:rsidRPr="0023319B">
        <w:rPr>
          <w:rFonts w:asciiTheme="minorHAnsi" w:hAnsiTheme="minorHAnsi" w:cstheme="minorHAnsi"/>
          <w:szCs w:val="24"/>
          <w:lang w:val="es-CR"/>
        </w:rPr>
        <w:t xml:space="preserve">rresponde al </w:t>
      </w:r>
      <w:r w:rsidR="00E37BCF" w:rsidRPr="0023319B">
        <w:rPr>
          <w:rFonts w:asciiTheme="minorHAnsi" w:hAnsiTheme="minorHAnsi" w:cstheme="minorHAnsi"/>
          <w:szCs w:val="24"/>
          <w:lang w:val="es-CR"/>
        </w:rPr>
        <w:t>mantenimiento a los purificadores de agua</w:t>
      </w:r>
      <w:r w:rsidR="00A36319" w:rsidRPr="0023319B">
        <w:rPr>
          <w:rFonts w:asciiTheme="minorHAnsi" w:hAnsiTheme="minorHAnsi" w:cstheme="minorHAnsi"/>
          <w:szCs w:val="24"/>
          <w:lang w:val="es-CR"/>
        </w:rPr>
        <w:t>.</w:t>
      </w:r>
    </w:p>
    <w:p w14:paraId="03A66554" w14:textId="658E1AB4" w:rsidR="0087734E" w:rsidRPr="0023319B" w:rsidRDefault="0087734E" w:rsidP="00093594">
      <w:pPr>
        <w:pStyle w:val="Textoindependiente"/>
        <w:numPr>
          <w:ilvl w:val="0"/>
          <w:numId w:val="8"/>
        </w:numPr>
        <w:tabs>
          <w:tab w:val="decimal" w:pos="7088"/>
        </w:tabs>
        <w:ind w:left="567" w:right="51"/>
        <w:rPr>
          <w:rFonts w:asciiTheme="minorHAnsi" w:hAnsiTheme="minorHAnsi" w:cstheme="minorHAnsi"/>
          <w:szCs w:val="24"/>
          <w:lang w:val="es-CR"/>
        </w:rPr>
      </w:pPr>
      <w:r w:rsidRPr="0023319B">
        <w:rPr>
          <w:rFonts w:asciiTheme="minorHAnsi" w:hAnsiTheme="minorHAnsi" w:cstheme="minorHAnsi"/>
          <w:szCs w:val="24"/>
          <w:lang w:val="es-CR"/>
        </w:rPr>
        <w:t xml:space="preserve">“2.99.01 Útiles y materiales de oficina y cómputo” refleja una ejecución </w:t>
      </w:r>
      <w:r w:rsidR="007331D6" w:rsidRPr="0023319B">
        <w:rPr>
          <w:rFonts w:asciiTheme="minorHAnsi" w:hAnsiTheme="minorHAnsi" w:cstheme="minorHAnsi"/>
          <w:szCs w:val="24"/>
          <w:lang w:val="es-CR"/>
        </w:rPr>
        <w:t xml:space="preserve">del </w:t>
      </w:r>
      <w:r w:rsidR="00E37BCF" w:rsidRPr="0023319B">
        <w:rPr>
          <w:rFonts w:asciiTheme="minorHAnsi" w:hAnsiTheme="minorHAnsi" w:cstheme="minorHAnsi"/>
          <w:szCs w:val="24"/>
          <w:lang w:val="es-CR"/>
        </w:rPr>
        <w:t>5</w:t>
      </w:r>
      <w:r w:rsidRPr="0023319B">
        <w:rPr>
          <w:rFonts w:asciiTheme="minorHAnsi" w:hAnsiTheme="minorHAnsi" w:cstheme="minorHAnsi"/>
          <w:szCs w:val="24"/>
          <w:lang w:val="es-CR"/>
        </w:rPr>
        <w:t>%</w:t>
      </w:r>
      <w:r w:rsidR="007331D6" w:rsidRPr="0023319B">
        <w:rPr>
          <w:rFonts w:asciiTheme="minorHAnsi" w:hAnsiTheme="minorHAnsi" w:cstheme="minorHAnsi"/>
          <w:szCs w:val="24"/>
          <w:lang w:val="es-CR"/>
        </w:rPr>
        <w:t xml:space="preserve">, </w:t>
      </w:r>
      <w:r w:rsidR="00D8208A" w:rsidRPr="0023319B">
        <w:rPr>
          <w:rFonts w:asciiTheme="minorHAnsi" w:hAnsiTheme="minorHAnsi" w:cstheme="minorHAnsi"/>
          <w:szCs w:val="24"/>
          <w:lang w:val="es-CR"/>
        </w:rPr>
        <w:t xml:space="preserve">no fue </w:t>
      </w:r>
      <w:r w:rsidR="00CC264D" w:rsidRPr="0023319B">
        <w:rPr>
          <w:rFonts w:asciiTheme="minorHAnsi" w:hAnsiTheme="minorHAnsi" w:cstheme="minorHAnsi"/>
          <w:szCs w:val="24"/>
          <w:lang w:val="es-CR"/>
        </w:rPr>
        <w:t xml:space="preserve">necesario adquirir suministros de oficina, dado que el personal </w:t>
      </w:r>
      <w:r w:rsidR="00D93A74" w:rsidRPr="0023319B">
        <w:rPr>
          <w:rFonts w:asciiTheme="minorHAnsi" w:hAnsiTheme="minorHAnsi" w:cstheme="minorHAnsi"/>
          <w:szCs w:val="24"/>
          <w:lang w:val="es-CR"/>
        </w:rPr>
        <w:t>ha estado bajo la modalidad de teletrabajo</w:t>
      </w:r>
      <w:r w:rsidRPr="0023319B">
        <w:rPr>
          <w:rFonts w:asciiTheme="minorHAnsi" w:hAnsiTheme="minorHAnsi" w:cstheme="minorHAnsi"/>
          <w:szCs w:val="24"/>
          <w:lang w:val="es-CR"/>
        </w:rPr>
        <w:t>.</w:t>
      </w:r>
    </w:p>
    <w:p w14:paraId="518BBA5A" w14:textId="5A4F34D6" w:rsidR="00B83A6D" w:rsidRPr="0023319B" w:rsidRDefault="00717890" w:rsidP="00093594">
      <w:pPr>
        <w:pStyle w:val="Textoindependiente"/>
        <w:numPr>
          <w:ilvl w:val="0"/>
          <w:numId w:val="8"/>
        </w:numPr>
        <w:tabs>
          <w:tab w:val="decimal" w:pos="7088"/>
        </w:tabs>
        <w:ind w:left="567" w:right="51"/>
        <w:rPr>
          <w:rFonts w:asciiTheme="minorHAnsi" w:hAnsiTheme="minorHAnsi" w:cstheme="minorHAnsi"/>
          <w:szCs w:val="24"/>
          <w:lang w:val="es-CR"/>
        </w:rPr>
      </w:pPr>
      <w:r w:rsidRPr="0023319B">
        <w:rPr>
          <w:rFonts w:asciiTheme="minorHAnsi" w:hAnsiTheme="minorHAnsi" w:cstheme="minorHAnsi"/>
          <w:szCs w:val="24"/>
          <w:lang w:val="es-CR"/>
        </w:rPr>
        <w:t xml:space="preserve"> </w:t>
      </w:r>
      <w:r w:rsidR="00B83A6D" w:rsidRPr="0023319B">
        <w:rPr>
          <w:rFonts w:asciiTheme="minorHAnsi" w:hAnsiTheme="minorHAnsi" w:cstheme="minorHAnsi"/>
          <w:szCs w:val="24"/>
          <w:lang w:val="es-CR"/>
        </w:rPr>
        <w:t>“2.99.03 Productos de pap</w:t>
      </w:r>
      <w:r w:rsidR="00F37C26" w:rsidRPr="0023319B">
        <w:rPr>
          <w:rFonts w:asciiTheme="minorHAnsi" w:hAnsiTheme="minorHAnsi" w:cstheme="minorHAnsi"/>
          <w:szCs w:val="24"/>
          <w:lang w:val="es-CR"/>
        </w:rPr>
        <w:t xml:space="preserve">el, cartón e impresos” </w:t>
      </w:r>
      <w:r w:rsidR="00B17A61" w:rsidRPr="0023319B">
        <w:rPr>
          <w:rFonts w:asciiTheme="minorHAnsi" w:hAnsiTheme="minorHAnsi" w:cstheme="minorHAnsi"/>
          <w:szCs w:val="24"/>
          <w:lang w:val="es-CR"/>
        </w:rPr>
        <w:t>refleja</w:t>
      </w:r>
      <w:r w:rsidR="00F37C26" w:rsidRPr="0023319B">
        <w:rPr>
          <w:rFonts w:asciiTheme="minorHAnsi" w:hAnsiTheme="minorHAnsi" w:cstheme="minorHAnsi"/>
          <w:szCs w:val="24"/>
          <w:lang w:val="es-CR"/>
        </w:rPr>
        <w:t xml:space="preserve"> un </w:t>
      </w:r>
      <w:r w:rsidRPr="0023319B">
        <w:rPr>
          <w:rFonts w:asciiTheme="minorHAnsi" w:hAnsiTheme="minorHAnsi" w:cstheme="minorHAnsi"/>
          <w:szCs w:val="24"/>
          <w:lang w:val="es-CR"/>
        </w:rPr>
        <w:t>2</w:t>
      </w:r>
      <w:r w:rsidR="00B64A86" w:rsidRPr="0023319B">
        <w:rPr>
          <w:rFonts w:asciiTheme="minorHAnsi" w:hAnsiTheme="minorHAnsi" w:cstheme="minorHAnsi"/>
          <w:szCs w:val="24"/>
          <w:lang w:val="es-CR"/>
        </w:rPr>
        <w:t>4</w:t>
      </w:r>
      <w:r w:rsidR="00B83A6D" w:rsidRPr="0023319B">
        <w:rPr>
          <w:rFonts w:asciiTheme="minorHAnsi" w:hAnsiTheme="minorHAnsi" w:cstheme="minorHAnsi"/>
          <w:szCs w:val="24"/>
          <w:lang w:val="es-CR"/>
        </w:rPr>
        <w:t>%</w:t>
      </w:r>
      <w:r w:rsidR="00B17A61" w:rsidRPr="0023319B">
        <w:rPr>
          <w:rFonts w:asciiTheme="minorHAnsi" w:hAnsiTheme="minorHAnsi" w:cstheme="minorHAnsi"/>
          <w:szCs w:val="24"/>
          <w:lang w:val="es-CR"/>
        </w:rPr>
        <w:t xml:space="preserve"> de ejecución</w:t>
      </w:r>
      <w:r w:rsidR="00CB6F02" w:rsidRPr="0023319B">
        <w:rPr>
          <w:rFonts w:asciiTheme="minorHAnsi" w:hAnsiTheme="minorHAnsi" w:cstheme="minorHAnsi"/>
          <w:szCs w:val="24"/>
          <w:lang w:val="es-CR"/>
        </w:rPr>
        <w:t xml:space="preserve">, </w:t>
      </w:r>
      <w:r w:rsidR="0073344B" w:rsidRPr="0023319B">
        <w:rPr>
          <w:rFonts w:asciiTheme="minorHAnsi" w:hAnsiTheme="minorHAnsi" w:cstheme="minorHAnsi"/>
          <w:szCs w:val="24"/>
          <w:lang w:val="es-CR"/>
        </w:rPr>
        <w:t>que correspondió a la</w:t>
      </w:r>
      <w:r w:rsidR="00AA535E" w:rsidRPr="0023319B">
        <w:rPr>
          <w:rFonts w:asciiTheme="minorHAnsi" w:hAnsiTheme="minorHAnsi" w:cstheme="minorHAnsi"/>
          <w:szCs w:val="24"/>
          <w:lang w:val="es-CR"/>
        </w:rPr>
        <w:t xml:space="preserve"> compra de papel para las impresoras y fotocopiadora</w:t>
      </w:r>
      <w:r w:rsidR="0073344B" w:rsidRPr="0023319B">
        <w:rPr>
          <w:rFonts w:asciiTheme="minorHAnsi" w:hAnsiTheme="minorHAnsi" w:cstheme="minorHAnsi"/>
          <w:szCs w:val="24"/>
          <w:lang w:val="es-CR"/>
        </w:rPr>
        <w:t>, para el año</w:t>
      </w:r>
      <w:r w:rsidR="00B83A6D" w:rsidRPr="0023319B">
        <w:rPr>
          <w:rFonts w:asciiTheme="minorHAnsi" w:hAnsiTheme="minorHAnsi" w:cstheme="minorHAnsi"/>
          <w:szCs w:val="24"/>
          <w:lang w:val="es-CR"/>
        </w:rPr>
        <w:t>.</w:t>
      </w:r>
    </w:p>
    <w:p w14:paraId="6DFE96EF" w14:textId="7B1E474A" w:rsidR="00B83A6D" w:rsidRPr="0023319B" w:rsidRDefault="00493A7A" w:rsidP="00093594">
      <w:pPr>
        <w:pStyle w:val="Textoindependiente"/>
        <w:numPr>
          <w:ilvl w:val="0"/>
          <w:numId w:val="8"/>
        </w:numPr>
        <w:tabs>
          <w:tab w:val="decimal" w:pos="7088"/>
        </w:tabs>
        <w:ind w:left="567" w:right="51"/>
        <w:rPr>
          <w:rFonts w:asciiTheme="minorHAnsi" w:hAnsiTheme="minorHAnsi" w:cstheme="minorHAnsi"/>
          <w:szCs w:val="24"/>
          <w:lang w:val="es-CR"/>
        </w:rPr>
      </w:pPr>
      <w:r w:rsidRPr="0023319B">
        <w:rPr>
          <w:rFonts w:asciiTheme="minorHAnsi" w:hAnsiTheme="minorHAnsi" w:cstheme="minorHAnsi"/>
          <w:szCs w:val="24"/>
          <w:lang w:val="es-CR"/>
        </w:rPr>
        <w:t>“2 99 04 Textiles y v</w:t>
      </w:r>
      <w:r w:rsidR="007331D6" w:rsidRPr="0023319B">
        <w:rPr>
          <w:rFonts w:asciiTheme="minorHAnsi" w:hAnsiTheme="minorHAnsi" w:cstheme="minorHAnsi"/>
          <w:szCs w:val="24"/>
          <w:lang w:val="es-CR"/>
        </w:rPr>
        <w:t xml:space="preserve">estuario” la ejecución es del </w:t>
      </w:r>
      <w:r w:rsidR="000B40EE" w:rsidRPr="0023319B">
        <w:rPr>
          <w:rFonts w:asciiTheme="minorHAnsi" w:hAnsiTheme="minorHAnsi" w:cstheme="minorHAnsi"/>
          <w:szCs w:val="24"/>
          <w:lang w:val="es-CR"/>
        </w:rPr>
        <w:t>0</w:t>
      </w:r>
      <w:r w:rsidRPr="0023319B">
        <w:rPr>
          <w:rFonts w:asciiTheme="minorHAnsi" w:hAnsiTheme="minorHAnsi" w:cstheme="minorHAnsi"/>
          <w:szCs w:val="24"/>
          <w:lang w:val="es-CR"/>
        </w:rPr>
        <w:t>% y corresponde a la compra de uniformes a los choferes</w:t>
      </w:r>
      <w:r w:rsidR="000B40EE" w:rsidRPr="0023319B">
        <w:rPr>
          <w:rFonts w:asciiTheme="minorHAnsi" w:hAnsiTheme="minorHAnsi" w:cstheme="minorHAnsi"/>
          <w:szCs w:val="24"/>
          <w:lang w:val="es-CR"/>
        </w:rPr>
        <w:t xml:space="preserve"> que </w:t>
      </w:r>
      <w:r w:rsidR="00193310" w:rsidRPr="0023319B">
        <w:rPr>
          <w:rFonts w:asciiTheme="minorHAnsi" w:hAnsiTheme="minorHAnsi" w:cstheme="minorHAnsi"/>
          <w:szCs w:val="24"/>
          <w:lang w:val="es-CR"/>
        </w:rPr>
        <w:t>no fue necesario concretar</w:t>
      </w:r>
      <w:r w:rsidRPr="0023319B">
        <w:rPr>
          <w:rFonts w:asciiTheme="minorHAnsi" w:hAnsiTheme="minorHAnsi" w:cstheme="minorHAnsi"/>
          <w:szCs w:val="24"/>
          <w:lang w:val="es-CR"/>
        </w:rPr>
        <w:t>.</w:t>
      </w:r>
    </w:p>
    <w:p w14:paraId="315AC85B" w14:textId="5426326F" w:rsidR="00493A7A" w:rsidRPr="0023319B" w:rsidRDefault="00B83A6D" w:rsidP="00093594">
      <w:pPr>
        <w:pStyle w:val="Textoindependiente"/>
        <w:numPr>
          <w:ilvl w:val="0"/>
          <w:numId w:val="8"/>
        </w:numPr>
        <w:tabs>
          <w:tab w:val="decimal" w:pos="7088"/>
        </w:tabs>
        <w:ind w:left="567" w:right="51"/>
        <w:rPr>
          <w:rFonts w:asciiTheme="minorHAnsi" w:hAnsiTheme="minorHAnsi" w:cstheme="minorHAnsi"/>
          <w:szCs w:val="24"/>
          <w:lang w:val="es-CR"/>
        </w:rPr>
      </w:pPr>
      <w:r w:rsidRPr="0023319B">
        <w:rPr>
          <w:rFonts w:asciiTheme="minorHAnsi" w:hAnsiTheme="minorHAnsi" w:cstheme="minorHAnsi"/>
          <w:szCs w:val="24"/>
          <w:lang w:val="es-CR"/>
        </w:rPr>
        <w:t>2 99 05 “Útiles y ma</w:t>
      </w:r>
      <w:r w:rsidR="00F37C26" w:rsidRPr="0023319B">
        <w:rPr>
          <w:rFonts w:asciiTheme="minorHAnsi" w:hAnsiTheme="minorHAnsi" w:cstheme="minorHAnsi"/>
          <w:szCs w:val="24"/>
          <w:lang w:val="es-CR"/>
        </w:rPr>
        <w:t xml:space="preserve">teriales de limpieza” </w:t>
      </w:r>
      <w:r w:rsidR="00AB7401" w:rsidRPr="0023319B">
        <w:rPr>
          <w:rFonts w:asciiTheme="minorHAnsi" w:hAnsiTheme="minorHAnsi" w:cstheme="minorHAnsi"/>
          <w:szCs w:val="24"/>
          <w:lang w:val="es-CR"/>
        </w:rPr>
        <w:t>compra</w:t>
      </w:r>
      <w:r w:rsidR="00DE5EE3" w:rsidRPr="0023319B">
        <w:rPr>
          <w:rFonts w:asciiTheme="minorHAnsi" w:hAnsiTheme="minorHAnsi" w:cstheme="minorHAnsi"/>
          <w:szCs w:val="24"/>
          <w:lang w:val="es-CR"/>
        </w:rPr>
        <w:t xml:space="preserve">s necesarias para atención de </w:t>
      </w:r>
      <w:r w:rsidR="005C5891" w:rsidRPr="0023319B">
        <w:rPr>
          <w:rFonts w:asciiTheme="minorHAnsi" w:hAnsiTheme="minorHAnsi" w:cstheme="minorHAnsi"/>
          <w:szCs w:val="24"/>
          <w:lang w:val="es-CR"/>
        </w:rPr>
        <w:t xml:space="preserve">los requerimientos de la oficina, </w:t>
      </w:r>
      <w:r w:rsidR="0078283C" w:rsidRPr="0023319B">
        <w:rPr>
          <w:rFonts w:asciiTheme="minorHAnsi" w:hAnsiTheme="minorHAnsi" w:cstheme="minorHAnsi"/>
          <w:szCs w:val="24"/>
          <w:lang w:val="es-CR"/>
        </w:rPr>
        <w:t xml:space="preserve">porcentaje de ejecución </w:t>
      </w:r>
      <w:r w:rsidR="005C5891" w:rsidRPr="0023319B">
        <w:rPr>
          <w:rFonts w:asciiTheme="minorHAnsi" w:hAnsiTheme="minorHAnsi" w:cstheme="minorHAnsi"/>
          <w:szCs w:val="24"/>
          <w:lang w:val="es-CR"/>
        </w:rPr>
        <w:t>es de</w:t>
      </w:r>
      <w:r w:rsidR="0078283C" w:rsidRPr="0023319B">
        <w:rPr>
          <w:rFonts w:asciiTheme="minorHAnsi" w:hAnsiTheme="minorHAnsi" w:cstheme="minorHAnsi"/>
          <w:szCs w:val="24"/>
          <w:lang w:val="es-CR"/>
        </w:rPr>
        <w:t xml:space="preserve"> </w:t>
      </w:r>
      <w:r w:rsidR="00911E54" w:rsidRPr="0023319B">
        <w:rPr>
          <w:rFonts w:asciiTheme="minorHAnsi" w:hAnsiTheme="minorHAnsi" w:cstheme="minorHAnsi"/>
          <w:szCs w:val="24"/>
          <w:lang w:val="es-CR"/>
        </w:rPr>
        <w:t>2</w:t>
      </w:r>
      <w:r w:rsidR="00015F8A" w:rsidRPr="0023319B">
        <w:rPr>
          <w:rFonts w:asciiTheme="minorHAnsi" w:hAnsiTheme="minorHAnsi" w:cstheme="minorHAnsi"/>
          <w:szCs w:val="24"/>
          <w:lang w:val="es-CR"/>
        </w:rPr>
        <w:t>0</w:t>
      </w:r>
      <w:r w:rsidR="00F37C26" w:rsidRPr="0023319B">
        <w:rPr>
          <w:rFonts w:asciiTheme="minorHAnsi" w:hAnsiTheme="minorHAnsi" w:cstheme="minorHAnsi"/>
          <w:szCs w:val="24"/>
          <w:lang w:val="es-CR"/>
        </w:rPr>
        <w:t>%.</w:t>
      </w:r>
      <w:r w:rsidR="00493A7A" w:rsidRPr="0023319B">
        <w:rPr>
          <w:rFonts w:asciiTheme="minorHAnsi" w:hAnsiTheme="minorHAnsi" w:cstheme="minorHAnsi"/>
          <w:szCs w:val="24"/>
          <w:lang w:val="es-CR"/>
        </w:rPr>
        <w:t xml:space="preserve"> </w:t>
      </w:r>
    </w:p>
    <w:p w14:paraId="6F9033EC" w14:textId="77777777" w:rsidR="00AE485D" w:rsidRPr="0023319B" w:rsidRDefault="00AE485D" w:rsidP="00AE485D">
      <w:pPr>
        <w:rPr>
          <w:lang w:val="es-CR"/>
        </w:rPr>
      </w:pPr>
      <w:bookmarkStart w:id="63" w:name="_Toc70497976"/>
      <w:bookmarkStart w:id="64" w:name="_Toc131912456"/>
      <w:bookmarkStart w:id="65" w:name="_Toc163371961"/>
      <w:bookmarkStart w:id="66" w:name="_Toc195505394"/>
      <w:bookmarkStart w:id="67" w:name="_Toc226364827"/>
      <w:bookmarkStart w:id="68" w:name="_Toc273448681"/>
    </w:p>
    <w:p w14:paraId="4427C03E" w14:textId="77777777" w:rsidR="00AE485D" w:rsidRPr="0023319B" w:rsidRDefault="00AE485D" w:rsidP="00AE485D">
      <w:pPr>
        <w:rPr>
          <w:lang w:val="es-CR"/>
        </w:rPr>
      </w:pPr>
    </w:p>
    <w:p w14:paraId="64DC794B" w14:textId="0A24E311" w:rsidR="00225437" w:rsidRPr="0023319B" w:rsidRDefault="00225437" w:rsidP="003E35E4">
      <w:pPr>
        <w:pStyle w:val="Ttulo2"/>
      </w:pPr>
      <w:bookmarkStart w:id="69" w:name="_Toc61081377"/>
      <w:r w:rsidRPr="0023319B">
        <w:t>Cuenta 5 “</w:t>
      </w:r>
      <w:r w:rsidR="00F75C74" w:rsidRPr="0023319B">
        <w:t>Bienes Duraderos</w:t>
      </w:r>
      <w:r w:rsidRPr="0023319B">
        <w:t>”</w:t>
      </w:r>
      <w:bookmarkEnd w:id="63"/>
      <w:bookmarkEnd w:id="64"/>
      <w:bookmarkEnd w:id="65"/>
      <w:bookmarkEnd w:id="66"/>
      <w:bookmarkEnd w:id="67"/>
      <w:bookmarkEnd w:id="68"/>
      <w:bookmarkEnd w:id="69"/>
    </w:p>
    <w:p w14:paraId="64DC794C" w14:textId="77777777" w:rsidR="00225437" w:rsidRPr="0023319B" w:rsidRDefault="00225437" w:rsidP="00093594">
      <w:pPr>
        <w:spacing w:line="240" w:lineRule="auto"/>
        <w:ind w:right="51"/>
        <w:rPr>
          <w:rFonts w:asciiTheme="minorHAnsi" w:hAnsiTheme="minorHAnsi" w:cstheme="minorHAnsi"/>
          <w:sz w:val="24"/>
          <w:szCs w:val="16"/>
          <w:lang w:val="es-CR"/>
        </w:rPr>
      </w:pPr>
    </w:p>
    <w:p w14:paraId="4520875C" w14:textId="089B12F0" w:rsidR="00C45857" w:rsidRPr="0023319B" w:rsidRDefault="00C45857" w:rsidP="00C45857">
      <w:pPr>
        <w:pStyle w:val="Textoindependiente"/>
        <w:numPr>
          <w:ilvl w:val="0"/>
          <w:numId w:val="0"/>
        </w:numPr>
        <w:ind w:right="51"/>
        <w:rPr>
          <w:rFonts w:asciiTheme="minorHAnsi" w:hAnsiTheme="minorHAnsi" w:cstheme="minorHAnsi"/>
          <w:szCs w:val="24"/>
          <w:lang w:val="es-CR"/>
        </w:rPr>
      </w:pPr>
      <w:r w:rsidRPr="0023319B">
        <w:rPr>
          <w:rFonts w:asciiTheme="minorHAnsi" w:hAnsiTheme="minorHAnsi" w:cstheme="minorHAnsi"/>
          <w:szCs w:val="24"/>
          <w:lang w:val="es-CR"/>
        </w:rPr>
        <w:t>El nivel de ejecución de las subpartidas que conforman la cuenta “Bienes Dura</w:t>
      </w:r>
      <w:r w:rsidR="00654FEA" w:rsidRPr="0023319B">
        <w:rPr>
          <w:rFonts w:asciiTheme="minorHAnsi" w:hAnsiTheme="minorHAnsi" w:cstheme="minorHAnsi"/>
          <w:szCs w:val="24"/>
          <w:lang w:val="es-CR"/>
        </w:rPr>
        <w:t>deros</w:t>
      </w:r>
      <w:r w:rsidRPr="0023319B">
        <w:rPr>
          <w:rFonts w:asciiTheme="minorHAnsi" w:hAnsiTheme="minorHAnsi" w:cstheme="minorHAnsi"/>
          <w:szCs w:val="24"/>
          <w:lang w:val="es-CR"/>
        </w:rPr>
        <w:t>” se detallan en el siguiente cuadro:</w:t>
      </w:r>
    </w:p>
    <w:p w14:paraId="14794D10" w14:textId="77777777" w:rsidR="00C45857" w:rsidRPr="0023319B" w:rsidRDefault="00C45857" w:rsidP="00093594">
      <w:pPr>
        <w:ind w:right="51"/>
        <w:rPr>
          <w:rFonts w:asciiTheme="minorHAnsi" w:hAnsiTheme="minorHAnsi" w:cstheme="minorHAnsi"/>
          <w:sz w:val="24"/>
          <w:szCs w:val="22"/>
          <w:lang w:val="es-CR"/>
        </w:rPr>
      </w:pPr>
    </w:p>
    <w:p w14:paraId="293AAE00" w14:textId="4A0CC03F" w:rsidR="00C45857" w:rsidRPr="0023319B" w:rsidRDefault="00C45857" w:rsidP="008F3B3D">
      <w:pPr>
        <w:pStyle w:val="Textoindependiente"/>
        <w:numPr>
          <w:ilvl w:val="0"/>
          <w:numId w:val="0"/>
        </w:numPr>
        <w:spacing w:line="240" w:lineRule="auto"/>
        <w:ind w:right="51"/>
        <w:jc w:val="left"/>
        <w:outlineLvl w:val="2"/>
        <w:rPr>
          <w:rFonts w:asciiTheme="minorHAnsi" w:hAnsiTheme="minorHAnsi" w:cstheme="minorHAnsi"/>
          <w:szCs w:val="24"/>
          <w:lang w:val="es-CR"/>
        </w:rPr>
      </w:pPr>
      <w:bookmarkStart w:id="70" w:name="_Toc61081378"/>
      <w:r w:rsidRPr="0023319B">
        <w:rPr>
          <w:rFonts w:asciiTheme="minorHAnsi" w:hAnsiTheme="minorHAnsi" w:cstheme="minorHAnsi"/>
          <w:b/>
          <w:i/>
          <w:szCs w:val="24"/>
          <w:lang w:val="es-CR"/>
        </w:rPr>
        <w:t xml:space="preserve">Cuadro </w:t>
      </w:r>
      <w:r w:rsidR="00CD223D" w:rsidRPr="0023319B">
        <w:rPr>
          <w:rFonts w:asciiTheme="minorHAnsi" w:hAnsiTheme="minorHAnsi" w:cstheme="minorHAnsi"/>
          <w:b/>
          <w:i/>
          <w:szCs w:val="24"/>
          <w:lang w:val="es-CR"/>
        </w:rPr>
        <w:t>7</w:t>
      </w:r>
      <w:r w:rsidRPr="0023319B">
        <w:rPr>
          <w:rFonts w:asciiTheme="minorHAnsi" w:hAnsiTheme="minorHAnsi" w:cstheme="minorHAnsi"/>
          <w:b/>
          <w:i/>
          <w:szCs w:val="24"/>
          <w:lang w:val="es-CR"/>
        </w:rPr>
        <w:t xml:space="preserve">: </w:t>
      </w:r>
      <w:r w:rsidRPr="0023319B">
        <w:rPr>
          <w:rFonts w:asciiTheme="minorHAnsi" w:hAnsiTheme="minorHAnsi" w:cstheme="minorHAnsi"/>
          <w:szCs w:val="24"/>
          <w:lang w:val="es-CR"/>
        </w:rPr>
        <w:t>Detalle de ejecución por cuenta</w:t>
      </w:r>
      <w:bookmarkEnd w:id="70"/>
    </w:p>
    <w:p w14:paraId="4B3205F3" w14:textId="6013AE2B" w:rsidR="00C45857" w:rsidRDefault="00C45857" w:rsidP="00C45857">
      <w:pPr>
        <w:ind w:right="51"/>
        <w:jc w:val="left"/>
        <w:rPr>
          <w:rFonts w:asciiTheme="minorHAnsi" w:hAnsiTheme="minorHAnsi" w:cstheme="minorHAnsi"/>
          <w:sz w:val="18"/>
          <w:szCs w:val="18"/>
          <w:lang w:val="es-CR"/>
        </w:rPr>
      </w:pPr>
      <w:r w:rsidRPr="0023319B">
        <w:rPr>
          <w:rFonts w:asciiTheme="minorHAnsi" w:hAnsiTheme="minorHAnsi" w:cstheme="minorHAnsi"/>
          <w:sz w:val="18"/>
          <w:szCs w:val="18"/>
          <w:lang w:val="es-CR"/>
        </w:rPr>
        <w:t>Montos en Colones</w:t>
      </w:r>
    </w:p>
    <w:tbl>
      <w:tblPr>
        <w:tblW w:w="9798" w:type="dxa"/>
        <w:tblCellMar>
          <w:left w:w="70" w:type="dxa"/>
          <w:right w:w="70" w:type="dxa"/>
        </w:tblCellMar>
        <w:tblLook w:val="04A0" w:firstRow="1" w:lastRow="0" w:firstColumn="1" w:lastColumn="0" w:noHBand="0" w:noVBand="1"/>
      </w:tblPr>
      <w:tblGrid>
        <w:gridCol w:w="701"/>
        <w:gridCol w:w="1000"/>
        <w:gridCol w:w="2410"/>
        <w:gridCol w:w="1276"/>
        <w:gridCol w:w="1134"/>
        <w:gridCol w:w="1276"/>
        <w:gridCol w:w="1039"/>
        <w:gridCol w:w="962"/>
      </w:tblGrid>
      <w:tr w:rsidR="00A525A6" w:rsidRPr="00A525A6" w14:paraId="18B5DEE2" w14:textId="77777777" w:rsidTr="00A525A6">
        <w:trPr>
          <w:gridAfter w:val="6"/>
          <w:wAfter w:w="8097" w:type="dxa"/>
          <w:trHeight w:val="258"/>
        </w:trPr>
        <w:tc>
          <w:tcPr>
            <w:tcW w:w="1701"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62208E9F" w14:textId="3DA3374C" w:rsidR="00A525A6" w:rsidRPr="00DC093B" w:rsidRDefault="00A525A6" w:rsidP="00DC093B">
            <w:pPr>
              <w:spacing w:line="240" w:lineRule="auto"/>
              <w:jc w:val="center"/>
              <w:rPr>
                <w:rFonts w:asciiTheme="minorHAnsi" w:hAnsiTheme="minorHAnsi" w:cstheme="minorHAnsi"/>
                <w:sz w:val="18"/>
                <w:szCs w:val="18"/>
                <w:lang w:val="es-CR" w:eastAsia="es-CR"/>
              </w:rPr>
            </w:pPr>
            <w:r>
              <w:rPr>
                <w:rFonts w:asciiTheme="minorHAnsi" w:hAnsiTheme="minorHAnsi" w:cstheme="minorHAnsi"/>
                <w:sz w:val="18"/>
                <w:szCs w:val="18"/>
                <w:lang w:val="es-CR" w:eastAsia="es-CR"/>
              </w:rPr>
              <w:t>Clasificador</w:t>
            </w:r>
          </w:p>
        </w:tc>
      </w:tr>
      <w:tr w:rsidR="00DC093B" w:rsidRPr="00A525A6" w14:paraId="7358454E" w14:textId="77777777" w:rsidTr="00A525A6">
        <w:trPr>
          <w:trHeight w:val="520"/>
        </w:trPr>
        <w:tc>
          <w:tcPr>
            <w:tcW w:w="701"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5B1710C6" w14:textId="77777777" w:rsidR="00DC093B" w:rsidRPr="00DC093B" w:rsidRDefault="00DC093B" w:rsidP="00DC093B">
            <w:pPr>
              <w:spacing w:line="240" w:lineRule="auto"/>
              <w:jc w:val="center"/>
              <w:rPr>
                <w:rFonts w:asciiTheme="minorHAnsi" w:hAnsiTheme="minorHAnsi" w:cstheme="minorHAnsi"/>
                <w:sz w:val="18"/>
                <w:szCs w:val="18"/>
                <w:lang w:val="es-CR" w:eastAsia="es-CR"/>
              </w:rPr>
            </w:pPr>
            <w:r w:rsidRPr="00DC093B">
              <w:rPr>
                <w:rFonts w:asciiTheme="minorHAnsi" w:hAnsiTheme="minorHAnsi" w:cstheme="minorHAnsi"/>
                <w:sz w:val="18"/>
                <w:szCs w:val="18"/>
                <w:lang w:val="es-CR" w:eastAsia="es-CR"/>
              </w:rPr>
              <w:t>Gasto</w:t>
            </w:r>
          </w:p>
        </w:tc>
        <w:tc>
          <w:tcPr>
            <w:tcW w:w="1000"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1EEB6582" w14:textId="77777777" w:rsidR="00DC093B" w:rsidRPr="00DC093B" w:rsidRDefault="00DC093B" w:rsidP="00DC093B">
            <w:pPr>
              <w:spacing w:line="240" w:lineRule="auto"/>
              <w:jc w:val="center"/>
              <w:rPr>
                <w:rFonts w:asciiTheme="minorHAnsi" w:hAnsiTheme="minorHAnsi" w:cstheme="minorHAnsi"/>
                <w:sz w:val="18"/>
                <w:szCs w:val="18"/>
                <w:lang w:val="es-CR" w:eastAsia="es-CR"/>
              </w:rPr>
            </w:pPr>
            <w:r w:rsidRPr="00DC093B">
              <w:rPr>
                <w:rFonts w:asciiTheme="minorHAnsi" w:hAnsiTheme="minorHAnsi" w:cstheme="minorHAnsi"/>
                <w:sz w:val="18"/>
                <w:szCs w:val="18"/>
                <w:lang w:val="es-CR" w:eastAsia="es-CR"/>
              </w:rPr>
              <w:t>Económico</w:t>
            </w:r>
          </w:p>
        </w:tc>
        <w:tc>
          <w:tcPr>
            <w:tcW w:w="2410"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7A1DD14" w14:textId="77777777" w:rsidR="00DC093B" w:rsidRPr="00DC093B" w:rsidRDefault="00DC093B" w:rsidP="00DC093B">
            <w:pPr>
              <w:spacing w:line="240" w:lineRule="auto"/>
              <w:jc w:val="center"/>
              <w:rPr>
                <w:rFonts w:asciiTheme="minorHAnsi" w:hAnsiTheme="minorHAnsi" w:cstheme="minorHAnsi"/>
                <w:sz w:val="18"/>
                <w:szCs w:val="18"/>
                <w:lang w:val="es-CR" w:eastAsia="es-CR"/>
              </w:rPr>
            </w:pPr>
            <w:r w:rsidRPr="00DC093B">
              <w:rPr>
                <w:rFonts w:asciiTheme="minorHAnsi" w:hAnsiTheme="minorHAnsi" w:cstheme="minorHAnsi"/>
                <w:sz w:val="18"/>
                <w:szCs w:val="18"/>
                <w:lang w:val="es-CR" w:eastAsia="es-CR"/>
              </w:rPr>
              <w:t>DESCRIPCIÓN</w:t>
            </w:r>
          </w:p>
        </w:tc>
        <w:tc>
          <w:tcPr>
            <w:tcW w:w="1276"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7AB3297" w14:textId="77777777" w:rsidR="00DC093B" w:rsidRPr="00DC093B" w:rsidRDefault="00DC093B" w:rsidP="00DC093B">
            <w:pPr>
              <w:spacing w:line="240" w:lineRule="auto"/>
              <w:jc w:val="center"/>
              <w:rPr>
                <w:rFonts w:asciiTheme="minorHAnsi" w:hAnsiTheme="minorHAnsi" w:cstheme="minorHAnsi"/>
                <w:sz w:val="18"/>
                <w:szCs w:val="18"/>
                <w:lang w:val="es-CR" w:eastAsia="es-CR"/>
              </w:rPr>
            </w:pPr>
            <w:r w:rsidRPr="00DC093B">
              <w:rPr>
                <w:rFonts w:asciiTheme="minorHAnsi" w:hAnsiTheme="minorHAnsi" w:cstheme="minorHAnsi"/>
                <w:sz w:val="18"/>
                <w:szCs w:val="18"/>
                <w:lang w:val="es-CR" w:eastAsia="es-CR"/>
              </w:rPr>
              <w:t xml:space="preserve"> PRESUPUESTO</w:t>
            </w:r>
          </w:p>
        </w:tc>
        <w:tc>
          <w:tcPr>
            <w:tcW w:w="1134"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6DC09B07" w14:textId="77777777" w:rsidR="00DC093B" w:rsidRPr="00DC093B" w:rsidRDefault="00DC093B" w:rsidP="00DC093B">
            <w:pPr>
              <w:spacing w:line="240" w:lineRule="auto"/>
              <w:jc w:val="center"/>
              <w:rPr>
                <w:rFonts w:asciiTheme="minorHAnsi" w:hAnsiTheme="minorHAnsi" w:cstheme="minorHAnsi"/>
                <w:sz w:val="18"/>
                <w:szCs w:val="18"/>
                <w:lang w:val="es-CR" w:eastAsia="es-CR"/>
              </w:rPr>
            </w:pPr>
            <w:r w:rsidRPr="00DC093B">
              <w:rPr>
                <w:rFonts w:asciiTheme="minorHAnsi" w:hAnsiTheme="minorHAnsi" w:cstheme="minorHAnsi"/>
                <w:sz w:val="18"/>
                <w:szCs w:val="18"/>
                <w:lang w:val="es-CR" w:eastAsia="es-CR"/>
              </w:rPr>
              <w:t>GASTO</w:t>
            </w:r>
          </w:p>
        </w:tc>
        <w:tc>
          <w:tcPr>
            <w:tcW w:w="1276"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11084306" w14:textId="77777777" w:rsidR="00DC093B" w:rsidRPr="00DC093B" w:rsidRDefault="00DC093B" w:rsidP="00DC093B">
            <w:pPr>
              <w:spacing w:line="240" w:lineRule="auto"/>
              <w:jc w:val="center"/>
              <w:rPr>
                <w:rFonts w:asciiTheme="minorHAnsi" w:hAnsiTheme="minorHAnsi" w:cstheme="minorHAnsi"/>
                <w:sz w:val="18"/>
                <w:szCs w:val="18"/>
                <w:lang w:val="es-CR" w:eastAsia="es-CR"/>
              </w:rPr>
            </w:pPr>
            <w:r w:rsidRPr="00DC093B">
              <w:rPr>
                <w:rFonts w:asciiTheme="minorHAnsi" w:hAnsiTheme="minorHAnsi" w:cstheme="minorHAnsi"/>
                <w:sz w:val="18"/>
                <w:szCs w:val="18"/>
                <w:lang w:val="es-CR" w:eastAsia="es-CR"/>
              </w:rPr>
              <w:t>COMPROMISO</w:t>
            </w:r>
          </w:p>
        </w:tc>
        <w:tc>
          <w:tcPr>
            <w:tcW w:w="1039"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04FFEAD1" w14:textId="77777777" w:rsidR="00DC093B" w:rsidRPr="00DC093B" w:rsidRDefault="00DC093B" w:rsidP="00DC093B">
            <w:pPr>
              <w:spacing w:line="240" w:lineRule="auto"/>
              <w:jc w:val="center"/>
              <w:rPr>
                <w:rFonts w:asciiTheme="minorHAnsi" w:hAnsiTheme="minorHAnsi" w:cstheme="minorHAnsi"/>
                <w:color w:val="000000"/>
                <w:sz w:val="18"/>
                <w:szCs w:val="18"/>
                <w:lang w:val="es-CR" w:eastAsia="es-CR"/>
              </w:rPr>
            </w:pPr>
            <w:r w:rsidRPr="00DC093B">
              <w:rPr>
                <w:rFonts w:asciiTheme="minorHAnsi" w:hAnsiTheme="minorHAnsi" w:cstheme="minorHAnsi"/>
                <w:color w:val="000000"/>
                <w:sz w:val="18"/>
                <w:szCs w:val="18"/>
                <w:lang w:val="es-CR" w:eastAsia="es-CR"/>
              </w:rPr>
              <w:t>DISPONIBLE</w:t>
            </w:r>
          </w:p>
        </w:tc>
        <w:tc>
          <w:tcPr>
            <w:tcW w:w="962"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68DFF8CA" w14:textId="77777777" w:rsidR="00DC093B" w:rsidRPr="00DC093B" w:rsidRDefault="00DC093B" w:rsidP="00DC093B">
            <w:pPr>
              <w:spacing w:line="240" w:lineRule="auto"/>
              <w:jc w:val="center"/>
              <w:rPr>
                <w:rFonts w:asciiTheme="minorHAnsi" w:hAnsiTheme="minorHAnsi" w:cstheme="minorHAnsi"/>
                <w:color w:val="000000"/>
                <w:sz w:val="18"/>
                <w:szCs w:val="18"/>
                <w:lang w:val="es-CR" w:eastAsia="es-CR"/>
              </w:rPr>
            </w:pPr>
            <w:r w:rsidRPr="00DC093B">
              <w:rPr>
                <w:rFonts w:asciiTheme="minorHAnsi" w:hAnsiTheme="minorHAnsi" w:cstheme="minorHAnsi"/>
                <w:color w:val="000000"/>
                <w:sz w:val="18"/>
                <w:szCs w:val="18"/>
                <w:lang w:val="es-CR" w:eastAsia="es-CR"/>
              </w:rPr>
              <w:t>% DE EJECUCIÓN</w:t>
            </w:r>
          </w:p>
        </w:tc>
      </w:tr>
      <w:tr w:rsidR="00DC093B" w:rsidRPr="00DC093B" w14:paraId="47B7A6CE" w14:textId="77777777" w:rsidTr="00A525A6">
        <w:trPr>
          <w:trHeight w:val="270"/>
        </w:trPr>
        <w:tc>
          <w:tcPr>
            <w:tcW w:w="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67BF11" w14:textId="77777777" w:rsidR="00DC093B" w:rsidRPr="00DC093B" w:rsidRDefault="00DC093B" w:rsidP="00DC093B">
            <w:pPr>
              <w:spacing w:line="240" w:lineRule="auto"/>
              <w:jc w:val="center"/>
              <w:rPr>
                <w:rFonts w:asciiTheme="minorHAnsi" w:hAnsiTheme="minorHAnsi" w:cstheme="minorHAnsi"/>
                <w:sz w:val="18"/>
                <w:szCs w:val="18"/>
                <w:lang w:val="es-CR" w:eastAsia="es-CR"/>
              </w:rPr>
            </w:pPr>
            <w:r w:rsidRPr="00DC093B">
              <w:rPr>
                <w:rFonts w:asciiTheme="minorHAnsi" w:hAnsiTheme="minorHAnsi" w:cstheme="minorHAnsi"/>
                <w:sz w:val="18"/>
                <w:szCs w:val="18"/>
                <w:lang w:val="es-CR" w:eastAsia="es-CR"/>
              </w:rPr>
              <w:t>5.99.03</w:t>
            </w:r>
          </w:p>
        </w:tc>
        <w:tc>
          <w:tcPr>
            <w:tcW w:w="10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19C139" w14:textId="77777777" w:rsidR="00DC093B" w:rsidRPr="00DC093B" w:rsidRDefault="00DC093B" w:rsidP="00DC093B">
            <w:pPr>
              <w:spacing w:line="240" w:lineRule="auto"/>
              <w:jc w:val="center"/>
              <w:rPr>
                <w:rFonts w:asciiTheme="minorHAnsi" w:hAnsiTheme="minorHAnsi" w:cstheme="minorHAnsi"/>
                <w:sz w:val="18"/>
                <w:szCs w:val="18"/>
                <w:lang w:val="es-CR" w:eastAsia="es-CR"/>
              </w:rPr>
            </w:pPr>
            <w:r w:rsidRPr="00DC093B">
              <w:rPr>
                <w:rFonts w:asciiTheme="minorHAnsi" w:hAnsiTheme="minorHAnsi" w:cstheme="minorHAnsi"/>
                <w:sz w:val="18"/>
                <w:szCs w:val="18"/>
                <w:lang w:val="es-CR" w:eastAsia="es-CR"/>
              </w:rPr>
              <w:t>2.2.4</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167D94" w14:textId="1BDCEC26" w:rsidR="00DC093B" w:rsidRPr="00DC093B" w:rsidRDefault="00DC093B" w:rsidP="00DC093B">
            <w:pPr>
              <w:spacing w:line="240" w:lineRule="auto"/>
              <w:jc w:val="left"/>
              <w:rPr>
                <w:rFonts w:asciiTheme="minorHAnsi" w:hAnsiTheme="minorHAnsi" w:cstheme="minorHAnsi"/>
                <w:sz w:val="18"/>
                <w:szCs w:val="18"/>
                <w:lang w:val="es-CR" w:eastAsia="es-CR"/>
              </w:rPr>
            </w:pPr>
            <w:r w:rsidRPr="00DC093B">
              <w:rPr>
                <w:rFonts w:asciiTheme="minorHAnsi" w:hAnsiTheme="minorHAnsi" w:cstheme="minorHAnsi"/>
                <w:sz w:val="18"/>
                <w:szCs w:val="18"/>
                <w:lang w:val="es-CR" w:eastAsia="es-CR"/>
              </w:rPr>
              <w:t xml:space="preserve">Bienes </w:t>
            </w:r>
            <w:r w:rsidR="00A525A6" w:rsidRPr="00DC093B">
              <w:rPr>
                <w:rFonts w:asciiTheme="minorHAnsi" w:hAnsiTheme="minorHAnsi" w:cstheme="minorHAnsi"/>
                <w:sz w:val="18"/>
                <w:szCs w:val="18"/>
                <w:lang w:val="es-CR" w:eastAsia="es-CR"/>
              </w:rPr>
              <w:t>Intangibles</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DC5062" w14:textId="77777777" w:rsidR="00DC093B" w:rsidRPr="00DC093B" w:rsidRDefault="00DC093B" w:rsidP="00DC093B">
            <w:pPr>
              <w:spacing w:line="240" w:lineRule="auto"/>
              <w:jc w:val="right"/>
              <w:rPr>
                <w:rFonts w:asciiTheme="minorHAnsi" w:hAnsiTheme="minorHAnsi" w:cstheme="minorHAnsi"/>
                <w:sz w:val="18"/>
                <w:szCs w:val="18"/>
                <w:lang w:val="es-CR" w:eastAsia="es-CR"/>
              </w:rPr>
            </w:pPr>
            <w:r w:rsidRPr="00DC093B">
              <w:rPr>
                <w:rFonts w:asciiTheme="minorHAnsi" w:hAnsiTheme="minorHAnsi" w:cstheme="minorHAnsi"/>
                <w:sz w:val="18"/>
                <w:szCs w:val="18"/>
                <w:lang w:val="es-CR" w:eastAsia="es-CR"/>
              </w:rPr>
              <w:t>87 524 130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04B398" w14:textId="77777777" w:rsidR="00DC093B" w:rsidRPr="00DC093B" w:rsidRDefault="00DC093B" w:rsidP="00DC093B">
            <w:pPr>
              <w:spacing w:line="240" w:lineRule="auto"/>
              <w:jc w:val="right"/>
              <w:rPr>
                <w:rFonts w:asciiTheme="minorHAnsi" w:hAnsiTheme="minorHAnsi" w:cstheme="minorHAnsi"/>
                <w:sz w:val="18"/>
                <w:szCs w:val="18"/>
                <w:lang w:val="es-CR" w:eastAsia="es-CR"/>
              </w:rPr>
            </w:pPr>
            <w:r w:rsidRPr="00DC093B">
              <w:rPr>
                <w:rFonts w:asciiTheme="minorHAnsi" w:hAnsiTheme="minorHAnsi" w:cstheme="minorHAnsi"/>
                <w:sz w:val="18"/>
                <w:szCs w:val="18"/>
                <w:lang w:val="es-CR" w:eastAsia="es-CR"/>
              </w:rPr>
              <w:t>79 648 109</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6A8897" w14:textId="77777777" w:rsidR="00DC093B" w:rsidRPr="00DC093B" w:rsidRDefault="00DC093B" w:rsidP="00DC093B">
            <w:pPr>
              <w:spacing w:line="240" w:lineRule="auto"/>
              <w:jc w:val="right"/>
              <w:rPr>
                <w:rFonts w:asciiTheme="minorHAnsi" w:hAnsiTheme="minorHAnsi" w:cstheme="minorHAnsi"/>
                <w:sz w:val="18"/>
                <w:szCs w:val="18"/>
                <w:lang w:val="es-CR" w:eastAsia="es-CR"/>
              </w:rPr>
            </w:pPr>
            <w:r w:rsidRPr="00DC093B">
              <w:rPr>
                <w:rFonts w:asciiTheme="minorHAnsi" w:hAnsiTheme="minorHAnsi" w:cstheme="minorHAnsi"/>
                <w:sz w:val="18"/>
                <w:szCs w:val="18"/>
                <w:lang w:val="es-CR" w:eastAsia="es-CR"/>
              </w:rPr>
              <w:t>0</w:t>
            </w:r>
          </w:p>
        </w:tc>
        <w:tc>
          <w:tcPr>
            <w:tcW w:w="10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06CF6F" w14:textId="77777777" w:rsidR="00DC093B" w:rsidRPr="00DC093B" w:rsidRDefault="00DC093B" w:rsidP="00DC093B">
            <w:pPr>
              <w:spacing w:line="240" w:lineRule="auto"/>
              <w:jc w:val="right"/>
              <w:rPr>
                <w:rFonts w:asciiTheme="minorHAnsi" w:hAnsiTheme="minorHAnsi" w:cstheme="minorHAnsi"/>
                <w:sz w:val="18"/>
                <w:szCs w:val="18"/>
                <w:lang w:val="es-CR" w:eastAsia="es-CR"/>
              </w:rPr>
            </w:pPr>
            <w:r w:rsidRPr="00DC093B">
              <w:rPr>
                <w:rFonts w:asciiTheme="minorHAnsi" w:hAnsiTheme="minorHAnsi" w:cstheme="minorHAnsi"/>
                <w:sz w:val="18"/>
                <w:szCs w:val="18"/>
                <w:lang w:val="es-CR" w:eastAsia="es-CR"/>
              </w:rPr>
              <w:t>7 876 021</w:t>
            </w:r>
          </w:p>
        </w:tc>
        <w:tc>
          <w:tcPr>
            <w:tcW w:w="9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50D992" w14:textId="77777777" w:rsidR="00DC093B" w:rsidRPr="00DC093B" w:rsidRDefault="00DC093B" w:rsidP="00DC093B">
            <w:pPr>
              <w:spacing w:line="240" w:lineRule="auto"/>
              <w:jc w:val="center"/>
              <w:rPr>
                <w:rFonts w:asciiTheme="minorHAnsi" w:hAnsiTheme="minorHAnsi" w:cstheme="minorHAnsi"/>
                <w:sz w:val="18"/>
                <w:szCs w:val="18"/>
                <w:lang w:val="es-CR" w:eastAsia="es-CR"/>
              </w:rPr>
            </w:pPr>
            <w:r w:rsidRPr="00DC093B">
              <w:rPr>
                <w:rFonts w:asciiTheme="minorHAnsi" w:hAnsiTheme="minorHAnsi" w:cstheme="minorHAnsi"/>
                <w:sz w:val="18"/>
                <w:szCs w:val="18"/>
                <w:lang w:val="es-CR" w:eastAsia="es-CR"/>
              </w:rPr>
              <w:t>91%</w:t>
            </w:r>
          </w:p>
        </w:tc>
      </w:tr>
      <w:tr w:rsidR="00A525A6" w:rsidRPr="00DC093B" w14:paraId="29FCF123" w14:textId="77777777" w:rsidTr="00A525A6">
        <w:trPr>
          <w:trHeight w:val="440"/>
        </w:trPr>
        <w:tc>
          <w:tcPr>
            <w:tcW w:w="701"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6B8714D6" w14:textId="0DFC5B9D" w:rsidR="00DC093B" w:rsidRPr="00DC093B" w:rsidRDefault="00DC093B" w:rsidP="00DC093B">
            <w:pPr>
              <w:spacing w:line="240" w:lineRule="auto"/>
              <w:jc w:val="center"/>
              <w:rPr>
                <w:rFonts w:asciiTheme="minorHAnsi" w:hAnsiTheme="minorHAnsi" w:cstheme="minorHAnsi"/>
                <w:b/>
                <w:bCs/>
                <w:color w:val="000000"/>
                <w:sz w:val="18"/>
                <w:szCs w:val="18"/>
                <w:lang w:val="es-CR" w:eastAsia="es-CR"/>
              </w:rPr>
            </w:pPr>
            <w:r w:rsidRPr="00DC093B">
              <w:rPr>
                <w:rFonts w:asciiTheme="minorHAnsi" w:hAnsiTheme="minorHAnsi" w:cstheme="minorHAnsi"/>
                <w:b/>
                <w:bCs/>
                <w:color w:val="000000"/>
                <w:sz w:val="18"/>
                <w:szCs w:val="18"/>
                <w:lang w:val="es-CR" w:eastAsia="es-CR"/>
              </w:rPr>
              <w:t xml:space="preserve">Total </w:t>
            </w:r>
          </w:p>
        </w:tc>
        <w:tc>
          <w:tcPr>
            <w:tcW w:w="100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38373414" w14:textId="77777777" w:rsidR="00DC093B" w:rsidRPr="00DC093B" w:rsidRDefault="00DC093B" w:rsidP="00DC093B">
            <w:pPr>
              <w:spacing w:line="240" w:lineRule="auto"/>
              <w:jc w:val="center"/>
              <w:rPr>
                <w:rFonts w:asciiTheme="minorHAnsi" w:hAnsiTheme="minorHAnsi" w:cstheme="minorHAnsi"/>
                <w:b/>
                <w:bCs/>
                <w:color w:val="000000"/>
                <w:sz w:val="18"/>
                <w:szCs w:val="18"/>
                <w:lang w:val="es-CR" w:eastAsia="es-CR"/>
              </w:rPr>
            </w:pPr>
            <w:r w:rsidRPr="00DC093B">
              <w:rPr>
                <w:rFonts w:asciiTheme="minorHAnsi" w:hAnsiTheme="minorHAnsi" w:cstheme="minorHAnsi"/>
                <w:b/>
                <w:bCs/>
                <w:color w:val="000000"/>
                <w:sz w:val="18"/>
                <w:szCs w:val="18"/>
                <w:lang w:val="es-CR" w:eastAsia="es-CR"/>
              </w:rPr>
              <w:t> </w:t>
            </w:r>
          </w:p>
        </w:tc>
        <w:tc>
          <w:tcPr>
            <w:tcW w:w="241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38D5B11E" w14:textId="77777777" w:rsidR="00DC093B" w:rsidRPr="00DC093B" w:rsidRDefault="00DC093B" w:rsidP="00DC093B">
            <w:pPr>
              <w:spacing w:line="240" w:lineRule="auto"/>
              <w:jc w:val="center"/>
              <w:rPr>
                <w:rFonts w:asciiTheme="minorHAnsi" w:hAnsiTheme="minorHAnsi" w:cstheme="minorHAnsi"/>
                <w:b/>
                <w:bCs/>
                <w:color w:val="000000"/>
                <w:sz w:val="18"/>
                <w:szCs w:val="18"/>
                <w:lang w:val="es-CR" w:eastAsia="es-CR"/>
              </w:rPr>
            </w:pPr>
            <w:r w:rsidRPr="00DC093B">
              <w:rPr>
                <w:rFonts w:asciiTheme="minorHAnsi" w:hAnsiTheme="minorHAnsi" w:cstheme="minorHAnsi"/>
                <w:b/>
                <w:bCs/>
                <w:color w:val="000000"/>
                <w:sz w:val="18"/>
                <w:szCs w:val="18"/>
                <w:lang w:val="es-CR" w:eastAsia="es-CR"/>
              </w:rPr>
              <w:t> </w:t>
            </w:r>
          </w:p>
        </w:tc>
        <w:tc>
          <w:tcPr>
            <w:tcW w:w="1276"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78F89B2B" w14:textId="77777777" w:rsidR="00DC093B" w:rsidRPr="00DC093B" w:rsidRDefault="00DC093B" w:rsidP="00DC093B">
            <w:pPr>
              <w:spacing w:line="240" w:lineRule="auto"/>
              <w:jc w:val="right"/>
              <w:rPr>
                <w:rFonts w:asciiTheme="minorHAnsi" w:hAnsiTheme="minorHAnsi" w:cstheme="minorHAnsi"/>
                <w:b/>
                <w:bCs/>
                <w:color w:val="000000"/>
                <w:sz w:val="18"/>
                <w:szCs w:val="18"/>
                <w:lang w:val="es-CR" w:eastAsia="es-CR"/>
              </w:rPr>
            </w:pPr>
            <w:r w:rsidRPr="00DC093B">
              <w:rPr>
                <w:rFonts w:asciiTheme="minorHAnsi" w:hAnsiTheme="minorHAnsi" w:cstheme="minorHAnsi"/>
                <w:b/>
                <w:bCs/>
                <w:color w:val="000000"/>
                <w:sz w:val="18"/>
                <w:szCs w:val="18"/>
                <w:lang w:val="es-CR" w:eastAsia="es-CR"/>
              </w:rPr>
              <w:t>87 524 130</w:t>
            </w:r>
          </w:p>
        </w:tc>
        <w:tc>
          <w:tcPr>
            <w:tcW w:w="1134"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7465C790" w14:textId="77777777" w:rsidR="00DC093B" w:rsidRPr="00DC093B" w:rsidRDefault="00DC093B" w:rsidP="00DC093B">
            <w:pPr>
              <w:spacing w:line="240" w:lineRule="auto"/>
              <w:jc w:val="right"/>
              <w:rPr>
                <w:rFonts w:asciiTheme="minorHAnsi" w:hAnsiTheme="minorHAnsi" w:cstheme="minorHAnsi"/>
                <w:b/>
                <w:bCs/>
                <w:color w:val="000000"/>
                <w:sz w:val="18"/>
                <w:szCs w:val="18"/>
                <w:lang w:val="es-CR" w:eastAsia="es-CR"/>
              </w:rPr>
            </w:pPr>
            <w:r w:rsidRPr="00DC093B">
              <w:rPr>
                <w:rFonts w:asciiTheme="minorHAnsi" w:hAnsiTheme="minorHAnsi" w:cstheme="minorHAnsi"/>
                <w:b/>
                <w:bCs/>
                <w:color w:val="000000"/>
                <w:sz w:val="18"/>
                <w:szCs w:val="18"/>
                <w:lang w:val="es-CR" w:eastAsia="es-CR"/>
              </w:rPr>
              <w:t>79 648 109</w:t>
            </w:r>
          </w:p>
        </w:tc>
        <w:tc>
          <w:tcPr>
            <w:tcW w:w="1276"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7FA5E4C2" w14:textId="77777777" w:rsidR="00DC093B" w:rsidRPr="00DC093B" w:rsidRDefault="00DC093B" w:rsidP="00DC093B">
            <w:pPr>
              <w:spacing w:line="240" w:lineRule="auto"/>
              <w:jc w:val="right"/>
              <w:rPr>
                <w:rFonts w:asciiTheme="minorHAnsi" w:hAnsiTheme="minorHAnsi" w:cstheme="minorHAnsi"/>
                <w:b/>
                <w:bCs/>
                <w:color w:val="000000"/>
                <w:sz w:val="18"/>
                <w:szCs w:val="18"/>
                <w:lang w:val="es-CR" w:eastAsia="es-CR"/>
              </w:rPr>
            </w:pPr>
            <w:r w:rsidRPr="00DC093B">
              <w:rPr>
                <w:rFonts w:asciiTheme="minorHAnsi" w:hAnsiTheme="minorHAnsi" w:cstheme="minorHAnsi"/>
                <w:b/>
                <w:bCs/>
                <w:color w:val="000000"/>
                <w:sz w:val="18"/>
                <w:szCs w:val="18"/>
                <w:lang w:val="es-CR" w:eastAsia="es-CR"/>
              </w:rPr>
              <w:t>0</w:t>
            </w:r>
          </w:p>
        </w:tc>
        <w:tc>
          <w:tcPr>
            <w:tcW w:w="1039"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1A45D3A6" w14:textId="77777777" w:rsidR="00DC093B" w:rsidRPr="00DC093B" w:rsidRDefault="00DC093B" w:rsidP="00DC093B">
            <w:pPr>
              <w:spacing w:line="240" w:lineRule="auto"/>
              <w:jc w:val="right"/>
              <w:rPr>
                <w:rFonts w:asciiTheme="minorHAnsi" w:hAnsiTheme="minorHAnsi" w:cstheme="minorHAnsi"/>
                <w:b/>
                <w:bCs/>
                <w:color w:val="000000"/>
                <w:sz w:val="18"/>
                <w:szCs w:val="18"/>
                <w:lang w:val="es-CR" w:eastAsia="es-CR"/>
              </w:rPr>
            </w:pPr>
            <w:r w:rsidRPr="00DC093B">
              <w:rPr>
                <w:rFonts w:asciiTheme="minorHAnsi" w:hAnsiTheme="minorHAnsi" w:cstheme="minorHAnsi"/>
                <w:b/>
                <w:bCs/>
                <w:color w:val="000000"/>
                <w:sz w:val="18"/>
                <w:szCs w:val="18"/>
                <w:lang w:val="es-CR" w:eastAsia="es-CR"/>
              </w:rPr>
              <w:t>7 876 021</w:t>
            </w:r>
          </w:p>
        </w:tc>
        <w:tc>
          <w:tcPr>
            <w:tcW w:w="962"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03D553CF" w14:textId="77777777" w:rsidR="00DC093B" w:rsidRPr="00DC093B" w:rsidRDefault="00DC093B" w:rsidP="00DC093B">
            <w:pPr>
              <w:spacing w:line="240" w:lineRule="auto"/>
              <w:jc w:val="center"/>
              <w:rPr>
                <w:rFonts w:asciiTheme="minorHAnsi" w:hAnsiTheme="minorHAnsi" w:cstheme="minorHAnsi"/>
                <w:b/>
                <w:bCs/>
                <w:color w:val="000000"/>
                <w:sz w:val="18"/>
                <w:szCs w:val="18"/>
                <w:lang w:val="es-CR" w:eastAsia="es-CR"/>
              </w:rPr>
            </w:pPr>
            <w:r w:rsidRPr="00DC093B">
              <w:rPr>
                <w:rFonts w:asciiTheme="minorHAnsi" w:hAnsiTheme="minorHAnsi" w:cstheme="minorHAnsi"/>
                <w:b/>
                <w:bCs/>
                <w:color w:val="000000"/>
                <w:sz w:val="18"/>
                <w:szCs w:val="18"/>
                <w:lang w:val="es-CR" w:eastAsia="es-CR"/>
              </w:rPr>
              <w:t>91%</w:t>
            </w:r>
          </w:p>
        </w:tc>
      </w:tr>
    </w:tbl>
    <w:p w14:paraId="42B2B369" w14:textId="5C9992DE" w:rsidR="00DC093B" w:rsidRDefault="00DC093B" w:rsidP="00C45857">
      <w:pPr>
        <w:ind w:right="51"/>
        <w:jc w:val="left"/>
        <w:rPr>
          <w:rFonts w:asciiTheme="minorHAnsi" w:hAnsiTheme="minorHAnsi" w:cstheme="minorHAnsi"/>
          <w:sz w:val="18"/>
          <w:szCs w:val="18"/>
          <w:lang w:val="es-CR"/>
        </w:rPr>
      </w:pPr>
    </w:p>
    <w:p w14:paraId="0AA432AE" w14:textId="77777777" w:rsidR="00DC093B" w:rsidRPr="0023319B" w:rsidRDefault="00DC093B" w:rsidP="00C45857">
      <w:pPr>
        <w:ind w:right="51"/>
        <w:jc w:val="left"/>
        <w:rPr>
          <w:rFonts w:asciiTheme="minorHAnsi" w:hAnsiTheme="minorHAnsi" w:cstheme="minorHAnsi"/>
          <w:sz w:val="18"/>
          <w:szCs w:val="18"/>
          <w:lang w:val="es-CR"/>
        </w:rPr>
      </w:pPr>
    </w:p>
    <w:p w14:paraId="5DEA80D2" w14:textId="77777777" w:rsidR="00C45857" w:rsidRPr="0023319B" w:rsidRDefault="00C45857" w:rsidP="00093594">
      <w:pPr>
        <w:ind w:right="51"/>
        <w:rPr>
          <w:rFonts w:asciiTheme="minorHAnsi" w:hAnsiTheme="minorHAnsi" w:cstheme="minorHAnsi"/>
          <w:sz w:val="24"/>
          <w:szCs w:val="22"/>
          <w:lang w:val="es-CR"/>
        </w:rPr>
      </w:pPr>
    </w:p>
    <w:p w14:paraId="64DC794D" w14:textId="4C25B701" w:rsidR="00225437" w:rsidRPr="0023319B" w:rsidRDefault="00225437" w:rsidP="00093594">
      <w:pPr>
        <w:ind w:right="51"/>
        <w:rPr>
          <w:rFonts w:asciiTheme="minorHAnsi" w:hAnsiTheme="minorHAnsi" w:cstheme="minorHAnsi"/>
          <w:sz w:val="24"/>
          <w:szCs w:val="22"/>
          <w:lang w:val="es-CR"/>
        </w:rPr>
      </w:pPr>
      <w:r w:rsidRPr="0023319B">
        <w:rPr>
          <w:rFonts w:asciiTheme="minorHAnsi" w:hAnsiTheme="minorHAnsi" w:cstheme="minorHAnsi"/>
          <w:sz w:val="24"/>
          <w:szCs w:val="22"/>
          <w:lang w:val="es-CR"/>
        </w:rPr>
        <w:t xml:space="preserve">Comprende la adquisición de bienes duraderos nuevos, como son los bienes de capital fijo, muebles e inmuebles. Los bienes que integran esta partida son activos de naturaleza relativamente permanente, de empleo continuado y habitual, que se utilizan en las </w:t>
      </w:r>
      <w:r w:rsidR="00704EE4" w:rsidRPr="0023319B">
        <w:rPr>
          <w:rFonts w:asciiTheme="minorHAnsi" w:hAnsiTheme="minorHAnsi" w:cstheme="minorHAnsi"/>
          <w:sz w:val="24"/>
          <w:szCs w:val="22"/>
          <w:lang w:val="es-CR"/>
        </w:rPr>
        <w:t>actividades de operación de la E</w:t>
      </w:r>
      <w:r w:rsidRPr="0023319B">
        <w:rPr>
          <w:rFonts w:asciiTheme="minorHAnsi" w:hAnsiTheme="minorHAnsi" w:cstheme="minorHAnsi"/>
          <w:sz w:val="24"/>
          <w:szCs w:val="22"/>
          <w:lang w:val="es-CR"/>
        </w:rPr>
        <w:t>ntidad, tiene</w:t>
      </w:r>
      <w:r w:rsidR="00704EE4" w:rsidRPr="0023319B">
        <w:rPr>
          <w:rFonts w:asciiTheme="minorHAnsi" w:hAnsiTheme="minorHAnsi" w:cstheme="minorHAnsi"/>
          <w:sz w:val="24"/>
          <w:szCs w:val="22"/>
          <w:lang w:val="es-CR"/>
        </w:rPr>
        <w:t>n</w:t>
      </w:r>
      <w:r w:rsidRPr="0023319B">
        <w:rPr>
          <w:rFonts w:asciiTheme="minorHAnsi" w:hAnsiTheme="minorHAnsi" w:cstheme="minorHAnsi"/>
          <w:sz w:val="24"/>
          <w:szCs w:val="22"/>
          <w:lang w:val="es-CR"/>
        </w:rPr>
        <w:t xml:space="preserve"> una vida útil estimada superior a un año; no están destinados a la venta, están sujetos a depreciación, a inventario y control.</w:t>
      </w:r>
    </w:p>
    <w:p w14:paraId="235ACC3E" w14:textId="5F199D68" w:rsidR="00B1488A" w:rsidRPr="0023319B" w:rsidRDefault="00B1488A" w:rsidP="00093594">
      <w:pPr>
        <w:ind w:right="51"/>
        <w:rPr>
          <w:rFonts w:asciiTheme="minorHAnsi" w:hAnsiTheme="minorHAnsi" w:cstheme="minorHAnsi"/>
          <w:sz w:val="24"/>
          <w:szCs w:val="22"/>
          <w:lang w:val="es-CR"/>
        </w:rPr>
      </w:pPr>
    </w:p>
    <w:p w14:paraId="64DC798B" w14:textId="5065AAD2" w:rsidR="00514BB5" w:rsidRPr="0023319B" w:rsidRDefault="00B516D6" w:rsidP="00514BB5">
      <w:pPr>
        <w:ind w:right="51"/>
        <w:rPr>
          <w:rFonts w:asciiTheme="minorHAnsi" w:hAnsiTheme="minorHAnsi" w:cstheme="minorHAnsi"/>
          <w:sz w:val="24"/>
          <w:szCs w:val="22"/>
          <w:lang w:val="es-CR"/>
        </w:rPr>
      </w:pPr>
      <w:r w:rsidRPr="0023319B">
        <w:rPr>
          <w:rFonts w:asciiTheme="minorHAnsi" w:hAnsiTheme="minorHAnsi" w:cstheme="minorHAnsi"/>
          <w:sz w:val="24"/>
          <w:szCs w:val="22"/>
          <w:lang w:val="es-CR"/>
        </w:rPr>
        <w:t>L</w:t>
      </w:r>
      <w:r w:rsidR="006E6E2A" w:rsidRPr="0023319B">
        <w:rPr>
          <w:rFonts w:asciiTheme="minorHAnsi" w:hAnsiTheme="minorHAnsi" w:cstheme="minorHAnsi"/>
          <w:sz w:val="24"/>
          <w:szCs w:val="22"/>
          <w:lang w:val="es-CR"/>
        </w:rPr>
        <w:t xml:space="preserve">a cuenta correspondiente a </w:t>
      </w:r>
      <w:r w:rsidR="00B70A84" w:rsidRPr="0023319B">
        <w:rPr>
          <w:rFonts w:asciiTheme="minorHAnsi" w:hAnsiTheme="minorHAnsi" w:cstheme="minorHAnsi"/>
          <w:sz w:val="24"/>
          <w:szCs w:val="22"/>
          <w:lang w:val="es-CR"/>
        </w:rPr>
        <w:t xml:space="preserve">5.99.03 </w:t>
      </w:r>
      <w:r w:rsidR="006E6E2A" w:rsidRPr="0023319B">
        <w:rPr>
          <w:rFonts w:asciiTheme="minorHAnsi" w:hAnsiTheme="minorHAnsi" w:cstheme="minorHAnsi"/>
          <w:sz w:val="24"/>
          <w:szCs w:val="22"/>
          <w:lang w:val="es-CR"/>
        </w:rPr>
        <w:t>“</w:t>
      </w:r>
      <w:r w:rsidRPr="0023319B">
        <w:rPr>
          <w:rFonts w:asciiTheme="minorHAnsi" w:hAnsiTheme="minorHAnsi" w:cstheme="minorHAnsi"/>
          <w:sz w:val="24"/>
          <w:szCs w:val="22"/>
          <w:lang w:val="es-CR"/>
        </w:rPr>
        <w:t xml:space="preserve">Bienes </w:t>
      </w:r>
      <w:r w:rsidR="006549A0" w:rsidRPr="0023319B">
        <w:rPr>
          <w:rFonts w:asciiTheme="minorHAnsi" w:hAnsiTheme="minorHAnsi" w:cstheme="minorHAnsi"/>
          <w:sz w:val="24"/>
          <w:szCs w:val="22"/>
          <w:lang w:val="es-CR"/>
        </w:rPr>
        <w:t>I</w:t>
      </w:r>
      <w:r w:rsidRPr="0023319B">
        <w:rPr>
          <w:rFonts w:asciiTheme="minorHAnsi" w:hAnsiTheme="minorHAnsi" w:cstheme="minorHAnsi"/>
          <w:sz w:val="24"/>
          <w:szCs w:val="22"/>
          <w:lang w:val="es-CR"/>
        </w:rPr>
        <w:t>ntangibles</w:t>
      </w:r>
      <w:r w:rsidR="006E6E2A" w:rsidRPr="0023319B">
        <w:rPr>
          <w:rFonts w:asciiTheme="minorHAnsi" w:hAnsiTheme="minorHAnsi" w:cstheme="minorHAnsi"/>
          <w:sz w:val="24"/>
          <w:szCs w:val="22"/>
          <w:lang w:val="es-CR"/>
        </w:rPr>
        <w:t xml:space="preserve">” </w:t>
      </w:r>
      <w:r w:rsidR="0041188A" w:rsidRPr="0023319B">
        <w:rPr>
          <w:rFonts w:asciiTheme="minorHAnsi" w:hAnsiTheme="minorHAnsi" w:cstheme="minorHAnsi"/>
          <w:sz w:val="24"/>
          <w:szCs w:val="22"/>
          <w:lang w:val="es-CR"/>
        </w:rPr>
        <w:t>corresponde</w:t>
      </w:r>
      <w:r w:rsidR="00565853" w:rsidRPr="0023319B">
        <w:rPr>
          <w:rFonts w:asciiTheme="minorHAnsi" w:hAnsiTheme="minorHAnsi" w:cstheme="minorHAnsi"/>
          <w:sz w:val="24"/>
          <w:szCs w:val="22"/>
          <w:lang w:val="es-CR"/>
        </w:rPr>
        <w:t xml:space="preserve"> a la compra</w:t>
      </w:r>
      <w:r w:rsidR="004F2DB9" w:rsidRPr="0023319B">
        <w:rPr>
          <w:rFonts w:asciiTheme="minorHAnsi" w:hAnsiTheme="minorHAnsi" w:cstheme="minorHAnsi"/>
          <w:sz w:val="24"/>
          <w:szCs w:val="22"/>
          <w:lang w:val="es-CR"/>
        </w:rPr>
        <w:t xml:space="preserve"> de</w:t>
      </w:r>
      <w:r w:rsidR="00514BB5" w:rsidRPr="0023319B">
        <w:rPr>
          <w:rFonts w:asciiTheme="minorHAnsi" w:hAnsiTheme="minorHAnsi" w:cstheme="minorHAnsi"/>
          <w:sz w:val="24"/>
          <w:szCs w:val="22"/>
          <w:lang w:val="es-CR"/>
        </w:rPr>
        <w:t xml:space="preserve">l programa de supervisión Team Mate, el cual será utilizado para las labores </w:t>
      </w:r>
      <w:r w:rsidR="00856CAD" w:rsidRPr="0023319B">
        <w:rPr>
          <w:rFonts w:asciiTheme="minorHAnsi" w:hAnsiTheme="minorHAnsi" w:cstheme="minorHAnsi"/>
          <w:sz w:val="24"/>
          <w:szCs w:val="22"/>
          <w:lang w:val="es-CR"/>
        </w:rPr>
        <w:t xml:space="preserve">propias de la SUPEN en las Operadoras de Pensiones Complementarias y Fondos </w:t>
      </w:r>
      <w:r w:rsidR="00F1055F" w:rsidRPr="0023319B">
        <w:rPr>
          <w:rFonts w:asciiTheme="minorHAnsi" w:hAnsiTheme="minorHAnsi" w:cstheme="minorHAnsi"/>
          <w:sz w:val="24"/>
          <w:szCs w:val="22"/>
          <w:lang w:val="es-CR"/>
        </w:rPr>
        <w:t>creados por Leyes especiales</w:t>
      </w:r>
      <w:r w:rsidR="00565853" w:rsidRPr="0023319B">
        <w:rPr>
          <w:rFonts w:asciiTheme="minorHAnsi" w:hAnsiTheme="minorHAnsi" w:cstheme="minorHAnsi"/>
          <w:sz w:val="24"/>
          <w:szCs w:val="22"/>
          <w:lang w:val="es-CR"/>
        </w:rPr>
        <w:t>, la cuenta reflejo una ejecución del 91%</w:t>
      </w:r>
      <w:r w:rsidR="00E02A5B" w:rsidRPr="0023319B">
        <w:rPr>
          <w:rFonts w:asciiTheme="minorHAnsi" w:hAnsiTheme="minorHAnsi" w:cstheme="minorHAnsi"/>
          <w:sz w:val="24"/>
          <w:szCs w:val="22"/>
          <w:lang w:val="es-CR"/>
        </w:rPr>
        <w:t xml:space="preserve">, </w:t>
      </w:r>
      <w:r w:rsidR="00E02A5B" w:rsidRPr="0023319B">
        <w:rPr>
          <w:rFonts w:asciiTheme="minorHAnsi" w:hAnsiTheme="minorHAnsi" w:cstheme="minorHAnsi"/>
          <w:sz w:val="24"/>
          <w:szCs w:val="24"/>
          <w:lang w:val="es-CR"/>
        </w:rPr>
        <w:t xml:space="preserve">equivale a la suma de </w:t>
      </w:r>
      <w:r w:rsidR="00E02A5B" w:rsidRPr="0023319B">
        <w:rPr>
          <w:rFonts w:asciiTheme="minorHAnsi" w:hAnsiTheme="minorHAnsi" w:cstheme="minorHAnsi"/>
          <w:sz w:val="24"/>
          <w:szCs w:val="22"/>
          <w:lang w:val="es-CR"/>
        </w:rPr>
        <w:t>¢</w:t>
      </w:r>
      <w:r w:rsidR="005A4D4A" w:rsidRPr="0023319B">
        <w:rPr>
          <w:rFonts w:asciiTheme="minorHAnsi" w:hAnsiTheme="minorHAnsi" w:cstheme="minorHAnsi"/>
          <w:sz w:val="24"/>
          <w:szCs w:val="24"/>
          <w:lang w:val="es-CR"/>
        </w:rPr>
        <w:t>79</w:t>
      </w:r>
      <w:r w:rsidR="00E02A5B" w:rsidRPr="0023319B">
        <w:rPr>
          <w:rFonts w:asciiTheme="minorHAnsi" w:hAnsiTheme="minorHAnsi" w:cstheme="minorHAnsi"/>
          <w:sz w:val="24"/>
          <w:szCs w:val="24"/>
          <w:lang w:val="es-CR"/>
        </w:rPr>
        <w:t>,</w:t>
      </w:r>
      <w:r w:rsidR="005A4D4A" w:rsidRPr="0023319B">
        <w:rPr>
          <w:rFonts w:asciiTheme="minorHAnsi" w:hAnsiTheme="minorHAnsi" w:cstheme="minorHAnsi"/>
          <w:sz w:val="24"/>
          <w:szCs w:val="24"/>
          <w:lang w:val="es-CR"/>
        </w:rPr>
        <w:t>6</w:t>
      </w:r>
      <w:r w:rsidR="00E02A5B" w:rsidRPr="0023319B">
        <w:rPr>
          <w:rFonts w:asciiTheme="minorHAnsi" w:hAnsiTheme="minorHAnsi" w:cstheme="minorHAnsi"/>
          <w:sz w:val="24"/>
          <w:szCs w:val="24"/>
          <w:lang w:val="es-CR"/>
        </w:rPr>
        <w:t xml:space="preserve"> millones.</w:t>
      </w:r>
    </w:p>
    <w:p w14:paraId="71223B1E" w14:textId="1C68FE9E" w:rsidR="00AE485D" w:rsidRPr="0023319B" w:rsidRDefault="00AE485D" w:rsidP="00514BB5">
      <w:pPr>
        <w:ind w:right="51"/>
        <w:rPr>
          <w:rFonts w:asciiTheme="minorHAnsi" w:hAnsiTheme="minorHAnsi" w:cstheme="minorHAnsi"/>
          <w:sz w:val="24"/>
          <w:szCs w:val="22"/>
          <w:lang w:val="es-CR"/>
        </w:rPr>
      </w:pPr>
    </w:p>
    <w:p w14:paraId="02FCBDF5" w14:textId="77777777" w:rsidR="00AE485D" w:rsidRPr="0023319B" w:rsidRDefault="00AE485D" w:rsidP="00514BB5">
      <w:pPr>
        <w:ind w:right="51"/>
        <w:rPr>
          <w:rFonts w:asciiTheme="minorHAnsi" w:hAnsiTheme="minorHAnsi" w:cstheme="minorHAnsi"/>
          <w:sz w:val="24"/>
          <w:szCs w:val="22"/>
          <w:lang w:val="es-CR"/>
        </w:rPr>
      </w:pPr>
    </w:p>
    <w:p w14:paraId="34A37193" w14:textId="77777777" w:rsidR="00AE485D" w:rsidRPr="0023319B" w:rsidRDefault="00AE485D" w:rsidP="00AE485D">
      <w:pPr>
        <w:rPr>
          <w:lang w:val="es-CR"/>
        </w:rPr>
      </w:pPr>
      <w:bookmarkStart w:id="71" w:name="_Toc448815067"/>
      <w:bookmarkStart w:id="72" w:name="_Toc70497977"/>
      <w:bookmarkStart w:id="73" w:name="_Toc131912457"/>
      <w:bookmarkStart w:id="74" w:name="_Toc163371962"/>
      <w:bookmarkStart w:id="75" w:name="_Toc195505395"/>
      <w:bookmarkStart w:id="76" w:name="_Toc226364828"/>
      <w:bookmarkStart w:id="77" w:name="_Toc273448682"/>
    </w:p>
    <w:p w14:paraId="64DC79E2" w14:textId="37735ED1" w:rsidR="00225437" w:rsidRPr="0023319B" w:rsidRDefault="00225437" w:rsidP="003E35E4">
      <w:pPr>
        <w:pStyle w:val="Ttulo2"/>
      </w:pPr>
      <w:bookmarkStart w:id="78" w:name="_Toc61081379"/>
      <w:r w:rsidRPr="0023319B">
        <w:t>Cuenta 6 “</w:t>
      </w:r>
      <w:r w:rsidR="00F75C74" w:rsidRPr="0023319B">
        <w:t>Transferencias Corrientes</w:t>
      </w:r>
      <w:r w:rsidRPr="0023319B">
        <w:t>”</w:t>
      </w:r>
      <w:bookmarkEnd w:id="71"/>
      <w:bookmarkEnd w:id="72"/>
      <w:bookmarkEnd w:id="73"/>
      <w:bookmarkEnd w:id="74"/>
      <w:bookmarkEnd w:id="75"/>
      <w:bookmarkEnd w:id="76"/>
      <w:bookmarkEnd w:id="77"/>
      <w:bookmarkEnd w:id="78"/>
    </w:p>
    <w:p w14:paraId="64DC79E3" w14:textId="78FB5369" w:rsidR="00225437" w:rsidRPr="0023319B" w:rsidRDefault="00225437" w:rsidP="00093594">
      <w:pPr>
        <w:spacing w:line="240" w:lineRule="auto"/>
        <w:ind w:right="51"/>
        <w:rPr>
          <w:rFonts w:asciiTheme="minorHAnsi" w:hAnsiTheme="minorHAnsi" w:cstheme="minorHAnsi"/>
          <w:sz w:val="24"/>
          <w:szCs w:val="24"/>
          <w:lang w:val="es-CR"/>
        </w:rPr>
      </w:pPr>
    </w:p>
    <w:p w14:paraId="75DE89C3" w14:textId="10EF4E74" w:rsidR="00EC2995" w:rsidRPr="0023319B" w:rsidRDefault="00EC2995" w:rsidP="00EC2995">
      <w:pPr>
        <w:pStyle w:val="Textoindependiente"/>
        <w:numPr>
          <w:ilvl w:val="0"/>
          <w:numId w:val="0"/>
        </w:numPr>
        <w:ind w:right="51"/>
        <w:rPr>
          <w:rFonts w:asciiTheme="minorHAnsi" w:hAnsiTheme="minorHAnsi" w:cstheme="minorHAnsi"/>
          <w:szCs w:val="24"/>
          <w:lang w:val="es-CR"/>
        </w:rPr>
      </w:pPr>
      <w:r w:rsidRPr="0023319B">
        <w:rPr>
          <w:rFonts w:asciiTheme="minorHAnsi" w:hAnsiTheme="minorHAnsi" w:cstheme="minorHAnsi"/>
          <w:szCs w:val="24"/>
          <w:lang w:val="es-CR"/>
        </w:rPr>
        <w:t>El nivel de ejecución de las subpartidas que conforman la cuenta “</w:t>
      </w:r>
      <w:r w:rsidR="008276CE" w:rsidRPr="0023319B">
        <w:rPr>
          <w:rFonts w:asciiTheme="minorHAnsi" w:hAnsiTheme="minorHAnsi" w:cstheme="minorHAnsi"/>
          <w:szCs w:val="24"/>
          <w:lang w:val="es-CR"/>
        </w:rPr>
        <w:t>Transferencias Corrientes</w:t>
      </w:r>
      <w:r w:rsidRPr="0023319B">
        <w:rPr>
          <w:rFonts w:asciiTheme="minorHAnsi" w:hAnsiTheme="minorHAnsi" w:cstheme="minorHAnsi"/>
          <w:szCs w:val="24"/>
          <w:lang w:val="es-CR"/>
        </w:rPr>
        <w:t>” se detallan en el siguiente cuadro:</w:t>
      </w:r>
    </w:p>
    <w:p w14:paraId="5B872DF7" w14:textId="5F82F440" w:rsidR="00EC2995" w:rsidRPr="0023319B" w:rsidRDefault="00EC2995" w:rsidP="001B652B">
      <w:pPr>
        <w:ind w:right="51"/>
        <w:rPr>
          <w:rFonts w:asciiTheme="minorHAnsi" w:hAnsiTheme="minorHAnsi" w:cstheme="minorHAnsi"/>
          <w:sz w:val="24"/>
          <w:szCs w:val="24"/>
          <w:lang w:val="es-CR"/>
        </w:rPr>
      </w:pPr>
    </w:p>
    <w:p w14:paraId="383B0A74" w14:textId="7E53084F" w:rsidR="00EC2995" w:rsidRPr="0023319B" w:rsidRDefault="00EC2995" w:rsidP="008F3B3D">
      <w:pPr>
        <w:pStyle w:val="Textoindependiente"/>
        <w:numPr>
          <w:ilvl w:val="0"/>
          <w:numId w:val="0"/>
        </w:numPr>
        <w:spacing w:line="240" w:lineRule="auto"/>
        <w:ind w:right="51"/>
        <w:jc w:val="left"/>
        <w:outlineLvl w:val="2"/>
        <w:rPr>
          <w:rFonts w:asciiTheme="minorHAnsi" w:hAnsiTheme="minorHAnsi" w:cstheme="minorHAnsi"/>
          <w:sz w:val="18"/>
          <w:szCs w:val="18"/>
          <w:lang w:val="es-CR"/>
        </w:rPr>
      </w:pPr>
      <w:bookmarkStart w:id="79" w:name="_Toc61081380"/>
      <w:r w:rsidRPr="0023319B">
        <w:rPr>
          <w:rFonts w:asciiTheme="minorHAnsi" w:hAnsiTheme="minorHAnsi" w:cstheme="minorHAnsi"/>
          <w:b/>
          <w:i/>
          <w:szCs w:val="24"/>
          <w:lang w:val="es-CR"/>
        </w:rPr>
        <w:t xml:space="preserve">Cuadro </w:t>
      </w:r>
      <w:r w:rsidR="005F6F80" w:rsidRPr="0023319B">
        <w:rPr>
          <w:rFonts w:asciiTheme="minorHAnsi" w:hAnsiTheme="minorHAnsi" w:cstheme="minorHAnsi"/>
          <w:b/>
          <w:i/>
          <w:szCs w:val="24"/>
          <w:lang w:val="es-CR"/>
        </w:rPr>
        <w:t>8</w:t>
      </w:r>
      <w:r w:rsidRPr="0023319B">
        <w:rPr>
          <w:rFonts w:asciiTheme="minorHAnsi" w:hAnsiTheme="minorHAnsi" w:cstheme="minorHAnsi"/>
          <w:b/>
          <w:i/>
          <w:szCs w:val="24"/>
          <w:lang w:val="es-CR"/>
        </w:rPr>
        <w:t xml:space="preserve">: </w:t>
      </w:r>
      <w:r w:rsidRPr="0023319B">
        <w:rPr>
          <w:rFonts w:asciiTheme="minorHAnsi" w:hAnsiTheme="minorHAnsi" w:cstheme="minorHAnsi"/>
          <w:szCs w:val="18"/>
          <w:lang w:val="es-CR"/>
        </w:rPr>
        <w:t>Detalle de ejecución por cuenta</w:t>
      </w:r>
      <w:bookmarkEnd w:id="79"/>
    </w:p>
    <w:p w14:paraId="4C0CCF71" w14:textId="3FAEEFE2" w:rsidR="00EC2995" w:rsidRDefault="00EC2995" w:rsidP="00EC2995">
      <w:pPr>
        <w:spacing w:line="240" w:lineRule="auto"/>
        <w:ind w:right="51"/>
        <w:jc w:val="left"/>
        <w:rPr>
          <w:rFonts w:asciiTheme="minorHAnsi" w:hAnsiTheme="minorHAnsi" w:cstheme="minorHAnsi"/>
          <w:sz w:val="18"/>
          <w:szCs w:val="18"/>
          <w:lang w:val="es-CR"/>
        </w:rPr>
      </w:pPr>
      <w:r w:rsidRPr="0023319B">
        <w:rPr>
          <w:rFonts w:asciiTheme="minorHAnsi" w:hAnsiTheme="minorHAnsi" w:cstheme="minorHAnsi"/>
          <w:sz w:val="18"/>
          <w:szCs w:val="18"/>
          <w:lang w:val="es-CR"/>
        </w:rPr>
        <w:t>Montos en Colones</w:t>
      </w:r>
    </w:p>
    <w:tbl>
      <w:tblPr>
        <w:tblW w:w="9634" w:type="dxa"/>
        <w:tblLayout w:type="fixed"/>
        <w:tblCellMar>
          <w:left w:w="70" w:type="dxa"/>
          <w:right w:w="70" w:type="dxa"/>
        </w:tblCellMar>
        <w:tblLook w:val="04A0" w:firstRow="1" w:lastRow="0" w:firstColumn="1" w:lastColumn="0" w:noHBand="0" w:noVBand="1"/>
      </w:tblPr>
      <w:tblGrid>
        <w:gridCol w:w="704"/>
        <w:gridCol w:w="945"/>
        <w:gridCol w:w="2410"/>
        <w:gridCol w:w="1276"/>
        <w:gridCol w:w="1276"/>
        <w:gridCol w:w="897"/>
        <w:gridCol w:w="1036"/>
        <w:gridCol w:w="1090"/>
      </w:tblGrid>
      <w:tr w:rsidR="00DE2569" w:rsidRPr="00DE2569" w14:paraId="27765889" w14:textId="77777777" w:rsidTr="008A7838">
        <w:trPr>
          <w:gridAfter w:val="6"/>
          <w:wAfter w:w="7985" w:type="dxa"/>
          <w:trHeight w:val="290"/>
        </w:trPr>
        <w:tc>
          <w:tcPr>
            <w:tcW w:w="1649" w:type="dxa"/>
            <w:gridSpan w:val="2"/>
            <w:tcBorders>
              <w:top w:val="single" w:sz="4" w:space="0" w:color="auto"/>
              <w:left w:val="single" w:sz="4" w:space="0" w:color="auto"/>
              <w:bottom w:val="single" w:sz="4" w:space="0" w:color="auto"/>
              <w:right w:val="single" w:sz="4" w:space="0" w:color="auto"/>
            </w:tcBorders>
            <w:shd w:val="clear" w:color="000000" w:fill="D6DCE4"/>
            <w:vAlign w:val="center"/>
          </w:tcPr>
          <w:p w14:paraId="0688A42B" w14:textId="0C01170D" w:rsidR="00DE2569" w:rsidRPr="00DE2569" w:rsidRDefault="00DE2569" w:rsidP="00DE2569">
            <w:pPr>
              <w:spacing w:line="240" w:lineRule="auto"/>
              <w:jc w:val="center"/>
              <w:rPr>
                <w:rFonts w:asciiTheme="minorHAnsi" w:hAnsiTheme="minorHAnsi" w:cstheme="minorHAnsi"/>
                <w:sz w:val="18"/>
                <w:szCs w:val="18"/>
                <w:lang w:val="es-CR" w:eastAsia="es-CR"/>
              </w:rPr>
            </w:pPr>
            <w:r>
              <w:rPr>
                <w:rFonts w:asciiTheme="minorHAnsi" w:hAnsiTheme="minorHAnsi" w:cstheme="minorHAnsi"/>
                <w:sz w:val="18"/>
                <w:szCs w:val="18"/>
                <w:lang w:val="es-CR" w:eastAsia="es-CR"/>
              </w:rPr>
              <w:t>Clasificador</w:t>
            </w:r>
          </w:p>
        </w:tc>
      </w:tr>
      <w:tr w:rsidR="00DE2569" w:rsidRPr="00DE2569" w14:paraId="01628AE6" w14:textId="77777777" w:rsidTr="008A7838">
        <w:trPr>
          <w:trHeight w:val="520"/>
        </w:trPr>
        <w:tc>
          <w:tcPr>
            <w:tcW w:w="704" w:type="dxa"/>
            <w:tcBorders>
              <w:top w:val="single" w:sz="4" w:space="0" w:color="auto"/>
              <w:left w:val="single" w:sz="4" w:space="0" w:color="auto"/>
              <w:bottom w:val="single" w:sz="4" w:space="0" w:color="auto"/>
              <w:right w:val="single" w:sz="4" w:space="0" w:color="auto"/>
            </w:tcBorders>
            <w:shd w:val="clear" w:color="000000" w:fill="D6DCE4"/>
            <w:vAlign w:val="center"/>
            <w:hideMark/>
          </w:tcPr>
          <w:p w14:paraId="6BE4207F" w14:textId="77777777" w:rsidR="00DE2569" w:rsidRPr="00DE2569" w:rsidRDefault="00DE2569" w:rsidP="00DE2569">
            <w:pPr>
              <w:spacing w:line="240" w:lineRule="auto"/>
              <w:jc w:val="center"/>
              <w:rPr>
                <w:rFonts w:asciiTheme="minorHAnsi" w:hAnsiTheme="minorHAnsi" w:cstheme="minorHAnsi"/>
                <w:sz w:val="18"/>
                <w:szCs w:val="18"/>
                <w:lang w:val="es-CR" w:eastAsia="es-CR"/>
              </w:rPr>
            </w:pPr>
            <w:r w:rsidRPr="00DE2569">
              <w:rPr>
                <w:rFonts w:asciiTheme="minorHAnsi" w:hAnsiTheme="minorHAnsi" w:cstheme="minorHAnsi"/>
                <w:sz w:val="18"/>
                <w:szCs w:val="18"/>
                <w:lang w:val="es-CR" w:eastAsia="es-CR"/>
              </w:rPr>
              <w:t>Gasto</w:t>
            </w:r>
          </w:p>
        </w:tc>
        <w:tc>
          <w:tcPr>
            <w:tcW w:w="945" w:type="dxa"/>
            <w:tcBorders>
              <w:top w:val="single" w:sz="4" w:space="0" w:color="auto"/>
              <w:left w:val="nil"/>
              <w:bottom w:val="single" w:sz="4" w:space="0" w:color="auto"/>
              <w:right w:val="single" w:sz="4" w:space="0" w:color="auto"/>
            </w:tcBorders>
            <w:shd w:val="clear" w:color="000000" w:fill="D6DCE4"/>
            <w:vAlign w:val="center"/>
            <w:hideMark/>
          </w:tcPr>
          <w:p w14:paraId="29BF9FA6" w14:textId="77777777" w:rsidR="00DE2569" w:rsidRPr="00DE2569" w:rsidRDefault="00DE2569" w:rsidP="00DE2569">
            <w:pPr>
              <w:spacing w:line="240" w:lineRule="auto"/>
              <w:jc w:val="center"/>
              <w:rPr>
                <w:rFonts w:asciiTheme="minorHAnsi" w:hAnsiTheme="minorHAnsi" w:cstheme="minorHAnsi"/>
                <w:sz w:val="18"/>
                <w:szCs w:val="18"/>
                <w:lang w:val="es-CR" w:eastAsia="es-CR"/>
              </w:rPr>
            </w:pPr>
            <w:r w:rsidRPr="00DE2569">
              <w:rPr>
                <w:rFonts w:asciiTheme="minorHAnsi" w:hAnsiTheme="minorHAnsi" w:cstheme="minorHAnsi"/>
                <w:sz w:val="18"/>
                <w:szCs w:val="18"/>
                <w:lang w:val="es-CR" w:eastAsia="es-CR"/>
              </w:rPr>
              <w:t>Económico</w:t>
            </w:r>
          </w:p>
        </w:tc>
        <w:tc>
          <w:tcPr>
            <w:tcW w:w="2410" w:type="dxa"/>
            <w:tcBorders>
              <w:top w:val="single" w:sz="4" w:space="0" w:color="auto"/>
              <w:left w:val="nil"/>
              <w:bottom w:val="single" w:sz="4" w:space="0" w:color="auto"/>
              <w:right w:val="single" w:sz="4" w:space="0" w:color="auto"/>
            </w:tcBorders>
            <w:shd w:val="clear" w:color="000000" w:fill="D6DCE4"/>
            <w:vAlign w:val="center"/>
            <w:hideMark/>
          </w:tcPr>
          <w:p w14:paraId="375C725B" w14:textId="77777777" w:rsidR="00DE2569" w:rsidRPr="00DE2569" w:rsidRDefault="00DE2569" w:rsidP="00DE2569">
            <w:pPr>
              <w:spacing w:line="240" w:lineRule="auto"/>
              <w:jc w:val="center"/>
              <w:rPr>
                <w:rFonts w:asciiTheme="minorHAnsi" w:hAnsiTheme="minorHAnsi" w:cstheme="minorHAnsi"/>
                <w:sz w:val="18"/>
                <w:szCs w:val="18"/>
                <w:lang w:val="es-CR" w:eastAsia="es-CR"/>
              </w:rPr>
            </w:pPr>
            <w:r w:rsidRPr="00DE2569">
              <w:rPr>
                <w:rFonts w:asciiTheme="minorHAnsi" w:hAnsiTheme="minorHAnsi" w:cstheme="minorHAnsi"/>
                <w:sz w:val="18"/>
                <w:szCs w:val="18"/>
                <w:lang w:val="es-CR" w:eastAsia="es-CR"/>
              </w:rPr>
              <w:t>DESCRIPCIÓN</w:t>
            </w:r>
          </w:p>
        </w:tc>
        <w:tc>
          <w:tcPr>
            <w:tcW w:w="1276" w:type="dxa"/>
            <w:tcBorders>
              <w:top w:val="single" w:sz="4" w:space="0" w:color="auto"/>
              <w:left w:val="nil"/>
              <w:bottom w:val="single" w:sz="4" w:space="0" w:color="auto"/>
              <w:right w:val="single" w:sz="4" w:space="0" w:color="auto"/>
            </w:tcBorders>
            <w:shd w:val="clear" w:color="000000" w:fill="D6DCE4"/>
            <w:vAlign w:val="center"/>
            <w:hideMark/>
          </w:tcPr>
          <w:p w14:paraId="709BD8BC" w14:textId="77777777" w:rsidR="00DE2569" w:rsidRPr="00DE2569" w:rsidRDefault="00DE2569" w:rsidP="00DE2569">
            <w:pPr>
              <w:spacing w:line="240" w:lineRule="auto"/>
              <w:jc w:val="center"/>
              <w:rPr>
                <w:rFonts w:asciiTheme="minorHAnsi" w:hAnsiTheme="minorHAnsi" w:cstheme="minorHAnsi"/>
                <w:sz w:val="18"/>
                <w:szCs w:val="18"/>
                <w:lang w:val="es-CR" w:eastAsia="es-CR"/>
              </w:rPr>
            </w:pPr>
            <w:r w:rsidRPr="00DE2569">
              <w:rPr>
                <w:rFonts w:asciiTheme="minorHAnsi" w:hAnsiTheme="minorHAnsi" w:cstheme="minorHAnsi"/>
                <w:sz w:val="18"/>
                <w:szCs w:val="18"/>
                <w:lang w:val="es-CR" w:eastAsia="es-CR"/>
              </w:rPr>
              <w:t xml:space="preserve"> PRESUPUESTO</w:t>
            </w:r>
          </w:p>
        </w:tc>
        <w:tc>
          <w:tcPr>
            <w:tcW w:w="1276" w:type="dxa"/>
            <w:tcBorders>
              <w:top w:val="single" w:sz="4" w:space="0" w:color="auto"/>
              <w:left w:val="nil"/>
              <w:bottom w:val="single" w:sz="4" w:space="0" w:color="auto"/>
              <w:right w:val="single" w:sz="4" w:space="0" w:color="auto"/>
            </w:tcBorders>
            <w:shd w:val="clear" w:color="000000" w:fill="D6DCE4"/>
            <w:vAlign w:val="center"/>
            <w:hideMark/>
          </w:tcPr>
          <w:p w14:paraId="25D68FAC" w14:textId="77777777" w:rsidR="00DE2569" w:rsidRPr="00DE2569" w:rsidRDefault="00DE2569" w:rsidP="00DE2569">
            <w:pPr>
              <w:spacing w:line="240" w:lineRule="auto"/>
              <w:jc w:val="center"/>
              <w:rPr>
                <w:rFonts w:asciiTheme="minorHAnsi" w:hAnsiTheme="minorHAnsi" w:cstheme="minorHAnsi"/>
                <w:sz w:val="18"/>
                <w:szCs w:val="18"/>
                <w:lang w:val="es-CR" w:eastAsia="es-CR"/>
              </w:rPr>
            </w:pPr>
            <w:r w:rsidRPr="00DE2569">
              <w:rPr>
                <w:rFonts w:asciiTheme="minorHAnsi" w:hAnsiTheme="minorHAnsi" w:cstheme="minorHAnsi"/>
                <w:sz w:val="18"/>
                <w:szCs w:val="18"/>
                <w:lang w:val="es-CR" w:eastAsia="es-CR"/>
              </w:rPr>
              <w:t>GASTO</w:t>
            </w:r>
          </w:p>
        </w:tc>
        <w:tc>
          <w:tcPr>
            <w:tcW w:w="897" w:type="dxa"/>
            <w:tcBorders>
              <w:top w:val="single" w:sz="4" w:space="0" w:color="auto"/>
              <w:left w:val="nil"/>
              <w:bottom w:val="single" w:sz="4" w:space="0" w:color="auto"/>
              <w:right w:val="single" w:sz="4" w:space="0" w:color="auto"/>
            </w:tcBorders>
            <w:shd w:val="clear" w:color="000000" w:fill="D6DCE4"/>
            <w:vAlign w:val="center"/>
            <w:hideMark/>
          </w:tcPr>
          <w:p w14:paraId="33527833" w14:textId="77777777" w:rsidR="00DE2569" w:rsidRPr="00DE2569" w:rsidRDefault="00DE2569" w:rsidP="00DE2569">
            <w:pPr>
              <w:spacing w:line="240" w:lineRule="auto"/>
              <w:jc w:val="center"/>
              <w:rPr>
                <w:rFonts w:asciiTheme="minorHAnsi" w:hAnsiTheme="minorHAnsi" w:cstheme="minorHAnsi"/>
                <w:sz w:val="18"/>
                <w:szCs w:val="18"/>
                <w:lang w:val="es-CR" w:eastAsia="es-CR"/>
              </w:rPr>
            </w:pPr>
            <w:r w:rsidRPr="00DE2569">
              <w:rPr>
                <w:rFonts w:asciiTheme="minorHAnsi" w:hAnsiTheme="minorHAnsi" w:cstheme="minorHAnsi"/>
                <w:sz w:val="18"/>
                <w:szCs w:val="18"/>
                <w:lang w:val="es-CR" w:eastAsia="es-CR"/>
              </w:rPr>
              <w:t>COMPROMISO</w:t>
            </w:r>
          </w:p>
        </w:tc>
        <w:tc>
          <w:tcPr>
            <w:tcW w:w="1036" w:type="dxa"/>
            <w:tcBorders>
              <w:top w:val="single" w:sz="4" w:space="0" w:color="auto"/>
              <w:left w:val="nil"/>
              <w:bottom w:val="single" w:sz="4" w:space="0" w:color="auto"/>
              <w:right w:val="single" w:sz="4" w:space="0" w:color="auto"/>
            </w:tcBorders>
            <w:shd w:val="clear" w:color="DDEBF7" w:fill="D6DCE4"/>
            <w:vAlign w:val="center"/>
            <w:hideMark/>
          </w:tcPr>
          <w:p w14:paraId="7DDA17A3" w14:textId="77777777" w:rsidR="00DE2569" w:rsidRPr="00DE2569" w:rsidRDefault="00DE2569" w:rsidP="00DE2569">
            <w:pPr>
              <w:spacing w:line="240" w:lineRule="auto"/>
              <w:jc w:val="center"/>
              <w:rPr>
                <w:rFonts w:asciiTheme="minorHAnsi" w:hAnsiTheme="minorHAnsi" w:cstheme="minorHAnsi"/>
                <w:color w:val="000000"/>
                <w:sz w:val="18"/>
                <w:szCs w:val="18"/>
                <w:lang w:val="es-CR" w:eastAsia="es-CR"/>
              </w:rPr>
            </w:pPr>
            <w:r w:rsidRPr="00DE2569">
              <w:rPr>
                <w:rFonts w:asciiTheme="minorHAnsi" w:hAnsiTheme="minorHAnsi" w:cstheme="minorHAnsi"/>
                <w:color w:val="000000"/>
                <w:sz w:val="18"/>
                <w:szCs w:val="18"/>
                <w:lang w:val="es-CR" w:eastAsia="es-CR"/>
              </w:rPr>
              <w:t>DISPONIBLE</w:t>
            </w:r>
          </w:p>
        </w:tc>
        <w:tc>
          <w:tcPr>
            <w:tcW w:w="1090" w:type="dxa"/>
            <w:tcBorders>
              <w:top w:val="single" w:sz="4" w:space="0" w:color="auto"/>
              <w:left w:val="nil"/>
              <w:bottom w:val="single" w:sz="4" w:space="0" w:color="auto"/>
              <w:right w:val="single" w:sz="4" w:space="0" w:color="auto"/>
            </w:tcBorders>
            <w:shd w:val="clear" w:color="DDEBF7" w:fill="D6DCE4"/>
            <w:vAlign w:val="center"/>
            <w:hideMark/>
          </w:tcPr>
          <w:p w14:paraId="32C9C39F" w14:textId="77777777" w:rsidR="00DE2569" w:rsidRPr="00DE2569" w:rsidRDefault="00DE2569" w:rsidP="00DE2569">
            <w:pPr>
              <w:spacing w:line="240" w:lineRule="auto"/>
              <w:jc w:val="center"/>
              <w:rPr>
                <w:rFonts w:asciiTheme="minorHAnsi" w:hAnsiTheme="minorHAnsi" w:cstheme="minorHAnsi"/>
                <w:color w:val="000000"/>
                <w:sz w:val="18"/>
                <w:szCs w:val="18"/>
                <w:lang w:val="es-CR" w:eastAsia="es-CR"/>
              </w:rPr>
            </w:pPr>
            <w:r w:rsidRPr="00DE2569">
              <w:rPr>
                <w:rFonts w:asciiTheme="minorHAnsi" w:hAnsiTheme="minorHAnsi" w:cstheme="minorHAnsi"/>
                <w:color w:val="000000"/>
                <w:sz w:val="18"/>
                <w:szCs w:val="18"/>
                <w:lang w:val="es-CR" w:eastAsia="es-CR"/>
              </w:rPr>
              <w:t>% DE EJECUCIÓN</w:t>
            </w:r>
          </w:p>
        </w:tc>
      </w:tr>
      <w:tr w:rsidR="008A7838" w:rsidRPr="00DE2569" w14:paraId="1D987371" w14:textId="77777777" w:rsidTr="008A7838">
        <w:trPr>
          <w:trHeight w:val="26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C774EC1" w14:textId="77777777" w:rsidR="00DE2569" w:rsidRPr="00DE2569" w:rsidRDefault="00DE2569" w:rsidP="00DE2569">
            <w:pPr>
              <w:spacing w:line="240" w:lineRule="auto"/>
              <w:jc w:val="center"/>
              <w:rPr>
                <w:rFonts w:asciiTheme="minorHAnsi" w:hAnsiTheme="minorHAnsi" w:cstheme="minorHAnsi"/>
                <w:sz w:val="18"/>
                <w:szCs w:val="18"/>
                <w:lang w:val="es-CR" w:eastAsia="es-CR"/>
              </w:rPr>
            </w:pPr>
            <w:r w:rsidRPr="00DE2569">
              <w:rPr>
                <w:rFonts w:asciiTheme="minorHAnsi" w:hAnsiTheme="minorHAnsi" w:cstheme="minorHAnsi"/>
                <w:sz w:val="18"/>
                <w:szCs w:val="18"/>
                <w:lang w:val="es-CR" w:eastAsia="es-CR"/>
              </w:rPr>
              <w:t>6.02.01</w:t>
            </w:r>
          </w:p>
        </w:tc>
        <w:tc>
          <w:tcPr>
            <w:tcW w:w="945" w:type="dxa"/>
            <w:tcBorders>
              <w:top w:val="nil"/>
              <w:left w:val="nil"/>
              <w:bottom w:val="single" w:sz="4" w:space="0" w:color="auto"/>
              <w:right w:val="single" w:sz="4" w:space="0" w:color="auto"/>
            </w:tcBorders>
            <w:shd w:val="clear" w:color="auto" w:fill="auto"/>
            <w:noWrap/>
            <w:vAlign w:val="center"/>
            <w:hideMark/>
          </w:tcPr>
          <w:p w14:paraId="48151A9B" w14:textId="77777777" w:rsidR="00DE2569" w:rsidRPr="00DE2569" w:rsidRDefault="00DE2569" w:rsidP="00DE2569">
            <w:pPr>
              <w:spacing w:line="240" w:lineRule="auto"/>
              <w:jc w:val="center"/>
              <w:rPr>
                <w:rFonts w:asciiTheme="minorHAnsi" w:hAnsiTheme="minorHAnsi" w:cstheme="minorHAnsi"/>
                <w:sz w:val="18"/>
                <w:szCs w:val="18"/>
                <w:lang w:val="es-CR" w:eastAsia="es-CR"/>
              </w:rPr>
            </w:pPr>
            <w:r w:rsidRPr="00DE2569">
              <w:rPr>
                <w:rFonts w:asciiTheme="minorHAnsi" w:hAnsiTheme="minorHAnsi" w:cstheme="minorHAnsi"/>
                <w:sz w:val="18"/>
                <w:szCs w:val="18"/>
                <w:lang w:val="es-CR" w:eastAsia="es-CR"/>
              </w:rPr>
              <w:t>1.3.2</w:t>
            </w:r>
          </w:p>
        </w:tc>
        <w:tc>
          <w:tcPr>
            <w:tcW w:w="2410" w:type="dxa"/>
            <w:tcBorders>
              <w:top w:val="nil"/>
              <w:left w:val="nil"/>
              <w:bottom w:val="single" w:sz="4" w:space="0" w:color="auto"/>
              <w:right w:val="single" w:sz="4" w:space="0" w:color="auto"/>
            </w:tcBorders>
            <w:shd w:val="clear" w:color="auto" w:fill="auto"/>
            <w:noWrap/>
            <w:vAlign w:val="center"/>
            <w:hideMark/>
          </w:tcPr>
          <w:p w14:paraId="6CAA7F1A" w14:textId="77777777" w:rsidR="00DE2569" w:rsidRPr="00DE2569" w:rsidRDefault="00DE2569" w:rsidP="00DE2569">
            <w:pPr>
              <w:spacing w:line="240" w:lineRule="auto"/>
              <w:jc w:val="left"/>
              <w:rPr>
                <w:rFonts w:asciiTheme="minorHAnsi" w:hAnsiTheme="minorHAnsi" w:cstheme="minorHAnsi"/>
                <w:sz w:val="18"/>
                <w:szCs w:val="18"/>
                <w:lang w:val="es-CR" w:eastAsia="es-CR"/>
              </w:rPr>
            </w:pPr>
            <w:r w:rsidRPr="00DE2569">
              <w:rPr>
                <w:rFonts w:asciiTheme="minorHAnsi" w:hAnsiTheme="minorHAnsi" w:cstheme="minorHAnsi"/>
                <w:sz w:val="18"/>
                <w:szCs w:val="18"/>
                <w:lang w:val="es-CR" w:eastAsia="es-CR"/>
              </w:rPr>
              <w:t>Becas a funcionarios</w:t>
            </w:r>
          </w:p>
        </w:tc>
        <w:tc>
          <w:tcPr>
            <w:tcW w:w="1276" w:type="dxa"/>
            <w:tcBorders>
              <w:top w:val="nil"/>
              <w:left w:val="nil"/>
              <w:bottom w:val="single" w:sz="4" w:space="0" w:color="auto"/>
              <w:right w:val="single" w:sz="4" w:space="0" w:color="auto"/>
            </w:tcBorders>
            <w:shd w:val="clear" w:color="auto" w:fill="auto"/>
            <w:noWrap/>
            <w:vAlign w:val="center"/>
            <w:hideMark/>
          </w:tcPr>
          <w:p w14:paraId="63DAFDA2" w14:textId="77777777" w:rsidR="00DE2569" w:rsidRPr="00DE2569" w:rsidRDefault="00DE2569" w:rsidP="00DE2569">
            <w:pPr>
              <w:spacing w:line="240" w:lineRule="auto"/>
              <w:jc w:val="right"/>
              <w:rPr>
                <w:rFonts w:asciiTheme="minorHAnsi" w:hAnsiTheme="minorHAnsi" w:cstheme="minorHAnsi"/>
                <w:sz w:val="18"/>
                <w:szCs w:val="18"/>
                <w:lang w:val="es-CR" w:eastAsia="es-CR"/>
              </w:rPr>
            </w:pPr>
            <w:r w:rsidRPr="00DE2569">
              <w:rPr>
                <w:rFonts w:asciiTheme="minorHAnsi" w:hAnsiTheme="minorHAnsi" w:cstheme="minorHAnsi"/>
                <w:sz w:val="18"/>
                <w:szCs w:val="18"/>
                <w:lang w:val="es-CR" w:eastAsia="es-CR"/>
              </w:rPr>
              <w:t>3 000 000</w:t>
            </w:r>
          </w:p>
        </w:tc>
        <w:tc>
          <w:tcPr>
            <w:tcW w:w="1276" w:type="dxa"/>
            <w:tcBorders>
              <w:top w:val="nil"/>
              <w:left w:val="nil"/>
              <w:bottom w:val="single" w:sz="4" w:space="0" w:color="auto"/>
              <w:right w:val="single" w:sz="4" w:space="0" w:color="auto"/>
            </w:tcBorders>
            <w:shd w:val="clear" w:color="auto" w:fill="auto"/>
            <w:noWrap/>
            <w:vAlign w:val="center"/>
            <w:hideMark/>
          </w:tcPr>
          <w:p w14:paraId="63410CFC" w14:textId="77777777" w:rsidR="00DE2569" w:rsidRPr="00DE2569" w:rsidRDefault="00DE2569" w:rsidP="00DE2569">
            <w:pPr>
              <w:spacing w:line="240" w:lineRule="auto"/>
              <w:jc w:val="right"/>
              <w:rPr>
                <w:rFonts w:asciiTheme="minorHAnsi" w:hAnsiTheme="minorHAnsi" w:cstheme="minorHAnsi"/>
                <w:sz w:val="18"/>
                <w:szCs w:val="18"/>
                <w:lang w:val="es-CR" w:eastAsia="es-CR"/>
              </w:rPr>
            </w:pPr>
            <w:r w:rsidRPr="00DE2569">
              <w:rPr>
                <w:rFonts w:asciiTheme="minorHAnsi" w:hAnsiTheme="minorHAnsi" w:cstheme="minorHAnsi"/>
                <w:sz w:val="18"/>
                <w:szCs w:val="18"/>
                <w:lang w:val="es-CR" w:eastAsia="es-CR"/>
              </w:rPr>
              <w:t>0</w:t>
            </w:r>
          </w:p>
        </w:tc>
        <w:tc>
          <w:tcPr>
            <w:tcW w:w="897" w:type="dxa"/>
            <w:tcBorders>
              <w:top w:val="nil"/>
              <w:left w:val="nil"/>
              <w:bottom w:val="single" w:sz="4" w:space="0" w:color="auto"/>
              <w:right w:val="single" w:sz="4" w:space="0" w:color="auto"/>
            </w:tcBorders>
            <w:shd w:val="clear" w:color="auto" w:fill="auto"/>
            <w:noWrap/>
            <w:vAlign w:val="center"/>
            <w:hideMark/>
          </w:tcPr>
          <w:p w14:paraId="519C1748" w14:textId="77777777" w:rsidR="00DE2569" w:rsidRPr="00DE2569" w:rsidRDefault="00DE2569" w:rsidP="00DE2569">
            <w:pPr>
              <w:spacing w:line="240" w:lineRule="auto"/>
              <w:jc w:val="right"/>
              <w:rPr>
                <w:rFonts w:asciiTheme="minorHAnsi" w:hAnsiTheme="minorHAnsi" w:cstheme="minorHAnsi"/>
                <w:sz w:val="18"/>
                <w:szCs w:val="18"/>
                <w:lang w:val="es-CR" w:eastAsia="es-CR"/>
              </w:rPr>
            </w:pPr>
            <w:r w:rsidRPr="00DE2569">
              <w:rPr>
                <w:rFonts w:asciiTheme="minorHAnsi" w:hAnsiTheme="minorHAnsi" w:cstheme="minorHAnsi"/>
                <w:sz w:val="18"/>
                <w:szCs w:val="18"/>
                <w:lang w:val="es-CR" w:eastAsia="es-CR"/>
              </w:rPr>
              <w:t>0</w:t>
            </w:r>
          </w:p>
        </w:tc>
        <w:tc>
          <w:tcPr>
            <w:tcW w:w="1036" w:type="dxa"/>
            <w:tcBorders>
              <w:top w:val="nil"/>
              <w:left w:val="nil"/>
              <w:bottom w:val="single" w:sz="4" w:space="0" w:color="auto"/>
              <w:right w:val="single" w:sz="4" w:space="0" w:color="auto"/>
            </w:tcBorders>
            <w:shd w:val="clear" w:color="auto" w:fill="auto"/>
            <w:noWrap/>
            <w:vAlign w:val="center"/>
            <w:hideMark/>
          </w:tcPr>
          <w:p w14:paraId="6C360909" w14:textId="77777777" w:rsidR="00DE2569" w:rsidRPr="00DE2569" w:rsidRDefault="00DE2569" w:rsidP="00DE2569">
            <w:pPr>
              <w:spacing w:line="240" w:lineRule="auto"/>
              <w:jc w:val="right"/>
              <w:rPr>
                <w:rFonts w:asciiTheme="minorHAnsi" w:hAnsiTheme="minorHAnsi" w:cstheme="minorHAnsi"/>
                <w:sz w:val="18"/>
                <w:szCs w:val="18"/>
                <w:lang w:val="es-CR" w:eastAsia="es-CR"/>
              </w:rPr>
            </w:pPr>
            <w:r w:rsidRPr="00DE2569">
              <w:rPr>
                <w:rFonts w:asciiTheme="minorHAnsi" w:hAnsiTheme="minorHAnsi" w:cstheme="minorHAnsi"/>
                <w:sz w:val="18"/>
                <w:szCs w:val="18"/>
                <w:lang w:val="es-CR" w:eastAsia="es-CR"/>
              </w:rPr>
              <w:t>3 000 000</w:t>
            </w:r>
          </w:p>
        </w:tc>
        <w:tc>
          <w:tcPr>
            <w:tcW w:w="1090" w:type="dxa"/>
            <w:tcBorders>
              <w:top w:val="nil"/>
              <w:left w:val="nil"/>
              <w:bottom w:val="single" w:sz="4" w:space="0" w:color="auto"/>
              <w:right w:val="single" w:sz="4" w:space="0" w:color="auto"/>
            </w:tcBorders>
            <w:shd w:val="clear" w:color="auto" w:fill="auto"/>
            <w:noWrap/>
            <w:vAlign w:val="center"/>
            <w:hideMark/>
          </w:tcPr>
          <w:p w14:paraId="70057CFA" w14:textId="77777777" w:rsidR="00DE2569" w:rsidRPr="00DE2569" w:rsidRDefault="00DE2569" w:rsidP="00DE2569">
            <w:pPr>
              <w:spacing w:line="240" w:lineRule="auto"/>
              <w:jc w:val="center"/>
              <w:rPr>
                <w:rFonts w:asciiTheme="minorHAnsi" w:hAnsiTheme="minorHAnsi" w:cstheme="minorHAnsi"/>
                <w:sz w:val="18"/>
                <w:szCs w:val="18"/>
                <w:lang w:val="es-CR" w:eastAsia="es-CR"/>
              </w:rPr>
            </w:pPr>
            <w:r w:rsidRPr="00DE2569">
              <w:rPr>
                <w:rFonts w:asciiTheme="minorHAnsi" w:hAnsiTheme="minorHAnsi" w:cstheme="minorHAnsi"/>
                <w:sz w:val="18"/>
                <w:szCs w:val="18"/>
                <w:lang w:val="es-CR" w:eastAsia="es-CR"/>
              </w:rPr>
              <w:t>0%</w:t>
            </w:r>
          </w:p>
        </w:tc>
      </w:tr>
      <w:tr w:rsidR="008A7838" w:rsidRPr="00DE2569" w14:paraId="1F7A64BC" w14:textId="77777777" w:rsidTr="008A7838">
        <w:trPr>
          <w:trHeight w:val="26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C9169D3" w14:textId="77777777" w:rsidR="00DE2569" w:rsidRPr="00DE2569" w:rsidRDefault="00DE2569" w:rsidP="00DE2569">
            <w:pPr>
              <w:spacing w:line="240" w:lineRule="auto"/>
              <w:jc w:val="center"/>
              <w:rPr>
                <w:rFonts w:asciiTheme="minorHAnsi" w:hAnsiTheme="minorHAnsi" w:cstheme="minorHAnsi"/>
                <w:sz w:val="18"/>
                <w:szCs w:val="18"/>
                <w:lang w:val="es-CR" w:eastAsia="es-CR"/>
              </w:rPr>
            </w:pPr>
            <w:r w:rsidRPr="00DE2569">
              <w:rPr>
                <w:rFonts w:asciiTheme="minorHAnsi" w:hAnsiTheme="minorHAnsi" w:cstheme="minorHAnsi"/>
                <w:sz w:val="18"/>
                <w:szCs w:val="18"/>
                <w:lang w:val="es-CR" w:eastAsia="es-CR"/>
              </w:rPr>
              <w:t>6.02.02</w:t>
            </w:r>
          </w:p>
        </w:tc>
        <w:tc>
          <w:tcPr>
            <w:tcW w:w="945" w:type="dxa"/>
            <w:tcBorders>
              <w:top w:val="nil"/>
              <w:left w:val="nil"/>
              <w:bottom w:val="single" w:sz="4" w:space="0" w:color="auto"/>
              <w:right w:val="single" w:sz="4" w:space="0" w:color="auto"/>
            </w:tcBorders>
            <w:shd w:val="clear" w:color="auto" w:fill="auto"/>
            <w:noWrap/>
            <w:vAlign w:val="center"/>
            <w:hideMark/>
          </w:tcPr>
          <w:p w14:paraId="7195B132" w14:textId="77777777" w:rsidR="00DE2569" w:rsidRPr="00DE2569" w:rsidRDefault="00DE2569" w:rsidP="00DE2569">
            <w:pPr>
              <w:spacing w:line="240" w:lineRule="auto"/>
              <w:jc w:val="center"/>
              <w:rPr>
                <w:rFonts w:asciiTheme="minorHAnsi" w:hAnsiTheme="minorHAnsi" w:cstheme="minorHAnsi"/>
                <w:sz w:val="18"/>
                <w:szCs w:val="18"/>
                <w:lang w:val="es-CR" w:eastAsia="es-CR"/>
              </w:rPr>
            </w:pPr>
            <w:r w:rsidRPr="00DE2569">
              <w:rPr>
                <w:rFonts w:asciiTheme="minorHAnsi" w:hAnsiTheme="minorHAnsi" w:cstheme="minorHAnsi"/>
                <w:sz w:val="18"/>
                <w:szCs w:val="18"/>
                <w:lang w:val="es-CR" w:eastAsia="es-CR"/>
              </w:rPr>
              <w:t>1.3.2</w:t>
            </w:r>
          </w:p>
        </w:tc>
        <w:tc>
          <w:tcPr>
            <w:tcW w:w="2410" w:type="dxa"/>
            <w:tcBorders>
              <w:top w:val="nil"/>
              <w:left w:val="nil"/>
              <w:bottom w:val="single" w:sz="4" w:space="0" w:color="auto"/>
              <w:right w:val="single" w:sz="4" w:space="0" w:color="auto"/>
            </w:tcBorders>
            <w:shd w:val="clear" w:color="auto" w:fill="auto"/>
            <w:noWrap/>
            <w:vAlign w:val="center"/>
            <w:hideMark/>
          </w:tcPr>
          <w:p w14:paraId="16BBBA96" w14:textId="77777777" w:rsidR="00DE2569" w:rsidRPr="00DE2569" w:rsidRDefault="00DE2569" w:rsidP="00DE2569">
            <w:pPr>
              <w:spacing w:line="240" w:lineRule="auto"/>
              <w:jc w:val="left"/>
              <w:rPr>
                <w:rFonts w:asciiTheme="minorHAnsi" w:hAnsiTheme="minorHAnsi" w:cstheme="minorHAnsi"/>
                <w:sz w:val="18"/>
                <w:szCs w:val="18"/>
                <w:lang w:val="es-CR" w:eastAsia="es-CR"/>
              </w:rPr>
            </w:pPr>
            <w:r w:rsidRPr="00DE2569">
              <w:rPr>
                <w:rFonts w:asciiTheme="minorHAnsi" w:hAnsiTheme="minorHAnsi" w:cstheme="minorHAnsi"/>
                <w:sz w:val="18"/>
                <w:szCs w:val="18"/>
                <w:lang w:val="es-CR" w:eastAsia="es-CR"/>
              </w:rPr>
              <w:t>Becas a terceras personas</w:t>
            </w:r>
          </w:p>
        </w:tc>
        <w:tc>
          <w:tcPr>
            <w:tcW w:w="1276" w:type="dxa"/>
            <w:tcBorders>
              <w:top w:val="nil"/>
              <w:left w:val="nil"/>
              <w:bottom w:val="single" w:sz="4" w:space="0" w:color="auto"/>
              <w:right w:val="single" w:sz="4" w:space="0" w:color="auto"/>
            </w:tcBorders>
            <w:shd w:val="clear" w:color="auto" w:fill="auto"/>
            <w:noWrap/>
            <w:vAlign w:val="center"/>
            <w:hideMark/>
          </w:tcPr>
          <w:p w14:paraId="3AF1C3DD" w14:textId="77777777" w:rsidR="00DE2569" w:rsidRPr="00DE2569" w:rsidRDefault="00DE2569" w:rsidP="00DE2569">
            <w:pPr>
              <w:spacing w:line="240" w:lineRule="auto"/>
              <w:jc w:val="right"/>
              <w:rPr>
                <w:rFonts w:asciiTheme="minorHAnsi" w:hAnsiTheme="minorHAnsi" w:cstheme="minorHAnsi"/>
                <w:sz w:val="18"/>
                <w:szCs w:val="18"/>
                <w:lang w:val="es-CR" w:eastAsia="es-CR"/>
              </w:rPr>
            </w:pPr>
            <w:r w:rsidRPr="00DE2569">
              <w:rPr>
                <w:rFonts w:asciiTheme="minorHAnsi" w:hAnsiTheme="minorHAnsi" w:cstheme="minorHAnsi"/>
                <w:sz w:val="18"/>
                <w:szCs w:val="18"/>
                <w:lang w:val="es-CR" w:eastAsia="es-CR"/>
              </w:rPr>
              <w:t>3 500 000</w:t>
            </w:r>
          </w:p>
        </w:tc>
        <w:tc>
          <w:tcPr>
            <w:tcW w:w="1276" w:type="dxa"/>
            <w:tcBorders>
              <w:top w:val="nil"/>
              <w:left w:val="nil"/>
              <w:bottom w:val="single" w:sz="4" w:space="0" w:color="auto"/>
              <w:right w:val="single" w:sz="4" w:space="0" w:color="auto"/>
            </w:tcBorders>
            <w:shd w:val="clear" w:color="auto" w:fill="auto"/>
            <w:noWrap/>
            <w:vAlign w:val="center"/>
            <w:hideMark/>
          </w:tcPr>
          <w:p w14:paraId="67F3D80A" w14:textId="77777777" w:rsidR="00DE2569" w:rsidRPr="00DE2569" w:rsidRDefault="00DE2569" w:rsidP="00DE2569">
            <w:pPr>
              <w:spacing w:line="240" w:lineRule="auto"/>
              <w:jc w:val="right"/>
              <w:rPr>
                <w:rFonts w:asciiTheme="minorHAnsi" w:hAnsiTheme="minorHAnsi" w:cstheme="minorHAnsi"/>
                <w:sz w:val="18"/>
                <w:szCs w:val="18"/>
                <w:lang w:val="es-CR" w:eastAsia="es-CR"/>
              </w:rPr>
            </w:pPr>
            <w:r w:rsidRPr="00DE2569">
              <w:rPr>
                <w:rFonts w:asciiTheme="minorHAnsi" w:hAnsiTheme="minorHAnsi" w:cstheme="minorHAnsi"/>
                <w:sz w:val="18"/>
                <w:szCs w:val="18"/>
                <w:lang w:val="es-CR" w:eastAsia="es-CR"/>
              </w:rPr>
              <w:t>3 200 000</w:t>
            </w:r>
          </w:p>
        </w:tc>
        <w:tc>
          <w:tcPr>
            <w:tcW w:w="897" w:type="dxa"/>
            <w:tcBorders>
              <w:top w:val="nil"/>
              <w:left w:val="nil"/>
              <w:bottom w:val="single" w:sz="4" w:space="0" w:color="auto"/>
              <w:right w:val="single" w:sz="4" w:space="0" w:color="auto"/>
            </w:tcBorders>
            <w:shd w:val="clear" w:color="auto" w:fill="auto"/>
            <w:noWrap/>
            <w:vAlign w:val="center"/>
            <w:hideMark/>
          </w:tcPr>
          <w:p w14:paraId="10B3E0E9" w14:textId="77777777" w:rsidR="00DE2569" w:rsidRPr="00DE2569" w:rsidRDefault="00DE2569" w:rsidP="00DE2569">
            <w:pPr>
              <w:spacing w:line="240" w:lineRule="auto"/>
              <w:jc w:val="right"/>
              <w:rPr>
                <w:rFonts w:asciiTheme="minorHAnsi" w:hAnsiTheme="minorHAnsi" w:cstheme="minorHAnsi"/>
                <w:sz w:val="18"/>
                <w:szCs w:val="18"/>
                <w:lang w:val="es-CR" w:eastAsia="es-CR"/>
              </w:rPr>
            </w:pPr>
            <w:r w:rsidRPr="00DE2569">
              <w:rPr>
                <w:rFonts w:asciiTheme="minorHAnsi" w:hAnsiTheme="minorHAnsi" w:cstheme="minorHAnsi"/>
                <w:sz w:val="18"/>
                <w:szCs w:val="18"/>
                <w:lang w:val="es-CR" w:eastAsia="es-CR"/>
              </w:rPr>
              <w:t>0</w:t>
            </w:r>
          </w:p>
        </w:tc>
        <w:tc>
          <w:tcPr>
            <w:tcW w:w="1036" w:type="dxa"/>
            <w:tcBorders>
              <w:top w:val="nil"/>
              <w:left w:val="nil"/>
              <w:bottom w:val="single" w:sz="4" w:space="0" w:color="auto"/>
              <w:right w:val="single" w:sz="4" w:space="0" w:color="auto"/>
            </w:tcBorders>
            <w:shd w:val="clear" w:color="auto" w:fill="auto"/>
            <w:noWrap/>
            <w:vAlign w:val="center"/>
            <w:hideMark/>
          </w:tcPr>
          <w:p w14:paraId="5FC805FC" w14:textId="77777777" w:rsidR="00DE2569" w:rsidRPr="00DE2569" w:rsidRDefault="00DE2569" w:rsidP="00DE2569">
            <w:pPr>
              <w:spacing w:line="240" w:lineRule="auto"/>
              <w:jc w:val="right"/>
              <w:rPr>
                <w:rFonts w:asciiTheme="minorHAnsi" w:hAnsiTheme="minorHAnsi" w:cstheme="minorHAnsi"/>
                <w:sz w:val="18"/>
                <w:szCs w:val="18"/>
                <w:lang w:val="es-CR" w:eastAsia="es-CR"/>
              </w:rPr>
            </w:pPr>
            <w:r w:rsidRPr="00DE2569">
              <w:rPr>
                <w:rFonts w:asciiTheme="minorHAnsi" w:hAnsiTheme="minorHAnsi" w:cstheme="minorHAnsi"/>
                <w:sz w:val="18"/>
                <w:szCs w:val="18"/>
                <w:lang w:val="es-CR" w:eastAsia="es-CR"/>
              </w:rPr>
              <w:t>300 000</w:t>
            </w:r>
          </w:p>
        </w:tc>
        <w:tc>
          <w:tcPr>
            <w:tcW w:w="1090" w:type="dxa"/>
            <w:tcBorders>
              <w:top w:val="nil"/>
              <w:left w:val="nil"/>
              <w:bottom w:val="single" w:sz="4" w:space="0" w:color="auto"/>
              <w:right w:val="single" w:sz="4" w:space="0" w:color="auto"/>
            </w:tcBorders>
            <w:shd w:val="clear" w:color="auto" w:fill="auto"/>
            <w:noWrap/>
            <w:vAlign w:val="center"/>
            <w:hideMark/>
          </w:tcPr>
          <w:p w14:paraId="179A8F5B" w14:textId="77777777" w:rsidR="00DE2569" w:rsidRPr="00DE2569" w:rsidRDefault="00DE2569" w:rsidP="00DE2569">
            <w:pPr>
              <w:spacing w:line="240" w:lineRule="auto"/>
              <w:jc w:val="center"/>
              <w:rPr>
                <w:rFonts w:asciiTheme="minorHAnsi" w:hAnsiTheme="minorHAnsi" w:cstheme="minorHAnsi"/>
                <w:sz w:val="18"/>
                <w:szCs w:val="18"/>
                <w:lang w:val="es-CR" w:eastAsia="es-CR"/>
              </w:rPr>
            </w:pPr>
            <w:r w:rsidRPr="00DE2569">
              <w:rPr>
                <w:rFonts w:asciiTheme="minorHAnsi" w:hAnsiTheme="minorHAnsi" w:cstheme="minorHAnsi"/>
                <w:sz w:val="18"/>
                <w:szCs w:val="18"/>
                <w:lang w:val="es-CR" w:eastAsia="es-CR"/>
              </w:rPr>
              <w:t>91%</w:t>
            </w:r>
          </w:p>
        </w:tc>
      </w:tr>
      <w:tr w:rsidR="008A7838" w:rsidRPr="00DE2569" w14:paraId="51CB909C" w14:textId="77777777" w:rsidTr="008A7838">
        <w:trPr>
          <w:trHeight w:val="26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5774F7F" w14:textId="77777777" w:rsidR="00DE2569" w:rsidRPr="00DE2569" w:rsidRDefault="00DE2569" w:rsidP="00DE2569">
            <w:pPr>
              <w:spacing w:line="240" w:lineRule="auto"/>
              <w:jc w:val="center"/>
              <w:rPr>
                <w:rFonts w:asciiTheme="minorHAnsi" w:hAnsiTheme="minorHAnsi" w:cstheme="minorHAnsi"/>
                <w:sz w:val="18"/>
                <w:szCs w:val="18"/>
                <w:lang w:val="es-CR" w:eastAsia="es-CR"/>
              </w:rPr>
            </w:pPr>
            <w:r w:rsidRPr="00DE2569">
              <w:rPr>
                <w:rFonts w:asciiTheme="minorHAnsi" w:hAnsiTheme="minorHAnsi" w:cstheme="minorHAnsi"/>
                <w:sz w:val="18"/>
                <w:szCs w:val="18"/>
                <w:lang w:val="es-CR" w:eastAsia="es-CR"/>
              </w:rPr>
              <w:t>6.03.01</w:t>
            </w:r>
          </w:p>
        </w:tc>
        <w:tc>
          <w:tcPr>
            <w:tcW w:w="945" w:type="dxa"/>
            <w:tcBorders>
              <w:top w:val="nil"/>
              <w:left w:val="nil"/>
              <w:bottom w:val="single" w:sz="4" w:space="0" w:color="auto"/>
              <w:right w:val="single" w:sz="4" w:space="0" w:color="auto"/>
            </w:tcBorders>
            <w:shd w:val="clear" w:color="auto" w:fill="auto"/>
            <w:noWrap/>
            <w:vAlign w:val="center"/>
            <w:hideMark/>
          </w:tcPr>
          <w:p w14:paraId="3D3194C0" w14:textId="77777777" w:rsidR="00DE2569" w:rsidRPr="00DE2569" w:rsidRDefault="00DE2569" w:rsidP="00DE2569">
            <w:pPr>
              <w:spacing w:line="240" w:lineRule="auto"/>
              <w:jc w:val="center"/>
              <w:rPr>
                <w:rFonts w:asciiTheme="minorHAnsi" w:hAnsiTheme="minorHAnsi" w:cstheme="minorHAnsi"/>
                <w:sz w:val="18"/>
                <w:szCs w:val="18"/>
                <w:lang w:val="es-CR" w:eastAsia="es-CR"/>
              </w:rPr>
            </w:pPr>
            <w:r w:rsidRPr="00DE2569">
              <w:rPr>
                <w:rFonts w:asciiTheme="minorHAnsi" w:hAnsiTheme="minorHAnsi" w:cstheme="minorHAnsi"/>
                <w:sz w:val="18"/>
                <w:szCs w:val="18"/>
                <w:lang w:val="es-CR" w:eastAsia="es-CR"/>
              </w:rPr>
              <w:t>1.3.2</w:t>
            </w:r>
          </w:p>
        </w:tc>
        <w:tc>
          <w:tcPr>
            <w:tcW w:w="2410" w:type="dxa"/>
            <w:tcBorders>
              <w:top w:val="nil"/>
              <w:left w:val="nil"/>
              <w:bottom w:val="single" w:sz="4" w:space="0" w:color="auto"/>
              <w:right w:val="single" w:sz="4" w:space="0" w:color="auto"/>
            </w:tcBorders>
            <w:shd w:val="clear" w:color="auto" w:fill="auto"/>
            <w:noWrap/>
            <w:vAlign w:val="center"/>
            <w:hideMark/>
          </w:tcPr>
          <w:p w14:paraId="32246CE2" w14:textId="77777777" w:rsidR="00DE2569" w:rsidRPr="00DE2569" w:rsidRDefault="00DE2569" w:rsidP="00DE2569">
            <w:pPr>
              <w:spacing w:line="240" w:lineRule="auto"/>
              <w:jc w:val="left"/>
              <w:rPr>
                <w:rFonts w:asciiTheme="minorHAnsi" w:hAnsiTheme="minorHAnsi" w:cstheme="minorHAnsi"/>
                <w:sz w:val="18"/>
                <w:szCs w:val="18"/>
                <w:lang w:val="es-CR" w:eastAsia="es-CR"/>
              </w:rPr>
            </w:pPr>
            <w:r w:rsidRPr="00DE2569">
              <w:rPr>
                <w:rFonts w:asciiTheme="minorHAnsi" w:hAnsiTheme="minorHAnsi" w:cstheme="minorHAnsi"/>
                <w:sz w:val="18"/>
                <w:szCs w:val="18"/>
                <w:lang w:val="es-CR" w:eastAsia="es-CR"/>
              </w:rPr>
              <w:t>Prestaciones legales</w:t>
            </w:r>
          </w:p>
        </w:tc>
        <w:tc>
          <w:tcPr>
            <w:tcW w:w="1276" w:type="dxa"/>
            <w:tcBorders>
              <w:top w:val="nil"/>
              <w:left w:val="nil"/>
              <w:bottom w:val="single" w:sz="4" w:space="0" w:color="auto"/>
              <w:right w:val="single" w:sz="4" w:space="0" w:color="auto"/>
            </w:tcBorders>
            <w:shd w:val="clear" w:color="auto" w:fill="auto"/>
            <w:noWrap/>
            <w:vAlign w:val="center"/>
            <w:hideMark/>
          </w:tcPr>
          <w:p w14:paraId="3A71D97E" w14:textId="77777777" w:rsidR="00DE2569" w:rsidRPr="00DE2569" w:rsidRDefault="00DE2569" w:rsidP="00DE2569">
            <w:pPr>
              <w:spacing w:line="240" w:lineRule="auto"/>
              <w:jc w:val="right"/>
              <w:rPr>
                <w:rFonts w:asciiTheme="minorHAnsi" w:hAnsiTheme="minorHAnsi" w:cstheme="minorHAnsi"/>
                <w:sz w:val="18"/>
                <w:szCs w:val="18"/>
                <w:lang w:val="es-CR" w:eastAsia="es-CR"/>
              </w:rPr>
            </w:pPr>
            <w:r w:rsidRPr="00DE2569">
              <w:rPr>
                <w:rFonts w:asciiTheme="minorHAnsi" w:hAnsiTheme="minorHAnsi" w:cstheme="minorHAnsi"/>
                <w:sz w:val="18"/>
                <w:szCs w:val="18"/>
                <w:lang w:val="es-CR" w:eastAsia="es-CR"/>
              </w:rPr>
              <w:t>35 000 000</w:t>
            </w:r>
          </w:p>
        </w:tc>
        <w:tc>
          <w:tcPr>
            <w:tcW w:w="1276" w:type="dxa"/>
            <w:tcBorders>
              <w:top w:val="nil"/>
              <w:left w:val="nil"/>
              <w:bottom w:val="single" w:sz="4" w:space="0" w:color="auto"/>
              <w:right w:val="single" w:sz="4" w:space="0" w:color="auto"/>
            </w:tcBorders>
            <w:shd w:val="clear" w:color="auto" w:fill="auto"/>
            <w:noWrap/>
            <w:vAlign w:val="center"/>
            <w:hideMark/>
          </w:tcPr>
          <w:p w14:paraId="3CB183E0" w14:textId="77777777" w:rsidR="00DE2569" w:rsidRPr="00DE2569" w:rsidRDefault="00DE2569" w:rsidP="00DE2569">
            <w:pPr>
              <w:spacing w:line="240" w:lineRule="auto"/>
              <w:jc w:val="right"/>
              <w:rPr>
                <w:rFonts w:asciiTheme="minorHAnsi" w:hAnsiTheme="minorHAnsi" w:cstheme="minorHAnsi"/>
                <w:sz w:val="18"/>
                <w:szCs w:val="18"/>
                <w:lang w:val="es-CR" w:eastAsia="es-CR"/>
              </w:rPr>
            </w:pPr>
            <w:r w:rsidRPr="00DE2569">
              <w:rPr>
                <w:rFonts w:asciiTheme="minorHAnsi" w:hAnsiTheme="minorHAnsi" w:cstheme="minorHAnsi"/>
                <w:sz w:val="18"/>
                <w:szCs w:val="18"/>
                <w:lang w:val="es-CR" w:eastAsia="es-CR"/>
              </w:rPr>
              <w:t>18 352 462</w:t>
            </w:r>
          </w:p>
        </w:tc>
        <w:tc>
          <w:tcPr>
            <w:tcW w:w="897" w:type="dxa"/>
            <w:tcBorders>
              <w:top w:val="nil"/>
              <w:left w:val="nil"/>
              <w:bottom w:val="single" w:sz="4" w:space="0" w:color="auto"/>
              <w:right w:val="single" w:sz="4" w:space="0" w:color="auto"/>
            </w:tcBorders>
            <w:shd w:val="clear" w:color="auto" w:fill="auto"/>
            <w:noWrap/>
            <w:vAlign w:val="center"/>
            <w:hideMark/>
          </w:tcPr>
          <w:p w14:paraId="011CFEB2" w14:textId="77777777" w:rsidR="00DE2569" w:rsidRPr="00DE2569" w:rsidRDefault="00DE2569" w:rsidP="00DE2569">
            <w:pPr>
              <w:spacing w:line="240" w:lineRule="auto"/>
              <w:jc w:val="right"/>
              <w:rPr>
                <w:rFonts w:asciiTheme="minorHAnsi" w:hAnsiTheme="minorHAnsi" w:cstheme="minorHAnsi"/>
                <w:sz w:val="18"/>
                <w:szCs w:val="18"/>
                <w:lang w:val="es-CR" w:eastAsia="es-CR"/>
              </w:rPr>
            </w:pPr>
            <w:r w:rsidRPr="00DE2569">
              <w:rPr>
                <w:rFonts w:asciiTheme="minorHAnsi" w:hAnsiTheme="minorHAnsi" w:cstheme="minorHAnsi"/>
                <w:sz w:val="18"/>
                <w:szCs w:val="18"/>
                <w:lang w:val="es-CR" w:eastAsia="es-CR"/>
              </w:rPr>
              <w:t>0</w:t>
            </w:r>
          </w:p>
        </w:tc>
        <w:tc>
          <w:tcPr>
            <w:tcW w:w="1036" w:type="dxa"/>
            <w:tcBorders>
              <w:top w:val="nil"/>
              <w:left w:val="nil"/>
              <w:bottom w:val="single" w:sz="4" w:space="0" w:color="auto"/>
              <w:right w:val="single" w:sz="4" w:space="0" w:color="auto"/>
            </w:tcBorders>
            <w:shd w:val="clear" w:color="auto" w:fill="auto"/>
            <w:noWrap/>
            <w:vAlign w:val="center"/>
            <w:hideMark/>
          </w:tcPr>
          <w:p w14:paraId="5063AFBB" w14:textId="77777777" w:rsidR="00DE2569" w:rsidRPr="00DE2569" w:rsidRDefault="00DE2569" w:rsidP="00DE2569">
            <w:pPr>
              <w:spacing w:line="240" w:lineRule="auto"/>
              <w:jc w:val="right"/>
              <w:rPr>
                <w:rFonts w:asciiTheme="minorHAnsi" w:hAnsiTheme="minorHAnsi" w:cstheme="minorHAnsi"/>
                <w:sz w:val="18"/>
                <w:szCs w:val="18"/>
                <w:lang w:val="es-CR" w:eastAsia="es-CR"/>
              </w:rPr>
            </w:pPr>
            <w:r w:rsidRPr="00DE2569">
              <w:rPr>
                <w:rFonts w:asciiTheme="minorHAnsi" w:hAnsiTheme="minorHAnsi" w:cstheme="minorHAnsi"/>
                <w:sz w:val="18"/>
                <w:szCs w:val="18"/>
                <w:lang w:val="es-CR" w:eastAsia="es-CR"/>
              </w:rPr>
              <w:t>16 647 538</w:t>
            </w:r>
          </w:p>
        </w:tc>
        <w:tc>
          <w:tcPr>
            <w:tcW w:w="1090" w:type="dxa"/>
            <w:tcBorders>
              <w:top w:val="nil"/>
              <w:left w:val="nil"/>
              <w:bottom w:val="single" w:sz="4" w:space="0" w:color="auto"/>
              <w:right w:val="single" w:sz="4" w:space="0" w:color="auto"/>
            </w:tcBorders>
            <w:shd w:val="clear" w:color="auto" w:fill="auto"/>
            <w:noWrap/>
            <w:vAlign w:val="center"/>
            <w:hideMark/>
          </w:tcPr>
          <w:p w14:paraId="1B597433" w14:textId="77777777" w:rsidR="00DE2569" w:rsidRPr="00DE2569" w:rsidRDefault="00DE2569" w:rsidP="00DE2569">
            <w:pPr>
              <w:spacing w:line="240" w:lineRule="auto"/>
              <w:jc w:val="center"/>
              <w:rPr>
                <w:rFonts w:asciiTheme="minorHAnsi" w:hAnsiTheme="minorHAnsi" w:cstheme="minorHAnsi"/>
                <w:sz w:val="18"/>
                <w:szCs w:val="18"/>
                <w:lang w:val="es-CR" w:eastAsia="es-CR"/>
              </w:rPr>
            </w:pPr>
            <w:r w:rsidRPr="00DE2569">
              <w:rPr>
                <w:rFonts w:asciiTheme="minorHAnsi" w:hAnsiTheme="minorHAnsi" w:cstheme="minorHAnsi"/>
                <w:sz w:val="18"/>
                <w:szCs w:val="18"/>
                <w:lang w:val="es-CR" w:eastAsia="es-CR"/>
              </w:rPr>
              <w:t>52%</w:t>
            </w:r>
          </w:p>
        </w:tc>
      </w:tr>
      <w:tr w:rsidR="008A7838" w:rsidRPr="00DE2569" w14:paraId="064E701C" w14:textId="77777777" w:rsidTr="008A7838">
        <w:trPr>
          <w:trHeight w:val="26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9778079" w14:textId="77777777" w:rsidR="00DE2569" w:rsidRPr="00DE2569" w:rsidRDefault="00DE2569" w:rsidP="00DE2569">
            <w:pPr>
              <w:spacing w:line="240" w:lineRule="auto"/>
              <w:jc w:val="center"/>
              <w:rPr>
                <w:rFonts w:asciiTheme="minorHAnsi" w:hAnsiTheme="minorHAnsi" w:cstheme="minorHAnsi"/>
                <w:sz w:val="18"/>
                <w:szCs w:val="18"/>
                <w:lang w:val="es-CR" w:eastAsia="es-CR"/>
              </w:rPr>
            </w:pPr>
            <w:r w:rsidRPr="00DE2569">
              <w:rPr>
                <w:rFonts w:asciiTheme="minorHAnsi" w:hAnsiTheme="minorHAnsi" w:cstheme="minorHAnsi"/>
                <w:sz w:val="18"/>
                <w:szCs w:val="18"/>
                <w:lang w:val="es-CR" w:eastAsia="es-CR"/>
              </w:rPr>
              <w:t>6.03.99</w:t>
            </w:r>
          </w:p>
        </w:tc>
        <w:tc>
          <w:tcPr>
            <w:tcW w:w="945" w:type="dxa"/>
            <w:tcBorders>
              <w:top w:val="nil"/>
              <w:left w:val="nil"/>
              <w:bottom w:val="single" w:sz="4" w:space="0" w:color="auto"/>
              <w:right w:val="single" w:sz="4" w:space="0" w:color="auto"/>
            </w:tcBorders>
            <w:shd w:val="clear" w:color="auto" w:fill="auto"/>
            <w:noWrap/>
            <w:vAlign w:val="center"/>
            <w:hideMark/>
          </w:tcPr>
          <w:p w14:paraId="48886697" w14:textId="77777777" w:rsidR="00DE2569" w:rsidRPr="00DE2569" w:rsidRDefault="00DE2569" w:rsidP="00DE2569">
            <w:pPr>
              <w:spacing w:line="240" w:lineRule="auto"/>
              <w:jc w:val="center"/>
              <w:rPr>
                <w:rFonts w:asciiTheme="minorHAnsi" w:hAnsiTheme="minorHAnsi" w:cstheme="minorHAnsi"/>
                <w:sz w:val="18"/>
                <w:szCs w:val="18"/>
                <w:lang w:val="es-CR" w:eastAsia="es-CR"/>
              </w:rPr>
            </w:pPr>
            <w:r w:rsidRPr="00DE2569">
              <w:rPr>
                <w:rFonts w:asciiTheme="minorHAnsi" w:hAnsiTheme="minorHAnsi" w:cstheme="minorHAnsi"/>
                <w:sz w:val="18"/>
                <w:szCs w:val="18"/>
                <w:lang w:val="es-CR" w:eastAsia="es-CR"/>
              </w:rPr>
              <w:t>1.3.2</w:t>
            </w:r>
          </w:p>
        </w:tc>
        <w:tc>
          <w:tcPr>
            <w:tcW w:w="2410" w:type="dxa"/>
            <w:tcBorders>
              <w:top w:val="nil"/>
              <w:left w:val="nil"/>
              <w:bottom w:val="single" w:sz="4" w:space="0" w:color="auto"/>
              <w:right w:val="single" w:sz="4" w:space="0" w:color="auto"/>
            </w:tcBorders>
            <w:shd w:val="clear" w:color="auto" w:fill="auto"/>
            <w:noWrap/>
            <w:vAlign w:val="center"/>
            <w:hideMark/>
          </w:tcPr>
          <w:p w14:paraId="33D49762" w14:textId="77777777" w:rsidR="00DE2569" w:rsidRPr="00DE2569" w:rsidRDefault="00DE2569" w:rsidP="00DE2569">
            <w:pPr>
              <w:spacing w:line="240" w:lineRule="auto"/>
              <w:jc w:val="left"/>
              <w:rPr>
                <w:rFonts w:asciiTheme="minorHAnsi" w:hAnsiTheme="minorHAnsi" w:cstheme="minorHAnsi"/>
                <w:sz w:val="18"/>
                <w:szCs w:val="18"/>
                <w:lang w:val="es-CR" w:eastAsia="es-CR"/>
              </w:rPr>
            </w:pPr>
            <w:r w:rsidRPr="00DE2569">
              <w:rPr>
                <w:rFonts w:asciiTheme="minorHAnsi" w:hAnsiTheme="minorHAnsi" w:cstheme="minorHAnsi"/>
                <w:sz w:val="18"/>
                <w:szCs w:val="18"/>
                <w:lang w:val="es-CR" w:eastAsia="es-CR"/>
              </w:rPr>
              <w:t>Otras prestaciones a terceras personas</w:t>
            </w:r>
          </w:p>
        </w:tc>
        <w:tc>
          <w:tcPr>
            <w:tcW w:w="1276" w:type="dxa"/>
            <w:tcBorders>
              <w:top w:val="nil"/>
              <w:left w:val="nil"/>
              <w:bottom w:val="single" w:sz="4" w:space="0" w:color="auto"/>
              <w:right w:val="single" w:sz="4" w:space="0" w:color="auto"/>
            </w:tcBorders>
            <w:shd w:val="clear" w:color="auto" w:fill="auto"/>
            <w:noWrap/>
            <w:vAlign w:val="center"/>
            <w:hideMark/>
          </w:tcPr>
          <w:p w14:paraId="7DC04CFC" w14:textId="77777777" w:rsidR="00DE2569" w:rsidRPr="00DE2569" w:rsidRDefault="00DE2569" w:rsidP="00DE2569">
            <w:pPr>
              <w:spacing w:line="240" w:lineRule="auto"/>
              <w:jc w:val="right"/>
              <w:rPr>
                <w:rFonts w:asciiTheme="minorHAnsi" w:hAnsiTheme="minorHAnsi" w:cstheme="minorHAnsi"/>
                <w:sz w:val="18"/>
                <w:szCs w:val="18"/>
                <w:lang w:val="es-CR" w:eastAsia="es-CR"/>
              </w:rPr>
            </w:pPr>
            <w:r w:rsidRPr="00DE2569">
              <w:rPr>
                <w:rFonts w:asciiTheme="minorHAnsi" w:hAnsiTheme="minorHAnsi" w:cstheme="minorHAnsi"/>
                <w:sz w:val="18"/>
                <w:szCs w:val="18"/>
                <w:lang w:val="es-CR" w:eastAsia="es-CR"/>
              </w:rPr>
              <w:t>18 000 000</w:t>
            </w:r>
          </w:p>
        </w:tc>
        <w:tc>
          <w:tcPr>
            <w:tcW w:w="1276" w:type="dxa"/>
            <w:tcBorders>
              <w:top w:val="nil"/>
              <w:left w:val="nil"/>
              <w:bottom w:val="single" w:sz="4" w:space="0" w:color="auto"/>
              <w:right w:val="single" w:sz="4" w:space="0" w:color="auto"/>
            </w:tcBorders>
            <w:shd w:val="clear" w:color="auto" w:fill="auto"/>
            <w:noWrap/>
            <w:vAlign w:val="center"/>
            <w:hideMark/>
          </w:tcPr>
          <w:p w14:paraId="55565D33" w14:textId="77777777" w:rsidR="00DE2569" w:rsidRPr="00DE2569" w:rsidRDefault="00DE2569" w:rsidP="00DE2569">
            <w:pPr>
              <w:spacing w:line="240" w:lineRule="auto"/>
              <w:jc w:val="right"/>
              <w:rPr>
                <w:rFonts w:asciiTheme="minorHAnsi" w:hAnsiTheme="minorHAnsi" w:cstheme="minorHAnsi"/>
                <w:sz w:val="18"/>
                <w:szCs w:val="18"/>
                <w:lang w:val="es-CR" w:eastAsia="es-CR"/>
              </w:rPr>
            </w:pPr>
            <w:r w:rsidRPr="00DE2569">
              <w:rPr>
                <w:rFonts w:asciiTheme="minorHAnsi" w:hAnsiTheme="minorHAnsi" w:cstheme="minorHAnsi"/>
                <w:sz w:val="18"/>
                <w:szCs w:val="18"/>
                <w:lang w:val="es-CR" w:eastAsia="es-CR"/>
              </w:rPr>
              <w:t>12 829 001</w:t>
            </w:r>
          </w:p>
        </w:tc>
        <w:tc>
          <w:tcPr>
            <w:tcW w:w="897" w:type="dxa"/>
            <w:tcBorders>
              <w:top w:val="nil"/>
              <w:left w:val="nil"/>
              <w:bottom w:val="single" w:sz="4" w:space="0" w:color="auto"/>
              <w:right w:val="single" w:sz="4" w:space="0" w:color="auto"/>
            </w:tcBorders>
            <w:shd w:val="clear" w:color="auto" w:fill="auto"/>
            <w:noWrap/>
            <w:vAlign w:val="center"/>
            <w:hideMark/>
          </w:tcPr>
          <w:p w14:paraId="6D425EE4" w14:textId="77777777" w:rsidR="00DE2569" w:rsidRPr="00DE2569" w:rsidRDefault="00DE2569" w:rsidP="00DE2569">
            <w:pPr>
              <w:spacing w:line="240" w:lineRule="auto"/>
              <w:jc w:val="right"/>
              <w:rPr>
                <w:rFonts w:asciiTheme="minorHAnsi" w:hAnsiTheme="minorHAnsi" w:cstheme="minorHAnsi"/>
                <w:sz w:val="18"/>
                <w:szCs w:val="18"/>
                <w:lang w:val="es-CR" w:eastAsia="es-CR"/>
              </w:rPr>
            </w:pPr>
            <w:r w:rsidRPr="00DE2569">
              <w:rPr>
                <w:rFonts w:asciiTheme="minorHAnsi" w:hAnsiTheme="minorHAnsi" w:cstheme="minorHAnsi"/>
                <w:sz w:val="18"/>
                <w:szCs w:val="18"/>
                <w:lang w:val="es-CR" w:eastAsia="es-CR"/>
              </w:rPr>
              <w:t>0</w:t>
            </w:r>
          </w:p>
        </w:tc>
        <w:tc>
          <w:tcPr>
            <w:tcW w:w="1036" w:type="dxa"/>
            <w:tcBorders>
              <w:top w:val="nil"/>
              <w:left w:val="nil"/>
              <w:bottom w:val="single" w:sz="4" w:space="0" w:color="auto"/>
              <w:right w:val="single" w:sz="4" w:space="0" w:color="auto"/>
            </w:tcBorders>
            <w:shd w:val="clear" w:color="auto" w:fill="auto"/>
            <w:noWrap/>
            <w:vAlign w:val="center"/>
            <w:hideMark/>
          </w:tcPr>
          <w:p w14:paraId="263F4A37" w14:textId="77777777" w:rsidR="00DE2569" w:rsidRPr="00DE2569" w:rsidRDefault="00DE2569" w:rsidP="00DE2569">
            <w:pPr>
              <w:spacing w:line="240" w:lineRule="auto"/>
              <w:jc w:val="right"/>
              <w:rPr>
                <w:rFonts w:asciiTheme="minorHAnsi" w:hAnsiTheme="minorHAnsi" w:cstheme="minorHAnsi"/>
                <w:sz w:val="18"/>
                <w:szCs w:val="18"/>
                <w:lang w:val="es-CR" w:eastAsia="es-CR"/>
              </w:rPr>
            </w:pPr>
            <w:r w:rsidRPr="00DE2569">
              <w:rPr>
                <w:rFonts w:asciiTheme="minorHAnsi" w:hAnsiTheme="minorHAnsi" w:cstheme="minorHAnsi"/>
                <w:sz w:val="18"/>
                <w:szCs w:val="18"/>
                <w:lang w:val="es-CR" w:eastAsia="es-CR"/>
              </w:rPr>
              <w:t>5 170 999</w:t>
            </w:r>
          </w:p>
        </w:tc>
        <w:tc>
          <w:tcPr>
            <w:tcW w:w="1090" w:type="dxa"/>
            <w:tcBorders>
              <w:top w:val="nil"/>
              <w:left w:val="nil"/>
              <w:bottom w:val="single" w:sz="4" w:space="0" w:color="auto"/>
              <w:right w:val="single" w:sz="4" w:space="0" w:color="auto"/>
            </w:tcBorders>
            <w:shd w:val="clear" w:color="auto" w:fill="auto"/>
            <w:noWrap/>
            <w:vAlign w:val="center"/>
            <w:hideMark/>
          </w:tcPr>
          <w:p w14:paraId="650EDD58" w14:textId="77777777" w:rsidR="00DE2569" w:rsidRPr="00DE2569" w:rsidRDefault="00DE2569" w:rsidP="00DE2569">
            <w:pPr>
              <w:spacing w:line="240" w:lineRule="auto"/>
              <w:jc w:val="center"/>
              <w:rPr>
                <w:rFonts w:asciiTheme="minorHAnsi" w:hAnsiTheme="minorHAnsi" w:cstheme="minorHAnsi"/>
                <w:sz w:val="18"/>
                <w:szCs w:val="18"/>
                <w:lang w:val="es-CR" w:eastAsia="es-CR"/>
              </w:rPr>
            </w:pPr>
            <w:r w:rsidRPr="00DE2569">
              <w:rPr>
                <w:rFonts w:asciiTheme="minorHAnsi" w:hAnsiTheme="minorHAnsi" w:cstheme="minorHAnsi"/>
                <w:sz w:val="18"/>
                <w:szCs w:val="18"/>
                <w:lang w:val="es-CR" w:eastAsia="es-CR"/>
              </w:rPr>
              <w:t>71%</w:t>
            </w:r>
          </w:p>
        </w:tc>
      </w:tr>
      <w:tr w:rsidR="008A7838" w:rsidRPr="00DE2569" w14:paraId="4961F9A3" w14:textId="77777777" w:rsidTr="008A7838">
        <w:trPr>
          <w:trHeight w:val="26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A2F8E4F" w14:textId="77777777" w:rsidR="00DE2569" w:rsidRPr="00DE2569" w:rsidRDefault="00DE2569" w:rsidP="00DE2569">
            <w:pPr>
              <w:spacing w:line="240" w:lineRule="auto"/>
              <w:jc w:val="center"/>
              <w:rPr>
                <w:rFonts w:asciiTheme="minorHAnsi" w:hAnsiTheme="minorHAnsi" w:cstheme="minorHAnsi"/>
                <w:sz w:val="18"/>
                <w:szCs w:val="18"/>
                <w:lang w:val="es-CR" w:eastAsia="es-CR"/>
              </w:rPr>
            </w:pPr>
            <w:r w:rsidRPr="00DE2569">
              <w:rPr>
                <w:rFonts w:asciiTheme="minorHAnsi" w:hAnsiTheme="minorHAnsi" w:cstheme="minorHAnsi"/>
                <w:sz w:val="18"/>
                <w:szCs w:val="18"/>
                <w:lang w:val="es-CR" w:eastAsia="es-CR"/>
              </w:rPr>
              <w:t>6.06.01</w:t>
            </w:r>
          </w:p>
        </w:tc>
        <w:tc>
          <w:tcPr>
            <w:tcW w:w="945" w:type="dxa"/>
            <w:tcBorders>
              <w:top w:val="nil"/>
              <w:left w:val="nil"/>
              <w:bottom w:val="single" w:sz="4" w:space="0" w:color="auto"/>
              <w:right w:val="single" w:sz="4" w:space="0" w:color="auto"/>
            </w:tcBorders>
            <w:shd w:val="clear" w:color="auto" w:fill="auto"/>
            <w:noWrap/>
            <w:vAlign w:val="center"/>
            <w:hideMark/>
          </w:tcPr>
          <w:p w14:paraId="5D731FA6" w14:textId="77777777" w:rsidR="00DE2569" w:rsidRPr="00DE2569" w:rsidRDefault="00DE2569" w:rsidP="00DE2569">
            <w:pPr>
              <w:spacing w:line="240" w:lineRule="auto"/>
              <w:jc w:val="center"/>
              <w:rPr>
                <w:rFonts w:asciiTheme="minorHAnsi" w:hAnsiTheme="minorHAnsi" w:cstheme="minorHAnsi"/>
                <w:sz w:val="18"/>
                <w:szCs w:val="18"/>
                <w:lang w:val="es-CR" w:eastAsia="es-CR"/>
              </w:rPr>
            </w:pPr>
            <w:r w:rsidRPr="00DE2569">
              <w:rPr>
                <w:rFonts w:asciiTheme="minorHAnsi" w:hAnsiTheme="minorHAnsi" w:cstheme="minorHAnsi"/>
                <w:sz w:val="18"/>
                <w:szCs w:val="18"/>
                <w:lang w:val="es-CR" w:eastAsia="es-CR"/>
              </w:rPr>
              <w:t>1.3.2</w:t>
            </w:r>
          </w:p>
        </w:tc>
        <w:tc>
          <w:tcPr>
            <w:tcW w:w="2410" w:type="dxa"/>
            <w:tcBorders>
              <w:top w:val="nil"/>
              <w:left w:val="nil"/>
              <w:bottom w:val="single" w:sz="4" w:space="0" w:color="auto"/>
              <w:right w:val="single" w:sz="4" w:space="0" w:color="auto"/>
            </w:tcBorders>
            <w:shd w:val="clear" w:color="auto" w:fill="auto"/>
            <w:noWrap/>
            <w:vAlign w:val="center"/>
            <w:hideMark/>
          </w:tcPr>
          <w:p w14:paraId="249210ED" w14:textId="77777777" w:rsidR="00DE2569" w:rsidRPr="00DE2569" w:rsidRDefault="00DE2569" w:rsidP="00DE2569">
            <w:pPr>
              <w:spacing w:line="240" w:lineRule="auto"/>
              <w:jc w:val="left"/>
              <w:rPr>
                <w:rFonts w:asciiTheme="minorHAnsi" w:hAnsiTheme="minorHAnsi" w:cstheme="minorHAnsi"/>
                <w:sz w:val="18"/>
                <w:szCs w:val="18"/>
                <w:lang w:val="es-CR" w:eastAsia="es-CR"/>
              </w:rPr>
            </w:pPr>
            <w:r w:rsidRPr="00DE2569">
              <w:rPr>
                <w:rFonts w:asciiTheme="minorHAnsi" w:hAnsiTheme="minorHAnsi" w:cstheme="minorHAnsi"/>
                <w:sz w:val="18"/>
                <w:szCs w:val="18"/>
                <w:lang w:val="es-CR" w:eastAsia="es-CR"/>
              </w:rPr>
              <w:t>Indemnizaciones</w:t>
            </w:r>
          </w:p>
        </w:tc>
        <w:tc>
          <w:tcPr>
            <w:tcW w:w="1276" w:type="dxa"/>
            <w:tcBorders>
              <w:top w:val="nil"/>
              <w:left w:val="nil"/>
              <w:bottom w:val="single" w:sz="4" w:space="0" w:color="auto"/>
              <w:right w:val="single" w:sz="4" w:space="0" w:color="auto"/>
            </w:tcBorders>
            <w:shd w:val="clear" w:color="auto" w:fill="auto"/>
            <w:noWrap/>
            <w:vAlign w:val="center"/>
            <w:hideMark/>
          </w:tcPr>
          <w:p w14:paraId="12A023F9" w14:textId="77777777" w:rsidR="00DE2569" w:rsidRPr="00DE2569" w:rsidRDefault="00DE2569" w:rsidP="00DE2569">
            <w:pPr>
              <w:spacing w:line="240" w:lineRule="auto"/>
              <w:jc w:val="right"/>
              <w:rPr>
                <w:rFonts w:asciiTheme="minorHAnsi" w:hAnsiTheme="minorHAnsi" w:cstheme="minorHAnsi"/>
                <w:sz w:val="18"/>
                <w:szCs w:val="18"/>
                <w:lang w:val="es-CR" w:eastAsia="es-CR"/>
              </w:rPr>
            </w:pPr>
            <w:r w:rsidRPr="00DE2569">
              <w:rPr>
                <w:rFonts w:asciiTheme="minorHAnsi" w:hAnsiTheme="minorHAnsi" w:cstheme="minorHAnsi"/>
                <w:sz w:val="18"/>
                <w:szCs w:val="18"/>
                <w:lang w:val="es-CR" w:eastAsia="es-CR"/>
              </w:rPr>
              <w:t>44 000 000</w:t>
            </w:r>
          </w:p>
        </w:tc>
        <w:tc>
          <w:tcPr>
            <w:tcW w:w="1276" w:type="dxa"/>
            <w:tcBorders>
              <w:top w:val="nil"/>
              <w:left w:val="nil"/>
              <w:bottom w:val="single" w:sz="4" w:space="0" w:color="auto"/>
              <w:right w:val="single" w:sz="4" w:space="0" w:color="auto"/>
            </w:tcBorders>
            <w:shd w:val="clear" w:color="auto" w:fill="auto"/>
            <w:noWrap/>
            <w:vAlign w:val="center"/>
            <w:hideMark/>
          </w:tcPr>
          <w:p w14:paraId="2490D310" w14:textId="77777777" w:rsidR="00DE2569" w:rsidRPr="00DE2569" w:rsidRDefault="00DE2569" w:rsidP="00DE2569">
            <w:pPr>
              <w:spacing w:line="240" w:lineRule="auto"/>
              <w:jc w:val="right"/>
              <w:rPr>
                <w:rFonts w:asciiTheme="minorHAnsi" w:hAnsiTheme="minorHAnsi" w:cstheme="minorHAnsi"/>
                <w:sz w:val="18"/>
                <w:szCs w:val="18"/>
                <w:lang w:val="es-CR" w:eastAsia="es-CR"/>
              </w:rPr>
            </w:pPr>
            <w:r w:rsidRPr="00DE2569">
              <w:rPr>
                <w:rFonts w:asciiTheme="minorHAnsi" w:hAnsiTheme="minorHAnsi" w:cstheme="minorHAnsi"/>
                <w:sz w:val="18"/>
                <w:szCs w:val="18"/>
                <w:lang w:val="es-CR" w:eastAsia="es-CR"/>
              </w:rPr>
              <w:t>0</w:t>
            </w:r>
          </w:p>
        </w:tc>
        <w:tc>
          <w:tcPr>
            <w:tcW w:w="897" w:type="dxa"/>
            <w:tcBorders>
              <w:top w:val="nil"/>
              <w:left w:val="nil"/>
              <w:bottom w:val="single" w:sz="4" w:space="0" w:color="auto"/>
              <w:right w:val="single" w:sz="4" w:space="0" w:color="auto"/>
            </w:tcBorders>
            <w:shd w:val="clear" w:color="auto" w:fill="auto"/>
            <w:noWrap/>
            <w:vAlign w:val="center"/>
            <w:hideMark/>
          </w:tcPr>
          <w:p w14:paraId="62FDCADA" w14:textId="77777777" w:rsidR="00DE2569" w:rsidRPr="00DE2569" w:rsidRDefault="00DE2569" w:rsidP="00DE2569">
            <w:pPr>
              <w:spacing w:line="240" w:lineRule="auto"/>
              <w:jc w:val="right"/>
              <w:rPr>
                <w:rFonts w:asciiTheme="minorHAnsi" w:hAnsiTheme="minorHAnsi" w:cstheme="minorHAnsi"/>
                <w:sz w:val="18"/>
                <w:szCs w:val="18"/>
                <w:lang w:val="es-CR" w:eastAsia="es-CR"/>
              </w:rPr>
            </w:pPr>
            <w:r w:rsidRPr="00DE2569">
              <w:rPr>
                <w:rFonts w:asciiTheme="minorHAnsi" w:hAnsiTheme="minorHAnsi" w:cstheme="minorHAnsi"/>
                <w:sz w:val="18"/>
                <w:szCs w:val="18"/>
                <w:lang w:val="es-CR" w:eastAsia="es-CR"/>
              </w:rPr>
              <w:t>0</w:t>
            </w:r>
          </w:p>
        </w:tc>
        <w:tc>
          <w:tcPr>
            <w:tcW w:w="1036" w:type="dxa"/>
            <w:tcBorders>
              <w:top w:val="nil"/>
              <w:left w:val="nil"/>
              <w:bottom w:val="single" w:sz="4" w:space="0" w:color="auto"/>
              <w:right w:val="single" w:sz="4" w:space="0" w:color="auto"/>
            </w:tcBorders>
            <w:shd w:val="clear" w:color="auto" w:fill="auto"/>
            <w:noWrap/>
            <w:vAlign w:val="center"/>
            <w:hideMark/>
          </w:tcPr>
          <w:p w14:paraId="3D5BF652" w14:textId="77777777" w:rsidR="00DE2569" w:rsidRPr="00DE2569" w:rsidRDefault="00DE2569" w:rsidP="00DE2569">
            <w:pPr>
              <w:spacing w:line="240" w:lineRule="auto"/>
              <w:jc w:val="right"/>
              <w:rPr>
                <w:rFonts w:asciiTheme="minorHAnsi" w:hAnsiTheme="minorHAnsi" w:cstheme="minorHAnsi"/>
                <w:sz w:val="18"/>
                <w:szCs w:val="18"/>
                <w:lang w:val="es-CR" w:eastAsia="es-CR"/>
              </w:rPr>
            </w:pPr>
            <w:r w:rsidRPr="00DE2569">
              <w:rPr>
                <w:rFonts w:asciiTheme="minorHAnsi" w:hAnsiTheme="minorHAnsi" w:cstheme="minorHAnsi"/>
                <w:sz w:val="18"/>
                <w:szCs w:val="18"/>
                <w:lang w:val="es-CR" w:eastAsia="es-CR"/>
              </w:rPr>
              <w:t>44 000 000</w:t>
            </w:r>
          </w:p>
        </w:tc>
        <w:tc>
          <w:tcPr>
            <w:tcW w:w="1090" w:type="dxa"/>
            <w:tcBorders>
              <w:top w:val="nil"/>
              <w:left w:val="nil"/>
              <w:bottom w:val="single" w:sz="4" w:space="0" w:color="auto"/>
              <w:right w:val="single" w:sz="4" w:space="0" w:color="auto"/>
            </w:tcBorders>
            <w:shd w:val="clear" w:color="auto" w:fill="auto"/>
            <w:noWrap/>
            <w:vAlign w:val="center"/>
            <w:hideMark/>
          </w:tcPr>
          <w:p w14:paraId="0C057B90" w14:textId="77777777" w:rsidR="00DE2569" w:rsidRPr="00DE2569" w:rsidRDefault="00DE2569" w:rsidP="00DE2569">
            <w:pPr>
              <w:spacing w:line="240" w:lineRule="auto"/>
              <w:jc w:val="center"/>
              <w:rPr>
                <w:rFonts w:asciiTheme="minorHAnsi" w:hAnsiTheme="minorHAnsi" w:cstheme="minorHAnsi"/>
                <w:sz w:val="18"/>
                <w:szCs w:val="18"/>
                <w:lang w:val="es-CR" w:eastAsia="es-CR"/>
              </w:rPr>
            </w:pPr>
            <w:r w:rsidRPr="00DE2569">
              <w:rPr>
                <w:rFonts w:asciiTheme="minorHAnsi" w:hAnsiTheme="minorHAnsi" w:cstheme="minorHAnsi"/>
                <w:sz w:val="18"/>
                <w:szCs w:val="18"/>
                <w:lang w:val="es-CR" w:eastAsia="es-CR"/>
              </w:rPr>
              <w:t>0%</w:t>
            </w:r>
          </w:p>
        </w:tc>
      </w:tr>
      <w:tr w:rsidR="008A7838" w:rsidRPr="00DE2569" w14:paraId="2C4A1F73" w14:textId="77777777" w:rsidTr="008A7838">
        <w:trPr>
          <w:trHeight w:val="26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EB2B024" w14:textId="77777777" w:rsidR="00DE2569" w:rsidRPr="00DE2569" w:rsidRDefault="00DE2569" w:rsidP="00DE2569">
            <w:pPr>
              <w:spacing w:line="240" w:lineRule="auto"/>
              <w:jc w:val="center"/>
              <w:rPr>
                <w:rFonts w:asciiTheme="minorHAnsi" w:hAnsiTheme="minorHAnsi" w:cstheme="minorHAnsi"/>
                <w:sz w:val="18"/>
                <w:szCs w:val="18"/>
                <w:lang w:val="es-CR" w:eastAsia="es-CR"/>
              </w:rPr>
            </w:pPr>
            <w:r w:rsidRPr="00DE2569">
              <w:rPr>
                <w:rFonts w:asciiTheme="minorHAnsi" w:hAnsiTheme="minorHAnsi" w:cstheme="minorHAnsi"/>
                <w:sz w:val="18"/>
                <w:szCs w:val="18"/>
                <w:lang w:val="es-CR" w:eastAsia="es-CR"/>
              </w:rPr>
              <w:t>6.07.01</w:t>
            </w:r>
          </w:p>
        </w:tc>
        <w:tc>
          <w:tcPr>
            <w:tcW w:w="945" w:type="dxa"/>
            <w:tcBorders>
              <w:top w:val="nil"/>
              <w:left w:val="nil"/>
              <w:bottom w:val="single" w:sz="4" w:space="0" w:color="auto"/>
              <w:right w:val="single" w:sz="4" w:space="0" w:color="auto"/>
            </w:tcBorders>
            <w:shd w:val="clear" w:color="auto" w:fill="auto"/>
            <w:noWrap/>
            <w:vAlign w:val="center"/>
            <w:hideMark/>
          </w:tcPr>
          <w:p w14:paraId="381C2B52" w14:textId="77777777" w:rsidR="00DE2569" w:rsidRPr="00DE2569" w:rsidRDefault="00DE2569" w:rsidP="00DE2569">
            <w:pPr>
              <w:spacing w:line="240" w:lineRule="auto"/>
              <w:jc w:val="center"/>
              <w:rPr>
                <w:rFonts w:asciiTheme="minorHAnsi" w:hAnsiTheme="minorHAnsi" w:cstheme="minorHAnsi"/>
                <w:sz w:val="18"/>
                <w:szCs w:val="18"/>
                <w:lang w:val="es-CR" w:eastAsia="es-CR"/>
              </w:rPr>
            </w:pPr>
            <w:r w:rsidRPr="00DE2569">
              <w:rPr>
                <w:rFonts w:asciiTheme="minorHAnsi" w:hAnsiTheme="minorHAnsi" w:cstheme="minorHAnsi"/>
                <w:sz w:val="18"/>
                <w:szCs w:val="18"/>
                <w:lang w:val="es-CR" w:eastAsia="es-CR"/>
              </w:rPr>
              <w:t>1.3.3</w:t>
            </w:r>
          </w:p>
        </w:tc>
        <w:tc>
          <w:tcPr>
            <w:tcW w:w="2410" w:type="dxa"/>
            <w:tcBorders>
              <w:top w:val="nil"/>
              <w:left w:val="nil"/>
              <w:bottom w:val="single" w:sz="4" w:space="0" w:color="auto"/>
              <w:right w:val="single" w:sz="4" w:space="0" w:color="auto"/>
            </w:tcBorders>
            <w:shd w:val="clear" w:color="auto" w:fill="auto"/>
            <w:noWrap/>
            <w:vAlign w:val="center"/>
            <w:hideMark/>
          </w:tcPr>
          <w:p w14:paraId="2BB6C541" w14:textId="77777777" w:rsidR="00DE2569" w:rsidRPr="00DE2569" w:rsidRDefault="00DE2569" w:rsidP="00DE2569">
            <w:pPr>
              <w:spacing w:line="240" w:lineRule="auto"/>
              <w:jc w:val="left"/>
              <w:rPr>
                <w:rFonts w:asciiTheme="minorHAnsi" w:hAnsiTheme="minorHAnsi" w:cstheme="minorHAnsi"/>
                <w:sz w:val="18"/>
                <w:szCs w:val="18"/>
                <w:lang w:val="es-CR" w:eastAsia="es-CR"/>
              </w:rPr>
            </w:pPr>
            <w:r w:rsidRPr="00DE2569">
              <w:rPr>
                <w:rFonts w:asciiTheme="minorHAnsi" w:hAnsiTheme="minorHAnsi" w:cstheme="minorHAnsi"/>
                <w:sz w:val="18"/>
                <w:szCs w:val="18"/>
                <w:lang w:val="es-CR" w:eastAsia="es-CR"/>
              </w:rPr>
              <w:t>Cuotas a Organismos Internacionales</w:t>
            </w:r>
          </w:p>
        </w:tc>
        <w:tc>
          <w:tcPr>
            <w:tcW w:w="1276" w:type="dxa"/>
            <w:tcBorders>
              <w:top w:val="nil"/>
              <w:left w:val="nil"/>
              <w:bottom w:val="single" w:sz="4" w:space="0" w:color="auto"/>
              <w:right w:val="single" w:sz="4" w:space="0" w:color="auto"/>
            </w:tcBorders>
            <w:shd w:val="clear" w:color="auto" w:fill="auto"/>
            <w:noWrap/>
            <w:vAlign w:val="center"/>
            <w:hideMark/>
          </w:tcPr>
          <w:p w14:paraId="1DBA07A3" w14:textId="77777777" w:rsidR="00DE2569" w:rsidRPr="00DE2569" w:rsidRDefault="00DE2569" w:rsidP="00DE2569">
            <w:pPr>
              <w:spacing w:line="240" w:lineRule="auto"/>
              <w:jc w:val="right"/>
              <w:rPr>
                <w:rFonts w:asciiTheme="minorHAnsi" w:hAnsiTheme="minorHAnsi" w:cstheme="minorHAnsi"/>
                <w:sz w:val="18"/>
                <w:szCs w:val="18"/>
                <w:lang w:val="es-CR" w:eastAsia="es-CR"/>
              </w:rPr>
            </w:pPr>
            <w:r w:rsidRPr="00DE2569">
              <w:rPr>
                <w:rFonts w:asciiTheme="minorHAnsi" w:hAnsiTheme="minorHAnsi" w:cstheme="minorHAnsi"/>
                <w:sz w:val="18"/>
                <w:szCs w:val="18"/>
                <w:lang w:val="es-CR" w:eastAsia="es-CR"/>
              </w:rPr>
              <w:t>21 815 400</w:t>
            </w:r>
          </w:p>
        </w:tc>
        <w:tc>
          <w:tcPr>
            <w:tcW w:w="1276" w:type="dxa"/>
            <w:tcBorders>
              <w:top w:val="nil"/>
              <w:left w:val="nil"/>
              <w:bottom w:val="single" w:sz="4" w:space="0" w:color="auto"/>
              <w:right w:val="single" w:sz="4" w:space="0" w:color="auto"/>
            </w:tcBorders>
            <w:shd w:val="clear" w:color="auto" w:fill="auto"/>
            <w:noWrap/>
            <w:vAlign w:val="center"/>
            <w:hideMark/>
          </w:tcPr>
          <w:p w14:paraId="04C3B476" w14:textId="77777777" w:rsidR="00DE2569" w:rsidRPr="00DE2569" w:rsidRDefault="00DE2569" w:rsidP="00DE2569">
            <w:pPr>
              <w:spacing w:line="240" w:lineRule="auto"/>
              <w:jc w:val="right"/>
              <w:rPr>
                <w:rFonts w:asciiTheme="minorHAnsi" w:hAnsiTheme="minorHAnsi" w:cstheme="minorHAnsi"/>
                <w:sz w:val="18"/>
                <w:szCs w:val="18"/>
                <w:lang w:val="es-CR" w:eastAsia="es-CR"/>
              </w:rPr>
            </w:pPr>
            <w:r w:rsidRPr="00DE2569">
              <w:rPr>
                <w:rFonts w:asciiTheme="minorHAnsi" w:hAnsiTheme="minorHAnsi" w:cstheme="minorHAnsi"/>
                <w:sz w:val="18"/>
                <w:szCs w:val="18"/>
                <w:lang w:val="es-CR" w:eastAsia="es-CR"/>
              </w:rPr>
              <w:t>19 321 310</w:t>
            </w:r>
          </w:p>
        </w:tc>
        <w:tc>
          <w:tcPr>
            <w:tcW w:w="897" w:type="dxa"/>
            <w:tcBorders>
              <w:top w:val="nil"/>
              <w:left w:val="nil"/>
              <w:bottom w:val="single" w:sz="4" w:space="0" w:color="auto"/>
              <w:right w:val="single" w:sz="4" w:space="0" w:color="auto"/>
            </w:tcBorders>
            <w:shd w:val="clear" w:color="auto" w:fill="auto"/>
            <w:noWrap/>
            <w:vAlign w:val="center"/>
            <w:hideMark/>
          </w:tcPr>
          <w:p w14:paraId="62EEC7D7" w14:textId="77777777" w:rsidR="00DE2569" w:rsidRPr="00DE2569" w:rsidRDefault="00DE2569" w:rsidP="00DE2569">
            <w:pPr>
              <w:spacing w:line="240" w:lineRule="auto"/>
              <w:jc w:val="right"/>
              <w:rPr>
                <w:rFonts w:asciiTheme="minorHAnsi" w:hAnsiTheme="minorHAnsi" w:cstheme="minorHAnsi"/>
                <w:sz w:val="18"/>
                <w:szCs w:val="18"/>
                <w:lang w:val="es-CR" w:eastAsia="es-CR"/>
              </w:rPr>
            </w:pPr>
            <w:r w:rsidRPr="00DE2569">
              <w:rPr>
                <w:rFonts w:asciiTheme="minorHAnsi" w:hAnsiTheme="minorHAnsi" w:cstheme="minorHAnsi"/>
                <w:sz w:val="18"/>
                <w:szCs w:val="18"/>
                <w:lang w:val="es-CR" w:eastAsia="es-CR"/>
              </w:rPr>
              <w:t>0</w:t>
            </w:r>
          </w:p>
        </w:tc>
        <w:tc>
          <w:tcPr>
            <w:tcW w:w="1036" w:type="dxa"/>
            <w:tcBorders>
              <w:top w:val="nil"/>
              <w:left w:val="nil"/>
              <w:bottom w:val="single" w:sz="4" w:space="0" w:color="auto"/>
              <w:right w:val="single" w:sz="4" w:space="0" w:color="auto"/>
            </w:tcBorders>
            <w:shd w:val="clear" w:color="auto" w:fill="auto"/>
            <w:noWrap/>
            <w:vAlign w:val="center"/>
            <w:hideMark/>
          </w:tcPr>
          <w:p w14:paraId="7D756D0D" w14:textId="77777777" w:rsidR="00DE2569" w:rsidRPr="00DE2569" w:rsidRDefault="00DE2569" w:rsidP="00DE2569">
            <w:pPr>
              <w:spacing w:line="240" w:lineRule="auto"/>
              <w:jc w:val="right"/>
              <w:rPr>
                <w:rFonts w:asciiTheme="minorHAnsi" w:hAnsiTheme="minorHAnsi" w:cstheme="minorHAnsi"/>
                <w:sz w:val="18"/>
                <w:szCs w:val="18"/>
                <w:lang w:val="es-CR" w:eastAsia="es-CR"/>
              </w:rPr>
            </w:pPr>
            <w:r w:rsidRPr="00DE2569">
              <w:rPr>
                <w:rFonts w:asciiTheme="minorHAnsi" w:hAnsiTheme="minorHAnsi" w:cstheme="minorHAnsi"/>
                <w:sz w:val="18"/>
                <w:szCs w:val="18"/>
                <w:lang w:val="es-CR" w:eastAsia="es-CR"/>
              </w:rPr>
              <w:t>2 494 090</w:t>
            </w:r>
          </w:p>
        </w:tc>
        <w:tc>
          <w:tcPr>
            <w:tcW w:w="1090" w:type="dxa"/>
            <w:tcBorders>
              <w:top w:val="nil"/>
              <w:left w:val="nil"/>
              <w:bottom w:val="single" w:sz="4" w:space="0" w:color="auto"/>
              <w:right w:val="single" w:sz="4" w:space="0" w:color="auto"/>
            </w:tcBorders>
            <w:shd w:val="clear" w:color="auto" w:fill="auto"/>
            <w:noWrap/>
            <w:vAlign w:val="center"/>
            <w:hideMark/>
          </w:tcPr>
          <w:p w14:paraId="1CE585C9" w14:textId="77777777" w:rsidR="00DE2569" w:rsidRPr="00DE2569" w:rsidRDefault="00DE2569" w:rsidP="00DE2569">
            <w:pPr>
              <w:spacing w:line="240" w:lineRule="auto"/>
              <w:jc w:val="center"/>
              <w:rPr>
                <w:rFonts w:asciiTheme="minorHAnsi" w:hAnsiTheme="minorHAnsi" w:cstheme="minorHAnsi"/>
                <w:sz w:val="18"/>
                <w:szCs w:val="18"/>
                <w:lang w:val="es-CR" w:eastAsia="es-CR"/>
              </w:rPr>
            </w:pPr>
            <w:r w:rsidRPr="00DE2569">
              <w:rPr>
                <w:rFonts w:asciiTheme="minorHAnsi" w:hAnsiTheme="minorHAnsi" w:cstheme="minorHAnsi"/>
                <w:sz w:val="18"/>
                <w:szCs w:val="18"/>
                <w:lang w:val="es-CR" w:eastAsia="es-CR"/>
              </w:rPr>
              <w:t>89%</w:t>
            </w:r>
          </w:p>
        </w:tc>
      </w:tr>
      <w:tr w:rsidR="00DE2569" w:rsidRPr="00DE2569" w14:paraId="2FBCF004" w14:textId="77777777" w:rsidTr="008A7838">
        <w:trPr>
          <w:trHeight w:val="440"/>
        </w:trPr>
        <w:tc>
          <w:tcPr>
            <w:tcW w:w="704" w:type="dxa"/>
            <w:tcBorders>
              <w:top w:val="nil"/>
              <w:left w:val="nil"/>
              <w:bottom w:val="single" w:sz="8" w:space="0" w:color="2F75B5"/>
              <w:right w:val="nil"/>
            </w:tcBorders>
            <w:shd w:val="clear" w:color="DDEBF7" w:fill="DDEBF7"/>
            <w:noWrap/>
            <w:vAlign w:val="center"/>
            <w:hideMark/>
          </w:tcPr>
          <w:p w14:paraId="32A557CB" w14:textId="519BEFB5" w:rsidR="00DE2569" w:rsidRPr="00DE2569" w:rsidRDefault="00DE2569" w:rsidP="00DE2569">
            <w:pPr>
              <w:spacing w:line="240" w:lineRule="auto"/>
              <w:ind w:right="6"/>
              <w:jc w:val="center"/>
              <w:rPr>
                <w:rFonts w:asciiTheme="minorHAnsi" w:hAnsiTheme="minorHAnsi" w:cstheme="minorHAnsi"/>
                <w:b/>
                <w:bCs/>
                <w:color w:val="000000"/>
                <w:sz w:val="18"/>
                <w:szCs w:val="18"/>
                <w:lang w:val="es-CR" w:eastAsia="es-CR"/>
              </w:rPr>
            </w:pPr>
            <w:r w:rsidRPr="00DE2569">
              <w:rPr>
                <w:rFonts w:asciiTheme="minorHAnsi" w:hAnsiTheme="minorHAnsi" w:cstheme="minorHAnsi"/>
                <w:b/>
                <w:bCs/>
                <w:color w:val="000000"/>
                <w:sz w:val="18"/>
                <w:szCs w:val="18"/>
                <w:lang w:val="es-CR" w:eastAsia="es-CR"/>
              </w:rPr>
              <w:t xml:space="preserve">Total </w:t>
            </w:r>
          </w:p>
        </w:tc>
        <w:tc>
          <w:tcPr>
            <w:tcW w:w="945" w:type="dxa"/>
            <w:tcBorders>
              <w:top w:val="nil"/>
              <w:left w:val="nil"/>
              <w:bottom w:val="single" w:sz="8" w:space="0" w:color="2F75B5"/>
              <w:right w:val="nil"/>
            </w:tcBorders>
            <w:shd w:val="clear" w:color="DDEBF7" w:fill="DDEBF7"/>
            <w:noWrap/>
            <w:vAlign w:val="center"/>
            <w:hideMark/>
          </w:tcPr>
          <w:p w14:paraId="0C25D87F" w14:textId="77777777" w:rsidR="00DE2569" w:rsidRPr="00DE2569" w:rsidRDefault="00DE2569" w:rsidP="00DE2569">
            <w:pPr>
              <w:spacing w:line="240" w:lineRule="auto"/>
              <w:jc w:val="center"/>
              <w:rPr>
                <w:rFonts w:asciiTheme="minorHAnsi" w:hAnsiTheme="minorHAnsi" w:cstheme="minorHAnsi"/>
                <w:b/>
                <w:bCs/>
                <w:color w:val="000000"/>
                <w:sz w:val="18"/>
                <w:szCs w:val="18"/>
                <w:lang w:val="es-CR" w:eastAsia="es-CR"/>
              </w:rPr>
            </w:pPr>
            <w:r w:rsidRPr="00DE2569">
              <w:rPr>
                <w:rFonts w:asciiTheme="minorHAnsi" w:hAnsiTheme="minorHAnsi" w:cstheme="minorHAnsi"/>
                <w:b/>
                <w:bCs/>
                <w:color w:val="000000"/>
                <w:sz w:val="18"/>
                <w:szCs w:val="18"/>
                <w:lang w:val="es-CR" w:eastAsia="es-CR"/>
              </w:rPr>
              <w:t> </w:t>
            </w:r>
          </w:p>
        </w:tc>
        <w:tc>
          <w:tcPr>
            <w:tcW w:w="2410" w:type="dxa"/>
            <w:tcBorders>
              <w:top w:val="nil"/>
              <w:left w:val="nil"/>
              <w:bottom w:val="single" w:sz="8" w:space="0" w:color="2F75B5"/>
              <w:right w:val="nil"/>
            </w:tcBorders>
            <w:shd w:val="clear" w:color="DDEBF7" w:fill="DDEBF7"/>
            <w:noWrap/>
            <w:vAlign w:val="center"/>
            <w:hideMark/>
          </w:tcPr>
          <w:p w14:paraId="22EF3A22" w14:textId="77777777" w:rsidR="00DE2569" w:rsidRPr="00DE2569" w:rsidRDefault="00DE2569" w:rsidP="00DE2569">
            <w:pPr>
              <w:spacing w:line="240" w:lineRule="auto"/>
              <w:jc w:val="center"/>
              <w:rPr>
                <w:rFonts w:asciiTheme="minorHAnsi" w:hAnsiTheme="minorHAnsi" w:cstheme="minorHAnsi"/>
                <w:b/>
                <w:bCs/>
                <w:color w:val="000000"/>
                <w:sz w:val="18"/>
                <w:szCs w:val="18"/>
                <w:lang w:val="es-CR" w:eastAsia="es-CR"/>
              </w:rPr>
            </w:pPr>
            <w:r w:rsidRPr="00DE2569">
              <w:rPr>
                <w:rFonts w:asciiTheme="minorHAnsi" w:hAnsiTheme="minorHAnsi" w:cstheme="minorHAnsi"/>
                <w:b/>
                <w:bCs/>
                <w:color w:val="000000"/>
                <w:sz w:val="18"/>
                <w:szCs w:val="18"/>
                <w:lang w:val="es-CR" w:eastAsia="es-CR"/>
              </w:rPr>
              <w:t> </w:t>
            </w:r>
          </w:p>
        </w:tc>
        <w:tc>
          <w:tcPr>
            <w:tcW w:w="1276" w:type="dxa"/>
            <w:tcBorders>
              <w:top w:val="nil"/>
              <w:left w:val="nil"/>
              <w:bottom w:val="single" w:sz="8" w:space="0" w:color="2F75B5"/>
              <w:right w:val="nil"/>
            </w:tcBorders>
            <w:shd w:val="clear" w:color="DDEBF7" w:fill="DDEBF7"/>
            <w:noWrap/>
            <w:vAlign w:val="center"/>
            <w:hideMark/>
          </w:tcPr>
          <w:p w14:paraId="4E95F475" w14:textId="77777777" w:rsidR="00DE2569" w:rsidRPr="00DE2569" w:rsidRDefault="00DE2569" w:rsidP="00DE2569">
            <w:pPr>
              <w:spacing w:line="240" w:lineRule="auto"/>
              <w:jc w:val="right"/>
              <w:rPr>
                <w:rFonts w:asciiTheme="minorHAnsi" w:hAnsiTheme="minorHAnsi" w:cstheme="minorHAnsi"/>
                <w:b/>
                <w:bCs/>
                <w:color w:val="000000"/>
                <w:sz w:val="18"/>
                <w:szCs w:val="18"/>
                <w:lang w:val="es-CR" w:eastAsia="es-CR"/>
              </w:rPr>
            </w:pPr>
            <w:r w:rsidRPr="00DE2569">
              <w:rPr>
                <w:rFonts w:asciiTheme="minorHAnsi" w:hAnsiTheme="minorHAnsi" w:cstheme="minorHAnsi"/>
                <w:b/>
                <w:bCs/>
                <w:color w:val="000000"/>
                <w:sz w:val="18"/>
                <w:szCs w:val="18"/>
                <w:lang w:val="es-CR" w:eastAsia="es-CR"/>
              </w:rPr>
              <w:t>125 315 400</w:t>
            </w:r>
          </w:p>
        </w:tc>
        <w:tc>
          <w:tcPr>
            <w:tcW w:w="1276" w:type="dxa"/>
            <w:tcBorders>
              <w:top w:val="nil"/>
              <w:left w:val="nil"/>
              <w:bottom w:val="single" w:sz="8" w:space="0" w:color="2F75B5"/>
              <w:right w:val="nil"/>
            </w:tcBorders>
            <w:shd w:val="clear" w:color="DDEBF7" w:fill="DDEBF7"/>
            <w:noWrap/>
            <w:vAlign w:val="center"/>
            <w:hideMark/>
          </w:tcPr>
          <w:p w14:paraId="69CFF8A1" w14:textId="77777777" w:rsidR="00DE2569" w:rsidRPr="00DE2569" w:rsidRDefault="00DE2569" w:rsidP="00DE2569">
            <w:pPr>
              <w:spacing w:line="240" w:lineRule="auto"/>
              <w:jc w:val="right"/>
              <w:rPr>
                <w:rFonts w:asciiTheme="minorHAnsi" w:hAnsiTheme="minorHAnsi" w:cstheme="minorHAnsi"/>
                <w:b/>
                <w:bCs/>
                <w:color w:val="000000"/>
                <w:sz w:val="18"/>
                <w:szCs w:val="18"/>
                <w:lang w:val="es-CR" w:eastAsia="es-CR"/>
              </w:rPr>
            </w:pPr>
            <w:r w:rsidRPr="00DE2569">
              <w:rPr>
                <w:rFonts w:asciiTheme="minorHAnsi" w:hAnsiTheme="minorHAnsi" w:cstheme="minorHAnsi"/>
                <w:b/>
                <w:bCs/>
                <w:color w:val="000000"/>
                <w:sz w:val="18"/>
                <w:szCs w:val="18"/>
                <w:lang w:val="es-CR" w:eastAsia="es-CR"/>
              </w:rPr>
              <w:t>53 702 772</w:t>
            </w:r>
          </w:p>
        </w:tc>
        <w:tc>
          <w:tcPr>
            <w:tcW w:w="897" w:type="dxa"/>
            <w:tcBorders>
              <w:top w:val="nil"/>
              <w:left w:val="nil"/>
              <w:bottom w:val="single" w:sz="8" w:space="0" w:color="2F75B5"/>
              <w:right w:val="nil"/>
            </w:tcBorders>
            <w:shd w:val="clear" w:color="DDEBF7" w:fill="DDEBF7"/>
            <w:noWrap/>
            <w:vAlign w:val="center"/>
            <w:hideMark/>
          </w:tcPr>
          <w:p w14:paraId="6A82274E" w14:textId="77777777" w:rsidR="00DE2569" w:rsidRPr="00DE2569" w:rsidRDefault="00DE2569" w:rsidP="00DE2569">
            <w:pPr>
              <w:spacing w:line="240" w:lineRule="auto"/>
              <w:jc w:val="right"/>
              <w:rPr>
                <w:rFonts w:asciiTheme="minorHAnsi" w:hAnsiTheme="minorHAnsi" w:cstheme="minorHAnsi"/>
                <w:b/>
                <w:bCs/>
                <w:color w:val="000000"/>
                <w:sz w:val="18"/>
                <w:szCs w:val="18"/>
                <w:lang w:val="es-CR" w:eastAsia="es-CR"/>
              </w:rPr>
            </w:pPr>
            <w:r w:rsidRPr="00DE2569">
              <w:rPr>
                <w:rFonts w:asciiTheme="minorHAnsi" w:hAnsiTheme="minorHAnsi" w:cstheme="minorHAnsi"/>
                <w:b/>
                <w:bCs/>
                <w:color w:val="000000"/>
                <w:sz w:val="18"/>
                <w:szCs w:val="18"/>
                <w:lang w:val="es-CR" w:eastAsia="es-CR"/>
              </w:rPr>
              <w:t>0</w:t>
            </w:r>
          </w:p>
        </w:tc>
        <w:tc>
          <w:tcPr>
            <w:tcW w:w="1036" w:type="dxa"/>
            <w:tcBorders>
              <w:top w:val="nil"/>
              <w:left w:val="nil"/>
              <w:bottom w:val="single" w:sz="8" w:space="0" w:color="2F75B5"/>
              <w:right w:val="nil"/>
            </w:tcBorders>
            <w:shd w:val="clear" w:color="DDEBF7" w:fill="DDEBF7"/>
            <w:noWrap/>
            <w:vAlign w:val="center"/>
            <w:hideMark/>
          </w:tcPr>
          <w:p w14:paraId="1E2ACDFB" w14:textId="77777777" w:rsidR="00DE2569" w:rsidRPr="00DE2569" w:rsidRDefault="00DE2569" w:rsidP="00DE2569">
            <w:pPr>
              <w:spacing w:line="240" w:lineRule="auto"/>
              <w:jc w:val="right"/>
              <w:rPr>
                <w:rFonts w:asciiTheme="minorHAnsi" w:hAnsiTheme="minorHAnsi" w:cstheme="minorHAnsi"/>
                <w:b/>
                <w:bCs/>
                <w:color w:val="000000"/>
                <w:sz w:val="18"/>
                <w:szCs w:val="18"/>
                <w:lang w:val="es-CR" w:eastAsia="es-CR"/>
              </w:rPr>
            </w:pPr>
            <w:r w:rsidRPr="00DE2569">
              <w:rPr>
                <w:rFonts w:asciiTheme="minorHAnsi" w:hAnsiTheme="minorHAnsi" w:cstheme="minorHAnsi"/>
                <w:b/>
                <w:bCs/>
                <w:color w:val="000000"/>
                <w:sz w:val="18"/>
                <w:szCs w:val="18"/>
                <w:lang w:val="es-CR" w:eastAsia="es-CR"/>
              </w:rPr>
              <w:t>71 612 628</w:t>
            </w:r>
          </w:p>
        </w:tc>
        <w:tc>
          <w:tcPr>
            <w:tcW w:w="1090" w:type="dxa"/>
            <w:tcBorders>
              <w:top w:val="nil"/>
              <w:left w:val="nil"/>
              <w:bottom w:val="single" w:sz="8" w:space="0" w:color="2F75B5"/>
              <w:right w:val="nil"/>
            </w:tcBorders>
            <w:shd w:val="clear" w:color="DDEBF7" w:fill="DDEBF7"/>
            <w:noWrap/>
            <w:vAlign w:val="center"/>
            <w:hideMark/>
          </w:tcPr>
          <w:p w14:paraId="6B2CC636" w14:textId="77777777" w:rsidR="00DE2569" w:rsidRPr="00DE2569" w:rsidRDefault="00DE2569" w:rsidP="00DE2569">
            <w:pPr>
              <w:spacing w:line="240" w:lineRule="auto"/>
              <w:jc w:val="center"/>
              <w:rPr>
                <w:rFonts w:asciiTheme="minorHAnsi" w:hAnsiTheme="minorHAnsi" w:cstheme="minorHAnsi"/>
                <w:b/>
                <w:bCs/>
                <w:color w:val="000000"/>
                <w:sz w:val="18"/>
                <w:szCs w:val="18"/>
                <w:lang w:val="es-CR" w:eastAsia="es-CR"/>
              </w:rPr>
            </w:pPr>
            <w:r w:rsidRPr="00DE2569">
              <w:rPr>
                <w:rFonts w:asciiTheme="minorHAnsi" w:hAnsiTheme="minorHAnsi" w:cstheme="minorHAnsi"/>
                <w:b/>
                <w:bCs/>
                <w:color w:val="000000"/>
                <w:sz w:val="18"/>
                <w:szCs w:val="18"/>
                <w:lang w:val="es-CR" w:eastAsia="es-CR"/>
              </w:rPr>
              <w:t>43%</w:t>
            </w:r>
          </w:p>
        </w:tc>
      </w:tr>
    </w:tbl>
    <w:p w14:paraId="77D838B6" w14:textId="3D048E83" w:rsidR="006C4B69" w:rsidRDefault="006C4B69" w:rsidP="00EC2995">
      <w:pPr>
        <w:spacing w:line="240" w:lineRule="auto"/>
        <w:ind w:right="51"/>
        <w:jc w:val="left"/>
        <w:rPr>
          <w:rFonts w:asciiTheme="minorHAnsi" w:hAnsiTheme="minorHAnsi" w:cstheme="minorHAnsi"/>
          <w:sz w:val="18"/>
          <w:szCs w:val="18"/>
          <w:lang w:val="es-CR"/>
        </w:rPr>
      </w:pPr>
    </w:p>
    <w:p w14:paraId="72DBFCBF" w14:textId="77777777" w:rsidR="006C4B69" w:rsidRPr="0023319B" w:rsidRDefault="006C4B69" w:rsidP="00EC2995">
      <w:pPr>
        <w:spacing w:line="240" w:lineRule="auto"/>
        <w:ind w:right="51"/>
        <w:jc w:val="left"/>
        <w:rPr>
          <w:rFonts w:asciiTheme="minorHAnsi" w:hAnsiTheme="minorHAnsi" w:cstheme="minorHAnsi"/>
          <w:sz w:val="18"/>
          <w:szCs w:val="18"/>
          <w:lang w:val="es-CR"/>
        </w:rPr>
      </w:pPr>
    </w:p>
    <w:p w14:paraId="155FCA4A" w14:textId="77777777" w:rsidR="00EC2995" w:rsidRPr="0023319B" w:rsidRDefault="00EC2995" w:rsidP="00EC2995">
      <w:pPr>
        <w:pStyle w:val="Textoindependiente"/>
        <w:numPr>
          <w:ilvl w:val="0"/>
          <w:numId w:val="0"/>
        </w:numPr>
        <w:ind w:right="51"/>
        <w:rPr>
          <w:rFonts w:asciiTheme="minorHAnsi" w:hAnsiTheme="minorHAnsi" w:cstheme="minorHAnsi"/>
          <w:sz w:val="22"/>
          <w:szCs w:val="22"/>
          <w:lang w:val="es-CR"/>
        </w:rPr>
      </w:pPr>
    </w:p>
    <w:p w14:paraId="05C48E7A" w14:textId="6BFB31FF" w:rsidR="001B652B" w:rsidRPr="0023319B" w:rsidRDefault="00225437" w:rsidP="001B652B">
      <w:pPr>
        <w:ind w:right="51"/>
        <w:rPr>
          <w:rFonts w:asciiTheme="minorHAnsi" w:hAnsiTheme="minorHAnsi" w:cstheme="minorHAnsi"/>
          <w:sz w:val="24"/>
          <w:szCs w:val="24"/>
          <w:lang w:val="es-CR"/>
        </w:rPr>
      </w:pPr>
      <w:r w:rsidRPr="0023319B">
        <w:rPr>
          <w:rFonts w:asciiTheme="minorHAnsi" w:hAnsiTheme="minorHAnsi" w:cstheme="minorHAnsi"/>
          <w:sz w:val="24"/>
          <w:szCs w:val="24"/>
          <w:lang w:val="es-CR"/>
        </w:rPr>
        <w:t xml:space="preserve">Esta cuenta representa </w:t>
      </w:r>
      <w:r w:rsidR="001B652B" w:rsidRPr="0023319B">
        <w:rPr>
          <w:rFonts w:asciiTheme="minorHAnsi" w:hAnsiTheme="minorHAnsi" w:cstheme="minorHAnsi"/>
          <w:sz w:val="24"/>
          <w:szCs w:val="24"/>
          <w:lang w:val="es-CR"/>
        </w:rPr>
        <w:t>las erogaciones que se destinan a satisfacer necesidades públicas de diversa índole, sin que exista una contraprestación de bienes, servicios o derechos a favor de quien transfiere los recursos los cuales se destinan a</w:t>
      </w:r>
      <w:r w:rsidR="00D27C57" w:rsidRPr="0023319B">
        <w:rPr>
          <w:rFonts w:asciiTheme="minorHAnsi" w:hAnsiTheme="minorHAnsi" w:cstheme="minorHAnsi"/>
          <w:sz w:val="24"/>
          <w:szCs w:val="24"/>
          <w:lang w:val="es-CR"/>
        </w:rPr>
        <w:t xml:space="preserve"> personas, entes y órganos del </w:t>
      </w:r>
      <w:r w:rsidR="008A6D39" w:rsidRPr="0023319B">
        <w:rPr>
          <w:rFonts w:asciiTheme="minorHAnsi" w:hAnsiTheme="minorHAnsi" w:cstheme="minorHAnsi"/>
          <w:sz w:val="24"/>
          <w:szCs w:val="24"/>
          <w:lang w:val="es-CR"/>
        </w:rPr>
        <w:t>s</w:t>
      </w:r>
      <w:r w:rsidR="00D27C57" w:rsidRPr="0023319B">
        <w:rPr>
          <w:rFonts w:asciiTheme="minorHAnsi" w:hAnsiTheme="minorHAnsi" w:cstheme="minorHAnsi"/>
          <w:sz w:val="24"/>
          <w:szCs w:val="24"/>
          <w:lang w:val="es-CR"/>
        </w:rPr>
        <w:t xml:space="preserve">ector </w:t>
      </w:r>
      <w:r w:rsidR="008A6D39" w:rsidRPr="0023319B">
        <w:rPr>
          <w:rFonts w:asciiTheme="minorHAnsi" w:hAnsiTheme="minorHAnsi" w:cstheme="minorHAnsi"/>
          <w:sz w:val="24"/>
          <w:szCs w:val="24"/>
          <w:lang w:val="es-CR"/>
        </w:rPr>
        <w:t>p</w:t>
      </w:r>
      <w:r w:rsidR="001B652B" w:rsidRPr="0023319B">
        <w:rPr>
          <w:rFonts w:asciiTheme="minorHAnsi" w:hAnsiTheme="minorHAnsi" w:cstheme="minorHAnsi"/>
          <w:sz w:val="24"/>
          <w:szCs w:val="24"/>
          <w:lang w:val="es-CR"/>
        </w:rPr>
        <w:t xml:space="preserve">úblico, privado y externo para financiar fundamentalmente gastos corrientes por concepto de donaciones, subsidios, subvenciones, cuotas organismos internacionales, prestaciones, pensiones, becas, indemnizaciones, reintegros o devoluciones, entre otros. </w:t>
      </w:r>
    </w:p>
    <w:p w14:paraId="7485BA08" w14:textId="27F6A214" w:rsidR="00086EB2" w:rsidRPr="0023319B" w:rsidRDefault="00086EB2" w:rsidP="00093594">
      <w:pPr>
        <w:ind w:right="51"/>
        <w:rPr>
          <w:rFonts w:asciiTheme="minorHAnsi" w:hAnsiTheme="minorHAnsi" w:cstheme="minorHAnsi"/>
          <w:sz w:val="24"/>
          <w:szCs w:val="24"/>
          <w:lang w:val="es-CR"/>
        </w:rPr>
      </w:pPr>
    </w:p>
    <w:p w14:paraId="64DC79E6" w14:textId="7B9F20CC" w:rsidR="00225437" w:rsidRPr="0023319B" w:rsidRDefault="00086EB2" w:rsidP="00093594">
      <w:pPr>
        <w:ind w:right="51"/>
        <w:rPr>
          <w:rFonts w:asciiTheme="minorHAnsi" w:hAnsiTheme="minorHAnsi" w:cstheme="minorHAnsi"/>
          <w:sz w:val="24"/>
          <w:szCs w:val="24"/>
          <w:lang w:val="es-CR"/>
        </w:rPr>
      </w:pPr>
      <w:r w:rsidRPr="0023319B">
        <w:rPr>
          <w:rFonts w:asciiTheme="minorHAnsi" w:hAnsiTheme="minorHAnsi" w:cstheme="minorHAnsi"/>
          <w:sz w:val="24"/>
          <w:szCs w:val="24"/>
          <w:lang w:val="es-CR"/>
        </w:rPr>
        <w:t xml:space="preserve">La ejecución que refleja esta </w:t>
      </w:r>
      <w:r w:rsidR="00C1178B" w:rsidRPr="0023319B">
        <w:rPr>
          <w:rFonts w:asciiTheme="minorHAnsi" w:hAnsiTheme="minorHAnsi" w:cstheme="minorHAnsi"/>
          <w:sz w:val="24"/>
          <w:szCs w:val="24"/>
          <w:lang w:val="es-CR"/>
        </w:rPr>
        <w:t>partida</w:t>
      </w:r>
      <w:r w:rsidRPr="0023319B">
        <w:rPr>
          <w:rFonts w:asciiTheme="minorHAnsi" w:hAnsiTheme="minorHAnsi" w:cstheme="minorHAnsi"/>
          <w:sz w:val="24"/>
          <w:szCs w:val="24"/>
          <w:lang w:val="es-CR"/>
        </w:rPr>
        <w:t xml:space="preserve"> al cierre del </w:t>
      </w:r>
      <w:r w:rsidR="00C74175" w:rsidRPr="0023319B">
        <w:rPr>
          <w:rFonts w:asciiTheme="minorHAnsi" w:hAnsiTheme="minorHAnsi" w:cstheme="minorHAnsi"/>
          <w:sz w:val="24"/>
          <w:szCs w:val="24"/>
          <w:lang w:val="es-CR"/>
        </w:rPr>
        <w:t>período alcanzó</w:t>
      </w:r>
      <w:r w:rsidRPr="0023319B">
        <w:rPr>
          <w:rFonts w:asciiTheme="minorHAnsi" w:hAnsiTheme="minorHAnsi" w:cstheme="minorHAnsi"/>
          <w:sz w:val="24"/>
          <w:szCs w:val="24"/>
          <w:lang w:val="es-CR"/>
        </w:rPr>
        <w:t xml:space="preserve"> el </w:t>
      </w:r>
      <w:r w:rsidR="00350B19" w:rsidRPr="0023319B">
        <w:rPr>
          <w:rFonts w:asciiTheme="minorHAnsi" w:hAnsiTheme="minorHAnsi" w:cstheme="minorHAnsi"/>
          <w:sz w:val="24"/>
          <w:szCs w:val="24"/>
          <w:lang w:val="es-CR"/>
        </w:rPr>
        <w:t>43</w:t>
      </w:r>
      <w:r w:rsidRPr="0023319B">
        <w:rPr>
          <w:rFonts w:asciiTheme="minorHAnsi" w:hAnsiTheme="minorHAnsi" w:cstheme="minorHAnsi"/>
          <w:sz w:val="24"/>
          <w:szCs w:val="24"/>
          <w:lang w:val="es-CR"/>
        </w:rPr>
        <w:t>%</w:t>
      </w:r>
      <w:r w:rsidR="000825BD" w:rsidRPr="0023319B">
        <w:rPr>
          <w:rFonts w:asciiTheme="minorHAnsi" w:hAnsiTheme="minorHAnsi" w:cstheme="minorHAnsi"/>
          <w:sz w:val="24"/>
          <w:szCs w:val="24"/>
          <w:lang w:val="es-CR"/>
        </w:rPr>
        <w:t>,</w:t>
      </w:r>
      <w:r w:rsidR="00034344" w:rsidRPr="0023319B">
        <w:rPr>
          <w:rFonts w:asciiTheme="minorHAnsi" w:hAnsiTheme="minorHAnsi" w:cstheme="minorHAnsi"/>
          <w:sz w:val="24"/>
          <w:szCs w:val="24"/>
          <w:lang w:val="es-CR"/>
        </w:rPr>
        <w:t xml:space="preserve"> equivale a</w:t>
      </w:r>
      <w:r w:rsidR="000825BD" w:rsidRPr="0023319B">
        <w:rPr>
          <w:rFonts w:asciiTheme="minorHAnsi" w:hAnsiTheme="minorHAnsi" w:cstheme="minorHAnsi"/>
          <w:sz w:val="24"/>
          <w:szCs w:val="24"/>
          <w:lang w:val="es-CR"/>
        </w:rPr>
        <w:t xml:space="preserve"> la suma de </w:t>
      </w:r>
      <w:r w:rsidR="000825BD" w:rsidRPr="0023319B">
        <w:rPr>
          <w:rFonts w:asciiTheme="minorHAnsi" w:hAnsiTheme="minorHAnsi" w:cstheme="minorHAnsi"/>
          <w:sz w:val="24"/>
          <w:szCs w:val="22"/>
          <w:lang w:val="es-CR"/>
        </w:rPr>
        <w:t>¢</w:t>
      </w:r>
      <w:r w:rsidR="000A7A36" w:rsidRPr="0023319B">
        <w:rPr>
          <w:rFonts w:asciiTheme="minorHAnsi" w:hAnsiTheme="minorHAnsi" w:cstheme="minorHAnsi"/>
          <w:sz w:val="24"/>
          <w:szCs w:val="24"/>
          <w:lang w:val="es-CR"/>
        </w:rPr>
        <w:t>53</w:t>
      </w:r>
      <w:r w:rsidR="00373EA6" w:rsidRPr="0023319B">
        <w:rPr>
          <w:rFonts w:asciiTheme="minorHAnsi" w:hAnsiTheme="minorHAnsi" w:cstheme="minorHAnsi"/>
          <w:sz w:val="24"/>
          <w:szCs w:val="24"/>
          <w:lang w:val="es-CR"/>
        </w:rPr>
        <w:t>,</w:t>
      </w:r>
      <w:r w:rsidR="000A7A36" w:rsidRPr="0023319B">
        <w:rPr>
          <w:rFonts w:asciiTheme="minorHAnsi" w:hAnsiTheme="minorHAnsi" w:cstheme="minorHAnsi"/>
          <w:sz w:val="24"/>
          <w:szCs w:val="24"/>
          <w:lang w:val="es-CR"/>
        </w:rPr>
        <w:t>7</w:t>
      </w:r>
      <w:r w:rsidR="000825BD" w:rsidRPr="0023319B">
        <w:rPr>
          <w:rFonts w:asciiTheme="minorHAnsi" w:hAnsiTheme="minorHAnsi" w:cstheme="minorHAnsi"/>
          <w:sz w:val="24"/>
          <w:szCs w:val="24"/>
          <w:lang w:val="es-CR"/>
        </w:rPr>
        <w:t xml:space="preserve"> millones</w:t>
      </w:r>
      <w:r w:rsidRPr="0023319B">
        <w:rPr>
          <w:rFonts w:asciiTheme="minorHAnsi" w:hAnsiTheme="minorHAnsi" w:cstheme="minorHAnsi"/>
          <w:sz w:val="24"/>
          <w:szCs w:val="24"/>
          <w:lang w:val="es-CR"/>
        </w:rPr>
        <w:t xml:space="preserve">. </w:t>
      </w:r>
      <w:r w:rsidR="000278E7" w:rsidRPr="0023319B">
        <w:rPr>
          <w:rFonts w:asciiTheme="minorHAnsi" w:hAnsiTheme="minorHAnsi" w:cstheme="minorHAnsi"/>
          <w:sz w:val="24"/>
          <w:szCs w:val="24"/>
          <w:lang w:val="es-CR"/>
        </w:rPr>
        <w:t xml:space="preserve">La </w:t>
      </w:r>
      <w:r w:rsidR="007B64AF" w:rsidRPr="0023319B">
        <w:rPr>
          <w:rFonts w:asciiTheme="minorHAnsi" w:hAnsiTheme="minorHAnsi" w:cstheme="minorHAnsi"/>
          <w:sz w:val="24"/>
          <w:szCs w:val="24"/>
          <w:lang w:val="es-CR"/>
        </w:rPr>
        <w:t xml:space="preserve">ejecución de las </w:t>
      </w:r>
      <w:r w:rsidR="000278E7" w:rsidRPr="0023319B">
        <w:rPr>
          <w:rFonts w:asciiTheme="minorHAnsi" w:hAnsiTheme="minorHAnsi" w:cstheme="minorHAnsi"/>
          <w:sz w:val="24"/>
          <w:szCs w:val="24"/>
          <w:lang w:val="es-CR"/>
        </w:rPr>
        <w:t xml:space="preserve">principales </w:t>
      </w:r>
      <w:r w:rsidR="00D57C16" w:rsidRPr="0023319B">
        <w:rPr>
          <w:rFonts w:asciiTheme="minorHAnsi" w:hAnsiTheme="minorHAnsi" w:cstheme="minorHAnsi"/>
          <w:sz w:val="24"/>
          <w:szCs w:val="24"/>
          <w:lang w:val="es-CR"/>
        </w:rPr>
        <w:t>cuentas</w:t>
      </w:r>
      <w:r w:rsidR="007B64AF" w:rsidRPr="0023319B">
        <w:rPr>
          <w:rFonts w:asciiTheme="minorHAnsi" w:hAnsiTheme="minorHAnsi" w:cstheme="minorHAnsi"/>
          <w:sz w:val="24"/>
          <w:szCs w:val="24"/>
          <w:lang w:val="es-CR"/>
        </w:rPr>
        <w:t xml:space="preserve"> se detalla a continuación:</w:t>
      </w:r>
      <w:r w:rsidR="00D57C16" w:rsidRPr="0023319B">
        <w:rPr>
          <w:rFonts w:asciiTheme="minorHAnsi" w:hAnsiTheme="minorHAnsi" w:cstheme="minorHAnsi"/>
          <w:sz w:val="24"/>
          <w:szCs w:val="24"/>
          <w:lang w:val="es-CR"/>
        </w:rPr>
        <w:t xml:space="preserve"> </w:t>
      </w:r>
    </w:p>
    <w:p w14:paraId="1AA94882" w14:textId="77777777" w:rsidR="003935F8" w:rsidRPr="0023319B" w:rsidRDefault="003935F8" w:rsidP="00093594">
      <w:pPr>
        <w:pStyle w:val="Textoindependiente"/>
        <w:numPr>
          <w:ilvl w:val="0"/>
          <w:numId w:val="0"/>
        </w:numPr>
        <w:ind w:right="51"/>
        <w:rPr>
          <w:rFonts w:asciiTheme="minorHAnsi" w:hAnsiTheme="minorHAnsi" w:cstheme="minorHAnsi"/>
          <w:szCs w:val="24"/>
          <w:lang w:val="es-CR"/>
        </w:rPr>
      </w:pPr>
    </w:p>
    <w:p w14:paraId="1CBD1186" w14:textId="3D519C91" w:rsidR="008E0E63" w:rsidRPr="0023319B" w:rsidRDefault="00225437" w:rsidP="003B2A39">
      <w:pPr>
        <w:pStyle w:val="Textoindependiente"/>
        <w:numPr>
          <w:ilvl w:val="0"/>
          <w:numId w:val="20"/>
        </w:numPr>
        <w:ind w:right="51"/>
        <w:rPr>
          <w:rFonts w:asciiTheme="minorHAnsi" w:hAnsiTheme="minorHAnsi" w:cstheme="minorHAnsi"/>
          <w:szCs w:val="24"/>
          <w:lang w:val="es-CR"/>
        </w:rPr>
      </w:pPr>
      <w:r w:rsidRPr="0023319B">
        <w:rPr>
          <w:rFonts w:asciiTheme="minorHAnsi" w:hAnsiTheme="minorHAnsi" w:cstheme="minorHAnsi"/>
          <w:szCs w:val="24"/>
          <w:lang w:val="es-CR"/>
        </w:rPr>
        <w:t xml:space="preserve">La cuenta de </w:t>
      </w:r>
      <w:r w:rsidR="00C9022F" w:rsidRPr="0023319B">
        <w:rPr>
          <w:rFonts w:asciiTheme="minorHAnsi" w:hAnsiTheme="minorHAnsi" w:cstheme="minorHAnsi"/>
          <w:szCs w:val="24"/>
          <w:lang w:val="es-CR"/>
        </w:rPr>
        <w:t>“B</w:t>
      </w:r>
      <w:r w:rsidR="00F06CD9" w:rsidRPr="0023319B">
        <w:rPr>
          <w:rFonts w:asciiTheme="minorHAnsi" w:hAnsiTheme="minorHAnsi" w:cstheme="minorHAnsi"/>
          <w:szCs w:val="24"/>
          <w:lang w:val="es-CR"/>
        </w:rPr>
        <w:t>ecas</w:t>
      </w:r>
      <w:r w:rsidR="00B228EC" w:rsidRPr="0023319B">
        <w:rPr>
          <w:rFonts w:asciiTheme="minorHAnsi" w:hAnsiTheme="minorHAnsi" w:cstheme="minorHAnsi"/>
          <w:szCs w:val="24"/>
          <w:lang w:val="es-CR"/>
        </w:rPr>
        <w:t xml:space="preserve"> </w:t>
      </w:r>
      <w:r w:rsidR="00C9022F" w:rsidRPr="0023319B">
        <w:rPr>
          <w:rFonts w:asciiTheme="minorHAnsi" w:hAnsiTheme="minorHAnsi" w:cstheme="minorHAnsi"/>
          <w:szCs w:val="24"/>
          <w:lang w:val="es-CR"/>
        </w:rPr>
        <w:t xml:space="preserve">a funcionarios” </w:t>
      </w:r>
      <w:r w:rsidR="00B228EC" w:rsidRPr="0023319B">
        <w:rPr>
          <w:rFonts w:asciiTheme="minorHAnsi" w:hAnsiTheme="minorHAnsi" w:cstheme="minorHAnsi"/>
          <w:szCs w:val="24"/>
          <w:lang w:val="es-CR"/>
        </w:rPr>
        <w:t xml:space="preserve">en territorio nacional </w:t>
      </w:r>
      <w:r w:rsidRPr="0023319B">
        <w:rPr>
          <w:rFonts w:asciiTheme="minorHAnsi" w:hAnsiTheme="minorHAnsi" w:cstheme="minorHAnsi"/>
          <w:szCs w:val="24"/>
          <w:lang w:val="es-CR"/>
        </w:rPr>
        <w:t xml:space="preserve">(6 02 01) refleja una ejecución del </w:t>
      </w:r>
      <w:r w:rsidR="00DD1F60" w:rsidRPr="0023319B">
        <w:rPr>
          <w:rFonts w:asciiTheme="minorHAnsi" w:hAnsiTheme="minorHAnsi" w:cstheme="minorHAnsi"/>
          <w:szCs w:val="24"/>
          <w:lang w:val="es-CR"/>
        </w:rPr>
        <w:t>0</w:t>
      </w:r>
      <w:r w:rsidRPr="0023319B">
        <w:rPr>
          <w:rFonts w:asciiTheme="minorHAnsi" w:hAnsiTheme="minorHAnsi" w:cstheme="minorHAnsi"/>
          <w:szCs w:val="24"/>
          <w:lang w:val="es-CR"/>
        </w:rPr>
        <w:t>%,</w:t>
      </w:r>
      <w:r w:rsidR="00DD1F60" w:rsidRPr="0023319B">
        <w:rPr>
          <w:rFonts w:asciiTheme="minorHAnsi" w:hAnsiTheme="minorHAnsi" w:cstheme="minorHAnsi"/>
          <w:szCs w:val="24"/>
          <w:lang w:val="es-CR"/>
        </w:rPr>
        <w:t xml:space="preserve"> </w:t>
      </w:r>
      <w:r w:rsidR="005B6993" w:rsidRPr="0023319B">
        <w:rPr>
          <w:rFonts w:asciiTheme="minorHAnsi" w:hAnsiTheme="minorHAnsi" w:cstheme="minorHAnsi"/>
          <w:szCs w:val="24"/>
          <w:lang w:val="es-CR"/>
        </w:rPr>
        <w:t>no hubo solicitud de</w:t>
      </w:r>
      <w:r w:rsidR="009044FE" w:rsidRPr="0023319B">
        <w:rPr>
          <w:rFonts w:asciiTheme="minorHAnsi" w:hAnsiTheme="minorHAnsi" w:cstheme="minorHAnsi"/>
          <w:szCs w:val="24"/>
          <w:lang w:val="es-CR"/>
        </w:rPr>
        <w:t xml:space="preserve"> becas </w:t>
      </w:r>
      <w:r w:rsidR="0044655E" w:rsidRPr="0023319B">
        <w:rPr>
          <w:rFonts w:asciiTheme="minorHAnsi" w:hAnsiTheme="minorHAnsi" w:cstheme="minorHAnsi"/>
          <w:szCs w:val="24"/>
          <w:lang w:val="es-CR"/>
        </w:rPr>
        <w:t>en estudio superiores por parte de</w:t>
      </w:r>
      <w:r w:rsidR="009044FE" w:rsidRPr="0023319B">
        <w:rPr>
          <w:rFonts w:asciiTheme="minorHAnsi" w:hAnsiTheme="minorHAnsi" w:cstheme="minorHAnsi"/>
          <w:szCs w:val="24"/>
          <w:lang w:val="es-CR"/>
        </w:rPr>
        <w:t xml:space="preserve"> funcionarios</w:t>
      </w:r>
      <w:r w:rsidR="00EF2719" w:rsidRPr="0023319B">
        <w:rPr>
          <w:rFonts w:asciiTheme="minorHAnsi" w:hAnsiTheme="minorHAnsi" w:cstheme="minorHAnsi"/>
          <w:szCs w:val="24"/>
          <w:lang w:val="es-CR"/>
        </w:rPr>
        <w:t>.</w:t>
      </w:r>
      <w:r w:rsidR="008E0E63" w:rsidRPr="0023319B">
        <w:rPr>
          <w:rFonts w:asciiTheme="minorHAnsi" w:hAnsiTheme="minorHAnsi" w:cstheme="minorHAnsi"/>
          <w:szCs w:val="24"/>
          <w:lang w:val="es-CR"/>
        </w:rPr>
        <w:t xml:space="preserve"> </w:t>
      </w:r>
    </w:p>
    <w:p w14:paraId="41ECDC16" w14:textId="12F959CF" w:rsidR="0086235A" w:rsidRPr="0023319B" w:rsidRDefault="0086235A" w:rsidP="003B2A39">
      <w:pPr>
        <w:pStyle w:val="Textoindependiente"/>
        <w:numPr>
          <w:ilvl w:val="0"/>
          <w:numId w:val="20"/>
        </w:numPr>
        <w:ind w:right="51"/>
        <w:rPr>
          <w:rFonts w:asciiTheme="minorHAnsi" w:hAnsiTheme="minorHAnsi" w:cstheme="minorHAnsi"/>
          <w:szCs w:val="24"/>
          <w:lang w:val="es-CR"/>
        </w:rPr>
      </w:pPr>
      <w:r w:rsidRPr="0023319B">
        <w:rPr>
          <w:rFonts w:asciiTheme="minorHAnsi" w:hAnsiTheme="minorHAnsi" w:cstheme="minorHAnsi"/>
          <w:szCs w:val="24"/>
          <w:lang w:val="es-CR"/>
        </w:rPr>
        <w:t xml:space="preserve">La cuenta “Becas a terceras personas” (6.02.02) corresponde a la ayuda que se brinda a los estudiantes que realizan la práctica profesional o pasantía en la institución, </w:t>
      </w:r>
      <w:r w:rsidR="0044655E" w:rsidRPr="0023319B">
        <w:rPr>
          <w:rFonts w:asciiTheme="minorHAnsi" w:hAnsiTheme="minorHAnsi" w:cstheme="minorHAnsi"/>
          <w:szCs w:val="24"/>
          <w:lang w:val="es-CR"/>
        </w:rPr>
        <w:t>como requisito de graduación, alcan</w:t>
      </w:r>
      <w:r w:rsidR="00B60051" w:rsidRPr="0023319B">
        <w:rPr>
          <w:rFonts w:asciiTheme="minorHAnsi" w:hAnsiTheme="minorHAnsi" w:cstheme="minorHAnsi"/>
          <w:szCs w:val="24"/>
          <w:lang w:val="es-CR"/>
        </w:rPr>
        <w:t>zó</w:t>
      </w:r>
      <w:r w:rsidR="002002F0" w:rsidRPr="0023319B">
        <w:rPr>
          <w:rFonts w:asciiTheme="minorHAnsi" w:hAnsiTheme="minorHAnsi" w:cstheme="minorHAnsi"/>
          <w:szCs w:val="24"/>
          <w:lang w:val="es-CR"/>
        </w:rPr>
        <w:t xml:space="preserve"> una ejecución del </w:t>
      </w:r>
      <w:r w:rsidR="00AE6CFF" w:rsidRPr="0023319B">
        <w:rPr>
          <w:rFonts w:asciiTheme="minorHAnsi" w:hAnsiTheme="minorHAnsi" w:cstheme="minorHAnsi"/>
          <w:szCs w:val="24"/>
          <w:lang w:val="es-CR"/>
        </w:rPr>
        <w:t>91</w:t>
      </w:r>
      <w:r w:rsidRPr="0023319B">
        <w:rPr>
          <w:rFonts w:asciiTheme="minorHAnsi" w:hAnsiTheme="minorHAnsi" w:cstheme="minorHAnsi"/>
          <w:szCs w:val="24"/>
          <w:lang w:val="es-CR"/>
        </w:rPr>
        <w:t xml:space="preserve">%. </w:t>
      </w:r>
    </w:p>
    <w:p w14:paraId="070F9CD7" w14:textId="0A5604B2" w:rsidR="0086235A" w:rsidRPr="0023319B" w:rsidRDefault="0086235A" w:rsidP="003B2A39">
      <w:pPr>
        <w:pStyle w:val="Textoindependiente"/>
        <w:numPr>
          <w:ilvl w:val="0"/>
          <w:numId w:val="20"/>
        </w:numPr>
        <w:ind w:right="51"/>
        <w:rPr>
          <w:rFonts w:asciiTheme="minorHAnsi" w:hAnsiTheme="minorHAnsi" w:cstheme="minorHAnsi"/>
          <w:szCs w:val="24"/>
          <w:lang w:val="es-CR"/>
        </w:rPr>
      </w:pPr>
      <w:r w:rsidRPr="0023319B">
        <w:rPr>
          <w:rFonts w:asciiTheme="minorHAnsi" w:hAnsiTheme="minorHAnsi" w:cstheme="minorHAnsi"/>
          <w:szCs w:val="24"/>
          <w:lang w:val="es-CR"/>
        </w:rPr>
        <w:t>Por su parte, la cuenta “Prestaciones legales” (6.03.01)</w:t>
      </w:r>
      <w:r w:rsidR="00B60051" w:rsidRPr="0023319B">
        <w:rPr>
          <w:rFonts w:asciiTheme="minorHAnsi" w:hAnsiTheme="minorHAnsi" w:cstheme="minorHAnsi"/>
          <w:szCs w:val="24"/>
          <w:lang w:val="es-CR"/>
        </w:rPr>
        <w:t xml:space="preserve">, aquí se contabiliza el pago de los </w:t>
      </w:r>
      <w:r w:rsidR="00B72D20" w:rsidRPr="0023319B">
        <w:rPr>
          <w:rFonts w:asciiTheme="minorHAnsi" w:hAnsiTheme="minorHAnsi" w:cstheme="minorHAnsi"/>
          <w:szCs w:val="24"/>
          <w:lang w:val="es-CR"/>
        </w:rPr>
        <w:t>extremos laborales a los funcionarios que dejan de trabajar para la institución,</w:t>
      </w:r>
      <w:r w:rsidRPr="0023319B">
        <w:rPr>
          <w:rFonts w:asciiTheme="minorHAnsi" w:hAnsiTheme="minorHAnsi" w:cstheme="minorHAnsi"/>
          <w:szCs w:val="24"/>
          <w:lang w:val="es-CR"/>
        </w:rPr>
        <w:t xml:space="preserve"> tiene una ejecuci</w:t>
      </w:r>
      <w:r w:rsidR="00B433E0" w:rsidRPr="0023319B">
        <w:rPr>
          <w:rFonts w:asciiTheme="minorHAnsi" w:hAnsiTheme="minorHAnsi" w:cstheme="minorHAnsi"/>
          <w:szCs w:val="24"/>
          <w:lang w:val="es-CR"/>
        </w:rPr>
        <w:t xml:space="preserve">ón del </w:t>
      </w:r>
      <w:r w:rsidR="00B14EB6" w:rsidRPr="0023319B">
        <w:rPr>
          <w:rFonts w:asciiTheme="minorHAnsi" w:hAnsiTheme="minorHAnsi" w:cstheme="minorHAnsi"/>
          <w:szCs w:val="24"/>
          <w:lang w:val="es-CR"/>
        </w:rPr>
        <w:t>52</w:t>
      </w:r>
      <w:r w:rsidR="00B433E0" w:rsidRPr="0023319B">
        <w:rPr>
          <w:rFonts w:asciiTheme="minorHAnsi" w:hAnsiTheme="minorHAnsi" w:cstheme="minorHAnsi"/>
          <w:szCs w:val="24"/>
          <w:lang w:val="es-CR"/>
        </w:rPr>
        <w:t>%.</w:t>
      </w:r>
    </w:p>
    <w:p w14:paraId="64DC7A50" w14:textId="6FDEE8A3" w:rsidR="00225437" w:rsidRPr="0023319B" w:rsidRDefault="00C2126D" w:rsidP="003B2A39">
      <w:pPr>
        <w:pStyle w:val="Textoindependiente"/>
        <w:numPr>
          <w:ilvl w:val="0"/>
          <w:numId w:val="20"/>
        </w:numPr>
        <w:ind w:right="51"/>
        <w:rPr>
          <w:rFonts w:asciiTheme="minorHAnsi" w:hAnsiTheme="minorHAnsi" w:cstheme="minorHAnsi"/>
          <w:szCs w:val="24"/>
          <w:lang w:val="es-CR"/>
        </w:rPr>
      </w:pPr>
      <w:r w:rsidRPr="0023319B">
        <w:rPr>
          <w:rFonts w:asciiTheme="minorHAnsi" w:hAnsiTheme="minorHAnsi" w:cstheme="minorHAnsi"/>
          <w:szCs w:val="24"/>
          <w:lang w:val="es-CR"/>
        </w:rPr>
        <w:t>La cuenta “Otra</w:t>
      </w:r>
      <w:r w:rsidR="00225437" w:rsidRPr="0023319B">
        <w:rPr>
          <w:rFonts w:asciiTheme="minorHAnsi" w:hAnsiTheme="minorHAnsi" w:cstheme="minorHAnsi"/>
          <w:szCs w:val="24"/>
          <w:lang w:val="es-CR"/>
        </w:rPr>
        <w:t>s prestaciones a terceras personas” (6 03 99)</w:t>
      </w:r>
      <w:r w:rsidR="00D170BB" w:rsidRPr="0023319B">
        <w:rPr>
          <w:rFonts w:asciiTheme="minorHAnsi" w:hAnsiTheme="minorHAnsi" w:cstheme="minorHAnsi"/>
          <w:szCs w:val="24"/>
          <w:lang w:val="es-CR"/>
        </w:rPr>
        <w:t xml:space="preserve"> corresponde al pago de </w:t>
      </w:r>
      <w:r w:rsidR="00225437" w:rsidRPr="0023319B">
        <w:rPr>
          <w:rFonts w:asciiTheme="minorHAnsi" w:hAnsiTheme="minorHAnsi" w:cstheme="minorHAnsi"/>
          <w:szCs w:val="24"/>
          <w:lang w:val="es-CR"/>
        </w:rPr>
        <w:t>incapacidades</w:t>
      </w:r>
      <w:r w:rsidR="000825BD" w:rsidRPr="0023319B">
        <w:rPr>
          <w:rFonts w:asciiTheme="minorHAnsi" w:hAnsiTheme="minorHAnsi" w:cstheme="minorHAnsi"/>
          <w:szCs w:val="24"/>
          <w:lang w:val="es-CR"/>
        </w:rPr>
        <w:t xml:space="preserve"> o licencias por maternidad</w:t>
      </w:r>
      <w:r w:rsidR="00225437" w:rsidRPr="0023319B">
        <w:rPr>
          <w:rFonts w:asciiTheme="minorHAnsi" w:hAnsiTheme="minorHAnsi" w:cstheme="minorHAnsi"/>
          <w:szCs w:val="24"/>
          <w:lang w:val="es-CR"/>
        </w:rPr>
        <w:t xml:space="preserve">.  Al final de este período </w:t>
      </w:r>
      <w:r w:rsidR="00873198" w:rsidRPr="0023319B">
        <w:rPr>
          <w:rFonts w:asciiTheme="minorHAnsi" w:hAnsiTheme="minorHAnsi" w:cstheme="minorHAnsi"/>
          <w:szCs w:val="24"/>
          <w:lang w:val="es-CR"/>
        </w:rPr>
        <w:t>refleja una ejecución del</w:t>
      </w:r>
      <w:r w:rsidR="00225437" w:rsidRPr="0023319B">
        <w:rPr>
          <w:rFonts w:asciiTheme="minorHAnsi" w:hAnsiTheme="minorHAnsi" w:cstheme="minorHAnsi"/>
          <w:szCs w:val="24"/>
          <w:lang w:val="es-CR"/>
        </w:rPr>
        <w:t xml:space="preserve"> </w:t>
      </w:r>
      <w:r w:rsidR="008757CC" w:rsidRPr="0023319B">
        <w:rPr>
          <w:rFonts w:asciiTheme="minorHAnsi" w:hAnsiTheme="minorHAnsi" w:cstheme="minorHAnsi"/>
          <w:szCs w:val="24"/>
          <w:lang w:val="es-CR"/>
        </w:rPr>
        <w:t>71</w:t>
      </w:r>
      <w:r w:rsidR="00E37E8A" w:rsidRPr="0023319B">
        <w:rPr>
          <w:rFonts w:asciiTheme="minorHAnsi" w:hAnsiTheme="minorHAnsi" w:cstheme="minorHAnsi"/>
          <w:szCs w:val="24"/>
          <w:lang w:val="es-CR"/>
        </w:rPr>
        <w:t>%</w:t>
      </w:r>
      <w:r w:rsidR="003E4B52" w:rsidRPr="0023319B">
        <w:rPr>
          <w:rFonts w:asciiTheme="minorHAnsi" w:hAnsiTheme="minorHAnsi" w:cstheme="minorHAnsi"/>
          <w:szCs w:val="24"/>
          <w:lang w:val="es-CR"/>
        </w:rPr>
        <w:t xml:space="preserve">. </w:t>
      </w:r>
    </w:p>
    <w:p w14:paraId="64DC7A52" w14:textId="46EE650F" w:rsidR="00225437" w:rsidRPr="0023319B" w:rsidRDefault="00225437" w:rsidP="003B2A39">
      <w:pPr>
        <w:pStyle w:val="Textoindependiente"/>
        <w:numPr>
          <w:ilvl w:val="0"/>
          <w:numId w:val="20"/>
        </w:numPr>
        <w:ind w:right="51"/>
        <w:rPr>
          <w:rFonts w:asciiTheme="minorHAnsi" w:hAnsiTheme="minorHAnsi" w:cstheme="minorHAnsi"/>
          <w:szCs w:val="24"/>
          <w:lang w:val="es-CR"/>
        </w:rPr>
      </w:pPr>
      <w:r w:rsidRPr="0023319B">
        <w:rPr>
          <w:rFonts w:asciiTheme="minorHAnsi" w:hAnsiTheme="minorHAnsi" w:cstheme="minorHAnsi"/>
          <w:szCs w:val="24"/>
          <w:lang w:val="es-CR"/>
        </w:rPr>
        <w:t xml:space="preserve">En lo que respecta a la cuenta 6 06 01 “Indemnizaciones” es una provisión que conforme a la normativa vigente hay que </w:t>
      </w:r>
      <w:r w:rsidR="008820F9" w:rsidRPr="0023319B">
        <w:rPr>
          <w:rFonts w:asciiTheme="minorHAnsi" w:hAnsiTheme="minorHAnsi" w:cstheme="minorHAnsi"/>
          <w:szCs w:val="24"/>
          <w:lang w:val="es-CR"/>
        </w:rPr>
        <w:t>tener en el presupuesto</w:t>
      </w:r>
      <w:r w:rsidR="00163CC1" w:rsidRPr="0023319B">
        <w:rPr>
          <w:rFonts w:asciiTheme="minorHAnsi" w:hAnsiTheme="minorHAnsi" w:cstheme="minorHAnsi"/>
          <w:szCs w:val="24"/>
          <w:lang w:val="es-CR"/>
        </w:rPr>
        <w:t xml:space="preserve">, por </w:t>
      </w:r>
      <w:r w:rsidR="00D27C57" w:rsidRPr="0023319B">
        <w:rPr>
          <w:rFonts w:asciiTheme="minorHAnsi" w:hAnsiTheme="minorHAnsi" w:cstheme="minorHAnsi"/>
          <w:szCs w:val="24"/>
          <w:lang w:val="es-CR"/>
        </w:rPr>
        <w:t>posibles pagos</w:t>
      </w:r>
      <w:r w:rsidR="00293CB4" w:rsidRPr="0023319B">
        <w:rPr>
          <w:rFonts w:asciiTheme="minorHAnsi" w:hAnsiTheme="minorHAnsi" w:cstheme="minorHAnsi"/>
          <w:szCs w:val="24"/>
          <w:lang w:val="es-CR"/>
        </w:rPr>
        <w:t xml:space="preserve"> en resoluciones de juicios</w:t>
      </w:r>
      <w:r w:rsidR="00D27C57" w:rsidRPr="0023319B">
        <w:rPr>
          <w:rFonts w:asciiTheme="minorHAnsi" w:hAnsiTheme="minorHAnsi" w:cstheme="minorHAnsi"/>
          <w:szCs w:val="24"/>
          <w:lang w:val="es-CR"/>
        </w:rPr>
        <w:t xml:space="preserve">, </w:t>
      </w:r>
      <w:r w:rsidR="00F52C82" w:rsidRPr="0023319B">
        <w:rPr>
          <w:rFonts w:asciiTheme="minorHAnsi" w:hAnsiTheme="minorHAnsi" w:cstheme="minorHAnsi"/>
          <w:szCs w:val="24"/>
          <w:lang w:val="es-CR"/>
        </w:rPr>
        <w:t xml:space="preserve">a la fecha la ejecución es de </w:t>
      </w:r>
      <w:r w:rsidR="003E4B52" w:rsidRPr="0023319B">
        <w:rPr>
          <w:rFonts w:asciiTheme="minorHAnsi" w:hAnsiTheme="minorHAnsi" w:cstheme="minorHAnsi"/>
          <w:szCs w:val="24"/>
          <w:lang w:val="es-CR"/>
        </w:rPr>
        <w:t>0</w:t>
      </w:r>
      <w:r w:rsidR="00F52C82" w:rsidRPr="0023319B">
        <w:rPr>
          <w:rFonts w:asciiTheme="minorHAnsi" w:hAnsiTheme="minorHAnsi" w:cstheme="minorHAnsi"/>
          <w:szCs w:val="24"/>
          <w:lang w:val="es-CR"/>
        </w:rPr>
        <w:t>%</w:t>
      </w:r>
      <w:r w:rsidRPr="0023319B">
        <w:rPr>
          <w:rFonts w:asciiTheme="minorHAnsi" w:hAnsiTheme="minorHAnsi" w:cstheme="minorHAnsi"/>
          <w:szCs w:val="24"/>
          <w:lang w:val="es-CR"/>
        </w:rPr>
        <w:t xml:space="preserve">. </w:t>
      </w:r>
    </w:p>
    <w:p w14:paraId="64DC7A54" w14:textId="58EA9AEE" w:rsidR="00225437" w:rsidRPr="0023319B" w:rsidRDefault="00B7522B" w:rsidP="003B2A39">
      <w:pPr>
        <w:pStyle w:val="Textoindependiente"/>
        <w:numPr>
          <w:ilvl w:val="0"/>
          <w:numId w:val="20"/>
        </w:numPr>
        <w:ind w:right="51"/>
        <w:rPr>
          <w:rFonts w:asciiTheme="minorHAnsi" w:hAnsiTheme="minorHAnsi" w:cstheme="minorHAnsi"/>
          <w:szCs w:val="24"/>
          <w:lang w:val="es-CR"/>
        </w:rPr>
      </w:pPr>
      <w:r w:rsidRPr="0023319B">
        <w:rPr>
          <w:rFonts w:asciiTheme="minorHAnsi" w:hAnsiTheme="minorHAnsi" w:cstheme="minorHAnsi"/>
          <w:szCs w:val="24"/>
          <w:lang w:val="es-CR"/>
        </w:rPr>
        <w:t>La</w:t>
      </w:r>
      <w:r w:rsidR="00225437" w:rsidRPr="0023319B">
        <w:rPr>
          <w:rFonts w:asciiTheme="minorHAnsi" w:hAnsiTheme="minorHAnsi" w:cstheme="minorHAnsi"/>
          <w:szCs w:val="24"/>
          <w:lang w:val="es-CR"/>
        </w:rPr>
        <w:t xml:space="preserve"> cuenta “</w:t>
      </w:r>
      <w:r w:rsidR="003E4B52" w:rsidRPr="0023319B">
        <w:rPr>
          <w:rFonts w:asciiTheme="minorHAnsi" w:hAnsiTheme="minorHAnsi" w:cstheme="minorHAnsi"/>
          <w:szCs w:val="24"/>
          <w:lang w:val="es-CR"/>
        </w:rPr>
        <w:t>Cuotas</w:t>
      </w:r>
      <w:r w:rsidR="00225437" w:rsidRPr="0023319B">
        <w:rPr>
          <w:rFonts w:asciiTheme="minorHAnsi" w:hAnsiTheme="minorHAnsi" w:cstheme="minorHAnsi"/>
          <w:szCs w:val="24"/>
          <w:lang w:val="es-CR"/>
        </w:rPr>
        <w:t xml:space="preserve"> a organismos internacionales” (6 07 01), refleja un </w:t>
      </w:r>
      <w:r w:rsidR="001C00AA" w:rsidRPr="0023319B">
        <w:rPr>
          <w:rFonts w:asciiTheme="minorHAnsi" w:hAnsiTheme="minorHAnsi" w:cstheme="minorHAnsi"/>
          <w:szCs w:val="24"/>
          <w:lang w:val="es-CR"/>
        </w:rPr>
        <w:t>89</w:t>
      </w:r>
      <w:r w:rsidR="00225437" w:rsidRPr="0023319B">
        <w:rPr>
          <w:rFonts w:asciiTheme="minorHAnsi" w:hAnsiTheme="minorHAnsi" w:cstheme="minorHAnsi"/>
          <w:szCs w:val="24"/>
          <w:lang w:val="es-CR"/>
        </w:rPr>
        <w:t>% de ejecución. Esto corresponde a los trámites de pago a la Asociación Internacional de Org</w:t>
      </w:r>
      <w:r w:rsidR="00167AE9" w:rsidRPr="0023319B">
        <w:rPr>
          <w:rFonts w:asciiTheme="minorHAnsi" w:hAnsiTheme="minorHAnsi" w:cstheme="minorHAnsi"/>
          <w:szCs w:val="24"/>
          <w:lang w:val="es-CR"/>
        </w:rPr>
        <w:t xml:space="preserve">anismos de Supervisión (AIOS), </w:t>
      </w:r>
      <w:r w:rsidR="00225437" w:rsidRPr="0023319B">
        <w:rPr>
          <w:rFonts w:asciiTheme="minorHAnsi" w:hAnsiTheme="minorHAnsi" w:cstheme="minorHAnsi"/>
          <w:szCs w:val="24"/>
          <w:lang w:val="es-CR"/>
        </w:rPr>
        <w:t>al Organismo Internacional de Sistemas de Pensiones (IOPS)</w:t>
      </w:r>
      <w:r w:rsidR="00167AE9" w:rsidRPr="0023319B">
        <w:rPr>
          <w:rFonts w:asciiTheme="minorHAnsi" w:hAnsiTheme="minorHAnsi" w:cstheme="minorHAnsi"/>
          <w:szCs w:val="24"/>
          <w:lang w:val="es-CR"/>
        </w:rPr>
        <w:t>. A la Conferencia Interamericana de Seguridad Social (CISS) y a la Organización Iberoamericana de Seguridad Social</w:t>
      </w:r>
      <w:r w:rsidR="00BE09B4" w:rsidRPr="0023319B">
        <w:rPr>
          <w:rFonts w:asciiTheme="minorHAnsi" w:hAnsiTheme="minorHAnsi" w:cstheme="minorHAnsi"/>
          <w:szCs w:val="24"/>
          <w:lang w:val="es-CR"/>
        </w:rPr>
        <w:t xml:space="preserve"> (OISS)</w:t>
      </w:r>
      <w:r w:rsidR="00225437" w:rsidRPr="0023319B">
        <w:rPr>
          <w:rFonts w:asciiTheme="minorHAnsi" w:hAnsiTheme="minorHAnsi" w:cstheme="minorHAnsi"/>
          <w:szCs w:val="24"/>
          <w:lang w:val="es-CR"/>
        </w:rPr>
        <w:t>.</w:t>
      </w:r>
    </w:p>
    <w:p w14:paraId="68574622" w14:textId="5C13AE18" w:rsidR="00757607" w:rsidRPr="0023319B" w:rsidRDefault="00757607" w:rsidP="003F1936">
      <w:pPr>
        <w:pStyle w:val="Textoindependiente"/>
        <w:numPr>
          <w:ilvl w:val="0"/>
          <w:numId w:val="0"/>
        </w:numPr>
        <w:ind w:right="51"/>
        <w:rPr>
          <w:rFonts w:asciiTheme="minorHAnsi" w:hAnsiTheme="minorHAnsi" w:cstheme="minorHAnsi"/>
          <w:szCs w:val="24"/>
          <w:lang w:val="es-CR"/>
        </w:rPr>
      </w:pPr>
    </w:p>
    <w:p w14:paraId="7A0AB4D8" w14:textId="7DD44751" w:rsidR="00FD3E30" w:rsidRPr="0023319B" w:rsidRDefault="00FD3E30">
      <w:pPr>
        <w:spacing w:line="240" w:lineRule="auto"/>
        <w:jc w:val="left"/>
        <w:rPr>
          <w:rFonts w:asciiTheme="minorHAnsi" w:hAnsiTheme="minorHAnsi" w:cstheme="minorHAnsi"/>
          <w:sz w:val="24"/>
          <w:szCs w:val="24"/>
          <w:lang w:val="es-CR"/>
        </w:rPr>
      </w:pPr>
      <w:r w:rsidRPr="0023319B">
        <w:rPr>
          <w:rFonts w:asciiTheme="minorHAnsi" w:hAnsiTheme="minorHAnsi" w:cstheme="minorHAnsi"/>
          <w:szCs w:val="24"/>
          <w:lang w:val="es-CR"/>
        </w:rPr>
        <w:br w:type="page"/>
      </w:r>
    </w:p>
    <w:p w14:paraId="0F6E37DD" w14:textId="365A2B9E" w:rsidR="00DB7031" w:rsidRPr="0023319B" w:rsidRDefault="00DB7031" w:rsidP="003E35E4">
      <w:pPr>
        <w:pStyle w:val="Ttulo2"/>
      </w:pPr>
      <w:bookmarkStart w:id="80" w:name="_Toc535843747"/>
      <w:bookmarkStart w:id="81" w:name="_Toc61081381"/>
      <w:r w:rsidRPr="0023319B">
        <w:t>Cuenta 9 “</w:t>
      </w:r>
      <w:r w:rsidR="00F75C74" w:rsidRPr="0023319B">
        <w:t>Sumas Libres Sin Asignación Presupuestaria</w:t>
      </w:r>
      <w:r w:rsidRPr="0023319B">
        <w:t>”</w:t>
      </w:r>
      <w:bookmarkEnd w:id="80"/>
      <w:bookmarkEnd w:id="81"/>
    </w:p>
    <w:p w14:paraId="1261E02C" w14:textId="756FBF43" w:rsidR="00DB7031" w:rsidRPr="0023319B" w:rsidRDefault="00DB7031" w:rsidP="00DB7031">
      <w:pPr>
        <w:pStyle w:val="Textoindependiente"/>
        <w:numPr>
          <w:ilvl w:val="0"/>
          <w:numId w:val="0"/>
        </w:numPr>
        <w:rPr>
          <w:rFonts w:asciiTheme="minorHAnsi" w:hAnsiTheme="minorHAnsi" w:cstheme="minorHAnsi"/>
          <w:szCs w:val="24"/>
          <w:lang w:val="es-CR"/>
        </w:rPr>
      </w:pPr>
    </w:p>
    <w:p w14:paraId="5B25E78B" w14:textId="6FA6B787" w:rsidR="00DB7031" w:rsidRPr="0023319B" w:rsidRDefault="00DB7031" w:rsidP="00F75C74">
      <w:pPr>
        <w:pStyle w:val="Textoindependiente"/>
        <w:numPr>
          <w:ilvl w:val="0"/>
          <w:numId w:val="0"/>
        </w:numPr>
        <w:spacing w:line="240" w:lineRule="auto"/>
        <w:ind w:left="142"/>
        <w:jc w:val="left"/>
        <w:outlineLvl w:val="2"/>
        <w:rPr>
          <w:rFonts w:asciiTheme="minorHAnsi" w:hAnsiTheme="minorHAnsi" w:cstheme="minorHAnsi"/>
          <w:sz w:val="22"/>
          <w:szCs w:val="22"/>
          <w:lang w:val="es-CR"/>
        </w:rPr>
      </w:pPr>
      <w:bookmarkStart w:id="82" w:name="_Toc61081382"/>
      <w:r w:rsidRPr="0023319B">
        <w:rPr>
          <w:rFonts w:asciiTheme="minorHAnsi" w:hAnsiTheme="minorHAnsi" w:cstheme="minorHAnsi"/>
          <w:b/>
          <w:i/>
          <w:sz w:val="22"/>
          <w:szCs w:val="22"/>
          <w:lang w:val="es-CR"/>
        </w:rPr>
        <w:t xml:space="preserve">Cuadro </w:t>
      </w:r>
      <w:r w:rsidR="005F6F80" w:rsidRPr="0023319B">
        <w:rPr>
          <w:rFonts w:asciiTheme="minorHAnsi" w:hAnsiTheme="minorHAnsi" w:cstheme="minorHAnsi"/>
          <w:b/>
          <w:i/>
          <w:sz w:val="22"/>
          <w:szCs w:val="22"/>
          <w:lang w:val="es-CR"/>
        </w:rPr>
        <w:t>9</w:t>
      </w:r>
      <w:r w:rsidRPr="0023319B">
        <w:rPr>
          <w:rFonts w:asciiTheme="minorHAnsi" w:hAnsiTheme="minorHAnsi" w:cstheme="minorHAnsi"/>
          <w:b/>
          <w:bCs/>
          <w:i/>
          <w:iCs/>
          <w:sz w:val="22"/>
          <w:szCs w:val="22"/>
          <w:lang w:val="es-CR"/>
        </w:rPr>
        <w:t>:</w:t>
      </w:r>
      <w:r w:rsidRPr="0023319B">
        <w:rPr>
          <w:rFonts w:asciiTheme="minorHAnsi" w:hAnsiTheme="minorHAnsi" w:cstheme="minorHAnsi"/>
          <w:sz w:val="22"/>
          <w:szCs w:val="22"/>
          <w:lang w:val="es-CR"/>
        </w:rPr>
        <w:t xml:space="preserve"> Detalle de ejecución por cuenta</w:t>
      </w:r>
      <w:bookmarkEnd w:id="82"/>
    </w:p>
    <w:p w14:paraId="5830B069" w14:textId="18845000" w:rsidR="00DB7031" w:rsidRDefault="00DB7031" w:rsidP="00DB7031">
      <w:pPr>
        <w:spacing w:line="240" w:lineRule="auto"/>
        <w:ind w:left="142"/>
        <w:jc w:val="left"/>
        <w:rPr>
          <w:rFonts w:asciiTheme="minorHAnsi" w:hAnsiTheme="minorHAnsi" w:cstheme="minorHAnsi"/>
          <w:sz w:val="18"/>
          <w:szCs w:val="22"/>
          <w:lang w:val="es-CR"/>
        </w:rPr>
      </w:pPr>
      <w:r w:rsidRPr="0023319B">
        <w:rPr>
          <w:rFonts w:asciiTheme="minorHAnsi" w:hAnsiTheme="minorHAnsi" w:cstheme="minorHAnsi"/>
          <w:sz w:val="18"/>
          <w:szCs w:val="22"/>
          <w:lang w:val="es-CR"/>
        </w:rPr>
        <w:t>Montos en Colones</w:t>
      </w:r>
    </w:p>
    <w:p w14:paraId="26FDCE44" w14:textId="71DEDE5E" w:rsidR="00987F9A" w:rsidRDefault="00987F9A" w:rsidP="00DB7031">
      <w:pPr>
        <w:spacing w:line="240" w:lineRule="auto"/>
        <w:ind w:left="142"/>
        <w:jc w:val="left"/>
        <w:rPr>
          <w:rFonts w:asciiTheme="minorHAnsi" w:hAnsiTheme="minorHAnsi" w:cstheme="minorHAnsi"/>
          <w:sz w:val="18"/>
          <w:szCs w:val="22"/>
          <w:lang w:val="es-CR"/>
        </w:rPr>
      </w:pPr>
    </w:p>
    <w:tbl>
      <w:tblPr>
        <w:tblW w:w="9710" w:type="dxa"/>
        <w:tblLayout w:type="fixed"/>
        <w:tblCellMar>
          <w:left w:w="70" w:type="dxa"/>
          <w:right w:w="70" w:type="dxa"/>
        </w:tblCellMar>
        <w:tblLook w:val="04A0" w:firstRow="1" w:lastRow="0" w:firstColumn="1" w:lastColumn="0" w:noHBand="0" w:noVBand="1"/>
      </w:tblPr>
      <w:tblGrid>
        <w:gridCol w:w="748"/>
        <w:gridCol w:w="948"/>
        <w:gridCol w:w="2324"/>
        <w:gridCol w:w="1321"/>
        <w:gridCol w:w="1231"/>
        <w:gridCol w:w="936"/>
        <w:gridCol w:w="1112"/>
        <w:gridCol w:w="1090"/>
      </w:tblGrid>
      <w:tr w:rsidR="00322921" w:rsidRPr="009D3204" w14:paraId="5788B706" w14:textId="77777777" w:rsidTr="00322921">
        <w:trPr>
          <w:gridAfter w:val="6"/>
          <w:wAfter w:w="8014" w:type="dxa"/>
          <w:trHeight w:val="242"/>
        </w:trPr>
        <w:tc>
          <w:tcPr>
            <w:tcW w:w="1696"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74945A0A" w14:textId="5C97A67C" w:rsidR="00322921" w:rsidRPr="009D3204" w:rsidRDefault="00322921" w:rsidP="00F050C9">
            <w:pPr>
              <w:spacing w:line="240" w:lineRule="auto"/>
              <w:jc w:val="center"/>
              <w:rPr>
                <w:rFonts w:ascii="Calibri" w:hAnsi="Calibri" w:cs="Calibri"/>
                <w:sz w:val="18"/>
                <w:szCs w:val="18"/>
                <w:lang w:val="es-CR" w:eastAsia="es-CR"/>
              </w:rPr>
            </w:pPr>
            <w:r w:rsidRPr="009D3204">
              <w:rPr>
                <w:rFonts w:ascii="Calibri" w:hAnsi="Calibri" w:cs="Calibri"/>
                <w:sz w:val="18"/>
                <w:szCs w:val="18"/>
                <w:lang w:val="es-CR" w:eastAsia="es-CR"/>
              </w:rPr>
              <w:t>Clasificador</w:t>
            </w:r>
          </w:p>
        </w:tc>
      </w:tr>
      <w:tr w:rsidR="00F050C9" w:rsidRPr="009D3204" w14:paraId="71963ADB" w14:textId="77777777" w:rsidTr="00322921">
        <w:trPr>
          <w:trHeight w:val="520"/>
        </w:trPr>
        <w:tc>
          <w:tcPr>
            <w:tcW w:w="74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52859C1" w14:textId="77777777" w:rsidR="00F050C9" w:rsidRPr="00F050C9" w:rsidRDefault="00F050C9" w:rsidP="00F050C9">
            <w:pPr>
              <w:spacing w:line="240" w:lineRule="auto"/>
              <w:jc w:val="center"/>
              <w:rPr>
                <w:rFonts w:ascii="Calibri" w:hAnsi="Calibri" w:cs="Calibri"/>
                <w:sz w:val="18"/>
                <w:szCs w:val="18"/>
                <w:lang w:val="es-CR" w:eastAsia="es-CR"/>
              </w:rPr>
            </w:pPr>
            <w:r w:rsidRPr="00F050C9">
              <w:rPr>
                <w:rFonts w:ascii="Calibri" w:hAnsi="Calibri" w:cs="Calibri"/>
                <w:sz w:val="18"/>
                <w:szCs w:val="18"/>
                <w:lang w:val="es-CR" w:eastAsia="es-CR"/>
              </w:rPr>
              <w:t>Gasto</w:t>
            </w:r>
          </w:p>
        </w:tc>
        <w:tc>
          <w:tcPr>
            <w:tcW w:w="948" w:type="dxa"/>
            <w:tcBorders>
              <w:top w:val="single" w:sz="4" w:space="0" w:color="auto"/>
              <w:left w:val="nil"/>
              <w:bottom w:val="single" w:sz="4" w:space="0" w:color="auto"/>
              <w:right w:val="single" w:sz="4" w:space="0" w:color="auto"/>
            </w:tcBorders>
            <w:shd w:val="clear" w:color="auto" w:fill="B8CCE4" w:themeFill="accent1" w:themeFillTint="66"/>
            <w:vAlign w:val="center"/>
            <w:hideMark/>
          </w:tcPr>
          <w:p w14:paraId="2808278B" w14:textId="77777777" w:rsidR="00F050C9" w:rsidRPr="00F050C9" w:rsidRDefault="00F050C9" w:rsidP="00F050C9">
            <w:pPr>
              <w:spacing w:line="240" w:lineRule="auto"/>
              <w:jc w:val="center"/>
              <w:rPr>
                <w:rFonts w:ascii="Calibri" w:hAnsi="Calibri" w:cs="Calibri"/>
                <w:sz w:val="18"/>
                <w:szCs w:val="18"/>
                <w:lang w:val="es-CR" w:eastAsia="es-CR"/>
              </w:rPr>
            </w:pPr>
            <w:r w:rsidRPr="00F050C9">
              <w:rPr>
                <w:rFonts w:ascii="Calibri" w:hAnsi="Calibri" w:cs="Calibri"/>
                <w:sz w:val="18"/>
                <w:szCs w:val="18"/>
                <w:lang w:val="es-CR" w:eastAsia="es-CR"/>
              </w:rPr>
              <w:t>Económico</w:t>
            </w:r>
          </w:p>
        </w:tc>
        <w:tc>
          <w:tcPr>
            <w:tcW w:w="2324" w:type="dxa"/>
            <w:tcBorders>
              <w:top w:val="single" w:sz="4" w:space="0" w:color="auto"/>
              <w:left w:val="nil"/>
              <w:bottom w:val="single" w:sz="4" w:space="0" w:color="auto"/>
              <w:right w:val="single" w:sz="4" w:space="0" w:color="auto"/>
            </w:tcBorders>
            <w:shd w:val="clear" w:color="auto" w:fill="B8CCE4" w:themeFill="accent1" w:themeFillTint="66"/>
            <w:vAlign w:val="center"/>
            <w:hideMark/>
          </w:tcPr>
          <w:p w14:paraId="5BE1BEA9" w14:textId="77777777" w:rsidR="00F050C9" w:rsidRPr="00F050C9" w:rsidRDefault="00F050C9" w:rsidP="00F050C9">
            <w:pPr>
              <w:spacing w:line="240" w:lineRule="auto"/>
              <w:jc w:val="center"/>
              <w:rPr>
                <w:rFonts w:ascii="Calibri" w:hAnsi="Calibri" w:cs="Calibri"/>
                <w:sz w:val="18"/>
                <w:szCs w:val="18"/>
                <w:lang w:val="es-CR" w:eastAsia="es-CR"/>
              </w:rPr>
            </w:pPr>
            <w:r w:rsidRPr="00F050C9">
              <w:rPr>
                <w:rFonts w:ascii="Calibri" w:hAnsi="Calibri" w:cs="Calibri"/>
                <w:sz w:val="18"/>
                <w:szCs w:val="18"/>
                <w:lang w:val="es-CR" w:eastAsia="es-CR"/>
              </w:rPr>
              <w:t>DESCRIPCIÓN</w:t>
            </w:r>
          </w:p>
        </w:tc>
        <w:tc>
          <w:tcPr>
            <w:tcW w:w="1321" w:type="dxa"/>
            <w:tcBorders>
              <w:top w:val="single" w:sz="4" w:space="0" w:color="auto"/>
              <w:left w:val="nil"/>
              <w:bottom w:val="single" w:sz="4" w:space="0" w:color="auto"/>
              <w:right w:val="single" w:sz="4" w:space="0" w:color="auto"/>
            </w:tcBorders>
            <w:shd w:val="clear" w:color="auto" w:fill="B8CCE4" w:themeFill="accent1" w:themeFillTint="66"/>
            <w:vAlign w:val="center"/>
            <w:hideMark/>
          </w:tcPr>
          <w:p w14:paraId="7E5C37F3" w14:textId="23924329" w:rsidR="00F050C9" w:rsidRPr="00F050C9" w:rsidRDefault="00F050C9" w:rsidP="00F050C9">
            <w:pPr>
              <w:spacing w:line="240" w:lineRule="auto"/>
              <w:jc w:val="center"/>
              <w:rPr>
                <w:rFonts w:ascii="Calibri" w:hAnsi="Calibri" w:cs="Calibri"/>
                <w:sz w:val="18"/>
                <w:szCs w:val="18"/>
                <w:lang w:val="es-CR" w:eastAsia="es-CR"/>
              </w:rPr>
            </w:pPr>
            <w:r w:rsidRPr="00F050C9">
              <w:rPr>
                <w:rFonts w:ascii="Calibri" w:hAnsi="Calibri" w:cs="Calibri"/>
                <w:sz w:val="18"/>
                <w:szCs w:val="18"/>
                <w:lang w:val="es-CR" w:eastAsia="es-CR"/>
              </w:rPr>
              <w:t>PRESUPUESTO</w:t>
            </w:r>
          </w:p>
        </w:tc>
        <w:tc>
          <w:tcPr>
            <w:tcW w:w="1231" w:type="dxa"/>
            <w:tcBorders>
              <w:top w:val="single" w:sz="4" w:space="0" w:color="auto"/>
              <w:left w:val="nil"/>
              <w:bottom w:val="single" w:sz="4" w:space="0" w:color="auto"/>
              <w:right w:val="single" w:sz="4" w:space="0" w:color="auto"/>
            </w:tcBorders>
            <w:shd w:val="clear" w:color="auto" w:fill="B8CCE4" w:themeFill="accent1" w:themeFillTint="66"/>
            <w:vAlign w:val="center"/>
            <w:hideMark/>
          </w:tcPr>
          <w:p w14:paraId="32DB6E53" w14:textId="77777777" w:rsidR="00F050C9" w:rsidRPr="00F050C9" w:rsidRDefault="00F050C9" w:rsidP="00F050C9">
            <w:pPr>
              <w:spacing w:line="240" w:lineRule="auto"/>
              <w:jc w:val="center"/>
              <w:rPr>
                <w:rFonts w:ascii="Calibri" w:hAnsi="Calibri" w:cs="Calibri"/>
                <w:sz w:val="18"/>
                <w:szCs w:val="18"/>
                <w:lang w:val="es-CR" w:eastAsia="es-CR"/>
              </w:rPr>
            </w:pPr>
            <w:r w:rsidRPr="00F050C9">
              <w:rPr>
                <w:rFonts w:ascii="Calibri" w:hAnsi="Calibri" w:cs="Calibri"/>
                <w:sz w:val="18"/>
                <w:szCs w:val="18"/>
                <w:lang w:val="es-CR" w:eastAsia="es-CR"/>
              </w:rPr>
              <w:t>GASTO</w:t>
            </w:r>
          </w:p>
        </w:tc>
        <w:tc>
          <w:tcPr>
            <w:tcW w:w="936" w:type="dxa"/>
            <w:tcBorders>
              <w:top w:val="single" w:sz="4" w:space="0" w:color="auto"/>
              <w:left w:val="nil"/>
              <w:bottom w:val="single" w:sz="4" w:space="0" w:color="auto"/>
              <w:right w:val="single" w:sz="4" w:space="0" w:color="auto"/>
            </w:tcBorders>
            <w:shd w:val="clear" w:color="auto" w:fill="B8CCE4" w:themeFill="accent1" w:themeFillTint="66"/>
            <w:vAlign w:val="center"/>
            <w:hideMark/>
          </w:tcPr>
          <w:p w14:paraId="2724222C" w14:textId="77777777" w:rsidR="00F050C9" w:rsidRPr="00F050C9" w:rsidRDefault="00F050C9" w:rsidP="00F050C9">
            <w:pPr>
              <w:spacing w:line="240" w:lineRule="auto"/>
              <w:jc w:val="center"/>
              <w:rPr>
                <w:rFonts w:ascii="Calibri" w:hAnsi="Calibri" w:cs="Calibri"/>
                <w:sz w:val="18"/>
                <w:szCs w:val="18"/>
                <w:lang w:val="es-CR" w:eastAsia="es-CR"/>
              </w:rPr>
            </w:pPr>
            <w:r w:rsidRPr="00F050C9">
              <w:rPr>
                <w:rFonts w:ascii="Calibri" w:hAnsi="Calibri" w:cs="Calibri"/>
                <w:sz w:val="18"/>
                <w:szCs w:val="18"/>
                <w:lang w:val="es-CR" w:eastAsia="es-CR"/>
              </w:rPr>
              <w:t>COMPROMISO</w:t>
            </w:r>
          </w:p>
        </w:tc>
        <w:tc>
          <w:tcPr>
            <w:tcW w:w="1112" w:type="dxa"/>
            <w:tcBorders>
              <w:top w:val="single" w:sz="4" w:space="0" w:color="auto"/>
              <w:left w:val="nil"/>
              <w:bottom w:val="single" w:sz="4" w:space="0" w:color="auto"/>
              <w:right w:val="single" w:sz="4" w:space="0" w:color="auto"/>
            </w:tcBorders>
            <w:shd w:val="clear" w:color="auto" w:fill="B8CCE4" w:themeFill="accent1" w:themeFillTint="66"/>
            <w:vAlign w:val="center"/>
            <w:hideMark/>
          </w:tcPr>
          <w:p w14:paraId="303FB86B" w14:textId="77777777" w:rsidR="00F050C9" w:rsidRPr="00F050C9" w:rsidRDefault="00F050C9" w:rsidP="00F050C9">
            <w:pPr>
              <w:spacing w:line="240" w:lineRule="auto"/>
              <w:jc w:val="center"/>
              <w:rPr>
                <w:rFonts w:ascii="Calibri" w:hAnsi="Calibri" w:cs="Calibri"/>
                <w:color w:val="000000"/>
                <w:sz w:val="18"/>
                <w:szCs w:val="18"/>
                <w:lang w:val="es-CR" w:eastAsia="es-CR"/>
              </w:rPr>
            </w:pPr>
            <w:r w:rsidRPr="00F050C9">
              <w:rPr>
                <w:rFonts w:ascii="Calibri" w:hAnsi="Calibri" w:cs="Calibri"/>
                <w:color w:val="000000"/>
                <w:sz w:val="18"/>
                <w:szCs w:val="18"/>
                <w:lang w:val="es-CR" w:eastAsia="es-CR"/>
              </w:rPr>
              <w:t>DISPONIBLE</w:t>
            </w:r>
          </w:p>
        </w:tc>
        <w:tc>
          <w:tcPr>
            <w:tcW w:w="1090" w:type="dxa"/>
            <w:tcBorders>
              <w:top w:val="single" w:sz="4" w:space="0" w:color="auto"/>
              <w:left w:val="nil"/>
              <w:bottom w:val="single" w:sz="4" w:space="0" w:color="auto"/>
              <w:right w:val="single" w:sz="4" w:space="0" w:color="auto"/>
            </w:tcBorders>
            <w:shd w:val="clear" w:color="auto" w:fill="B8CCE4" w:themeFill="accent1" w:themeFillTint="66"/>
            <w:vAlign w:val="center"/>
            <w:hideMark/>
          </w:tcPr>
          <w:p w14:paraId="1792B0D3" w14:textId="77777777" w:rsidR="00F050C9" w:rsidRPr="00F050C9" w:rsidRDefault="00F050C9" w:rsidP="00F050C9">
            <w:pPr>
              <w:spacing w:line="240" w:lineRule="auto"/>
              <w:jc w:val="center"/>
              <w:rPr>
                <w:rFonts w:ascii="Calibri" w:hAnsi="Calibri" w:cs="Calibri"/>
                <w:color w:val="000000"/>
                <w:sz w:val="18"/>
                <w:szCs w:val="18"/>
                <w:lang w:val="es-CR" w:eastAsia="es-CR"/>
              </w:rPr>
            </w:pPr>
            <w:r w:rsidRPr="00F050C9">
              <w:rPr>
                <w:rFonts w:ascii="Calibri" w:hAnsi="Calibri" w:cs="Calibri"/>
                <w:color w:val="000000"/>
                <w:sz w:val="18"/>
                <w:szCs w:val="18"/>
                <w:lang w:val="es-CR" w:eastAsia="es-CR"/>
              </w:rPr>
              <w:t>% DE EJECUCIÓN</w:t>
            </w:r>
          </w:p>
        </w:tc>
      </w:tr>
      <w:tr w:rsidR="00322921" w:rsidRPr="00F050C9" w14:paraId="59B26999" w14:textId="77777777" w:rsidTr="00322921">
        <w:trPr>
          <w:trHeight w:val="260"/>
        </w:trPr>
        <w:tc>
          <w:tcPr>
            <w:tcW w:w="748" w:type="dxa"/>
            <w:tcBorders>
              <w:top w:val="nil"/>
              <w:left w:val="single" w:sz="4" w:space="0" w:color="auto"/>
              <w:bottom w:val="single" w:sz="4" w:space="0" w:color="auto"/>
              <w:right w:val="single" w:sz="4" w:space="0" w:color="auto"/>
            </w:tcBorders>
            <w:shd w:val="clear" w:color="auto" w:fill="auto"/>
            <w:noWrap/>
            <w:vAlign w:val="center"/>
            <w:hideMark/>
          </w:tcPr>
          <w:p w14:paraId="2B5CEA35" w14:textId="77777777" w:rsidR="00F050C9" w:rsidRPr="00F050C9" w:rsidRDefault="00F050C9" w:rsidP="00F050C9">
            <w:pPr>
              <w:spacing w:line="240" w:lineRule="auto"/>
              <w:jc w:val="center"/>
              <w:rPr>
                <w:rFonts w:ascii="Calibri" w:hAnsi="Calibri" w:cs="Calibri"/>
                <w:sz w:val="18"/>
                <w:szCs w:val="18"/>
                <w:lang w:val="es-CR" w:eastAsia="es-CR"/>
              </w:rPr>
            </w:pPr>
            <w:r w:rsidRPr="00F050C9">
              <w:rPr>
                <w:rFonts w:ascii="Calibri" w:hAnsi="Calibri" w:cs="Calibri"/>
                <w:sz w:val="18"/>
                <w:szCs w:val="18"/>
                <w:lang w:val="es-CR" w:eastAsia="es-CR"/>
              </w:rPr>
              <w:t>9.02.01</w:t>
            </w:r>
          </w:p>
        </w:tc>
        <w:tc>
          <w:tcPr>
            <w:tcW w:w="948" w:type="dxa"/>
            <w:tcBorders>
              <w:top w:val="nil"/>
              <w:left w:val="nil"/>
              <w:bottom w:val="single" w:sz="4" w:space="0" w:color="auto"/>
              <w:right w:val="single" w:sz="4" w:space="0" w:color="auto"/>
            </w:tcBorders>
            <w:shd w:val="clear" w:color="auto" w:fill="auto"/>
            <w:noWrap/>
            <w:vAlign w:val="center"/>
            <w:hideMark/>
          </w:tcPr>
          <w:p w14:paraId="2691B677" w14:textId="77777777" w:rsidR="00F050C9" w:rsidRPr="00F050C9" w:rsidRDefault="00F050C9" w:rsidP="00F050C9">
            <w:pPr>
              <w:spacing w:line="240" w:lineRule="auto"/>
              <w:jc w:val="center"/>
              <w:rPr>
                <w:rFonts w:ascii="Calibri" w:hAnsi="Calibri" w:cs="Calibri"/>
                <w:sz w:val="18"/>
                <w:szCs w:val="18"/>
                <w:lang w:val="es-CR" w:eastAsia="es-CR"/>
              </w:rPr>
            </w:pPr>
            <w:r w:rsidRPr="00F050C9">
              <w:rPr>
                <w:rFonts w:ascii="Calibri" w:hAnsi="Calibri" w:cs="Calibri"/>
                <w:sz w:val="18"/>
                <w:szCs w:val="18"/>
                <w:lang w:val="es-CR" w:eastAsia="es-CR"/>
              </w:rPr>
              <w:t>4</w:t>
            </w:r>
          </w:p>
        </w:tc>
        <w:tc>
          <w:tcPr>
            <w:tcW w:w="2324" w:type="dxa"/>
            <w:tcBorders>
              <w:top w:val="nil"/>
              <w:left w:val="nil"/>
              <w:bottom w:val="single" w:sz="4" w:space="0" w:color="auto"/>
              <w:right w:val="single" w:sz="4" w:space="0" w:color="auto"/>
            </w:tcBorders>
            <w:shd w:val="clear" w:color="auto" w:fill="auto"/>
            <w:noWrap/>
            <w:vAlign w:val="center"/>
            <w:hideMark/>
          </w:tcPr>
          <w:p w14:paraId="3F11CA73" w14:textId="77777777" w:rsidR="00F050C9" w:rsidRPr="00F050C9" w:rsidRDefault="00F050C9" w:rsidP="00F050C9">
            <w:pPr>
              <w:spacing w:line="240" w:lineRule="auto"/>
              <w:jc w:val="left"/>
              <w:rPr>
                <w:rFonts w:ascii="Calibri" w:hAnsi="Calibri" w:cs="Calibri"/>
                <w:sz w:val="18"/>
                <w:szCs w:val="18"/>
                <w:lang w:val="es-CR" w:eastAsia="es-CR"/>
              </w:rPr>
            </w:pPr>
            <w:r w:rsidRPr="00F050C9">
              <w:rPr>
                <w:rFonts w:ascii="Calibri" w:hAnsi="Calibri" w:cs="Calibri"/>
                <w:sz w:val="18"/>
                <w:szCs w:val="18"/>
                <w:lang w:val="es-CR" w:eastAsia="es-CR"/>
              </w:rPr>
              <w:t>Sumas libres sin asignación presupuestaria</w:t>
            </w:r>
          </w:p>
        </w:tc>
        <w:tc>
          <w:tcPr>
            <w:tcW w:w="1321" w:type="dxa"/>
            <w:tcBorders>
              <w:top w:val="nil"/>
              <w:left w:val="nil"/>
              <w:bottom w:val="single" w:sz="4" w:space="0" w:color="auto"/>
              <w:right w:val="single" w:sz="4" w:space="0" w:color="auto"/>
            </w:tcBorders>
            <w:shd w:val="clear" w:color="auto" w:fill="auto"/>
            <w:noWrap/>
            <w:vAlign w:val="center"/>
            <w:hideMark/>
          </w:tcPr>
          <w:p w14:paraId="289061BD" w14:textId="77777777" w:rsidR="00F050C9" w:rsidRPr="00F050C9" w:rsidRDefault="00F050C9" w:rsidP="00F050C9">
            <w:pPr>
              <w:spacing w:line="240" w:lineRule="auto"/>
              <w:jc w:val="right"/>
              <w:rPr>
                <w:rFonts w:ascii="Calibri" w:hAnsi="Calibri" w:cs="Calibri"/>
                <w:sz w:val="18"/>
                <w:szCs w:val="18"/>
                <w:lang w:val="es-CR" w:eastAsia="es-CR"/>
              </w:rPr>
            </w:pPr>
            <w:r w:rsidRPr="00F050C9">
              <w:rPr>
                <w:rFonts w:ascii="Calibri" w:hAnsi="Calibri" w:cs="Calibri"/>
                <w:sz w:val="18"/>
                <w:szCs w:val="18"/>
                <w:lang w:val="es-CR" w:eastAsia="es-CR"/>
              </w:rPr>
              <w:t>194 274 430</w:t>
            </w:r>
          </w:p>
        </w:tc>
        <w:tc>
          <w:tcPr>
            <w:tcW w:w="1231" w:type="dxa"/>
            <w:tcBorders>
              <w:top w:val="nil"/>
              <w:left w:val="nil"/>
              <w:bottom w:val="single" w:sz="4" w:space="0" w:color="auto"/>
              <w:right w:val="single" w:sz="4" w:space="0" w:color="auto"/>
            </w:tcBorders>
            <w:shd w:val="clear" w:color="auto" w:fill="auto"/>
            <w:noWrap/>
            <w:vAlign w:val="center"/>
            <w:hideMark/>
          </w:tcPr>
          <w:p w14:paraId="46025FD5" w14:textId="77777777" w:rsidR="00F050C9" w:rsidRPr="00F050C9" w:rsidRDefault="00F050C9" w:rsidP="00F050C9">
            <w:pPr>
              <w:spacing w:line="240" w:lineRule="auto"/>
              <w:jc w:val="right"/>
              <w:rPr>
                <w:rFonts w:ascii="Calibri" w:hAnsi="Calibri" w:cs="Calibri"/>
                <w:sz w:val="18"/>
                <w:szCs w:val="18"/>
                <w:lang w:val="es-CR" w:eastAsia="es-CR"/>
              </w:rPr>
            </w:pPr>
            <w:r w:rsidRPr="00F050C9">
              <w:rPr>
                <w:rFonts w:ascii="Calibri" w:hAnsi="Calibri" w:cs="Calibri"/>
                <w:sz w:val="18"/>
                <w:szCs w:val="18"/>
                <w:lang w:val="es-CR" w:eastAsia="es-CR"/>
              </w:rPr>
              <w:t>0</w:t>
            </w:r>
          </w:p>
        </w:tc>
        <w:tc>
          <w:tcPr>
            <w:tcW w:w="936" w:type="dxa"/>
            <w:tcBorders>
              <w:top w:val="nil"/>
              <w:left w:val="nil"/>
              <w:bottom w:val="single" w:sz="4" w:space="0" w:color="auto"/>
              <w:right w:val="single" w:sz="4" w:space="0" w:color="auto"/>
            </w:tcBorders>
            <w:shd w:val="clear" w:color="auto" w:fill="auto"/>
            <w:noWrap/>
            <w:vAlign w:val="center"/>
            <w:hideMark/>
          </w:tcPr>
          <w:p w14:paraId="642355DA" w14:textId="77777777" w:rsidR="00F050C9" w:rsidRPr="00F050C9" w:rsidRDefault="00F050C9" w:rsidP="00F050C9">
            <w:pPr>
              <w:spacing w:line="240" w:lineRule="auto"/>
              <w:jc w:val="right"/>
              <w:rPr>
                <w:rFonts w:ascii="Calibri" w:hAnsi="Calibri" w:cs="Calibri"/>
                <w:sz w:val="18"/>
                <w:szCs w:val="18"/>
                <w:lang w:val="es-CR" w:eastAsia="es-CR"/>
              </w:rPr>
            </w:pPr>
            <w:r w:rsidRPr="00F050C9">
              <w:rPr>
                <w:rFonts w:ascii="Calibri" w:hAnsi="Calibri" w:cs="Calibri"/>
                <w:sz w:val="18"/>
                <w:szCs w:val="18"/>
                <w:lang w:val="es-CR" w:eastAsia="es-CR"/>
              </w:rPr>
              <w:t>0</w:t>
            </w:r>
          </w:p>
        </w:tc>
        <w:tc>
          <w:tcPr>
            <w:tcW w:w="1112" w:type="dxa"/>
            <w:tcBorders>
              <w:top w:val="nil"/>
              <w:left w:val="nil"/>
              <w:bottom w:val="single" w:sz="4" w:space="0" w:color="auto"/>
              <w:right w:val="single" w:sz="4" w:space="0" w:color="auto"/>
            </w:tcBorders>
            <w:shd w:val="clear" w:color="auto" w:fill="auto"/>
            <w:noWrap/>
            <w:vAlign w:val="center"/>
            <w:hideMark/>
          </w:tcPr>
          <w:p w14:paraId="3AA1867B" w14:textId="77777777" w:rsidR="00F050C9" w:rsidRPr="00F050C9" w:rsidRDefault="00F050C9" w:rsidP="00F050C9">
            <w:pPr>
              <w:spacing w:line="240" w:lineRule="auto"/>
              <w:jc w:val="right"/>
              <w:rPr>
                <w:rFonts w:ascii="Calibri" w:hAnsi="Calibri" w:cs="Calibri"/>
                <w:sz w:val="18"/>
                <w:szCs w:val="18"/>
                <w:lang w:val="es-CR" w:eastAsia="es-CR"/>
              </w:rPr>
            </w:pPr>
            <w:r w:rsidRPr="00F050C9">
              <w:rPr>
                <w:rFonts w:ascii="Calibri" w:hAnsi="Calibri" w:cs="Calibri"/>
                <w:sz w:val="18"/>
                <w:szCs w:val="18"/>
                <w:lang w:val="es-CR" w:eastAsia="es-CR"/>
              </w:rPr>
              <w:t>194 274 430</w:t>
            </w:r>
          </w:p>
        </w:tc>
        <w:tc>
          <w:tcPr>
            <w:tcW w:w="1090" w:type="dxa"/>
            <w:tcBorders>
              <w:top w:val="nil"/>
              <w:left w:val="nil"/>
              <w:bottom w:val="single" w:sz="4" w:space="0" w:color="auto"/>
              <w:right w:val="single" w:sz="4" w:space="0" w:color="auto"/>
            </w:tcBorders>
            <w:shd w:val="clear" w:color="auto" w:fill="auto"/>
            <w:noWrap/>
            <w:vAlign w:val="center"/>
            <w:hideMark/>
          </w:tcPr>
          <w:p w14:paraId="61B0E0F1" w14:textId="77777777" w:rsidR="00F050C9" w:rsidRPr="00F050C9" w:rsidRDefault="00F050C9" w:rsidP="00F050C9">
            <w:pPr>
              <w:spacing w:line="240" w:lineRule="auto"/>
              <w:jc w:val="center"/>
              <w:rPr>
                <w:rFonts w:ascii="Calibri" w:hAnsi="Calibri" w:cs="Calibri"/>
                <w:sz w:val="18"/>
                <w:szCs w:val="18"/>
                <w:lang w:val="es-CR" w:eastAsia="es-CR"/>
              </w:rPr>
            </w:pPr>
            <w:r w:rsidRPr="00F050C9">
              <w:rPr>
                <w:rFonts w:ascii="Calibri" w:hAnsi="Calibri" w:cs="Calibri"/>
                <w:sz w:val="18"/>
                <w:szCs w:val="18"/>
                <w:lang w:val="es-CR" w:eastAsia="es-CR"/>
              </w:rPr>
              <w:t>0%</w:t>
            </w:r>
          </w:p>
        </w:tc>
      </w:tr>
      <w:tr w:rsidR="00376A26" w:rsidRPr="009D3204" w14:paraId="78057807" w14:textId="77777777" w:rsidTr="00322921">
        <w:trPr>
          <w:trHeight w:val="390"/>
        </w:trPr>
        <w:tc>
          <w:tcPr>
            <w:tcW w:w="748" w:type="dxa"/>
            <w:tcBorders>
              <w:top w:val="nil"/>
              <w:left w:val="nil"/>
              <w:bottom w:val="single" w:sz="8" w:space="0" w:color="2F75B5"/>
              <w:right w:val="nil"/>
            </w:tcBorders>
            <w:shd w:val="clear" w:color="DDEBF7" w:fill="DDEBF7"/>
            <w:noWrap/>
            <w:vAlign w:val="center"/>
            <w:hideMark/>
          </w:tcPr>
          <w:p w14:paraId="2C89E993" w14:textId="1DACFAAB" w:rsidR="00F050C9" w:rsidRPr="00F050C9" w:rsidRDefault="00F050C9" w:rsidP="00F050C9">
            <w:pPr>
              <w:spacing w:line="240" w:lineRule="auto"/>
              <w:jc w:val="center"/>
              <w:rPr>
                <w:rFonts w:ascii="Calibri" w:hAnsi="Calibri" w:cs="Calibri"/>
                <w:b/>
                <w:bCs/>
                <w:color w:val="000000"/>
                <w:sz w:val="18"/>
                <w:szCs w:val="18"/>
                <w:lang w:val="es-CR" w:eastAsia="es-CR"/>
              </w:rPr>
            </w:pPr>
            <w:r w:rsidRPr="00F050C9">
              <w:rPr>
                <w:rFonts w:ascii="Calibri" w:hAnsi="Calibri" w:cs="Calibri"/>
                <w:b/>
                <w:bCs/>
                <w:color w:val="000000"/>
                <w:sz w:val="18"/>
                <w:szCs w:val="18"/>
                <w:lang w:val="es-CR" w:eastAsia="es-CR"/>
              </w:rPr>
              <w:t xml:space="preserve">Total </w:t>
            </w:r>
          </w:p>
        </w:tc>
        <w:tc>
          <w:tcPr>
            <w:tcW w:w="948" w:type="dxa"/>
            <w:tcBorders>
              <w:top w:val="nil"/>
              <w:left w:val="nil"/>
              <w:bottom w:val="single" w:sz="8" w:space="0" w:color="2F75B5"/>
              <w:right w:val="nil"/>
            </w:tcBorders>
            <w:shd w:val="clear" w:color="DDEBF7" w:fill="DDEBF7"/>
            <w:noWrap/>
            <w:vAlign w:val="center"/>
            <w:hideMark/>
          </w:tcPr>
          <w:p w14:paraId="41D281D2" w14:textId="77777777" w:rsidR="00F050C9" w:rsidRPr="00F050C9" w:rsidRDefault="00F050C9" w:rsidP="00F050C9">
            <w:pPr>
              <w:spacing w:line="240" w:lineRule="auto"/>
              <w:jc w:val="center"/>
              <w:rPr>
                <w:rFonts w:ascii="Calibri" w:hAnsi="Calibri" w:cs="Calibri"/>
                <w:b/>
                <w:bCs/>
                <w:color w:val="000000"/>
                <w:sz w:val="18"/>
                <w:szCs w:val="18"/>
                <w:lang w:val="es-CR" w:eastAsia="es-CR"/>
              </w:rPr>
            </w:pPr>
            <w:r w:rsidRPr="00F050C9">
              <w:rPr>
                <w:rFonts w:ascii="Calibri" w:hAnsi="Calibri" w:cs="Calibri"/>
                <w:b/>
                <w:bCs/>
                <w:color w:val="000000"/>
                <w:sz w:val="18"/>
                <w:szCs w:val="18"/>
                <w:lang w:val="es-CR" w:eastAsia="es-CR"/>
              </w:rPr>
              <w:t> </w:t>
            </w:r>
          </w:p>
        </w:tc>
        <w:tc>
          <w:tcPr>
            <w:tcW w:w="2324" w:type="dxa"/>
            <w:tcBorders>
              <w:top w:val="nil"/>
              <w:left w:val="nil"/>
              <w:bottom w:val="single" w:sz="8" w:space="0" w:color="2F75B5"/>
              <w:right w:val="nil"/>
            </w:tcBorders>
            <w:shd w:val="clear" w:color="DDEBF7" w:fill="DDEBF7"/>
            <w:noWrap/>
            <w:vAlign w:val="center"/>
            <w:hideMark/>
          </w:tcPr>
          <w:p w14:paraId="43CB31D3" w14:textId="77777777" w:rsidR="00F050C9" w:rsidRPr="00F050C9" w:rsidRDefault="00F050C9" w:rsidP="00F050C9">
            <w:pPr>
              <w:spacing w:line="240" w:lineRule="auto"/>
              <w:jc w:val="center"/>
              <w:rPr>
                <w:rFonts w:ascii="Calibri" w:hAnsi="Calibri" w:cs="Calibri"/>
                <w:b/>
                <w:bCs/>
                <w:color w:val="000000"/>
                <w:sz w:val="18"/>
                <w:szCs w:val="18"/>
                <w:lang w:val="es-CR" w:eastAsia="es-CR"/>
              </w:rPr>
            </w:pPr>
            <w:r w:rsidRPr="00F050C9">
              <w:rPr>
                <w:rFonts w:ascii="Calibri" w:hAnsi="Calibri" w:cs="Calibri"/>
                <w:b/>
                <w:bCs/>
                <w:color w:val="000000"/>
                <w:sz w:val="18"/>
                <w:szCs w:val="18"/>
                <w:lang w:val="es-CR" w:eastAsia="es-CR"/>
              </w:rPr>
              <w:t> </w:t>
            </w:r>
          </w:p>
        </w:tc>
        <w:tc>
          <w:tcPr>
            <w:tcW w:w="1321" w:type="dxa"/>
            <w:tcBorders>
              <w:top w:val="nil"/>
              <w:left w:val="nil"/>
              <w:bottom w:val="single" w:sz="8" w:space="0" w:color="2F75B5"/>
              <w:right w:val="nil"/>
            </w:tcBorders>
            <w:shd w:val="clear" w:color="DDEBF7" w:fill="DDEBF7"/>
            <w:noWrap/>
            <w:vAlign w:val="center"/>
            <w:hideMark/>
          </w:tcPr>
          <w:p w14:paraId="65435201" w14:textId="77777777" w:rsidR="00F050C9" w:rsidRPr="00F050C9" w:rsidRDefault="00F050C9" w:rsidP="00F050C9">
            <w:pPr>
              <w:spacing w:line="240" w:lineRule="auto"/>
              <w:jc w:val="right"/>
              <w:rPr>
                <w:rFonts w:ascii="Calibri" w:hAnsi="Calibri" w:cs="Calibri"/>
                <w:b/>
                <w:bCs/>
                <w:color w:val="000000"/>
                <w:sz w:val="18"/>
                <w:szCs w:val="18"/>
                <w:lang w:val="es-CR" w:eastAsia="es-CR"/>
              </w:rPr>
            </w:pPr>
            <w:r w:rsidRPr="00F050C9">
              <w:rPr>
                <w:rFonts w:ascii="Calibri" w:hAnsi="Calibri" w:cs="Calibri"/>
                <w:b/>
                <w:bCs/>
                <w:color w:val="000000"/>
                <w:sz w:val="18"/>
                <w:szCs w:val="18"/>
                <w:lang w:val="es-CR" w:eastAsia="es-CR"/>
              </w:rPr>
              <w:t>194 274 430</w:t>
            </w:r>
          </w:p>
        </w:tc>
        <w:tc>
          <w:tcPr>
            <w:tcW w:w="1231" w:type="dxa"/>
            <w:tcBorders>
              <w:top w:val="nil"/>
              <w:left w:val="nil"/>
              <w:bottom w:val="single" w:sz="8" w:space="0" w:color="2F75B5"/>
              <w:right w:val="nil"/>
            </w:tcBorders>
            <w:shd w:val="clear" w:color="DDEBF7" w:fill="DDEBF7"/>
            <w:noWrap/>
            <w:vAlign w:val="center"/>
            <w:hideMark/>
          </w:tcPr>
          <w:p w14:paraId="62ADCED9" w14:textId="77777777" w:rsidR="00F050C9" w:rsidRPr="00F050C9" w:rsidRDefault="00F050C9" w:rsidP="00F050C9">
            <w:pPr>
              <w:spacing w:line="240" w:lineRule="auto"/>
              <w:jc w:val="right"/>
              <w:rPr>
                <w:rFonts w:ascii="Calibri" w:hAnsi="Calibri" w:cs="Calibri"/>
                <w:b/>
                <w:bCs/>
                <w:color w:val="000000"/>
                <w:sz w:val="18"/>
                <w:szCs w:val="18"/>
                <w:lang w:val="es-CR" w:eastAsia="es-CR"/>
              </w:rPr>
            </w:pPr>
            <w:r w:rsidRPr="00F050C9">
              <w:rPr>
                <w:rFonts w:ascii="Calibri" w:hAnsi="Calibri" w:cs="Calibri"/>
                <w:b/>
                <w:bCs/>
                <w:color w:val="000000"/>
                <w:sz w:val="18"/>
                <w:szCs w:val="18"/>
                <w:lang w:val="es-CR" w:eastAsia="es-CR"/>
              </w:rPr>
              <w:t>0</w:t>
            </w:r>
          </w:p>
        </w:tc>
        <w:tc>
          <w:tcPr>
            <w:tcW w:w="936" w:type="dxa"/>
            <w:tcBorders>
              <w:top w:val="nil"/>
              <w:left w:val="nil"/>
              <w:bottom w:val="single" w:sz="8" w:space="0" w:color="2F75B5"/>
              <w:right w:val="nil"/>
            </w:tcBorders>
            <w:shd w:val="clear" w:color="DDEBF7" w:fill="DDEBF7"/>
            <w:noWrap/>
            <w:vAlign w:val="center"/>
            <w:hideMark/>
          </w:tcPr>
          <w:p w14:paraId="40E5368B" w14:textId="77777777" w:rsidR="00F050C9" w:rsidRPr="00F050C9" w:rsidRDefault="00F050C9" w:rsidP="00F050C9">
            <w:pPr>
              <w:spacing w:line="240" w:lineRule="auto"/>
              <w:jc w:val="right"/>
              <w:rPr>
                <w:rFonts w:ascii="Calibri" w:hAnsi="Calibri" w:cs="Calibri"/>
                <w:b/>
                <w:bCs/>
                <w:color w:val="000000"/>
                <w:sz w:val="18"/>
                <w:szCs w:val="18"/>
                <w:lang w:val="es-CR" w:eastAsia="es-CR"/>
              </w:rPr>
            </w:pPr>
            <w:r w:rsidRPr="00F050C9">
              <w:rPr>
                <w:rFonts w:ascii="Calibri" w:hAnsi="Calibri" w:cs="Calibri"/>
                <w:b/>
                <w:bCs/>
                <w:color w:val="000000"/>
                <w:sz w:val="18"/>
                <w:szCs w:val="18"/>
                <w:lang w:val="es-CR" w:eastAsia="es-CR"/>
              </w:rPr>
              <w:t>0</w:t>
            </w:r>
          </w:p>
        </w:tc>
        <w:tc>
          <w:tcPr>
            <w:tcW w:w="1112" w:type="dxa"/>
            <w:tcBorders>
              <w:top w:val="nil"/>
              <w:left w:val="nil"/>
              <w:bottom w:val="single" w:sz="8" w:space="0" w:color="2F75B5"/>
              <w:right w:val="nil"/>
            </w:tcBorders>
            <w:shd w:val="clear" w:color="DDEBF7" w:fill="DDEBF7"/>
            <w:noWrap/>
            <w:vAlign w:val="center"/>
            <w:hideMark/>
          </w:tcPr>
          <w:p w14:paraId="346A58ED" w14:textId="77777777" w:rsidR="00F050C9" w:rsidRPr="00F050C9" w:rsidRDefault="00F050C9" w:rsidP="00F050C9">
            <w:pPr>
              <w:spacing w:line="240" w:lineRule="auto"/>
              <w:jc w:val="right"/>
              <w:rPr>
                <w:rFonts w:ascii="Calibri" w:hAnsi="Calibri" w:cs="Calibri"/>
                <w:b/>
                <w:bCs/>
                <w:color w:val="000000"/>
                <w:sz w:val="18"/>
                <w:szCs w:val="18"/>
                <w:lang w:val="es-CR" w:eastAsia="es-CR"/>
              </w:rPr>
            </w:pPr>
            <w:r w:rsidRPr="00F050C9">
              <w:rPr>
                <w:rFonts w:ascii="Calibri" w:hAnsi="Calibri" w:cs="Calibri"/>
                <w:b/>
                <w:bCs/>
                <w:color w:val="000000"/>
                <w:sz w:val="18"/>
                <w:szCs w:val="18"/>
                <w:lang w:val="es-CR" w:eastAsia="es-CR"/>
              </w:rPr>
              <w:t>194 274 430</w:t>
            </w:r>
          </w:p>
        </w:tc>
        <w:tc>
          <w:tcPr>
            <w:tcW w:w="1090" w:type="dxa"/>
            <w:tcBorders>
              <w:top w:val="nil"/>
              <w:left w:val="nil"/>
              <w:bottom w:val="single" w:sz="8" w:space="0" w:color="2F75B5"/>
              <w:right w:val="nil"/>
            </w:tcBorders>
            <w:shd w:val="clear" w:color="DDEBF7" w:fill="DDEBF7"/>
            <w:noWrap/>
            <w:vAlign w:val="center"/>
            <w:hideMark/>
          </w:tcPr>
          <w:p w14:paraId="6EE23B2F" w14:textId="77777777" w:rsidR="00F050C9" w:rsidRPr="00F050C9" w:rsidRDefault="00F050C9" w:rsidP="00F050C9">
            <w:pPr>
              <w:spacing w:line="240" w:lineRule="auto"/>
              <w:jc w:val="center"/>
              <w:rPr>
                <w:rFonts w:ascii="Calibri" w:hAnsi="Calibri" w:cs="Calibri"/>
                <w:b/>
                <w:bCs/>
                <w:color w:val="000000"/>
                <w:sz w:val="18"/>
                <w:szCs w:val="18"/>
                <w:lang w:val="es-CR" w:eastAsia="es-CR"/>
              </w:rPr>
            </w:pPr>
            <w:r w:rsidRPr="00F050C9">
              <w:rPr>
                <w:rFonts w:ascii="Calibri" w:hAnsi="Calibri" w:cs="Calibri"/>
                <w:b/>
                <w:bCs/>
                <w:color w:val="000000"/>
                <w:sz w:val="18"/>
                <w:szCs w:val="18"/>
                <w:lang w:val="es-CR" w:eastAsia="es-CR"/>
              </w:rPr>
              <w:t>0%</w:t>
            </w:r>
          </w:p>
        </w:tc>
      </w:tr>
    </w:tbl>
    <w:p w14:paraId="0E05A9EC" w14:textId="0A547A43" w:rsidR="00987F9A" w:rsidRDefault="00987F9A" w:rsidP="00DB7031">
      <w:pPr>
        <w:spacing w:line="240" w:lineRule="auto"/>
        <w:ind w:left="142"/>
        <w:jc w:val="left"/>
        <w:rPr>
          <w:rFonts w:asciiTheme="minorHAnsi" w:hAnsiTheme="minorHAnsi" w:cstheme="minorHAnsi"/>
          <w:sz w:val="18"/>
          <w:szCs w:val="22"/>
          <w:lang w:val="es-CR"/>
        </w:rPr>
      </w:pPr>
    </w:p>
    <w:p w14:paraId="4F949D10" w14:textId="77777777" w:rsidR="00DB7031" w:rsidRPr="0023319B" w:rsidRDefault="00DB7031" w:rsidP="00DB7031">
      <w:pPr>
        <w:rPr>
          <w:lang w:val="es-CR"/>
        </w:rPr>
      </w:pPr>
    </w:p>
    <w:p w14:paraId="4FE1A504" w14:textId="3D8C64AE" w:rsidR="00DB7031" w:rsidRPr="0023319B" w:rsidRDefault="00DB7031" w:rsidP="00DB7031">
      <w:pPr>
        <w:ind w:right="51"/>
        <w:rPr>
          <w:rFonts w:asciiTheme="minorHAnsi" w:hAnsiTheme="minorHAnsi" w:cstheme="minorHAnsi"/>
          <w:sz w:val="24"/>
          <w:szCs w:val="24"/>
          <w:lang w:val="es-CR"/>
        </w:rPr>
      </w:pPr>
      <w:r w:rsidRPr="0023319B">
        <w:rPr>
          <w:rFonts w:asciiTheme="minorHAnsi" w:hAnsiTheme="minorHAnsi" w:cstheme="minorHAnsi"/>
          <w:sz w:val="24"/>
          <w:szCs w:val="24"/>
          <w:lang w:val="es-CR"/>
        </w:rPr>
        <w:t xml:space="preserve">Esta cuenta incluye </w:t>
      </w:r>
      <w:r w:rsidR="00CF7F17" w:rsidRPr="0023319B">
        <w:rPr>
          <w:rFonts w:asciiTheme="minorHAnsi" w:hAnsiTheme="minorHAnsi" w:cstheme="minorHAnsi"/>
          <w:sz w:val="24"/>
          <w:szCs w:val="24"/>
          <w:lang w:val="es-CR"/>
        </w:rPr>
        <w:t>los</w:t>
      </w:r>
      <w:r w:rsidRPr="0023319B">
        <w:rPr>
          <w:rFonts w:asciiTheme="minorHAnsi" w:hAnsiTheme="minorHAnsi" w:cstheme="minorHAnsi"/>
          <w:sz w:val="24"/>
          <w:szCs w:val="24"/>
          <w:lang w:val="es-CR"/>
        </w:rPr>
        <w:t xml:space="preserve"> recursos que no tienen asignación presupuestaria determinada, las cuales provienen tanto de recursos libres como de recursos con destino específico lo que permite guardar el equilibrio presupuestario entre ingresos y gastos, al ubicar el exceso de ingresos sobre los gastos.</w:t>
      </w:r>
    </w:p>
    <w:p w14:paraId="538456FD" w14:textId="0318487C" w:rsidR="00170AEE" w:rsidRPr="0023319B" w:rsidRDefault="00170AEE" w:rsidP="00DB7031">
      <w:pPr>
        <w:ind w:right="51"/>
        <w:rPr>
          <w:rFonts w:asciiTheme="minorHAnsi" w:hAnsiTheme="minorHAnsi" w:cstheme="minorHAnsi"/>
          <w:sz w:val="24"/>
          <w:szCs w:val="24"/>
          <w:lang w:val="es-CR"/>
        </w:rPr>
      </w:pPr>
    </w:p>
    <w:p w14:paraId="55A1600A" w14:textId="34F249CF" w:rsidR="00170AEE" w:rsidRPr="0023319B" w:rsidRDefault="0092265F" w:rsidP="00DB7031">
      <w:pPr>
        <w:ind w:right="51"/>
        <w:rPr>
          <w:rFonts w:asciiTheme="minorHAnsi" w:hAnsiTheme="minorHAnsi" w:cstheme="minorHAnsi"/>
          <w:sz w:val="24"/>
          <w:szCs w:val="24"/>
          <w:lang w:val="es-CR"/>
        </w:rPr>
      </w:pPr>
      <w:r w:rsidRPr="0023319B">
        <w:rPr>
          <w:rFonts w:asciiTheme="minorHAnsi" w:hAnsiTheme="minorHAnsi" w:cstheme="minorHAnsi"/>
          <w:sz w:val="24"/>
          <w:szCs w:val="24"/>
          <w:lang w:val="es-CR"/>
        </w:rPr>
        <w:t xml:space="preserve">En esta oportunidad </w:t>
      </w:r>
      <w:r w:rsidR="00237948" w:rsidRPr="0023319B">
        <w:rPr>
          <w:rFonts w:asciiTheme="minorHAnsi" w:hAnsiTheme="minorHAnsi" w:cstheme="minorHAnsi"/>
          <w:sz w:val="24"/>
          <w:szCs w:val="24"/>
          <w:lang w:val="es-CR"/>
        </w:rPr>
        <w:t>el</w:t>
      </w:r>
      <w:r w:rsidR="00170AEE" w:rsidRPr="0023319B">
        <w:rPr>
          <w:rFonts w:asciiTheme="minorHAnsi" w:hAnsiTheme="minorHAnsi" w:cstheme="minorHAnsi"/>
          <w:sz w:val="24"/>
          <w:szCs w:val="24"/>
          <w:lang w:val="es-CR"/>
        </w:rPr>
        <w:t xml:space="preserve"> monto corresponde a </w:t>
      </w:r>
      <w:r w:rsidR="00FD5FF5" w:rsidRPr="0023319B">
        <w:rPr>
          <w:rFonts w:asciiTheme="minorHAnsi" w:hAnsiTheme="minorHAnsi" w:cstheme="minorHAnsi"/>
          <w:sz w:val="24"/>
          <w:szCs w:val="24"/>
          <w:lang w:val="es-CR"/>
        </w:rPr>
        <w:t xml:space="preserve">una </w:t>
      </w:r>
      <w:r w:rsidR="00F97463" w:rsidRPr="0023319B">
        <w:rPr>
          <w:rFonts w:asciiTheme="minorHAnsi" w:hAnsiTheme="minorHAnsi" w:cstheme="minorHAnsi"/>
          <w:sz w:val="24"/>
          <w:szCs w:val="24"/>
          <w:lang w:val="es-CR"/>
        </w:rPr>
        <w:t xml:space="preserve">solicitud expresa del departamento de Recursos Humanos del BCCR, para reclasificar </w:t>
      </w:r>
      <w:r w:rsidR="009D7B7B" w:rsidRPr="0023319B">
        <w:rPr>
          <w:rFonts w:asciiTheme="minorHAnsi" w:hAnsiTheme="minorHAnsi" w:cstheme="minorHAnsi"/>
          <w:sz w:val="24"/>
          <w:szCs w:val="24"/>
          <w:lang w:val="es-CR"/>
        </w:rPr>
        <w:t>aumentos salariales presupuestados, pero no concretados.</w:t>
      </w:r>
    </w:p>
    <w:p w14:paraId="1E846AAA" w14:textId="77777777" w:rsidR="00DB7031" w:rsidRPr="0023319B" w:rsidRDefault="00DB7031" w:rsidP="00DB7031">
      <w:pPr>
        <w:ind w:right="51"/>
        <w:rPr>
          <w:rFonts w:asciiTheme="minorHAnsi" w:hAnsiTheme="minorHAnsi" w:cstheme="minorHAnsi"/>
          <w:sz w:val="24"/>
          <w:szCs w:val="24"/>
          <w:lang w:val="es-CR"/>
        </w:rPr>
      </w:pPr>
    </w:p>
    <w:p w14:paraId="390BDF5E" w14:textId="7A1BD41F" w:rsidR="00170AEE" w:rsidRPr="0023319B" w:rsidRDefault="00170AEE">
      <w:pPr>
        <w:spacing w:line="240" w:lineRule="auto"/>
        <w:jc w:val="left"/>
        <w:rPr>
          <w:rFonts w:asciiTheme="minorHAnsi" w:hAnsiTheme="minorHAnsi" w:cstheme="minorHAnsi"/>
          <w:sz w:val="24"/>
          <w:szCs w:val="24"/>
          <w:lang w:val="es-CR"/>
        </w:rPr>
      </w:pPr>
      <w:r w:rsidRPr="0023319B">
        <w:rPr>
          <w:rFonts w:asciiTheme="minorHAnsi" w:hAnsiTheme="minorHAnsi" w:cstheme="minorHAnsi"/>
          <w:szCs w:val="24"/>
          <w:lang w:val="es-CR"/>
        </w:rPr>
        <w:br w:type="page"/>
      </w:r>
    </w:p>
    <w:p w14:paraId="384091D9" w14:textId="18095A07" w:rsidR="0031765B" w:rsidRPr="0023319B" w:rsidRDefault="0031765B" w:rsidP="00EA2546">
      <w:pPr>
        <w:pStyle w:val="Ttulo1"/>
        <w:numPr>
          <w:ilvl w:val="0"/>
          <w:numId w:val="24"/>
        </w:numPr>
        <w:pBdr>
          <w:bottom w:val="none" w:sz="0" w:space="0" w:color="auto"/>
        </w:pBdr>
        <w:shd w:val="clear" w:color="auto" w:fill="FFFFFF" w:themeFill="background1"/>
        <w:rPr>
          <w:rStyle w:val="nfasisintenso"/>
          <w:rFonts w:ascii="Arial" w:hAnsi="Arial" w:cs="Arial"/>
          <w:i w:val="0"/>
          <w:iCs w:val="0"/>
          <w:color w:val="auto"/>
          <w:sz w:val="28"/>
          <w:szCs w:val="22"/>
          <w:lang w:val="es-CR"/>
        </w:rPr>
      </w:pPr>
      <w:bookmarkStart w:id="83" w:name="_Toc61081383"/>
      <w:r w:rsidRPr="0023319B">
        <w:rPr>
          <w:rStyle w:val="nfasisintenso"/>
          <w:rFonts w:ascii="Arial" w:hAnsi="Arial" w:cs="Arial"/>
          <w:i w:val="0"/>
          <w:iCs w:val="0"/>
          <w:color w:val="auto"/>
          <w:sz w:val="28"/>
          <w:szCs w:val="22"/>
          <w:lang w:val="es-CR"/>
        </w:rPr>
        <w:t xml:space="preserve">Detalle de requisitos </w:t>
      </w:r>
      <w:r w:rsidR="00C669B4" w:rsidRPr="0023319B">
        <w:rPr>
          <w:rStyle w:val="nfasisintenso"/>
          <w:rFonts w:ascii="Arial" w:hAnsi="Arial" w:cs="Arial"/>
          <w:i w:val="0"/>
          <w:iCs w:val="0"/>
          <w:color w:val="auto"/>
          <w:sz w:val="28"/>
          <w:szCs w:val="22"/>
          <w:lang w:val="es-CR"/>
        </w:rPr>
        <w:t>varios</w:t>
      </w:r>
      <w:bookmarkEnd w:id="83"/>
    </w:p>
    <w:p w14:paraId="444BAEC4" w14:textId="77777777" w:rsidR="0031765B" w:rsidRPr="0023319B" w:rsidRDefault="0031765B" w:rsidP="0031765B">
      <w:pPr>
        <w:rPr>
          <w:sz w:val="24"/>
          <w:szCs w:val="24"/>
          <w:lang w:val="es-CR"/>
        </w:rPr>
      </w:pPr>
    </w:p>
    <w:p w14:paraId="12ECF941" w14:textId="63CED711" w:rsidR="00C669B4" w:rsidRPr="0023319B" w:rsidRDefault="00C669B4" w:rsidP="00A9221D">
      <w:pPr>
        <w:pStyle w:val="Ttulo3"/>
        <w:rPr>
          <w:i/>
          <w:sz w:val="20"/>
          <w:szCs w:val="16"/>
        </w:rPr>
      </w:pPr>
      <w:bookmarkStart w:id="84" w:name="_Toc61081384"/>
      <w:r w:rsidRPr="0023319B">
        <w:t>Detalle de transferencias giradas</w:t>
      </w:r>
      <w:r w:rsidR="00557E69" w:rsidRPr="0023319B">
        <w:t xml:space="preserve"> </w:t>
      </w:r>
      <w:r w:rsidR="00557E69" w:rsidRPr="0023319B">
        <w:rPr>
          <w:i/>
          <w:sz w:val="20"/>
          <w:szCs w:val="16"/>
        </w:rPr>
        <w:t>(4.3.15.b.iv)</w:t>
      </w:r>
      <w:bookmarkEnd w:id="84"/>
    </w:p>
    <w:p w14:paraId="6037B720" w14:textId="345F435A" w:rsidR="00C669B4" w:rsidRPr="0023319B" w:rsidRDefault="00C669B4" w:rsidP="00C669B4">
      <w:pPr>
        <w:spacing w:line="360" w:lineRule="auto"/>
        <w:ind w:right="51"/>
        <w:rPr>
          <w:rFonts w:asciiTheme="minorHAnsi" w:hAnsiTheme="minorHAnsi" w:cstheme="minorHAnsi"/>
          <w:sz w:val="24"/>
          <w:szCs w:val="24"/>
          <w:lang w:val="es-CR"/>
        </w:rPr>
      </w:pPr>
      <w:r w:rsidRPr="0023319B">
        <w:rPr>
          <w:rFonts w:asciiTheme="minorHAnsi" w:hAnsiTheme="minorHAnsi" w:cstheme="minorHAnsi"/>
          <w:sz w:val="24"/>
          <w:szCs w:val="24"/>
          <w:lang w:val="es-CR"/>
        </w:rPr>
        <w:t>La SUPEN no realiza transferencias</w:t>
      </w:r>
      <w:r w:rsidR="00D53505" w:rsidRPr="0023319B">
        <w:rPr>
          <w:rFonts w:asciiTheme="minorHAnsi" w:hAnsiTheme="minorHAnsi" w:cstheme="minorHAnsi"/>
          <w:sz w:val="24"/>
          <w:szCs w:val="24"/>
          <w:lang w:val="es-CR"/>
        </w:rPr>
        <w:t xml:space="preserve"> presupuestarias</w:t>
      </w:r>
      <w:r w:rsidRPr="0023319B">
        <w:rPr>
          <w:rFonts w:asciiTheme="minorHAnsi" w:hAnsiTheme="minorHAnsi" w:cstheme="minorHAnsi"/>
          <w:sz w:val="24"/>
          <w:szCs w:val="24"/>
          <w:lang w:val="es-CR"/>
        </w:rPr>
        <w:t xml:space="preserve">, en consecuencia, ese detalle no </w:t>
      </w:r>
      <w:r w:rsidR="00DA7594" w:rsidRPr="0023319B">
        <w:rPr>
          <w:rFonts w:asciiTheme="minorHAnsi" w:hAnsiTheme="minorHAnsi" w:cstheme="minorHAnsi"/>
          <w:sz w:val="24"/>
          <w:szCs w:val="24"/>
          <w:lang w:val="es-CR"/>
        </w:rPr>
        <w:t>se adjunta</w:t>
      </w:r>
      <w:r w:rsidRPr="0023319B">
        <w:rPr>
          <w:rFonts w:asciiTheme="minorHAnsi" w:hAnsiTheme="minorHAnsi" w:cstheme="minorHAnsi"/>
          <w:sz w:val="24"/>
          <w:szCs w:val="24"/>
          <w:lang w:val="es-CR"/>
        </w:rPr>
        <w:t xml:space="preserve"> en este informe.</w:t>
      </w:r>
    </w:p>
    <w:p w14:paraId="54793930" w14:textId="77777777" w:rsidR="00C669B4" w:rsidRPr="0023319B" w:rsidRDefault="00C669B4" w:rsidP="00C669B4">
      <w:pPr>
        <w:ind w:right="51"/>
        <w:rPr>
          <w:rFonts w:asciiTheme="minorHAnsi" w:hAnsiTheme="minorHAnsi" w:cstheme="minorHAnsi"/>
          <w:sz w:val="24"/>
          <w:szCs w:val="24"/>
          <w:lang w:val="es-CR"/>
        </w:rPr>
      </w:pPr>
    </w:p>
    <w:p w14:paraId="4993DC39" w14:textId="5C5B79D7" w:rsidR="00C669B4" w:rsidRPr="0023319B" w:rsidRDefault="00C669B4" w:rsidP="00A9221D">
      <w:pPr>
        <w:pStyle w:val="Ttulo3"/>
      </w:pPr>
      <w:bookmarkStart w:id="85" w:name="_Toc61081385"/>
      <w:bookmarkStart w:id="86" w:name="_Hlk510617842"/>
      <w:r w:rsidRPr="0023319B">
        <w:t>Detalle de préstamos, amortización e intereses</w:t>
      </w:r>
      <w:r w:rsidR="00557E69" w:rsidRPr="0023319B">
        <w:t xml:space="preserve"> </w:t>
      </w:r>
      <w:r w:rsidR="00557E69" w:rsidRPr="0023319B">
        <w:rPr>
          <w:i/>
          <w:sz w:val="20"/>
          <w:szCs w:val="16"/>
        </w:rPr>
        <w:t>(4.3.15.b.v)</w:t>
      </w:r>
      <w:bookmarkEnd w:id="85"/>
    </w:p>
    <w:p w14:paraId="345C38D7" w14:textId="77777777" w:rsidR="00C669B4" w:rsidRPr="0023319B" w:rsidRDefault="00C669B4" w:rsidP="00C669B4">
      <w:pPr>
        <w:spacing w:line="360" w:lineRule="auto"/>
        <w:ind w:right="51"/>
        <w:rPr>
          <w:rFonts w:asciiTheme="minorHAnsi" w:hAnsiTheme="minorHAnsi" w:cstheme="minorHAnsi"/>
          <w:sz w:val="24"/>
          <w:szCs w:val="24"/>
          <w:lang w:val="es-CR"/>
        </w:rPr>
      </w:pPr>
      <w:r w:rsidRPr="0023319B">
        <w:rPr>
          <w:rFonts w:asciiTheme="minorHAnsi" w:hAnsiTheme="minorHAnsi" w:cstheme="minorHAnsi"/>
          <w:sz w:val="24"/>
          <w:szCs w:val="24"/>
          <w:lang w:val="es-CR"/>
        </w:rPr>
        <w:t>Por la naturaleza de la SUPEN y la forma de financiar el presupuesto, no requiere de préstamos, por lo que ese detalle no aplica adjuntarlo en este informe.</w:t>
      </w:r>
    </w:p>
    <w:p w14:paraId="50FD509E" w14:textId="77777777" w:rsidR="00C669B4" w:rsidRPr="0023319B" w:rsidRDefault="00C669B4" w:rsidP="00C669B4">
      <w:pPr>
        <w:ind w:right="51"/>
        <w:rPr>
          <w:rFonts w:asciiTheme="minorHAnsi" w:hAnsiTheme="minorHAnsi" w:cstheme="minorHAnsi"/>
          <w:sz w:val="24"/>
          <w:szCs w:val="24"/>
          <w:lang w:val="es-CR"/>
        </w:rPr>
      </w:pPr>
    </w:p>
    <w:p w14:paraId="210AA64D" w14:textId="079A1E21" w:rsidR="00C669B4" w:rsidRPr="0023319B" w:rsidRDefault="00C669B4" w:rsidP="00A9221D">
      <w:pPr>
        <w:pStyle w:val="Ttulo3"/>
      </w:pPr>
      <w:bookmarkStart w:id="87" w:name="_Toc61081386"/>
      <w:r w:rsidRPr="0023319B">
        <w:t>Identificación de necesidades de ajustes a nivel presupuestario</w:t>
      </w:r>
      <w:r w:rsidR="00557E69" w:rsidRPr="0023319B">
        <w:t xml:space="preserve"> </w:t>
      </w:r>
      <w:r w:rsidR="00557E69" w:rsidRPr="0023319B">
        <w:rPr>
          <w:i/>
          <w:sz w:val="20"/>
          <w:szCs w:val="16"/>
        </w:rPr>
        <w:t>(4.3.15.b.vi)</w:t>
      </w:r>
      <w:bookmarkEnd w:id="87"/>
    </w:p>
    <w:p w14:paraId="359978CB" w14:textId="609BD1ED" w:rsidR="00C669B4" w:rsidRPr="0023319B" w:rsidRDefault="00814C6F" w:rsidP="001D11F6">
      <w:pPr>
        <w:pStyle w:val="Prrafodelista"/>
        <w:numPr>
          <w:ilvl w:val="0"/>
          <w:numId w:val="17"/>
        </w:numPr>
        <w:spacing w:line="360" w:lineRule="auto"/>
        <w:ind w:right="51"/>
        <w:rPr>
          <w:rFonts w:asciiTheme="minorHAnsi" w:hAnsiTheme="minorHAnsi" w:cstheme="minorHAnsi"/>
          <w:sz w:val="24"/>
          <w:szCs w:val="24"/>
          <w:lang w:val="es-CR"/>
        </w:rPr>
      </w:pPr>
      <w:r w:rsidRPr="0023319B">
        <w:rPr>
          <w:rFonts w:asciiTheme="minorHAnsi" w:hAnsiTheme="minorHAnsi" w:cstheme="minorHAnsi"/>
          <w:sz w:val="24"/>
          <w:szCs w:val="24"/>
          <w:lang w:val="es-CR"/>
        </w:rPr>
        <w:t>P</w:t>
      </w:r>
      <w:r w:rsidR="002A5B45" w:rsidRPr="0023319B">
        <w:rPr>
          <w:rFonts w:asciiTheme="minorHAnsi" w:hAnsiTheme="minorHAnsi" w:cstheme="minorHAnsi"/>
          <w:sz w:val="24"/>
          <w:szCs w:val="24"/>
          <w:lang w:val="es-CR"/>
        </w:rPr>
        <w:t>rimer</w:t>
      </w:r>
      <w:r w:rsidR="005375B8" w:rsidRPr="0023319B">
        <w:rPr>
          <w:rFonts w:asciiTheme="minorHAnsi" w:hAnsiTheme="minorHAnsi" w:cstheme="minorHAnsi"/>
          <w:sz w:val="24"/>
          <w:szCs w:val="24"/>
          <w:lang w:val="es-CR"/>
        </w:rPr>
        <w:t>a</w:t>
      </w:r>
      <w:r w:rsidR="004B39D3" w:rsidRPr="0023319B">
        <w:rPr>
          <w:rFonts w:asciiTheme="minorHAnsi" w:hAnsiTheme="minorHAnsi" w:cstheme="minorHAnsi"/>
          <w:sz w:val="24"/>
          <w:szCs w:val="24"/>
          <w:lang w:val="es-CR"/>
        </w:rPr>
        <w:t>,</w:t>
      </w:r>
      <w:r w:rsidR="001D2DE7" w:rsidRPr="0023319B">
        <w:rPr>
          <w:rFonts w:asciiTheme="minorHAnsi" w:hAnsiTheme="minorHAnsi" w:cstheme="minorHAnsi"/>
          <w:sz w:val="24"/>
          <w:szCs w:val="24"/>
          <w:lang w:val="es-CR"/>
        </w:rPr>
        <w:t xml:space="preserve"> </w:t>
      </w:r>
      <w:r w:rsidR="0005242A" w:rsidRPr="0023319B">
        <w:rPr>
          <w:rFonts w:asciiTheme="minorHAnsi" w:hAnsiTheme="minorHAnsi" w:cstheme="minorHAnsi"/>
          <w:sz w:val="24"/>
          <w:szCs w:val="24"/>
          <w:lang w:val="es-CR"/>
        </w:rPr>
        <w:t>adquirir el programa de auditoría Team</w:t>
      </w:r>
      <w:r w:rsidR="001C503E" w:rsidRPr="0023319B">
        <w:rPr>
          <w:rFonts w:asciiTheme="minorHAnsi" w:hAnsiTheme="minorHAnsi" w:cstheme="minorHAnsi"/>
          <w:sz w:val="24"/>
          <w:szCs w:val="24"/>
          <w:lang w:val="es-CR"/>
        </w:rPr>
        <w:t xml:space="preserve"> </w:t>
      </w:r>
      <w:r w:rsidR="0005242A" w:rsidRPr="0023319B">
        <w:rPr>
          <w:rFonts w:asciiTheme="minorHAnsi" w:hAnsiTheme="minorHAnsi" w:cstheme="minorHAnsi"/>
          <w:sz w:val="24"/>
          <w:szCs w:val="24"/>
          <w:lang w:val="es-CR"/>
        </w:rPr>
        <w:t xml:space="preserve">Mate, </w:t>
      </w:r>
      <w:r w:rsidR="001A6FD3" w:rsidRPr="0023319B">
        <w:rPr>
          <w:rFonts w:asciiTheme="minorHAnsi" w:hAnsiTheme="minorHAnsi" w:cstheme="minorHAnsi"/>
          <w:sz w:val="24"/>
          <w:szCs w:val="24"/>
          <w:lang w:val="es-CR"/>
        </w:rPr>
        <w:t xml:space="preserve">por la suma de </w:t>
      </w:r>
      <w:r w:rsidR="001A6FD3" w:rsidRPr="0023319B">
        <w:rPr>
          <w:rFonts w:asciiTheme="minorHAnsi" w:hAnsiTheme="minorHAnsi" w:cstheme="minorHAnsi"/>
          <w:szCs w:val="24"/>
          <w:lang w:val="es-CR"/>
        </w:rPr>
        <w:t>¢</w:t>
      </w:r>
      <w:r w:rsidR="001A6FD3" w:rsidRPr="0023319B">
        <w:rPr>
          <w:rFonts w:asciiTheme="minorHAnsi" w:hAnsiTheme="minorHAnsi" w:cstheme="minorHAnsi"/>
          <w:sz w:val="24"/>
          <w:szCs w:val="24"/>
          <w:lang w:val="es-CR"/>
        </w:rPr>
        <w:t xml:space="preserve">77,5 millones </w:t>
      </w:r>
      <w:r w:rsidR="0005242A" w:rsidRPr="0023319B">
        <w:rPr>
          <w:rFonts w:asciiTheme="minorHAnsi" w:hAnsiTheme="minorHAnsi" w:cstheme="minorHAnsi"/>
          <w:sz w:val="24"/>
          <w:szCs w:val="24"/>
          <w:lang w:val="es-CR"/>
        </w:rPr>
        <w:t>para satisfacer las necesidades de las áreas de supervisión</w:t>
      </w:r>
      <w:r w:rsidR="00C669B4" w:rsidRPr="0023319B">
        <w:rPr>
          <w:rFonts w:asciiTheme="minorHAnsi" w:hAnsiTheme="minorHAnsi" w:cstheme="minorHAnsi"/>
          <w:sz w:val="24"/>
          <w:szCs w:val="24"/>
          <w:lang w:val="es-CR"/>
        </w:rPr>
        <w:t>.</w:t>
      </w:r>
    </w:p>
    <w:p w14:paraId="3D31C488" w14:textId="38A93ED4" w:rsidR="006B796E" w:rsidRPr="0023319B" w:rsidRDefault="004B39D3" w:rsidP="001D11F6">
      <w:pPr>
        <w:pStyle w:val="Prrafodelista"/>
        <w:numPr>
          <w:ilvl w:val="0"/>
          <w:numId w:val="17"/>
        </w:numPr>
        <w:spacing w:line="360" w:lineRule="auto"/>
        <w:ind w:right="51"/>
        <w:rPr>
          <w:rFonts w:asciiTheme="minorHAnsi" w:hAnsiTheme="minorHAnsi" w:cstheme="minorHAnsi"/>
          <w:sz w:val="24"/>
          <w:szCs w:val="24"/>
          <w:lang w:val="es-CR"/>
        </w:rPr>
      </w:pPr>
      <w:r w:rsidRPr="0023319B">
        <w:rPr>
          <w:rFonts w:asciiTheme="minorHAnsi" w:hAnsiTheme="minorHAnsi" w:cstheme="minorHAnsi"/>
          <w:sz w:val="24"/>
          <w:szCs w:val="24"/>
          <w:lang w:val="es-CR"/>
        </w:rPr>
        <w:t>S</w:t>
      </w:r>
      <w:r w:rsidR="00D2402E" w:rsidRPr="0023319B">
        <w:rPr>
          <w:rFonts w:asciiTheme="minorHAnsi" w:hAnsiTheme="minorHAnsi" w:cstheme="minorHAnsi"/>
          <w:sz w:val="24"/>
          <w:szCs w:val="24"/>
          <w:lang w:val="es-CR"/>
        </w:rPr>
        <w:t>egunda</w:t>
      </w:r>
      <w:r w:rsidRPr="0023319B">
        <w:rPr>
          <w:rFonts w:asciiTheme="minorHAnsi" w:hAnsiTheme="minorHAnsi" w:cstheme="minorHAnsi"/>
          <w:sz w:val="24"/>
          <w:szCs w:val="24"/>
          <w:lang w:val="es-CR"/>
        </w:rPr>
        <w:t>,</w:t>
      </w:r>
      <w:r w:rsidR="001D2DE7" w:rsidRPr="0023319B">
        <w:rPr>
          <w:rFonts w:asciiTheme="minorHAnsi" w:hAnsiTheme="minorHAnsi" w:cstheme="minorHAnsi"/>
          <w:sz w:val="24"/>
          <w:szCs w:val="24"/>
          <w:lang w:val="es-CR"/>
        </w:rPr>
        <w:t xml:space="preserve"> ajuste de las partidas y subpartidas correspondientes a las cuentas de remuneraciones, por la suma de </w:t>
      </w:r>
      <w:r w:rsidR="001D2DE7" w:rsidRPr="0023319B">
        <w:rPr>
          <w:rFonts w:asciiTheme="minorHAnsi" w:hAnsiTheme="minorHAnsi" w:cstheme="minorHAnsi"/>
          <w:szCs w:val="24"/>
          <w:lang w:val="es-CR"/>
        </w:rPr>
        <w:t>¢</w:t>
      </w:r>
      <w:r w:rsidR="001D2DE7" w:rsidRPr="0023319B">
        <w:rPr>
          <w:rFonts w:asciiTheme="minorHAnsi" w:hAnsiTheme="minorHAnsi" w:cstheme="minorHAnsi"/>
          <w:sz w:val="24"/>
          <w:szCs w:val="24"/>
          <w:lang w:val="es-CR"/>
        </w:rPr>
        <w:t>8,0 millones, para ejecutar el aumento de salario aprobado</w:t>
      </w:r>
      <w:r w:rsidR="00A567EE" w:rsidRPr="0023319B">
        <w:rPr>
          <w:rFonts w:asciiTheme="minorHAnsi" w:hAnsiTheme="minorHAnsi" w:cstheme="minorHAnsi"/>
          <w:sz w:val="24"/>
          <w:szCs w:val="24"/>
          <w:lang w:val="es-CR"/>
        </w:rPr>
        <w:t>.</w:t>
      </w:r>
    </w:p>
    <w:p w14:paraId="56296E28" w14:textId="6DB57A62" w:rsidR="00B12CF0" w:rsidRPr="0023319B" w:rsidRDefault="004B39D3" w:rsidP="001D11F6">
      <w:pPr>
        <w:pStyle w:val="Prrafodelista"/>
        <w:numPr>
          <w:ilvl w:val="0"/>
          <w:numId w:val="17"/>
        </w:numPr>
        <w:spacing w:line="360" w:lineRule="auto"/>
        <w:ind w:right="51"/>
        <w:rPr>
          <w:rFonts w:asciiTheme="minorHAnsi" w:hAnsiTheme="minorHAnsi" w:cstheme="minorHAnsi"/>
          <w:sz w:val="24"/>
          <w:szCs w:val="24"/>
          <w:lang w:val="es-CR"/>
        </w:rPr>
      </w:pPr>
      <w:r w:rsidRPr="0023319B">
        <w:rPr>
          <w:rFonts w:asciiTheme="minorHAnsi" w:hAnsiTheme="minorHAnsi" w:cstheme="minorHAnsi"/>
          <w:sz w:val="24"/>
          <w:szCs w:val="24"/>
          <w:lang w:val="es-CR"/>
        </w:rPr>
        <w:t xml:space="preserve">Tercera, </w:t>
      </w:r>
      <w:r w:rsidR="001D2DE7" w:rsidRPr="0023319B">
        <w:rPr>
          <w:rFonts w:asciiTheme="minorHAnsi" w:hAnsiTheme="minorHAnsi" w:cstheme="minorHAnsi"/>
          <w:sz w:val="24"/>
          <w:szCs w:val="24"/>
          <w:lang w:val="es-CR"/>
        </w:rPr>
        <w:t>dotar de recursos adicionales la cuenta pa</w:t>
      </w:r>
      <w:r w:rsidR="00966B31" w:rsidRPr="0023319B">
        <w:rPr>
          <w:rFonts w:asciiTheme="minorHAnsi" w:hAnsiTheme="minorHAnsi" w:cstheme="minorHAnsi"/>
          <w:sz w:val="24"/>
          <w:szCs w:val="24"/>
          <w:lang w:val="es-CR"/>
        </w:rPr>
        <w:t>r</w:t>
      </w:r>
      <w:r w:rsidR="001D2DE7" w:rsidRPr="0023319B">
        <w:rPr>
          <w:rFonts w:asciiTheme="minorHAnsi" w:hAnsiTheme="minorHAnsi" w:cstheme="minorHAnsi"/>
          <w:sz w:val="24"/>
          <w:szCs w:val="24"/>
          <w:lang w:val="es-CR"/>
        </w:rPr>
        <w:t xml:space="preserve">a el pago de recargos y sustituciones por la suma de </w:t>
      </w:r>
      <w:r w:rsidR="001D2DE7" w:rsidRPr="0023319B">
        <w:rPr>
          <w:rFonts w:asciiTheme="minorHAnsi" w:hAnsiTheme="minorHAnsi" w:cstheme="minorHAnsi"/>
          <w:szCs w:val="24"/>
          <w:lang w:val="es-CR"/>
        </w:rPr>
        <w:t>¢</w:t>
      </w:r>
      <w:r w:rsidR="001D2DE7" w:rsidRPr="0023319B">
        <w:rPr>
          <w:rFonts w:asciiTheme="minorHAnsi" w:hAnsiTheme="minorHAnsi" w:cstheme="minorHAnsi"/>
          <w:sz w:val="24"/>
          <w:szCs w:val="24"/>
          <w:lang w:val="es-CR"/>
        </w:rPr>
        <w:t>27,5 millones y la cuenta para la compra de materiales de limpieza por ¢3,5 millones</w:t>
      </w:r>
      <w:r w:rsidR="00B12CF0" w:rsidRPr="0023319B">
        <w:rPr>
          <w:rFonts w:asciiTheme="minorHAnsi" w:hAnsiTheme="minorHAnsi" w:cstheme="minorHAnsi"/>
          <w:sz w:val="24"/>
          <w:szCs w:val="24"/>
          <w:lang w:val="es-CR"/>
        </w:rPr>
        <w:t>.</w:t>
      </w:r>
    </w:p>
    <w:p w14:paraId="60A1504F" w14:textId="3776D8BF" w:rsidR="00B12CF0" w:rsidRPr="0023319B" w:rsidRDefault="004B39D3" w:rsidP="001D11F6">
      <w:pPr>
        <w:pStyle w:val="Prrafodelista"/>
        <w:numPr>
          <w:ilvl w:val="0"/>
          <w:numId w:val="17"/>
        </w:numPr>
        <w:spacing w:line="360" w:lineRule="auto"/>
        <w:ind w:right="51"/>
        <w:rPr>
          <w:rFonts w:asciiTheme="minorHAnsi" w:hAnsiTheme="minorHAnsi" w:cstheme="minorHAnsi"/>
          <w:sz w:val="24"/>
          <w:szCs w:val="24"/>
          <w:lang w:val="es-CR"/>
        </w:rPr>
      </w:pPr>
      <w:r w:rsidRPr="0023319B">
        <w:rPr>
          <w:rFonts w:asciiTheme="minorHAnsi" w:hAnsiTheme="minorHAnsi" w:cstheme="minorHAnsi"/>
          <w:sz w:val="24"/>
          <w:szCs w:val="24"/>
          <w:lang w:val="es-CR"/>
        </w:rPr>
        <w:t xml:space="preserve">Cuarta, </w:t>
      </w:r>
      <w:r w:rsidR="007B64E0" w:rsidRPr="0023319B">
        <w:rPr>
          <w:rFonts w:asciiTheme="minorHAnsi" w:hAnsiTheme="minorHAnsi" w:cstheme="minorHAnsi"/>
          <w:sz w:val="24"/>
          <w:szCs w:val="24"/>
          <w:lang w:val="es-CR"/>
        </w:rPr>
        <w:t xml:space="preserve">ajustar cuentas de remuneraciones por </w:t>
      </w:r>
      <w:r w:rsidR="007E74C3" w:rsidRPr="0023319B">
        <w:rPr>
          <w:rFonts w:asciiTheme="minorHAnsi" w:hAnsiTheme="minorHAnsi" w:cstheme="minorHAnsi"/>
          <w:sz w:val="24"/>
          <w:szCs w:val="24"/>
          <w:lang w:val="es-CR"/>
        </w:rPr>
        <w:t>¢</w:t>
      </w:r>
      <w:r w:rsidR="007B64E0" w:rsidRPr="0023319B">
        <w:rPr>
          <w:rFonts w:asciiTheme="minorHAnsi" w:hAnsiTheme="minorHAnsi" w:cstheme="minorHAnsi"/>
          <w:sz w:val="24"/>
          <w:szCs w:val="24"/>
          <w:lang w:val="es-CR"/>
        </w:rPr>
        <w:t>3,9 m</w:t>
      </w:r>
      <w:r w:rsidR="007E74C3" w:rsidRPr="0023319B">
        <w:rPr>
          <w:rFonts w:asciiTheme="minorHAnsi" w:hAnsiTheme="minorHAnsi" w:cstheme="minorHAnsi"/>
          <w:sz w:val="24"/>
          <w:szCs w:val="24"/>
          <w:lang w:val="es-CR"/>
        </w:rPr>
        <w:t>i</w:t>
      </w:r>
      <w:r w:rsidR="007B64E0" w:rsidRPr="0023319B">
        <w:rPr>
          <w:rFonts w:asciiTheme="minorHAnsi" w:hAnsiTheme="minorHAnsi" w:cstheme="minorHAnsi"/>
          <w:sz w:val="24"/>
          <w:szCs w:val="24"/>
          <w:lang w:val="es-CR"/>
        </w:rPr>
        <w:t xml:space="preserve">llones y reclasificar sobrantes </w:t>
      </w:r>
      <w:r w:rsidR="007E74C3" w:rsidRPr="0023319B">
        <w:rPr>
          <w:rFonts w:asciiTheme="minorHAnsi" w:hAnsiTheme="minorHAnsi" w:cstheme="minorHAnsi"/>
          <w:sz w:val="24"/>
          <w:szCs w:val="24"/>
          <w:lang w:val="es-CR"/>
        </w:rPr>
        <w:t xml:space="preserve">por aumentos salariales no concretados </w:t>
      </w:r>
      <w:r w:rsidR="007B64E0" w:rsidRPr="0023319B">
        <w:rPr>
          <w:rFonts w:asciiTheme="minorHAnsi" w:hAnsiTheme="minorHAnsi" w:cstheme="minorHAnsi"/>
          <w:sz w:val="24"/>
          <w:szCs w:val="24"/>
          <w:lang w:val="es-CR"/>
        </w:rPr>
        <w:t xml:space="preserve">a la partida denominada sumas libres sin asignación presupuestaria, por </w:t>
      </w:r>
      <w:r w:rsidR="007E74C3" w:rsidRPr="0023319B">
        <w:rPr>
          <w:rFonts w:asciiTheme="minorHAnsi" w:hAnsiTheme="minorHAnsi" w:cstheme="minorHAnsi"/>
          <w:sz w:val="24"/>
          <w:szCs w:val="24"/>
          <w:lang w:val="es-CR"/>
        </w:rPr>
        <w:t>¢</w:t>
      </w:r>
      <w:r w:rsidR="007B64E0" w:rsidRPr="0023319B">
        <w:rPr>
          <w:rFonts w:asciiTheme="minorHAnsi" w:hAnsiTheme="minorHAnsi" w:cstheme="minorHAnsi"/>
          <w:sz w:val="24"/>
          <w:szCs w:val="24"/>
          <w:lang w:val="es-CR"/>
        </w:rPr>
        <w:t>199,</w:t>
      </w:r>
      <w:r w:rsidR="007E74C3" w:rsidRPr="0023319B">
        <w:rPr>
          <w:rFonts w:asciiTheme="minorHAnsi" w:hAnsiTheme="minorHAnsi" w:cstheme="minorHAnsi"/>
          <w:sz w:val="24"/>
          <w:szCs w:val="24"/>
          <w:lang w:val="es-CR"/>
        </w:rPr>
        <w:t>3 millones</w:t>
      </w:r>
      <w:r w:rsidR="00B12CF0" w:rsidRPr="0023319B">
        <w:rPr>
          <w:rFonts w:asciiTheme="minorHAnsi" w:hAnsiTheme="minorHAnsi" w:cstheme="minorHAnsi"/>
          <w:sz w:val="24"/>
          <w:szCs w:val="24"/>
          <w:lang w:val="es-CR"/>
        </w:rPr>
        <w:t>.</w:t>
      </w:r>
    </w:p>
    <w:p w14:paraId="2478FAA0" w14:textId="54A5DE30" w:rsidR="00B12CF0" w:rsidRPr="0023319B" w:rsidRDefault="004B39D3" w:rsidP="001D11F6">
      <w:pPr>
        <w:pStyle w:val="Prrafodelista"/>
        <w:numPr>
          <w:ilvl w:val="0"/>
          <w:numId w:val="17"/>
        </w:numPr>
        <w:spacing w:line="360" w:lineRule="auto"/>
        <w:ind w:right="51"/>
        <w:rPr>
          <w:rFonts w:asciiTheme="minorHAnsi" w:hAnsiTheme="minorHAnsi" w:cstheme="minorHAnsi"/>
          <w:sz w:val="24"/>
          <w:szCs w:val="24"/>
          <w:lang w:val="es-CR"/>
        </w:rPr>
      </w:pPr>
      <w:r w:rsidRPr="0023319B">
        <w:rPr>
          <w:rFonts w:asciiTheme="minorHAnsi" w:hAnsiTheme="minorHAnsi" w:cstheme="minorHAnsi"/>
          <w:sz w:val="24"/>
          <w:szCs w:val="24"/>
          <w:lang w:val="es-CR"/>
        </w:rPr>
        <w:t xml:space="preserve">Quinta, </w:t>
      </w:r>
      <w:r w:rsidR="00CE559B" w:rsidRPr="0023319B">
        <w:rPr>
          <w:rFonts w:asciiTheme="minorHAnsi" w:hAnsiTheme="minorHAnsi" w:cstheme="minorHAnsi"/>
          <w:sz w:val="24"/>
          <w:szCs w:val="24"/>
          <w:lang w:val="es-CR"/>
        </w:rPr>
        <w:t>dotar de recursos adicion</w:t>
      </w:r>
      <w:r w:rsidR="008D7042" w:rsidRPr="0023319B">
        <w:rPr>
          <w:rFonts w:asciiTheme="minorHAnsi" w:hAnsiTheme="minorHAnsi" w:cstheme="minorHAnsi"/>
          <w:sz w:val="24"/>
          <w:szCs w:val="24"/>
          <w:lang w:val="es-CR"/>
        </w:rPr>
        <w:t>a</w:t>
      </w:r>
      <w:r w:rsidR="00CE559B" w:rsidRPr="0023319B">
        <w:rPr>
          <w:rFonts w:asciiTheme="minorHAnsi" w:hAnsiTheme="minorHAnsi" w:cstheme="minorHAnsi"/>
          <w:sz w:val="24"/>
          <w:szCs w:val="24"/>
          <w:lang w:val="es-CR"/>
        </w:rPr>
        <w:t xml:space="preserve">les a las partidas </w:t>
      </w:r>
      <w:r w:rsidR="008D7042" w:rsidRPr="0023319B">
        <w:rPr>
          <w:rFonts w:asciiTheme="minorHAnsi" w:hAnsiTheme="minorHAnsi" w:cstheme="minorHAnsi"/>
          <w:sz w:val="24"/>
          <w:szCs w:val="24"/>
          <w:lang w:val="es-CR"/>
        </w:rPr>
        <w:t>“</w:t>
      </w:r>
      <w:r w:rsidR="00CE559B" w:rsidRPr="0023319B">
        <w:rPr>
          <w:rFonts w:asciiTheme="minorHAnsi" w:hAnsiTheme="minorHAnsi" w:cstheme="minorHAnsi"/>
          <w:sz w:val="24"/>
          <w:szCs w:val="24"/>
          <w:lang w:val="es-CR"/>
        </w:rPr>
        <w:t>tiempo extraordinario</w:t>
      </w:r>
      <w:r w:rsidR="008D7042" w:rsidRPr="0023319B">
        <w:rPr>
          <w:rFonts w:asciiTheme="minorHAnsi" w:hAnsiTheme="minorHAnsi" w:cstheme="minorHAnsi"/>
          <w:sz w:val="24"/>
          <w:szCs w:val="24"/>
          <w:lang w:val="es-CR"/>
        </w:rPr>
        <w:t>”</w:t>
      </w:r>
      <w:r w:rsidR="00C265FA" w:rsidRPr="0023319B">
        <w:rPr>
          <w:rFonts w:asciiTheme="minorHAnsi" w:hAnsiTheme="minorHAnsi" w:cstheme="minorHAnsi"/>
          <w:sz w:val="24"/>
          <w:szCs w:val="24"/>
          <w:lang w:val="es-CR"/>
        </w:rPr>
        <w:t xml:space="preserve"> y la “recargos y sustituciones”</w:t>
      </w:r>
      <w:r w:rsidR="00CE559B" w:rsidRPr="0023319B">
        <w:rPr>
          <w:rFonts w:asciiTheme="minorHAnsi" w:hAnsiTheme="minorHAnsi" w:cstheme="minorHAnsi"/>
          <w:sz w:val="24"/>
          <w:szCs w:val="24"/>
          <w:lang w:val="es-CR"/>
        </w:rPr>
        <w:t xml:space="preserve"> por la ¢</w:t>
      </w:r>
      <w:r w:rsidR="008D7042" w:rsidRPr="0023319B">
        <w:rPr>
          <w:rFonts w:asciiTheme="minorHAnsi" w:hAnsiTheme="minorHAnsi" w:cstheme="minorHAnsi"/>
          <w:sz w:val="24"/>
          <w:szCs w:val="24"/>
          <w:lang w:val="es-CR"/>
        </w:rPr>
        <w:t>0,</w:t>
      </w:r>
      <w:r w:rsidR="00CE559B" w:rsidRPr="0023319B">
        <w:rPr>
          <w:rFonts w:asciiTheme="minorHAnsi" w:hAnsiTheme="minorHAnsi" w:cstheme="minorHAnsi"/>
          <w:sz w:val="24"/>
          <w:szCs w:val="24"/>
          <w:lang w:val="es-CR"/>
        </w:rPr>
        <w:t>7</w:t>
      </w:r>
      <w:r w:rsidR="008D7042" w:rsidRPr="0023319B">
        <w:rPr>
          <w:rFonts w:asciiTheme="minorHAnsi" w:hAnsiTheme="minorHAnsi" w:cstheme="minorHAnsi"/>
          <w:sz w:val="24"/>
          <w:szCs w:val="24"/>
          <w:lang w:val="es-CR"/>
        </w:rPr>
        <w:t xml:space="preserve"> millones</w:t>
      </w:r>
      <w:r w:rsidR="00CE559B" w:rsidRPr="0023319B">
        <w:rPr>
          <w:rFonts w:asciiTheme="minorHAnsi" w:hAnsiTheme="minorHAnsi" w:cstheme="minorHAnsi"/>
          <w:sz w:val="24"/>
          <w:szCs w:val="24"/>
          <w:lang w:val="es-CR"/>
        </w:rPr>
        <w:t xml:space="preserve"> </w:t>
      </w:r>
      <w:r w:rsidR="00C265FA" w:rsidRPr="0023319B">
        <w:rPr>
          <w:rFonts w:asciiTheme="minorHAnsi" w:hAnsiTheme="minorHAnsi" w:cstheme="minorHAnsi"/>
          <w:sz w:val="24"/>
          <w:szCs w:val="24"/>
          <w:lang w:val="es-CR"/>
        </w:rPr>
        <w:t>y</w:t>
      </w:r>
      <w:r w:rsidR="00CE559B" w:rsidRPr="0023319B">
        <w:rPr>
          <w:rFonts w:asciiTheme="minorHAnsi" w:hAnsiTheme="minorHAnsi" w:cstheme="minorHAnsi"/>
          <w:sz w:val="24"/>
          <w:szCs w:val="24"/>
          <w:lang w:val="es-CR"/>
        </w:rPr>
        <w:t xml:space="preserve"> </w:t>
      </w:r>
      <w:r w:rsidR="007F34E9" w:rsidRPr="0023319B">
        <w:rPr>
          <w:rFonts w:asciiTheme="minorHAnsi" w:hAnsiTheme="minorHAnsi" w:cstheme="minorHAnsi"/>
          <w:sz w:val="24"/>
          <w:szCs w:val="24"/>
          <w:lang w:val="es-CR"/>
        </w:rPr>
        <w:t>¢</w:t>
      </w:r>
      <w:r w:rsidR="00CE559B" w:rsidRPr="0023319B">
        <w:rPr>
          <w:rFonts w:asciiTheme="minorHAnsi" w:hAnsiTheme="minorHAnsi" w:cstheme="minorHAnsi"/>
          <w:sz w:val="24"/>
          <w:szCs w:val="24"/>
          <w:lang w:val="es-CR"/>
        </w:rPr>
        <w:t>10,0</w:t>
      </w:r>
      <w:r w:rsidR="007F34E9" w:rsidRPr="0023319B">
        <w:rPr>
          <w:rFonts w:asciiTheme="minorHAnsi" w:hAnsiTheme="minorHAnsi" w:cstheme="minorHAnsi"/>
          <w:sz w:val="24"/>
          <w:szCs w:val="24"/>
          <w:lang w:val="es-CR"/>
        </w:rPr>
        <w:t xml:space="preserve"> millones</w:t>
      </w:r>
      <w:r w:rsidR="00C265FA" w:rsidRPr="0023319B">
        <w:rPr>
          <w:rFonts w:asciiTheme="minorHAnsi" w:hAnsiTheme="minorHAnsi" w:cstheme="minorHAnsi"/>
          <w:sz w:val="24"/>
          <w:szCs w:val="24"/>
          <w:lang w:val="es-CR"/>
        </w:rPr>
        <w:t xml:space="preserve"> respectivamente</w:t>
      </w:r>
      <w:r w:rsidR="00B12CF0" w:rsidRPr="0023319B">
        <w:rPr>
          <w:rFonts w:asciiTheme="minorHAnsi" w:hAnsiTheme="minorHAnsi" w:cstheme="minorHAnsi"/>
          <w:sz w:val="24"/>
          <w:szCs w:val="24"/>
          <w:lang w:val="es-CR"/>
        </w:rPr>
        <w:t>.</w:t>
      </w:r>
    </w:p>
    <w:p w14:paraId="6332B926" w14:textId="2B396410" w:rsidR="00B12CF0" w:rsidRPr="0023319B" w:rsidRDefault="004B39D3" w:rsidP="001D11F6">
      <w:pPr>
        <w:pStyle w:val="Prrafodelista"/>
        <w:numPr>
          <w:ilvl w:val="0"/>
          <w:numId w:val="17"/>
        </w:numPr>
        <w:spacing w:line="360" w:lineRule="auto"/>
        <w:ind w:right="51"/>
        <w:rPr>
          <w:rFonts w:asciiTheme="minorHAnsi" w:hAnsiTheme="minorHAnsi" w:cstheme="minorHAnsi"/>
          <w:sz w:val="24"/>
          <w:szCs w:val="24"/>
          <w:lang w:val="es-CR"/>
        </w:rPr>
      </w:pPr>
      <w:r w:rsidRPr="0023319B">
        <w:rPr>
          <w:rFonts w:asciiTheme="minorHAnsi" w:hAnsiTheme="minorHAnsi" w:cstheme="minorHAnsi"/>
          <w:sz w:val="24"/>
          <w:szCs w:val="24"/>
          <w:lang w:val="es-CR"/>
        </w:rPr>
        <w:t xml:space="preserve">Sexta, </w:t>
      </w:r>
      <w:r w:rsidR="00812FF3" w:rsidRPr="0023319B">
        <w:rPr>
          <w:rFonts w:asciiTheme="minorHAnsi" w:hAnsiTheme="minorHAnsi" w:cstheme="minorHAnsi"/>
          <w:sz w:val="24"/>
          <w:szCs w:val="24"/>
          <w:lang w:val="es-CR"/>
        </w:rPr>
        <w:t>aplicar un ajuste en el aporte patronal del Fondo de Capitalización Laboral (FCL) y el Régimen Obligatorio de Pensiones Complementarias (ROPC)</w:t>
      </w:r>
      <w:r w:rsidR="00F30D3B" w:rsidRPr="0023319B">
        <w:rPr>
          <w:rFonts w:asciiTheme="minorHAnsi" w:hAnsiTheme="minorHAnsi" w:cstheme="minorHAnsi"/>
          <w:sz w:val="24"/>
          <w:szCs w:val="24"/>
          <w:lang w:val="es-CR"/>
        </w:rPr>
        <w:t xml:space="preserve">, de acuerdo con la Ley N°9906, por la suma de </w:t>
      </w:r>
      <w:r w:rsidR="00D553CF" w:rsidRPr="0023319B">
        <w:rPr>
          <w:rFonts w:asciiTheme="minorHAnsi" w:hAnsiTheme="minorHAnsi" w:cstheme="minorHAnsi"/>
          <w:sz w:val="24"/>
          <w:szCs w:val="24"/>
          <w:lang w:val="es-CR"/>
        </w:rPr>
        <w:t>¢1,9 millones</w:t>
      </w:r>
      <w:r w:rsidR="00433D33" w:rsidRPr="0023319B">
        <w:rPr>
          <w:rFonts w:asciiTheme="minorHAnsi" w:hAnsiTheme="minorHAnsi" w:cstheme="minorHAnsi"/>
          <w:sz w:val="24"/>
          <w:szCs w:val="24"/>
          <w:lang w:val="es-CR"/>
        </w:rPr>
        <w:t>.</w:t>
      </w:r>
    </w:p>
    <w:p w14:paraId="477049C8" w14:textId="5C798048" w:rsidR="00433D33" w:rsidRPr="0023319B" w:rsidRDefault="004B39D3" w:rsidP="001D11F6">
      <w:pPr>
        <w:pStyle w:val="Prrafodelista"/>
        <w:numPr>
          <w:ilvl w:val="0"/>
          <w:numId w:val="17"/>
        </w:numPr>
        <w:spacing w:line="360" w:lineRule="auto"/>
        <w:ind w:right="51"/>
        <w:rPr>
          <w:rFonts w:asciiTheme="minorHAnsi" w:hAnsiTheme="minorHAnsi" w:cstheme="minorHAnsi"/>
          <w:sz w:val="24"/>
          <w:szCs w:val="24"/>
          <w:lang w:val="es-CR"/>
        </w:rPr>
      </w:pPr>
      <w:r w:rsidRPr="0023319B">
        <w:rPr>
          <w:rFonts w:asciiTheme="minorHAnsi" w:hAnsiTheme="minorHAnsi" w:cstheme="minorHAnsi"/>
          <w:sz w:val="24"/>
          <w:szCs w:val="24"/>
          <w:lang w:val="es-CR"/>
        </w:rPr>
        <w:t>S</w:t>
      </w:r>
      <w:r w:rsidR="00964214" w:rsidRPr="0023319B">
        <w:rPr>
          <w:rFonts w:asciiTheme="minorHAnsi" w:hAnsiTheme="minorHAnsi" w:cstheme="minorHAnsi"/>
          <w:sz w:val="24"/>
          <w:szCs w:val="24"/>
          <w:lang w:val="es-CR"/>
        </w:rPr>
        <w:t>é</w:t>
      </w:r>
      <w:r w:rsidRPr="0023319B">
        <w:rPr>
          <w:rFonts w:asciiTheme="minorHAnsi" w:hAnsiTheme="minorHAnsi" w:cstheme="minorHAnsi"/>
          <w:sz w:val="24"/>
          <w:szCs w:val="24"/>
          <w:lang w:val="es-CR"/>
        </w:rPr>
        <w:t xml:space="preserve">tima, </w:t>
      </w:r>
      <w:r w:rsidR="003960AE" w:rsidRPr="0023319B">
        <w:rPr>
          <w:rFonts w:asciiTheme="minorHAnsi" w:hAnsiTheme="minorHAnsi" w:cstheme="minorHAnsi"/>
          <w:sz w:val="24"/>
          <w:szCs w:val="24"/>
          <w:lang w:val="es-CR"/>
        </w:rPr>
        <w:t>dotar de recursos adicionales</w:t>
      </w:r>
      <w:r w:rsidR="001627B7" w:rsidRPr="0023319B">
        <w:rPr>
          <w:rFonts w:asciiTheme="minorHAnsi" w:hAnsiTheme="minorHAnsi" w:cstheme="minorHAnsi"/>
          <w:sz w:val="24"/>
          <w:szCs w:val="24"/>
          <w:lang w:val="es-CR"/>
        </w:rPr>
        <w:t xml:space="preserve"> en la compra de programas de cómputo,</w:t>
      </w:r>
      <w:r w:rsidR="003960AE" w:rsidRPr="0023319B">
        <w:rPr>
          <w:rFonts w:asciiTheme="minorHAnsi" w:hAnsiTheme="minorHAnsi" w:cstheme="minorHAnsi"/>
          <w:sz w:val="24"/>
          <w:szCs w:val="24"/>
          <w:lang w:val="es-CR"/>
        </w:rPr>
        <w:t xml:space="preserve"> para</w:t>
      </w:r>
      <w:r w:rsidR="002B77FF" w:rsidRPr="0023319B">
        <w:rPr>
          <w:rFonts w:asciiTheme="minorHAnsi" w:hAnsiTheme="minorHAnsi" w:cstheme="minorHAnsi"/>
          <w:sz w:val="24"/>
          <w:szCs w:val="24"/>
          <w:lang w:val="es-CR"/>
        </w:rPr>
        <w:t xml:space="preserve"> estar cubiertos en una eventual var</w:t>
      </w:r>
      <w:r w:rsidR="007E1E1F" w:rsidRPr="0023319B">
        <w:rPr>
          <w:rFonts w:asciiTheme="minorHAnsi" w:hAnsiTheme="minorHAnsi" w:cstheme="minorHAnsi"/>
          <w:sz w:val="24"/>
          <w:szCs w:val="24"/>
          <w:lang w:val="es-CR"/>
        </w:rPr>
        <w:t>ia</w:t>
      </w:r>
      <w:r w:rsidR="002B77FF" w:rsidRPr="0023319B">
        <w:rPr>
          <w:rFonts w:asciiTheme="minorHAnsi" w:hAnsiTheme="minorHAnsi" w:cstheme="minorHAnsi"/>
          <w:sz w:val="24"/>
          <w:szCs w:val="24"/>
          <w:lang w:val="es-CR"/>
        </w:rPr>
        <w:t>ción del tipo de cambio</w:t>
      </w:r>
      <w:r w:rsidR="007E1E1F" w:rsidRPr="0023319B">
        <w:rPr>
          <w:rFonts w:asciiTheme="minorHAnsi" w:hAnsiTheme="minorHAnsi" w:cstheme="minorHAnsi"/>
          <w:sz w:val="24"/>
          <w:szCs w:val="24"/>
          <w:lang w:val="es-CR"/>
        </w:rPr>
        <w:t>, por la suma de ¢5,0 millones</w:t>
      </w:r>
      <w:r w:rsidR="00433D33" w:rsidRPr="0023319B">
        <w:rPr>
          <w:rFonts w:asciiTheme="minorHAnsi" w:hAnsiTheme="minorHAnsi" w:cstheme="minorHAnsi"/>
          <w:sz w:val="24"/>
          <w:szCs w:val="24"/>
          <w:lang w:val="es-CR"/>
        </w:rPr>
        <w:t>.</w:t>
      </w:r>
    </w:p>
    <w:bookmarkEnd w:id="86"/>
    <w:p w14:paraId="5BBBD08C" w14:textId="77777777" w:rsidR="00C669B4" w:rsidRPr="0023319B" w:rsidRDefault="00C669B4" w:rsidP="00C669B4">
      <w:pPr>
        <w:spacing w:line="360" w:lineRule="auto"/>
        <w:ind w:right="51"/>
        <w:rPr>
          <w:rFonts w:asciiTheme="minorHAnsi" w:hAnsiTheme="minorHAnsi" w:cstheme="minorHAnsi"/>
          <w:sz w:val="24"/>
          <w:szCs w:val="24"/>
          <w:lang w:val="es-CR"/>
        </w:rPr>
      </w:pPr>
    </w:p>
    <w:p w14:paraId="4F3C6BAB" w14:textId="41BBC056" w:rsidR="00C669B4" w:rsidRPr="0023319B" w:rsidRDefault="00C669B4" w:rsidP="00A9221D">
      <w:pPr>
        <w:pStyle w:val="Ttulo3"/>
      </w:pPr>
      <w:bookmarkStart w:id="88" w:name="_Toc61081387"/>
      <w:r w:rsidRPr="0023319B">
        <w:t>Inversión Pública</w:t>
      </w:r>
      <w:r w:rsidR="00557E69" w:rsidRPr="0023319B">
        <w:t xml:space="preserve"> </w:t>
      </w:r>
      <w:r w:rsidR="00557E69" w:rsidRPr="0023319B">
        <w:rPr>
          <w:i/>
          <w:sz w:val="20"/>
          <w:szCs w:val="16"/>
        </w:rPr>
        <w:t>(4.3.15.b.ii)</w:t>
      </w:r>
      <w:bookmarkEnd w:id="88"/>
    </w:p>
    <w:p w14:paraId="52B93C3F" w14:textId="6CB59910" w:rsidR="00C669B4" w:rsidRPr="0023319B" w:rsidRDefault="00C669B4" w:rsidP="00C669B4">
      <w:pPr>
        <w:spacing w:line="360" w:lineRule="auto"/>
        <w:ind w:right="51"/>
        <w:rPr>
          <w:rFonts w:asciiTheme="minorHAnsi" w:hAnsiTheme="minorHAnsi" w:cstheme="minorHAnsi"/>
          <w:sz w:val="24"/>
          <w:szCs w:val="24"/>
          <w:lang w:val="es-CR"/>
        </w:rPr>
      </w:pPr>
      <w:r w:rsidRPr="0023319B">
        <w:rPr>
          <w:rFonts w:asciiTheme="minorHAnsi" w:hAnsiTheme="minorHAnsi" w:cstheme="minorHAnsi"/>
          <w:sz w:val="24"/>
          <w:szCs w:val="24"/>
          <w:lang w:val="es-CR"/>
        </w:rPr>
        <w:t xml:space="preserve">La SUPEN no </w:t>
      </w:r>
      <w:r w:rsidR="00E15615" w:rsidRPr="0023319B">
        <w:rPr>
          <w:rFonts w:asciiTheme="minorHAnsi" w:hAnsiTheme="minorHAnsi" w:cstheme="minorHAnsi"/>
          <w:sz w:val="24"/>
          <w:szCs w:val="24"/>
          <w:lang w:val="es-CR"/>
        </w:rPr>
        <w:t>incluyó</w:t>
      </w:r>
      <w:r w:rsidRPr="0023319B">
        <w:rPr>
          <w:rFonts w:asciiTheme="minorHAnsi" w:hAnsiTheme="minorHAnsi" w:cstheme="minorHAnsi"/>
          <w:sz w:val="24"/>
          <w:szCs w:val="24"/>
          <w:lang w:val="es-CR"/>
        </w:rPr>
        <w:t xml:space="preserve"> en el presupuesto proyectos de inversión pública, por lo tanto, no se adjunta el detalle correspondiente al avance de logros.</w:t>
      </w:r>
    </w:p>
    <w:p w14:paraId="27492DF5" w14:textId="77777777" w:rsidR="00C669B4" w:rsidRPr="0023319B" w:rsidRDefault="00C669B4" w:rsidP="00C669B4">
      <w:pPr>
        <w:spacing w:line="360" w:lineRule="auto"/>
        <w:ind w:right="51"/>
        <w:rPr>
          <w:rFonts w:asciiTheme="minorHAnsi" w:hAnsiTheme="minorHAnsi" w:cstheme="minorHAnsi"/>
          <w:sz w:val="24"/>
          <w:szCs w:val="24"/>
          <w:lang w:val="es-CR"/>
        </w:rPr>
      </w:pPr>
    </w:p>
    <w:p w14:paraId="3D74C727" w14:textId="090F7C7E" w:rsidR="00C669B4" w:rsidRPr="0023319B" w:rsidRDefault="00C669B4" w:rsidP="00A9221D">
      <w:pPr>
        <w:pStyle w:val="Ttulo3"/>
      </w:pPr>
      <w:bookmarkStart w:id="89" w:name="_Toc61081388"/>
      <w:r w:rsidRPr="0023319B">
        <w:t>Estados Financieros</w:t>
      </w:r>
      <w:r w:rsidR="00576EC1" w:rsidRPr="0023319B">
        <w:t xml:space="preserve"> </w:t>
      </w:r>
      <w:r w:rsidR="00576EC1" w:rsidRPr="0023319B">
        <w:rPr>
          <w:i/>
          <w:sz w:val="20"/>
          <w:szCs w:val="16"/>
        </w:rPr>
        <w:t>(4.3.15.b.vii)</w:t>
      </w:r>
      <w:bookmarkEnd w:id="89"/>
    </w:p>
    <w:p w14:paraId="26131C18" w14:textId="51C57C24" w:rsidR="00C669B4" w:rsidRPr="0023319B" w:rsidRDefault="00C669B4" w:rsidP="00C669B4">
      <w:pPr>
        <w:spacing w:line="360" w:lineRule="auto"/>
        <w:ind w:right="51"/>
        <w:rPr>
          <w:rFonts w:asciiTheme="minorHAnsi" w:hAnsiTheme="minorHAnsi" w:cstheme="minorHAnsi"/>
          <w:sz w:val="24"/>
          <w:szCs w:val="24"/>
          <w:lang w:val="es-CR"/>
        </w:rPr>
      </w:pPr>
      <w:r w:rsidRPr="0023319B">
        <w:rPr>
          <w:rFonts w:asciiTheme="minorHAnsi" w:hAnsiTheme="minorHAnsi" w:cstheme="minorHAnsi"/>
          <w:sz w:val="24"/>
          <w:szCs w:val="24"/>
          <w:lang w:val="es-CR"/>
        </w:rPr>
        <w:t xml:space="preserve">La SUPEN </w:t>
      </w:r>
      <w:r w:rsidR="00FF0B09" w:rsidRPr="0023319B">
        <w:rPr>
          <w:rFonts w:asciiTheme="minorHAnsi" w:hAnsiTheme="minorHAnsi" w:cstheme="minorHAnsi"/>
          <w:sz w:val="24"/>
          <w:szCs w:val="24"/>
          <w:lang w:val="es-CR"/>
        </w:rPr>
        <w:t>es</w:t>
      </w:r>
      <w:r w:rsidRPr="0023319B">
        <w:rPr>
          <w:rFonts w:asciiTheme="minorHAnsi" w:hAnsiTheme="minorHAnsi" w:cstheme="minorHAnsi"/>
          <w:sz w:val="24"/>
          <w:szCs w:val="24"/>
          <w:lang w:val="es-CR"/>
        </w:rPr>
        <w:t xml:space="preserve"> un Órgano de Desconcentración Máxima adscrito al BCCR, </w:t>
      </w:r>
      <w:r w:rsidR="00FF0B09" w:rsidRPr="0023319B">
        <w:rPr>
          <w:rFonts w:asciiTheme="minorHAnsi" w:hAnsiTheme="minorHAnsi" w:cstheme="minorHAnsi"/>
          <w:sz w:val="24"/>
          <w:szCs w:val="24"/>
          <w:lang w:val="es-CR"/>
        </w:rPr>
        <w:t xml:space="preserve">por lo que </w:t>
      </w:r>
      <w:r w:rsidRPr="0023319B">
        <w:rPr>
          <w:rFonts w:asciiTheme="minorHAnsi" w:hAnsiTheme="minorHAnsi" w:cstheme="minorHAnsi"/>
          <w:sz w:val="24"/>
          <w:szCs w:val="24"/>
          <w:lang w:val="es-CR"/>
        </w:rPr>
        <w:t xml:space="preserve">no emite estados financieros, esos </w:t>
      </w:r>
      <w:r w:rsidR="00066A8E" w:rsidRPr="0023319B">
        <w:rPr>
          <w:rFonts w:asciiTheme="minorHAnsi" w:hAnsiTheme="minorHAnsi" w:cstheme="minorHAnsi"/>
          <w:sz w:val="24"/>
          <w:szCs w:val="24"/>
          <w:lang w:val="es-CR"/>
        </w:rPr>
        <w:t>detalles</w:t>
      </w:r>
      <w:r w:rsidRPr="0023319B">
        <w:rPr>
          <w:rFonts w:asciiTheme="minorHAnsi" w:hAnsiTheme="minorHAnsi" w:cstheme="minorHAnsi"/>
          <w:sz w:val="24"/>
          <w:szCs w:val="24"/>
          <w:lang w:val="es-CR"/>
        </w:rPr>
        <w:t xml:space="preserve"> </w:t>
      </w:r>
      <w:r w:rsidR="00C6484E" w:rsidRPr="0023319B">
        <w:rPr>
          <w:rFonts w:asciiTheme="minorHAnsi" w:hAnsiTheme="minorHAnsi" w:cstheme="minorHAnsi"/>
          <w:sz w:val="24"/>
          <w:szCs w:val="24"/>
          <w:lang w:val="es-CR"/>
        </w:rPr>
        <w:t xml:space="preserve">financieros </w:t>
      </w:r>
      <w:r w:rsidRPr="0023319B">
        <w:rPr>
          <w:rFonts w:asciiTheme="minorHAnsi" w:hAnsiTheme="minorHAnsi" w:cstheme="minorHAnsi"/>
          <w:sz w:val="24"/>
          <w:szCs w:val="24"/>
          <w:lang w:val="es-CR"/>
        </w:rPr>
        <w:t xml:space="preserve">se incluyen en el legajo </w:t>
      </w:r>
      <w:r w:rsidR="00066A8E" w:rsidRPr="0023319B">
        <w:rPr>
          <w:rFonts w:asciiTheme="minorHAnsi" w:hAnsiTheme="minorHAnsi" w:cstheme="minorHAnsi"/>
          <w:sz w:val="24"/>
          <w:szCs w:val="24"/>
          <w:lang w:val="es-CR"/>
        </w:rPr>
        <w:t xml:space="preserve">de documentos </w:t>
      </w:r>
      <w:r w:rsidR="0039107C" w:rsidRPr="0023319B">
        <w:rPr>
          <w:rFonts w:asciiTheme="minorHAnsi" w:hAnsiTheme="minorHAnsi" w:cstheme="minorHAnsi"/>
          <w:sz w:val="24"/>
          <w:szCs w:val="24"/>
          <w:lang w:val="es-CR"/>
        </w:rPr>
        <w:t xml:space="preserve">que remite a la CGR </w:t>
      </w:r>
      <w:r w:rsidRPr="0023319B">
        <w:rPr>
          <w:rFonts w:asciiTheme="minorHAnsi" w:hAnsiTheme="minorHAnsi" w:cstheme="minorHAnsi"/>
          <w:sz w:val="24"/>
          <w:szCs w:val="24"/>
          <w:lang w:val="es-CR"/>
        </w:rPr>
        <w:t>el BCCR.</w:t>
      </w:r>
    </w:p>
    <w:p w14:paraId="404F7AC1" w14:textId="5C522821" w:rsidR="001938ED" w:rsidRPr="0023319B" w:rsidRDefault="001938ED" w:rsidP="00C669B4">
      <w:pPr>
        <w:spacing w:line="360" w:lineRule="auto"/>
        <w:ind w:right="51"/>
        <w:rPr>
          <w:rFonts w:asciiTheme="minorHAnsi" w:hAnsiTheme="minorHAnsi" w:cstheme="minorHAnsi"/>
          <w:sz w:val="24"/>
          <w:szCs w:val="24"/>
          <w:lang w:val="es-CR"/>
        </w:rPr>
      </w:pPr>
    </w:p>
    <w:p w14:paraId="144415DC" w14:textId="51DC9553" w:rsidR="001938ED" w:rsidRPr="0023319B" w:rsidRDefault="00D26D49" w:rsidP="00A9221D">
      <w:pPr>
        <w:pStyle w:val="Ttulo3"/>
      </w:pPr>
      <w:bookmarkStart w:id="90" w:name="_Toc61081389"/>
      <w:r w:rsidRPr="0023319B">
        <w:t xml:space="preserve">Actualización de información en el SIPP </w:t>
      </w:r>
      <w:r w:rsidRPr="0023319B">
        <w:rPr>
          <w:i/>
          <w:sz w:val="20"/>
          <w:szCs w:val="16"/>
        </w:rPr>
        <w:t>(4.3.15.b.viii)</w:t>
      </w:r>
      <w:bookmarkEnd w:id="90"/>
    </w:p>
    <w:p w14:paraId="60454418" w14:textId="345D78D4" w:rsidR="001938ED" w:rsidRPr="0023319B" w:rsidRDefault="001938ED" w:rsidP="00C669B4">
      <w:pPr>
        <w:spacing w:line="360" w:lineRule="auto"/>
        <w:ind w:right="51"/>
        <w:rPr>
          <w:rFonts w:asciiTheme="minorHAnsi" w:hAnsiTheme="minorHAnsi" w:cstheme="minorHAnsi"/>
          <w:sz w:val="24"/>
          <w:szCs w:val="24"/>
          <w:lang w:val="es-CR"/>
        </w:rPr>
      </w:pPr>
      <w:r w:rsidRPr="0023319B">
        <w:rPr>
          <w:rFonts w:asciiTheme="minorHAnsi" w:hAnsiTheme="minorHAnsi" w:cstheme="minorHAnsi"/>
          <w:sz w:val="24"/>
          <w:szCs w:val="24"/>
          <w:lang w:val="es-CR"/>
        </w:rPr>
        <w:t xml:space="preserve">La SUPEN </w:t>
      </w:r>
      <w:r w:rsidR="00BC33C8" w:rsidRPr="00BC33C8">
        <w:rPr>
          <w:rFonts w:asciiTheme="minorHAnsi" w:hAnsiTheme="minorHAnsi" w:cstheme="minorHAnsi"/>
          <w:sz w:val="24"/>
          <w:szCs w:val="24"/>
          <w:lang w:val="es-CR"/>
        </w:rPr>
        <w:t>certifica que actualizó en el Sistema de Información sobre Planes y Presupuestos Públicos (SIPP) de la Contraloría General de la República, la información correspondiente al avance en el cumplimiento de objetivos y metas, conforme la ejecución del presupuesto</w:t>
      </w:r>
      <w:r w:rsidRPr="0023319B">
        <w:rPr>
          <w:rFonts w:asciiTheme="minorHAnsi" w:hAnsiTheme="minorHAnsi" w:cstheme="minorHAnsi"/>
          <w:sz w:val="24"/>
          <w:szCs w:val="24"/>
          <w:lang w:val="es-CR"/>
        </w:rPr>
        <w:t>.</w:t>
      </w:r>
    </w:p>
    <w:p w14:paraId="08522FE6" w14:textId="09A776D4" w:rsidR="00CE0E74" w:rsidRPr="0023319B" w:rsidRDefault="00CE0E74">
      <w:pPr>
        <w:spacing w:line="240" w:lineRule="auto"/>
        <w:jc w:val="left"/>
        <w:rPr>
          <w:rFonts w:asciiTheme="minorHAnsi" w:hAnsiTheme="minorHAnsi" w:cstheme="minorHAnsi"/>
          <w:sz w:val="24"/>
          <w:szCs w:val="24"/>
          <w:lang w:val="es-CR"/>
        </w:rPr>
      </w:pPr>
      <w:r w:rsidRPr="0023319B">
        <w:rPr>
          <w:rFonts w:asciiTheme="minorHAnsi" w:hAnsiTheme="minorHAnsi" w:cstheme="minorHAnsi"/>
          <w:sz w:val="24"/>
          <w:szCs w:val="24"/>
          <w:lang w:val="es-CR"/>
        </w:rPr>
        <w:br w:type="page"/>
      </w:r>
    </w:p>
    <w:p w14:paraId="1CC2D4A5" w14:textId="0F7B75F3" w:rsidR="007F3D8A" w:rsidRPr="0023319B" w:rsidRDefault="007F3D8A" w:rsidP="007F3D8A">
      <w:pPr>
        <w:pStyle w:val="Ttulo1"/>
        <w:rPr>
          <w:rFonts w:asciiTheme="minorHAnsi" w:hAnsiTheme="minorHAnsi" w:cstheme="minorHAnsi"/>
          <w:b w:val="0"/>
          <w:bCs/>
          <w:sz w:val="20"/>
          <w:lang w:val="es-CR"/>
        </w:rPr>
      </w:pPr>
      <w:bookmarkStart w:id="91" w:name="_Toc61081390"/>
      <w:r w:rsidRPr="0023319B">
        <w:rPr>
          <w:rFonts w:asciiTheme="minorHAnsi" w:hAnsiTheme="minorHAnsi" w:cstheme="minorHAnsi"/>
          <w:sz w:val="28"/>
          <w:szCs w:val="28"/>
          <w:lang w:val="es-CR"/>
        </w:rPr>
        <w:t>II</w:t>
      </w:r>
      <w:r w:rsidR="009554DB" w:rsidRPr="0023319B">
        <w:rPr>
          <w:rFonts w:asciiTheme="minorHAnsi" w:hAnsiTheme="minorHAnsi" w:cstheme="minorHAnsi"/>
          <w:sz w:val="28"/>
          <w:szCs w:val="28"/>
          <w:lang w:val="es-CR"/>
        </w:rPr>
        <w:tab/>
      </w:r>
      <w:r w:rsidR="002F7D84" w:rsidRPr="0023319B">
        <w:rPr>
          <w:rFonts w:asciiTheme="minorHAnsi" w:hAnsiTheme="minorHAnsi" w:cstheme="minorHAnsi"/>
          <w:sz w:val="28"/>
          <w:szCs w:val="28"/>
          <w:lang w:val="es-CR"/>
        </w:rPr>
        <w:t>EVALUACIÓN PRESUPUESTARIA</w:t>
      </w:r>
      <w:r w:rsidRPr="0023319B">
        <w:rPr>
          <w:rFonts w:asciiTheme="minorHAnsi" w:hAnsiTheme="minorHAnsi" w:cstheme="minorHAnsi"/>
          <w:sz w:val="28"/>
          <w:szCs w:val="28"/>
          <w:lang w:val="es-CR"/>
        </w:rPr>
        <w:t xml:space="preserve"> </w:t>
      </w:r>
      <w:r w:rsidRPr="0023319B">
        <w:rPr>
          <w:rFonts w:asciiTheme="minorHAnsi" w:hAnsiTheme="minorHAnsi" w:cstheme="minorHAnsi"/>
          <w:b w:val="0"/>
          <w:bCs/>
          <w:sz w:val="20"/>
          <w:lang w:val="es-CR"/>
        </w:rPr>
        <w:t>(4.</w:t>
      </w:r>
      <w:r w:rsidR="002F7D84" w:rsidRPr="0023319B">
        <w:rPr>
          <w:rFonts w:asciiTheme="minorHAnsi" w:hAnsiTheme="minorHAnsi" w:cstheme="minorHAnsi"/>
          <w:b w:val="0"/>
          <w:bCs/>
          <w:sz w:val="20"/>
          <w:lang w:val="es-CR"/>
        </w:rPr>
        <w:t>5</w:t>
      </w:r>
      <w:r w:rsidRPr="0023319B">
        <w:rPr>
          <w:rFonts w:asciiTheme="minorHAnsi" w:hAnsiTheme="minorHAnsi" w:cstheme="minorHAnsi"/>
          <w:b w:val="0"/>
          <w:bCs/>
          <w:sz w:val="20"/>
          <w:lang w:val="es-CR"/>
        </w:rPr>
        <w:t>.</w:t>
      </w:r>
      <w:r w:rsidR="002F7D84" w:rsidRPr="0023319B">
        <w:rPr>
          <w:rFonts w:asciiTheme="minorHAnsi" w:hAnsiTheme="minorHAnsi" w:cstheme="minorHAnsi"/>
          <w:b w:val="0"/>
          <w:bCs/>
          <w:sz w:val="20"/>
          <w:lang w:val="es-CR"/>
        </w:rPr>
        <w:t>6 B</w:t>
      </w:r>
      <w:r w:rsidRPr="0023319B">
        <w:rPr>
          <w:rFonts w:asciiTheme="minorHAnsi" w:hAnsiTheme="minorHAnsi" w:cstheme="minorHAnsi"/>
          <w:b w:val="0"/>
          <w:bCs/>
          <w:sz w:val="20"/>
          <w:lang w:val="es-CR"/>
        </w:rPr>
        <w:t>)</w:t>
      </w:r>
      <w:bookmarkEnd w:id="91"/>
    </w:p>
    <w:p w14:paraId="78866A58" w14:textId="77777777" w:rsidR="00553A8F" w:rsidRPr="0023319B" w:rsidRDefault="00553A8F" w:rsidP="00C669B4">
      <w:pPr>
        <w:spacing w:line="360" w:lineRule="auto"/>
        <w:ind w:right="51"/>
        <w:rPr>
          <w:rFonts w:asciiTheme="minorHAnsi" w:hAnsiTheme="minorHAnsi" w:cstheme="minorHAnsi"/>
          <w:sz w:val="26"/>
          <w:szCs w:val="26"/>
          <w:lang w:val="es-CR"/>
        </w:rPr>
      </w:pPr>
    </w:p>
    <w:p w14:paraId="6EB28BC3" w14:textId="3DAA7A31" w:rsidR="00B332E3" w:rsidRPr="0023319B" w:rsidRDefault="00B332E3" w:rsidP="003E35E4">
      <w:pPr>
        <w:pStyle w:val="Ttulo2"/>
        <w:numPr>
          <w:ilvl w:val="0"/>
          <w:numId w:val="32"/>
        </w:numPr>
      </w:pPr>
      <w:bookmarkStart w:id="92" w:name="_Toc55203354"/>
      <w:bookmarkStart w:id="93" w:name="_Toc61081391"/>
      <w:r w:rsidRPr="0023319B">
        <w:t>Avance en el cumplimiento de objetivos y metas de los programas presupuestarios en función de los indicadores establecidos.</w:t>
      </w:r>
      <w:bookmarkEnd w:id="92"/>
      <w:r w:rsidRPr="0023319B">
        <w:t xml:space="preserve"> </w:t>
      </w:r>
      <w:r w:rsidRPr="0023319B">
        <w:rPr>
          <w:bCs/>
          <w:sz w:val="20"/>
          <w:szCs w:val="20"/>
        </w:rPr>
        <w:t>(4.5.6.b.i)</w:t>
      </w:r>
      <w:bookmarkEnd w:id="93"/>
    </w:p>
    <w:p w14:paraId="7D7ECAF7" w14:textId="77777777" w:rsidR="00AF2097" w:rsidRPr="0023319B" w:rsidRDefault="00AF2097" w:rsidP="009445B7">
      <w:pPr>
        <w:ind w:left="360"/>
        <w:rPr>
          <w:rFonts w:asciiTheme="minorHAnsi" w:hAnsiTheme="minorHAnsi" w:cstheme="minorHAnsi"/>
          <w:sz w:val="24"/>
          <w:szCs w:val="24"/>
          <w:lang w:val="es-CR"/>
        </w:rPr>
      </w:pPr>
    </w:p>
    <w:p w14:paraId="2937B874" w14:textId="0EAE91CC" w:rsidR="00064C28" w:rsidRPr="0023319B" w:rsidRDefault="00064C28" w:rsidP="00490ECF">
      <w:pPr>
        <w:rPr>
          <w:rFonts w:asciiTheme="minorHAnsi" w:hAnsiTheme="minorHAnsi" w:cstheme="minorHAnsi"/>
          <w:sz w:val="24"/>
          <w:szCs w:val="24"/>
          <w:lang w:val="es-CR"/>
        </w:rPr>
      </w:pPr>
      <w:r w:rsidRPr="0023319B">
        <w:rPr>
          <w:rFonts w:asciiTheme="minorHAnsi" w:hAnsiTheme="minorHAnsi" w:cstheme="minorHAnsi"/>
          <w:sz w:val="24"/>
          <w:szCs w:val="24"/>
          <w:lang w:val="es-CR"/>
        </w:rPr>
        <w:t xml:space="preserve">La SUPEN está conformada por cinco </w:t>
      </w:r>
      <w:r w:rsidR="00AB0748" w:rsidRPr="0023319B">
        <w:rPr>
          <w:rFonts w:asciiTheme="minorHAnsi" w:hAnsiTheme="minorHAnsi" w:cstheme="minorHAnsi"/>
          <w:sz w:val="24"/>
          <w:szCs w:val="24"/>
          <w:lang w:val="es-CR"/>
        </w:rPr>
        <w:t>procesos</w:t>
      </w:r>
      <w:r w:rsidRPr="0023319B">
        <w:rPr>
          <w:rFonts w:asciiTheme="minorHAnsi" w:hAnsiTheme="minorHAnsi" w:cstheme="minorHAnsi"/>
          <w:sz w:val="24"/>
          <w:szCs w:val="24"/>
          <w:lang w:val="es-CR"/>
        </w:rPr>
        <w:t xml:space="preserve">, cada uno de ellos establece una serie de objetivos y metas que contribuyen al propósito de la organización; el siguiente cuadro representa el presupuesto asignado por meta y la ejecución lograda en cada </w:t>
      </w:r>
      <w:r w:rsidR="006934B7" w:rsidRPr="0023319B">
        <w:rPr>
          <w:rFonts w:asciiTheme="minorHAnsi" w:hAnsiTheme="minorHAnsi" w:cstheme="minorHAnsi"/>
          <w:sz w:val="24"/>
          <w:szCs w:val="24"/>
          <w:lang w:val="es-CR"/>
        </w:rPr>
        <w:t>uno</w:t>
      </w:r>
      <w:r w:rsidRPr="0023319B">
        <w:rPr>
          <w:rFonts w:asciiTheme="minorHAnsi" w:hAnsiTheme="minorHAnsi" w:cstheme="minorHAnsi"/>
          <w:sz w:val="24"/>
          <w:szCs w:val="24"/>
          <w:lang w:val="es-CR"/>
        </w:rPr>
        <w:t>.</w:t>
      </w:r>
    </w:p>
    <w:p w14:paraId="59ABF243" w14:textId="77777777" w:rsidR="00064C28" w:rsidRPr="0023319B" w:rsidRDefault="00064C28" w:rsidP="009445B7">
      <w:pPr>
        <w:ind w:left="360"/>
        <w:rPr>
          <w:rFonts w:asciiTheme="minorHAnsi" w:hAnsiTheme="minorHAnsi" w:cstheme="minorHAnsi"/>
          <w:sz w:val="24"/>
          <w:szCs w:val="24"/>
          <w:lang w:val="es-CR"/>
        </w:rPr>
      </w:pPr>
    </w:p>
    <w:p w14:paraId="3479D00E" w14:textId="442D89D0" w:rsidR="00064C28" w:rsidRPr="0023319B" w:rsidRDefault="00AE5489" w:rsidP="00A9221D">
      <w:pPr>
        <w:pStyle w:val="Ttulo3"/>
      </w:pPr>
      <w:bookmarkStart w:id="94" w:name="_Toc61081392"/>
      <w:r w:rsidRPr="0023319B">
        <w:t xml:space="preserve">Tabla </w:t>
      </w:r>
      <w:r w:rsidR="00F120D6" w:rsidRPr="0023319B">
        <w:t>2</w:t>
      </w:r>
      <w:r w:rsidR="00064C28" w:rsidRPr="0023319B">
        <w:t>: Presupuesto de egresos ejecutado por programa y por meta</w:t>
      </w:r>
      <w:bookmarkEnd w:id="94"/>
    </w:p>
    <w:tbl>
      <w:tblPr>
        <w:tblW w:w="8926" w:type="dxa"/>
        <w:tblCellMar>
          <w:left w:w="70" w:type="dxa"/>
          <w:right w:w="70" w:type="dxa"/>
        </w:tblCellMar>
        <w:tblLook w:val="04A0" w:firstRow="1" w:lastRow="0" w:firstColumn="1" w:lastColumn="0" w:noHBand="0" w:noVBand="1"/>
      </w:tblPr>
      <w:tblGrid>
        <w:gridCol w:w="1240"/>
        <w:gridCol w:w="800"/>
        <w:gridCol w:w="3484"/>
        <w:gridCol w:w="1250"/>
        <w:gridCol w:w="1230"/>
        <w:gridCol w:w="922"/>
      </w:tblGrid>
      <w:tr w:rsidR="00B31D8D" w:rsidRPr="0023319B" w14:paraId="13AABF04" w14:textId="77777777" w:rsidTr="00A05244">
        <w:trPr>
          <w:trHeight w:val="255"/>
          <w:tblHeader/>
        </w:trPr>
        <w:tc>
          <w:tcPr>
            <w:tcW w:w="1240" w:type="dxa"/>
            <w:vMerge w:val="restart"/>
            <w:tcBorders>
              <w:top w:val="single" w:sz="4" w:space="0" w:color="auto"/>
              <w:left w:val="single" w:sz="4" w:space="0" w:color="auto"/>
              <w:bottom w:val="single" w:sz="4" w:space="0" w:color="auto"/>
              <w:right w:val="single" w:sz="4" w:space="0" w:color="auto"/>
            </w:tcBorders>
            <w:shd w:val="clear" w:color="000000" w:fill="8DB4E2"/>
            <w:vAlign w:val="center"/>
            <w:hideMark/>
          </w:tcPr>
          <w:p w14:paraId="78BBDBB8" w14:textId="77777777" w:rsidR="00B31D8D" w:rsidRPr="0023319B" w:rsidRDefault="00B31D8D" w:rsidP="00B31D8D">
            <w:pPr>
              <w:spacing w:line="240" w:lineRule="auto"/>
              <w:jc w:val="center"/>
              <w:rPr>
                <w:rFonts w:ascii="Calibri Light" w:hAnsi="Calibri Light" w:cs="Calibri Light"/>
                <w:b/>
                <w:bCs/>
                <w:sz w:val="18"/>
                <w:szCs w:val="18"/>
                <w:lang w:val="es-CR" w:eastAsia="es-CR"/>
              </w:rPr>
            </w:pPr>
            <w:r w:rsidRPr="0023319B">
              <w:rPr>
                <w:rFonts w:ascii="Calibri Light" w:hAnsi="Calibri Light" w:cs="Calibri Light"/>
                <w:b/>
                <w:bCs/>
                <w:sz w:val="18"/>
                <w:szCs w:val="18"/>
                <w:lang w:val="es-CR" w:eastAsia="es-CR"/>
              </w:rPr>
              <w:t>DEPENDENCIA</w:t>
            </w:r>
          </w:p>
        </w:tc>
        <w:tc>
          <w:tcPr>
            <w:tcW w:w="800" w:type="dxa"/>
            <w:vMerge w:val="restart"/>
            <w:tcBorders>
              <w:top w:val="single" w:sz="4" w:space="0" w:color="auto"/>
              <w:left w:val="single" w:sz="4" w:space="0" w:color="auto"/>
              <w:bottom w:val="single" w:sz="4" w:space="0" w:color="auto"/>
              <w:right w:val="single" w:sz="4" w:space="0" w:color="auto"/>
            </w:tcBorders>
            <w:shd w:val="clear" w:color="000000" w:fill="8DB4E2"/>
            <w:vAlign w:val="center"/>
            <w:hideMark/>
          </w:tcPr>
          <w:p w14:paraId="59E9159B" w14:textId="77777777" w:rsidR="00B31D8D" w:rsidRPr="0023319B" w:rsidRDefault="00B31D8D" w:rsidP="00B31D8D">
            <w:pPr>
              <w:spacing w:line="240" w:lineRule="auto"/>
              <w:jc w:val="center"/>
              <w:rPr>
                <w:rFonts w:ascii="Calibri Light" w:hAnsi="Calibri Light" w:cs="Calibri Light"/>
                <w:b/>
                <w:bCs/>
                <w:sz w:val="18"/>
                <w:szCs w:val="18"/>
                <w:lang w:val="es-CR" w:eastAsia="es-CR"/>
              </w:rPr>
            </w:pPr>
            <w:r w:rsidRPr="0023319B">
              <w:rPr>
                <w:rFonts w:ascii="Calibri Light" w:hAnsi="Calibri Light" w:cs="Calibri Light"/>
                <w:b/>
                <w:bCs/>
                <w:sz w:val="18"/>
                <w:szCs w:val="18"/>
                <w:lang w:val="es-CR" w:eastAsia="es-CR"/>
              </w:rPr>
              <w:t xml:space="preserve"> # META</w:t>
            </w:r>
          </w:p>
        </w:tc>
        <w:tc>
          <w:tcPr>
            <w:tcW w:w="3484" w:type="dxa"/>
            <w:vMerge w:val="restart"/>
            <w:tcBorders>
              <w:top w:val="single" w:sz="4" w:space="0" w:color="auto"/>
              <w:left w:val="single" w:sz="4" w:space="0" w:color="auto"/>
              <w:bottom w:val="single" w:sz="4" w:space="0" w:color="auto"/>
              <w:right w:val="single" w:sz="4" w:space="0" w:color="auto"/>
            </w:tcBorders>
            <w:shd w:val="clear" w:color="000000" w:fill="8DB4E2"/>
            <w:vAlign w:val="center"/>
            <w:hideMark/>
          </w:tcPr>
          <w:p w14:paraId="5DEECD93" w14:textId="77777777" w:rsidR="00B31D8D" w:rsidRPr="0023319B" w:rsidRDefault="00B31D8D" w:rsidP="00B31D8D">
            <w:pPr>
              <w:spacing w:line="240" w:lineRule="auto"/>
              <w:jc w:val="center"/>
              <w:rPr>
                <w:rFonts w:ascii="Calibri Light" w:hAnsi="Calibri Light" w:cs="Calibri Light"/>
                <w:b/>
                <w:bCs/>
                <w:sz w:val="18"/>
                <w:szCs w:val="18"/>
                <w:lang w:val="es-CR" w:eastAsia="es-CR"/>
              </w:rPr>
            </w:pPr>
            <w:r w:rsidRPr="0023319B">
              <w:rPr>
                <w:rFonts w:ascii="Calibri Light" w:hAnsi="Calibri Light" w:cs="Calibri Light"/>
                <w:b/>
                <w:bCs/>
                <w:sz w:val="18"/>
                <w:szCs w:val="18"/>
                <w:lang w:val="es-CR" w:eastAsia="es-CR"/>
              </w:rPr>
              <w:t>ENUNCIADO</w:t>
            </w:r>
          </w:p>
        </w:tc>
        <w:tc>
          <w:tcPr>
            <w:tcW w:w="1275" w:type="dxa"/>
            <w:vMerge w:val="restart"/>
            <w:tcBorders>
              <w:top w:val="single" w:sz="4" w:space="0" w:color="auto"/>
              <w:left w:val="single" w:sz="4" w:space="0" w:color="auto"/>
              <w:bottom w:val="single" w:sz="4" w:space="0" w:color="auto"/>
              <w:right w:val="single" w:sz="4" w:space="0" w:color="auto"/>
            </w:tcBorders>
            <w:shd w:val="clear" w:color="000000" w:fill="8DB4E2"/>
            <w:vAlign w:val="center"/>
            <w:hideMark/>
          </w:tcPr>
          <w:p w14:paraId="2D515A51" w14:textId="0C81C49E" w:rsidR="00B31D8D" w:rsidRPr="0023319B" w:rsidRDefault="00B31D8D" w:rsidP="00B31D8D">
            <w:pPr>
              <w:spacing w:line="240" w:lineRule="auto"/>
              <w:jc w:val="center"/>
              <w:rPr>
                <w:rFonts w:ascii="Calibri Light" w:hAnsi="Calibri Light" w:cs="Calibri Light"/>
                <w:b/>
                <w:bCs/>
                <w:sz w:val="18"/>
                <w:szCs w:val="18"/>
                <w:lang w:val="es-CR" w:eastAsia="es-CR"/>
              </w:rPr>
            </w:pPr>
            <w:r w:rsidRPr="0023319B">
              <w:rPr>
                <w:rFonts w:ascii="Calibri Light" w:hAnsi="Calibri Light" w:cs="Calibri Light"/>
                <w:b/>
                <w:bCs/>
                <w:sz w:val="18"/>
                <w:szCs w:val="18"/>
                <w:lang w:val="es-CR" w:eastAsia="es-CR"/>
              </w:rPr>
              <w:t>Presupuesto por meta</w:t>
            </w:r>
          </w:p>
        </w:tc>
        <w:tc>
          <w:tcPr>
            <w:tcW w:w="1275" w:type="dxa"/>
            <w:vMerge w:val="restart"/>
            <w:tcBorders>
              <w:top w:val="single" w:sz="4" w:space="0" w:color="auto"/>
              <w:left w:val="single" w:sz="4" w:space="0" w:color="auto"/>
              <w:bottom w:val="single" w:sz="4" w:space="0" w:color="auto"/>
              <w:right w:val="single" w:sz="4" w:space="0" w:color="auto"/>
            </w:tcBorders>
            <w:shd w:val="clear" w:color="000000" w:fill="8DB4E2"/>
            <w:vAlign w:val="center"/>
            <w:hideMark/>
          </w:tcPr>
          <w:p w14:paraId="2502AE11" w14:textId="391C8878" w:rsidR="00B31D8D" w:rsidRPr="0023319B" w:rsidRDefault="00B31D8D" w:rsidP="00B31D8D">
            <w:pPr>
              <w:spacing w:line="240" w:lineRule="auto"/>
              <w:jc w:val="center"/>
              <w:rPr>
                <w:rFonts w:ascii="Calibri Light" w:hAnsi="Calibri Light" w:cs="Calibri Light"/>
                <w:b/>
                <w:bCs/>
                <w:sz w:val="18"/>
                <w:szCs w:val="18"/>
                <w:lang w:val="es-CR" w:eastAsia="es-CR"/>
              </w:rPr>
            </w:pPr>
            <w:r w:rsidRPr="0023319B">
              <w:rPr>
                <w:rFonts w:ascii="Calibri Light" w:hAnsi="Calibri Light" w:cs="Calibri Light"/>
                <w:b/>
                <w:bCs/>
                <w:sz w:val="18"/>
                <w:szCs w:val="18"/>
                <w:lang w:val="es-CR" w:eastAsia="es-CR"/>
              </w:rPr>
              <w:t>Ejecutado por meta</w:t>
            </w:r>
          </w:p>
        </w:tc>
        <w:tc>
          <w:tcPr>
            <w:tcW w:w="852" w:type="dxa"/>
            <w:vMerge w:val="restart"/>
            <w:tcBorders>
              <w:top w:val="single" w:sz="4" w:space="0" w:color="auto"/>
              <w:left w:val="single" w:sz="4" w:space="0" w:color="auto"/>
              <w:bottom w:val="single" w:sz="4" w:space="0" w:color="auto"/>
              <w:right w:val="single" w:sz="4" w:space="0" w:color="auto"/>
            </w:tcBorders>
            <w:shd w:val="clear" w:color="000000" w:fill="8DB4E2"/>
            <w:vAlign w:val="center"/>
            <w:hideMark/>
          </w:tcPr>
          <w:p w14:paraId="72DC9771" w14:textId="1B59A63F" w:rsidR="00B31D8D" w:rsidRPr="0023319B" w:rsidRDefault="00A05244" w:rsidP="00B31D8D">
            <w:pPr>
              <w:spacing w:line="240" w:lineRule="auto"/>
              <w:jc w:val="center"/>
              <w:rPr>
                <w:rFonts w:ascii="Calibri Light" w:hAnsi="Calibri Light" w:cs="Calibri Light"/>
                <w:b/>
                <w:bCs/>
                <w:sz w:val="18"/>
                <w:szCs w:val="18"/>
                <w:lang w:val="es-CR" w:eastAsia="es-CR"/>
              </w:rPr>
            </w:pPr>
            <w:r>
              <w:rPr>
                <w:rFonts w:ascii="Calibri Light" w:hAnsi="Calibri Light" w:cs="Calibri Light"/>
                <w:b/>
                <w:bCs/>
                <w:sz w:val="18"/>
                <w:szCs w:val="18"/>
                <w:lang w:val="es-CR" w:eastAsia="es-CR"/>
              </w:rPr>
              <w:t>P</w:t>
            </w:r>
            <w:r w:rsidR="00B31D8D" w:rsidRPr="0023319B">
              <w:rPr>
                <w:rFonts w:ascii="Calibri Light" w:hAnsi="Calibri Light" w:cs="Calibri Light"/>
                <w:b/>
                <w:bCs/>
                <w:sz w:val="18"/>
                <w:szCs w:val="18"/>
                <w:lang w:val="es-CR" w:eastAsia="es-CR"/>
              </w:rPr>
              <w:t xml:space="preserve">orcentaje Ejecución </w:t>
            </w:r>
          </w:p>
        </w:tc>
      </w:tr>
      <w:tr w:rsidR="00B31D8D" w:rsidRPr="0023319B" w14:paraId="380E91A1" w14:textId="77777777" w:rsidTr="00A05244">
        <w:trPr>
          <w:trHeight w:val="420"/>
        </w:trPr>
        <w:tc>
          <w:tcPr>
            <w:tcW w:w="1240" w:type="dxa"/>
            <w:vMerge/>
            <w:tcBorders>
              <w:top w:val="single" w:sz="4" w:space="0" w:color="auto"/>
              <w:left w:val="single" w:sz="4" w:space="0" w:color="auto"/>
              <w:bottom w:val="single" w:sz="4" w:space="0" w:color="auto"/>
              <w:right w:val="single" w:sz="4" w:space="0" w:color="auto"/>
            </w:tcBorders>
            <w:vAlign w:val="center"/>
            <w:hideMark/>
          </w:tcPr>
          <w:p w14:paraId="186EC4C3" w14:textId="77777777" w:rsidR="00B31D8D" w:rsidRPr="0023319B" w:rsidRDefault="00B31D8D" w:rsidP="00B31D8D">
            <w:pPr>
              <w:spacing w:line="240" w:lineRule="auto"/>
              <w:jc w:val="left"/>
              <w:rPr>
                <w:rFonts w:ascii="Calibri Light" w:hAnsi="Calibri Light" w:cs="Calibri Light"/>
                <w:b/>
                <w:bCs/>
                <w:sz w:val="18"/>
                <w:szCs w:val="18"/>
                <w:lang w:val="es-CR" w:eastAsia="es-CR"/>
              </w:rPr>
            </w:pPr>
          </w:p>
        </w:tc>
        <w:tc>
          <w:tcPr>
            <w:tcW w:w="800" w:type="dxa"/>
            <w:vMerge/>
            <w:tcBorders>
              <w:top w:val="single" w:sz="4" w:space="0" w:color="auto"/>
              <w:left w:val="single" w:sz="4" w:space="0" w:color="auto"/>
              <w:bottom w:val="single" w:sz="4" w:space="0" w:color="auto"/>
              <w:right w:val="single" w:sz="4" w:space="0" w:color="auto"/>
            </w:tcBorders>
            <w:vAlign w:val="center"/>
            <w:hideMark/>
          </w:tcPr>
          <w:p w14:paraId="6C7F2B2E" w14:textId="77777777" w:rsidR="00B31D8D" w:rsidRPr="0023319B" w:rsidRDefault="00B31D8D" w:rsidP="00B31D8D">
            <w:pPr>
              <w:spacing w:line="240" w:lineRule="auto"/>
              <w:jc w:val="left"/>
              <w:rPr>
                <w:rFonts w:ascii="Calibri Light" w:hAnsi="Calibri Light" w:cs="Calibri Light"/>
                <w:b/>
                <w:bCs/>
                <w:sz w:val="18"/>
                <w:szCs w:val="18"/>
                <w:lang w:val="es-CR" w:eastAsia="es-CR"/>
              </w:rPr>
            </w:pPr>
          </w:p>
        </w:tc>
        <w:tc>
          <w:tcPr>
            <w:tcW w:w="3484" w:type="dxa"/>
            <w:vMerge/>
            <w:tcBorders>
              <w:top w:val="single" w:sz="4" w:space="0" w:color="auto"/>
              <w:left w:val="single" w:sz="4" w:space="0" w:color="auto"/>
              <w:bottom w:val="single" w:sz="4" w:space="0" w:color="auto"/>
              <w:right w:val="single" w:sz="4" w:space="0" w:color="auto"/>
            </w:tcBorders>
            <w:vAlign w:val="center"/>
            <w:hideMark/>
          </w:tcPr>
          <w:p w14:paraId="65A86258" w14:textId="77777777" w:rsidR="00B31D8D" w:rsidRPr="0023319B" w:rsidRDefault="00B31D8D" w:rsidP="00B31D8D">
            <w:pPr>
              <w:spacing w:line="240" w:lineRule="auto"/>
              <w:jc w:val="left"/>
              <w:rPr>
                <w:rFonts w:ascii="Calibri Light" w:hAnsi="Calibri Light" w:cs="Calibri Light"/>
                <w:b/>
                <w:bCs/>
                <w:sz w:val="18"/>
                <w:szCs w:val="18"/>
                <w:lang w:val="es-CR" w:eastAsia="es-CR"/>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07D1B3B2" w14:textId="77777777" w:rsidR="00B31D8D" w:rsidRPr="0023319B" w:rsidRDefault="00B31D8D" w:rsidP="00B31D8D">
            <w:pPr>
              <w:spacing w:line="240" w:lineRule="auto"/>
              <w:jc w:val="right"/>
              <w:rPr>
                <w:rFonts w:ascii="Calibri Light" w:hAnsi="Calibri Light" w:cs="Calibri Light"/>
                <w:b/>
                <w:bCs/>
                <w:sz w:val="18"/>
                <w:szCs w:val="18"/>
                <w:lang w:val="es-CR" w:eastAsia="es-CR"/>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12E77275" w14:textId="77777777" w:rsidR="00B31D8D" w:rsidRPr="0023319B" w:rsidRDefault="00B31D8D" w:rsidP="00B31D8D">
            <w:pPr>
              <w:spacing w:line="240" w:lineRule="auto"/>
              <w:jc w:val="right"/>
              <w:rPr>
                <w:rFonts w:ascii="Calibri Light" w:hAnsi="Calibri Light" w:cs="Calibri Light"/>
                <w:b/>
                <w:bCs/>
                <w:sz w:val="18"/>
                <w:szCs w:val="18"/>
                <w:lang w:val="es-CR" w:eastAsia="es-CR"/>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541EAE39" w14:textId="77777777" w:rsidR="00B31D8D" w:rsidRPr="0023319B" w:rsidRDefault="00B31D8D" w:rsidP="00B31D8D">
            <w:pPr>
              <w:spacing w:line="240" w:lineRule="auto"/>
              <w:jc w:val="left"/>
              <w:rPr>
                <w:rFonts w:ascii="Calibri Light" w:hAnsi="Calibri Light" w:cs="Calibri Light"/>
                <w:b/>
                <w:bCs/>
                <w:sz w:val="18"/>
                <w:szCs w:val="18"/>
                <w:lang w:val="es-CR" w:eastAsia="es-CR"/>
              </w:rPr>
            </w:pPr>
          </w:p>
        </w:tc>
      </w:tr>
      <w:tr w:rsidR="00B31D8D" w:rsidRPr="0023319B" w14:paraId="6BFEBEBF" w14:textId="77777777" w:rsidTr="00A05244">
        <w:trPr>
          <w:trHeight w:val="315"/>
        </w:trPr>
        <w:tc>
          <w:tcPr>
            <w:tcW w:w="5524" w:type="dxa"/>
            <w:gridSpan w:val="3"/>
            <w:tcBorders>
              <w:top w:val="single" w:sz="4" w:space="0" w:color="auto"/>
              <w:left w:val="single" w:sz="4" w:space="0" w:color="auto"/>
              <w:bottom w:val="single" w:sz="4" w:space="0" w:color="auto"/>
              <w:right w:val="single" w:sz="4" w:space="0" w:color="auto"/>
            </w:tcBorders>
            <w:shd w:val="clear" w:color="000000" w:fill="DCE6F1"/>
            <w:vAlign w:val="center"/>
            <w:hideMark/>
          </w:tcPr>
          <w:p w14:paraId="21F5ADEC" w14:textId="77777777" w:rsidR="00B31D8D" w:rsidRPr="0023319B" w:rsidRDefault="00B31D8D" w:rsidP="00B31D8D">
            <w:pPr>
              <w:spacing w:line="240" w:lineRule="auto"/>
              <w:jc w:val="left"/>
              <w:rPr>
                <w:rFonts w:ascii="Calibri Light" w:hAnsi="Calibri Light" w:cs="Calibri Light"/>
                <w:b/>
                <w:bCs/>
                <w:sz w:val="18"/>
                <w:szCs w:val="18"/>
                <w:lang w:val="es-CR" w:eastAsia="es-CR"/>
              </w:rPr>
            </w:pPr>
            <w:r w:rsidRPr="0023319B">
              <w:rPr>
                <w:rFonts w:ascii="Calibri Light" w:hAnsi="Calibri Light" w:cs="Calibri Light"/>
                <w:b/>
                <w:bCs/>
                <w:sz w:val="18"/>
                <w:szCs w:val="18"/>
                <w:lang w:val="es-CR" w:eastAsia="es-CR"/>
              </w:rPr>
              <w:t>DESPACHO</w:t>
            </w:r>
          </w:p>
        </w:tc>
        <w:tc>
          <w:tcPr>
            <w:tcW w:w="1275" w:type="dxa"/>
            <w:tcBorders>
              <w:top w:val="nil"/>
              <w:left w:val="nil"/>
              <w:bottom w:val="single" w:sz="4" w:space="0" w:color="auto"/>
              <w:right w:val="single" w:sz="4" w:space="0" w:color="auto"/>
            </w:tcBorders>
            <w:shd w:val="clear" w:color="000000" w:fill="DCE6F1"/>
            <w:vAlign w:val="center"/>
            <w:hideMark/>
          </w:tcPr>
          <w:p w14:paraId="691E07CE" w14:textId="1DF88A6D" w:rsidR="00B31D8D" w:rsidRPr="0023319B" w:rsidRDefault="00B31D8D" w:rsidP="00B31D8D">
            <w:pPr>
              <w:spacing w:line="240" w:lineRule="auto"/>
              <w:jc w:val="right"/>
              <w:rPr>
                <w:rFonts w:ascii="Calibri Light" w:hAnsi="Calibri Light" w:cs="Calibri Light"/>
                <w:b/>
                <w:bCs/>
                <w:sz w:val="18"/>
                <w:szCs w:val="18"/>
                <w:lang w:val="es-CR" w:eastAsia="es-CR"/>
              </w:rPr>
            </w:pPr>
            <w:r w:rsidRPr="0023319B">
              <w:rPr>
                <w:rFonts w:ascii="Calibri Light" w:hAnsi="Calibri Light" w:cs="Calibri Light"/>
                <w:b/>
                <w:bCs/>
                <w:sz w:val="18"/>
                <w:szCs w:val="18"/>
                <w:lang w:val="es-CR" w:eastAsia="es-CR"/>
              </w:rPr>
              <w:t xml:space="preserve">255 122 392 </w:t>
            </w:r>
          </w:p>
        </w:tc>
        <w:tc>
          <w:tcPr>
            <w:tcW w:w="1275" w:type="dxa"/>
            <w:tcBorders>
              <w:top w:val="nil"/>
              <w:left w:val="nil"/>
              <w:bottom w:val="single" w:sz="4" w:space="0" w:color="auto"/>
              <w:right w:val="single" w:sz="4" w:space="0" w:color="auto"/>
            </w:tcBorders>
            <w:shd w:val="clear" w:color="000000" w:fill="DCE6F1"/>
            <w:vAlign w:val="center"/>
            <w:hideMark/>
          </w:tcPr>
          <w:p w14:paraId="401E5835" w14:textId="62E348BE" w:rsidR="00B31D8D" w:rsidRPr="0023319B" w:rsidRDefault="00B31D8D" w:rsidP="00B31D8D">
            <w:pPr>
              <w:spacing w:line="240" w:lineRule="auto"/>
              <w:jc w:val="right"/>
              <w:rPr>
                <w:rFonts w:ascii="Calibri Light" w:hAnsi="Calibri Light" w:cs="Calibri Light"/>
                <w:b/>
                <w:bCs/>
                <w:sz w:val="18"/>
                <w:szCs w:val="18"/>
                <w:lang w:val="es-CR" w:eastAsia="es-CR"/>
              </w:rPr>
            </w:pPr>
            <w:r w:rsidRPr="0023319B">
              <w:rPr>
                <w:rFonts w:ascii="Calibri Light" w:hAnsi="Calibri Light" w:cs="Calibri Light"/>
                <w:b/>
                <w:bCs/>
                <w:sz w:val="18"/>
                <w:szCs w:val="18"/>
                <w:lang w:val="es-CR" w:eastAsia="es-CR"/>
              </w:rPr>
              <w:t xml:space="preserve">194 363 418 </w:t>
            </w:r>
          </w:p>
        </w:tc>
        <w:tc>
          <w:tcPr>
            <w:tcW w:w="852" w:type="dxa"/>
            <w:tcBorders>
              <w:top w:val="nil"/>
              <w:left w:val="nil"/>
              <w:bottom w:val="single" w:sz="4" w:space="0" w:color="auto"/>
              <w:right w:val="single" w:sz="4" w:space="0" w:color="auto"/>
            </w:tcBorders>
            <w:shd w:val="clear" w:color="000000" w:fill="DCE6F1"/>
            <w:vAlign w:val="center"/>
            <w:hideMark/>
          </w:tcPr>
          <w:p w14:paraId="672AB215" w14:textId="77777777" w:rsidR="00B31D8D" w:rsidRPr="0023319B" w:rsidRDefault="00B31D8D" w:rsidP="00B31D8D">
            <w:pPr>
              <w:spacing w:line="240" w:lineRule="auto"/>
              <w:jc w:val="center"/>
              <w:rPr>
                <w:rFonts w:ascii="Calibri Light" w:hAnsi="Calibri Light" w:cs="Calibri Light"/>
                <w:b/>
                <w:bCs/>
                <w:sz w:val="18"/>
                <w:szCs w:val="18"/>
                <w:lang w:val="es-CR" w:eastAsia="es-CR"/>
              </w:rPr>
            </w:pPr>
            <w:r w:rsidRPr="0023319B">
              <w:rPr>
                <w:rFonts w:ascii="Calibri Light" w:hAnsi="Calibri Light" w:cs="Calibri Light"/>
                <w:b/>
                <w:bCs/>
                <w:sz w:val="18"/>
                <w:szCs w:val="18"/>
                <w:lang w:val="es-CR" w:eastAsia="es-CR"/>
              </w:rPr>
              <w:t>76%</w:t>
            </w:r>
          </w:p>
        </w:tc>
      </w:tr>
      <w:tr w:rsidR="00B31D8D" w:rsidRPr="0023319B" w14:paraId="1650783A" w14:textId="77777777" w:rsidTr="00A05244">
        <w:trPr>
          <w:trHeight w:val="690"/>
        </w:trPr>
        <w:tc>
          <w:tcPr>
            <w:tcW w:w="1240" w:type="dxa"/>
            <w:tcBorders>
              <w:top w:val="nil"/>
              <w:left w:val="single" w:sz="4" w:space="0" w:color="auto"/>
              <w:bottom w:val="single" w:sz="4" w:space="0" w:color="auto"/>
              <w:right w:val="single" w:sz="4" w:space="0" w:color="auto"/>
            </w:tcBorders>
            <w:shd w:val="clear" w:color="auto" w:fill="auto"/>
            <w:vAlign w:val="center"/>
            <w:hideMark/>
          </w:tcPr>
          <w:p w14:paraId="26E88D8A" w14:textId="77777777" w:rsidR="00B31D8D" w:rsidRPr="0023319B" w:rsidRDefault="00B31D8D" w:rsidP="00B31D8D">
            <w:pPr>
              <w:spacing w:line="240" w:lineRule="auto"/>
              <w:jc w:val="center"/>
              <w:rPr>
                <w:rFonts w:ascii="Calibri Light" w:hAnsi="Calibri Light" w:cs="Calibri Light"/>
                <w:b/>
                <w:bCs/>
                <w:sz w:val="18"/>
                <w:szCs w:val="18"/>
                <w:lang w:val="es-CR" w:eastAsia="es-CR"/>
              </w:rPr>
            </w:pPr>
            <w:r w:rsidRPr="0023319B">
              <w:rPr>
                <w:rFonts w:ascii="Calibri Light" w:hAnsi="Calibri Light" w:cs="Calibri Light"/>
                <w:b/>
                <w:bCs/>
                <w:sz w:val="18"/>
                <w:szCs w:val="18"/>
                <w:lang w:val="es-CR" w:eastAsia="es-CR"/>
              </w:rPr>
              <w:t> </w:t>
            </w:r>
          </w:p>
        </w:tc>
        <w:tc>
          <w:tcPr>
            <w:tcW w:w="800" w:type="dxa"/>
            <w:tcBorders>
              <w:top w:val="nil"/>
              <w:left w:val="nil"/>
              <w:bottom w:val="single" w:sz="4" w:space="0" w:color="auto"/>
              <w:right w:val="single" w:sz="4" w:space="0" w:color="auto"/>
            </w:tcBorders>
            <w:shd w:val="clear" w:color="auto" w:fill="auto"/>
            <w:vAlign w:val="center"/>
            <w:hideMark/>
          </w:tcPr>
          <w:p w14:paraId="428AAD31" w14:textId="77777777" w:rsidR="00B31D8D" w:rsidRPr="0023319B" w:rsidRDefault="00B31D8D" w:rsidP="00B31D8D">
            <w:pPr>
              <w:spacing w:line="240" w:lineRule="auto"/>
              <w:jc w:val="center"/>
              <w:rPr>
                <w:rFonts w:ascii="Calibri Light" w:hAnsi="Calibri Light" w:cs="Calibri Light"/>
                <w:b/>
                <w:bCs/>
                <w:sz w:val="18"/>
                <w:szCs w:val="18"/>
                <w:lang w:val="es-CR" w:eastAsia="es-CR"/>
              </w:rPr>
            </w:pPr>
            <w:r w:rsidRPr="0023319B">
              <w:rPr>
                <w:rFonts w:ascii="Calibri Light" w:hAnsi="Calibri Light" w:cs="Calibri Light"/>
                <w:b/>
                <w:bCs/>
                <w:sz w:val="18"/>
                <w:szCs w:val="18"/>
                <w:lang w:val="es-CR" w:eastAsia="es-CR"/>
              </w:rPr>
              <w:t>1</w:t>
            </w:r>
          </w:p>
        </w:tc>
        <w:tc>
          <w:tcPr>
            <w:tcW w:w="3484" w:type="dxa"/>
            <w:tcBorders>
              <w:top w:val="nil"/>
              <w:left w:val="nil"/>
              <w:bottom w:val="single" w:sz="4" w:space="0" w:color="auto"/>
              <w:right w:val="single" w:sz="4" w:space="0" w:color="auto"/>
            </w:tcBorders>
            <w:shd w:val="clear" w:color="auto" w:fill="auto"/>
            <w:vAlign w:val="center"/>
            <w:hideMark/>
          </w:tcPr>
          <w:p w14:paraId="5D230445" w14:textId="77777777" w:rsidR="00B31D8D" w:rsidRPr="0023319B" w:rsidRDefault="00B31D8D" w:rsidP="00B31D8D">
            <w:pPr>
              <w:spacing w:line="240" w:lineRule="auto"/>
              <w:jc w:val="left"/>
              <w:rPr>
                <w:rFonts w:ascii="Calibri Light" w:hAnsi="Calibri Light" w:cs="Calibri Light"/>
                <w:sz w:val="18"/>
                <w:szCs w:val="18"/>
                <w:lang w:val="es-CR" w:eastAsia="es-CR"/>
              </w:rPr>
            </w:pPr>
            <w:r w:rsidRPr="0023319B">
              <w:rPr>
                <w:rFonts w:ascii="Calibri Light" w:hAnsi="Calibri Light" w:cs="Calibri Light"/>
                <w:sz w:val="18"/>
                <w:szCs w:val="18"/>
                <w:lang w:val="es-CR" w:eastAsia="es-CR"/>
              </w:rPr>
              <w:t xml:space="preserve">Tener, en promedio, los indicadores de cumplimiento de metas de toda la Superintendencia con nota igual o superior al 85%. </w:t>
            </w:r>
          </w:p>
        </w:tc>
        <w:tc>
          <w:tcPr>
            <w:tcW w:w="1275" w:type="dxa"/>
            <w:tcBorders>
              <w:top w:val="nil"/>
              <w:left w:val="nil"/>
              <w:bottom w:val="single" w:sz="4" w:space="0" w:color="auto"/>
              <w:right w:val="single" w:sz="4" w:space="0" w:color="auto"/>
            </w:tcBorders>
            <w:shd w:val="clear" w:color="auto" w:fill="auto"/>
            <w:vAlign w:val="center"/>
            <w:hideMark/>
          </w:tcPr>
          <w:p w14:paraId="2367B23F" w14:textId="446A965C" w:rsidR="00B31D8D" w:rsidRPr="0023319B" w:rsidRDefault="00B31D8D" w:rsidP="00B31D8D">
            <w:pPr>
              <w:spacing w:line="240" w:lineRule="auto"/>
              <w:jc w:val="right"/>
              <w:rPr>
                <w:rFonts w:ascii="Calibri Light" w:hAnsi="Calibri Light" w:cs="Calibri Light"/>
                <w:sz w:val="18"/>
                <w:szCs w:val="18"/>
                <w:lang w:val="es-CR" w:eastAsia="es-CR"/>
              </w:rPr>
            </w:pPr>
            <w:r w:rsidRPr="0023319B">
              <w:rPr>
                <w:rFonts w:ascii="Calibri Light" w:hAnsi="Calibri Light" w:cs="Calibri Light"/>
                <w:sz w:val="18"/>
                <w:szCs w:val="18"/>
                <w:lang w:val="es-CR" w:eastAsia="es-CR"/>
              </w:rPr>
              <w:t xml:space="preserve">255 122 392 </w:t>
            </w:r>
          </w:p>
        </w:tc>
        <w:tc>
          <w:tcPr>
            <w:tcW w:w="1275" w:type="dxa"/>
            <w:tcBorders>
              <w:top w:val="nil"/>
              <w:left w:val="nil"/>
              <w:bottom w:val="single" w:sz="4" w:space="0" w:color="auto"/>
              <w:right w:val="single" w:sz="4" w:space="0" w:color="auto"/>
            </w:tcBorders>
            <w:shd w:val="clear" w:color="auto" w:fill="auto"/>
            <w:vAlign w:val="center"/>
            <w:hideMark/>
          </w:tcPr>
          <w:p w14:paraId="5C2DD2EF" w14:textId="4817327F" w:rsidR="00B31D8D" w:rsidRPr="0023319B" w:rsidRDefault="00B31D8D" w:rsidP="00B31D8D">
            <w:pPr>
              <w:spacing w:line="240" w:lineRule="auto"/>
              <w:jc w:val="right"/>
              <w:rPr>
                <w:rFonts w:ascii="Calibri Light" w:hAnsi="Calibri Light" w:cs="Calibri Light"/>
                <w:sz w:val="18"/>
                <w:szCs w:val="18"/>
                <w:lang w:val="es-CR" w:eastAsia="es-CR"/>
              </w:rPr>
            </w:pPr>
            <w:r w:rsidRPr="0023319B">
              <w:rPr>
                <w:rFonts w:ascii="Calibri Light" w:hAnsi="Calibri Light" w:cs="Calibri Light"/>
                <w:sz w:val="18"/>
                <w:szCs w:val="18"/>
                <w:lang w:val="es-CR" w:eastAsia="es-CR"/>
              </w:rPr>
              <w:t xml:space="preserve">194 363 418 </w:t>
            </w:r>
          </w:p>
        </w:tc>
        <w:tc>
          <w:tcPr>
            <w:tcW w:w="852" w:type="dxa"/>
            <w:tcBorders>
              <w:top w:val="nil"/>
              <w:left w:val="nil"/>
              <w:bottom w:val="single" w:sz="4" w:space="0" w:color="auto"/>
              <w:right w:val="single" w:sz="4" w:space="0" w:color="auto"/>
            </w:tcBorders>
            <w:shd w:val="clear" w:color="auto" w:fill="auto"/>
            <w:vAlign w:val="center"/>
            <w:hideMark/>
          </w:tcPr>
          <w:p w14:paraId="6501EF91" w14:textId="77777777" w:rsidR="00B31D8D" w:rsidRPr="0023319B" w:rsidRDefault="00B31D8D" w:rsidP="00B31D8D">
            <w:pPr>
              <w:spacing w:line="240" w:lineRule="auto"/>
              <w:jc w:val="center"/>
              <w:rPr>
                <w:rFonts w:ascii="Calibri Light" w:hAnsi="Calibri Light" w:cs="Calibri Light"/>
                <w:sz w:val="18"/>
                <w:szCs w:val="18"/>
                <w:lang w:val="es-CR" w:eastAsia="es-CR"/>
              </w:rPr>
            </w:pPr>
            <w:r w:rsidRPr="0023319B">
              <w:rPr>
                <w:rFonts w:ascii="Calibri Light" w:hAnsi="Calibri Light" w:cs="Calibri Light"/>
                <w:sz w:val="18"/>
                <w:szCs w:val="18"/>
                <w:lang w:val="es-CR" w:eastAsia="es-CR"/>
              </w:rPr>
              <w:t>76%</w:t>
            </w:r>
          </w:p>
        </w:tc>
      </w:tr>
      <w:tr w:rsidR="00B31D8D" w:rsidRPr="0023319B" w14:paraId="029D027F" w14:textId="77777777" w:rsidTr="00A05244">
        <w:trPr>
          <w:trHeight w:val="315"/>
        </w:trPr>
        <w:tc>
          <w:tcPr>
            <w:tcW w:w="5524" w:type="dxa"/>
            <w:gridSpan w:val="3"/>
            <w:tcBorders>
              <w:top w:val="single" w:sz="4" w:space="0" w:color="auto"/>
              <w:left w:val="single" w:sz="4" w:space="0" w:color="auto"/>
              <w:bottom w:val="single" w:sz="4" w:space="0" w:color="auto"/>
              <w:right w:val="single" w:sz="4" w:space="0" w:color="auto"/>
            </w:tcBorders>
            <w:shd w:val="clear" w:color="000000" w:fill="DCE6F1"/>
            <w:noWrap/>
            <w:vAlign w:val="center"/>
            <w:hideMark/>
          </w:tcPr>
          <w:p w14:paraId="282107C9" w14:textId="77777777" w:rsidR="00B31D8D" w:rsidRPr="0023319B" w:rsidRDefault="00B31D8D" w:rsidP="00B31D8D">
            <w:pPr>
              <w:spacing w:line="240" w:lineRule="auto"/>
              <w:jc w:val="left"/>
              <w:rPr>
                <w:rFonts w:ascii="Calibri Light" w:hAnsi="Calibri Light" w:cs="Calibri Light"/>
                <w:b/>
                <w:bCs/>
                <w:sz w:val="18"/>
                <w:szCs w:val="18"/>
                <w:lang w:val="es-CR" w:eastAsia="es-CR"/>
              </w:rPr>
            </w:pPr>
            <w:r w:rsidRPr="0023319B">
              <w:rPr>
                <w:rFonts w:ascii="Calibri Light" w:hAnsi="Calibri Light" w:cs="Calibri Light"/>
                <w:b/>
                <w:bCs/>
                <w:sz w:val="18"/>
                <w:szCs w:val="18"/>
                <w:lang w:val="es-CR" w:eastAsia="es-CR"/>
              </w:rPr>
              <w:t>DIVISIÓN JURÍDICA</w:t>
            </w:r>
          </w:p>
        </w:tc>
        <w:tc>
          <w:tcPr>
            <w:tcW w:w="1275" w:type="dxa"/>
            <w:tcBorders>
              <w:top w:val="nil"/>
              <w:left w:val="nil"/>
              <w:bottom w:val="single" w:sz="4" w:space="0" w:color="auto"/>
              <w:right w:val="single" w:sz="4" w:space="0" w:color="auto"/>
            </w:tcBorders>
            <w:shd w:val="clear" w:color="000000" w:fill="DCE6F1"/>
            <w:vAlign w:val="center"/>
            <w:hideMark/>
          </w:tcPr>
          <w:p w14:paraId="16348523" w14:textId="3CF8FB44" w:rsidR="00B31D8D" w:rsidRPr="0023319B" w:rsidRDefault="00B31D8D" w:rsidP="00B31D8D">
            <w:pPr>
              <w:spacing w:line="240" w:lineRule="auto"/>
              <w:jc w:val="right"/>
              <w:rPr>
                <w:rFonts w:ascii="Calibri Light" w:hAnsi="Calibri Light" w:cs="Calibri Light"/>
                <w:b/>
                <w:bCs/>
                <w:sz w:val="18"/>
                <w:szCs w:val="18"/>
                <w:lang w:val="es-CR" w:eastAsia="es-CR"/>
              </w:rPr>
            </w:pPr>
            <w:r w:rsidRPr="0023319B">
              <w:rPr>
                <w:rFonts w:ascii="Calibri Light" w:hAnsi="Calibri Light" w:cs="Calibri Light"/>
                <w:b/>
                <w:bCs/>
                <w:sz w:val="18"/>
                <w:szCs w:val="18"/>
                <w:lang w:val="es-CR" w:eastAsia="es-CR"/>
              </w:rPr>
              <w:t xml:space="preserve">578 762 597 </w:t>
            </w:r>
          </w:p>
        </w:tc>
        <w:tc>
          <w:tcPr>
            <w:tcW w:w="1275" w:type="dxa"/>
            <w:tcBorders>
              <w:top w:val="nil"/>
              <w:left w:val="nil"/>
              <w:bottom w:val="single" w:sz="4" w:space="0" w:color="auto"/>
              <w:right w:val="single" w:sz="4" w:space="0" w:color="auto"/>
            </w:tcBorders>
            <w:shd w:val="clear" w:color="000000" w:fill="DCE6F1"/>
            <w:vAlign w:val="center"/>
            <w:hideMark/>
          </w:tcPr>
          <w:p w14:paraId="77E43E64" w14:textId="36CC4455" w:rsidR="00B31D8D" w:rsidRPr="0023319B" w:rsidRDefault="00B31D8D" w:rsidP="00B31D8D">
            <w:pPr>
              <w:spacing w:line="240" w:lineRule="auto"/>
              <w:jc w:val="right"/>
              <w:rPr>
                <w:rFonts w:ascii="Calibri Light" w:hAnsi="Calibri Light" w:cs="Calibri Light"/>
                <w:b/>
                <w:bCs/>
                <w:sz w:val="18"/>
                <w:szCs w:val="18"/>
                <w:lang w:val="es-CR" w:eastAsia="es-CR"/>
              </w:rPr>
            </w:pPr>
            <w:r w:rsidRPr="0023319B">
              <w:rPr>
                <w:rFonts w:ascii="Calibri Light" w:hAnsi="Calibri Light" w:cs="Calibri Light"/>
                <w:b/>
                <w:bCs/>
                <w:sz w:val="18"/>
                <w:szCs w:val="18"/>
                <w:lang w:val="es-CR" w:eastAsia="es-CR"/>
              </w:rPr>
              <w:t xml:space="preserve">491 995 923 </w:t>
            </w:r>
          </w:p>
        </w:tc>
        <w:tc>
          <w:tcPr>
            <w:tcW w:w="852" w:type="dxa"/>
            <w:tcBorders>
              <w:top w:val="nil"/>
              <w:left w:val="nil"/>
              <w:bottom w:val="single" w:sz="4" w:space="0" w:color="auto"/>
              <w:right w:val="single" w:sz="4" w:space="0" w:color="auto"/>
            </w:tcBorders>
            <w:shd w:val="clear" w:color="000000" w:fill="DCE6F1"/>
            <w:vAlign w:val="center"/>
            <w:hideMark/>
          </w:tcPr>
          <w:p w14:paraId="0A3A88C1" w14:textId="77777777" w:rsidR="00B31D8D" w:rsidRPr="0023319B" w:rsidRDefault="00B31D8D" w:rsidP="00B31D8D">
            <w:pPr>
              <w:spacing w:line="240" w:lineRule="auto"/>
              <w:jc w:val="center"/>
              <w:rPr>
                <w:rFonts w:ascii="Calibri Light" w:hAnsi="Calibri Light" w:cs="Calibri Light"/>
                <w:b/>
                <w:bCs/>
                <w:sz w:val="18"/>
                <w:szCs w:val="18"/>
                <w:lang w:val="es-CR" w:eastAsia="es-CR"/>
              </w:rPr>
            </w:pPr>
            <w:r w:rsidRPr="0023319B">
              <w:rPr>
                <w:rFonts w:ascii="Calibri Light" w:hAnsi="Calibri Light" w:cs="Calibri Light"/>
                <w:b/>
                <w:bCs/>
                <w:sz w:val="18"/>
                <w:szCs w:val="18"/>
                <w:lang w:val="es-CR" w:eastAsia="es-CR"/>
              </w:rPr>
              <w:t>85%</w:t>
            </w:r>
          </w:p>
        </w:tc>
      </w:tr>
      <w:tr w:rsidR="00B31D8D" w:rsidRPr="0023319B" w14:paraId="0361BD4F" w14:textId="77777777" w:rsidTr="00A05244">
        <w:trPr>
          <w:trHeight w:val="690"/>
        </w:trPr>
        <w:tc>
          <w:tcPr>
            <w:tcW w:w="1240" w:type="dxa"/>
            <w:vMerge w:val="restart"/>
            <w:tcBorders>
              <w:top w:val="nil"/>
              <w:left w:val="single" w:sz="4" w:space="0" w:color="auto"/>
              <w:bottom w:val="nil"/>
              <w:right w:val="single" w:sz="4" w:space="0" w:color="auto"/>
            </w:tcBorders>
            <w:shd w:val="clear" w:color="000000" w:fill="FFFFFF"/>
            <w:vAlign w:val="center"/>
            <w:hideMark/>
          </w:tcPr>
          <w:p w14:paraId="5C758652" w14:textId="77777777" w:rsidR="00B31D8D" w:rsidRPr="0023319B" w:rsidRDefault="00B31D8D" w:rsidP="00B31D8D">
            <w:pPr>
              <w:spacing w:line="240" w:lineRule="auto"/>
              <w:jc w:val="center"/>
              <w:rPr>
                <w:rFonts w:ascii="Calibri Light" w:hAnsi="Calibri Light" w:cs="Calibri Light"/>
                <w:b/>
                <w:bCs/>
                <w:sz w:val="18"/>
                <w:szCs w:val="18"/>
                <w:lang w:val="es-CR" w:eastAsia="es-CR"/>
              </w:rPr>
            </w:pPr>
            <w:r w:rsidRPr="0023319B">
              <w:rPr>
                <w:rFonts w:ascii="Calibri Light" w:hAnsi="Calibri Light" w:cs="Calibri Light"/>
                <w:b/>
                <w:bCs/>
                <w:sz w:val="18"/>
                <w:szCs w:val="18"/>
                <w:lang w:val="es-CR" w:eastAsia="es-CR"/>
              </w:rPr>
              <w:t> </w:t>
            </w:r>
          </w:p>
        </w:tc>
        <w:tc>
          <w:tcPr>
            <w:tcW w:w="800" w:type="dxa"/>
            <w:tcBorders>
              <w:top w:val="nil"/>
              <w:left w:val="nil"/>
              <w:bottom w:val="single" w:sz="4" w:space="0" w:color="auto"/>
              <w:right w:val="single" w:sz="4" w:space="0" w:color="auto"/>
            </w:tcBorders>
            <w:shd w:val="clear" w:color="auto" w:fill="auto"/>
            <w:vAlign w:val="center"/>
            <w:hideMark/>
          </w:tcPr>
          <w:p w14:paraId="23AEDCDF" w14:textId="77777777" w:rsidR="00B31D8D" w:rsidRPr="0023319B" w:rsidRDefault="00B31D8D" w:rsidP="00B31D8D">
            <w:pPr>
              <w:spacing w:line="240" w:lineRule="auto"/>
              <w:jc w:val="center"/>
              <w:rPr>
                <w:rFonts w:ascii="Calibri Light" w:hAnsi="Calibri Light" w:cs="Calibri Light"/>
                <w:b/>
                <w:bCs/>
                <w:sz w:val="18"/>
                <w:szCs w:val="18"/>
                <w:lang w:val="es-CR" w:eastAsia="es-CR"/>
              </w:rPr>
            </w:pPr>
            <w:r w:rsidRPr="0023319B">
              <w:rPr>
                <w:rFonts w:ascii="Calibri Light" w:hAnsi="Calibri Light" w:cs="Calibri Light"/>
                <w:b/>
                <w:bCs/>
                <w:sz w:val="18"/>
                <w:szCs w:val="18"/>
                <w:lang w:val="es-CR" w:eastAsia="es-CR"/>
              </w:rPr>
              <w:t>2</w:t>
            </w:r>
          </w:p>
        </w:tc>
        <w:tc>
          <w:tcPr>
            <w:tcW w:w="3484" w:type="dxa"/>
            <w:tcBorders>
              <w:top w:val="nil"/>
              <w:left w:val="nil"/>
              <w:bottom w:val="single" w:sz="4" w:space="0" w:color="auto"/>
              <w:right w:val="single" w:sz="4" w:space="0" w:color="auto"/>
            </w:tcBorders>
            <w:shd w:val="clear" w:color="auto" w:fill="auto"/>
            <w:vAlign w:val="center"/>
            <w:hideMark/>
          </w:tcPr>
          <w:p w14:paraId="065C22C5" w14:textId="77777777" w:rsidR="00B31D8D" w:rsidRPr="0023319B" w:rsidRDefault="00B31D8D" w:rsidP="00B31D8D">
            <w:pPr>
              <w:spacing w:line="240" w:lineRule="auto"/>
              <w:jc w:val="left"/>
              <w:rPr>
                <w:rFonts w:ascii="Calibri Light" w:hAnsi="Calibri Light" w:cs="Calibri Light"/>
                <w:sz w:val="18"/>
                <w:szCs w:val="18"/>
                <w:lang w:val="es-CR" w:eastAsia="es-CR"/>
              </w:rPr>
            </w:pPr>
            <w:r w:rsidRPr="0023319B">
              <w:rPr>
                <w:rFonts w:ascii="Calibri Light" w:hAnsi="Calibri Light" w:cs="Calibri Light"/>
                <w:sz w:val="18"/>
                <w:szCs w:val="18"/>
                <w:lang w:val="es-CR" w:eastAsia="es-CR"/>
              </w:rPr>
              <w:t xml:space="preserve">Tramitar en tiempo las solicitudes de asesoría jurídica y los recursos administrativos </w:t>
            </w:r>
          </w:p>
        </w:tc>
        <w:tc>
          <w:tcPr>
            <w:tcW w:w="1275" w:type="dxa"/>
            <w:tcBorders>
              <w:top w:val="nil"/>
              <w:left w:val="nil"/>
              <w:bottom w:val="single" w:sz="4" w:space="0" w:color="auto"/>
              <w:right w:val="single" w:sz="4" w:space="0" w:color="auto"/>
            </w:tcBorders>
            <w:shd w:val="clear" w:color="auto" w:fill="auto"/>
            <w:vAlign w:val="center"/>
            <w:hideMark/>
          </w:tcPr>
          <w:p w14:paraId="17AE852F" w14:textId="5566488B" w:rsidR="00B31D8D" w:rsidRPr="0023319B" w:rsidRDefault="00B31D8D" w:rsidP="00B31D8D">
            <w:pPr>
              <w:spacing w:line="240" w:lineRule="auto"/>
              <w:jc w:val="right"/>
              <w:rPr>
                <w:rFonts w:ascii="Calibri Light" w:hAnsi="Calibri Light" w:cs="Calibri Light"/>
                <w:sz w:val="18"/>
                <w:szCs w:val="18"/>
                <w:lang w:val="es-CR" w:eastAsia="es-CR"/>
              </w:rPr>
            </w:pPr>
            <w:r w:rsidRPr="0023319B">
              <w:rPr>
                <w:rFonts w:ascii="Calibri Light" w:hAnsi="Calibri Light" w:cs="Calibri Light"/>
                <w:sz w:val="18"/>
                <w:szCs w:val="18"/>
                <w:lang w:val="es-CR" w:eastAsia="es-CR"/>
              </w:rPr>
              <w:t xml:space="preserve">299 343 239 </w:t>
            </w:r>
          </w:p>
        </w:tc>
        <w:tc>
          <w:tcPr>
            <w:tcW w:w="1275" w:type="dxa"/>
            <w:tcBorders>
              <w:top w:val="nil"/>
              <w:left w:val="nil"/>
              <w:bottom w:val="single" w:sz="4" w:space="0" w:color="auto"/>
              <w:right w:val="single" w:sz="4" w:space="0" w:color="auto"/>
            </w:tcBorders>
            <w:shd w:val="clear" w:color="auto" w:fill="auto"/>
            <w:vAlign w:val="center"/>
            <w:hideMark/>
          </w:tcPr>
          <w:p w14:paraId="1D381698" w14:textId="4FF9EA44" w:rsidR="00B31D8D" w:rsidRPr="0023319B" w:rsidRDefault="00B31D8D" w:rsidP="00B31D8D">
            <w:pPr>
              <w:spacing w:line="240" w:lineRule="auto"/>
              <w:jc w:val="right"/>
              <w:rPr>
                <w:rFonts w:ascii="Calibri Light" w:hAnsi="Calibri Light" w:cs="Calibri Light"/>
                <w:sz w:val="18"/>
                <w:szCs w:val="18"/>
                <w:lang w:val="es-CR" w:eastAsia="es-CR"/>
              </w:rPr>
            </w:pPr>
            <w:r w:rsidRPr="0023319B">
              <w:rPr>
                <w:rFonts w:ascii="Calibri Light" w:hAnsi="Calibri Light" w:cs="Calibri Light"/>
                <w:sz w:val="18"/>
                <w:szCs w:val="18"/>
                <w:lang w:val="es-CR" w:eastAsia="es-CR"/>
              </w:rPr>
              <w:t xml:space="preserve">205 944 291 </w:t>
            </w:r>
          </w:p>
        </w:tc>
        <w:tc>
          <w:tcPr>
            <w:tcW w:w="852" w:type="dxa"/>
            <w:tcBorders>
              <w:top w:val="nil"/>
              <w:left w:val="nil"/>
              <w:bottom w:val="single" w:sz="4" w:space="0" w:color="auto"/>
              <w:right w:val="single" w:sz="4" w:space="0" w:color="auto"/>
            </w:tcBorders>
            <w:shd w:val="clear" w:color="auto" w:fill="auto"/>
            <w:vAlign w:val="center"/>
            <w:hideMark/>
          </w:tcPr>
          <w:p w14:paraId="0BC799BE" w14:textId="77777777" w:rsidR="00B31D8D" w:rsidRPr="0023319B" w:rsidRDefault="00B31D8D" w:rsidP="00B31D8D">
            <w:pPr>
              <w:spacing w:line="240" w:lineRule="auto"/>
              <w:jc w:val="center"/>
              <w:rPr>
                <w:rFonts w:ascii="Calibri Light" w:hAnsi="Calibri Light" w:cs="Calibri Light"/>
                <w:sz w:val="18"/>
                <w:szCs w:val="18"/>
                <w:lang w:val="es-CR" w:eastAsia="es-CR"/>
              </w:rPr>
            </w:pPr>
            <w:r w:rsidRPr="0023319B">
              <w:rPr>
                <w:rFonts w:ascii="Calibri Light" w:hAnsi="Calibri Light" w:cs="Calibri Light"/>
                <w:sz w:val="18"/>
                <w:szCs w:val="18"/>
                <w:lang w:val="es-CR" w:eastAsia="es-CR"/>
              </w:rPr>
              <w:t>69%</w:t>
            </w:r>
          </w:p>
        </w:tc>
      </w:tr>
      <w:tr w:rsidR="00B31D8D" w:rsidRPr="0023319B" w14:paraId="203DB94A" w14:textId="77777777" w:rsidTr="00A05244">
        <w:trPr>
          <w:trHeight w:val="690"/>
        </w:trPr>
        <w:tc>
          <w:tcPr>
            <w:tcW w:w="1240" w:type="dxa"/>
            <w:vMerge/>
            <w:tcBorders>
              <w:top w:val="nil"/>
              <w:left w:val="single" w:sz="4" w:space="0" w:color="auto"/>
              <w:bottom w:val="nil"/>
              <w:right w:val="single" w:sz="4" w:space="0" w:color="auto"/>
            </w:tcBorders>
            <w:vAlign w:val="center"/>
            <w:hideMark/>
          </w:tcPr>
          <w:p w14:paraId="57A8246A" w14:textId="77777777" w:rsidR="00B31D8D" w:rsidRPr="0023319B" w:rsidRDefault="00B31D8D" w:rsidP="00B31D8D">
            <w:pPr>
              <w:spacing w:line="240" w:lineRule="auto"/>
              <w:jc w:val="left"/>
              <w:rPr>
                <w:rFonts w:ascii="Calibri Light" w:hAnsi="Calibri Light" w:cs="Calibri Light"/>
                <w:b/>
                <w:bCs/>
                <w:sz w:val="18"/>
                <w:szCs w:val="18"/>
                <w:lang w:val="es-CR" w:eastAsia="es-CR"/>
              </w:rPr>
            </w:pPr>
          </w:p>
        </w:tc>
        <w:tc>
          <w:tcPr>
            <w:tcW w:w="800" w:type="dxa"/>
            <w:tcBorders>
              <w:top w:val="nil"/>
              <w:left w:val="nil"/>
              <w:bottom w:val="single" w:sz="4" w:space="0" w:color="auto"/>
              <w:right w:val="single" w:sz="4" w:space="0" w:color="auto"/>
            </w:tcBorders>
            <w:shd w:val="clear" w:color="auto" w:fill="auto"/>
            <w:vAlign w:val="center"/>
            <w:hideMark/>
          </w:tcPr>
          <w:p w14:paraId="6889D07F" w14:textId="77777777" w:rsidR="00B31D8D" w:rsidRPr="0023319B" w:rsidRDefault="00B31D8D" w:rsidP="00B31D8D">
            <w:pPr>
              <w:spacing w:line="240" w:lineRule="auto"/>
              <w:jc w:val="center"/>
              <w:rPr>
                <w:rFonts w:ascii="Calibri Light" w:hAnsi="Calibri Light" w:cs="Calibri Light"/>
                <w:b/>
                <w:bCs/>
                <w:sz w:val="18"/>
                <w:szCs w:val="18"/>
                <w:lang w:val="es-CR" w:eastAsia="es-CR"/>
              </w:rPr>
            </w:pPr>
            <w:r w:rsidRPr="0023319B">
              <w:rPr>
                <w:rFonts w:ascii="Calibri Light" w:hAnsi="Calibri Light" w:cs="Calibri Light"/>
                <w:b/>
                <w:bCs/>
                <w:sz w:val="18"/>
                <w:szCs w:val="18"/>
                <w:lang w:val="es-CR" w:eastAsia="es-CR"/>
              </w:rPr>
              <w:t>3</w:t>
            </w:r>
          </w:p>
        </w:tc>
        <w:tc>
          <w:tcPr>
            <w:tcW w:w="3484" w:type="dxa"/>
            <w:tcBorders>
              <w:top w:val="nil"/>
              <w:left w:val="nil"/>
              <w:bottom w:val="single" w:sz="4" w:space="0" w:color="auto"/>
              <w:right w:val="single" w:sz="4" w:space="0" w:color="auto"/>
            </w:tcBorders>
            <w:shd w:val="clear" w:color="auto" w:fill="auto"/>
            <w:vAlign w:val="center"/>
            <w:hideMark/>
          </w:tcPr>
          <w:p w14:paraId="0A1077C0" w14:textId="77777777" w:rsidR="00B31D8D" w:rsidRPr="0023319B" w:rsidRDefault="00B31D8D" w:rsidP="00B31D8D">
            <w:pPr>
              <w:spacing w:line="240" w:lineRule="auto"/>
              <w:jc w:val="left"/>
              <w:rPr>
                <w:rFonts w:ascii="Calibri Light" w:hAnsi="Calibri Light" w:cs="Calibri Light"/>
                <w:sz w:val="18"/>
                <w:szCs w:val="18"/>
                <w:lang w:val="es-CR" w:eastAsia="es-CR"/>
              </w:rPr>
            </w:pPr>
            <w:r w:rsidRPr="0023319B">
              <w:rPr>
                <w:rFonts w:ascii="Calibri Light" w:hAnsi="Calibri Light" w:cs="Calibri Light"/>
                <w:sz w:val="18"/>
                <w:szCs w:val="18"/>
                <w:lang w:val="es-CR" w:eastAsia="es-CR"/>
              </w:rPr>
              <w:t>Tramitar en tiempo las solicitudes de denuncias y/o consultas de los afiliados</w:t>
            </w:r>
          </w:p>
        </w:tc>
        <w:tc>
          <w:tcPr>
            <w:tcW w:w="1275" w:type="dxa"/>
            <w:tcBorders>
              <w:top w:val="nil"/>
              <w:left w:val="nil"/>
              <w:bottom w:val="single" w:sz="4" w:space="0" w:color="auto"/>
              <w:right w:val="single" w:sz="4" w:space="0" w:color="auto"/>
            </w:tcBorders>
            <w:shd w:val="clear" w:color="auto" w:fill="auto"/>
            <w:vAlign w:val="center"/>
            <w:hideMark/>
          </w:tcPr>
          <w:p w14:paraId="34CEAB89" w14:textId="419D1083" w:rsidR="00B31D8D" w:rsidRPr="0023319B" w:rsidRDefault="00B31D8D" w:rsidP="00B31D8D">
            <w:pPr>
              <w:spacing w:line="240" w:lineRule="auto"/>
              <w:jc w:val="right"/>
              <w:rPr>
                <w:rFonts w:ascii="Calibri Light" w:hAnsi="Calibri Light" w:cs="Calibri Light"/>
                <w:sz w:val="18"/>
                <w:szCs w:val="18"/>
                <w:lang w:val="es-CR" w:eastAsia="es-CR"/>
              </w:rPr>
            </w:pPr>
            <w:r w:rsidRPr="0023319B">
              <w:rPr>
                <w:rFonts w:ascii="Calibri Light" w:hAnsi="Calibri Light" w:cs="Calibri Light"/>
                <w:sz w:val="18"/>
                <w:szCs w:val="18"/>
                <w:lang w:val="es-CR" w:eastAsia="es-CR"/>
              </w:rPr>
              <w:t xml:space="preserve">190 358 869 </w:t>
            </w:r>
          </w:p>
        </w:tc>
        <w:tc>
          <w:tcPr>
            <w:tcW w:w="1275" w:type="dxa"/>
            <w:tcBorders>
              <w:top w:val="nil"/>
              <w:left w:val="nil"/>
              <w:bottom w:val="single" w:sz="4" w:space="0" w:color="auto"/>
              <w:right w:val="single" w:sz="4" w:space="0" w:color="auto"/>
            </w:tcBorders>
            <w:shd w:val="clear" w:color="auto" w:fill="auto"/>
            <w:vAlign w:val="center"/>
            <w:hideMark/>
          </w:tcPr>
          <w:p w14:paraId="779775BE" w14:textId="418F5B50" w:rsidR="00B31D8D" w:rsidRPr="0023319B" w:rsidRDefault="00B31D8D" w:rsidP="00B31D8D">
            <w:pPr>
              <w:spacing w:line="240" w:lineRule="auto"/>
              <w:jc w:val="right"/>
              <w:rPr>
                <w:rFonts w:ascii="Calibri Light" w:hAnsi="Calibri Light" w:cs="Calibri Light"/>
                <w:sz w:val="18"/>
                <w:szCs w:val="18"/>
                <w:lang w:val="es-CR" w:eastAsia="es-CR"/>
              </w:rPr>
            </w:pPr>
            <w:r w:rsidRPr="0023319B">
              <w:rPr>
                <w:rFonts w:ascii="Calibri Light" w:hAnsi="Calibri Light" w:cs="Calibri Light"/>
                <w:sz w:val="18"/>
                <w:szCs w:val="18"/>
                <w:lang w:val="es-CR" w:eastAsia="es-CR"/>
              </w:rPr>
              <w:t xml:space="preserve">142 770 581 </w:t>
            </w:r>
          </w:p>
        </w:tc>
        <w:tc>
          <w:tcPr>
            <w:tcW w:w="852" w:type="dxa"/>
            <w:tcBorders>
              <w:top w:val="nil"/>
              <w:left w:val="nil"/>
              <w:bottom w:val="single" w:sz="4" w:space="0" w:color="auto"/>
              <w:right w:val="single" w:sz="4" w:space="0" w:color="auto"/>
            </w:tcBorders>
            <w:shd w:val="clear" w:color="auto" w:fill="auto"/>
            <w:vAlign w:val="center"/>
            <w:hideMark/>
          </w:tcPr>
          <w:p w14:paraId="088CE51A" w14:textId="77777777" w:rsidR="00B31D8D" w:rsidRPr="0023319B" w:rsidRDefault="00B31D8D" w:rsidP="00B31D8D">
            <w:pPr>
              <w:spacing w:line="240" w:lineRule="auto"/>
              <w:jc w:val="center"/>
              <w:rPr>
                <w:rFonts w:ascii="Calibri Light" w:hAnsi="Calibri Light" w:cs="Calibri Light"/>
                <w:sz w:val="18"/>
                <w:szCs w:val="18"/>
                <w:lang w:val="es-CR" w:eastAsia="es-CR"/>
              </w:rPr>
            </w:pPr>
            <w:r w:rsidRPr="0023319B">
              <w:rPr>
                <w:rFonts w:ascii="Calibri Light" w:hAnsi="Calibri Light" w:cs="Calibri Light"/>
                <w:sz w:val="18"/>
                <w:szCs w:val="18"/>
                <w:lang w:val="es-CR" w:eastAsia="es-CR"/>
              </w:rPr>
              <w:t>75%</w:t>
            </w:r>
          </w:p>
        </w:tc>
      </w:tr>
      <w:tr w:rsidR="00B31D8D" w:rsidRPr="0023319B" w14:paraId="415A7435" w14:textId="77777777" w:rsidTr="00A05244">
        <w:trPr>
          <w:trHeight w:val="878"/>
        </w:trPr>
        <w:tc>
          <w:tcPr>
            <w:tcW w:w="1240" w:type="dxa"/>
            <w:vMerge/>
            <w:tcBorders>
              <w:top w:val="nil"/>
              <w:left w:val="single" w:sz="4" w:space="0" w:color="auto"/>
              <w:bottom w:val="nil"/>
              <w:right w:val="single" w:sz="4" w:space="0" w:color="auto"/>
            </w:tcBorders>
            <w:vAlign w:val="center"/>
            <w:hideMark/>
          </w:tcPr>
          <w:p w14:paraId="7AFA111D" w14:textId="77777777" w:rsidR="00B31D8D" w:rsidRPr="0023319B" w:rsidRDefault="00B31D8D" w:rsidP="00B31D8D">
            <w:pPr>
              <w:spacing w:line="240" w:lineRule="auto"/>
              <w:jc w:val="left"/>
              <w:rPr>
                <w:rFonts w:ascii="Calibri Light" w:hAnsi="Calibri Light" w:cs="Calibri Light"/>
                <w:b/>
                <w:bCs/>
                <w:sz w:val="18"/>
                <w:szCs w:val="18"/>
                <w:lang w:val="es-CR" w:eastAsia="es-CR"/>
              </w:rPr>
            </w:pPr>
          </w:p>
        </w:tc>
        <w:tc>
          <w:tcPr>
            <w:tcW w:w="800" w:type="dxa"/>
            <w:tcBorders>
              <w:top w:val="nil"/>
              <w:left w:val="nil"/>
              <w:bottom w:val="single" w:sz="4" w:space="0" w:color="auto"/>
              <w:right w:val="single" w:sz="4" w:space="0" w:color="auto"/>
            </w:tcBorders>
            <w:shd w:val="clear" w:color="auto" w:fill="auto"/>
            <w:vAlign w:val="center"/>
            <w:hideMark/>
          </w:tcPr>
          <w:p w14:paraId="666F7F71" w14:textId="77777777" w:rsidR="00B31D8D" w:rsidRPr="0023319B" w:rsidRDefault="00B31D8D" w:rsidP="00B31D8D">
            <w:pPr>
              <w:spacing w:line="240" w:lineRule="auto"/>
              <w:jc w:val="center"/>
              <w:rPr>
                <w:rFonts w:ascii="Calibri Light" w:hAnsi="Calibri Light" w:cs="Calibri Light"/>
                <w:b/>
                <w:bCs/>
                <w:sz w:val="18"/>
                <w:szCs w:val="18"/>
                <w:lang w:val="es-CR" w:eastAsia="es-CR"/>
              </w:rPr>
            </w:pPr>
            <w:r w:rsidRPr="0023319B">
              <w:rPr>
                <w:rFonts w:ascii="Calibri Light" w:hAnsi="Calibri Light" w:cs="Calibri Light"/>
                <w:b/>
                <w:bCs/>
                <w:sz w:val="18"/>
                <w:szCs w:val="18"/>
                <w:lang w:val="es-CR" w:eastAsia="es-CR"/>
              </w:rPr>
              <w:t>4</w:t>
            </w:r>
          </w:p>
        </w:tc>
        <w:tc>
          <w:tcPr>
            <w:tcW w:w="3484" w:type="dxa"/>
            <w:tcBorders>
              <w:top w:val="nil"/>
              <w:left w:val="nil"/>
              <w:bottom w:val="single" w:sz="4" w:space="0" w:color="auto"/>
              <w:right w:val="single" w:sz="4" w:space="0" w:color="auto"/>
            </w:tcBorders>
            <w:shd w:val="clear" w:color="auto" w:fill="auto"/>
            <w:vAlign w:val="center"/>
            <w:hideMark/>
          </w:tcPr>
          <w:p w14:paraId="5E790045" w14:textId="77777777" w:rsidR="00B31D8D" w:rsidRPr="0023319B" w:rsidRDefault="00B31D8D" w:rsidP="00B31D8D">
            <w:pPr>
              <w:spacing w:line="240" w:lineRule="auto"/>
              <w:jc w:val="left"/>
              <w:rPr>
                <w:rFonts w:ascii="Calibri Light" w:hAnsi="Calibri Light" w:cs="Calibri Light"/>
                <w:sz w:val="18"/>
                <w:szCs w:val="18"/>
                <w:lang w:val="es-CR" w:eastAsia="es-CR"/>
              </w:rPr>
            </w:pPr>
            <w:r w:rsidRPr="0023319B">
              <w:rPr>
                <w:rFonts w:ascii="Calibri Light" w:hAnsi="Calibri Light" w:cs="Calibri Light"/>
                <w:sz w:val="18"/>
                <w:szCs w:val="18"/>
                <w:lang w:val="es-CR" w:eastAsia="es-CR"/>
              </w:rPr>
              <w:t>Tramitar en un tiempo promedio no superior de doce meses calendario los procedimientos administrativos iniciados por la Superintendencia de Pensiones</w:t>
            </w:r>
          </w:p>
        </w:tc>
        <w:tc>
          <w:tcPr>
            <w:tcW w:w="1275" w:type="dxa"/>
            <w:tcBorders>
              <w:top w:val="nil"/>
              <w:left w:val="nil"/>
              <w:bottom w:val="single" w:sz="4" w:space="0" w:color="auto"/>
              <w:right w:val="single" w:sz="4" w:space="0" w:color="auto"/>
            </w:tcBorders>
            <w:shd w:val="clear" w:color="auto" w:fill="auto"/>
            <w:vAlign w:val="center"/>
            <w:hideMark/>
          </w:tcPr>
          <w:p w14:paraId="630C3852" w14:textId="5968AD0F" w:rsidR="00B31D8D" w:rsidRPr="0023319B" w:rsidRDefault="00B31D8D" w:rsidP="00B31D8D">
            <w:pPr>
              <w:spacing w:line="240" w:lineRule="auto"/>
              <w:jc w:val="right"/>
              <w:rPr>
                <w:rFonts w:ascii="Calibri Light" w:hAnsi="Calibri Light" w:cs="Calibri Light"/>
                <w:sz w:val="18"/>
                <w:szCs w:val="18"/>
                <w:lang w:val="es-CR" w:eastAsia="es-CR"/>
              </w:rPr>
            </w:pPr>
            <w:r w:rsidRPr="0023319B">
              <w:rPr>
                <w:rFonts w:ascii="Calibri Light" w:hAnsi="Calibri Light" w:cs="Calibri Light"/>
                <w:sz w:val="18"/>
                <w:szCs w:val="18"/>
                <w:lang w:val="es-CR" w:eastAsia="es-CR"/>
              </w:rPr>
              <w:t xml:space="preserve">16 155 506 </w:t>
            </w:r>
          </w:p>
        </w:tc>
        <w:tc>
          <w:tcPr>
            <w:tcW w:w="1275" w:type="dxa"/>
            <w:tcBorders>
              <w:top w:val="nil"/>
              <w:left w:val="nil"/>
              <w:bottom w:val="single" w:sz="4" w:space="0" w:color="auto"/>
              <w:right w:val="single" w:sz="4" w:space="0" w:color="auto"/>
            </w:tcBorders>
            <w:shd w:val="clear" w:color="auto" w:fill="auto"/>
            <w:vAlign w:val="center"/>
            <w:hideMark/>
          </w:tcPr>
          <w:p w14:paraId="66D99926" w14:textId="33AEF137" w:rsidR="00B31D8D" w:rsidRPr="0023319B" w:rsidRDefault="00B31D8D" w:rsidP="00B31D8D">
            <w:pPr>
              <w:spacing w:line="240" w:lineRule="auto"/>
              <w:jc w:val="right"/>
              <w:rPr>
                <w:rFonts w:ascii="Calibri Light" w:hAnsi="Calibri Light" w:cs="Calibri Light"/>
                <w:sz w:val="18"/>
                <w:szCs w:val="18"/>
                <w:lang w:val="es-CR" w:eastAsia="es-CR"/>
              </w:rPr>
            </w:pPr>
            <w:r w:rsidRPr="0023319B">
              <w:rPr>
                <w:rFonts w:ascii="Calibri Light" w:hAnsi="Calibri Light" w:cs="Calibri Light"/>
                <w:sz w:val="18"/>
                <w:szCs w:val="18"/>
                <w:lang w:val="es-CR" w:eastAsia="es-CR"/>
              </w:rPr>
              <w:t xml:space="preserve">-   </w:t>
            </w:r>
          </w:p>
        </w:tc>
        <w:tc>
          <w:tcPr>
            <w:tcW w:w="852" w:type="dxa"/>
            <w:tcBorders>
              <w:top w:val="nil"/>
              <w:left w:val="nil"/>
              <w:bottom w:val="single" w:sz="4" w:space="0" w:color="auto"/>
              <w:right w:val="single" w:sz="4" w:space="0" w:color="auto"/>
            </w:tcBorders>
            <w:shd w:val="clear" w:color="auto" w:fill="auto"/>
            <w:vAlign w:val="center"/>
            <w:hideMark/>
          </w:tcPr>
          <w:p w14:paraId="44D52E35" w14:textId="77777777" w:rsidR="00B31D8D" w:rsidRPr="0023319B" w:rsidRDefault="00B31D8D" w:rsidP="00B31D8D">
            <w:pPr>
              <w:spacing w:line="240" w:lineRule="auto"/>
              <w:jc w:val="center"/>
              <w:rPr>
                <w:rFonts w:ascii="Calibri Light" w:hAnsi="Calibri Light" w:cs="Calibri Light"/>
                <w:sz w:val="18"/>
                <w:szCs w:val="18"/>
                <w:lang w:val="es-CR" w:eastAsia="es-CR"/>
              </w:rPr>
            </w:pPr>
            <w:r w:rsidRPr="0023319B">
              <w:rPr>
                <w:rFonts w:ascii="Calibri Light" w:hAnsi="Calibri Light" w:cs="Calibri Light"/>
                <w:sz w:val="18"/>
                <w:szCs w:val="18"/>
                <w:lang w:val="es-CR" w:eastAsia="es-CR"/>
              </w:rPr>
              <w:t>0%</w:t>
            </w:r>
          </w:p>
        </w:tc>
      </w:tr>
      <w:tr w:rsidR="00B31D8D" w:rsidRPr="0023319B" w14:paraId="19AAFD9A" w14:textId="77777777" w:rsidTr="00A05244">
        <w:trPr>
          <w:trHeight w:val="825"/>
        </w:trPr>
        <w:tc>
          <w:tcPr>
            <w:tcW w:w="1240" w:type="dxa"/>
            <w:vMerge/>
            <w:tcBorders>
              <w:top w:val="nil"/>
              <w:left w:val="single" w:sz="4" w:space="0" w:color="auto"/>
              <w:bottom w:val="nil"/>
              <w:right w:val="single" w:sz="4" w:space="0" w:color="auto"/>
            </w:tcBorders>
            <w:vAlign w:val="center"/>
            <w:hideMark/>
          </w:tcPr>
          <w:p w14:paraId="4628DDA2" w14:textId="77777777" w:rsidR="00B31D8D" w:rsidRPr="0023319B" w:rsidRDefault="00B31D8D" w:rsidP="00B31D8D">
            <w:pPr>
              <w:spacing w:line="240" w:lineRule="auto"/>
              <w:jc w:val="left"/>
              <w:rPr>
                <w:rFonts w:ascii="Calibri Light" w:hAnsi="Calibri Light" w:cs="Calibri Light"/>
                <w:b/>
                <w:bCs/>
                <w:sz w:val="18"/>
                <w:szCs w:val="18"/>
                <w:lang w:val="es-CR" w:eastAsia="es-CR"/>
              </w:rPr>
            </w:pPr>
          </w:p>
        </w:tc>
        <w:tc>
          <w:tcPr>
            <w:tcW w:w="800" w:type="dxa"/>
            <w:tcBorders>
              <w:top w:val="nil"/>
              <w:left w:val="nil"/>
              <w:bottom w:val="single" w:sz="4" w:space="0" w:color="auto"/>
              <w:right w:val="single" w:sz="4" w:space="0" w:color="auto"/>
            </w:tcBorders>
            <w:shd w:val="clear" w:color="auto" w:fill="auto"/>
            <w:vAlign w:val="center"/>
            <w:hideMark/>
          </w:tcPr>
          <w:p w14:paraId="28CB7B86" w14:textId="77777777" w:rsidR="00B31D8D" w:rsidRPr="0023319B" w:rsidRDefault="00B31D8D" w:rsidP="00B31D8D">
            <w:pPr>
              <w:spacing w:line="240" w:lineRule="auto"/>
              <w:jc w:val="center"/>
              <w:rPr>
                <w:rFonts w:ascii="Calibri Light" w:hAnsi="Calibri Light" w:cs="Calibri Light"/>
                <w:b/>
                <w:bCs/>
                <w:sz w:val="18"/>
                <w:szCs w:val="18"/>
                <w:lang w:val="es-CR" w:eastAsia="es-CR"/>
              </w:rPr>
            </w:pPr>
            <w:r w:rsidRPr="0023319B">
              <w:rPr>
                <w:rFonts w:ascii="Calibri Light" w:hAnsi="Calibri Light" w:cs="Calibri Light"/>
                <w:b/>
                <w:bCs/>
                <w:sz w:val="18"/>
                <w:szCs w:val="18"/>
                <w:lang w:val="es-CR" w:eastAsia="es-CR"/>
              </w:rPr>
              <w:t>5</w:t>
            </w:r>
          </w:p>
        </w:tc>
        <w:tc>
          <w:tcPr>
            <w:tcW w:w="3484" w:type="dxa"/>
            <w:tcBorders>
              <w:top w:val="nil"/>
              <w:left w:val="nil"/>
              <w:bottom w:val="single" w:sz="4" w:space="0" w:color="auto"/>
              <w:right w:val="single" w:sz="4" w:space="0" w:color="auto"/>
            </w:tcBorders>
            <w:shd w:val="clear" w:color="auto" w:fill="auto"/>
            <w:vAlign w:val="center"/>
            <w:hideMark/>
          </w:tcPr>
          <w:p w14:paraId="214E9E32" w14:textId="77777777" w:rsidR="00B31D8D" w:rsidRPr="0023319B" w:rsidRDefault="00B31D8D" w:rsidP="00B31D8D">
            <w:pPr>
              <w:spacing w:line="240" w:lineRule="auto"/>
              <w:jc w:val="left"/>
              <w:rPr>
                <w:rFonts w:ascii="Calibri Light" w:hAnsi="Calibri Light" w:cs="Calibri Light"/>
                <w:sz w:val="18"/>
                <w:szCs w:val="18"/>
                <w:lang w:val="es-CR" w:eastAsia="es-CR"/>
              </w:rPr>
            </w:pPr>
            <w:r w:rsidRPr="0023319B">
              <w:rPr>
                <w:rFonts w:ascii="Calibri Light" w:hAnsi="Calibri Light" w:cs="Calibri Light"/>
                <w:sz w:val="18"/>
                <w:szCs w:val="18"/>
                <w:lang w:val="es-CR" w:eastAsia="es-CR"/>
              </w:rPr>
              <w:t xml:space="preserve">Atender las solicitudes relacionadas con la mejora continua, con base en la atención de temas de calidad, riesgos, observaciones de AI, proyectos, capacitación, entre otros. </w:t>
            </w:r>
          </w:p>
        </w:tc>
        <w:tc>
          <w:tcPr>
            <w:tcW w:w="1275" w:type="dxa"/>
            <w:tcBorders>
              <w:top w:val="nil"/>
              <w:left w:val="nil"/>
              <w:bottom w:val="single" w:sz="4" w:space="0" w:color="auto"/>
              <w:right w:val="single" w:sz="4" w:space="0" w:color="auto"/>
            </w:tcBorders>
            <w:shd w:val="clear" w:color="auto" w:fill="auto"/>
            <w:vAlign w:val="center"/>
            <w:hideMark/>
          </w:tcPr>
          <w:p w14:paraId="6017A7D3" w14:textId="3F9C7FBB" w:rsidR="00B31D8D" w:rsidRPr="0023319B" w:rsidRDefault="00B31D8D" w:rsidP="00B31D8D">
            <w:pPr>
              <w:spacing w:line="240" w:lineRule="auto"/>
              <w:jc w:val="right"/>
              <w:rPr>
                <w:rFonts w:ascii="Calibri Light" w:hAnsi="Calibri Light" w:cs="Calibri Light"/>
                <w:sz w:val="18"/>
                <w:szCs w:val="18"/>
                <w:lang w:val="es-CR" w:eastAsia="es-CR"/>
              </w:rPr>
            </w:pPr>
            <w:r w:rsidRPr="0023319B">
              <w:rPr>
                <w:rFonts w:ascii="Calibri Light" w:hAnsi="Calibri Light" w:cs="Calibri Light"/>
                <w:sz w:val="18"/>
                <w:szCs w:val="18"/>
                <w:lang w:val="es-CR" w:eastAsia="es-CR"/>
              </w:rPr>
              <w:t xml:space="preserve">72 904 984 </w:t>
            </w:r>
          </w:p>
        </w:tc>
        <w:tc>
          <w:tcPr>
            <w:tcW w:w="1275" w:type="dxa"/>
            <w:tcBorders>
              <w:top w:val="nil"/>
              <w:left w:val="nil"/>
              <w:bottom w:val="single" w:sz="4" w:space="0" w:color="auto"/>
              <w:right w:val="single" w:sz="4" w:space="0" w:color="auto"/>
            </w:tcBorders>
            <w:shd w:val="clear" w:color="auto" w:fill="auto"/>
            <w:vAlign w:val="center"/>
            <w:hideMark/>
          </w:tcPr>
          <w:p w14:paraId="068E2452" w14:textId="1FC40FBD" w:rsidR="00B31D8D" w:rsidRPr="0023319B" w:rsidRDefault="00B31D8D" w:rsidP="00B31D8D">
            <w:pPr>
              <w:spacing w:line="240" w:lineRule="auto"/>
              <w:jc w:val="right"/>
              <w:rPr>
                <w:rFonts w:ascii="Calibri Light" w:hAnsi="Calibri Light" w:cs="Calibri Light"/>
                <w:sz w:val="18"/>
                <w:szCs w:val="18"/>
                <w:lang w:val="es-CR" w:eastAsia="es-CR"/>
              </w:rPr>
            </w:pPr>
            <w:r w:rsidRPr="0023319B">
              <w:rPr>
                <w:rFonts w:ascii="Calibri Light" w:hAnsi="Calibri Light" w:cs="Calibri Light"/>
                <w:sz w:val="18"/>
                <w:szCs w:val="18"/>
                <w:lang w:val="es-CR" w:eastAsia="es-CR"/>
              </w:rPr>
              <w:t xml:space="preserve">48 221 191 </w:t>
            </w:r>
          </w:p>
        </w:tc>
        <w:tc>
          <w:tcPr>
            <w:tcW w:w="852" w:type="dxa"/>
            <w:tcBorders>
              <w:top w:val="nil"/>
              <w:left w:val="nil"/>
              <w:bottom w:val="single" w:sz="4" w:space="0" w:color="auto"/>
              <w:right w:val="single" w:sz="4" w:space="0" w:color="auto"/>
            </w:tcBorders>
            <w:shd w:val="clear" w:color="auto" w:fill="auto"/>
            <w:vAlign w:val="center"/>
            <w:hideMark/>
          </w:tcPr>
          <w:p w14:paraId="16140907" w14:textId="77777777" w:rsidR="00B31D8D" w:rsidRPr="0023319B" w:rsidRDefault="00B31D8D" w:rsidP="00B31D8D">
            <w:pPr>
              <w:spacing w:line="240" w:lineRule="auto"/>
              <w:jc w:val="center"/>
              <w:rPr>
                <w:rFonts w:ascii="Calibri Light" w:hAnsi="Calibri Light" w:cs="Calibri Light"/>
                <w:sz w:val="18"/>
                <w:szCs w:val="18"/>
                <w:lang w:val="es-CR" w:eastAsia="es-CR"/>
              </w:rPr>
            </w:pPr>
            <w:r w:rsidRPr="0023319B">
              <w:rPr>
                <w:rFonts w:ascii="Calibri Light" w:hAnsi="Calibri Light" w:cs="Calibri Light"/>
                <w:sz w:val="18"/>
                <w:szCs w:val="18"/>
                <w:lang w:val="es-CR" w:eastAsia="es-CR"/>
              </w:rPr>
              <w:t>66%</w:t>
            </w:r>
          </w:p>
        </w:tc>
      </w:tr>
      <w:tr w:rsidR="00B31D8D" w:rsidRPr="0023319B" w14:paraId="074092A3" w14:textId="77777777" w:rsidTr="00A05244">
        <w:trPr>
          <w:trHeight w:val="405"/>
        </w:trPr>
        <w:tc>
          <w:tcPr>
            <w:tcW w:w="1240" w:type="dxa"/>
            <w:tcBorders>
              <w:top w:val="nil"/>
              <w:left w:val="single" w:sz="4" w:space="0" w:color="auto"/>
              <w:bottom w:val="nil"/>
              <w:right w:val="single" w:sz="4" w:space="0" w:color="auto"/>
            </w:tcBorders>
            <w:shd w:val="clear" w:color="000000" w:fill="FFFFFF"/>
            <w:vAlign w:val="center"/>
            <w:hideMark/>
          </w:tcPr>
          <w:p w14:paraId="4FCFCF4A" w14:textId="77777777" w:rsidR="00B31D8D" w:rsidRPr="0023319B" w:rsidRDefault="00B31D8D" w:rsidP="00B31D8D">
            <w:pPr>
              <w:spacing w:line="240" w:lineRule="auto"/>
              <w:jc w:val="center"/>
              <w:rPr>
                <w:rFonts w:ascii="Calibri Light" w:hAnsi="Calibri Light" w:cs="Calibri Light"/>
                <w:b/>
                <w:bCs/>
                <w:sz w:val="18"/>
                <w:szCs w:val="18"/>
                <w:lang w:val="es-CR" w:eastAsia="es-CR"/>
              </w:rPr>
            </w:pPr>
            <w:r w:rsidRPr="0023319B">
              <w:rPr>
                <w:rFonts w:ascii="Calibri Light" w:hAnsi="Calibri Light" w:cs="Calibri Light"/>
                <w:b/>
                <w:bCs/>
                <w:sz w:val="18"/>
                <w:szCs w:val="18"/>
                <w:lang w:val="es-CR" w:eastAsia="es-CR"/>
              </w:rPr>
              <w:t> </w:t>
            </w:r>
          </w:p>
        </w:tc>
        <w:tc>
          <w:tcPr>
            <w:tcW w:w="800" w:type="dxa"/>
            <w:tcBorders>
              <w:top w:val="nil"/>
              <w:left w:val="nil"/>
              <w:bottom w:val="single" w:sz="4" w:space="0" w:color="auto"/>
              <w:right w:val="single" w:sz="4" w:space="0" w:color="auto"/>
            </w:tcBorders>
            <w:shd w:val="clear" w:color="auto" w:fill="auto"/>
            <w:vAlign w:val="center"/>
            <w:hideMark/>
          </w:tcPr>
          <w:p w14:paraId="72503B9F" w14:textId="77777777" w:rsidR="00B31D8D" w:rsidRPr="0023319B" w:rsidRDefault="00B31D8D" w:rsidP="00B31D8D">
            <w:pPr>
              <w:spacing w:line="240" w:lineRule="auto"/>
              <w:jc w:val="center"/>
              <w:rPr>
                <w:rFonts w:ascii="Calibri Light" w:hAnsi="Calibri Light" w:cs="Calibri Light"/>
                <w:b/>
                <w:bCs/>
                <w:sz w:val="18"/>
                <w:szCs w:val="18"/>
                <w:lang w:val="es-CR" w:eastAsia="es-CR"/>
              </w:rPr>
            </w:pPr>
            <w:r w:rsidRPr="0023319B">
              <w:rPr>
                <w:rFonts w:ascii="Calibri Light" w:hAnsi="Calibri Light" w:cs="Calibri Light"/>
                <w:b/>
                <w:bCs/>
                <w:sz w:val="18"/>
                <w:szCs w:val="18"/>
                <w:lang w:val="es-CR" w:eastAsia="es-CR"/>
              </w:rPr>
              <w:t> </w:t>
            </w:r>
          </w:p>
        </w:tc>
        <w:tc>
          <w:tcPr>
            <w:tcW w:w="3484" w:type="dxa"/>
            <w:tcBorders>
              <w:top w:val="nil"/>
              <w:left w:val="nil"/>
              <w:bottom w:val="single" w:sz="4" w:space="0" w:color="auto"/>
              <w:right w:val="single" w:sz="4" w:space="0" w:color="auto"/>
            </w:tcBorders>
            <w:shd w:val="clear" w:color="auto" w:fill="auto"/>
            <w:vAlign w:val="center"/>
            <w:hideMark/>
          </w:tcPr>
          <w:p w14:paraId="0B0C38A1" w14:textId="77777777" w:rsidR="00B31D8D" w:rsidRPr="0023319B" w:rsidRDefault="00B31D8D" w:rsidP="00B31D8D">
            <w:pPr>
              <w:spacing w:line="240" w:lineRule="auto"/>
              <w:jc w:val="left"/>
              <w:rPr>
                <w:rFonts w:ascii="Calibri Light" w:hAnsi="Calibri Light" w:cs="Calibri Light"/>
                <w:sz w:val="18"/>
                <w:szCs w:val="18"/>
                <w:lang w:val="es-CR" w:eastAsia="es-CR"/>
              </w:rPr>
            </w:pPr>
            <w:r w:rsidRPr="0023319B">
              <w:rPr>
                <w:rFonts w:ascii="Calibri Light" w:hAnsi="Calibri Light" w:cs="Calibri Light"/>
                <w:sz w:val="18"/>
                <w:szCs w:val="18"/>
                <w:lang w:val="es-CR" w:eastAsia="es-CR"/>
              </w:rPr>
              <w:t>Tiempo no Efectivo (Vacaciones, incapacidades y permisos)</w:t>
            </w:r>
          </w:p>
        </w:tc>
        <w:tc>
          <w:tcPr>
            <w:tcW w:w="1275" w:type="dxa"/>
            <w:tcBorders>
              <w:top w:val="nil"/>
              <w:left w:val="nil"/>
              <w:bottom w:val="single" w:sz="4" w:space="0" w:color="auto"/>
              <w:right w:val="single" w:sz="4" w:space="0" w:color="auto"/>
            </w:tcBorders>
            <w:shd w:val="clear" w:color="auto" w:fill="auto"/>
            <w:vAlign w:val="center"/>
            <w:hideMark/>
          </w:tcPr>
          <w:p w14:paraId="6EE52152" w14:textId="77777777" w:rsidR="00B31D8D" w:rsidRPr="0023319B" w:rsidRDefault="00B31D8D" w:rsidP="00B31D8D">
            <w:pPr>
              <w:spacing w:line="240" w:lineRule="auto"/>
              <w:jc w:val="right"/>
              <w:rPr>
                <w:rFonts w:ascii="Calibri Light" w:hAnsi="Calibri Light" w:cs="Calibri Light"/>
                <w:sz w:val="18"/>
                <w:szCs w:val="18"/>
                <w:lang w:val="es-CR" w:eastAsia="es-CR"/>
              </w:rPr>
            </w:pPr>
            <w:r w:rsidRPr="0023319B">
              <w:rPr>
                <w:rFonts w:ascii="Calibri Light" w:hAnsi="Calibri Light" w:cs="Calibri Light"/>
                <w:sz w:val="18"/>
                <w:szCs w:val="18"/>
                <w:lang w:val="es-CR" w:eastAsia="es-CR"/>
              </w:rPr>
              <w:t> </w:t>
            </w:r>
          </w:p>
        </w:tc>
        <w:tc>
          <w:tcPr>
            <w:tcW w:w="1275" w:type="dxa"/>
            <w:tcBorders>
              <w:top w:val="nil"/>
              <w:left w:val="nil"/>
              <w:bottom w:val="single" w:sz="4" w:space="0" w:color="auto"/>
              <w:right w:val="single" w:sz="4" w:space="0" w:color="auto"/>
            </w:tcBorders>
            <w:shd w:val="clear" w:color="auto" w:fill="auto"/>
            <w:vAlign w:val="center"/>
            <w:hideMark/>
          </w:tcPr>
          <w:p w14:paraId="673C46C4" w14:textId="71DCFA01" w:rsidR="00B31D8D" w:rsidRPr="0023319B" w:rsidRDefault="00B31D8D" w:rsidP="00B31D8D">
            <w:pPr>
              <w:spacing w:line="240" w:lineRule="auto"/>
              <w:jc w:val="right"/>
              <w:rPr>
                <w:rFonts w:ascii="Calibri Light" w:hAnsi="Calibri Light" w:cs="Calibri Light"/>
                <w:sz w:val="18"/>
                <w:szCs w:val="18"/>
                <w:lang w:val="es-CR" w:eastAsia="es-CR"/>
              </w:rPr>
            </w:pPr>
            <w:r w:rsidRPr="0023319B">
              <w:rPr>
                <w:rFonts w:ascii="Calibri Light" w:hAnsi="Calibri Light" w:cs="Calibri Light"/>
                <w:sz w:val="18"/>
                <w:szCs w:val="18"/>
                <w:lang w:val="es-CR" w:eastAsia="es-CR"/>
              </w:rPr>
              <w:t xml:space="preserve">95 059 859 </w:t>
            </w:r>
          </w:p>
        </w:tc>
        <w:tc>
          <w:tcPr>
            <w:tcW w:w="852" w:type="dxa"/>
            <w:tcBorders>
              <w:top w:val="nil"/>
              <w:left w:val="nil"/>
              <w:bottom w:val="single" w:sz="4" w:space="0" w:color="auto"/>
              <w:right w:val="single" w:sz="4" w:space="0" w:color="auto"/>
            </w:tcBorders>
            <w:shd w:val="clear" w:color="auto" w:fill="auto"/>
            <w:vAlign w:val="center"/>
            <w:hideMark/>
          </w:tcPr>
          <w:p w14:paraId="0E73B056" w14:textId="77777777" w:rsidR="00B31D8D" w:rsidRPr="0023319B" w:rsidRDefault="00B31D8D" w:rsidP="00B31D8D">
            <w:pPr>
              <w:spacing w:line="240" w:lineRule="auto"/>
              <w:jc w:val="center"/>
              <w:rPr>
                <w:rFonts w:ascii="Calibri Light" w:hAnsi="Calibri Light" w:cs="Calibri Light"/>
                <w:sz w:val="18"/>
                <w:szCs w:val="18"/>
                <w:lang w:val="es-CR" w:eastAsia="es-CR"/>
              </w:rPr>
            </w:pPr>
            <w:r w:rsidRPr="0023319B">
              <w:rPr>
                <w:rFonts w:ascii="Calibri Light" w:hAnsi="Calibri Light" w:cs="Calibri Light"/>
                <w:sz w:val="18"/>
                <w:szCs w:val="18"/>
                <w:lang w:val="es-CR" w:eastAsia="es-CR"/>
              </w:rPr>
              <w:t> </w:t>
            </w:r>
          </w:p>
        </w:tc>
      </w:tr>
      <w:tr w:rsidR="00B31D8D" w:rsidRPr="0023319B" w14:paraId="379B5B79" w14:textId="77777777" w:rsidTr="00A05244">
        <w:trPr>
          <w:trHeight w:val="360"/>
        </w:trPr>
        <w:tc>
          <w:tcPr>
            <w:tcW w:w="5524" w:type="dxa"/>
            <w:gridSpan w:val="3"/>
            <w:tcBorders>
              <w:top w:val="single" w:sz="4" w:space="0" w:color="auto"/>
              <w:left w:val="single" w:sz="4" w:space="0" w:color="auto"/>
              <w:bottom w:val="single" w:sz="4" w:space="0" w:color="auto"/>
              <w:right w:val="single" w:sz="4" w:space="0" w:color="auto"/>
            </w:tcBorders>
            <w:shd w:val="clear" w:color="000000" w:fill="DCE6F1"/>
            <w:noWrap/>
            <w:vAlign w:val="center"/>
            <w:hideMark/>
          </w:tcPr>
          <w:p w14:paraId="53461DF4" w14:textId="77777777" w:rsidR="00B31D8D" w:rsidRPr="0023319B" w:rsidRDefault="00B31D8D" w:rsidP="00B31D8D">
            <w:pPr>
              <w:spacing w:line="240" w:lineRule="auto"/>
              <w:jc w:val="left"/>
              <w:rPr>
                <w:rFonts w:ascii="Calibri Light" w:hAnsi="Calibri Light" w:cs="Calibri Light"/>
                <w:b/>
                <w:bCs/>
                <w:sz w:val="18"/>
                <w:szCs w:val="18"/>
                <w:lang w:val="es-CR" w:eastAsia="es-CR"/>
              </w:rPr>
            </w:pPr>
            <w:r w:rsidRPr="0023319B">
              <w:rPr>
                <w:rFonts w:ascii="Calibri Light" w:hAnsi="Calibri Light" w:cs="Calibri Light"/>
                <w:b/>
                <w:bCs/>
                <w:sz w:val="18"/>
                <w:szCs w:val="18"/>
                <w:lang w:val="es-CR" w:eastAsia="es-CR"/>
              </w:rPr>
              <w:t>DIVISIÓN DE PLANIFICACIÓN Y NORMATIVA</w:t>
            </w:r>
          </w:p>
        </w:tc>
        <w:tc>
          <w:tcPr>
            <w:tcW w:w="1275" w:type="dxa"/>
            <w:tcBorders>
              <w:top w:val="nil"/>
              <w:left w:val="nil"/>
              <w:bottom w:val="single" w:sz="4" w:space="0" w:color="auto"/>
              <w:right w:val="single" w:sz="4" w:space="0" w:color="auto"/>
            </w:tcBorders>
            <w:shd w:val="clear" w:color="000000" w:fill="DCE6F1"/>
            <w:vAlign w:val="center"/>
            <w:hideMark/>
          </w:tcPr>
          <w:p w14:paraId="43F7EFF5" w14:textId="456FE6BC" w:rsidR="00B31D8D" w:rsidRPr="0023319B" w:rsidRDefault="00B31D8D" w:rsidP="00B31D8D">
            <w:pPr>
              <w:spacing w:line="240" w:lineRule="auto"/>
              <w:jc w:val="right"/>
              <w:rPr>
                <w:rFonts w:ascii="Calibri Light" w:hAnsi="Calibri Light" w:cs="Calibri Light"/>
                <w:b/>
                <w:bCs/>
                <w:sz w:val="18"/>
                <w:szCs w:val="18"/>
                <w:lang w:val="es-CR" w:eastAsia="es-CR"/>
              </w:rPr>
            </w:pPr>
            <w:r w:rsidRPr="0023319B">
              <w:rPr>
                <w:rFonts w:ascii="Calibri Light" w:hAnsi="Calibri Light" w:cs="Calibri Light"/>
                <w:b/>
                <w:bCs/>
                <w:sz w:val="18"/>
                <w:szCs w:val="18"/>
                <w:lang w:val="es-CR" w:eastAsia="es-CR"/>
              </w:rPr>
              <w:t xml:space="preserve">696 564 186 </w:t>
            </w:r>
          </w:p>
        </w:tc>
        <w:tc>
          <w:tcPr>
            <w:tcW w:w="1275" w:type="dxa"/>
            <w:tcBorders>
              <w:top w:val="nil"/>
              <w:left w:val="nil"/>
              <w:bottom w:val="single" w:sz="4" w:space="0" w:color="auto"/>
              <w:right w:val="single" w:sz="4" w:space="0" w:color="auto"/>
            </w:tcBorders>
            <w:shd w:val="clear" w:color="000000" w:fill="DCE6F1"/>
            <w:vAlign w:val="center"/>
            <w:hideMark/>
          </w:tcPr>
          <w:p w14:paraId="19BD6D70" w14:textId="70F38333" w:rsidR="00B31D8D" w:rsidRPr="0023319B" w:rsidRDefault="00B31D8D" w:rsidP="00B31D8D">
            <w:pPr>
              <w:spacing w:line="240" w:lineRule="auto"/>
              <w:jc w:val="right"/>
              <w:rPr>
                <w:rFonts w:ascii="Calibri Light" w:hAnsi="Calibri Light" w:cs="Calibri Light"/>
                <w:b/>
                <w:bCs/>
                <w:sz w:val="18"/>
                <w:szCs w:val="18"/>
                <w:lang w:val="es-CR" w:eastAsia="es-CR"/>
              </w:rPr>
            </w:pPr>
            <w:r w:rsidRPr="0023319B">
              <w:rPr>
                <w:rFonts w:ascii="Calibri Light" w:hAnsi="Calibri Light" w:cs="Calibri Light"/>
                <w:b/>
                <w:bCs/>
                <w:sz w:val="18"/>
                <w:szCs w:val="18"/>
                <w:lang w:val="es-CR" w:eastAsia="es-CR"/>
              </w:rPr>
              <w:t xml:space="preserve">551 033 286 </w:t>
            </w:r>
          </w:p>
        </w:tc>
        <w:tc>
          <w:tcPr>
            <w:tcW w:w="852" w:type="dxa"/>
            <w:tcBorders>
              <w:top w:val="nil"/>
              <w:left w:val="nil"/>
              <w:bottom w:val="single" w:sz="4" w:space="0" w:color="auto"/>
              <w:right w:val="single" w:sz="4" w:space="0" w:color="auto"/>
            </w:tcBorders>
            <w:shd w:val="clear" w:color="000000" w:fill="DCE6F1"/>
            <w:vAlign w:val="center"/>
            <w:hideMark/>
          </w:tcPr>
          <w:p w14:paraId="131C1697" w14:textId="77777777" w:rsidR="00B31D8D" w:rsidRPr="0023319B" w:rsidRDefault="00B31D8D" w:rsidP="00B31D8D">
            <w:pPr>
              <w:spacing w:line="240" w:lineRule="auto"/>
              <w:jc w:val="center"/>
              <w:rPr>
                <w:rFonts w:ascii="Calibri Light" w:hAnsi="Calibri Light" w:cs="Calibri Light"/>
                <w:b/>
                <w:bCs/>
                <w:sz w:val="18"/>
                <w:szCs w:val="18"/>
                <w:lang w:val="es-CR" w:eastAsia="es-CR"/>
              </w:rPr>
            </w:pPr>
            <w:r w:rsidRPr="0023319B">
              <w:rPr>
                <w:rFonts w:ascii="Calibri Light" w:hAnsi="Calibri Light" w:cs="Calibri Light"/>
                <w:b/>
                <w:bCs/>
                <w:sz w:val="18"/>
                <w:szCs w:val="18"/>
                <w:lang w:val="es-CR" w:eastAsia="es-CR"/>
              </w:rPr>
              <w:t>79%</w:t>
            </w:r>
          </w:p>
        </w:tc>
      </w:tr>
      <w:tr w:rsidR="00B31D8D" w:rsidRPr="0023319B" w14:paraId="650E9212" w14:textId="77777777" w:rsidTr="00A05244">
        <w:trPr>
          <w:trHeight w:val="400"/>
        </w:trPr>
        <w:tc>
          <w:tcPr>
            <w:tcW w:w="1240" w:type="dxa"/>
            <w:vMerge w:val="restart"/>
            <w:tcBorders>
              <w:top w:val="nil"/>
              <w:left w:val="single" w:sz="4" w:space="0" w:color="auto"/>
              <w:bottom w:val="nil"/>
              <w:right w:val="single" w:sz="4" w:space="0" w:color="auto"/>
            </w:tcBorders>
            <w:shd w:val="clear" w:color="auto" w:fill="auto"/>
            <w:vAlign w:val="center"/>
            <w:hideMark/>
          </w:tcPr>
          <w:p w14:paraId="5E1108C5" w14:textId="77777777" w:rsidR="00B31D8D" w:rsidRPr="0023319B" w:rsidRDefault="00B31D8D" w:rsidP="00B31D8D">
            <w:pPr>
              <w:spacing w:line="240" w:lineRule="auto"/>
              <w:jc w:val="center"/>
              <w:rPr>
                <w:rFonts w:ascii="Calibri Light" w:hAnsi="Calibri Light" w:cs="Calibri Light"/>
                <w:b/>
                <w:bCs/>
                <w:sz w:val="18"/>
                <w:szCs w:val="18"/>
                <w:lang w:val="es-CR" w:eastAsia="es-CR"/>
              </w:rPr>
            </w:pPr>
            <w:r w:rsidRPr="0023319B">
              <w:rPr>
                <w:rFonts w:ascii="Calibri Light" w:hAnsi="Calibri Light" w:cs="Calibri Light"/>
                <w:b/>
                <w:bCs/>
                <w:sz w:val="18"/>
                <w:szCs w:val="18"/>
                <w:lang w:val="es-CR" w:eastAsia="es-CR"/>
              </w:rPr>
              <w:t> </w:t>
            </w:r>
          </w:p>
        </w:tc>
        <w:tc>
          <w:tcPr>
            <w:tcW w:w="800" w:type="dxa"/>
            <w:tcBorders>
              <w:top w:val="nil"/>
              <w:left w:val="nil"/>
              <w:bottom w:val="single" w:sz="4" w:space="0" w:color="auto"/>
              <w:right w:val="single" w:sz="4" w:space="0" w:color="auto"/>
            </w:tcBorders>
            <w:shd w:val="clear" w:color="auto" w:fill="auto"/>
            <w:vAlign w:val="center"/>
            <w:hideMark/>
          </w:tcPr>
          <w:p w14:paraId="4E8A6946" w14:textId="77777777" w:rsidR="00B31D8D" w:rsidRPr="0023319B" w:rsidRDefault="00B31D8D" w:rsidP="00B31D8D">
            <w:pPr>
              <w:spacing w:line="240" w:lineRule="auto"/>
              <w:jc w:val="center"/>
              <w:rPr>
                <w:rFonts w:ascii="Calibri Light" w:hAnsi="Calibri Light" w:cs="Calibri Light"/>
                <w:b/>
                <w:bCs/>
                <w:sz w:val="18"/>
                <w:szCs w:val="18"/>
                <w:lang w:val="es-CR" w:eastAsia="es-CR"/>
              </w:rPr>
            </w:pPr>
            <w:r w:rsidRPr="0023319B">
              <w:rPr>
                <w:rFonts w:ascii="Calibri Light" w:hAnsi="Calibri Light" w:cs="Calibri Light"/>
                <w:b/>
                <w:bCs/>
                <w:sz w:val="18"/>
                <w:szCs w:val="18"/>
                <w:lang w:val="es-CR" w:eastAsia="es-CR"/>
              </w:rPr>
              <w:t>6</w:t>
            </w:r>
          </w:p>
        </w:tc>
        <w:tc>
          <w:tcPr>
            <w:tcW w:w="3484" w:type="dxa"/>
            <w:tcBorders>
              <w:top w:val="nil"/>
              <w:left w:val="nil"/>
              <w:bottom w:val="nil"/>
              <w:right w:val="single" w:sz="4" w:space="0" w:color="auto"/>
            </w:tcBorders>
            <w:shd w:val="clear" w:color="auto" w:fill="auto"/>
            <w:vAlign w:val="center"/>
            <w:hideMark/>
          </w:tcPr>
          <w:p w14:paraId="2EF57800" w14:textId="77777777" w:rsidR="00B31D8D" w:rsidRPr="0023319B" w:rsidRDefault="00B31D8D" w:rsidP="00B31D8D">
            <w:pPr>
              <w:spacing w:line="240" w:lineRule="auto"/>
              <w:jc w:val="left"/>
              <w:rPr>
                <w:rFonts w:ascii="Calibri Light" w:hAnsi="Calibri Light" w:cs="Calibri Light"/>
                <w:sz w:val="18"/>
                <w:szCs w:val="18"/>
                <w:lang w:val="es-CR" w:eastAsia="es-CR"/>
              </w:rPr>
            </w:pPr>
            <w:r w:rsidRPr="0023319B">
              <w:rPr>
                <w:rFonts w:ascii="Calibri Light" w:hAnsi="Calibri Light" w:cs="Calibri Light"/>
                <w:sz w:val="18"/>
                <w:szCs w:val="18"/>
                <w:lang w:val="es-CR" w:eastAsia="es-CR"/>
              </w:rPr>
              <w:t xml:space="preserve">Tener la planificación estratégica actualizada y alineada a los requerimientos institucionales. </w:t>
            </w:r>
          </w:p>
        </w:tc>
        <w:tc>
          <w:tcPr>
            <w:tcW w:w="1275" w:type="dxa"/>
            <w:tcBorders>
              <w:top w:val="nil"/>
              <w:left w:val="nil"/>
              <w:bottom w:val="single" w:sz="4" w:space="0" w:color="auto"/>
              <w:right w:val="single" w:sz="4" w:space="0" w:color="auto"/>
            </w:tcBorders>
            <w:shd w:val="clear" w:color="auto" w:fill="auto"/>
            <w:vAlign w:val="center"/>
            <w:hideMark/>
          </w:tcPr>
          <w:p w14:paraId="1A095C1D" w14:textId="48FD319D" w:rsidR="00B31D8D" w:rsidRPr="0023319B" w:rsidRDefault="00B31D8D" w:rsidP="00B31D8D">
            <w:pPr>
              <w:spacing w:line="240" w:lineRule="auto"/>
              <w:jc w:val="right"/>
              <w:rPr>
                <w:rFonts w:ascii="Calibri Light" w:hAnsi="Calibri Light" w:cs="Calibri Light"/>
                <w:sz w:val="18"/>
                <w:szCs w:val="18"/>
                <w:lang w:val="es-CR" w:eastAsia="es-CR"/>
              </w:rPr>
            </w:pPr>
            <w:r w:rsidRPr="0023319B">
              <w:rPr>
                <w:rFonts w:ascii="Calibri Light" w:hAnsi="Calibri Light" w:cs="Calibri Light"/>
                <w:sz w:val="18"/>
                <w:szCs w:val="18"/>
                <w:lang w:val="es-CR" w:eastAsia="es-CR"/>
              </w:rPr>
              <w:t xml:space="preserve">15 968 918 </w:t>
            </w:r>
          </w:p>
        </w:tc>
        <w:tc>
          <w:tcPr>
            <w:tcW w:w="1275" w:type="dxa"/>
            <w:tcBorders>
              <w:top w:val="nil"/>
              <w:left w:val="nil"/>
              <w:bottom w:val="single" w:sz="4" w:space="0" w:color="auto"/>
              <w:right w:val="single" w:sz="4" w:space="0" w:color="auto"/>
            </w:tcBorders>
            <w:shd w:val="clear" w:color="auto" w:fill="auto"/>
            <w:vAlign w:val="center"/>
            <w:hideMark/>
          </w:tcPr>
          <w:p w14:paraId="741F7C47" w14:textId="34653811" w:rsidR="00B31D8D" w:rsidRPr="0023319B" w:rsidRDefault="00B31D8D" w:rsidP="00B31D8D">
            <w:pPr>
              <w:spacing w:line="240" w:lineRule="auto"/>
              <w:jc w:val="right"/>
              <w:rPr>
                <w:rFonts w:ascii="Calibri Light" w:hAnsi="Calibri Light" w:cs="Calibri Light"/>
                <w:sz w:val="18"/>
                <w:szCs w:val="18"/>
                <w:lang w:val="es-CR" w:eastAsia="es-CR"/>
              </w:rPr>
            </w:pPr>
            <w:r w:rsidRPr="0023319B">
              <w:rPr>
                <w:rFonts w:ascii="Calibri Light" w:hAnsi="Calibri Light" w:cs="Calibri Light"/>
                <w:sz w:val="18"/>
                <w:szCs w:val="18"/>
                <w:lang w:val="es-CR" w:eastAsia="es-CR"/>
              </w:rPr>
              <w:t xml:space="preserve">4 837 289 </w:t>
            </w:r>
          </w:p>
        </w:tc>
        <w:tc>
          <w:tcPr>
            <w:tcW w:w="852" w:type="dxa"/>
            <w:tcBorders>
              <w:top w:val="nil"/>
              <w:left w:val="nil"/>
              <w:bottom w:val="single" w:sz="4" w:space="0" w:color="auto"/>
              <w:right w:val="single" w:sz="4" w:space="0" w:color="auto"/>
            </w:tcBorders>
            <w:shd w:val="clear" w:color="auto" w:fill="auto"/>
            <w:vAlign w:val="center"/>
            <w:hideMark/>
          </w:tcPr>
          <w:p w14:paraId="76EFB563" w14:textId="77777777" w:rsidR="00B31D8D" w:rsidRPr="0023319B" w:rsidRDefault="00B31D8D" w:rsidP="00B31D8D">
            <w:pPr>
              <w:spacing w:line="240" w:lineRule="auto"/>
              <w:jc w:val="center"/>
              <w:rPr>
                <w:rFonts w:ascii="Calibri Light" w:hAnsi="Calibri Light" w:cs="Calibri Light"/>
                <w:sz w:val="18"/>
                <w:szCs w:val="18"/>
                <w:lang w:val="es-CR" w:eastAsia="es-CR"/>
              </w:rPr>
            </w:pPr>
            <w:r w:rsidRPr="0023319B">
              <w:rPr>
                <w:rFonts w:ascii="Calibri Light" w:hAnsi="Calibri Light" w:cs="Calibri Light"/>
                <w:sz w:val="18"/>
                <w:szCs w:val="18"/>
                <w:lang w:val="es-CR" w:eastAsia="es-CR"/>
              </w:rPr>
              <w:t>30%</w:t>
            </w:r>
          </w:p>
        </w:tc>
      </w:tr>
      <w:tr w:rsidR="00B31D8D" w:rsidRPr="0023319B" w14:paraId="3575590E" w14:textId="77777777" w:rsidTr="00A05244">
        <w:trPr>
          <w:trHeight w:val="210"/>
        </w:trPr>
        <w:tc>
          <w:tcPr>
            <w:tcW w:w="1240" w:type="dxa"/>
            <w:vMerge/>
            <w:tcBorders>
              <w:top w:val="nil"/>
              <w:left w:val="single" w:sz="4" w:space="0" w:color="auto"/>
              <w:bottom w:val="nil"/>
              <w:right w:val="single" w:sz="4" w:space="0" w:color="auto"/>
            </w:tcBorders>
            <w:vAlign w:val="center"/>
            <w:hideMark/>
          </w:tcPr>
          <w:p w14:paraId="7B06A729" w14:textId="77777777" w:rsidR="00B31D8D" w:rsidRPr="0023319B" w:rsidRDefault="00B31D8D" w:rsidP="00B31D8D">
            <w:pPr>
              <w:spacing w:line="240" w:lineRule="auto"/>
              <w:jc w:val="left"/>
              <w:rPr>
                <w:rFonts w:ascii="Calibri Light" w:hAnsi="Calibri Light" w:cs="Calibri Light"/>
                <w:b/>
                <w:bCs/>
                <w:sz w:val="18"/>
                <w:szCs w:val="18"/>
                <w:lang w:val="es-CR" w:eastAsia="es-CR"/>
              </w:rPr>
            </w:pPr>
          </w:p>
        </w:tc>
        <w:tc>
          <w:tcPr>
            <w:tcW w:w="800" w:type="dxa"/>
            <w:tcBorders>
              <w:top w:val="nil"/>
              <w:left w:val="nil"/>
              <w:bottom w:val="single" w:sz="4" w:space="0" w:color="auto"/>
              <w:right w:val="single" w:sz="4" w:space="0" w:color="auto"/>
            </w:tcBorders>
            <w:shd w:val="clear" w:color="auto" w:fill="auto"/>
            <w:vAlign w:val="center"/>
            <w:hideMark/>
          </w:tcPr>
          <w:p w14:paraId="4947BBF1" w14:textId="77777777" w:rsidR="00B31D8D" w:rsidRPr="0023319B" w:rsidRDefault="00B31D8D" w:rsidP="00B31D8D">
            <w:pPr>
              <w:spacing w:line="240" w:lineRule="auto"/>
              <w:jc w:val="center"/>
              <w:rPr>
                <w:rFonts w:ascii="Calibri Light" w:hAnsi="Calibri Light" w:cs="Calibri Light"/>
                <w:b/>
                <w:bCs/>
                <w:sz w:val="18"/>
                <w:szCs w:val="18"/>
                <w:lang w:val="es-CR" w:eastAsia="es-CR"/>
              </w:rPr>
            </w:pPr>
            <w:r w:rsidRPr="0023319B">
              <w:rPr>
                <w:rFonts w:ascii="Calibri Light" w:hAnsi="Calibri Light" w:cs="Calibri Light"/>
                <w:b/>
                <w:bCs/>
                <w:sz w:val="18"/>
                <w:szCs w:val="18"/>
                <w:lang w:val="es-CR" w:eastAsia="es-CR"/>
              </w:rPr>
              <w:t>7</w:t>
            </w:r>
          </w:p>
        </w:tc>
        <w:tc>
          <w:tcPr>
            <w:tcW w:w="3484" w:type="dxa"/>
            <w:tcBorders>
              <w:top w:val="single" w:sz="4" w:space="0" w:color="auto"/>
              <w:left w:val="nil"/>
              <w:bottom w:val="single" w:sz="4" w:space="0" w:color="auto"/>
              <w:right w:val="single" w:sz="4" w:space="0" w:color="auto"/>
            </w:tcBorders>
            <w:shd w:val="clear" w:color="auto" w:fill="auto"/>
            <w:vAlign w:val="center"/>
            <w:hideMark/>
          </w:tcPr>
          <w:p w14:paraId="6001E3B1" w14:textId="77777777" w:rsidR="00B31D8D" w:rsidRPr="0023319B" w:rsidRDefault="00B31D8D" w:rsidP="00B31D8D">
            <w:pPr>
              <w:spacing w:line="240" w:lineRule="auto"/>
              <w:jc w:val="left"/>
              <w:rPr>
                <w:rFonts w:ascii="Calibri Light" w:hAnsi="Calibri Light" w:cs="Calibri Light"/>
                <w:sz w:val="18"/>
                <w:szCs w:val="18"/>
                <w:lang w:val="es-CR" w:eastAsia="es-CR"/>
              </w:rPr>
            </w:pPr>
            <w:r w:rsidRPr="0023319B">
              <w:rPr>
                <w:rFonts w:ascii="Calibri Light" w:hAnsi="Calibri Light" w:cs="Calibri Light"/>
                <w:sz w:val="18"/>
                <w:szCs w:val="18"/>
                <w:lang w:val="es-CR" w:eastAsia="es-CR"/>
              </w:rPr>
              <w:t xml:space="preserve">Cumplir con las entregas de los proyectos en el plazo planificado. </w:t>
            </w:r>
          </w:p>
        </w:tc>
        <w:tc>
          <w:tcPr>
            <w:tcW w:w="1275" w:type="dxa"/>
            <w:tcBorders>
              <w:top w:val="nil"/>
              <w:left w:val="nil"/>
              <w:bottom w:val="single" w:sz="4" w:space="0" w:color="auto"/>
              <w:right w:val="single" w:sz="4" w:space="0" w:color="auto"/>
            </w:tcBorders>
            <w:shd w:val="clear" w:color="auto" w:fill="auto"/>
            <w:vAlign w:val="center"/>
            <w:hideMark/>
          </w:tcPr>
          <w:p w14:paraId="4388E0A8" w14:textId="2A24AA76" w:rsidR="00B31D8D" w:rsidRPr="0023319B" w:rsidRDefault="00B31D8D" w:rsidP="00B31D8D">
            <w:pPr>
              <w:spacing w:line="240" w:lineRule="auto"/>
              <w:jc w:val="right"/>
              <w:rPr>
                <w:rFonts w:ascii="Calibri Light" w:hAnsi="Calibri Light" w:cs="Calibri Light"/>
                <w:sz w:val="18"/>
                <w:szCs w:val="18"/>
                <w:lang w:val="es-CR" w:eastAsia="es-CR"/>
              </w:rPr>
            </w:pPr>
            <w:r w:rsidRPr="0023319B">
              <w:rPr>
                <w:rFonts w:ascii="Calibri Light" w:hAnsi="Calibri Light" w:cs="Calibri Light"/>
                <w:sz w:val="18"/>
                <w:szCs w:val="18"/>
                <w:lang w:val="es-CR" w:eastAsia="es-CR"/>
              </w:rPr>
              <w:t xml:space="preserve">56 450 124 </w:t>
            </w:r>
          </w:p>
        </w:tc>
        <w:tc>
          <w:tcPr>
            <w:tcW w:w="1275" w:type="dxa"/>
            <w:tcBorders>
              <w:top w:val="nil"/>
              <w:left w:val="nil"/>
              <w:bottom w:val="single" w:sz="4" w:space="0" w:color="auto"/>
              <w:right w:val="single" w:sz="4" w:space="0" w:color="auto"/>
            </w:tcBorders>
            <w:shd w:val="clear" w:color="auto" w:fill="auto"/>
            <w:vAlign w:val="center"/>
            <w:hideMark/>
          </w:tcPr>
          <w:p w14:paraId="751F6153" w14:textId="5BAC32E1" w:rsidR="00B31D8D" w:rsidRPr="0023319B" w:rsidRDefault="00B31D8D" w:rsidP="00B31D8D">
            <w:pPr>
              <w:spacing w:line="240" w:lineRule="auto"/>
              <w:jc w:val="right"/>
              <w:rPr>
                <w:rFonts w:ascii="Calibri Light" w:hAnsi="Calibri Light" w:cs="Calibri Light"/>
                <w:sz w:val="18"/>
                <w:szCs w:val="18"/>
                <w:lang w:val="es-CR" w:eastAsia="es-CR"/>
              </w:rPr>
            </w:pPr>
            <w:r w:rsidRPr="0023319B">
              <w:rPr>
                <w:rFonts w:ascii="Calibri Light" w:hAnsi="Calibri Light" w:cs="Calibri Light"/>
                <w:sz w:val="18"/>
                <w:szCs w:val="18"/>
                <w:lang w:val="es-CR" w:eastAsia="es-CR"/>
              </w:rPr>
              <w:t xml:space="preserve">44 336 011 </w:t>
            </w:r>
          </w:p>
        </w:tc>
        <w:tc>
          <w:tcPr>
            <w:tcW w:w="852" w:type="dxa"/>
            <w:tcBorders>
              <w:top w:val="nil"/>
              <w:left w:val="nil"/>
              <w:bottom w:val="single" w:sz="4" w:space="0" w:color="auto"/>
              <w:right w:val="single" w:sz="4" w:space="0" w:color="auto"/>
            </w:tcBorders>
            <w:shd w:val="clear" w:color="auto" w:fill="auto"/>
            <w:vAlign w:val="center"/>
            <w:hideMark/>
          </w:tcPr>
          <w:p w14:paraId="4FE59441" w14:textId="77777777" w:rsidR="00B31D8D" w:rsidRPr="0023319B" w:rsidRDefault="00B31D8D" w:rsidP="00B31D8D">
            <w:pPr>
              <w:spacing w:line="240" w:lineRule="auto"/>
              <w:jc w:val="center"/>
              <w:rPr>
                <w:rFonts w:ascii="Calibri Light" w:hAnsi="Calibri Light" w:cs="Calibri Light"/>
                <w:sz w:val="18"/>
                <w:szCs w:val="18"/>
                <w:lang w:val="es-CR" w:eastAsia="es-CR"/>
              </w:rPr>
            </w:pPr>
            <w:r w:rsidRPr="0023319B">
              <w:rPr>
                <w:rFonts w:ascii="Calibri Light" w:hAnsi="Calibri Light" w:cs="Calibri Light"/>
                <w:sz w:val="18"/>
                <w:szCs w:val="18"/>
                <w:lang w:val="es-CR" w:eastAsia="es-CR"/>
              </w:rPr>
              <w:t>79%</w:t>
            </w:r>
          </w:p>
        </w:tc>
      </w:tr>
      <w:tr w:rsidR="00B31D8D" w:rsidRPr="0023319B" w14:paraId="6674B3C0" w14:textId="77777777" w:rsidTr="00A05244">
        <w:trPr>
          <w:trHeight w:val="210"/>
        </w:trPr>
        <w:tc>
          <w:tcPr>
            <w:tcW w:w="1240" w:type="dxa"/>
            <w:vMerge/>
            <w:tcBorders>
              <w:top w:val="nil"/>
              <w:left w:val="single" w:sz="4" w:space="0" w:color="auto"/>
              <w:bottom w:val="nil"/>
              <w:right w:val="single" w:sz="4" w:space="0" w:color="auto"/>
            </w:tcBorders>
            <w:vAlign w:val="center"/>
            <w:hideMark/>
          </w:tcPr>
          <w:p w14:paraId="71E646F3" w14:textId="77777777" w:rsidR="00B31D8D" w:rsidRPr="0023319B" w:rsidRDefault="00B31D8D" w:rsidP="00B31D8D">
            <w:pPr>
              <w:spacing w:line="240" w:lineRule="auto"/>
              <w:jc w:val="left"/>
              <w:rPr>
                <w:rFonts w:ascii="Calibri Light" w:hAnsi="Calibri Light" w:cs="Calibri Light"/>
                <w:b/>
                <w:bCs/>
                <w:sz w:val="18"/>
                <w:szCs w:val="18"/>
                <w:lang w:val="es-CR" w:eastAsia="es-CR"/>
              </w:rPr>
            </w:pPr>
          </w:p>
        </w:tc>
        <w:tc>
          <w:tcPr>
            <w:tcW w:w="800" w:type="dxa"/>
            <w:tcBorders>
              <w:top w:val="nil"/>
              <w:left w:val="nil"/>
              <w:bottom w:val="single" w:sz="4" w:space="0" w:color="auto"/>
              <w:right w:val="single" w:sz="4" w:space="0" w:color="auto"/>
            </w:tcBorders>
            <w:shd w:val="clear" w:color="auto" w:fill="auto"/>
            <w:vAlign w:val="center"/>
            <w:hideMark/>
          </w:tcPr>
          <w:p w14:paraId="2A3CC274" w14:textId="77777777" w:rsidR="00B31D8D" w:rsidRPr="0023319B" w:rsidRDefault="00B31D8D" w:rsidP="00B31D8D">
            <w:pPr>
              <w:spacing w:line="240" w:lineRule="auto"/>
              <w:jc w:val="center"/>
              <w:rPr>
                <w:rFonts w:ascii="Calibri Light" w:hAnsi="Calibri Light" w:cs="Calibri Light"/>
                <w:b/>
                <w:bCs/>
                <w:sz w:val="18"/>
                <w:szCs w:val="18"/>
                <w:lang w:val="es-CR" w:eastAsia="es-CR"/>
              </w:rPr>
            </w:pPr>
            <w:r w:rsidRPr="0023319B">
              <w:rPr>
                <w:rFonts w:ascii="Calibri Light" w:hAnsi="Calibri Light" w:cs="Calibri Light"/>
                <w:b/>
                <w:bCs/>
                <w:sz w:val="18"/>
                <w:szCs w:val="18"/>
                <w:lang w:val="es-CR" w:eastAsia="es-CR"/>
              </w:rPr>
              <w:t>8</w:t>
            </w:r>
          </w:p>
        </w:tc>
        <w:tc>
          <w:tcPr>
            <w:tcW w:w="3484" w:type="dxa"/>
            <w:tcBorders>
              <w:top w:val="nil"/>
              <w:left w:val="nil"/>
              <w:bottom w:val="single" w:sz="4" w:space="0" w:color="auto"/>
              <w:right w:val="single" w:sz="4" w:space="0" w:color="auto"/>
            </w:tcBorders>
            <w:shd w:val="clear" w:color="auto" w:fill="auto"/>
            <w:vAlign w:val="center"/>
            <w:hideMark/>
          </w:tcPr>
          <w:p w14:paraId="77FC9E73" w14:textId="77777777" w:rsidR="00B31D8D" w:rsidRPr="0023319B" w:rsidRDefault="00B31D8D" w:rsidP="00B31D8D">
            <w:pPr>
              <w:spacing w:line="240" w:lineRule="auto"/>
              <w:jc w:val="left"/>
              <w:rPr>
                <w:rFonts w:ascii="Calibri Light" w:hAnsi="Calibri Light" w:cs="Calibri Light"/>
                <w:sz w:val="18"/>
                <w:szCs w:val="18"/>
                <w:lang w:val="es-CR" w:eastAsia="es-CR"/>
              </w:rPr>
            </w:pPr>
            <w:r w:rsidRPr="0023319B">
              <w:rPr>
                <w:rFonts w:ascii="Calibri Light" w:hAnsi="Calibri Light" w:cs="Calibri Light"/>
                <w:sz w:val="18"/>
                <w:szCs w:val="18"/>
                <w:lang w:val="es-CR" w:eastAsia="es-CR"/>
              </w:rPr>
              <w:t>Presentar estudios que cumplan con los requisitos del producto.</w:t>
            </w:r>
          </w:p>
        </w:tc>
        <w:tc>
          <w:tcPr>
            <w:tcW w:w="1275" w:type="dxa"/>
            <w:tcBorders>
              <w:top w:val="nil"/>
              <w:left w:val="nil"/>
              <w:bottom w:val="single" w:sz="4" w:space="0" w:color="auto"/>
              <w:right w:val="single" w:sz="4" w:space="0" w:color="auto"/>
            </w:tcBorders>
            <w:shd w:val="clear" w:color="auto" w:fill="auto"/>
            <w:vAlign w:val="center"/>
            <w:hideMark/>
          </w:tcPr>
          <w:p w14:paraId="31579877" w14:textId="4DD64CC1" w:rsidR="00B31D8D" w:rsidRPr="0023319B" w:rsidRDefault="00B31D8D" w:rsidP="00B31D8D">
            <w:pPr>
              <w:spacing w:line="240" w:lineRule="auto"/>
              <w:jc w:val="right"/>
              <w:rPr>
                <w:rFonts w:ascii="Calibri Light" w:hAnsi="Calibri Light" w:cs="Calibri Light"/>
                <w:sz w:val="18"/>
                <w:szCs w:val="18"/>
                <w:lang w:val="es-CR" w:eastAsia="es-CR"/>
              </w:rPr>
            </w:pPr>
            <w:r w:rsidRPr="0023319B">
              <w:rPr>
                <w:rFonts w:ascii="Calibri Light" w:hAnsi="Calibri Light" w:cs="Calibri Light"/>
                <w:sz w:val="18"/>
                <w:szCs w:val="18"/>
                <w:lang w:val="es-CR" w:eastAsia="es-CR"/>
              </w:rPr>
              <w:t xml:space="preserve">323 370 582 </w:t>
            </w:r>
          </w:p>
        </w:tc>
        <w:tc>
          <w:tcPr>
            <w:tcW w:w="1275" w:type="dxa"/>
            <w:tcBorders>
              <w:top w:val="nil"/>
              <w:left w:val="nil"/>
              <w:bottom w:val="single" w:sz="4" w:space="0" w:color="auto"/>
              <w:right w:val="single" w:sz="4" w:space="0" w:color="auto"/>
            </w:tcBorders>
            <w:shd w:val="clear" w:color="auto" w:fill="auto"/>
            <w:vAlign w:val="center"/>
            <w:hideMark/>
          </w:tcPr>
          <w:p w14:paraId="0880DC49" w14:textId="7828BC8C" w:rsidR="00B31D8D" w:rsidRPr="0023319B" w:rsidRDefault="00B31D8D" w:rsidP="00B31D8D">
            <w:pPr>
              <w:spacing w:line="240" w:lineRule="auto"/>
              <w:jc w:val="right"/>
              <w:rPr>
                <w:rFonts w:ascii="Calibri Light" w:hAnsi="Calibri Light" w:cs="Calibri Light"/>
                <w:sz w:val="18"/>
                <w:szCs w:val="18"/>
                <w:lang w:val="es-CR" w:eastAsia="es-CR"/>
              </w:rPr>
            </w:pPr>
            <w:r w:rsidRPr="0023319B">
              <w:rPr>
                <w:rFonts w:ascii="Calibri Light" w:hAnsi="Calibri Light" w:cs="Calibri Light"/>
                <w:sz w:val="18"/>
                <w:szCs w:val="18"/>
                <w:lang w:val="es-CR" w:eastAsia="es-CR"/>
              </w:rPr>
              <w:t xml:space="preserve">256 132 688 </w:t>
            </w:r>
          </w:p>
        </w:tc>
        <w:tc>
          <w:tcPr>
            <w:tcW w:w="852" w:type="dxa"/>
            <w:tcBorders>
              <w:top w:val="nil"/>
              <w:left w:val="nil"/>
              <w:bottom w:val="single" w:sz="4" w:space="0" w:color="auto"/>
              <w:right w:val="single" w:sz="4" w:space="0" w:color="auto"/>
            </w:tcBorders>
            <w:shd w:val="clear" w:color="auto" w:fill="auto"/>
            <w:vAlign w:val="center"/>
            <w:hideMark/>
          </w:tcPr>
          <w:p w14:paraId="528F81D5" w14:textId="77777777" w:rsidR="00B31D8D" w:rsidRPr="0023319B" w:rsidRDefault="00B31D8D" w:rsidP="00B31D8D">
            <w:pPr>
              <w:spacing w:line="240" w:lineRule="auto"/>
              <w:jc w:val="center"/>
              <w:rPr>
                <w:rFonts w:ascii="Calibri Light" w:hAnsi="Calibri Light" w:cs="Calibri Light"/>
                <w:sz w:val="18"/>
                <w:szCs w:val="18"/>
                <w:lang w:val="es-CR" w:eastAsia="es-CR"/>
              </w:rPr>
            </w:pPr>
            <w:r w:rsidRPr="0023319B">
              <w:rPr>
                <w:rFonts w:ascii="Calibri Light" w:hAnsi="Calibri Light" w:cs="Calibri Light"/>
                <w:sz w:val="18"/>
                <w:szCs w:val="18"/>
                <w:lang w:val="es-CR" w:eastAsia="es-CR"/>
              </w:rPr>
              <w:t>79%</w:t>
            </w:r>
          </w:p>
        </w:tc>
      </w:tr>
      <w:tr w:rsidR="00B31D8D" w:rsidRPr="0023319B" w14:paraId="6FE4D401" w14:textId="77777777" w:rsidTr="00A05244">
        <w:trPr>
          <w:trHeight w:val="400"/>
        </w:trPr>
        <w:tc>
          <w:tcPr>
            <w:tcW w:w="1240" w:type="dxa"/>
            <w:vMerge/>
            <w:tcBorders>
              <w:top w:val="nil"/>
              <w:left w:val="single" w:sz="4" w:space="0" w:color="auto"/>
              <w:bottom w:val="nil"/>
              <w:right w:val="single" w:sz="4" w:space="0" w:color="auto"/>
            </w:tcBorders>
            <w:vAlign w:val="center"/>
            <w:hideMark/>
          </w:tcPr>
          <w:p w14:paraId="2620B1C1" w14:textId="77777777" w:rsidR="00B31D8D" w:rsidRPr="0023319B" w:rsidRDefault="00B31D8D" w:rsidP="00B31D8D">
            <w:pPr>
              <w:spacing w:line="240" w:lineRule="auto"/>
              <w:jc w:val="left"/>
              <w:rPr>
                <w:rFonts w:ascii="Calibri Light" w:hAnsi="Calibri Light" w:cs="Calibri Light"/>
                <w:b/>
                <w:bCs/>
                <w:sz w:val="18"/>
                <w:szCs w:val="18"/>
                <w:lang w:val="es-CR" w:eastAsia="es-CR"/>
              </w:rPr>
            </w:pPr>
          </w:p>
        </w:tc>
        <w:tc>
          <w:tcPr>
            <w:tcW w:w="800" w:type="dxa"/>
            <w:tcBorders>
              <w:top w:val="nil"/>
              <w:left w:val="nil"/>
              <w:bottom w:val="single" w:sz="4" w:space="0" w:color="auto"/>
              <w:right w:val="single" w:sz="4" w:space="0" w:color="auto"/>
            </w:tcBorders>
            <w:shd w:val="clear" w:color="auto" w:fill="auto"/>
            <w:vAlign w:val="center"/>
            <w:hideMark/>
          </w:tcPr>
          <w:p w14:paraId="4F500D42" w14:textId="77777777" w:rsidR="00B31D8D" w:rsidRPr="0023319B" w:rsidRDefault="00B31D8D" w:rsidP="00B31D8D">
            <w:pPr>
              <w:spacing w:line="240" w:lineRule="auto"/>
              <w:jc w:val="center"/>
              <w:rPr>
                <w:rFonts w:ascii="Calibri Light" w:hAnsi="Calibri Light" w:cs="Calibri Light"/>
                <w:b/>
                <w:bCs/>
                <w:sz w:val="18"/>
                <w:szCs w:val="18"/>
                <w:lang w:val="es-CR" w:eastAsia="es-CR"/>
              </w:rPr>
            </w:pPr>
            <w:r w:rsidRPr="0023319B">
              <w:rPr>
                <w:rFonts w:ascii="Calibri Light" w:hAnsi="Calibri Light" w:cs="Calibri Light"/>
                <w:b/>
                <w:bCs/>
                <w:sz w:val="18"/>
                <w:szCs w:val="18"/>
                <w:lang w:val="es-CR" w:eastAsia="es-CR"/>
              </w:rPr>
              <w:t>9</w:t>
            </w:r>
          </w:p>
        </w:tc>
        <w:tc>
          <w:tcPr>
            <w:tcW w:w="3484" w:type="dxa"/>
            <w:tcBorders>
              <w:top w:val="nil"/>
              <w:left w:val="nil"/>
              <w:bottom w:val="single" w:sz="4" w:space="0" w:color="auto"/>
              <w:right w:val="single" w:sz="4" w:space="0" w:color="auto"/>
            </w:tcBorders>
            <w:shd w:val="clear" w:color="auto" w:fill="auto"/>
            <w:vAlign w:val="center"/>
            <w:hideMark/>
          </w:tcPr>
          <w:p w14:paraId="4D197624" w14:textId="77777777" w:rsidR="00B31D8D" w:rsidRPr="0023319B" w:rsidRDefault="00B31D8D" w:rsidP="00B31D8D">
            <w:pPr>
              <w:spacing w:line="240" w:lineRule="auto"/>
              <w:jc w:val="left"/>
              <w:rPr>
                <w:rFonts w:ascii="Calibri Light" w:hAnsi="Calibri Light" w:cs="Calibri Light"/>
                <w:color w:val="000000"/>
                <w:sz w:val="18"/>
                <w:szCs w:val="18"/>
                <w:lang w:val="es-CR" w:eastAsia="es-CR"/>
              </w:rPr>
            </w:pPr>
            <w:r w:rsidRPr="0023319B">
              <w:rPr>
                <w:rFonts w:ascii="Calibri Light" w:hAnsi="Calibri Light" w:cs="Calibri Light"/>
                <w:color w:val="000000"/>
                <w:sz w:val="18"/>
                <w:szCs w:val="18"/>
                <w:lang w:val="es-CR" w:eastAsia="es-CR"/>
              </w:rPr>
              <w:t xml:space="preserve">Utilizar, en PyN, el 65% del plazo declarado en la publicación realizada en La Gaceta por la SUPEN. </w:t>
            </w:r>
          </w:p>
        </w:tc>
        <w:tc>
          <w:tcPr>
            <w:tcW w:w="1275" w:type="dxa"/>
            <w:tcBorders>
              <w:top w:val="nil"/>
              <w:left w:val="nil"/>
              <w:bottom w:val="single" w:sz="4" w:space="0" w:color="auto"/>
              <w:right w:val="single" w:sz="4" w:space="0" w:color="auto"/>
            </w:tcBorders>
            <w:shd w:val="clear" w:color="auto" w:fill="auto"/>
            <w:vAlign w:val="center"/>
            <w:hideMark/>
          </w:tcPr>
          <w:p w14:paraId="64D622C2" w14:textId="314B78BB" w:rsidR="00B31D8D" w:rsidRPr="0023319B" w:rsidRDefault="00B31D8D" w:rsidP="00B31D8D">
            <w:pPr>
              <w:spacing w:line="240" w:lineRule="auto"/>
              <w:jc w:val="right"/>
              <w:rPr>
                <w:rFonts w:ascii="Calibri Light" w:hAnsi="Calibri Light" w:cs="Calibri Light"/>
                <w:sz w:val="18"/>
                <w:szCs w:val="18"/>
                <w:lang w:val="es-CR" w:eastAsia="es-CR"/>
              </w:rPr>
            </w:pPr>
            <w:r w:rsidRPr="0023319B">
              <w:rPr>
                <w:rFonts w:ascii="Calibri Light" w:hAnsi="Calibri Light" w:cs="Calibri Light"/>
                <w:sz w:val="18"/>
                <w:szCs w:val="18"/>
                <w:lang w:val="es-CR" w:eastAsia="es-CR"/>
              </w:rPr>
              <w:t xml:space="preserve">68 826 035 </w:t>
            </w:r>
          </w:p>
        </w:tc>
        <w:tc>
          <w:tcPr>
            <w:tcW w:w="1275" w:type="dxa"/>
            <w:tcBorders>
              <w:top w:val="nil"/>
              <w:left w:val="nil"/>
              <w:bottom w:val="single" w:sz="4" w:space="0" w:color="auto"/>
              <w:right w:val="single" w:sz="4" w:space="0" w:color="auto"/>
            </w:tcBorders>
            <w:shd w:val="clear" w:color="auto" w:fill="auto"/>
            <w:vAlign w:val="center"/>
            <w:hideMark/>
          </w:tcPr>
          <w:p w14:paraId="06006AF6" w14:textId="7DFF5836" w:rsidR="00B31D8D" w:rsidRPr="0023319B" w:rsidRDefault="00B31D8D" w:rsidP="00B31D8D">
            <w:pPr>
              <w:spacing w:line="240" w:lineRule="auto"/>
              <w:jc w:val="right"/>
              <w:rPr>
                <w:rFonts w:ascii="Calibri Light" w:hAnsi="Calibri Light" w:cs="Calibri Light"/>
                <w:sz w:val="18"/>
                <w:szCs w:val="18"/>
                <w:lang w:val="es-CR" w:eastAsia="es-CR"/>
              </w:rPr>
            </w:pPr>
            <w:r w:rsidRPr="0023319B">
              <w:rPr>
                <w:rFonts w:ascii="Calibri Light" w:hAnsi="Calibri Light" w:cs="Calibri Light"/>
                <w:sz w:val="18"/>
                <w:szCs w:val="18"/>
                <w:lang w:val="es-CR" w:eastAsia="es-CR"/>
              </w:rPr>
              <w:t xml:space="preserve">54 288 994 </w:t>
            </w:r>
          </w:p>
        </w:tc>
        <w:tc>
          <w:tcPr>
            <w:tcW w:w="852" w:type="dxa"/>
            <w:tcBorders>
              <w:top w:val="nil"/>
              <w:left w:val="nil"/>
              <w:bottom w:val="single" w:sz="4" w:space="0" w:color="auto"/>
              <w:right w:val="single" w:sz="4" w:space="0" w:color="auto"/>
            </w:tcBorders>
            <w:shd w:val="clear" w:color="auto" w:fill="auto"/>
            <w:vAlign w:val="center"/>
            <w:hideMark/>
          </w:tcPr>
          <w:p w14:paraId="591403DB" w14:textId="77777777" w:rsidR="00B31D8D" w:rsidRPr="0023319B" w:rsidRDefault="00B31D8D" w:rsidP="00B31D8D">
            <w:pPr>
              <w:spacing w:line="240" w:lineRule="auto"/>
              <w:jc w:val="center"/>
              <w:rPr>
                <w:rFonts w:ascii="Calibri Light" w:hAnsi="Calibri Light" w:cs="Calibri Light"/>
                <w:sz w:val="18"/>
                <w:szCs w:val="18"/>
                <w:lang w:val="es-CR" w:eastAsia="es-CR"/>
              </w:rPr>
            </w:pPr>
            <w:r w:rsidRPr="0023319B">
              <w:rPr>
                <w:rFonts w:ascii="Calibri Light" w:hAnsi="Calibri Light" w:cs="Calibri Light"/>
                <w:sz w:val="18"/>
                <w:szCs w:val="18"/>
                <w:lang w:val="es-CR" w:eastAsia="es-CR"/>
              </w:rPr>
              <w:t>79%</w:t>
            </w:r>
          </w:p>
        </w:tc>
      </w:tr>
      <w:tr w:rsidR="00B31D8D" w:rsidRPr="0023319B" w14:paraId="587B99AF" w14:textId="77777777" w:rsidTr="00A05244">
        <w:trPr>
          <w:trHeight w:val="400"/>
        </w:trPr>
        <w:tc>
          <w:tcPr>
            <w:tcW w:w="1240" w:type="dxa"/>
            <w:vMerge/>
            <w:tcBorders>
              <w:top w:val="nil"/>
              <w:left w:val="single" w:sz="4" w:space="0" w:color="auto"/>
              <w:bottom w:val="nil"/>
              <w:right w:val="single" w:sz="4" w:space="0" w:color="auto"/>
            </w:tcBorders>
            <w:vAlign w:val="center"/>
            <w:hideMark/>
          </w:tcPr>
          <w:p w14:paraId="38A61656" w14:textId="77777777" w:rsidR="00B31D8D" w:rsidRPr="0023319B" w:rsidRDefault="00B31D8D" w:rsidP="00B31D8D">
            <w:pPr>
              <w:spacing w:line="240" w:lineRule="auto"/>
              <w:jc w:val="left"/>
              <w:rPr>
                <w:rFonts w:ascii="Calibri Light" w:hAnsi="Calibri Light" w:cs="Calibri Light"/>
                <w:b/>
                <w:bCs/>
                <w:sz w:val="18"/>
                <w:szCs w:val="18"/>
                <w:lang w:val="es-CR" w:eastAsia="es-CR"/>
              </w:rPr>
            </w:pPr>
          </w:p>
        </w:tc>
        <w:tc>
          <w:tcPr>
            <w:tcW w:w="800" w:type="dxa"/>
            <w:tcBorders>
              <w:top w:val="nil"/>
              <w:left w:val="nil"/>
              <w:bottom w:val="single" w:sz="4" w:space="0" w:color="auto"/>
              <w:right w:val="single" w:sz="4" w:space="0" w:color="auto"/>
            </w:tcBorders>
            <w:shd w:val="clear" w:color="auto" w:fill="auto"/>
            <w:vAlign w:val="center"/>
            <w:hideMark/>
          </w:tcPr>
          <w:p w14:paraId="56B3B157" w14:textId="77777777" w:rsidR="00B31D8D" w:rsidRPr="0023319B" w:rsidRDefault="00B31D8D" w:rsidP="00B31D8D">
            <w:pPr>
              <w:spacing w:line="240" w:lineRule="auto"/>
              <w:jc w:val="center"/>
              <w:rPr>
                <w:rFonts w:ascii="Calibri Light" w:hAnsi="Calibri Light" w:cs="Calibri Light"/>
                <w:b/>
                <w:bCs/>
                <w:sz w:val="18"/>
                <w:szCs w:val="18"/>
                <w:lang w:val="es-CR" w:eastAsia="es-CR"/>
              </w:rPr>
            </w:pPr>
            <w:r w:rsidRPr="0023319B">
              <w:rPr>
                <w:rFonts w:ascii="Calibri Light" w:hAnsi="Calibri Light" w:cs="Calibri Light"/>
                <w:b/>
                <w:bCs/>
                <w:sz w:val="18"/>
                <w:szCs w:val="18"/>
                <w:lang w:val="es-CR" w:eastAsia="es-CR"/>
              </w:rPr>
              <w:t>10</w:t>
            </w:r>
          </w:p>
        </w:tc>
        <w:tc>
          <w:tcPr>
            <w:tcW w:w="3484" w:type="dxa"/>
            <w:tcBorders>
              <w:top w:val="nil"/>
              <w:left w:val="nil"/>
              <w:bottom w:val="nil"/>
              <w:right w:val="single" w:sz="4" w:space="0" w:color="auto"/>
            </w:tcBorders>
            <w:shd w:val="clear" w:color="auto" w:fill="auto"/>
            <w:vAlign w:val="center"/>
            <w:hideMark/>
          </w:tcPr>
          <w:p w14:paraId="46A7371D" w14:textId="77777777" w:rsidR="00B31D8D" w:rsidRPr="0023319B" w:rsidRDefault="00B31D8D" w:rsidP="00B31D8D">
            <w:pPr>
              <w:spacing w:line="240" w:lineRule="auto"/>
              <w:jc w:val="left"/>
              <w:rPr>
                <w:rFonts w:ascii="Calibri Light" w:hAnsi="Calibri Light" w:cs="Calibri Light"/>
                <w:color w:val="000000"/>
                <w:sz w:val="18"/>
                <w:szCs w:val="18"/>
                <w:lang w:val="es-CR" w:eastAsia="es-CR"/>
              </w:rPr>
            </w:pPr>
            <w:r w:rsidRPr="0023319B">
              <w:rPr>
                <w:rFonts w:ascii="Calibri Light" w:hAnsi="Calibri Light" w:cs="Calibri Light"/>
                <w:color w:val="000000"/>
                <w:sz w:val="18"/>
                <w:szCs w:val="18"/>
                <w:lang w:val="es-CR" w:eastAsia="es-CR"/>
              </w:rPr>
              <w:t xml:space="preserve">Cumplir el 100% del cronograma de revisión de normativa al menos cada tres años. </w:t>
            </w:r>
          </w:p>
        </w:tc>
        <w:tc>
          <w:tcPr>
            <w:tcW w:w="1275" w:type="dxa"/>
            <w:tcBorders>
              <w:top w:val="nil"/>
              <w:left w:val="nil"/>
              <w:bottom w:val="single" w:sz="4" w:space="0" w:color="auto"/>
              <w:right w:val="single" w:sz="4" w:space="0" w:color="auto"/>
            </w:tcBorders>
            <w:shd w:val="clear" w:color="auto" w:fill="auto"/>
            <w:vAlign w:val="center"/>
            <w:hideMark/>
          </w:tcPr>
          <w:p w14:paraId="17FA2B94" w14:textId="2AC83314" w:rsidR="00B31D8D" w:rsidRPr="0023319B" w:rsidRDefault="00B31D8D" w:rsidP="00B31D8D">
            <w:pPr>
              <w:spacing w:line="240" w:lineRule="auto"/>
              <w:jc w:val="right"/>
              <w:rPr>
                <w:rFonts w:ascii="Calibri Light" w:hAnsi="Calibri Light" w:cs="Calibri Light"/>
                <w:sz w:val="18"/>
                <w:szCs w:val="18"/>
                <w:lang w:val="es-CR" w:eastAsia="es-CR"/>
              </w:rPr>
            </w:pPr>
            <w:r w:rsidRPr="0023319B">
              <w:rPr>
                <w:rFonts w:ascii="Calibri Light" w:hAnsi="Calibri Light" w:cs="Calibri Light"/>
                <w:sz w:val="18"/>
                <w:szCs w:val="18"/>
                <w:lang w:val="es-CR" w:eastAsia="es-CR"/>
              </w:rPr>
              <w:t xml:space="preserve">96 372 418 </w:t>
            </w:r>
          </w:p>
        </w:tc>
        <w:tc>
          <w:tcPr>
            <w:tcW w:w="1275" w:type="dxa"/>
            <w:tcBorders>
              <w:top w:val="nil"/>
              <w:left w:val="nil"/>
              <w:bottom w:val="single" w:sz="4" w:space="0" w:color="auto"/>
              <w:right w:val="single" w:sz="4" w:space="0" w:color="auto"/>
            </w:tcBorders>
            <w:shd w:val="clear" w:color="auto" w:fill="auto"/>
            <w:vAlign w:val="center"/>
            <w:hideMark/>
          </w:tcPr>
          <w:p w14:paraId="736690A6" w14:textId="47E80302" w:rsidR="00B31D8D" w:rsidRPr="0023319B" w:rsidRDefault="00B31D8D" w:rsidP="00B31D8D">
            <w:pPr>
              <w:spacing w:line="240" w:lineRule="auto"/>
              <w:jc w:val="right"/>
              <w:rPr>
                <w:rFonts w:ascii="Calibri Light" w:hAnsi="Calibri Light" w:cs="Calibri Light"/>
                <w:sz w:val="18"/>
                <w:szCs w:val="18"/>
                <w:lang w:val="es-CR" w:eastAsia="es-CR"/>
              </w:rPr>
            </w:pPr>
            <w:r w:rsidRPr="0023319B">
              <w:rPr>
                <w:rFonts w:ascii="Calibri Light" w:hAnsi="Calibri Light" w:cs="Calibri Light"/>
                <w:sz w:val="18"/>
                <w:szCs w:val="18"/>
                <w:lang w:val="es-CR" w:eastAsia="es-CR"/>
              </w:rPr>
              <w:t xml:space="preserve">57 647 255 </w:t>
            </w:r>
          </w:p>
        </w:tc>
        <w:tc>
          <w:tcPr>
            <w:tcW w:w="852" w:type="dxa"/>
            <w:tcBorders>
              <w:top w:val="nil"/>
              <w:left w:val="nil"/>
              <w:bottom w:val="single" w:sz="4" w:space="0" w:color="auto"/>
              <w:right w:val="single" w:sz="4" w:space="0" w:color="auto"/>
            </w:tcBorders>
            <w:shd w:val="clear" w:color="auto" w:fill="auto"/>
            <w:vAlign w:val="center"/>
            <w:hideMark/>
          </w:tcPr>
          <w:p w14:paraId="40C81FE0" w14:textId="77777777" w:rsidR="00B31D8D" w:rsidRPr="0023319B" w:rsidRDefault="00B31D8D" w:rsidP="00B31D8D">
            <w:pPr>
              <w:spacing w:line="240" w:lineRule="auto"/>
              <w:jc w:val="center"/>
              <w:rPr>
                <w:rFonts w:ascii="Calibri Light" w:hAnsi="Calibri Light" w:cs="Calibri Light"/>
                <w:sz w:val="18"/>
                <w:szCs w:val="18"/>
                <w:lang w:val="es-CR" w:eastAsia="es-CR"/>
              </w:rPr>
            </w:pPr>
            <w:r w:rsidRPr="0023319B">
              <w:rPr>
                <w:rFonts w:ascii="Calibri Light" w:hAnsi="Calibri Light" w:cs="Calibri Light"/>
                <w:sz w:val="18"/>
                <w:szCs w:val="18"/>
                <w:lang w:val="es-CR" w:eastAsia="es-CR"/>
              </w:rPr>
              <w:t>60%</w:t>
            </w:r>
          </w:p>
        </w:tc>
      </w:tr>
      <w:tr w:rsidR="00B31D8D" w:rsidRPr="0023319B" w14:paraId="5A915C10" w14:textId="77777777" w:rsidTr="00A05244">
        <w:trPr>
          <w:trHeight w:val="600"/>
        </w:trPr>
        <w:tc>
          <w:tcPr>
            <w:tcW w:w="1240" w:type="dxa"/>
            <w:vMerge/>
            <w:tcBorders>
              <w:top w:val="nil"/>
              <w:left w:val="single" w:sz="4" w:space="0" w:color="auto"/>
              <w:bottom w:val="nil"/>
              <w:right w:val="single" w:sz="4" w:space="0" w:color="auto"/>
            </w:tcBorders>
            <w:vAlign w:val="center"/>
            <w:hideMark/>
          </w:tcPr>
          <w:p w14:paraId="18C3A917" w14:textId="77777777" w:rsidR="00B31D8D" w:rsidRPr="0023319B" w:rsidRDefault="00B31D8D" w:rsidP="00B31D8D">
            <w:pPr>
              <w:spacing w:line="240" w:lineRule="auto"/>
              <w:jc w:val="left"/>
              <w:rPr>
                <w:rFonts w:ascii="Calibri Light" w:hAnsi="Calibri Light" w:cs="Calibri Light"/>
                <w:b/>
                <w:bCs/>
                <w:sz w:val="18"/>
                <w:szCs w:val="18"/>
                <w:lang w:val="es-CR" w:eastAsia="es-CR"/>
              </w:rPr>
            </w:pPr>
          </w:p>
        </w:tc>
        <w:tc>
          <w:tcPr>
            <w:tcW w:w="800" w:type="dxa"/>
            <w:tcBorders>
              <w:top w:val="nil"/>
              <w:left w:val="nil"/>
              <w:bottom w:val="single" w:sz="4" w:space="0" w:color="auto"/>
              <w:right w:val="single" w:sz="4" w:space="0" w:color="auto"/>
            </w:tcBorders>
            <w:shd w:val="clear" w:color="auto" w:fill="auto"/>
            <w:vAlign w:val="center"/>
            <w:hideMark/>
          </w:tcPr>
          <w:p w14:paraId="253A9B05" w14:textId="77777777" w:rsidR="00B31D8D" w:rsidRPr="0023319B" w:rsidRDefault="00B31D8D" w:rsidP="00B31D8D">
            <w:pPr>
              <w:spacing w:line="240" w:lineRule="auto"/>
              <w:jc w:val="center"/>
              <w:rPr>
                <w:rFonts w:ascii="Calibri Light" w:hAnsi="Calibri Light" w:cs="Calibri Light"/>
                <w:b/>
                <w:bCs/>
                <w:sz w:val="18"/>
                <w:szCs w:val="18"/>
                <w:lang w:val="es-CR" w:eastAsia="es-CR"/>
              </w:rPr>
            </w:pPr>
            <w:r w:rsidRPr="0023319B">
              <w:rPr>
                <w:rFonts w:ascii="Calibri Light" w:hAnsi="Calibri Light" w:cs="Calibri Light"/>
                <w:b/>
                <w:bCs/>
                <w:sz w:val="18"/>
                <w:szCs w:val="18"/>
                <w:lang w:val="es-CR" w:eastAsia="es-CR"/>
              </w:rPr>
              <w:t>11</w:t>
            </w:r>
          </w:p>
        </w:tc>
        <w:tc>
          <w:tcPr>
            <w:tcW w:w="3484" w:type="dxa"/>
            <w:tcBorders>
              <w:top w:val="single" w:sz="4" w:space="0" w:color="auto"/>
              <w:left w:val="nil"/>
              <w:bottom w:val="single" w:sz="4" w:space="0" w:color="auto"/>
              <w:right w:val="single" w:sz="4" w:space="0" w:color="auto"/>
            </w:tcBorders>
            <w:shd w:val="clear" w:color="000000" w:fill="FFFFFF"/>
            <w:vAlign w:val="center"/>
            <w:hideMark/>
          </w:tcPr>
          <w:p w14:paraId="5459C31E" w14:textId="77777777" w:rsidR="00B31D8D" w:rsidRPr="0023319B" w:rsidRDefault="00B31D8D" w:rsidP="00B31D8D">
            <w:pPr>
              <w:spacing w:line="240" w:lineRule="auto"/>
              <w:jc w:val="left"/>
              <w:rPr>
                <w:rFonts w:ascii="Calibri Light" w:hAnsi="Calibri Light" w:cs="Calibri Light"/>
                <w:sz w:val="18"/>
                <w:szCs w:val="18"/>
                <w:lang w:val="es-CR" w:eastAsia="es-CR"/>
              </w:rPr>
            </w:pPr>
            <w:r w:rsidRPr="0023319B">
              <w:rPr>
                <w:rFonts w:ascii="Calibri Light" w:hAnsi="Calibri Light" w:cs="Calibri Light"/>
                <w:sz w:val="18"/>
                <w:szCs w:val="18"/>
                <w:lang w:val="es-CR" w:eastAsia="es-CR"/>
              </w:rPr>
              <w:t xml:space="preserve">Atender las solicitudes relacionadas con la mejora continua, con base en la atención de temas de calidad, riesgos, observaciones de AI, proyectos, capacitación, entre otros. </w:t>
            </w:r>
          </w:p>
        </w:tc>
        <w:tc>
          <w:tcPr>
            <w:tcW w:w="1275" w:type="dxa"/>
            <w:tcBorders>
              <w:top w:val="nil"/>
              <w:left w:val="nil"/>
              <w:bottom w:val="single" w:sz="4" w:space="0" w:color="auto"/>
              <w:right w:val="single" w:sz="4" w:space="0" w:color="auto"/>
            </w:tcBorders>
            <w:shd w:val="clear" w:color="auto" w:fill="auto"/>
            <w:vAlign w:val="center"/>
            <w:hideMark/>
          </w:tcPr>
          <w:p w14:paraId="129F2780" w14:textId="5D5C4774" w:rsidR="00B31D8D" w:rsidRPr="0023319B" w:rsidRDefault="00B31D8D" w:rsidP="00B31D8D">
            <w:pPr>
              <w:spacing w:line="240" w:lineRule="auto"/>
              <w:jc w:val="right"/>
              <w:rPr>
                <w:rFonts w:ascii="Calibri Light" w:hAnsi="Calibri Light" w:cs="Calibri Light"/>
                <w:sz w:val="18"/>
                <w:szCs w:val="18"/>
                <w:lang w:val="es-CR" w:eastAsia="es-CR"/>
              </w:rPr>
            </w:pPr>
            <w:r w:rsidRPr="0023319B">
              <w:rPr>
                <w:rFonts w:ascii="Calibri Light" w:hAnsi="Calibri Light" w:cs="Calibri Light"/>
                <w:sz w:val="18"/>
                <w:szCs w:val="18"/>
                <w:lang w:val="es-CR" w:eastAsia="es-CR"/>
              </w:rPr>
              <w:t xml:space="preserve">135 576 111 </w:t>
            </w:r>
          </w:p>
        </w:tc>
        <w:tc>
          <w:tcPr>
            <w:tcW w:w="1275" w:type="dxa"/>
            <w:tcBorders>
              <w:top w:val="nil"/>
              <w:left w:val="nil"/>
              <w:bottom w:val="single" w:sz="4" w:space="0" w:color="auto"/>
              <w:right w:val="single" w:sz="4" w:space="0" w:color="auto"/>
            </w:tcBorders>
            <w:shd w:val="clear" w:color="auto" w:fill="auto"/>
            <w:vAlign w:val="center"/>
            <w:hideMark/>
          </w:tcPr>
          <w:p w14:paraId="7EBB058E" w14:textId="382E0808" w:rsidR="00B31D8D" w:rsidRPr="0023319B" w:rsidRDefault="00B31D8D" w:rsidP="00B31D8D">
            <w:pPr>
              <w:spacing w:line="240" w:lineRule="auto"/>
              <w:jc w:val="right"/>
              <w:rPr>
                <w:rFonts w:ascii="Calibri Light" w:hAnsi="Calibri Light" w:cs="Calibri Light"/>
                <w:sz w:val="18"/>
                <w:szCs w:val="18"/>
                <w:lang w:val="es-CR" w:eastAsia="es-CR"/>
              </w:rPr>
            </w:pPr>
            <w:r w:rsidRPr="0023319B">
              <w:rPr>
                <w:rFonts w:ascii="Calibri Light" w:hAnsi="Calibri Light" w:cs="Calibri Light"/>
                <w:sz w:val="18"/>
                <w:szCs w:val="18"/>
                <w:lang w:val="es-CR" w:eastAsia="es-CR"/>
              </w:rPr>
              <w:t xml:space="preserve">40 368 739 </w:t>
            </w:r>
          </w:p>
        </w:tc>
        <w:tc>
          <w:tcPr>
            <w:tcW w:w="852" w:type="dxa"/>
            <w:tcBorders>
              <w:top w:val="nil"/>
              <w:left w:val="nil"/>
              <w:bottom w:val="single" w:sz="4" w:space="0" w:color="auto"/>
              <w:right w:val="single" w:sz="4" w:space="0" w:color="auto"/>
            </w:tcBorders>
            <w:shd w:val="clear" w:color="auto" w:fill="auto"/>
            <w:vAlign w:val="center"/>
            <w:hideMark/>
          </w:tcPr>
          <w:p w14:paraId="67D1114B" w14:textId="77777777" w:rsidR="00B31D8D" w:rsidRPr="0023319B" w:rsidRDefault="00B31D8D" w:rsidP="00B31D8D">
            <w:pPr>
              <w:spacing w:line="240" w:lineRule="auto"/>
              <w:jc w:val="center"/>
              <w:rPr>
                <w:rFonts w:ascii="Calibri Light" w:hAnsi="Calibri Light" w:cs="Calibri Light"/>
                <w:sz w:val="18"/>
                <w:szCs w:val="18"/>
                <w:lang w:val="es-CR" w:eastAsia="es-CR"/>
              </w:rPr>
            </w:pPr>
            <w:r w:rsidRPr="0023319B">
              <w:rPr>
                <w:rFonts w:ascii="Calibri Light" w:hAnsi="Calibri Light" w:cs="Calibri Light"/>
                <w:sz w:val="18"/>
                <w:szCs w:val="18"/>
                <w:lang w:val="es-CR" w:eastAsia="es-CR"/>
              </w:rPr>
              <w:t>30%</w:t>
            </w:r>
          </w:p>
        </w:tc>
      </w:tr>
      <w:tr w:rsidR="00B31D8D" w:rsidRPr="0023319B" w14:paraId="0075B49C" w14:textId="77777777" w:rsidTr="00A05244">
        <w:trPr>
          <w:trHeight w:val="330"/>
        </w:trPr>
        <w:tc>
          <w:tcPr>
            <w:tcW w:w="1240" w:type="dxa"/>
            <w:tcBorders>
              <w:top w:val="nil"/>
              <w:left w:val="single" w:sz="4" w:space="0" w:color="auto"/>
              <w:bottom w:val="nil"/>
              <w:right w:val="single" w:sz="4" w:space="0" w:color="auto"/>
            </w:tcBorders>
            <w:shd w:val="clear" w:color="auto" w:fill="auto"/>
            <w:vAlign w:val="center"/>
            <w:hideMark/>
          </w:tcPr>
          <w:p w14:paraId="1585A848" w14:textId="77777777" w:rsidR="00B31D8D" w:rsidRPr="0023319B" w:rsidRDefault="00B31D8D" w:rsidP="00B31D8D">
            <w:pPr>
              <w:spacing w:line="240" w:lineRule="auto"/>
              <w:jc w:val="center"/>
              <w:rPr>
                <w:rFonts w:ascii="Calibri Light" w:hAnsi="Calibri Light" w:cs="Calibri Light"/>
                <w:b/>
                <w:bCs/>
                <w:sz w:val="18"/>
                <w:szCs w:val="18"/>
                <w:lang w:val="es-CR" w:eastAsia="es-CR"/>
              </w:rPr>
            </w:pPr>
            <w:r w:rsidRPr="0023319B">
              <w:rPr>
                <w:rFonts w:ascii="Calibri Light" w:hAnsi="Calibri Light" w:cs="Calibri Light"/>
                <w:b/>
                <w:bCs/>
                <w:sz w:val="18"/>
                <w:szCs w:val="18"/>
                <w:lang w:val="es-CR" w:eastAsia="es-CR"/>
              </w:rPr>
              <w:t> </w:t>
            </w:r>
          </w:p>
        </w:tc>
        <w:tc>
          <w:tcPr>
            <w:tcW w:w="800" w:type="dxa"/>
            <w:tcBorders>
              <w:top w:val="nil"/>
              <w:left w:val="nil"/>
              <w:bottom w:val="single" w:sz="4" w:space="0" w:color="auto"/>
              <w:right w:val="single" w:sz="4" w:space="0" w:color="auto"/>
            </w:tcBorders>
            <w:shd w:val="clear" w:color="auto" w:fill="auto"/>
            <w:vAlign w:val="center"/>
            <w:hideMark/>
          </w:tcPr>
          <w:p w14:paraId="43959D29" w14:textId="77777777" w:rsidR="00B31D8D" w:rsidRPr="0023319B" w:rsidRDefault="00B31D8D" w:rsidP="00B31D8D">
            <w:pPr>
              <w:spacing w:line="240" w:lineRule="auto"/>
              <w:jc w:val="center"/>
              <w:rPr>
                <w:rFonts w:ascii="Calibri Light" w:hAnsi="Calibri Light" w:cs="Calibri Light"/>
                <w:b/>
                <w:bCs/>
                <w:sz w:val="18"/>
                <w:szCs w:val="18"/>
                <w:lang w:val="es-CR" w:eastAsia="es-CR"/>
              </w:rPr>
            </w:pPr>
            <w:r w:rsidRPr="0023319B">
              <w:rPr>
                <w:rFonts w:ascii="Calibri Light" w:hAnsi="Calibri Light" w:cs="Calibri Light"/>
                <w:b/>
                <w:bCs/>
                <w:sz w:val="18"/>
                <w:szCs w:val="18"/>
                <w:lang w:val="es-CR" w:eastAsia="es-CR"/>
              </w:rPr>
              <w:t> </w:t>
            </w:r>
          </w:p>
        </w:tc>
        <w:tc>
          <w:tcPr>
            <w:tcW w:w="3484" w:type="dxa"/>
            <w:tcBorders>
              <w:top w:val="nil"/>
              <w:left w:val="nil"/>
              <w:bottom w:val="single" w:sz="4" w:space="0" w:color="auto"/>
              <w:right w:val="single" w:sz="4" w:space="0" w:color="auto"/>
            </w:tcBorders>
            <w:shd w:val="clear" w:color="auto" w:fill="auto"/>
            <w:vAlign w:val="center"/>
            <w:hideMark/>
          </w:tcPr>
          <w:p w14:paraId="5DBB00EA" w14:textId="77777777" w:rsidR="00B31D8D" w:rsidRPr="0023319B" w:rsidRDefault="00B31D8D" w:rsidP="00B31D8D">
            <w:pPr>
              <w:spacing w:line="240" w:lineRule="auto"/>
              <w:jc w:val="left"/>
              <w:rPr>
                <w:rFonts w:ascii="Calibri Light" w:hAnsi="Calibri Light" w:cs="Calibri Light"/>
                <w:sz w:val="18"/>
                <w:szCs w:val="18"/>
                <w:lang w:val="es-CR" w:eastAsia="es-CR"/>
              </w:rPr>
            </w:pPr>
            <w:r w:rsidRPr="0023319B">
              <w:rPr>
                <w:rFonts w:ascii="Calibri Light" w:hAnsi="Calibri Light" w:cs="Calibri Light"/>
                <w:sz w:val="18"/>
                <w:szCs w:val="18"/>
                <w:lang w:val="es-CR" w:eastAsia="es-CR"/>
              </w:rPr>
              <w:t>Tiempo no Efectivo (Vacaciones, incapacidades y permisos)</w:t>
            </w:r>
          </w:p>
        </w:tc>
        <w:tc>
          <w:tcPr>
            <w:tcW w:w="1275" w:type="dxa"/>
            <w:tcBorders>
              <w:top w:val="nil"/>
              <w:left w:val="nil"/>
              <w:bottom w:val="single" w:sz="4" w:space="0" w:color="auto"/>
              <w:right w:val="single" w:sz="4" w:space="0" w:color="auto"/>
            </w:tcBorders>
            <w:shd w:val="clear" w:color="auto" w:fill="auto"/>
            <w:vAlign w:val="center"/>
            <w:hideMark/>
          </w:tcPr>
          <w:p w14:paraId="6A1EF4BC" w14:textId="77777777" w:rsidR="00B31D8D" w:rsidRPr="0023319B" w:rsidRDefault="00B31D8D" w:rsidP="00B31D8D">
            <w:pPr>
              <w:spacing w:line="240" w:lineRule="auto"/>
              <w:jc w:val="right"/>
              <w:rPr>
                <w:rFonts w:ascii="Calibri Light" w:hAnsi="Calibri Light" w:cs="Calibri Light"/>
                <w:sz w:val="18"/>
                <w:szCs w:val="18"/>
                <w:lang w:val="es-CR" w:eastAsia="es-CR"/>
              </w:rPr>
            </w:pPr>
            <w:r w:rsidRPr="0023319B">
              <w:rPr>
                <w:rFonts w:ascii="Calibri Light" w:hAnsi="Calibri Light" w:cs="Calibri Light"/>
                <w:sz w:val="18"/>
                <w:szCs w:val="18"/>
                <w:lang w:val="es-CR" w:eastAsia="es-CR"/>
              </w:rPr>
              <w:t> </w:t>
            </w:r>
          </w:p>
        </w:tc>
        <w:tc>
          <w:tcPr>
            <w:tcW w:w="1275" w:type="dxa"/>
            <w:tcBorders>
              <w:top w:val="nil"/>
              <w:left w:val="nil"/>
              <w:bottom w:val="single" w:sz="4" w:space="0" w:color="auto"/>
              <w:right w:val="single" w:sz="4" w:space="0" w:color="auto"/>
            </w:tcBorders>
            <w:shd w:val="clear" w:color="auto" w:fill="auto"/>
            <w:vAlign w:val="center"/>
            <w:hideMark/>
          </w:tcPr>
          <w:p w14:paraId="409FC76F" w14:textId="58F6DB0B" w:rsidR="00B31D8D" w:rsidRPr="0023319B" w:rsidRDefault="00B31D8D" w:rsidP="00B31D8D">
            <w:pPr>
              <w:spacing w:line="240" w:lineRule="auto"/>
              <w:jc w:val="right"/>
              <w:rPr>
                <w:rFonts w:ascii="Calibri Light" w:hAnsi="Calibri Light" w:cs="Calibri Light"/>
                <w:sz w:val="18"/>
                <w:szCs w:val="18"/>
                <w:lang w:val="es-CR" w:eastAsia="es-CR"/>
              </w:rPr>
            </w:pPr>
            <w:r w:rsidRPr="0023319B">
              <w:rPr>
                <w:rFonts w:ascii="Calibri Light" w:hAnsi="Calibri Light" w:cs="Calibri Light"/>
                <w:sz w:val="18"/>
                <w:szCs w:val="18"/>
                <w:lang w:val="es-CR" w:eastAsia="es-CR"/>
              </w:rPr>
              <w:t xml:space="preserve">93 422 310 </w:t>
            </w:r>
          </w:p>
        </w:tc>
        <w:tc>
          <w:tcPr>
            <w:tcW w:w="852" w:type="dxa"/>
            <w:tcBorders>
              <w:top w:val="nil"/>
              <w:left w:val="nil"/>
              <w:bottom w:val="single" w:sz="4" w:space="0" w:color="auto"/>
              <w:right w:val="single" w:sz="4" w:space="0" w:color="auto"/>
            </w:tcBorders>
            <w:shd w:val="clear" w:color="auto" w:fill="auto"/>
            <w:vAlign w:val="center"/>
            <w:hideMark/>
          </w:tcPr>
          <w:p w14:paraId="4CB2BFD2" w14:textId="77777777" w:rsidR="00B31D8D" w:rsidRPr="0023319B" w:rsidRDefault="00B31D8D" w:rsidP="00B31D8D">
            <w:pPr>
              <w:spacing w:line="240" w:lineRule="auto"/>
              <w:jc w:val="center"/>
              <w:rPr>
                <w:rFonts w:ascii="Calibri Light" w:hAnsi="Calibri Light" w:cs="Calibri Light"/>
                <w:sz w:val="18"/>
                <w:szCs w:val="18"/>
                <w:lang w:val="es-CR" w:eastAsia="es-CR"/>
              </w:rPr>
            </w:pPr>
            <w:r w:rsidRPr="0023319B">
              <w:rPr>
                <w:rFonts w:ascii="Calibri Light" w:hAnsi="Calibri Light" w:cs="Calibri Light"/>
                <w:sz w:val="18"/>
                <w:szCs w:val="18"/>
                <w:lang w:val="es-CR" w:eastAsia="es-CR"/>
              </w:rPr>
              <w:t> </w:t>
            </w:r>
          </w:p>
        </w:tc>
      </w:tr>
      <w:tr w:rsidR="00B31D8D" w:rsidRPr="0023319B" w14:paraId="2610557C" w14:textId="77777777" w:rsidTr="00A05244">
        <w:trPr>
          <w:trHeight w:val="330"/>
        </w:trPr>
        <w:tc>
          <w:tcPr>
            <w:tcW w:w="5524" w:type="dxa"/>
            <w:gridSpan w:val="3"/>
            <w:tcBorders>
              <w:top w:val="single" w:sz="4" w:space="0" w:color="auto"/>
              <w:left w:val="single" w:sz="4" w:space="0" w:color="auto"/>
              <w:bottom w:val="single" w:sz="4" w:space="0" w:color="auto"/>
              <w:right w:val="single" w:sz="4" w:space="0" w:color="auto"/>
            </w:tcBorders>
            <w:shd w:val="clear" w:color="000000" w:fill="DCE6F1"/>
            <w:noWrap/>
            <w:vAlign w:val="center"/>
            <w:hideMark/>
          </w:tcPr>
          <w:p w14:paraId="3E9E6591" w14:textId="77777777" w:rsidR="00B31D8D" w:rsidRPr="0023319B" w:rsidRDefault="00B31D8D" w:rsidP="00B31D8D">
            <w:pPr>
              <w:spacing w:line="240" w:lineRule="auto"/>
              <w:jc w:val="left"/>
              <w:rPr>
                <w:rFonts w:ascii="Calibri Light" w:hAnsi="Calibri Light" w:cs="Calibri Light"/>
                <w:b/>
                <w:bCs/>
                <w:sz w:val="18"/>
                <w:szCs w:val="18"/>
                <w:lang w:val="es-CR" w:eastAsia="es-CR"/>
              </w:rPr>
            </w:pPr>
            <w:r w:rsidRPr="0023319B">
              <w:rPr>
                <w:rFonts w:ascii="Calibri Light" w:hAnsi="Calibri Light" w:cs="Calibri Light"/>
                <w:b/>
                <w:bCs/>
                <w:sz w:val="18"/>
                <w:szCs w:val="18"/>
                <w:lang w:val="es-CR" w:eastAsia="es-CR"/>
              </w:rPr>
              <w:t>DIVISIÓN SUPERVISIÓN DEL RÉGIMENES COLECTIVOS</w:t>
            </w:r>
          </w:p>
        </w:tc>
        <w:tc>
          <w:tcPr>
            <w:tcW w:w="1275" w:type="dxa"/>
            <w:tcBorders>
              <w:top w:val="nil"/>
              <w:left w:val="nil"/>
              <w:bottom w:val="single" w:sz="4" w:space="0" w:color="auto"/>
              <w:right w:val="single" w:sz="4" w:space="0" w:color="auto"/>
            </w:tcBorders>
            <w:shd w:val="clear" w:color="000000" w:fill="DCE6F1"/>
            <w:vAlign w:val="center"/>
            <w:hideMark/>
          </w:tcPr>
          <w:p w14:paraId="5DAB3B8D" w14:textId="113E216C" w:rsidR="00B31D8D" w:rsidRPr="0023319B" w:rsidRDefault="00B31D8D" w:rsidP="00B31D8D">
            <w:pPr>
              <w:spacing w:line="240" w:lineRule="auto"/>
              <w:jc w:val="right"/>
              <w:rPr>
                <w:rFonts w:ascii="Calibri Light" w:hAnsi="Calibri Light" w:cs="Calibri Light"/>
                <w:b/>
                <w:bCs/>
                <w:sz w:val="18"/>
                <w:szCs w:val="18"/>
                <w:lang w:val="es-CR" w:eastAsia="es-CR"/>
              </w:rPr>
            </w:pPr>
            <w:r w:rsidRPr="0023319B">
              <w:rPr>
                <w:rFonts w:ascii="Calibri Light" w:hAnsi="Calibri Light" w:cs="Calibri Light"/>
                <w:b/>
                <w:bCs/>
                <w:sz w:val="18"/>
                <w:szCs w:val="18"/>
                <w:lang w:val="es-CR" w:eastAsia="es-CR"/>
              </w:rPr>
              <w:t xml:space="preserve">1 512 257 528 </w:t>
            </w:r>
          </w:p>
        </w:tc>
        <w:tc>
          <w:tcPr>
            <w:tcW w:w="1275" w:type="dxa"/>
            <w:tcBorders>
              <w:top w:val="nil"/>
              <w:left w:val="nil"/>
              <w:bottom w:val="single" w:sz="4" w:space="0" w:color="auto"/>
              <w:right w:val="single" w:sz="4" w:space="0" w:color="auto"/>
            </w:tcBorders>
            <w:shd w:val="clear" w:color="000000" w:fill="DCE6F1"/>
            <w:vAlign w:val="center"/>
            <w:hideMark/>
          </w:tcPr>
          <w:p w14:paraId="0D18674B" w14:textId="1794D958" w:rsidR="00B31D8D" w:rsidRPr="0023319B" w:rsidRDefault="00B31D8D" w:rsidP="00B31D8D">
            <w:pPr>
              <w:spacing w:line="240" w:lineRule="auto"/>
              <w:jc w:val="right"/>
              <w:rPr>
                <w:rFonts w:ascii="Calibri Light" w:hAnsi="Calibri Light" w:cs="Calibri Light"/>
                <w:b/>
                <w:bCs/>
                <w:sz w:val="18"/>
                <w:szCs w:val="18"/>
                <w:lang w:val="es-CR" w:eastAsia="es-CR"/>
              </w:rPr>
            </w:pPr>
            <w:r w:rsidRPr="0023319B">
              <w:rPr>
                <w:rFonts w:ascii="Calibri Light" w:hAnsi="Calibri Light" w:cs="Calibri Light"/>
                <w:b/>
                <w:bCs/>
                <w:sz w:val="18"/>
                <w:szCs w:val="18"/>
                <w:lang w:val="es-CR" w:eastAsia="es-CR"/>
              </w:rPr>
              <w:t xml:space="preserve">1 172 956 979 </w:t>
            </w:r>
          </w:p>
        </w:tc>
        <w:tc>
          <w:tcPr>
            <w:tcW w:w="852" w:type="dxa"/>
            <w:tcBorders>
              <w:top w:val="nil"/>
              <w:left w:val="nil"/>
              <w:bottom w:val="single" w:sz="4" w:space="0" w:color="auto"/>
              <w:right w:val="single" w:sz="4" w:space="0" w:color="auto"/>
            </w:tcBorders>
            <w:shd w:val="clear" w:color="000000" w:fill="DCE6F1"/>
            <w:vAlign w:val="center"/>
            <w:hideMark/>
          </w:tcPr>
          <w:p w14:paraId="7C3F5E44" w14:textId="77777777" w:rsidR="00B31D8D" w:rsidRPr="0023319B" w:rsidRDefault="00B31D8D" w:rsidP="00B31D8D">
            <w:pPr>
              <w:spacing w:line="240" w:lineRule="auto"/>
              <w:jc w:val="center"/>
              <w:rPr>
                <w:rFonts w:ascii="Calibri Light" w:hAnsi="Calibri Light" w:cs="Calibri Light"/>
                <w:b/>
                <w:bCs/>
                <w:sz w:val="18"/>
                <w:szCs w:val="18"/>
                <w:lang w:val="es-CR" w:eastAsia="es-CR"/>
              </w:rPr>
            </w:pPr>
            <w:r w:rsidRPr="0023319B">
              <w:rPr>
                <w:rFonts w:ascii="Calibri Light" w:hAnsi="Calibri Light" w:cs="Calibri Light"/>
                <w:b/>
                <w:bCs/>
                <w:sz w:val="18"/>
                <w:szCs w:val="18"/>
                <w:lang w:val="es-CR" w:eastAsia="es-CR"/>
              </w:rPr>
              <w:t>78%</w:t>
            </w:r>
          </w:p>
        </w:tc>
      </w:tr>
      <w:tr w:rsidR="00B31D8D" w:rsidRPr="0023319B" w14:paraId="113B611B" w14:textId="77777777" w:rsidTr="00A05244">
        <w:trPr>
          <w:trHeight w:val="675"/>
        </w:trPr>
        <w:tc>
          <w:tcPr>
            <w:tcW w:w="1240" w:type="dxa"/>
            <w:vMerge w:val="restart"/>
            <w:tcBorders>
              <w:top w:val="nil"/>
              <w:left w:val="single" w:sz="4" w:space="0" w:color="auto"/>
              <w:bottom w:val="nil"/>
              <w:right w:val="single" w:sz="4" w:space="0" w:color="auto"/>
            </w:tcBorders>
            <w:shd w:val="clear" w:color="auto" w:fill="auto"/>
            <w:vAlign w:val="center"/>
            <w:hideMark/>
          </w:tcPr>
          <w:p w14:paraId="5BAC3669" w14:textId="77777777" w:rsidR="00B31D8D" w:rsidRPr="0023319B" w:rsidRDefault="00B31D8D" w:rsidP="00B31D8D">
            <w:pPr>
              <w:spacing w:line="240" w:lineRule="auto"/>
              <w:jc w:val="center"/>
              <w:rPr>
                <w:rFonts w:ascii="Calibri Light" w:hAnsi="Calibri Light" w:cs="Calibri Light"/>
                <w:b/>
                <w:bCs/>
                <w:sz w:val="18"/>
                <w:szCs w:val="18"/>
                <w:lang w:val="es-CR" w:eastAsia="es-CR"/>
              </w:rPr>
            </w:pPr>
            <w:r w:rsidRPr="0023319B">
              <w:rPr>
                <w:rFonts w:ascii="Calibri Light" w:hAnsi="Calibri Light" w:cs="Calibri Light"/>
                <w:b/>
                <w:bCs/>
                <w:sz w:val="18"/>
                <w:szCs w:val="18"/>
                <w:lang w:val="es-CR" w:eastAsia="es-CR"/>
              </w:rPr>
              <w:t> </w:t>
            </w:r>
          </w:p>
        </w:tc>
        <w:tc>
          <w:tcPr>
            <w:tcW w:w="800" w:type="dxa"/>
            <w:tcBorders>
              <w:top w:val="nil"/>
              <w:left w:val="nil"/>
              <w:bottom w:val="single" w:sz="4" w:space="0" w:color="auto"/>
              <w:right w:val="single" w:sz="4" w:space="0" w:color="auto"/>
            </w:tcBorders>
            <w:shd w:val="clear" w:color="auto" w:fill="auto"/>
            <w:vAlign w:val="center"/>
            <w:hideMark/>
          </w:tcPr>
          <w:p w14:paraId="78B0351B" w14:textId="77777777" w:rsidR="00B31D8D" w:rsidRPr="0023319B" w:rsidRDefault="00B31D8D" w:rsidP="00B31D8D">
            <w:pPr>
              <w:spacing w:line="240" w:lineRule="auto"/>
              <w:jc w:val="center"/>
              <w:rPr>
                <w:rFonts w:ascii="Calibri Light" w:hAnsi="Calibri Light" w:cs="Calibri Light"/>
                <w:b/>
                <w:bCs/>
                <w:sz w:val="18"/>
                <w:szCs w:val="18"/>
                <w:lang w:val="es-CR" w:eastAsia="es-CR"/>
              </w:rPr>
            </w:pPr>
            <w:r w:rsidRPr="0023319B">
              <w:rPr>
                <w:rFonts w:ascii="Calibri Light" w:hAnsi="Calibri Light" w:cs="Calibri Light"/>
                <w:b/>
                <w:bCs/>
                <w:sz w:val="18"/>
                <w:szCs w:val="18"/>
                <w:lang w:val="es-CR" w:eastAsia="es-CR"/>
              </w:rPr>
              <w:t>12</w:t>
            </w:r>
          </w:p>
        </w:tc>
        <w:tc>
          <w:tcPr>
            <w:tcW w:w="3484" w:type="dxa"/>
            <w:tcBorders>
              <w:top w:val="nil"/>
              <w:left w:val="nil"/>
              <w:bottom w:val="single" w:sz="4" w:space="0" w:color="auto"/>
              <w:right w:val="single" w:sz="4" w:space="0" w:color="auto"/>
            </w:tcBorders>
            <w:shd w:val="clear" w:color="auto" w:fill="auto"/>
            <w:vAlign w:val="center"/>
            <w:hideMark/>
          </w:tcPr>
          <w:p w14:paraId="1AF23A48" w14:textId="77777777" w:rsidR="00B31D8D" w:rsidRPr="0023319B" w:rsidRDefault="00B31D8D" w:rsidP="00B31D8D">
            <w:pPr>
              <w:spacing w:line="240" w:lineRule="auto"/>
              <w:jc w:val="left"/>
              <w:rPr>
                <w:rFonts w:ascii="Calibri Light" w:hAnsi="Calibri Light" w:cs="Calibri Light"/>
                <w:sz w:val="18"/>
                <w:szCs w:val="18"/>
                <w:lang w:val="es-CR" w:eastAsia="es-CR"/>
              </w:rPr>
            </w:pPr>
            <w:r w:rsidRPr="0023319B">
              <w:rPr>
                <w:rFonts w:ascii="Calibri Light" w:hAnsi="Calibri Light" w:cs="Calibri Light"/>
                <w:sz w:val="18"/>
                <w:szCs w:val="18"/>
                <w:lang w:val="es-CR" w:eastAsia="es-CR"/>
              </w:rPr>
              <w:t>Ejecutar la supervisión de los regímenes colectivos del Sistema Nacional de Pensiones.</w:t>
            </w:r>
          </w:p>
        </w:tc>
        <w:tc>
          <w:tcPr>
            <w:tcW w:w="1275" w:type="dxa"/>
            <w:tcBorders>
              <w:top w:val="nil"/>
              <w:left w:val="nil"/>
              <w:bottom w:val="single" w:sz="4" w:space="0" w:color="auto"/>
              <w:right w:val="single" w:sz="4" w:space="0" w:color="auto"/>
            </w:tcBorders>
            <w:shd w:val="clear" w:color="auto" w:fill="auto"/>
            <w:vAlign w:val="center"/>
            <w:hideMark/>
          </w:tcPr>
          <w:p w14:paraId="59B29E2B" w14:textId="4462C5C8" w:rsidR="00B31D8D" w:rsidRPr="0023319B" w:rsidRDefault="00B31D8D" w:rsidP="00B31D8D">
            <w:pPr>
              <w:spacing w:line="240" w:lineRule="auto"/>
              <w:jc w:val="right"/>
              <w:rPr>
                <w:rFonts w:ascii="Calibri Light" w:hAnsi="Calibri Light" w:cs="Calibri Light"/>
                <w:sz w:val="18"/>
                <w:szCs w:val="18"/>
                <w:lang w:val="es-CR" w:eastAsia="es-CR"/>
              </w:rPr>
            </w:pPr>
            <w:r w:rsidRPr="0023319B">
              <w:rPr>
                <w:rFonts w:ascii="Calibri Light" w:hAnsi="Calibri Light" w:cs="Calibri Light"/>
                <w:sz w:val="18"/>
                <w:szCs w:val="18"/>
                <w:lang w:val="es-CR" w:eastAsia="es-CR"/>
              </w:rPr>
              <w:t xml:space="preserve">1 191 960 572 </w:t>
            </w:r>
          </w:p>
        </w:tc>
        <w:tc>
          <w:tcPr>
            <w:tcW w:w="1275" w:type="dxa"/>
            <w:tcBorders>
              <w:top w:val="nil"/>
              <w:left w:val="nil"/>
              <w:bottom w:val="single" w:sz="4" w:space="0" w:color="auto"/>
              <w:right w:val="single" w:sz="4" w:space="0" w:color="auto"/>
            </w:tcBorders>
            <w:shd w:val="clear" w:color="auto" w:fill="auto"/>
            <w:vAlign w:val="center"/>
            <w:hideMark/>
          </w:tcPr>
          <w:p w14:paraId="346AB26F" w14:textId="1C4A6812" w:rsidR="00B31D8D" w:rsidRPr="0023319B" w:rsidRDefault="00B31D8D" w:rsidP="00B31D8D">
            <w:pPr>
              <w:spacing w:line="240" w:lineRule="auto"/>
              <w:jc w:val="right"/>
              <w:rPr>
                <w:rFonts w:ascii="Calibri Light" w:hAnsi="Calibri Light" w:cs="Calibri Light"/>
                <w:sz w:val="18"/>
                <w:szCs w:val="18"/>
                <w:lang w:val="es-CR" w:eastAsia="es-CR"/>
              </w:rPr>
            </w:pPr>
            <w:r w:rsidRPr="0023319B">
              <w:rPr>
                <w:rFonts w:ascii="Calibri Light" w:hAnsi="Calibri Light" w:cs="Calibri Light"/>
                <w:sz w:val="18"/>
                <w:szCs w:val="18"/>
                <w:lang w:val="es-CR" w:eastAsia="es-CR"/>
              </w:rPr>
              <w:t xml:space="preserve">704 482 918 </w:t>
            </w:r>
          </w:p>
        </w:tc>
        <w:tc>
          <w:tcPr>
            <w:tcW w:w="852" w:type="dxa"/>
            <w:tcBorders>
              <w:top w:val="nil"/>
              <w:left w:val="nil"/>
              <w:bottom w:val="single" w:sz="4" w:space="0" w:color="auto"/>
              <w:right w:val="single" w:sz="4" w:space="0" w:color="auto"/>
            </w:tcBorders>
            <w:shd w:val="clear" w:color="auto" w:fill="auto"/>
            <w:vAlign w:val="center"/>
            <w:hideMark/>
          </w:tcPr>
          <w:p w14:paraId="7C4C2BDB" w14:textId="77777777" w:rsidR="00B31D8D" w:rsidRPr="0023319B" w:rsidRDefault="00B31D8D" w:rsidP="00B31D8D">
            <w:pPr>
              <w:spacing w:line="240" w:lineRule="auto"/>
              <w:jc w:val="center"/>
              <w:rPr>
                <w:rFonts w:ascii="Calibri Light" w:hAnsi="Calibri Light" w:cs="Calibri Light"/>
                <w:sz w:val="18"/>
                <w:szCs w:val="18"/>
                <w:lang w:val="es-CR" w:eastAsia="es-CR"/>
              </w:rPr>
            </w:pPr>
            <w:r w:rsidRPr="0023319B">
              <w:rPr>
                <w:rFonts w:ascii="Calibri Light" w:hAnsi="Calibri Light" w:cs="Calibri Light"/>
                <w:sz w:val="18"/>
                <w:szCs w:val="18"/>
                <w:lang w:val="es-CR" w:eastAsia="es-CR"/>
              </w:rPr>
              <w:t>59%</w:t>
            </w:r>
          </w:p>
        </w:tc>
      </w:tr>
      <w:tr w:rsidR="00B31D8D" w:rsidRPr="0023319B" w14:paraId="667CCDA7" w14:textId="77777777" w:rsidTr="00A05244">
        <w:trPr>
          <w:trHeight w:val="870"/>
        </w:trPr>
        <w:tc>
          <w:tcPr>
            <w:tcW w:w="1240" w:type="dxa"/>
            <w:vMerge/>
            <w:tcBorders>
              <w:top w:val="nil"/>
              <w:left w:val="single" w:sz="4" w:space="0" w:color="auto"/>
              <w:bottom w:val="nil"/>
              <w:right w:val="single" w:sz="4" w:space="0" w:color="auto"/>
            </w:tcBorders>
            <w:vAlign w:val="center"/>
            <w:hideMark/>
          </w:tcPr>
          <w:p w14:paraId="2E08F5B1" w14:textId="77777777" w:rsidR="00B31D8D" w:rsidRPr="0023319B" w:rsidRDefault="00B31D8D" w:rsidP="00B31D8D">
            <w:pPr>
              <w:spacing w:line="240" w:lineRule="auto"/>
              <w:jc w:val="left"/>
              <w:rPr>
                <w:rFonts w:ascii="Calibri Light" w:hAnsi="Calibri Light" w:cs="Calibri Light"/>
                <w:b/>
                <w:bCs/>
                <w:sz w:val="18"/>
                <w:szCs w:val="18"/>
                <w:lang w:val="es-CR" w:eastAsia="es-CR"/>
              </w:rPr>
            </w:pPr>
          </w:p>
        </w:tc>
        <w:tc>
          <w:tcPr>
            <w:tcW w:w="800" w:type="dxa"/>
            <w:tcBorders>
              <w:top w:val="nil"/>
              <w:left w:val="nil"/>
              <w:bottom w:val="single" w:sz="4" w:space="0" w:color="auto"/>
              <w:right w:val="single" w:sz="4" w:space="0" w:color="auto"/>
            </w:tcBorders>
            <w:shd w:val="clear" w:color="auto" w:fill="auto"/>
            <w:vAlign w:val="center"/>
            <w:hideMark/>
          </w:tcPr>
          <w:p w14:paraId="28C65993" w14:textId="77777777" w:rsidR="00B31D8D" w:rsidRPr="0023319B" w:rsidRDefault="00B31D8D" w:rsidP="00B31D8D">
            <w:pPr>
              <w:spacing w:line="240" w:lineRule="auto"/>
              <w:jc w:val="center"/>
              <w:rPr>
                <w:rFonts w:ascii="Calibri Light" w:hAnsi="Calibri Light" w:cs="Calibri Light"/>
                <w:b/>
                <w:bCs/>
                <w:sz w:val="18"/>
                <w:szCs w:val="18"/>
                <w:lang w:val="es-CR" w:eastAsia="es-CR"/>
              </w:rPr>
            </w:pPr>
            <w:r w:rsidRPr="0023319B">
              <w:rPr>
                <w:rFonts w:ascii="Calibri Light" w:hAnsi="Calibri Light" w:cs="Calibri Light"/>
                <w:b/>
                <w:bCs/>
                <w:sz w:val="18"/>
                <w:szCs w:val="18"/>
                <w:lang w:val="es-CR" w:eastAsia="es-CR"/>
              </w:rPr>
              <w:t>13</w:t>
            </w:r>
          </w:p>
        </w:tc>
        <w:tc>
          <w:tcPr>
            <w:tcW w:w="3484" w:type="dxa"/>
            <w:tcBorders>
              <w:top w:val="nil"/>
              <w:left w:val="nil"/>
              <w:bottom w:val="single" w:sz="4" w:space="0" w:color="auto"/>
              <w:right w:val="single" w:sz="4" w:space="0" w:color="auto"/>
            </w:tcBorders>
            <w:shd w:val="clear" w:color="auto" w:fill="auto"/>
            <w:vAlign w:val="center"/>
            <w:hideMark/>
          </w:tcPr>
          <w:p w14:paraId="5C6720CF" w14:textId="77777777" w:rsidR="00B31D8D" w:rsidRPr="0023319B" w:rsidRDefault="00B31D8D" w:rsidP="00B31D8D">
            <w:pPr>
              <w:spacing w:line="240" w:lineRule="auto"/>
              <w:jc w:val="left"/>
              <w:rPr>
                <w:rFonts w:ascii="Calibri Light" w:hAnsi="Calibri Light" w:cs="Calibri Light"/>
                <w:sz w:val="18"/>
                <w:szCs w:val="18"/>
                <w:lang w:val="es-CR" w:eastAsia="es-CR"/>
              </w:rPr>
            </w:pPr>
            <w:r w:rsidRPr="0023319B">
              <w:rPr>
                <w:rFonts w:ascii="Calibri Light" w:hAnsi="Calibri Light" w:cs="Calibri Light"/>
                <w:sz w:val="18"/>
                <w:szCs w:val="18"/>
                <w:lang w:val="es-CR" w:eastAsia="es-CR"/>
              </w:rPr>
              <w:t xml:space="preserve">Atender las solicitudes relacionadas con la mejora continua, con base en la atención de temas de calidad, riesgos, observaciones de AI, proyectos, capacitación, entre otros. </w:t>
            </w:r>
          </w:p>
        </w:tc>
        <w:tc>
          <w:tcPr>
            <w:tcW w:w="1275" w:type="dxa"/>
            <w:tcBorders>
              <w:top w:val="nil"/>
              <w:left w:val="nil"/>
              <w:bottom w:val="single" w:sz="4" w:space="0" w:color="auto"/>
              <w:right w:val="single" w:sz="4" w:space="0" w:color="auto"/>
            </w:tcBorders>
            <w:shd w:val="clear" w:color="auto" w:fill="auto"/>
            <w:vAlign w:val="center"/>
            <w:hideMark/>
          </w:tcPr>
          <w:p w14:paraId="7B629F2E" w14:textId="6D8728EB" w:rsidR="00B31D8D" w:rsidRPr="0023319B" w:rsidRDefault="00B31D8D" w:rsidP="00B31D8D">
            <w:pPr>
              <w:spacing w:line="240" w:lineRule="auto"/>
              <w:jc w:val="right"/>
              <w:rPr>
                <w:rFonts w:ascii="Calibri Light" w:hAnsi="Calibri Light" w:cs="Calibri Light"/>
                <w:sz w:val="18"/>
                <w:szCs w:val="18"/>
                <w:lang w:val="es-CR" w:eastAsia="es-CR"/>
              </w:rPr>
            </w:pPr>
            <w:r w:rsidRPr="0023319B">
              <w:rPr>
                <w:rFonts w:ascii="Calibri Light" w:hAnsi="Calibri Light" w:cs="Calibri Light"/>
                <w:sz w:val="18"/>
                <w:szCs w:val="18"/>
                <w:lang w:val="es-CR" w:eastAsia="es-CR"/>
              </w:rPr>
              <w:t xml:space="preserve">320 296 956 </w:t>
            </w:r>
          </w:p>
        </w:tc>
        <w:tc>
          <w:tcPr>
            <w:tcW w:w="1275" w:type="dxa"/>
            <w:tcBorders>
              <w:top w:val="nil"/>
              <w:left w:val="nil"/>
              <w:bottom w:val="single" w:sz="4" w:space="0" w:color="auto"/>
              <w:right w:val="single" w:sz="4" w:space="0" w:color="auto"/>
            </w:tcBorders>
            <w:shd w:val="clear" w:color="auto" w:fill="auto"/>
            <w:vAlign w:val="center"/>
            <w:hideMark/>
          </w:tcPr>
          <w:p w14:paraId="11819CD4" w14:textId="7539A9EB" w:rsidR="00B31D8D" w:rsidRPr="0023319B" w:rsidRDefault="00B31D8D" w:rsidP="00B31D8D">
            <w:pPr>
              <w:spacing w:line="240" w:lineRule="auto"/>
              <w:jc w:val="right"/>
              <w:rPr>
                <w:rFonts w:ascii="Calibri Light" w:hAnsi="Calibri Light" w:cs="Calibri Light"/>
                <w:sz w:val="18"/>
                <w:szCs w:val="18"/>
                <w:lang w:val="es-CR" w:eastAsia="es-CR"/>
              </w:rPr>
            </w:pPr>
            <w:r w:rsidRPr="0023319B">
              <w:rPr>
                <w:rFonts w:ascii="Calibri Light" w:hAnsi="Calibri Light" w:cs="Calibri Light"/>
                <w:sz w:val="18"/>
                <w:szCs w:val="18"/>
                <w:lang w:val="es-CR" w:eastAsia="es-CR"/>
              </w:rPr>
              <w:t xml:space="preserve">257 028 797 </w:t>
            </w:r>
          </w:p>
        </w:tc>
        <w:tc>
          <w:tcPr>
            <w:tcW w:w="852" w:type="dxa"/>
            <w:tcBorders>
              <w:top w:val="nil"/>
              <w:left w:val="nil"/>
              <w:bottom w:val="single" w:sz="4" w:space="0" w:color="auto"/>
              <w:right w:val="single" w:sz="4" w:space="0" w:color="auto"/>
            </w:tcBorders>
            <w:shd w:val="clear" w:color="auto" w:fill="auto"/>
            <w:vAlign w:val="center"/>
            <w:hideMark/>
          </w:tcPr>
          <w:p w14:paraId="346A20E5" w14:textId="77777777" w:rsidR="00B31D8D" w:rsidRPr="0023319B" w:rsidRDefault="00B31D8D" w:rsidP="00B31D8D">
            <w:pPr>
              <w:spacing w:line="240" w:lineRule="auto"/>
              <w:jc w:val="center"/>
              <w:rPr>
                <w:rFonts w:ascii="Calibri Light" w:hAnsi="Calibri Light" w:cs="Calibri Light"/>
                <w:sz w:val="18"/>
                <w:szCs w:val="18"/>
                <w:lang w:val="es-CR" w:eastAsia="es-CR"/>
              </w:rPr>
            </w:pPr>
            <w:r w:rsidRPr="0023319B">
              <w:rPr>
                <w:rFonts w:ascii="Calibri Light" w:hAnsi="Calibri Light" w:cs="Calibri Light"/>
                <w:sz w:val="18"/>
                <w:szCs w:val="18"/>
                <w:lang w:val="es-CR" w:eastAsia="es-CR"/>
              </w:rPr>
              <w:t>80%</w:t>
            </w:r>
          </w:p>
        </w:tc>
      </w:tr>
      <w:tr w:rsidR="00B31D8D" w:rsidRPr="0023319B" w14:paraId="56202097" w14:textId="77777777" w:rsidTr="00A05244">
        <w:trPr>
          <w:trHeight w:val="435"/>
        </w:trPr>
        <w:tc>
          <w:tcPr>
            <w:tcW w:w="1240" w:type="dxa"/>
            <w:tcBorders>
              <w:top w:val="nil"/>
              <w:left w:val="single" w:sz="4" w:space="0" w:color="auto"/>
              <w:bottom w:val="nil"/>
              <w:right w:val="single" w:sz="4" w:space="0" w:color="auto"/>
            </w:tcBorders>
            <w:shd w:val="clear" w:color="auto" w:fill="auto"/>
            <w:vAlign w:val="center"/>
            <w:hideMark/>
          </w:tcPr>
          <w:p w14:paraId="5CEA5F0D" w14:textId="77777777" w:rsidR="00B31D8D" w:rsidRPr="0023319B" w:rsidRDefault="00B31D8D" w:rsidP="00B31D8D">
            <w:pPr>
              <w:spacing w:line="240" w:lineRule="auto"/>
              <w:jc w:val="center"/>
              <w:rPr>
                <w:rFonts w:ascii="Calibri Light" w:hAnsi="Calibri Light" w:cs="Calibri Light"/>
                <w:b/>
                <w:bCs/>
                <w:sz w:val="18"/>
                <w:szCs w:val="18"/>
                <w:lang w:val="es-CR" w:eastAsia="es-CR"/>
              </w:rPr>
            </w:pPr>
            <w:r w:rsidRPr="0023319B">
              <w:rPr>
                <w:rFonts w:ascii="Calibri Light" w:hAnsi="Calibri Light" w:cs="Calibri Light"/>
                <w:b/>
                <w:bCs/>
                <w:sz w:val="18"/>
                <w:szCs w:val="18"/>
                <w:lang w:val="es-CR" w:eastAsia="es-CR"/>
              </w:rPr>
              <w:t> </w:t>
            </w:r>
          </w:p>
        </w:tc>
        <w:tc>
          <w:tcPr>
            <w:tcW w:w="800" w:type="dxa"/>
            <w:tcBorders>
              <w:top w:val="nil"/>
              <w:left w:val="nil"/>
              <w:bottom w:val="single" w:sz="4" w:space="0" w:color="auto"/>
              <w:right w:val="single" w:sz="4" w:space="0" w:color="auto"/>
            </w:tcBorders>
            <w:shd w:val="clear" w:color="auto" w:fill="auto"/>
            <w:vAlign w:val="center"/>
            <w:hideMark/>
          </w:tcPr>
          <w:p w14:paraId="264D5855" w14:textId="77777777" w:rsidR="00B31D8D" w:rsidRPr="0023319B" w:rsidRDefault="00B31D8D" w:rsidP="00B31D8D">
            <w:pPr>
              <w:spacing w:line="240" w:lineRule="auto"/>
              <w:jc w:val="center"/>
              <w:rPr>
                <w:rFonts w:ascii="Calibri Light" w:hAnsi="Calibri Light" w:cs="Calibri Light"/>
                <w:b/>
                <w:bCs/>
                <w:sz w:val="18"/>
                <w:szCs w:val="18"/>
                <w:lang w:val="es-CR" w:eastAsia="es-CR"/>
              </w:rPr>
            </w:pPr>
            <w:r w:rsidRPr="0023319B">
              <w:rPr>
                <w:rFonts w:ascii="Calibri Light" w:hAnsi="Calibri Light" w:cs="Calibri Light"/>
                <w:b/>
                <w:bCs/>
                <w:sz w:val="18"/>
                <w:szCs w:val="18"/>
                <w:lang w:val="es-CR" w:eastAsia="es-CR"/>
              </w:rPr>
              <w:t> </w:t>
            </w:r>
          </w:p>
        </w:tc>
        <w:tc>
          <w:tcPr>
            <w:tcW w:w="3484" w:type="dxa"/>
            <w:tcBorders>
              <w:top w:val="nil"/>
              <w:left w:val="nil"/>
              <w:bottom w:val="single" w:sz="4" w:space="0" w:color="auto"/>
              <w:right w:val="single" w:sz="4" w:space="0" w:color="auto"/>
            </w:tcBorders>
            <w:shd w:val="clear" w:color="auto" w:fill="auto"/>
            <w:vAlign w:val="center"/>
            <w:hideMark/>
          </w:tcPr>
          <w:p w14:paraId="004269DC" w14:textId="77777777" w:rsidR="00B31D8D" w:rsidRPr="0023319B" w:rsidRDefault="00B31D8D" w:rsidP="00B31D8D">
            <w:pPr>
              <w:spacing w:line="240" w:lineRule="auto"/>
              <w:jc w:val="left"/>
              <w:rPr>
                <w:rFonts w:ascii="Calibri Light" w:hAnsi="Calibri Light" w:cs="Calibri Light"/>
                <w:sz w:val="18"/>
                <w:szCs w:val="18"/>
                <w:lang w:val="es-CR" w:eastAsia="es-CR"/>
              </w:rPr>
            </w:pPr>
            <w:r w:rsidRPr="0023319B">
              <w:rPr>
                <w:rFonts w:ascii="Calibri Light" w:hAnsi="Calibri Light" w:cs="Calibri Light"/>
                <w:sz w:val="18"/>
                <w:szCs w:val="18"/>
                <w:lang w:val="es-CR" w:eastAsia="es-CR"/>
              </w:rPr>
              <w:t>Tiempo no Efectivo (Vacaciones, incapacidades y permisos)</w:t>
            </w:r>
          </w:p>
        </w:tc>
        <w:tc>
          <w:tcPr>
            <w:tcW w:w="1275" w:type="dxa"/>
            <w:tcBorders>
              <w:top w:val="nil"/>
              <w:left w:val="nil"/>
              <w:bottom w:val="single" w:sz="4" w:space="0" w:color="auto"/>
              <w:right w:val="single" w:sz="4" w:space="0" w:color="auto"/>
            </w:tcBorders>
            <w:shd w:val="clear" w:color="auto" w:fill="auto"/>
            <w:vAlign w:val="center"/>
            <w:hideMark/>
          </w:tcPr>
          <w:p w14:paraId="0EE3BA26" w14:textId="77777777" w:rsidR="00B31D8D" w:rsidRPr="0023319B" w:rsidRDefault="00B31D8D" w:rsidP="00B31D8D">
            <w:pPr>
              <w:spacing w:line="240" w:lineRule="auto"/>
              <w:jc w:val="right"/>
              <w:rPr>
                <w:rFonts w:ascii="Calibri Light" w:hAnsi="Calibri Light" w:cs="Calibri Light"/>
                <w:sz w:val="18"/>
                <w:szCs w:val="18"/>
                <w:lang w:val="es-CR" w:eastAsia="es-CR"/>
              </w:rPr>
            </w:pPr>
            <w:r w:rsidRPr="0023319B">
              <w:rPr>
                <w:rFonts w:ascii="Calibri Light" w:hAnsi="Calibri Light" w:cs="Calibri Light"/>
                <w:sz w:val="18"/>
                <w:szCs w:val="18"/>
                <w:lang w:val="es-CR" w:eastAsia="es-CR"/>
              </w:rPr>
              <w:t> </w:t>
            </w:r>
          </w:p>
        </w:tc>
        <w:tc>
          <w:tcPr>
            <w:tcW w:w="1275" w:type="dxa"/>
            <w:tcBorders>
              <w:top w:val="nil"/>
              <w:left w:val="nil"/>
              <w:bottom w:val="single" w:sz="4" w:space="0" w:color="auto"/>
              <w:right w:val="single" w:sz="4" w:space="0" w:color="auto"/>
            </w:tcBorders>
            <w:shd w:val="clear" w:color="auto" w:fill="auto"/>
            <w:vAlign w:val="center"/>
            <w:hideMark/>
          </w:tcPr>
          <w:p w14:paraId="5168F123" w14:textId="40388199" w:rsidR="00B31D8D" w:rsidRPr="0023319B" w:rsidRDefault="00B31D8D" w:rsidP="00B31D8D">
            <w:pPr>
              <w:spacing w:line="240" w:lineRule="auto"/>
              <w:jc w:val="right"/>
              <w:rPr>
                <w:rFonts w:ascii="Calibri Light" w:hAnsi="Calibri Light" w:cs="Calibri Light"/>
                <w:sz w:val="18"/>
                <w:szCs w:val="18"/>
                <w:lang w:val="es-CR" w:eastAsia="es-CR"/>
              </w:rPr>
            </w:pPr>
            <w:r w:rsidRPr="0023319B">
              <w:rPr>
                <w:rFonts w:ascii="Calibri Light" w:hAnsi="Calibri Light" w:cs="Calibri Light"/>
                <w:sz w:val="18"/>
                <w:szCs w:val="18"/>
                <w:lang w:val="es-CR" w:eastAsia="es-CR"/>
              </w:rPr>
              <w:t xml:space="preserve">211 445 264 </w:t>
            </w:r>
          </w:p>
        </w:tc>
        <w:tc>
          <w:tcPr>
            <w:tcW w:w="852" w:type="dxa"/>
            <w:tcBorders>
              <w:top w:val="nil"/>
              <w:left w:val="nil"/>
              <w:bottom w:val="single" w:sz="4" w:space="0" w:color="auto"/>
              <w:right w:val="single" w:sz="4" w:space="0" w:color="auto"/>
            </w:tcBorders>
            <w:shd w:val="clear" w:color="auto" w:fill="auto"/>
            <w:vAlign w:val="center"/>
            <w:hideMark/>
          </w:tcPr>
          <w:p w14:paraId="41F7AFCD" w14:textId="77777777" w:rsidR="00B31D8D" w:rsidRPr="0023319B" w:rsidRDefault="00B31D8D" w:rsidP="00B31D8D">
            <w:pPr>
              <w:spacing w:line="240" w:lineRule="auto"/>
              <w:jc w:val="center"/>
              <w:rPr>
                <w:rFonts w:ascii="Calibri Light" w:hAnsi="Calibri Light" w:cs="Calibri Light"/>
                <w:sz w:val="18"/>
                <w:szCs w:val="18"/>
                <w:lang w:val="es-CR" w:eastAsia="es-CR"/>
              </w:rPr>
            </w:pPr>
            <w:r w:rsidRPr="0023319B">
              <w:rPr>
                <w:rFonts w:ascii="Calibri Light" w:hAnsi="Calibri Light" w:cs="Calibri Light"/>
                <w:sz w:val="18"/>
                <w:szCs w:val="18"/>
                <w:lang w:val="es-CR" w:eastAsia="es-CR"/>
              </w:rPr>
              <w:t> </w:t>
            </w:r>
          </w:p>
        </w:tc>
      </w:tr>
      <w:tr w:rsidR="00B31D8D" w:rsidRPr="0023319B" w14:paraId="0FBDA8D6" w14:textId="77777777" w:rsidTr="00A05244">
        <w:trPr>
          <w:trHeight w:val="315"/>
        </w:trPr>
        <w:tc>
          <w:tcPr>
            <w:tcW w:w="5524" w:type="dxa"/>
            <w:gridSpan w:val="3"/>
            <w:tcBorders>
              <w:top w:val="single" w:sz="4" w:space="0" w:color="auto"/>
              <w:left w:val="single" w:sz="4" w:space="0" w:color="auto"/>
              <w:bottom w:val="single" w:sz="4" w:space="0" w:color="auto"/>
              <w:right w:val="single" w:sz="4" w:space="0" w:color="auto"/>
            </w:tcBorders>
            <w:shd w:val="clear" w:color="000000" w:fill="DCE6F1"/>
            <w:noWrap/>
            <w:vAlign w:val="center"/>
            <w:hideMark/>
          </w:tcPr>
          <w:p w14:paraId="298F27E2" w14:textId="77777777" w:rsidR="00B31D8D" w:rsidRPr="0023319B" w:rsidRDefault="00B31D8D" w:rsidP="00B31D8D">
            <w:pPr>
              <w:spacing w:line="240" w:lineRule="auto"/>
              <w:jc w:val="left"/>
              <w:rPr>
                <w:rFonts w:ascii="Calibri Light" w:hAnsi="Calibri Light" w:cs="Calibri Light"/>
                <w:b/>
                <w:bCs/>
                <w:sz w:val="18"/>
                <w:szCs w:val="18"/>
                <w:lang w:val="es-CR" w:eastAsia="es-CR"/>
              </w:rPr>
            </w:pPr>
            <w:r w:rsidRPr="0023319B">
              <w:rPr>
                <w:rFonts w:ascii="Calibri Light" w:hAnsi="Calibri Light" w:cs="Calibri Light"/>
                <w:b/>
                <w:bCs/>
                <w:sz w:val="18"/>
                <w:szCs w:val="18"/>
                <w:lang w:val="es-CR" w:eastAsia="es-CR"/>
              </w:rPr>
              <w:t>DIVISIÓN SUPERVISIÓN DEL RÉGIMEN DE CAPITALIZACIÓN INDIVIDUAL</w:t>
            </w:r>
          </w:p>
        </w:tc>
        <w:tc>
          <w:tcPr>
            <w:tcW w:w="1275" w:type="dxa"/>
            <w:tcBorders>
              <w:top w:val="nil"/>
              <w:left w:val="nil"/>
              <w:bottom w:val="single" w:sz="4" w:space="0" w:color="auto"/>
              <w:right w:val="single" w:sz="4" w:space="0" w:color="auto"/>
            </w:tcBorders>
            <w:shd w:val="clear" w:color="000000" w:fill="DCE6F1"/>
            <w:vAlign w:val="center"/>
            <w:hideMark/>
          </w:tcPr>
          <w:p w14:paraId="73F9D992" w14:textId="52D0B3B5" w:rsidR="00B31D8D" w:rsidRPr="0023319B" w:rsidRDefault="00B31D8D" w:rsidP="00B31D8D">
            <w:pPr>
              <w:spacing w:line="240" w:lineRule="auto"/>
              <w:jc w:val="right"/>
              <w:rPr>
                <w:rFonts w:ascii="Calibri Light" w:hAnsi="Calibri Light" w:cs="Calibri Light"/>
                <w:b/>
                <w:bCs/>
                <w:sz w:val="18"/>
                <w:szCs w:val="18"/>
                <w:lang w:val="es-CR" w:eastAsia="es-CR"/>
              </w:rPr>
            </w:pPr>
            <w:r w:rsidRPr="0023319B">
              <w:rPr>
                <w:rFonts w:ascii="Calibri Light" w:hAnsi="Calibri Light" w:cs="Calibri Light"/>
                <w:b/>
                <w:bCs/>
                <w:sz w:val="18"/>
                <w:szCs w:val="18"/>
                <w:lang w:val="es-CR" w:eastAsia="es-CR"/>
              </w:rPr>
              <w:t xml:space="preserve">1 651 476 910 </w:t>
            </w:r>
          </w:p>
        </w:tc>
        <w:tc>
          <w:tcPr>
            <w:tcW w:w="1275" w:type="dxa"/>
            <w:tcBorders>
              <w:top w:val="nil"/>
              <w:left w:val="nil"/>
              <w:bottom w:val="single" w:sz="4" w:space="0" w:color="auto"/>
              <w:right w:val="single" w:sz="4" w:space="0" w:color="auto"/>
            </w:tcBorders>
            <w:shd w:val="clear" w:color="000000" w:fill="DCE6F1"/>
            <w:vAlign w:val="center"/>
            <w:hideMark/>
          </w:tcPr>
          <w:p w14:paraId="531CB963" w14:textId="2B8AFA86" w:rsidR="00B31D8D" w:rsidRPr="0023319B" w:rsidRDefault="00B31D8D" w:rsidP="00B31D8D">
            <w:pPr>
              <w:spacing w:line="240" w:lineRule="auto"/>
              <w:jc w:val="right"/>
              <w:rPr>
                <w:rFonts w:ascii="Calibri Light" w:hAnsi="Calibri Light" w:cs="Calibri Light"/>
                <w:b/>
                <w:bCs/>
                <w:sz w:val="18"/>
                <w:szCs w:val="18"/>
                <w:lang w:val="es-CR" w:eastAsia="es-CR"/>
              </w:rPr>
            </w:pPr>
            <w:r w:rsidRPr="0023319B">
              <w:rPr>
                <w:rFonts w:ascii="Calibri Light" w:hAnsi="Calibri Light" w:cs="Calibri Light"/>
                <w:b/>
                <w:bCs/>
                <w:sz w:val="18"/>
                <w:szCs w:val="18"/>
                <w:lang w:val="es-CR" w:eastAsia="es-CR"/>
              </w:rPr>
              <w:t xml:space="preserve">1 375 734 251 </w:t>
            </w:r>
          </w:p>
        </w:tc>
        <w:tc>
          <w:tcPr>
            <w:tcW w:w="852" w:type="dxa"/>
            <w:tcBorders>
              <w:top w:val="nil"/>
              <w:left w:val="nil"/>
              <w:bottom w:val="single" w:sz="4" w:space="0" w:color="auto"/>
              <w:right w:val="single" w:sz="4" w:space="0" w:color="auto"/>
            </w:tcBorders>
            <w:shd w:val="clear" w:color="000000" w:fill="DCE6F1"/>
            <w:vAlign w:val="center"/>
            <w:hideMark/>
          </w:tcPr>
          <w:p w14:paraId="1000F4D7" w14:textId="77777777" w:rsidR="00B31D8D" w:rsidRPr="0023319B" w:rsidRDefault="00B31D8D" w:rsidP="00B31D8D">
            <w:pPr>
              <w:spacing w:line="240" w:lineRule="auto"/>
              <w:jc w:val="center"/>
              <w:rPr>
                <w:rFonts w:ascii="Calibri Light" w:hAnsi="Calibri Light" w:cs="Calibri Light"/>
                <w:b/>
                <w:bCs/>
                <w:sz w:val="18"/>
                <w:szCs w:val="18"/>
                <w:lang w:val="es-CR" w:eastAsia="es-CR"/>
              </w:rPr>
            </w:pPr>
            <w:r w:rsidRPr="0023319B">
              <w:rPr>
                <w:rFonts w:ascii="Calibri Light" w:hAnsi="Calibri Light" w:cs="Calibri Light"/>
                <w:b/>
                <w:bCs/>
                <w:sz w:val="18"/>
                <w:szCs w:val="18"/>
                <w:lang w:val="es-CR" w:eastAsia="es-CR"/>
              </w:rPr>
              <w:t>83%</w:t>
            </w:r>
          </w:p>
        </w:tc>
      </w:tr>
      <w:tr w:rsidR="00B31D8D" w:rsidRPr="0023319B" w14:paraId="28304174" w14:textId="77777777" w:rsidTr="00A05244">
        <w:trPr>
          <w:trHeight w:val="1020"/>
        </w:trPr>
        <w:tc>
          <w:tcPr>
            <w:tcW w:w="1240" w:type="dxa"/>
            <w:vMerge w:val="restart"/>
            <w:tcBorders>
              <w:top w:val="nil"/>
              <w:left w:val="single" w:sz="4" w:space="0" w:color="auto"/>
              <w:bottom w:val="nil"/>
              <w:right w:val="single" w:sz="4" w:space="0" w:color="auto"/>
            </w:tcBorders>
            <w:shd w:val="clear" w:color="auto" w:fill="auto"/>
            <w:vAlign w:val="center"/>
            <w:hideMark/>
          </w:tcPr>
          <w:p w14:paraId="7A02CD37" w14:textId="77777777" w:rsidR="00B31D8D" w:rsidRPr="0023319B" w:rsidRDefault="00B31D8D" w:rsidP="00B31D8D">
            <w:pPr>
              <w:spacing w:line="240" w:lineRule="auto"/>
              <w:jc w:val="center"/>
              <w:rPr>
                <w:rFonts w:ascii="Calibri Light" w:hAnsi="Calibri Light" w:cs="Calibri Light"/>
                <w:b/>
                <w:bCs/>
                <w:sz w:val="18"/>
                <w:szCs w:val="18"/>
                <w:lang w:val="es-CR" w:eastAsia="es-CR"/>
              </w:rPr>
            </w:pPr>
            <w:r w:rsidRPr="0023319B">
              <w:rPr>
                <w:rFonts w:ascii="Calibri Light" w:hAnsi="Calibri Light" w:cs="Calibri Light"/>
                <w:b/>
                <w:bCs/>
                <w:sz w:val="18"/>
                <w:szCs w:val="18"/>
                <w:lang w:val="es-CR" w:eastAsia="es-CR"/>
              </w:rPr>
              <w:t> </w:t>
            </w:r>
          </w:p>
        </w:tc>
        <w:tc>
          <w:tcPr>
            <w:tcW w:w="800" w:type="dxa"/>
            <w:tcBorders>
              <w:top w:val="nil"/>
              <w:left w:val="nil"/>
              <w:bottom w:val="single" w:sz="4" w:space="0" w:color="auto"/>
              <w:right w:val="single" w:sz="4" w:space="0" w:color="auto"/>
            </w:tcBorders>
            <w:shd w:val="clear" w:color="auto" w:fill="auto"/>
            <w:vAlign w:val="center"/>
            <w:hideMark/>
          </w:tcPr>
          <w:p w14:paraId="5887AF04" w14:textId="77777777" w:rsidR="00B31D8D" w:rsidRPr="0023319B" w:rsidRDefault="00B31D8D" w:rsidP="00B31D8D">
            <w:pPr>
              <w:spacing w:line="240" w:lineRule="auto"/>
              <w:jc w:val="center"/>
              <w:rPr>
                <w:rFonts w:ascii="Calibri Light" w:hAnsi="Calibri Light" w:cs="Calibri Light"/>
                <w:b/>
                <w:bCs/>
                <w:sz w:val="18"/>
                <w:szCs w:val="18"/>
                <w:lang w:val="es-CR" w:eastAsia="es-CR"/>
              </w:rPr>
            </w:pPr>
            <w:r w:rsidRPr="0023319B">
              <w:rPr>
                <w:rFonts w:ascii="Calibri Light" w:hAnsi="Calibri Light" w:cs="Calibri Light"/>
                <w:b/>
                <w:bCs/>
                <w:sz w:val="18"/>
                <w:szCs w:val="18"/>
                <w:lang w:val="es-CR" w:eastAsia="es-CR"/>
              </w:rPr>
              <w:t>14</w:t>
            </w:r>
          </w:p>
        </w:tc>
        <w:tc>
          <w:tcPr>
            <w:tcW w:w="3484" w:type="dxa"/>
            <w:tcBorders>
              <w:top w:val="nil"/>
              <w:left w:val="nil"/>
              <w:bottom w:val="single" w:sz="4" w:space="0" w:color="auto"/>
              <w:right w:val="single" w:sz="4" w:space="0" w:color="auto"/>
            </w:tcBorders>
            <w:shd w:val="clear" w:color="auto" w:fill="auto"/>
            <w:vAlign w:val="center"/>
            <w:hideMark/>
          </w:tcPr>
          <w:p w14:paraId="685205FE" w14:textId="5DDD1CB1" w:rsidR="00B31D8D" w:rsidRPr="0023319B" w:rsidRDefault="00B31D8D" w:rsidP="00B31D8D">
            <w:pPr>
              <w:spacing w:line="240" w:lineRule="auto"/>
              <w:jc w:val="left"/>
              <w:rPr>
                <w:rFonts w:ascii="Calibri Light" w:hAnsi="Calibri Light" w:cs="Calibri Light"/>
                <w:sz w:val="18"/>
                <w:szCs w:val="18"/>
                <w:lang w:val="es-CR" w:eastAsia="es-CR"/>
              </w:rPr>
            </w:pPr>
            <w:r w:rsidRPr="0023319B">
              <w:rPr>
                <w:rFonts w:ascii="Calibri Light" w:hAnsi="Calibri Light" w:cs="Calibri Light"/>
                <w:sz w:val="18"/>
                <w:szCs w:val="18"/>
                <w:lang w:val="es-CR" w:eastAsia="es-CR"/>
              </w:rPr>
              <w:t>Fiscalizar y supervisar el cumplimiento de la normativa vigente y evaluar el proceso de identificación, medición, control y seguimiento de los riesgos en las entidades supervisadas y los fondos administrados.</w:t>
            </w:r>
          </w:p>
        </w:tc>
        <w:tc>
          <w:tcPr>
            <w:tcW w:w="1275" w:type="dxa"/>
            <w:tcBorders>
              <w:top w:val="nil"/>
              <w:left w:val="nil"/>
              <w:bottom w:val="single" w:sz="4" w:space="0" w:color="auto"/>
              <w:right w:val="single" w:sz="4" w:space="0" w:color="auto"/>
            </w:tcBorders>
            <w:shd w:val="clear" w:color="auto" w:fill="auto"/>
            <w:vAlign w:val="center"/>
            <w:hideMark/>
          </w:tcPr>
          <w:p w14:paraId="2DBCBD70" w14:textId="2A88BB13" w:rsidR="00B31D8D" w:rsidRPr="0023319B" w:rsidRDefault="00B31D8D" w:rsidP="00B31D8D">
            <w:pPr>
              <w:spacing w:line="240" w:lineRule="auto"/>
              <w:jc w:val="right"/>
              <w:rPr>
                <w:rFonts w:ascii="Calibri Light" w:hAnsi="Calibri Light" w:cs="Calibri Light"/>
                <w:sz w:val="18"/>
                <w:szCs w:val="18"/>
                <w:lang w:val="es-CR" w:eastAsia="es-CR"/>
              </w:rPr>
            </w:pPr>
            <w:r w:rsidRPr="0023319B">
              <w:rPr>
                <w:rFonts w:ascii="Calibri Light" w:hAnsi="Calibri Light" w:cs="Calibri Light"/>
                <w:sz w:val="18"/>
                <w:szCs w:val="18"/>
                <w:lang w:val="es-CR" w:eastAsia="es-CR"/>
              </w:rPr>
              <w:t xml:space="preserve">1 336 802 204 </w:t>
            </w:r>
          </w:p>
        </w:tc>
        <w:tc>
          <w:tcPr>
            <w:tcW w:w="1275" w:type="dxa"/>
            <w:tcBorders>
              <w:top w:val="nil"/>
              <w:left w:val="nil"/>
              <w:bottom w:val="single" w:sz="4" w:space="0" w:color="auto"/>
              <w:right w:val="single" w:sz="4" w:space="0" w:color="auto"/>
            </w:tcBorders>
            <w:shd w:val="clear" w:color="auto" w:fill="auto"/>
            <w:vAlign w:val="center"/>
            <w:hideMark/>
          </w:tcPr>
          <w:p w14:paraId="3CBC3533" w14:textId="0DB9C35F" w:rsidR="00B31D8D" w:rsidRPr="0023319B" w:rsidRDefault="00B31D8D" w:rsidP="00B31D8D">
            <w:pPr>
              <w:spacing w:line="240" w:lineRule="auto"/>
              <w:jc w:val="right"/>
              <w:rPr>
                <w:rFonts w:ascii="Calibri Light" w:hAnsi="Calibri Light" w:cs="Calibri Light"/>
                <w:sz w:val="18"/>
                <w:szCs w:val="18"/>
                <w:lang w:val="es-CR" w:eastAsia="es-CR"/>
              </w:rPr>
            </w:pPr>
            <w:r w:rsidRPr="0023319B">
              <w:rPr>
                <w:rFonts w:ascii="Calibri Light" w:hAnsi="Calibri Light" w:cs="Calibri Light"/>
                <w:sz w:val="18"/>
                <w:szCs w:val="18"/>
                <w:lang w:val="es-CR" w:eastAsia="es-CR"/>
              </w:rPr>
              <w:t xml:space="preserve">887 233 423 </w:t>
            </w:r>
          </w:p>
        </w:tc>
        <w:tc>
          <w:tcPr>
            <w:tcW w:w="852" w:type="dxa"/>
            <w:tcBorders>
              <w:top w:val="nil"/>
              <w:left w:val="nil"/>
              <w:bottom w:val="single" w:sz="4" w:space="0" w:color="auto"/>
              <w:right w:val="single" w:sz="4" w:space="0" w:color="auto"/>
            </w:tcBorders>
            <w:shd w:val="clear" w:color="auto" w:fill="auto"/>
            <w:vAlign w:val="center"/>
            <w:hideMark/>
          </w:tcPr>
          <w:p w14:paraId="1B51B242" w14:textId="77777777" w:rsidR="00B31D8D" w:rsidRPr="0023319B" w:rsidRDefault="00B31D8D" w:rsidP="00B31D8D">
            <w:pPr>
              <w:spacing w:line="240" w:lineRule="auto"/>
              <w:jc w:val="center"/>
              <w:rPr>
                <w:rFonts w:ascii="Calibri Light" w:hAnsi="Calibri Light" w:cs="Calibri Light"/>
                <w:sz w:val="18"/>
                <w:szCs w:val="18"/>
                <w:lang w:val="es-CR" w:eastAsia="es-CR"/>
              </w:rPr>
            </w:pPr>
            <w:r w:rsidRPr="0023319B">
              <w:rPr>
                <w:rFonts w:ascii="Calibri Light" w:hAnsi="Calibri Light" w:cs="Calibri Light"/>
                <w:sz w:val="18"/>
                <w:szCs w:val="18"/>
                <w:lang w:val="es-CR" w:eastAsia="es-CR"/>
              </w:rPr>
              <w:t>66%</w:t>
            </w:r>
          </w:p>
        </w:tc>
      </w:tr>
      <w:tr w:rsidR="00B31D8D" w:rsidRPr="0023319B" w14:paraId="581857FF" w14:textId="77777777" w:rsidTr="00A05244">
        <w:trPr>
          <w:trHeight w:val="840"/>
        </w:trPr>
        <w:tc>
          <w:tcPr>
            <w:tcW w:w="1240" w:type="dxa"/>
            <w:vMerge/>
            <w:tcBorders>
              <w:top w:val="nil"/>
              <w:left w:val="single" w:sz="4" w:space="0" w:color="auto"/>
              <w:bottom w:val="nil"/>
              <w:right w:val="single" w:sz="4" w:space="0" w:color="auto"/>
            </w:tcBorders>
            <w:vAlign w:val="center"/>
            <w:hideMark/>
          </w:tcPr>
          <w:p w14:paraId="5E4BD0D0" w14:textId="77777777" w:rsidR="00B31D8D" w:rsidRPr="0023319B" w:rsidRDefault="00B31D8D" w:rsidP="00B31D8D">
            <w:pPr>
              <w:spacing w:line="240" w:lineRule="auto"/>
              <w:jc w:val="left"/>
              <w:rPr>
                <w:rFonts w:ascii="Calibri Light" w:hAnsi="Calibri Light" w:cs="Calibri Light"/>
                <w:b/>
                <w:bCs/>
                <w:sz w:val="18"/>
                <w:szCs w:val="18"/>
                <w:lang w:val="es-CR" w:eastAsia="es-CR"/>
              </w:rPr>
            </w:pPr>
          </w:p>
        </w:tc>
        <w:tc>
          <w:tcPr>
            <w:tcW w:w="800" w:type="dxa"/>
            <w:tcBorders>
              <w:top w:val="nil"/>
              <w:left w:val="nil"/>
              <w:bottom w:val="single" w:sz="4" w:space="0" w:color="auto"/>
              <w:right w:val="single" w:sz="4" w:space="0" w:color="auto"/>
            </w:tcBorders>
            <w:shd w:val="clear" w:color="auto" w:fill="auto"/>
            <w:vAlign w:val="center"/>
            <w:hideMark/>
          </w:tcPr>
          <w:p w14:paraId="1D9694F4" w14:textId="77777777" w:rsidR="00B31D8D" w:rsidRPr="0023319B" w:rsidRDefault="00B31D8D" w:rsidP="00B31D8D">
            <w:pPr>
              <w:spacing w:line="240" w:lineRule="auto"/>
              <w:jc w:val="center"/>
              <w:rPr>
                <w:rFonts w:ascii="Calibri Light" w:hAnsi="Calibri Light" w:cs="Calibri Light"/>
                <w:b/>
                <w:bCs/>
                <w:sz w:val="18"/>
                <w:szCs w:val="18"/>
                <w:lang w:val="es-CR" w:eastAsia="es-CR"/>
              </w:rPr>
            </w:pPr>
            <w:r w:rsidRPr="0023319B">
              <w:rPr>
                <w:rFonts w:ascii="Calibri Light" w:hAnsi="Calibri Light" w:cs="Calibri Light"/>
                <w:b/>
                <w:bCs/>
                <w:sz w:val="18"/>
                <w:szCs w:val="18"/>
                <w:lang w:val="es-CR" w:eastAsia="es-CR"/>
              </w:rPr>
              <w:t>15</w:t>
            </w:r>
          </w:p>
        </w:tc>
        <w:tc>
          <w:tcPr>
            <w:tcW w:w="3484" w:type="dxa"/>
            <w:tcBorders>
              <w:top w:val="nil"/>
              <w:left w:val="nil"/>
              <w:bottom w:val="single" w:sz="4" w:space="0" w:color="auto"/>
              <w:right w:val="single" w:sz="4" w:space="0" w:color="auto"/>
            </w:tcBorders>
            <w:shd w:val="clear" w:color="auto" w:fill="auto"/>
            <w:vAlign w:val="center"/>
            <w:hideMark/>
          </w:tcPr>
          <w:p w14:paraId="34DD22DE" w14:textId="77777777" w:rsidR="00B31D8D" w:rsidRPr="0023319B" w:rsidRDefault="00B31D8D" w:rsidP="00B31D8D">
            <w:pPr>
              <w:spacing w:line="240" w:lineRule="auto"/>
              <w:jc w:val="left"/>
              <w:rPr>
                <w:rFonts w:ascii="Calibri Light" w:hAnsi="Calibri Light" w:cs="Calibri Light"/>
                <w:sz w:val="18"/>
                <w:szCs w:val="18"/>
                <w:lang w:val="es-CR" w:eastAsia="es-CR"/>
              </w:rPr>
            </w:pPr>
            <w:r w:rsidRPr="0023319B">
              <w:rPr>
                <w:rFonts w:ascii="Calibri Light" w:hAnsi="Calibri Light" w:cs="Calibri Light"/>
                <w:sz w:val="18"/>
                <w:szCs w:val="18"/>
                <w:lang w:val="es-CR" w:eastAsia="es-CR"/>
              </w:rPr>
              <w:t xml:space="preserve">Atender las solicitudes relacionadas con la mejora continua, con base en la atención de temas de calidad, riesgos, observaciones de AI, proyectos, capacitación, entre otros. </w:t>
            </w:r>
          </w:p>
        </w:tc>
        <w:tc>
          <w:tcPr>
            <w:tcW w:w="1275" w:type="dxa"/>
            <w:tcBorders>
              <w:top w:val="nil"/>
              <w:left w:val="nil"/>
              <w:bottom w:val="single" w:sz="4" w:space="0" w:color="auto"/>
              <w:right w:val="single" w:sz="4" w:space="0" w:color="auto"/>
            </w:tcBorders>
            <w:shd w:val="clear" w:color="auto" w:fill="auto"/>
            <w:vAlign w:val="center"/>
            <w:hideMark/>
          </w:tcPr>
          <w:p w14:paraId="228F6A67" w14:textId="5A7D9E25" w:rsidR="00B31D8D" w:rsidRPr="0023319B" w:rsidRDefault="00B31D8D" w:rsidP="00B31D8D">
            <w:pPr>
              <w:spacing w:line="240" w:lineRule="auto"/>
              <w:jc w:val="right"/>
              <w:rPr>
                <w:rFonts w:ascii="Calibri Light" w:hAnsi="Calibri Light" w:cs="Calibri Light"/>
                <w:sz w:val="18"/>
                <w:szCs w:val="18"/>
                <w:lang w:val="es-CR" w:eastAsia="es-CR"/>
              </w:rPr>
            </w:pPr>
            <w:r w:rsidRPr="0023319B">
              <w:rPr>
                <w:rFonts w:ascii="Calibri Light" w:hAnsi="Calibri Light" w:cs="Calibri Light"/>
                <w:sz w:val="18"/>
                <w:szCs w:val="18"/>
                <w:lang w:val="es-CR" w:eastAsia="es-CR"/>
              </w:rPr>
              <w:t xml:space="preserve">314 674 706 </w:t>
            </w:r>
          </w:p>
        </w:tc>
        <w:tc>
          <w:tcPr>
            <w:tcW w:w="1275" w:type="dxa"/>
            <w:tcBorders>
              <w:top w:val="nil"/>
              <w:left w:val="nil"/>
              <w:bottom w:val="single" w:sz="4" w:space="0" w:color="auto"/>
              <w:right w:val="single" w:sz="4" w:space="0" w:color="auto"/>
            </w:tcBorders>
            <w:shd w:val="clear" w:color="auto" w:fill="auto"/>
            <w:vAlign w:val="center"/>
            <w:hideMark/>
          </w:tcPr>
          <w:p w14:paraId="72F1BD64" w14:textId="2028CDE8" w:rsidR="00B31D8D" w:rsidRPr="0023319B" w:rsidRDefault="00B31D8D" w:rsidP="00B31D8D">
            <w:pPr>
              <w:spacing w:line="240" w:lineRule="auto"/>
              <w:jc w:val="right"/>
              <w:rPr>
                <w:rFonts w:ascii="Calibri Light" w:hAnsi="Calibri Light" w:cs="Calibri Light"/>
                <w:sz w:val="18"/>
                <w:szCs w:val="18"/>
                <w:lang w:val="es-CR" w:eastAsia="es-CR"/>
              </w:rPr>
            </w:pPr>
            <w:r w:rsidRPr="0023319B">
              <w:rPr>
                <w:rFonts w:ascii="Calibri Light" w:hAnsi="Calibri Light" w:cs="Calibri Light"/>
                <w:sz w:val="18"/>
                <w:szCs w:val="18"/>
                <w:lang w:val="es-CR" w:eastAsia="es-CR"/>
              </w:rPr>
              <w:t xml:space="preserve">204 560 843 </w:t>
            </w:r>
          </w:p>
        </w:tc>
        <w:tc>
          <w:tcPr>
            <w:tcW w:w="852" w:type="dxa"/>
            <w:tcBorders>
              <w:top w:val="nil"/>
              <w:left w:val="nil"/>
              <w:bottom w:val="single" w:sz="4" w:space="0" w:color="auto"/>
              <w:right w:val="single" w:sz="4" w:space="0" w:color="auto"/>
            </w:tcBorders>
            <w:shd w:val="clear" w:color="auto" w:fill="auto"/>
            <w:vAlign w:val="center"/>
            <w:hideMark/>
          </w:tcPr>
          <w:p w14:paraId="3EFBAC93" w14:textId="77777777" w:rsidR="00B31D8D" w:rsidRPr="0023319B" w:rsidRDefault="00B31D8D" w:rsidP="00B31D8D">
            <w:pPr>
              <w:spacing w:line="240" w:lineRule="auto"/>
              <w:jc w:val="center"/>
              <w:rPr>
                <w:rFonts w:ascii="Calibri Light" w:hAnsi="Calibri Light" w:cs="Calibri Light"/>
                <w:sz w:val="18"/>
                <w:szCs w:val="18"/>
                <w:lang w:val="es-CR" w:eastAsia="es-CR"/>
              </w:rPr>
            </w:pPr>
            <w:r w:rsidRPr="0023319B">
              <w:rPr>
                <w:rFonts w:ascii="Calibri Light" w:hAnsi="Calibri Light" w:cs="Calibri Light"/>
                <w:sz w:val="18"/>
                <w:szCs w:val="18"/>
                <w:lang w:val="es-CR" w:eastAsia="es-CR"/>
              </w:rPr>
              <w:t>65%</w:t>
            </w:r>
          </w:p>
        </w:tc>
      </w:tr>
      <w:tr w:rsidR="00B31D8D" w:rsidRPr="0023319B" w14:paraId="0DB316C5" w14:textId="77777777" w:rsidTr="00A05244">
        <w:trPr>
          <w:trHeight w:val="360"/>
        </w:trPr>
        <w:tc>
          <w:tcPr>
            <w:tcW w:w="1240" w:type="dxa"/>
            <w:tcBorders>
              <w:top w:val="nil"/>
              <w:left w:val="single" w:sz="4" w:space="0" w:color="auto"/>
              <w:bottom w:val="nil"/>
              <w:right w:val="single" w:sz="4" w:space="0" w:color="auto"/>
            </w:tcBorders>
            <w:shd w:val="clear" w:color="auto" w:fill="auto"/>
            <w:vAlign w:val="center"/>
            <w:hideMark/>
          </w:tcPr>
          <w:p w14:paraId="38F4AE40" w14:textId="77777777" w:rsidR="00B31D8D" w:rsidRPr="0023319B" w:rsidRDefault="00B31D8D" w:rsidP="00B31D8D">
            <w:pPr>
              <w:spacing w:line="240" w:lineRule="auto"/>
              <w:jc w:val="center"/>
              <w:rPr>
                <w:rFonts w:ascii="Calibri Light" w:hAnsi="Calibri Light" w:cs="Calibri Light"/>
                <w:b/>
                <w:bCs/>
                <w:sz w:val="18"/>
                <w:szCs w:val="18"/>
                <w:lang w:val="es-CR" w:eastAsia="es-CR"/>
              </w:rPr>
            </w:pPr>
            <w:r w:rsidRPr="0023319B">
              <w:rPr>
                <w:rFonts w:ascii="Calibri Light" w:hAnsi="Calibri Light" w:cs="Calibri Light"/>
                <w:b/>
                <w:bCs/>
                <w:sz w:val="18"/>
                <w:szCs w:val="18"/>
                <w:lang w:val="es-CR" w:eastAsia="es-CR"/>
              </w:rPr>
              <w:t> </w:t>
            </w:r>
          </w:p>
        </w:tc>
        <w:tc>
          <w:tcPr>
            <w:tcW w:w="800" w:type="dxa"/>
            <w:tcBorders>
              <w:top w:val="nil"/>
              <w:left w:val="nil"/>
              <w:bottom w:val="single" w:sz="4" w:space="0" w:color="auto"/>
              <w:right w:val="single" w:sz="4" w:space="0" w:color="auto"/>
            </w:tcBorders>
            <w:shd w:val="clear" w:color="auto" w:fill="auto"/>
            <w:vAlign w:val="center"/>
            <w:hideMark/>
          </w:tcPr>
          <w:p w14:paraId="1DCD9436" w14:textId="77777777" w:rsidR="00B31D8D" w:rsidRPr="0023319B" w:rsidRDefault="00B31D8D" w:rsidP="00B31D8D">
            <w:pPr>
              <w:spacing w:line="240" w:lineRule="auto"/>
              <w:jc w:val="center"/>
              <w:rPr>
                <w:rFonts w:ascii="Calibri Light" w:hAnsi="Calibri Light" w:cs="Calibri Light"/>
                <w:b/>
                <w:bCs/>
                <w:sz w:val="18"/>
                <w:szCs w:val="18"/>
                <w:lang w:val="es-CR" w:eastAsia="es-CR"/>
              </w:rPr>
            </w:pPr>
            <w:r w:rsidRPr="0023319B">
              <w:rPr>
                <w:rFonts w:ascii="Calibri Light" w:hAnsi="Calibri Light" w:cs="Calibri Light"/>
                <w:b/>
                <w:bCs/>
                <w:sz w:val="18"/>
                <w:szCs w:val="18"/>
                <w:lang w:val="es-CR" w:eastAsia="es-CR"/>
              </w:rPr>
              <w:t> </w:t>
            </w:r>
          </w:p>
        </w:tc>
        <w:tc>
          <w:tcPr>
            <w:tcW w:w="3484" w:type="dxa"/>
            <w:tcBorders>
              <w:top w:val="nil"/>
              <w:left w:val="nil"/>
              <w:bottom w:val="single" w:sz="4" w:space="0" w:color="auto"/>
              <w:right w:val="single" w:sz="4" w:space="0" w:color="auto"/>
            </w:tcBorders>
            <w:shd w:val="clear" w:color="auto" w:fill="auto"/>
            <w:vAlign w:val="center"/>
            <w:hideMark/>
          </w:tcPr>
          <w:p w14:paraId="72BB8F9D" w14:textId="77777777" w:rsidR="00B31D8D" w:rsidRPr="0023319B" w:rsidRDefault="00B31D8D" w:rsidP="00B31D8D">
            <w:pPr>
              <w:spacing w:line="240" w:lineRule="auto"/>
              <w:jc w:val="left"/>
              <w:rPr>
                <w:rFonts w:ascii="Calibri Light" w:hAnsi="Calibri Light" w:cs="Calibri Light"/>
                <w:sz w:val="18"/>
                <w:szCs w:val="18"/>
                <w:lang w:val="es-CR" w:eastAsia="es-CR"/>
              </w:rPr>
            </w:pPr>
            <w:r w:rsidRPr="0023319B">
              <w:rPr>
                <w:rFonts w:ascii="Calibri Light" w:hAnsi="Calibri Light" w:cs="Calibri Light"/>
                <w:sz w:val="18"/>
                <w:szCs w:val="18"/>
                <w:lang w:val="es-CR" w:eastAsia="es-CR"/>
              </w:rPr>
              <w:t>Tiempo no Efectivo (Vacaciones, incapacidades y permisos)</w:t>
            </w:r>
          </w:p>
        </w:tc>
        <w:tc>
          <w:tcPr>
            <w:tcW w:w="1275" w:type="dxa"/>
            <w:tcBorders>
              <w:top w:val="nil"/>
              <w:left w:val="nil"/>
              <w:bottom w:val="single" w:sz="4" w:space="0" w:color="auto"/>
              <w:right w:val="single" w:sz="4" w:space="0" w:color="auto"/>
            </w:tcBorders>
            <w:shd w:val="clear" w:color="auto" w:fill="auto"/>
            <w:vAlign w:val="center"/>
            <w:hideMark/>
          </w:tcPr>
          <w:p w14:paraId="20817C7D" w14:textId="77777777" w:rsidR="00B31D8D" w:rsidRPr="0023319B" w:rsidRDefault="00B31D8D" w:rsidP="00B31D8D">
            <w:pPr>
              <w:spacing w:line="240" w:lineRule="auto"/>
              <w:jc w:val="right"/>
              <w:rPr>
                <w:rFonts w:ascii="Calibri Light" w:hAnsi="Calibri Light" w:cs="Calibri Light"/>
                <w:sz w:val="18"/>
                <w:szCs w:val="18"/>
                <w:lang w:val="es-CR" w:eastAsia="es-CR"/>
              </w:rPr>
            </w:pPr>
            <w:r w:rsidRPr="0023319B">
              <w:rPr>
                <w:rFonts w:ascii="Calibri Light" w:hAnsi="Calibri Light" w:cs="Calibri Light"/>
                <w:sz w:val="18"/>
                <w:szCs w:val="18"/>
                <w:lang w:val="es-CR" w:eastAsia="es-CR"/>
              </w:rPr>
              <w:t> </w:t>
            </w:r>
          </w:p>
        </w:tc>
        <w:tc>
          <w:tcPr>
            <w:tcW w:w="1275" w:type="dxa"/>
            <w:tcBorders>
              <w:top w:val="nil"/>
              <w:left w:val="nil"/>
              <w:bottom w:val="single" w:sz="4" w:space="0" w:color="auto"/>
              <w:right w:val="single" w:sz="4" w:space="0" w:color="auto"/>
            </w:tcBorders>
            <w:shd w:val="clear" w:color="auto" w:fill="auto"/>
            <w:vAlign w:val="center"/>
            <w:hideMark/>
          </w:tcPr>
          <w:p w14:paraId="22918407" w14:textId="586FF64D" w:rsidR="00B31D8D" w:rsidRPr="0023319B" w:rsidRDefault="00B31D8D" w:rsidP="00B31D8D">
            <w:pPr>
              <w:spacing w:line="240" w:lineRule="auto"/>
              <w:jc w:val="right"/>
              <w:rPr>
                <w:rFonts w:ascii="Calibri Light" w:hAnsi="Calibri Light" w:cs="Calibri Light"/>
                <w:sz w:val="18"/>
                <w:szCs w:val="18"/>
                <w:lang w:val="es-CR" w:eastAsia="es-CR"/>
              </w:rPr>
            </w:pPr>
            <w:r w:rsidRPr="0023319B">
              <w:rPr>
                <w:rFonts w:ascii="Calibri Light" w:hAnsi="Calibri Light" w:cs="Calibri Light"/>
                <w:sz w:val="18"/>
                <w:szCs w:val="18"/>
                <w:lang w:val="es-CR" w:eastAsia="es-CR"/>
              </w:rPr>
              <w:t xml:space="preserve">283 939 985 </w:t>
            </w:r>
          </w:p>
        </w:tc>
        <w:tc>
          <w:tcPr>
            <w:tcW w:w="852" w:type="dxa"/>
            <w:tcBorders>
              <w:top w:val="nil"/>
              <w:left w:val="nil"/>
              <w:bottom w:val="single" w:sz="4" w:space="0" w:color="auto"/>
              <w:right w:val="single" w:sz="4" w:space="0" w:color="auto"/>
            </w:tcBorders>
            <w:shd w:val="clear" w:color="auto" w:fill="auto"/>
            <w:vAlign w:val="center"/>
            <w:hideMark/>
          </w:tcPr>
          <w:p w14:paraId="4382D85C" w14:textId="77777777" w:rsidR="00B31D8D" w:rsidRPr="0023319B" w:rsidRDefault="00B31D8D" w:rsidP="00B31D8D">
            <w:pPr>
              <w:spacing w:line="240" w:lineRule="auto"/>
              <w:jc w:val="center"/>
              <w:rPr>
                <w:rFonts w:ascii="Calibri Light" w:hAnsi="Calibri Light" w:cs="Calibri Light"/>
                <w:sz w:val="18"/>
                <w:szCs w:val="18"/>
                <w:lang w:val="es-CR" w:eastAsia="es-CR"/>
              </w:rPr>
            </w:pPr>
            <w:r w:rsidRPr="0023319B">
              <w:rPr>
                <w:rFonts w:ascii="Calibri Light" w:hAnsi="Calibri Light" w:cs="Calibri Light"/>
                <w:sz w:val="18"/>
                <w:szCs w:val="18"/>
                <w:lang w:val="es-CR" w:eastAsia="es-CR"/>
              </w:rPr>
              <w:t> </w:t>
            </w:r>
          </w:p>
        </w:tc>
      </w:tr>
      <w:tr w:rsidR="00B31D8D" w:rsidRPr="0023319B" w14:paraId="26C3B7A6" w14:textId="77777777" w:rsidTr="00A05244">
        <w:trPr>
          <w:trHeight w:val="285"/>
        </w:trPr>
        <w:tc>
          <w:tcPr>
            <w:tcW w:w="5524" w:type="dxa"/>
            <w:gridSpan w:val="3"/>
            <w:tcBorders>
              <w:top w:val="single" w:sz="4" w:space="0" w:color="auto"/>
              <w:left w:val="single" w:sz="4" w:space="0" w:color="auto"/>
              <w:bottom w:val="single" w:sz="4" w:space="0" w:color="auto"/>
              <w:right w:val="single" w:sz="4" w:space="0" w:color="auto"/>
            </w:tcBorders>
            <w:shd w:val="clear" w:color="000000" w:fill="DCE6F1"/>
            <w:noWrap/>
            <w:vAlign w:val="center"/>
            <w:hideMark/>
          </w:tcPr>
          <w:p w14:paraId="2A7D32C6" w14:textId="77777777" w:rsidR="00B31D8D" w:rsidRPr="0023319B" w:rsidRDefault="00B31D8D" w:rsidP="00B31D8D">
            <w:pPr>
              <w:spacing w:line="240" w:lineRule="auto"/>
              <w:jc w:val="left"/>
              <w:rPr>
                <w:rFonts w:ascii="Calibri Light" w:hAnsi="Calibri Light" w:cs="Calibri Light"/>
                <w:b/>
                <w:bCs/>
                <w:sz w:val="18"/>
                <w:szCs w:val="18"/>
                <w:lang w:val="es-CR" w:eastAsia="es-CR"/>
              </w:rPr>
            </w:pPr>
            <w:r w:rsidRPr="0023319B">
              <w:rPr>
                <w:rFonts w:ascii="Calibri Light" w:hAnsi="Calibri Light" w:cs="Calibri Light"/>
                <w:b/>
                <w:bCs/>
                <w:sz w:val="18"/>
                <w:szCs w:val="18"/>
                <w:lang w:val="es-CR" w:eastAsia="es-CR"/>
              </w:rPr>
              <w:t>ÁREA COMUNICACIÓN Y SERVICIOS</w:t>
            </w:r>
          </w:p>
        </w:tc>
        <w:tc>
          <w:tcPr>
            <w:tcW w:w="1275" w:type="dxa"/>
            <w:tcBorders>
              <w:top w:val="nil"/>
              <w:left w:val="nil"/>
              <w:bottom w:val="single" w:sz="4" w:space="0" w:color="auto"/>
              <w:right w:val="single" w:sz="4" w:space="0" w:color="auto"/>
            </w:tcBorders>
            <w:shd w:val="clear" w:color="000000" w:fill="DCE6F1"/>
            <w:vAlign w:val="center"/>
            <w:hideMark/>
          </w:tcPr>
          <w:p w14:paraId="20119A0B" w14:textId="5A48CA94" w:rsidR="00B31D8D" w:rsidRPr="0023319B" w:rsidRDefault="00B31D8D" w:rsidP="00B31D8D">
            <w:pPr>
              <w:spacing w:line="240" w:lineRule="auto"/>
              <w:jc w:val="right"/>
              <w:rPr>
                <w:rFonts w:ascii="Calibri Light" w:hAnsi="Calibri Light" w:cs="Calibri Light"/>
                <w:b/>
                <w:bCs/>
                <w:sz w:val="18"/>
                <w:szCs w:val="18"/>
                <w:lang w:val="es-CR" w:eastAsia="es-CR"/>
              </w:rPr>
            </w:pPr>
            <w:r w:rsidRPr="0023319B">
              <w:rPr>
                <w:rFonts w:ascii="Calibri Light" w:hAnsi="Calibri Light" w:cs="Calibri Light"/>
                <w:b/>
                <w:bCs/>
                <w:sz w:val="18"/>
                <w:szCs w:val="18"/>
                <w:lang w:val="es-CR" w:eastAsia="es-CR"/>
              </w:rPr>
              <w:t xml:space="preserve">951 601 285 </w:t>
            </w:r>
          </w:p>
        </w:tc>
        <w:tc>
          <w:tcPr>
            <w:tcW w:w="1275" w:type="dxa"/>
            <w:tcBorders>
              <w:top w:val="nil"/>
              <w:left w:val="nil"/>
              <w:bottom w:val="single" w:sz="4" w:space="0" w:color="auto"/>
              <w:right w:val="single" w:sz="4" w:space="0" w:color="auto"/>
            </w:tcBorders>
            <w:shd w:val="clear" w:color="000000" w:fill="DCE6F1"/>
            <w:vAlign w:val="center"/>
            <w:hideMark/>
          </w:tcPr>
          <w:p w14:paraId="5E4F4FBE" w14:textId="35906B1B" w:rsidR="00B31D8D" w:rsidRPr="0023319B" w:rsidRDefault="00B31D8D" w:rsidP="00B31D8D">
            <w:pPr>
              <w:spacing w:line="240" w:lineRule="auto"/>
              <w:jc w:val="right"/>
              <w:rPr>
                <w:rFonts w:ascii="Calibri Light" w:hAnsi="Calibri Light" w:cs="Calibri Light"/>
                <w:b/>
                <w:bCs/>
                <w:sz w:val="18"/>
                <w:szCs w:val="18"/>
                <w:lang w:val="es-CR" w:eastAsia="es-CR"/>
              </w:rPr>
            </w:pPr>
            <w:r w:rsidRPr="0023319B">
              <w:rPr>
                <w:rFonts w:ascii="Calibri Light" w:hAnsi="Calibri Light" w:cs="Calibri Light"/>
                <w:b/>
                <w:bCs/>
                <w:sz w:val="18"/>
                <w:szCs w:val="18"/>
                <w:lang w:val="es-CR" w:eastAsia="es-CR"/>
              </w:rPr>
              <w:t xml:space="preserve">724 971 559 </w:t>
            </w:r>
          </w:p>
        </w:tc>
        <w:tc>
          <w:tcPr>
            <w:tcW w:w="852" w:type="dxa"/>
            <w:tcBorders>
              <w:top w:val="nil"/>
              <w:left w:val="nil"/>
              <w:bottom w:val="single" w:sz="4" w:space="0" w:color="auto"/>
              <w:right w:val="single" w:sz="4" w:space="0" w:color="auto"/>
            </w:tcBorders>
            <w:shd w:val="clear" w:color="000000" w:fill="DCE6F1"/>
            <w:vAlign w:val="center"/>
            <w:hideMark/>
          </w:tcPr>
          <w:p w14:paraId="23B30B42" w14:textId="77777777" w:rsidR="00B31D8D" w:rsidRPr="0023319B" w:rsidRDefault="00B31D8D" w:rsidP="00B31D8D">
            <w:pPr>
              <w:spacing w:line="240" w:lineRule="auto"/>
              <w:jc w:val="center"/>
              <w:rPr>
                <w:rFonts w:ascii="Calibri Light" w:hAnsi="Calibri Light" w:cs="Calibri Light"/>
                <w:b/>
                <w:bCs/>
                <w:sz w:val="18"/>
                <w:szCs w:val="18"/>
                <w:lang w:val="es-CR" w:eastAsia="es-CR"/>
              </w:rPr>
            </w:pPr>
            <w:r w:rsidRPr="0023319B">
              <w:rPr>
                <w:rFonts w:ascii="Calibri Light" w:hAnsi="Calibri Light" w:cs="Calibri Light"/>
                <w:b/>
                <w:bCs/>
                <w:sz w:val="18"/>
                <w:szCs w:val="18"/>
                <w:lang w:val="es-CR" w:eastAsia="es-CR"/>
              </w:rPr>
              <w:t>76%</w:t>
            </w:r>
          </w:p>
        </w:tc>
      </w:tr>
      <w:tr w:rsidR="00B31D8D" w:rsidRPr="0023319B" w14:paraId="15898DDC" w14:textId="77777777" w:rsidTr="00A05244">
        <w:trPr>
          <w:trHeight w:val="765"/>
        </w:trPr>
        <w:tc>
          <w:tcPr>
            <w:tcW w:w="1240" w:type="dxa"/>
            <w:vMerge w:val="restart"/>
            <w:tcBorders>
              <w:top w:val="nil"/>
              <w:left w:val="single" w:sz="4" w:space="0" w:color="auto"/>
              <w:bottom w:val="nil"/>
              <w:right w:val="single" w:sz="4" w:space="0" w:color="auto"/>
            </w:tcBorders>
            <w:shd w:val="clear" w:color="auto" w:fill="auto"/>
            <w:vAlign w:val="center"/>
            <w:hideMark/>
          </w:tcPr>
          <w:p w14:paraId="3D691886" w14:textId="77777777" w:rsidR="00B31D8D" w:rsidRPr="0023319B" w:rsidRDefault="00B31D8D" w:rsidP="00B31D8D">
            <w:pPr>
              <w:spacing w:line="240" w:lineRule="auto"/>
              <w:jc w:val="center"/>
              <w:rPr>
                <w:rFonts w:ascii="Calibri Light" w:hAnsi="Calibri Light" w:cs="Calibri Light"/>
                <w:b/>
                <w:bCs/>
                <w:sz w:val="18"/>
                <w:szCs w:val="18"/>
                <w:lang w:val="es-CR" w:eastAsia="es-CR"/>
              </w:rPr>
            </w:pPr>
            <w:r w:rsidRPr="0023319B">
              <w:rPr>
                <w:rFonts w:ascii="Calibri Light" w:hAnsi="Calibri Light" w:cs="Calibri Light"/>
                <w:b/>
                <w:bCs/>
                <w:sz w:val="18"/>
                <w:szCs w:val="18"/>
                <w:lang w:val="es-CR" w:eastAsia="es-CR"/>
              </w:rPr>
              <w:t> </w:t>
            </w:r>
          </w:p>
        </w:tc>
        <w:tc>
          <w:tcPr>
            <w:tcW w:w="800" w:type="dxa"/>
            <w:tcBorders>
              <w:top w:val="nil"/>
              <w:left w:val="nil"/>
              <w:bottom w:val="single" w:sz="4" w:space="0" w:color="auto"/>
              <w:right w:val="single" w:sz="4" w:space="0" w:color="auto"/>
            </w:tcBorders>
            <w:shd w:val="clear" w:color="auto" w:fill="auto"/>
            <w:vAlign w:val="center"/>
            <w:hideMark/>
          </w:tcPr>
          <w:p w14:paraId="03DE8F85" w14:textId="77777777" w:rsidR="00B31D8D" w:rsidRPr="0023319B" w:rsidRDefault="00B31D8D" w:rsidP="00B31D8D">
            <w:pPr>
              <w:spacing w:line="240" w:lineRule="auto"/>
              <w:jc w:val="center"/>
              <w:rPr>
                <w:rFonts w:ascii="Calibri Light" w:hAnsi="Calibri Light" w:cs="Calibri Light"/>
                <w:b/>
                <w:bCs/>
                <w:sz w:val="18"/>
                <w:szCs w:val="18"/>
                <w:lang w:val="es-CR" w:eastAsia="es-CR"/>
              </w:rPr>
            </w:pPr>
            <w:r w:rsidRPr="0023319B">
              <w:rPr>
                <w:rFonts w:ascii="Calibri Light" w:hAnsi="Calibri Light" w:cs="Calibri Light"/>
                <w:b/>
                <w:bCs/>
                <w:sz w:val="18"/>
                <w:szCs w:val="18"/>
                <w:lang w:val="es-CR" w:eastAsia="es-CR"/>
              </w:rPr>
              <w:t>16</w:t>
            </w:r>
          </w:p>
        </w:tc>
        <w:tc>
          <w:tcPr>
            <w:tcW w:w="3484" w:type="dxa"/>
            <w:tcBorders>
              <w:top w:val="nil"/>
              <w:left w:val="nil"/>
              <w:bottom w:val="single" w:sz="4" w:space="0" w:color="auto"/>
              <w:right w:val="single" w:sz="4" w:space="0" w:color="auto"/>
            </w:tcBorders>
            <w:shd w:val="clear" w:color="auto" w:fill="auto"/>
            <w:vAlign w:val="center"/>
            <w:hideMark/>
          </w:tcPr>
          <w:p w14:paraId="0C3495B2" w14:textId="0747859A" w:rsidR="00B31D8D" w:rsidRPr="0023319B" w:rsidRDefault="00B31D8D" w:rsidP="00B31D8D">
            <w:pPr>
              <w:spacing w:line="240" w:lineRule="auto"/>
              <w:jc w:val="left"/>
              <w:rPr>
                <w:rFonts w:ascii="Calibri Light" w:hAnsi="Calibri Light" w:cs="Calibri Light"/>
                <w:sz w:val="18"/>
                <w:szCs w:val="18"/>
                <w:lang w:val="es-CR" w:eastAsia="es-CR"/>
              </w:rPr>
            </w:pPr>
            <w:r w:rsidRPr="0023319B">
              <w:rPr>
                <w:rFonts w:ascii="Calibri Light" w:hAnsi="Calibri Light" w:cs="Calibri Light"/>
                <w:sz w:val="18"/>
                <w:szCs w:val="18"/>
                <w:lang w:val="es-CR" w:eastAsia="es-CR"/>
              </w:rPr>
              <w:t>Ejecutar las labores programadas en el plan de comunicación y en la aplicación de herramientas relacionadas (encuesta, quejas)</w:t>
            </w:r>
          </w:p>
        </w:tc>
        <w:tc>
          <w:tcPr>
            <w:tcW w:w="1275" w:type="dxa"/>
            <w:tcBorders>
              <w:top w:val="nil"/>
              <w:left w:val="nil"/>
              <w:bottom w:val="single" w:sz="4" w:space="0" w:color="auto"/>
              <w:right w:val="single" w:sz="4" w:space="0" w:color="auto"/>
            </w:tcBorders>
            <w:shd w:val="clear" w:color="auto" w:fill="auto"/>
            <w:vAlign w:val="center"/>
            <w:hideMark/>
          </w:tcPr>
          <w:p w14:paraId="585F7FDD" w14:textId="0069AE66" w:rsidR="00B31D8D" w:rsidRPr="0023319B" w:rsidRDefault="00B31D8D" w:rsidP="00B31D8D">
            <w:pPr>
              <w:spacing w:line="240" w:lineRule="auto"/>
              <w:jc w:val="right"/>
              <w:rPr>
                <w:rFonts w:ascii="Calibri Light" w:hAnsi="Calibri Light" w:cs="Calibri Light"/>
                <w:sz w:val="18"/>
                <w:szCs w:val="18"/>
                <w:lang w:val="es-CR" w:eastAsia="es-CR"/>
              </w:rPr>
            </w:pPr>
            <w:r w:rsidRPr="0023319B">
              <w:rPr>
                <w:rFonts w:ascii="Calibri Light" w:hAnsi="Calibri Light" w:cs="Calibri Light"/>
                <w:sz w:val="18"/>
                <w:szCs w:val="18"/>
                <w:lang w:val="es-CR" w:eastAsia="es-CR"/>
              </w:rPr>
              <w:t xml:space="preserve">458 382 122 </w:t>
            </w:r>
          </w:p>
        </w:tc>
        <w:tc>
          <w:tcPr>
            <w:tcW w:w="1275" w:type="dxa"/>
            <w:tcBorders>
              <w:top w:val="nil"/>
              <w:left w:val="nil"/>
              <w:bottom w:val="single" w:sz="4" w:space="0" w:color="auto"/>
              <w:right w:val="single" w:sz="4" w:space="0" w:color="auto"/>
            </w:tcBorders>
            <w:shd w:val="clear" w:color="auto" w:fill="auto"/>
            <w:vAlign w:val="center"/>
            <w:hideMark/>
          </w:tcPr>
          <w:p w14:paraId="62B935F2" w14:textId="71542C62" w:rsidR="00B31D8D" w:rsidRPr="0023319B" w:rsidRDefault="00B31D8D" w:rsidP="00B31D8D">
            <w:pPr>
              <w:spacing w:line="240" w:lineRule="auto"/>
              <w:jc w:val="right"/>
              <w:rPr>
                <w:rFonts w:ascii="Calibri Light" w:hAnsi="Calibri Light" w:cs="Calibri Light"/>
                <w:sz w:val="18"/>
                <w:szCs w:val="18"/>
                <w:lang w:val="es-CR" w:eastAsia="es-CR"/>
              </w:rPr>
            </w:pPr>
            <w:r w:rsidRPr="0023319B">
              <w:rPr>
                <w:rFonts w:ascii="Calibri Light" w:hAnsi="Calibri Light" w:cs="Calibri Light"/>
                <w:sz w:val="18"/>
                <w:szCs w:val="18"/>
                <w:lang w:val="es-CR" w:eastAsia="es-CR"/>
              </w:rPr>
              <w:t xml:space="preserve">307 653 239 </w:t>
            </w:r>
          </w:p>
        </w:tc>
        <w:tc>
          <w:tcPr>
            <w:tcW w:w="852" w:type="dxa"/>
            <w:tcBorders>
              <w:top w:val="nil"/>
              <w:left w:val="nil"/>
              <w:bottom w:val="single" w:sz="4" w:space="0" w:color="auto"/>
              <w:right w:val="single" w:sz="4" w:space="0" w:color="auto"/>
            </w:tcBorders>
            <w:shd w:val="clear" w:color="auto" w:fill="auto"/>
            <w:vAlign w:val="center"/>
            <w:hideMark/>
          </w:tcPr>
          <w:p w14:paraId="76577DFF" w14:textId="77777777" w:rsidR="00B31D8D" w:rsidRPr="0023319B" w:rsidRDefault="00B31D8D" w:rsidP="00B31D8D">
            <w:pPr>
              <w:spacing w:line="240" w:lineRule="auto"/>
              <w:jc w:val="center"/>
              <w:rPr>
                <w:rFonts w:ascii="Calibri Light" w:hAnsi="Calibri Light" w:cs="Calibri Light"/>
                <w:sz w:val="18"/>
                <w:szCs w:val="18"/>
                <w:lang w:val="es-CR" w:eastAsia="es-CR"/>
              </w:rPr>
            </w:pPr>
            <w:r w:rsidRPr="0023319B">
              <w:rPr>
                <w:rFonts w:ascii="Calibri Light" w:hAnsi="Calibri Light" w:cs="Calibri Light"/>
                <w:sz w:val="18"/>
                <w:szCs w:val="18"/>
                <w:lang w:val="es-CR" w:eastAsia="es-CR"/>
              </w:rPr>
              <w:t>67%</w:t>
            </w:r>
          </w:p>
        </w:tc>
      </w:tr>
      <w:tr w:rsidR="00B31D8D" w:rsidRPr="0023319B" w14:paraId="7F05DF9D" w14:textId="77777777" w:rsidTr="00A05244">
        <w:trPr>
          <w:trHeight w:val="540"/>
        </w:trPr>
        <w:tc>
          <w:tcPr>
            <w:tcW w:w="1240" w:type="dxa"/>
            <w:vMerge/>
            <w:tcBorders>
              <w:top w:val="nil"/>
              <w:left w:val="single" w:sz="4" w:space="0" w:color="auto"/>
              <w:bottom w:val="nil"/>
              <w:right w:val="single" w:sz="4" w:space="0" w:color="auto"/>
            </w:tcBorders>
            <w:vAlign w:val="center"/>
            <w:hideMark/>
          </w:tcPr>
          <w:p w14:paraId="5913EBE4" w14:textId="77777777" w:rsidR="00B31D8D" w:rsidRPr="0023319B" w:rsidRDefault="00B31D8D" w:rsidP="00B31D8D">
            <w:pPr>
              <w:spacing w:line="240" w:lineRule="auto"/>
              <w:jc w:val="left"/>
              <w:rPr>
                <w:rFonts w:ascii="Calibri Light" w:hAnsi="Calibri Light" w:cs="Calibri Light"/>
                <w:b/>
                <w:bCs/>
                <w:sz w:val="18"/>
                <w:szCs w:val="18"/>
                <w:lang w:val="es-CR" w:eastAsia="es-CR"/>
              </w:rPr>
            </w:pPr>
          </w:p>
        </w:tc>
        <w:tc>
          <w:tcPr>
            <w:tcW w:w="800" w:type="dxa"/>
            <w:tcBorders>
              <w:top w:val="nil"/>
              <w:left w:val="nil"/>
              <w:bottom w:val="single" w:sz="4" w:space="0" w:color="auto"/>
              <w:right w:val="single" w:sz="4" w:space="0" w:color="auto"/>
            </w:tcBorders>
            <w:shd w:val="clear" w:color="auto" w:fill="auto"/>
            <w:vAlign w:val="center"/>
            <w:hideMark/>
          </w:tcPr>
          <w:p w14:paraId="6C4D61CB" w14:textId="77777777" w:rsidR="00B31D8D" w:rsidRPr="0023319B" w:rsidRDefault="00B31D8D" w:rsidP="00B31D8D">
            <w:pPr>
              <w:spacing w:line="240" w:lineRule="auto"/>
              <w:jc w:val="center"/>
              <w:rPr>
                <w:rFonts w:ascii="Calibri Light" w:hAnsi="Calibri Light" w:cs="Calibri Light"/>
                <w:b/>
                <w:bCs/>
                <w:sz w:val="18"/>
                <w:szCs w:val="18"/>
                <w:lang w:val="es-CR" w:eastAsia="es-CR"/>
              </w:rPr>
            </w:pPr>
            <w:r w:rsidRPr="0023319B">
              <w:rPr>
                <w:rFonts w:ascii="Calibri Light" w:hAnsi="Calibri Light" w:cs="Calibri Light"/>
                <w:b/>
                <w:bCs/>
                <w:sz w:val="18"/>
                <w:szCs w:val="18"/>
                <w:lang w:val="es-CR" w:eastAsia="es-CR"/>
              </w:rPr>
              <w:t>17</w:t>
            </w:r>
          </w:p>
        </w:tc>
        <w:tc>
          <w:tcPr>
            <w:tcW w:w="3484" w:type="dxa"/>
            <w:tcBorders>
              <w:top w:val="nil"/>
              <w:left w:val="nil"/>
              <w:bottom w:val="single" w:sz="4" w:space="0" w:color="auto"/>
              <w:right w:val="single" w:sz="4" w:space="0" w:color="auto"/>
            </w:tcBorders>
            <w:shd w:val="clear" w:color="auto" w:fill="auto"/>
            <w:vAlign w:val="center"/>
            <w:hideMark/>
          </w:tcPr>
          <w:p w14:paraId="6FAD8C06" w14:textId="77777777" w:rsidR="00B31D8D" w:rsidRPr="0023319B" w:rsidRDefault="00B31D8D" w:rsidP="00B31D8D">
            <w:pPr>
              <w:spacing w:line="240" w:lineRule="auto"/>
              <w:jc w:val="left"/>
              <w:rPr>
                <w:rFonts w:ascii="Calibri Light" w:hAnsi="Calibri Light" w:cs="Calibri Light"/>
                <w:sz w:val="18"/>
                <w:szCs w:val="18"/>
                <w:lang w:val="es-CR" w:eastAsia="es-CR"/>
              </w:rPr>
            </w:pPr>
            <w:r w:rsidRPr="0023319B">
              <w:rPr>
                <w:rFonts w:ascii="Calibri Light" w:hAnsi="Calibri Light" w:cs="Calibri Light"/>
                <w:sz w:val="18"/>
                <w:szCs w:val="18"/>
                <w:lang w:val="es-CR" w:eastAsia="es-CR"/>
              </w:rPr>
              <w:t>Atender los requerimientos de gestión de recursos, de acuerdo con las disposiciones institucionales.</w:t>
            </w:r>
          </w:p>
        </w:tc>
        <w:tc>
          <w:tcPr>
            <w:tcW w:w="1275" w:type="dxa"/>
            <w:tcBorders>
              <w:top w:val="nil"/>
              <w:left w:val="nil"/>
              <w:bottom w:val="single" w:sz="4" w:space="0" w:color="auto"/>
              <w:right w:val="single" w:sz="4" w:space="0" w:color="auto"/>
            </w:tcBorders>
            <w:shd w:val="clear" w:color="auto" w:fill="auto"/>
            <w:vAlign w:val="center"/>
            <w:hideMark/>
          </w:tcPr>
          <w:p w14:paraId="6FE1B5F1" w14:textId="0328C503" w:rsidR="00B31D8D" w:rsidRPr="0023319B" w:rsidRDefault="00B31D8D" w:rsidP="00B31D8D">
            <w:pPr>
              <w:spacing w:line="240" w:lineRule="auto"/>
              <w:jc w:val="right"/>
              <w:rPr>
                <w:rFonts w:ascii="Calibri Light" w:hAnsi="Calibri Light" w:cs="Calibri Light"/>
                <w:sz w:val="18"/>
                <w:szCs w:val="18"/>
                <w:lang w:val="es-CR" w:eastAsia="es-CR"/>
              </w:rPr>
            </w:pPr>
            <w:r w:rsidRPr="0023319B">
              <w:rPr>
                <w:rFonts w:ascii="Calibri Light" w:hAnsi="Calibri Light" w:cs="Calibri Light"/>
                <w:sz w:val="18"/>
                <w:szCs w:val="18"/>
                <w:lang w:val="es-CR" w:eastAsia="es-CR"/>
              </w:rPr>
              <w:t xml:space="preserve">461 721 763 </w:t>
            </w:r>
          </w:p>
        </w:tc>
        <w:tc>
          <w:tcPr>
            <w:tcW w:w="1275" w:type="dxa"/>
            <w:tcBorders>
              <w:top w:val="nil"/>
              <w:left w:val="nil"/>
              <w:bottom w:val="single" w:sz="4" w:space="0" w:color="auto"/>
              <w:right w:val="single" w:sz="4" w:space="0" w:color="auto"/>
            </w:tcBorders>
            <w:shd w:val="clear" w:color="auto" w:fill="auto"/>
            <w:vAlign w:val="center"/>
            <w:hideMark/>
          </w:tcPr>
          <w:p w14:paraId="410DD0D1" w14:textId="4537A7AF" w:rsidR="00B31D8D" w:rsidRPr="0023319B" w:rsidRDefault="00B31D8D" w:rsidP="00B31D8D">
            <w:pPr>
              <w:spacing w:line="240" w:lineRule="auto"/>
              <w:jc w:val="right"/>
              <w:rPr>
                <w:rFonts w:ascii="Calibri Light" w:hAnsi="Calibri Light" w:cs="Calibri Light"/>
                <w:sz w:val="18"/>
                <w:szCs w:val="18"/>
                <w:lang w:val="es-CR" w:eastAsia="es-CR"/>
              </w:rPr>
            </w:pPr>
            <w:r w:rsidRPr="0023319B">
              <w:rPr>
                <w:rFonts w:ascii="Calibri Light" w:hAnsi="Calibri Light" w:cs="Calibri Light"/>
                <w:sz w:val="18"/>
                <w:szCs w:val="18"/>
                <w:lang w:val="es-CR" w:eastAsia="es-CR"/>
              </w:rPr>
              <w:t xml:space="preserve">182 884 583 </w:t>
            </w:r>
          </w:p>
        </w:tc>
        <w:tc>
          <w:tcPr>
            <w:tcW w:w="852" w:type="dxa"/>
            <w:tcBorders>
              <w:top w:val="nil"/>
              <w:left w:val="nil"/>
              <w:bottom w:val="single" w:sz="4" w:space="0" w:color="auto"/>
              <w:right w:val="single" w:sz="4" w:space="0" w:color="auto"/>
            </w:tcBorders>
            <w:shd w:val="clear" w:color="auto" w:fill="auto"/>
            <w:vAlign w:val="center"/>
            <w:hideMark/>
          </w:tcPr>
          <w:p w14:paraId="4A10BBEA" w14:textId="77777777" w:rsidR="00B31D8D" w:rsidRPr="0023319B" w:rsidRDefault="00B31D8D" w:rsidP="00B31D8D">
            <w:pPr>
              <w:spacing w:line="240" w:lineRule="auto"/>
              <w:jc w:val="center"/>
              <w:rPr>
                <w:rFonts w:ascii="Calibri Light" w:hAnsi="Calibri Light" w:cs="Calibri Light"/>
                <w:sz w:val="18"/>
                <w:szCs w:val="18"/>
                <w:lang w:val="es-CR" w:eastAsia="es-CR"/>
              </w:rPr>
            </w:pPr>
            <w:r w:rsidRPr="0023319B">
              <w:rPr>
                <w:rFonts w:ascii="Calibri Light" w:hAnsi="Calibri Light" w:cs="Calibri Light"/>
                <w:sz w:val="18"/>
                <w:szCs w:val="18"/>
                <w:lang w:val="es-CR" w:eastAsia="es-CR"/>
              </w:rPr>
              <w:t>40%</w:t>
            </w:r>
          </w:p>
        </w:tc>
      </w:tr>
      <w:tr w:rsidR="00B31D8D" w:rsidRPr="0023319B" w14:paraId="1D424932" w14:textId="77777777" w:rsidTr="00A05244">
        <w:trPr>
          <w:trHeight w:val="795"/>
        </w:trPr>
        <w:tc>
          <w:tcPr>
            <w:tcW w:w="1240" w:type="dxa"/>
            <w:vMerge/>
            <w:tcBorders>
              <w:top w:val="nil"/>
              <w:left w:val="single" w:sz="4" w:space="0" w:color="auto"/>
              <w:bottom w:val="nil"/>
              <w:right w:val="single" w:sz="4" w:space="0" w:color="auto"/>
            </w:tcBorders>
            <w:vAlign w:val="center"/>
            <w:hideMark/>
          </w:tcPr>
          <w:p w14:paraId="1F60818C" w14:textId="77777777" w:rsidR="00B31D8D" w:rsidRPr="0023319B" w:rsidRDefault="00B31D8D" w:rsidP="00B31D8D">
            <w:pPr>
              <w:spacing w:line="240" w:lineRule="auto"/>
              <w:jc w:val="left"/>
              <w:rPr>
                <w:rFonts w:ascii="Calibri Light" w:hAnsi="Calibri Light" w:cs="Calibri Light"/>
                <w:b/>
                <w:bCs/>
                <w:sz w:val="18"/>
                <w:szCs w:val="18"/>
                <w:lang w:val="es-CR" w:eastAsia="es-CR"/>
              </w:rPr>
            </w:pPr>
          </w:p>
        </w:tc>
        <w:tc>
          <w:tcPr>
            <w:tcW w:w="800" w:type="dxa"/>
            <w:tcBorders>
              <w:top w:val="nil"/>
              <w:left w:val="nil"/>
              <w:bottom w:val="single" w:sz="4" w:space="0" w:color="auto"/>
              <w:right w:val="single" w:sz="4" w:space="0" w:color="auto"/>
            </w:tcBorders>
            <w:shd w:val="clear" w:color="auto" w:fill="auto"/>
            <w:vAlign w:val="center"/>
            <w:hideMark/>
          </w:tcPr>
          <w:p w14:paraId="5456A6E8" w14:textId="77777777" w:rsidR="00B31D8D" w:rsidRPr="0023319B" w:rsidRDefault="00B31D8D" w:rsidP="00B31D8D">
            <w:pPr>
              <w:spacing w:line="240" w:lineRule="auto"/>
              <w:jc w:val="center"/>
              <w:rPr>
                <w:rFonts w:ascii="Calibri Light" w:hAnsi="Calibri Light" w:cs="Calibri Light"/>
                <w:b/>
                <w:bCs/>
                <w:sz w:val="18"/>
                <w:szCs w:val="18"/>
                <w:lang w:val="es-CR" w:eastAsia="es-CR"/>
              </w:rPr>
            </w:pPr>
            <w:r w:rsidRPr="0023319B">
              <w:rPr>
                <w:rFonts w:ascii="Calibri Light" w:hAnsi="Calibri Light" w:cs="Calibri Light"/>
                <w:b/>
                <w:bCs/>
                <w:sz w:val="18"/>
                <w:szCs w:val="18"/>
                <w:lang w:val="es-CR" w:eastAsia="es-CR"/>
              </w:rPr>
              <w:t>18</w:t>
            </w:r>
          </w:p>
        </w:tc>
        <w:tc>
          <w:tcPr>
            <w:tcW w:w="3484" w:type="dxa"/>
            <w:tcBorders>
              <w:top w:val="nil"/>
              <w:left w:val="nil"/>
              <w:bottom w:val="single" w:sz="4" w:space="0" w:color="auto"/>
              <w:right w:val="single" w:sz="4" w:space="0" w:color="auto"/>
            </w:tcBorders>
            <w:shd w:val="clear" w:color="auto" w:fill="auto"/>
            <w:vAlign w:val="center"/>
            <w:hideMark/>
          </w:tcPr>
          <w:p w14:paraId="1B4E0453" w14:textId="77777777" w:rsidR="00B31D8D" w:rsidRPr="0023319B" w:rsidRDefault="00B31D8D" w:rsidP="00B31D8D">
            <w:pPr>
              <w:spacing w:line="240" w:lineRule="auto"/>
              <w:jc w:val="left"/>
              <w:rPr>
                <w:rFonts w:ascii="Calibri Light" w:hAnsi="Calibri Light" w:cs="Calibri Light"/>
                <w:sz w:val="18"/>
                <w:szCs w:val="18"/>
                <w:lang w:val="es-CR" w:eastAsia="es-CR"/>
              </w:rPr>
            </w:pPr>
            <w:r w:rsidRPr="0023319B">
              <w:rPr>
                <w:rFonts w:ascii="Calibri Light" w:hAnsi="Calibri Light" w:cs="Calibri Light"/>
                <w:sz w:val="18"/>
                <w:szCs w:val="18"/>
                <w:lang w:val="es-CR" w:eastAsia="es-CR"/>
              </w:rPr>
              <w:t xml:space="preserve">Atender las solicitudes relacionadas con la mejora continua, con base en la atención de temas de calidad, riesgos, observaciones de AI, proyectos, capacitación, entre otros. </w:t>
            </w:r>
          </w:p>
        </w:tc>
        <w:tc>
          <w:tcPr>
            <w:tcW w:w="1275" w:type="dxa"/>
            <w:tcBorders>
              <w:top w:val="nil"/>
              <w:left w:val="nil"/>
              <w:bottom w:val="single" w:sz="4" w:space="0" w:color="auto"/>
              <w:right w:val="single" w:sz="4" w:space="0" w:color="auto"/>
            </w:tcBorders>
            <w:shd w:val="clear" w:color="auto" w:fill="auto"/>
            <w:vAlign w:val="center"/>
            <w:hideMark/>
          </w:tcPr>
          <w:p w14:paraId="1B08A92A" w14:textId="4E1AAECC" w:rsidR="00B31D8D" w:rsidRPr="0023319B" w:rsidRDefault="00B31D8D" w:rsidP="00B31D8D">
            <w:pPr>
              <w:spacing w:line="240" w:lineRule="auto"/>
              <w:jc w:val="right"/>
              <w:rPr>
                <w:rFonts w:ascii="Calibri Light" w:hAnsi="Calibri Light" w:cs="Calibri Light"/>
                <w:sz w:val="18"/>
                <w:szCs w:val="18"/>
                <w:lang w:val="es-CR" w:eastAsia="es-CR"/>
              </w:rPr>
            </w:pPr>
            <w:r w:rsidRPr="0023319B">
              <w:rPr>
                <w:rFonts w:ascii="Calibri Light" w:hAnsi="Calibri Light" w:cs="Calibri Light"/>
                <w:sz w:val="18"/>
                <w:szCs w:val="18"/>
                <w:lang w:val="es-CR" w:eastAsia="es-CR"/>
              </w:rPr>
              <w:t xml:space="preserve">31 497 400 </w:t>
            </w:r>
          </w:p>
        </w:tc>
        <w:tc>
          <w:tcPr>
            <w:tcW w:w="1275" w:type="dxa"/>
            <w:tcBorders>
              <w:top w:val="nil"/>
              <w:left w:val="nil"/>
              <w:bottom w:val="single" w:sz="4" w:space="0" w:color="auto"/>
              <w:right w:val="single" w:sz="4" w:space="0" w:color="auto"/>
            </w:tcBorders>
            <w:shd w:val="clear" w:color="auto" w:fill="auto"/>
            <w:vAlign w:val="center"/>
            <w:hideMark/>
          </w:tcPr>
          <w:p w14:paraId="364E6EE6" w14:textId="70B0B67A" w:rsidR="00B31D8D" w:rsidRPr="0023319B" w:rsidRDefault="00B31D8D" w:rsidP="00B31D8D">
            <w:pPr>
              <w:spacing w:line="240" w:lineRule="auto"/>
              <w:jc w:val="right"/>
              <w:rPr>
                <w:rFonts w:ascii="Calibri Light" w:hAnsi="Calibri Light" w:cs="Calibri Light"/>
                <w:sz w:val="18"/>
                <w:szCs w:val="18"/>
                <w:lang w:val="es-CR" w:eastAsia="es-CR"/>
              </w:rPr>
            </w:pPr>
            <w:r w:rsidRPr="0023319B">
              <w:rPr>
                <w:rFonts w:ascii="Calibri Light" w:hAnsi="Calibri Light" w:cs="Calibri Light"/>
                <w:sz w:val="18"/>
                <w:szCs w:val="18"/>
                <w:lang w:val="es-CR" w:eastAsia="es-CR"/>
              </w:rPr>
              <w:t xml:space="preserve">20 540 861 </w:t>
            </w:r>
          </w:p>
        </w:tc>
        <w:tc>
          <w:tcPr>
            <w:tcW w:w="852" w:type="dxa"/>
            <w:tcBorders>
              <w:top w:val="nil"/>
              <w:left w:val="nil"/>
              <w:bottom w:val="single" w:sz="4" w:space="0" w:color="auto"/>
              <w:right w:val="single" w:sz="4" w:space="0" w:color="auto"/>
            </w:tcBorders>
            <w:shd w:val="clear" w:color="auto" w:fill="auto"/>
            <w:vAlign w:val="center"/>
            <w:hideMark/>
          </w:tcPr>
          <w:p w14:paraId="7A0141B2" w14:textId="77777777" w:rsidR="00B31D8D" w:rsidRPr="0023319B" w:rsidRDefault="00B31D8D" w:rsidP="00B31D8D">
            <w:pPr>
              <w:spacing w:line="240" w:lineRule="auto"/>
              <w:jc w:val="center"/>
              <w:rPr>
                <w:rFonts w:ascii="Calibri Light" w:hAnsi="Calibri Light" w:cs="Calibri Light"/>
                <w:sz w:val="18"/>
                <w:szCs w:val="18"/>
                <w:lang w:val="es-CR" w:eastAsia="es-CR"/>
              </w:rPr>
            </w:pPr>
            <w:r w:rsidRPr="0023319B">
              <w:rPr>
                <w:rFonts w:ascii="Calibri Light" w:hAnsi="Calibri Light" w:cs="Calibri Light"/>
                <w:sz w:val="18"/>
                <w:szCs w:val="18"/>
                <w:lang w:val="es-CR" w:eastAsia="es-CR"/>
              </w:rPr>
              <w:t>65%</w:t>
            </w:r>
          </w:p>
        </w:tc>
      </w:tr>
      <w:tr w:rsidR="00B31D8D" w:rsidRPr="0023319B" w14:paraId="04CB0A7E" w14:textId="77777777" w:rsidTr="00A05244">
        <w:trPr>
          <w:trHeight w:val="390"/>
        </w:trPr>
        <w:tc>
          <w:tcPr>
            <w:tcW w:w="1240" w:type="dxa"/>
            <w:tcBorders>
              <w:top w:val="nil"/>
              <w:left w:val="single" w:sz="4" w:space="0" w:color="auto"/>
              <w:bottom w:val="nil"/>
              <w:right w:val="single" w:sz="4" w:space="0" w:color="auto"/>
            </w:tcBorders>
            <w:shd w:val="clear" w:color="auto" w:fill="auto"/>
            <w:vAlign w:val="center"/>
            <w:hideMark/>
          </w:tcPr>
          <w:p w14:paraId="12FEBCA3" w14:textId="77777777" w:rsidR="00B31D8D" w:rsidRPr="0023319B" w:rsidRDefault="00B31D8D" w:rsidP="00B31D8D">
            <w:pPr>
              <w:spacing w:line="240" w:lineRule="auto"/>
              <w:jc w:val="center"/>
              <w:rPr>
                <w:rFonts w:ascii="Calibri Light" w:hAnsi="Calibri Light" w:cs="Calibri Light"/>
                <w:b/>
                <w:bCs/>
                <w:sz w:val="18"/>
                <w:szCs w:val="18"/>
                <w:lang w:val="es-CR" w:eastAsia="es-CR"/>
              </w:rPr>
            </w:pPr>
            <w:r w:rsidRPr="0023319B">
              <w:rPr>
                <w:rFonts w:ascii="Calibri Light" w:hAnsi="Calibri Light" w:cs="Calibri Light"/>
                <w:b/>
                <w:bCs/>
                <w:sz w:val="18"/>
                <w:szCs w:val="18"/>
                <w:lang w:val="es-CR" w:eastAsia="es-CR"/>
              </w:rPr>
              <w:t> </w:t>
            </w:r>
          </w:p>
        </w:tc>
        <w:tc>
          <w:tcPr>
            <w:tcW w:w="800" w:type="dxa"/>
            <w:tcBorders>
              <w:top w:val="nil"/>
              <w:left w:val="nil"/>
              <w:bottom w:val="single" w:sz="4" w:space="0" w:color="auto"/>
              <w:right w:val="single" w:sz="4" w:space="0" w:color="auto"/>
            </w:tcBorders>
            <w:shd w:val="clear" w:color="auto" w:fill="auto"/>
            <w:vAlign w:val="center"/>
            <w:hideMark/>
          </w:tcPr>
          <w:p w14:paraId="519778E7" w14:textId="77777777" w:rsidR="00B31D8D" w:rsidRPr="0023319B" w:rsidRDefault="00B31D8D" w:rsidP="00B31D8D">
            <w:pPr>
              <w:spacing w:line="240" w:lineRule="auto"/>
              <w:jc w:val="center"/>
              <w:rPr>
                <w:rFonts w:ascii="Calibri Light" w:hAnsi="Calibri Light" w:cs="Calibri Light"/>
                <w:b/>
                <w:bCs/>
                <w:sz w:val="18"/>
                <w:szCs w:val="18"/>
                <w:lang w:val="es-CR" w:eastAsia="es-CR"/>
              </w:rPr>
            </w:pPr>
            <w:r w:rsidRPr="0023319B">
              <w:rPr>
                <w:rFonts w:ascii="Calibri Light" w:hAnsi="Calibri Light" w:cs="Calibri Light"/>
                <w:b/>
                <w:bCs/>
                <w:sz w:val="18"/>
                <w:szCs w:val="18"/>
                <w:lang w:val="es-CR" w:eastAsia="es-CR"/>
              </w:rPr>
              <w:t> </w:t>
            </w:r>
          </w:p>
        </w:tc>
        <w:tc>
          <w:tcPr>
            <w:tcW w:w="3484" w:type="dxa"/>
            <w:tcBorders>
              <w:top w:val="nil"/>
              <w:left w:val="nil"/>
              <w:bottom w:val="single" w:sz="4" w:space="0" w:color="auto"/>
              <w:right w:val="single" w:sz="4" w:space="0" w:color="auto"/>
            </w:tcBorders>
            <w:shd w:val="clear" w:color="auto" w:fill="auto"/>
            <w:vAlign w:val="center"/>
            <w:hideMark/>
          </w:tcPr>
          <w:p w14:paraId="3B061EE5" w14:textId="77777777" w:rsidR="00B31D8D" w:rsidRPr="0023319B" w:rsidRDefault="00B31D8D" w:rsidP="00B31D8D">
            <w:pPr>
              <w:spacing w:line="240" w:lineRule="auto"/>
              <w:jc w:val="left"/>
              <w:rPr>
                <w:rFonts w:ascii="Calibri Light" w:hAnsi="Calibri Light" w:cs="Calibri Light"/>
                <w:sz w:val="18"/>
                <w:szCs w:val="18"/>
                <w:lang w:val="es-CR" w:eastAsia="es-CR"/>
              </w:rPr>
            </w:pPr>
            <w:r w:rsidRPr="0023319B">
              <w:rPr>
                <w:rFonts w:ascii="Calibri Light" w:hAnsi="Calibri Light" w:cs="Calibri Light"/>
                <w:sz w:val="18"/>
                <w:szCs w:val="18"/>
                <w:lang w:val="es-CR" w:eastAsia="es-CR"/>
              </w:rPr>
              <w:t>Tiempo no Efectivo (Vacaciones, incapacidades y permisos)</w:t>
            </w:r>
          </w:p>
        </w:tc>
        <w:tc>
          <w:tcPr>
            <w:tcW w:w="1275" w:type="dxa"/>
            <w:tcBorders>
              <w:top w:val="nil"/>
              <w:left w:val="nil"/>
              <w:bottom w:val="single" w:sz="4" w:space="0" w:color="auto"/>
              <w:right w:val="single" w:sz="4" w:space="0" w:color="auto"/>
            </w:tcBorders>
            <w:shd w:val="clear" w:color="auto" w:fill="auto"/>
            <w:vAlign w:val="center"/>
            <w:hideMark/>
          </w:tcPr>
          <w:p w14:paraId="74DBFD06" w14:textId="77777777" w:rsidR="00B31D8D" w:rsidRPr="0023319B" w:rsidRDefault="00B31D8D" w:rsidP="00B31D8D">
            <w:pPr>
              <w:spacing w:line="240" w:lineRule="auto"/>
              <w:jc w:val="right"/>
              <w:rPr>
                <w:rFonts w:ascii="Calibri Light" w:hAnsi="Calibri Light" w:cs="Calibri Light"/>
                <w:sz w:val="18"/>
                <w:szCs w:val="18"/>
                <w:lang w:val="es-CR" w:eastAsia="es-CR"/>
              </w:rPr>
            </w:pPr>
            <w:r w:rsidRPr="0023319B">
              <w:rPr>
                <w:rFonts w:ascii="Calibri Light" w:hAnsi="Calibri Light" w:cs="Calibri Light"/>
                <w:sz w:val="18"/>
                <w:szCs w:val="18"/>
                <w:lang w:val="es-CR" w:eastAsia="es-CR"/>
              </w:rPr>
              <w:t> </w:t>
            </w:r>
          </w:p>
        </w:tc>
        <w:tc>
          <w:tcPr>
            <w:tcW w:w="1275" w:type="dxa"/>
            <w:tcBorders>
              <w:top w:val="nil"/>
              <w:left w:val="nil"/>
              <w:bottom w:val="single" w:sz="4" w:space="0" w:color="auto"/>
              <w:right w:val="single" w:sz="4" w:space="0" w:color="auto"/>
            </w:tcBorders>
            <w:shd w:val="clear" w:color="auto" w:fill="auto"/>
            <w:vAlign w:val="center"/>
            <w:hideMark/>
          </w:tcPr>
          <w:p w14:paraId="3686B41C" w14:textId="46556C84" w:rsidR="00B31D8D" w:rsidRPr="0023319B" w:rsidRDefault="00B31D8D" w:rsidP="00B31D8D">
            <w:pPr>
              <w:spacing w:line="240" w:lineRule="auto"/>
              <w:jc w:val="right"/>
              <w:rPr>
                <w:rFonts w:ascii="Calibri Light" w:hAnsi="Calibri Light" w:cs="Calibri Light"/>
                <w:sz w:val="18"/>
                <w:szCs w:val="18"/>
                <w:lang w:val="es-CR" w:eastAsia="es-CR"/>
              </w:rPr>
            </w:pPr>
            <w:r w:rsidRPr="0023319B">
              <w:rPr>
                <w:rFonts w:ascii="Calibri Light" w:hAnsi="Calibri Light" w:cs="Calibri Light"/>
                <w:sz w:val="18"/>
                <w:szCs w:val="18"/>
                <w:lang w:val="es-CR" w:eastAsia="es-CR"/>
              </w:rPr>
              <w:t xml:space="preserve">213 892 877 </w:t>
            </w:r>
          </w:p>
        </w:tc>
        <w:tc>
          <w:tcPr>
            <w:tcW w:w="852" w:type="dxa"/>
            <w:tcBorders>
              <w:top w:val="nil"/>
              <w:left w:val="nil"/>
              <w:bottom w:val="single" w:sz="4" w:space="0" w:color="auto"/>
              <w:right w:val="single" w:sz="4" w:space="0" w:color="auto"/>
            </w:tcBorders>
            <w:shd w:val="clear" w:color="auto" w:fill="auto"/>
            <w:vAlign w:val="center"/>
            <w:hideMark/>
          </w:tcPr>
          <w:p w14:paraId="68B8636C" w14:textId="77777777" w:rsidR="00B31D8D" w:rsidRPr="0023319B" w:rsidRDefault="00B31D8D" w:rsidP="00B31D8D">
            <w:pPr>
              <w:spacing w:line="240" w:lineRule="auto"/>
              <w:jc w:val="center"/>
              <w:rPr>
                <w:rFonts w:ascii="Calibri Light" w:hAnsi="Calibri Light" w:cs="Calibri Light"/>
                <w:sz w:val="18"/>
                <w:szCs w:val="18"/>
                <w:lang w:val="es-CR" w:eastAsia="es-CR"/>
              </w:rPr>
            </w:pPr>
            <w:r w:rsidRPr="0023319B">
              <w:rPr>
                <w:rFonts w:ascii="Calibri Light" w:hAnsi="Calibri Light" w:cs="Calibri Light"/>
                <w:sz w:val="18"/>
                <w:szCs w:val="18"/>
                <w:lang w:val="es-CR" w:eastAsia="es-CR"/>
              </w:rPr>
              <w:t> </w:t>
            </w:r>
          </w:p>
        </w:tc>
      </w:tr>
      <w:tr w:rsidR="00B31D8D" w:rsidRPr="0023319B" w14:paraId="10C94E98" w14:textId="77777777" w:rsidTr="00A05244">
        <w:trPr>
          <w:trHeight w:val="435"/>
        </w:trPr>
        <w:tc>
          <w:tcPr>
            <w:tcW w:w="5524" w:type="dxa"/>
            <w:gridSpan w:val="3"/>
            <w:tcBorders>
              <w:top w:val="single" w:sz="4" w:space="0" w:color="auto"/>
              <w:left w:val="single" w:sz="4" w:space="0" w:color="auto"/>
              <w:bottom w:val="single" w:sz="4" w:space="0" w:color="auto"/>
              <w:right w:val="single" w:sz="4" w:space="0" w:color="auto"/>
            </w:tcBorders>
            <w:shd w:val="clear" w:color="000000" w:fill="8DB4E2"/>
            <w:noWrap/>
            <w:vAlign w:val="center"/>
            <w:hideMark/>
          </w:tcPr>
          <w:p w14:paraId="7C5E3898" w14:textId="77777777" w:rsidR="00B31D8D" w:rsidRPr="0023319B" w:rsidRDefault="00B31D8D" w:rsidP="00B31D8D">
            <w:pPr>
              <w:spacing w:line="240" w:lineRule="auto"/>
              <w:jc w:val="center"/>
              <w:rPr>
                <w:rFonts w:ascii="Calibri Light" w:hAnsi="Calibri Light" w:cs="Calibri Light"/>
                <w:b/>
                <w:bCs/>
                <w:sz w:val="18"/>
                <w:szCs w:val="18"/>
                <w:lang w:val="es-CR" w:eastAsia="es-CR"/>
              </w:rPr>
            </w:pPr>
            <w:r w:rsidRPr="0023319B">
              <w:rPr>
                <w:rFonts w:ascii="Calibri Light" w:hAnsi="Calibri Light" w:cs="Calibri Light"/>
                <w:b/>
                <w:bCs/>
                <w:sz w:val="18"/>
                <w:szCs w:val="18"/>
                <w:lang w:val="es-CR" w:eastAsia="es-CR"/>
              </w:rPr>
              <w:t>TOTAL</w:t>
            </w:r>
          </w:p>
        </w:tc>
        <w:tc>
          <w:tcPr>
            <w:tcW w:w="1275" w:type="dxa"/>
            <w:tcBorders>
              <w:top w:val="nil"/>
              <w:left w:val="nil"/>
              <w:bottom w:val="single" w:sz="4" w:space="0" w:color="auto"/>
              <w:right w:val="single" w:sz="4" w:space="0" w:color="auto"/>
            </w:tcBorders>
            <w:shd w:val="clear" w:color="000000" w:fill="8DB4E2"/>
            <w:vAlign w:val="center"/>
            <w:hideMark/>
          </w:tcPr>
          <w:p w14:paraId="45AE2198" w14:textId="2D90F136" w:rsidR="00B31D8D" w:rsidRPr="0023319B" w:rsidRDefault="00B31D8D" w:rsidP="00B31D8D">
            <w:pPr>
              <w:spacing w:line="240" w:lineRule="auto"/>
              <w:jc w:val="right"/>
              <w:rPr>
                <w:rFonts w:ascii="Calibri Light" w:hAnsi="Calibri Light" w:cs="Calibri Light"/>
                <w:b/>
                <w:bCs/>
                <w:sz w:val="18"/>
                <w:szCs w:val="18"/>
                <w:lang w:val="es-CR" w:eastAsia="es-CR"/>
              </w:rPr>
            </w:pPr>
            <w:r w:rsidRPr="0023319B">
              <w:rPr>
                <w:rFonts w:ascii="Calibri Light" w:hAnsi="Calibri Light" w:cs="Calibri Light"/>
                <w:b/>
                <w:bCs/>
                <w:sz w:val="18"/>
                <w:szCs w:val="18"/>
                <w:lang w:val="es-CR" w:eastAsia="es-CR"/>
              </w:rPr>
              <w:t xml:space="preserve">5 645 784 899 </w:t>
            </w:r>
          </w:p>
        </w:tc>
        <w:tc>
          <w:tcPr>
            <w:tcW w:w="1275" w:type="dxa"/>
            <w:tcBorders>
              <w:top w:val="nil"/>
              <w:left w:val="nil"/>
              <w:bottom w:val="single" w:sz="4" w:space="0" w:color="auto"/>
              <w:right w:val="single" w:sz="4" w:space="0" w:color="auto"/>
            </w:tcBorders>
            <w:shd w:val="clear" w:color="000000" w:fill="8DB4E2"/>
            <w:vAlign w:val="center"/>
            <w:hideMark/>
          </w:tcPr>
          <w:p w14:paraId="444BA028" w14:textId="5630EA14" w:rsidR="00B31D8D" w:rsidRPr="0023319B" w:rsidRDefault="00B31D8D" w:rsidP="00B31D8D">
            <w:pPr>
              <w:spacing w:line="240" w:lineRule="auto"/>
              <w:jc w:val="right"/>
              <w:rPr>
                <w:rFonts w:ascii="Calibri Light" w:hAnsi="Calibri Light" w:cs="Calibri Light"/>
                <w:b/>
                <w:bCs/>
                <w:sz w:val="18"/>
                <w:szCs w:val="18"/>
                <w:lang w:val="es-CR" w:eastAsia="es-CR"/>
              </w:rPr>
            </w:pPr>
            <w:r w:rsidRPr="0023319B">
              <w:rPr>
                <w:rFonts w:ascii="Calibri Light" w:hAnsi="Calibri Light" w:cs="Calibri Light"/>
                <w:b/>
                <w:bCs/>
                <w:sz w:val="18"/>
                <w:szCs w:val="18"/>
                <w:lang w:val="es-CR" w:eastAsia="es-CR"/>
              </w:rPr>
              <w:t xml:space="preserve">4 511 055 415 </w:t>
            </w:r>
          </w:p>
        </w:tc>
        <w:tc>
          <w:tcPr>
            <w:tcW w:w="852" w:type="dxa"/>
            <w:tcBorders>
              <w:top w:val="nil"/>
              <w:left w:val="nil"/>
              <w:bottom w:val="single" w:sz="4" w:space="0" w:color="auto"/>
              <w:right w:val="single" w:sz="4" w:space="0" w:color="auto"/>
            </w:tcBorders>
            <w:shd w:val="clear" w:color="000000" w:fill="8DB4E2"/>
            <w:vAlign w:val="center"/>
            <w:hideMark/>
          </w:tcPr>
          <w:p w14:paraId="244BF380" w14:textId="77777777" w:rsidR="00B31D8D" w:rsidRPr="0023319B" w:rsidRDefault="00B31D8D" w:rsidP="00B31D8D">
            <w:pPr>
              <w:spacing w:line="240" w:lineRule="auto"/>
              <w:jc w:val="center"/>
              <w:rPr>
                <w:rFonts w:ascii="Calibri Light" w:hAnsi="Calibri Light" w:cs="Calibri Light"/>
                <w:b/>
                <w:bCs/>
                <w:sz w:val="18"/>
                <w:szCs w:val="18"/>
                <w:lang w:val="es-CR" w:eastAsia="es-CR"/>
              </w:rPr>
            </w:pPr>
            <w:r w:rsidRPr="0023319B">
              <w:rPr>
                <w:rFonts w:ascii="Calibri Light" w:hAnsi="Calibri Light" w:cs="Calibri Light"/>
                <w:b/>
                <w:bCs/>
                <w:sz w:val="18"/>
                <w:szCs w:val="18"/>
                <w:lang w:val="es-CR" w:eastAsia="es-CR"/>
              </w:rPr>
              <w:t>80%</w:t>
            </w:r>
          </w:p>
        </w:tc>
      </w:tr>
    </w:tbl>
    <w:p w14:paraId="50FD8557" w14:textId="77777777" w:rsidR="00B31D8D" w:rsidRPr="0023319B" w:rsidRDefault="00B31D8D" w:rsidP="005441FD">
      <w:pPr>
        <w:rPr>
          <w:lang w:val="es-CR"/>
        </w:rPr>
      </w:pPr>
    </w:p>
    <w:p w14:paraId="14CE1558" w14:textId="4115990D" w:rsidR="005441FD" w:rsidRPr="0023319B" w:rsidRDefault="005441FD" w:rsidP="005441FD">
      <w:pPr>
        <w:rPr>
          <w:lang w:val="es-CR"/>
        </w:rPr>
      </w:pPr>
    </w:p>
    <w:p w14:paraId="2CF717C3" w14:textId="1E86B39C" w:rsidR="00B332E3" w:rsidRPr="0023319B" w:rsidRDefault="00B332E3" w:rsidP="003E35E4">
      <w:pPr>
        <w:pStyle w:val="Ttulo2"/>
        <w:numPr>
          <w:ilvl w:val="0"/>
          <w:numId w:val="32"/>
        </w:numPr>
      </w:pPr>
      <w:bookmarkStart w:id="95" w:name="_Toc55203355"/>
      <w:bookmarkStart w:id="96" w:name="_Toc61081393"/>
      <w:r w:rsidRPr="0023319B">
        <w:t>Detalle de desviaciones de mayor relevancia que afectan los objetivos, metas y resultados de lo alcanzado con respecto a lo estimado en cada uno de los programas presupuestarios.</w:t>
      </w:r>
      <w:bookmarkEnd w:id="95"/>
      <w:r w:rsidRPr="0023319B">
        <w:t xml:space="preserve"> </w:t>
      </w:r>
      <w:r w:rsidRPr="0023319B">
        <w:rPr>
          <w:bCs/>
          <w:sz w:val="20"/>
          <w:szCs w:val="18"/>
        </w:rPr>
        <w:t>(4.5.6.b.ii)</w:t>
      </w:r>
      <w:bookmarkEnd w:id="96"/>
    </w:p>
    <w:p w14:paraId="732AE6F5" w14:textId="77777777" w:rsidR="000D3AE4" w:rsidRPr="0023319B" w:rsidRDefault="000D3AE4" w:rsidP="000D3AE4">
      <w:pPr>
        <w:rPr>
          <w:rFonts w:asciiTheme="minorHAnsi" w:hAnsiTheme="minorHAnsi"/>
          <w:sz w:val="28"/>
          <w:szCs w:val="28"/>
          <w:lang w:val="es-CR"/>
        </w:rPr>
      </w:pPr>
    </w:p>
    <w:p w14:paraId="010A954D" w14:textId="3AF8BB01" w:rsidR="000D3AE4" w:rsidRPr="0023319B" w:rsidRDefault="000D3AE4" w:rsidP="00A9221D">
      <w:pPr>
        <w:pStyle w:val="Ttulo3"/>
      </w:pPr>
      <w:bookmarkStart w:id="97" w:name="_Toc61081394"/>
      <w:r w:rsidRPr="0023319B">
        <w:t>Indicador de desviación presupuestaria</w:t>
      </w:r>
      <w:bookmarkEnd w:id="97"/>
    </w:p>
    <w:p w14:paraId="0E0E6126" w14:textId="77777777" w:rsidR="000D3AE4" w:rsidRPr="0023319B" w:rsidRDefault="000D3AE4" w:rsidP="000D3AE4">
      <w:pPr>
        <w:rPr>
          <w:rFonts w:asciiTheme="minorHAnsi" w:hAnsiTheme="minorHAnsi" w:cstheme="minorHAnsi"/>
          <w:sz w:val="24"/>
          <w:szCs w:val="24"/>
          <w:lang w:val="es-CR"/>
        </w:rPr>
      </w:pPr>
    </w:p>
    <w:p w14:paraId="58B1AECB" w14:textId="356489EC" w:rsidR="000D3AE4" w:rsidRPr="0023319B" w:rsidRDefault="000D3AE4" w:rsidP="000D3AE4">
      <w:pPr>
        <w:rPr>
          <w:rFonts w:asciiTheme="minorHAnsi" w:hAnsiTheme="minorHAnsi" w:cstheme="minorHAnsi"/>
          <w:sz w:val="24"/>
          <w:szCs w:val="24"/>
          <w:lang w:val="es-CR"/>
        </w:rPr>
      </w:pPr>
      <w:r w:rsidRPr="0023319B">
        <w:rPr>
          <w:rFonts w:asciiTheme="minorHAnsi" w:hAnsiTheme="minorHAnsi" w:cstheme="minorHAnsi"/>
          <w:sz w:val="24"/>
          <w:szCs w:val="24"/>
          <w:lang w:val="es-CR"/>
        </w:rPr>
        <w:t>Con el objeto de unificar la presentación de resultados y criterios de medición se estableció, para todas las Superintendencias, un parámetro para medir la desviación porcentual entre lo ejecutado y el presupuesto para el logro de las metas y proyectos propuestos.</w:t>
      </w:r>
    </w:p>
    <w:p w14:paraId="338B8BBC" w14:textId="77777777" w:rsidR="000D3AE4" w:rsidRPr="0023319B" w:rsidRDefault="000D3AE4" w:rsidP="000D3AE4">
      <w:pPr>
        <w:rPr>
          <w:rFonts w:asciiTheme="minorHAnsi" w:hAnsiTheme="minorHAnsi" w:cstheme="minorHAnsi"/>
          <w:sz w:val="24"/>
          <w:szCs w:val="24"/>
          <w:lang w:val="es-CR"/>
        </w:rPr>
      </w:pPr>
    </w:p>
    <w:p w14:paraId="0B7C6F56" w14:textId="78A69A8E" w:rsidR="000D3AE4" w:rsidRPr="0023319B" w:rsidRDefault="000D3AE4" w:rsidP="000D3AE4">
      <w:pPr>
        <w:rPr>
          <w:rFonts w:asciiTheme="minorHAnsi" w:hAnsiTheme="minorHAnsi"/>
          <w:sz w:val="24"/>
          <w:szCs w:val="24"/>
          <w:lang w:val="es-CR"/>
        </w:rPr>
      </w:pPr>
      <w:r w:rsidRPr="0023319B">
        <w:rPr>
          <w:rFonts w:asciiTheme="minorHAnsi" w:hAnsiTheme="minorHAnsi"/>
          <w:sz w:val="24"/>
          <w:szCs w:val="24"/>
          <w:lang w:val="es-CR"/>
        </w:rPr>
        <w:t>El resultado de la desviación en el uso de los recursos para el 2020 fue del 2</w:t>
      </w:r>
      <w:r w:rsidR="00B02E5E" w:rsidRPr="0023319B">
        <w:rPr>
          <w:rFonts w:asciiTheme="minorHAnsi" w:hAnsiTheme="minorHAnsi"/>
          <w:sz w:val="24"/>
          <w:szCs w:val="24"/>
          <w:lang w:val="es-CR"/>
        </w:rPr>
        <w:t>0</w:t>
      </w:r>
      <w:r w:rsidRPr="0023319B">
        <w:rPr>
          <w:rFonts w:asciiTheme="minorHAnsi" w:hAnsiTheme="minorHAnsi"/>
          <w:sz w:val="24"/>
          <w:szCs w:val="24"/>
          <w:lang w:val="es-CR"/>
        </w:rPr>
        <w:t>%. Dicho resultado se cataloga, de acuerdo con los parámetros previamente establecidos, en la categoría de “Bueno”.</w:t>
      </w:r>
    </w:p>
    <w:p w14:paraId="3FC7E705" w14:textId="77777777" w:rsidR="000D3AE4" w:rsidRPr="0023319B" w:rsidRDefault="000D3AE4" w:rsidP="000D3AE4">
      <w:pPr>
        <w:rPr>
          <w:rFonts w:asciiTheme="minorHAnsi" w:hAnsiTheme="minorHAnsi" w:cstheme="minorHAnsi"/>
          <w:sz w:val="24"/>
          <w:szCs w:val="24"/>
          <w:lang w:val="es-CR"/>
        </w:rPr>
      </w:pPr>
    </w:p>
    <w:p w14:paraId="72F68E2B" w14:textId="77777777" w:rsidR="000D3AE4" w:rsidRPr="0023319B" w:rsidRDefault="000D3AE4" w:rsidP="000D3AE4">
      <w:pPr>
        <w:rPr>
          <w:rFonts w:asciiTheme="minorHAnsi" w:hAnsiTheme="minorHAnsi" w:cstheme="minorHAnsi"/>
          <w:sz w:val="24"/>
          <w:szCs w:val="24"/>
          <w:lang w:val="es-CR"/>
        </w:rPr>
      </w:pPr>
      <w:r w:rsidRPr="0023319B">
        <w:rPr>
          <w:rFonts w:asciiTheme="minorHAnsi" w:hAnsiTheme="minorHAnsi" w:cstheme="minorHAnsi"/>
          <w:sz w:val="24"/>
          <w:szCs w:val="24"/>
          <w:lang w:val="es-CR"/>
        </w:rPr>
        <w:t xml:space="preserve">El siguiente cuadro muestra los resultados obtenidos. </w:t>
      </w:r>
    </w:p>
    <w:p w14:paraId="77B90247" w14:textId="77777777" w:rsidR="000D3AE4" w:rsidRPr="0023319B" w:rsidRDefault="000D3AE4" w:rsidP="000D3AE4">
      <w:pPr>
        <w:rPr>
          <w:rFonts w:asciiTheme="minorHAnsi" w:hAnsiTheme="minorHAnsi" w:cstheme="minorHAnsi"/>
          <w:sz w:val="24"/>
          <w:szCs w:val="24"/>
          <w:lang w:val="es-CR"/>
        </w:rPr>
      </w:pPr>
    </w:p>
    <w:p w14:paraId="0F9944F9" w14:textId="78A82E2F" w:rsidR="000D3AE4" w:rsidRPr="0023319B" w:rsidRDefault="00F120D6" w:rsidP="00A9221D">
      <w:pPr>
        <w:pStyle w:val="Ttulo3"/>
      </w:pPr>
      <w:bookmarkStart w:id="98" w:name="_Toc61081395"/>
      <w:r w:rsidRPr="0023319B">
        <w:t>Tabla</w:t>
      </w:r>
      <w:r w:rsidR="000D3AE4" w:rsidRPr="0023319B">
        <w:t xml:space="preserve"> </w:t>
      </w:r>
      <w:r w:rsidRPr="0023319B">
        <w:t>3</w:t>
      </w:r>
      <w:r w:rsidR="000D3AE4" w:rsidRPr="0023319B">
        <w:t>: Desviación porcentual</w:t>
      </w:r>
      <w:bookmarkEnd w:id="98"/>
      <w:r w:rsidR="000D3AE4" w:rsidRPr="0023319B">
        <w:t xml:space="preserve"> </w:t>
      </w:r>
    </w:p>
    <w:p w14:paraId="05F7BC95" w14:textId="77777777" w:rsidR="000D3AE4" w:rsidRPr="0023319B" w:rsidRDefault="000D3AE4" w:rsidP="000D3AE4">
      <w:pPr>
        <w:rPr>
          <w:rFonts w:asciiTheme="minorHAnsi" w:hAnsiTheme="minorHAnsi" w:cstheme="minorHAnsi"/>
          <w:lang w:val="es-CR"/>
        </w:rPr>
      </w:pPr>
      <w:r w:rsidRPr="0023319B">
        <w:rPr>
          <w:rFonts w:cs="Arial"/>
          <w:b/>
          <w:bCs/>
          <w:i/>
          <w:iCs/>
          <w:szCs w:val="22"/>
          <w:lang w:val="es-CR" w:eastAsia="es-CR"/>
        </w:rPr>
        <w:t>Parámetros</w:t>
      </w:r>
      <w:r w:rsidRPr="0023319B">
        <w:rPr>
          <w:rFonts w:cs="Arial"/>
          <w:i/>
          <w:iCs/>
          <w:szCs w:val="22"/>
          <w:lang w:val="es-CR" w:eastAsia="es-CR"/>
        </w:rPr>
        <w:t>:</w:t>
      </w:r>
    </w:p>
    <w:tbl>
      <w:tblPr>
        <w:tblW w:w="9204" w:type="dxa"/>
        <w:tblCellMar>
          <w:left w:w="70" w:type="dxa"/>
          <w:right w:w="70" w:type="dxa"/>
        </w:tblCellMar>
        <w:tblLook w:val="04A0" w:firstRow="1" w:lastRow="0" w:firstColumn="1" w:lastColumn="0" w:noHBand="0" w:noVBand="1"/>
      </w:tblPr>
      <w:tblGrid>
        <w:gridCol w:w="1720"/>
        <w:gridCol w:w="2665"/>
        <w:gridCol w:w="1134"/>
        <w:gridCol w:w="1200"/>
        <w:gridCol w:w="1352"/>
        <w:gridCol w:w="1133"/>
      </w:tblGrid>
      <w:tr w:rsidR="000D3AE4" w:rsidRPr="0023319B" w14:paraId="22E6CAB3" w14:textId="77777777" w:rsidTr="002E6B58">
        <w:trPr>
          <w:trHeight w:val="324"/>
        </w:trPr>
        <w:tc>
          <w:tcPr>
            <w:tcW w:w="1720" w:type="dxa"/>
            <w:vMerge w:val="restart"/>
            <w:tcBorders>
              <w:top w:val="single" w:sz="8" w:space="0" w:color="auto"/>
              <w:left w:val="single" w:sz="8" w:space="0" w:color="auto"/>
              <w:bottom w:val="single" w:sz="8" w:space="0" w:color="000000"/>
              <w:right w:val="single" w:sz="8" w:space="0" w:color="auto"/>
            </w:tcBorders>
            <w:shd w:val="clear" w:color="000000" w:fill="DBE5F1"/>
            <w:vAlign w:val="center"/>
            <w:hideMark/>
          </w:tcPr>
          <w:p w14:paraId="0C0A557B" w14:textId="77777777" w:rsidR="000D3AE4" w:rsidRPr="0023319B" w:rsidRDefault="000D3AE4" w:rsidP="002E6B58">
            <w:pPr>
              <w:spacing w:line="240" w:lineRule="auto"/>
              <w:jc w:val="center"/>
              <w:rPr>
                <w:rFonts w:cs="Arial"/>
                <w:b/>
                <w:bCs/>
                <w:sz w:val="16"/>
                <w:szCs w:val="16"/>
                <w:lang w:val="es-CR" w:eastAsia="es-CR"/>
              </w:rPr>
            </w:pPr>
            <w:r w:rsidRPr="0023319B">
              <w:rPr>
                <w:rFonts w:cs="Arial"/>
                <w:b/>
                <w:bCs/>
                <w:sz w:val="16"/>
                <w:szCs w:val="16"/>
                <w:lang w:val="es-CR" w:eastAsia="es-CR"/>
              </w:rPr>
              <w:t>ENUNCIADO</w:t>
            </w:r>
          </w:p>
        </w:tc>
        <w:tc>
          <w:tcPr>
            <w:tcW w:w="2665" w:type="dxa"/>
            <w:tcBorders>
              <w:top w:val="single" w:sz="8" w:space="0" w:color="auto"/>
              <w:left w:val="nil"/>
              <w:bottom w:val="nil"/>
              <w:right w:val="single" w:sz="8" w:space="0" w:color="auto"/>
            </w:tcBorders>
            <w:shd w:val="clear" w:color="000000" w:fill="DBE5F1"/>
            <w:vAlign w:val="center"/>
            <w:hideMark/>
          </w:tcPr>
          <w:p w14:paraId="037E0FC0" w14:textId="77777777" w:rsidR="000D3AE4" w:rsidRPr="0023319B" w:rsidRDefault="000D3AE4" w:rsidP="002E6B58">
            <w:pPr>
              <w:spacing w:line="240" w:lineRule="auto"/>
              <w:jc w:val="center"/>
              <w:rPr>
                <w:rFonts w:cs="Arial"/>
                <w:b/>
                <w:bCs/>
                <w:sz w:val="16"/>
                <w:szCs w:val="16"/>
                <w:lang w:val="es-CR" w:eastAsia="es-CR"/>
              </w:rPr>
            </w:pPr>
            <w:r w:rsidRPr="0023319B">
              <w:rPr>
                <w:rFonts w:cs="Arial"/>
                <w:b/>
                <w:bCs/>
                <w:sz w:val="16"/>
                <w:szCs w:val="16"/>
                <w:lang w:val="es-CR" w:eastAsia="es-CR"/>
              </w:rPr>
              <w:t>INDICADOR</w:t>
            </w:r>
          </w:p>
        </w:tc>
        <w:tc>
          <w:tcPr>
            <w:tcW w:w="4819" w:type="dxa"/>
            <w:gridSpan w:val="4"/>
            <w:tcBorders>
              <w:top w:val="single" w:sz="8" w:space="0" w:color="auto"/>
              <w:left w:val="nil"/>
              <w:bottom w:val="single" w:sz="8" w:space="0" w:color="auto"/>
              <w:right w:val="single" w:sz="8" w:space="0" w:color="000000"/>
            </w:tcBorders>
            <w:shd w:val="clear" w:color="000000" w:fill="DBE5F1"/>
            <w:vAlign w:val="center"/>
            <w:hideMark/>
          </w:tcPr>
          <w:p w14:paraId="162EF7D8" w14:textId="77777777" w:rsidR="000D3AE4" w:rsidRPr="0023319B" w:rsidRDefault="000D3AE4" w:rsidP="002E6B58">
            <w:pPr>
              <w:spacing w:line="240" w:lineRule="auto"/>
              <w:jc w:val="center"/>
              <w:rPr>
                <w:rFonts w:cs="Arial"/>
                <w:b/>
                <w:bCs/>
                <w:sz w:val="16"/>
                <w:szCs w:val="16"/>
                <w:lang w:val="es-CR" w:eastAsia="es-CR"/>
              </w:rPr>
            </w:pPr>
            <w:r w:rsidRPr="0023319B">
              <w:rPr>
                <w:rFonts w:cs="Arial"/>
                <w:b/>
                <w:bCs/>
                <w:sz w:val="16"/>
                <w:szCs w:val="16"/>
                <w:lang w:val="es-CR" w:eastAsia="es-CR"/>
              </w:rPr>
              <w:t>PARÁMETROS</w:t>
            </w:r>
          </w:p>
        </w:tc>
      </w:tr>
      <w:tr w:rsidR="000D3AE4" w:rsidRPr="0023319B" w14:paraId="5F4767A3" w14:textId="77777777" w:rsidTr="002E6B58">
        <w:trPr>
          <w:trHeight w:val="465"/>
        </w:trPr>
        <w:tc>
          <w:tcPr>
            <w:tcW w:w="1720" w:type="dxa"/>
            <w:vMerge/>
            <w:tcBorders>
              <w:top w:val="single" w:sz="8" w:space="0" w:color="auto"/>
              <w:left w:val="single" w:sz="8" w:space="0" w:color="auto"/>
              <w:bottom w:val="single" w:sz="8" w:space="0" w:color="000000"/>
              <w:right w:val="single" w:sz="8" w:space="0" w:color="auto"/>
            </w:tcBorders>
            <w:vAlign w:val="center"/>
            <w:hideMark/>
          </w:tcPr>
          <w:p w14:paraId="0AFAF578" w14:textId="77777777" w:rsidR="000D3AE4" w:rsidRPr="0023319B" w:rsidRDefault="000D3AE4" w:rsidP="002E6B58">
            <w:pPr>
              <w:spacing w:line="240" w:lineRule="auto"/>
              <w:jc w:val="left"/>
              <w:rPr>
                <w:rFonts w:cs="Arial"/>
                <w:b/>
                <w:bCs/>
                <w:sz w:val="16"/>
                <w:szCs w:val="16"/>
                <w:lang w:val="es-CR" w:eastAsia="es-CR"/>
              </w:rPr>
            </w:pPr>
          </w:p>
        </w:tc>
        <w:tc>
          <w:tcPr>
            <w:tcW w:w="2665" w:type="dxa"/>
            <w:tcBorders>
              <w:top w:val="nil"/>
              <w:left w:val="nil"/>
              <w:bottom w:val="nil"/>
              <w:right w:val="single" w:sz="8" w:space="0" w:color="auto"/>
            </w:tcBorders>
            <w:shd w:val="clear" w:color="000000" w:fill="DBE5F1"/>
            <w:vAlign w:val="center"/>
            <w:hideMark/>
          </w:tcPr>
          <w:p w14:paraId="58A7B829" w14:textId="77777777" w:rsidR="000D3AE4" w:rsidRPr="0023319B" w:rsidRDefault="000D3AE4" w:rsidP="002E6B58">
            <w:pPr>
              <w:spacing w:line="240" w:lineRule="auto"/>
              <w:jc w:val="center"/>
              <w:rPr>
                <w:rFonts w:cs="Arial"/>
                <w:b/>
                <w:bCs/>
                <w:sz w:val="16"/>
                <w:szCs w:val="16"/>
                <w:lang w:val="es-CR" w:eastAsia="es-CR"/>
              </w:rPr>
            </w:pPr>
            <w:r w:rsidRPr="0023319B">
              <w:rPr>
                <w:rFonts w:cs="Arial"/>
                <w:b/>
                <w:bCs/>
                <w:sz w:val="16"/>
                <w:szCs w:val="16"/>
                <w:lang w:val="es-CR" w:eastAsia="es-CR"/>
              </w:rPr>
              <w:t>EJECUCION PRESUPUESTARIA</w:t>
            </w:r>
          </w:p>
        </w:tc>
        <w:tc>
          <w:tcPr>
            <w:tcW w:w="1134" w:type="dxa"/>
            <w:tcBorders>
              <w:top w:val="nil"/>
              <w:left w:val="nil"/>
              <w:bottom w:val="single" w:sz="8" w:space="0" w:color="auto"/>
              <w:right w:val="single" w:sz="8" w:space="0" w:color="auto"/>
            </w:tcBorders>
            <w:shd w:val="clear" w:color="000000" w:fill="00B0F0"/>
            <w:vAlign w:val="center"/>
            <w:hideMark/>
          </w:tcPr>
          <w:p w14:paraId="3550E63F" w14:textId="77777777" w:rsidR="000D3AE4" w:rsidRPr="0023319B" w:rsidRDefault="000D3AE4" w:rsidP="002E6B58">
            <w:pPr>
              <w:spacing w:line="240" w:lineRule="auto"/>
              <w:jc w:val="center"/>
              <w:rPr>
                <w:rFonts w:cs="Arial"/>
                <w:b/>
                <w:bCs/>
                <w:sz w:val="12"/>
                <w:szCs w:val="12"/>
                <w:lang w:val="es-CR" w:eastAsia="es-CR"/>
              </w:rPr>
            </w:pPr>
            <w:r w:rsidRPr="0023319B">
              <w:rPr>
                <w:rFonts w:cs="Arial"/>
                <w:b/>
                <w:bCs/>
                <w:sz w:val="12"/>
                <w:szCs w:val="12"/>
                <w:lang w:val="es-CR" w:eastAsia="es-CR"/>
              </w:rPr>
              <w:t>Excelente</w:t>
            </w:r>
          </w:p>
        </w:tc>
        <w:tc>
          <w:tcPr>
            <w:tcW w:w="1200" w:type="dxa"/>
            <w:tcBorders>
              <w:top w:val="nil"/>
              <w:left w:val="nil"/>
              <w:bottom w:val="single" w:sz="8" w:space="0" w:color="auto"/>
              <w:right w:val="single" w:sz="8" w:space="0" w:color="auto"/>
            </w:tcBorders>
            <w:shd w:val="clear" w:color="000000" w:fill="00FF00"/>
            <w:vAlign w:val="center"/>
            <w:hideMark/>
          </w:tcPr>
          <w:p w14:paraId="7B9DC132" w14:textId="77777777" w:rsidR="000D3AE4" w:rsidRPr="0023319B" w:rsidRDefault="000D3AE4" w:rsidP="002E6B58">
            <w:pPr>
              <w:spacing w:line="240" w:lineRule="auto"/>
              <w:jc w:val="center"/>
              <w:rPr>
                <w:rFonts w:cs="Arial"/>
                <w:b/>
                <w:bCs/>
                <w:sz w:val="12"/>
                <w:szCs w:val="12"/>
                <w:lang w:val="es-CR" w:eastAsia="es-CR"/>
              </w:rPr>
            </w:pPr>
            <w:r w:rsidRPr="0023319B">
              <w:rPr>
                <w:rFonts w:cs="Arial"/>
                <w:b/>
                <w:bCs/>
                <w:sz w:val="12"/>
                <w:szCs w:val="12"/>
                <w:lang w:val="es-CR" w:eastAsia="es-CR"/>
              </w:rPr>
              <w:t>Muy Bueno</w:t>
            </w:r>
          </w:p>
        </w:tc>
        <w:tc>
          <w:tcPr>
            <w:tcW w:w="1352" w:type="dxa"/>
            <w:tcBorders>
              <w:top w:val="nil"/>
              <w:left w:val="nil"/>
              <w:bottom w:val="single" w:sz="8" w:space="0" w:color="auto"/>
              <w:right w:val="single" w:sz="8" w:space="0" w:color="auto"/>
            </w:tcBorders>
            <w:shd w:val="clear" w:color="000000" w:fill="FFFF00"/>
            <w:vAlign w:val="center"/>
            <w:hideMark/>
          </w:tcPr>
          <w:p w14:paraId="6E0991D9" w14:textId="77777777" w:rsidR="000D3AE4" w:rsidRPr="0023319B" w:rsidRDefault="000D3AE4" w:rsidP="002E6B58">
            <w:pPr>
              <w:spacing w:line="240" w:lineRule="auto"/>
              <w:jc w:val="center"/>
              <w:rPr>
                <w:rFonts w:cs="Arial"/>
                <w:b/>
                <w:bCs/>
                <w:sz w:val="12"/>
                <w:szCs w:val="12"/>
                <w:lang w:val="es-CR" w:eastAsia="es-CR"/>
              </w:rPr>
            </w:pPr>
            <w:r w:rsidRPr="0023319B">
              <w:rPr>
                <w:rFonts w:cs="Arial"/>
                <w:b/>
                <w:bCs/>
                <w:sz w:val="12"/>
                <w:szCs w:val="12"/>
                <w:lang w:val="es-CR" w:eastAsia="es-CR"/>
              </w:rPr>
              <w:t>Bueno</w:t>
            </w:r>
          </w:p>
        </w:tc>
        <w:tc>
          <w:tcPr>
            <w:tcW w:w="1133" w:type="dxa"/>
            <w:tcBorders>
              <w:top w:val="nil"/>
              <w:left w:val="nil"/>
              <w:bottom w:val="single" w:sz="8" w:space="0" w:color="auto"/>
              <w:right w:val="single" w:sz="8" w:space="0" w:color="auto"/>
            </w:tcBorders>
            <w:shd w:val="clear" w:color="000000" w:fill="FF0000"/>
            <w:vAlign w:val="center"/>
            <w:hideMark/>
          </w:tcPr>
          <w:p w14:paraId="002D2740" w14:textId="77777777" w:rsidR="000D3AE4" w:rsidRPr="0023319B" w:rsidRDefault="000D3AE4" w:rsidP="002E6B58">
            <w:pPr>
              <w:spacing w:line="240" w:lineRule="auto"/>
              <w:jc w:val="center"/>
              <w:rPr>
                <w:rFonts w:cs="Arial"/>
                <w:b/>
                <w:bCs/>
                <w:sz w:val="12"/>
                <w:szCs w:val="12"/>
                <w:lang w:val="es-CR" w:eastAsia="es-CR"/>
              </w:rPr>
            </w:pPr>
            <w:r w:rsidRPr="0023319B">
              <w:rPr>
                <w:rFonts w:cs="Arial"/>
                <w:b/>
                <w:bCs/>
                <w:sz w:val="12"/>
                <w:szCs w:val="12"/>
                <w:lang w:val="es-CR" w:eastAsia="es-CR"/>
              </w:rPr>
              <w:t>Malo</w:t>
            </w:r>
          </w:p>
        </w:tc>
      </w:tr>
      <w:tr w:rsidR="000D3AE4" w:rsidRPr="0023319B" w14:paraId="0C506C29" w14:textId="77777777" w:rsidTr="002E6B58">
        <w:trPr>
          <w:trHeight w:val="390"/>
        </w:trPr>
        <w:tc>
          <w:tcPr>
            <w:tcW w:w="1720" w:type="dxa"/>
            <w:vMerge w:val="restart"/>
            <w:tcBorders>
              <w:top w:val="nil"/>
              <w:left w:val="single" w:sz="8" w:space="0" w:color="auto"/>
              <w:bottom w:val="single" w:sz="8" w:space="0" w:color="000000"/>
              <w:right w:val="single" w:sz="8" w:space="0" w:color="auto"/>
            </w:tcBorders>
            <w:shd w:val="clear" w:color="auto" w:fill="auto"/>
            <w:vAlign w:val="center"/>
            <w:hideMark/>
          </w:tcPr>
          <w:p w14:paraId="515FCA8E" w14:textId="77777777" w:rsidR="000D3AE4" w:rsidRPr="0023319B" w:rsidRDefault="000D3AE4" w:rsidP="002E6B58">
            <w:pPr>
              <w:spacing w:line="240" w:lineRule="auto"/>
              <w:jc w:val="center"/>
              <w:rPr>
                <w:rFonts w:cs="Arial"/>
                <w:sz w:val="16"/>
                <w:szCs w:val="16"/>
                <w:lang w:val="es-CR" w:eastAsia="es-CR"/>
              </w:rPr>
            </w:pPr>
            <w:r w:rsidRPr="0023319B">
              <w:rPr>
                <w:rFonts w:cs="Arial"/>
                <w:sz w:val="16"/>
                <w:szCs w:val="16"/>
                <w:lang w:val="es-CR" w:eastAsia="es-CR"/>
              </w:rPr>
              <w:t>Desviación porcentual entre lo ejecutado y lo presupuestado</w:t>
            </w:r>
          </w:p>
        </w:tc>
        <w:tc>
          <w:tcPr>
            <w:tcW w:w="2665" w:type="dxa"/>
            <w:tcBorders>
              <w:top w:val="single" w:sz="8" w:space="0" w:color="auto"/>
              <w:left w:val="nil"/>
              <w:bottom w:val="nil"/>
              <w:right w:val="single" w:sz="8" w:space="0" w:color="auto"/>
            </w:tcBorders>
            <w:shd w:val="clear" w:color="auto" w:fill="auto"/>
            <w:vAlign w:val="center"/>
            <w:hideMark/>
          </w:tcPr>
          <w:p w14:paraId="62EA98DA" w14:textId="4E4048CA" w:rsidR="000D3AE4" w:rsidRPr="0023319B" w:rsidRDefault="000D3AE4" w:rsidP="002E6B58">
            <w:pPr>
              <w:spacing w:line="240" w:lineRule="auto"/>
              <w:jc w:val="center"/>
              <w:rPr>
                <w:rFonts w:cs="Arial"/>
                <w:color w:val="000000"/>
                <w:sz w:val="15"/>
                <w:szCs w:val="15"/>
                <w:u w:val="single"/>
                <w:lang w:val="es-CR" w:eastAsia="es-CR"/>
              </w:rPr>
            </w:pPr>
            <w:r w:rsidRPr="0023319B">
              <w:rPr>
                <w:rFonts w:cs="Arial"/>
                <w:color w:val="000000"/>
                <w:sz w:val="15"/>
                <w:szCs w:val="15"/>
                <w:u w:val="single"/>
                <w:lang w:val="es-CR" w:eastAsia="es-CR"/>
              </w:rPr>
              <w:t xml:space="preserve">Gasto Real del período </w:t>
            </w:r>
            <w:r w:rsidRPr="0023319B">
              <w:rPr>
                <w:rFonts w:cs="Arial"/>
                <w:color w:val="000000"/>
                <w:sz w:val="15"/>
                <w:szCs w:val="15"/>
                <w:lang w:val="es-CR" w:eastAsia="es-CR"/>
              </w:rPr>
              <w:t xml:space="preserve">– </w:t>
            </w:r>
            <w:r w:rsidR="00170B80" w:rsidRPr="0023319B">
              <w:rPr>
                <w:rFonts w:cs="Arial"/>
                <w:color w:val="000000"/>
                <w:sz w:val="15"/>
                <w:szCs w:val="15"/>
                <w:lang w:val="es-CR" w:eastAsia="es-CR"/>
              </w:rPr>
              <w:t>1</w:t>
            </w:r>
            <w:r w:rsidRPr="0023319B">
              <w:rPr>
                <w:rFonts w:cs="Arial"/>
                <w:color w:val="000000"/>
                <w:sz w:val="15"/>
                <w:szCs w:val="15"/>
                <w:lang w:val="es-CR" w:eastAsia="es-CR"/>
              </w:rPr>
              <w:t xml:space="preserve"> * 100%</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5CF6D948" w14:textId="77777777" w:rsidR="000D3AE4" w:rsidRPr="0023319B" w:rsidRDefault="000D3AE4" w:rsidP="002E6B58">
            <w:pPr>
              <w:spacing w:line="240" w:lineRule="auto"/>
              <w:jc w:val="center"/>
              <w:rPr>
                <w:rFonts w:cs="Arial"/>
                <w:sz w:val="16"/>
                <w:szCs w:val="16"/>
                <w:lang w:val="es-CR" w:eastAsia="es-CR"/>
              </w:rPr>
            </w:pPr>
            <w:r w:rsidRPr="0023319B">
              <w:rPr>
                <w:rFonts w:cs="Arial"/>
                <w:sz w:val="16"/>
                <w:szCs w:val="16"/>
                <w:lang w:val="es-CR" w:eastAsia="es-CR"/>
              </w:rPr>
              <w:t>˂ 5%</w:t>
            </w:r>
          </w:p>
        </w:tc>
        <w:tc>
          <w:tcPr>
            <w:tcW w:w="1200" w:type="dxa"/>
            <w:vMerge w:val="restart"/>
            <w:tcBorders>
              <w:top w:val="nil"/>
              <w:left w:val="single" w:sz="8" w:space="0" w:color="auto"/>
              <w:bottom w:val="single" w:sz="8" w:space="0" w:color="000000"/>
              <w:right w:val="single" w:sz="8" w:space="0" w:color="auto"/>
            </w:tcBorders>
            <w:shd w:val="clear" w:color="auto" w:fill="auto"/>
            <w:vAlign w:val="center"/>
            <w:hideMark/>
          </w:tcPr>
          <w:p w14:paraId="04FA8330" w14:textId="77777777" w:rsidR="000D3AE4" w:rsidRPr="0023319B" w:rsidRDefault="000D3AE4" w:rsidP="002E6B58">
            <w:pPr>
              <w:spacing w:line="240" w:lineRule="auto"/>
              <w:jc w:val="center"/>
              <w:rPr>
                <w:rFonts w:ascii="Symbol" w:hAnsi="Symbol" w:cs="Arial"/>
                <w:sz w:val="16"/>
                <w:szCs w:val="16"/>
                <w:lang w:val="es-CR" w:eastAsia="es-CR"/>
              </w:rPr>
            </w:pPr>
            <w:r w:rsidRPr="0023319B">
              <w:rPr>
                <w:rFonts w:ascii="Calibri" w:hAnsi="Calibri" w:cs="Calibri"/>
                <w:sz w:val="16"/>
                <w:szCs w:val="16"/>
                <w:lang w:val="es-CR" w:eastAsia="es-CR"/>
              </w:rPr>
              <w:t>≥</w:t>
            </w:r>
            <w:r w:rsidRPr="0023319B">
              <w:rPr>
                <w:rFonts w:cs="Arial"/>
                <w:sz w:val="16"/>
                <w:szCs w:val="16"/>
                <w:lang w:val="es-CR" w:eastAsia="es-CR"/>
              </w:rPr>
              <w:t>5 &lt;15%</w:t>
            </w:r>
          </w:p>
        </w:tc>
        <w:tc>
          <w:tcPr>
            <w:tcW w:w="1352" w:type="dxa"/>
            <w:vMerge w:val="restart"/>
            <w:tcBorders>
              <w:top w:val="nil"/>
              <w:left w:val="single" w:sz="8" w:space="0" w:color="auto"/>
              <w:bottom w:val="single" w:sz="8" w:space="0" w:color="000000"/>
              <w:right w:val="single" w:sz="8" w:space="0" w:color="auto"/>
            </w:tcBorders>
            <w:shd w:val="clear" w:color="auto" w:fill="auto"/>
            <w:vAlign w:val="center"/>
            <w:hideMark/>
          </w:tcPr>
          <w:p w14:paraId="19878EB9" w14:textId="77777777" w:rsidR="000D3AE4" w:rsidRPr="0023319B" w:rsidRDefault="000D3AE4" w:rsidP="002E6B58">
            <w:pPr>
              <w:spacing w:line="240" w:lineRule="auto"/>
              <w:jc w:val="center"/>
              <w:rPr>
                <w:rFonts w:ascii="Symbol" w:hAnsi="Symbol" w:cs="Arial"/>
                <w:sz w:val="16"/>
                <w:szCs w:val="16"/>
                <w:lang w:val="es-CR" w:eastAsia="es-CR"/>
              </w:rPr>
            </w:pPr>
            <w:r w:rsidRPr="0023319B">
              <w:rPr>
                <w:rFonts w:ascii="Calibri" w:hAnsi="Calibri" w:cs="Calibri"/>
                <w:sz w:val="16"/>
                <w:szCs w:val="16"/>
                <w:lang w:val="es-CR" w:eastAsia="es-CR"/>
              </w:rPr>
              <w:t>≥</w:t>
            </w:r>
            <w:r w:rsidRPr="0023319B">
              <w:rPr>
                <w:rFonts w:cs="Arial"/>
                <w:sz w:val="16"/>
                <w:szCs w:val="16"/>
                <w:lang w:val="es-CR" w:eastAsia="es-CR"/>
              </w:rPr>
              <w:t>15% &lt; 25%</w:t>
            </w:r>
          </w:p>
        </w:tc>
        <w:tc>
          <w:tcPr>
            <w:tcW w:w="1133" w:type="dxa"/>
            <w:vMerge w:val="restart"/>
            <w:tcBorders>
              <w:top w:val="nil"/>
              <w:left w:val="single" w:sz="8" w:space="0" w:color="auto"/>
              <w:bottom w:val="single" w:sz="8" w:space="0" w:color="000000"/>
              <w:right w:val="single" w:sz="8" w:space="0" w:color="auto"/>
            </w:tcBorders>
            <w:shd w:val="clear" w:color="auto" w:fill="auto"/>
            <w:vAlign w:val="center"/>
            <w:hideMark/>
          </w:tcPr>
          <w:p w14:paraId="007B1139" w14:textId="77777777" w:rsidR="000D3AE4" w:rsidRPr="0023319B" w:rsidRDefault="000D3AE4" w:rsidP="002E6B58">
            <w:pPr>
              <w:spacing w:line="240" w:lineRule="auto"/>
              <w:jc w:val="center"/>
              <w:rPr>
                <w:rFonts w:cs="Arial"/>
                <w:sz w:val="16"/>
                <w:szCs w:val="16"/>
                <w:lang w:val="es-CR" w:eastAsia="es-CR"/>
              </w:rPr>
            </w:pPr>
            <w:r w:rsidRPr="0023319B">
              <w:rPr>
                <w:rFonts w:cs="Arial"/>
                <w:sz w:val="16"/>
                <w:szCs w:val="16"/>
                <w:lang w:val="es-CR" w:eastAsia="es-CR"/>
              </w:rPr>
              <w:t>&gt;25%</w:t>
            </w:r>
          </w:p>
        </w:tc>
      </w:tr>
      <w:tr w:rsidR="000D3AE4" w:rsidRPr="0023319B" w14:paraId="46DF8781" w14:textId="77777777" w:rsidTr="002E6B58">
        <w:trPr>
          <w:trHeight w:val="240"/>
        </w:trPr>
        <w:tc>
          <w:tcPr>
            <w:tcW w:w="1720" w:type="dxa"/>
            <w:vMerge/>
            <w:tcBorders>
              <w:top w:val="nil"/>
              <w:left w:val="single" w:sz="8" w:space="0" w:color="auto"/>
              <w:bottom w:val="single" w:sz="8" w:space="0" w:color="000000"/>
              <w:right w:val="single" w:sz="8" w:space="0" w:color="auto"/>
            </w:tcBorders>
            <w:vAlign w:val="center"/>
            <w:hideMark/>
          </w:tcPr>
          <w:p w14:paraId="04521A12" w14:textId="77777777" w:rsidR="000D3AE4" w:rsidRPr="0023319B" w:rsidRDefault="000D3AE4" w:rsidP="002E6B58">
            <w:pPr>
              <w:spacing w:line="240" w:lineRule="auto"/>
              <w:jc w:val="left"/>
              <w:rPr>
                <w:rFonts w:cs="Arial"/>
                <w:sz w:val="16"/>
                <w:szCs w:val="16"/>
                <w:lang w:val="es-CR" w:eastAsia="es-CR"/>
              </w:rPr>
            </w:pPr>
          </w:p>
        </w:tc>
        <w:tc>
          <w:tcPr>
            <w:tcW w:w="2665" w:type="dxa"/>
            <w:tcBorders>
              <w:top w:val="nil"/>
              <w:left w:val="nil"/>
              <w:bottom w:val="single" w:sz="8" w:space="0" w:color="auto"/>
              <w:right w:val="single" w:sz="8" w:space="0" w:color="auto"/>
            </w:tcBorders>
            <w:shd w:val="clear" w:color="auto" w:fill="auto"/>
            <w:vAlign w:val="center"/>
            <w:hideMark/>
          </w:tcPr>
          <w:p w14:paraId="5CBED3DB" w14:textId="067112DA" w:rsidR="000D3AE4" w:rsidRPr="0023319B" w:rsidRDefault="000D3AE4" w:rsidP="00DA72E2">
            <w:pPr>
              <w:spacing w:line="240" w:lineRule="auto"/>
              <w:ind w:left="184"/>
              <w:rPr>
                <w:rFonts w:cs="Arial"/>
                <w:color w:val="000000"/>
                <w:sz w:val="15"/>
                <w:szCs w:val="15"/>
                <w:lang w:val="es-CR" w:eastAsia="es-CR"/>
              </w:rPr>
            </w:pPr>
            <w:r w:rsidRPr="0023319B">
              <w:rPr>
                <w:rFonts w:cs="Arial"/>
                <w:color w:val="000000"/>
                <w:sz w:val="15"/>
                <w:szCs w:val="15"/>
                <w:lang w:val="es-CR" w:eastAsia="es-CR"/>
              </w:rPr>
              <w:t xml:space="preserve"> </w:t>
            </w:r>
            <w:r w:rsidR="006A6735" w:rsidRPr="0023319B">
              <w:rPr>
                <w:rFonts w:cs="Arial"/>
                <w:color w:val="000000"/>
                <w:sz w:val="15"/>
                <w:szCs w:val="15"/>
                <w:lang w:val="es-CR" w:eastAsia="es-CR"/>
              </w:rPr>
              <w:t xml:space="preserve"> </w:t>
            </w:r>
            <w:r w:rsidRPr="0023319B">
              <w:rPr>
                <w:rFonts w:cs="Arial"/>
                <w:color w:val="000000"/>
                <w:sz w:val="15"/>
                <w:szCs w:val="15"/>
                <w:lang w:val="es-CR" w:eastAsia="es-CR"/>
              </w:rPr>
              <w:t>Gasto Presupuestado</w:t>
            </w:r>
          </w:p>
        </w:tc>
        <w:tc>
          <w:tcPr>
            <w:tcW w:w="1134" w:type="dxa"/>
            <w:vMerge/>
            <w:tcBorders>
              <w:top w:val="nil"/>
              <w:left w:val="single" w:sz="8" w:space="0" w:color="auto"/>
              <w:bottom w:val="single" w:sz="8" w:space="0" w:color="000000"/>
              <w:right w:val="single" w:sz="8" w:space="0" w:color="auto"/>
            </w:tcBorders>
            <w:vAlign w:val="center"/>
            <w:hideMark/>
          </w:tcPr>
          <w:p w14:paraId="1FD25A4E" w14:textId="77777777" w:rsidR="000D3AE4" w:rsidRPr="0023319B" w:rsidRDefault="000D3AE4" w:rsidP="002E6B58">
            <w:pPr>
              <w:spacing w:line="240" w:lineRule="auto"/>
              <w:jc w:val="left"/>
              <w:rPr>
                <w:rFonts w:cs="Arial"/>
                <w:sz w:val="16"/>
                <w:szCs w:val="16"/>
                <w:lang w:val="es-CR" w:eastAsia="es-CR"/>
              </w:rPr>
            </w:pPr>
          </w:p>
        </w:tc>
        <w:tc>
          <w:tcPr>
            <w:tcW w:w="1200" w:type="dxa"/>
            <w:vMerge/>
            <w:tcBorders>
              <w:top w:val="nil"/>
              <w:left w:val="single" w:sz="8" w:space="0" w:color="auto"/>
              <w:bottom w:val="single" w:sz="8" w:space="0" w:color="000000"/>
              <w:right w:val="single" w:sz="8" w:space="0" w:color="auto"/>
            </w:tcBorders>
            <w:vAlign w:val="center"/>
            <w:hideMark/>
          </w:tcPr>
          <w:p w14:paraId="63DF271E" w14:textId="77777777" w:rsidR="000D3AE4" w:rsidRPr="0023319B" w:rsidRDefault="000D3AE4" w:rsidP="002E6B58">
            <w:pPr>
              <w:spacing w:line="240" w:lineRule="auto"/>
              <w:jc w:val="left"/>
              <w:rPr>
                <w:rFonts w:ascii="Symbol" w:hAnsi="Symbol" w:cs="Arial"/>
                <w:sz w:val="16"/>
                <w:szCs w:val="16"/>
                <w:lang w:val="es-CR" w:eastAsia="es-CR"/>
              </w:rPr>
            </w:pPr>
          </w:p>
        </w:tc>
        <w:tc>
          <w:tcPr>
            <w:tcW w:w="1352" w:type="dxa"/>
            <w:vMerge/>
            <w:tcBorders>
              <w:top w:val="nil"/>
              <w:left w:val="single" w:sz="8" w:space="0" w:color="auto"/>
              <w:bottom w:val="single" w:sz="8" w:space="0" w:color="000000"/>
              <w:right w:val="single" w:sz="8" w:space="0" w:color="auto"/>
            </w:tcBorders>
            <w:vAlign w:val="center"/>
            <w:hideMark/>
          </w:tcPr>
          <w:p w14:paraId="02ECA05D" w14:textId="77777777" w:rsidR="000D3AE4" w:rsidRPr="0023319B" w:rsidRDefault="000D3AE4" w:rsidP="002E6B58">
            <w:pPr>
              <w:spacing w:line="240" w:lineRule="auto"/>
              <w:jc w:val="left"/>
              <w:rPr>
                <w:rFonts w:ascii="Symbol" w:hAnsi="Symbol" w:cs="Arial"/>
                <w:sz w:val="16"/>
                <w:szCs w:val="16"/>
                <w:lang w:val="es-CR" w:eastAsia="es-CR"/>
              </w:rPr>
            </w:pPr>
          </w:p>
        </w:tc>
        <w:tc>
          <w:tcPr>
            <w:tcW w:w="1133" w:type="dxa"/>
            <w:vMerge/>
            <w:tcBorders>
              <w:top w:val="nil"/>
              <w:left w:val="single" w:sz="8" w:space="0" w:color="auto"/>
              <w:bottom w:val="single" w:sz="8" w:space="0" w:color="000000"/>
              <w:right w:val="single" w:sz="8" w:space="0" w:color="auto"/>
            </w:tcBorders>
            <w:vAlign w:val="center"/>
            <w:hideMark/>
          </w:tcPr>
          <w:p w14:paraId="4AD0C9EE" w14:textId="77777777" w:rsidR="000D3AE4" w:rsidRPr="0023319B" w:rsidRDefault="000D3AE4" w:rsidP="002E6B58">
            <w:pPr>
              <w:spacing w:line="240" w:lineRule="auto"/>
              <w:jc w:val="left"/>
              <w:rPr>
                <w:rFonts w:cs="Arial"/>
                <w:sz w:val="16"/>
                <w:szCs w:val="16"/>
                <w:lang w:val="es-CR" w:eastAsia="es-CR"/>
              </w:rPr>
            </w:pPr>
          </w:p>
        </w:tc>
      </w:tr>
    </w:tbl>
    <w:p w14:paraId="085E3AC1" w14:textId="77777777" w:rsidR="000D3AE4" w:rsidRPr="0023319B" w:rsidRDefault="000D3AE4" w:rsidP="000D3AE4">
      <w:pPr>
        <w:rPr>
          <w:rFonts w:asciiTheme="minorHAnsi" w:hAnsiTheme="minorHAnsi" w:cstheme="minorHAnsi"/>
          <w:lang w:val="es-CR"/>
        </w:rPr>
      </w:pPr>
    </w:p>
    <w:p w14:paraId="2200BE41" w14:textId="77777777" w:rsidR="000D3AE4" w:rsidRPr="0023319B" w:rsidRDefault="000D3AE4" w:rsidP="000D3AE4">
      <w:pPr>
        <w:rPr>
          <w:rFonts w:asciiTheme="minorHAnsi" w:hAnsiTheme="minorHAnsi" w:cstheme="minorHAnsi"/>
          <w:lang w:val="es-CR"/>
        </w:rPr>
      </w:pPr>
      <w:r w:rsidRPr="0023319B">
        <w:rPr>
          <w:rFonts w:cs="Arial"/>
          <w:b/>
          <w:bCs/>
          <w:i/>
          <w:iCs/>
          <w:szCs w:val="22"/>
          <w:lang w:val="es-CR" w:eastAsia="es-CR"/>
        </w:rPr>
        <w:t>Resultados</w:t>
      </w:r>
      <w:r w:rsidRPr="0023319B">
        <w:rPr>
          <w:rFonts w:cs="Arial"/>
          <w:i/>
          <w:iCs/>
          <w:szCs w:val="22"/>
          <w:lang w:val="es-CR" w:eastAsia="es-CR"/>
        </w:rPr>
        <w:t>:</w:t>
      </w:r>
    </w:p>
    <w:tbl>
      <w:tblPr>
        <w:tblW w:w="9204" w:type="dxa"/>
        <w:tblCellMar>
          <w:left w:w="70" w:type="dxa"/>
          <w:right w:w="70" w:type="dxa"/>
        </w:tblCellMar>
        <w:tblLook w:val="04A0" w:firstRow="1" w:lastRow="0" w:firstColumn="1" w:lastColumn="0" w:noHBand="0" w:noVBand="1"/>
      </w:tblPr>
      <w:tblGrid>
        <w:gridCol w:w="1720"/>
        <w:gridCol w:w="2665"/>
        <w:gridCol w:w="1134"/>
        <w:gridCol w:w="1200"/>
        <w:gridCol w:w="1351"/>
        <w:gridCol w:w="1134"/>
      </w:tblGrid>
      <w:tr w:rsidR="000D3AE4" w:rsidRPr="0023319B" w14:paraId="30E73956" w14:textId="77777777" w:rsidTr="002E6B58">
        <w:trPr>
          <w:trHeight w:val="326"/>
        </w:trPr>
        <w:tc>
          <w:tcPr>
            <w:tcW w:w="1720" w:type="dxa"/>
            <w:vMerge w:val="restart"/>
            <w:tcBorders>
              <w:top w:val="single" w:sz="8" w:space="0" w:color="auto"/>
              <w:left w:val="single" w:sz="8" w:space="0" w:color="auto"/>
              <w:bottom w:val="single" w:sz="8" w:space="0" w:color="000000"/>
              <w:right w:val="single" w:sz="8" w:space="0" w:color="auto"/>
            </w:tcBorders>
            <w:shd w:val="clear" w:color="auto" w:fill="DBE5F1" w:themeFill="accent1" w:themeFillTint="33"/>
            <w:vAlign w:val="center"/>
            <w:hideMark/>
          </w:tcPr>
          <w:p w14:paraId="118F89AD" w14:textId="77777777" w:rsidR="000D3AE4" w:rsidRPr="0023319B" w:rsidRDefault="000D3AE4" w:rsidP="002E6B58">
            <w:pPr>
              <w:spacing w:line="240" w:lineRule="auto"/>
              <w:jc w:val="center"/>
              <w:rPr>
                <w:rFonts w:cs="Arial"/>
                <w:b/>
                <w:bCs/>
                <w:sz w:val="16"/>
                <w:szCs w:val="16"/>
                <w:lang w:val="es-CR" w:eastAsia="es-CR"/>
              </w:rPr>
            </w:pPr>
            <w:r w:rsidRPr="0023319B">
              <w:rPr>
                <w:rFonts w:cs="Arial"/>
                <w:b/>
                <w:bCs/>
                <w:sz w:val="16"/>
                <w:szCs w:val="16"/>
                <w:lang w:val="es-CR" w:eastAsia="es-CR"/>
              </w:rPr>
              <w:t>ENUNCIADO</w:t>
            </w:r>
          </w:p>
        </w:tc>
        <w:tc>
          <w:tcPr>
            <w:tcW w:w="2665" w:type="dxa"/>
            <w:tcBorders>
              <w:top w:val="single" w:sz="8" w:space="0" w:color="auto"/>
              <w:left w:val="nil"/>
              <w:bottom w:val="nil"/>
              <w:right w:val="single" w:sz="8" w:space="0" w:color="auto"/>
            </w:tcBorders>
            <w:shd w:val="clear" w:color="auto" w:fill="DBE5F1" w:themeFill="accent1" w:themeFillTint="33"/>
            <w:vAlign w:val="center"/>
            <w:hideMark/>
          </w:tcPr>
          <w:p w14:paraId="4AA15EF4" w14:textId="77777777" w:rsidR="000D3AE4" w:rsidRPr="0023319B" w:rsidRDefault="000D3AE4" w:rsidP="002E6B58">
            <w:pPr>
              <w:spacing w:line="240" w:lineRule="auto"/>
              <w:jc w:val="center"/>
              <w:rPr>
                <w:rFonts w:cs="Arial"/>
                <w:b/>
                <w:bCs/>
                <w:sz w:val="16"/>
                <w:szCs w:val="16"/>
                <w:lang w:val="es-CR" w:eastAsia="es-CR"/>
              </w:rPr>
            </w:pPr>
            <w:r w:rsidRPr="0023319B">
              <w:rPr>
                <w:rFonts w:cs="Arial"/>
                <w:b/>
                <w:bCs/>
                <w:sz w:val="16"/>
                <w:szCs w:val="16"/>
                <w:lang w:val="es-CR" w:eastAsia="es-CR"/>
              </w:rPr>
              <w:t>INDICADOR</w:t>
            </w:r>
          </w:p>
        </w:tc>
        <w:tc>
          <w:tcPr>
            <w:tcW w:w="4819" w:type="dxa"/>
            <w:gridSpan w:val="4"/>
            <w:tcBorders>
              <w:top w:val="single" w:sz="8" w:space="0" w:color="auto"/>
              <w:left w:val="nil"/>
              <w:bottom w:val="single" w:sz="8" w:space="0" w:color="auto"/>
              <w:right w:val="single" w:sz="8" w:space="0" w:color="000000"/>
            </w:tcBorders>
            <w:shd w:val="clear" w:color="auto" w:fill="DBE5F1" w:themeFill="accent1" w:themeFillTint="33"/>
            <w:vAlign w:val="center"/>
            <w:hideMark/>
          </w:tcPr>
          <w:p w14:paraId="2BC49DD2" w14:textId="77777777" w:rsidR="000D3AE4" w:rsidRPr="0023319B" w:rsidRDefault="000D3AE4" w:rsidP="002E6B58">
            <w:pPr>
              <w:spacing w:line="240" w:lineRule="auto"/>
              <w:jc w:val="center"/>
              <w:rPr>
                <w:rFonts w:cs="Arial"/>
                <w:b/>
                <w:bCs/>
                <w:sz w:val="16"/>
                <w:szCs w:val="16"/>
                <w:lang w:val="es-CR" w:eastAsia="es-CR"/>
              </w:rPr>
            </w:pPr>
            <w:r w:rsidRPr="0023319B">
              <w:rPr>
                <w:rFonts w:cs="Arial"/>
                <w:b/>
                <w:bCs/>
                <w:sz w:val="16"/>
                <w:szCs w:val="16"/>
                <w:lang w:val="es-CR" w:eastAsia="es-CR"/>
              </w:rPr>
              <w:t>PARÁMETROS</w:t>
            </w:r>
          </w:p>
        </w:tc>
      </w:tr>
      <w:tr w:rsidR="000D3AE4" w:rsidRPr="0023319B" w14:paraId="5EEC48CB" w14:textId="77777777" w:rsidTr="002E6B58">
        <w:trPr>
          <w:trHeight w:val="465"/>
        </w:trPr>
        <w:tc>
          <w:tcPr>
            <w:tcW w:w="1720" w:type="dxa"/>
            <w:vMerge/>
            <w:tcBorders>
              <w:top w:val="single" w:sz="8" w:space="0" w:color="auto"/>
              <w:left w:val="single" w:sz="8" w:space="0" w:color="auto"/>
              <w:bottom w:val="single" w:sz="8" w:space="0" w:color="000000"/>
              <w:right w:val="single" w:sz="8" w:space="0" w:color="auto"/>
            </w:tcBorders>
            <w:vAlign w:val="center"/>
            <w:hideMark/>
          </w:tcPr>
          <w:p w14:paraId="318F6CFD" w14:textId="77777777" w:rsidR="000D3AE4" w:rsidRPr="0023319B" w:rsidRDefault="000D3AE4" w:rsidP="002E6B58">
            <w:pPr>
              <w:spacing w:line="240" w:lineRule="auto"/>
              <w:jc w:val="left"/>
              <w:rPr>
                <w:rFonts w:cs="Arial"/>
                <w:b/>
                <w:bCs/>
                <w:sz w:val="16"/>
                <w:szCs w:val="16"/>
                <w:lang w:val="es-CR" w:eastAsia="es-CR"/>
              </w:rPr>
            </w:pPr>
          </w:p>
        </w:tc>
        <w:tc>
          <w:tcPr>
            <w:tcW w:w="2665" w:type="dxa"/>
            <w:tcBorders>
              <w:top w:val="nil"/>
              <w:left w:val="nil"/>
              <w:bottom w:val="nil"/>
              <w:right w:val="single" w:sz="8" w:space="0" w:color="auto"/>
            </w:tcBorders>
            <w:shd w:val="clear" w:color="000000" w:fill="DBE5F1"/>
            <w:vAlign w:val="center"/>
            <w:hideMark/>
          </w:tcPr>
          <w:p w14:paraId="6654EA18" w14:textId="77777777" w:rsidR="000D3AE4" w:rsidRPr="0023319B" w:rsidRDefault="000D3AE4" w:rsidP="002E6B58">
            <w:pPr>
              <w:spacing w:line="240" w:lineRule="auto"/>
              <w:jc w:val="center"/>
              <w:rPr>
                <w:rFonts w:cs="Arial"/>
                <w:b/>
                <w:bCs/>
                <w:sz w:val="16"/>
                <w:szCs w:val="16"/>
                <w:lang w:val="es-CR" w:eastAsia="es-CR"/>
              </w:rPr>
            </w:pPr>
            <w:r w:rsidRPr="0023319B">
              <w:rPr>
                <w:rFonts w:cs="Arial"/>
                <w:b/>
                <w:bCs/>
                <w:sz w:val="16"/>
                <w:szCs w:val="16"/>
                <w:lang w:val="es-CR" w:eastAsia="es-CR"/>
              </w:rPr>
              <w:t>EJECUCION PRESUPUESTARIA</w:t>
            </w:r>
          </w:p>
        </w:tc>
        <w:tc>
          <w:tcPr>
            <w:tcW w:w="1134" w:type="dxa"/>
            <w:tcBorders>
              <w:top w:val="nil"/>
              <w:left w:val="nil"/>
              <w:bottom w:val="single" w:sz="8" w:space="0" w:color="auto"/>
              <w:right w:val="single" w:sz="8" w:space="0" w:color="auto"/>
            </w:tcBorders>
            <w:shd w:val="clear" w:color="000000" w:fill="00B0F0"/>
            <w:vAlign w:val="center"/>
            <w:hideMark/>
          </w:tcPr>
          <w:p w14:paraId="62A57FCC" w14:textId="77777777" w:rsidR="000D3AE4" w:rsidRPr="0023319B" w:rsidRDefault="000D3AE4" w:rsidP="002E6B58">
            <w:pPr>
              <w:spacing w:line="240" w:lineRule="auto"/>
              <w:jc w:val="center"/>
              <w:rPr>
                <w:rFonts w:cs="Arial"/>
                <w:b/>
                <w:bCs/>
                <w:sz w:val="12"/>
                <w:szCs w:val="12"/>
                <w:lang w:val="es-CR" w:eastAsia="es-CR"/>
              </w:rPr>
            </w:pPr>
            <w:r w:rsidRPr="0023319B">
              <w:rPr>
                <w:rFonts w:cs="Arial"/>
                <w:b/>
                <w:bCs/>
                <w:sz w:val="12"/>
                <w:szCs w:val="12"/>
                <w:lang w:val="es-CR" w:eastAsia="es-CR"/>
              </w:rPr>
              <w:t>Excelente</w:t>
            </w:r>
          </w:p>
        </w:tc>
        <w:tc>
          <w:tcPr>
            <w:tcW w:w="1200" w:type="dxa"/>
            <w:tcBorders>
              <w:top w:val="nil"/>
              <w:left w:val="nil"/>
              <w:bottom w:val="single" w:sz="8" w:space="0" w:color="auto"/>
              <w:right w:val="single" w:sz="8" w:space="0" w:color="auto"/>
            </w:tcBorders>
            <w:shd w:val="clear" w:color="000000" w:fill="00FF00"/>
            <w:vAlign w:val="center"/>
            <w:hideMark/>
          </w:tcPr>
          <w:p w14:paraId="0224903A" w14:textId="77777777" w:rsidR="000D3AE4" w:rsidRPr="0023319B" w:rsidRDefault="000D3AE4" w:rsidP="002E6B58">
            <w:pPr>
              <w:spacing w:line="240" w:lineRule="auto"/>
              <w:jc w:val="center"/>
              <w:rPr>
                <w:rFonts w:cs="Arial"/>
                <w:b/>
                <w:bCs/>
                <w:sz w:val="12"/>
                <w:szCs w:val="12"/>
                <w:lang w:val="es-CR" w:eastAsia="es-CR"/>
              </w:rPr>
            </w:pPr>
            <w:r w:rsidRPr="0023319B">
              <w:rPr>
                <w:rFonts w:cs="Arial"/>
                <w:b/>
                <w:bCs/>
                <w:sz w:val="12"/>
                <w:szCs w:val="12"/>
                <w:lang w:val="es-CR" w:eastAsia="es-CR"/>
              </w:rPr>
              <w:t>Muy Bueno</w:t>
            </w:r>
          </w:p>
        </w:tc>
        <w:tc>
          <w:tcPr>
            <w:tcW w:w="1351" w:type="dxa"/>
            <w:tcBorders>
              <w:top w:val="nil"/>
              <w:left w:val="nil"/>
              <w:bottom w:val="single" w:sz="8" w:space="0" w:color="auto"/>
              <w:right w:val="single" w:sz="8" w:space="0" w:color="auto"/>
            </w:tcBorders>
            <w:shd w:val="clear" w:color="000000" w:fill="FFFF00"/>
            <w:vAlign w:val="center"/>
            <w:hideMark/>
          </w:tcPr>
          <w:p w14:paraId="4FBDAFC0" w14:textId="77777777" w:rsidR="000D3AE4" w:rsidRPr="0023319B" w:rsidRDefault="000D3AE4" w:rsidP="002E6B58">
            <w:pPr>
              <w:spacing w:line="240" w:lineRule="auto"/>
              <w:jc w:val="center"/>
              <w:rPr>
                <w:rFonts w:cs="Arial"/>
                <w:b/>
                <w:bCs/>
                <w:sz w:val="12"/>
                <w:szCs w:val="12"/>
                <w:lang w:val="es-CR" w:eastAsia="es-CR"/>
              </w:rPr>
            </w:pPr>
            <w:r w:rsidRPr="0023319B">
              <w:rPr>
                <w:rFonts w:cs="Arial"/>
                <w:b/>
                <w:bCs/>
                <w:sz w:val="12"/>
                <w:szCs w:val="12"/>
                <w:lang w:val="es-CR" w:eastAsia="es-CR"/>
              </w:rPr>
              <w:t>Bueno</w:t>
            </w:r>
          </w:p>
        </w:tc>
        <w:tc>
          <w:tcPr>
            <w:tcW w:w="1134" w:type="dxa"/>
            <w:tcBorders>
              <w:top w:val="nil"/>
              <w:left w:val="nil"/>
              <w:bottom w:val="single" w:sz="8" w:space="0" w:color="auto"/>
              <w:right w:val="single" w:sz="8" w:space="0" w:color="auto"/>
            </w:tcBorders>
            <w:shd w:val="clear" w:color="000000" w:fill="FF0000"/>
            <w:vAlign w:val="center"/>
            <w:hideMark/>
          </w:tcPr>
          <w:p w14:paraId="3B0C38D0" w14:textId="77777777" w:rsidR="000D3AE4" w:rsidRPr="0023319B" w:rsidRDefault="000D3AE4" w:rsidP="002E6B58">
            <w:pPr>
              <w:spacing w:line="240" w:lineRule="auto"/>
              <w:jc w:val="center"/>
              <w:rPr>
                <w:rFonts w:cs="Arial"/>
                <w:b/>
                <w:bCs/>
                <w:sz w:val="12"/>
                <w:szCs w:val="12"/>
                <w:lang w:val="es-CR" w:eastAsia="es-CR"/>
              </w:rPr>
            </w:pPr>
            <w:r w:rsidRPr="0023319B">
              <w:rPr>
                <w:rFonts w:cs="Arial"/>
                <w:b/>
                <w:bCs/>
                <w:sz w:val="12"/>
                <w:szCs w:val="12"/>
                <w:lang w:val="es-CR" w:eastAsia="es-CR"/>
              </w:rPr>
              <w:t>Malo</w:t>
            </w:r>
          </w:p>
        </w:tc>
      </w:tr>
      <w:tr w:rsidR="000D3AE4" w:rsidRPr="0023319B" w14:paraId="24CFDE01" w14:textId="77777777" w:rsidTr="006A6735">
        <w:trPr>
          <w:trHeight w:val="450"/>
        </w:trPr>
        <w:tc>
          <w:tcPr>
            <w:tcW w:w="1720" w:type="dxa"/>
            <w:vMerge w:val="restart"/>
            <w:tcBorders>
              <w:top w:val="nil"/>
              <w:left w:val="single" w:sz="8" w:space="0" w:color="auto"/>
              <w:bottom w:val="single" w:sz="8" w:space="0" w:color="000000"/>
              <w:right w:val="single" w:sz="8" w:space="0" w:color="auto"/>
            </w:tcBorders>
            <w:shd w:val="clear" w:color="auto" w:fill="auto"/>
            <w:vAlign w:val="center"/>
            <w:hideMark/>
          </w:tcPr>
          <w:p w14:paraId="29B18DA8" w14:textId="77777777" w:rsidR="000D3AE4" w:rsidRPr="0023319B" w:rsidRDefault="000D3AE4" w:rsidP="002E6B58">
            <w:pPr>
              <w:spacing w:line="240" w:lineRule="auto"/>
              <w:jc w:val="center"/>
              <w:rPr>
                <w:rFonts w:cs="Arial"/>
                <w:sz w:val="16"/>
                <w:szCs w:val="16"/>
                <w:lang w:val="es-CR" w:eastAsia="es-CR"/>
              </w:rPr>
            </w:pPr>
            <w:r w:rsidRPr="0023319B">
              <w:rPr>
                <w:rFonts w:cs="Arial"/>
                <w:sz w:val="16"/>
                <w:szCs w:val="16"/>
                <w:lang w:val="es-CR" w:eastAsia="es-CR"/>
              </w:rPr>
              <w:t>Desviación porcentual entre lo ejecutado y lo presupuestado</w:t>
            </w:r>
          </w:p>
        </w:tc>
        <w:tc>
          <w:tcPr>
            <w:tcW w:w="2665" w:type="dxa"/>
            <w:tcBorders>
              <w:top w:val="single" w:sz="8" w:space="0" w:color="auto"/>
              <w:left w:val="nil"/>
              <w:bottom w:val="nil"/>
              <w:right w:val="single" w:sz="8" w:space="0" w:color="auto"/>
            </w:tcBorders>
            <w:shd w:val="clear" w:color="auto" w:fill="auto"/>
            <w:vAlign w:val="center"/>
            <w:hideMark/>
          </w:tcPr>
          <w:p w14:paraId="1B942DD1" w14:textId="142F9480" w:rsidR="000D3AE4" w:rsidRPr="0023319B" w:rsidRDefault="000D3AE4" w:rsidP="002E6B58">
            <w:pPr>
              <w:spacing w:line="240" w:lineRule="auto"/>
              <w:jc w:val="center"/>
              <w:rPr>
                <w:rFonts w:cs="Arial"/>
                <w:color w:val="000000"/>
                <w:sz w:val="16"/>
                <w:szCs w:val="16"/>
                <w:u w:val="single"/>
                <w:lang w:val="es-CR" w:eastAsia="es-CR"/>
              </w:rPr>
            </w:pPr>
            <w:r w:rsidRPr="0023319B">
              <w:rPr>
                <w:rFonts w:cs="Arial"/>
                <w:color w:val="000000"/>
                <w:sz w:val="16"/>
                <w:szCs w:val="16"/>
                <w:u w:val="single"/>
                <w:lang w:val="es-CR" w:eastAsia="es-CR"/>
              </w:rPr>
              <w:t>5</w:t>
            </w:r>
            <w:r w:rsidR="00DC6BB1" w:rsidRPr="0023319B">
              <w:rPr>
                <w:rFonts w:cs="Arial"/>
                <w:color w:val="000000"/>
                <w:sz w:val="16"/>
                <w:szCs w:val="16"/>
                <w:u w:val="single"/>
                <w:lang w:val="es-CR" w:eastAsia="es-CR"/>
              </w:rPr>
              <w:t xml:space="preserve"> </w:t>
            </w:r>
            <w:r w:rsidRPr="0023319B">
              <w:rPr>
                <w:rFonts w:cs="Arial"/>
                <w:color w:val="000000"/>
                <w:sz w:val="16"/>
                <w:szCs w:val="16"/>
                <w:u w:val="single"/>
                <w:lang w:val="es-CR" w:eastAsia="es-CR"/>
              </w:rPr>
              <w:t>645</w:t>
            </w:r>
            <w:r w:rsidR="00DC6BB1" w:rsidRPr="0023319B">
              <w:rPr>
                <w:rFonts w:cs="Arial"/>
                <w:color w:val="000000"/>
                <w:sz w:val="16"/>
                <w:szCs w:val="16"/>
                <w:u w:val="single"/>
                <w:lang w:val="es-CR" w:eastAsia="es-CR"/>
              </w:rPr>
              <w:t xml:space="preserve"> </w:t>
            </w:r>
            <w:r w:rsidRPr="0023319B">
              <w:rPr>
                <w:rFonts w:cs="Arial"/>
                <w:color w:val="000000"/>
                <w:sz w:val="16"/>
                <w:szCs w:val="16"/>
                <w:u w:val="single"/>
                <w:lang w:val="es-CR" w:eastAsia="es-CR"/>
              </w:rPr>
              <w:t>784</w:t>
            </w:r>
            <w:r w:rsidR="00DC6BB1" w:rsidRPr="0023319B">
              <w:rPr>
                <w:rFonts w:cs="Arial"/>
                <w:color w:val="000000"/>
                <w:sz w:val="16"/>
                <w:szCs w:val="16"/>
                <w:u w:val="single"/>
                <w:lang w:val="es-CR" w:eastAsia="es-CR"/>
              </w:rPr>
              <w:t xml:space="preserve"> </w:t>
            </w:r>
            <w:r w:rsidRPr="0023319B">
              <w:rPr>
                <w:rFonts w:cs="Arial"/>
                <w:color w:val="000000"/>
                <w:sz w:val="16"/>
                <w:szCs w:val="16"/>
                <w:u w:val="single"/>
                <w:lang w:val="es-CR" w:eastAsia="es-CR"/>
              </w:rPr>
              <w:t>899</w:t>
            </w:r>
            <w:r w:rsidRPr="0023319B">
              <w:rPr>
                <w:rFonts w:cs="Arial"/>
                <w:color w:val="000000"/>
                <w:sz w:val="16"/>
                <w:szCs w:val="16"/>
                <w:lang w:val="es-CR" w:eastAsia="es-CR"/>
              </w:rPr>
              <w:t xml:space="preserve"> – </w:t>
            </w:r>
            <w:r w:rsidR="007E61A6" w:rsidRPr="0023319B">
              <w:rPr>
                <w:rFonts w:cs="Arial"/>
                <w:color w:val="000000"/>
                <w:sz w:val="16"/>
                <w:szCs w:val="16"/>
                <w:lang w:val="es-CR" w:eastAsia="es-CR"/>
              </w:rPr>
              <w:t>1</w:t>
            </w:r>
            <w:r w:rsidRPr="0023319B">
              <w:rPr>
                <w:rFonts w:cs="Arial"/>
                <w:color w:val="000000"/>
                <w:sz w:val="16"/>
                <w:szCs w:val="16"/>
                <w:lang w:val="es-CR" w:eastAsia="es-CR"/>
              </w:rPr>
              <w:t xml:space="preserve"> * 100%</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1EAE5EDA" w14:textId="77777777" w:rsidR="000D3AE4" w:rsidRPr="0023319B" w:rsidRDefault="000D3AE4" w:rsidP="002E6B58">
            <w:pPr>
              <w:spacing w:line="240" w:lineRule="auto"/>
              <w:jc w:val="center"/>
              <w:rPr>
                <w:rFonts w:cs="Arial"/>
                <w:sz w:val="16"/>
                <w:szCs w:val="16"/>
                <w:lang w:val="es-CR" w:eastAsia="es-CR"/>
              </w:rPr>
            </w:pPr>
          </w:p>
        </w:tc>
        <w:tc>
          <w:tcPr>
            <w:tcW w:w="1200" w:type="dxa"/>
            <w:vMerge w:val="restart"/>
            <w:tcBorders>
              <w:top w:val="nil"/>
              <w:left w:val="single" w:sz="8" w:space="0" w:color="auto"/>
              <w:bottom w:val="single" w:sz="8" w:space="0" w:color="000000"/>
              <w:right w:val="single" w:sz="8" w:space="0" w:color="auto"/>
            </w:tcBorders>
            <w:shd w:val="clear" w:color="auto" w:fill="auto"/>
            <w:vAlign w:val="center"/>
            <w:hideMark/>
          </w:tcPr>
          <w:p w14:paraId="2279A651" w14:textId="63449373" w:rsidR="000D3AE4" w:rsidRPr="0023319B" w:rsidRDefault="000D3AE4" w:rsidP="002E6B58">
            <w:pPr>
              <w:spacing w:line="240" w:lineRule="auto"/>
              <w:jc w:val="center"/>
              <w:rPr>
                <w:rFonts w:cs="Arial"/>
                <w:sz w:val="16"/>
                <w:szCs w:val="16"/>
                <w:lang w:val="es-CR" w:eastAsia="es-CR"/>
              </w:rPr>
            </w:pPr>
          </w:p>
        </w:tc>
        <w:tc>
          <w:tcPr>
            <w:tcW w:w="1351" w:type="dxa"/>
            <w:vMerge w:val="restart"/>
            <w:tcBorders>
              <w:top w:val="nil"/>
              <w:left w:val="single" w:sz="8" w:space="0" w:color="auto"/>
              <w:bottom w:val="single" w:sz="8" w:space="0" w:color="000000"/>
              <w:right w:val="single" w:sz="8" w:space="0" w:color="auto"/>
            </w:tcBorders>
            <w:shd w:val="clear" w:color="auto" w:fill="auto"/>
            <w:vAlign w:val="center"/>
            <w:hideMark/>
          </w:tcPr>
          <w:p w14:paraId="2FEE3217" w14:textId="791DB45F" w:rsidR="000D3AE4" w:rsidRPr="0023319B" w:rsidRDefault="007E61A6" w:rsidP="002E6B58">
            <w:pPr>
              <w:spacing w:line="240" w:lineRule="auto"/>
              <w:jc w:val="center"/>
              <w:rPr>
                <w:rFonts w:cs="Arial"/>
                <w:sz w:val="16"/>
                <w:szCs w:val="16"/>
                <w:lang w:val="es-CR" w:eastAsia="es-CR"/>
              </w:rPr>
            </w:pPr>
            <w:r w:rsidRPr="0023319B">
              <w:rPr>
                <w:rFonts w:cs="Arial"/>
                <w:sz w:val="16"/>
                <w:szCs w:val="16"/>
                <w:lang w:val="es-CR" w:eastAsia="es-CR"/>
              </w:rPr>
              <w:t>20%</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60046CD4" w14:textId="77777777" w:rsidR="000D3AE4" w:rsidRPr="0023319B" w:rsidRDefault="000D3AE4" w:rsidP="002E6B58">
            <w:pPr>
              <w:spacing w:line="240" w:lineRule="auto"/>
              <w:jc w:val="center"/>
              <w:rPr>
                <w:rFonts w:cs="Arial"/>
                <w:sz w:val="16"/>
                <w:szCs w:val="16"/>
                <w:lang w:val="es-CR" w:eastAsia="es-CR"/>
              </w:rPr>
            </w:pPr>
          </w:p>
        </w:tc>
      </w:tr>
      <w:tr w:rsidR="000D3AE4" w:rsidRPr="0023319B" w14:paraId="54991524" w14:textId="77777777" w:rsidTr="006A6735">
        <w:trPr>
          <w:trHeight w:val="240"/>
        </w:trPr>
        <w:tc>
          <w:tcPr>
            <w:tcW w:w="1720" w:type="dxa"/>
            <w:vMerge/>
            <w:tcBorders>
              <w:top w:val="nil"/>
              <w:left w:val="single" w:sz="8" w:space="0" w:color="auto"/>
              <w:bottom w:val="single" w:sz="8" w:space="0" w:color="000000"/>
              <w:right w:val="single" w:sz="8" w:space="0" w:color="auto"/>
            </w:tcBorders>
            <w:vAlign w:val="center"/>
            <w:hideMark/>
          </w:tcPr>
          <w:p w14:paraId="55848FCC" w14:textId="77777777" w:rsidR="000D3AE4" w:rsidRPr="0023319B" w:rsidRDefault="000D3AE4" w:rsidP="002E6B58">
            <w:pPr>
              <w:spacing w:line="240" w:lineRule="auto"/>
              <w:jc w:val="left"/>
              <w:rPr>
                <w:rFonts w:cs="Arial"/>
                <w:sz w:val="16"/>
                <w:szCs w:val="16"/>
                <w:lang w:val="es-CR" w:eastAsia="es-CR"/>
              </w:rPr>
            </w:pPr>
          </w:p>
        </w:tc>
        <w:tc>
          <w:tcPr>
            <w:tcW w:w="2665" w:type="dxa"/>
            <w:tcBorders>
              <w:top w:val="nil"/>
              <w:left w:val="nil"/>
              <w:bottom w:val="single" w:sz="8" w:space="0" w:color="auto"/>
              <w:right w:val="single" w:sz="8" w:space="0" w:color="auto"/>
            </w:tcBorders>
            <w:shd w:val="clear" w:color="auto" w:fill="auto"/>
            <w:vAlign w:val="center"/>
            <w:hideMark/>
          </w:tcPr>
          <w:p w14:paraId="598D713B" w14:textId="21FB61C5" w:rsidR="000D3AE4" w:rsidRPr="0023319B" w:rsidRDefault="000D3AE4" w:rsidP="00DA72E2">
            <w:pPr>
              <w:spacing w:line="240" w:lineRule="auto"/>
              <w:ind w:left="184"/>
              <w:rPr>
                <w:rFonts w:cs="Arial"/>
                <w:color w:val="000000"/>
                <w:sz w:val="16"/>
                <w:szCs w:val="16"/>
                <w:lang w:val="es-CR" w:eastAsia="es-CR"/>
              </w:rPr>
            </w:pPr>
            <w:r w:rsidRPr="0023319B">
              <w:rPr>
                <w:rFonts w:cs="Arial"/>
                <w:color w:val="000000"/>
                <w:sz w:val="16"/>
                <w:szCs w:val="16"/>
                <w:lang w:val="es-CR" w:eastAsia="es-CR"/>
              </w:rPr>
              <w:t xml:space="preserve">     </w:t>
            </w:r>
            <w:r w:rsidR="007E61A6" w:rsidRPr="0023319B">
              <w:rPr>
                <w:rFonts w:cs="Arial"/>
                <w:color w:val="000000"/>
                <w:sz w:val="16"/>
                <w:szCs w:val="16"/>
                <w:lang w:val="es-CR" w:eastAsia="es-CR"/>
              </w:rPr>
              <w:t>4</w:t>
            </w:r>
            <w:r w:rsidR="00572037" w:rsidRPr="0023319B">
              <w:rPr>
                <w:rFonts w:cs="Arial"/>
                <w:color w:val="000000"/>
                <w:sz w:val="16"/>
                <w:szCs w:val="16"/>
                <w:lang w:val="es-CR" w:eastAsia="es-CR"/>
              </w:rPr>
              <w:t xml:space="preserve"> </w:t>
            </w:r>
            <w:r w:rsidR="00DC6BB1" w:rsidRPr="0023319B">
              <w:rPr>
                <w:rFonts w:cs="Arial"/>
                <w:color w:val="000000"/>
                <w:sz w:val="16"/>
                <w:szCs w:val="16"/>
                <w:lang w:val="es-CR" w:eastAsia="es-CR"/>
              </w:rPr>
              <w:t>511</w:t>
            </w:r>
            <w:r w:rsidR="00572037" w:rsidRPr="0023319B">
              <w:rPr>
                <w:rFonts w:cs="Arial"/>
                <w:color w:val="000000"/>
                <w:sz w:val="16"/>
                <w:szCs w:val="16"/>
                <w:lang w:val="es-CR" w:eastAsia="es-CR"/>
              </w:rPr>
              <w:t xml:space="preserve"> </w:t>
            </w:r>
            <w:r w:rsidR="00DC6BB1" w:rsidRPr="0023319B">
              <w:rPr>
                <w:rFonts w:cs="Arial"/>
                <w:color w:val="000000"/>
                <w:sz w:val="16"/>
                <w:szCs w:val="16"/>
                <w:lang w:val="es-CR" w:eastAsia="es-CR"/>
              </w:rPr>
              <w:t>055 415</w:t>
            </w:r>
          </w:p>
        </w:tc>
        <w:tc>
          <w:tcPr>
            <w:tcW w:w="1134" w:type="dxa"/>
            <w:vMerge/>
            <w:tcBorders>
              <w:top w:val="nil"/>
              <w:left w:val="single" w:sz="8" w:space="0" w:color="auto"/>
              <w:bottom w:val="single" w:sz="8" w:space="0" w:color="000000"/>
              <w:right w:val="single" w:sz="8" w:space="0" w:color="auto"/>
            </w:tcBorders>
            <w:vAlign w:val="center"/>
            <w:hideMark/>
          </w:tcPr>
          <w:p w14:paraId="223DC265" w14:textId="77777777" w:rsidR="000D3AE4" w:rsidRPr="0023319B" w:rsidRDefault="000D3AE4" w:rsidP="002E6B58">
            <w:pPr>
              <w:spacing w:line="240" w:lineRule="auto"/>
              <w:jc w:val="left"/>
              <w:rPr>
                <w:rFonts w:cs="Arial"/>
                <w:sz w:val="16"/>
                <w:szCs w:val="16"/>
                <w:lang w:val="es-CR" w:eastAsia="es-CR"/>
              </w:rPr>
            </w:pPr>
          </w:p>
        </w:tc>
        <w:tc>
          <w:tcPr>
            <w:tcW w:w="1200" w:type="dxa"/>
            <w:vMerge/>
            <w:tcBorders>
              <w:top w:val="nil"/>
              <w:left w:val="single" w:sz="8" w:space="0" w:color="auto"/>
              <w:bottom w:val="single" w:sz="8" w:space="0" w:color="000000"/>
              <w:right w:val="single" w:sz="8" w:space="0" w:color="auto"/>
            </w:tcBorders>
            <w:vAlign w:val="center"/>
            <w:hideMark/>
          </w:tcPr>
          <w:p w14:paraId="36576DFD" w14:textId="77777777" w:rsidR="000D3AE4" w:rsidRPr="0023319B" w:rsidRDefault="000D3AE4" w:rsidP="002E6B58">
            <w:pPr>
              <w:spacing w:line="240" w:lineRule="auto"/>
              <w:jc w:val="left"/>
              <w:rPr>
                <w:rFonts w:cs="Arial"/>
                <w:sz w:val="16"/>
                <w:szCs w:val="16"/>
                <w:lang w:val="es-CR" w:eastAsia="es-CR"/>
              </w:rPr>
            </w:pPr>
          </w:p>
        </w:tc>
        <w:tc>
          <w:tcPr>
            <w:tcW w:w="1351" w:type="dxa"/>
            <w:vMerge/>
            <w:tcBorders>
              <w:top w:val="nil"/>
              <w:left w:val="single" w:sz="8" w:space="0" w:color="auto"/>
              <w:bottom w:val="single" w:sz="8" w:space="0" w:color="000000"/>
              <w:right w:val="single" w:sz="8" w:space="0" w:color="auto"/>
            </w:tcBorders>
            <w:vAlign w:val="center"/>
            <w:hideMark/>
          </w:tcPr>
          <w:p w14:paraId="53235FD2" w14:textId="77777777" w:rsidR="000D3AE4" w:rsidRPr="0023319B" w:rsidRDefault="000D3AE4" w:rsidP="002E6B58">
            <w:pPr>
              <w:spacing w:line="240" w:lineRule="auto"/>
              <w:jc w:val="left"/>
              <w:rPr>
                <w:rFonts w:cs="Arial"/>
                <w:sz w:val="16"/>
                <w:szCs w:val="16"/>
                <w:lang w:val="es-CR" w:eastAsia="es-CR"/>
              </w:rPr>
            </w:pPr>
          </w:p>
        </w:tc>
        <w:tc>
          <w:tcPr>
            <w:tcW w:w="1134" w:type="dxa"/>
            <w:vMerge/>
            <w:tcBorders>
              <w:top w:val="nil"/>
              <w:left w:val="single" w:sz="8" w:space="0" w:color="auto"/>
              <w:bottom w:val="single" w:sz="8" w:space="0" w:color="000000"/>
              <w:right w:val="single" w:sz="8" w:space="0" w:color="auto"/>
            </w:tcBorders>
            <w:vAlign w:val="center"/>
            <w:hideMark/>
          </w:tcPr>
          <w:p w14:paraId="0F1FDE1F" w14:textId="77777777" w:rsidR="000D3AE4" w:rsidRPr="0023319B" w:rsidRDefault="000D3AE4" w:rsidP="002E6B58">
            <w:pPr>
              <w:spacing w:line="240" w:lineRule="auto"/>
              <w:jc w:val="left"/>
              <w:rPr>
                <w:rFonts w:cs="Arial"/>
                <w:sz w:val="16"/>
                <w:szCs w:val="16"/>
                <w:lang w:val="es-CR" w:eastAsia="es-CR"/>
              </w:rPr>
            </w:pPr>
          </w:p>
        </w:tc>
      </w:tr>
    </w:tbl>
    <w:p w14:paraId="0FCCE3AB" w14:textId="734986BB" w:rsidR="000D3AE4" w:rsidRPr="0023319B" w:rsidRDefault="000D3AE4" w:rsidP="000D3AE4">
      <w:pPr>
        <w:rPr>
          <w:rFonts w:asciiTheme="minorHAnsi" w:hAnsiTheme="minorHAnsi" w:cstheme="minorHAnsi"/>
          <w:lang w:val="es-CR"/>
        </w:rPr>
      </w:pPr>
    </w:p>
    <w:p w14:paraId="1267CF38" w14:textId="6F0E5CB9" w:rsidR="006A6735" w:rsidRPr="0023319B" w:rsidRDefault="006A6735">
      <w:pPr>
        <w:spacing w:line="240" w:lineRule="auto"/>
        <w:jc w:val="left"/>
        <w:rPr>
          <w:rFonts w:asciiTheme="minorHAnsi" w:hAnsiTheme="minorHAnsi" w:cstheme="minorHAnsi"/>
          <w:lang w:val="es-CR"/>
        </w:rPr>
      </w:pPr>
      <w:r w:rsidRPr="0023319B">
        <w:rPr>
          <w:rFonts w:asciiTheme="minorHAnsi" w:hAnsiTheme="minorHAnsi" w:cstheme="minorHAnsi"/>
          <w:lang w:val="es-CR"/>
        </w:rPr>
        <w:br w:type="page"/>
      </w:r>
    </w:p>
    <w:p w14:paraId="2FE2476B" w14:textId="77777777" w:rsidR="00DA72B4" w:rsidRPr="0023319B" w:rsidRDefault="00DA72B4" w:rsidP="00A9221D">
      <w:pPr>
        <w:pStyle w:val="Ttulo3"/>
      </w:pPr>
      <w:bookmarkStart w:id="99" w:name="_Toc45533003"/>
      <w:bookmarkStart w:id="100" w:name="_Toc61081396"/>
      <w:r w:rsidRPr="0023319B">
        <w:t>Indicadores operativos</w:t>
      </w:r>
      <w:bookmarkEnd w:id="99"/>
      <w:bookmarkEnd w:id="100"/>
    </w:p>
    <w:p w14:paraId="16DA9570" w14:textId="77777777" w:rsidR="00DA72B4" w:rsidRPr="0023319B" w:rsidRDefault="00DA72B4" w:rsidP="00DA72B4">
      <w:pPr>
        <w:rPr>
          <w:rFonts w:asciiTheme="minorHAnsi" w:hAnsiTheme="minorHAnsi" w:cstheme="minorHAnsi"/>
          <w:sz w:val="24"/>
          <w:lang w:val="es-CR"/>
        </w:rPr>
      </w:pPr>
    </w:p>
    <w:p w14:paraId="28954E76" w14:textId="7AB025E0" w:rsidR="00DA72B4" w:rsidRPr="0023319B" w:rsidRDefault="00DA72B4" w:rsidP="00DA72B4">
      <w:pPr>
        <w:rPr>
          <w:rFonts w:asciiTheme="minorHAnsi" w:hAnsiTheme="minorHAnsi" w:cstheme="minorHAnsi"/>
          <w:sz w:val="24"/>
          <w:lang w:val="es-CR"/>
        </w:rPr>
      </w:pPr>
      <w:r w:rsidRPr="0023319B">
        <w:rPr>
          <w:rFonts w:asciiTheme="minorHAnsi" w:hAnsiTheme="minorHAnsi" w:cstheme="minorHAnsi"/>
          <w:sz w:val="24"/>
          <w:lang w:val="es-CR"/>
        </w:rPr>
        <w:t>La evaluación general de la SUPEN resulta del promedio de las notas obtenidas por los cinco procesos que conforman la organización</w:t>
      </w:r>
      <w:r w:rsidR="00DD2622">
        <w:rPr>
          <w:rFonts w:asciiTheme="minorHAnsi" w:hAnsiTheme="minorHAnsi" w:cstheme="minorHAnsi"/>
          <w:sz w:val="24"/>
          <w:lang w:val="es-CR"/>
        </w:rPr>
        <w:t>.</w:t>
      </w:r>
      <w:r w:rsidRPr="0023319B">
        <w:rPr>
          <w:rFonts w:asciiTheme="minorHAnsi" w:hAnsiTheme="minorHAnsi" w:cstheme="minorHAnsi"/>
          <w:sz w:val="24"/>
          <w:lang w:val="es-CR"/>
        </w:rPr>
        <w:t xml:space="preserve"> </w:t>
      </w:r>
      <w:r w:rsidR="00DD2622">
        <w:rPr>
          <w:rFonts w:asciiTheme="minorHAnsi" w:hAnsiTheme="minorHAnsi" w:cstheme="minorHAnsi"/>
          <w:sz w:val="24"/>
          <w:lang w:val="es-CR"/>
        </w:rPr>
        <w:t>S</w:t>
      </w:r>
      <w:r w:rsidRPr="0023319B">
        <w:rPr>
          <w:rFonts w:asciiTheme="minorHAnsi" w:hAnsiTheme="minorHAnsi" w:cstheme="minorHAnsi"/>
          <w:sz w:val="24"/>
          <w:lang w:val="es-CR"/>
        </w:rPr>
        <w:t>egún se detalla</w:t>
      </w:r>
      <w:r w:rsidR="00C153C5">
        <w:rPr>
          <w:rFonts w:asciiTheme="minorHAnsi" w:hAnsiTheme="minorHAnsi" w:cstheme="minorHAnsi"/>
          <w:sz w:val="24"/>
          <w:lang w:val="es-CR"/>
        </w:rPr>
        <w:t xml:space="preserve"> </w:t>
      </w:r>
      <w:r w:rsidR="00834069">
        <w:rPr>
          <w:rFonts w:asciiTheme="minorHAnsi" w:hAnsiTheme="minorHAnsi" w:cstheme="minorHAnsi"/>
          <w:sz w:val="24"/>
          <w:lang w:val="es-CR"/>
        </w:rPr>
        <w:t xml:space="preserve">en la sección de anexos </w:t>
      </w:r>
      <w:r w:rsidR="009115DF">
        <w:rPr>
          <w:rFonts w:asciiTheme="minorHAnsi" w:hAnsiTheme="minorHAnsi" w:cstheme="minorHAnsi"/>
          <w:sz w:val="24"/>
          <w:lang w:val="es-CR"/>
        </w:rPr>
        <w:t>(</w:t>
      </w:r>
      <w:r w:rsidR="009115DF" w:rsidRPr="009115DF">
        <w:rPr>
          <w:rFonts w:asciiTheme="minorHAnsi" w:hAnsiTheme="minorHAnsi" w:cstheme="minorHAnsi"/>
          <w:sz w:val="24"/>
          <w:lang w:val="es-CR"/>
        </w:rPr>
        <w:t>Plan Operativo Institucional por dependencia</w:t>
      </w:r>
      <w:r w:rsidR="009115DF">
        <w:rPr>
          <w:rFonts w:asciiTheme="minorHAnsi" w:hAnsiTheme="minorHAnsi" w:cstheme="minorHAnsi"/>
          <w:sz w:val="24"/>
          <w:lang w:val="es-CR"/>
        </w:rPr>
        <w:t>)</w:t>
      </w:r>
      <w:bookmarkStart w:id="101" w:name="_Hlk61021136"/>
      <w:r w:rsidR="00A07BA6">
        <w:rPr>
          <w:rFonts w:asciiTheme="minorHAnsi" w:hAnsiTheme="minorHAnsi" w:cstheme="minorHAnsi"/>
          <w:sz w:val="24"/>
          <w:lang w:val="es-CR"/>
        </w:rPr>
        <w:t>,</w:t>
      </w:r>
      <w:r w:rsidR="00F17977">
        <w:rPr>
          <w:rFonts w:asciiTheme="minorHAnsi" w:hAnsiTheme="minorHAnsi" w:cstheme="minorHAnsi"/>
          <w:sz w:val="24"/>
          <w:lang w:val="es-CR"/>
        </w:rPr>
        <w:t xml:space="preserve"> </w:t>
      </w:r>
      <w:r w:rsidR="00A07BA6">
        <w:rPr>
          <w:rFonts w:asciiTheme="minorHAnsi" w:hAnsiTheme="minorHAnsi" w:cstheme="minorHAnsi"/>
          <w:sz w:val="24"/>
          <w:lang w:val="es-CR"/>
        </w:rPr>
        <w:t>s</w:t>
      </w:r>
      <w:r w:rsidRPr="00532C69">
        <w:rPr>
          <w:rFonts w:asciiTheme="minorHAnsi" w:hAnsiTheme="minorHAnsi" w:cstheme="minorHAnsi"/>
          <w:sz w:val="24"/>
          <w:lang w:val="es-CR"/>
        </w:rPr>
        <w:t xml:space="preserve">e observa que la SUPEN obtuvo </w:t>
      </w:r>
      <w:r w:rsidR="00C0145F">
        <w:rPr>
          <w:rFonts w:asciiTheme="minorHAnsi" w:hAnsiTheme="minorHAnsi" w:cstheme="minorHAnsi"/>
          <w:sz w:val="24"/>
          <w:lang w:val="es-CR"/>
        </w:rPr>
        <w:t xml:space="preserve">la nota </w:t>
      </w:r>
      <w:r w:rsidR="001A7E0A">
        <w:rPr>
          <w:rFonts w:asciiTheme="minorHAnsi" w:hAnsiTheme="minorHAnsi" w:cstheme="minorHAnsi"/>
          <w:sz w:val="24"/>
          <w:lang w:val="es-CR"/>
        </w:rPr>
        <w:t xml:space="preserve">general </w:t>
      </w:r>
      <w:r w:rsidR="00C0145F">
        <w:rPr>
          <w:rFonts w:asciiTheme="minorHAnsi" w:hAnsiTheme="minorHAnsi" w:cstheme="minorHAnsi"/>
          <w:sz w:val="24"/>
          <w:lang w:val="es-CR"/>
        </w:rPr>
        <w:t>del</w:t>
      </w:r>
      <w:r w:rsidR="00532C69">
        <w:rPr>
          <w:rFonts w:asciiTheme="minorHAnsi" w:hAnsiTheme="minorHAnsi" w:cstheme="minorHAnsi"/>
          <w:sz w:val="24"/>
          <w:lang w:val="es-CR"/>
        </w:rPr>
        <w:t xml:space="preserve"> </w:t>
      </w:r>
      <w:r w:rsidRPr="00532C69">
        <w:rPr>
          <w:rFonts w:asciiTheme="minorHAnsi" w:hAnsiTheme="minorHAnsi" w:cstheme="minorHAnsi"/>
          <w:sz w:val="24"/>
          <w:lang w:val="es-CR"/>
        </w:rPr>
        <w:t>9</w:t>
      </w:r>
      <w:r w:rsidR="00532C69">
        <w:rPr>
          <w:rFonts w:asciiTheme="minorHAnsi" w:hAnsiTheme="minorHAnsi" w:cstheme="minorHAnsi"/>
          <w:sz w:val="24"/>
          <w:lang w:val="es-CR"/>
        </w:rPr>
        <w:t>1</w:t>
      </w:r>
      <w:r w:rsidRPr="00532C69">
        <w:rPr>
          <w:rFonts w:asciiTheme="minorHAnsi" w:hAnsiTheme="minorHAnsi" w:cstheme="minorHAnsi"/>
          <w:sz w:val="24"/>
          <w:lang w:val="es-CR"/>
        </w:rPr>
        <w:t xml:space="preserve">% como resultado de los trabajos realizados en proporción con los trabajos programados, lo que se califica como excelente. En lo que se refiere a la desviación del porcentaje de realización del trabajo con respecto al programado, se obtuvo un resultado del </w:t>
      </w:r>
      <w:r w:rsidR="009D5F5D">
        <w:rPr>
          <w:rFonts w:asciiTheme="minorHAnsi" w:hAnsiTheme="minorHAnsi" w:cstheme="minorHAnsi"/>
          <w:sz w:val="24"/>
          <w:lang w:val="es-CR"/>
        </w:rPr>
        <w:t>9</w:t>
      </w:r>
      <w:r w:rsidRPr="00532C69">
        <w:rPr>
          <w:rFonts w:asciiTheme="minorHAnsi" w:hAnsiTheme="minorHAnsi" w:cstheme="minorHAnsi"/>
          <w:sz w:val="24"/>
          <w:lang w:val="es-CR"/>
        </w:rPr>
        <w:t xml:space="preserve">%, que de conformidad con los parámetros es catalogado como </w:t>
      </w:r>
      <w:r w:rsidR="00580123">
        <w:rPr>
          <w:rFonts w:asciiTheme="minorHAnsi" w:hAnsiTheme="minorHAnsi" w:cstheme="minorHAnsi"/>
          <w:sz w:val="24"/>
          <w:lang w:val="es-CR"/>
        </w:rPr>
        <w:t>“</w:t>
      </w:r>
      <w:r w:rsidRPr="00532C69">
        <w:rPr>
          <w:rFonts w:asciiTheme="minorHAnsi" w:hAnsiTheme="minorHAnsi" w:cstheme="minorHAnsi"/>
          <w:sz w:val="24"/>
          <w:lang w:val="es-CR"/>
        </w:rPr>
        <w:t>excelente</w:t>
      </w:r>
      <w:r w:rsidR="00580123">
        <w:rPr>
          <w:rFonts w:asciiTheme="minorHAnsi" w:hAnsiTheme="minorHAnsi" w:cstheme="minorHAnsi"/>
          <w:sz w:val="24"/>
          <w:lang w:val="es-CR"/>
        </w:rPr>
        <w:t>”</w:t>
      </w:r>
      <w:r w:rsidRPr="00532C69">
        <w:rPr>
          <w:rFonts w:asciiTheme="minorHAnsi" w:hAnsiTheme="minorHAnsi" w:cstheme="minorHAnsi"/>
          <w:sz w:val="24"/>
          <w:lang w:val="es-CR"/>
        </w:rPr>
        <w:t>.</w:t>
      </w:r>
    </w:p>
    <w:bookmarkEnd w:id="101"/>
    <w:p w14:paraId="02EFC6BC" w14:textId="77777777" w:rsidR="00DA72B4" w:rsidRPr="0023319B" w:rsidRDefault="00DA72B4" w:rsidP="00DA72B4">
      <w:pPr>
        <w:rPr>
          <w:rFonts w:asciiTheme="minorHAnsi" w:hAnsiTheme="minorHAnsi" w:cstheme="minorHAnsi"/>
          <w:sz w:val="24"/>
          <w:lang w:val="es-CR"/>
        </w:rPr>
      </w:pPr>
    </w:p>
    <w:p w14:paraId="43A7C0CF" w14:textId="77777777" w:rsidR="00DA72B4" w:rsidRPr="0023319B" w:rsidRDefault="00DA72B4" w:rsidP="00DA72B4">
      <w:pPr>
        <w:rPr>
          <w:rFonts w:asciiTheme="minorHAnsi" w:hAnsiTheme="minorHAnsi" w:cstheme="minorHAnsi"/>
          <w:sz w:val="24"/>
          <w:lang w:val="es-CR"/>
        </w:rPr>
      </w:pPr>
      <w:r w:rsidRPr="0023319B">
        <w:rPr>
          <w:rFonts w:asciiTheme="minorHAnsi" w:hAnsiTheme="minorHAnsi" w:cstheme="minorHAnsi"/>
          <w:sz w:val="24"/>
          <w:lang w:val="es-CR"/>
        </w:rPr>
        <w:t>El siguiente cuadro representa los resultados de manera general.</w:t>
      </w:r>
    </w:p>
    <w:p w14:paraId="159CACFB" w14:textId="77777777" w:rsidR="00DA72B4" w:rsidRPr="0023319B" w:rsidRDefault="00DA72B4" w:rsidP="00DA72B4">
      <w:pPr>
        <w:rPr>
          <w:rFonts w:asciiTheme="minorHAnsi" w:hAnsiTheme="minorHAnsi" w:cstheme="minorHAnsi"/>
          <w:sz w:val="24"/>
          <w:lang w:val="es-CR"/>
        </w:rPr>
      </w:pPr>
    </w:p>
    <w:p w14:paraId="36A4D341" w14:textId="7DB736C4" w:rsidR="00DA72B4" w:rsidRPr="0023319B" w:rsidRDefault="00F120D6" w:rsidP="00A9221D">
      <w:pPr>
        <w:pStyle w:val="Ttulo3"/>
      </w:pPr>
      <w:bookmarkStart w:id="102" w:name="_Toc61081397"/>
      <w:r w:rsidRPr="0023319B">
        <w:t>Tabla 4</w:t>
      </w:r>
      <w:r w:rsidR="00DA72B4" w:rsidRPr="0023319B">
        <w:t>: Resumen de trabajo programados</w:t>
      </w:r>
      <w:bookmarkEnd w:id="102"/>
      <w:r w:rsidR="00DA72B4" w:rsidRPr="0023319B">
        <w:t xml:space="preserve"> </w:t>
      </w:r>
    </w:p>
    <w:tbl>
      <w:tblPr>
        <w:tblW w:w="9030" w:type="dxa"/>
        <w:tblCellMar>
          <w:left w:w="70" w:type="dxa"/>
          <w:right w:w="70" w:type="dxa"/>
        </w:tblCellMar>
        <w:tblLook w:val="04A0" w:firstRow="1" w:lastRow="0" w:firstColumn="1" w:lastColumn="0" w:noHBand="0" w:noVBand="1"/>
      </w:tblPr>
      <w:tblGrid>
        <w:gridCol w:w="1549"/>
        <w:gridCol w:w="1843"/>
        <w:gridCol w:w="992"/>
        <w:gridCol w:w="1134"/>
        <w:gridCol w:w="1122"/>
        <w:gridCol w:w="1127"/>
        <w:gridCol w:w="1263"/>
      </w:tblGrid>
      <w:tr w:rsidR="00DA72B4" w:rsidRPr="0023319B" w14:paraId="4F84F31E" w14:textId="77777777" w:rsidTr="002E6B58">
        <w:trPr>
          <w:trHeight w:val="442"/>
          <w:tblHeader/>
        </w:trPr>
        <w:tc>
          <w:tcPr>
            <w:tcW w:w="1549" w:type="dxa"/>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6C4935AF" w14:textId="77777777" w:rsidR="00DA72B4" w:rsidRPr="0023319B" w:rsidRDefault="00DA72B4" w:rsidP="002E6B58">
            <w:pPr>
              <w:spacing w:line="240" w:lineRule="auto"/>
              <w:jc w:val="center"/>
              <w:rPr>
                <w:rFonts w:ascii="Calibri Light" w:hAnsi="Calibri Light" w:cs="Calibri Light"/>
                <w:b/>
                <w:bCs/>
                <w:color w:val="000000"/>
                <w:lang w:val="es-CR" w:eastAsia="es-CR"/>
              </w:rPr>
            </w:pPr>
            <w:r w:rsidRPr="0023319B">
              <w:rPr>
                <w:rFonts w:ascii="Calibri Light" w:hAnsi="Calibri Light" w:cs="Calibri Light"/>
                <w:b/>
                <w:bCs/>
                <w:color w:val="000000"/>
                <w:lang w:val="es-CR" w:eastAsia="es-CR"/>
              </w:rPr>
              <w:t>INTERPRETACION</w:t>
            </w:r>
          </w:p>
        </w:tc>
        <w:tc>
          <w:tcPr>
            <w:tcW w:w="184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4F9D68F1" w14:textId="77777777" w:rsidR="00DA72B4" w:rsidRPr="0023319B" w:rsidRDefault="00DA72B4" w:rsidP="002E6B58">
            <w:pPr>
              <w:spacing w:line="240" w:lineRule="auto"/>
              <w:jc w:val="center"/>
              <w:rPr>
                <w:rFonts w:ascii="Calibri Light" w:hAnsi="Calibri Light" w:cs="Calibri Light"/>
                <w:b/>
                <w:bCs/>
                <w:color w:val="000000"/>
                <w:lang w:val="es-CR" w:eastAsia="es-CR"/>
              </w:rPr>
            </w:pPr>
            <w:r w:rsidRPr="0023319B">
              <w:rPr>
                <w:rFonts w:ascii="Calibri Light" w:hAnsi="Calibri Light" w:cs="Calibri Light"/>
                <w:b/>
                <w:bCs/>
                <w:color w:val="000000"/>
                <w:lang w:val="es-CR" w:eastAsia="es-CR"/>
              </w:rPr>
              <w:t>INDICADORES OPERATIVOS</w:t>
            </w:r>
          </w:p>
        </w:tc>
        <w:tc>
          <w:tcPr>
            <w:tcW w:w="4375"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64CFD4D1" w14:textId="77777777" w:rsidR="00DA72B4" w:rsidRPr="0023319B" w:rsidRDefault="00DA72B4" w:rsidP="002E6B58">
            <w:pPr>
              <w:spacing w:line="240" w:lineRule="auto"/>
              <w:jc w:val="center"/>
              <w:rPr>
                <w:rFonts w:ascii="Calibri Light" w:hAnsi="Calibri Light" w:cs="Calibri Light"/>
                <w:b/>
                <w:bCs/>
                <w:color w:val="000000"/>
                <w:lang w:val="es-CR" w:eastAsia="es-CR"/>
              </w:rPr>
            </w:pPr>
            <w:r w:rsidRPr="0023319B">
              <w:rPr>
                <w:rFonts w:ascii="Calibri Light" w:hAnsi="Calibri Light" w:cs="Calibri Light"/>
                <w:b/>
                <w:bCs/>
                <w:color w:val="000000"/>
                <w:lang w:val="es-CR" w:eastAsia="es-CR"/>
              </w:rPr>
              <w:t>PARÁMETROS</w:t>
            </w:r>
          </w:p>
        </w:tc>
        <w:tc>
          <w:tcPr>
            <w:tcW w:w="1263" w:type="dxa"/>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14244C04" w14:textId="77777777" w:rsidR="00DA72B4" w:rsidRPr="0023319B" w:rsidRDefault="00DA72B4" w:rsidP="002E6B58">
            <w:pPr>
              <w:spacing w:line="240" w:lineRule="auto"/>
              <w:jc w:val="center"/>
              <w:rPr>
                <w:rFonts w:ascii="Calibri Light" w:hAnsi="Calibri Light" w:cs="Calibri Light"/>
                <w:b/>
                <w:bCs/>
                <w:color w:val="000000"/>
                <w:lang w:val="es-CR" w:eastAsia="es-CR"/>
              </w:rPr>
            </w:pPr>
            <w:r w:rsidRPr="0023319B">
              <w:rPr>
                <w:rFonts w:ascii="Calibri Light" w:hAnsi="Calibri Light" w:cs="Calibri Light"/>
                <w:b/>
                <w:bCs/>
                <w:color w:val="000000"/>
                <w:lang w:val="es-CR" w:eastAsia="es-CR"/>
              </w:rPr>
              <w:t xml:space="preserve">RESULTADOS </w:t>
            </w:r>
          </w:p>
        </w:tc>
      </w:tr>
      <w:tr w:rsidR="00DA72B4" w:rsidRPr="0023319B" w14:paraId="2FCEFA8B" w14:textId="77777777" w:rsidTr="002E6B58">
        <w:trPr>
          <w:trHeight w:val="525"/>
          <w:tblHeader/>
        </w:trPr>
        <w:tc>
          <w:tcPr>
            <w:tcW w:w="1549" w:type="dxa"/>
            <w:vMerge/>
            <w:tcBorders>
              <w:top w:val="single" w:sz="4" w:space="0" w:color="auto"/>
              <w:left w:val="single" w:sz="4" w:space="0" w:color="auto"/>
              <w:bottom w:val="single" w:sz="4" w:space="0" w:color="auto"/>
              <w:right w:val="single" w:sz="4" w:space="0" w:color="auto"/>
            </w:tcBorders>
            <w:vAlign w:val="center"/>
            <w:hideMark/>
          </w:tcPr>
          <w:p w14:paraId="3A6FB28C" w14:textId="77777777" w:rsidR="00DA72B4" w:rsidRPr="0023319B" w:rsidRDefault="00DA72B4" w:rsidP="002E6B58">
            <w:pPr>
              <w:spacing w:line="240" w:lineRule="auto"/>
              <w:jc w:val="left"/>
              <w:rPr>
                <w:rFonts w:ascii="Calibri Light" w:hAnsi="Calibri Light" w:cs="Calibri Light"/>
                <w:b/>
                <w:bCs/>
                <w:color w:val="000000"/>
                <w:lang w:val="es-CR" w:eastAsia="es-CR"/>
              </w:rPr>
            </w:pPr>
          </w:p>
        </w:tc>
        <w:tc>
          <w:tcPr>
            <w:tcW w:w="184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6A2166DE" w14:textId="77777777" w:rsidR="00DA72B4" w:rsidRPr="0023319B" w:rsidRDefault="00DA72B4" w:rsidP="002E6B58">
            <w:pPr>
              <w:spacing w:line="240" w:lineRule="auto"/>
              <w:jc w:val="center"/>
              <w:rPr>
                <w:rFonts w:ascii="Calibri Light" w:hAnsi="Calibri Light" w:cs="Calibri Light"/>
                <w:b/>
                <w:bCs/>
                <w:color w:val="000000"/>
                <w:lang w:val="es-CR" w:eastAsia="es-CR"/>
              </w:rPr>
            </w:pPr>
            <w:r w:rsidRPr="0023319B">
              <w:rPr>
                <w:rFonts w:ascii="Calibri Light" w:hAnsi="Calibri Light" w:cs="Calibri Light"/>
                <w:b/>
                <w:bCs/>
                <w:color w:val="000000"/>
                <w:lang w:val="es-CR" w:eastAsia="es-CR"/>
              </w:rPr>
              <w:t>(</w:t>
            </w:r>
            <w:r w:rsidRPr="0023319B">
              <w:rPr>
                <w:rFonts w:ascii="Calibri Light" w:hAnsi="Calibri Light" w:cs="Calibri Light"/>
                <w:b/>
                <w:bCs/>
                <w:color w:val="000000"/>
                <w:shd w:val="clear" w:color="auto" w:fill="DBE5F1" w:themeFill="accent1" w:themeFillTint="33"/>
                <w:lang w:val="es-CR" w:eastAsia="es-CR"/>
              </w:rPr>
              <w:t>institucionales</w:t>
            </w:r>
            <w:r w:rsidRPr="0023319B">
              <w:rPr>
                <w:rFonts w:ascii="Calibri Light" w:hAnsi="Calibri Light" w:cs="Calibri Light"/>
                <w:b/>
                <w:bCs/>
                <w:color w:val="000000"/>
                <w:lang w:val="es-CR" w:eastAsia="es-CR"/>
              </w:rPr>
              <w:t xml:space="preserve"> y por meta)</w:t>
            </w:r>
          </w:p>
        </w:tc>
        <w:tc>
          <w:tcPr>
            <w:tcW w:w="992" w:type="dxa"/>
            <w:tcBorders>
              <w:top w:val="single" w:sz="4" w:space="0" w:color="auto"/>
              <w:left w:val="single" w:sz="4" w:space="0" w:color="auto"/>
              <w:bottom w:val="single" w:sz="4" w:space="0" w:color="auto"/>
              <w:right w:val="single" w:sz="4" w:space="0" w:color="auto"/>
            </w:tcBorders>
            <w:shd w:val="clear" w:color="000000" w:fill="00FFFF"/>
            <w:vAlign w:val="center"/>
            <w:hideMark/>
          </w:tcPr>
          <w:p w14:paraId="1E7453D4" w14:textId="77777777" w:rsidR="00DA72B4" w:rsidRPr="0023319B" w:rsidRDefault="00DA72B4" w:rsidP="002E6B58">
            <w:pPr>
              <w:spacing w:line="240" w:lineRule="auto"/>
              <w:jc w:val="center"/>
              <w:rPr>
                <w:rFonts w:ascii="Calibri Light" w:hAnsi="Calibri Light" w:cs="Calibri Light"/>
                <w:b/>
                <w:bCs/>
                <w:color w:val="000000"/>
                <w:lang w:val="es-CR" w:eastAsia="es-CR"/>
              </w:rPr>
            </w:pPr>
            <w:r w:rsidRPr="0023319B">
              <w:rPr>
                <w:rFonts w:ascii="Calibri Light" w:hAnsi="Calibri Light" w:cs="Calibri Light"/>
                <w:b/>
                <w:bCs/>
                <w:color w:val="000000"/>
                <w:lang w:val="es-CR" w:eastAsia="es-CR"/>
              </w:rPr>
              <w:t>E</w:t>
            </w:r>
          </w:p>
        </w:tc>
        <w:tc>
          <w:tcPr>
            <w:tcW w:w="1134" w:type="dxa"/>
            <w:tcBorders>
              <w:top w:val="single" w:sz="4" w:space="0" w:color="auto"/>
              <w:left w:val="single" w:sz="4" w:space="0" w:color="auto"/>
              <w:bottom w:val="single" w:sz="4" w:space="0" w:color="auto"/>
              <w:right w:val="single" w:sz="4" w:space="0" w:color="auto"/>
            </w:tcBorders>
            <w:shd w:val="clear" w:color="000000" w:fill="00FF00"/>
            <w:vAlign w:val="center"/>
            <w:hideMark/>
          </w:tcPr>
          <w:p w14:paraId="6FC0A52F" w14:textId="77777777" w:rsidR="00DA72B4" w:rsidRPr="0023319B" w:rsidRDefault="00DA72B4" w:rsidP="002E6B58">
            <w:pPr>
              <w:spacing w:line="240" w:lineRule="auto"/>
              <w:jc w:val="center"/>
              <w:rPr>
                <w:rFonts w:ascii="Calibri Light" w:hAnsi="Calibri Light" w:cs="Calibri Light"/>
                <w:b/>
                <w:bCs/>
                <w:color w:val="000000"/>
                <w:lang w:val="es-CR" w:eastAsia="es-CR"/>
              </w:rPr>
            </w:pPr>
            <w:r w:rsidRPr="0023319B">
              <w:rPr>
                <w:rFonts w:ascii="Calibri Light" w:hAnsi="Calibri Light" w:cs="Calibri Light"/>
                <w:b/>
                <w:bCs/>
                <w:color w:val="000000"/>
                <w:lang w:val="es-CR" w:eastAsia="es-CR"/>
              </w:rPr>
              <w:t>MB</w:t>
            </w:r>
          </w:p>
        </w:tc>
        <w:tc>
          <w:tcPr>
            <w:tcW w:w="1122"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4C8DEC9E" w14:textId="77777777" w:rsidR="00DA72B4" w:rsidRPr="0023319B" w:rsidRDefault="00DA72B4" w:rsidP="002E6B58">
            <w:pPr>
              <w:spacing w:line="240" w:lineRule="auto"/>
              <w:jc w:val="center"/>
              <w:rPr>
                <w:rFonts w:ascii="Calibri Light" w:hAnsi="Calibri Light" w:cs="Calibri Light"/>
                <w:b/>
                <w:bCs/>
                <w:color w:val="000000"/>
                <w:lang w:val="es-CR" w:eastAsia="es-CR"/>
              </w:rPr>
            </w:pPr>
            <w:r w:rsidRPr="0023319B">
              <w:rPr>
                <w:rFonts w:ascii="Calibri Light" w:hAnsi="Calibri Light" w:cs="Calibri Light"/>
                <w:b/>
                <w:bCs/>
                <w:color w:val="000000"/>
                <w:lang w:val="es-CR" w:eastAsia="es-CR"/>
              </w:rPr>
              <w:t>B</w:t>
            </w:r>
          </w:p>
        </w:tc>
        <w:tc>
          <w:tcPr>
            <w:tcW w:w="1127" w:type="dxa"/>
            <w:tcBorders>
              <w:top w:val="single" w:sz="4" w:space="0" w:color="auto"/>
              <w:left w:val="single" w:sz="4" w:space="0" w:color="auto"/>
              <w:bottom w:val="single" w:sz="4" w:space="0" w:color="auto"/>
              <w:right w:val="single" w:sz="4" w:space="0" w:color="auto"/>
            </w:tcBorders>
            <w:shd w:val="clear" w:color="000000" w:fill="FF0000"/>
            <w:vAlign w:val="center"/>
            <w:hideMark/>
          </w:tcPr>
          <w:p w14:paraId="7BBB3CA4" w14:textId="77777777" w:rsidR="00DA72B4" w:rsidRPr="0023319B" w:rsidRDefault="00DA72B4" w:rsidP="002E6B58">
            <w:pPr>
              <w:spacing w:line="240" w:lineRule="auto"/>
              <w:jc w:val="center"/>
              <w:rPr>
                <w:rFonts w:ascii="Calibri Light" w:hAnsi="Calibri Light" w:cs="Calibri Light"/>
                <w:b/>
                <w:bCs/>
                <w:color w:val="000000"/>
                <w:lang w:val="es-CR" w:eastAsia="es-CR"/>
              </w:rPr>
            </w:pPr>
            <w:r w:rsidRPr="0023319B">
              <w:rPr>
                <w:rFonts w:ascii="Calibri Light" w:hAnsi="Calibri Light" w:cs="Calibri Light"/>
                <w:b/>
                <w:bCs/>
                <w:color w:val="000000"/>
                <w:lang w:val="es-CR" w:eastAsia="es-CR"/>
              </w:rPr>
              <w:t>M</w:t>
            </w:r>
          </w:p>
        </w:tc>
        <w:tc>
          <w:tcPr>
            <w:tcW w:w="1263" w:type="dxa"/>
            <w:vMerge/>
            <w:tcBorders>
              <w:top w:val="single" w:sz="4" w:space="0" w:color="auto"/>
              <w:left w:val="single" w:sz="4" w:space="0" w:color="auto"/>
              <w:bottom w:val="single" w:sz="4" w:space="0" w:color="auto"/>
              <w:right w:val="single" w:sz="4" w:space="0" w:color="auto"/>
            </w:tcBorders>
            <w:vAlign w:val="center"/>
            <w:hideMark/>
          </w:tcPr>
          <w:p w14:paraId="59125836" w14:textId="77777777" w:rsidR="00DA72B4" w:rsidRPr="0023319B" w:rsidRDefault="00DA72B4" w:rsidP="002E6B58">
            <w:pPr>
              <w:spacing w:line="240" w:lineRule="auto"/>
              <w:jc w:val="left"/>
              <w:rPr>
                <w:rFonts w:ascii="Calibri Light" w:hAnsi="Calibri Light" w:cs="Calibri Light"/>
                <w:b/>
                <w:bCs/>
                <w:color w:val="000000"/>
                <w:lang w:val="es-CR" w:eastAsia="es-CR"/>
              </w:rPr>
            </w:pPr>
          </w:p>
        </w:tc>
      </w:tr>
      <w:tr w:rsidR="00DA72B4" w:rsidRPr="0023319B" w14:paraId="1B92D8C9" w14:textId="77777777" w:rsidTr="002E6B58">
        <w:trPr>
          <w:trHeight w:val="1284"/>
        </w:trPr>
        <w:tc>
          <w:tcPr>
            <w:tcW w:w="15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6E61B1" w14:textId="77777777" w:rsidR="00DA72B4" w:rsidRPr="0023319B" w:rsidRDefault="00DA72B4" w:rsidP="002E6B58">
            <w:pPr>
              <w:spacing w:line="240" w:lineRule="auto"/>
              <w:jc w:val="left"/>
              <w:rPr>
                <w:rFonts w:ascii="Calibri Light" w:hAnsi="Calibri Light" w:cs="Calibri Light"/>
                <w:color w:val="000000"/>
                <w:sz w:val="18"/>
                <w:lang w:val="es-CR" w:eastAsia="es-CR"/>
              </w:rPr>
            </w:pPr>
            <w:r w:rsidRPr="0023319B">
              <w:rPr>
                <w:rFonts w:ascii="Calibri Light" w:hAnsi="Calibri Light" w:cs="Calibri Light"/>
                <w:color w:val="000000"/>
                <w:sz w:val="18"/>
                <w:lang w:val="es-CR" w:eastAsia="es-CR"/>
              </w:rPr>
              <w:t xml:space="preserve">Porcentaje de trabajos programados que se realizaron, por meta institucional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A689CF" w14:textId="77777777" w:rsidR="00DA72B4" w:rsidRPr="0023319B" w:rsidRDefault="00DA72B4" w:rsidP="002E6B58">
            <w:pPr>
              <w:spacing w:line="240" w:lineRule="auto"/>
              <w:jc w:val="left"/>
              <w:rPr>
                <w:rFonts w:ascii="Calibri Light" w:hAnsi="Calibri Light" w:cs="Calibri Light"/>
                <w:color w:val="000000"/>
                <w:sz w:val="18"/>
                <w:u w:val="single"/>
                <w:lang w:val="es-CR" w:eastAsia="es-CR"/>
              </w:rPr>
            </w:pPr>
            <w:r w:rsidRPr="0023319B">
              <w:rPr>
                <w:rFonts w:ascii="Calibri Light" w:hAnsi="Calibri Light" w:cs="Calibri Light"/>
                <w:color w:val="000000"/>
                <w:sz w:val="18"/>
                <w:lang w:val="es-CR" w:eastAsia="es-CR"/>
              </w:rPr>
              <w:t xml:space="preserve">(Trabajos planificados realizados) / (Trabajos planificados) </w:t>
            </w:r>
            <w:r w:rsidRPr="0023319B">
              <w:rPr>
                <w:rFonts w:ascii="Calibri Light" w:hAnsi="Calibri Light" w:cs="Calibri Light"/>
                <w:color w:val="000000"/>
                <w:sz w:val="18"/>
                <w:u w:val="single"/>
                <w:lang w:val="es-CR" w:eastAsia="es-CR"/>
              </w:rPr>
              <w:t>x 100%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01A11E" w14:textId="77777777" w:rsidR="00DA72B4" w:rsidRPr="0023319B" w:rsidRDefault="00DA72B4" w:rsidP="002E6B58">
            <w:pPr>
              <w:spacing w:line="240" w:lineRule="auto"/>
              <w:jc w:val="center"/>
              <w:rPr>
                <w:rFonts w:ascii="Calibri Light" w:hAnsi="Calibri Light" w:cs="Calibri Light"/>
                <w:color w:val="000000"/>
                <w:sz w:val="18"/>
                <w:lang w:val="es-CR" w:eastAsia="es-CR"/>
              </w:rPr>
            </w:pPr>
            <w:r w:rsidRPr="0023319B">
              <w:rPr>
                <w:rFonts w:ascii="Calibri Light" w:hAnsi="Calibri Light" w:cs="Calibri Light"/>
                <w:color w:val="000000"/>
                <w:sz w:val="18"/>
                <w:lang w:val="es-CR" w:eastAsia="es-CR"/>
              </w:rPr>
              <w:t>≥ 85%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8ECA5A" w14:textId="77777777" w:rsidR="00DA72B4" w:rsidRPr="0023319B" w:rsidRDefault="00DA72B4" w:rsidP="002E6B58">
            <w:pPr>
              <w:spacing w:line="240" w:lineRule="auto"/>
              <w:jc w:val="center"/>
              <w:rPr>
                <w:rFonts w:ascii="Calibri Light" w:hAnsi="Calibri Light" w:cs="Calibri Light"/>
                <w:color w:val="000000"/>
                <w:sz w:val="18"/>
                <w:lang w:val="es-CR" w:eastAsia="es-CR"/>
              </w:rPr>
            </w:pPr>
            <w:r w:rsidRPr="0023319B">
              <w:rPr>
                <w:rFonts w:ascii="Calibri Light" w:hAnsi="Calibri Light" w:cs="Calibri Light"/>
                <w:color w:val="000000"/>
                <w:sz w:val="18"/>
                <w:lang w:val="es-CR" w:eastAsia="es-CR"/>
              </w:rPr>
              <w:t>80% ≤ 85/%</w:t>
            </w:r>
          </w:p>
        </w:tc>
        <w:tc>
          <w:tcPr>
            <w:tcW w:w="11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F598FD" w14:textId="77777777" w:rsidR="00DA72B4" w:rsidRPr="0023319B" w:rsidRDefault="00DA72B4" w:rsidP="002E6B58">
            <w:pPr>
              <w:spacing w:line="240" w:lineRule="auto"/>
              <w:jc w:val="center"/>
              <w:rPr>
                <w:rFonts w:ascii="Calibri Light" w:hAnsi="Calibri Light" w:cs="Calibri Light"/>
                <w:color w:val="000000"/>
                <w:sz w:val="18"/>
                <w:lang w:val="es-CR" w:eastAsia="es-CR"/>
              </w:rPr>
            </w:pPr>
            <w:r w:rsidRPr="0023319B">
              <w:rPr>
                <w:rFonts w:ascii="Calibri Light" w:hAnsi="Calibri Light" w:cs="Calibri Light"/>
                <w:color w:val="000000"/>
                <w:sz w:val="18"/>
                <w:lang w:val="es-CR" w:eastAsia="es-CR"/>
              </w:rPr>
              <w:t>75% ≤ 80%</w:t>
            </w:r>
          </w:p>
        </w:tc>
        <w:tc>
          <w:tcPr>
            <w:tcW w:w="11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FB07E4" w14:textId="77777777" w:rsidR="00DA72B4" w:rsidRPr="0023319B" w:rsidRDefault="00DA72B4" w:rsidP="002E6B58">
            <w:pPr>
              <w:spacing w:line="240" w:lineRule="auto"/>
              <w:jc w:val="center"/>
              <w:rPr>
                <w:rFonts w:ascii="Calibri Light" w:hAnsi="Calibri Light" w:cs="Calibri Light"/>
                <w:color w:val="000000"/>
                <w:sz w:val="18"/>
                <w:lang w:val="es-CR" w:eastAsia="es-CR"/>
              </w:rPr>
            </w:pPr>
            <w:r w:rsidRPr="0023319B">
              <w:rPr>
                <w:rFonts w:ascii="Calibri Light" w:hAnsi="Calibri Light" w:cs="Calibri Light"/>
                <w:color w:val="000000"/>
                <w:sz w:val="18"/>
                <w:lang w:val="es-CR" w:eastAsia="es-CR"/>
              </w:rPr>
              <w:t>&lt; 75%</w:t>
            </w:r>
          </w:p>
        </w:tc>
        <w:tc>
          <w:tcPr>
            <w:tcW w:w="12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6A718B" w14:textId="4C50339A" w:rsidR="00DA72B4" w:rsidRPr="0023319B" w:rsidRDefault="00DA72B4" w:rsidP="002E6B58">
            <w:pPr>
              <w:spacing w:line="240" w:lineRule="auto"/>
              <w:jc w:val="center"/>
              <w:rPr>
                <w:rFonts w:ascii="Calibri Light" w:hAnsi="Calibri Light" w:cs="Calibri Light"/>
                <w:b/>
                <w:bCs/>
                <w:color w:val="000000"/>
                <w:sz w:val="18"/>
                <w:szCs w:val="18"/>
                <w:lang w:val="es-CR" w:eastAsia="es-CR"/>
              </w:rPr>
            </w:pPr>
            <w:r w:rsidRPr="0023319B">
              <w:rPr>
                <w:rFonts w:ascii="Calibri Light" w:hAnsi="Calibri Light" w:cs="Calibri Light"/>
                <w:b/>
                <w:bCs/>
                <w:color w:val="000000"/>
                <w:sz w:val="18"/>
                <w:szCs w:val="18"/>
                <w:lang w:val="es-CR" w:eastAsia="es-CR"/>
              </w:rPr>
              <w:t>9</w:t>
            </w:r>
            <w:r w:rsidR="009D5F5D">
              <w:rPr>
                <w:rFonts w:ascii="Calibri Light" w:hAnsi="Calibri Light" w:cs="Calibri Light"/>
                <w:b/>
                <w:bCs/>
                <w:color w:val="000000"/>
                <w:sz w:val="18"/>
                <w:szCs w:val="18"/>
                <w:lang w:val="es-CR" w:eastAsia="es-CR"/>
              </w:rPr>
              <w:t>1</w:t>
            </w:r>
            <w:r w:rsidRPr="0023319B">
              <w:rPr>
                <w:rFonts w:ascii="Calibri Light" w:hAnsi="Calibri Light" w:cs="Calibri Light"/>
                <w:b/>
                <w:bCs/>
                <w:color w:val="000000"/>
                <w:sz w:val="18"/>
                <w:szCs w:val="18"/>
                <w:lang w:val="es-CR" w:eastAsia="es-CR"/>
              </w:rPr>
              <w:t>%</w:t>
            </w:r>
          </w:p>
        </w:tc>
      </w:tr>
      <w:tr w:rsidR="00DA72B4" w:rsidRPr="0023319B" w14:paraId="54236E4D" w14:textId="77777777" w:rsidTr="002E6B58">
        <w:trPr>
          <w:trHeight w:val="1685"/>
        </w:trPr>
        <w:tc>
          <w:tcPr>
            <w:tcW w:w="15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935116" w14:textId="77777777" w:rsidR="00DA72B4" w:rsidRPr="0023319B" w:rsidRDefault="00DA72B4" w:rsidP="002E6B58">
            <w:pPr>
              <w:spacing w:line="240" w:lineRule="auto"/>
              <w:jc w:val="left"/>
              <w:rPr>
                <w:rFonts w:ascii="Calibri Light" w:hAnsi="Calibri Light" w:cs="Calibri Light"/>
                <w:color w:val="000000"/>
                <w:sz w:val="18"/>
                <w:lang w:val="es-CR" w:eastAsia="es-CR"/>
              </w:rPr>
            </w:pPr>
            <w:r w:rsidRPr="0023319B">
              <w:rPr>
                <w:rFonts w:ascii="Calibri Light" w:hAnsi="Calibri Light" w:cs="Calibri Light"/>
                <w:color w:val="000000"/>
                <w:sz w:val="18"/>
                <w:lang w:val="es-CR" w:eastAsia="es-CR"/>
              </w:rPr>
              <w:t>Porcentaje de trabajos realizados (programados y no programados) con respecto a los programados planificados</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9AB06E" w14:textId="77777777" w:rsidR="00DA72B4" w:rsidRPr="0023319B" w:rsidRDefault="00DA72B4" w:rsidP="002E6B58">
            <w:pPr>
              <w:spacing w:line="240" w:lineRule="auto"/>
              <w:jc w:val="left"/>
              <w:rPr>
                <w:rFonts w:ascii="Calibri Light" w:hAnsi="Calibri Light" w:cs="Calibri Light"/>
                <w:color w:val="000000"/>
                <w:sz w:val="18"/>
                <w:lang w:val="es-CR" w:eastAsia="es-CR"/>
              </w:rPr>
            </w:pPr>
            <w:r w:rsidRPr="0023319B">
              <w:rPr>
                <w:rFonts w:ascii="Calibri Light" w:hAnsi="Calibri Light" w:cs="Calibri Light"/>
                <w:color w:val="000000"/>
                <w:sz w:val="18"/>
                <w:lang w:val="es-CR" w:eastAsia="es-CR"/>
              </w:rPr>
              <w:t>(Q Trabajos realizados) / (Q Trabajos planificados) *100%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6F341F" w14:textId="77777777" w:rsidR="00DA72B4" w:rsidRPr="0023319B" w:rsidRDefault="00DA72B4" w:rsidP="002E6B58">
            <w:pPr>
              <w:spacing w:line="240" w:lineRule="auto"/>
              <w:jc w:val="center"/>
              <w:rPr>
                <w:rFonts w:ascii="Calibri Light" w:hAnsi="Calibri Light" w:cs="Calibri Light"/>
                <w:color w:val="000000"/>
                <w:sz w:val="18"/>
                <w:lang w:val="es-CR" w:eastAsia="es-CR"/>
              </w:rPr>
            </w:pPr>
            <w:r w:rsidRPr="0023319B">
              <w:rPr>
                <w:rFonts w:ascii="Calibri Light" w:hAnsi="Calibri Light" w:cs="Calibri Light"/>
                <w:color w:val="000000"/>
                <w:sz w:val="18"/>
                <w:lang w:val="es-CR" w:eastAsia="es-CR"/>
              </w:rPr>
              <w:t>≥100%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2F39A9" w14:textId="77777777" w:rsidR="00DA72B4" w:rsidRPr="0023319B" w:rsidRDefault="00DA72B4" w:rsidP="002E6B58">
            <w:pPr>
              <w:spacing w:line="240" w:lineRule="auto"/>
              <w:jc w:val="center"/>
              <w:rPr>
                <w:rFonts w:ascii="Calibri Light" w:hAnsi="Calibri Light" w:cs="Calibri Light"/>
                <w:color w:val="000000"/>
                <w:sz w:val="18"/>
                <w:lang w:val="es-CR" w:eastAsia="es-CR"/>
              </w:rPr>
            </w:pPr>
            <w:r w:rsidRPr="0023319B">
              <w:rPr>
                <w:rFonts w:ascii="Calibri Light" w:hAnsi="Calibri Light" w:cs="Calibri Light"/>
                <w:color w:val="000000"/>
                <w:sz w:val="18"/>
                <w:lang w:val="es-CR" w:eastAsia="es-CR"/>
              </w:rPr>
              <w:t>90% ≤ 100%</w:t>
            </w:r>
          </w:p>
        </w:tc>
        <w:tc>
          <w:tcPr>
            <w:tcW w:w="11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C415A3" w14:textId="77777777" w:rsidR="00DA72B4" w:rsidRPr="0023319B" w:rsidRDefault="00DA72B4" w:rsidP="002E6B58">
            <w:pPr>
              <w:spacing w:line="240" w:lineRule="auto"/>
              <w:jc w:val="center"/>
              <w:rPr>
                <w:rFonts w:ascii="Calibri Light" w:hAnsi="Calibri Light" w:cs="Calibri Light"/>
                <w:color w:val="000000"/>
                <w:sz w:val="18"/>
                <w:lang w:val="es-CR" w:eastAsia="es-CR"/>
              </w:rPr>
            </w:pPr>
            <w:r w:rsidRPr="0023319B">
              <w:rPr>
                <w:rFonts w:ascii="Calibri Light" w:hAnsi="Calibri Light" w:cs="Calibri Light"/>
                <w:color w:val="000000"/>
                <w:sz w:val="18"/>
                <w:lang w:val="es-CR" w:eastAsia="es-CR"/>
              </w:rPr>
              <w:t>80% ≤ 90%</w:t>
            </w:r>
          </w:p>
        </w:tc>
        <w:tc>
          <w:tcPr>
            <w:tcW w:w="11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7EE7C0" w14:textId="77777777" w:rsidR="00DA72B4" w:rsidRPr="0023319B" w:rsidRDefault="00DA72B4" w:rsidP="002E6B58">
            <w:pPr>
              <w:spacing w:line="240" w:lineRule="auto"/>
              <w:jc w:val="center"/>
              <w:rPr>
                <w:rFonts w:ascii="Calibri Light" w:hAnsi="Calibri Light" w:cs="Calibri Light"/>
                <w:color w:val="000000"/>
                <w:sz w:val="18"/>
                <w:lang w:val="es-CR" w:eastAsia="es-CR"/>
              </w:rPr>
            </w:pPr>
            <w:r w:rsidRPr="0023319B">
              <w:rPr>
                <w:rFonts w:ascii="Calibri Light" w:hAnsi="Calibri Light" w:cs="Calibri Light"/>
                <w:color w:val="000000"/>
                <w:sz w:val="18"/>
                <w:lang w:val="es-CR" w:eastAsia="es-CR"/>
              </w:rPr>
              <w:t>&lt;80%</w:t>
            </w:r>
          </w:p>
        </w:tc>
        <w:tc>
          <w:tcPr>
            <w:tcW w:w="12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8DB347" w14:textId="53401360" w:rsidR="00DA72B4" w:rsidRPr="0023319B" w:rsidRDefault="00DA72B4" w:rsidP="002E6B58">
            <w:pPr>
              <w:spacing w:line="240" w:lineRule="auto"/>
              <w:jc w:val="center"/>
              <w:rPr>
                <w:rFonts w:ascii="Calibri Light" w:hAnsi="Calibri Light" w:cs="Calibri Light"/>
                <w:b/>
                <w:bCs/>
                <w:color w:val="000000"/>
                <w:sz w:val="18"/>
                <w:szCs w:val="18"/>
                <w:lang w:val="es-CR" w:eastAsia="es-CR"/>
              </w:rPr>
            </w:pPr>
            <w:r w:rsidRPr="0023319B">
              <w:rPr>
                <w:rFonts w:ascii="Calibri Light" w:hAnsi="Calibri Light" w:cs="Calibri Light"/>
                <w:b/>
                <w:bCs/>
                <w:color w:val="000000"/>
                <w:sz w:val="18"/>
                <w:szCs w:val="18"/>
                <w:lang w:val="es-CR" w:eastAsia="es-CR"/>
              </w:rPr>
              <w:t>9</w:t>
            </w:r>
            <w:r w:rsidR="00E030EC">
              <w:rPr>
                <w:rFonts w:ascii="Calibri Light" w:hAnsi="Calibri Light" w:cs="Calibri Light"/>
                <w:b/>
                <w:bCs/>
                <w:color w:val="000000"/>
                <w:sz w:val="18"/>
                <w:szCs w:val="18"/>
                <w:lang w:val="es-CR" w:eastAsia="es-CR"/>
              </w:rPr>
              <w:t>1</w:t>
            </w:r>
            <w:r w:rsidRPr="0023319B">
              <w:rPr>
                <w:rFonts w:ascii="Calibri Light" w:hAnsi="Calibri Light" w:cs="Calibri Light"/>
                <w:b/>
                <w:bCs/>
                <w:color w:val="000000"/>
                <w:sz w:val="18"/>
                <w:szCs w:val="18"/>
                <w:lang w:val="es-CR" w:eastAsia="es-CR"/>
              </w:rPr>
              <w:t>%</w:t>
            </w:r>
          </w:p>
        </w:tc>
      </w:tr>
      <w:tr w:rsidR="00DA72B4" w:rsidRPr="0023319B" w14:paraId="65250B59" w14:textId="77777777" w:rsidTr="002E6B58">
        <w:trPr>
          <w:trHeight w:val="1426"/>
        </w:trPr>
        <w:tc>
          <w:tcPr>
            <w:tcW w:w="15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4B730F" w14:textId="77777777" w:rsidR="00DA72B4" w:rsidRPr="0023319B" w:rsidRDefault="00DA72B4" w:rsidP="002E6B58">
            <w:pPr>
              <w:spacing w:line="240" w:lineRule="auto"/>
              <w:jc w:val="left"/>
              <w:rPr>
                <w:rFonts w:ascii="Calibri Light" w:hAnsi="Calibri Light" w:cs="Calibri Light"/>
                <w:color w:val="000000"/>
                <w:sz w:val="18"/>
                <w:lang w:val="es-CR" w:eastAsia="es-CR"/>
              </w:rPr>
            </w:pPr>
            <w:r w:rsidRPr="0023319B">
              <w:rPr>
                <w:rFonts w:ascii="Calibri Light" w:hAnsi="Calibri Light" w:cs="Calibri Light"/>
                <w:color w:val="000000"/>
                <w:sz w:val="18"/>
                <w:lang w:val="es-CR" w:eastAsia="es-CR"/>
              </w:rPr>
              <w:t xml:space="preserve">Desviación del porcentaje de realización del trabajo con respecto al programado.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8A06A6" w14:textId="77777777" w:rsidR="00DA72B4" w:rsidRPr="0023319B" w:rsidRDefault="00DA72B4" w:rsidP="002E6B58">
            <w:pPr>
              <w:spacing w:line="240" w:lineRule="auto"/>
              <w:jc w:val="left"/>
              <w:rPr>
                <w:rFonts w:ascii="Calibri Light" w:hAnsi="Calibri Light" w:cs="Calibri Light"/>
                <w:color w:val="000000"/>
                <w:sz w:val="18"/>
                <w:lang w:val="es-CR" w:eastAsia="es-CR"/>
              </w:rPr>
            </w:pPr>
            <w:r w:rsidRPr="0023319B">
              <w:rPr>
                <w:rFonts w:ascii="Calibri Light" w:hAnsi="Calibri Light" w:cs="Calibri Light"/>
                <w:color w:val="000000"/>
                <w:sz w:val="18"/>
                <w:lang w:val="es-CR" w:eastAsia="es-CR"/>
              </w:rPr>
              <w:t>(Porcentaje de ejecución planificada del trabajo) – (Porcentaje de ejecución real del trabajo)</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2E066A" w14:textId="77777777" w:rsidR="00DA72B4" w:rsidRPr="0023319B" w:rsidRDefault="00DA72B4" w:rsidP="002E6B58">
            <w:pPr>
              <w:spacing w:line="240" w:lineRule="auto"/>
              <w:jc w:val="center"/>
              <w:rPr>
                <w:rFonts w:ascii="Calibri Light" w:hAnsi="Calibri Light" w:cs="Calibri Light"/>
                <w:color w:val="000000"/>
                <w:sz w:val="18"/>
                <w:lang w:val="es-CR" w:eastAsia="es-CR"/>
              </w:rPr>
            </w:pPr>
            <w:r w:rsidRPr="0023319B">
              <w:rPr>
                <w:rFonts w:ascii="Calibri Light" w:hAnsi="Calibri Light" w:cs="Calibri Light"/>
                <w:color w:val="000000"/>
                <w:sz w:val="18"/>
                <w:lang w:val="es-CR" w:eastAsia="es-CR"/>
              </w:rPr>
              <w:t>&lt;15%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B8F0DD" w14:textId="77777777" w:rsidR="00DA72B4" w:rsidRPr="0023319B" w:rsidRDefault="00DA72B4" w:rsidP="002E6B58">
            <w:pPr>
              <w:spacing w:line="240" w:lineRule="auto"/>
              <w:jc w:val="center"/>
              <w:rPr>
                <w:rFonts w:ascii="Calibri Light" w:hAnsi="Calibri Light" w:cs="Calibri Light"/>
                <w:color w:val="000000"/>
                <w:sz w:val="18"/>
                <w:lang w:val="es-CR" w:eastAsia="es-CR"/>
              </w:rPr>
            </w:pPr>
            <w:r w:rsidRPr="0023319B">
              <w:rPr>
                <w:rFonts w:ascii="Calibri Light" w:hAnsi="Calibri Light" w:cs="Calibri Light"/>
                <w:color w:val="000000"/>
                <w:sz w:val="18"/>
                <w:lang w:val="es-CR" w:eastAsia="es-CR"/>
              </w:rPr>
              <w:t>15% ≤ 25%</w:t>
            </w:r>
          </w:p>
        </w:tc>
        <w:tc>
          <w:tcPr>
            <w:tcW w:w="11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FD3EC1" w14:textId="77777777" w:rsidR="00DA72B4" w:rsidRPr="0023319B" w:rsidRDefault="00DA72B4" w:rsidP="002E6B58">
            <w:pPr>
              <w:spacing w:line="240" w:lineRule="auto"/>
              <w:jc w:val="center"/>
              <w:rPr>
                <w:rFonts w:ascii="Calibri Light" w:hAnsi="Calibri Light" w:cs="Calibri Light"/>
                <w:color w:val="000000"/>
                <w:sz w:val="18"/>
                <w:lang w:val="es-CR" w:eastAsia="es-CR"/>
              </w:rPr>
            </w:pPr>
            <w:r w:rsidRPr="0023319B">
              <w:rPr>
                <w:rFonts w:ascii="Calibri Light" w:hAnsi="Calibri Light" w:cs="Calibri Light"/>
                <w:color w:val="000000"/>
                <w:sz w:val="18"/>
                <w:lang w:val="es-CR" w:eastAsia="es-CR"/>
              </w:rPr>
              <w:t>25% ≤ 35%</w:t>
            </w:r>
          </w:p>
        </w:tc>
        <w:tc>
          <w:tcPr>
            <w:tcW w:w="11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5D3E50" w14:textId="77777777" w:rsidR="00DA72B4" w:rsidRPr="0023319B" w:rsidRDefault="00DA72B4" w:rsidP="002E6B58">
            <w:pPr>
              <w:spacing w:line="240" w:lineRule="auto"/>
              <w:jc w:val="center"/>
              <w:rPr>
                <w:rFonts w:ascii="Calibri Light" w:hAnsi="Calibri Light" w:cs="Calibri Light"/>
                <w:color w:val="000000"/>
                <w:sz w:val="18"/>
                <w:lang w:val="es-CR" w:eastAsia="es-CR"/>
              </w:rPr>
            </w:pPr>
            <w:r w:rsidRPr="0023319B">
              <w:rPr>
                <w:rFonts w:ascii="Calibri Light" w:hAnsi="Calibri Light" w:cs="Calibri Light"/>
                <w:color w:val="000000"/>
                <w:sz w:val="18"/>
                <w:lang w:val="es-CR" w:eastAsia="es-CR"/>
              </w:rPr>
              <w:t>&lt;35%</w:t>
            </w:r>
          </w:p>
        </w:tc>
        <w:tc>
          <w:tcPr>
            <w:tcW w:w="12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2C78DA" w14:textId="57F934DF" w:rsidR="00DA72B4" w:rsidRPr="0023319B" w:rsidRDefault="00E030EC" w:rsidP="002E6B58">
            <w:pPr>
              <w:spacing w:line="240" w:lineRule="auto"/>
              <w:jc w:val="center"/>
              <w:rPr>
                <w:rFonts w:ascii="Calibri Light" w:hAnsi="Calibri Light" w:cs="Calibri Light"/>
                <w:b/>
                <w:bCs/>
                <w:color w:val="000000"/>
                <w:sz w:val="18"/>
                <w:szCs w:val="18"/>
                <w:lang w:val="es-CR" w:eastAsia="es-CR"/>
              </w:rPr>
            </w:pPr>
            <w:r>
              <w:rPr>
                <w:rFonts w:ascii="Calibri Light" w:hAnsi="Calibri Light" w:cs="Calibri Light"/>
                <w:b/>
                <w:bCs/>
                <w:color w:val="000000"/>
                <w:sz w:val="18"/>
                <w:szCs w:val="18"/>
                <w:lang w:val="es-CR" w:eastAsia="es-CR"/>
              </w:rPr>
              <w:t>9</w:t>
            </w:r>
            <w:r w:rsidR="00DA72B4" w:rsidRPr="0023319B">
              <w:rPr>
                <w:rFonts w:ascii="Calibri Light" w:hAnsi="Calibri Light" w:cs="Calibri Light"/>
                <w:b/>
                <w:bCs/>
                <w:color w:val="000000"/>
                <w:sz w:val="18"/>
                <w:szCs w:val="18"/>
                <w:lang w:val="es-CR" w:eastAsia="es-CR"/>
              </w:rPr>
              <w:t>%</w:t>
            </w:r>
          </w:p>
        </w:tc>
      </w:tr>
      <w:tr w:rsidR="00DA72B4" w:rsidRPr="0023319B" w14:paraId="145EC6CD" w14:textId="77777777" w:rsidTr="002E6B58">
        <w:trPr>
          <w:trHeight w:val="780"/>
        </w:trPr>
        <w:tc>
          <w:tcPr>
            <w:tcW w:w="15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315276" w14:textId="77777777" w:rsidR="00DA72B4" w:rsidRPr="0023319B" w:rsidRDefault="00DA72B4" w:rsidP="002E6B58">
            <w:pPr>
              <w:spacing w:line="240" w:lineRule="auto"/>
              <w:jc w:val="left"/>
              <w:rPr>
                <w:rFonts w:ascii="Calibri Light" w:hAnsi="Calibri Light" w:cs="Calibri Light"/>
                <w:color w:val="000000"/>
                <w:sz w:val="18"/>
                <w:lang w:val="es-CR" w:eastAsia="es-CR"/>
              </w:rPr>
            </w:pPr>
            <w:r w:rsidRPr="0023319B">
              <w:rPr>
                <w:rFonts w:ascii="Calibri Light" w:hAnsi="Calibri Light" w:cs="Calibri Light"/>
                <w:color w:val="000000"/>
                <w:sz w:val="18"/>
                <w:lang w:val="es-CR" w:eastAsia="es-CR"/>
              </w:rPr>
              <w:t>Trabajos no programables realizados</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355FBE" w14:textId="77777777" w:rsidR="00DA72B4" w:rsidRPr="0023319B" w:rsidRDefault="00DA72B4" w:rsidP="002E6B58">
            <w:pPr>
              <w:spacing w:line="240" w:lineRule="auto"/>
              <w:jc w:val="left"/>
              <w:rPr>
                <w:rFonts w:ascii="Calibri Light" w:hAnsi="Calibri Light" w:cs="Calibri Light"/>
                <w:color w:val="000000"/>
                <w:sz w:val="18"/>
                <w:lang w:val="es-CR" w:eastAsia="es-CR"/>
              </w:rPr>
            </w:pPr>
            <w:r w:rsidRPr="0023319B">
              <w:rPr>
                <w:rFonts w:ascii="Calibri Light" w:hAnsi="Calibri Light" w:cs="Calibri Light"/>
                <w:color w:val="000000"/>
                <w:sz w:val="18"/>
                <w:lang w:val="es-CR" w:eastAsia="es-CR"/>
              </w:rPr>
              <w:t># de trabajos no programables realizados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A6E4ED" w14:textId="77777777" w:rsidR="00DA72B4" w:rsidRPr="0023319B" w:rsidRDefault="00DA72B4" w:rsidP="002E6B58">
            <w:pPr>
              <w:spacing w:line="240" w:lineRule="auto"/>
              <w:jc w:val="center"/>
              <w:rPr>
                <w:rFonts w:ascii="Calibri Light" w:hAnsi="Calibri Light" w:cs="Calibri Light"/>
                <w:color w:val="000000"/>
                <w:sz w:val="18"/>
                <w:lang w:val="es-CR" w:eastAsia="es-CR"/>
              </w:rPr>
            </w:pPr>
            <w:r w:rsidRPr="0023319B">
              <w:rPr>
                <w:rFonts w:ascii="Calibri Light" w:hAnsi="Calibri Light" w:cs="Calibri Light"/>
                <w:color w:val="000000"/>
                <w:sz w:val="18"/>
                <w:lang w:val="es-CR" w:eastAsia="es-CR"/>
              </w:rPr>
              <w:t>N/A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A916F7" w14:textId="77777777" w:rsidR="00DA72B4" w:rsidRPr="0023319B" w:rsidRDefault="00DA72B4" w:rsidP="002E6B58">
            <w:pPr>
              <w:spacing w:line="240" w:lineRule="auto"/>
              <w:jc w:val="center"/>
              <w:rPr>
                <w:rFonts w:ascii="Calibri Light" w:hAnsi="Calibri Light" w:cs="Calibri Light"/>
                <w:color w:val="000000"/>
                <w:sz w:val="18"/>
                <w:lang w:val="es-CR" w:eastAsia="es-CR"/>
              </w:rPr>
            </w:pPr>
            <w:r w:rsidRPr="0023319B">
              <w:rPr>
                <w:rFonts w:ascii="Calibri Light" w:hAnsi="Calibri Light" w:cs="Calibri Light"/>
                <w:color w:val="000000"/>
                <w:sz w:val="18"/>
                <w:lang w:val="es-CR" w:eastAsia="es-CR"/>
              </w:rPr>
              <w:t>N/A</w:t>
            </w:r>
          </w:p>
        </w:tc>
        <w:tc>
          <w:tcPr>
            <w:tcW w:w="11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E2C46C" w14:textId="77777777" w:rsidR="00DA72B4" w:rsidRPr="0023319B" w:rsidRDefault="00DA72B4" w:rsidP="002E6B58">
            <w:pPr>
              <w:spacing w:line="240" w:lineRule="auto"/>
              <w:jc w:val="center"/>
              <w:rPr>
                <w:rFonts w:ascii="Calibri Light" w:hAnsi="Calibri Light" w:cs="Calibri Light"/>
                <w:color w:val="000000"/>
                <w:sz w:val="18"/>
                <w:lang w:val="es-CR" w:eastAsia="es-CR"/>
              </w:rPr>
            </w:pPr>
            <w:r w:rsidRPr="0023319B">
              <w:rPr>
                <w:rFonts w:ascii="Calibri Light" w:hAnsi="Calibri Light" w:cs="Calibri Light"/>
                <w:color w:val="000000"/>
                <w:sz w:val="18"/>
                <w:lang w:val="es-CR" w:eastAsia="es-CR"/>
              </w:rPr>
              <w:t>N/A</w:t>
            </w:r>
          </w:p>
        </w:tc>
        <w:tc>
          <w:tcPr>
            <w:tcW w:w="11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9609AB" w14:textId="77777777" w:rsidR="00DA72B4" w:rsidRPr="0023319B" w:rsidRDefault="00DA72B4" w:rsidP="002E6B58">
            <w:pPr>
              <w:spacing w:line="240" w:lineRule="auto"/>
              <w:jc w:val="center"/>
              <w:rPr>
                <w:rFonts w:ascii="Calibri Light" w:hAnsi="Calibri Light" w:cs="Calibri Light"/>
                <w:color w:val="000000"/>
                <w:sz w:val="18"/>
                <w:lang w:val="es-CR" w:eastAsia="es-CR"/>
              </w:rPr>
            </w:pPr>
            <w:r w:rsidRPr="0023319B">
              <w:rPr>
                <w:rFonts w:ascii="Calibri Light" w:hAnsi="Calibri Light" w:cs="Calibri Light"/>
                <w:color w:val="000000"/>
                <w:sz w:val="18"/>
                <w:lang w:val="es-CR" w:eastAsia="es-CR"/>
              </w:rPr>
              <w:t>N/A</w:t>
            </w:r>
          </w:p>
        </w:tc>
        <w:tc>
          <w:tcPr>
            <w:tcW w:w="12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FDEC4A" w14:textId="77777777" w:rsidR="00DA72B4" w:rsidRPr="0023319B" w:rsidRDefault="00DA72B4" w:rsidP="002E6B58">
            <w:pPr>
              <w:spacing w:line="240" w:lineRule="auto"/>
              <w:jc w:val="center"/>
              <w:rPr>
                <w:rFonts w:ascii="Calibri Light" w:hAnsi="Calibri Light" w:cs="Calibri Light"/>
                <w:b/>
                <w:bCs/>
                <w:color w:val="000000"/>
                <w:sz w:val="18"/>
                <w:szCs w:val="18"/>
                <w:lang w:val="es-CR" w:eastAsia="es-CR"/>
              </w:rPr>
            </w:pPr>
            <w:r w:rsidRPr="0023319B">
              <w:rPr>
                <w:rFonts w:ascii="Calibri Light" w:hAnsi="Calibri Light" w:cs="Calibri Light"/>
                <w:b/>
                <w:bCs/>
                <w:color w:val="000000"/>
                <w:sz w:val="18"/>
                <w:szCs w:val="18"/>
                <w:lang w:val="es-CR" w:eastAsia="es-CR"/>
              </w:rPr>
              <w:t>0%</w:t>
            </w:r>
          </w:p>
        </w:tc>
      </w:tr>
    </w:tbl>
    <w:p w14:paraId="12FD59E0" w14:textId="14A94E96" w:rsidR="00DA72B4" w:rsidRDefault="00DA72B4" w:rsidP="00DA72B4">
      <w:pPr>
        <w:rPr>
          <w:rFonts w:ascii="Calibri Light" w:hAnsi="Calibri Light" w:cs="Calibri Light"/>
          <w:lang w:val="es-CR"/>
        </w:rPr>
      </w:pPr>
    </w:p>
    <w:p w14:paraId="3E389953" w14:textId="45A09868" w:rsidR="00F17977" w:rsidRDefault="00F17977">
      <w:pPr>
        <w:spacing w:line="240" w:lineRule="auto"/>
        <w:jc w:val="left"/>
        <w:rPr>
          <w:rFonts w:ascii="Calibri Light" w:hAnsi="Calibri Light" w:cs="Calibri Light"/>
          <w:lang w:val="es-CR"/>
        </w:rPr>
      </w:pPr>
      <w:r>
        <w:rPr>
          <w:rFonts w:ascii="Calibri Light" w:hAnsi="Calibri Light" w:cs="Calibri Light"/>
          <w:lang w:val="es-CR"/>
        </w:rPr>
        <w:br w:type="page"/>
      </w:r>
    </w:p>
    <w:p w14:paraId="1A1D6923" w14:textId="68364965" w:rsidR="00B332E3" w:rsidRPr="0023319B" w:rsidRDefault="00B332E3" w:rsidP="003E35E4">
      <w:pPr>
        <w:pStyle w:val="Ttulo2"/>
        <w:numPr>
          <w:ilvl w:val="0"/>
          <w:numId w:val="32"/>
        </w:numPr>
        <w:rPr>
          <w:sz w:val="20"/>
          <w:szCs w:val="18"/>
        </w:rPr>
      </w:pPr>
      <w:bookmarkStart w:id="103" w:name="_Toc55203356"/>
      <w:bookmarkStart w:id="104" w:name="_Toc61081398"/>
      <w:r w:rsidRPr="0023319B">
        <w:t>Análisis del desempeño institucional y programático.</w:t>
      </w:r>
      <w:bookmarkEnd w:id="103"/>
      <w:r w:rsidRPr="0023319B">
        <w:t xml:space="preserve"> </w:t>
      </w:r>
      <w:r w:rsidRPr="0023319B">
        <w:rPr>
          <w:sz w:val="20"/>
          <w:szCs w:val="18"/>
        </w:rPr>
        <w:t>(4.5.6.b.iii)</w:t>
      </w:r>
      <w:bookmarkEnd w:id="104"/>
    </w:p>
    <w:p w14:paraId="61CD5478" w14:textId="77777777" w:rsidR="00302C4A" w:rsidRPr="0023319B" w:rsidRDefault="00302C4A" w:rsidP="00302C4A">
      <w:pPr>
        <w:rPr>
          <w:lang w:val="es-CR"/>
        </w:rPr>
      </w:pPr>
      <w:bookmarkStart w:id="105" w:name="_Toc45533002"/>
    </w:p>
    <w:bookmarkEnd w:id="105"/>
    <w:p w14:paraId="3E2BC07E" w14:textId="09959F8F" w:rsidR="00867ECC" w:rsidRPr="0023319B" w:rsidRDefault="00867ECC" w:rsidP="00867ECC">
      <w:pPr>
        <w:spacing w:line="360" w:lineRule="auto"/>
        <w:rPr>
          <w:rFonts w:asciiTheme="minorHAnsi" w:hAnsiTheme="minorHAnsi" w:cstheme="minorHAnsi"/>
          <w:sz w:val="24"/>
          <w:szCs w:val="24"/>
          <w:lang w:val="es-CR"/>
        </w:rPr>
      </w:pPr>
      <w:r w:rsidRPr="0023319B">
        <w:rPr>
          <w:rFonts w:asciiTheme="minorHAnsi" w:hAnsiTheme="minorHAnsi" w:cstheme="minorHAnsi"/>
          <w:sz w:val="24"/>
          <w:szCs w:val="24"/>
          <w:lang w:val="es-CR"/>
        </w:rPr>
        <w:t xml:space="preserve">Al término del </w:t>
      </w:r>
      <w:r w:rsidR="008D5E73" w:rsidRPr="0023319B">
        <w:rPr>
          <w:rFonts w:asciiTheme="minorHAnsi" w:hAnsiTheme="minorHAnsi" w:cstheme="minorHAnsi"/>
          <w:sz w:val="24"/>
          <w:szCs w:val="24"/>
          <w:lang w:val="es-CR"/>
        </w:rPr>
        <w:t>periodo</w:t>
      </w:r>
      <w:r w:rsidRPr="0023319B">
        <w:rPr>
          <w:rFonts w:asciiTheme="minorHAnsi" w:hAnsiTheme="minorHAnsi" w:cstheme="minorHAnsi"/>
          <w:sz w:val="24"/>
          <w:szCs w:val="24"/>
          <w:lang w:val="es-CR"/>
        </w:rPr>
        <w:t xml:space="preserve"> se mostraron resultados satisfactorios, en eficiencia, eficacia, economía y calidad en el uso de los recursos asignados a la SUPEN. Para el período en estudio, el presupuesto aprobado por la Contraloría General de la República ascendió a </w:t>
      </w:r>
      <w:r w:rsidR="00826A4A">
        <w:rPr>
          <w:rFonts w:asciiTheme="minorHAnsi" w:hAnsiTheme="minorHAnsi" w:cstheme="minorHAnsi"/>
          <w:sz w:val="24"/>
          <w:szCs w:val="24"/>
          <w:lang w:val="es-CR"/>
        </w:rPr>
        <w:t xml:space="preserve">la suma de </w:t>
      </w:r>
      <w:r w:rsidRPr="0023319B">
        <w:rPr>
          <w:rFonts w:asciiTheme="minorHAnsi" w:hAnsiTheme="minorHAnsi" w:cstheme="minorHAnsi"/>
          <w:sz w:val="24"/>
          <w:szCs w:val="24"/>
          <w:lang w:val="es-CR"/>
        </w:rPr>
        <w:t>¢5</w:t>
      </w:r>
      <w:r w:rsidR="00826A4A">
        <w:rPr>
          <w:rFonts w:asciiTheme="minorHAnsi" w:hAnsiTheme="minorHAnsi" w:cstheme="minorHAnsi"/>
          <w:sz w:val="24"/>
          <w:szCs w:val="24"/>
          <w:lang w:val="es-CR"/>
        </w:rPr>
        <w:t xml:space="preserve"> </w:t>
      </w:r>
      <w:r w:rsidRPr="0023319B">
        <w:rPr>
          <w:rFonts w:asciiTheme="minorHAnsi" w:hAnsiTheme="minorHAnsi" w:cstheme="minorHAnsi"/>
          <w:sz w:val="24"/>
          <w:szCs w:val="24"/>
          <w:lang w:val="es-CR"/>
        </w:rPr>
        <w:t>645,8 millones de los cuales se ejecutaron ¢</w:t>
      </w:r>
      <w:r w:rsidR="007A34B7" w:rsidRPr="0023319B">
        <w:rPr>
          <w:rFonts w:asciiTheme="minorHAnsi" w:hAnsiTheme="minorHAnsi" w:cstheme="minorHAnsi"/>
          <w:sz w:val="24"/>
          <w:szCs w:val="24"/>
          <w:lang w:val="es-CR"/>
        </w:rPr>
        <w:t>4</w:t>
      </w:r>
      <w:r w:rsidR="00826A4A">
        <w:rPr>
          <w:rFonts w:asciiTheme="minorHAnsi" w:hAnsiTheme="minorHAnsi" w:cstheme="minorHAnsi"/>
          <w:sz w:val="24"/>
          <w:szCs w:val="24"/>
          <w:lang w:val="es-CR"/>
        </w:rPr>
        <w:t xml:space="preserve"> </w:t>
      </w:r>
      <w:r w:rsidR="00EF076A" w:rsidRPr="0023319B">
        <w:rPr>
          <w:rFonts w:asciiTheme="minorHAnsi" w:hAnsiTheme="minorHAnsi" w:cstheme="minorHAnsi"/>
          <w:sz w:val="24"/>
          <w:szCs w:val="24"/>
          <w:lang w:val="es-CR"/>
        </w:rPr>
        <w:t>511,0</w:t>
      </w:r>
      <w:r w:rsidRPr="0023319B">
        <w:rPr>
          <w:rFonts w:asciiTheme="minorHAnsi" w:hAnsiTheme="minorHAnsi" w:cstheme="minorHAnsi"/>
          <w:sz w:val="24"/>
          <w:szCs w:val="24"/>
          <w:lang w:val="es-CR"/>
        </w:rPr>
        <w:t xml:space="preserve"> millones, dando como resultado una erogación del </w:t>
      </w:r>
      <w:r w:rsidR="00EF076A" w:rsidRPr="0023319B">
        <w:rPr>
          <w:rFonts w:asciiTheme="minorHAnsi" w:hAnsiTheme="minorHAnsi" w:cstheme="minorHAnsi"/>
          <w:sz w:val="24"/>
          <w:szCs w:val="24"/>
          <w:lang w:val="es-CR"/>
        </w:rPr>
        <w:t>80</w:t>
      </w:r>
      <w:r w:rsidRPr="0023319B">
        <w:rPr>
          <w:rFonts w:asciiTheme="minorHAnsi" w:hAnsiTheme="minorHAnsi" w:cstheme="minorHAnsi"/>
          <w:sz w:val="24"/>
          <w:szCs w:val="24"/>
          <w:lang w:val="es-CR"/>
        </w:rPr>
        <w:t>%.</w:t>
      </w:r>
    </w:p>
    <w:p w14:paraId="2F8471F3" w14:textId="77777777" w:rsidR="00867ECC" w:rsidRPr="0023319B" w:rsidRDefault="00867ECC" w:rsidP="00867ECC">
      <w:pPr>
        <w:spacing w:line="360" w:lineRule="auto"/>
        <w:rPr>
          <w:rFonts w:asciiTheme="minorHAnsi" w:hAnsiTheme="minorHAnsi" w:cstheme="minorHAnsi"/>
          <w:sz w:val="24"/>
          <w:szCs w:val="24"/>
          <w:lang w:val="es-CR"/>
        </w:rPr>
      </w:pPr>
    </w:p>
    <w:p w14:paraId="07143865" w14:textId="11A4DF7D" w:rsidR="00867ECC" w:rsidRPr="0023319B" w:rsidRDefault="00867ECC" w:rsidP="00867ECC">
      <w:pPr>
        <w:spacing w:line="360" w:lineRule="auto"/>
        <w:rPr>
          <w:rFonts w:asciiTheme="minorHAnsi" w:hAnsiTheme="minorHAnsi" w:cstheme="minorHAnsi"/>
          <w:sz w:val="24"/>
          <w:szCs w:val="24"/>
          <w:lang w:val="es-CR"/>
        </w:rPr>
      </w:pPr>
      <w:r w:rsidRPr="0023319B">
        <w:rPr>
          <w:rFonts w:asciiTheme="minorHAnsi" w:hAnsiTheme="minorHAnsi" w:cstheme="minorHAnsi"/>
          <w:sz w:val="24"/>
          <w:szCs w:val="24"/>
          <w:lang w:val="es-CR"/>
        </w:rPr>
        <w:t>A nivel de resultados</w:t>
      </w:r>
      <w:r w:rsidR="00CE100B">
        <w:rPr>
          <w:rFonts w:asciiTheme="minorHAnsi" w:hAnsiTheme="minorHAnsi" w:cstheme="minorHAnsi"/>
          <w:sz w:val="24"/>
          <w:szCs w:val="24"/>
          <w:lang w:val="es-CR"/>
        </w:rPr>
        <w:t xml:space="preserve"> </w:t>
      </w:r>
      <w:r w:rsidR="00CE100B" w:rsidRPr="00CE100B">
        <w:rPr>
          <w:rFonts w:asciiTheme="minorHAnsi" w:hAnsiTheme="minorHAnsi" w:cstheme="minorHAnsi"/>
          <w:sz w:val="24"/>
          <w:szCs w:val="24"/>
          <w:lang w:val="es-CR"/>
        </w:rPr>
        <w:t>de los trabajos realizados</w:t>
      </w:r>
      <w:r w:rsidRPr="0023319B">
        <w:rPr>
          <w:rFonts w:asciiTheme="minorHAnsi" w:hAnsiTheme="minorHAnsi" w:cstheme="minorHAnsi"/>
          <w:sz w:val="24"/>
          <w:szCs w:val="24"/>
          <w:lang w:val="es-CR"/>
        </w:rPr>
        <w:t xml:space="preserve">, se destaca que en general los indicadores de desempeño establecidos </w:t>
      </w:r>
      <w:r w:rsidRPr="00FD64E9">
        <w:rPr>
          <w:rFonts w:asciiTheme="minorHAnsi" w:hAnsiTheme="minorHAnsi" w:cstheme="minorHAnsi"/>
          <w:sz w:val="24"/>
          <w:szCs w:val="24"/>
          <w:lang w:val="es-CR"/>
        </w:rPr>
        <w:t>alcanzaran como resultado el 9</w:t>
      </w:r>
      <w:r w:rsidR="00FD64E9">
        <w:rPr>
          <w:rFonts w:asciiTheme="minorHAnsi" w:hAnsiTheme="minorHAnsi" w:cstheme="minorHAnsi"/>
          <w:sz w:val="24"/>
          <w:szCs w:val="24"/>
          <w:lang w:val="es-CR"/>
        </w:rPr>
        <w:t>1</w:t>
      </w:r>
      <w:r w:rsidRPr="00FD64E9">
        <w:rPr>
          <w:rFonts w:asciiTheme="minorHAnsi" w:hAnsiTheme="minorHAnsi" w:cstheme="minorHAnsi"/>
          <w:sz w:val="24"/>
          <w:szCs w:val="24"/>
          <w:lang w:val="es-CR"/>
        </w:rPr>
        <w:t>%, lo cual denota un alto grado de efectividad durante todo</w:t>
      </w:r>
      <w:r w:rsidRPr="0023319B">
        <w:rPr>
          <w:rFonts w:asciiTheme="minorHAnsi" w:hAnsiTheme="minorHAnsi" w:cstheme="minorHAnsi"/>
          <w:sz w:val="24"/>
          <w:szCs w:val="24"/>
          <w:lang w:val="es-CR"/>
        </w:rPr>
        <w:t xml:space="preserve"> el período. </w:t>
      </w:r>
    </w:p>
    <w:p w14:paraId="2DC42840" w14:textId="77777777" w:rsidR="00867ECC" w:rsidRPr="0023319B" w:rsidRDefault="00867ECC" w:rsidP="00867ECC">
      <w:pPr>
        <w:spacing w:line="360" w:lineRule="auto"/>
        <w:rPr>
          <w:rFonts w:asciiTheme="minorHAnsi" w:hAnsiTheme="minorHAnsi" w:cstheme="minorHAnsi"/>
          <w:sz w:val="24"/>
          <w:szCs w:val="24"/>
          <w:lang w:val="es-CR"/>
        </w:rPr>
      </w:pPr>
    </w:p>
    <w:p w14:paraId="5948E382" w14:textId="367AC82A" w:rsidR="00867ECC" w:rsidRPr="0023319B" w:rsidRDefault="00867ECC" w:rsidP="00867ECC">
      <w:pPr>
        <w:spacing w:line="360" w:lineRule="auto"/>
        <w:rPr>
          <w:rFonts w:asciiTheme="minorHAnsi" w:hAnsiTheme="minorHAnsi" w:cstheme="minorHAnsi"/>
          <w:sz w:val="24"/>
          <w:szCs w:val="24"/>
          <w:lang w:val="es-CR"/>
        </w:rPr>
      </w:pPr>
      <w:r w:rsidRPr="0023319B">
        <w:rPr>
          <w:rFonts w:asciiTheme="minorHAnsi" w:hAnsiTheme="minorHAnsi" w:cstheme="minorHAnsi"/>
          <w:sz w:val="24"/>
          <w:szCs w:val="24"/>
          <w:lang w:val="es-CR"/>
        </w:rPr>
        <w:t xml:space="preserve">Por tanto, se observa que las metas se cumplieron conforme a lo programado, con resultados de desempeño significativos y con el uso del </w:t>
      </w:r>
      <w:r w:rsidR="00EF076A" w:rsidRPr="0023319B">
        <w:rPr>
          <w:rFonts w:asciiTheme="minorHAnsi" w:hAnsiTheme="minorHAnsi" w:cstheme="minorHAnsi"/>
          <w:sz w:val="24"/>
          <w:szCs w:val="24"/>
          <w:lang w:val="es-CR"/>
        </w:rPr>
        <w:t>80</w:t>
      </w:r>
      <w:r w:rsidRPr="0023319B">
        <w:rPr>
          <w:rFonts w:asciiTheme="minorHAnsi" w:hAnsiTheme="minorHAnsi" w:cstheme="minorHAnsi"/>
          <w:sz w:val="24"/>
          <w:szCs w:val="24"/>
          <w:lang w:val="es-CR"/>
        </w:rPr>
        <w:t xml:space="preserve">% de los recursos presupuestarios asignados. </w:t>
      </w:r>
    </w:p>
    <w:p w14:paraId="5C4CDE46" w14:textId="77777777" w:rsidR="00867ECC" w:rsidRPr="0023319B" w:rsidRDefault="00867ECC" w:rsidP="00867ECC">
      <w:pPr>
        <w:spacing w:line="360" w:lineRule="auto"/>
        <w:rPr>
          <w:rFonts w:asciiTheme="minorHAnsi" w:hAnsiTheme="minorHAnsi" w:cstheme="minorHAnsi"/>
          <w:sz w:val="24"/>
          <w:szCs w:val="24"/>
          <w:lang w:val="es-CR"/>
        </w:rPr>
      </w:pPr>
    </w:p>
    <w:p w14:paraId="0BF7FA6D" w14:textId="77777777" w:rsidR="00867ECC" w:rsidRPr="0023319B" w:rsidRDefault="00867ECC" w:rsidP="00867ECC">
      <w:pPr>
        <w:spacing w:line="360" w:lineRule="auto"/>
        <w:rPr>
          <w:rFonts w:asciiTheme="minorHAnsi" w:hAnsiTheme="minorHAnsi" w:cstheme="minorHAnsi"/>
          <w:sz w:val="24"/>
          <w:szCs w:val="24"/>
          <w:lang w:val="es-CR"/>
        </w:rPr>
      </w:pPr>
      <w:r w:rsidRPr="0023319B">
        <w:rPr>
          <w:rFonts w:asciiTheme="minorHAnsi" w:hAnsiTheme="minorHAnsi" w:cstheme="minorHAnsi"/>
          <w:sz w:val="24"/>
          <w:szCs w:val="24"/>
          <w:lang w:val="es-CR"/>
        </w:rPr>
        <w:t xml:space="preserve">Por lo expuesto, se puede indicar que la SUPEN mostró un desempeño positivo a nivel de toda la organización, logrando contribuir institucionalmente para alcanzar los objetivos estratégicos y operativos que se trazó para el período. </w:t>
      </w:r>
    </w:p>
    <w:p w14:paraId="434ED6A7" w14:textId="77777777" w:rsidR="00867ECC" w:rsidRPr="0023319B" w:rsidRDefault="00867ECC" w:rsidP="00867ECC">
      <w:pPr>
        <w:spacing w:line="360" w:lineRule="auto"/>
        <w:rPr>
          <w:rFonts w:asciiTheme="minorHAnsi" w:hAnsiTheme="minorHAnsi" w:cstheme="minorHAnsi"/>
          <w:sz w:val="24"/>
          <w:szCs w:val="24"/>
          <w:lang w:val="es-CR"/>
        </w:rPr>
      </w:pPr>
    </w:p>
    <w:p w14:paraId="428DA134" w14:textId="5C2049EA" w:rsidR="00867ECC" w:rsidRPr="0023319B" w:rsidRDefault="00867ECC" w:rsidP="00867ECC">
      <w:pPr>
        <w:spacing w:line="360" w:lineRule="auto"/>
        <w:rPr>
          <w:rFonts w:asciiTheme="minorHAnsi" w:hAnsiTheme="minorHAnsi" w:cstheme="minorHAnsi"/>
          <w:sz w:val="24"/>
          <w:szCs w:val="24"/>
          <w:lang w:val="es-CR"/>
        </w:rPr>
      </w:pPr>
      <w:r w:rsidRPr="0023319B">
        <w:rPr>
          <w:rFonts w:asciiTheme="minorHAnsi" w:hAnsiTheme="minorHAnsi" w:cstheme="minorHAnsi"/>
          <w:sz w:val="24"/>
          <w:szCs w:val="24"/>
          <w:lang w:val="es-CR"/>
        </w:rPr>
        <w:t>En cuanto a la cantidad de usuarios o personas que se ven beneficiadas por los servicios brindados por la SUPEN, se puede afirmar que producto de las labores efectuadas están favorecidas todas las personas que participan directa o indirectamente del Sistema Costarricense de Pensiones. Así las cosas, la SUPEN procura ayuda</w:t>
      </w:r>
      <w:r w:rsidR="005F24F4" w:rsidRPr="0023319B">
        <w:rPr>
          <w:rFonts w:asciiTheme="minorHAnsi" w:hAnsiTheme="minorHAnsi" w:cstheme="minorHAnsi"/>
          <w:sz w:val="24"/>
          <w:szCs w:val="24"/>
          <w:lang w:val="es-CR"/>
        </w:rPr>
        <w:t>r</w:t>
      </w:r>
      <w:r w:rsidRPr="0023319B">
        <w:rPr>
          <w:rFonts w:asciiTheme="minorHAnsi" w:hAnsiTheme="minorHAnsi" w:cstheme="minorHAnsi"/>
          <w:sz w:val="24"/>
          <w:szCs w:val="24"/>
          <w:lang w:val="es-CR"/>
        </w:rPr>
        <w:t xml:space="preserve"> a las personas mayores de 15 años</w:t>
      </w:r>
      <w:r w:rsidR="000B5FC9" w:rsidRPr="0023319B">
        <w:rPr>
          <w:rFonts w:asciiTheme="minorHAnsi" w:hAnsiTheme="minorHAnsi" w:cstheme="minorHAnsi"/>
          <w:sz w:val="24"/>
          <w:szCs w:val="24"/>
          <w:lang w:val="es-CR"/>
        </w:rPr>
        <w:t xml:space="preserve"> residentes en el país</w:t>
      </w:r>
      <w:r w:rsidRPr="0023319B">
        <w:rPr>
          <w:rFonts w:asciiTheme="minorHAnsi" w:hAnsiTheme="minorHAnsi" w:cstheme="minorHAnsi"/>
          <w:sz w:val="24"/>
          <w:szCs w:val="24"/>
          <w:lang w:val="es-CR"/>
        </w:rPr>
        <w:t>, los que representa alrededor de 2,5 millones de individuos, en la que se encuentra también la población económicamente activa</w:t>
      </w:r>
      <w:r w:rsidR="004F3D98" w:rsidRPr="0023319B">
        <w:rPr>
          <w:rFonts w:asciiTheme="minorHAnsi" w:hAnsiTheme="minorHAnsi" w:cstheme="minorHAnsi"/>
          <w:sz w:val="24"/>
          <w:szCs w:val="24"/>
          <w:lang w:val="es-CR"/>
        </w:rPr>
        <w:t>;</w:t>
      </w:r>
      <w:r w:rsidRPr="0023319B">
        <w:rPr>
          <w:rFonts w:asciiTheme="minorHAnsi" w:hAnsiTheme="minorHAnsi" w:cstheme="minorHAnsi"/>
          <w:sz w:val="24"/>
          <w:szCs w:val="24"/>
          <w:lang w:val="es-CR"/>
        </w:rPr>
        <w:t xml:space="preserve"> a la mayoría de ellos la SUPEN les supervisa la cuenta individual de pensiones y a los otros los motiva, a través de la divulgación de información</w:t>
      </w:r>
      <w:r w:rsidR="004625D8" w:rsidRPr="0023319B">
        <w:rPr>
          <w:rFonts w:asciiTheme="minorHAnsi" w:hAnsiTheme="minorHAnsi" w:cstheme="minorHAnsi"/>
          <w:sz w:val="24"/>
          <w:szCs w:val="24"/>
          <w:lang w:val="es-CR"/>
        </w:rPr>
        <w:t xml:space="preserve"> y educación financiera</w:t>
      </w:r>
      <w:r w:rsidRPr="0023319B">
        <w:rPr>
          <w:rFonts w:asciiTheme="minorHAnsi" w:hAnsiTheme="minorHAnsi" w:cstheme="minorHAnsi"/>
          <w:sz w:val="24"/>
          <w:szCs w:val="24"/>
          <w:lang w:val="es-CR"/>
        </w:rPr>
        <w:t xml:space="preserve">, a forma </w:t>
      </w:r>
      <w:r w:rsidR="00C16D9B" w:rsidRPr="0023319B">
        <w:rPr>
          <w:rFonts w:asciiTheme="minorHAnsi" w:hAnsiTheme="minorHAnsi" w:cstheme="minorHAnsi"/>
          <w:sz w:val="24"/>
          <w:szCs w:val="24"/>
          <w:lang w:val="es-CR"/>
        </w:rPr>
        <w:t>parte d</w:t>
      </w:r>
      <w:r w:rsidRPr="0023319B">
        <w:rPr>
          <w:rFonts w:asciiTheme="minorHAnsi" w:hAnsiTheme="minorHAnsi" w:cstheme="minorHAnsi"/>
          <w:sz w:val="24"/>
          <w:szCs w:val="24"/>
          <w:lang w:val="es-CR"/>
        </w:rPr>
        <w:t xml:space="preserve">el Sistema, para que tengan al final de la edad productiva </w:t>
      </w:r>
      <w:r w:rsidR="007036D7" w:rsidRPr="0023319B">
        <w:rPr>
          <w:rFonts w:asciiTheme="minorHAnsi" w:hAnsiTheme="minorHAnsi" w:cstheme="minorHAnsi"/>
          <w:sz w:val="24"/>
          <w:szCs w:val="24"/>
          <w:lang w:val="es-CR"/>
        </w:rPr>
        <w:t xml:space="preserve">recursos financieros, </w:t>
      </w:r>
      <w:r w:rsidRPr="0023319B">
        <w:rPr>
          <w:rFonts w:asciiTheme="minorHAnsi" w:hAnsiTheme="minorHAnsi" w:cstheme="minorHAnsi"/>
          <w:sz w:val="24"/>
          <w:szCs w:val="24"/>
          <w:lang w:val="es-CR"/>
        </w:rPr>
        <w:t xml:space="preserve">que les ayude a sobrellevar la </w:t>
      </w:r>
      <w:r w:rsidR="005F24F4" w:rsidRPr="0023319B">
        <w:rPr>
          <w:rFonts w:asciiTheme="minorHAnsi" w:hAnsiTheme="minorHAnsi" w:cstheme="minorHAnsi"/>
          <w:sz w:val="24"/>
          <w:szCs w:val="24"/>
          <w:lang w:val="es-CR"/>
        </w:rPr>
        <w:t xml:space="preserve">etapa de </w:t>
      </w:r>
      <w:r w:rsidRPr="0023319B">
        <w:rPr>
          <w:rFonts w:asciiTheme="minorHAnsi" w:hAnsiTheme="minorHAnsi" w:cstheme="minorHAnsi"/>
          <w:sz w:val="24"/>
          <w:szCs w:val="24"/>
          <w:lang w:val="es-CR"/>
        </w:rPr>
        <w:t>vejez</w:t>
      </w:r>
      <w:r w:rsidR="004425DC">
        <w:rPr>
          <w:rFonts w:asciiTheme="minorHAnsi" w:hAnsiTheme="minorHAnsi" w:cstheme="minorHAnsi"/>
          <w:sz w:val="24"/>
          <w:szCs w:val="24"/>
          <w:lang w:val="es-CR"/>
        </w:rPr>
        <w:t xml:space="preserve"> de una mejor manera</w:t>
      </w:r>
      <w:r w:rsidRPr="0023319B">
        <w:rPr>
          <w:rFonts w:asciiTheme="minorHAnsi" w:hAnsiTheme="minorHAnsi" w:cstheme="minorHAnsi"/>
          <w:sz w:val="24"/>
          <w:szCs w:val="24"/>
          <w:lang w:val="es-CR"/>
        </w:rPr>
        <w:t>.</w:t>
      </w:r>
    </w:p>
    <w:p w14:paraId="0CA8B4BA" w14:textId="4588FC2B" w:rsidR="00AF6E29" w:rsidRDefault="00AF6E29" w:rsidP="00867ECC">
      <w:pPr>
        <w:spacing w:line="360" w:lineRule="auto"/>
        <w:rPr>
          <w:rFonts w:asciiTheme="minorHAnsi" w:hAnsiTheme="minorHAnsi" w:cstheme="minorHAnsi"/>
          <w:sz w:val="24"/>
          <w:szCs w:val="24"/>
          <w:lang w:val="es-CR"/>
        </w:rPr>
      </w:pPr>
    </w:p>
    <w:p w14:paraId="3C1AEC35" w14:textId="77777777" w:rsidR="00A96873" w:rsidRPr="0023319B" w:rsidRDefault="00A96873" w:rsidP="00A96873">
      <w:pPr>
        <w:pStyle w:val="Ttulo2"/>
        <w:numPr>
          <w:ilvl w:val="0"/>
          <w:numId w:val="33"/>
        </w:numPr>
      </w:pPr>
      <w:bookmarkStart w:id="106" w:name="_Toc55203357"/>
      <w:bookmarkStart w:id="107" w:name="_Toc61081399"/>
      <w:r w:rsidRPr="0023319B">
        <w:t>Avance en el cumplimiento de los objetivos y metas de mediano y largo plazo considerando las proyecciones plurianuales realizadas.</w:t>
      </w:r>
      <w:bookmarkEnd w:id="106"/>
      <w:r w:rsidRPr="0023319B">
        <w:t xml:space="preserve"> </w:t>
      </w:r>
      <w:r w:rsidRPr="0023319B">
        <w:rPr>
          <w:bCs/>
          <w:sz w:val="20"/>
          <w:szCs w:val="18"/>
        </w:rPr>
        <w:t>(4.5.6.b.iv)</w:t>
      </w:r>
      <w:bookmarkEnd w:id="107"/>
    </w:p>
    <w:p w14:paraId="333EE04E" w14:textId="0E2FCC48" w:rsidR="00A96873" w:rsidRDefault="00A96873" w:rsidP="00867ECC">
      <w:pPr>
        <w:spacing w:line="360" w:lineRule="auto"/>
        <w:rPr>
          <w:rFonts w:asciiTheme="minorHAnsi" w:hAnsiTheme="minorHAnsi" w:cstheme="minorHAnsi"/>
          <w:sz w:val="24"/>
          <w:szCs w:val="24"/>
          <w:lang w:val="es-CR"/>
        </w:rPr>
      </w:pPr>
    </w:p>
    <w:p w14:paraId="2B0D0E5C" w14:textId="5312E54E" w:rsidR="00B332E3" w:rsidRPr="0023319B" w:rsidRDefault="00B332E3" w:rsidP="00A9221D">
      <w:pPr>
        <w:pStyle w:val="Ttulo3"/>
      </w:pPr>
      <w:bookmarkStart w:id="108" w:name="_Toc61081400"/>
      <w:r w:rsidRPr="0023319B">
        <w:t>Avance de proyectos estratégicos:</w:t>
      </w:r>
      <w:bookmarkEnd w:id="108"/>
      <w:r w:rsidRPr="0023319B">
        <w:t xml:space="preserve"> </w:t>
      </w:r>
    </w:p>
    <w:p w14:paraId="2EECAABA" w14:textId="51C86006" w:rsidR="00B332E3" w:rsidRPr="0023319B" w:rsidRDefault="00B332E3" w:rsidP="00B332E3">
      <w:pPr>
        <w:spacing w:before="240" w:after="240"/>
        <w:rPr>
          <w:rFonts w:asciiTheme="minorHAnsi" w:hAnsiTheme="minorHAnsi" w:cstheme="minorHAnsi"/>
          <w:sz w:val="24"/>
          <w:szCs w:val="24"/>
          <w:lang w:val="es-CR"/>
        </w:rPr>
      </w:pPr>
      <w:r w:rsidRPr="0023319B">
        <w:rPr>
          <w:rFonts w:asciiTheme="minorHAnsi" w:hAnsiTheme="minorHAnsi" w:cstheme="minorHAnsi"/>
          <w:sz w:val="24"/>
          <w:szCs w:val="24"/>
          <w:lang w:val="es-CR"/>
        </w:rPr>
        <w:t>La información detallada correspondiente al avance de los proyectos estratégicos.</w:t>
      </w:r>
    </w:p>
    <w:p w14:paraId="7369CB5D" w14:textId="77777777" w:rsidR="00B242D1" w:rsidRPr="00EB0928" w:rsidRDefault="00B242D1" w:rsidP="00B242D1">
      <w:pPr>
        <w:rPr>
          <w:sz w:val="18"/>
          <w:szCs w:val="18"/>
          <w:lang w:val="es-CR"/>
        </w:rPr>
      </w:pPr>
    </w:p>
    <w:p w14:paraId="3CABA6D2" w14:textId="61E1D24D" w:rsidR="00B242D1" w:rsidRDefault="00F120D6" w:rsidP="00A9221D">
      <w:pPr>
        <w:pStyle w:val="Ttulo3"/>
      </w:pPr>
      <w:bookmarkStart w:id="109" w:name="_Toc61081401"/>
      <w:r w:rsidRPr="0023319B">
        <w:rPr>
          <w:szCs w:val="24"/>
        </w:rPr>
        <w:t>Tabla</w:t>
      </w:r>
      <w:r w:rsidR="00B242D1" w:rsidRPr="0023319B">
        <w:rPr>
          <w:szCs w:val="24"/>
        </w:rPr>
        <w:t xml:space="preserve"> </w:t>
      </w:r>
      <w:r w:rsidRPr="0023319B">
        <w:rPr>
          <w:szCs w:val="24"/>
        </w:rPr>
        <w:t>5</w:t>
      </w:r>
      <w:r w:rsidR="00B242D1" w:rsidRPr="0023319B">
        <w:rPr>
          <w:szCs w:val="24"/>
        </w:rPr>
        <w:t xml:space="preserve">: </w:t>
      </w:r>
      <w:bookmarkStart w:id="110" w:name="_Hlk535247962"/>
      <w:r w:rsidR="00B242D1" w:rsidRPr="0023319B">
        <w:t>Avance en proyectos estratégicos</w:t>
      </w:r>
      <w:bookmarkEnd w:id="109"/>
    </w:p>
    <w:tbl>
      <w:tblPr>
        <w:tblW w:w="102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55"/>
        <w:gridCol w:w="1311"/>
        <w:gridCol w:w="1699"/>
        <w:gridCol w:w="709"/>
        <w:gridCol w:w="992"/>
        <w:gridCol w:w="1321"/>
        <w:gridCol w:w="992"/>
        <w:gridCol w:w="1659"/>
      </w:tblGrid>
      <w:tr w:rsidR="00E94EAF" w:rsidRPr="00FE2827" w14:paraId="11C4916C" w14:textId="77777777" w:rsidTr="00E94EAF">
        <w:trPr>
          <w:trHeight w:val="300"/>
          <w:tblHeader/>
          <w:jc w:val="center"/>
        </w:trPr>
        <w:tc>
          <w:tcPr>
            <w:tcW w:w="1555" w:type="dxa"/>
            <w:shd w:val="clear" w:color="auto" w:fill="8DB3E2" w:themeFill="text2" w:themeFillTint="66"/>
            <w:vAlign w:val="center"/>
          </w:tcPr>
          <w:p w14:paraId="3F2B28E9" w14:textId="77777777" w:rsidR="004F6F16" w:rsidRPr="00BB5133" w:rsidRDefault="004F6F16" w:rsidP="00E94EAF">
            <w:pPr>
              <w:spacing w:line="240" w:lineRule="auto"/>
              <w:jc w:val="center"/>
              <w:rPr>
                <w:rFonts w:ascii="Calibri Light" w:hAnsi="Calibri Light" w:cs="Calibri Light"/>
                <w:b/>
                <w:color w:val="000000"/>
                <w:sz w:val="18"/>
                <w:szCs w:val="18"/>
                <w:lang w:val="es-CR"/>
              </w:rPr>
            </w:pPr>
            <w:r w:rsidRPr="00BB5133">
              <w:rPr>
                <w:rFonts w:ascii="Calibri Light" w:hAnsi="Calibri Light" w:cs="Calibri Light"/>
                <w:b/>
                <w:color w:val="000000"/>
                <w:sz w:val="18"/>
                <w:szCs w:val="18"/>
                <w:lang w:val="es-CR"/>
              </w:rPr>
              <w:t>Objetivo Estratégico SUPEN y CONASSIF</w:t>
            </w:r>
          </w:p>
        </w:tc>
        <w:tc>
          <w:tcPr>
            <w:tcW w:w="1311" w:type="dxa"/>
            <w:shd w:val="clear" w:color="auto" w:fill="8DB3E2" w:themeFill="text2" w:themeFillTint="66"/>
            <w:noWrap/>
            <w:vAlign w:val="center"/>
          </w:tcPr>
          <w:p w14:paraId="75CD3D0C" w14:textId="77777777" w:rsidR="004F6F16" w:rsidRPr="00BB5133" w:rsidRDefault="004F6F16" w:rsidP="00E94EAF">
            <w:pPr>
              <w:spacing w:line="240" w:lineRule="auto"/>
              <w:jc w:val="center"/>
              <w:rPr>
                <w:rFonts w:ascii="Calibri Light" w:hAnsi="Calibri Light" w:cs="Calibri Light"/>
                <w:b/>
                <w:color w:val="000000"/>
                <w:sz w:val="18"/>
                <w:szCs w:val="18"/>
                <w:lang w:val="es-CR"/>
              </w:rPr>
            </w:pPr>
            <w:r w:rsidRPr="00BB5133">
              <w:rPr>
                <w:rFonts w:ascii="Calibri Light" w:hAnsi="Calibri Light" w:cs="Calibri Light"/>
                <w:b/>
                <w:color w:val="000000"/>
                <w:sz w:val="18"/>
                <w:szCs w:val="18"/>
                <w:lang w:val="es-CR"/>
              </w:rPr>
              <w:t>Nombre del Proyecto</w:t>
            </w:r>
          </w:p>
        </w:tc>
        <w:tc>
          <w:tcPr>
            <w:tcW w:w="1699" w:type="dxa"/>
            <w:shd w:val="clear" w:color="auto" w:fill="8DB3E2" w:themeFill="text2" w:themeFillTint="66"/>
            <w:vAlign w:val="center"/>
          </w:tcPr>
          <w:p w14:paraId="5DABDD5C" w14:textId="77777777" w:rsidR="004F6F16" w:rsidRPr="00BB5133" w:rsidRDefault="004F6F16" w:rsidP="00E94EAF">
            <w:pPr>
              <w:spacing w:line="240" w:lineRule="auto"/>
              <w:jc w:val="center"/>
              <w:rPr>
                <w:rFonts w:ascii="Calibri Light" w:hAnsi="Calibri Light" w:cs="Calibri Light"/>
                <w:b/>
                <w:color w:val="000000"/>
                <w:sz w:val="18"/>
                <w:szCs w:val="18"/>
                <w:lang w:val="es-CR"/>
              </w:rPr>
            </w:pPr>
            <w:r w:rsidRPr="00BB5133">
              <w:rPr>
                <w:rFonts w:ascii="Calibri Light" w:hAnsi="Calibri Light" w:cs="Calibri Light"/>
                <w:b/>
                <w:color w:val="000000"/>
                <w:sz w:val="18"/>
                <w:szCs w:val="18"/>
                <w:lang w:val="es-CR"/>
              </w:rPr>
              <w:t>Objetivo del proyecto</w:t>
            </w:r>
          </w:p>
        </w:tc>
        <w:tc>
          <w:tcPr>
            <w:tcW w:w="709" w:type="dxa"/>
            <w:shd w:val="clear" w:color="auto" w:fill="8DB3E2" w:themeFill="text2" w:themeFillTint="66"/>
            <w:vAlign w:val="center"/>
          </w:tcPr>
          <w:p w14:paraId="2557F0C2" w14:textId="77777777" w:rsidR="004F6F16" w:rsidRPr="00BB5133" w:rsidRDefault="004F6F16" w:rsidP="00E94EAF">
            <w:pPr>
              <w:spacing w:line="240" w:lineRule="auto"/>
              <w:jc w:val="center"/>
              <w:rPr>
                <w:rFonts w:ascii="Calibri Light" w:hAnsi="Calibri Light" w:cs="Calibri Light"/>
                <w:b/>
                <w:color w:val="000000"/>
                <w:sz w:val="18"/>
                <w:szCs w:val="18"/>
                <w:lang w:val="es-CR"/>
              </w:rPr>
            </w:pPr>
            <w:r w:rsidRPr="00BB5133">
              <w:rPr>
                <w:rFonts w:ascii="Calibri Light" w:hAnsi="Calibri Light" w:cs="Calibri Light"/>
                <w:b/>
                <w:color w:val="000000"/>
                <w:sz w:val="18"/>
                <w:szCs w:val="18"/>
                <w:lang w:val="es-CR"/>
              </w:rPr>
              <w:t>Fecha Inicio</w:t>
            </w:r>
          </w:p>
        </w:tc>
        <w:tc>
          <w:tcPr>
            <w:tcW w:w="992" w:type="dxa"/>
            <w:shd w:val="clear" w:color="auto" w:fill="8DB3E2" w:themeFill="text2" w:themeFillTint="66"/>
            <w:vAlign w:val="center"/>
          </w:tcPr>
          <w:p w14:paraId="39BC1041" w14:textId="77777777" w:rsidR="004F6F16" w:rsidRPr="00BB5133" w:rsidRDefault="004F6F16" w:rsidP="00E94EAF">
            <w:pPr>
              <w:spacing w:line="240" w:lineRule="auto"/>
              <w:jc w:val="center"/>
              <w:rPr>
                <w:rFonts w:ascii="Calibri Light" w:hAnsi="Calibri Light" w:cs="Calibri Light"/>
                <w:b/>
                <w:color w:val="000000"/>
                <w:sz w:val="18"/>
                <w:szCs w:val="18"/>
                <w:lang w:val="es-CR"/>
              </w:rPr>
            </w:pPr>
            <w:r w:rsidRPr="00BB5133">
              <w:rPr>
                <w:rFonts w:ascii="Calibri Light" w:hAnsi="Calibri Light" w:cs="Calibri Light"/>
                <w:b/>
                <w:color w:val="000000"/>
                <w:sz w:val="18"/>
                <w:szCs w:val="18"/>
                <w:lang w:val="es-CR"/>
              </w:rPr>
              <w:t>Fecha Fin esperado</w:t>
            </w:r>
          </w:p>
        </w:tc>
        <w:tc>
          <w:tcPr>
            <w:tcW w:w="1321" w:type="dxa"/>
            <w:shd w:val="clear" w:color="auto" w:fill="8DB3E2" w:themeFill="text2" w:themeFillTint="66"/>
            <w:vAlign w:val="center"/>
          </w:tcPr>
          <w:p w14:paraId="7EC855EA" w14:textId="77777777" w:rsidR="004F6F16" w:rsidRPr="00BB5133" w:rsidRDefault="004F6F16" w:rsidP="00E94EAF">
            <w:pPr>
              <w:spacing w:line="240" w:lineRule="auto"/>
              <w:jc w:val="center"/>
              <w:rPr>
                <w:rFonts w:ascii="Calibri Light" w:hAnsi="Calibri Light" w:cs="Calibri Light"/>
                <w:b/>
                <w:color w:val="000000"/>
                <w:sz w:val="18"/>
                <w:szCs w:val="18"/>
                <w:lang w:val="es-CR"/>
              </w:rPr>
            </w:pPr>
            <w:r w:rsidRPr="00BB5133">
              <w:rPr>
                <w:rFonts w:ascii="Calibri Light" w:hAnsi="Calibri Light" w:cs="Calibri Light"/>
                <w:b/>
                <w:color w:val="000000"/>
                <w:sz w:val="18"/>
                <w:szCs w:val="18"/>
                <w:lang w:val="es-CR"/>
              </w:rPr>
              <w:t>Próximas Etapas</w:t>
            </w:r>
          </w:p>
        </w:tc>
        <w:tc>
          <w:tcPr>
            <w:tcW w:w="992" w:type="dxa"/>
            <w:shd w:val="clear" w:color="auto" w:fill="8DB3E2" w:themeFill="text2" w:themeFillTint="66"/>
            <w:vAlign w:val="center"/>
          </w:tcPr>
          <w:p w14:paraId="6694FD13" w14:textId="77777777" w:rsidR="004F6F16" w:rsidRPr="00BB5133" w:rsidRDefault="004F6F16" w:rsidP="00E94EAF">
            <w:pPr>
              <w:spacing w:line="240" w:lineRule="auto"/>
              <w:jc w:val="center"/>
              <w:rPr>
                <w:rFonts w:ascii="Calibri Light" w:hAnsi="Calibri Light" w:cs="Calibri Light"/>
                <w:b/>
                <w:color w:val="000000"/>
                <w:sz w:val="18"/>
                <w:szCs w:val="18"/>
                <w:lang w:val="es-CR"/>
              </w:rPr>
            </w:pPr>
            <w:r w:rsidRPr="00BB5133">
              <w:rPr>
                <w:rFonts w:ascii="Calibri Light" w:hAnsi="Calibri Light" w:cs="Calibri Light"/>
                <w:b/>
                <w:color w:val="000000"/>
                <w:sz w:val="18"/>
                <w:szCs w:val="18"/>
                <w:lang w:val="es-CR"/>
              </w:rPr>
              <w:t>Avance (Realizado/ Planificado)</w:t>
            </w:r>
          </w:p>
        </w:tc>
        <w:tc>
          <w:tcPr>
            <w:tcW w:w="1659" w:type="dxa"/>
            <w:shd w:val="clear" w:color="auto" w:fill="8DB3E2" w:themeFill="text2" w:themeFillTint="66"/>
            <w:vAlign w:val="center"/>
          </w:tcPr>
          <w:p w14:paraId="7CBDA089" w14:textId="77777777" w:rsidR="004F6F16" w:rsidRPr="00BB5133" w:rsidRDefault="004F6F16" w:rsidP="00E94EAF">
            <w:pPr>
              <w:spacing w:line="240" w:lineRule="auto"/>
              <w:jc w:val="center"/>
              <w:rPr>
                <w:rFonts w:ascii="Calibri Light" w:hAnsi="Calibri Light" w:cs="Calibri Light"/>
                <w:b/>
                <w:color w:val="000000"/>
                <w:sz w:val="18"/>
                <w:szCs w:val="18"/>
                <w:lang w:val="es-CR"/>
              </w:rPr>
            </w:pPr>
            <w:r w:rsidRPr="00BB5133">
              <w:rPr>
                <w:rFonts w:ascii="Calibri Light" w:hAnsi="Calibri Light" w:cs="Calibri Light"/>
                <w:b/>
                <w:color w:val="000000"/>
                <w:sz w:val="18"/>
                <w:szCs w:val="18"/>
                <w:lang w:val="es-CR"/>
              </w:rPr>
              <w:t>Observaciones</w:t>
            </w:r>
          </w:p>
        </w:tc>
      </w:tr>
      <w:tr w:rsidR="004F6F16" w:rsidRPr="007658CA" w14:paraId="0A3B195E" w14:textId="77777777" w:rsidTr="006D0C69">
        <w:trPr>
          <w:trHeight w:val="300"/>
          <w:jc w:val="center"/>
        </w:trPr>
        <w:tc>
          <w:tcPr>
            <w:tcW w:w="1555" w:type="dxa"/>
            <w:vAlign w:val="center"/>
          </w:tcPr>
          <w:p w14:paraId="3D0B9435" w14:textId="77777777" w:rsidR="004F6F16" w:rsidRPr="00BB5133" w:rsidRDefault="004F6F16" w:rsidP="00E94EAF">
            <w:pPr>
              <w:spacing w:line="240" w:lineRule="auto"/>
              <w:rPr>
                <w:rFonts w:ascii="Calibri Light" w:hAnsi="Calibri Light" w:cs="Calibri Light"/>
                <w:color w:val="000000"/>
                <w:sz w:val="18"/>
                <w:szCs w:val="18"/>
                <w:lang w:val="es-CR"/>
              </w:rPr>
            </w:pPr>
            <w:r w:rsidRPr="00BB5133">
              <w:rPr>
                <w:rFonts w:ascii="Calibri Light" w:hAnsi="Calibri Light" w:cs="Calibri Light"/>
                <w:color w:val="000000"/>
                <w:sz w:val="18"/>
                <w:szCs w:val="18"/>
                <w:lang w:val="es-CR"/>
              </w:rPr>
              <w:t>No estratégico</w:t>
            </w:r>
          </w:p>
        </w:tc>
        <w:tc>
          <w:tcPr>
            <w:tcW w:w="1311" w:type="dxa"/>
            <w:shd w:val="clear" w:color="auto" w:fill="auto"/>
            <w:noWrap/>
            <w:vAlign w:val="center"/>
            <w:hideMark/>
          </w:tcPr>
          <w:p w14:paraId="00418309" w14:textId="77777777" w:rsidR="004F6F16" w:rsidRPr="00BB5133" w:rsidRDefault="004F6F16" w:rsidP="00E94EAF">
            <w:pPr>
              <w:spacing w:line="240" w:lineRule="auto"/>
              <w:rPr>
                <w:rFonts w:ascii="Calibri Light" w:hAnsi="Calibri Light" w:cs="Calibri Light"/>
                <w:color w:val="000000"/>
                <w:sz w:val="18"/>
                <w:szCs w:val="18"/>
                <w:lang w:val="es-CR"/>
              </w:rPr>
            </w:pPr>
            <w:r w:rsidRPr="00BB5133">
              <w:rPr>
                <w:rFonts w:ascii="Calibri Light" w:hAnsi="Calibri Light" w:cs="Calibri Light"/>
                <w:color w:val="000000"/>
                <w:sz w:val="18"/>
                <w:szCs w:val="18"/>
                <w:lang w:val="es-CR"/>
              </w:rPr>
              <w:t xml:space="preserve">Reglamento de Autorizaciones </w:t>
            </w:r>
          </w:p>
        </w:tc>
        <w:tc>
          <w:tcPr>
            <w:tcW w:w="1699" w:type="dxa"/>
            <w:vAlign w:val="center"/>
          </w:tcPr>
          <w:p w14:paraId="6C4C9236" w14:textId="77777777" w:rsidR="004F6F16" w:rsidRPr="00BB5133" w:rsidRDefault="004F6F16" w:rsidP="00284699">
            <w:pPr>
              <w:spacing w:line="240" w:lineRule="auto"/>
              <w:jc w:val="left"/>
              <w:rPr>
                <w:rFonts w:ascii="Calibri Light" w:hAnsi="Calibri Light" w:cs="Calibri Light"/>
                <w:sz w:val="18"/>
                <w:szCs w:val="18"/>
                <w:lang w:val="es-CR"/>
              </w:rPr>
            </w:pPr>
            <w:r w:rsidRPr="00BB5133">
              <w:rPr>
                <w:rFonts w:ascii="Calibri Light" w:hAnsi="Calibri Light" w:cs="Calibri Light"/>
                <w:sz w:val="18"/>
                <w:szCs w:val="18"/>
                <w:lang w:val="es-CR"/>
              </w:rPr>
              <w:t>Brindar un marco regulatorio claro y congruente sobre los productos que pueden ofrecer las operadoras a los afiliados que requieran la aprobación del supervisor.</w:t>
            </w:r>
          </w:p>
        </w:tc>
        <w:tc>
          <w:tcPr>
            <w:tcW w:w="709" w:type="dxa"/>
            <w:vAlign w:val="center"/>
          </w:tcPr>
          <w:p w14:paraId="50920652" w14:textId="77777777" w:rsidR="004F6F16" w:rsidRPr="00BB5133" w:rsidRDefault="004F6F16" w:rsidP="00E94EAF">
            <w:pPr>
              <w:spacing w:line="240" w:lineRule="auto"/>
              <w:jc w:val="center"/>
              <w:rPr>
                <w:rFonts w:ascii="Calibri Light" w:hAnsi="Calibri Light" w:cs="Calibri Light"/>
                <w:b/>
                <w:sz w:val="18"/>
                <w:szCs w:val="18"/>
                <w:lang w:val="es-CR"/>
              </w:rPr>
            </w:pPr>
            <w:r w:rsidRPr="00BB5133">
              <w:rPr>
                <w:rFonts w:ascii="Calibri Light" w:hAnsi="Calibri Light" w:cs="Calibri Light"/>
                <w:b/>
                <w:sz w:val="18"/>
                <w:szCs w:val="18"/>
                <w:lang w:val="es-CR"/>
              </w:rPr>
              <w:t>2013</w:t>
            </w:r>
          </w:p>
        </w:tc>
        <w:tc>
          <w:tcPr>
            <w:tcW w:w="992" w:type="dxa"/>
            <w:vAlign w:val="center"/>
          </w:tcPr>
          <w:p w14:paraId="0D0964D0" w14:textId="77777777" w:rsidR="004F6F16" w:rsidRPr="00BB5133" w:rsidRDefault="004F6F16" w:rsidP="00E94EAF">
            <w:pPr>
              <w:spacing w:line="240" w:lineRule="auto"/>
              <w:jc w:val="center"/>
              <w:rPr>
                <w:rFonts w:ascii="Calibri Light" w:hAnsi="Calibri Light" w:cs="Calibri Light"/>
                <w:b/>
                <w:sz w:val="18"/>
                <w:szCs w:val="18"/>
                <w:lang w:val="es-CR"/>
              </w:rPr>
            </w:pPr>
            <w:r w:rsidRPr="00BB5133">
              <w:rPr>
                <w:rFonts w:ascii="Calibri Light" w:hAnsi="Calibri Light" w:cs="Calibri Light"/>
                <w:b/>
                <w:sz w:val="18"/>
                <w:szCs w:val="18"/>
                <w:lang w:val="es-CR"/>
              </w:rPr>
              <w:t>2020</w:t>
            </w:r>
          </w:p>
        </w:tc>
        <w:tc>
          <w:tcPr>
            <w:tcW w:w="1321" w:type="dxa"/>
            <w:vAlign w:val="center"/>
          </w:tcPr>
          <w:p w14:paraId="45F2654B" w14:textId="77777777" w:rsidR="004F6F16" w:rsidRPr="00BB5133" w:rsidRDefault="004F6F16" w:rsidP="00E94EAF">
            <w:pPr>
              <w:spacing w:line="240" w:lineRule="auto"/>
              <w:rPr>
                <w:rFonts w:ascii="Calibri Light" w:hAnsi="Calibri Light" w:cs="Calibri Light"/>
                <w:b/>
                <w:sz w:val="18"/>
                <w:szCs w:val="18"/>
                <w:lang w:val="es-CR"/>
              </w:rPr>
            </w:pPr>
            <w:r w:rsidRPr="00BB5133">
              <w:rPr>
                <w:rFonts w:ascii="Calibri Light" w:hAnsi="Calibri Light" w:cs="Calibri Light"/>
                <w:b/>
                <w:sz w:val="18"/>
                <w:szCs w:val="18"/>
                <w:lang w:val="es-CR"/>
              </w:rPr>
              <w:t>Cuarto Trimestre 2020</w:t>
            </w:r>
          </w:p>
          <w:p w14:paraId="099FAB2F" w14:textId="5FCB4474" w:rsidR="004F6F16" w:rsidRPr="00BB5133" w:rsidRDefault="004F6F16" w:rsidP="00284699">
            <w:pPr>
              <w:spacing w:line="240" w:lineRule="auto"/>
              <w:jc w:val="left"/>
              <w:rPr>
                <w:rFonts w:ascii="Calibri Light" w:hAnsi="Calibri Light" w:cs="Calibri Light"/>
                <w:sz w:val="18"/>
                <w:szCs w:val="18"/>
                <w:lang w:val="es-CR"/>
              </w:rPr>
            </w:pPr>
            <w:r w:rsidRPr="00BB5133">
              <w:rPr>
                <w:rFonts w:ascii="Calibri Light" w:hAnsi="Calibri Light" w:cs="Calibri Light"/>
                <w:sz w:val="18"/>
                <w:szCs w:val="18"/>
                <w:lang w:val="es-CR"/>
              </w:rPr>
              <w:t xml:space="preserve">-Presentación al CONASSIF de la propuesta de Reglamento de Autorizaciones y reformas reglamentarias sobre los productos y servicios que pueden ofrecer </w:t>
            </w:r>
          </w:p>
        </w:tc>
        <w:tc>
          <w:tcPr>
            <w:tcW w:w="992" w:type="dxa"/>
            <w:vAlign w:val="center"/>
          </w:tcPr>
          <w:p w14:paraId="4D76D861" w14:textId="77777777" w:rsidR="004F6F16" w:rsidRPr="00BB5133" w:rsidRDefault="004F6F16" w:rsidP="00E94EAF">
            <w:pPr>
              <w:spacing w:line="240" w:lineRule="auto"/>
              <w:jc w:val="center"/>
              <w:rPr>
                <w:rFonts w:ascii="Calibri Light" w:hAnsi="Calibri Light" w:cs="Calibri Light"/>
                <w:b/>
                <w:bCs/>
                <w:sz w:val="18"/>
                <w:szCs w:val="18"/>
                <w:lang w:val="es-CR"/>
              </w:rPr>
            </w:pPr>
            <w:r w:rsidRPr="00BB5133">
              <w:rPr>
                <w:rFonts w:ascii="Calibri Light" w:hAnsi="Calibri Light" w:cs="Calibri Light"/>
                <w:b/>
                <w:bCs/>
                <w:sz w:val="18"/>
                <w:szCs w:val="18"/>
                <w:lang w:val="es-CR"/>
              </w:rPr>
              <w:t>80</w:t>
            </w:r>
          </w:p>
        </w:tc>
        <w:tc>
          <w:tcPr>
            <w:tcW w:w="1659" w:type="dxa"/>
            <w:vAlign w:val="center"/>
          </w:tcPr>
          <w:p w14:paraId="6357E4D1" w14:textId="77777777" w:rsidR="004F6F16" w:rsidRPr="00BB5133" w:rsidRDefault="004F6F16" w:rsidP="00E94EAF">
            <w:pPr>
              <w:spacing w:line="240" w:lineRule="auto"/>
              <w:rPr>
                <w:rFonts w:ascii="Calibri Light" w:hAnsi="Calibri Light" w:cs="Calibri Light"/>
                <w:b/>
                <w:sz w:val="18"/>
                <w:szCs w:val="18"/>
                <w:lang w:val="es-CR"/>
              </w:rPr>
            </w:pPr>
            <w:r w:rsidRPr="00BB5133">
              <w:rPr>
                <w:rFonts w:ascii="Calibri Light" w:hAnsi="Calibri Light" w:cs="Calibri Light"/>
                <w:b/>
                <w:sz w:val="18"/>
                <w:szCs w:val="18"/>
                <w:lang w:val="es-CR"/>
              </w:rPr>
              <w:t>En Ejecución:</w:t>
            </w:r>
          </w:p>
          <w:p w14:paraId="3DF20F20" w14:textId="77777777" w:rsidR="004F6F16" w:rsidRPr="00BB5133" w:rsidRDefault="004F6F16" w:rsidP="00284699">
            <w:pPr>
              <w:spacing w:line="240" w:lineRule="auto"/>
              <w:jc w:val="left"/>
              <w:rPr>
                <w:rFonts w:ascii="Calibri Light" w:hAnsi="Calibri Light" w:cs="Calibri Light"/>
                <w:sz w:val="18"/>
                <w:szCs w:val="18"/>
                <w:lang w:val="es-CR"/>
              </w:rPr>
            </w:pPr>
            <w:r w:rsidRPr="00BB5133">
              <w:rPr>
                <w:rFonts w:ascii="Calibri Light" w:hAnsi="Calibri Light" w:cs="Calibri Light"/>
                <w:sz w:val="18"/>
                <w:szCs w:val="18"/>
                <w:lang w:val="es-CR"/>
              </w:rPr>
              <w:t>El Consejo Nacional de Supervisión del Sistema de Pensiones aprobó el 21 de diciembre de 2020 el Reglamento en cuestión. A la fecha está pendiente la formalización de los acuerdos del superintendente relacionados al nuevo reglamento</w:t>
            </w:r>
          </w:p>
        </w:tc>
      </w:tr>
      <w:tr w:rsidR="004F6F16" w:rsidRPr="007658CA" w14:paraId="166B4DBB" w14:textId="77777777" w:rsidTr="006D0C69">
        <w:trPr>
          <w:trHeight w:val="300"/>
          <w:jc w:val="center"/>
        </w:trPr>
        <w:tc>
          <w:tcPr>
            <w:tcW w:w="1555" w:type="dxa"/>
            <w:vAlign w:val="center"/>
          </w:tcPr>
          <w:p w14:paraId="1848DD5A" w14:textId="77777777" w:rsidR="004F6F16" w:rsidRPr="00BB5133" w:rsidRDefault="004F6F16" w:rsidP="00E94EAF">
            <w:pPr>
              <w:spacing w:line="240" w:lineRule="auto"/>
              <w:rPr>
                <w:rFonts w:ascii="Calibri Light" w:hAnsi="Calibri Light" w:cs="Calibri Light"/>
                <w:color w:val="000000"/>
                <w:sz w:val="18"/>
                <w:szCs w:val="18"/>
                <w:lang w:val="es-CR"/>
              </w:rPr>
            </w:pPr>
            <w:r w:rsidRPr="00BB5133">
              <w:rPr>
                <w:rFonts w:ascii="Calibri Light" w:hAnsi="Calibri Light" w:cs="Calibri Light"/>
                <w:color w:val="000000"/>
                <w:sz w:val="18"/>
                <w:szCs w:val="18"/>
                <w:lang w:val="es-CR"/>
              </w:rPr>
              <w:t>No estratégico</w:t>
            </w:r>
          </w:p>
        </w:tc>
        <w:tc>
          <w:tcPr>
            <w:tcW w:w="1311" w:type="dxa"/>
            <w:shd w:val="clear" w:color="auto" w:fill="auto"/>
            <w:noWrap/>
            <w:vAlign w:val="center"/>
            <w:hideMark/>
          </w:tcPr>
          <w:p w14:paraId="3E6093FF" w14:textId="77777777" w:rsidR="004F6F16" w:rsidRPr="00BB5133" w:rsidRDefault="004F6F16" w:rsidP="00E94EAF">
            <w:pPr>
              <w:spacing w:line="240" w:lineRule="auto"/>
              <w:rPr>
                <w:rFonts w:ascii="Calibri Light" w:hAnsi="Calibri Light" w:cs="Calibri Light"/>
                <w:color w:val="000000"/>
                <w:sz w:val="18"/>
                <w:szCs w:val="18"/>
                <w:lang w:val="es-CR"/>
              </w:rPr>
            </w:pPr>
            <w:r w:rsidRPr="00BB5133">
              <w:rPr>
                <w:rFonts w:ascii="Calibri Light" w:hAnsi="Calibri Light" w:cs="Calibri Light"/>
                <w:color w:val="000000"/>
                <w:sz w:val="18"/>
                <w:szCs w:val="18"/>
                <w:lang w:val="es-CR"/>
              </w:rPr>
              <w:t>Reglamento de Disciplina de Mercado</w:t>
            </w:r>
          </w:p>
        </w:tc>
        <w:tc>
          <w:tcPr>
            <w:tcW w:w="1699" w:type="dxa"/>
          </w:tcPr>
          <w:p w14:paraId="78B6220C" w14:textId="00F8F1B7" w:rsidR="004F6F16" w:rsidRPr="00BB5133" w:rsidRDefault="004F6F16" w:rsidP="00284699">
            <w:pPr>
              <w:spacing w:line="240" w:lineRule="auto"/>
              <w:jc w:val="left"/>
              <w:rPr>
                <w:rFonts w:ascii="Calibri Light" w:hAnsi="Calibri Light" w:cs="Calibri Light"/>
                <w:sz w:val="18"/>
                <w:szCs w:val="18"/>
                <w:lang w:val="es-CR"/>
              </w:rPr>
            </w:pPr>
            <w:r w:rsidRPr="00BB5133">
              <w:rPr>
                <w:rFonts w:ascii="Calibri Light" w:hAnsi="Calibri Light" w:cs="Calibri Light"/>
                <w:sz w:val="18"/>
                <w:szCs w:val="18"/>
                <w:lang w:val="es-CR"/>
              </w:rPr>
              <w:t>Elaborar un Reglamento de Disciplina de Mercado, que regule la relación entre los afiliados y pensionados, entidades supervisadas y la SUPEN, donde se establezca un marco para la  atención de consultas,  denuncias y quejas de los afiliados, indique la regulación, definición y alcance de la publicidad, comunicación e información (incluido el cálculo de los rendimientos) dirigida al afiliado y pensionado,  que plantee  el accionar de los agentes promotores como asesores de los afiliados y pensionados</w:t>
            </w:r>
          </w:p>
        </w:tc>
        <w:tc>
          <w:tcPr>
            <w:tcW w:w="709" w:type="dxa"/>
            <w:vAlign w:val="center"/>
          </w:tcPr>
          <w:p w14:paraId="7E451DB8" w14:textId="77777777" w:rsidR="004F6F16" w:rsidRPr="00BB5133" w:rsidRDefault="004F6F16" w:rsidP="00E94EAF">
            <w:pPr>
              <w:spacing w:line="240" w:lineRule="auto"/>
              <w:jc w:val="center"/>
              <w:rPr>
                <w:rFonts w:ascii="Calibri Light" w:hAnsi="Calibri Light" w:cs="Calibri Light"/>
                <w:b/>
                <w:sz w:val="18"/>
                <w:szCs w:val="18"/>
                <w:lang w:val="es-CR"/>
              </w:rPr>
            </w:pPr>
            <w:r w:rsidRPr="00BB5133">
              <w:rPr>
                <w:rFonts w:ascii="Calibri Light" w:hAnsi="Calibri Light" w:cs="Calibri Light"/>
                <w:b/>
                <w:sz w:val="18"/>
                <w:szCs w:val="18"/>
                <w:lang w:val="es-CR"/>
              </w:rPr>
              <w:t>2013</w:t>
            </w:r>
          </w:p>
        </w:tc>
        <w:tc>
          <w:tcPr>
            <w:tcW w:w="992" w:type="dxa"/>
            <w:vAlign w:val="center"/>
          </w:tcPr>
          <w:p w14:paraId="3C921A40" w14:textId="77777777" w:rsidR="004F6F16" w:rsidRPr="00BB5133" w:rsidRDefault="004F6F16" w:rsidP="00E94EAF">
            <w:pPr>
              <w:spacing w:line="240" w:lineRule="auto"/>
              <w:jc w:val="center"/>
              <w:rPr>
                <w:rFonts w:ascii="Calibri Light" w:hAnsi="Calibri Light" w:cs="Calibri Light"/>
                <w:b/>
                <w:sz w:val="18"/>
                <w:szCs w:val="18"/>
                <w:lang w:val="es-CR"/>
              </w:rPr>
            </w:pPr>
            <w:r w:rsidRPr="00BB5133">
              <w:rPr>
                <w:rFonts w:ascii="Calibri Light" w:hAnsi="Calibri Light" w:cs="Calibri Light"/>
                <w:b/>
                <w:sz w:val="18"/>
                <w:szCs w:val="18"/>
                <w:lang w:val="es-CR"/>
              </w:rPr>
              <w:t>No Aplica</w:t>
            </w:r>
          </w:p>
        </w:tc>
        <w:tc>
          <w:tcPr>
            <w:tcW w:w="1321" w:type="dxa"/>
            <w:vAlign w:val="center"/>
          </w:tcPr>
          <w:p w14:paraId="4C05CD36" w14:textId="77777777" w:rsidR="004F6F16" w:rsidRPr="00BB5133" w:rsidRDefault="004F6F16" w:rsidP="00E94EAF">
            <w:pPr>
              <w:spacing w:line="240" w:lineRule="auto"/>
              <w:rPr>
                <w:rFonts w:ascii="Calibri Light" w:hAnsi="Calibri Light" w:cs="Calibri Light"/>
                <w:sz w:val="18"/>
                <w:szCs w:val="18"/>
                <w:lang w:val="es-CR"/>
              </w:rPr>
            </w:pPr>
          </w:p>
        </w:tc>
        <w:tc>
          <w:tcPr>
            <w:tcW w:w="992" w:type="dxa"/>
            <w:vAlign w:val="center"/>
          </w:tcPr>
          <w:p w14:paraId="159E60CB" w14:textId="77777777" w:rsidR="004F6F16" w:rsidRPr="00BB5133" w:rsidRDefault="004F6F16" w:rsidP="00E94EAF">
            <w:pPr>
              <w:spacing w:line="240" w:lineRule="auto"/>
              <w:jc w:val="center"/>
              <w:rPr>
                <w:rFonts w:ascii="Calibri Light" w:hAnsi="Calibri Light" w:cs="Calibri Light"/>
                <w:b/>
                <w:sz w:val="18"/>
                <w:szCs w:val="18"/>
                <w:lang w:val="es-CR"/>
              </w:rPr>
            </w:pPr>
          </w:p>
        </w:tc>
        <w:tc>
          <w:tcPr>
            <w:tcW w:w="1659" w:type="dxa"/>
            <w:vAlign w:val="center"/>
          </w:tcPr>
          <w:p w14:paraId="77F40CDB" w14:textId="77777777" w:rsidR="004F6F16" w:rsidRPr="00BB5133" w:rsidRDefault="004F6F16" w:rsidP="00284699">
            <w:pPr>
              <w:spacing w:line="240" w:lineRule="auto"/>
              <w:jc w:val="left"/>
              <w:rPr>
                <w:rFonts w:ascii="Calibri Light" w:hAnsi="Calibri Light" w:cs="Calibri Light"/>
                <w:b/>
                <w:sz w:val="18"/>
                <w:szCs w:val="18"/>
                <w:lang w:val="es-CR"/>
              </w:rPr>
            </w:pPr>
            <w:r w:rsidRPr="00BB5133">
              <w:rPr>
                <w:rFonts w:ascii="Calibri Light" w:hAnsi="Calibri Light" w:cs="Calibri Light"/>
                <w:b/>
                <w:sz w:val="18"/>
                <w:szCs w:val="18"/>
                <w:lang w:val="es-CR"/>
              </w:rPr>
              <w:t>Eliminado del Portafolio.</w:t>
            </w:r>
          </w:p>
          <w:p w14:paraId="689E27D7" w14:textId="77777777" w:rsidR="004F6F16" w:rsidRPr="00BB5133" w:rsidRDefault="004F6F16" w:rsidP="00284699">
            <w:pPr>
              <w:spacing w:line="240" w:lineRule="auto"/>
              <w:jc w:val="left"/>
              <w:rPr>
                <w:rFonts w:ascii="Calibri Light" w:hAnsi="Calibri Light" w:cs="Calibri Light"/>
                <w:bCs/>
                <w:sz w:val="18"/>
                <w:szCs w:val="18"/>
                <w:lang w:val="es-CR"/>
              </w:rPr>
            </w:pPr>
            <w:r w:rsidRPr="00BB5133">
              <w:rPr>
                <w:rFonts w:ascii="Calibri Light" w:hAnsi="Calibri Light" w:cs="Calibri Light"/>
                <w:bCs/>
                <w:sz w:val="18"/>
                <w:szCs w:val="18"/>
                <w:lang w:val="es-CR"/>
              </w:rPr>
              <w:t>El CE en su sesión de ajuste táctico de julio 2020 decidió cerrar el proyecto de disciplina de mercado. en su lugar se estarán incluyendo actividades micro que atiendan temas prioritarios (estados de cuenta, página web, estrategia de comunicación, etc.)</w:t>
            </w:r>
          </w:p>
        </w:tc>
      </w:tr>
      <w:tr w:rsidR="004F6F16" w:rsidRPr="007658CA" w14:paraId="08DC0F29" w14:textId="77777777" w:rsidTr="006D0C69">
        <w:trPr>
          <w:trHeight w:val="300"/>
          <w:jc w:val="center"/>
        </w:trPr>
        <w:tc>
          <w:tcPr>
            <w:tcW w:w="1555" w:type="dxa"/>
            <w:vAlign w:val="center"/>
          </w:tcPr>
          <w:p w14:paraId="2D91C49E" w14:textId="77777777" w:rsidR="004F6F16" w:rsidRPr="00BB5133" w:rsidRDefault="004F6F16" w:rsidP="00E94EAF">
            <w:pPr>
              <w:spacing w:line="240" w:lineRule="auto"/>
              <w:rPr>
                <w:rFonts w:ascii="Calibri Light" w:hAnsi="Calibri Light" w:cs="Calibri Light"/>
                <w:b/>
                <w:bCs/>
                <w:color w:val="000000"/>
                <w:sz w:val="18"/>
                <w:szCs w:val="18"/>
                <w:lang w:val="es-CR"/>
              </w:rPr>
            </w:pPr>
            <w:r w:rsidRPr="00BB5133">
              <w:rPr>
                <w:rFonts w:ascii="Calibri Light" w:hAnsi="Calibri Light" w:cs="Calibri Light"/>
                <w:b/>
                <w:bCs/>
                <w:color w:val="000000"/>
                <w:sz w:val="18"/>
                <w:szCs w:val="18"/>
                <w:lang w:val="es-CR"/>
              </w:rPr>
              <w:t>SUPEN</w:t>
            </w:r>
          </w:p>
          <w:p w14:paraId="4C30B864" w14:textId="77777777" w:rsidR="004F6F16" w:rsidRPr="00BB5133" w:rsidRDefault="004F6F16" w:rsidP="00BB5133">
            <w:pPr>
              <w:spacing w:line="240" w:lineRule="auto"/>
              <w:jc w:val="left"/>
              <w:rPr>
                <w:rFonts w:ascii="Calibri Light" w:hAnsi="Calibri Light" w:cs="Calibri Light"/>
                <w:color w:val="000000"/>
                <w:sz w:val="18"/>
                <w:szCs w:val="18"/>
                <w:lang w:val="es-CR"/>
              </w:rPr>
            </w:pPr>
            <w:r w:rsidRPr="00BB5133">
              <w:rPr>
                <w:rFonts w:ascii="Calibri Light" w:hAnsi="Calibri Light" w:cs="Calibri Light"/>
                <w:color w:val="000000"/>
                <w:sz w:val="18"/>
                <w:szCs w:val="18"/>
                <w:lang w:val="es-CR"/>
              </w:rPr>
              <w:t>Fortalecer el Sistema de Pensiones mediante un marco jurídico que promueva una mayor cobertura y protección para los afiliados y pensionados.</w:t>
            </w:r>
          </w:p>
          <w:p w14:paraId="041EA9C0" w14:textId="77777777" w:rsidR="004F6F16" w:rsidRPr="00BB5133" w:rsidRDefault="004F6F16" w:rsidP="00BB5133">
            <w:pPr>
              <w:spacing w:line="240" w:lineRule="auto"/>
              <w:jc w:val="left"/>
              <w:rPr>
                <w:rFonts w:ascii="Calibri Light" w:hAnsi="Calibri Light" w:cs="Calibri Light"/>
                <w:b/>
                <w:bCs/>
                <w:color w:val="000000"/>
                <w:sz w:val="18"/>
                <w:szCs w:val="18"/>
                <w:lang w:val="es-CR"/>
              </w:rPr>
            </w:pPr>
            <w:r w:rsidRPr="00BB5133">
              <w:rPr>
                <w:rFonts w:ascii="Calibri Light" w:hAnsi="Calibri Light" w:cs="Calibri Light"/>
                <w:b/>
                <w:bCs/>
                <w:color w:val="000000"/>
                <w:sz w:val="18"/>
                <w:szCs w:val="18"/>
                <w:lang w:val="es-CR"/>
              </w:rPr>
              <w:t>CONASSIF</w:t>
            </w:r>
          </w:p>
          <w:p w14:paraId="175BA417" w14:textId="1291F1E5" w:rsidR="004F6F16" w:rsidRPr="00BB5133" w:rsidRDefault="004F6F16" w:rsidP="00BB5133">
            <w:pPr>
              <w:spacing w:line="240" w:lineRule="auto"/>
              <w:jc w:val="left"/>
              <w:rPr>
                <w:rFonts w:ascii="Calibri Light" w:hAnsi="Calibri Light" w:cs="Calibri Light"/>
                <w:color w:val="000000"/>
                <w:sz w:val="18"/>
                <w:szCs w:val="18"/>
                <w:lang w:val="es-CR"/>
              </w:rPr>
            </w:pPr>
            <w:r w:rsidRPr="00BB5133">
              <w:rPr>
                <w:rFonts w:ascii="Calibri Light" w:hAnsi="Calibri Light" w:cs="Calibri Light"/>
                <w:color w:val="000000"/>
                <w:sz w:val="18"/>
                <w:szCs w:val="18"/>
                <w:lang w:val="es-CR"/>
              </w:rPr>
              <w:t>Establecer la regulación y supervisión que coadyuve a la estabilidad y solvencia del sistema financiero.</w:t>
            </w:r>
          </w:p>
        </w:tc>
        <w:tc>
          <w:tcPr>
            <w:tcW w:w="1311" w:type="dxa"/>
            <w:shd w:val="clear" w:color="auto" w:fill="auto"/>
            <w:noWrap/>
            <w:vAlign w:val="center"/>
          </w:tcPr>
          <w:p w14:paraId="31B2BE7A" w14:textId="77777777" w:rsidR="004F6F16" w:rsidRPr="00BB5133" w:rsidRDefault="004F6F16" w:rsidP="00E94EAF">
            <w:pPr>
              <w:spacing w:line="240" w:lineRule="auto"/>
              <w:rPr>
                <w:rFonts w:ascii="Calibri Light" w:hAnsi="Calibri Light" w:cs="Calibri Light"/>
                <w:color w:val="000000"/>
                <w:sz w:val="18"/>
                <w:szCs w:val="18"/>
                <w:lang w:val="es-CR"/>
              </w:rPr>
            </w:pPr>
            <w:r w:rsidRPr="00BB5133">
              <w:rPr>
                <w:rFonts w:ascii="Calibri Light" w:hAnsi="Calibri Light" w:cs="Calibri Light"/>
                <w:color w:val="000000"/>
                <w:sz w:val="18"/>
                <w:szCs w:val="18"/>
                <w:lang w:val="es-CR"/>
              </w:rPr>
              <w:t>Revisión de Normativa (Digesto)</w:t>
            </w:r>
          </w:p>
        </w:tc>
        <w:tc>
          <w:tcPr>
            <w:tcW w:w="1699" w:type="dxa"/>
            <w:vAlign w:val="center"/>
          </w:tcPr>
          <w:p w14:paraId="52535B55" w14:textId="7B5F28BD" w:rsidR="004F6F16" w:rsidRPr="00BB5133" w:rsidRDefault="004F6F16" w:rsidP="00BB5133">
            <w:pPr>
              <w:spacing w:line="240" w:lineRule="auto"/>
              <w:jc w:val="left"/>
              <w:rPr>
                <w:rFonts w:ascii="Calibri Light" w:hAnsi="Calibri Light" w:cs="Calibri Light"/>
                <w:sz w:val="18"/>
                <w:szCs w:val="18"/>
                <w:lang w:val="es-CR"/>
              </w:rPr>
            </w:pPr>
            <w:r w:rsidRPr="00BB5133">
              <w:rPr>
                <w:rFonts w:ascii="Calibri Light" w:hAnsi="Calibri Light" w:cs="Calibri Light"/>
                <w:sz w:val="18"/>
                <w:szCs w:val="18"/>
                <w:lang w:val="es-CR"/>
              </w:rPr>
              <w:t>Mantener alineado el marco regulatorio del Sistema Nacional de Pensiones a los intereses de la organización.</w:t>
            </w:r>
          </w:p>
        </w:tc>
        <w:tc>
          <w:tcPr>
            <w:tcW w:w="709" w:type="dxa"/>
            <w:vAlign w:val="center"/>
          </w:tcPr>
          <w:p w14:paraId="62E3B154" w14:textId="77777777" w:rsidR="004F6F16" w:rsidRPr="00BB5133" w:rsidRDefault="004F6F16" w:rsidP="00E94EAF">
            <w:pPr>
              <w:spacing w:line="240" w:lineRule="auto"/>
              <w:jc w:val="center"/>
              <w:rPr>
                <w:rFonts w:ascii="Calibri Light" w:hAnsi="Calibri Light" w:cs="Calibri Light"/>
                <w:b/>
                <w:sz w:val="18"/>
                <w:szCs w:val="18"/>
                <w:lang w:val="es-CR"/>
              </w:rPr>
            </w:pPr>
            <w:r w:rsidRPr="00BB5133">
              <w:rPr>
                <w:rFonts w:ascii="Calibri Light" w:hAnsi="Calibri Light" w:cs="Calibri Light"/>
                <w:b/>
                <w:sz w:val="18"/>
                <w:szCs w:val="18"/>
                <w:lang w:val="es-CR"/>
              </w:rPr>
              <w:t>2019</w:t>
            </w:r>
          </w:p>
        </w:tc>
        <w:tc>
          <w:tcPr>
            <w:tcW w:w="992" w:type="dxa"/>
            <w:vAlign w:val="center"/>
          </w:tcPr>
          <w:p w14:paraId="5416E178" w14:textId="77777777" w:rsidR="004F6F16" w:rsidRPr="00BB5133" w:rsidRDefault="004F6F16" w:rsidP="00E94EAF">
            <w:pPr>
              <w:spacing w:line="240" w:lineRule="auto"/>
              <w:jc w:val="center"/>
              <w:rPr>
                <w:rFonts w:ascii="Calibri Light" w:hAnsi="Calibri Light" w:cs="Calibri Light"/>
                <w:b/>
                <w:sz w:val="18"/>
                <w:szCs w:val="18"/>
                <w:lang w:val="es-CR"/>
              </w:rPr>
            </w:pPr>
            <w:r w:rsidRPr="00BB5133">
              <w:rPr>
                <w:rFonts w:ascii="Calibri Light" w:hAnsi="Calibri Light" w:cs="Calibri Light"/>
                <w:b/>
                <w:sz w:val="18"/>
                <w:szCs w:val="18"/>
                <w:lang w:val="es-CR"/>
              </w:rPr>
              <w:t>2023</w:t>
            </w:r>
          </w:p>
        </w:tc>
        <w:tc>
          <w:tcPr>
            <w:tcW w:w="1321" w:type="dxa"/>
            <w:vAlign w:val="center"/>
          </w:tcPr>
          <w:p w14:paraId="0CD49F66" w14:textId="77777777" w:rsidR="004F6F16" w:rsidRPr="00BB5133" w:rsidRDefault="004F6F16" w:rsidP="00E94EAF">
            <w:pPr>
              <w:spacing w:line="240" w:lineRule="auto"/>
              <w:rPr>
                <w:rFonts w:ascii="Calibri Light" w:hAnsi="Calibri Light" w:cs="Calibri Light"/>
                <w:b/>
                <w:sz w:val="18"/>
                <w:szCs w:val="18"/>
                <w:lang w:val="es-CR"/>
              </w:rPr>
            </w:pPr>
            <w:r w:rsidRPr="00BB5133">
              <w:rPr>
                <w:rFonts w:ascii="Calibri Light" w:hAnsi="Calibri Light" w:cs="Calibri Light"/>
                <w:b/>
                <w:sz w:val="18"/>
                <w:szCs w:val="18"/>
                <w:lang w:val="es-CR"/>
              </w:rPr>
              <w:t>Según Cronograma de revisión de normativa</w:t>
            </w:r>
          </w:p>
        </w:tc>
        <w:tc>
          <w:tcPr>
            <w:tcW w:w="992" w:type="dxa"/>
            <w:vAlign w:val="center"/>
          </w:tcPr>
          <w:p w14:paraId="53F3C79F" w14:textId="77777777" w:rsidR="004F6F16" w:rsidRPr="00964879" w:rsidRDefault="004F6F16" w:rsidP="00E94EAF">
            <w:pPr>
              <w:spacing w:line="240" w:lineRule="auto"/>
              <w:jc w:val="center"/>
              <w:rPr>
                <w:rFonts w:ascii="Calibri Light" w:hAnsi="Calibri Light" w:cs="Calibri Light"/>
                <w:b/>
                <w:bCs/>
                <w:sz w:val="18"/>
                <w:szCs w:val="18"/>
                <w:lang w:val="es-CR"/>
              </w:rPr>
            </w:pPr>
            <w:r w:rsidRPr="00964879">
              <w:rPr>
                <w:rFonts w:ascii="Calibri Light" w:hAnsi="Calibri Light" w:cs="Calibri Light"/>
                <w:b/>
                <w:bCs/>
                <w:sz w:val="18"/>
                <w:szCs w:val="18"/>
                <w:lang w:val="es-CR"/>
              </w:rPr>
              <w:t>93</w:t>
            </w:r>
          </w:p>
        </w:tc>
        <w:tc>
          <w:tcPr>
            <w:tcW w:w="1659" w:type="dxa"/>
            <w:vAlign w:val="center"/>
          </w:tcPr>
          <w:p w14:paraId="4A3E081C" w14:textId="77777777" w:rsidR="004F6F16" w:rsidRPr="00BB5133" w:rsidRDefault="004F6F16" w:rsidP="00E94EAF">
            <w:pPr>
              <w:spacing w:line="240" w:lineRule="auto"/>
              <w:rPr>
                <w:rFonts w:ascii="Calibri Light" w:hAnsi="Calibri Light" w:cs="Calibri Light"/>
                <w:b/>
                <w:sz w:val="18"/>
                <w:szCs w:val="18"/>
                <w:lang w:val="es-CR"/>
              </w:rPr>
            </w:pPr>
            <w:r w:rsidRPr="00BB5133">
              <w:rPr>
                <w:rFonts w:ascii="Calibri Light" w:hAnsi="Calibri Light" w:cs="Calibri Light"/>
                <w:b/>
                <w:sz w:val="18"/>
                <w:szCs w:val="18"/>
                <w:lang w:val="es-CR"/>
              </w:rPr>
              <w:t>En Ejecución</w:t>
            </w:r>
          </w:p>
          <w:p w14:paraId="48CA02D9" w14:textId="77777777" w:rsidR="004F6F16" w:rsidRPr="00BB5133" w:rsidRDefault="004F6F16" w:rsidP="00284699">
            <w:pPr>
              <w:spacing w:line="240" w:lineRule="auto"/>
              <w:jc w:val="left"/>
              <w:rPr>
                <w:rFonts w:ascii="Calibri Light" w:hAnsi="Calibri Light" w:cs="Calibri Light"/>
                <w:bCs/>
                <w:sz w:val="18"/>
                <w:szCs w:val="18"/>
                <w:lang w:val="es-CR"/>
              </w:rPr>
            </w:pPr>
            <w:r w:rsidRPr="00BB5133">
              <w:rPr>
                <w:rFonts w:ascii="Calibri Light" w:hAnsi="Calibri Light" w:cs="Calibri Light"/>
                <w:bCs/>
                <w:sz w:val="18"/>
                <w:szCs w:val="18"/>
                <w:lang w:val="es-CR"/>
              </w:rPr>
              <w:t>El Proyecto marcha según el cronograma aprobado, únicamente se presenta un atraso de un mes en la revisión del Reglamento de Riesgo el cual está siendo subsanado para no comprometer la fecha final de las entregas.</w:t>
            </w:r>
          </w:p>
        </w:tc>
      </w:tr>
      <w:tr w:rsidR="004F6F16" w:rsidRPr="007658CA" w14:paraId="0757093F" w14:textId="77777777" w:rsidTr="00BB5133">
        <w:trPr>
          <w:trHeight w:val="300"/>
          <w:jc w:val="center"/>
        </w:trPr>
        <w:tc>
          <w:tcPr>
            <w:tcW w:w="1555" w:type="dxa"/>
            <w:vAlign w:val="center"/>
          </w:tcPr>
          <w:p w14:paraId="7D3E4094" w14:textId="77777777" w:rsidR="004F6F16" w:rsidRPr="00BB5133" w:rsidRDefault="004F6F16" w:rsidP="00E94EAF">
            <w:pPr>
              <w:spacing w:line="240" w:lineRule="auto"/>
              <w:rPr>
                <w:rFonts w:ascii="Calibri Light" w:hAnsi="Calibri Light" w:cs="Calibri Light"/>
                <w:color w:val="000000"/>
                <w:sz w:val="18"/>
                <w:szCs w:val="18"/>
                <w:lang w:val="es-CR"/>
              </w:rPr>
            </w:pPr>
            <w:r w:rsidRPr="00BB5133">
              <w:rPr>
                <w:rFonts w:ascii="Calibri Light" w:hAnsi="Calibri Light" w:cs="Calibri Light"/>
                <w:color w:val="000000"/>
                <w:sz w:val="18"/>
                <w:szCs w:val="18"/>
                <w:lang w:val="es-CR"/>
              </w:rPr>
              <w:t>Proyecto No</w:t>
            </w:r>
          </w:p>
          <w:p w14:paraId="58405FCE" w14:textId="77777777" w:rsidR="004F6F16" w:rsidRPr="00BB5133" w:rsidRDefault="004F6F16" w:rsidP="00E94EAF">
            <w:pPr>
              <w:spacing w:line="240" w:lineRule="auto"/>
              <w:rPr>
                <w:rFonts w:ascii="Calibri Light" w:hAnsi="Calibri Light" w:cs="Calibri Light"/>
                <w:color w:val="000000"/>
                <w:sz w:val="18"/>
                <w:szCs w:val="18"/>
                <w:lang w:val="es-CR"/>
              </w:rPr>
            </w:pPr>
            <w:r w:rsidRPr="00BB5133">
              <w:rPr>
                <w:rFonts w:ascii="Calibri Light" w:hAnsi="Calibri Light" w:cs="Calibri Light"/>
                <w:color w:val="000000"/>
                <w:sz w:val="18"/>
                <w:szCs w:val="18"/>
                <w:lang w:val="es-CR"/>
              </w:rPr>
              <w:t>Estratégico</w:t>
            </w:r>
          </w:p>
        </w:tc>
        <w:tc>
          <w:tcPr>
            <w:tcW w:w="1311" w:type="dxa"/>
            <w:shd w:val="clear" w:color="auto" w:fill="auto"/>
            <w:noWrap/>
            <w:vAlign w:val="center"/>
          </w:tcPr>
          <w:p w14:paraId="38A84D5C" w14:textId="77777777" w:rsidR="004F6F16" w:rsidRPr="00BB5133" w:rsidRDefault="004F6F16" w:rsidP="00E94EAF">
            <w:pPr>
              <w:spacing w:line="240" w:lineRule="auto"/>
              <w:rPr>
                <w:rFonts w:ascii="Calibri Light" w:hAnsi="Calibri Light" w:cs="Calibri Light"/>
                <w:color w:val="000000"/>
                <w:sz w:val="18"/>
                <w:szCs w:val="18"/>
                <w:lang w:val="es-CR"/>
              </w:rPr>
            </w:pPr>
            <w:r w:rsidRPr="00BB5133">
              <w:rPr>
                <w:rFonts w:ascii="Calibri Light" w:hAnsi="Calibri Light" w:cs="Calibri Light"/>
                <w:color w:val="000000"/>
                <w:sz w:val="18"/>
                <w:szCs w:val="18"/>
                <w:lang w:val="es-CR"/>
              </w:rPr>
              <w:t>Corrección de Imputaciones</w:t>
            </w:r>
          </w:p>
        </w:tc>
        <w:tc>
          <w:tcPr>
            <w:tcW w:w="1699" w:type="dxa"/>
            <w:vAlign w:val="center"/>
          </w:tcPr>
          <w:p w14:paraId="2BAC8F00" w14:textId="77777777" w:rsidR="004F6F16" w:rsidRPr="00BB5133" w:rsidRDefault="004F6F16" w:rsidP="00BB5133">
            <w:pPr>
              <w:spacing w:line="240" w:lineRule="auto"/>
              <w:jc w:val="left"/>
              <w:rPr>
                <w:rFonts w:ascii="Calibri Light" w:hAnsi="Calibri Light" w:cs="Calibri Light"/>
                <w:sz w:val="18"/>
                <w:szCs w:val="18"/>
                <w:lang w:val="es-CR"/>
              </w:rPr>
            </w:pPr>
            <w:r w:rsidRPr="00BB5133">
              <w:rPr>
                <w:rFonts w:ascii="Calibri Light" w:hAnsi="Calibri Light" w:cs="Calibri Light"/>
                <w:sz w:val="18"/>
                <w:szCs w:val="18"/>
                <w:lang w:val="es-CR"/>
              </w:rPr>
              <w:t>Mejorar la regulación y optimizar los procesos de corrección de imputaciones en la cuenta individual de los trabajadores</w:t>
            </w:r>
          </w:p>
        </w:tc>
        <w:tc>
          <w:tcPr>
            <w:tcW w:w="709" w:type="dxa"/>
            <w:vAlign w:val="center"/>
          </w:tcPr>
          <w:p w14:paraId="15F6BEE8" w14:textId="77777777" w:rsidR="004F6F16" w:rsidRPr="00BB5133" w:rsidRDefault="004F6F16" w:rsidP="00E94EAF">
            <w:pPr>
              <w:spacing w:line="240" w:lineRule="auto"/>
              <w:jc w:val="center"/>
              <w:rPr>
                <w:rFonts w:ascii="Calibri Light" w:hAnsi="Calibri Light" w:cs="Calibri Light"/>
                <w:b/>
                <w:sz w:val="18"/>
                <w:szCs w:val="18"/>
                <w:lang w:val="es-CR"/>
              </w:rPr>
            </w:pPr>
            <w:r w:rsidRPr="00BB5133">
              <w:rPr>
                <w:rFonts w:ascii="Calibri Light" w:hAnsi="Calibri Light" w:cs="Calibri Light"/>
                <w:b/>
                <w:sz w:val="18"/>
                <w:szCs w:val="18"/>
                <w:lang w:val="es-CR"/>
              </w:rPr>
              <w:t>2019</w:t>
            </w:r>
          </w:p>
        </w:tc>
        <w:tc>
          <w:tcPr>
            <w:tcW w:w="992" w:type="dxa"/>
            <w:vAlign w:val="center"/>
          </w:tcPr>
          <w:p w14:paraId="36067DD5" w14:textId="77777777" w:rsidR="004F6F16" w:rsidRPr="00BB5133" w:rsidRDefault="004F6F16" w:rsidP="00E94EAF">
            <w:pPr>
              <w:spacing w:line="240" w:lineRule="auto"/>
              <w:jc w:val="center"/>
              <w:rPr>
                <w:rFonts w:ascii="Calibri Light" w:hAnsi="Calibri Light" w:cs="Calibri Light"/>
                <w:b/>
                <w:sz w:val="18"/>
                <w:szCs w:val="18"/>
                <w:lang w:val="es-CR"/>
              </w:rPr>
            </w:pPr>
            <w:r w:rsidRPr="00BB5133">
              <w:rPr>
                <w:rFonts w:ascii="Calibri Light" w:hAnsi="Calibri Light" w:cs="Calibri Light"/>
                <w:b/>
                <w:sz w:val="18"/>
                <w:szCs w:val="18"/>
                <w:lang w:val="es-CR"/>
              </w:rPr>
              <w:t>2020</w:t>
            </w:r>
          </w:p>
        </w:tc>
        <w:tc>
          <w:tcPr>
            <w:tcW w:w="1321" w:type="dxa"/>
            <w:vAlign w:val="center"/>
          </w:tcPr>
          <w:p w14:paraId="32162D05" w14:textId="77777777" w:rsidR="004F6F16" w:rsidRPr="00BB5133" w:rsidRDefault="004F6F16" w:rsidP="00E94EAF">
            <w:pPr>
              <w:spacing w:line="240" w:lineRule="auto"/>
              <w:rPr>
                <w:rFonts w:ascii="Calibri Light" w:hAnsi="Calibri Light" w:cs="Calibri Light"/>
                <w:b/>
                <w:sz w:val="18"/>
                <w:szCs w:val="18"/>
                <w:lang w:val="es-CR"/>
              </w:rPr>
            </w:pPr>
            <w:r w:rsidRPr="00BB5133">
              <w:rPr>
                <w:rFonts w:ascii="Calibri Light" w:hAnsi="Calibri Light" w:cs="Calibri Light"/>
                <w:b/>
                <w:sz w:val="18"/>
                <w:szCs w:val="18"/>
                <w:lang w:val="es-CR"/>
              </w:rPr>
              <w:t>Primer Trimestre 2021</w:t>
            </w:r>
          </w:p>
          <w:p w14:paraId="17C9EE16" w14:textId="77777777" w:rsidR="004F6F16" w:rsidRPr="00BB5133" w:rsidRDefault="004F6F16" w:rsidP="00E94EAF">
            <w:pPr>
              <w:spacing w:line="240" w:lineRule="auto"/>
              <w:rPr>
                <w:rFonts w:ascii="Calibri Light" w:hAnsi="Calibri Light" w:cs="Calibri Light"/>
                <w:b/>
                <w:sz w:val="18"/>
                <w:szCs w:val="18"/>
                <w:lang w:val="es-CR"/>
              </w:rPr>
            </w:pPr>
            <w:r w:rsidRPr="00BB5133">
              <w:rPr>
                <w:rFonts w:ascii="Calibri Light" w:hAnsi="Calibri Light" w:cs="Calibri Light"/>
                <w:sz w:val="18"/>
                <w:szCs w:val="18"/>
                <w:lang w:val="es-CR"/>
              </w:rPr>
              <w:t>Consulta al medio</w:t>
            </w:r>
          </w:p>
        </w:tc>
        <w:tc>
          <w:tcPr>
            <w:tcW w:w="992" w:type="dxa"/>
            <w:vAlign w:val="center"/>
          </w:tcPr>
          <w:p w14:paraId="38BF9098" w14:textId="77777777" w:rsidR="004F6F16" w:rsidRPr="00964879" w:rsidRDefault="004F6F16" w:rsidP="00E94EAF">
            <w:pPr>
              <w:spacing w:line="240" w:lineRule="auto"/>
              <w:jc w:val="center"/>
              <w:rPr>
                <w:rFonts w:ascii="Calibri Light" w:hAnsi="Calibri Light" w:cs="Calibri Light"/>
                <w:b/>
                <w:bCs/>
                <w:sz w:val="18"/>
                <w:szCs w:val="18"/>
                <w:lang w:val="es-CR"/>
              </w:rPr>
            </w:pPr>
            <w:r w:rsidRPr="00964879">
              <w:rPr>
                <w:rFonts w:ascii="Calibri Light" w:hAnsi="Calibri Light" w:cs="Calibri Light"/>
                <w:b/>
                <w:bCs/>
                <w:sz w:val="18"/>
                <w:szCs w:val="18"/>
                <w:lang w:val="es-CR"/>
              </w:rPr>
              <w:t>80</w:t>
            </w:r>
          </w:p>
        </w:tc>
        <w:tc>
          <w:tcPr>
            <w:tcW w:w="1659" w:type="dxa"/>
            <w:vAlign w:val="center"/>
          </w:tcPr>
          <w:p w14:paraId="281ADF74" w14:textId="77777777" w:rsidR="004F6F16" w:rsidRPr="00BB5133" w:rsidRDefault="004F6F16" w:rsidP="00E94EAF">
            <w:pPr>
              <w:spacing w:line="240" w:lineRule="auto"/>
              <w:rPr>
                <w:rFonts w:ascii="Calibri Light" w:hAnsi="Calibri Light" w:cs="Calibri Light"/>
                <w:b/>
                <w:sz w:val="18"/>
                <w:szCs w:val="18"/>
                <w:lang w:val="es-CR"/>
              </w:rPr>
            </w:pPr>
            <w:r w:rsidRPr="00BB5133">
              <w:rPr>
                <w:rFonts w:ascii="Calibri Light" w:hAnsi="Calibri Light" w:cs="Calibri Light"/>
                <w:b/>
                <w:sz w:val="18"/>
                <w:szCs w:val="18"/>
                <w:lang w:val="es-CR"/>
              </w:rPr>
              <w:t>En Ejecución</w:t>
            </w:r>
          </w:p>
          <w:p w14:paraId="29FB1C84" w14:textId="77777777" w:rsidR="004F6F16" w:rsidRPr="00BB5133" w:rsidRDefault="004F6F16" w:rsidP="00BB5133">
            <w:pPr>
              <w:spacing w:line="240" w:lineRule="auto"/>
              <w:jc w:val="left"/>
              <w:rPr>
                <w:rFonts w:ascii="Calibri Light" w:hAnsi="Calibri Light" w:cs="Calibri Light"/>
                <w:sz w:val="18"/>
                <w:szCs w:val="18"/>
                <w:lang w:val="es-CR"/>
              </w:rPr>
            </w:pPr>
            <w:r w:rsidRPr="00BB5133">
              <w:rPr>
                <w:rFonts w:ascii="Calibri Light" w:hAnsi="Calibri Light" w:cs="Calibri Light"/>
                <w:sz w:val="18"/>
                <w:szCs w:val="18"/>
                <w:lang w:val="es-CR"/>
              </w:rPr>
              <w:t>Las Entidades Supervisadas, dado lo requerimientos técnicos de para los procesos de Tecnologías de Información, han pedido una ampliación de plazo en la etapa de pruebas, con lo cual la fecha de finalización del proyecto se está posponiendo para inicios del 2021.</w:t>
            </w:r>
          </w:p>
          <w:p w14:paraId="2181B059" w14:textId="77777777" w:rsidR="004F6F16" w:rsidRPr="00BB5133" w:rsidRDefault="004F6F16" w:rsidP="00E94EAF">
            <w:pPr>
              <w:spacing w:line="240" w:lineRule="auto"/>
              <w:rPr>
                <w:rFonts w:ascii="Calibri Light" w:hAnsi="Calibri Light" w:cs="Calibri Light"/>
                <w:sz w:val="18"/>
                <w:szCs w:val="18"/>
                <w:lang w:val="es-CR"/>
              </w:rPr>
            </w:pPr>
          </w:p>
        </w:tc>
      </w:tr>
      <w:tr w:rsidR="004F6F16" w:rsidRPr="007658CA" w14:paraId="4E04BB13" w14:textId="77777777" w:rsidTr="00284699">
        <w:trPr>
          <w:trHeight w:val="300"/>
          <w:jc w:val="center"/>
        </w:trPr>
        <w:tc>
          <w:tcPr>
            <w:tcW w:w="1555" w:type="dxa"/>
            <w:vAlign w:val="center"/>
          </w:tcPr>
          <w:p w14:paraId="310A713B" w14:textId="77777777" w:rsidR="004F6F16" w:rsidRPr="00BB5133" w:rsidRDefault="004F6F16" w:rsidP="00E94EAF">
            <w:pPr>
              <w:spacing w:line="240" w:lineRule="auto"/>
              <w:rPr>
                <w:rFonts w:ascii="Calibri Light" w:hAnsi="Calibri Light" w:cs="Calibri Light"/>
                <w:b/>
                <w:bCs/>
                <w:color w:val="000000"/>
                <w:sz w:val="18"/>
                <w:szCs w:val="18"/>
                <w:lang w:val="es-CR"/>
              </w:rPr>
            </w:pPr>
            <w:r w:rsidRPr="00BB5133">
              <w:rPr>
                <w:rFonts w:ascii="Calibri Light" w:hAnsi="Calibri Light" w:cs="Calibri Light"/>
                <w:b/>
                <w:bCs/>
                <w:color w:val="000000"/>
                <w:sz w:val="18"/>
                <w:szCs w:val="18"/>
                <w:lang w:val="es-CR"/>
              </w:rPr>
              <w:t>SUPEN</w:t>
            </w:r>
          </w:p>
          <w:p w14:paraId="78A6B8E0" w14:textId="77777777" w:rsidR="004F6F16" w:rsidRPr="00BB5133" w:rsidRDefault="004F6F16" w:rsidP="00BB5133">
            <w:pPr>
              <w:spacing w:line="240" w:lineRule="auto"/>
              <w:jc w:val="left"/>
              <w:rPr>
                <w:rFonts w:ascii="Calibri Light" w:hAnsi="Calibri Light" w:cs="Calibri Light"/>
                <w:color w:val="000000"/>
                <w:sz w:val="18"/>
                <w:szCs w:val="18"/>
                <w:lang w:val="es-CR"/>
              </w:rPr>
            </w:pPr>
            <w:r w:rsidRPr="00BB5133">
              <w:rPr>
                <w:rFonts w:ascii="Calibri Light" w:hAnsi="Calibri Light" w:cs="Calibri Light"/>
                <w:color w:val="000000"/>
                <w:sz w:val="18"/>
                <w:szCs w:val="18"/>
                <w:lang w:val="es-CR"/>
              </w:rPr>
              <w:t>Vigilar la gestión de los participantes del SNP, mediante un modelo de supervisión basado en riesgos, para proteger los intereses de los afiliados y pensionados</w:t>
            </w:r>
          </w:p>
          <w:p w14:paraId="2F0F5E6A" w14:textId="77777777" w:rsidR="004F6F16" w:rsidRPr="00BB5133" w:rsidRDefault="004F6F16" w:rsidP="00BB5133">
            <w:pPr>
              <w:spacing w:line="240" w:lineRule="auto"/>
              <w:jc w:val="left"/>
              <w:rPr>
                <w:rFonts w:ascii="Calibri Light" w:hAnsi="Calibri Light" w:cs="Calibri Light"/>
                <w:b/>
                <w:bCs/>
                <w:color w:val="000000"/>
                <w:sz w:val="18"/>
                <w:szCs w:val="18"/>
                <w:lang w:val="es-CR"/>
              </w:rPr>
            </w:pPr>
            <w:r w:rsidRPr="00BB5133">
              <w:rPr>
                <w:rFonts w:ascii="Calibri Light" w:hAnsi="Calibri Light" w:cs="Calibri Light"/>
                <w:b/>
                <w:bCs/>
                <w:color w:val="000000"/>
                <w:sz w:val="18"/>
                <w:szCs w:val="18"/>
                <w:lang w:val="es-CR"/>
              </w:rPr>
              <w:t>CONASSIF</w:t>
            </w:r>
          </w:p>
          <w:p w14:paraId="7BA5D7DB" w14:textId="77777777" w:rsidR="004F6F16" w:rsidRPr="00BB5133" w:rsidRDefault="004F6F16" w:rsidP="00BB5133">
            <w:pPr>
              <w:spacing w:line="240" w:lineRule="auto"/>
              <w:jc w:val="left"/>
              <w:rPr>
                <w:rFonts w:ascii="Calibri Light" w:hAnsi="Calibri Light" w:cs="Calibri Light"/>
                <w:color w:val="000000"/>
                <w:sz w:val="18"/>
                <w:szCs w:val="18"/>
                <w:lang w:val="es-CR"/>
              </w:rPr>
            </w:pPr>
            <w:r w:rsidRPr="00BB5133">
              <w:rPr>
                <w:rFonts w:ascii="Calibri Light" w:hAnsi="Calibri Light" w:cs="Calibri Light"/>
                <w:color w:val="000000"/>
                <w:sz w:val="18"/>
                <w:szCs w:val="18"/>
                <w:lang w:val="es-CR"/>
              </w:rPr>
              <w:t>Establecer la regulación y supervisión que coadyuve a la estabilidad y solvencia del sistema financiero.</w:t>
            </w:r>
          </w:p>
        </w:tc>
        <w:tc>
          <w:tcPr>
            <w:tcW w:w="1311" w:type="dxa"/>
            <w:shd w:val="clear" w:color="auto" w:fill="auto"/>
            <w:noWrap/>
            <w:vAlign w:val="center"/>
          </w:tcPr>
          <w:p w14:paraId="2456D41D" w14:textId="77777777" w:rsidR="004F6F16" w:rsidRPr="00BB5133" w:rsidRDefault="004F6F16" w:rsidP="00E94EAF">
            <w:pPr>
              <w:spacing w:line="240" w:lineRule="auto"/>
              <w:rPr>
                <w:rFonts w:ascii="Calibri Light" w:hAnsi="Calibri Light" w:cs="Calibri Light"/>
                <w:color w:val="000000"/>
                <w:sz w:val="18"/>
                <w:szCs w:val="18"/>
                <w:lang w:val="es-CR"/>
              </w:rPr>
            </w:pPr>
            <w:r w:rsidRPr="00BB5133">
              <w:rPr>
                <w:rFonts w:ascii="Calibri Light" w:hAnsi="Calibri Light" w:cs="Calibri Light"/>
                <w:color w:val="000000"/>
                <w:sz w:val="18"/>
                <w:szCs w:val="18"/>
                <w:lang w:val="es-CR"/>
              </w:rPr>
              <w:t>Sistema de Créditos</w:t>
            </w:r>
          </w:p>
        </w:tc>
        <w:tc>
          <w:tcPr>
            <w:tcW w:w="1699" w:type="dxa"/>
            <w:vAlign w:val="center"/>
          </w:tcPr>
          <w:p w14:paraId="32141136" w14:textId="77777777" w:rsidR="004F6F16" w:rsidRPr="00BB5133" w:rsidRDefault="004F6F16" w:rsidP="00BB5133">
            <w:pPr>
              <w:spacing w:line="240" w:lineRule="auto"/>
              <w:jc w:val="left"/>
              <w:rPr>
                <w:rFonts w:ascii="Calibri Light" w:hAnsi="Calibri Light" w:cs="Calibri Light"/>
                <w:sz w:val="18"/>
                <w:szCs w:val="18"/>
                <w:lang w:val="es-CR"/>
              </w:rPr>
            </w:pPr>
            <w:r w:rsidRPr="00BB5133">
              <w:rPr>
                <w:rFonts w:ascii="Calibri Light" w:hAnsi="Calibri Light" w:cs="Calibri Light"/>
                <w:sz w:val="18"/>
                <w:szCs w:val="18"/>
                <w:lang w:val="es-CR"/>
              </w:rPr>
              <w:t>Desarrollar un sistema de información para la captura, procesamiento y generación de indicadores para las carteras de crédito de los fondos supervisados por la división de Regímenes Colectivos.</w:t>
            </w:r>
          </w:p>
        </w:tc>
        <w:tc>
          <w:tcPr>
            <w:tcW w:w="709" w:type="dxa"/>
            <w:vAlign w:val="center"/>
          </w:tcPr>
          <w:p w14:paraId="46E512B1" w14:textId="77777777" w:rsidR="004F6F16" w:rsidRPr="00BB5133" w:rsidRDefault="004F6F16" w:rsidP="00E94EAF">
            <w:pPr>
              <w:spacing w:line="240" w:lineRule="auto"/>
              <w:jc w:val="center"/>
              <w:rPr>
                <w:rFonts w:ascii="Calibri Light" w:hAnsi="Calibri Light" w:cs="Calibri Light"/>
                <w:b/>
                <w:sz w:val="18"/>
                <w:szCs w:val="18"/>
                <w:lang w:val="es-CR"/>
              </w:rPr>
            </w:pPr>
            <w:r w:rsidRPr="00BB5133">
              <w:rPr>
                <w:rFonts w:ascii="Calibri Light" w:hAnsi="Calibri Light" w:cs="Calibri Light"/>
                <w:b/>
                <w:sz w:val="18"/>
                <w:szCs w:val="18"/>
                <w:lang w:val="es-CR"/>
              </w:rPr>
              <w:t>2020</w:t>
            </w:r>
          </w:p>
        </w:tc>
        <w:tc>
          <w:tcPr>
            <w:tcW w:w="992" w:type="dxa"/>
            <w:vAlign w:val="center"/>
          </w:tcPr>
          <w:p w14:paraId="5D0AF47A" w14:textId="77777777" w:rsidR="004F6F16" w:rsidRPr="00BB5133" w:rsidRDefault="004F6F16" w:rsidP="00E94EAF">
            <w:pPr>
              <w:spacing w:line="240" w:lineRule="auto"/>
              <w:jc w:val="center"/>
              <w:rPr>
                <w:rFonts w:ascii="Calibri Light" w:hAnsi="Calibri Light" w:cs="Calibri Light"/>
                <w:b/>
                <w:sz w:val="18"/>
                <w:szCs w:val="18"/>
                <w:lang w:val="es-CR"/>
              </w:rPr>
            </w:pPr>
            <w:r w:rsidRPr="00BB5133">
              <w:rPr>
                <w:rFonts w:ascii="Calibri Light" w:hAnsi="Calibri Light" w:cs="Calibri Light"/>
                <w:b/>
                <w:sz w:val="18"/>
                <w:szCs w:val="18"/>
                <w:lang w:val="es-CR"/>
              </w:rPr>
              <w:t>2020</w:t>
            </w:r>
          </w:p>
        </w:tc>
        <w:tc>
          <w:tcPr>
            <w:tcW w:w="1321" w:type="dxa"/>
            <w:vAlign w:val="center"/>
          </w:tcPr>
          <w:p w14:paraId="0851E6E8" w14:textId="77777777" w:rsidR="004F6F16" w:rsidRPr="00BB5133" w:rsidRDefault="004F6F16" w:rsidP="00284699">
            <w:pPr>
              <w:spacing w:line="240" w:lineRule="auto"/>
              <w:jc w:val="left"/>
              <w:rPr>
                <w:rFonts w:ascii="Calibri Light" w:hAnsi="Calibri Light" w:cs="Calibri Light"/>
                <w:b/>
                <w:sz w:val="18"/>
                <w:szCs w:val="18"/>
                <w:lang w:val="es-CR"/>
              </w:rPr>
            </w:pPr>
            <w:r w:rsidRPr="00BB5133">
              <w:rPr>
                <w:rFonts w:ascii="Calibri Light" w:hAnsi="Calibri Light" w:cs="Calibri Light"/>
                <w:b/>
                <w:sz w:val="18"/>
                <w:szCs w:val="18"/>
                <w:lang w:val="es-CR"/>
              </w:rPr>
              <w:t>Segundo semestre del 2020</w:t>
            </w:r>
          </w:p>
          <w:p w14:paraId="49140C0D" w14:textId="77777777" w:rsidR="004F6F16" w:rsidRPr="00BB5133" w:rsidRDefault="004F6F16" w:rsidP="00284699">
            <w:pPr>
              <w:spacing w:line="240" w:lineRule="auto"/>
              <w:jc w:val="left"/>
              <w:rPr>
                <w:rFonts w:ascii="Calibri Light" w:hAnsi="Calibri Light" w:cs="Calibri Light"/>
                <w:bCs/>
                <w:sz w:val="18"/>
                <w:szCs w:val="18"/>
                <w:lang w:val="es-CR"/>
              </w:rPr>
            </w:pPr>
            <w:r w:rsidRPr="00BB5133">
              <w:rPr>
                <w:rFonts w:ascii="Calibri Light" w:hAnsi="Calibri Light" w:cs="Calibri Light"/>
                <w:bCs/>
                <w:sz w:val="18"/>
                <w:szCs w:val="18"/>
                <w:lang w:val="es-CR"/>
              </w:rPr>
              <w:t>Implementación del sistema</w:t>
            </w:r>
          </w:p>
        </w:tc>
        <w:tc>
          <w:tcPr>
            <w:tcW w:w="992" w:type="dxa"/>
            <w:vAlign w:val="center"/>
          </w:tcPr>
          <w:p w14:paraId="211F2A4A" w14:textId="77777777" w:rsidR="004F6F16" w:rsidRPr="00964879" w:rsidRDefault="004F6F16" w:rsidP="00E94EAF">
            <w:pPr>
              <w:spacing w:line="240" w:lineRule="auto"/>
              <w:jc w:val="center"/>
              <w:rPr>
                <w:rFonts w:ascii="Calibri Light" w:hAnsi="Calibri Light" w:cs="Calibri Light"/>
                <w:b/>
                <w:bCs/>
                <w:sz w:val="18"/>
                <w:szCs w:val="18"/>
                <w:lang w:val="es-CR"/>
              </w:rPr>
            </w:pPr>
            <w:r w:rsidRPr="00964879">
              <w:rPr>
                <w:rFonts w:ascii="Calibri Light" w:hAnsi="Calibri Light" w:cs="Calibri Light"/>
                <w:b/>
                <w:bCs/>
                <w:sz w:val="18"/>
                <w:szCs w:val="18"/>
                <w:lang w:val="es-CR"/>
              </w:rPr>
              <w:t>90</w:t>
            </w:r>
          </w:p>
        </w:tc>
        <w:tc>
          <w:tcPr>
            <w:tcW w:w="1659" w:type="dxa"/>
            <w:vAlign w:val="center"/>
          </w:tcPr>
          <w:p w14:paraId="43A60B03" w14:textId="77777777" w:rsidR="004F6F16" w:rsidRPr="00BB5133" w:rsidRDefault="004F6F16" w:rsidP="00E94EAF">
            <w:pPr>
              <w:spacing w:line="240" w:lineRule="auto"/>
              <w:rPr>
                <w:rFonts w:ascii="Calibri Light" w:hAnsi="Calibri Light" w:cs="Calibri Light"/>
                <w:b/>
                <w:sz w:val="18"/>
                <w:szCs w:val="18"/>
                <w:lang w:val="es-CR"/>
              </w:rPr>
            </w:pPr>
            <w:r w:rsidRPr="00BB5133">
              <w:rPr>
                <w:rFonts w:ascii="Calibri Light" w:hAnsi="Calibri Light" w:cs="Calibri Light"/>
                <w:b/>
                <w:sz w:val="18"/>
                <w:szCs w:val="18"/>
                <w:lang w:val="es-CR"/>
              </w:rPr>
              <w:t>Finalizado</w:t>
            </w:r>
          </w:p>
          <w:p w14:paraId="5401396C" w14:textId="77777777" w:rsidR="004F6F16" w:rsidRPr="00BB5133" w:rsidRDefault="004F6F16" w:rsidP="00284699">
            <w:pPr>
              <w:spacing w:line="240" w:lineRule="auto"/>
              <w:jc w:val="left"/>
              <w:rPr>
                <w:rFonts w:ascii="Calibri Light" w:hAnsi="Calibri Light" w:cs="Calibri Light"/>
                <w:bCs/>
                <w:sz w:val="18"/>
                <w:szCs w:val="18"/>
                <w:lang w:val="es-CR"/>
              </w:rPr>
            </w:pPr>
            <w:r w:rsidRPr="00BB5133">
              <w:rPr>
                <w:rFonts w:ascii="Calibri Light" w:hAnsi="Calibri Light" w:cs="Calibri Light"/>
                <w:bCs/>
                <w:sz w:val="18"/>
                <w:szCs w:val="18"/>
                <w:lang w:val="es-CR"/>
              </w:rPr>
              <w:t>El Sistema de crédito y su respectiva regulación ha sido oficializada para que inicie en el año 2021.</w:t>
            </w:r>
          </w:p>
        </w:tc>
      </w:tr>
      <w:tr w:rsidR="004F6F16" w:rsidRPr="007658CA" w14:paraId="5F355EFA" w14:textId="77777777" w:rsidTr="00BB5133">
        <w:trPr>
          <w:trHeight w:val="300"/>
          <w:jc w:val="center"/>
        </w:trPr>
        <w:tc>
          <w:tcPr>
            <w:tcW w:w="1555" w:type="dxa"/>
            <w:vAlign w:val="center"/>
          </w:tcPr>
          <w:p w14:paraId="2689B5C0" w14:textId="77777777" w:rsidR="004F6F16" w:rsidRPr="00BB5133" w:rsidRDefault="004F6F16" w:rsidP="00E94EAF">
            <w:pPr>
              <w:spacing w:line="240" w:lineRule="auto"/>
              <w:rPr>
                <w:rFonts w:ascii="Calibri Light" w:hAnsi="Calibri Light" w:cs="Calibri Light"/>
                <w:b/>
                <w:bCs/>
                <w:color w:val="000000"/>
                <w:sz w:val="18"/>
                <w:szCs w:val="18"/>
                <w:lang w:val="es-CR"/>
              </w:rPr>
            </w:pPr>
            <w:r w:rsidRPr="00BB5133">
              <w:rPr>
                <w:rFonts w:ascii="Calibri Light" w:hAnsi="Calibri Light" w:cs="Calibri Light"/>
                <w:b/>
                <w:bCs/>
                <w:color w:val="000000"/>
                <w:sz w:val="18"/>
                <w:szCs w:val="18"/>
                <w:lang w:val="es-CR"/>
              </w:rPr>
              <w:t>SUPEN</w:t>
            </w:r>
          </w:p>
          <w:p w14:paraId="0C0E452B" w14:textId="77777777" w:rsidR="004F6F16" w:rsidRPr="00BB5133" w:rsidRDefault="004F6F16" w:rsidP="00BB5133">
            <w:pPr>
              <w:spacing w:line="240" w:lineRule="auto"/>
              <w:jc w:val="left"/>
              <w:rPr>
                <w:rFonts w:ascii="Calibri Light" w:hAnsi="Calibri Light" w:cs="Calibri Light"/>
                <w:color w:val="000000"/>
                <w:sz w:val="18"/>
                <w:szCs w:val="18"/>
                <w:lang w:val="es-CR"/>
              </w:rPr>
            </w:pPr>
            <w:r w:rsidRPr="00BB5133">
              <w:rPr>
                <w:rFonts w:ascii="Calibri Light" w:hAnsi="Calibri Light" w:cs="Calibri Light"/>
                <w:color w:val="000000"/>
                <w:sz w:val="18"/>
                <w:szCs w:val="18"/>
                <w:lang w:val="es-CR"/>
              </w:rPr>
              <w:t>Vigilar la gestión de los participantes del SNP, mediante un modelo de supervisión basado en riesgos, para proteger los intereses de los afiliados y pensionados</w:t>
            </w:r>
          </w:p>
          <w:p w14:paraId="1A8041DD" w14:textId="77777777" w:rsidR="004F6F16" w:rsidRPr="00BB5133" w:rsidRDefault="004F6F16" w:rsidP="00BB5133">
            <w:pPr>
              <w:spacing w:line="240" w:lineRule="auto"/>
              <w:jc w:val="left"/>
              <w:rPr>
                <w:rFonts w:ascii="Calibri Light" w:hAnsi="Calibri Light" w:cs="Calibri Light"/>
                <w:b/>
                <w:bCs/>
                <w:color w:val="000000"/>
                <w:sz w:val="18"/>
                <w:szCs w:val="18"/>
                <w:lang w:val="es-CR"/>
              </w:rPr>
            </w:pPr>
            <w:r w:rsidRPr="00BB5133">
              <w:rPr>
                <w:rFonts w:ascii="Calibri Light" w:hAnsi="Calibri Light" w:cs="Calibri Light"/>
                <w:b/>
                <w:bCs/>
                <w:color w:val="000000"/>
                <w:sz w:val="18"/>
                <w:szCs w:val="18"/>
                <w:lang w:val="es-CR"/>
              </w:rPr>
              <w:t>CONASSIF</w:t>
            </w:r>
          </w:p>
          <w:p w14:paraId="456B7A73" w14:textId="77777777" w:rsidR="004F6F16" w:rsidRPr="00BB5133" w:rsidRDefault="004F6F16" w:rsidP="00BB5133">
            <w:pPr>
              <w:spacing w:line="240" w:lineRule="auto"/>
              <w:jc w:val="left"/>
              <w:rPr>
                <w:rFonts w:ascii="Calibri Light" w:hAnsi="Calibri Light" w:cs="Calibri Light"/>
                <w:color w:val="000000"/>
                <w:sz w:val="18"/>
                <w:szCs w:val="18"/>
                <w:lang w:val="es-CR"/>
              </w:rPr>
            </w:pPr>
            <w:r w:rsidRPr="00BB5133">
              <w:rPr>
                <w:rFonts w:ascii="Calibri Light" w:hAnsi="Calibri Light" w:cs="Calibri Light"/>
                <w:color w:val="000000"/>
                <w:sz w:val="18"/>
                <w:szCs w:val="18"/>
                <w:lang w:val="es-CR"/>
              </w:rPr>
              <w:t>Establecer la regulación y supervisión que coadyuve a la estabilidad y solvencia del sistema financiero</w:t>
            </w:r>
          </w:p>
        </w:tc>
        <w:tc>
          <w:tcPr>
            <w:tcW w:w="1311" w:type="dxa"/>
            <w:shd w:val="clear" w:color="auto" w:fill="auto"/>
            <w:noWrap/>
            <w:vAlign w:val="center"/>
          </w:tcPr>
          <w:p w14:paraId="47456C56" w14:textId="77777777" w:rsidR="004F6F16" w:rsidRPr="00BB5133" w:rsidRDefault="004F6F16" w:rsidP="00E94EAF">
            <w:pPr>
              <w:spacing w:line="240" w:lineRule="auto"/>
              <w:rPr>
                <w:rFonts w:ascii="Calibri Light" w:hAnsi="Calibri Light" w:cs="Calibri Light"/>
                <w:color w:val="000000"/>
                <w:sz w:val="18"/>
                <w:szCs w:val="18"/>
                <w:lang w:val="es-CR"/>
              </w:rPr>
            </w:pPr>
            <w:r w:rsidRPr="00BB5133">
              <w:rPr>
                <w:rFonts w:ascii="Calibri Light" w:hAnsi="Calibri Light" w:cs="Calibri Light"/>
                <w:color w:val="000000"/>
                <w:sz w:val="18"/>
                <w:szCs w:val="18"/>
                <w:lang w:val="es-CR"/>
              </w:rPr>
              <w:t>Sistema Manejo de Liquidez</w:t>
            </w:r>
          </w:p>
        </w:tc>
        <w:tc>
          <w:tcPr>
            <w:tcW w:w="1699" w:type="dxa"/>
            <w:vAlign w:val="center"/>
          </w:tcPr>
          <w:p w14:paraId="4D5A01EC" w14:textId="77777777" w:rsidR="004F6F16" w:rsidRPr="00BB5133" w:rsidRDefault="004F6F16" w:rsidP="00284699">
            <w:pPr>
              <w:spacing w:line="240" w:lineRule="auto"/>
              <w:jc w:val="left"/>
              <w:rPr>
                <w:rFonts w:ascii="Calibri Light" w:hAnsi="Calibri Light" w:cs="Calibri Light"/>
                <w:sz w:val="18"/>
                <w:szCs w:val="18"/>
                <w:lang w:val="es-CR"/>
              </w:rPr>
            </w:pPr>
            <w:r w:rsidRPr="00BB5133">
              <w:rPr>
                <w:rFonts w:ascii="Calibri Light" w:hAnsi="Calibri Light" w:cs="Calibri Light"/>
                <w:sz w:val="18"/>
                <w:szCs w:val="18"/>
                <w:lang w:val="es-CR"/>
              </w:rPr>
              <w:t>Definir e implementar un módulo para la carga de información de los instrumentos para el manejo de liquidez.</w:t>
            </w:r>
          </w:p>
        </w:tc>
        <w:tc>
          <w:tcPr>
            <w:tcW w:w="709" w:type="dxa"/>
            <w:vAlign w:val="center"/>
          </w:tcPr>
          <w:p w14:paraId="11089D0B" w14:textId="77777777" w:rsidR="004F6F16" w:rsidRPr="00BB5133" w:rsidRDefault="004F6F16" w:rsidP="00E94EAF">
            <w:pPr>
              <w:spacing w:line="240" w:lineRule="auto"/>
              <w:jc w:val="center"/>
              <w:rPr>
                <w:rFonts w:ascii="Calibri Light" w:hAnsi="Calibri Light" w:cs="Calibri Light"/>
                <w:b/>
                <w:sz w:val="18"/>
                <w:szCs w:val="18"/>
                <w:lang w:val="es-CR"/>
              </w:rPr>
            </w:pPr>
            <w:r w:rsidRPr="00BB5133">
              <w:rPr>
                <w:rFonts w:ascii="Calibri Light" w:hAnsi="Calibri Light" w:cs="Calibri Light"/>
                <w:b/>
                <w:sz w:val="18"/>
                <w:szCs w:val="18"/>
                <w:lang w:val="es-CR"/>
              </w:rPr>
              <w:t>2020</w:t>
            </w:r>
          </w:p>
        </w:tc>
        <w:tc>
          <w:tcPr>
            <w:tcW w:w="992" w:type="dxa"/>
            <w:vAlign w:val="center"/>
          </w:tcPr>
          <w:p w14:paraId="127D6E77" w14:textId="77777777" w:rsidR="004F6F16" w:rsidRPr="00BB5133" w:rsidRDefault="004F6F16" w:rsidP="00E94EAF">
            <w:pPr>
              <w:spacing w:line="240" w:lineRule="auto"/>
              <w:jc w:val="center"/>
              <w:rPr>
                <w:rFonts w:ascii="Calibri Light" w:hAnsi="Calibri Light" w:cs="Calibri Light"/>
                <w:b/>
                <w:sz w:val="18"/>
                <w:szCs w:val="18"/>
                <w:lang w:val="es-CR"/>
              </w:rPr>
            </w:pPr>
            <w:r w:rsidRPr="00BB5133">
              <w:rPr>
                <w:rFonts w:ascii="Calibri Light" w:hAnsi="Calibri Light" w:cs="Calibri Light"/>
                <w:b/>
                <w:sz w:val="18"/>
                <w:szCs w:val="18"/>
                <w:lang w:val="es-CR"/>
              </w:rPr>
              <w:t>2021</w:t>
            </w:r>
          </w:p>
        </w:tc>
        <w:tc>
          <w:tcPr>
            <w:tcW w:w="1321" w:type="dxa"/>
            <w:vAlign w:val="center"/>
          </w:tcPr>
          <w:p w14:paraId="710378EF" w14:textId="77777777" w:rsidR="004F6F16" w:rsidRPr="00BB5133" w:rsidRDefault="004F6F16" w:rsidP="001461BE">
            <w:pPr>
              <w:spacing w:line="240" w:lineRule="auto"/>
              <w:jc w:val="left"/>
              <w:rPr>
                <w:rFonts w:ascii="Calibri Light" w:hAnsi="Calibri Light" w:cs="Calibri Light"/>
                <w:b/>
                <w:sz w:val="18"/>
                <w:szCs w:val="18"/>
                <w:lang w:val="es-CR"/>
              </w:rPr>
            </w:pPr>
            <w:r w:rsidRPr="00BB5133">
              <w:rPr>
                <w:rFonts w:ascii="Calibri Light" w:hAnsi="Calibri Light" w:cs="Calibri Light"/>
                <w:b/>
                <w:sz w:val="18"/>
                <w:szCs w:val="18"/>
                <w:lang w:val="es-CR"/>
              </w:rPr>
              <w:t>Primer Semestre del 2021</w:t>
            </w:r>
          </w:p>
          <w:p w14:paraId="2D436163" w14:textId="77777777" w:rsidR="004F6F16" w:rsidRPr="00BB5133" w:rsidRDefault="004F6F16" w:rsidP="001461BE">
            <w:pPr>
              <w:spacing w:line="240" w:lineRule="auto"/>
              <w:jc w:val="left"/>
              <w:rPr>
                <w:rFonts w:ascii="Calibri Light" w:hAnsi="Calibri Light" w:cs="Calibri Light"/>
                <w:bCs/>
                <w:sz w:val="18"/>
                <w:szCs w:val="18"/>
                <w:lang w:val="es-CR"/>
              </w:rPr>
            </w:pPr>
            <w:r w:rsidRPr="00BB5133">
              <w:rPr>
                <w:rFonts w:ascii="Calibri Light" w:hAnsi="Calibri Light" w:cs="Calibri Light"/>
                <w:bCs/>
                <w:sz w:val="18"/>
                <w:szCs w:val="18"/>
                <w:lang w:val="es-CR"/>
              </w:rPr>
              <w:t>Implementación del sistema</w:t>
            </w:r>
          </w:p>
        </w:tc>
        <w:tc>
          <w:tcPr>
            <w:tcW w:w="992" w:type="dxa"/>
            <w:vAlign w:val="center"/>
          </w:tcPr>
          <w:p w14:paraId="0CFBD07C" w14:textId="77777777" w:rsidR="004F6F16" w:rsidRPr="00964879" w:rsidRDefault="004F6F16" w:rsidP="00E94EAF">
            <w:pPr>
              <w:spacing w:line="240" w:lineRule="auto"/>
              <w:jc w:val="center"/>
              <w:rPr>
                <w:rFonts w:ascii="Calibri Light" w:hAnsi="Calibri Light" w:cs="Calibri Light"/>
                <w:b/>
                <w:bCs/>
                <w:sz w:val="18"/>
                <w:szCs w:val="18"/>
                <w:lang w:val="es-CR"/>
              </w:rPr>
            </w:pPr>
            <w:r w:rsidRPr="00964879">
              <w:rPr>
                <w:rFonts w:ascii="Calibri Light" w:hAnsi="Calibri Light" w:cs="Calibri Light"/>
                <w:b/>
                <w:bCs/>
                <w:sz w:val="18"/>
                <w:szCs w:val="18"/>
                <w:lang w:val="es-CR"/>
              </w:rPr>
              <w:t>95</w:t>
            </w:r>
          </w:p>
        </w:tc>
        <w:tc>
          <w:tcPr>
            <w:tcW w:w="1659" w:type="dxa"/>
            <w:vAlign w:val="center"/>
          </w:tcPr>
          <w:p w14:paraId="3379DD65" w14:textId="77777777" w:rsidR="004F6F16" w:rsidRPr="00BB5133" w:rsidRDefault="004F6F16" w:rsidP="00E94EAF">
            <w:pPr>
              <w:spacing w:line="240" w:lineRule="auto"/>
              <w:rPr>
                <w:rFonts w:ascii="Calibri Light" w:hAnsi="Calibri Light" w:cs="Calibri Light"/>
                <w:b/>
                <w:sz w:val="18"/>
                <w:szCs w:val="18"/>
                <w:lang w:val="es-CR"/>
              </w:rPr>
            </w:pPr>
            <w:r w:rsidRPr="00BB5133">
              <w:rPr>
                <w:rFonts w:ascii="Calibri Light" w:hAnsi="Calibri Light" w:cs="Calibri Light"/>
                <w:b/>
                <w:sz w:val="18"/>
                <w:szCs w:val="18"/>
                <w:lang w:val="es-CR"/>
              </w:rPr>
              <w:t>En Ejecución</w:t>
            </w:r>
          </w:p>
          <w:p w14:paraId="652F35F2" w14:textId="77777777" w:rsidR="004F6F16" w:rsidRPr="00BB5133" w:rsidRDefault="004F6F16" w:rsidP="00284699">
            <w:pPr>
              <w:spacing w:line="240" w:lineRule="auto"/>
              <w:jc w:val="left"/>
              <w:rPr>
                <w:rFonts w:ascii="Calibri Light" w:hAnsi="Calibri Light" w:cs="Calibri Light"/>
                <w:bCs/>
                <w:sz w:val="18"/>
                <w:szCs w:val="18"/>
                <w:lang w:val="es-CR"/>
              </w:rPr>
            </w:pPr>
            <w:r w:rsidRPr="00BB5133">
              <w:rPr>
                <w:rFonts w:ascii="Calibri Light" w:hAnsi="Calibri Light" w:cs="Calibri Light"/>
                <w:bCs/>
                <w:sz w:val="18"/>
                <w:szCs w:val="18"/>
                <w:lang w:val="es-CR"/>
              </w:rPr>
              <w:t>Está pendiente la programación de las estructuras de datos que manejarán los flujos de información hacia el supervisor</w:t>
            </w:r>
          </w:p>
        </w:tc>
      </w:tr>
      <w:tr w:rsidR="004F6F16" w:rsidRPr="007658CA" w14:paraId="7DE817BD" w14:textId="77777777" w:rsidTr="00BB5133">
        <w:trPr>
          <w:trHeight w:val="300"/>
          <w:jc w:val="center"/>
        </w:trPr>
        <w:tc>
          <w:tcPr>
            <w:tcW w:w="1555" w:type="dxa"/>
            <w:vAlign w:val="center"/>
          </w:tcPr>
          <w:p w14:paraId="1D898366" w14:textId="77777777" w:rsidR="004F6F16" w:rsidRPr="00BB5133" w:rsidRDefault="004F6F16" w:rsidP="00E94EAF">
            <w:pPr>
              <w:spacing w:line="240" w:lineRule="auto"/>
              <w:rPr>
                <w:rFonts w:ascii="Calibri Light" w:hAnsi="Calibri Light" w:cs="Calibri Light"/>
                <w:b/>
                <w:bCs/>
                <w:color w:val="000000"/>
                <w:sz w:val="18"/>
                <w:szCs w:val="18"/>
                <w:lang w:val="es-CR"/>
              </w:rPr>
            </w:pPr>
            <w:r w:rsidRPr="00BB5133">
              <w:rPr>
                <w:rFonts w:ascii="Calibri Light" w:hAnsi="Calibri Light" w:cs="Calibri Light"/>
                <w:b/>
                <w:bCs/>
                <w:color w:val="000000"/>
                <w:sz w:val="18"/>
                <w:szCs w:val="18"/>
                <w:lang w:val="es-CR"/>
              </w:rPr>
              <w:t>SUPEN</w:t>
            </w:r>
          </w:p>
          <w:p w14:paraId="3F82AD15" w14:textId="77777777" w:rsidR="004F6F16" w:rsidRPr="00BB5133" w:rsidRDefault="004F6F16" w:rsidP="00BB5133">
            <w:pPr>
              <w:spacing w:line="240" w:lineRule="auto"/>
              <w:jc w:val="left"/>
              <w:rPr>
                <w:rFonts w:ascii="Calibri Light" w:hAnsi="Calibri Light" w:cs="Calibri Light"/>
                <w:color w:val="000000"/>
                <w:sz w:val="18"/>
                <w:szCs w:val="18"/>
                <w:lang w:val="es-CR"/>
              </w:rPr>
            </w:pPr>
            <w:r w:rsidRPr="00BB5133">
              <w:rPr>
                <w:rFonts w:ascii="Calibri Light" w:hAnsi="Calibri Light" w:cs="Calibri Light"/>
                <w:color w:val="000000"/>
                <w:sz w:val="18"/>
                <w:szCs w:val="18"/>
                <w:lang w:val="es-CR"/>
              </w:rPr>
              <w:t>Vigilar la gestión de los participantes del SNP, mediante un modelo de supervisión basado en riesgos, para proteger los intereses de los afiliados y pensionados</w:t>
            </w:r>
          </w:p>
          <w:p w14:paraId="1336CDFB" w14:textId="77777777" w:rsidR="004F6F16" w:rsidRPr="00BB5133" w:rsidRDefault="004F6F16" w:rsidP="00BB5133">
            <w:pPr>
              <w:spacing w:line="240" w:lineRule="auto"/>
              <w:jc w:val="left"/>
              <w:rPr>
                <w:rFonts w:ascii="Calibri Light" w:hAnsi="Calibri Light" w:cs="Calibri Light"/>
                <w:b/>
                <w:bCs/>
                <w:color w:val="000000"/>
                <w:sz w:val="18"/>
                <w:szCs w:val="18"/>
                <w:lang w:val="es-CR"/>
              </w:rPr>
            </w:pPr>
            <w:r w:rsidRPr="00BB5133">
              <w:rPr>
                <w:rFonts w:ascii="Calibri Light" w:hAnsi="Calibri Light" w:cs="Calibri Light"/>
                <w:b/>
                <w:bCs/>
                <w:color w:val="000000"/>
                <w:sz w:val="18"/>
                <w:szCs w:val="18"/>
                <w:lang w:val="es-CR"/>
              </w:rPr>
              <w:t>CONASSIF</w:t>
            </w:r>
          </w:p>
          <w:p w14:paraId="3888D75F" w14:textId="77777777" w:rsidR="004F6F16" w:rsidRPr="00BB5133" w:rsidRDefault="004F6F16" w:rsidP="00BB5133">
            <w:pPr>
              <w:spacing w:line="240" w:lineRule="auto"/>
              <w:jc w:val="left"/>
              <w:rPr>
                <w:rFonts w:ascii="Calibri Light" w:hAnsi="Calibri Light" w:cs="Calibri Light"/>
                <w:color w:val="000000"/>
                <w:sz w:val="18"/>
                <w:szCs w:val="18"/>
                <w:lang w:val="es-CR"/>
              </w:rPr>
            </w:pPr>
            <w:r w:rsidRPr="00BB5133">
              <w:rPr>
                <w:rFonts w:ascii="Calibri Light" w:hAnsi="Calibri Light" w:cs="Calibri Light"/>
                <w:color w:val="000000"/>
                <w:sz w:val="18"/>
                <w:szCs w:val="18"/>
                <w:lang w:val="es-CR"/>
              </w:rPr>
              <w:t>Establecer la regulación y supervisión que coadyuve a la estabilidad y solvencia del sistema financiero</w:t>
            </w:r>
          </w:p>
        </w:tc>
        <w:tc>
          <w:tcPr>
            <w:tcW w:w="1311" w:type="dxa"/>
            <w:shd w:val="clear" w:color="auto" w:fill="auto"/>
            <w:noWrap/>
            <w:vAlign w:val="center"/>
          </w:tcPr>
          <w:p w14:paraId="74BB3266" w14:textId="77777777" w:rsidR="004F6F16" w:rsidRPr="00BB5133" w:rsidRDefault="004F6F16" w:rsidP="00E94EAF">
            <w:pPr>
              <w:spacing w:line="240" w:lineRule="auto"/>
              <w:rPr>
                <w:rFonts w:ascii="Calibri Light" w:hAnsi="Calibri Light" w:cs="Calibri Light"/>
                <w:color w:val="000000"/>
                <w:sz w:val="18"/>
                <w:szCs w:val="18"/>
                <w:lang w:val="es-CR"/>
              </w:rPr>
            </w:pPr>
            <w:r w:rsidRPr="00BB5133">
              <w:rPr>
                <w:rFonts w:ascii="Calibri Light" w:hAnsi="Calibri Light" w:cs="Calibri Light"/>
                <w:color w:val="000000"/>
                <w:sz w:val="18"/>
                <w:szCs w:val="18"/>
                <w:lang w:val="es-CR"/>
              </w:rPr>
              <w:t>Fondos Generacionales</w:t>
            </w:r>
          </w:p>
          <w:p w14:paraId="4C89598E" w14:textId="77777777" w:rsidR="004F6F16" w:rsidRPr="00BB5133" w:rsidRDefault="004F6F16" w:rsidP="00E94EAF">
            <w:pPr>
              <w:spacing w:line="240" w:lineRule="auto"/>
              <w:rPr>
                <w:rFonts w:ascii="Calibri Light" w:hAnsi="Calibri Light" w:cs="Calibri Light"/>
                <w:color w:val="000000"/>
                <w:sz w:val="18"/>
                <w:szCs w:val="18"/>
                <w:lang w:val="es-CR"/>
              </w:rPr>
            </w:pPr>
            <w:r w:rsidRPr="00BB5133">
              <w:rPr>
                <w:rFonts w:ascii="Calibri Light" w:hAnsi="Calibri Light" w:cs="Calibri Light"/>
                <w:color w:val="000000"/>
                <w:sz w:val="18"/>
                <w:szCs w:val="18"/>
                <w:lang w:val="es-CR"/>
              </w:rPr>
              <w:t>(Multifondos)</w:t>
            </w:r>
          </w:p>
        </w:tc>
        <w:tc>
          <w:tcPr>
            <w:tcW w:w="1699" w:type="dxa"/>
            <w:vAlign w:val="center"/>
          </w:tcPr>
          <w:p w14:paraId="4C3D8902" w14:textId="77777777" w:rsidR="004F6F16" w:rsidRPr="00BB5133" w:rsidRDefault="004F6F16" w:rsidP="00BB5133">
            <w:pPr>
              <w:spacing w:line="240" w:lineRule="auto"/>
              <w:jc w:val="left"/>
              <w:rPr>
                <w:rFonts w:ascii="Calibri Light" w:hAnsi="Calibri Light" w:cs="Calibri Light"/>
                <w:sz w:val="18"/>
                <w:szCs w:val="18"/>
                <w:lang w:val="es-CR"/>
              </w:rPr>
            </w:pPr>
            <w:r w:rsidRPr="00BB5133">
              <w:rPr>
                <w:rFonts w:ascii="Calibri Light" w:hAnsi="Calibri Light" w:cs="Calibri Light"/>
                <w:sz w:val="18"/>
                <w:szCs w:val="18"/>
                <w:lang w:val="es-CR"/>
              </w:rPr>
              <w:t>Generar un marco regulatorio para la gestión de los multifondos que, acorde con lo estipulado en leyes, las normas vigentes y en principios internacionales, permita a los entes supervisados realizar una sana administración de los recursos en beneficio de los afiliados.</w:t>
            </w:r>
          </w:p>
        </w:tc>
        <w:tc>
          <w:tcPr>
            <w:tcW w:w="709" w:type="dxa"/>
            <w:vAlign w:val="center"/>
          </w:tcPr>
          <w:p w14:paraId="6FBDE532" w14:textId="77777777" w:rsidR="004F6F16" w:rsidRPr="00BB5133" w:rsidRDefault="004F6F16" w:rsidP="00E94EAF">
            <w:pPr>
              <w:spacing w:line="240" w:lineRule="auto"/>
              <w:jc w:val="center"/>
              <w:rPr>
                <w:rFonts w:ascii="Calibri Light" w:hAnsi="Calibri Light" w:cs="Calibri Light"/>
                <w:b/>
                <w:sz w:val="18"/>
                <w:szCs w:val="18"/>
                <w:lang w:val="es-CR"/>
              </w:rPr>
            </w:pPr>
            <w:r w:rsidRPr="00BB5133">
              <w:rPr>
                <w:rFonts w:ascii="Calibri Light" w:hAnsi="Calibri Light" w:cs="Calibri Light"/>
                <w:b/>
                <w:sz w:val="18"/>
                <w:szCs w:val="18"/>
                <w:lang w:val="es-CR"/>
              </w:rPr>
              <w:t>2021</w:t>
            </w:r>
          </w:p>
        </w:tc>
        <w:tc>
          <w:tcPr>
            <w:tcW w:w="992" w:type="dxa"/>
            <w:vAlign w:val="center"/>
          </w:tcPr>
          <w:p w14:paraId="630E9657" w14:textId="77777777" w:rsidR="004F6F16" w:rsidRPr="00BB5133" w:rsidRDefault="004F6F16" w:rsidP="00E94EAF">
            <w:pPr>
              <w:spacing w:line="240" w:lineRule="auto"/>
              <w:jc w:val="center"/>
              <w:rPr>
                <w:rFonts w:ascii="Calibri Light" w:hAnsi="Calibri Light" w:cs="Calibri Light"/>
                <w:b/>
                <w:sz w:val="18"/>
                <w:szCs w:val="18"/>
                <w:lang w:val="es-CR"/>
              </w:rPr>
            </w:pPr>
            <w:r w:rsidRPr="00BB5133">
              <w:rPr>
                <w:rFonts w:ascii="Calibri Light" w:hAnsi="Calibri Light" w:cs="Calibri Light"/>
                <w:b/>
                <w:sz w:val="18"/>
                <w:szCs w:val="18"/>
                <w:lang w:val="es-CR"/>
              </w:rPr>
              <w:t>2022</w:t>
            </w:r>
          </w:p>
        </w:tc>
        <w:tc>
          <w:tcPr>
            <w:tcW w:w="1321" w:type="dxa"/>
            <w:vAlign w:val="center"/>
          </w:tcPr>
          <w:p w14:paraId="41AA6617" w14:textId="77777777" w:rsidR="004F6F16" w:rsidRPr="00BB5133" w:rsidRDefault="004F6F16" w:rsidP="00BB5133">
            <w:pPr>
              <w:spacing w:line="240" w:lineRule="auto"/>
              <w:jc w:val="left"/>
              <w:rPr>
                <w:rFonts w:ascii="Calibri Light" w:hAnsi="Calibri Light" w:cs="Calibri Light"/>
                <w:b/>
                <w:sz w:val="18"/>
                <w:szCs w:val="18"/>
                <w:lang w:val="es-CR"/>
              </w:rPr>
            </w:pPr>
            <w:r w:rsidRPr="00BB5133">
              <w:rPr>
                <w:rFonts w:ascii="Calibri Light" w:hAnsi="Calibri Light" w:cs="Calibri Light"/>
                <w:b/>
                <w:sz w:val="18"/>
                <w:szCs w:val="18"/>
                <w:lang w:val="es-CR"/>
              </w:rPr>
              <w:t>Primer Semestre del 2021</w:t>
            </w:r>
          </w:p>
          <w:p w14:paraId="411B5C11" w14:textId="77777777" w:rsidR="004F6F16" w:rsidRPr="00BB5133" w:rsidRDefault="004F6F16" w:rsidP="00BB5133">
            <w:pPr>
              <w:spacing w:line="240" w:lineRule="auto"/>
              <w:jc w:val="left"/>
              <w:rPr>
                <w:rFonts w:ascii="Calibri Light" w:hAnsi="Calibri Light" w:cs="Calibri Light"/>
                <w:bCs/>
                <w:sz w:val="18"/>
                <w:szCs w:val="18"/>
                <w:lang w:val="es-CR"/>
              </w:rPr>
            </w:pPr>
            <w:r w:rsidRPr="00BB5133">
              <w:rPr>
                <w:rFonts w:ascii="Calibri Light" w:hAnsi="Calibri Light" w:cs="Calibri Light"/>
                <w:bCs/>
                <w:sz w:val="18"/>
                <w:szCs w:val="18"/>
                <w:lang w:val="es-CR"/>
              </w:rPr>
              <w:t xml:space="preserve">Realizar la propuesta del marco conceptual que tendrá el esquema </w:t>
            </w:r>
          </w:p>
        </w:tc>
        <w:tc>
          <w:tcPr>
            <w:tcW w:w="992" w:type="dxa"/>
            <w:vAlign w:val="center"/>
          </w:tcPr>
          <w:p w14:paraId="51A7DE9A" w14:textId="77777777" w:rsidR="004F6F16" w:rsidRPr="00BB5133" w:rsidRDefault="004F6F16" w:rsidP="00BB5133">
            <w:pPr>
              <w:spacing w:line="240" w:lineRule="auto"/>
              <w:jc w:val="left"/>
              <w:rPr>
                <w:rFonts w:ascii="Calibri Light" w:hAnsi="Calibri Light" w:cs="Calibri Light"/>
                <w:sz w:val="18"/>
                <w:szCs w:val="18"/>
                <w:lang w:val="es-CR"/>
              </w:rPr>
            </w:pPr>
          </w:p>
        </w:tc>
        <w:tc>
          <w:tcPr>
            <w:tcW w:w="1659" w:type="dxa"/>
            <w:vAlign w:val="center"/>
          </w:tcPr>
          <w:p w14:paraId="30139F66" w14:textId="77777777" w:rsidR="004F6F16" w:rsidRPr="00BB5133" w:rsidRDefault="004F6F16" w:rsidP="00BB5133">
            <w:pPr>
              <w:spacing w:line="240" w:lineRule="auto"/>
              <w:jc w:val="left"/>
              <w:rPr>
                <w:rFonts w:ascii="Calibri Light" w:hAnsi="Calibri Light" w:cs="Calibri Light"/>
                <w:b/>
                <w:sz w:val="18"/>
                <w:szCs w:val="18"/>
                <w:lang w:val="es-CR"/>
              </w:rPr>
            </w:pPr>
            <w:r w:rsidRPr="00BB5133">
              <w:rPr>
                <w:rFonts w:ascii="Calibri Light" w:hAnsi="Calibri Light" w:cs="Calibri Light"/>
                <w:b/>
                <w:sz w:val="18"/>
                <w:szCs w:val="18"/>
                <w:lang w:val="es-CR"/>
              </w:rPr>
              <w:t>En Etapa de Planificación</w:t>
            </w:r>
          </w:p>
          <w:p w14:paraId="7BD6E3A4" w14:textId="77777777" w:rsidR="004F6F16" w:rsidRPr="00BB5133" w:rsidRDefault="004F6F16" w:rsidP="00BB5133">
            <w:pPr>
              <w:spacing w:line="240" w:lineRule="auto"/>
              <w:jc w:val="left"/>
              <w:rPr>
                <w:rFonts w:ascii="Calibri Light" w:hAnsi="Calibri Light" w:cs="Calibri Light"/>
                <w:bCs/>
                <w:sz w:val="18"/>
                <w:szCs w:val="18"/>
                <w:lang w:val="es-CR"/>
              </w:rPr>
            </w:pPr>
            <w:r w:rsidRPr="00BB5133">
              <w:rPr>
                <w:rFonts w:ascii="Calibri Light" w:hAnsi="Calibri Light" w:cs="Calibri Light"/>
                <w:bCs/>
                <w:sz w:val="18"/>
                <w:szCs w:val="18"/>
                <w:lang w:val="es-CR"/>
              </w:rPr>
              <w:t>Durante el 2020 se realizaron las investigaciones y consultas pertinentes a fin de establecer un diseño que se trabajará en el 2021</w:t>
            </w:r>
          </w:p>
        </w:tc>
      </w:tr>
      <w:tr w:rsidR="004F6F16" w:rsidRPr="007658CA" w14:paraId="0D86E7D4" w14:textId="77777777" w:rsidTr="006D0C69">
        <w:trPr>
          <w:trHeight w:val="300"/>
          <w:jc w:val="center"/>
        </w:trPr>
        <w:tc>
          <w:tcPr>
            <w:tcW w:w="1555" w:type="dxa"/>
            <w:vAlign w:val="center"/>
          </w:tcPr>
          <w:p w14:paraId="4BE3B5F4" w14:textId="77777777" w:rsidR="004F6F16" w:rsidRPr="00BB5133" w:rsidRDefault="004F6F16" w:rsidP="00E94EAF">
            <w:pPr>
              <w:spacing w:line="240" w:lineRule="auto"/>
              <w:rPr>
                <w:rFonts w:ascii="Calibri Light" w:hAnsi="Calibri Light" w:cs="Calibri Light"/>
                <w:b/>
                <w:bCs/>
                <w:color w:val="000000"/>
                <w:sz w:val="18"/>
                <w:szCs w:val="18"/>
                <w:lang w:val="es-CR"/>
              </w:rPr>
            </w:pPr>
            <w:r w:rsidRPr="00BB5133">
              <w:rPr>
                <w:rFonts w:ascii="Calibri Light" w:hAnsi="Calibri Light" w:cs="Calibri Light"/>
                <w:b/>
                <w:bCs/>
                <w:color w:val="000000"/>
                <w:sz w:val="18"/>
                <w:szCs w:val="18"/>
                <w:lang w:val="es-CR"/>
              </w:rPr>
              <w:t>SUPEN</w:t>
            </w:r>
          </w:p>
          <w:p w14:paraId="79C83B10" w14:textId="77777777" w:rsidR="004F6F16" w:rsidRPr="00BB5133" w:rsidRDefault="004F6F16" w:rsidP="00BB5133">
            <w:pPr>
              <w:spacing w:line="240" w:lineRule="auto"/>
              <w:jc w:val="left"/>
              <w:rPr>
                <w:rFonts w:ascii="Calibri Light" w:hAnsi="Calibri Light" w:cs="Calibri Light"/>
                <w:color w:val="000000"/>
                <w:sz w:val="18"/>
                <w:szCs w:val="18"/>
                <w:lang w:val="es-CR"/>
              </w:rPr>
            </w:pPr>
            <w:r w:rsidRPr="00BB5133">
              <w:rPr>
                <w:rFonts w:ascii="Calibri Light" w:hAnsi="Calibri Light" w:cs="Calibri Light"/>
                <w:color w:val="000000"/>
                <w:sz w:val="18"/>
                <w:szCs w:val="18"/>
                <w:lang w:val="es-CR"/>
              </w:rPr>
              <w:t>Vigilar la gestión de los participantes del SNP, mediante un modelo de supervisión basado en riesgos, para proteger los intereses de los afiliados y pensionados</w:t>
            </w:r>
          </w:p>
          <w:p w14:paraId="118EC475" w14:textId="77777777" w:rsidR="004F6F16" w:rsidRPr="00BB5133" w:rsidRDefault="004F6F16" w:rsidP="00E94EAF">
            <w:pPr>
              <w:spacing w:line="240" w:lineRule="auto"/>
              <w:rPr>
                <w:rFonts w:ascii="Calibri Light" w:hAnsi="Calibri Light" w:cs="Calibri Light"/>
                <w:b/>
                <w:bCs/>
                <w:color w:val="000000"/>
                <w:sz w:val="18"/>
                <w:szCs w:val="18"/>
                <w:lang w:val="es-CR"/>
              </w:rPr>
            </w:pPr>
            <w:r w:rsidRPr="00BB5133">
              <w:rPr>
                <w:rFonts w:ascii="Calibri Light" w:hAnsi="Calibri Light" w:cs="Calibri Light"/>
                <w:b/>
                <w:bCs/>
                <w:color w:val="000000"/>
                <w:sz w:val="18"/>
                <w:szCs w:val="18"/>
                <w:lang w:val="es-CR"/>
              </w:rPr>
              <w:t>CONASSIF</w:t>
            </w:r>
          </w:p>
          <w:p w14:paraId="2D1388DB" w14:textId="77777777" w:rsidR="004F6F16" w:rsidRPr="00BB5133" w:rsidRDefault="004F6F16" w:rsidP="00BB5133">
            <w:pPr>
              <w:spacing w:line="240" w:lineRule="auto"/>
              <w:jc w:val="left"/>
              <w:rPr>
                <w:rFonts w:ascii="Calibri Light" w:hAnsi="Calibri Light" w:cs="Calibri Light"/>
                <w:color w:val="000000"/>
                <w:sz w:val="18"/>
                <w:szCs w:val="18"/>
                <w:lang w:val="es-CR"/>
              </w:rPr>
            </w:pPr>
            <w:r w:rsidRPr="00BB5133">
              <w:rPr>
                <w:rFonts w:ascii="Calibri Light" w:hAnsi="Calibri Light" w:cs="Calibri Light"/>
                <w:color w:val="000000"/>
                <w:sz w:val="18"/>
                <w:szCs w:val="18"/>
                <w:lang w:val="es-CR"/>
              </w:rPr>
              <w:t>Establecer la regulación y supervisión que coadyuve a la estabilidad y solvencia del sistema financiero</w:t>
            </w:r>
          </w:p>
        </w:tc>
        <w:tc>
          <w:tcPr>
            <w:tcW w:w="1311" w:type="dxa"/>
            <w:shd w:val="clear" w:color="auto" w:fill="auto"/>
            <w:noWrap/>
            <w:vAlign w:val="center"/>
          </w:tcPr>
          <w:p w14:paraId="617616EB" w14:textId="77777777" w:rsidR="004F6F16" w:rsidRPr="00BB5133" w:rsidRDefault="004F6F16" w:rsidP="00E94EAF">
            <w:pPr>
              <w:spacing w:line="240" w:lineRule="auto"/>
              <w:rPr>
                <w:rFonts w:ascii="Calibri Light" w:hAnsi="Calibri Light" w:cs="Calibri Light"/>
                <w:color w:val="000000"/>
                <w:sz w:val="18"/>
                <w:szCs w:val="18"/>
                <w:lang w:val="es-CR"/>
              </w:rPr>
            </w:pPr>
            <w:r w:rsidRPr="00BB5133">
              <w:rPr>
                <w:rFonts w:ascii="Calibri Light" w:hAnsi="Calibri Light" w:cs="Calibri Light"/>
                <w:color w:val="000000"/>
                <w:sz w:val="18"/>
                <w:szCs w:val="18"/>
                <w:lang w:val="es-CR"/>
              </w:rPr>
              <w:t>Migración del SEC-BCCR</w:t>
            </w:r>
          </w:p>
        </w:tc>
        <w:tc>
          <w:tcPr>
            <w:tcW w:w="1699" w:type="dxa"/>
          </w:tcPr>
          <w:p w14:paraId="0A5A1BA7" w14:textId="77777777" w:rsidR="004F6F16" w:rsidRPr="00BB5133" w:rsidRDefault="004F6F16" w:rsidP="00BB5133">
            <w:pPr>
              <w:spacing w:line="240" w:lineRule="auto"/>
              <w:jc w:val="left"/>
              <w:rPr>
                <w:rFonts w:ascii="Calibri Light" w:hAnsi="Calibri Light" w:cs="Calibri Light"/>
                <w:sz w:val="18"/>
                <w:szCs w:val="18"/>
                <w:lang w:val="es-CR"/>
              </w:rPr>
            </w:pPr>
            <w:r w:rsidRPr="00BB5133">
              <w:rPr>
                <w:rFonts w:ascii="Calibri Light" w:hAnsi="Calibri Light" w:cs="Calibri Light"/>
                <w:sz w:val="18"/>
                <w:szCs w:val="18"/>
                <w:lang w:val="es-CR"/>
              </w:rPr>
              <w:t>Automatizar las etapas asociadas al proceso SEC y minimizar la intervención del personal de supervisión en este proceso.</w:t>
            </w:r>
          </w:p>
        </w:tc>
        <w:tc>
          <w:tcPr>
            <w:tcW w:w="709" w:type="dxa"/>
            <w:vAlign w:val="center"/>
          </w:tcPr>
          <w:p w14:paraId="3DE386D2" w14:textId="77777777" w:rsidR="004F6F16" w:rsidRPr="00BB5133" w:rsidRDefault="004F6F16" w:rsidP="00E94EAF">
            <w:pPr>
              <w:spacing w:line="240" w:lineRule="auto"/>
              <w:jc w:val="center"/>
              <w:rPr>
                <w:rFonts w:ascii="Calibri Light" w:hAnsi="Calibri Light" w:cs="Calibri Light"/>
                <w:b/>
                <w:sz w:val="18"/>
                <w:szCs w:val="18"/>
                <w:lang w:val="es-CR"/>
              </w:rPr>
            </w:pPr>
            <w:r w:rsidRPr="00BB5133">
              <w:rPr>
                <w:rFonts w:ascii="Calibri Light" w:hAnsi="Calibri Light" w:cs="Calibri Light"/>
                <w:b/>
                <w:sz w:val="18"/>
                <w:szCs w:val="18"/>
                <w:lang w:val="es-CR"/>
              </w:rPr>
              <w:t>2020</w:t>
            </w:r>
          </w:p>
        </w:tc>
        <w:tc>
          <w:tcPr>
            <w:tcW w:w="992" w:type="dxa"/>
            <w:vAlign w:val="center"/>
          </w:tcPr>
          <w:p w14:paraId="5CB8061F" w14:textId="77777777" w:rsidR="004F6F16" w:rsidRPr="00BB5133" w:rsidRDefault="004F6F16" w:rsidP="00E94EAF">
            <w:pPr>
              <w:spacing w:line="240" w:lineRule="auto"/>
              <w:jc w:val="center"/>
              <w:rPr>
                <w:rFonts w:ascii="Calibri Light" w:hAnsi="Calibri Light" w:cs="Calibri Light"/>
                <w:b/>
                <w:sz w:val="18"/>
                <w:szCs w:val="18"/>
                <w:lang w:val="es-CR"/>
              </w:rPr>
            </w:pPr>
            <w:r w:rsidRPr="00BB5133">
              <w:rPr>
                <w:rFonts w:ascii="Calibri Light" w:hAnsi="Calibri Light" w:cs="Calibri Light"/>
                <w:b/>
                <w:sz w:val="18"/>
                <w:szCs w:val="18"/>
                <w:lang w:val="es-CR"/>
              </w:rPr>
              <w:t>2020</w:t>
            </w:r>
          </w:p>
        </w:tc>
        <w:tc>
          <w:tcPr>
            <w:tcW w:w="1321" w:type="dxa"/>
            <w:vAlign w:val="center"/>
          </w:tcPr>
          <w:p w14:paraId="1ACFB951" w14:textId="77777777" w:rsidR="004F6F16" w:rsidRPr="00BB5133" w:rsidRDefault="004F6F16" w:rsidP="00BB5133">
            <w:pPr>
              <w:spacing w:line="240" w:lineRule="auto"/>
              <w:jc w:val="left"/>
              <w:rPr>
                <w:rFonts w:ascii="Calibri Light" w:hAnsi="Calibri Light" w:cs="Calibri Light"/>
                <w:b/>
                <w:sz w:val="18"/>
                <w:szCs w:val="18"/>
                <w:lang w:val="es-CR"/>
              </w:rPr>
            </w:pPr>
            <w:r w:rsidRPr="00BB5133">
              <w:rPr>
                <w:rFonts w:ascii="Calibri Light" w:hAnsi="Calibri Light" w:cs="Calibri Light"/>
                <w:b/>
                <w:sz w:val="18"/>
                <w:szCs w:val="18"/>
                <w:lang w:val="es-CR"/>
              </w:rPr>
              <w:t>Segundo semestre del 2020</w:t>
            </w:r>
          </w:p>
          <w:p w14:paraId="2E051B0A" w14:textId="77777777" w:rsidR="004F6F16" w:rsidRPr="00BB5133" w:rsidRDefault="004F6F16" w:rsidP="00BB5133">
            <w:pPr>
              <w:spacing w:line="240" w:lineRule="auto"/>
              <w:jc w:val="left"/>
              <w:rPr>
                <w:rFonts w:ascii="Calibri Light" w:hAnsi="Calibri Light" w:cs="Calibri Light"/>
                <w:bCs/>
                <w:sz w:val="18"/>
                <w:szCs w:val="18"/>
                <w:lang w:val="es-CR"/>
              </w:rPr>
            </w:pPr>
            <w:r w:rsidRPr="00BB5133">
              <w:rPr>
                <w:rFonts w:ascii="Calibri Light" w:hAnsi="Calibri Light" w:cs="Calibri Light"/>
                <w:bCs/>
                <w:sz w:val="18"/>
                <w:szCs w:val="18"/>
                <w:lang w:val="es-CR"/>
              </w:rPr>
              <w:t>Automatizar los procesos manuales que impiden que los ciclos del SEC se ejecuten sin la intervención de los supervisores</w:t>
            </w:r>
          </w:p>
        </w:tc>
        <w:tc>
          <w:tcPr>
            <w:tcW w:w="992" w:type="dxa"/>
            <w:vAlign w:val="center"/>
          </w:tcPr>
          <w:p w14:paraId="14EB1478" w14:textId="77777777" w:rsidR="004F6F16" w:rsidRPr="00653F9A" w:rsidRDefault="004F6F16" w:rsidP="00E94EAF">
            <w:pPr>
              <w:spacing w:line="240" w:lineRule="auto"/>
              <w:jc w:val="center"/>
              <w:rPr>
                <w:rFonts w:ascii="Calibri Light" w:hAnsi="Calibri Light" w:cs="Calibri Light"/>
                <w:b/>
                <w:bCs/>
                <w:sz w:val="18"/>
                <w:szCs w:val="18"/>
                <w:lang w:val="es-CR"/>
              </w:rPr>
            </w:pPr>
            <w:r w:rsidRPr="00653F9A">
              <w:rPr>
                <w:rFonts w:ascii="Calibri Light" w:hAnsi="Calibri Light" w:cs="Calibri Light"/>
                <w:b/>
                <w:bCs/>
                <w:sz w:val="18"/>
                <w:szCs w:val="18"/>
                <w:lang w:val="es-CR"/>
              </w:rPr>
              <w:t>90</w:t>
            </w:r>
          </w:p>
        </w:tc>
        <w:tc>
          <w:tcPr>
            <w:tcW w:w="1659" w:type="dxa"/>
            <w:vAlign w:val="center"/>
          </w:tcPr>
          <w:p w14:paraId="197CFE29" w14:textId="77777777" w:rsidR="004F6F16" w:rsidRPr="00BB5133" w:rsidRDefault="004F6F16" w:rsidP="00E94EAF">
            <w:pPr>
              <w:spacing w:line="240" w:lineRule="auto"/>
              <w:rPr>
                <w:rFonts w:ascii="Calibri Light" w:hAnsi="Calibri Light" w:cs="Calibri Light"/>
                <w:b/>
                <w:sz w:val="18"/>
                <w:szCs w:val="18"/>
                <w:lang w:val="es-CR"/>
              </w:rPr>
            </w:pPr>
            <w:r w:rsidRPr="00BB5133">
              <w:rPr>
                <w:rFonts w:ascii="Calibri Light" w:hAnsi="Calibri Light" w:cs="Calibri Light"/>
                <w:b/>
                <w:sz w:val="18"/>
                <w:szCs w:val="18"/>
                <w:lang w:val="es-CR"/>
              </w:rPr>
              <w:t>En Ejecución</w:t>
            </w:r>
          </w:p>
          <w:p w14:paraId="6B2F3812" w14:textId="77777777" w:rsidR="004F6F16" w:rsidRPr="00BB5133" w:rsidRDefault="004F6F16" w:rsidP="00BB5133">
            <w:pPr>
              <w:spacing w:line="240" w:lineRule="auto"/>
              <w:jc w:val="left"/>
              <w:rPr>
                <w:rFonts w:ascii="Calibri Light" w:hAnsi="Calibri Light" w:cs="Calibri Light"/>
                <w:b/>
                <w:sz w:val="18"/>
                <w:szCs w:val="18"/>
                <w:lang w:val="es-CR"/>
              </w:rPr>
            </w:pPr>
            <w:r w:rsidRPr="00BB5133">
              <w:rPr>
                <w:rFonts w:ascii="Calibri Light" w:hAnsi="Calibri Light" w:cs="Calibri Light"/>
                <w:bCs/>
                <w:sz w:val="18"/>
                <w:szCs w:val="18"/>
                <w:lang w:val="es-CR"/>
              </w:rPr>
              <w:t>Está pendiente el automatizar la conexión a los servidores del Sistema de Pagos y la actualización de los procedimientos de trabajo</w:t>
            </w:r>
          </w:p>
        </w:tc>
      </w:tr>
      <w:tr w:rsidR="004F6F16" w:rsidRPr="007658CA" w14:paraId="56CA462E" w14:textId="77777777" w:rsidTr="00BB5133">
        <w:trPr>
          <w:trHeight w:val="300"/>
          <w:jc w:val="center"/>
        </w:trPr>
        <w:tc>
          <w:tcPr>
            <w:tcW w:w="1555" w:type="dxa"/>
            <w:vAlign w:val="center"/>
          </w:tcPr>
          <w:p w14:paraId="0B78690A" w14:textId="77777777" w:rsidR="004F6F16" w:rsidRPr="00BB5133" w:rsidRDefault="004F6F16" w:rsidP="00E94EAF">
            <w:pPr>
              <w:spacing w:line="240" w:lineRule="auto"/>
              <w:rPr>
                <w:rFonts w:ascii="Calibri Light" w:hAnsi="Calibri Light" w:cs="Calibri Light"/>
                <w:b/>
                <w:bCs/>
                <w:color w:val="000000"/>
                <w:sz w:val="18"/>
                <w:szCs w:val="18"/>
                <w:lang w:val="es-CR"/>
              </w:rPr>
            </w:pPr>
            <w:r w:rsidRPr="00BB5133">
              <w:rPr>
                <w:rFonts w:ascii="Calibri Light" w:hAnsi="Calibri Light" w:cs="Calibri Light"/>
                <w:b/>
                <w:bCs/>
                <w:color w:val="000000"/>
                <w:sz w:val="18"/>
                <w:szCs w:val="18"/>
                <w:lang w:val="es-CR"/>
              </w:rPr>
              <w:t>SUPEN</w:t>
            </w:r>
          </w:p>
          <w:p w14:paraId="256260E1" w14:textId="77777777" w:rsidR="004F6F16" w:rsidRPr="00BB5133" w:rsidRDefault="004F6F16" w:rsidP="00BB5133">
            <w:pPr>
              <w:spacing w:line="240" w:lineRule="auto"/>
              <w:jc w:val="left"/>
              <w:rPr>
                <w:rFonts w:ascii="Calibri Light" w:hAnsi="Calibri Light" w:cs="Calibri Light"/>
                <w:color w:val="000000"/>
                <w:sz w:val="18"/>
                <w:szCs w:val="18"/>
                <w:lang w:val="es-CR"/>
              </w:rPr>
            </w:pPr>
            <w:r w:rsidRPr="00BB5133">
              <w:rPr>
                <w:rFonts w:ascii="Calibri Light" w:hAnsi="Calibri Light" w:cs="Calibri Light"/>
                <w:color w:val="000000"/>
                <w:sz w:val="18"/>
                <w:szCs w:val="18"/>
                <w:lang w:val="es-CR"/>
              </w:rPr>
              <w:t>Fortalecer el Sistema de Pensiones mediante un marco jurídico que promueva una mayor cobertura y protección para los afiliados y pensionados.</w:t>
            </w:r>
          </w:p>
          <w:p w14:paraId="4A2B4CB6" w14:textId="77777777" w:rsidR="004F6F16" w:rsidRPr="00BB5133" w:rsidRDefault="004F6F16" w:rsidP="00BB5133">
            <w:pPr>
              <w:spacing w:line="240" w:lineRule="auto"/>
              <w:jc w:val="left"/>
              <w:rPr>
                <w:rFonts w:ascii="Calibri Light" w:hAnsi="Calibri Light" w:cs="Calibri Light"/>
                <w:b/>
                <w:bCs/>
                <w:color w:val="000000"/>
                <w:sz w:val="18"/>
                <w:szCs w:val="18"/>
                <w:lang w:val="es-CR"/>
              </w:rPr>
            </w:pPr>
            <w:r w:rsidRPr="00BB5133">
              <w:rPr>
                <w:rFonts w:ascii="Calibri Light" w:hAnsi="Calibri Light" w:cs="Calibri Light"/>
                <w:b/>
                <w:bCs/>
                <w:color w:val="000000"/>
                <w:sz w:val="18"/>
                <w:szCs w:val="18"/>
                <w:lang w:val="es-CR"/>
              </w:rPr>
              <w:t>CONASSIF</w:t>
            </w:r>
          </w:p>
          <w:p w14:paraId="7A2ACC10" w14:textId="77777777" w:rsidR="004F6F16" w:rsidRPr="00BB5133" w:rsidRDefault="004F6F16" w:rsidP="00BB5133">
            <w:pPr>
              <w:spacing w:line="240" w:lineRule="auto"/>
              <w:jc w:val="left"/>
              <w:rPr>
                <w:rFonts w:ascii="Calibri Light" w:hAnsi="Calibri Light" w:cs="Calibri Light"/>
                <w:color w:val="000000"/>
                <w:sz w:val="18"/>
                <w:szCs w:val="18"/>
                <w:lang w:val="es-CR"/>
              </w:rPr>
            </w:pPr>
            <w:r w:rsidRPr="00BB5133">
              <w:rPr>
                <w:rFonts w:ascii="Calibri Light" w:hAnsi="Calibri Light" w:cs="Calibri Light"/>
                <w:color w:val="000000"/>
                <w:sz w:val="18"/>
                <w:szCs w:val="18"/>
                <w:lang w:val="es-CR"/>
              </w:rPr>
              <w:t>Velar por los intereses de los consumidores de servicios y productos financieros.</w:t>
            </w:r>
          </w:p>
        </w:tc>
        <w:tc>
          <w:tcPr>
            <w:tcW w:w="1311" w:type="dxa"/>
            <w:shd w:val="clear" w:color="auto" w:fill="auto"/>
            <w:noWrap/>
            <w:vAlign w:val="center"/>
          </w:tcPr>
          <w:p w14:paraId="56E37BDF" w14:textId="77777777" w:rsidR="004F6F16" w:rsidRPr="00BB5133" w:rsidRDefault="004F6F16" w:rsidP="00E94EAF">
            <w:pPr>
              <w:spacing w:line="240" w:lineRule="auto"/>
              <w:rPr>
                <w:rFonts w:ascii="Calibri Light" w:hAnsi="Calibri Light" w:cs="Calibri Light"/>
                <w:color w:val="000000"/>
                <w:sz w:val="18"/>
                <w:szCs w:val="18"/>
                <w:lang w:val="es-CR"/>
              </w:rPr>
            </w:pPr>
            <w:r w:rsidRPr="00BB5133">
              <w:rPr>
                <w:rFonts w:ascii="Calibri Light" w:hAnsi="Calibri Light" w:cs="Calibri Light"/>
                <w:color w:val="000000"/>
                <w:sz w:val="18"/>
                <w:szCs w:val="18"/>
                <w:lang w:val="es-CR"/>
              </w:rPr>
              <w:t>Afiliación en la desacumulación del ROP</w:t>
            </w:r>
          </w:p>
        </w:tc>
        <w:tc>
          <w:tcPr>
            <w:tcW w:w="1699" w:type="dxa"/>
            <w:vAlign w:val="center"/>
          </w:tcPr>
          <w:p w14:paraId="7013EFCD" w14:textId="77777777" w:rsidR="004F6F16" w:rsidRPr="00BB5133" w:rsidRDefault="004F6F16" w:rsidP="00BB5133">
            <w:pPr>
              <w:spacing w:line="240" w:lineRule="auto"/>
              <w:jc w:val="left"/>
              <w:rPr>
                <w:rFonts w:ascii="Calibri Light" w:hAnsi="Calibri Light" w:cs="Calibri Light"/>
                <w:sz w:val="18"/>
                <w:szCs w:val="18"/>
                <w:lang w:val="es-CR"/>
              </w:rPr>
            </w:pPr>
            <w:r w:rsidRPr="00BB5133">
              <w:rPr>
                <w:rFonts w:ascii="Calibri Light" w:hAnsi="Calibri Light" w:cs="Calibri Light"/>
                <w:sz w:val="18"/>
                <w:szCs w:val="18"/>
                <w:lang w:val="es-CR"/>
              </w:rPr>
              <w:t>Establecer los lineamientos para la unificación de los saldos de los afiliados en etapa de acumulación o desacumulación cuando estos estén en más de una entidad. A la fecha se han identificado los afiliados con esta condición y se está coordinando con el Sistema Centralizado de Recaudación (SICERE) una serie de mecanismos que permiten un control único de afiliación.</w:t>
            </w:r>
          </w:p>
        </w:tc>
        <w:tc>
          <w:tcPr>
            <w:tcW w:w="709" w:type="dxa"/>
            <w:vAlign w:val="center"/>
          </w:tcPr>
          <w:p w14:paraId="47E38ADA" w14:textId="77777777" w:rsidR="004F6F16" w:rsidRPr="00BB5133" w:rsidRDefault="004F6F16" w:rsidP="00E94EAF">
            <w:pPr>
              <w:spacing w:line="240" w:lineRule="auto"/>
              <w:jc w:val="center"/>
              <w:rPr>
                <w:rFonts w:ascii="Calibri Light" w:hAnsi="Calibri Light" w:cs="Calibri Light"/>
                <w:b/>
                <w:sz w:val="18"/>
                <w:szCs w:val="18"/>
                <w:lang w:val="es-CR"/>
              </w:rPr>
            </w:pPr>
            <w:r w:rsidRPr="00BB5133">
              <w:rPr>
                <w:rFonts w:ascii="Calibri Light" w:hAnsi="Calibri Light" w:cs="Calibri Light"/>
                <w:b/>
                <w:sz w:val="18"/>
                <w:szCs w:val="18"/>
                <w:lang w:val="es-CR"/>
              </w:rPr>
              <w:t>2020</w:t>
            </w:r>
          </w:p>
        </w:tc>
        <w:tc>
          <w:tcPr>
            <w:tcW w:w="992" w:type="dxa"/>
            <w:vAlign w:val="center"/>
          </w:tcPr>
          <w:p w14:paraId="7F529EF0" w14:textId="77777777" w:rsidR="004F6F16" w:rsidRPr="00BB5133" w:rsidRDefault="004F6F16" w:rsidP="00E94EAF">
            <w:pPr>
              <w:spacing w:line="240" w:lineRule="auto"/>
              <w:jc w:val="center"/>
              <w:rPr>
                <w:rFonts w:ascii="Calibri Light" w:hAnsi="Calibri Light" w:cs="Calibri Light"/>
                <w:b/>
                <w:sz w:val="18"/>
                <w:szCs w:val="18"/>
                <w:lang w:val="es-CR"/>
              </w:rPr>
            </w:pPr>
            <w:r w:rsidRPr="00BB5133">
              <w:rPr>
                <w:rFonts w:ascii="Calibri Light" w:hAnsi="Calibri Light" w:cs="Calibri Light"/>
                <w:b/>
                <w:sz w:val="18"/>
                <w:szCs w:val="18"/>
                <w:lang w:val="es-CR"/>
              </w:rPr>
              <w:t>2020</w:t>
            </w:r>
          </w:p>
        </w:tc>
        <w:tc>
          <w:tcPr>
            <w:tcW w:w="1321" w:type="dxa"/>
            <w:vAlign w:val="center"/>
          </w:tcPr>
          <w:p w14:paraId="1FA863E9" w14:textId="77777777" w:rsidR="004F6F16" w:rsidRPr="00BB5133" w:rsidRDefault="004F6F16" w:rsidP="00E94EAF">
            <w:pPr>
              <w:spacing w:line="240" w:lineRule="auto"/>
              <w:rPr>
                <w:rFonts w:ascii="Calibri Light" w:hAnsi="Calibri Light" w:cs="Calibri Light"/>
                <w:b/>
                <w:sz w:val="18"/>
                <w:szCs w:val="18"/>
                <w:lang w:val="es-CR"/>
              </w:rPr>
            </w:pPr>
            <w:r w:rsidRPr="00BB5133">
              <w:rPr>
                <w:rFonts w:ascii="Calibri Light" w:hAnsi="Calibri Light" w:cs="Calibri Light"/>
                <w:b/>
                <w:sz w:val="18"/>
                <w:szCs w:val="18"/>
                <w:lang w:val="es-CR"/>
              </w:rPr>
              <w:t>Segundo Semestre 2020</w:t>
            </w:r>
          </w:p>
          <w:p w14:paraId="1A0DABE7" w14:textId="77777777" w:rsidR="004F6F16" w:rsidRPr="00BB5133" w:rsidRDefault="004F6F16" w:rsidP="00BB5133">
            <w:pPr>
              <w:spacing w:line="240" w:lineRule="auto"/>
              <w:jc w:val="left"/>
              <w:rPr>
                <w:rFonts w:ascii="Calibri Light" w:hAnsi="Calibri Light" w:cs="Calibri Light"/>
                <w:bCs/>
                <w:sz w:val="18"/>
                <w:szCs w:val="18"/>
                <w:lang w:val="es-CR"/>
              </w:rPr>
            </w:pPr>
            <w:r w:rsidRPr="00BB5133">
              <w:rPr>
                <w:rFonts w:ascii="Calibri Light" w:hAnsi="Calibri Light" w:cs="Calibri Light"/>
                <w:bCs/>
                <w:sz w:val="18"/>
                <w:szCs w:val="18"/>
                <w:lang w:val="es-CR"/>
              </w:rPr>
              <w:t>Seguimiento a la unificación de cuentas individuales, dado su posible multiplicidad en etapa de acumulación y desacumulación</w:t>
            </w:r>
          </w:p>
        </w:tc>
        <w:tc>
          <w:tcPr>
            <w:tcW w:w="992" w:type="dxa"/>
            <w:vAlign w:val="center"/>
          </w:tcPr>
          <w:p w14:paraId="1988709F" w14:textId="77777777" w:rsidR="004F6F16" w:rsidRPr="00BB5133" w:rsidRDefault="004F6F16" w:rsidP="00E94EAF">
            <w:pPr>
              <w:spacing w:line="240" w:lineRule="auto"/>
              <w:jc w:val="center"/>
              <w:rPr>
                <w:rFonts w:ascii="Calibri Light" w:hAnsi="Calibri Light" w:cs="Calibri Light"/>
                <w:sz w:val="18"/>
                <w:szCs w:val="18"/>
                <w:lang w:val="es-CR"/>
              </w:rPr>
            </w:pPr>
          </w:p>
        </w:tc>
        <w:tc>
          <w:tcPr>
            <w:tcW w:w="1659" w:type="dxa"/>
            <w:vAlign w:val="center"/>
          </w:tcPr>
          <w:p w14:paraId="225543FA" w14:textId="77777777" w:rsidR="004F6F16" w:rsidRPr="00BB5133" w:rsidRDefault="004F6F16" w:rsidP="00E94EAF">
            <w:pPr>
              <w:spacing w:line="240" w:lineRule="auto"/>
              <w:rPr>
                <w:rFonts w:ascii="Calibri Light" w:hAnsi="Calibri Light" w:cs="Calibri Light"/>
                <w:b/>
                <w:sz w:val="18"/>
                <w:szCs w:val="18"/>
                <w:lang w:val="es-CR"/>
              </w:rPr>
            </w:pPr>
            <w:r w:rsidRPr="00BB5133">
              <w:rPr>
                <w:rFonts w:ascii="Calibri Light" w:hAnsi="Calibri Light" w:cs="Calibri Light"/>
                <w:b/>
                <w:sz w:val="18"/>
                <w:szCs w:val="18"/>
                <w:lang w:val="es-CR"/>
              </w:rPr>
              <w:t>En Ejecución</w:t>
            </w:r>
          </w:p>
          <w:p w14:paraId="3C1D9AD9" w14:textId="77777777" w:rsidR="004F6F16" w:rsidRPr="00BB5133" w:rsidRDefault="004F6F16" w:rsidP="00BB5133">
            <w:pPr>
              <w:spacing w:line="240" w:lineRule="auto"/>
              <w:jc w:val="left"/>
              <w:rPr>
                <w:rFonts w:ascii="Calibri Light" w:hAnsi="Calibri Light" w:cs="Calibri Light"/>
                <w:b/>
                <w:sz w:val="18"/>
                <w:szCs w:val="18"/>
                <w:lang w:val="es-CR"/>
              </w:rPr>
            </w:pPr>
            <w:r w:rsidRPr="00BB5133">
              <w:rPr>
                <w:rFonts w:ascii="Calibri Light" w:hAnsi="Calibri Light" w:cs="Calibri Light"/>
                <w:bCs/>
                <w:sz w:val="18"/>
                <w:szCs w:val="18"/>
                <w:lang w:val="es-CR"/>
              </w:rPr>
              <w:t>Se está trabajando en una coordinación con SICERE para el manejo de la afiliación de menores de 15 años</w:t>
            </w:r>
          </w:p>
        </w:tc>
      </w:tr>
      <w:tr w:rsidR="004F6F16" w:rsidRPr="007658CA" w14:paraId="676897A5" w14:textId="77777777" w:rsidTr="00BB5133">
        <w:trPr>
          <w:trHeight w:val="300"/>
          <w:jc w:val="center"/>
        </w:trPr>
        <w:tc>
          <w:tcPr>
            <w:tcW w:w="1555" w:type="dxa"/>
            <w:vAlign w:val="center"/>
          </w:tcPr>
          <w:p w14:paraId="28F33A43" w14:textId="77777777" w:rsidR="004F6F16" w:rsidRPr="00BB5133" w:rsidRDefault="004F6F16" w:rsidP="00E94EAF">
            <w:pPr>
              <w:spacing w:line="240" w:lineRule="auto"/>
              <w:rPr>
                <w:rFonts w:ascii="Calibri Light" w:hAnsi="Calibri Light" w:cs="Calibri Light"/>
                <w:b/>
                <w:bCs/>
                <w:color w:val="000000"/>
                <w:sz w:val="18"/>
                <w:szCs w:val="18"/>
                <w:lang w:val="es-CR"/>
              </w:rPr>
            </w:pPr>
            <w:r w:rsidRPr="00BB5133">
              <w:rPr>
                <w:rFonts w:ascii="Calibri Light" w:hAnsi="Calibri Light" w:cs="Calibri Light"/>
                <w:b/>
                <w:bCs/>
                <w:color w:val="000000"/>
                <w:sz w:val="18"/>
                <w:szCs w:val="18"/>
                <w:lang w:val="es-CR"/>
              </w:rPr>
              <w:t>SUPEN</w:t>
            </w:r>
          </w:p>
          <w:p w14:paraId="160EF73B" w14:textId="77777777" w:rsidR="004F6F16" w:rsidRPr="00BB5133" w:rsidRDefault="004F6F16" w:rsidP="00BB5133">
            <w:pPr>
              <w:spacing w:line="240" w:lineRule="auto"/>
              <w:jc w:val="left"/>
              <w:rPr>
                <w:rFonts w:ascii="Calibri Light" w:hAnsi="Calibri Light" w:cs="Calibri Light"/>
                <w:color w:val="000000"/>
                <w:sz w:val="18"/>
                <w:szCs w:val="18"/>
                <w:lang w:val="es-CR"/>
              </w:rPr>
            </w:pPr>
            <w:r w:rsidRPr="00BB5133">
              <w:rPr>
                <w:rFonts w:ascii="Calibri Light" w:hAnsi="Calibri Light" w:cs="Calibri Light"/>
                <w:color w:val="000000"/>
                <w:sz w:val="18"/>
                <w:szCs w:val="18"/>
                <w:lang w:val="es-CR"/>
              </w:rPr>
              <w:t>Fortalecer el Sistema de Pensiones mediante un marco jurídico que promueva una mayor cobertura y protección para los afiliados y pensionados.</w:t>
            </w:r>
          </w:p>
          <w:p w14:paraId="572F5292" w14:textId="77777777" w:rsidR="004F6F16" w:rsidRPr="00BB5133" w:rsidRDefault="004F6F16" w:rsidP="00BB5133">
            <w:pPr>
              <w:spacing w:line="240" w:lineRule="auto"/>
              <w:jc w:val="left"/>
              <w:rPr>
                <w:rFonts w:ascii="Calibri Light" w:hAnsi="Calibri Light" w:cs="Calibri Light"/>
                <w:b/>
                <w:bCs/>
                <w:color w:val="000000"/>
                <w:sz w:val="18"/>
                <w:szCs w:val="18"/>
                <w:lang w:val="es-CR"/>
              </w:rPr>
            </w:pPr>
            <w:r w:rsidRPr="00BB5133">
              <w:rPr>
                <w:rFonts w:ascii="Calibri Light" w:hAnsi="Calibri Light" w:cs="Calibri Light"/>
                <w:b/>
                <w:bCs/>
                <w:color w:val="000000"/>
                <w:sz w:val="18"/>
                <w:szCs w:val="18"/>
                <w:lang w:val="es-CR"/>
              </w:rPr>
              <w:t>CONASSIF</w:t>
            </w:r>
          </w:p>
          <w:p w14:paraId="4D7F9776" w14:textId="77777777" w:rsidR="004F6F16" w:rsidRPr="00BB5133" w:rsidRDefault="004F6F16" w:rsidP="00BB5133">
            <w:pPr>
              <w:spacing w:line="240" w:lineRule="auto"/>
              <w:jc w:val="left"/>
              <w:rPr>
                <w:rFonts w:ascii="Calibri Light" w:hAnsi="Calibri Light" w:cs="Calibri Light"/>
                <w:b/>
                <w:bCs/>
                <w:color w:val="000000"/>
                <w:sz w:val="18"/>
                <w:szCs w:val="18"/>
                <w:lang w:val="es-CR"/>
              </w:rPr>
            </w:pPr>
            <w:r w:rsidRPr="00BB5133">
              <w:rPr>
                <w:rFonts w:ascii="Calibri Light" w:hAnsi="Calibri Light" w:cs="Calibri Light"/>
                <w:color w:val="000000"/>
                <w:sz w:val="18"/>
                <w:szCs w:val="18"/>
                <w:lang w:val="es-CR"/>
              </w:rPr>
              <w:t>Velar por los intereses de los consumidores de servicios y productos financieros.</w:t>
            </w:r>
          </w:p>
        </w:tc>
        <w:tc>
          <w:tcPr>
            <w:tcW w:w="1311" w:type="dxa"/>
            <w:shd w:val="clear" w:color="auto" w:fill="auto"/>
            <w:noWrap/>
            <w:vAlign w:val="center"/>
          </w:tcPr>
          <w:p w14:paraId="32E25D57" w14:textId="77777777" w:rsidR="004F6F16" w:rsidRPr="00BB5133" w:rsidRDefault="004F6F16" w:rsidP="00653F9A">
            <w:pPr>
              <w:spacing w:line="240" w:lineRule="auto"/>
              <w:jc w:val="left"/>
              <w:rPr>
                <w:rFonts w:ascii="Calibri Light" w:hAnsi="Calibri Light" w:cs="Calibri Light"/>
                <w:color w:val="000000"/>
                <w:sz w:val="18"/>
                <w:szCs w:val="18"/>
                <w:lang w:val="es-CR"/>
              </w:rPr>
            </w:pPr>
            <w:r w:rsidRPr="00BB5133">
              <w:rPr>
                <w:rFonts w:ascii="Calibri Light" w:hAnsi="Calibri Light" w:cs="Calibri Light"/>
                <w:color w:val="000000"/>
                <w:sz w:val="18"/>
                <w:szCs w:val="18"/>
                <w:lang w:val="es-CR"/>
              </w:rPr>
              <w:t>Estados de Cuenta</w:t>
            </w:r>
          </w:p>
        </w:tc>
        <w:tc>
          <w:tcPr>
            <w:tcW w:w="1699" w:type="dxa"/>
            <w:vAlign w:val="center"/>
          </w:tcPr>
          <w:p w14:paraId="3123936B" w14:textId="77777777" w:rsidR="004F6F16" w:rsidRPr="00BB5133" w:rsidRDefault="004F6F16" w:rsidP="00BB5133">
            <w:pPr>
              <w:spacing w:line="240" w:lineRule="auto"/>
              <w:jc w:val="left"/>
              <w:rPr>
                <w:rFonts w:ascii="Calibri Light" w:hAnsi="Calibri Light" w:cs="Calibri Light"/>
                <w:sz w:val="18"/>
                <w:szCs w:val="18"/>
                <w:lang w:val="es-CR"/>
              </w:rPr>
            </w:pPr>
            <w:r w:rsidRPr="00BB5133">
              <w:rPr>
                <w:rFonts w:ascii="Calibri Light" w:hAnsi="Calibri Light" w:cs="Calibri Light"/>
                <w:sz w:val="18"/>
                <w:szCs w:val="18"/>
                <w:lang w:val="es-CR"/>
              </w:rPr>
              <w:t>Promover el entendimiento de los objetivos de los productos previsionales y del fondo de capitalización laboral mediante la modificación del contenido de los estados de cuenta para el Régimen de Capitalización Individual.</w:t>
            </w:r>
          </w:p>
        </w:tc>
        <w:tc>
          <w:tcPr>
            <w:tcW w:w="709" w:type="dxa"/>
            <w:vAlign w:val="center"/>
          </w:tcPr>
          <w:p w14:paraId="3CDB4E48" w14:textId="77777777" w:rsidR="004F6F16" w:rsidRPr="00BB5133" w:rsidRDefault="004F6F16" w:rsidP="00E94EAF">
            <w:pPr>
              <w:spacing w:line="240" w:lineRule="auto"/>
              <w:jc w:val="center"/>
              <w:rPr>
                <w:rFonts w:ascii="Calibri Light" w:hAnsi="Calibri Light" w:cs="Calibri Light"/>
                <w:b/>
                <w:sz w:val="18"/>
                <w:szCs w:val="18"/>
                <w:lang w:val="es-CR"/>
              </w:rPr>
            </w:pPr>
            <w:r w:rsidRPr="00BB5133">
              <w:rPr>
                <w:rFonts w:ascii="Calibri Light" w:hAnsi="Calibri Light" w:cs="Calibri Light"/>
                <w:b/>
                <w:sz w:val="18"/>
                <w:szCs w:val="18"/>
                <w:lang w:val="es-CR"/>
              </w:rPr>
              <w:t>2020</w:t>
            </w:r>
          </w:p>
        </w:tc>
        <w:tc>
          <w:tcPr>
            <w:tcW w:w="992" w:type="dxa"/>
            <w:vAlign w:val="center"/>
          </w:tcPr>
          <w:p w14:paraId="4456F4E6" w14:textId="77777777" w:rsidR="004F6F16" w:rsidRPr="00BB5133" w:rsidRDefault="004F6F16" w:rsidP="00E94EAF">
            <w:pPr>
              <w:spacing w:line="240" w:lineRule="auto"/>
              <w:jc w:val="center"/>
              <w:rPr>
                <w:rFonts w:ascii="Calibri Light" w:hAnsi="Calibri Light" w:cs="Calibri Light"/>
                <w:b/>
                <w:sz w:val="18"/>
                <w:szCs w:val="18"/>
                <w:lang w:val="es-CR"/>
              </w:rPr>
            </w:pPr>
            <w:r w:rsidRPr="00BB5133">
              <w:rPr>
                <w:rFonts w:ascii="Calibri Light" w:hAnsi="Calibri Light" w:cs="Calibri Light"/>
                <w:b/>
                <w:sz w:val="18"/>
                <w:szCs w:val="18"/>
                <w:lang w:val="es-CR"/>
              </w:rPr>
              <w:t>2020</w:t>
            </w:r>
          </w:p>
        </w:tc>
        <w:tc>
          <w:tcPr>
            <w:tcW w:w="1321" w:type="dxa"/>
            <w:vAlign w:val="center"/>
          </w:tcPr>
          <w:p w14:paraId="56FE061A" w14:textId="77777777" w:rsidR="004F6F16" w:rsidRPr="00BB5133" w:rsidRDefault="004F6F16" w:rsidP="00E94EAF">
            <w:pPr>
              <w:spacing w:line="240" w:lineRule="auto"/>
              <w:rPr>
                <w:rFonts w:ascii="Calibri Light" w:hAnsi="Calibri Light" w:cs="Calibri Light"/>
                <w:b/>
                <w:sz w:val="18"/>
                <w:szCs w:val="18"/>
                <w:lang w:val="es-CR"/>
              </w:rPr>
            </w:pPr>
            <w:r w:rsidRPr="00BB5133">
              <w:rPr>
                <w:rFonts w:ascii="Calibri Light" w:hAnsi="Calibri Light" w:cs="Calibri Light"/>
                <w:b/>
                <w:sz w:val="18"/>
                <w:szCs w:val="18"/>
                <w:lang w:val="es-CR"/>
              </w:rPr>
              <w:t>Segundo Semestre 2020</w:t>
            </w:r>
          </w:p>
          <w:p w14:paraId="6A3CF885" w14:textId="77777777" w:rsidR="004F6F16" w:rsidRPr="00BB5133" w:rsidRDefault="004F6F16" w:rsidP="00BB5133">
            <w:pPr>
              <w:spacing w:line="240" w:lineRule="auto"/>
              <w:jc w:val="left"/>
              <w:rPr>
                <w:rFonts w:ascii="Calibri Light" w:hAnsi="Calibri Light" w:cs="Calibri Light"/>
                <w:bCs/>
                <w:sz w:val="18"/>
                <w:szCs w:val="18"/>
                <w:lang w:val="es-CR"/>
              </w:rPr>
            </w:pPr>
            <w:r w:rsidRPr="00BB5133">
              <w:rPr>
                <w:rFonts w:ascii="Calibri Light" w:hAnsi="Calibri Light" w:cs="Calibri Light"/>
                <w:bCs/>
                <w:sz w:val="18"/>
                <w:szCs w:val="18"/>
                <w:lang w:val="es-CR"/>
              </w:rPr>
              <w:t>Presentación al CONASSID de la normativa para los nuevos estados de cuenta</w:t>
            </w:r>
          </w:p>
        </w:tc>
        <w:tc>
          <w:tcPr>
            <w:tcW w:w="992" w:type="dxa"/>
            <w:vAlign w:val="center"/>
          </w:tcPr>
          <w:p w14:paraId="401707CB" w14:textId="77777777" w:rsidR="004F6F16" w:rsidRPr="00653F9A" w:rsidRDefault="004F6F16" w:rsidP="00E94EAF">
            <w:pPr>
              <w:spacing w:line="240" w:lineRule="auto"/>
              <w:jc w:val="center"/>
              <w:rPr>
                <w:rFonts w:ascii="Calibri Light" w:hAnsi="Calibri Light" w:cs="Calibri Light"/>
                <w:b/>
                <w:bCs/>
                <w:sz w:val="18"/>
                <w:szCs w:val="18"/>
                <w:lang w:val="es-CR"/>
              </w:rPr>
            </w:pPr>
            <w:r w:rsidRPr="00653F9A">
              <w:rPr>
                <w:rFonts w:ascii="Calibri Light" w:hAnsi="Calibri Light" w:cs="Calibri Light"/>
                <w:b/>
                <w:bCs/>
                <w:sz w:val="18"/>
                <w:szCs w:val="18"/>
                <w:lang w:val="es-CR"/>
              </w:rPr>
              <w:t>80</w:t>
            </w:r>
          </w:p>
        </w:tc>
        <w:tc>
          <w:tcPr>
            <w:tcW w:w="1659" w:type="dxa"/>
            <w:vAlign w:val="center"/>
          </w:tcPr>
          <w:p w14:paraId="4E92CBCA" w14:textId="77777777" w:rsidR="004F6F16" w:rsidRPr="00BB5133" w:rsidRDefault="004F6F16" w:rsidP="00E94EAF">
            <w:pPr>
              <w:spacing w:line="240" w:lineRule="auto"/>
              <w:rPr>
                <w:rFonts w:ascii="Calibri Light" w:hAnsi="Calibri Light" w:cs="Calibri Light"/>
                <w:b/>
                <w:sz w:val="18"/>
                <w:szCs w:val="18"/>
                <w:lang w:val="es-CR"/>
              </w:rPr>
            </w:pPr>
            <w:r w:rsidRPr="00BB5133">
              <w:rPr>
                <w:rFonts w:ascii="Calibri Light" w:hAnsi="Calibri Light" w:cs="Calibri Light"/>
                <w:b/>
                <w:sz w:val="18"/>
                <w:szCs w:val="18"/>
                <w:lang w:val="es-CR"/>
              </w:rPr>
              <w:t>En Ejecución</w:t>
            </w:r>
          </w:p>
          <w:p w14:paraId="70A0E470" w14:textId="77777777" w:rsidR="004F6F16" w:rsidRPr="00BB5133" w:rsidRDefault="004F6F16" w:rsidP="00E94EAF">
            <w:pPr>
              <w:spacing w:line="240" w:lineRule="auto"/>
              <w:rPr>
                <w:rFonts w:ascii="Calibri Light" w:hAnsi="Calibri Light" w:cs="Calibri Light"/>
                <w:bCs/>
                <w:sz w:val="18"/>
                <w:szCs w:val="18"/>
                <w:lang w:val="es-CR"/>
              </w:rPr>
            </w:pPr>
            <w:r w:rsidRPr="00BB5133">
              <w:rPr>
                <w:rFonts w:ascii="Calibri Light" w:hAnsi="Calibri Light" w:cs="Calibri Light"/>
                <w:bCs/>
                <w:sz w:val="18"/>
                <w:szCs w:val="18"/>
                <w:lang w:val="es-CR"/>
              </w:rPr>
              <w:t>Está pendiente el criterio jurídico que acompaña la nueva regulación</w:t>
            </w:r>
          </w:p>
        </w:tc>
      </w:tr>
      <w:tr w:rsidR="004F6F16" w:rsidRPr="007658CA" w14:paraId="420BA30F" w14:textId="77777777" w:rsidTr="00BB5133">
        <w:trPr>
          <w:trHeight w:val="300"/>
          <w:jc w:val="center"/>
        </w:trPr>
        <w:tc>
          <w:tcPr>
            <w:tcW w:w="1555" w:type="dxa"/>
            <w:vAlign w:val="center"/>
          </w:tcPr>
          <w:p w14:paraId="328E71A1" w14:textId="77777777" w:rsidR="004F6F16" w:rsidRPr="00BB5133" w:rsidRDefault="004F6F16" w:rsidP="00E94EAF">
            <w:pPr>
              <w:spacing w:line="240" w:lineRule="auto"/>
              <w:rPr>
                <w:rFonts w:ascii="Calibri Light" w:hAnsi="Calibri Light" w:cs="Calibri Light"/>
                <w:b/>
                <w:bCs/>
                <w:color w:val="000000"/>
                <w:sz w:val="18"/>
                <w:szCs w:val="18"/>
                <w:lang w:val="es-CR"/>
              </w:rPr>
            </w:pPr>
            <w:r w:rsidRPr="00BB5133">
              <w:rPr>
                <w:rFonts w:ascii="Calibri Light" w:hAnsi="Calibri Light" w:cs="Calibri Light"/>
                <w:b/>
                <w:bCs/>
                <w:color w:val="000000"/>
                <w:sz w:val="18"/>
                <w:szCs w:val="18"/>
                <w:lang w:val="es-CR"/>
              </w:rPr>
              <w:t>SUPEN</w:t>
            </w:r>
          </w:p>
          <w:p w14:paraId="1DA9FB6B" w14:textId="77777777" w:rsidR="004F6F16" w:rsidRPr="00BB5133" w:rsidRDefault="004F6F16" w:rsidP="00BB5133">
            <w:pPr>
              <w:spacing w:line="240" w:lineRule="auto"/>
              <w:jc w:val="left"/>
              <w:rPr>
                <w:rFonts w:ascii="Calibri Light" w:hAnsi="Calibri Light" w:cs="Calibri Light"/>
                <w:color w:val="000000"/>
                <w:sz w:val="18"/>
                <w:szCs w:val="18"/>
                <w:lang w:val="es-CR"/>
              </w:rPr>
            </w:pPr>
            <w:r w:rsidRPr="00BB5133">
              <w:rPr>
                <w:rFonts w:ascii="Calibri Light" w:hAnsi="Calibri Light" w:cs="Calibri Light"/>
                <w:color w:val="000000"/>
                <w:sz w:val="18"/>
                <w:szCs w:val="18"/>
                <w:lang w:val="es-CR"/>
              </w:rPr>
              <w:t>Fortalecer el Sistema de Pensiones mediante un marco jurídico que promueva una mayor cobertura y protección para los afiliados y pensionados.</w:t>
            </w:r>
          </w:p>
          <w:p w14:paraId="1D1EE7C1" w14:textId="77777777" w:rsidR="004F6F16" w:rsidRPr="00BB5133" w:rsidRDefault="004F6F16" w:rsidP="00BB5133">
            <w:pPr>
              <w:spacing w:line="240" w:lineRule="auto"/>
              <w:jc w:val="left"/>
              <w:rPr>
                <w:rFonts w:ascii="Calibri Light" w:hAnsi="Calibri Light" w:cs="Calibri Light"/>
                <w:b/>
                <w:bCs/>
                <w:color w:val="000000"/>
                <w:sz w:val="18"/>
                <w:szCs w:val="18"/>
                <w:lang w:val="es-CR"/>
              </w:rPr>
            </w:pPr>
            <w:r w:rsidRPr="00BB5133">
              <w:rPr>
                <w:rFonts w:ascii="Calibri Light" w:hAnsi="Calibri Light" w:cs="Calibri Light"/>
                <w:b/>
                <w:bCs/>
                <w:color w:val="000000"/>
                <w:sz w:val="18"/>
                <w:szCs w:val="18"/>
                <w:lang w:val="es-CR"/>
              </w:rPr>
              <w:t>CONASSIF</w:t>
            </w:r>
          </w:p>
          <w:p w14:paraId="45AD8D36" w14:textId="77777777" w:rsidR="004F6F16" w:rsidRPr="00BB5133" w:rsidRDefault="004F6F16" w:rsidP="00BB5133">
            <w:pPr>
              <w:spacing w:line="240" w:lineRule="auto"/>
              <w:jc w:val="left"/>
              <w:rPr>
                <w:rFonts w:ascii="Calibri Light" w:hAnsi="Calibri Light" w:cs="Calibri Light"/>
                <w:b/>
                <w:bCs/>
                <w:color w:val="000000"/>
                <w:sz w:val="18"/>
                <w:szCs w:val="18"/>
                <w:lang w:val="es-CR"/>
              </w:rPr>
            </w:pPr>
            <w:r w:rsidRPr="00BB5133">
              <w:rPr>
                <w:rFonts w:ascii="Calibri Light" w:hAnsi="Calibri Light" w:cs="Calibri Light"/>
                <w:color w:val="000000"/>
                <w:sz w:val="18"/>
                <w:szCs w:val="18"/>
                <w:lang w:val="es-CR"/>
              </w:rPr>
              <w:t>Velar por los intereses de los consumidores de servicios y productos financieros.</w:t>
            </w:r>
          </w:p>
        </w:tc>
        <w:tc>
          <w:tcPr>
            <w:tcW w:w="1311" w:type="dxa"/>
            <w:shd w:val="clear" w:color="auto" w:fill="auto"/>
            <w:noWrap/>
            <w:vAlign w:val="center"/>
          </w:tcPr>
          <w:p w14:paraId="2E0F3001" w14:textId="77777777" w:rsidR="004F6F16" w:rsidRPr="00BB5133" w:rsidRDefault="004F6F16" w:rsidP="00E94EAF">
            <w:pPr>
              <w:spacing w:line="240" w:lineRule="auto"/>
              <w:rPr>
                <w:rFonts w:ascii="Calibri Light" w:hAnsi="Calibri Light" w:cs="Calibri Light"/>
                <w:color w:val="000000"/>
                <w:sz w:val="18"/>
                <w:szCs w:val="18"/>
                <w:lang w:val="es-CR"/>
              </w:rPr>
            </w:pPr>
            <w:r w:rsidRPr="00BB5133">
              <w:rPr>
                <w:rFonts w:ascii="Calibri Light" w:hAnsi="Calibri Light" w:cs="Calibri Light"/>
                <w:color w:val="000000"/>
                <w:sz w:val="18"/>
                <w:szCs w:val="18"/>
                <w:lang w:val="es-CR"/>
              </w:rPr>
              <w:t>Estrategia de Comunicación</w:t>
            </w:r>
          </w:p>
        </w:tc>
        <w:tc>
          <w:tcPr>
            <w:tcW w:w="1699" w:type="dxa"/>
            <w:vAlign w:val="center"/>
          </w:tcPr>
          <w:p w14:paraId="17B1529C" w14:textId="77777777" w:rsidR="004F6F16" w:rsidRPr="00BB5133" w:rsidRDefault="004F6F16" w:rsidP="00BB5133">
            <w:pPr>
              <w:spacing w:line="240" w:lineRule="auto"/>
              <w:jc w:val="left"/>
              <w:rPr>
                <w:rFonts w:ascii="Calibri Light" w:hAnsi="Calibri Light" w:cs="Calibri Light"/>
                <w:sz w:val="18"/>
                <w:szCs w:val="18"/>
                <w:lang w:val="es-CR"/>
              </w:rPr>
            </w:pPr>
            <w:r w:rsidRPr="00BB5133">
              <w:rPr>
                <w:rFonts w:ascii="Calibri Light" w:hAnsi="Calibri Light" w:cs="Calibri Light"/>
                <w:sz w:val="18"/>
                <w:szCs w:val="18"/>
                <w:lang w:val="es-CR"/>
              </w:rPr>
              <w:t>Establecer una estrategia de comunicación interna y externa que permita empoderar al público en general, con especial énfasis en el afiliado y el pensionado, dotándolo de información y herramientas para mejorar su educación previsional.</w:t>
            </w:r>
          </w:p>
        </w:tc>
        <w:tc>
          <w:tcPr>
            <w:tcW w:w="709" w:type="dxa"/>
            <w:vAlign w:val="center"/>
          </w:tcPr>
          <w:p w14:paraId="08BADFA6" w14:textId="77777777" w:rsidR="004F6F16" w:rsidRPr="00BB5133" w:rsidRDefault="004F6F16" w:rsidP="00E94EAF">
            <w:pPr>
              <w:spacing w:line="240" w:lineRule="auto"/>
              <w:jc w:val="center"/>
              <w:rPr>
                <w:rFonts w:ascii="Calibri Light" w:hAnsi="Calibri Light" w:cs="Calibri Light"/>
                <w:b/>
                <w:sz w:val="18"/>
                <w:szCs w:val="18"/>
                <w:lang w:val="es-CR"/>
              </w:rPr>
            </w:pPr>
            <w:r w:rsidRPr="00BB5133">
              <w:rPr>
                <w:rFonts w:ascii="Calibri Light" w:hAnsi="Calibri Light" w:cs="Calibri Light"/>
                <w:b/>
                <w:sz w:val="18"/>
                <w:szCs w:val="18"/>
                <w:lang w:val="es-CR"/>
              </w:rPr>
              <w:t>2020</w:t>
            </w:r>
          </w:p>
        </w:tc>
        <w:tc>
          <w:tcPr>
            <w:tcW w:w="992" w:type="dxa"/>
            <w:vAlign w:val="center"/>
          </w:tcPr>
          <w:p w14:paraId="0422A6E5" w14:textId="77777777" w:rsidR="004F6F16" w:rsidRPr="00BB5133" w:rsidRDefault="004F6F16" w:rsidP="00E94EAF">
            <w:pPr>
              <w:spacing w:line="240" w:lineRule="auto"/>
              <w:jc w:val="center"/>
              <w:rPr>
                <w:rFonts w:ascii="Calibri Light" w:hAnsi="Calibri Light" w:cs="Calibri Light"/>
                <w:b/>
                <w:sz w:val="18"/>
                <w:szCs w:val="18"/>
                <w:lang w:val="es-CR"/>
              </w:rPr>
            </w:pPr>
            <w:r w:rsidRPr="00BB5133">
              <w:rPr>
                <w:rFonts w:ascii="Calibri Light" w:hAnsi="Calibri Light" w:cs="Calibri Light"/>
                <w:b/>
                <w:sz w:val="18"/>
                <w:szCs w:val="18"/>
                <w:lang w:val="es-CR"/>
              </w:rPr>
              <w:t>2023</w:t>
            </w:r>
          </w:p>
        </w:tc>
        <w:tc>
          <w:tcPr>
            <w:tcW w:w="1321" w:type="dxa"/>
            <w:vAlign w:val="center"/>
          </w:tcPr>
          <w:p w14:paraId="40694C86" w14:textId="77777777" w:rsidR="004F6F16" w:rsidRPr="00BB5133" w:rsidRDefault="004F6F16" w:rsidP="00E94EAF">
            <w:pPr>
              <w:spacing w:line="240" w:lineRule="auto"/>
              <w:rPr>
                <w:rFonts w:ascii="Calibri Light" w:hAnsi="Calibri Light" w:cs="Calibri Light"/>
                <w:b/>
                <w:sz w:val="18"/>
                <w:szCs w:val="18"/>
                <w:lang w:val="es-CR"/>
              </w:rPr>
            </w:pPr>
            <w:r w:rsidRPr="00BB5133">
              <w:rPr>
                <w:rFonts w:ascii="Calibri Light" w:hAnsi="Calibri Light" w:cs="Calibri Light"/>
                <w:b/>
                <w:sz w:val="18"/>
                <w:szCs w:val="18"/>
                <w:lang w:val="es-CR"/>
              </w:rPr>
              <w:t>Primer Semestre del 2020</w:t>
            </w:r>
          </w:p>
          <w:p w14:paraId="22A98666" w14:textId="77777777" w:rsidR="004F6F16" w:rsidRPr="00BB5133" w:rsidRDefault="004F6F16" w:rsidP="00E94EAF">
            <w:pPr>
              <w:spacing w:line="240" w:lineRule="auto"/>
              <w:rPr>
                <w:rFonts w:ascii="Calibri Light" w:hAnsi="Calibri Light" w:cs="Calibri Light"/>
                <w:bCs/>
                <w:sz w:val="18"/>
                <w:szCs w:val="18"/>
                <w:lang w:val="es-CR"/>
              </w:rPr>
            </w:pPr>
            <w:r w:rsidRPr="00BB5133">
              <w:rPr>
                <w:rFonts w:ascii="Calibri Light" w:hAnsi="Calibri Light" w:cs="Calibri Light"/>
                <w:bCs/>
                <w:sz w:val="18"/>
                <w:szCs w:val="18"/>
                <w:lang w:val="es-CR"/>
              </w:rPr>
              <w:t>Implementar las actividades planificadas</w:t>
            </w:r>
          </w:p>
        </w:tc>
        <w:tc>
          <w:tcPr>
            <w:tcW w:w="992" w:type="dxa"/>
            <w:vAlign w:val="center"/>
          </w:tcPr>
          <w:p w14:paraId="5C95C91A" w14:textId="77777777" w:rsidR="004F6F16" w:rsidRPr="00653F9A" w:rsidRDefault="004F6F16" w:rsidP="00E94EAF">
            <w:pPr>
              <w:spacing w:line="240" w:lineRule="auto"/>
              <w:jc w:val="center"/>
              <w:rPr>
                <w:rFonts w:ascii="Calibri Light" w:hAnsi="Calibri Light" w:cs="Calibri Light"/>
                <w:b/>
                <w:bCs/>
                <w:sz w:val="18"/>
                <w:szCs w:val="18"/>
                <w:lang w:val="es-CR"/>
              </w:rPr>
            </w:pPr>
            <w:r w:rsidRPr="00653F9A">
              <w:rPr>
                <w:rFonts w:ascii="Calibri Light" w:hAnsi="Calibri Light" w:cs="Calibri Light"/>
                <w:b/>
                <w:bCs/>
                <w:sz w:val="18"/>
                <w:szCs w:val="18"/>
                <w:lang w:val="es-CR"/>
              </w:rPr>
              <w:t>100</w:t>
            </w:r>
          </w:p>
        </w:tc>
        <w:tc>
          <w:tcPr>
            <w:tcW w:w="1659" w:type="dxa"/>
            <w:vAlign w:val="center"/>
          </w:tcPr>
          <w:p w14:paraId="7950C04F" w14:textId="77777777" w:rsidR="004F6F16" w:rsidRPr="00BB5133" w:rsidRDefault="004F6F16" w:rsidP="00E94EAF">
            <w:pPr>
              <w:spacing w:line="240" w:lineRule="auto"/>
              <w:rPr>
                <w:rFonts w:ascii="Calibri Light" w:hAnsi="Calibri Light" w:cs="Calibri Light"/>
                <w:b/>
                <w:sz w:val="18"/>
                <w:szCs w:val="18"/>
                <w:lang w:val="es-CR"/>
              </w:rPr>
            </w:pPr>
            <w:r w:rsidRPr="00BB5133">
              <w:rPr>
                <w:rFonts w:ascii="Calibri Light" w:hAnsi="Calibri Light" w:cs="Calibri Light"/>
                <w:b/>
                <w:sz w:val="18"/>
                <w:szCs w:val="18"/>
                <w:lang w:val="es-CR"/>
              </w:rPr>
              <w:t>En Ejecución</w:t>
            </w:r>
          </w:p>
          <w:p w14:paraId="29EE9D0C" w14:textId="77777777" w:rsidR="004F6F16" w:rsidRPr="00BB5133" w:rsidRDefault="004F6F16" w:rsidP="00BB5133">
            <w:pPr>
              <w:spacing w:line="240" w:lineRule="auto"/>
              <w:jc w:val="left"/>
              <w:rPr>
                <w:rFonts w:ascii="Calibri Light" w:hAnsi="Calibri Light" w:cs="Calibri Light"/>
                <w:bCs/>
                <w:sz w:val="18"/>
                <w:szCs w:val="18"/>
                <w:lang w:val="es-CR"/>
              </w:rPr>
            </w:pPr>
            <w:r w:rsidRPr="00BB5133">
              <w:rPr>
                <w:rFonts w:ascii="Calibri Light" w:hAnsi="Calibri Light" w:cs="Calibri Light"/>
                <w:bCs/>
                <w:sz w:val="18"/>
                <w:szCs w:val="18"/>
                <w:lang w:val="es-CR"/>
              </w:rPr>
              <w:t>El proyecto marcha al día ejecutando las labores regulares de comunicación con los afiliados y pensionados</w:t>
            </w:r>
          </w:p>
        </w:tc>
      </w:tr>
      <w:tr w:rsidR="004F6F16" w:rsidRPr="007658CA" w14:paraId="1B00B0CE" w14:textId="77777777" w:rsidTr="00BB5133">
        <w:trPr>
          <w:trHeight w:val="300"/>
          <w:jc w:val="center"/>
        </w:trPr>
        <w:tc>
          <w:tcPr>
            <w:tcW w:w="1555" w:type="dxa"/>
            <w:vAlign w:val="center"/>
          </w:tcPr>
          <w:p w14:paraId="537B5E26" w14:textId="77777777" w:rsidR="004F6F16" w:rsidRPr="00BB5133" w:rsidRDefault="004F6F16" w:rsidP="00E94EAF">
            <w:pPr>
              <w:spacing w:line="240" w:lineRule="auto"/>
              <w:rPr>
                <w:rFonts w:ascii="Calibri Light" w:hAnsi="Calibri Light" w:cs="Calibri Light"/>
                <w:b/>
                <w:bCs/>
                <w:color w:val="000000"/>
                <w:sz w:val="18"/>
                <w:szCs w:val="18"/>
                <w:lang w:val="es-CR"/>
              </w:rPr>
            </w:pPr>
            <w:r w:rsidRPr="00BB5133">
              <w:rPr>
                <w:rFonts w:ascii="Calibri Light" w:hAnsi="Calibri Light" w:cs="Calibri Light"/>
                <w:b/>
                <w:bCs/>
                <w:color w:val="000000"/>
                <w:sz w:val="18"/>
                <w:szCs w:val="18"/>
                <w:lang w:val="es-CR"/>
              </w:rPr>
              <w:t>SUPEN</w:t>
            </w:r>
          </w:p>
          <w:p w14:paraId="3ED7C0A1" w14:textId="77777777" w:rsidR="004F6F16" w:rsidRPr="00BB5133" w:rsidRDefault="004F6F16" w:rsidP="00BB5133">
            <w:pPr>
              <w:spacing w:line="240" w:lineRule="auto"/>
              <w:jc w:val="left"/>
              <w:rPr>
                <w:rFonts w:ascii="Calibri Light" w:hAnsi="Calibri Light" w:cs="Calibri Light"/>
                <w:color w:val="000000"/>
                <w:sz w:val="18"/>
                <w:szCs w:val="18"/>
                <w:lang w:val="es-CR"/>
              </w:rPr>
            </w:pPr>
            <w:r w:rsidRPr="00BB5133">
              <w:rPr>
                <w:rFonts w:ascii="Calibri Light" w:hAnsi="Calibri Light" w:cs="Calibri Light"/>
                <w:color w:val="000000"/>
                <w:sz w:val="18"/>
                <w:szCs w:val="18"/>
                <w:lang w:val="es-CR"/>
              </w:rPr>
              <w:t>Vigilar la gestión de los participantes del SNP, mediante un modelo de supervisión basado en riesgos, para proteger los intereses de los afiliados y pensionados</w:t>
            </w:r>
          </w:p>
          <w:p w14:paraId="7605BEBF" w14:textId="77777777" w:rsidR="004F6F16" w:rsidRPr="00BB5133" w:rsidRDefault="004F6F16" w:rsidP="00BB5133">
            <w:pPr>
              <w:spacing w:line="240" w:lineRule="auto"/>
              <w:jc w:val="left"/>
              <w:rPr>
                <w:rFonts w:ascii="Calibri Light" w:hAnsi="Calibri Light" w:cs="Calibri Light"/>
                <w:b/>
                <w:bCs/>
                <w:color w:val="000000"/>
                <w:sz w:val="18"/>
                <w:szCs w:val="18"/>
                <w:lang w:val="es-CR"/>
              </w:rPr>
            </w:pPr>
            <w:r w:rsidRPr="00BB5133">
              <w:rPr>
                <w:rFonts w:ascii="Calibri Light" w:hAnsi="Calibri Light" w:cs="Calibri Light"/>
                <w:b/>
                <w:bCs/>
                <w:color w:val="000000"/>
                <w:sz w:val="18"/>
                <w:szCs w:val="18"/>
                <w:lang w:val="es-CR"/>
              </w:rPr>
              <w:t>CONASSIF</w:t>
            </w:r>
          </w:p>
          <w:p w14:paraId="5573928E" w14:textId="77777777" w:rsidR="004F6F16" w:rsidRPr="00BB5133" w:rsidRDefault="004F6F16" w:rsidP="00BB5133">
            <w:pPr>
              <w:spacing w:line="240" w:lineRule="auto"/>
              <w:jc w:val="left"/>
              <w:rPr>
                <w:rFonts w:ascii="Calibri Light" w:hAnsi="Calibri Light" w:cs="Calibri Light"/>
                <w:color w:val="000000"/>
                <w:sz w:val="18"/>
                <w:szCs w:val="18"/>
                <w:lang w:val="es-CR"/>
              </w:rPr>
            </w:pPr>
            <w:r w:rsidRPr="00BB5133">
              <w:rPr>
                <w:rFonts w:ascii="Calibri Light" w:hAnsi="Calibri Light" w:cs="Calibri Light"/>
                <w:color w:val="000000"/>
                <w:sz w:val="18"/>
                <w:szCs w:val="18"/>
                <w:lang w:val="es-CR"/>
              </w:rPr>
              <w:t>Establecer la regulación y supervisión que coadyuve a la estabilidad y solvencia del sistema financiero</w:t>
            </w:r>
          </w:p>
        </w:tc>
        <w:tc>
          <w:tcPr>
            <w:tcW w:w="1311" w:type="dxa"/>
            <w:shd w:val="clear" w:color="auto" w:fill="auto"/>
            <w:noWrap/>
            <w:vAlign w:val="center"/>
          </w:tcPr>
          <w:p w14:paraId="4DCA4473" w14:textId="77777777" w:rsidR="004F6F16" w:rsidRPr="00BB5133" w:rsidRDefault="004F6F16" w:rsidP="00E94EAF">
            <w:pPr>
              <w:spacing w:line="240" w:lineRule="auto"/>
              <w:rPr>
                <w:rFonts w:ascii="Calibri Light" w:hAnsi="Calibri Light" w:cs="Calibri Light"/>
                <w:color w:val="000000"/>
                <w:sz w:val="18"/>
                <w:szCs w:val="18"/>
                <w:lang w:val="es-CR"/>
              </w:rPr>
            </w:pPr>
            <w:r w:rsidRPr="00BB5133">
              <w:rPr>
                <w:rFonts w:ascii="Calibri Light" w:hAnsi="Calibri Light" w:cs="Calibri Light"/>
                <w:color w:val="000000"/>
                <w:sz w:val="18"/>
                <w:szCs w:val="18"/>
                <w:lang w:val="es-CR"/>
              </w:rPr>
              <w:t>Reportes para Supervisar</w:t>
            </w:r>
          </w:p>
        </w:tc>
        <w:tc>
          <w:tcPr>
            <w:tcW w:w="1699" w:type="dxa"/>
            <w:vAlign w:val="center"/>
          </w:tcPr>
          <w:p w14:paraId="63B0DB13" w14:textId="77777777" w:rsidR="004F6F16" w:rsidRPr="00BB5133" w:rsidRDefault="004F6F16" w:rsidP="00BB5133">
            <w:pPr>
              <w:spacing w:line="240" w:lineRule="auto"/>
              <w:jc w:val="left"/>
              <w:rPr>
                <w:rFonts w:ascii="Calibri Light" w:hAnsi="Calibri Light" w:cs="Calibri Light"/>
                <w:sz w:val="18"/>
                <w:szCs w:val="18"/>
                <w:lang w:val="es-CR"/>
              </w:rPr>
            </w:pPr>
            <w:r w:rsidRPr="00BB5133">
              <w:rPr>
                <w:rFonts w:ascii="Calibri Light" w:hAnsi="Calibri Light" w:cs="Calibri Light"/>
                <w:sz w:val="18"/>
                <w:szCs w:val="18"/>
                <w:lang w:val="es-CR"/>
              </w:rPr>
              <w:t>Automatizar el proceso de elaboración de reportes para que en un mismo sistema pueden crearse cuadros e indicadores para la supervisión y análisis de los fenómenos que se vayan descubriendo a partir de los datos.</w:t>
            </w:r>
          </w:p>
        </w:tc>
        <w:tc>
          <w:tcPr>
            <w:tcW w:w="709" w:type="dxa"/>
            <w:vAlign w:val="center"/>
          </w:tcPr>
          <w:p w14:paraId="12D145F1" w14:textId="77777777" w:rsidR="004F6F16" w:rsidRPr="00BB5133" w:rsidRDefault="004F6F16" w:rsidP="00E94EAF">
            <w:pPr>
              <w:spacing w:line="240" w:lineRule="auto"/>
              <w:jc w:val="center"/>
              <w:rPr>
                <w:rFonts w:ascii="Calibri Light" w:hAnsi="Calibri Light" w:cs="Calibri Light"/>
                <w:b/>
                <w:sz w:val="18"/>
                <w:szCs w:val="18"/>
                <w:lang w:val="es-CR"/>
              </w:rPr>
            </w:pPr>
            <w:r w:rsidRPr="00BB5133">
              <w:rPr>
                <w:rFonts w:ascii="Calibri Light" w:hAnsi="Calibri Light" w:cs="Calibri Light"/>
                <w:b/>
                <w:sz w:val="18"/>
                <w:szCs w:val="18"/>
                <w:lang w:val="es-CR"/>
              </w:rPr>
              <w:t>2020</w:t>
            </w:r>
          </w:p>
        </w:tc>
        <w:tc>
          <w:tcPr>
            <w:tcW w:w="992" w:type="dxa"/>
            <w:vAlign w:val="center"/>
          </w:tcPr>
          <w:p w14:paraId="0174E075" w14:textId="77777777" w:rsidR="004F6F16" w:rsidRPr="00BB5133" w:rsidRDefault="004F6F16" w:rsidP="00E94EAF">
            <w:pPr>
              <w:spacing w:line="240" w:lineRule="auto"/>
              <w:jc w:val="center"/>
              <w:rPr>
                <w:rFonts w:ascii="Calibri Light" w:hAnsi="Calibri Light" w:cs="Calibri Light"/>
                <w:b/>
                <w:sz w:val="18"/>
                <w:szCs w:val="18"/>
                <w:lang w:val="es-CR"/>
              </w:rPr>
            </w:pPr>
            <w:r w:rsidRPr="00BB5133">
              <w:rPr>
                <w:rFonts w:ascii="Calibri Light" w:hAnsi="Calibri Light" w:cs="Calibri Light"/>
                <w:b/>
                <w:sz w:val="18"/>
                <w:szCs w:val="18"/>
                <w:lang w:val="es-CR"/>
              </w:rPr>
              <w:t>2020</w:t>
            </w:r>
          </w:p>
        </w:tc>
        <w:tc>
          <w:tcPr>
            <w:tcW w:w="1321" w:type="dxa"/>
            <w:vAlign w:val="center"/>
          </w:tcPr>
          <w:p w14:paraId="7BD39AED" w14:textId="77777777" w:rsidR="004F6F16" w:rsidRPr="00BB5133" w:rsidRDefault="004F6F16" w:rsidP="00BB5133">
            <w:pPr>
              <w:spacing w:line="240" w:lineRule="auto"/>
              <w:jc w:val="left"/>
              <w:rPr>
                <w:rFonts w:ascii="Calibri Light" w:hAnsi="Calibri Light" w:cs="Calibri Light"/>
                <w:b/>
                <w:sz w:val="18"/>
                <w:szCs w:val="18"/>
                <w:lang w:val="es-CR"/>
              </w:rPr>
            </w:pPr>
            <w:r w:rsidRPr="00BB5133">
              <w:rPr>
                <w:rFonts w:ascii="Calibri Light" w:hAnsi="Calibri Light" w:cs="Calibri Light"/>
                <w:b/>
                <w:sz w:val="18"/>
                <w:szCs w:val="18"/>
                <w:lang w:val="es-CR"/>
              </w:rPr>
              <w:t>Segundo Semestre de 2020</w:t>
            </w:r>
          </w:p>
          <w:p w14:paraId="7FEB7FAA" w14:textId="77777777" w:rsidR="004F6F16" w:rsidRPr="00BB5133" w:rsidRDefault="004F6F16" w:rsidP="00BB5133">
            <w:pPr>
              <w:spacing w:line="240" w:lineRule="auto"/>
              <w:jc w:val="left"/>
              <w:rPr>
                <w:rFonts w:ascii="Calibri Light" w:hAnsi="Calibri Light" w:cs="Calibri Light"/>
                <w:bCs/>
                <w:sz w:val="18"/>
                <w:szCs w:val="18"/>
                <w:lang w:val="es-CR"/>
              </w:rPr>
            </w:pPr>
            <w:r w:rsidRPr="00BB5133">
              <w:rPr>
                <w:rFonts w:ascii="Calibri Light" w:hAnsi="Calibri Light" w:cs="Calibri Light"/>
                <w:bCs/>
                <w:sz w:val="18"/>
                <w:szCs w:val="18"/>
                <w:lang w:val="es-CR"/>
              </w:rPr>
              <w:t>Confección de Reportes y Capacitación para su generación</w:t>
            </w:r>
          </w:p>
        </w:tc>
        <w:tc>
          <w:tcPr>
            <w:tcW w:w="992" w:type="dxa"/>
            <w:vAlign w:val="center"/>
          </w:tcPr>
          <w:p w14:paraId="088D9505" w14:textId="77777777" w:rsidR="004F6F16" w:rsidRPr="00653F9A" w:rsidRDefault="004F6F16" w:rsidP="00E94EAF">
            <w:pPr>
              <w:spacing w:line="240" w:lineRule="auto"/>
              <w:jc w:val="center"/>
              <w:rPr>
                <w:rFonts w:ascii="Calibri Light" w:hAnsi="Calibri Light" w:cs="Calibri Light"/>
                <w:b/>
                <w:bCs/>
                <w:sz w:val="18"/>
                <w:szCs w:val="18"/>
                <w:lang w:val="es-CR"/>
              </w:rPr>
            </w:pPr>
            <w:r w:rsidRPr="00653F9A">
              <w:rPr>
                <w:rFonts w:ascii="Calibri Light" w:hAnsi="Calibri Light" w:cs="Calibri Light"/>
                <w:b/>
                <w:bCs/>
                <w:sz w:val="18"/>
                <w:szCs w:val="18"/>
                <w:lang w:val="es-CR"/>
              </w:rPr>
              <w:t>80</w:t>
            </w:r>
          </w:p>
        </w:tc>
        <w:tc>
          <w:tcPr>
            <w:tcW w:w="1659" w:type="dxa"/>
            <w:vAlign w:val="center"/>
          </w:tcPr>
          <w:p w14:paraId="3A9AA8D3" w14:textId="77777777" w:rsidR="004F6F16" w:rsidRPr="00BB5133" w:rsidRDefault="004F6F16" w:rsidP="00E94EAF">
            <w:pPr>
              <w:spacing w:line="240" w:lineRule="auto"/>
              <w:rPr>
                <w:rFonts w:ascii="Calibri Light" w:hAnsi="Calibri Light" w:cs="Calibri Light"/>
                <w:b/>
                <w:sz w:val="18"/>
                <w:szCs w:val="18"/>
                <w:lang w:val="es-CR"/>
              </w:rPr>
            </w:pPr>
            <w:r w:rsidRPr="00BB5133">
              <w:rPr>
                <w:rFonts w:ascii="Calibri Light" w:hAnsi="Calibri Light" w:cs="Calibri Light"/>
                <w:b/>
                <w:sz w:val="18"/>
                <w:szCs w:val="18"/>
                <w:lang w:val="es-CR"/>
              </w:rPr>
              <w:t>En Ejecución</w:t>
            </w:r>
          </w:p>
          <w:p w14:paraId="5A4B6F7B" w14:textId="77777777" w:rsidR="004F6F16" w:rsidRPr="00BB5133" w:rsidRDefault="004F6F16" w:rsidP="00BB5133">
            <w:pPr>
              <w:spacing w:line="240" w:lineRule="auto"/>
              <w:jc w:val="left"/>
              <w:rPr>
                <w:rFonts w:ascii="Calibri Light" w:hAnsi="Calibri Light" w:cs="Calibri Light"/>
                <w:bCs/>
                <w:sz w:val="18"/>
                <w:szCs w:val="18"/>
                <w:lang w:val="es-CR"/>
              </w:rPr>
            </w:pPr>
            <w:r w:rsidRPr="00BB5133">
              <w:rPr>
                <w:rFonts w:ascii="Calibri Light" w:hAnsi="Calibri Light" w:cs="Calibri Light"/>
                <w:bCs/>
                <w:sz w:val="18"/>
                <w:szCs w:val="18"/>
                <w:lang w:val="es-CR"/>
              </w:rPr>
              <w:t>Pendiente la liberación y puesta en funcionamiento de los reportes elaborados</w:t>
            </w:r>
          </w:p>
        </w:tc>
      </w:tr>
    </w:tbl>
    <w:p w14:paraId="6D38B183" w14:textId="77777777" w:rsidR="00B242D1" w:rsidRPr="0023319B" w:rsidRDefault="00B242D1" w:rsidP="00653F9A">
      <w:pPr>
        <w:spacing w:line="240" w:lineRule="auto"/>
        <w:rPr>
          <w:rFonts w:ascii="Calibri Light" w:hAnsi="Calibri Light" w:cs="Calibri Light"/>
          <w:sz w:val="18"/>
          <w:lang w:val="es-CR"/>
        </w:rPr>
      </w:pPr>
      <w:r w:rsidRPr="0023319B">
        <w:rPr>
          <w:rFonts w:ascii="Calibri Light" w:hAnsi="Calibri Light" w:cs="Calibri Light"/>
          <w:sz w:val="18"/>
          <w:lang w:val="es-CR"/>
        </w:rPr>
        <w:t>Fuente: Investigación y Desarrollo</w:t>
      </w:r>
    </w:p>
    <w:p w14:paraId="32FEF324" w14:textId="77777777" w:rsidR="00B242D1" w:rsidRPr="0023319B" w:rsidRDefault="00B242D1" w:rsidP="00653F9A">
      <w:pPr>
        <w:pStyle w:val="Prrafodelista"/>
        <w:numPr>
          <w:ilvl w:val="0"/>
          <w:numId w:val="29"/>
        </w:numPr>
        <w:spacing w:line="240" w:lineRule="auto"/>
        <w:ind w:left="0"/>
        <w:rPr>
          <w:rFonts w:ascii="Calibri Light" w:hAnsi="Calibri Light" w:cs="Calibri Light"/>
          <w:sz w:val="18"/>
          <w:lang w:val="es-CR"/>
        </w:rPr>
      </w:pPr>
      <w:r w:rsidRPr="0023319B">
        <w:rPr>
          <w:rFonts w:ascii="Calibri Light" w:hAnsi="Calibri Light" w:cs="Calibri Light"/>
          <w:sz w:val="18"/>
          <w:lang w:val="es-CR"/>
        </w:rPr>
        <w:t xml:space="preserve">Según requerimiento del CONASSIF el porcentaje de avance se mide como el porcentaje a la fecha de las actividades realizadas en entre las planificadas. </w:t>
      </w:r>
    </w:p>
    <w:bookmarkEnd w:id="110"/>
    <w:p w14:paraId="35647818" w14:textId="77777777" w:rsidR="00946254" w:rsidRPr="0023319B" w:rsidRDefault="00946254" w:rsidP="00B242D1">
      <w:pPr>
        <w:rPr>
          <w:rFonts w:asciiTheme="minorHAnsi" w:hAnsiTheme="minorHAnsi" w:cstheme="minorHAnsi"/>
          <w:lang w:val="es-CR"/>
        </w:rPr>
      </w:pPr>
    </w:p>
    <w:p w14:paraId="6FAC5C88" w14:textId="5F7FE0DE" w:rsidR="006F015F" w:rsidRPr="0023319B" w:rsidRDefault="006F015F" w:rsidP="006F015F">
      <w:pPr>
        <w:spacing w:before="240" w:after="240"/>
        <w:rPr>
          <w:rFonts w:ascii="Cambria" w:hAnsi="Cambria" w:cs="Arial"/>
          <w:sz w:val="24"/>
          <w:szCs w:val="24"/>
          <w:lang w:val="es-CR"/>
        </w:rPr>
      </w:pPr>
    </w:p>
    <w:p w14:paraId="4266B0D6" w14:textId="77777777" w:rsidR="006F015F" w:rsidRPr="0023319B" w:rsidRDefault="006F015F" w:rsidP="00A96873">
      <w:pPr>
        <w:pStyle w:val="Ttulo2"/>
        <w:numPr>
          <w:ilvl w:val="0"/>
          <w:numId w:val="33"/>
        </w:numPr>
      </w:pPr>
      <w:bookmarkStart w:id="111" w:name="_Toc55203358"/>
      <w:bookmarkStart w:id="112" w:name="_Toc61081402"/>
      <w:r w:rsidRPr="0023319B">
        <w:t>Medidas correctivas y acciones para mejora continua.</w:t>
      </w:r>
      <w:bookmarkEnd w:id="111"/>
      <w:r w:rsidRPr="0023319B">
        <w:t xml:space="preserve"> </w:t>
      </w:r>
      <w:r w:rsidRPr="0023319B">
        <w:rPr>
          <w:sz w:val="20"/>
          <w:szCs w:val="18"/>
        </w:rPr>
        <w:t>(4.5.6.b.v)</w:t>
      </w:r>
      <w:bookmarkEnd w:id="112"/>
    </w:p>
    <w:p w14:paraId="7261ECC6" w14:textId="5984246D" w:rsidR="00FE16C3" w:rsidRPr="0023319B" w:rsidRDefault="00FE16C3" w:rsidP="00D43FDE">
      <w:pPr>
        <w:pStyle w:val="Textoindependiente"/>
        <w:numPr>
          <w:ilvl w:val="0"/>
          <w:numId w:val="0"/>
        </w:numPr>
        <w:spacing w:line="360" w:lineRule="auto"/>
        <w:rPr>
          <w:rFonts w:ascii="Cambria" w:hAnsi="Cambria" w:cs="Arial"/>
          <w:szCs w:val="24"/>
          <w:lang w:val="es-CR"/>
        </w:rPr>
      </w:pPr>
    </w:p>
    <w:p w14:paraId="3D76465C" w14:textId="74B55BCA" w:rsidR="004C47A2" w:rsidRPr="0023319B" w:rsidRDefault="004C47A2" w:rsidP="00855E51">
      <w:pPr>
        <w:pStyle w:val="Textoindependiente"/>
        <w:numPr>
          <w:ilvl w:val="0"/>
          <w:numId w:val="30"/>
        </w:numPr>
        <w:spacing w:line="360" w:lineRule="auto"/>
        <w:rPr>
          <w:rFonts w:asciiTheme="minorHAnsi" w:hAnsiTheme="minorHAnsi" w:cstheme="minorHAnsi"/>
          <w:szCs w:val="24"/>
          <w:lang w:val="es-CR"/>
        </w:rPr>
      </w:pPr>
      <w:r w:rsidRPr="0023319B">
        <w:rPr>
          <w:rFonts w:asciiTheme="minorHAnsi" w:hAnsiTheme="minorHAnsi" w:cstheme="minorHAnsi"/>
          <w:szCs w:val="24"/>
          <w:lang w:val="es-CR"/>
        </w:rPr>
        <w:t xml:space="preserve">Sistema de gestión de calidad </w:t>
      </w:r>
    </w:p>
    <w:p w14:paraId="12296ECC" w14:textId="77777777" w:rsidR="004C47A2" w:rsidRPr="0023319B" w:rsidRDefault="004C47A2" w:rsidP="00D43FDE">
      <w:pPr>
        <w:pStyle w:val="Textoindependiente"/>
        <w:numPr>
          <w:ilvl w:val="0"/>
          <w:numId w:val="0"/>
        </w:numPr>
        <w:spacing w:line="360" w:lineRule="auto"/>
        <w:rPr>
          <w:rFonts w:asciiTheme="minorHAnsi" w:hAnsiTheme="minorHAnsi" w:cstheme="minorHAnsi"/>
          <w:szCs w:val="24"/>
          <w:lang w:val="es-CR"/>
        </w:rPr>
      </w:pPr>
    </w:p>
    <w:p w14:paraId="6DF3C15F" w14:textId="18B6518E" w:rsidR="00C34FE8" w:rsidRPr="0023319B" w:rsidRDefault="00D43FDE" w:rsidP="00C34FE8">
      <w:pPr>
        <w:pStyle w:val="Textoindependiente"/>
        <w:numPr>
          <w:ilvl w:val="0"/>
          <w:numId w:val="0"/>
        </w:numPr>
        <w:spacing w:line="360" w:lineRule="auto"/>
        <w:rPr>
          <w:rFonts w:asciiTheme="minorHAnsi" w:hAnsiTheme="minorHAnsi" w:cstheme="minorHAnsi"/>
          <w:szCs w:val="24"/>
          <w:lang w:val="es-CR"/>
        </w:rPr>
      </w:pPr>
      <w:r w:rsidRPr="0023319B">
        <w:rPr>
          <w:rFonts w:asciiTheme="minorHAnsi" w:hAnsiTheme="minorHAnsi" w:cstheme="minorHAnsi"/>
          <w:szCs w:val="24"/>
          <w:lang w:val="es-CR"/>
        </w:rPr>
        <w:t>La SUPEN cuenta desde el 2008 con un sistema de gestión de la calidad y actualmente está certificada bajo la Norma ISO 9001:2015. Como parte de ese sistema, se realizan auditorías internas de calidad en procura de ir mejorando los procesos, de igual forma</w:t>
      </w:r>
      <w:r w:rsidR="00AA6B6B" w:rsidRPr="0023319B">
        <w:rPr>
          <w:rFonts w:asciiTheme="minorHAnsi" w:hAnsiTheme="minorHAnsi" w:cstheme="minorHAnsi"/>
          <w:szCs w:val="24"/>
          <w:lang w:val="es-CR"/>
        </w:rPr>
        <w:t>,</w:t>
      </w:r>
      <w:r w:rsidRPr="0023319B">
        <w:rPr>
          <w:rFonts w:asciiTheme="minorHAnsi" w:hAnsiTheme="minorHAnsi" w:cstheme="minorHAnsi"/>
          <w:szCs w:val="24"/>
          <w:lang w:val="es-CR"/>
        </w:rPr>
        <w:t xml:space="preserve"> INTECO cada año hace una revisión del sistema de calidad, para verificar el cumplimiento de la Norma. </w:t>
      </w:r>
    </w:p>
    <w:p w14:paraId="484A6DDA" w14:textId="77777777" w:rsidR="00C34FE8" w:rsidRPr="0023319B" w:rsidRDefault="00C34FE8" w:rsidP="00C34FE8">
      <w:pPr>
        <w:pStyle w:val="Textoindependiente"/>
        <w:numPr>
          <w:ilvl w:val="0"/>
          <w:numId w:val="0"/>
        </w:numPr>
        <w:spacing w:line="360" w:lineRule="auto"/>
        <w:rPr>
          <w:rFonts w:asciiTheme="minorHAnsi" w:hAnsiTheme="minorHAnsi" w:cstheme="minorHAnsi"/>
          <w:szCs w:val="24"/>
          <w:lang w:val="es-CR"/>
        </w:rPr>
      </w:pPr>
    </w:p>
    <w:p w14:paraId="12F76F30" w14:textId="21EF0686" w:rsidR="00C34FE8" w:rsidRPr="0023319B" w:rsidRDefault="00C34FE8" w:rsidP="00C34FE8">
      <w:pPr>
        <w:pStyle w:val="Textoindependiente"/>
        <w:numPr>
          <w:ilvl w:val="0"/>
          <w:numId w:val="0"/>
        </w:numPr>
        <w:spacing w:line="360" w:lineRule="auto"/>
        <w:rPr>
          <w:rFonts w:asciiTheme="minorHAnsi" w:hAnsiTheme="minorHAnsi" w:cstheme="minorHAnsi"/>
          <w:szCs w:val="24"/>
          <w:lang w:val="es-CR"/>
        </w:rPr>
      </w:pPr>
      <w:r w:rsidRPr="0023319B">
        <w:rPr>
          <w:rFonts w:asciiTheme="minorHAnsi" w:hAnsiTheme="minorHAnsi" w:cstheme="minorHAnsi"/>
          <w:szCs w:val="24"/>
          <w:lang w:val="es-CR"/>
        </w:rPr>
        <w:t>En línea con lo anterior, seguidamente se presenta un extracto de los resultados del sistema de gestión de calidad.</w:t>
      </w:r>
      <w:bookmarkStart w:id="113" w:name="_Hlk60844097"/>
      <w:r w:rsidRPr="0023319B">
        <w:rPr>
          <w:rFonts w:asciiTheme="minorHAnsi" w:hAnsiTheme="minorHAnsi" w:cstheme="minorHAnsi"/>
          <w:szCs w:val="24"/>
          <w:lang w:val="es-CR"/>
        </w:rPr>
        <w:t xml:space="preserve"> Cabe indicar que a la fecha de este informe no </w:t>
      </w:r>
      <w:r w:rsidR="009E143D" w:rsidRPr="0023319B">
        <w:rPr>
          <w:rFonts w:asciiTheme="minorHAnsi" w:hAnsiTheme="minorHAnsi" w:cstheme="minorHAnsi"/>
          <w:szCs w:val="24"/>
          <w:lang w:val="es-CR"/>
        </w:rPr>
        <w:t xml:space="preserve">existen acciones </w:t>
      </w:r>
      <w:r w:rsidR="000B48D0" w:rsidRPr="0023319B">
        <w:rPr>
          <w:rFonts w:asciiTheme="minorHAnsi" w:hAnsiTheme="minorHAnsi" w:cstheme="minorHAnsi"/>
          <w:szCs w:val="24"/>
          <w:lang w:val="es-CR"/>
        </w:rPr>
        <w:t xml:space="preserve">correctivas pendientes de atención, en diciembre </w:t>
      </w:r>
      <w:r w:rsidRPr="0023319B">
        <w:rPr>
          <w:rFonts w:asciiTheme="minorHAnsi" w:hAnsiTheme="minorHAnsi" w:cstheme="minorHAnsi"/>
          <w:lang w:val="es-CR"/>
        </w:rPr>
        <w:t xml:space="preserve">se da por atendido el último formulario </w:t>
      </w:r>
      <w:r w:rsidR="00E334E6">
        <w:rPr>
          <w:rFonts w:asciiTheme="minorHAnsi" w:hAnsiTheme="minorHAnsi" w:cstheme="minorHAnsi"/>
          <w:lang w:val="es-CR"/>
        </w:rPr>
        <w:t>que se detalla a continuación</w:t>
      </w:r>
      <w:r w:rsidRPr="0023319B">
        <w:rPr>
          <w:rFonts w:asciiTheme="minorHAnsi" w:hAnsiTheme="minorHAnsi" w:cstheme="minorHAnsi"/>
          <w:lang w:val="es-CR"/>
        </w:rPr>
        <w:t>.</w:t>
      </w:r>
    </w:p>
    <w:tbl>
      <w:tblPr>
        <w:tblStyle w:val="Tablaconcuadrcula"/>
        <w:tblW w:w="0" w:type="auto"/>
        <w:tblLook w:val="04A0" w:firstRow="1" w:lastRow="0" w:firstColumn="1" w:lastColumn="0" w:noHBand="0" w:noVBand="1"/>
      </w:tblPr>
      <w:tblGrid>
        <w:gridCol w:w="3397"/>
        <w:gridCol w:w="5433"/>
      </w:tblGrid>
      <w:tr w:rsidR="00D43FDE" w:rsidRPr="0023319B" w14:paraId="7B50E47D" w14:textId="77777777" w:rsidTr="00E334E6">
        <w:trPr>
          <w:trHeight w:val="316"/>
        </w:trPr>
        <w:tc>
          <w:tcPr>
            <w:tcW w:w="3397" w:type="dxa"/>
            <w:shd w:val="clear" w:color="auto" w:fill="B8CCE4" w:themeFill="accent1" w:themeFillTint="66"/>
            <w:vAlign w:val="center"/>
          </w:tcPr>
          <w:bookmarkEnd w:id="113"/>
          <w:p w14:paraId="7D098B1F" w14:textId="77777777" w:rsidR="00D43FDE" w:rsidRPr="0023319B" w:rsidRDefault="00D43FDE" w:rsidP="002E6B58">
            <w:pPr>
              <w:spacing w:line="240" w:lineRule="auto"/>
              <w:rPr>
                <w:rFonts w:ascii="Calibri Light" w:hAnsi="Calibri Light" w:cs="Calibri Light"/>
                <w:b/>
                <w:bCs/>
                <w:szCs w:val="18"/>
                <w:lang w:val="es-CR"/>
              </w:rPr>
            </w:pPr>
            <w:r w:rsidRPr="0023319B">
              <w:rPr>
                <w:rFonts w:ascii="Calibri Light" w:hAnsi="Calibri Light" w:cs="Calibri Light"/>
                <w:b/>
                <w:bCs/>
                <w:szCs w:val="18"/>
                <w:lang w:val="es-CR"/>
              </w:rPr>
              <w:t xml:space="preserve">Acción </w:t>
            </w:r>
          </w:p>
        </w:tc>
        <w:tc>
          <w:tcPr>
            <w:tcW w:w="5433" w:type="dxa"/>
            <w:shd w:val="clear" w:color="auto" w:fill="B8CCE4" w:themeFill="accent1" w:themeFillTint="66"/>
            <w:vAlign w:val="center"/>
          </w:tcPr>
          <w:p w14:paraId="722B1EFE" w14:textId="77777777" w:rsidR="00D43FDE" w:rsidRPr="0023319B" w:rsidRDefault="00D43FDE" w:rsidP="002E6B58">
            <w:pPr>
              <w:spacing w:line="240" w:lineRule="auto"/>
              <w:jc w:val="left"/>
              <w:rPr>
                <w:rFonts w:ascii="Calibri Light" w:hAnsi="Calibri Light" w:cs="Calibri Light"/>
                <w:b/>
                <w:bCs/>
                <w:szCs w:val="18"/>
                <w:lang w:val="es-CR"/>
              </w:rPr>
            </w:pPr>
            <w:r w:rsidRPr="0023319B">
              <w:rPr>
                <w:rFonts w:ascii="Calibri Light" w:hAnsi="Calibri Light" w:cs="Calibri Light"/>
                <w:b/>
                <w:bCs/>
                <w:szCs w:val="18"/>
                <w:lang w:val="es-CR"/>
              </w:rPr>
              <w:t>Detalle</w:t>
            </w:r>
          </w:p>
        </w:tc>
      </w:tr>
      <w:tr w:rsidR="00D43FDE" w:rsidRPr="007658CA" w14:paraId="349D7515" w14:textId="77777777" w:rsidTr="002E6B58">
        <w:tc>
          <w:tcPr>
            <w:tcW w:w="3397" w:type="dxa"/>
          </w:tcPr>
          <w:p w14:paraId="695A971A" w14:textId="77777777" w:rsidR="00D43FDE" w:rsidRPr="00A65336" w:rsidRDefault="00D43FDE" w:rsidP="00D43FDE">
            <w:pPr>
              <w:pStyle w:val="Prrafodelista"/>
              <w:numPr>
                <w:ilvl w:val="0"/>
                <w:numId w:val="26"/>
              </w:numPr>
              <w:spacing w:line="240" w:lineRule="auto"/>
              <w:ind w:left="449" w:hanging="425"/>
              <w:rPr>
                <w:rFonts w:ascii="Calibri Light" w:hAnsi="Calibri Light" w:cs="Calibri Light"/>
                <w:szCs w:val="18"/>
                <w:lang w:val="es-CR"/>
              </w:rPr>
            </w:pPr>
            <w:r w:rsidRPr="00A65336">
              <w:rPr>
                <w:rFonts w:ascii="Calibri Light" w:hAnsi="Calibri Light" w:cs="Calibri Light"/>
                <w:szCs w:val="18"/>
                <w:lang w:val="es-CR"/>
              </w:rPr>
              <w:t>Acción correctiva 2018-006 Acuerdos Revisión por la Dirección</w:t>
            </w:r>
          </w:p>
        </w:tc>
        <w:tc>
          <w:tcPr>
            <w:tcW w:w="5433" w:type="dxa"/>
          </w:tcPr>
          <w:p w14:paraId="709C2FFE" w14:textId="77777777" w:rsidR="005F7A2C" w:rsidRPr="00A65336" w:rsidRDefault="00D43FDE" w:rsidP="002E6B58">
            <w:pPr>
              <w:spacing w:line="240" w:lineRule="auto"/>
              <w:rPr>
                <w:rFonts w:ascii="Calibri Light" w:hAnsi="Calibri Light" w:cs="Calibri Light"/>
                <w:szCs w:val="18"/>
                <w:lang w:val="es-CR"/>
              </w:rPr>
            </w:pPr>
            <w:r w:rsidRPr="00A65336">
              <w:rPr>
                <w:rFonts w:ascii="Calibri Light" w:hAnsi="Calibri Light" w:cs="Calibri Light"/>
                <w:szCs w:val="18"/>
                <w:lang w:val="es-CR"/>
              </w:rPr>
              <w:t>El Reglamento de Aprobaciones y Autorizaciones se encuentra listo</w:t>
            </w:r>
            <w:r w:rsidR="005F7A2C" w:rsidRPr="00A65336">
              <w:rPr>
                <w:rFonts w:ascii="Calibri Light" w:hAnsi="Calibri Light" w:cs="Calibri Light"/>
                <w:szCs w:val="18"/>
                <w:lang w:val="es-CR"/>
              </w:rPr>
              <w:t>.</w:t>
            </w:r>
          </w:p>
          <w:p w14:paraId="5363BED9" w14:textId="3ED23E99" w:rsidR="00D43FDE" w:rsidRPr="00A65336" w:rsidRDefault="005F7A2C" w:rsidP="002E6B58">
            <w:pPr>
              <w:spacing w:line="240" w:lineRule="auto"/>
              <w:rPr>
                <w:rFonts w:ascii="Calibri Light" w:hAnsi="Calibri Light" w:cs="Calibri Light"/>
                <w:szCs w:val="18"/>
                <w:lang w:val="es-CR"/>
              </w:rPr>
            </w:pPr>
            <w:r w:rsidRPr="00A65336">
              <w:rPr>
                <w:rFonts w:ascii="Calibri Light" w:hAnsi="Calibri Light" w:cs="Calibri Light"/>
                <w:szCs w:val="18"/>
                <w:lang w:val="es-CR"/>
              </w:rPr>
              <w:t>Se da por atendida la recomendación, ya que el pasado 16 de diciembre, se realiza la publicación del Reglamento de Autorizaciones Aprobaciones en el alcance No.329 de La Gaceta 294, Reglamento que comenzará a regir seis meses después de su publicación.</w:t>
            </w:r>
          </w:p>
        </w:tc>
      </w:tr>
    </w:tbl>
    <w:p w14:paraId="17A16FD6" w14:textId="77777777" w:rsidR="00D43FDE" w:rsidRPr="0023319B" w:rsidRDefault="00D43FDE" w:rsidP="00D43FDE">
      <w:pPr>
        <w:spacing w:line="360" w:lineRule="auto"/>
        <w:rPr>
          <w:rFonts w:asciiTheme="minorHAnsi" w:hAnsiTheme="minorHAnsi" w:cstheme="minorHAnsi"/>
          <w:sz w:val="24"/>
          <w:lang w:val="es-CR"/>
        </w:rPr>
      </w:pPr>
    </w:p>
    <w:p w14:paraId="274C29FA" w14:textId="55E13DE0" w:rsidR="00D43FDE" w:rsidRPr="00E16998" w:rsidRDefault="004C47A2" w:rsidP="00E16998">
      <w:pPr>
        <w:pStyle w:val="Prrafodelista"/>
        <w:numPr>
          <w:ilvl w:val="0"/>
          <w:numId w:val="30"/>
        </w:numPr>
        <w:spacing w:line="360" w:lineRule="auto"/>
        <w:rPr>
          <w:rFonts w:asciiTheme="minorHAnsi" w:hAnsiTheme="minorHAnsi" w:cstheme="minorHAnsi"/>
          <w:bCs/>
          <w:sz w:val="24"/>
          <w:lang w:val="es-CR"/>
        </w:rPr>
      </w:pPr>
      <w:r w:rsidRPr="00E16998">
        <w:rPr>
          <w:rFonts w:asciiTheme="minorHAnsi" w:hAnsiTheme="minorHAnsi" w:cstheme="minorHAnsi"/>
          <w:bCs/>
          <w:sz w:val="24"/>
          <w:lang w:val="es-CR"/>
        </w:rPr>
        <w:t>R</w:t>
      </w:r>
      <w:r w:rsidR="00D43FDE" w:rsidRPr="00E16998">
        <w:rPr>
          <w:rFonts w:asciiTheme="minorHAnsi" w:hAnsiTheme="minorHAnsi" w:cstheme="minorHAnsi"/>
          <w:bCs/>
          <w:sz w:val="24"/>
          <w:lang w:val="es-CR"/>
        </w:rPr>
        <w:t xml:space="preserve">ecomendaciones de la Auditoría Interna </w:t>
      </w:r>
    </w:p>
    <w:p w14:paraId="66A73F18" w14:textId="77777777" w:rsidR="0035062C" w:rsidRDefault="0035062C" w:rsidP="00D43FDE">
      <w:pPr>
        <w:spacing w:line="360" w:lineRule="auto"/>
        <w:rPr>
          <w:rFonts w:asciiTheme="minorHAnsi" w:hAnsiTheme="minorHAnsi" w:cstheme="minorHAnsi"/>
          <w:sz w:val="24"/>
          <w:lang w:val="es-CR"/>
        </w:rPr>
      </w:pPr>
    </w:p>
    <w:p w14:paraId="5974019B" w14:textId="77777777" w:rsidR="000E429B" w:rsidRDefault="00D43FDE" w:rsidP="00D43FDE">
      <w:pPr>
        <w:spacing w:line="360" w:lineRule="auto"/>
        <w:rPr>
          <w:rFonts w:asciiTheme="minorHAnsi" w:hAnsiTheme="minorHAnsi" w:cstheme="minorHAnsi"/>
          <w:sz w:val="24"/>
          <w:lang w:val="es-CR"/>
        </w:rPr>
      </w:pPr>
      <w:r w:rsidRPr="0023319B">
        <w:rPr>
          <w:rFonts w:asciiTheme="minorHAnsi" w:hAnsiTheme="minorHAnsi" w:cstheme="minorHAnsi"/>
          <w:sz w:val="24"/>
          <w:lang w:val="es-CR"/>
        </w:rPr>
        <w:t xml:space="preserve">Como parte de las acciones de la Auditoría Interna del CONASSIF está la revisión integral </w:t>
      </w:r>
      <w:r w:rsidR="00B4673B">
        <w:rPr>
          <w:rFonts w:asciiTheme="minorHAnsi" w:hAnsiTheme="minorHAnsi" w:cstheme="minorHAnsi"/>
          <w:sz w:val="24"/>
          <w:lang w:val="es-CR"/>
        </w:rPr>
        <w:t>de los procesos</w:t>
      </w:r>
      <w:r w:rsidR="00D0537E">
        <w:rPr>
          <w:rFonts w:asciiTheme="minorHAnsi" w:hAnsiTheme="minorHAnsi" w:cstheme="minorHAnsi"/>
          <w:sz w:val="24"/>
          <w:lang w:val="es-CR"/>
        </w:rPr>
        <w:t xml:space="preserve"> que conforman la SUPEN</w:t>
      </w:r>
      <w:r w:rsidR="00B4673B">
        <w:rPr>
          <w:rFonts w:asciiTheme="minorHAnsi" w:hAnsiTheme="minorHAnsi" w:cstheme="minorHAnsi"/>
          <w:sz w:val="24"/>
          <w:lang w:val="es-CR"/>
        </w:rPr>
        <w:t xml:space="preserve">, </w:t>
      </w:r>
      <w:r w:rsidRPr="0023319B">
        <w:rPr>
          <w:rFonts w:asciiTheme="minorHAnsi" w:hAnsiTheme="minorHAnsi" w:cstheme="minorHAnsi"/>
          <w:sz w:val="24"/>
          <w:lang w:val="es-CR"/>
        </w:rPr>
        <w:t xml:space="preserve">para </w:t>
      </w:r>
      <w:r w:rsidR="001972A9">
        <w:rPr>
          <w:rFonts w:asciiTheme="minorHAnsi" w:hAnsiTheme="minorHAnsi" w:cstheme="minorHAnsi"/>
          <w:sz w:val="24"/>
          <w:lang w:val="es-CR"/>
        </w:rPr>
        <w:t>brindar</w:t>
      </w:r>
      <w:r w:rsidRPr="0023319B">
        <w:rPr>
          <w:rFonts w:asciiTheme="minorHAnsi" w:hAnsiTheme="minorHAnsi" w:cstheme="minorHAnsi"/>
          <w:sz w:val="24"/>
          <w:lang w:val="es-CR"/>
        </w:rPr>
        <w:t xml:space="preserve"> un aseguramiento independiente sobre la adecuación y la eficacia de </w:t>
      </w:r>
      <w:r w:rsidR="000E429B">
        <w:rPr>
          <w:rFonts w:asciiTheme="minorHAnsi" w:hAnsiTheme="minorHAnsi" w:cstheme="minorHAnsi"/>
          <w:sz w:val="24"/>
          <w:lang w:val="es-CR"/>
        </w:rPr>
        <w:t xml:space="preserve">los </w:t>
      </w:r>
      <w:r w:rsidRPr="0023319B">
        <w:rPr>
          <w:rFonts w:asciiTheme="minorHAnsi" w:hAnsiTheme="minorHAnsi" w:cstheme="minorHAnsi"/>
          <w:sz w:val="24"/>
          <w:lang w:val="es-CR"/>
        </w:rPr>
        <w:t xml:space="preserve">controles, </w:t>
      </w:r>
      <w:r w:rsidR="000E429B">
        <w:rPr>
          <w:rFonts w:asciiTheme="minorHAnsi" w:hAnsiTheme="minorHAnsi" w:cstheme="minorHAnsi"/>
          <w:sz w:val="24"/>
          <w:lang w:val="es-CR"/>
        </w:rPr>
        <w:t xml:space="preserve">los </w:t>
      </w:r>
      <w:r w:rsidRPr="0023319B">
        <w:rPr>
          <w:rFonts w:asciiTheme="minorHAnsi" w:hAnsiTheme="minorHAnsi" w:cstheme="minorHAnsi"/>
          <w:sz w:val="24"/>
          <w:lang w:val="es-CR"/>
        </w:rPr>
        <w:t xml:space="preserve">procesos y </w:t>
      </w:r>
      <w:r w:rsidR="000E429B">
        <w:rPr>
          <w:rFonts w:asciiTheme="minorHAnsi" w:hAnsiTheme="minorHAnsi" w:cstheme="minorHAnsi"/>
          <w:sz w:val="24"/>
          <w:lang w:val="es-CR"/>
        </w:rPr>
        <w:t xml:space="preserve">las </w:t>
      </w:r>
      <w:r w:rsidRPr="0023319B">
        <w:rPr>
          <w:rFonts w:asciiTheme="minorHAnsi" w:hAnsiTheme="minorHAnsi" w:cstheme="minorHAnsi"/>
          <w:sz w:val="24"/>
          <w:lang w:val="es-CR"/>
        </w:rPr>
        <w:t>estructuras diseñad</w:t>
      </w:r>
      <w:r w:rsidR="000E429B">
        <w:rPr>
          <w:rFonts w:asciiTheme="minorHAnsi" w:hAnsiTheme="minorHAnsi" w:cstheme="minorHAnsi"/>
          <w:sz w:val="24"/>
          <w:lang w:val="es-CR"/>
        </w:rPr>
        <w:t>a</w:t>
      </w:r>
      <w:r w:rsidRPr="0023319B">
        <w:rPr>
          <w:rFonts w:asciiTheme="minorHAnsi" w:hAnsiTheme="minorHAnsi" w:cstheme="minorHAnsi"/>
          <w:sz w:val="24"/>
          <w:lang w:val="es-CR"/>
        </w:rPr>
        <w:t>s para respaldar el buen gobierno de las labores de la superintendencia.</w:t>
      </w:r>
    </w:p>
    <w:p w14:paraId="71A1545B" w14:textId="77777777" w:rsidR="000E429B" w:rsidRDefault="000E429B" w:rsidP="00D43FDE">
      <w:pPr>
        <w:spacing w:line="360" w:lineRule="auto"/>
        <w:rPr>
          <w:rFonts w:asciiTheme="minorHAnsi" w:hAnsiTheme="minorHAnsi" w:cstheme="minorHAnsi"/>
          <w:sz w:val="24"/>
          <w:lang w:val="es-CR"/>
        </w:rPr>
      </w:pPr>
    </w:p>
    <w:p w14:paraId="1F6CF0EF" w14:textId="7FA10B6D" w:rsidR="00D43FDE" w:rsidRPr="0023319B" w:rsidRDefault="00D43FDE" w:rsidP="00D43FDE">
      <w:pPr>
        <w:spacing w:line="360" w:lineRule="auto"/>
        <w:rPr>
          <w:rFonts w:asciiTheme="minorHAnsi" w:hAnsiTheme="minorHAnsi" w:cstheme="minorHAnsi"/>
          <w:sz w:val="24"/>
          <w:lang w:val="es-CR"/>
        </w:rPr>
      </w:pPr>
      <w:r w:rsidRPr="0023319B">
        <w:rPr>
          <w:rFonts w:asciiTheme="minorHAnsi" w:hAnsiTheme="minorHAnsi" w:cstheme="minorHAnsi"/>
          <w:sz w:val="24"/>
          <w:lang w:val="es-CR"/>
        </w:rPr>
        <w:t xml:space="preserve">Producto de esa revisión </w:t>
      </w:r>
      <w:r w:rsidR="0048665C">
        <w:rPr>
          <w:rFonts w:asciiTheme="minorHAnsi" w:hAnsiTheme="minorHAnsi" w:cstheme="minorHAnsi"/>
          <w:sz w:val="24"/>
          <w:lang w:val="es-CR"/>
        </w:rPr>
        <w:t xml:space="preserve">y </w:t>
      </w:r>
      <w:r w:rsidR="0048665C" w:rsidRPr="0023319B">
        <w:rPr>
          <w:rFonts w:asciiTheme="minorHAnsi" w:hAnsiTheme="minorHAnsi" w:cstheme="minorHAnsi"/>
          <w:sz w:val="24"/>
          <w:lang w:val="es-CR"/>
        </w:rPr>
        <w:t>como parte de la mejora</w:t>
      </w:r>
      <w:r w:rsidR="0048665C">
        <w:rPr>
          <w:rFonts w:asciiTheme="minorHAnsi" w:hAnsiTheme="minorHAnsi" w:cstheme="minorHAnsi"/>
          <w:sz w:val="24"/>
          <w:lang w:val="es-CR"/>
        </w:rPr>
        <w:t>,</w:t>
      </w:r>
      <w:r w:rsidR="0048665C" w:rsidRPr="0023319B">
        <w:rPr>
          <w:rFonts w:asciiTheme="minorHAnsi" w:hAnsiTheme="minorHAnsi" w:cstheme="minorHAnsi"/>
          <w:sz w:val="24"/>
          <w:lang w:val="es-CR"/>
        </w:rPr>
        <w:t xml:space="preserve"> </w:t>
      </w:r>
      <w:r w:rsidRPr="0023319B">
        <w:rPr>
          <w:rFonts w:asciiTheme="minorHAnsi" w:hAnsiTheme="minorHAnsi" w:cstheme="minorHAnsi"/>
          <w:sz w:val="24"/>
          <w:lang w:val="es-CR"/>
        </w:rPr>
        <w:t>la Auditoría emiten recomendaciones</w:t>
      </w:r>
      <w:r w:rsidR="00AC16D6">
        <w:rPr>
          <w:rFonts w:asciiTheme="minorHAnsi" w:hAnsiTheme="minorHAnsi" w:cstheme="minorHAnsi"/>
          <w:sz w:val="24"/>
          <w:lang w:val="es-CR"/>
        </w:rPr>
        <w:t xml:space="preserve"> dirigidas al </w:t>
      </w:r>
      <w:r w:rsidR="00AC65CD">
        <w:rPr>
          <w:rFonts w:asciiTheme="minorHAnsi" w:hAnsiTheme="minorHAnsi" w:cstheme="minorHAnsi"/>
          <w:sz w:val="24"/>
          <w:lang w:val="es-CR"/>
        </w:rPr>
        <w:t>superintendente</w:t>
      </w:r>
      <w:r w:rsidRPr="0023319B">
        <w:rPr>
          <w:rFonts w:asciiTheme="minorHAnsi" w:hAnsiTheme="minorHAnsi" w:cstheme="minorHAnsi"/>
          <w:sz w:val="24"/>
          <w:lang w:val="es-CR"/>
        </w:rPr>
        <w:t xml:space="preserve">, </w:t>
      </w:r>
      <w:r w:rsidR="0048665C">
        <w:rPr>
          <w:rFonts w:asciiTheme="minorHAnsi" w:hAnsiTheme="minorHAnsi" w:cstheme="minorHAnsi"/>
          <w:sz w:val="24"/>
          <w:lang w:val="es-CR"/>
        </w:rPr>
        <w:t xml:space="preserve">por lo que </w:t>
      </w:r>
      <w:r w:rsidRPr="0023319B">
        <w:rPr>
          <w:rFonts w:asciiTheme="minorHAnsi" w:hAnsiTheme="minorHAnsi" w:cstheme="minorHAnsi"/>
          <w:sz w:val="24"/>
          <w:lang w:val="es-CR"/>
        </w:rPr>
        <w:t xml:space="preserve">seguidamente se presenta el estado </w:t>
      </w:r>
      <w:r w:rsidR="00AE0105">
        <w:rPr>
          <w:rFonts w:asciiTheme="minorHAnsi" w:hAnsiTheme="minorHAnsi" w:cstheme="minorHAnsi"/>
          <w:sz w:val="24"/>
          <w:lang w:val="es-CR"/>
        </w:rPr>
        <w:t xml:space="preserve">de atención </w:t>
      </w:r>
      <w:r w:rsidRPr="0023319B">
        <w:rPr>
          <w:rFonts w:asciiTheme="minorHAnsi" w:hAnsiTheme="minorHAnsi" w:cstheme="minorHAnsi"/>
          <w:sz w:val="24"/>
          <w:lang w:val="es-CR"/>
        </w:rPr>
        <w:t xml:space="preserve">de </w:t>
      </w:r>
      <w:r w:rsidR="00AE0105">
        <w:rPr>
          <w:rFonts w:asciiTheme="minorHAnsi" w:hAnsiTheme="minorHAnsi" w:cstheme="minorHAnsi"/>
          <w:sz w:val="24"/>
          <w:lang w:val="es-CR"/>
        </w:rPr>
        <w:t>las</w:t>
      </w:r>
      <w:r w:rsidRPr="0023319B">
        <w:rPr>
          <w:rFonts w:asciiTheme="minorHAnsi" w:hAnsiTheme="minorHAnsi" w:cstheme="minorHAnsi"/>
          <w:sz w:val="24"/>
          <w:lang w:val="es-CR"/>
        </w:rPr>
        <w:t xml:space="preserve"> recomendaciones</w:t>
      </w:r>
      <w:r w:rsidR="00AE0105">
        <w:rPr>
          <w:rFonts w:asciiTheme="minorHAnsi" w:hAnsiTheme="minorHAnsi" w:cstheme="minorHAnsi"/>
          <w:sz w:val="24"/>
          <w:lang w:val="es-CR"/>
        </w:rPr>
        <w:t xml:space="preserve"> recibidas</w:t>
      </w:r>
      <w:r w:rsidR="00901E17">
        <w:rPr>
          <w:rFonts w:asciiTheme="minorHAnsi" w:hAnsiTheme="minorHAnsi" w:cstheme="minorHAnsi"/>
          <w:sz w:val="24"/>
          <w:lang w:val="es-CR"/>
        </w:rPr>
        <w:t xml:space="preserve"> a la fecha</w:t>
      </w:r>
      <w:r w:rsidRPr="0023319B">
        <w:rPr>
          <w:rFonts w:asciiTheme="minorHAnsi" w:hAnsiTheme="minorHAnsi" w:cstheme="minorHAnsi"/>
          <w:sz w:val="24"/>
          <w:lang w:val="es-CR"/>
        </w:rPr>
        <w:t>.</w:t>
      </w:r>
    </w:p>
    <w:p w14:paraId="3163B4C0" w14:textId="77777777" w:rsidR="00D43FDE" w:rsidRPr="0023319B" w:rsidRDefault="00D43FDE" w:rsidP="00D43FDE">
      <w:pPr>
        <w:spacing w:line="360" w:lineRule="auto"/>
        <w:rPr>
          <w:rFonts w:asciiTheme="minorHAnsi" w:hAnsiTheme="minorHAnsi" w:cstheme="minorHAnsi"/>
          <w:sz w:val="24"/>
          <w:lang w:val="es-CR"/>
        </w:rPr>
      </w:pPr>
    </w:p>
    <w:p w14:paraId="5919FEDE" w14:textId="570D5FD5" w:rsidR="00D43FDE" w:rsidRPr="00A9221D" w:rsidRDefault="00732C54" w:rsidP="00A9221D">
      <w:pPr>
        <w:pStyle w:val="Ttulo3"/>
      </w:pPr>
      <w:bookmarkStart w:id="114" w:name="_Toc61081403"/>
      <w:r w:rsidRPr="00A9221D">
        <w:t>Tabla 6</w:t>
      </w:r>
      <w:r w:rsidR="00D43FDE" w:rsidRPr="00A9221D">
        <w:t>: Estado Atención a Recomendaciones de la Auditoría Interna</w:t>
      </w:r>
      <w:bookmarkEnd w:id="114"/>
    </w:p>
    <w:tbl>
      <w:tblPr>
        <w:tblW w:w="7845" w:type="dxa"/>
        <w:tblInd w:w="279" w:type="dxa"/>
        <w:tblCellMar>
          <w:left w:w="70" w:type="dxa"/>
          <w:right w:w="70" w:type="dxa"/>
        </w:tblCellMar>
        <w:tblLook w:val="04A0" w:firstRow="1" w:lastRow="0" w:firstColumn="1" w:lastColumn="0" w:noHBand="0" w:noVBand="1"/>
      </w:tblPr>
      <w:tblGrid>
        <w:gridCol w:w="3969"/>
        <w:gridCol w:w="2126"/>
        <w:gridCol w:w="1750"/>
      </w:tblGrid>
      <w:tr w:rsidR="00FF7676" w:rsidRPr="0023319B" w14:paraId="4F5AF298" w14:textId="77777777" w:rsidTr="00A65336">
        <w:trPr>
          <w:trHeight w:val="510"/>
        </w:trPr>
        <w:tc>
          <w:tcPr>
            <w:tcW w:w="3969"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14:paraId="3A78A208" w14:textId="77777777" w:rsidR="00FF7676" w:rsidRPr="0023319B" w:rsidRDefault="00FF7676" w:rsidP="002E6B58">
            <w:pPr>
              <w:spacing w:line="240" w:lineRule="auto"/>
              <w:jc w:val="center"/>
              <w:rPr>
                <w:rFonts w:ascii="Calibri" w:hAnsi="Calibri" w:cs="Calibri"/>
                <w:b/>
                <w:bCs/>
                <w:lang w:val="es-CR" w:eastAsia="es-CR"/>
              </w:rPr>
            </w:pPr>
            <w:r w:rsidRPr="0023319B">
              <w:rPr>
                <w:rFonts w:ascii="Calibri" w:hAnsi="Calibri" w:cs="Calibri"/>
                <w:b/>
                <w:bCs/>
                <w:lang w:val="es-CR" w:eastAsia="es-CR"/>
              </w:rPr>
              <w:t>Estado de atención de la recomendación</w:t>
            </w:r>
          </w:p>
        </w:tc>
        <w:tc>
          <w:tcPr>
            <w:tcW w:w="2126" w:type="dxa"/>
            <w:tcBorders>
              <w:top w:val="single" w:sz="4" w:space="0" w:color="auto"/>
              <w:left w:val="nil"/>
              <w:bottom w:val="single" w:sz="4" w:space="0" w:color="auto"/>
              <w:right w:val="single" w:sz="4" w:space="0" w:color="auto"/>
            </w:tcBorders>
            <w:shd w:val="clear" w:color="auto" w:fill="8DB3E2" w:themeFill="text2" w:themeFillTint="66"/>
            <w:vAlign w:val="center"/>
            <w:hideMark/>
          </w:tcPr>
          <w:p w14:paraId="40ECD30A" w14:textId="77777777" w:rsidR="00FF7676" w:rsidRPr="0023319B" w:rsidRDefault="00FF7676" w:rsidP="002E6B58">
            <w:pPr>
              <w:spacing w:line="240" w:lineRule="auto"/>
              <w:jc w:val="center"/>
              <w:rPr>
                <w:rFonts w:ascii="Calibri" w:hAnsi="Calibri" w:cs="Calibri"/>
                <w:b/>
                <w:bCs/>
                <w:lang w:val="es-CR" w:eastAsia="es-CR"/>
              </w:rPr>
            </w:pPr>
            <w:r w:rsidRPr="0023319B">
              <w:rPr>
                <w:rFonts w:ascii="Calibri" w:hAnsi="Calibri" w:cs="Calibri"/>
                <w:b/>
                <w:bCs/>
                <w:lang w:val="es-CR" w:eastAsia="es-CR"/>
              </w:rPr>
              <w:t>Cantidad recomendaciones</w:t>
            </w:r>
          </w:p>
        </w:tc>
        <w:tc>
          <w:tcPr>
            <w:tcW w:w="1750" w:type="dxa"/>
            <w:tcBorders>
              <w:top w:val="single" w:sz="4" w:space="0" w:color="auto"/>
              <w:left w:val="nil"/>
              <w:bottom w:val="single" w:sz="4" w:space="0" w:color="auto"/>
              <w:right w:val="single" w:sz="4" w:space="0" w:color="auto"/>
            </w:tcBorders>
            <w:shd w:val="clear" w:color="auto" w:fill="8DB3E2" w:themeFill="text2" w:themeFillTint="66"/>
            <w:vAlign w:val="center"/>
            <w:hideMark/>
          </w:tcPr>
          <w:p w14:paraId="58690112" w14:textId="77777777" w:rsidR="00FF7676" w:rsidRPr="0023319B" w:rsidRDefault="00FF7676" w:rsidP="002E6B58">
            <w:pPr>
              <w:spacing w:line="240" w:lineRule="auto"/>
              <w:jc w:val="center"/>
              <w:rPr>
                <w:rFonts w:ascii="Calibri" w:hAnsi="Calibri" w:cs="Calibri"/>
                <w:b/>
                <w:bCs/>
                <w:lang w:val="es-CR" w:eastAsia="es-CR"/>
              </w:rPr>
            </w:pPr>
            <w:r w:rsidRPr="0023319B">
              <w:rPr>
                <w:rFonts w:ascii="Calibri" w:hAnsi="Calibri" w:cs="Calibri"/>
                <w:b/>
                <w:bCs/>
                <w:lang w:val="es-CR" w:eastAsia="es-CR"/>
              </w:rPr>
              <w:t>Porcentaje</w:t>
            </w:r>
          </w:p>
        </w:tc>
      </w:tr>
      <w:tr w:rsidR="00FF7676" w:rsidRPr="0023319B" w14:paraId="215A5847" w14:textId="77777777" w:rsidTr="00A65336">
        <w:trPr>
          <w:trHeight w:val="300"/>
        </w:trPr>
        <w:tc>
          <w:tcPr>
            <w:tcW w:w="3969" w:type="dxa"/>
            <w:tcBorders>
              <w:top w:val="nil"/>
              <w:left w:val="single" w:sz="4" w:space="0" w:color="auto"/>
              <w:bottom w:val="single" w:sz="4" w:space="0" w:color="auto"/>
              <w:right w:val="single" w:sz="4" w:space="0" w:color="auto"/>
            </w:tcBorders>
            <w:shd w:val="clear" w:color="000000" w:fill="FFFFFF"/>
            <w:vAlign w:val="center"/>
            <w:hideMark/>
          </w:tcPr>
          <w:p w14:paraId="6F199000" w14:textId="77777777" w:rsidR="00FF7676" w:rsidRPr="0023319B" w:rsidRDefault="00FF7676" w:rsidP="002E6B58">
            <w:pPr>
              <w:spacing w:line="240" w:lineRule="auto"/>
              <w:jc w:val="left"/>
              <w:rPr>
                <w:rFonts w:ascii="Calibri" w:hAnsi="Calibri" w:cs="Calibri"/>
                <w:color w:val="000000"/>
                <w:lang w:val="es-CR" w:eastAsia="es-CR"/>
              </w:rPr>
            </w:pPr>
            <w:r w:rsidRPr="0023319B">
              <w:rPr>
                <w:rFonts w:ascii="Calibri" w:hAnsi="Calibri" w:cs="Calibri"/>
                <w:color w:val="000000"/>
                <w:lang w:val="es-CR" w:eastAsia="es-CR"/>
              </w:rPr>
              <w:t>Comunicada y Aceptada</w:t>
            </w:r>
          </w:p>
        </w:tc>
        <w:tc>
          <w:tcPr>
            <w:tcW w:w="2126" w:type="dxa"/>
            <w:tcBorders>
              <w:top w:val="nil"/>
              <w:left w:val="nil"/>
              <w:bottom w:val="single" w:sz="4" w:space="0" w:color="auto"/>
              <w:right w:val="single" w:sz="4" w:space="0" w:color="auto"/>
            </w:tcBorders>
            <w:shd w:val="clear" w:color="000000" w:fill="FFFFFF"/>
            <w:vAlign w:val="center"/>
            <w:hideMark/>
          </w:tcPr>
          <w:p w14:paraId="42B64796" w14:textId="77777777" w:rsidR="00FF7676" w:rsidRPr="0023319B" w:rsidRDefault="00FF7676" w:rsidP="002E6B58">
            <w:pPr>
              <w:spacing w:line="240" w:lineRule="auto"/>
              <w:jc w:val="center"/>
              <w:rPr>
                <w:rFonts w:ascii="Calibri" w:hAnsi="Calibri" w:cs="Calibri"/>
                <w:color w:val="000000"/>
                <w:lang w:val="es-CR" w:eastAsia="es-CR"/>
              </w:rPr>
            </w:pPr>
            <w:r w:rsidRPr="0023319B">
              <w:rPr>
                <w:rFonts w:ascii="Calibri" w:hAnsi="Calibri" w:cs="Calibri"/>
                <w:color w:val="000000"/>
                <w:lang w:val="es-CR" w:eastAsia="es-CR"/>
              </w:rPr>
              <w:t>25</w:t>
            </w:r>
          </w:p>
        </w:tc>
        <w:tc>
          <w:tcPr>
            <w:tcW w:w="1750" w:type="dxa"/>
            <w:tcBorders>
              <w:top w:val="nil"/>
              <w:left w:val="nil"/>
              <w:bottom w:val="single" w:sz="4" w:space="0" w:color="auto"/>
              <w:right w:val="single" w:sz="4" w:space="0" w:color="auto"/>
            </w:tcBorders>
            <w:shd w:val="clear" w:color="000000" w:fill="FFFFFF"/>
            <w:vAlign w:val="center"/>
            <w:hideMark/>
          </w:tcPr>
          <w:p w14:paraId="65E51B6F" w14:textId="77777777" w:rsidR="00FF7676" w:rsidRPr="0023319B" w:rsidRDefault="00FF7676" w:rsidP="002E6B58">
            <w:pPr>
              <w:spacing w:line="240" w:lineRule="auto"/>
              <w:jc w:val="center"/>
              <w:rPr>
                <w:rFonts w:ascii="Calibri" w:hAnsi="Calibri" w:cs="Calibri"/>
                <w:color w:val="000000"/>
                <w:lang w:val="es-CR" w:eastAsia="es-CR"/>
              </w:rPr>
            </w:pPr>
            <w:r w:rsidRPr="0023319B">
              <w:rPr>
                <w:rFonts w:ascii="Calibri" w:hAnsi="Calibri" w:cs="Calibri"/>
                <w:color w:val="000000"/>
                <w:lang w:val="es-CR" w:eastAsia="es-CR"/>
              </w:rPr>
              <w:t>20,49%</w:t>
            </w:r>
          </w:p>
        </w:tc>
      </w:tr>
      <w:tr w:rsidR="00FF7676" w:rsidRPr="0023319B" w14:paraId="217CCBA3" w14:textId="77777777" w:rsidTr="00A65336">
        <w:trPr>
          <w:trHeight w:val="300"/>
        </w:trPr>
        <w:tc>
          <w:tcPr>
            <w:tcW w:w="3969" w:type="dxa"/>
            <w:tcBorders>
              <w:top w:val="nil"/>
              <w:left w:val="single" w:sz="4" w:space="0" w:color="auto"/>
              <w:bottom w:val="single" w:sz="4" w:space="0" w:color="auto"/>
              <w:right w:val="single" w:sz="4" w:space="0" w:color="auto"/>
            </w:tcBorders>
            <w:shd w:val="clear" w:color="000000" w:fill="FFFFFF"/>
            <w:vAlign w:val="center"/>
            <w:hideMark/>
          </w:tcPr>
          <w:p w14:paraId="21F9654D" w14:textId="77777777" w:rsidR="00FF7676" w:rsidRPr="0023319B" w:rsidRDefault="00FF7676" w:rsidP="002E6B58">
            <w:pPr>
              <w:spacing w:line="240" w:lineRule="auto"/>
              <w:jc w:val="left"/>
              <w:rPr>
                <w:rFonts w:ascii="Calibri" w:hAnsi="Calibri" w:cs="Calibri"/>
                <w:color w:val="000000"/>
                <w:lang w:val="es-CR" w:eastAsia="es-CR"/>
              </w:rPr>
            </w:pPr>
            <w:r w:rsidRPr="0023319B">
              <w:rPr>
                <w:rFonts w:ascii="Calibri" w:hAnsi="Calibri" w:cs="Calibri"/>
                <w:color w:val="000000"/>
                <w:lang w:val="es-CR" w:eastAsia="es-CR"/>
              </w:rPr>
              <w:t>Implantada</w:t>
            </w:r>
          </w:p>
        </w:tc>
        <w:tc>
          <w:tcPr>
            <w:tcW w:w="2126" w:type="dxa"/>
            <w:tcBorders>
              <w:top w:val="nil"/>
              <w:left w:val="nil"/>
              <w:bottom w:val="single" w:sz="4" w:space="0" w:color="auto"/>
              <w:right w:val="single" w:sz="4" w:space="0" w:color="auto"/>
            </w:tcBorders>
            <w:shd w:val="clear" w:color="000000" w:fill="FFFFFF"/>
            <w:vAlign w:val="center"/>
            <w:hideMark/>
          </w:tcPr>
          <w:p w14:paraId="77AFF5B7" w14:textId="77777777" w:rsidR="00FF7676" w:rsidRPr="0023319B" w:rsidRDefault="00FF7676" w:rsidP="002E6B58">
            <w:pPr>
              <w:spacing w:line="240" w:lineRule="auto"/>
              <w:jc w:val="center"/>
              <w:rPr>
                <w:rFonts w:ascii="Calibri" w:hAnsi="Calibri" w:cs="Calibri"/>
                <w:color w:val="000000"/>
                <w:lang w:val="es-CR" w:eastAsia="es-CR"/>
              </w:rPr>
            </w:pPr>
            <w:r w:rsidRPr="0023319B">
              <w:rPr>
                <w:rFonts w:ascii="Calibri" w:hAnsi="Calibri" w:cs="Calibri"/>
                <w:color w:val="000000"/>
                <w:lang w:val="es-CR" w:eastAsia="es-CR"/>
              </w:rPr>
              <w:t>80</w:t>
            </w:r>
          </w:p>
        </w:tc>
        <w:tc>
          <w:tcPr>
            <w:tcW w:w="1750" w:type="dxa"/>
            <w:tcBorders>
              <w:top w:val="nil"/>
              <w:left w:val="nil"/>
              <w:bottom w:val="single" w:sz="4" w:space="0" w:color="auto"/>
              <w:right w:val="single" w:sz="4" w:space="0" w:color="auto"/>
            </w:tcBorders>
            <w:shd w:val="clear" w:color="000000" w:fill="FFFFFF"/>
            <w:vAlign w:val="center"/>
            <w:hideMark/>
          </w:tcPr>
          <w:p w14:paraId="347256E8" w14:textId="77777777" w:rsidR="00FF7676" w:rsidRPr="0023319B" w:rsidRDefault="00FF7676" w:rsidP="002E6B58">
            <w:pPr>
              <w:spacing w:line="240" w:lineRule="auto"/>
              <w:jc w:val="center"/>
              <w:rPr>
                <w:rFonts w:ascii="Calibri" w:hAnsi="Calibri" w:cs="Calibri"/>
                <w:color w:val="000000"/>
                <w:lang w:val="es-CR" w:eastAsia="es-CR"/>
              </w:rPr>
            </w:pPr>
            <w:r w:rsidRPr="0023319B">
              <w:rPr>
                <w:rFonts w:ascii="Calibri" w:hAnsi="Calibri" w:cs="Calibri"/>
                <w:color w:val="000000"/>
                <w:lang w:val="es-CR" w:eastAsia="es-CR"/>
              </w:rPr>
              <w:t>65,57%</w:t>
            </w:r>
          </w:p>
        </w:tc>
      </w:tr>
      <w:tr w:rsidR="00FF7676" w:rsidRPr="0023319B" w14:paraId="7CFB67D3" w14:textId="77777777" w:rsidTr="00A65336">
        <w:trPr>
          <w:trHeight w:val="300"/>
        </w:trPr>
        <w:tc>
          <w:tcPr>
            <w:tcW w:w="3969" w:type="dxa"/>
            <w:tcBorders>
              <w:top w:val="nil"/>
              <w:left w:val="single" w:sz="4" w:space="0" w:color="auto"/>
              <w:bottom w:val="single" w:sz="4" w:space="0" w:color="auto"/>
              <w:right w:val="single" w:sz="4" w:space="0" w:color="auto"/>
            </w:tcBorders>
            <w:shd w:val="clear" w:color="000000" w:fill="FFFFFF"/>
            <w:vAlign w:val="center"/>
            <w:hideMark/>
          </w:tcPr>
          <w:p w14:paraId="4B9CFF63" w14:textId="77777777" w:rsidR="00FF7676" w:rsidRPr="0023319B" w:rsidRDefault="00FF7676" w:rsidP="002E6B58">
            <w:pPr>
              <w:spacing w:line="240" w:lineRule="auto"/>
              <w:jc w:val="left"/>
              <w:rPr>
                <w:rFonts w:ascii="Calibri" w:hAnsi="Calibri" w:cs="Calibri"/>
                <w:color w:val="000000"/>
                <w:lang w:val="es-CR" w:eastAsia="es-CR"/>
              </w:rPr>
            </w:pPr>
            <w:r w:rsidRPr="0023319B">
              <w:rPr>
                <w:rFonts w:ascii="Calibri" w:hAnsi="Calibri" w:cs="Calibri"/>
                <w:color w:val="000000"/>
                <w:lang w:val="es-CR" w:eastAsia="es-CR"/>
              </w:rPr>
              <w:t>Vencidas</w:t>
            </w:r>
          </w:p>
        </w:tc>
        <w:tc>
          <w:tcPr>
            <w:tcW w:w="2126" w:type="dxa"/>
            <w:tcBorders>
              <w:top w:val="nil"/>
              <w:left w:val="nil"/>
              <w:bottom w:val="single" w:sz="4" w:space="0" w:color="auto"/>
              <w:right w:val="single" w:sz="4" w:space="0" w:color="auto"/>
            </w:tcBorders>
            <w:shd w:val="clear" w:color="000000" w:fill="FFFFFF"/>
            <w:vAlign w:val="center"/>
            <w:hideMark/>
          </w:tcPr>
          <w:p w14:paraId="60FE4444" w14:textId="77777777" w:rsidR="00FF7676" w:rsidRPr="0023319B" w:rsidRDefault="00FF7676" w:rsidP="002E6B58">
            <w:pPr>
              <w:spacing w:line="240" w:lineRule="auto"/>
              <w:jc w:val="center"/>
              <w:rPr>
                <w:rFonts w:ascii="Calibri" w:hAnsi="Calibri" w:cs="Calibri"/>
                <w:color w:val="000000"/>
                <w:lang w:val="es-CR" w:eastAsia="es-CR"/>
              </w:rPr>
            </w:pPr>
            <w:r w:rsidRPr="0023319B">
              <w:rPr>
                <w:rFonts w:ascii="Calibri" w:hAnsi="Calibri" w:cs="Calibri"/>
                <w:color w:val="000000"/>
                <w:lang w:val="es-CR" w:eastAsia="es-CR"/>
              </w:rPr>
              <w:t>17</w:t>
            </w:r>
          </w:p>
        </w:tc>
        <w:tc>
          <w:tcPr>
            <w:tcW w:w="1750" w:type="dxa"/>
            <w:tcBorders>
              <w:top w:val="nil"/>
              <w:left w:val="nil"/>
              <w:bottom w:val="single" w:sz="4" w:space="0" w:color="auto"/>
              <w:right w:val="single" w:sz="4" w:space="0" w:color="auto"/>
            </w:tcBorders>
            <w:shd w:val="clear" w:color="000000" w:fill="FFFFFF"/>
            <w:vAlign w:val="center"/>
            <w:hideMark/>
          </w:tcPr>
          <w:p w14:paraId="158DD39A" w14:textId="77777777" w:rsidR="00FF7676" w:rsidRPr="0023319B" w:rsidRDefault="00FF7676" w:rsidP="002E6B58">
            <w:pPr>
              <w:spacing w:line="240" w:lineRule="auto"/>
              <w:jc w:val="center"/>
              <w:rPr>
                <w:rFonts w:ascii="Calibri" w:hAnsi="Calibri" w:cs="Calibri"/>
                <w:color w:val="000000"/>
                <w:lang w:val="es-CR" w:eastAsia="es-CR"/>
              </w:rPr>
            </w:pPr>
            <w:r w:rsidRPr="0023319B">
              <w:rPr>
                <w:rFonts w:ascii="Calibri" w:hAnsi="Calibri" w:cs="Calibri"/>
                <w:color w:val="000000"/>
                <w:lang w:val="es-CR" w:eastAsia="es-CR"/>
              </w:rPr>
              <w:t>13,93%</w:t>
            </w:r>
          </w:p>
        </w:tc>
      </w:tr>
      <w:tr w:rsidR="00FF7676" w:rsidRPr="0023319B" w14:paraId="0BC9B42F" w14:textId="77777777" w:rsidTr="00A65336">
        <w:trPr>
          <w:trHeight w:val="300"/>
        </w:trPr>
        <w:tc>
          <w:tcPr>
            <w:tcW w:w="3969"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53CB0249" w14:textId="77777777" w:rsidR="00FF7676" w:rsidRPr="0023319B" w:rsidRDefault="00FF7676" w:rsidP="002E6B58">
            <w:pPr>
              <w:spacing w:line="240" w:lineRule="auto"/>
              <w:jc w:val="left"/>
              <w:rPr>
                <w:rFonts w:ascii="Calibri" w:hAnsi="Calibri" w:cs="Calibri"/>
                <w:b/>
                <w:bCs/>
                <w:color w:val="000000"/>
                <w:lang w:val="es-CR" w:eastAsia="es-CR"/>
              </w:rPr>
            </w:pPr>
            <w:r w:rsidRPr="0023319B">
              <w:rPr>
                <w:rFonts w:ascii="Calibri" w:hAnsi="Calibri" w:cs="Calibri"/>
                <w:b/>
                <w:bCs/>
                <w:color w:val="000000"/>
                <w:lang w:val="es-CR" w:eastAsia="es-CR"/>
              </w:rPr>
              <w:t>Total</w:t>
            </w:r>
          </w:p>
        </w:tc>
        <w:tc>
          <w:tcPr>
            <w:tcW w:w="2126" w:type="dxa"/>
            <w:tcBorders>
              <w:top w:val="nil"/>
              <w:left w:val="nil"/>
              <w:bottom w:val="single" w:sz="4" w:space="0" w:color="auto"/>
              <w:right w:val="single" w:sz="4" w:space="0" w:color="auto"/>
            </w:tcBorders>
            <w:shd w:val="clear" w:color="auto" w:fill="D9D9D9" w:themeFill="background1" w:themeFillShade="D9"/>
            <w:vAlign w:val="center"/>
            <w:hideMark/>
          </w:tcPr>
          <w:p w14:paraId="2E239572" w14:textId="77777777" w:rsidR="00FF7676" w:rsidRPr="0023319B" w:rsidRDefault="00FF7676" w:rsidP="002E6B58">
            <w:pPr>
              <w:spacing w:line="240" w:lineRule="auto"/>
              <w:jc w:val="center"/>
              <w:rPr>
                <w:rFonts w:ascii="Calibri" w:hAnsi="Calibri" w:cs="Calibri"/>
                <w:b/>
                <w:bCs/>
                <w:color w:val="000000"/>
                <w:lang w:val="es-CR" w:eastAsia="es-CR"/>
              </w:rPr>
            </w:pPr>
            <w:r w:rsidRPr="0023319B">
              <w:rPr>
                <w:rFonts w:ascii="Calibri" w:hAnsi="Calibri" w:cs="Calibri"/>
                <w:b/>
                <w:bCs/>
                <w:color w:val="000000"/>
                <w:lang w:val="es-CR" w:eastAsia="es-CR"/>
              </w:rPr>
              <w:t>122</w:t>
            </w:r>
          </w:p>
        </w:tc>
        <w:tc>
          <w:tcPr>
            <w:tcW w:w="1750" w:type="dxa"/>
            <w:tcBorders>
              <w:top w:val="nil"/>
              <w:left w:val="nil"/>
              <w:bottom w:val="single" w:sz="4" w:space="0" w:color="auto"/>
              <w:right w:val="single" w:sz="4" w:space="0" w:color="auto"/>
            </w:tcBorders>
            <w:shd w:val="clear" w:color="auto" w:fill="D9D9D9" w:themeFill="background1" w:themeFillShade="D9"/>
            <w:vAlign w:val="center"/>
            <w:hideMark/>
          </w:tcPr>
          <w:p w14:paraId="2628F19C" w14:textId="77777777" w:rsidR="00FF7676" w:rsidRPr="0023319B" w:rsidRDefault="00FF7676" w:rsidP="002E6B58">
            <w:pPr>
              <w:spacing w:line="240" w:lineRule="auto"/>
              <w:jc w:val="center"/>
              <w:rPr>
                <w:rFonts w:ascii="Calibri" w:hAnsi="Calibri" w:cs="Calibri"/>
                <w:b/>
                <w:bCs/>
                <w:color w:val="000000"/>
                <w:lang w:val="es-CR" w:eastAsia="es-CR"/>
              </w:rPr>
            </w:pPr>
            <w:r w:rsidRPr="0023319B">
              <w:rPr>
                <w:rFonts w:ascii="Calibri" w:hAnsi="Calibri" w:cs="Calibri"/>
                <w:b/>
                <w:bCs/>
                <w:color w:val="000000"/>
                <w:lang w:val="es-CR" w:eastAsia="es-CR"/>
              </w:rPr>
              <w:t>100%</w:t>
            </w:r>
          </w:p>
        </w:tc>
      </w:tr>
    </w:tbl>
    <w:p w14:paraId="4CCEF422" w14:textId="77777777" w:rsidR="00FF7676" w:rsidRPr="0023319B" w:rsidRDefault="00FF7676" w:rsidP="00D43FDE">
      <w:pPr>
        <w:spacing w:line="360" w:lineRule="auto"/>
        <w:rPr>
          <w:rFonts w:asciiTheme="minorHAnsi" w:hAnsiTheme="minorHAnsi" w:cstheme="minorHAnsi"/>
          <w:sz w:val="24"/>
          <w:lang w:val="es-CR"/>
        </w:rPr>
      </w:pPr>
    </w:p>
    <w:p w14:paraId="1EDD7D8B" w14:textId="77777777" w:rsidR="00D43FDE" w:rsidRPr="0023319B" w:rsidRDefault="00D43FDE" w:rsidP="00D43FDE">
      <w:pPr>
        <w:spacing w:line="360" w:lineRule="auto"/>
        <w:rPr>
          <w:rFonts w:asciiTheme="minorHAnsi" w:hAnsiTheme="minorHAnsi" w:cstheme="minorHAnsi"/>
          <w:b/>
          <w:sz w:val="24"/>
          <w:u w:val="single"/>
          <w:lang w:val="es-CR"/>
        </w:rPr>
      </w:pPr>
      <w:r w:rsidRPr="0023319B">
        <w:rPr>
          <w:rFonts w:asciiTheme="minorHAnsi" w:hAnsiTheme="minorHAnsi" w:cstheme="minorHAnsi"/>
          <w:b/>
          <w:sz w:val="24"/>
          <w:u w:val="single"/>
          <w:lang w:val="es-CR"/>
        </w:rPr>
        <w:t>Oportunidades de mejora</w:t>
      </w:r>
    </w:p>
    <w:p w14:paraId="3225EEA6" w14:textId="77777777" w:rsidR="00D43FDE" w:rsidRPr="0023319B" w:rsidRDefault="00D43FDE" w:rsidP="00D43FDE">
      <w:pPr>
        <w:pStyle w:val="Prrafodelista"/>
        <w:spacing w:line="360" w:lineRule="auto"/>
        <w:ind w:left="0"/>
        <w:rPr>
          <w:rFonts w:asciiTheme="minorHAnsi" w:hAnsiTheme="minorHAnsi" w:cstheme="minorHAnsi"/>
          <w:color w:val="000000" w:themeColor="text1"/>
          <w:sz w:val="24"/>
          <w:lang w:val="es-CR"/>
        </w:rPr>
      </w:pPr>
    </w:p>
    <w:p w14:paraId="2A63AD64" w14:textId="35066691" w:rsidR="00756A41" w:rsidRDefault="00B906A6" w:rsidP="00D43FDE">
      <w:pPr>
        <w:spacing w:line="360" w:lineRule="auto"/>
        <w:rPr>
          <w:rFonts w:asciiTheme="minorHAnsi" w:hAnsiTheme="minorHAnsi" w:cstheme="minorHAnsi"/>
          <w:color w:val="000000" w:themeColor="text1"/>
          <w:sz w:val="24"/>
          <w:lang w:val="es-CR"/>
        </w:rPr>
      </w:pPr>
      <w:r>
        <w:rPr>
          <w:rFonts w:asciiTheme="minorHAnsi" w:hAnsiTheme="minorHAnsi" w:cstheme="minorHAnsi"/>
          <w:color w:val="000000" w:themeColor="text1"/>
          <w:sz w:val="24"/>
          <w:lang w:val="es-CR"/>
        </w:rPr>
        <w:t>Dodo los cambios en la normativa, e</w:t>
      </w:r>
      <w:r w:rsidR="001D186B">
        <w:rPr>
          <w:rFonts w:asciiTheme="minorHAnsi" w:hAnsiTheme="minorHAnsi" w:cstheme="minorHAnsi"/>
          <w:color w:val="000000" w:themeColor="text1"/>
          <w:sz w:val="24"/>
          <w:lang w:val="es-CR"/>
        </w:rPr>
        <w:t>n la p</w:t>
      </w:r>
      <w:r w:rsidR="00756A41">
        <w:rPr>
          <w:rFonts w:asciiTheme="minorHAnsi" w:hAnsiTheme="minorHAnsi" w:cstheme="minorHAnsi"/>
          <w:color w:val="000000" w:themeColor="text1"/>
          <w:sz w:val="24"/>
          <w:lang w:val="es-CR"/>
        </w:rPr>
        <w:t>á</w:t>
      </w:r>
      <w:r w:rsidR="001D186B">
        <w:rPr>
          <w:rFonts w:asciiTheme="minorHAnsi" w:hAnsiTheme="minorHAnsi" w:cstheme="minorHAnsi"/>
          <w:color w:val="000000" w:themeColor="text1"/>
          <w:sz w:val="24"/>
          <w:lang w:val="es-CR"/>
        </w:rPr>
        <w:t>g</w:t>
      </w:r>
      <w:r w:rsidR="00756A41">
        <w:rPr>
          <w:rFonts w:asciiTheme="minorHAnsi" w:hAnsiTheme="minorHAnsi" w:cstheme="minorHAnsi"/>
          <w:color w:val="000000" w:themeColor="text1"/>
          <w:sz w:val="24"/>
          <w:lang w:val="es-CR"/>
        </w:rPr>
        <w:t>i</w:t>
      </w:r>
      <w:r w:rsidR="001D186B">
        <w:rPr>
          <w:rFonts w:asciiTheme="minorHAnsi" w:hAnsiTheme="minorHAnsi" w:cstheme="minorHAnsi"/>
          <w:color w:val="000000" w:themeColor="text1"/>
          <w:sz w:val="24"/>
          <w:lang w:val="es-CR"/>
        </w:rPr>
        <w:t xml:space="preserve">na </w:t>
      </w:r>
      <w:r w:rsidR="00756A41">
        <w:rPr>
          <w:rFonts w:asciiTheme="minorHAnsi" w:hAnsiTheme="minorHAnsi" w:cstheme="minorHAnsi"/>
          <w:color w:val="000000" w:themeColor="text1"/>
          <w:sz w:val="24"/>
          <w:lang w:val="es-CR"/>
        </w:rPr>
        <w:t xml:space="preserve">electrónica se implementaron </w:t>
      </w:r>
      <w:r w:rsidR="0069690D">
        <w:rPr>
          <w:rFonts w:asciiTheme="minorHAnsi" w:hAnsiTheme="minorHAnsi" w:cstheme="minorHAnsi"/>
          <w:color w:val="000000" w:themeColor="text1"/>
          <w:sz w:val="24"/>
          <w:lang w:val="es-CR"/>
        </w:rPr>
        <w:t xml:space="preserve">consultas </w:t>
      </w:r>
      <w:r w:rsidR="00E87BA2">
        <w:rPr>
          <w:rFonts w:asciiTheme="minorHAnsi" w:hAnsiTheme="minorHAnsi" w:cstheme="minorHAnsi"/>
          <w:color w:val="000000" w:themeColor="text1"/>
          <w:sz w:val="24"/>
          <w:lang w:val="es-CR"/>
        </w:rPr>
        <w:t>que facilitan el acceso a info</w:t>
      </w:r>
      <w:r w:rsidR="00EC5EF7">
        <w:rPr>
          <w:rFonts w:asciiTheme="minorHAnsi" w:hAnsiTheme="minorHAnsi" w:cstheme="minorHAnsi"/>
          <w:color w:val="000000" w:themeColor="text1"/>
          <w:sz w:val="24"/>
          <w:lang w:val="es-CR"/>
        </w:rPr>
        <w:t>r</w:t>
      </w:r>
      <w:r w:rsidR="00E87BA2">
        <w:rPr>
          <w:rFonts w:asciiTheme="minorHAnsi" w:hAnsiTheme="minorHAnsi" w:cstheme="minorHAnsi"/>
          <w:color w:val="000000" w:themeColor="text1"/>
          <w:sz w:val="24"/>
          <w:lang w:val="es-CR"/>
        </w:rPr>
        <w:t xml:space="preserve">mación de las personas, estas </w:t>
      </w:r>
      <w:r w:rsidR="00EC5EF7">
        <w:rPr>
          <w:rFonts w:asciiTheme="minorHAnsi" w:hAnsiTheme="minorHAnsi" w:cstheme="minorHAnsi"/>
          <w:color w:val="000000" w:themeColor="text1"/>
          <w:sz w:val="24"/>
          <w:lang w:val="es-CR"/>
        </w:rPr>
        <w:t>opciones son:</w:t>
      </w:r>
      <w:r w:rsidR="0069690D">
        <w:rPr>
          <w:rFonts w:asciiTheme="minorHAnsi" w:hAnsiTheme="minorHAnsi" w:cstheme="minorHAnsi"/>
          <w:color w:val="000000" w:themeColor="text1"/>
          <w:sz w:val="24"/>
          <w:lang w:val="es-CR"/>
        </w:rPr>
        <w:t xml:space="preserve"> </w:t>
      </w:r>
      <w:r w:rsidR="00F6572B" w:rsidRPr="00F6572B">
        <w:rPr>
          <w:rFonts w:asciiTheme="minorHAnsi" w:hAnsiTheme="minorHAnsi" w:cstheme="minorHAnsi"/>
          <w:color w:val="000000" w:themeColor="text1"/>
          <w:sz w:val="24"/>
          <w:lang w:val="es-CR"/>
        </w:rPr>
        <w:t>Consulta al Sistema de Fallecidos</w:t>
      </w:r>
      <w:r w:rsidR="00EC5EF7">
        <w:rPr>
          <w:rFonts w:asciiTheme="minorHAnsi" w:hAnsiTheme="minorHAnsi" w:cstheme="minorHAnsi"/>
          <w:color w:val="000000" w:themeColor="text1"/>
          <w:sz w:val="24"/>
          <w:lang w:val="es-CR"/>
        </w:rPr>
        <w:t xml:space="preserve">; </w:t>
      </w:r>
      <w:r w:rsidR="00FF13D2" w:rsidRPr="00FF13D2">
        <w:rPr>
          <w:rFonts w:asciiTheme="minorHAnsi" w:hAnsiTheme="minorHAnsi" w:cstheme="minorHAnsi"/>
          <w:color w:val="000000" w:themeColor="text1"/>
          <w:sz w:val="24"/>
          <w:lang w:val="es-CR"/>
        </w:rPr>
        <w:t>Diferentes modalidades para retirar el ROPC</w:t>
      </w:r>
      <w:r>
        <w:rPr>
          <w:rFonts w:asciiTheme="minorHAnsi" w:hAnsiTheme="minorHAnsi" w:cstheme="minorHAnsi"/>
          <w:color w:val="000000" w:themeColor="text1"/>
          <w:sz w:val="24"/>
          <w:lang w:val="es-CR"/>
        </w:rPr>
        <w:t>.</w:t>
      </w:r>
    </w:p>
    <w:p w14:paraId="74413623" w14:textId="00EBED72" w:rsidR="00D43FDE" w:rsidRPr="0023319B" w:rsidRDefault="00616702" w:rsidP="00D43FDE">
      <w:pPr>
        <w:spacing w:line="360" w:lineRule="auto"/>
        <w:rPr>
          <w:rFonts w:asciiTheme="minorHAnsi" w:hAnsiTheme="minorHAnsi" w:cstheme="minorHAnsi"/>
          <w:color w:val="000000" w:themeColor="text1"/>
          <w:sz w:val="24"/>
          <w:lang w:val="es-CR"/>
        </w:rPr>
      </w:pPr>
      <w:r>
        <w:rPr>
          <w:rFonts w:asciiTheme="minorHAnsi" w:hAnsiTheme="minorHAnsi" w:cstheme="minorHAnsi"/>
          <w:color w:val="000000" w:themeColor="text1"/>
          <w:sz w:val="24"/>
          <w:lang w:val="es-CR"/>
        </w:rPr>
        <w:t>P</w:t>
      </w:r>
      <w:r w:rsidR="003B3391">
        <w:rPr>
          <w:rFonts w:asciiTheme="minorHAnsi" w:hAnsiTheme="minorHAnsi" w:cstheme="minorHAnsi"/>
          <w:color w:val="000000" w:themeColor="text1"/>
          <w:sz w:val="24"/>
          <w:lang w:val="es-CR"/>
        </w:rPr>
        <w:t>ara</w:t>
      </w:r>
      <w:r w:rsidR="00D43FDE" w:rsidRPr="0023319B">
        <w:rPr>
          <w:rFonts w:asciiTheme="minorHAnsi" w:hAnsiTheme="minorHAnsi" w:cstheme="minorHAnsi"/>
          <w:color w:val="000000" w:themeColor="text1"/>
          <w:sz w:val="24"/>
          <w:lang w:val="es-CR"/>
        </w:rPr>
        <w:t xml:space="preserve"> el presupuesto 2021 </w:t>
      </w:r>
      <w:r>
        <w:rPr>
          <w:rFonts w:asciiTheme="minorHAnsi" w:hAnsiTheme="minorHAnsi" w:cstheme="minorHAnsi"/>
          <w:color w:val="000000" w:themeColor="text1"/>
          <w:sz w:val="24"/>
          <w:lang w:val="es-CR"/>
        </w:rPr>
        <w:t xml:space="preserve">se aprobó </w:t>
      </w:r>
      <w:r w:rsidR="00D43FDE" w:rsidRPr="0023319B">
        <w:rPr>
          <w:rFonts w:asciiTheme="minorHAnsi" w:hAnsiTheme="minorHAnsi" w:cstheme="minorHAnsi"/>
          <w:color w:val="000000" w:themeColor="text1"/>
          <w:sz w:val="24"/>
          <w:lang w:val="es-CR"/>
        </w:rPr>
        <w:t>la creación de una nueva página electrónica, procurando mantener las facilidades actuales para el usuario, pero mejorando la plataforma informática y los sistemas de acceso, para cumplir con lo establecido por:</w:t>
      </w:r>
    </w:p>
    <w:p w14:paraId="04C6C2C5" w14:textId="77777777" w:rsidR="00D43FDE" w:rsidRPr="0023319B" w:rsidRDefault="00D43FDE" w:rsidP="00D43FDE">
      <w:pPr>
        <w:pStyle w:val="Prrafodelista"/>
        <w:numPr>
          <w:ilvl w:val="0"/>
          <w:numId w:val="27"/>
        </w:numPr>
        <w:spacing w:line="360" w:lineRule="auto"/>
        <w:ind w:left="426"/>
        <w:rPr>
          <w:rFonts w:asciiTheme="minorHAnsi" w:hAnsiTheme="minorHAnsi" w:cstheme="minorHAnsi"/>
          <w:color w:val="000000" w:themeColor="text1"/>
          <w:sz w:val="24"/>
          <w:lang w:val="es-CR"/>
        </w:rPr>
      </w:pPr>
      <w:r w:rsidRPr="0023319B">
        <w:rPr>
          <w:rFonts w:asciiTheme="minorHAnsi" w:hAnsiTheme="minorHAnsi" w:cstheme="minorHAnsi"/>
          <w:color w:val="000000" w:themeColor="text1"/>
          <w:sz w:val="24"/>
          <w:lang w:val="es-CR"/>
        </w:rPr>
        <w:t>Índice de Transparencia del Sector Público Costarricense.</w:t>
      </w:r>
    </w:p>
    <w:p w14:paraId="582AC254" w14:textId="77777777" w:rsidR="00D43FDE" w:rsidRPr="0023319B" w:rsidRDefault="00D43FDE" w:rsidP="00D43FDE">
      <w:pPr>
        <w:pStyle w:val="Prrafodelista"/>
        <w:numPr>
          <w:ilvl w:val="0"/>
          <w:numId w:val="27"/>
        </w:numPr>
        <w:spacing w:line="360" w:lineRule="auto"/>
        <w:ind w:left="426"/>
        <w:rPr>
          <w:rFonts w:asciiTheme="minorHAnsi" w:hAnsiTheme="minorHAnsi" w:cstheme="minorHAnsi"/>
          <w:color w:val="000000" w:themeColor="text1"/>
          <w:sz w:val="24"/>
          <w:lang w:val="es-CR"/>
        </w:rPr>
      </w:pPr>
      <w:r w:rsidRPr="0023319B">
        <w:rPr>
          <w:rFonts w:asciiTheme="minorHAnsi" w:hAnsiTheme="minorHAnsi" w:cstheme="minorHAnsi"/>
          <w:color w:val="000000" w:themeColor="text1"/>
          <w:sz w:val="24"/>
          <w:lang w:val="es-CR"/>
        </w:rPr>
        <w:t>Directriz N° 051-MTSS-MICITT, relativa con la implementación de sitios web accesibles.</w:t>
      </w:r>
    </w:p>
    <w:p w14:paraId="7B6DE448" w14:textId="77777777" w:rsidR="00D43FDE" w:rsidRPr="0023319B" w:rsidRDefault="00D43FDE" w:rsidP="00D43FDE">
      <w:pPr>
        <w:pStyle w:val="Prrafodelista"/>
        <w:numPr>
          <w:ilvl w:val="0"/>
          <w:numId w:val="27"/>
        </w:numPr>
        <w:spacing w:line="360" w:lineRule="auto"/>
        <w:ind w:left="426"/>
        <w:rPr>
          <w:rFonts w:asciiTheme="minorHAnsi" w:hAnsiTheme="minorHAnsi" w:cstheme="minorHAnsi"/>
          <w:color w:val="000000" w:themeColor="text1"/>
          <w:sz w:val="24"/>
          <w:lang w:val="es-CR"/>
        </w:rPr>
      </w:pPr>
      <w:r w:rsidRPr="0023319B">
        <w:rPr>
          <w:rFonts w:asciiTheme="minorHAnsi" w:hAnsiTheme="minorHAnsi" w:cstheme="minorHAnsi"/>
          <w:color w:val="000000" w:themeColor="text1"/>
          <w:sz w:val="24"/>
          <w:lang w:val="es-CR"/>
        </w:rPr>
        <w:t>El derecho a la información que tienen todas las personas, independientemente de sus necesidades particulares. Estos derechos son garantizados para las personas con discapacidad a través de diferentes leyes, entre las que se destacan:</w:t>
      </w:r>
    </w:p>
    <w:p w14:paraId="41DBA135" w14:textId="77777777" w:rsidR="00D43FDE" w:rsidRPr="0023319B" w:rsidRDefault="00D43FDE" w:rsidP="00616702">
      <w:pPr>
        <w:pStyle w:val="Prrafodelista"/>
        <w:numPr>
          <w:ilvl w:val="1"/>
          <w:numId w:val="28"/>
        </w:numPr>
        <w:spacing w:line="240" w:lineRule="auto"/>
        <w:ind w:left="851"/>
        <w:rPr>
          <w:rFonts w:asciiTheme="minorHAnsi" w:hAnsiTheme="minorHAnsi" w:cstheme="minorHAnsi"/>
          <w:color w:val="000000" w:themeColor="text1"/>
          <w:sz w:val="24"/>
          <w:lang w:val="es-CR"/>
        </w:rPr>
      </w:pPr>
      <w:r w:rsidRPr="0023319B">
        <w:rPr>
          <w:rFonts w:asciiTheme="minorHAnsi" w:hAnsiTheme="minorHAnsi" w:cstheme="minorHAnsi"/>
          <w:color w:val="000000" w:themeColor="text1"/>
          <w:sz w:val="24"/>
          <w:lang w:val="es-CR"/>
        </w:rPr>
        <w:t>Ley 7600 de Igualdad de Oportunidades para las Personas con Discapacidad (PcD) y su reglamento.</w:t>
      </w:r>
    </w:p>
    <w:p w14:paraId="21C43C42" w14:textId="77777777" w:rsidR="00D43FDE" w:rsidRPr="0023319B" w:rsidRDefault="00D43FDE" w:rsidP="00616702">
      <w:pPr>
        <w:pStyle w:val="Prrafodelista"/>
        <w:numPr>
          <w:ilvl w:val="1"/>
          <w:numId w:val="28"/>
        </w:numPr>
        <w:spacing w:line="240" w:lineRule="auto"/>
        <w:ind w:left="851"/>
        <w:rPr>
          <w:rFonts w:asciiTheme="minorHAnsi" w:hAnsiTheme="minorHAnsi" w:cstheme="minorHAnsi"/>
          <w:color w:val="000000" w:themeColor="text1"/>
          <w:sz w:val="24"/>
          <w:lang w:val="es-CR"/>
        </w:rPr>
      </w:pPr>
      <w:r w:rsidRPr="0023319B">
        <w:rPr>
          <w:rFonts w:asciiTheme="minorHAnsi" w:hAnsiTheme="minorHAnsi" w:cstheme="minorHAnsi"/>
          <w:color w:val="000000" w:themeColor="text1"/>
          <w:sz w:val="24"/>
          <w:lang w:val="es-CR"/>
        </w:rPr>
        <w:t>Ley 7948 Ratificación de la Convención Interamericana para la Eliminación de todas las Formas de Discriminación contra las PcD.</w:t>
      </w:r>
    </w:p>
    <w:p w14:paraId="004866D4" w14:textId="77777777" w:rsidR="00D43FDE" w:rsidRPr="0023319B" w:rsidRDefault="00D43FDE" w:rsidP="00616702">
      <w:pPr>
        <w:pStyle w:val="Prrafodelista"/>
        <w:numPr>
          <w:ilvl w:val="1"/>
          <w:numId w:val="28"/>
        </w:numPr>
        <w:spacing w:line="240" w:lineRule="auto"/>
        <w:ind w:left="851"/>
        <w:rPr>
          <w:rFonts w:asciiTheme="minorHAnsi" w:hAnsiTheme="minorHAnsi" w:cstheme="minorHAnsi"/>
          <w:color w:val="000000" w:themeColor="text1"/>
          <w:sz w:val="24"/>
          <w:lang w:val="es-CR"/>
        </w:rPr>
      </w:pPr>
      <w:r w:rsidRPr="0023319B">
        <w:rPr>
          <w:rFonts w:asciiTheme="minorHAnsi" w:hAnsiTheme="minorHAnsi" w:cstheme="minorHAnsi"/>
          <w:color w:val="000000" w:themeColor="text1"/>
          <w:sz w:val="24"/>
          <w:lang w:val="es-CR"/>
        </w:rPr>
        <w:t>Ley 8661 Convención de los Derechos de las PcD y su protocolo facultativo.</w:t>
      </w:r>
    </w:p>
    <w:p w14:paraId="749D84FD" w14:textId="77777777" w:rsidR="00D43FDE" w:rsidRPr="0023319B" w:rsidRDefault="00D43FDE" w:rsidP="00D43FDE">
      <w:pPr>
        <w:pStyle w:val="Prrafodelista"/>
        <w:numPr>
          <w:ilvl w:val="1"/>
          <w:numId w:val="28"/>
        </w:numPr>
        <w:spacing w:line="360" w:lineRule="auto"/>
        <w:ind w:left="851"/>
        <w:rPr>
          <w:rFonts w:asciiTheme="minorHAnsi" w:hAnsiTheme="minorHAnsi" w:cstheme="minorHAnsi"/>
          <w:color w:val="000000" w:themeColor="text1"/>
          <w:sz w:val="24"/>
          <w:lang w:val="es-CR"/>
        </w:rPr>
      </w:pPr>
      <w:r w:rsidRPr="0023319B">
        <w:rPr>
          <w:rFonts w:asciiTheme="minorHAnsi" w:hAnsiTheme="minorHAnsi" w:cstheme="minorHAnsi"/>
          <w:color w:val="000000" w:themeColor="text1"/>
          <w:sz w:val="24"/>
          <w:lang w:val="es-CR"/>
        </w:rPr>
        <w:t>Ley 8662 Inclusión y Protección de las PcD en el Sector Público.</w:t>
      </w:r>
    </w:p>
    <w:p w14:paraId="21C2F929" w14:textId="77777777" w:rsidR="00D43FDE" w:rsidRPr="0023319B" w:rsidRDefault="00D43FDE" w:rsidP="006F015F">
      <w:pPr>
        <w:spacing w:before="240" w:after="240"/>
        <w:rPr>
          <w:rFonts w:ascii="Calibri" w:hAnsi="Calibri" w:cs="Calibri"/>
          <w:sz w:val="24"/>
          <w:szCs w:val="24"/>
          <w:lang w:val="es-CR"/>
        </w:rPr>
      </w:pPr>
    </w:p>
    <w:p w14:paraId="7FBFDEDC" w14:textId="23DE5674" w:rsidR="00B332E3" w:rsidRDefault="006F015F" w:rsidP="00BF51E9">
      <w:pPr>
        <w:spacing w:before="240" w:after="240"/>
        <w:rPr>
          <w:rFonts w:ascii="Calibri" w:hAnsi="Calibri" w:cs="Calibri"/>
          <w:sz w:val="24"/>
          <w:szCs w:val="24"/>
          <w:lang w:val="es-CR"/>
        </w:rPr>
      </w:pPr>
      <w:r w:rsidRPr="0023319B">
        <w:rPr>
          <w:rFonts w:ascii="Calibri" w:hAnsi="Calibri" w:cs="Calibri"/>
          <w:sz w:val="24"/>
          <w:szCs w:val="24"/>
          <w:lang w:val="es-CR"/>
        </w:rPr>
        <w:t>- Avance en medidas de mitigación de riesgos</w:t>
      </w:r>
    </w:p>
    <w:p w14:paraId="6CCE4B11" w14:textId="655D7E0B" w:rsidR="00D84EA9" w:rsidRPr="00D84EA9" w:rsidRDefault="00D84EA9" w:rsidP="00D84EA9">
      <w:pPr>
        <w:spacing w:before="240" w:after="240"/>
        <w:rPr>
          <w:rFonts w:ascii="Calibri" w:hAnsi="Calibri" w:cs="Calibri"/>
          <w:sz w:val="24"/>
          <w:szCs w:val="24"/>
          <w:lang w:val="es-CR"/>
        </w:rPr>
      </w:pPr>
      <w:r w:rsidRPr="00D84EA9">
        <w:rPr>
          <w:rFonts w:ascii="Calibri" w:hAnsi="Calibri" w:cs="Calibri"/>
          <w:sz w:val="24"/>
          <w:szCs w:val="24"/>
          <w:lang w:val="es-CR"/>
        </w:rPr>
        <w:t>Para el 2020 se estableci</w:t>
      </w:r>
      <w:r w:rsidR="009E0D17">
        <w:rPr>
          <w:rFonts w:ascii="Calibri" w:hAnsi="Calibri" w:cs="Calibri"/>
          <w:sz w:val="24"/>
          <w:szCs w:val="24"/>
          <w:lang w:val="es-CR"/>
        </w:rPr>
        <w:t>eron</w:t>
      </w:r>
      <w:r w:rsidRPr="00D84EA9">
        <w:rPr>
          <w:rFonts w:ascii="Calibri" w:hAnsi="Calibri" w:cs="Calibri"/>
          <w:sz w:val="24"/>
          <w:szCs w:val="24"/>
          <w:lang w:val="es-CR"/>
        </w:rPr>
        <w:t xml:space="preserve"> dos planes de acción para la mitigación de los riesgos detectados como producto de las evaluaciones de gestión integral de riesgos realizadas a nivel institucional, con corte a marzo y setiembre.</w:t>
      </w:r>
    </w:p>
    <w:p w14:paraId="6A776CE2" w14:textId="77777777" w:rsidR="00D84EA9" w:rsidRPr="00D84EA9" w:rsidRDefault="00D84EA9" w:rsidP="00D84EA9">
      <w:pPr>
        <w:spacing w:before="240" w:after="240"/>
        <w:rPr>
          <w:rFonts w:ascii="Calibri" w:hAnsi="Calibri" w:cs="Calibri"/>
          <w:sz w:val="24"/>
          <w:szCs w:val="24"/>
          <w:lang w:val="es-CR"/>
        </w:rPr>
      </w:pPr>
      <w:r w:rsidRPr="00D84EA9">
        <w:rPr>
          <w:rFonts w:ascii="Calibri" w:hAnsi="Calibri" w:cs="Calibri"/>
          <w:sz w:val="24"/>
          <w:szCs w:val="24"/>
          <w:lang w:val="es-CR"/>
        </w:rPr>
        <w:t>Como resultado del seguimiento a dichos planes de acción se tienen los siguientes resultados:</w:t>
      </w:r>
    </w:p>
    <w:p w14:paraId="4417B097" w14:textId="44751693" w:rsidR="00D84EA9" w:rsidRPr="00D84EA9" w:rsidRDefault="00D84EA9" w:rsidP="00FF3457">
      <w:pPr>
        <w:spacing w:before="240" w:after="240"/>
        <w:ind w:left="426" w:hanging="426"/>
        <w:rPr>
          <w:rFonts w:ascii="Calibri" w:hAnsi="Calibri" w:cs="Calibri"/>
          <w:sz w:val="24"/>
          <w:szCs w:val="24"/>
          <w:lang w:val="es-CR"/>
        </w:rPr>
      </w:pPr>
      <w:r w:rsidRPr="00D84EA9">
        <w:rPr>
          <w:rFonts w:ascii="Calibri" w:hAnsi="Calibri" w:cs="Calibri"/>
          <w:sz w:val="24"/>
          <w:szCs w:val="24"/>
          <w:lang w:val="es-CR"/>
        </w:rPr>
        <w:t>1.</w:t>
      </w:r>
      <w:r w:rsidRPr="00D84EA9">
        <w:rPr>
          <w:rFonts w:ascii="Calibri" w:hAnsi="Calibri" w:cs="Calibri"/>
          <w:sz w:val="24"/>
          <w:szCs w:val="24"/>
          <w:lang w:val="es-CR"/>
        </w:rPr>
        <w:tab/>
        <w:t xml:space="preserve">Para el informe a marzo 2020, fueron identificados ocho eventos de riesgos para los cuales se les definió un plan de acción con medidas adicionales de control con el fin de llevarlos a un nivel de impacto y probabilidad de ocurrencia aceptable según </w:t>
      </w:r>
      <w:r w:rsidR="00A22EE2">
        <w:rPr>
          <w:rFonts w:ascii="Calibri" w:hAnsi="Calibri" w:cs="Calibri"/>
          <w:sz w:val="24"/>
          <w:szCs w:val="24"/>
          <w:lang w:val="es-CR"/>
        </w:rPr>
        <w:t>la</w:t>
      </w:r>
      <w:r w:rsidRPr="00D84EA9">
        <w:rPr>
          <w:rFonts w:ascii="Calibri" w:hAnsi="Calibri" w:cs="Calibri"/>
          <w:sz w:val="24"/>
          <w:szCs w:val="24"/>
          <w:lang w:val="es-CR"/>
        </w:rPr>
        <w:t xml:space="preserve"> definición de apetito de riesgo; el plan de acción fue atendido satisfactoriamente y se logró un nivel de cumplimiento del 100% de las actividades previstas.</w:t>
      </w:r>
    </w:p>
    <w:p w14:paraId="23A778B5" w14:textId="2504D5B8" w:rsidR="00D84EA9" w:rsidRPr="0023319B" w:rsidRDefault="00D84EA9" w:rsidP="00FF3457">
      <w:pPr>
        <w:spacing w:before="240" w:after="240"/>
        <w:ind w:left="426" w:hanging="426"/>
        <w:rPr>
          <w:rFonts w:ascii="Calibri" w:hAnsi="Calibri" w:cs="Calibri"/>
          <w:sz w:val="24"/>
          <w:szCs w:val="24"/>
          <w:lang w:val="es-CR"/>
        </w:rPr>
      </w:pPr>
      <w:r w:rsidRPr="00D84EA9">
        <w:rPr>
          <w:rFonts w:ascii="Calibri" w:hAnsi="Calibri" w:cs="Calibri"/>
          <w:sz w:val="24"/>
          <w:szCs w:val="24"/>
          <w:lang w:val="es-CR"/>
        </w:rPr>
        <w:t>2.</w:t>
      </w:r>
      <w:r w:rsidRPr="00D84EA9">
        <w:rPr>
          <w:rFonts w:ascii="Calibri" w:hAnsi="Calibri" w:cs="Calibri"/>
          <w:sz w:val="24"/>
          <w:szCs w:val="24"/>
          <w:lang w:val="es-CR"/>
        </w:rPr>
        <w:tab/>
        <w:t>Para el informe a setiembre 2020, en el cual se refleja la actualización y resultado del proceso continuo de evaluación de riesgo institucional; se identifica un evento de riesgo institucional que requirió la definición de un plan de acción con medidas de mitigación adicional</w:t>
      </w:r>
      <w:r w:rsidR="00331E23">
        <w:rPr>
          <w:rFonts w:ascii="Calibri" w:hAnsi="Calibri" w:cs="Calibri"/>
          <w:sz w:val="24"/>
          <w:szCs w:val="24"/>
          <w:lang w:val="es-CR"/>
        </w:rPr>
        <w:t>es</w:t>
      </w:r>
      <w:r w:rsidRPr="00D84EA9">
        <w:rPr>
          <w:rFonts w:ascii="Calibri" w:hAnsi="Calibri" w:cs="Calibri"/>
          <w:sz w:val="24"/>
          <w:szCs w:val="24"/>
          <w:lang w:val="es-CR"/>
        </w:rPr>
        <w:t>; el grado de avance en la atención de las actividades definidas para este evento al 31 de diciembre se considera satisfactorio según lo planeado, ya que se han atendido oportunamente las actividades programadas.</w:t>
      </w:r>
    </w:p>
    <w:p w14:paraId="4EA23091" w14:textId="57AAAF2C" w:rsidR="00CE0E74" w:rsidRPr="0023319B" w:rsidRDefault="00CE0E74">
      <w:pPr>
        <w:spacing w:line="240" w:lineRule="auto"/>
        <w:jc w:val="left"/>
        <w:rPr>
          <w:rFonts w:ascii="Calibri" w:hAnsi="Calibri" w:cs="Calibri"/>
          <w:sz w:val="24"/>
          <w:szCs w:val="24"/>
          <w:lang w:val="es-CR"/>
        </w:rPr>
      </w:pPr>
      <w:r w:rsidRPr="0023319B">
        <w:rPr>
          <w:rFonts w:ascii="Calibri" w:hAnsi="Calibri" w:cs="Calibri"/>
          <w:sz w:val="24"/>
          <w:szCs w:val="24"/>
          <w:lang w:val="es-CR"/>
        </w:rPr>
        <w:br w:type="page"/>
      </w:r>
    </w:p>
    <w:p w14:paraId="64DC7A56" w14:textId="50E6DAA3" w:rsidR="00225437" w:rsidRPr="0023319B" w:rsidRDefault="00CE0E74" w:rsidP="00093594">
      <w:pPr>
        <w:pStyle w:val="Ttulo1"/>
        <w:pBdr>
          <w:bottom w:val="none" w:sz="0" w:space="0" w:color="auto"/>
        </w:pBdr>
        <w:shd w:val="clear" w:color="auto" w:fill="auto"/>
        <w:spacing w:line="288" w:lineRule="auto"/>
        <w:ind w:right="51"/>
        <w:rPr>
          <w:rFonts w:asciiTheme="minorHAnsi" w:hAnsiTheme="minorHAnsi" w:cstheme="minorHAnsi"/>
          <w:i/>
          <w:color w:val="000080"/>
          <w:sz w:val="28"/>
          <w:szCs w:val="24"/>
          <w:lang w:val="es-CR"/>
        </w:rPr>
      </w:pPr>
      <w:bookmarkStart w:id="115" w:name="_Toc23842389"/>
      <w:bookmarkStart w:id="116" w:name="_Toc109179114"/>
      <w:bookmarkStart w:id="117" w:name="_Toc131912458"/>
      <w:bookmarkStart w:id="118" w:name="_Toc163371963"/>
      <w:bookmarkStart w:id="119" w:name="_Toc195505396"/>
      <w:bookmarkStart w:id="120" w:name="_Toc226364829"/>
      <w:bookmarkStart w:id="121" w:name="_Toc273448684"/>
      <w:bookmarkStart w:id="122" w:name="_Toc61081404"/>
      <w:bookmarkEnd w:id="29"/>
      <w:bookmarkEnd w:id="30"/>
      <w:r w:rsidRPr="0023319B">
        <w:rPr>
          <w:rFonts w:asciiTheme="minorHAnsi" w:hAnsiTheme="minorHAnsi" w:cstheme="minorHAnsi"/>
          <w:i/>
          <w:color w:val="000080"/>
          <w:sz w:val="28"/>
          <w:szCs w:val="24"/>
          <w:lang w:val="es-CR"/>
        </w:rPr>
        <w:t>III</w:t>
      </w:r>
      <w:r w:rsidR="00225437" w:rsidRPr="0023319B">
        <w:rPr>
          <w:rFonts w:asciiTheme="minorHAnsi" w:hAnsiTheme="minorHAnsi" w:cstheme="minorHAnsi"/>
          <w:i/>
          <w:color w:val="000080"/>
          <w:sz w:val="28"/>
          <w:szCs w:val="24"/>
          <w:lang w:val="es-CR"/>
        </w:rPr>
        <w:t>.</w:t>
      </w:r>
      <w:r w:rsidR="00225437" w:rsidRPr="0023319B">
        <w:rPr>
          <w:rFonts w:asciiTheme="minorHAnsi" w:hAnsiTheme="minorHAnsi" w:cstheme="minorHAnsi"/>
          <w:i/>
          <w:color w:val="000080"/>
          <w:sz w:val="28"/>
          <w:szCs w:val="24"/>
          <w:lang w:val="es-CR"/>
        </w:rPr>
        <w:tab/>
        <w:t>Resumen</w:t>
      </w:r>
      <w:bookmarkEnd w:id="115"/>
      <w:bookmarkEnd w:id="116"/>
      <w:bookmarkEnd w:id="117"/>
      <w:bookmarkEnd w:id="118"/>
      <w:bookmarkEnd w:id="119"/>
      <w:bookmarkEnd w:id="120"/>
      <w:bookmarkEnd w:id="121"/>
      <w:bookmarkEnd w:id="122"/>
    </w:p>
    <w:p w14:paraId="64DC7A57" w14:textId="77777777" w:rsidR="00225437" w:rsidRPr="0023319B" w:rsidRDefault="00225437" w:rsidP="00093594">
      <w:pPr>
        <w:spacing w:line="288" w:lineRule="auto"/>
        <w:ind w:right="51"/>
        <w:rPr>
          <w:rFonts w:asciiTheme="minorHAnsi" w:hAnsiTheme="minorHAnsi" w:cstheme="minorHAnsi"/>
          <w:sz w:val="24"/>
          <w:szCs w:val="24"/>
          <w:lang w:val="es-CR"/>
        </w:rPr>
      </w:pPr>
    </w:p>
    <w:p w14:paraId="64DC7A58" w14:textId="5775DD42" w:rsidR="00225437" w:rsidRPr="0023319B" w:rsidRDefault="00225437" w:rsidP="00093594">
      <w:pPr>
        <w:ind w:right="51"/>
        <w:rPr>
          <w:rFonts w:asciiTheme="minorHAnsi" w:hAnsiTheme="minorHAnsi" w:cstheme="minorHAnsi"/>
          <w:sz w:val="24"/>
          <w:szCs w:val="24"/>
          <w:lang w:val="es-CR"/>
        </w:rPr>
      </w:pPr>
      <w:r w:rsidRPr="0023319B">
        <w:rPr>
          <w:rFonts w:asciiTheme="minorHAnsi" w:hAnsiTheme="minorHAnsi" w:cstheme="minorHAnsi"/>
          <w:sz w:val="24"/>
          <w:szCs w:val="24"/>
          <w:lang w:val="es-CR"/>
        </w:rPr>
        <w:t xml:space="preserve">Al finalizar este </w:t>
      </w:r>
      <w:r w:rsidR="00C74175" w:rsidRPr="0023319B">
        <w:rPr>
          <w:rFonts w:asciiTheme="minorHAnsi" w:hAnsiTheme="minorHAnsi" w:cstheme="minorHAnsi"/>
          <w:sz w:val="24"/>
          <w:szCs w:val="24"/>
          <w:lang w:val="es-CR"/>
        </w:rPr>
        <w:t>período</w:t>
      </w:r>
      <w:r w:rsidRPr="0023319B">
        <w:rPr>
          <w:rFonts w:asciiTheme="minorHAnsi" w:hAnsiTheme="minorHAnsi" w:cstheme="minorHAnsi"/>
          <w:sz w:val="24"/>
          <w:szCs w:val="24"/>
          <w:lang w:val="es-CR"/>
        </w:rPr>
        <w:t xml:space="preserve">, el presupuesto aprobado para la </w:t>
      </w:r>
      <w:r w:rsidR="00F61278" w:rsidRPr="0023319B">
        <w:rPr>
          <w:rFonts w:asciiTheme="minorHAnsi" w:hAnsiTheme="minorHAnsi" w:cstheme="minorHAnsi"/>
          <w:sz w:val="24"/>
          <w:szCs w:val="24"/>
          <w:lang w:val="es-CR"/>
        </w:rPr>
        <w:t>SUPEN</w:t>
      </w:r>
      <w:r w:rsidRPr="0023319B">
        <w:rPr>
          <w:rFonts w:asciiTheme="minorHAnsi" w:hAnsiTheme="minorHAnsi" w:cstheme="minorHAnsi"/>
          <w:sz w:val="24"/>
          <w:szCs w:val="24"/>
          <w:lang w:val="es-CR"/>
        </w:rPr>
        <w:t xml:space="preserve"> por la suma de ¢</w:t>
      </w:r>
      <w:r w:rsidR="00E553FA" w:rsidRPr="0023319B">
        <w:rPr>
          <w:rFonts w:asciiTheme="minorHAnsi" w:hAnsiTheme="minorHAnsi" w:cstheme="minorHAnsi"/>
          <w:sz w:val="24"/>
          <w:szCs w:val="24"/>
          <w:lang w:val="es-CR"/>
        </w:rPr>
        <w:t>5.</w:t>
      </w:r>
      <w:r w:rsidR="001106C7" w:rsidRPr="0023319B">
        <w:rPr>
          <w:rFonts w:asciiTheme="minorHAnsi" w:hAnsiTheme="minorHAnsi" w:cstheme="minorHAnsi"/>
          <w:sz w:val="24"/>
          <w:szCs w:val="24"/>
          <w:lang w:val="es-CR"/>
        </w:rPr>
        <w:t>645,7</w:t>
      </w:r>
      <w:r w:rsidRPr="0023319B">
        <w:rPr>
          <w:rFonts w:asciiTheme="minorHAnsi" w:hAnsiTheme="minorHAnsi" w:cstheme="minorHAnsi"/>
          <w:sz w:val="24"/>
          <w:szCs w:val="24"/>
          <w:lang w:val="es-CR"/>
        </w:rPr>
        <w:t xml:space="preserve"> millones, alcanzó una ejecución de ¢</w:t>
      </w:r>
      <w:r w:rsidR="00760734" w:rsidRPr="0023319B">
        <w:rPr>
          <w:rFonts w:asciiTheme="minorHAnsi" w:hAnsiTheme="minorHAnsi" w:cstheme="minorHAnsi"/>
          <w:sz w:val="24"/>
          <w:szCs w:val="24"/>
          <w:lang w:val="es-CR"/>
        </w:rPr>
        <w:t>4 511</w:t>
      </w:r>
      <w:r w:rsidR="005047FB" w:rsidRPr="0023319B">
        <w:rPr>
          <w:rFonts w:asciiTheme="minorHAnsi" w:hAnsiTheme="minorHAnsi" w:cstheme="minorHAnsi"/>
          <w:sz w:val="24"/>
          <w:szCs w:val="24"/>
          <w:lang w:val="es-CR"/>
        </w:rPr>
        <w:t>,0</w:t>
      </w:r>
      <w:r w:rsidR="00292DE9" w:rsidRPr="0023319B">
        <w:rPr>
          <w:rFonts w:asciiTheme="minorHAnsi" w:hAnsiTheme="minorHAnsi" w:cstheme="minorHAnsi"/>
          <w:sz w:val="24"/>
          <w:szCs w:val="24"/>
          <w:lang w:val="es-CR"/>
        </w:rPr>
        <w:t xml:space="preserve"> millones,</w:t>
      </w:r>
      <w:r w:rsidR="00F52C82" w:rsidRPr="0023319B">
        <w:rPr>
          <w:rFonts w:asciiTheme="minorHAnsi" w:hAnsiTheme="minorHAnsi" w:cstheme="minorHAnsi"/>
          <w:sz w:val="24"/>
          <w:szCs w:val="24"/>
          <w:lang w:val="es-CR"/>
        </w:rPr>
        <w:t xml:space="preserve"> </w:t>
      </w:r>
      <w:r w:rsidRPr="0023319B">
        <w:rPr>
          <w:rFonts w:asciiTheme="minorHAnsi" w:hAnsiTheme="minorHAnsi" w:cstheme="minorHAnsi"/>
          <w:sz w:val="24"/>
          <w:szCs w:val="24"/>
          <w:lang w:val="es-CR"/>
        </w:rPr>
        <w:t xml:space="preserve">suma que equivale al </w:t>
      </w:r>
      <w:r w:rsidR="005047FB" w:rsidRPr="0023319B">
        <w:rPr>
          <w:rFonts w:asciiTheme="minorHAnsi" w:hAnsiTheme="minorHAnsi" w:cstheme="minorHAnsi"/>
          <w:sz w:val="24"/>
          <w:szCs w:val="24"/>
          <w:lang w:val="es-CR"/>
        </w:rPr>
        <w:t>8</w:t>
      </w:r>
      <w:r w:rsidR="00760734" w:rsidRPr="0023319B">
        <w:rPr>
          <w:rFonts w:asciiTheme="minorHAnsi" w:hAnsiTheme="minorHAnsi" w:cstheme="minorHAnsi"/>
          <w:sz w:val="24"/>
          <w:szCs w:val="24"/>
          <w:lang w:val="es-CR"/>
        </w:rPr>
        <w:t>0</w:t>
      </w:r>
      <w:r w:rsidRPr="0023319B">
        <w:rPr>
          <w:rFonts w:asciiTheme="minorHAnsi" w:hAnsiTheme="minorHAnsi" w:cstheme="minorHAnsi"/>
          <w:sz w:val="24"/>
          <w:szCs w:val="24"/>
          <w:lang w:val="es-CR"/>
        </w:rPr>
        <w:t>% del presupuesto total.</w:t>
      </w:r>
    </w:p>
    <w:p w14:paraId="1278198C" w14:textId="117CDB61" w:rsidR="0053162D" w:rsidRPr="0023319B" w:rsidRDefault="0053162D" w:rsidP="00093594">
      <w:pPr>
        <w:ind w:right="51"/>
        <w:rPr>
          <w:rFonts w:asciiTheme="minorHAnsi" w:hAnsiTheme="minorHAnsi" w:cstheme="minorHAnsi"/>
          <w:sz w:val="24"/>
          <w:szCs w:val="24"/>
          <w:lang w:val="es-CR"/>
        </w:rPr>
      </w:pPr>
    </w:p>
    <w:p w14:paraId="7DF8CC89" w14:textId="2912941D" w:rsidR="0053162D" w:rsidRPr="0023319B" w:rsidRDefault="0053162D" w:rsidP="00093594">
      <w:pPr>
        <w:ind w:right="51"/>
        <w:rPr>
          <w:rFonts w:asciiTheme="minorHAnsi" w:hAnsiTheme="minorHAnsi" w:cstheme="minorHAnsi"/>
          <w:sz w:val="24"/>
          <w:szCs w:val="24"/>
          <w:lang w:val="es-CR"/>
        </w:rPr>
      </w:pPr>
      <w:r w:rsidRPr="0023319B">
        <w:rPr>
          <w:rFonts w:asciiTheme="minorHAnsi" w:hAnsiTheme="minorHAnsi" w:cstheme="minorHAnsi"/>
          <w:sz w:val="24"/>
          <w:szCs w:val="24"/>
          <w:lang w:val="es-CR"/>
        </w:rPr>
        <w:t xml:space="preserve">El gráfico </w:t>
      </w:r>
      <w:r w:rsidR="00FB405B" w:rsidRPr="0023319B">
        <w:rPr>
          <w:rFonts w:asciiTheme="minorHAnsi" w:hAnsiTheme="minorHAnsi" w:cstheme="minorHAnsi"/>
          <w:sz w:val="24"/>
          <w:szCs w:val="24"/>
          <w:lang w:val="es-CR"/>
        </w:rPr>
        <w:t xml:space="preserve">número </w:t>
      </w:r>
      <w:r w:rsidR="00EE485C" w:rsidRPr="0023319B">
        <w:rPr>
          <w:rFonts w:asciiTheme="minorHAnsi" w:hAnsiTheme="minorHAnsi" w:cstheme="minorHAnsi"/>
          <w:sz w:val="24"/>
          <w:szCs w:val="24"/>
          <w:lang w:val="es-CR"/>
        </w:rPr>
        <w:t xml:space="preserve">uno </w:t>
      </w:r>
      <w:r w:rsidR="00FB405B" w:rsidRPr="0023319B">
        <w:rPr>
          <w:rFonts w:asciiTheme="minorHAnsi" w:hAnsiTheme="minorHAnsi" w:cstheme="minorHAnsi"/>
          <w:sz w:val="24"/>
          <w:szCs w:val="24"/>
          <w:lang w:val="es-CR"/>
        </w:rPr>
        <w:t>de la sección de anexo detall</w:t>
      </w:r>
      <w:r w:rsidR="008B6577" w:rsidRPr="0023319B">
        <w:rPr>
          <w:rFonts w:asciiTheme="minorHAnsi" w:hAnsiTheme="minorHAnsi" w:cstheme="minorHAnsi"/>
          <w:sz w:val="24"/>
          <w:szCs w:val="24"/>
          <w:lang w:val="es-CR"/>
        </w:rPr>
        <w:t>a</w:t>
      </w:r>
      <w:r w:rsidR="00FB405B" w:rsidRPr="0023319B">
        <w:rPr>
          <w:rFonts w:asciiTheme="minorHAnsi" w:hAnsiTheme="minorHAnsi" w:cstheme="minorHAnsi"/>
          <w:sz w:val="24"/>
          <w:szCs w:val="24"/>
          <w:lang w:val="es-CR"/>
        </w:rPr>
        <w:t xml:space="preserve"> </w:t>
      </w:r>
      <w:r w:rsidR="008B6577" w:rsidRPr="0023319B">
        <w:rPr>
          <w:rFonts w:asciiTheme="minorHAnsi" w:hAnsiTheme="minorHAnsi" w:cstheme="minorHAnsi"/>
          <w:sz w:val="24"/>
          <w:szCs w:val="24"/>
          <w:lang w:val="es-CR"/>
        </w:rPr>
        <w:t>la composición d</w:t>
      </w:r>
      <w:r w:rsidR="00FB405B" w:rsidRPr="0023319B">
        <w:rPr>
          <w:rFonts w:asciiTheme="minorHAnsi" w:hAnsiTheme="minorHAnsi" w:cstheme="minorHAnsi"/>
          <w:sz w:val="24"/>
          <w:szCs w:val="24"/>
          <w:lang w:val="es-CR"/>
        </w:rPr>
        <w:t xml:space="preserve">el presupuesto </w:t>
      </w:r>
      <w:r w:rsidR="00EE485C" w:rsidRPr="0023319B">
        <w:rPr>
          <w:rFonts w:asciiTheme="minorHAnsi" w:hAnsiTheme="minorHAnsi" w:cstheme="minorHAnsi"/>
          <w:sz w:val="24"/>
          <w:szCs w:val="24"/>
          <w:lang w:val="es-CR"/>
        </w:rPr>
        <w:t xml:space="preserve">y </w:t>
      </w:r>
      <w:r w:rsidR="00DF016D" w:rsidRPr="0023319B">
        <w:rPr>
          <w:rFonts w:asciiTheme="minorHAnsi" w:hAnsiTheme="minorHAnsi" w:cstheme="minorHAnsi"/>
          <w:sz w:val="24"/>
          <w:szCs w:val="24"/>
          <w:lang w:val="es-CR"/>
        </w:rPr>
        <w:t>los</w:t>
      </w:r>
      <w:r w:rsidR="00EE485C" w:rsidRPr="0023319B">
        <w:rPr>
          <w:rFonts w:asciiTheme="minorHAnsi" w:hAnsiTheme="minorHAnsi" w:cstheme="minorHAnsi"/>
          <w:sz w:val="24"/>
          <w:szCs w:val="24"/>
          <w:lang w:val="es-CR"/>
        </w:rPr>
        <w:t xml:space="preserve"> gráfico</w:t>
      </w:r>
      <w:r w:rsidR="00DF016D" w:rsidRPr="0023319B">
        <w:rPr>
          <w:rFonts w:asciiTheme="minorHAnsi" w:hAnsiTheme="minorHAnsi" w:cstheme="minorHAnsi"/>
          <w:sz w:val="24"/>
          <w:szCs w:val="24"/>
          <w:lang w:val="es-CR"/>
        </w:rPr>
        <w:t>s dos y</w:t>
      </w:r>
      <w:r w:rsidR="00EE485C" w:rsidRPr="0023319B">
        <w:rPr>
          <w:rFonts w:asciiTheme="minorHAnsi" w:hAnsiTheme="minorHAnsi" w:cstheme="minorHAnsi"/>
          <w:sz w:val="24"/>
          <w:szCs w:val="24"/>
          <w:lang w:val="es-CR"/>
        </w:rPr>
        <w:t xml:space="preserve"> tres </w:t>
      </w:r>
      <w:r w:rsidR="005E2AD2" w:rsidRPr="0023319B">
        <w:rPr>
          <w:rFonts w:asciiTheme="minorHAnsi" w:hAnsiTheme="minorHAnsi" w:cstheme="minorHAnsi"/>
          <w:sz w:val="24"/>
          <w:szCs w:val="24"/>
          <w:lang w:val="es-CR"/>
        </w:rPr>
        <w:t xml:space="preserve">muestran </w:t>
      </w:r>
      <w:r w:rsidR="00093AF0" w:rsidRPr="0023319B">
        <w:rPr>
          <w:rFonts w:asciiTheme="minorHAnsi" w:hAnsiTheme="minorHAnsi" w:cstheme="minorHAnsi"/>
          <w:sz w:val="24"/>
          <w:szCs w:val="24"/>
          <w:lang w:val="es-CR"/>
        </w:rPr>
        <w:t xml:space="preserve">el porcentaje de ejecución </w:t>
      </w:r>
      <w:r w:rsidR="00E91727" w:rsidRPr="0023319B">
        <w:rPr>
          <w:rFonts w:asciiTheme="minorHAnsi" w:hAnsiTheme="minorHAnsi" w:cstheme="minorHAnsi"/>
          <w:sz w:val="24"/>
          <w:szCs w:val="24"/>
          <w:lang w:val="es-CR"/>
        </w:rPr>
        <w:t>total</w:t>
      </w:r>
      <w:r w:rsidR="0013304B" w:rsidRPr="0023319B">
        <w:rPr>
          <w:rFonts w:asciiTheme="minorHAnsi" w:hAnsiTheme="minorHAnsi" w:cstheme="minorHAnsi"/>
          <w:sz w:val="24"/>
          <w:szCs w:val="24"/>
          <w:lang w:val="es-CR"/>
        </w:rPr>
        <w:t xml:space="preserve"> y</w:t>
      </w:r>
      <w:r w:rsidR="00E91727" w:rsidRPr="0023319B">
        <w:rPr>
          <w:rFonts w:asciiTheme="minorHAnsi" w:hAnsiTheme="minorHAnsi" w:cstheme="minorHAnsi"/>
          <w:sz w:val="24"/>
          <w:szCs w:val="24"/>
          <w:lang w:val="es-CR"/>
        </w:rPr>
        <w:t xml:space="preserve"> </w:t>
      </w:r>
      <w:r w:rsidR="00093AF0" w:rsidRPr="0023319B">
        <w:rPr>
          <w:rFonts w:asciiTheme="minorHAnsi" w:hAnsiTheme="minorHAnsi" w:cstheme="minorHAnsi"/>
          <w:sz w:val="24"/>
          <w:szCs w:val="24"/>
          <w:lang w:val="es-CR"/>
        </w:rPr>
        <w:t>por cuenta</w:t>
      </w:r>
      <w:r w:rsidR="0032371F" w:rsidRPr="0023319B">
        <w:rPr>
          <w:rFonts w:asciiTheme="minorHAnsi" w:hAnsiTheme="minorHAnsi" w:cstheme="minorHAnsi"/>
          <w:sz w:val="24"/>
          <w:szCs w:val="24"/>
          <w:lang w:val="es-CR"/>
        </w:rPr>
        <w:t xml:space="preserve"> mayor</w:t>
      </w:r>
      <w:r w:rsidR="001520B2" w:rsidRPr="0023319B">
        <w:rPr>
          <w:rFonts w:asciiTheme="minorHAnsi" w:hAnsiTheme="minorHAnsi" w:cstheme="minorHAnsi"/>
          <w:sz w:val="24"/>
          <w:szCs w:val="24"/>
          <w:lang w:val="es-CR"/>
        </w:rPr>
        <w:t>.</w:t>
      </w:r>
    </w:p>
    <w:p w14:paraId="64DC7A59" w14:textId="74D3F5EF" w:rsidR="00225437" w:rsidRPr="0023319B" w:rsidRDefault="00225437" w:rsidP="00093594">
      <w:pPr>
        <w:ind w:right="51"/>
        <w:rPr>
          <w:rFonts w:asciiTheme="minorHAnsi" w:hAnsiTheme="minorHAnsi" w:cstheme="minorHAnsi"/>
          <w:sz w:val="24"/>
          <w:szCs w:val="24"/>
          <w:lang w:val="es-CR"/>
        </w:rPr>
      </w:pPr>
    </w:p>
    <w:p w14:paraId="028EC9F0" w14:textId="4396421C" w:rsidR="00BF51E9" w:rsidRPr="0023319B" w:rsidRDefault="00D75819" w:rsidP="00093594">
      <w:pPr>
        <w:ind w:right="51"/>
        <w:rPr>
          <w:rFonts w:asciiTheme="minorHAnsi" w:hAnsiTheme="minorHAnsi" w:cstheme="minorHAnsi"/>
          <w:sz w:val="24"/>
          <w:szCs w:val="24"/>
          <w:lang w:val="es-CR"/>
        </w:rPr>
      </w:pPr>
      <w:r w:rsidRPr="005A378A">
        <w:rPr>
          <w:rFonts w:asciiTheme="minorHAnsi" w:hAnsiTheme="minorHAnsi" w:cstheme="minorHAnsi"/>
          <w:sz w:val="24"/>
          <w:szCs w:val="24"/>
          <w:lang w:val="es-CR"/>
        </w:rPr>
        <w:t>En lo que respecta al logro de las metas</w:t>
      </w:r>
      <w:r w:rsidR="00C0175A" w:rsidRPr="005A378A">
        <w:rPr>
          <w:rFonts w:asciiTheme="minorHAnsi" w:hAnsiTheme="minorHAnsi" w:cstheme="minorHAnsi"/>
          <w:sz w:val="24"/>
          <w:szCs w:val="24"/>
          <w:lang w:val="es-CR"/>
        </w:rPr>
        <w:t xml:space="preserve"> se observa que la SUPEN obtuvo </w:t>
      </w:r>
      <w:r w:rsidR="005A378A">
        <w:rPr>
          <w:rFonts w:asciiTheme="minorHAnsi" w:hAnsiTheme="minorHAnsi" w:cstheme="minorHAnsi"/>
          <w:sz w:val="24"/>
          <w:szCs w:val="24"/>
          <w:lang w:val="es-CR"/>
        </w:rPr>
        <w:t>una nota ge</w:t>
      </w:r>
      <w:r w:rsidR="00410417">
        <w:rPr>
          <w:rFonts w:asciiTheme="minorHAnsi" w:hAnsiTheme="minorHAnsi" w:cstheme="minorHAnsi"/>
          <w:sz w:val="24"/>
          <w:szCs w:val="24"/>
          <w:lang w:val="es-CR"/>
        </w:rPr>
        <w:t>neral de</w:t>
      </w:r>
      <w:r w:rsidR="002E6EB8">
        <w:rPr>
          <w:rFonts w:asciiTheme="minorHAnsi" w:hAnsiTheme="minorHAnsi" w:cstheme="minorHAnsi"/>
          <w:sz w:val="24"/>
          <w:szCs w:val="24"/>
          <w:lang w:val="es-CR"/>
        </w:rPr>
        <w:t xml:space="preserve"> </w:t>
      </w:r>
      <w:r w:rsidR="00C0175A" w:rsidRPr="005A378A">
        <w:rPr>
          <w:rFonts w:asciiTheme="minorHAnsi" w:hAnsiTheme="minorHAnsi" w:cstheme="minorHAnsi"/>
          <w:sz w:val="24"/>
          <w:szCs w:val="24"/>
          <w:lang w:val="es-CR"/>
        </w:rPr>
        <w:t>la nota del 91%</w:t>
      </w:r>
      <w:r w:rsidR="00C0175A" w:rsidRPr="00C0175A">
        <w:rPr>
          <w:rFonts w:asciiTheme="minorHAnsi" w:hAnsiTheme="minorHAnsi" w:cstheme="minorHAnsi"/>
          <w:sz w:val="24"/>
          <w:szCs w:val="24"/>
          <w:lang w:val="es-CR"/>
        </w:rPr>
        <w:t xml:space="preserve"> como resultado de los trabajos realizados en proporción con los trabajos programados, </w:t>
      </w:r>
      <w:r w:rsidR="00D97F8E">
        <w:rPr>
          <w:rFonts w:asciiTheme="minorHAnsi" w:hAnsiTheme="minorHAnsi" w:cstheme="minorHAnsi"/>
          <w:sz w:val="24"/>
          <w:szCs w:val="24"/>
          <w:lang w:val="es-CR"/>
        </w:rPr>
        <w:t>en cada uno de los cinco procesos que la conforman</w:t>
      </w:r>
      <w:r w:rsidR="00C0175A" w:rsidRPr="00C0175A">
        <w:rPr>
          <w:rFonts w:asciiTheme="minorHAnsi" w:hAnsiTheme="minorHAnsi" w:cstheme="minorHAnsi"/>
          <w:sz w:val="24"/>
          <w:szCs w:val="24"/>
          <w:lang w:val="es-CR"/>
        </w:rPr>
        <w:t>.</w:t>
      </w:r>
    </w:p>
    <w:p w14:paraId="57F9E342" w14:textId="695233E4" w:rsidR="006F3D82" w:rsidRDefault="006F3D82" w:rsidP="00093594">
      <w:pPr>
        <w:ind w:right="51"/>
        <w:rPr>
          <w:rFonts w:asciiTheme="minorHAnsi" w:hAnsiTheme="minorHAnsi" w:cstheme="minorHAnsi"/>
          <w:sz w:val="24"/>
          <w:szCs w:val="24"/>
          <w:lang w:val="es-CR"/>
        </w:rPr>
      </w:pPr>
    </w:p>
    <w:p w14:paraId="119DAB97" w14:textId="77777777" w:rsidR="004F7D04" w:rsidRPr="0023319B" w:rsidRDefault="004F7D04" w:rsidP="00093594">
      <w:pPr>
        <w:ind w:right="51"/>
        <w:rPr>
          <w:rFonts w:asciiTheme="minorHAnsi" w:hAnsiTheme="minorHAnsi" w:cstheme="minorHAnsi"/>
          <w:sz w:val="24"/>
          <w:szCs w:val="24"/>
          <w:lang w:val="es-CR"/>
        </w:rPr>
      </w:pPr>
    </w:p>
    <w:p w14:paraId="64DC7A63" w14:textId="09DD1666" w:rsidR="00225437" w:rsidRPr="0023319B" w:rsidRDefault="006061EA" w:rsidP="00093594">
      <w:pPr>
        <w:pStyle w:val="Ttulo1"/>
        <w:pBdr>
          <w:bottom w:val="none" w:sz="0" w:space="0" w:color="auto"/>
        </w:pBdr>
        <w:shd w:val="clear" w:color="auto" w:fill="auto"/>
        <w:spacing w:line="288" w:lineRule="auto"/>
        <w:ind w:right="51"/>
        <w:rPr>
          <w:rFonts w:asciiTheme="minorHAnsi" w:hAnsiTheme="minorHAnsi" w:cstheme="minorHAnsi"/>
          <w:i/>
          <w:color w:val="000080"/>
          <w:sz w:val="28"/>
          <w:szCs w:val="24"/>
          <w:lang w:val="es-CR"/>
        </w:rPr>
      </w:pPr>
      <w:bookmarkStart w:id="123" w:name="_Toc23842390"/>
      <w:bookmarkStart w:id="124" w:name="_Toc109179115"/>
      <w:bookmarkStart w:id="125" w:name="_Toc131912459"/>
      <w:bookmarkStart w:id="126" w:name="_Toc163371964"/>
      <w:bookmarkStart w:id="127" w:name="_Toc195505397"/>
      <w:bookmarkStart w:id="128" w:name="_Toc226364830"/>
      <w:bookmarkStart w:id="129" w:name="_Toc273448685"/>
      <w:bookmarkStart w:id="130" w:name="_Toc61081405"/>
      <w:r w:rsidRPr="0023319B">
        <w:rPr>
          <w:rFonts w:asciiTheme="minorHAnsi" w:hAnsiTheme="minorHAnsi" w:cstheme="minorHAnsi"/>
          <w:i/>
          <w:color w:val="000080"/>
          <w:sz w:val="28"/>
          <w:szCs w:val="24"/>
          <w:lang w:val="es-CR"/>
        </w:rPr>
        <w:t>IV</w:t>
      </w:r>
      <w:r w:rsidR="00225437" w:rsidRPr="0023319B">
        <w:rPr>
          <w:rFonts w:asciiTheme="minorHAnsi" w:hAnsiTheme="minorHAnsi" w:cstheme="minorHAnsi"/>
          <w:i/>
          <w:color w:val="000080"/>
          <w:sz w:val="28"/>
          <w:szCs w:val="24"/>
          <w:lang w:val="es-CR"/>
        </w:rPr>
        <w:t>.</w:t>
      </w:r>
      <w:r w:rsidR="00225437" w:rsidRPr="0023319B">
        <w:rPr>
          <w:rFonts w:asciiTheme="minorHAnsi" w:hAnsiTheme="minorHAnsi" w:cstheme="minorHAnsi"/>
          <w:i/>
          <w:color w:val="000080"/>
          <w:sz w:val="28"/>
          <w:szCs w:val="24"/>
          <w:lang w:val="es-CR"/>
        </w:rPr>
        <w:tab/>
        <w:t>Conclusión</w:t>
      </w:r>
      <w:bookmarkEnd w:id="123"/>
      <w:bookmarkEnd w:id="124"/>
      <w:bookmarkEnd w:id="125"/>
      <w:bookmarkEnd w:id="126"/>
      <w:bookmarkEnd w:id="127"/>
      <w:bookmarkEnd w:id="128"/>
      <w:bookmarkEnd w:id="129"/>
      <w:bookmarkEnd w:id="130"/>
    </w:p>
    <w:p w14:paraId="64DC7A64" w14:textId="77777777" w:rsidR="00225437" w:rsidRPr="0023319B" w:rsidRDefault="00225437" w:rsidP="007664A3">
      <w:pPr>
        <w:ind w:right="51"/>
        <w:rPr>
          <w:rFonts w:asciiTheme="minorHAnsi" w:hAnsiTheme="minorHAnsi" w:cstheme="minorHAnsi"/>
          <w:sz w:val="24"/>
          <w:szCs w:val="24"/>
          <w:lang w:val="es-CR"/>
        </w:rPr>
      </w:pPr>
    </w:p>
    <w:p w14:paraId="64DC7A66" w14:textId="407E2322" w:rsidR="00225437" w:rsidRPr="0023319B" w:rsidRDefault="00225437" w:rsidP="00093594">
      <w:pPr>
        <w:ind w:right="51"/>
        <w:rPr>
          <w:rFonts w:asciiTheme="minorHAnsi" w:hAnsiTheme="minorHAnsi" w:cstheme="minorHAnsi"/>
          <w:sz w:val="24"/>
          <w:szCs w:val="24"/>
          <w:lang w:val="es-CR"/>
        </w:rPr>
      </w:pPr>
      <w:r w:rsidRPr="00794759">
        <w:rPr>
          <w:rFonts w:asciiTheme="minorHAnsi" w:hAnsiTheme="minorHAnsi" w:cstheme="minorHAnsi"/>
          <w:sz w:val="24"/>
          <w:szCs w:val="24"/>
          <w:lang w:val="es-CR"/>
        </w:rPr>
        <w:t>El presupuesto para el 20</w:t>
      </w:r>
      <w:r w:rsidR="00C13784" w:rsidRPr="00794759">
        <w:rPr>
          <w:rFonts w:asciiTheme="minorHAnsi" w:hAnsiTheme="minorHAnsi" w:cstheme="minorHAnsi"/>
          <w:sz w:val="24"/>
          <w:szCs w:val="24"/>
          <w:lang w:val="es-CR"/>
        </w:rPr>
        <w:t>20</w:t>
      </w:r>
      <w:r w:rsidRPr="00794759">
        <w:rPr>
          <w:rFonts w:asciiTheme="minorHAnsi" w:hAnsiTheme="minorHAnsi" w:cstheme="minorHAnsi"/>
          <w:sz w:val="24"/>
          <w:szCs w:val="24"/>
          <w:lang w:val="es-CR"/>
        </w:rPr>
        <w:t xml:space="preserve"> aprobado por el Consejo Nacional de Supervisión del Sistema Financiero y la Contraloría General de la República para la </w:t>
      </w:r>
      <w:r w:rsidR="00F61278" w:rsidRPr="00794759">
        <w:rPr>
          <w:rFonts w:asciiTheme="minorHAnsi" w:hAnsiTheme="minorHAnsi" w:cstheme="minorHAnsi"/>
          <w:sz w:val="24"/>
          <w:szCs w:val="24"/>
          <w:lang w:val="es-CR"/>
        </w:rPr>
        <w:t>SUPEN</w:t>
      </w:r>
      <w:r w:rsidR="00AD678E" w:rsidRPr="00794759">
        <w:rPr>
          <w:rFonts w:asciiTheme="minorHAnsi" w:hAnsiTheme="minorHAnsi" w:cstheme="minorHAnsi"/>
          <w:sz w:val="24"/>
          <w:szCs w:val="24"/>
          <w:lang w:val="es-CR"/>
        </w:rPr>
        <w:t>,</w:t>
      </w:r>
      <w:r w:rsidRPr="00794759">
        <w:rPr>
          <w:rFonts w:asciiTheme="minorHAnsi" w:hAnsiTheme="minorHAnsi" w:cstheme="minorHAnsi"/>
          <w:sz w:val="24"/>
          <w:szCs w:val="24"/>
          <w:lang w:val="es-CR"/>
        </w:rPr>
        <w:t xml:space="preserve"> </w:t>
      </w:r>
      <w:r w:rsidR="00915B96" w:rsidRPr="00794759">
        <w:rPr>
          <w:rFonts w:asciiTheme="minorHAnsi" w:hAnsiTheme="minorHAnsi" w:cstheme="minorHAnsi"/>
          <w:sz w:val="24"/>
          <w:szCs w:val="24"/>
          <w:lang w:val="es-CR"/>
        </w:rPr>
        <w:t>corresponde</w:t>
      </w:r>
      <w:r w:rsidRPr="00794759">
        <w:rPr>
          <w:rFonts w:asciiTheme="minorHAnsi" w:hAnsiTheme="minorHAnsi" w:cstheme="minorHAnsi"/>
          <w:sz w:val="24"/>
          <w:szCs w:val="24"/>
          <w:lang w:val="es-CR"/>
        </w:rPr>
        <w:t xml:space="preserve"> a los recursos necesarios para atender la ejecución de las actividades de supervisión y regulación encomendada</w:t>
      </w:r>
      <w:r w:rsidR="00BA14C0" w:rsidRPr="00794759">
        <w:rPr>
          <w:rFonts w:asciiTheme="minorHAnsi" w:hAnsiTheme="minorHAnsi" w:cstheme="minorHAnsi"/>
          <w:sz w:val="24"/>
          <w:szCs w:val="24"/>
          <w:lang w:val="es-CR"/>
        </w:rPr>
        <w:t>s</w:t>
      </w:r>
      <w:r w:rsidRPr="00794759">
        <w:rPr>
          <w:rFonts w:asciiTheme="minorHAnsi" w:hAnsiTheme="minorHAnsi" w:cstheme="minorHAnsi"/>
          <w:sz w:val="24"/>
          <w:szCs w:val="24"/>
          <w:lang w:val="es-CR"/>
        </w:rPr>
        <w:t xml:space="preserve"> </w:t>
      </w:r>
      <w:r w:rsidR="00E1201E" w:rsidRPr="00794759">
        <w:rPr>
          <w:rFonts w:asciiTheme="minorHAnsi" w:hAnsiTheme="minorHAnsi" w:cstheme="minorHAnsi"/>
          <w:sz w:val="24"/>
          <w:szCs w:val="24"/>
          <w:lang w:val="es-CR"/>
        </w:rPr>
        <w:t>por Ley</w:t>
      </w:r>
      <w:r w:rsidR="00BA14C0" w:rsidRPr="00794759">
        <w:rPr>
          <w:rFonts w:asciiTheme="minorHAnsi" w:hAnsiTheme="minorHAnsi" w:cstheme="minorHAnsi"/>
          <w:sz w:val="24"/>
          <w:szCs w:val="24"/>
          <w:lang w:val="es-CR"/>
        </w:rPr>
        <w:t>.</w:t>
      </w:r>
    </w:p>
    <w:p w14:paraId="2DE42346" w14:textId="7375D756" w:rsidR="00BA14C0" w:rsidRPr="0023319B" w:rsidRDefault="00BA14C0" w:rsidP="00093594">
      <w:pPr>
        <w:ind w:right="51"/>
        <w:rPr>
          <w:rFonts w:asciiTheme="minorHAnsi" w:hAnsiTheme="minorHAnsi" w:cstheme="minorHAnsi"/>
          <w:sz w:val="24"/>
          <w:szCs w:val="24"/>
          <w:lang w:val="es-CR"/>
        </w:rPr>
      </w:pPr>
    </w:p>
    <w:p w14:paraId="64DC7A6A" w14:textId="78234DCC" w:rsidR="001470A8" w:rsidRPr="0023319B" w:rsidRDefault="00AD563E" w:rsidP="00093594">
      <w:pPr>
        <w:ind w:right="51"/>
        <w:rPr>
          <w:rFonts w:asciiTheme="minorHAnsi" w:hAnsiTheme="minorHAnsi" w:cstheme="minorHAnsi"/>
          <w:sz w:val="16"/>
          <w:szCs w:val="16"/>
          <w:lang w:val="es-CR"/>
        </w:rPr>
      </w:pPr>
      <w:r w:rsidRPr="0023319B">
        <w:rPr>
          <w:rFonts w:asciiTheme="minorHAnsi" w:hAnsiTheme="minorHAnsi" w:cstheme="minorHAnsi"/>
          <w:sz w:val="24"/>
          <w:szCs w:val="24"/>
          <w:lang w:val="es-CR"/>
        </w:rPr>
        <w:t>En relación con l</w:t>
      </w:r>
      <w:r w:rsidR="00225437" w:rsidRPr="0023319B">
        <w:rPr>
          <w:rFonts w:asciiTheme="minorHAnsi" w:hAnsiTheme="minorHAnsi" w:cstheme="minorHAnsi"/>
          <w:sz w:val="24"/>
          <w:szCs w:val="24"/>
          <w:lang w:val="es-CR"/>
        </w:rPr>
        <w:t>a ejecución del presupuesto de egresos</w:t>
      </w:r>
      <w:r w:rsidR="005443C9" w:rsidRPr="0023319B">
        <w:rPr>
          <w:rFonts w:asciiTheme="minorHAnsi" w:hAnsiTheme="minorHAnsi" w:cstheme="minorHAnsi"/>
          <w:sz w:val="24"/>
          <w:szCs w:val="24"/>
          <w:lang w:val="es-CR"/>
        </w:rPr>
        <w:t>, es necesario indicar que</w:t>
      </w:r>
      <w:r w:rsidR="00EA68A4" w:rsidRPr="0023319B">
        <w:rPr>
          <w:rFonts w:asciiTheme="minorHAnsi" w:hAnsiTheme="minorHAnsi" w:cstheme="minorHAnsi"/>
          <w:sz w:val="24"/>
          <w:szCs w:val="24"/>
          <w:lang w:val="es-CR"/>
        </w:rPr>
        <w:t xml:space="preserve"> </w:t>
      </w:r>
      <w:r w:rsidR="00AE1B12" w:rsidRPr="0023319B">
        <w:rPr>
          <w:rFonts w:asciiTheme="minorHAnsi" w:hAnsiTheme="minorHAnsi" w:cstheme="minorHAnsi"/>
          <w:sz w:val="24"/>
          <w:szCs w:val="24"/>
          <w:lang w:val="es-CR"/>
        </w:rPr>
        <w:t>se vio afectada por</w:t>
      </w:r>
      <w:r w:rsidR="001B198F" w:rsidRPr="0023319B">
        <w:rPr>
          <w:rFonts w:asciiTheme="minorHAnsi" w:hAnsiTheme="minorHAnsi" w:cstheme="minorHAnsi"/>
          <w:sz w:val="24"/>
          <w:szCs w:val="24"/>
          <w:lang w:val="es-CR"/>
        </w:rPr>
        <w:t xml:space="preserve"> </w:t>
      </w:r>
      <w:r w:rsidR="005443C9" w:rsidRPr="0023319B">
        <w:rPr>
          <w:rFonts w:asciiTheme="minorHAnsi" w:hAnsiTheme="minorHAnsi" w:cstheme="minorHAnsi"/>
          <w:sz w:val="24"/>
          <w:szCs w:val="24"/>
          <w:lang w:val="es-CR"/>
        </w:rPr>
        <w:t xml:space="preserve">las </w:t>
      </w:r>
      <w:r w:rsidR="00E42EFA" w:rsidRPr="0023319B">
        <w:rPr>
          <w:rFonts w:asciiTheme="minorHAnsi" w:hAnsiTheme="minorHAnsi" w:cstheme="minorHAnsi"/>
          <w:sz w:val="24"/>
          <w:szCs w:val="24"/>
          <w:lang w:val="es-CR"/>
        </w:rPr>
        <w:t>circunstancia</w:t>
      </w:r>
      <w:r w:rsidR="00420733" w:rsidRPr="0023319B">
        <w:rPr>
          <w:rFonts w:asciiTheme="minorHAnsi" w:hAnsiTheme="minorHAnsi" w:cstheme="minorHAnsi"/>
          <w:sz w:val="24"/>
          <w:szCs w:val="24"/>
          <w:lang w:val="es-CR"/>
        </w:rPr>
        <w:t>s</w:t>
      </w:r>
      <w:r w:rsidR="00E42EFA" w:rsidRPr="0023319B">
        <w:rPr>
          <w:rFonts w:asciiTheme="minorHAnsi" w:hAnsiTheme="minorHAnsi" w:cstheme="minorHAnsi"/>
          <w:sz w:val="24"/>
          <w:szCs w:val="24"/>
          <w:lang w:val="es-CR"/>
        </w:rPr>
        <w:t xml:space="preserve"> de</w:t>
      </w:r>
      <w:r w:rsidR="001C2309" w:rsidRPr="0023319B">
        <w:rPr>
          <w:rFonts w:asciiTheme="minorHAnsi" w:hAnsiTheme="minorHAnsi" w:cstheme="minorHAnsi"/>
          <w:sz w:val="24"/>
          <w:szCs w:val="24"/>
          <w:lang w:val="es-CR"/>
        </w:rPr>
        <w:t xml:space="preserve"> </w:t>
      </w:r>
      <w:r w:rsidR="00E42EFA" w:rsidRPr="0023319B">
        <w:rPr>
          <w:rFonts w:asciiTheme="minorHAnsi" w:hAnsiTheme="minorHAnsi" w:cstheme="minorHAnsi"/>
          <w:sz w:val="24"/>
          <w:szCs w:val="24"/>
          <w:lang w:val="es-CR"/>
        </w:rPr>
        <w:t>l</w:t>
      </w:r>
      <w:r w:rsidR="001C2309" w:rsidRPr="0023319B">
        <w:rPr>
          <w:rFonts w:asciiTheme="minorHAnsi" w:hAnsiTheme="minorHAnsi" w:cstheme="minorHAnsi"/>
          <w:sz w:val="24"/>
          <w:szCs w:val="24"/>
          <w:lang w:val="es-CR"/>
        </w:rPr>
        <w:t>a emergencia nacional</w:t>
      </w:r>
      <w:r w:rsidR="00E42EFA" w:rsidRPr="0023319B">
        <w:rPr>
          <w:rFonts w:asciiTheme="minorHAnsi" w:hAnsiTheme="minorHAnsi" w:cstheme="minorHAnsi"/>
          <w:sz w:val="24"/>
          <w:szCs w:val="24"/>
          <w:lang w:val="es-CR"/>
        </w:rPr>
        <w:t xml:space="preserve">, </w:t>
      </w:r>
      <w:r w:rsidR="00B0739A">
        <w:rPr>
          <w:rFonts w:asciiTheme="minorHAnsi" w:hAnsiTheme="minorHAnsi" w:cstheme="minorHAnsi"/>
          <w:sz w:val="24"/>
          <w:szCs w:val="24"/>
          <w:lang w:val="es-CR"/>
        </w:rPr>
        <w:t xml:space="preserve">principalmente en la cuenta </w:t>
      </w:r>
      <w:r w:rsidR="00F14178">
        <w:rPr>
          <w:rFonts w:asciiTheme="minorHAnsi" w:hAnsiTheme="minorHAnsi" w:cstheme="minorHAnsi"/>
          <w:sz w:val="24"/>
          <w:szCs w:val="24"/>
          <w:lang w:val="es-CR"/>
        </w:rPr>
        <w:t>que correspo</w:t>
      </w:r>
      <w:r w:rsidR="00DD7150">
        <w:rPr>
          <w:rFonts w:asciiTheme="minorHAnsi" w:hAnsiTheme="minorHAnsi" w:cstheme="minorHAnsi"/>
          <w:sz w:val="24"/>
          <w:szCs w:val="24"/>
          <w:lang w:val="es-CR"/>
        </w:rPr>
        <w:t>n</w:t>
      </w:r>
      <w:r w:rsidR="00F14178">
        <w:rPr>
          <w:rFonts w:asciiTheme="minorHAnsi" w:hAnsiTheme="minorHAnsi" w:cstheme="minorHAnsi"/>
          <w:sz w:val="24"/>
          <w:szCs w:val="24"/>
          <w:lang w:val="es-CR"/>
        </w:rPr>
        <w:t>de a la compra de “Materiales y suministros”</w:t>
      </w:r>
      <w:r w:rsidR="00DD7150">
        <w:rPr>
          <w:rFonts w:asciiTheme="minorHAnsi" w:hAnsiTheme="minorHAnsi" w:cstheme="minorHAnsi"/>
          <w:sz w:val="24"/>
          <w:szCs w:val="24"/>
          <w:lang w:val="es-CR"/>
        </w:rPr>
        <w:t xml:space="preserve">; </w:t>
      </w:r>
      <w:r w:rsidR="003C1F62" w:rsidRPr="0023319B">
        <w:rPr>
          <w:rFonts w:asciiTheme="minorHAnsi" w:hAnsiTheme="minorHAnsi" w:cstheme="minorHAnsi"/>
          <w:sz w:val="24"/>
          <w:szCs w:val="24"/>
          <w:lang w:val="es-CR"/>
        </w:rPr>
        <w:t>pese a esto</w:t>
      </w:r>
      <w:r w:rsidR="00697A2F">
        <w:rPr>
          <w:rFonts w:asciiTheme="minorHAnsi" w:hAnsiTheme="minorHAnsi" w:cstheme="minorHAnsi"/>
          <w:sz w:val="24"/>
          <w:szCs w:val="24"/>
          <w:lang w:val="es-CR"/>
        </w:rPr>
        <w:t xml:space="preserve">, la ejecución presupuestal </w:t>
      </w:r>
      <w:r w:rsidR="00225437" w:rsidRPr="0023319B">
        <w:rPr>
          <w:rFonts w:asciiTheme="minorHAnsi" w:hAnsiTheme="minorHAnsi" w:cstheme="minorHAnsi"/>
          <w:sz w:val="24"/>
          <w:szCs w:val="24"/>
          <w:lang w:val="es-CR"/>
        </w:rPr>
        <w:t>se realiz</w:t>
      </w:r>
      <w:r w:rsidR="00292DE9" w:rsidRPr="0023319B">
        <w:rPr>
          <w:rFonts w:asciiTheme="minorHAnsi" w:hAnsiTheme="minorHAnsi" w:cstheme="minorHAnsi"/>
          <w:sz w:val="24"/>
          <w:szCs w:val="24"/>
          <w:lang w:val="es-CR"/>
        </w:rPr>
        <w:t>ó</w:t>
      </w:r>
      <w:r w:rsidR="00225437" w:rsidRPr="0023319B">
        <w:rPr>
          <w:rFonts w:asciiTheme="minorHAnsi" w:hAnsiTheme="minorHAnsi" w:cstheme="minorHAnsi"/>
          <w:sz w:val="24"/>
          <w:szCs w:val="24"/>
          <w:lang w:val="es-CR"/>
        </w:rPr>
        <w:t xml:space="preserve"> en apego del compromiso adquirido, en cumplimiento de las políticas de austeridad dictadas por las autoridades superiores, procurando</w:t>
      </w:r>
      <w:r w:rsidR="000F57EC" w:rsidRPr="0023319B">
        <w:rPr>
          <w:rFonts w:asciiTheme="minorHAnsi" w:hAnsiTheme="minorHAnsi" w:cstheme="minorHAnsi"/>
          <w:sz w:val="24"/>
          <w:szCs w:val="24"/>
          <w:lang w:val="es-CR"/>
        </w:rPr>
        <w:t>, en todo momento,</w:t>
      </w:r>
      <w:r w:rsidR="00225437" w:rsidRPr="0023319B">
        <w:rPr>
          <w:rFonts w:asciiTheme="minorHAnsi" w:hAnsiTheme="minorHAnsi" w:cstheme="minorHAnsi"/>
          <w:sz w:val="24"/>
          <w:szCs w:val="24"/>
          <w:lang w:val="es-CR"/>
        </w:rPr>
        <w:t xml:space="preserve"> que estas disposiciones no </w:t>
      </w:r>
      <w:r w:rsidRPr="0023319B">
        <w:rPr>
          <w:rFonts w:asciiTheme="minorHAnsi" w:hAnsiTheme="minorHAnsi" w:cstheme="minorHAnsi"/>
          <w:sz w:val="24"/>
          <w:szCs w:val="24"/>
          <w:lang w:val="es-CR"/>
        </w:rPr>
        <w:t>afectaran</w:t>
      </w:r>
      <w:r w:rsidR="00225437" w:rsidRPr="0023319B">
        <w:rPr>
          <w:rFonts w:asciiTheme="minorHAnsi" w:hAnsiTheme="minorHAnsi" w:cstheme="minorHAnsi"/>
          <w:sz w:val="24"/>
          <w:szCs w:val="24"/>
          <w:lang w:val="es-CR"/>
        </w:rPr>
        <w:t xml:space="preserve"> la consecución de las metas</w:t>
      </w:r>
      <w:r w:rsidR="001D6B10" w:rsidRPr="0023319B">
        <w:rPr>
          <w:rFonts w:asciiTheme="minorHAnsi" w:hAnsiTheme="minorHAnsi" w:cstheme="minorHAnsi"/>
          <w:sz w:val="24"/>
          <w:szCs w:val="24"/>
          <w:lang w:val="es-CR"/>
        </w:rPr>
        <w:t xml:space="preserve">, planes propuestos </w:t>
      </w:r>
      <w:r w:rsidR="00225437" w:rsidRPr="0023319B">
        <w:rPr>
          <w:rFonts w:asciiTheme="minorHAnsi" w:hAnsiTheme="minorHAnsi" w:cstheme="minorHAnsi"/>
          <w:sz w:val="24"/>
          <w:szCs w:val="24"/>
          <w:lang w:val="es-CR"/>
        </w:rPr>
        <w:t>y el desempeño de las r</w:t>
      </w:r>
      <w:r w:rsidR="00915B96" w:rsidRPr="0023319B">
        <w:rPr>
          <w:rFonts w:asciiTheme="minorHAnsi" w:hAnsiTheme="minorHAnsi" w:cstheme="minorHAnsi"/>
          <w:sz w:val="24"/>
          <w:szCs w:val="24"/>
          <w:lang w:val="es-CR"/>
        </w:rPr>
        <w:t>esponsabilidades propias de la I</w:t>
      </w:r>
      <w:r w:rsidR="00225437" w:rsidRPr="0023319B">
        <w:rPr>
          <w:rFonts w:asciiTheme="minorHAnsi" w:hAnsiTheme="minorHAnsi" w:cstheme="minorHAnsi"/>
          <w:sz w:val="24"/>
          <w:szCs w:val="24"/>
          <w:lang w:val="es-CR"/>
        </w:rPr>
        <w:t xml:space="preserve">nstitución. </w:t>
      </w:r>
    </w:p>
    <w:p w14:paraId="5CD96AD6" w14:textId="1BE471B4" w:rsidR="00501491" w:rsidRPr="0023319B" w:rsidRDefault="00501491" w:rsidP="00093594">
      <w:pPr>
        <w:ind w:right="51"/>
        <w:rPr>
          <w:rFonts w:asciiTheme="minorHAnsi" w:hAnsiTheme="minorHAnsi" w:cstheme="minorHAnsi"/>
          <w:sz w:val="24"/>
          <w:szCs w:val="24"/>
          <w:lang w:val="es-CR"/>
        </w:rPr>
      </w:pPr>
    </w:p>
    <w:p w14:paraId="71794C8C" w14:textId="389A1E73" w:rsidR="00B66F4B" w:rsidRPr="0023319B" w:rsidRDefault="00B66F4B" w:rsidP="00093594">
      <w:pPr>
        <w:ind w:right="51"/>
        <w:jc w:val="center"/>
        <w:rPr>
          <w:rFonts w:asciiTheme="minorHAnsi" w:hAnsiTheme="minorHAnsi" w:cstheme="minorHAnsi"/>
          <w:szCs w:val="22"/>
          <w:lang w:val="es-CR"/>
        </w:rPr>
      </w:pPr>
    </w:p>
    <w:p w14:paraId="6F45D87D" w14:textId="77777777" w:rsidR="0097195B" w:rsidRPr="0023319B" w:rsidRDefault="0097195B" w:rsidP="00093594">
      <w:pPr>
        <w:ind w:right="51"/>
        <w:jc w:val="center"/>
        <w:rPr>
          <w:rFonts w:asciiTheme="minorHAnsi" w:hAnsiTheme="minorHAnsi" w:cstheme="minorHAnsi"/>
          <w:szCs w:val="22"/>
          <w:lang w:val="es-CR"/>
        </w:rPr>
      </w:pPr>
    </w:p>
    <w:p w14:paraId="12D53DDE" w14:textId="77777777" w:rsidR="00B66F4B" w:rsidRPr="0023319B" w:rsidRDefault="00B66F4B" w:rsidP="00093594">
      <w:pPr>
        <w:ind w:right="51"/>
        <w:jc w:val="center"/>
        <w:rPr>
          <w:rFonts w:asciiTheme="minorHAnsi" w:hAnsiTheme="minorHAnsi" w:cstheme="minorHAnsi"/>
          <w:szCs w:val="22"/>
          <w:lang w:val="es-CR"/>
        </w:rPr>
        <w:sectPr w:rsidR="00B66F4B" w:rsidRPr="0023319B" w:rsidSect="004243F3">
          <w:headerReference w:type="default" r:id="rId13"/>
          <w:pgSz w:w="12242" w:h="15842" w:code="1"/>
          <w:pgMar w:top="1417" w:right="1701" w:bottom="1417" w:left="1701" w:header="720" w:footer="913" w:gutter="0"/>
          <w:cols w:space="720"/>
          <w:docGrid w:linePitch="299"/>
        </w:sectPr>
      </w:pPr>
    </w:p>
    <w:p w14:paraId="64DC7A7B" w14:textId="1E53B2A4" w:rsidR="00743102" w:rsidRPr="0023319B" w:rsidRDefault="00E50E5F" w:rsidP="00093594">
      <w:pPr>
        <w:pStyle w:val="Ttulo1"/>
        <w:pBdr>
          <w:bottom w:val="none" w:sz="0" w:space="0" w:color="auto"/>
        </w:pBdr>
        <w:shd w:val="clear" w:color="auto" w:fill="auto"/>
        <w:spacing w:line="288" w:lineRule="auto"/>
        <w:ind w:right="51"/>
        <w:rPr>
          <w:rFonts w:asciiTheme="minorHAnsi" w:hAnsiTheme="minorHAnsi" w:cstheme="minorHAnsi"/>
          <w:i/>
          <w:color w:val="000080"/>
          <w:sz w:val="32"/>
          <w:szCs w:val="24"/>
          <w:lang w:val="es-CR"/>
        </w:rPr>
      </w:pPr>
      <w:bookmarkStart w:id="131" w:name="_Toc61081406"/>
      <w:r w:rsidRPr="0023319B">
        <w:rPr>
          <w:rFonts w:asciiTheme="minorHAnsi" w:hAnsiTheme="minorHAnsi" w:cstheme="minorHAnsi"/>
          <w:i/>
          <w:color w:val="000080"/>
          <w:sz w:val="32"/>
          <w:szCs w:val="24"/>
          <w:lang w:val="es-CR"/>
        </w:rPr>
        <w:t>V</w:t>
      </w:r>
      <w:r w:rsidR="00AD5CAF" w:rsidRPr="0023319B">
        <w:rPr>
          <w:rFonts w:asciiTheme="minorHAnsi" w:hAnsiTheme="minorHAnsi" w:cstheme="minorHAnsi"/>
          <w:i/>
          <w:color w:val="000080"/>
          <w:sz w:val="32"/>
          <w:szCs w:val="24"/>
          <w:lang w:val="es-CR"/>
        </w:rPr>
        <w:t>.</w:t>
      </w:r>
      <w:r w:rsidR="00AD5CAF" w:rsidRPr="0023319B">
        <w:rPr>
          <w:rFonts w:asciiTheme="minorHAnsi" w:hAnsiTheme="minorHAnsi" w:cstheme="minorHAnsi"/>
          <w:i/>
          <w:color w:val="000080"/>
          <w:sz w:val="32"/>
          <w:szCs w:val="24"/>
          <w:lang w:val="es-CR"/>
        </w:rPr>
        <w:tab/>
      </w:r>
      <w:r w:rsidR="00217830" w:rsidRPr="0023319B">
        <w:rPr>
          <w:rFonts w:asciiTheme="minorHAnsi" w:hAnsiTheme="minorHAnsi" w:cstheme="minorHAnsi"/>
          <w:i/>
          <w:color w:val="000080"/>
          <w:sz w:val="32"/>
          <w:szCs w:val="24"/>
          <w:lang w:val="es-CR"/>
        </w:rPr>
        <w:t>ANEXOS</w:t>
      </w:r>
      <w:bookmarkEnd w:id="131"/>
    </w:p>
    <w:p w14:paraId="7814DE63" w14:textId="77777777" w:rsidR="004B5D9F" w:rsidRPr="0023319B" w:rsidRDefault="004B5D9F" w:rsidP="004B5D9F">
      <w:pPr>
        <w:spacing w:line="240" w:lineRule="auto"/>
        <w:ind w:right="51"/>
        <w:jc w:val="left"/>
        <w:rPr>
          <w:rFonts w:asciiTheme="minorHAnsi" w:hAnsiTheme="minorHAnsi" w:cstheme="minorHAnsi"/>
          <w:szCs w:val="22"/>
          <w:lang w:val="es-CR"/>
        </w:rPr>
      </w:pPr>
    </w:p>
    <w:p w14:paraId="53A483BC" w14:textId="77777777" w:rsidR="004B5D9F" w:rsidRPr="0023319B" w:rsidRDefault="004B5D9F" w:rsidP="003E35E4">
      <w:pPr>
        <w:pStyle w:val="Ttulo2"/>
      </w:pPr>
      <w:bookmarkStart w:id="132" w:name="_Toc13044956"/>
      <w:bookmarkStart w:id="133" w:name="_Toc61081407"/>
      <w:r w:rsidRPr="0023319B">
        <w:t>Cuadros</w:t>
      </w:r>
      <w:bookmarkEnd w:id="132"/>
      <w:bookmarkEnd w:id="133"/>
    </w:p>
    <w:p w14:paraId="695EA23B" w14:textId="77777777" w:rsidR="004B5D9F" w:rsidRPr="0023319B" w:rsidRDefault="004B5D9F" w:rsidP="004B5D9F">
      <w:pPr>
        <w:rPr>
          <w:b/>
          <w:lang w:val="es-CR"/>
        </w:rPr>
      </w:pPr>
      <w:bookmarkStart w:id="134" w:name="_Toc448236826"/>
      <w:bookmarkStart w:id="135" w:name="_Toc495481229"/>
    </w:p>
    <w:p w14:paraId="57E7F325" w14:textId="23A4A06C" w:rsidR="004B5D9F" w:rsidRPr="0023319B" w:rsidRDefault="004B5D9F" w:rsidP="00A9221D">
      <w:pPr>
        <w:pStyle w:val="Ttulo3"/>
      </w:pPr>
      <w:bookmarkStart w:id="136" w:name="_Toc13044957"/>
      <w:bookmarkStart w:id="137" w:name="_Toc61081408"/>
      <w:r w:rsidRPr="0023319B">
        <w:t>Cuadro #10: Informe de Ejecución Presupuestaria a nivel de cuenta</w:t>
      </w:r>
      <w:bookmarkEnd w:id="134"/>
      <w:bookmarkEnd w:id="135"/>
      <w:bookmarkEnd w:id="136"/>
      <w:bookmarkEnd w:id="137"/>
    </w:p>
    <w:p w14:paraId="7867C23B" w14:textId="7DAB1D9B" w:rsidR="004B5D9F" w:rsidRPr="0023319B" w:rsidRDefault="004B5D9F" w:rsidP="00A9221D">
      <w:pPr>
        <w:pStyle w:val="Ttulo3"/>
      </w:pPr>
      <w:bookmarkStart w:id="138" w:name="_Toc448236827"/>
      <w:bookmarkStart w:id="139" w:name="_Toc495481230"/>
      <w:bookmarkStart w:id="140" w:name="_Toc13044958"/>
      <w:bookmarkStart w:id="141" w:name="_Toc61081409"/>
      <w:r w:rsidRPr="0023319B">
        <w:t>Cuadro # 11: Informe de Ejecución Presupuestaria a nivel de subcuenta</w:t>
      </w:r>
      <w:bookmarkEnd w:id="138"/>
      <w:bookmarkEnd w:id="139"/>
      <w:bookmarkEnd w:id="140"/>
      <w:bookmarkEnd w:id="141"/>
    </w:p>
    <w:p w14:paraId="3F9351F0" w14:textId="4096D7AF" w:rsidR="004B5D9F" w:rsidRPr="0023319B" w:rsidRDefault="004B5D9F" w:rsidP="00A9221D">
      <w:pPr>
        <w:pStyle w:val="Ttulo3"/>
      </w:pPr>
      <w:bookmarkStart w:id="142" w:name="_Toc448236828"/>
      <w:bookmarkStart w:id="143" w:name="_Toc495481231"/>
      <w:bookmarkStart w:id="144" w:name="_Toc13044959"/>
      <w:bookmarkStart w:id="145" w:name="_Toc61081410"/>
      <w:r w:rsidRPr="0023319B">
        <w:t xml:space="preserve">Cuadro # 12: Presupuesto Ordinario y </w:t>
      </w:r>
      <w:r w:rsidR="00451356" w:rsidRPr="0023319B">
        <w:t>resumen de las</w:t>
      </w:r>
      <w:r w:rsidRPr="0023319B">
        <w:t xml:space="preserve"> Modificaciones</w:t>
      </w:r>
      <w:bookmarkEnd w:id="142"/>
      <w:bookmarkEnd w:id="143"/>
      <w:bookmarkEnd w:id="144"/>
      <w:bookmarkEnd w:id="145"/>
    </w:p>
    <w:p w14:paraId="11BB2B73" w14:textId="77777777" w:rsidR="004B5D9F" w:rsidRPr="0023319B" w:rsidRDefault="004B5D9F" w:rsidP="00A9221D">
      <w:pPr>
        <w:pStyle w:val="Ttulo3"/>
      </w:pPr>
      <w:bookmarkStart w:id="146" w:name="_Toc448236829"/>
      <w:bookmarkStart w:id="147" w:name="_Toc495481232"/>
      <w:bookmarkStart w:id="148" w:name="_Toc13044960"/>
      <w:bookmarkStart w:id="149" w:name="_Toc61081411"/>
      <w:r w:rsidRPr="0023319B">
        <w:t>Cuadro # 13: Cuadro comparativo de ingresos y egresos</w:t>
      </w:r>
      <w:bookmarkEnd w:id="146"/>
      <w:bookmarkEnd w:id="147"/>
      <w:bookmarkEnd w:id="148"/>
      <w:bookmarkEnd w:id="149"/>
    </w:p>
    <w:p w14:paraId="547E8449" w14:textId="77777777" w:rsidR="004B5D9F" w:rsidRPr="0023319B" w:rsidRDefault="004B5D9F" w:rsidP="00A9221D">
      <w:pPr>
        <w:pStyle w:val="Ttulo3"/>
      </w:pPr>
      <w:bookmarkStart w:id="150" w:name="_Toc448236830"/>
      <w:bookmarkStart w:id="151" w:name="_Toc495481233"/>
      <w:bookmarkStart w:id="152" w:name="_Toc13044961"/>
      <w:bookmarkStart w:id="153" w:name="_Toc61081412"/>
      <w:r w:rsidRPr="0023319B">
        <w:t>Cuadro #14: Informe de ejecución presupuestaria a nivel de cuenta ingresos</w:t>
      </w:r>
      <w:bookmarkEnd w:id="150"/>
      <w:bookmarkEnd w:id="151"/>
      <w:bookmarkEnd w:id="152"/>
      <w:bookmarkEnd w:id="153"/>
    </w:p>
    <w:p w14:paraId="39223774" w14:textId="77777777" w:rsidR="004B5D9F" w:rsidRPr="0023319B" w:rsidRDefault="004B5D9F" w:rsidP="004B5D9F">
      <w:pPr>
        <w:spacing w:line="240" w:lineRule="auto"/>
        <w:ind w:right="51"/>
        <w:jc w:val="left"/>
        <w:rPr>
          <w:rFonts w:asciiTheme="minorHAnsi" w:hAnsiTheme="minorHAnsi" w:cstheme="minorHAnsi"/>
          <w:szCs w:val="22"/>
          <w:lang w:val="es-CR"/>
        </w:rPr>
      </w:pPr>
    </w:p>
    <w:p w14:paraId="70B61FE6" w14:textId="6868BDEE" w:rsidR="004B5D9F" w:rsidRPr="0023319B" w:rsidRDefault="00002DD1" w:rsidP="004B5D9F">
      <w:pPr>
        <w:spacing w:line="240" w:lineRule="auto"/>
        <w:ind w:right="51"/>
        <w:jc w:val="center"/>
        <w:rPr>
          <w:rFonts w:asciiTheme="minorHAnsi" w:hAnsiTheme="minorHAnsi" w:cstheme="minorHAnsi"/>
          <w:szCs w:val="22"/>
          <w:lang w:val="es-CR"/>
        </w:rPr>
      </w:pPr>
      <w:r w:rsidRPr="0023319B">
        <w:rPr>
          <w:rFonts w:asciiTheme="minorHAnsi" w:hAnsiTheme="minorHAnsi" w:cstheme="minorHAnsi"/>
          <w:szCs w:val="22"/>
          <w:lang w:val="es-CR"/>
        </w:rPr>
        <w:object w:dxaOrig="1508" w:dyaOrig="983" w14:anchorId="154B31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49.5pt" o:ole="">
            <v:imagedata r:id="rId14" o:title=""/>
          </v:shape>
          <o:OLEObject Type="Embed" ProgID="Excel.Sheet.12" ShapeID="_x0000_i1025" DrawAspect="Icon" ObjectID="_1674462598" r:id="rId15"/>
        </w:object>
      </w:r>
    </w:p>
    <w:p w14:paraId="15F2B4B1" w14:textId="77777777" w:rsidR="004B5D9F" w:rsidRPr="0023319B" w:rsidRDefault="004B5D9F" w:rsidP="004B5D9F">
      <w:pPr>
        <w:spacing w:line="240" w:lineRule="auto"/>
        <w:ind w:right="51"/>
        <w:jc w:val="left"/>
        <w:rPr>
          <w:rFonts w:asciiTheme="minorHAnsi" w:hAnsiTheme="minorHAnsi" w:cstheme="minorHAnsi"/>
          <w:szCs w:val="22"/>
          <w:lang w:val="es-CR"/>
        </w:rPr>
      </w:pPr>
    </w:p>
    <w:p w14:paraId="46FBECED" w14:textId="77777777" w:rsidR="004B5D9F" w:rsidRPr="0023319B" w:rsidRDefault="004B5D9F" w:rsidP="003E35E4">
      <w:pPr>
        <w:pStyle w:val="Ttulo2"/>
      </w:pPr>
      <w:bookmarkStart w:id="154" w:name="_Toc13044962"/>
      <w:bookmarkStart w:id="155" w:name="_Toc61081413"/>
      <w:r w:rsidRPr="0023319B">
        <w:t>Gráficos</w:t>
      </w:r>
      <w:bookmarkEnd w:id="154"/>
      <w:bookmarkEnd w:id="155"/>
      <w:r w:rsidRPr="0023319B">
        <w:t xml:space="preserve"> </w:t>
      </w:r>
    </w:p>
    <w:p w14:paraId="49F6BAE7" w14:textId="77777777" w:rsidR="004B5D9F" w:rsidRPr="0023319B" w:rsidRDefault="004B5D9F" w:rsidP="004B5D9F">
      <w:pPr>
        <w:spacing w:line="240" w:lineRule="auto"/>
        <w:ind w:left="360"/>
        <w:rPr>
          <w:rFonts w:ascii="Cambria" w:hAnsi="Cambria" w:cs="Arial"/>
          <w:sz w:val="24"/>
          <w:szCs w:val="24"/>
          <w:lang w:val="es-CR"/>
        </w:rPr>
      </w:pPr>
    </w:p>
    <w:p w14:paraId="196D14D9" w14:textId="0C5D5D3D" w:rsidR="004B5D9F" w:rsidRPr="0023319B" w:rsidRDefault="004B5D9F" w:rsidP="00A9221D">
      <w:pPr>
        <w:pStyle w:val="Ttulo3"/>
      </w:pPr>
      <w:bookmarkStart w:id="156" w:name="_Toc13044963"/>
      <w:bookmarkStart w:id="157" w:name="_Toc61081414"/>
      <w:r w:rsidRPr="0023319B">
        <w:t>Gráfico # 1: Presupuesto por partidas</w:t>
      </w:r>
      <w:bookmarkEnd w:id="156"/>
      <w:bookmarkEnd w:id="157"/>
    </w:p>
    <w:p w14:paraId="08C59603" w14:textId="74CE9FA9" w:rsidR="004B5D9F" w:rsidRPr="0023319B" w:rsidRDefault="004B5D9F" w:rsidP="00A9221D">
      <w:pPr>
        <w:pStyle w:val="Ttulo3"/>
      </w:pPr>
      <w:bookmarkStart w:id="158" w:name="_Toc13044964"/>
      <w:bookmarkStart w:id="159" w:name="_Toc61081415"/>
      <w:r w:rsidRPr="0023319B">
        <w:t>Gráfico # 2: Porcentaje de ejecución del presupuesto</w:t>
      </w:r>
      <w:bookmarkEnd w:id="158"/>
      <w:bookmarkEnd w:id="159"/>
    </w:p>
    <w:p w14:paraId="1F18A804" w14:textId="35D00092" w:rsidR="004B5D9F" w:rsidRPr="0023319B" w:rsidRDefault="004B5D9F" w:rsidP="00A9221D">
      <w:pPr>
        <w:pStyle w:val="Ttulo3"/>
      </w:pPr>
      <w:bookmarkStart w:id="160" w:name="_Toc13044965"/>
      <w:bookmarkStart w:id="161" w:name="_Toc61081416"/>
      <w:r w:rsidRPr="0023319B">
        <w:t>Gráfico #</w:t>
      </w:r>
      <w:r w:rsidR="00FB5159" w:rsidRPr="0023319B">
        <w:t xml:space="preserve"> </w:t>
      </w:r>
      <w:r w:rsidRPr="0023319B">
        <w:t>3: Porcentaje de ejecución por cada cuenta presupuestaria</w:t>
      </w:r>
      <w:bookmarkEnd w:id="160"/>
      <w:bookmarkEnd w:id="161"/>
    </w:p>
    <w:p w14:paraId="0FF25A67" w14:textId="0BDECAA6" w:rsidR="004B5D9F" w:rsidRPr="0023319B" w:rsidRDefault="004B5D9F" w:rsidP="004B5D9F">
      <w:pPr>
        <w:spacing w:line="240" w:lineRule="auto"/>
        <w:ind w:right="51"/>
        <w:jc w:val="left"/>
        <w:rPr>
          <w:rFonts w:asciiTheme="minorHAnsi" w:hAnsiTheme="minorHAnsi" w:cstheme="minorHAnsi"/>
          <w:sz w:val="18"/>
          <w:szCs w:val="18"/>
          <w:lang w:val="es-CR"/>
        </w:rPr>
      </w:pPr>
    </w:p>
    <w:p w14:paraId="397323C3" w14:textId="7899A007" w:rsidR="004B5D9F" w:rsidRPr="0023319B" w:rsidRDefault="00002DD1" w:rsidP="004B5D9F">
      <w:pPr>
        <w:spacing w:line="240" w:lineRule="auto"/>
        <w:ind w:right="51"/>
        <w:jc w:val="center"/>
        <w:rPr>
          <w:rFonts w:asciiTheme="minorHAnsi" w:hAnsiTheme="minorHAnsi" w:cstheme="minorHAnsi"/>
          <w:lang w:val="es-CR"/>
        </w:rPr>
      </w:pPr>
      <w:r w:rsidRPr="0023319B">
        <w:rPr>
          <w:rFonts w:asciiTheme="minorHAnsi" w:hAnsiTheme="minorHAnsi" w:cstheme="minorHAnsi"/>
          <w:lang w:val="es-CR"/>
        </w:rPr>
        <w:object w:dxaOrig="1508" w:dyaOrig="983" w14:anchorId="389D1C90">
          <v:shape id="_x0000_i1026" type="#_x0000_t75" style="width:75pt;height:49.5pt" o:ole="">
            <v:imagedata r:id="rId16" o:title=""/>
          </v:shape>
          <o:OLEObject Type="Embed" ProgID="Excel.Sheet.12" ShapeID="_x0000_i1026" DrawAspect="Icon" ObjectID="_1674462599" r:id="rId17"/>
        </w:object>
      </w:r>
    </w:p>
    <w:p w14:paraId="590C4D81" w14:textId="77777777" w:rsidR="00FB009D" w:rsidRPr="0023319B" w:rsidRDefault="00FB009D" w:rsidP="004B5D9F">
      <w:pPr>
        <w:spacing w:line="240" w:lineRule="auto"/>
        <w:ind w:right="51"/>
        <w:jc w:val="center"/>
        <w:rPr>
          <w:rFonts w:asciiTheme="minorHAnsi" w:hAnsiTheme="minorHAnsi" w:cstheme="minorHAnsi"/>
          <w:lang w:val="es-CR"/>
        </w:rPr>
      </w:pPr>
    </w:p>
    <w:p w14:paraId="0DF19E48" w14:textId="6DDA307F" w:rsidR="004004B3" w:rsidRDefault="004004B3" w:rsidP="004004B3">
      <w:pPr>
        <w:pStyle w:val="Ttulo2"/>
      </w:pPr>
      <w:bookmarkStart w:id="162" w:name="_Toc55203374"/>
      <w:bookmarkStart w:id="163" w:name="_Toc61081417"/>
      <w:r w:rsidRPr="004004B3">
        <w:t>Plan Operativo Institucional por dependencia (Vinculación de Objetivos, Metas e Indicadores de Gestión por Instancia)</w:t>
      </w:r>
      <w:bookmarkEnd w:id="162"/>
      <w:bookmarkEnd w:id="163"/>
    </w:p>
    <w:p w14:paraId="7108179C" w14:textId="43584CE8" w:rsidR="004004B3" w:rsidRDefault="004004B3" w:rsidP="004004B3">
      <w:pPr>
        <w:rPr>
          <w:lang w:val="es-CR"/>
        </w:rPr>
      </w:pPr>
    </w:p>
    <w:p w14:paraId="2D8B30FB" w14:textId="02C06786" w:rsidR="00640BFE" w:rsidRDefault="000E7DDD" w:rsidP="000E7DDD">
      <w:pPr>
        <w:jc w:val="center"/>
        <w:rPr>
          <w:lang w:val="es-CR"/>
        </w:rPr>
      </w:pPr>
      <w:r>
        <w:rPr>
          <w:lang w:val="es-CR"/>
        </w:rPr>
        <w:object w:dxaOrig="1508" w:dyaOrig="983" w14:anchorId="2A502C57">
          <v:shape id="_x0000_i1027" type="#_x0000_t75" style="width:75pt;height:49.5pt" o:ole="">
            <v:imagedata r:id="rId18" o:title=""/>
          </v:shape>
          <o:OLEObject Type="Embed" ProgID="Excel.Sheet.12" ShapeID="_x0000_i1027" DrawAspect="Icon" ObjectID="_1674462600" r:id="rId19"/>
        </w:object>
      </w:r>
    </w:p>
    <w:p w14:paraId="4AFE8551" w14:textId="77777777" w:rsidR="004004B3" w:rsidRPr="004004B3" w:rsidRDefault="004004B3" w:rsidP="004004B3">
      <w:pPr>
        <w:rPr>
          <w:lang w:val="es-CR"/>
        </w:rPr>
      </w:pPr>
    </w:p>
    <w:p w14:paraId="2898876A" w14:textId="49ADC258" w:rsidR="004004B3" w:rsidRPr="00C10672" w:rsidRDefault="004004B3" w:rsidP="004004B3">
      <w:pPr>
        <w:pStyle w:val="Ttulo2"/>
      </w:pPr>
      <w:bookmarkStart w:id="164" w:name="_Toc61081418"/>
      <w:bookmarkStart w:id="165" w:name="_Toc55203375"/>
      <w:r w:rsidRPr="004004B3">
        <w:t>Liquidación de las metas del Plan Nacional de Desarrollo</w:t>
      </w:r>
      <w:bookmarkEnd w:id="164"/>
      <w:r w:rsidRPr="004004B3">
        <w:t xml:space="preserve"> </w:t>
      </w:r>
      <w:bookmarkEnd w:id="165"/>
    </w:p>
    <w:p w14:paraId="3BC19EB0" w14:textId="3885CE13" w:rsidR="004004B3" w:rsidRDefault="004004B3" w:rsidP="00FB009D">
      <w:pPr>
        <w:jc w:val="left"/>
        <w:rPr>
          <w:rFonts w:asciiTheme="minorHAnsi" w:hAnsiTheme="minorHAnsi" w:cstheme="minorHAnsi"/>
          <w:szCs w:val="22"/>
          <w:lang w:val="es-CR"/>
        </w:rPr>
      </w:pPr>
    </w:p>
    <w:bookmarkStart w:id="166" w:name="_MON_1671632122"/>
    <w:bookmarkEnd w:id="166"/>
    <w:p w14:paraId="46E774B3" w14:textId="29D334F7" w:rsidR="009064C9" w:rsidRPr="0023319B" w:rsidRDefault="00640BFE" w:rsidP="00917B86">
      <w:pPr>
        <w:jc w:val="center"/>
        <w:rPr>
          <w:rFonts w:asciiTheme="minorHAnsi" w:hAnsiTheme="minorHAnsi" w:cstheme="minorHAnsi"/>
          <w:szCs w:val="22"/>
          <w:lang w:val="es-CR"/>
        </w:rPr>
      </w:pPr>
      <w:r>
        <w:rPr>
          <w:rFonts w:asciiTheme="minorHAnsi" w:hAnsiTheme="minorHAnsi" w:cstheme="minorHAnsi"/>
          <w:szCs w:val="22"/>
          <w:lang w:val="es-CR"/>
        </w:rPr>
        <w:object w:dxaOrig="1508" w:dyaOrig="983" w14:anchorId="0056D446">
          <v:shape id="_x0000_i1028" type="#_x0000_t75" style="width:75pt;height:49.5pt" o:ole="">
            <v:imagedata r:id="rId20" o:title=""/>
          </v:shape>
          <o:OLEObject Type="Embed" ProgID="Word.Document.12" ShapeID="_x0000_i1028" DrawAspect="Icon" ObjectID="_1674462601" r:id="rId21">
            <o:FieldCodes>\s</o:FieldCodes>
          </o:OLEObject>
        </w:object>
      </w:r>
    </w:p>
    <w:sectPr w:rsidR="009064C9" w:rsidRPr="0023319B" w:rsidSect="001470A8">
      <w:footerReference w:type="default" r:id="rId22"/>
      <w:pgSz w:w="12242" w:h="15842" w:code="1"/>
      <w:pgMar w:top="1417" w:right="1701" w:bottom="1417" w:left="1701" w:header="720" w:footer="91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CA355D" w14:textId="77777777" w:rsidR="00273579" w:rsidRDefault="00273579">
      <w:r>
        <w:separator/>
      </w:r>
    </w:p>
  </w:endnote>
  <w:endnote w:type="continuationSeparator" w:id="0">
    <w:p w14:paraId="442DB53E" w14:textId="77777777" w:rsidR="00273579" w:rsidRDefault="00273579">
      <w:r>
        <w:continuationSeparator/>
      </w:r>
    </w:p>
  </w:endnote>
  <w:endnote w:type="continuationNotice" w:id="1">
    <w:p w14:paraId="0B97C2C1" w14:textId="77777777" w:rsidR="00273579" w:rsidRDefault="0027357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DC7B3E" w14:textId="5D3F03E8" w:rsidR="002E6B58" w:rsidRPr="00FB4339" w:rsidRDefault="002E6B58" w:rsidP="00FF0364">
    <w:pPr>
      <w:pStyle w:val="Piedepgina"/>
      <w:jc w:val="right"/>
      <w:rPr>
        <w:rFonts w:ascii="Bookman Old Style" w:hAnsi="Bookman Old Style"/>
        <w:i/>
        <w:color w:val="0000FF"/>
        <w:sz w:val="18"/>
        <w:szCs w:val="18"/>
      </w:rPr>
    </w:pPr>
    <w:r w:rsidRPr="00FB4339">
      <w:rPr>
        <w:rFonts w:ascii="Bookman Old Style" w:hAnsi="Bookman Old Style"/>
        <w:i/>
        <w:snapToGrid w:val="0"/>
        <w:color w:val="0000FF"/>
        <w:sz w:val="18"/>
        <w:szCs w:val="18"/>
      </w:rPr>
      <w:fldChar w:fldCharType="begin"/>
    </w:r>
    <w:r w:rsidRPr="00FB4339">
      <w:rPr>
        <w:rFonts w:ascii="Bookman Old Style" w:hAnsi="Bookman Old Style"/>
        <w:i/>
        <w:snapToGrid w:val="0"/>
        <w:color w:val="0000FF"/>
        <w:sz w:val="18"/>
        <w:szCs w:val="18"/>
      </w:rPr>
      <w:instrText xml:space="preserve"> PAGE </w:instrText>
    </w:r>
    <w:r w:rsidRPr="00FB4339">
      <w:rPr>
        <w:rFonts w:ascii="Bookman Old Style" w:hAnsi="Bookman Old Style"/>
        <w:i/>
        <w:snapToGrid w:val="0"/>
        <w:color w:val="0000FF"/>
        <w:sz w:val="18"/>
        <w:szCs w:val="18"/>
      </w:rPr>
      <w:fldChar w:fldCharType="separate"/>
    </w:r>
    <w:r>
      <w:rPr>
        <w:rFonts w:ascii="Bookman Old Style" w:hAnsi="Bookman Old Style"/>
        <w:i/>
        <w:noProof/>
        <w:snapToGrid w:val="0"/>
        <w:color w:val="0000FF"/>
        <w:sz w:val="18"/>
        <w:szCs w:val="18"/>
      </w:rPr>
      <w:t>25</w:t>
    </w:r>
    <w:r w:rsidRPr="00FB4339">
      <w:rPr>
        <w:rFonts w:ascii="Bookman Old Style" w:hAnsi="Bookman Old Style"/>
        <w:i/>
        <w:snapToGrid w:val="0"/>
        <w:color w:val="0000FF"/>
        <w:sz w:val="18"/>
        <w:szCs w:val="18"/>
      </w:rPr>
      <w:fldChar w:fldCharType="end"/>
    </w:r>
    <w:r w:rsidRPr="00FB4339">
      <w:rPr>
        <w:rFonts w:ascii="Bookman Old Style" w:hAnsi="Bookman Old Style"/>
        <w:i/>
        <w:snapToGrid w:val="0"/>
        <w:color w:val="0000FF"/>
        <w:sz w:val="18"/>
        <w:szCs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9B1342" w14:textId="61A23C11" w:rsidR="002E6B58" w:rsidRPr="007965E5" w:rsidRDefault="002E6B58" w:rsidP="001A0CBE">
    <w:pPr>
      <w:pStyle w:val="Piedepgina"/>
      <w:pBdr>
        <w:top w:val="single" w:sz="4" w:space="1" w:color="auto"/>
      </w:pBdr>
      <w:rPr>
        <w:i/>
        <w:color w:val="365F91" w:themeColor="accent1" w:themeShade="BF"/>
        <w:sz w:val="18"/>
        <w:szCs w:val="18"/>
      </w:rPr>
    </w:pPr>
    <w:r>
      <w:rPr>
        <w:i/>
        <w:color w:val="365F91" w:themeColor="accent1" w:themeShade="BF"/>
        <w:sz w:val="18"/>
        <w:szCs w:val="18"/>
      </w:rPr>
      <w:t xml:space="preserve"> </w:t>
    </w:r>
  </w:p>
  <w:p w14:paraId="64DC7B44" w14:textId="704B0F21" w:rsidR="002E6B58" w:rsidRPr="005C091D" w:rsidRDefault="00273579" w:rsidP="005C091D">
    <w:pPr>
      <w:pStyle w:val="Piedepgina"/>
      <w:jc w:val="right"/>
    </w:pPr>
    <w:sdt>
      <w:sdtPr>
        <w:id w:val="-1828127274"/>
        <w:docPartObj>
          <w:docPartGallery w:val="Page Numbers (Bottom of Page)"/>
          <w:docPartUnique/>
        </w:docPartObj>
      </w:sdtPr>
      <w:sdtEndPr/>
      <w:sdtContent>
        <w:r w:rsidR="002E6B58">
          <w:fldChar w:fldCharType="begin"/>
        </w:r>
        <w:r w:rsidR="002E6B58">
          <w:instrText>PAGE   \* MERGEFORMAT</w:instrText>
        </w:r>
        <w:r w:rsidR="002E6B58">
          <w:fldChar w:fldCharType="separate"/>
        </w:r>
        <w:r w:rsidR="002E6B58" w:rsidRPr="00B422FF">
          <w:rPr>
            <w:rFonts w:ascii="Bookman Old Style" w:hAnsi="Bookman Old Style"/>
            <w:i/>
            <w:noProof/>
            <w:snapToGrid w:val="0"/>
            <w:color w:val="0000FF"/>
            <w:sz w:val="18"/>
            <w:szCs w:val="18"/>
          </w:rPr>
          <w:t>36</w:t>
        </w:r>
        <w:r w:rsidR="002E6B58">
          <w:fldChar w:fldCharType="end"/>
        </w:r>
        <w:r w:rsidR="002E6B58">
          <w:t xml:space="preserve"> </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E1ADBF" w14:textId="77777777" w:rsidR="00273579" w:rsidRDefault="00273579">
      <w:r>
        <w:separator/>
      </w:r>
    </w:p>
  </w:footnote>
  <w:footnote w:type="continuationSeparator" w:id="0">
    <w:p w14:paraId="454E2982" w14:textId="77777777" w:rsidR="00273579" w:rsidRDefault="00273579">
      <w:r>
        <w:continuationSeparator/>
      </w:r>
    </w:p>
  </w:footnote>
  <w:footnote w:type="continuationNotice" w:id="1">
    <w:p w14:paraId="79CCFBCD" w14:textId="77777777" w:rsidR="00273579" w:rsidRDefault="00273579">
      <w:pPr>
        <w:spacing w:line="240" w:lineRule="auto"/>
      </w:pPr>
    </w:p>
  </w:footnote>
  <w:footnote w:id="2">
    <w:p w14:paraId="64DC7B47" w14:textId="77777777" w:rsidR="002E6B58" w:rsidRPr="005457F6" w:rsidRDefault="002E6B58" w:rsidP="00240B0C">
      <w:pPr>
        <w:pStyle w:val="Textonotapie"/>
        <w:jc w:val="both"/>
        <w:rPr>
          <w:sz w:val="18"/>
          <w:szCs w:val="18"/>
          <w:lang w:val="es-CR"/>
        </w:rPr>
      </w:pPr>
      <w:r>
        <w:rPr>
          <w:rStyle w:val="Refdenotaalpie"/>
        </w:rPr>
        <w:footnoteRef/>
      </w:r>
      <w:r w:rsidRPr="005457F6">
        <w:rPr>
          <w:lang w:val="es-CR"/>
        </w:rPr>
        <w:t xml:space="preserve"> </w:t>
      </w:r>
      <w:r w:rsidRPr="005457F6">
        <w:rPr>
          <w:sz w:val="18"/>
          <w:szCs w:val="18"/>
          <w:lang w:val="es-CR"/>
        </w:rPr>
        <w:t>El rubro de Planilla y Cargas sociales está conformado por las subcuentas: 0 01 01 Sueldos para cargos fijos, 0 03 01 Retribuciones por años de servicios, 0 03 02 Restricciones al ejercicio liberal de la profesión, 0 03 03 Decimotercer mes, 0 03 04 Salario escolar; 0 03 99 Otros incentivos salariales 0 04 00 Contribuciones patronales al desarrollo de la seguridad social y 0 05 00 Contribuciones patronales a fondos de pensiones y otros.</w:t>
      </w:r>
    </w:p>
  </w:footnote>
  <w:footnote w:id="3">
    <w:p w14:paraId="64DC7B49" w14:textId="45D2D356" w:rsidR="002E6B58" w:rsidRPr="005457F6" w:rsidRDefault="002E6B58" w:rsidP="00240B0C">
      <w:pPr>
        <w:pStyle w:val="Textonotapie"/>
        <w:jc w:val="both"/>
        <w:rPr>
          <w:lang w:val="es-CR"/>
        </w:rPr>
      </w:pPr>
      <w:r>
        <w:rPr>
          <w:rStyle w:val="Refdenotaalpie"/>
        </w:rPr>
        <w:footnoteRef/>
      </w:r>
      <w:r w:rsidRPr="005457F6">
        <w:rPr>
          <w:lang w:val="es-CR"/>
        </w:rPr>
        <w:t xml:space="preserve"> </w:t>
      </w:r>
      <w:r w:rsidRPr="005457F6">
        <w:rPr>
          <w:sz w:val="18"/>
          <w:szCs w:val="18"/>
          <w:lang w:val="es-CR"/>
        </w:rPr>
        <w:t>El rubro de “Otras remuneraciones”, está conformado por las subcuentas 0 02 01 Tiempo Extraordinario y 0 02 02 Recargos de funciones.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DC7B3B" w14:textId="5585BF76" w:rsidR="002E6B58" w:rsidRPr="00691D5C" w:rsidRDefault="002E6B58" w:rsidP="00277BCF">
    <w:pPr>
      <w:pStyle w:val="Encabezado"/>
      <w:tabs>
        <w:tab w:val="clear" w:pos="4252"/>
        <w:tab w:val="clear" w:pos="8504"/>
        <w:tab w:val="right" w:pos="9072"/>
      </w:tabs>
      <w:rPr>
        <w:rFonts w:ascii="Bookman Old Style" w:hAnsi="Bookman Old Style"/>
        <w:b/>
        <w:i/>
        <w:color w:val="548DD4" w:themeColor="text2" w:themeTint="99"/>
        <w:sz w:val="18"/>
      </w:rPr>
    </w:pPr>
  </w:p>
  <w:p w14:paraId="44996B66" w14:textId="26577297" w:rsidR="002E6B58" w:rsidRDefault="002E6B58" w:rsidP="00277BCF">
    <w:pPr>
      <w:pStyle w:val="Encabezado"/>
      <w:tabs>
        <w:tab w:val="clear" w:pos="4252"/>
        <w:tab w:val="clear" w:pos="8504"/>
        <w:tab w:val="right" w:pos="9072"/>
      </w:tabs>
      <w:rPr>
        <w:sz w:val="10"/>
        <w:szCs w:val="10"/>
      </w:rPr>
    </w:pPr>
  </w:p>
  <w:p w14:paraId="03D3CD8C" w14:textId="77777777" w:rsidR="002E6B58" w:rsidRPr="00673A4E" w:rsidRDefault="002E6B58" w:rsidP="00277BCF">
    <w:pPr>
      <w:pStyle w:val="Encabezado"/>
      <w:tabs>
        <w:tab w:val="clear" w:pos="4252"/>
        <w:tab w:val="clear" w:pos="8504"/>
        <w:tab w:val="right" w:pos="9072"/>
      </w:tabs>
      <w:rPr>
        <w:sz w:val="10"/>
        <w:szCs w:val="10"/>
      </w:rPr>
    </w:pPr>
  </w:p>
  <w:p w14:paraId="03758F0F" w14:textId="77777777" w:rsidR="002E6B58" w:rsidRDefault="002E6B5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BB7A01" w14:textId="79E145D8" w:rsidR="002E6B58" w:rsidRPr="00691D5C" w:rsidRDefault="002E6B58" w:rsidP="00277BCF">
    <w:pPr>
      <w:pStyle w:val="Encabezado"/>
      <w:tabs>
        <w:tab w:val="clear" w:pos="4252"/>
        <w:tab w:val="clear" w:pos="8504"/>
        <w:tab w:val="right" w:pos="9072"/>
      </w:tabs>
      <w:rPr>
        <w:rFonts w:ascii="Bookman Old Style" w:hAnsi="Bookman Old Style"/>
        <w:b/>
        <w:i/>
        <w:color w:val="548DD4" w:themeColor="text2" w:themeTint="99"/>
        <w:sz w:val="18"/>
      </w:rPr>
    </w:pPr>
    <w:r w:rsidRPr="00D95385">
      <w:rPr>
        <w:noProof/>
        <w:color w:val="365F91" w:themeColor="accent1" w:themeShade="BF"/>
      </w:rPr>
      <w:drawing>
        <wp:anchor distT="0" distB="0" distL="114300" distR="114300" simplePos="0" relativeHeight="251660288" behindDoc="1" locked="0" layoutInCell="1" allowOverlap="1" wp14:anchorId="00F4D7EC" wp14:editId="33C7C5E0">
          <wp:simplePos x="0" y="0"/>
          <wp:positionH relativeFrom="margin">
            <wp:posOffset>1129665</wp:posOffset>
          </wp:positionH>
          <wp:positionV relativeFrom="paragraph">
            <wp:posOffset>76200</wp:posOffset>
          </wp:positionV>
          <wp:extent cx="561975" cy="363220"/>
          <wp:effectExtent l="0" t="0" r="9525"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561975" cy="363220"/>
                  </a:xfrm>
                  <a:prstGeom prst="rect">
                    <a:avLst/>
                  </a:prstGeom>
                </pic:spPr>
              </pic:pic>
            </a:graphicData>
          </a:graphic>
          <wp14:sizeRelH relativeFrom="margin">
            <wp14:pctWidth>0</wp14:pctWidth>
          </wp14:sizeRelH>
          <wp14:sizeRelV relativeFrom="margin">
            <wp14:pctHeight>0</wp14:pctHeight>
          </wp14:sizeRelV>
        </wp:anchor>
      </w:drawing>
    </w:r>
    <w:r w:rsidRPr="00D95385">
      <w:rPr>
        <w:b/>
        <w:noProof/>
        <w:color w:val="365F91" w:themeColor="accent1" w:themeShade="BF"/>
        <w:sz w:val="32"/>
        <w:lang w:val="es-CR" w:eastAsia="es-CR"/>
      </w:rPr>
      <w:drawing>
        <wp:anchor distT="0" distB="0" distL="114300" distR="114300" simplePos="0" relativeHeight="251659264" behindDoc="1" locked="0" layoutInCell="1" allowOverlap="1" wp14:anchorId="0BC67140" wp14:editId="0F6E4AD1">
          <wp:simplePos x="0" y="0"/>
          <wp:positionH relativeFrom="page">
            <wp:posOffset>1162050</wp:posOffset>
          </wp:positionH>
          <wp:positionV relativeFrom="page">
            <wp:posOffset>485775</wp:posOffset>
          </wp:positionV>
          <wp:extent cx="836930" cy="386715"/>
          <wp:effectExtent l="0" t="0" r="127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logotipo-entidad.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836930" cy="386715"/>
                  </a:xfrm>
                  <a:prstGeom prst="rect">
                    <a:avLst/>
                  </a:prstGeom>
                </pic:spPr>
              </pic:pic>
            </a:graphicData>
          </a:graphic>
          <wp14:sizeRelH relativeFrom="margin">
            <wp14:pctWidth>0</wp14:pctWidth>
          </wp14:sizeRelH>
          <wp14:sizeRelV relativeFrom="margin">
            <wp14:pctHeight>0</wp14:pctHeight>
          </wp14:sizeRelV>
        </wp:anchor>
      </w:drawing>
    </w:r>
  </w:p>
  <w:p w14:paraId="5C31E396" w14:textId="30BD585C" w:rsidR="002E6B58" w:rsidRPr="00C81469" w:rsidRDefault="002E6B58" w:rsidP="00D73082">
    <w:pPr>
      <w:pStyle w:val="Encabezado"/>
      <w:tabs>
        <w:tab w:val="clear" w:pos="4252"/>
        <w:tab w:val="clear" w:pos="8504"/>
        <w:tab w:val="right" w:pos="9072"/>
      </w:tabs>
      <w:rPr>
        <w:rFonts w:ascii="Bookman Old Style" w:hAnsi="Bookman Old Style"/>
        <w:b/>
        <w:i/>
        <w:color w:val="365F91" w:themeColor="accent1" w:themeShade="BF"/>
        <w:sz w:val="18"/>
        <w:lang w:val="es-CR"/>
      </w:rPr>
    </w:pPr>
    <w:r w:rsidRPr="00D95385">
      <w:rPr>
        <w:rFonts w:ascii="Bookman Old Style" w:hAnsi="Bookman Old Style"/>
        <w:b/>
        <w:i/>
        <w:color w:val="365F91" w:themeColor="accent1" w:themeShade="BF"/>
        <w:sz w:val="18"/>
      </w:rPr>
      <w:tab/>
    </w:r>
    <w:r w:rsidRPr="00C81469">
      <w:rPr>
        <w:rFonts w:ascii="Bookman Old Style" w:hAnsi="Bookman Old Style"/>
        <w:b/>
        <w:i/>
        <w:color w:val="365F91" w:themeColor="accent1" w:themeShade="BF"/>
        <w:sz w:val="18"/>
        <w:lang w:val="es-CR"/>
      </w:rPr>
      <w:t>Informe de Ejecución Presupuestaria 2020</w:t>
    </w:r>
  </w:p>
  <w:p w14:paraId="12446EFA" w14:textId="77777777" w:rsidR="002E6B58" w:rsidRPr="00C81469" w:rsidRDefault="002E6B58" w:rsidP="00277BCF">
    <w:pPr>
      <w:pStyle w:val="Encabezado"/>
      <w:pBdr>
        <w:bottom w:val="single" w:sz="12" w:space="1" w:color="auto"/>
      </w:pBdr>
      <w:tabs>
        <w:tab w:val="clear" w:pos="4252"/>
        <w:tab w:val="clear" w:pos="8504"/>
        <w:tab w:val="right" w:pos="9072"/>
      </w:tabs>
      <w:rPr>
        <w:rFonts w:ascii="Bookman Old Style" w:hAnsi="Bookman Old Style"/>
        <w:b/>
        <w:i/>
        <w:color w:val="0000FF"/>
        <w:sz w:val="18"/>
        <w:lang w:val="es-CR"/>
      </w:rPr>
    </w:pPr>
  </w:p>
  <w:p w14:paraId="666234F9" w14:textId="77777777" w:rsidR="002E6B58" w:rsidRPr="00673A4E" w:rsidRDefault="002E6B58" w:rsidP="00277BCF">
    <w:pPr>
      <w:pStyle w:val="Encabezado"/>
      <w:tabs>
        <w:tab w:val="clear" w:pos="4252"/>
        <w:tab w:val="clear" w:pos="8504"/>
        <w:tab w:val="right" w:pos="9072"/>
      </w:tabs>
      <w:rPr>
        <w:sz w:val="10"/>
        <w:szCs w:val="10"/>
      </w:rPr>
    </w:pPr>
  </w:p>
  <w:p w14:paraId="60973196" w14:textId="77777777" w:rsidR="002E6B58" w:rsidRDefault="002E6B5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8863BB"/>
    <w:multiLevelType w:val="hybridMultilevel"/>
    <w:tmpl w:val="CAB63C7A"/>
    <w:lvl w:ilvl="0" w:tplc="140A0017">
      <w:start w:val="1"/>
      <w:numFmt w:val="lowerLetter"/>
      <w:lvlText w:val="%1)"/>
      <w:lvlJc w:val="left"/>
      <w:pPr>
        <w:ind w:left="744" w:hanging="360"/>
      </w:pPr>
    </w:lvl>
    <w:lvl w:ilvl="1" w:tplc="140A0019" w:tentative="1">
      <w:start w:val="1"/>
      <w:numFmt w:val="lowerLetter"/>
      <w:lvlText w:val="%2."/>
      <w:lvlJc w:val="left"/>
      <w:pPr>
        <w:ind w:left="1464" w:hanging="360"/>
      </w:pPr>
    </w:lvl>
    <w:lvl w:ilvl="2" w:tplc="140A001B" w:tentative="1">
      <w:start w:val="1"/>
      <w:numFmt w:val="lowerRoman"/>
      <w:lvlText w:val="%3."/>
      <w:lvlJc w:val="right"/>
      <w:pPr>
        <w:ind w:left="2184" w:hanging="180"/>
      </w:pPr>
    </w:lvl>
    <w:lvl w:ilvl="3" w:tplc="140A000F" w:tentative="1">
      <w:start w:val="1"/>
      <w:numFmt w:val="decimal"/>
      <w:lvlText w:val="%4."/>
      <w:lvlJc w:val="left"/>
      <w:pPr>
        <w:ind w:left="2904" w:hanging="360"/>
      </w:pPr>
    </w:lvl>
    <w:lvl w:ilvl="4" w:tplc="140A0019" w:tentative="1">
      <w:start w:val="1"/>
      <w:numFmt w:val="lowerLetter"/>
      <w:lvlText w:val="%5."/>
      <w:lvlJc w:val="left"/>
      <w:pPr>
        <w:ind w:left="3624" w:hanging="360"/>
      </w:pPr>
    </w:lvl>
    <w:lvl w:ilvl="5" w:tplc="140A001B" w:tentative="1">
      <w:start w:val="1"/>
      <w:numFmt w:val="lowerRoman"/>
      <w:lvlText w:val="%6."/>
      <w:lvlJc w:val="right"/>
      <w:pPr>
        <w:ind w:left="4344" w:hanging="180"/>
      </w:pPr>
    </w:lvl>
    <w:lvl w:ilvl="6" w:tplc="140A000F" w:tentative="1">
      <w:start w:val="1"/>
      <w:numFmt w:val="decimal"/>
      <w:lvlText w:val="%7."/>
      <w:lvlJc w:val="left"/>
      <w:pPr>
        <w:ind w:left="5064" w:hanging="360"/>
      </w:pPr>
    </w:lvl>
    <w:lvl w:ilvl="7" w:tplc="140A0019" w:tentative="1">
      <w:start w:val="1"/>
      <w:numFmt w:val="lowerLetter"/>
      <w:lvlText w:val="%8."/>
      <w:lvlJc w:val="left"/>
      <w:pPr>
        <w:ind w:left="5784" w:hanging="360"/>
      </w:pPr>
    </w:lvl>
    <w:lvl w:ilvl="8" w:tplc="140A001B" w:tentative="1">
      <w:start w:val="1"/>
      <w:numFmt w:val="lowerRoman"/>
      <w:lvlText w:val="%9."/>
      <w:lvlJc w:val="right"/>
      <w:pPr>
        <w:ind w:left="6504" w:hanging="180"/>
      </w:pPr>
    </w:lvl>
  </w:abstractNum>
  <w:abstractNum w:abstractNumId="1" w15:restartNumberingAfterBreak="0">
    <w:nsid w:val="0F9206A7"/>
    <w:multiLevelType w:val="hybridMultilevel"/>
    <w:tmpl w:val="C8E4709C"/>
    <w:lvl w:ilvl="0" w:tplc="140A0003">
      <w:start w:val="1"/>
      <w:numFmt w:val="bullet"/>
      <w:lvlText w:val="o"/>
      <w:lvlJc w:val="left"/>
      <w:pPr>
        <w:ind w:left="720" w:hanging="360"/>
      </w:pPr>
      <w:rPr>
        <w:rFonts w:ascii="Courier New" w:hAnsi="Courier New" w:cs="Courier New" w:hint="default"/>
      </w:rPr>
    </w:lvl>
    <w:lvl w:ilvl="1" w:tplc="140A0005">
      <w:start w:val="1"/>
      <w:numFmt w:val="bullet"/>
      <w:lvlText w:val=""/>
      <w:lvlJc w:val="left"/>
      <w:pPr>
        <w:ind w:left="1440" w:hanging="360"/>
      </w:pPr>
      <w:rPr>
        <w:rFonts w:ascii="Wingdings" w:hAnsi="Wingdings"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 w15:restartNumberingAfterBreak="0">
    <w:nsid w:val="10F718F4"/>
    <w:multiLevelType w:val="hybridMultilevel"/>
    <w:tmpl w:val="0D280DB0"/>
    <w:lvl w:ilvl="0" w:tplc="140A0017">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 w15:restartNumberingAfterBreak="0">
    <w:nsid w:val="12200CCA"/>
    <w:multiLevelType w:val="hybridMultilevel"/>
    <w:tmpl w:val="DC52B5FE"/>
    <w:lvl w:ilvl="0" w:tplc="140A0003">
      <w:start w:val="1"/>
      <w:numFmt w:val="bullet"/>
      <w:lvlText w:val="o"/>
      <w:lvlJc w:val="left"/>
      <w:pPr>
        <w:ind w:left="720" w:hanging="360"/>
      </w:pPr>
      <w:rPr>
        <w:rFonts w:ascii="Courier New" w:hAnsi="Courier New" w:cs="Courier New" w:hint="default"/>
      </w:rPr>
    </w:lvl>
    <w:lvl w:ilvl="1" w:tplc="140A0003">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 w15:restartNumberingAfterBreak="0">
    <w:nsid w:val="17EB4BBD"/>
    <w:multiLevelType w:val="hybridMultilevel"/>
    <w:tmpl w:val="A5DEAA8A"/>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9D0032D"/>
    <w:multiLevelType w:val="hybridMultilevel"/>
    <w:tmpl w:val="650E1F66"/>
    <w:lvl w:ilvl="0" w:tplc="AB3816B4">
      <w:start w:val="1"/>
      <w:numFmt w:val="decimal"/>
      <w:lvlText w:val="%1."/>
      <w:lvlJc w:val="left"/>
      <w:pPr>
        <w:ind w:left="1065" w:hanging="705"/>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6" w15:restartNumberingAfterBreak="0">
    <w:nsid w:val="1A8936E1"/>
    <w:multiLevelType w:val="hybridMultilevel"/>
    <w:tmpl w:val="17AEBC2E"/>
    <w:lvl w:ilvl="0" w:tplc="140A0015">
      <w:start w:val="1"/>
      <w:numFmt w:val="upp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7" w15:restartNumberingAfterBreak="0">
    <w:nsid w:val="1B332BA3"/>
    <w:multiLevelType w:val="hybridMultilevel"/>
    <w:tmpl w:val="5BC04D04"/>
    <w:lvl w:ilvl="0" w:tplc="034E2A76">
      <w:start w:val="1"/>
      <w:numFmt w:val="upperLetter"/>
      <w:lvlText w:val="%1."/>
      <w:lvlJc w:val="left"/>
      <w:pPr>
        <w:ind w:left="720" w:hanging="360"/>
      </w:pPr>
      <w:rPr>
        <w:rFonts w:hint="default"/>
        <w:sz w:val="28"/>
        <w:szCs w:val="28"/>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8" w15:restartNumberingAfterBreak="0">
    <w:nsid w:val="1EF1282D"/>
    <w:multiLevelType w:val="hybridMultilevel"/>
    <w:tmpl w:val="D980AD1E"/>
    <w:lvl w:ilvl="0" w:tplc="F0360AA6">
      <w:start w:val="1"/>
      <w:numFmt w:val="upp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9" w15:restartNumberingAfterBreak="0">
    <w:nsid w:val="28632700"/>
    <w:multiLevelType w:val="hybridMultilevel"/>
    <w:tmpl w:val="CE02D91A"/>
    <w:lvl w:ilvl="0" w:tplc="140A0015">
      <w:start w:val="1"/>
      <w:numFmt w:val="upp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0" w15:restartNumberingAfterBreak="0">
    <w:nsid w:val="2CFC7F04"/>
    <w:multiLevelType w:val="hybridMultilevel"/>
    <w:tmpl w:val="D3003516"/>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1" w15:restartNumberingAfterBreak="0">
    <w:nsid w:val="33737F8A"/>
    <w:multiLevelType w:val="hybridMultilevel"/>
    <w:tmpl w:val="42566F8C"/>
    <w:lvl w:ilvl="0" w:tplc="C052B000">
      <w:start w:val="1"/>
      <w:numFmt w:val="bullet"/>
      <w:lvlText w:val="-"/>
      <w:lvlJc w:val="left"/>
      <w:pPr>
        <w:tabs>
          <w:tab w:val="num" w:pos="720"/>
        </w:tabs>
        <w:ind w:left="720" w:hanging="360"/>
      </w:pPr>
      <w:rPr>
        <w:rFonts w:ascii="Arial" w:hAnsi="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52D3348"/>
    <w:multiLevelType w:val="hybridMultilevel"/>
    <w:tmpl w:val="092673F8"/>
    <w:lvl w:ilvl="0" w:tplc="C052B000">
      <w:start w:val="1"/>
      <w:numFmt w:val="bullet"/>
      <w:lvlText w:val="-"/>
      <w:lvlJc w:val="left"/>
      <w:pPr>
        <w:tabs>
          <w:tab w:val="num" w:pos="720"/>
        </w:tabs>
        <w:ind w:left="720" w:hanging="360"/>
      </w:pPr>
      <w:rPr>
        <w:rFonts w:ascii="Arial" w:hAnsi="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08B6147"/>
    <w:multiLevelType w:val="hybridMultilevel"/>
    <w:tmpl w:val="6E6CBEB6"/>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4" w15:restartNumberingAfterBreak="0">
    <w:nsid w:val="458422EC"/>
    <w:multiLevelType w:val="hybridMultilevel"/>
    <w:tmpl w:val="C3A660F8"/>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5" w15:restartNumberingAfterBreak="0">
    <w:nsid w:val="4AE15B07"/>
    <w:multiLevelType w:val="hybridMultilevel"/>
    <w:tmpl w:val="ACCC93E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01D3BEC"/>
    <w:multiLevelType w:val="hybridMultilevel"/>
    <w:tmpl w:val="5BC04D04"/>
    <w:lvl w:ilvl="0" w:tplc="034E2A76">
      <w:start w:val="1"/>
      <w:numFmt w:val="upperLetter"/>
      <w:lvlText w:val="%1."/>
      <w:lvlJc w:val="left"/>
      <w:pPr>
        <w:ind w:left="720" w:hanging="360"/>
      </w:pPr>
      <w:rPr>
        <w:rFonts w:hint="default"/>
        <w:sz w:val="28"/>
        <w:szCs w:val="28"/>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7" w15:restartNumberingAfterBreak="0">
    <w:nsid w:val="5A680F36"/>
    <w:multiLevelType w:val="hybridMultilevel"/>
    <w:tmpl w:val="9BFA308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8" w15:restartNumberingAfterBreak="0">
    <w:nsid w:val="5A791688"/>
    <w:multiLevelType w:val="hybridMultilevel"/>
    <w:tmpl w:val="44B435C0"/>
    <w:lvl w:ilvl="0" w:tplc="C052B000">
      <w:start w:val="1"/>
      <w:numFmt w:val="bullet"/>
      <w:lvlText w:val="-"/>
      <w:lvlJc w:val="left"/>
      <w:pPr>
        <w:ind w:left="720" w:hanging="360"/>
      </w:pPr>
      <w:rPr>
        <w:rFonts w:ascii="Arial" w:hAnsi="Aria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9" w15:restartNumberingAfterBreak="0">
    <w:nsid w:val="5DC1788A"/>
    <w:multiLevelType w:val="hybridMultilevel"/>
    <w:tmpl w:val="0D280DB0"/>
    <w:lvl w:ilvl="0" w:tplc="140A0017">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0" w15:restartNumberingAfterBreak="0">
    <w:nsid w:val="62122279"/>
    <w:multiLevelType w:val="hybridMultilevel"/>
    <w:tmpl w:val="627456D6"/>
    <w:lvl w:ilvl="0" w:tplc="140A0015">
      <w:start w:val="1"/>
      <w:numFmt w:val="upp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1" w15:restartNumberingAfterBreak="0">
    <w:nsid w:val="68FE1F91"/>
    <w:multiLevelType w:val="hybridMultilevel"/>
    <w:tmpl w:val="5B5A1BBC"/>
    <w:lvl w:ilvl="0" w:tplc="C052B000">
      <w:start w:val="1"/>
      <w:numFmt w:val="bullet"/>
      <w:lvlText w:val="-"/>
      <w:lvlJc w:val="left"/>
      <w:pPr>
        <w:ind w:left="1080" w:hanging="360"/>
      </w:pPr>
      <w:rPr>
        <w:rFonts w:ascii="Arial" w:hAnsi="Arial" w:hint="default"/>
      </w:rPr>
    </w:lvl>
    <w:lvl w:ilvl="1" w:tplc="140A0003" w:tentative="1">
      <w:start w:val="1"/>
      <w:numFmt w:val="bullet"/>
      <w:lvlText w:val="o"/>
      <w:lvlJc w:val="left"/>
      <w:pPr>
        <w:ind w:left="1800" w:hanging="360"/>
      </w:pPr>
      <w:rPr>
        <w:rFonts w:ascii="Courier New" w:hAnsi="Courier New" w:cs="Courier New" w:hint="default"/>
      </w:rPr>
    </w:lvl>
    <w:lvl w:ilvl="2" w:tplc="140A0005" w:tentative="1">
      <w:start w:val="1"/>
      <w:numFmt w:val="bullet"/>
      <w:lvlText w:val=""/>
      <w:lvlJc w:val="left"/>
      <w:pPr>
        <w:ind w:left="2520" w:hanging="360"/>
      </w:pPr>
      <w:rPr>
        <w:rFonts w:ascii="Wingdings" w:hAnsi="Wingdings" w:hint="default"/>
      </w:rPr>
    </w:lvl>
    <w:lvl w:ilvl="3" w:tplc="140A0001" w:tentative="1">
      <w:start w:val="1"/>
      <w:numFmt w:val="bullet"/>
      <w:lvlText w:val=""/>
      <w:lvlJc w:val="left"/>
      <w:pPr>
        <w:ind w:left="3240" w:hanging="360"/>
      </w:pPr>
      <w:rPr>
        <w:rFonts w:ascii="Symbol" w:hAnsi="Symbol" w:hint="default"/>
      </w:rPr>
    </w:lvl>
    <w:lvl w:ilvl="4" w:tplc="140A0003" w:tentative="1">
      <w:start w:val="1"/>
      <w:numFmt w:val="bullet"/>
      <w:lvlText w:val="o"/>
      <w:lvlJc w:val="left"/>
      <w:pPr>
        <w:ind w:left="3960" w:hanging="360"/>
      </w:pPr>
      <w:rPr>
        <w:rFonts w:ascii="Courier New" w:hAnsi="Courier New" w:cs="Courier New" w:hint="default"/>
      </w:rPr>
    </w:lvl>
    <w:lvl w:ilvl="5" w:tplc="140A0005" w:tentative="1">
      <w:start w:val="1"/>
      <w:numFmt w:val="bullet"/>
      <w:lvlText w:val=""/>
      <w:lvlJc w:val="left"/>
      <w:pPr>
        <w:ind w:left="4680" w:hanging="360"/>
      </w:pPr>
      <w:rPr>
        <w:rFonts w:ascii="Wingdings" w:hAnsi="Wingdings" w:hint="default"/>
      </w:rPr>
    </w:lvl>
    <w:lvl w:ilvl="6" w:tplc="140A0001" w:tentative="1">
      <w:start w:val="1"/>
      <w:numFmt w:val="bullet"/>
      <w:lvlText w:val=""/>
      <w:lvlJc w:val="left"/>
      <w:pPr>
        <w:ind w:left="5400" w:hanging="360"/>
      </w:pPr>
      <w:rPr>
        <w:rFonts w:ascii="Symbol" w:hAnsi="Symbol" w:hint="default"/>
      </w:rPr>
    </w:lvl>
    <w:lvl w:ilvl="7" w:tplc="140A0003" w:tentative="1">
      <w:start w:val="1"/>
      <w:numFmt w:val="bullet"/>
      <w:lvlText w:val="o"/>
      <w:lvlJc w:val="left"/>
      <w:pPr>
        <w:ind w:left="6120" w:hanging="360"/>
      </w:pPr>
      <w:rPr>
        <w:rFonts w:ascii="Courier New" w:hAnsi="Courier New" w:cs="Courier New" w:hint="default"/>
      </w:rPr>
    </w:lvl>
    <w:lvl w:ilvl="8" w:tplc="140A0005" w:tentative="1">
      <w:start w:val="1"/>
      <w:numFmt w:val="bullet"/>
      <w:lvlText w:val=""/>
      <w:lvlJc w:val="left"/>
      <w:pPr>
        <w:ind w:left="6840" w:hanging="360"/>
      </w:pPr>
      <w:rPr>
        <w:rFonts w:ascii="Wingdings" w:hAnsi="Wingdings" w:hint="default"/>
      </w:rPr>
    </w:lvl>
  </w:abstractNum>
  <w:abstractNum w:abstractNumId="22" w15:restartNumberingAfterBreak="0">
    <w:nsid w:val="6BCC37A3"/>
    <w:multiLevelType w:val="singleLevel"/>
    <w:tmpl w:val="76E25DE6"/>
    <w:lvl w:ilvl="0">
      <w:start w:val="1"/>
      <w:numFmt w:val="lowerLetter"/>
      <w:pStyle w:val="Textoindependiente"/>
      <w:lvlText w:val="%1."/>
      <w:lvlJc w:val="left"/>
      <w:pPr>
        <w:tabs>
          <w:tab w:val="num" w:pos="360"/>
        </w:tabs>
        <w:ind w:left="360" w:hanging="360"/>
      </w:pPr>
      <w:rPr>
        <w:rFonts w:ascii="Arial" w:hAnsi="Arial" w:hint="default"/>
        <w:b w:val="0"/>
        <w:i w:val="0"/>
        <w:sz w:val="22"/>
      </w:rPr>
    </w:lvl>
  </w:abstractNum>
  <w:abstractNum w:abstractNumId="23" w15:restartNumberingAfterBreak="0">
    <w:nsid w:val="724D39CC"/>
    <w:multiLevelType w:val="multilevel"/>
    <w:tmpl w:val="0EF297F2"/>
    <w:lvl w:ilvl="0">
      <w:start w:val="1"/>
      <w:numFmt w:val="upperRoman"/>
      <w:lvlText w:val="%1"/>
      <w:lvlJc w:val="left"/>
      <w:pPr>
        <w:tabs>
          <w:tab w:val="num" w:pos="705"/>
        </w:tabs>
        <w:ind w:left="705" w:hanging="705"/>
      </w:pPr>
      <w:rPr>
        <w:rFonts w:hint="default"/>
      </w:rPr>
    </w:lvl>
    <w:lvl w:ilvl="1">
      <w:start w:val="1"/>
      <w:numFmt w:val="decimal"/>
      <w:lvlText w:val="%2"/>
      <w:lvlJc w:val="left"/>
      <w:pPr>
        <w:tabs>
          <w:tab w:val="num" w:pos="1059"/>
        </w:tabs>
        <w:ind w:left="1059" w:hanging="705"/>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24" w15:restartNumberingAfterBreak="0">
    <w:nsid w:val="72C01032"/>
    <w:multiLevelType w:val="hybridMultilevel"/>
    <w:tmpl w:val="5BA4F438"/>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5" w15:restartNumberingAfterBreak="0">
    <w:nsid w:val="73AE2EA7"/>
    <w:multiLevelType w:val="hybridMultilevel"/>
    <w:tmpl w:val="CB38B2F2"/>
    <w:lvl w:ilvl="0" w:tplc="51303474">
      <w:numFmt w:val="bullet"/>
      <w:lvlText w:val="-"/>
      <w:lvlJc w:val="left"/>
      <w:pPr>
        <w:ind w:left="720" w:hanging="360"/>
      </w:pPr>
      <w:rPr>
        <w:rFonts w:ascii="Calibri" w:eastAsiaTheme="minorHAnsi" w:hAnsi="Calibri" w:cs="Calibri"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6" w15:restartNumberingAfterBreak="0">
    <w:nsid w:val="73DB5CFE"/>
    <w:multiLevelType w:val="hybridMultilevel"/>
    <w:tmpl w:val="601C8F7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56C0AFB"/>
    <w:multiLevelType w:val="hybridMultilevel"/>
    <w:tmpl w:val="CC52DEC0"/>
    <w:lvl w:ilvl="0" w:tplc="C052B000">
      <w:start w:val="1"/>
      <w:numFmt w:val="bullet"/>
      <w:lvlText w:val="-"/>
      <w:lvlJc w:val="left"/>
      <w:pPr>
        <w:ind w:left="720" w:hanging="360"/>
      </w:pPr>
      <w:rPr>
        <w:rFonts w:ascii="Arial" w:hAnsi="Aria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abstractNumId w:val="22"/>
  </w:num>
  <w:num w:numId="2">
    <w:abstractNumId w:val="23"/>
  </w:num>
  <w:num w:numId="3">
    <w:abstractNumId w:val="11"/>
  </w:num>
  <w:num w:numId="4">
    <w:abstractNumId w:val="12"/>
  </w:num>
  <w:num w:numId="5">
    <w:abstractNumId w:val="15"/>
  </w:num>
  <w:num w:numId="6">
    <w:abstractNumId w:val="4"/>
  </w:num>
  <w:num w:numId="7">
    <w:abstractNumId w:val="26"/>
  </w:num>
  <w:num w:numId="8">
    <w:abstractNumId w:val="21"/>
  </w:num>
  <w:num w:numId="9">
    <w:abstractNumId w:val="18"/>
  </w:num>
  <w:num w:numId="10">
    <w:abstractNumId w:val="15"/>
  </w:num>
  <w:num w:numId="11">
    <w:abstractNumId w:val="15"/>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num>
  <w:num w:numId="16">
    <w:abstractNumId w:val="5"/>
  </w:num>
  <w:num w:numId="17">
    <w:abstractNumId w:val="17"/>
  </w:num>
  <w:num w:numId="18">
    <w:abstractNumId w:val="2"/>
  </w:num>
  <w:num w:numId="19">
    <w:abstractNumId w:val="22"/>
  </w:num>
  <w:num w:numId="20">
    <w:abstractNumId w:val="27"/>
  </w:num>
  <w:num w:numId="21">
    <w:abstractNumId w:val="22"/>
  </w:num>
  <w:num w:numId="22">
    <w:abstractNumId w:val="6"/>
  </w:num>
  <w:num w:numId="23">
    <w:abstractNumId w:val="20"/>
  </w:num>
  <w:num w:numId="24">
    <w:abstractNumId w:val="9"/>
  </w:num>
  <w:num w:numId="25">
    <w:abstractNumId w:val="8"/>
  </w:num>
  <w:num w:numId="26">
    <w:abstractNumId w:val="0"/>
  </w:num>
  <w:num w:numId="27">
    <w:abstractNumId w:val="3"/>
  </w:num>
  <w:num w:numId="28">
    <w:abstractNumId w:val="1"/>
  </w:num>
  <w:num w:numId="29">
    <w:abstractNumId w:val="10"/>
  </w:num>
  <w:num w:numId="30">
    <w:abstractNumId w:val="25"/>
  </w:num>
  <w:num w:numId="31">
    <w:abstractNumId w:val="8"/>
    <w:lvlOverride w:ilvl="0">
      <w:startOverride w:val="1"/>
    </w:lvlOverride>
  </w:num>
  <w:num w:numId="32">
    <w:abstractNumId w:val="16"/>
  </w:num>
  <w:num w:numId="33">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isplayHorizontalDrawingGridEvery w:val="0"/>
  <w:displayVerticalDrawingGridEvery w:val="0"/>
  <w:noPunctuationKerning/>
  <w:characterSpacingControl w:val="doNotCompress"/>
  <w:hdrShapeDefaults>
    <o:shapedefaults v:ext="edit" spidmax="2049">
      <o:colormru v:ext="edit" colors="#ccecff,#ccf,#f8f4ed"/>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7086"/>
    <w:rsid w:val="0000000B"/>
    <w:rsid w:val="0000004F"/>
    <w:rsid w:val="000001F8"/>
    <w:rsid w:val="00000E2E"/>
    <w:rsid w:val="000016BA"/>
    <w:rsid w:val="00001A13"/>
    <w:rsid w:val="00002DD1"/>
    <w:rsid w:val="00003914"/>
    <w:rsid w:val="00003F16"/>
    <w:rsid w:val="00004EAA"/>
    <w:rsid w:val="00005508"/>
    <w:rsid w:val="000056A0"/>
    <w:rsid w:val="000059AC"/>
    <w:rsid w:val="00006025"/>
    <w:rsid w:val="000062B3"/>
    <w:rsid w:val="00006CFF"/>
    <w:rsid w:val="000078DF"/>
    <w:rsid w:val="000103CD"/>
    <w:rsid w:val="000107B8"/>
    <w:rsid w:val="00011178"/>
    <w:rsid w:val="0001241E"/>
    <w:rsid w:val="00012551"/>
    <w:rsid w:val="00012761"/>
    <w:rsid w:val="00012D4B"/>
    <w:rsid w:val="00012FAA"/>
    <w:rsid w:val="000131F9"/>
    <w:rsid w:val="00013D6E"/>
    <w:rsid w:val="00013D96"/>
    <w:rsid w:val="00013F0F"/>
    <w:rsid w:val="000140A6"/>
    <w:rsid w:val="0001462B"/>
    <w:rsid w:val="00015410"/>
    <w:rsid w:val="00015897"/>
    <w:rsid w:val="00015F8A"/>
    <w:rsid w:val="00016238"/>
    <w:rsid w:val="00016241"/>
    <w:rsid w:val="00016B91"/>
    <w:rsid w:val="00016C3A"/>
    <w:rsid w:val="00016D45"/>
    <w:rsid w:val="0001779E"/>
    <w:rsid w:val="00017958"/>
    <w:rsid w:val="00017F51"/>
    <w:rsid w:val="00020063"/>
    <w:rsid w:val="000200AA"/>
    <w:rsid w:val="000201AA"/>
    <w:rsid w:val="000204E5"/>
    <w:rsid w:val="00020920"/>
    <w:rsid w:val="00021044"/>
    <w:rsid w:val="00021064"/>
    <w:rsid w:val="000225A1"/>
    <w:rsid w:val="00022DEE"/>
    <w:rsid w:val="0002305B"/>
    <w:rsid w:val="00023F69"/>
    <w:rsid w:val="000241CB"/>
    <w:rsid w:val="00024825"/>
    <w:rsid w:val="00026A8D"/>
    <w:rsid w:val="00026DC4"/>
    <w:rsid w:val="00026DE1"/>
    <w:rsid w:val="00026E62"/>
    <w:rsid w:val="00027091"/>
    <w:rsid w:val="000278E7"/>
    <w:rsid w:val="00030572"/>
    <w:rsid w:val="000307DD"/>
    <w:rsid w:val="00030D45"/>
    <w:rsid w:val="00031769"/>
    <w:rsid w:val="00031FF9"/>
    <w:rsid w:val="000325CB"/>
    <w:rsid w:val="00032E5C"/>
    <w:rsid w:val="000338A8"/>
    <w:rsid w:val="00033BDD"/>
    <w:rsid w:val="00034344"/>
    <w:rsid w:val="00034A5A"/>
    <w:rsid w:val="00034FC1"/>
    <w:rsid w:val="00035897"/>
    <w:rsid w:val="00035B59"/>
    <w:rsid w:val="00035EC2"/>
    <w:rsid w:val="00035EDB"/>
    <w:rsid w:val="00035F48"/>
    <w:rsid w:val="00036397"/>
    <w:rsid w:val="00036708"/>
    <w:rsid w:val="00036B6A"/>
    <w:rsid w:val="0003780D"/>
    <w:rsid w:val="000400E1"/>
    <w:rsid w:val="00040FD5"/>
    <w:rsid w:val="00041B4F"/>
    <w:rsid w:val="00042246"/>
    <w:rsid w:val="0004307F"/>
    <w:rsid w:val="00043547"/>
    <w:rsid w:val="00044510"/>
    <w:rsid w:val="00044ECA"/>
    <w:rsid w:val="0004538E"/>
    <w:rsid w:val="000453A0"/>
    <w:rsid w:val="000455C9"/>
    <w:rsid w:val="00045843"/>
    <w:rsid w:val="00046213"/>
    <w:rsid w:val="00046A19"/>
    <w:rsid w:val="00046F3C"/>
    <w:rsid w:val="00047166"/>
    <w:rsid w:val="000505F0"/>
    <w:rsid w:val="00050CB7"/>
    <w:rsid w:val="00050F6A"/>
    <w:rsid w:val="00051237"/>
    <w:rsid w:val="00051752"/>
    <w:rsid w:val="00052301"/>
    <w:rsid w:val="00052414"/>
    <w:rsid w:val="0005242A"/>
    <w:rsid w:val="00052775"/>
    <w:rsid w:val="00054233"/>
    <w:rsid w:val="000546D7"/>
    <w:rsid w:val="00054A10"/>
    <w:rsid w:val="00054B3E"/>
    <w:rsid w:val="00054F67"/>
    <w:rsid w:val="000554DE"/>
    <w:rsid w:val="00055703"/>
    <w:rsid w:val="0005650B"/>
    <w:rsid w:val="00056A6C"/>
    <w:rsid w:val="00056C62"/>
    <w:rsid w:val="00057541"/>
    <w:rsid w:val="000575E1"/>
    <w:rsid w:val="000579D8"/>
    <w:rsid w:val="00057E18"/>
    <w:rsid w:val="00060058"/>
    <w:rsid w:val="000604B6"/>
    <w:rsid w:val="00061034"/>
    <w:rsid w:val="0006167C"/>
    <w:rsid w:val="000619CF"/>
    <w:rsid w:val="0006216B"/>
    <w:rsid w:val="00063183"/>
    <w:rsid w:val="000632C7"/>
    <w:rsid w:val="00063389"/>
    <w:rsid w:val="000635FD"/>
    <w:rsid w:val="000639F2"/>
    <w:rsid w:val="00063C1A"/>
    <w:rsid w:val="0006428E"/>
    <w:rsid w:val="000644AD"/>
    <w:rsid w:val="00064C28"/>
    <w:rsid w:val="0006519B"/>
    <w:rsid w:val="00065574"/>
    <w:rsid w:val="00065C1D"/>
    <w:rsid w:val="00065DC1"/>
    <w:rsid w:val="00065E39"/>
    <w:rsid w:val="00065E49"/>
    <w:rsid w:val="00066242"/>
    <w:rsid w:val="000663B6"/>
    <w:rsid w:val="00066A8E"/>
    <w:rsid w:val="00066BB9"/>
    <w:rsid w:val="00066D99"/>
    <w:rsid w:val="00067441"/>
    <w:rsid w:val="00067462"/>
    <w:rsid w:val="000675D3"/>
    <w:rsid w:val="00067868"/>
    <w:rsid w:val="00067CFA"/>
    <w:rsid w:val="000701C0"/>
    <w:rsid w:val="000707F9"/>
    <w:rsid w:val="00070903"/>
    <w:rsid w:val="00070DF4"/>
    <w:rsid w:val="000710AB"/>
    <w:rsid w:val="00071150"/>
    <w:rsid w:val="000714E4"/>
    <w:rsid w:val="00071924"/>
    <w:rsid w:val="00071FE4"/>
    <w:rsid w:val="000720C4"/>
    <w:rsid w:val="00072BEE"/>
    <w:rsid w:val="00072EE7"/>
    <w:rsid w:val="00073BF0"/>
    <w:rsid w:val="0007405C"/>
    <w:rsid w:val="00074234"/>
    <w:rsid w:val="00074655"/>
    <w:rsid w:val="00075C68"/>
    <w:rsid w:val="00076747"/>
    <w:rsid w:val="00080C7F"/>
    <w:rsid w:val="00080FC3"/>
    <w:rsid w:val="000810B0"/>
    <w:rsid w:val="0008131F"/>
    <w:rsid w:val="000815AC"/>
    <w:rsid w:val="00081CB5"/>
    <w:rsid w:val="000825BD"/>
    <w:rsid w:val="000828FC"/>
    <w:rsid w:val="00082B0C"/>
    <w:rsid w:val="00082CB5"/>
    <w:rsid w:val="000830A6"/>
    <w:rsid w:val="00083143"/>
    <w:rsid w:val="000835AD"/>
    <w:rsid w:val="000839FD"/>
    <w:rsid w:val="00083A84"/>
    <w:rsid w:val="00084246"/>
    <w:rsid w:val="000844CA"/>
    <w:rsid w:val="0008454C"/>
    <w:rsid w:val="00084886"/>
    <w:rsid w:val="000857F9"/>
    <w:rsid w:val="00085C5A"/>
    <w:rsid w:val="00086EB2"/>
    <w:rsid w:val="0008787B"/>
    <w:rsid w:val="00087C72"/>
    <w:rsid w:val="00087CC7"/>
    <w:rsid w:val="00087CE1"/>
    <w:rsid w:val="00090577"/>
    <w:rsid w:val="00091172"/>
    <w:rsid w:val="00093594"/>
    <w:rsid w:val="00093987"/>
    <w:rsid w:val="00093AF0"/>
    <w:rsid w:val="00093C79"/>
    <w:rsid w:val="00093CA8"/>
    <w:rsid w:val="00093D70"/>
    <w:rsid w:val="00094971"/>
    <w:rsid w:val="00094EE2"/>
    <w:rsid w:val="000961CC"/>
    <w:rsid w:val="000968EF"/>
    <w:rsid w:val="00096D3F"/>
    <w:rsid w:val="00096D6B"/>
    <w:rsid w:val="00097148"/>
    <w:rsid w:val="000971A8"/>
    <w:rsid w:val="000A1450"/>
    <w:rsid w:val="000A26B5"/>
    <w:rsid w:val="000A2A3D"/>
    <w:rsid w:val="000A2B51"/>
    <w:rsid w:val="000A344E"/>
    <w:rsid w:val="000A354F"/>
    <w:rsid w:val="000A3691"/>
    <w:rsid w:val="000A36DA"/>
    <w:rsid w:val="000A4EEB"/>
    <w:rsid w:val="000A572C"/>
    <w:rsid w:val="000A5B22"/>
    <w:rsid w:val="000A5B82"/>
    <w:rsid w:val="000A608E"/>
    <w:rsid w:val="000A6695"/>
    <w:rsid w:val="000A7383"/>
    <w:rsid w:val="000A73DD"/>
    <w:rsid w:val="000A7A36"/>
    <w:rsid w:val="000A7A4E"/>
    <w:rsid w:val="000A7F28"/>
    <w:rsid w:val="000B0BAC"/>
    <w:rsid w:val="000B0D7C"/>
    <w:rsid w:val="000B0FA0"/>
    <w:rsid w:val="000B1AB0"/>
    <w:rsid w:val="000B21FB"/>
    <w:rsid w:val="000B23EB"/>
    <w:rsid w:val="000B272E"/>
    <w:rsid w:val="000B2AE8"/>
    <w:rsid w:val="000B2CA7"/>
    <w:rsid w:val="000B2DE9"/>
    <w:rsid w:val="000B3624"/>
    <w:rsid w:val="000B40EE"/>
    <w:rsid w:val="000B48D0"/>
    <w:rsid w:val="000B4E0F"/>
    <w:rsid w:val="000B4E56"/>
    <w:rsid w:val="000B59C5"/>
    <w:rsid w:val="000B5FC9"/>
    <w:rsid w:val="000B61D6"/>
    <w:rsid w:val="000B6598"/>
    <w:rsid w:val="000B7126"/>
    <w:rsid w:val="000B7347"/>
    <w:rsid w:val="000B7D5A"/>
    <w:rsid w:val="000C00C9"/>
    <w:rsid w:val="000C03A1"/>
    <w:rsid w:val="000C09A6"/>
    <w:rsid w:val="000C0AC4"/>
    <w:rsid w:val="000C0B13"/>
    <w:rsid w:val="000C0BD9"/>
    <w:rsid w:val="000C30BD"/>
    <w:rsid w:val="000C32FA"/>
    <w:rsid w:val="000C36B0"/>
    <w:rsid w:val="000C37A0"/>
    <w:rsid w:val="000C3AF7"/>
    <w:rsid w:val="000C3EB1"/>
    <w:rsid w:val="000C437C"/>
    <w:rsid w:val="000C4765"/>
    <w:rsid w:val="000C4D0E"/>
    <w:rsid w:val="000C5E23"/>
    <w:rsid w:val="000C6273"/>
    <w:rsid w:val="000C7838"/>
    <w:rsid w:val="000C79FD"/>
    <w:rsid w:val="000C7A7D"/>
    <w:rsid w:val="000C7BD3"/>
    <w:rsid w:val="000C7BF1"/>
    <w:rsid w:val="000C7FC1"/>
    <w:rsid w:val="000D06DF"/>
    <w:rsid w:val="000D0A0A"/>
    <w:rsid w:val="000D0FE1"/>
    <w:rsid w:val="000D17CB"/>
    <w:rsid w:val="000D24E0"/>
    <w:rsid w:val="000D2B02"/>
    <w:rsid w:val="000D2BD1"/>
    <w:rsid w:val="000D32D8"/>
    <w:rsid w:val="000D3368"/>
    <w:rsid w:val="000D3663"/>
    <w:rsid w:val="000D367E"/>
    <w:rsid w:val="000D3AE4"/>
    <w:rsid w:val="000D3BFA"/>
    <w:rsid w:val="000D3C2A"/>
    <w:rsid w:val="000D3E33"/>
    <w:rsid w:val="000D42E8"/>
    <w:rsid w:val="000D50FE"/>
    <w:rsid w:val="000D548C"/>
    <w:rsid w:val="000D5813"/>
    <w:rsid w:val="000D5FAF"/>
    <w:rsid w:val="000D73FE"/>
    <w:rsid w:val="000D7639"/>
    <w:rsid w:val="000E08F0"/>
    <w:rsid w:val="000E0EFD"/>
    <w:rsid w:val="000E13A9"/>
    <w:rsid w:val="000E13F1"/>
    <w:rsid w:val="000E15F2"/>
    <w:rsid w:val="000E1A1A"/>
    <w:rsid w:val="000E1A96"/>
    <w:rsid w:val="000E22D0"/>
    <w:rsid w:val="000E28BA"/>
    <w:rsid w:val="000E2D56"/>
    <w:rsid w:val="000E3AB7"/>
    <w:rsid w:val="000E429B"/>
    <w:rsid w:val="000E4F35"/>
    <w:rsid w:val="000E5161"/>
    <w:rsid w:val="000E5350"/>
    <w:rsid w:val="000E53A8"/>
    <w:rsid w:val="000E5CD8"/>
    <w:rsid w:val="000E5FBC"/>
    <w:rsid w:val="000E6950"/>
    <w:rsid w:val="000E6C52"/>
    <w:rsid w:val="000E70ED"/>
    <w:rsid w:val="000E7BDD"/>
    <w:rsid w:val="000E7CAE"/>
    <w:rsid w:val="000E7DDD"/>
    <w:rsid w:val="000F0275"/>
    <w:rsid w:val="000F16CD"/>
    <w:rsid w:val="000F21F4"/>
    <w:rsid w:val="000F39F0"/>
    <w:rsid w:val="000F3E81"/>
    <w:rsid w:val="000F538F"/>
    <w:rsid w:val="000F56DF"/>
    <w:rsid w:val="000F57EC"/>
    <w:rsid w:val="000F5AF5"/>
    <w:rsid w:val="000F5D4C"/>
    <w:rsid w:val="000F6104"/>
    <w:rsid w:val="000F6452"/>
    <w:rsid w:val="000F6522"/>
    <w:rsid w:val="000F65D5"/>
    <w:rsid w:val="000F673A"/>
    <w:rsid w:val="000F6B70"/>
    <w:rsid w:val="000F7035"/>
    <w:rsid w:val="000F77D9"/>
    <w:rsid w:val="000F79FA"/>
    <w:rsid w:val="000F7AAD"/>
    <w:rsid w:val="000F7C05"/>
    <w:rsid w:val="00100B83"/>
    <w:rsid w:val="00100D88"/>
    <w:rsid w:val="001013BE"/>
    <w:rsid w:val="0010175E"/>
    <w:rsid w:val="001019E3"/>
    <w:rsid w:val="00101B63"/>
    <w:rsid w:val="00102540"/>
    <w:rsid w:val="00102662"/>
    <w:rsid w:val="00103340"/>
    <w:rsid w:val="00103674"/>
    <w:rsid w:val="00104446"/>
    <w:rsid w:val="00104B71"/>
    <w:rsid w:val="001057F1"/>
    <w:rsid w:val="001068FF"/>
    <w:rsid w:val="00106D1C"/>
    <w:rsid w:val="001076EC"/>
    <w:rsid w:val="00107886"/>
    <w:rsid w:val="00107A6D"/>
    <w:rsid w:val="001104DC"/>
    <w:rsid w:val="001106C7"/>
    <w:rsid w:val="001117C9"/>
    <w:rsid w:val="00111D35"/>
    <w:rsid w:val="00112048"/>
    <w:rsid w:val="00112402"/>
    <w:rsid w:val="00112BE9"/>
    <w:rsid w:val="00113154"/>
    <w:rsid w:val="00113AF0"/>
    <w:rsid w:val="001147F5"/>
    <w:rsid w:val="001162C9"/>
    <w:rsid w:val="00116399"/>
    <w:rsid w:val="001164A1"/>
    <w:rsid w:val="00116A44"/>
    <w:rsid w:val="001204C5"/>
    <w:rsid w:val="001205A8"/>
    <w:rsid w:val="00120984"/>
    <w:rsid w:val="00120BE9"/>
    <w:rsid w:val="00121BA8"/>
    <w:rsid w:val="00121D80"/>
    <w:rsid w:val="001221D8"/>
    <w:rsid w:val="001222CD"/>
    <w:rsid w:val="0012260D"/>
    <w:rsid w:val="00122C75"/>
    <w:rsid w:val="001230BD"/>
    <w:rsid w:val="0012437A"/>
    <w:rsid w:val="001247FB"/>
    <w:rsid w:val="0012511B"/>
    <w:rsid w:val="00125860"/>
    <w:rsid w:val="0012606A"/>
    <w:rsid w:val="00126324"/>
    <w:rsid w:val="001278DF"/>
    <w:rsid w:val="00127DF7"/>
    <w:rsid w:val="001310A6"/>
    <w:rsid w:val="00131DEA"/>
    <w:rsid w:val="001321AD"/>
    <w:rsid w:val="00132299"/>
    <w:rsid w:val="00132730"/>
    <w:rsid w:val="00132D4A"/>
    <w:rsid w:val="0013304B"/>
    <w:rsid w:val="00133177"/>
    <w:rsid w:val="00133D2E"/>
    <w:rsid w:val="0013408D"/>
    <w:rsid w:val="00134735"/>
    <w:rsid w:val="00136344"/>
    <w:rsid w:val="00136960"/>
    <w:rsid w:val="00137C36"/>
    <w:rsid w:val="00137C57"/>
    <w:rsid w:val="00140AEC"/>
    <w:rsid w:val="00140FBA"/>
    <w:rsid w:val="00140FE8"/>
    <w:rsid w:val="0014142B"/>
    <w:rsid w:val="00141596"/>
    <w:rsid w:val="00142F84"/>
    <w:rsid w:val="001436D7"/>
    <w:rsid w:val="00143CCA"/>
    <w:rsid w:val="0014430F"/>
    <w:rsid w:val="00144539"/>
    <w:rsid w:val="00144A9A"/>
    <w:rsid w:val="00144D74"/>
    <w:rsid w:val="001461BE"/>
    <w:rsid w:val="00146D2C"/>
    <w:rsid w:val="001470A8"/>
    <w:rsid w:val="00147BDF"/>
    <w:rsid w:val="0015037C"/>
    <w:rsid w:val="00150AA5"/>
    <w:rsid w:val="0015103A"/>
    <w:rsid w:val="00151B31"/>
    <w:rsid w:val="001520B2"/>
    <w:rsid w:val="00152216"/>
    <w:rsid w:val="001525F6"/>
    <w:rsid w:val="00153463"/>
    <w:rsid w:val="00153918"/>
    <w:rsid w:val="00153E4A"/>
    <w:rsid w:val="0015449C"/>
    <w:rsid w:val="001548C8"/>
    <w:rsid w:val="00154EFF"/>
    <w:rsid w:val="00155133"/>
    <w:rsid w:val="0015560A"/>
    <w:rsid w:val="00156204"/>
    <w:rsid w:val="00156C74"/>
    <w:rsid w:val="00156D5D"/>
    <w:rsid w:val="001572E0"/>
    <w:rsid w:val="0015794B"/>
    <w:rsid w:val="00160B8E"/>
    <w:rsid w:val="001615D3"/>
    <w:rsid w:val="001620D8"/>
    <w:rsid w:val="0016226A"/>
    <w:rsid w:val="001627B7"/>
    <w:rsid w:val="00162816"/>
    <w:rsid w:val="00162A43"/>
    <w:rsid w:val="00162A99"/>
    <w:rsid w:val="00163587"/>
    <w:rsid w:val="00163C63"/>
    <w:rsid w:val="00163CC1"/>
    <w:rsid w:val="00165C22"/>
    <w:rsid w:val="00165D77"/>
    <w:rsid w:val="00166123"/>
    <w:rsid w:val="00166563"/>
    <w:rsid w:val="00166854"/>
    <w:rsid w:val="00166A2E"/>
    <w:rsid w:val="00166EF1"/>
    <w:rsid w:val="001673A4"/>
    <w:rsid w:val="001674E3"/>
    <w:rsid w:val="00167AE9"/>
    <w:rsid w:val="00167B15"/>
    <w:rsid w:val="00170918"/>
    <w:rsid w:val="00170AA0"/>
    <w:rsid w:val="00170AEE"/>
    <w:rsid w:val="00170B80"/>
    <w:rsid w:val="00170C02"/>
    <w:rsid w:val="00171631"/>
    <w:rsid w:val="001718D0"/>
    <w:rsid w:val="00171AB1"/>
    <w:rsid w:val="0017269B"/>
    <w:rsid w:val="0017288D"/>
    <w:rsid w:val="00172C67"/>
    <w:rsid w:val="00172D4E"/>
    <w:rsid w:val="00172EF5"/>
    <w:rsid w:val="00173C36"/>
    <w:rsid w:val="00173F4E"/>
    <w:rsid w:val="00174403"/>
    <w:rsid w:val="00175130"/>
    <w:rsid w:val="001751D6"/>
    <w:rsid w:val="00175D67"/>
    <w:rsid w:val="00176375"/>
    <w:rsid w:val="00176959"/>
    <w:rsid w:val="00176E80"/>
    <w:rsid w:val="001770F6"/>
    <w:rsid w:val="001810EF"/>
    <w:rsid w:val="00181803"/>
    <w:rsid w:val="00182704"/>
    <w:rsid w:val="00182887"/>
    <w:rsid w:val="00183397"/>
    <w:rsid w:val="0018371F"/>
    <w:rsid w:val="00183726"/>
    <w:rsid w:val="00183BF6"/>
    <w:rsid w:val="00184A7E"/>
    <w:rsid w:val="00186F96"/>
    <w:rsid w:val="00187132"/>
    <w:rsid w:val="00187264"/>
    <w:rsid w:val="0018733C"/>
    <w:rsid w:val="00187BB6"/>
    <w:rsid w:val="00190BDB"/>
    <w:rsid w:val="001912DD"/>
    <w:rsid w:val="001912DF"/>
    <w:rsid w:val="00191BBA"/>
    <w:rsid w:val="00193310"/>
    <w:rsid w:val="001934F4"/>
    <w:rsid w:val="00193516"/>
    <w:rsid w:val="001938ED"/>
    <w:rsid w:val="00193C9B"/>
    <w:rsid w:val="00194438"/>
    <w:rsid w:val="00194F78"/>
    <w:rsid w:val="001952D5"/>
    <w:rsid w:val="00195770"/>
    <w:rsid w:val="00195A02"/>
    <w:rsid w:val="001972A9"/>
    <w:rsid w:val="001978A9"/>
    <w:rsid w:val="00197BAD"/>
    <w:rsid w:val="00197DCB"/>
    <w:rsid w:val="001A034E"/>
    <w:rsid w:val="001A0CBE"/>
    <w:rsid w:val="001A0F7C"/>
    <w:rsid w:val="001A185D"/>
    <w:rsid w:val="001A1AF1"/>
    <w:rsid w:val="001A1BA2"/>
    <w:rsid w:val="001A2243"/>
    <w:rsid w:val="001A3213"/>
    <w:rsid w:val="001A3AA0"/>
    <w:rsid w:val="001A3B07"/>
    <w:rsid w:val="001A3C52"/>
    <w:rsid w:val="001A3F6F"/>
    <w:rsid w:val="001A3FF4"/>
    <w:rsid w:val="001A430E"/>
    <w:rsid w:val="001A6426"/>
    <w:rsid w:val="001A6AF4"/>
    <w:rsid w:val="001A6FD3"/>
    <w:rsid w:val="001A710C"/>
    <w:rsid w:val="001A79AA"/>
    <w:rsid w:val="001A7E0A"/>
    <w:rsid w:val="001A7F97"/>
    <w:rsid w:val="001B05C7"/>
    <w:rsid w:val="001B0981"/>
    <w:rsid w:val="001B0A30"/>
    <w:rsid w:val="001B0C89"/>
    <w:rsid w:val="001B0E4E"/>
    <w:rsid w:val="001B1276"/>
    <w:rsid w:val="001B198F"/>
    <w:rsid w:val="001B1F00"/>
    <w:rsid w:val="001B28F2"/>
    <w:rsid w:val="001B37C6"/>
    <w:rsid w:val="001B3FC2"/>
    <w:rsid w:val="001B40F7"/>
    <w:rsid w:val="001B4287"/>
    <w:rsid w:val="001B4D51"/>
    <w:rsid w:val="001B53BA"/>
    <w:rsid w:val="001B5AF3"/>
    <w:rsid w:val="001B5F34"/>
    <w:rsid w:val="001B64DE"/>
    <w:rsid w:val="001B652B"/>
    <w:rsid w:val="001B680C"/>
    <w:rsid w:val="001B74E9"/>
    <w:rsid w:val="001B7AE0"/>
    <w:rsid w:val="001B7BE8"/>
    <w:rsid w:val="001B7E16"/>
    <w:rsid w:val="001C00AA"/>
    <w:rsid w:val="001C07AE"/>
    <w:rsid w:val="001C1A65"/>
    <w:rsid w:val="001C2147"/>
    <w:rsid w:val="001C2309"/>
    <w:rsid w:val="001C240D"/>
    <w:rsid w:val="001C2904"/>
    <w:rsid w:val="001C2A21"/>
    <w:rsid w:val="001C2A50"/>
    <w:rsid w:val="001C35C9"/>
    <w:rsid w:val="001C36F2"/>
    <w:rsid w:val="001C3783"/>
    <w:rsid w:val="001C47F7"/>
    <w:rsid w:val="001C4928"/>
    <w:rsid w:val="001C503E"/>
    <w:rsid w:val="001C5F32"/>
    <w:rsid w:val="001C6F46"/>
    <w:rsid w:val="001C72DD"/>
    <w:rsid w:val="001C7548"/>
    <w:rsid w:val="001C7589"/>
    <w:rsid w:val="001D06D7"/>
    <w:rsid w:val="001D0BB3"/>
    <w:rsid w:val="001D11F6"/>
    <w:rsid w:val="001D186B"/>
    <w:rsid w:val="001D187A"/>
    <w:rsid w:val="001D1A58"/>
    <w:rsid w:val="001D2C41"/>
    <w:rsid w:val="001D2DE7"/>
    <w:rsid w:val="001D3B57"/>
    <w:rsid w:val="001D3DCE"/>
    <w:rsid w:val="001D41FA"/>
    <w:rsid w:val="001D43AA"/>
    <w:rsid w:val="001D48E5"/>
    <w:rsid w:val="001D5483"/>
    <w:rsid w:val="001D6B10"/>
    <w:rsid w:val="001D6B59"/>
    <w:rsid w:val="001D793E"/>
    <w:rsid w:val="001D796D"/>
    <w:rsid w:val="001E0814"/>
    <w:rsid w:val="001E1986"/>
    <w:rsid w:val="001E1BE1"/>
    <w:rsid w:val="001E23CE"/>
    <w:rsid w:val="001E2BFE"/>
    <w:rsid w:val="001E3B7F"/>
    <w:rsid w:val="001E3C2E"/>
    <w:rsid w:val="001E5FCD"/>
    <w:rsid w:val="001E60E4"/>
    <w:rsid w:val="001E65E1"/>
    <w:rsid w:val="001E6772"/>
    <w:rsid w:val="001E6D7A"/>
    <w:rsid w:val="001E7EEB"/>
    <w:rsid w:val="001F067B"/>
    <w:rsid w:val="001F10A4"/>
    <w:rsid w:val="001F135B"/>
    <w:rsid w:val="001F1843"/>
    <w:rsid w:val="001F2019"/>
    <w:rsid w:val="001F264F"/>
    <w:rsid w:val="001F3783"/>
    <w:rsid w:val="001F4879"/>
    <w:rsid w:val="001F50E5"/>
    <w:rsid w:val="001F55C2"/>
    <w:rsid w:val="001F643A"/>
    <w:rsid w:val="001F6667"/>
    <w:rsid w:val="001F6E4B"/>
    <w:rsid w:val="001F72CF"/>
    <w:rsid w:val="001F769D"/>
    <w:rsid w:val="001F77ED"/>
    <w:rsid w:val="001F791E"/>
    <w:rsid w:val="001F7C62"/>
    <w:rsid w:val="00200231"/>
    <w:rsid w:val="002002F0"/>
    <w:rsid w:val="0020070F"/>
    <w:rsid w:val="00201BCC"/>
    <w:rsid w:val="00202904"/>
    <w:rsid w:val="002030C9"/>
    <w:rsid w:val="00203152"/>
    <w:rsid w:val="00203D3E"/>
    <w:rsid w:val="00204364"/>
    <w:rsid w:val="002043B6"/>
    <w:rsid w:val="00204633"/>
    <w:rsid w:val="002048A4"/>
    <w:rsid w:val="0020519F"/>
    <w:rsid w:val="00205C26"/>
    <w:rsid w:val="002060C2"/>
    <w:rsid w:val="002070DE"/>
    <w:rsid w:val="002073FC"/>
    <w:rsid w:val="00207DCB"/>
    <w:rsid w:val="002103A7"/>
    <w:rsid w:val="00210606"/>
    <w:rsid w:val="00210E34"/>
    <w:rsid w:val="00210ECF"/>
    <w:rsid w:val="00211C32"/>
    <w:rsid w:val="0021207C"/>
    <w:rsid w:val="00212CF9"/>
    <w:rsid w:val="00212EC0"/>
    <w:rsid w:val="00213365"/>
    <w:rsid w:val="00214C32"/>
    <w:rsid w:val="002151C6"/>
    <w:rsid w:val="00215932"/>
    <w:rsid w:val="002167C0"/>
    <w:rsid w:val="00216C86"/>
    <w:rsid w:val="00216F0C"/>
    <w:rsid w:val="0021729D"/>
    <w:rsid w:val="00217830"/>
    <w:rsid w:val="002206B2"/>
    <w:rsid w:val="0022118D"/>
    <w:rsid w:val="00221D1A"/>
    <w:rsid w:val="00221DD0"/>
    <w:rsid w:val="002222F8"/>
    <w:rsid w:val="00222415"/>
    <w:rsid w:val="00222E4B"/>
    <w:rsid w:val="00222EB0"/>
    <w:rsid w:val="0022396D"/>
    <w:rsid w:val="00224F37"/>
    <w:rsid w:val="00225437"/>
    <w:rsid w:val="00225AB4"/>
    <w:rsid w:val="0022632E"/>
    <w:rsid w:val="002267AE"/>
    <w:rsid w:val="002271D1"/>
    <w:rsid w:val="00230160"/>
    <w:rsid w:val="00230AEA"/>
    <w:rsid w:val="00230C67"/>
    <w:rsid w:val="00230D30"/>
    <w:rsid w:val="002310BC"/>
    <w:rsid w:val="00231BB0"/>
    <w:rsid w:val="00232013"/>
    <w:rsid w:val="00232099"/>
    <w:rsid w:val="0023212D"/>
    <w:rsid w:val="0023319B"/>
    <w:rsid w:val="00233350"/>
    <w:rsid w:val="00233564"/>
    <w:rsid w:val="002354FB"/>
    <w:rsid w:val="002355D6"/>
    <w:rsid w:val="002356B2"/>
    <w:rsid w:val="00235701"/>
    <w:rsid w:val="0023578D"/>
    <w:rsid w:val="002359A2"/>
    <w:rsid w:val="00235D14"/>
    <w:rsid w:val="00235F86"/>
    <w:rsid w:val="00235FFA"/>
    <w:rsid w:val="00236082"/>
    <w:rsid w:val="0023614D"/>
    <w:rsid w:val="002368CE"/>
    <w:rsid w:val="00236B96"/>
    <w:rsid w:val="00237948"/>
    <w:rsid w:val="00237D59"/>
    <w:rsid w:val="00240130"/>
    <w:rsid w:val="00240397"/>
    <w:rsid w:val="00240938"/>
    <w:rsid w:val="002409FE"/>
    <w:rsid w:val="00240B0C"/>
    <w:rsid w:val="002414EC"/>
    <w:rsid w:val="0024207B"/>
    <w:rsid w:val="00243399"/>
    <w:rsid w:val="002434B5"/>
    <w:rsid w:val="00243738"/>
    <w:rsid w:val="00244490"/>
    <w:rsid w:val="00244B3A"/>
    <w:rsid w:val="00245141"/>
    <w:rsid w:val="00245589"/>
    <w:rsid w:val="00245DFA"/>
    <w:rsid w:val="0024684E"/>
    <w:rsid w:val="00246B06"/>
    <w:rsid w:val="00247C92"/>
    <w:rsid w:val="0025051A"/>
    <w:rsid w:val="00250742"/>
    <w:rsid w:val="00250E5A"/>
    <w:rsid w:val="00250EE1"/>
    <w:rsid w:val="00250F03"/>
    <w:rsid w:val="002516FB"/>
    <w:rsid w:val="00252E1E"/>
    <w:rsid w:val="00253701"/>
    <w:rsid w:val="00254D09"/>
    <w:rsid w:val="00254D6A"/>
    <w:rsid w:val="0025593B"/>
    <w:rsid w:val="002562B4"/>
    <w:rsid w:val="00256570"/>
    <w:rsid w:val="00257C61"/>
    <w:rsid w:val="00257E72"/>
    <w:rsid w:val="00260461"/>
    <w:rsid w:val="002605D8"/>
    <w:rsid w:val="002614CE"/>
    <w:rsid w:val="00261FF3"/>
    <w:rsid w:val="00262091"/>
    <w:rsid w:val="00262CED"/>
    <w:rsid w:val="00262CF3"/>
    <w:rsid w:val="00263042"/>
    <w:rsid w:val="00263EB2"/>
    <w:rsid w:val="00264362"/>
    <w:rsid w:val="00264660"/>
    <w:rsid w:val="00265299"/>
    <w:rsid w:val="0026539C"/>
    <w:rsid w:val="002665F3"/>
    <w:rsid w:val="002675FF"/>
    <w:rsid w:val="002676FB"/>
    <w:rsid w:val="00267B7B"/>
    <w:rsid w:val="00267E24"/>
    <w:rsid w:val="00270005"/>
    <w:rsid w:val="00270A0E"/>
    <w:rsid w:val="00270D36"/>
    <w:rsid w:val="00271A63"/>
    <w:rsid w:val="00272FC9"/>
    <w:rsid w:val="00273579"/>
    <w:rsid w:val="002735B4"/>
    <w:rsid w:val="0027623D"/>
    <w:rsid w:val="0027699D"/>
    <w:rsid w:val="00276D35"/>
    <w:rsid w:val="002773FB"/>
    <w:rsid w:val="00277472"/>
    <w:rsid w:val="00277BCF"/>
    <w:rsid w:val="00277D51"/>
    <w:rsid w:val="00277FDD"/>
    <w:rsid w:val="00280893"/>
    <w:rsid w:val="0028120E"/>
    <w:rsid w:val="0028215B"/>
    <w:rsid w:val="002826E1"/>
    <w:rsid w:val="00282701"/>
    <w:rsid w:val="00282F78"/>
    <w:rsid w:val="00282FE0"/>
    <w:rsid w:val="002831B7"/>
    <w:rsid w:val="00283404"/>
    <w:rsid w:val="0028411A"/>
    <w:rsid w:val="002842C3"/>
    <w:rsid w:val="00284699"/>
    <w:rsid w:val="00284F4F"/>
    <w:rsid w:val="00285E33"/>
    <w:rsid w:val="0028604E"/>
    <w:rsid w:val="00286480"/>
    <w:rsid w:val="00287194"/>
    <w:rsid w:val="00290771"/>
    <w:rsid w:val="00292691"/>
    <w:rsid w:val="00292DE9"/>
    <w:rsid w:val="00292F2A"/>
    <w:rsid w:val="00293493"/>
    <w:rsid w:val="00293537"/>
    <w:rsid w:val="002936D5"/>
    <w:rsid w:val="00293CB4"/>
    <w:rsid w:val="0029520A"/>
    <w:rsid w:val="00295612"/>
    <w:rsid w:val="00295871"/>
    <w:rsid w:val="00295A6E"/>
    <w:rsid w:val="00295C71"/>
    <w:rsid w:val="00295E73"/>
    <w:rsid w:val="002963BE"/>
    <w:rsid w:val="00297721"/>
    <w:rsid w:val="00297DBB"/>
    <w:rsid w:val="00297DD3"/>
    <w:rsid w:val="002A02FE"/>
    <w:rsid w:val="002A0D39"/>
    <w:rsid w:val="002A13EC"/>
    <w:rsid w:val="002A1F49"/>
    <w:rsid w:val="002A25BA"/>
    <w:rsid w:val="002A2C71"/>
    <w:rsid w:val="002A2D0D"/>
    <w:rsid w:val="002A3785"/>
    <w:rsid w:val="002A3C73"/>
    <w:rsid w:val="002A401B"/>
    <w:rsid w:val="002A45B1"/>
    <w:rsid w:val="002A499C"/>
    <w:rsid w:val="002A49C8"/>
    <w:rsid w:val="002A4AD2"/>
    <w:rsid w:val="002A517F"/>
    <w:rsid w:val="002A585F"/>
    <w:rsid w:val="002A58A5"/>
    <w:rsid w:val="002A5B45"/>
    <w:rsid w:val="002A5C6D"/>
    <w:rsid w:val="002A66C9"/>
    <w:rsid w:val="002A6BFB"/>
    <w:rsid w:val="002A7601"/>
    <w:rsid w:val="002A7738"/>
    <w:rsid w:val="002A7C93"/>
    <w:rsid w:val="002B0820"/>
    <w:rsid w:val="002B09E8"/>
    <w:rsid w:val="002B0C63"/>
    <w:rsid w:val="002B1BFB"/>
    <w:rsid w:val="002B1EB2"/>
    <w:rsid w:val="002B21AA"/>
    <w:rsid w:val="002B3044"/>
    <w:rsid w:val="002B3DCF"/>
    <w:rsid w:val="002B43B7"/>
    <w:rsid w:val="002B54C1"/>
    <w:rsid w:val="002B5548"/>
    <w:rsid w:val="002B5B4B"/>
    <w:rsid w:val="002B723F"/>
    <w:rsid w:val="002B77FF"/>
    <w:rsid w:val="002B7B8B"/>
    <w:rsid w:val="002B7BEB"/>
    <w:rsid w:val="002C0510"/>
    <w:rsid w:val="002C0A12"/>
    <w:rsid w:val="002C0D49"/>
    <w:rsid w:val="002C1511"/>
    <w:rsid w:val="002C1697"/>
    <w:rsid w:val="002C189A"/>
    <w:rsid w:val="002C1ADA"/>
    <w:rsid w:val="002C1B7B"/>
    <w:rsid w:val="002C1CB3"/>
    <w:rsid w:val="002C22AF"/>
    <w:rsid w:val="002C22E2"/>
    <w:rsid w:val="002C2BC2"/>
    <w:rsid w:val="002C31AA"/>
    <w:rsid w:val="002C3C60"/>
    <w:rsid w:val="002C3E34"/>
    <w:rsid w:val="002C4349"/>
    <w:rsid w:val="002C4445"/>
    <w:rsid w:val="002C4AD5"/>
    <w:rsid w:val="002C5C09"/>
    <w:rsid w:val="002C5C6F"/>
    <w:rsid w:val="002C635B"/>
    <w:rsid w:val="002C63FE"/>
    <w:rsid w:val="002C64B4"/>
    <w:rsid w:val="002C66A1"/>
    <w:rsid w:val="002C7CE3"/>
    <w:rsid w:val="002D01EB"/>
    <w:rsid w:val="002D1C20"/>
    <w:rsid w:val="002D2200"/>
    <w:rsid w:val="002D237A"/>
    <w:rsid w:val="002D2451"/>
    <w:rsid w:val="002D24CB"/>
    <w:rsid w:val="002D2E17"/>
    <w:rsid w:val="002D2F2C"/>
    <w:rsid w:val="002D2FCE"/>
    <w:rsid w:val="002D3A55"/>
    <w:rsid w:val="002D3B40"/>
    <w:rsid w:val="002D411B"/>
    <w:rsid w:val="002D45AF"/>
    <w:rsid w:val="002D475F"/>
    <w:rsid w:val="002D4B0D"/>
    <w:rsid w:val="002D507C"/>
    <w:rsid w:val="002D533C"/>
    <w:rsid w:val="002D63D1"/>
    <w:rsid w:val="002D6E22"/>
    <w:rsid w:val="002D6F16"/>
    <w:rsid w:val="002D7627"/>
    <w:rsid w:val="002D76D7"/>
    <w:rsid w:val="002D7942"/>
    <w:rsid w:val="002E029C"/>
    <w:rsid w:val="002E1140"/>
    <w:rsid w:val="002E1D00"/>
    <w:rsid w:val="002E1E35"/>
    <w:rsid w:val="002E2745"/>
    <w:rsid w:val="002E2750"/>
    <w:rsid w:val="002E2EC0"/>
    <w:rsid w:val="002E4394"/>
    <w:rsid w:val="002E458A"/>
    <w:rsid w:val="002E4B1E"/>
    <w:rsid w:val="002E5597"/>
    <w:rsid w:val="002E57E2"/>
    <w:rsid w:val="002E5A06"/>
    <w:rsid w:val="002E5CCE"/>
    <w:rsid w:val="002E6630"/>
    <w:rsid w:val="002E6B58"/>
    <w:rsid w:val="002E6EB8"/>
    <w:rsid w:val="002E6F78"/>
    <w:rsid w:val="002E7C61"/>
    <w:rsid w:val="002F014E"/>
    <w:rsid w:val="002F095E"/>
    <w:rsid w:val="002F12D2"/>
    <w:rsid w:val="002F1971"/>
    <w:rsid w:val="002F1AEE"/>
    <w:rsid w:val="002F1C12"/>
    <w:rsid w:val="002F1FD4"/>
    <w:rsid w:val="002F22B1"/>
    <w:rsid w:val="002F23C2"/>
    <w:rsid w:val="002F2DFA"/>
    <w:rsid w:val="002F3010"/>
    <w:rsid w:val="002F3822"/>
    <w:rsid w:val="002F3E6A"/>
    <w:rsid w:val="002F4ACF"/>
    <w:rsid w:val="002F4C5F"/>
    <w:rsid w:val="002F55CB"/>
    <w:rsid w:val="002F5F23"/>
    <w:rsid w:val="002F6197"/>
    <w:rsid w:val="002F6D8F"/>
    <w:rsid w:val="002F706D"/>
    <w:rsid w:val="002F7B18"/>
    <w:rsid w:val="002F7D84"/>
    <w:rsid w:val="00300B50"/>
    <w:rsid w:val="003015E2"/>
    <w:rsid w:val="00302868"/>
    <w:rsid w:val="00302C4A"/>
    <w:rsid w:val="00303125"/>
    <w:rsid w:val="003032CD"/>
    <w:rsid w:val="00303AC5"/>
    <w:rsid w:val="00303E2E"/>
    <w:rsid w:val="00304294"/>
    <w:rsid w:val="00304D22"/>
    <w:rsid w:val="00305795"/>
    <w:rsid w:val="00305A40"/>
    <w:rsid w:val="00305B51"/>
    <w:rsid w:val="003063F4"/>
    <w:rsid w:val="00306E75"/>
    <w:rsid w:val="00306ED3"/>
    <w:rsid w:val="0030767D"/>
    <w:rsid w:val="00307875"/>
    <w:rsid w:val="00310175"/>
    <w:rsid w:val="003104B6"/>
    <w:rsid w:val="00310843"/>
    <w:rsid w:val="00310D0E"/>
    <w:rsid w:val="003111BA"/>
    <w:rsid w:val="003114F9"/>
    <w:rsid w:val="00312184"/>
    <w:rsid w:val="00312DF3"/>
    <w:rsid w:val="00312FF9"/>
    <w:rsid w:val="00313225"/>
    <w:rsid w:val="00313396"/>
    <w:rsid w:val="003140E0"/>
    <w:rsid w:val="0031436E"/>
    <w:rsid w:val="003145FE"/>
    <w:rsid w:val="00314C5B"/>
    <w:rsid w:val="00315428"/>
    <w:rsid w:val="00315497"/>
    <w:rsid w:val="003159D6"/>
    <w:rsid w:val="00316202"/>
    <w:rsid w:val="00316942"/>
    <w:rsid w:val="00316A5F"/>
    <w:rsid w:val="0031749C"/>
    <w:rsid w:val="0031765B"/>
    <w:rsid w:val="003176E3"/>
    <w:rsid w:val="003177F1"/>
    <w:rsid w:val="00317DD6"/>
    <w:rsid w:val="00320023"/>
    <w:rsid w:val="003203F9"/>
    <w:rsid w:val="00320461"/>
    <w:rsid w:val="0032046F"/>
    <w:rsid w:val="00320C6F"/>
    <w:rsid w:val="00320D67"/>
    <w:rsid w:val="003213E2"/>
    <w:rsid w:val="0032214F"/>
    <w:rsid w:val="00322187"/>
    <w:rsid w:val="00322921"/>
    <w:rsid w:val="00322A51"/>
    <w:rsid w:val="00322B7C"/>
    <w:rsid w:val="00322C1B"/>
    <w:rsid w:val="00322E33"/>
    <w:rsid w:val="00322F83"/>
    <w:rsid w:val="003231FB"/>
    <w:rsid w:val="0032367E"/>
    <w:rsid w:val="0032371F"/>
    <w:rsid w:val="00323D38"/>
    <w:rsid w:val="003253F9"/>
    <w:rsid w:val="00325C0C"/>
    <w:rsid w:val="00325C44"/>
    <w:rsid w:val="00326371"/>
    <w:rsid w:val="003263E5"/>
    <w:rsid w:val="003268FF"/>
    <w:rsid w:val="00326C49"/>
    <w:rsid w:val="003270F3"/>
    <w:rsid w:val="003272BE"/>
    <w:rsid w:val="00327CC2"/>
    <w:rsid w:val="0033034E"/>
    <w:rsid w:val="00331E23"/>
    <w:rsid w:val="00332358"/>
    <w:rsid w:val="003329BD"/>
    <w:rsid w:val="00333A87"/>
    <w:rsid w:val="00333C50"/>
    <w:rsid w:val="00333F17"/>
    <w:rsid w:val="00334707"/>
    <w:rsid w:val="00334879"/>
    <w:rsid w:val="00334F3C"/>
    <w:rsid w:val="00335C66"/>
    <w:rsid w:val="00335D3D"/>
    <w:rsid w:val="00336729"/>
    <w:rsid w:val="00337121"/>
    <w:rsid w:val="00337C15"/>
    <w:rsid w:val="0034003D"/>
    <w:rsid w:val="0034019C"/>
    <w:rsid w:val="00340A38"/>
    <w:rsid w:val="00341046"/>
    <w:rsid w:val="00342343"/>
    <w:rsid w:val="00342623"/>
    <w:rsid w:val="0034276B"/>
    <w:rsid w:val="003433F5"/>
    <w:rsid w:val="003438EC"/>
    <w:rsid w:val="00344292"/>
    <w:rsid w:val="0034536B"/>
    <w:rsid w:val="0034585B"/>
    <w:rsid w:val="00345CEF"/>
    <w:rsid w:val="003466D6"/>
    <w:rsid w:val="00346987"/>
    <w:rsid w:val="0034713D"/>
    <w:rsid w:val="0034733B"/>
    <w:rsid w:val="0035029F"/>
    <w:rsid w:val="00350307"/>
    <w:rsid w:val="0035062C"/>
    <w:rsid w:val="003509DE"/>
    <w:rsid w:val="00350B19"/>
    <w:rsid w:val="00351CE2"/>
    <w:rsid w:val="00351CF0"/>
    <w:rsid w:val="00352011"/>
    <w:rsid w:val="00353ED3"/>
    <w:rsid w:val="0035475C"/>
    <w:rsid w:val="00354B43"/>
    <w:rsid w:val="00355594"/>
    <w:rsid w:val="00355E64"/>
    <w:rsid w:val="003566A5"/>
    <w:rsid w:val="00357071"/>
    <w:rsid w:val="003570DD"/>
    <w:rsid w:val="00357597"/>
    <w:rsid w:val="00357B1F"/>
    <w:rsid w:val="00357C12"/>
    <w:rsid w:val="003600C2"/>
    <w:rsid w:val="003608DC"/>
    <w:rsid w:val="003612E0"/>
    <w:rsid w:val="0036149D"/>
    <w:rsid w:val="003616C1"/>
    <w:rsid w:val="00361B0C"/>
    <w:rsid w:val="00361D70"/>
    <w:rsid w:val="00361DD9"/>
    <w:rsid w:val="003623C9"/>
    <w:rsid w:val="0036302F"/>
    <w:rsid w:val="0036303A"/>
    <w:rsid w:val="00363313"/>
    <w:rsid w:val="003634D2"/>
    <w:rsid w:val="003636D3"/>
    <w:rsid w:val="00363C10"/>
    <w:rsid w:val="00363D5B"/>
    <w:rsid w:val="0036423A"/>
    <w:rsid w:val="00364C9B"/>
    <w:rsid w:val="003654B8"/>
    <w:rsid w:val="00365FFE"/>
    <w:rsid w:val="00366EFA"/>
    <w:rsid w:val="003676B8"/>
    <w:rsid w:val="0036778D"/>
    <w:rsid w:val="00370139"/>
    <w:rsid w:val="00371C30"/>
    <w:rsid w:val="00371DC0"/>
    <w:rsid w:val="00372122"/>
    <w:rsid w:val="00372C33"/>
    <w:rsid w:val="00372C99"/>
    <w:rsid w:val="003733BD"/>
    <w:rsid w:val="00373EA6"/>
    <w:rsid w:val="00375E42"/>
    <w:rsid w:val="00375FFA"/>
    <w:rsid w:val="003763D7"/>
    <w:rsid w:val="0037682A"/>
    <w:rsid w:val="00376A26"/>
    <w:rsid w:val="00376D20"/>
    <w:rsid w:val="00376E14"/>
    <w:rsid w:val="00377007"/>
    <w:rsid w:val="0037726E"/>
    <w:rsid w:val="003778FA"/>
    <w:rsid w:val="003800FC"/>
    <w:rsid w:val="003807C3"/>
    <w:rsid w:val="00380B04"/>
    <w:rsid w:val="003810BC"/>
    <w:rsid w:val="00381B81"/>
    <w:rsid w:val="00381EB7"/>
    <w:rsid w:val="003828A9"/>
    <w:rsid w:val="00382B0B"/>
    <w:rsid w:val="00382CB8"/>
    <w:rsid w:val="00382F72"/>
    <w:rsid w:val="003833DF"/>
    <w:rsid w:val="00383AA2"/>
    <w:rsid w:val="0038440D"/>
    <w:rsid w:val="0038485E"/>
    <w:rsid w:val="00385978"/>
    <w:rsid w:val="00386EEA"/>
    <w:rsid w:val="003870B4"/>
    <w:rsid w:val="00387C68"/>
    <w:rsid w:val="00387E6A"/>
    <w:rsid w:val="00390737"/>
    <w:rsid w:val="0039107C"/>
    <w:rsid w:val="00391324"/>
    <w:rsid w:val="003914AF"/>
    <w:rsid w:val="003915BB"/>
    <w:rsid w:val="00391851"/>
    <w:rsid w:val="00392DED"/>
    <w:rsid w:val="00393223"/>
    <w:rsid w:val="003935F8"/>
    <w:rsid w:val="00393A0A"/>
    <w:rsid w:val="00393A53"/>
    <w:rsid w:val="00393C53"/>
    <w:rsid w:val="003941CC"/>
    <w:rsid w:val="00394349"/>
    <w:rsid w:val="003944BA"/>
    <w:rsid w:val="00394728"/>
    <w:rsid w:val="00394A6A"/>
    <w:rsid w:val="00394B51"/>
    <w:rsid w:val="00394DFD"/>
    <w:rsid w:val="00395123"/>
    <w:rsid w:val="003953BF"/>
    <w:rsid w:val="00395C60"/>
    <w:rsid w:val="003960AE"/>
    <w:rsid w:val="003968A8"/>
    <w:rsid w:val="00396F40"/>
    <w:rsid w:val="003978E4"/>
    <w:rsid w:val="003A021D"/>
    <w:rsid w:val="003A02BE"/>
    <w:rsid w:val="003A0429"/>
    <w:rsid w:val="003A0BA7"/>
    <w:rsid w:val="003A0E44"/>
    <w:rsid w:val="003A1273"/>
    <w:rsid w:val="003A12F0"/>
    <w:rsid w:val="003A13F8"/>
    <w:rsid w:val="003A1EB7"/>
    <w:rsid w:val="003A24EB"/>
    <w:rsid w:val="003A269B"/>
    <w:rsid w:val="003A27D0"/>
    <w:rsid w:val="003A3571"/>
    <w:rsid w:val="003A3698"/>
    <w:rsid w:val="003A37E4"/>
    <w:rsid w:val="003A40B1"/>
    <w:rsid w:val="003A540A"/>
    <w:rsid w:val="003A55E8"/>
    <w:rsid w:val="003A5A0C"/>
    <w:rsid w:val="003A5A89"/>
    <w:rsid w:val="003A5BE7"/>
    <w:rsid w:val="003A64F9"/>
    <w:rsid w:val="003A68D7"/>
    <w:rsid w:val="003A7014"/>
    <w:rsid w:val="003B04CD"/>
    <w:rsid w:val="003B0D14"/>
    <w:rsid w:val="003B0E14"/>
    <w:rsid w:val="003B1075"/>
    <w:rsid w:val="003B2883"/>
    <w:rsid w:val="003B2A39"/>
    <w:rsid w:val="003B2D16"/>
    <w:rsid w:val="003B2EE6"/>
    <w:rsid w:val="003B3391"/>
    <w:rsid w:val="003B3513"/>
    <w:rsid w:val="003B37B5"/>
    <w:rsid w:val="003B3E06"/>
    <w:rsid w:val="003B40B2"/>
    <w:rsid w:val="003B43A0"/>
    <w:rsid w:val="003B4BA0"/>
    <w:rsid w:val="003B5076"/>
    <w:rsid w:val="003B6324"/>
    <w:rsid w:val="003B6B30"/>
    <w:rsid w:val="003B6B70"/>
    <w:rsid w:val="003B7CC5"/>
    <w:rsid w:val="003B7E1B"/>
    <w:rsid w:val="003C0CF7"/>
    <w:rsid w:val="003C11DD"/>
    <w:rsid w:val="003C1384"/>
    <w:rsid w:val="003C16F2"/>
    <w:rsid w:val="003C1986"/>
    <w:rsid w:val="003C1BBA"/>
    <w:rsid w:val="003C1F62"/>
    <w:rsid w:val="003C1FB5"/>
    <w:rsid w:val="003C205F"/>
    <w:rsid w:val="003C2CC9"/>
    <w:rsid w:val="003C3032"/>
    <w:rsid w:val="003C4C5C"/>
    <w:rsid w:val="003C5296"/>
    <w:rsid w:val="003C5335"/>
    <w:rsid w:val="003C58C3"/>
    <w:rsid w:val="003C5F2C"/>
    <w:rsid w:val="003C660B"/>
    <w:rsid w:val="003C6840"/>
    <w:rsid w:val="003C6EA3"/>
    <w:rsid w:val="003C6FEC"/>
    <w:rsid w:val="003C73AC"/>
    <w:rsid w:val="003C7800"/>
    <w:rsid w:val="003C7C97"/>
    <w:rsid w:val="003D002A"/>
    <w:rsid w:val="003D089A"/>
    <w:rsid w:val="003D1558"/>
    <w:rsid w:val="003D1B98"/>
    <w:rsid w:val="003D1DCF"/>
    <w:rsid w:val="003D2694"/>
    <w:rsid w:val="003D30CF"/>
    <w:rsid w:val="003D3409"/>
    <w:rsid w:val="003D3E33"/>
    <w:rsid w:val="003D4CBA"/>
    <w:rsid w:val="003D4E80"/>
    <w:rsid w:val="003D5549"/>
    <w:rsid w:val="003D5A3A"/>
    <w:rsid w:val="003D5B6E"/>
    <w:rsid w:val="003D5B93"/>
    <w:rsid w:val="003D5CCE"/>
    <w:rsid w:val="003D5D8D"/>
    <w:rsid w:val="003D5E58"/>
    <w:rsid w:val="003D6A8F"/>
    <w:rsid w:val="003D6E9C"/>
    <w:rsid w:val="003D6EAF"/>
    <w:rsid w:val="003D7081"/>
    <w:rsid w:val="003D714D"/>
    <w:rsid w:val="003D78C0"/>
    <w:rsid w:val="003E0226"/>
    <w:rsid w:val="003E0BCC"/>
    <w:rsid w:val="003E153E"/>
    <w:rsid w:val="003E15AE"/>
    <w:rsid w:val="003E22EE"/>
    <w:rsid w:val="003E2664"/>
    <w:rsid w:val="003E35E4"/>
    <w:rsid w:val="003E47E3"/>
    <w:rsid w:val="003E4B52"/>
    <w:rsid w:val="003E5544"/>
    <w:rsid w:val="003E57D2"/>
    <w:rsid w:val="003E5A6E"/>
    <w:rsid w:val="003E67B6"/>
    <w:rsid w:val="003E7797"/>
    <w:rsid w:val="003F01D0"/>
    <w:rsid w:val="003F0376"/>
    <w:rsid w:val="003F03F4"/>
    <w:rsid w:val="003F046A"/>
    <w:rsid w:val="003F091A"/>
    <w:rsid w:val="003F0B3B"/>
    <w:rsid w:val="003F1390"/>
    <w:rsid w:val="003F180C"/>
    <w:rsid w:val="003F1936"/>
    <w:rsid w:val="003F2558"/>
    <w:rsid w:val="003F3502"/>
    <w:rsid w:val="003F4943"/>
    <w:rsid w:val="003F520E"/>
    <w:rsid w:val="003F5288"/>
    <w:rsid w:val="003F625F"/>
    <w:rsid w:val="003F6C98"/>
    <w:rsid w:val="003F7190"/>
    <w:rsid w:val="003F7281"/>
    <w:rsid w:val="0040030F"/>
    <w:rsid w:val="004004B3"/>
    <w:rsid w:val="004007D0"/>
    <w:rsid w:val="00400CC5"/>
    <w:rsid w:val="004010D5"/>
    <w:rsid w:val="0040124C"/>
    <w:rsid w:val="004018BD"/>
    <w:rsid w:val="00402233"/>
    <w:rsid w:val="00402868"/>
    <w:rsid w:val="0040287D"/>
    <w:rsid w:val="00402F1C"/>
    <w:rsid w:val="00402FC4"/>
    <w:rsid w:val="00403E90"/>
    <w:rsid w:val="004041E1"/>
    <w:rsid w:val="0040424A"/>
    <w:rsid w:val="0040427D"/>
    <w:rsid w:val="00404509"/>
    <w:rsid w:val="00405421"/>
    <w:rsid w:val="0040544A"/>
    <w:rsid w:val="00406024"/>
    <w:rsid w:val="00406492"/>
    <w:rsid w:val="0040661C"/>
    <w:rsid w:val="0040798D"/>
    <w:rsid w:val="00410417"/>
    <w:rsid w:val="00410D26"/>
    <w:rsid w:val="0041188A"/>
    <w:rsid w:val="00411F65"/>
    <w:rsid w:val="00413A27"/>
    <w:rsid w:val="00413E34"/>
    <w:rsid w:val="004155A7"/>
    <w:rsid w:val="00415B8F"/>
    <w:rsid w:val="00415E9D"/>
    <w:rsid w:val="0041649A"/>
    <w:rsid w:val="00416A8E"/>
    <w:rsid w:val="00417926"/>
    <w:rsid w:val="00417B59"/>
    <w:rsid w:val="00420213"/>
    <w:rsid w:val="00420373"/>
    <w:rsid w:val="00420733"/>
    <w:rsid w:val="00420D9A"/>
    <w:rsid w:val="00422AA8"/>
    <w:rsid w:val="00423073"/>
    <w:rsid w:val="00423B31"/>
    <w:rsid w:val="00424155"/>
    <w:rsid w:val="0042429C"/>
    <w:rsid w:val="004243F3"/>
    <w:rsid w:val="00424459"/>
    <w:rsid w:val="00424F17"/>
    <w:rsid w:val="004259C2"/>
    <w:rsid w:val="00426547"/>
    <w:rsid w:val="00426B90"/>
    <w:rsid w:val="00426FAB"/>
    <w:rsid w:val="0042746E"/>
    <w:rsid w:val="004306A7"/>
    <w:rsid w:val="004308ED"/>
    <w:rsid w:val="00431056"/>
    <w:rsid w:val="004319A7"/>
    <w:rsid w:val="00431FEB"/>
    <w:rsid w:val="0043340A"/>
    <w:rsid w:val="00433D33"/>
    <w:rsid w:val="0043445F"/>
    <w:rsid w:val="00434624"/>
    <w:rsid w:val="00434AF3"/>
    <w:rsid w:val="00434CF6"/>
    <w:rsid w:val="00434F22"/>
    <w:rsid w:val="00436101"/>
    <w:rsid w:val="0043629E"/>
    <w:rsid w:val="00436BA7"/>
    <w:rsid w:val="00436FB8"/>
    <w:rsid w:val="0043703D"/>
    <w:rsid w:val="00437234"/>
    <w:rsid w:val="0043726F"/>
    <w:rsid w:val="00437FC1"/>
    <w:rsid w:val="0044027C"/>
    <w:rsid w:val="004412CA"/>
    <w:rsid w:val="0044218B"/>
    <w:rsid w:val="00442199"/>
    <w:rsid w:val="00442401"/>
    <w:rsid w:val="00442453"/>
    <w:rsid w:val="004425DC"/>
    <w:rsid w:val="0044274F"/>
    <w:rsid w:val="00442995"/>
    <w:rsid w:val="00443608"/>
    <w:rsid w:val="00443919"/>
    <w:rsid w:val="00443CF8"/>
    <w:rsid w:val="004440EF"/>
    <w:rsid w:val="0044457F"/>
    <w:rsid w:val="00444B1F"/>
    <w:rsid w:val="00445E86"/>
    <w:rsid w:val="00446418"/>
    <w:rsid w:val="0044655E"/>
    <w:rsid w:val="0044666C"/>
    <w:rsid w:val="00446D2B"/>
    <w:rsid w:val="00446E8B"/>
    <w:rsid w:val="00446FEF"/>
    <w:rsid w:val="00447972"/>
    <w:rsid w:val="00447EA0"/>
    <w:rsid w:val="0045003F"/>
    <w:rsid w:val="0045097D"/>
    <w:rsid w:val="00451356"/>
    <w:rsid w:val="004523BC"/>
    <w:rsid w:val="004527D0"/>
    <w:rsid w:val="00452A6B"/>
    <w:rsid w:val="00452AA5"/>
    <w:rsid w:val="00453104"/>
    <w:rsid w:val="0045327A"/>
    <w:rsid w:val="004540C0"/>
    <w:rsid w:val="00454472"/>
    <w:rsid w:val="004544B7"/>
    <w:rsid w:val="00454D54"/>
    <w:rsid w:val="004562A1"/>
    <w:rsid w:val="004563C0"/>
    <w:rsid w:val="004572BC"/>
    <w:rsid w:val="00457450"/>
    <w:rsid w:val="004574F3"/>
    <w:rsid w:val="004579CC"/>
    <w:rsid w:val="00457CF8"/>
    <w:rsid w:val="00460103"/>
    <w:rsid w:val="0046011A"/>
    <w:rsid w:val="0046019F"/>
    <w:rsid w:val="00460AA9"/>
    <w:rsid w:val="00461408"/>
    <w:rsid w:val="00462202"/>
    <w:rsid w:val="004625D8"/>
    <w:rsid w:val="00462801"/>
    <w:rsid w:val="0046291D"/>
    <w:rsid w:val="00463985"/>
    <w:rsid w:val="00463B5D"/>
    <w:rsid w:val="00463FD2"/>
    <w:rsid w:val="00464286"/>
    <w:rsid w:val="0046461B"/>
    <w:rsid w:val="0046472A"/>
    <w:rsid w:val="00464BF8"/>
    <w:rsid w:val="00464D53"/>
    <w:rsid w:val="0046520E"/>
    <w:rsid w:val="00465888"/>
    <w:rsid w:val="00466007"/>
    <w:rsid w:val="00466E57"/>
    <w:rsid w:val="00467B09"/>
    <w:rsid w:val="00470399"/>
    <w:rsid w:val="00470410"/>
    <w:rsid w:val="00470E75"/>
    <w:rsid w:val="00470FBE"/>
    <w:rsid w:val="00471167"/>
    <w:rsid w:val="00472190"/>
    <w:rsid w:val="004726B2"/>
    <w:rsid w:val="0047309B"/>
    <w:rsid w:val="00473468"/>
    <w:rsid w:val="004734B1"/>
    <w:rsid w:val="0047396E"/>
    <w:rsid w:val="00473A38"/>
    <w:rsid w:val="00474087"/>
    <w:rsid w:val="00474D23"/>
    <w:rsid w:val="00475038"/>
    <w:rsid w:val="00475A8F"/>
    <w:rsid w:val="00475E45"/>
    <w:rsid w:val="00476FD9"/>
    <w:rsid w:val="004779C2"/>
    <w:rsid w:val="00477A04"/>
    <w:rsid w:val="00477B0B"/>
    <w:rsid w:val="00477DD0"/>
    <w:rsid w:val="004801D5"/>
    <w:rsid w:val="00480E2B"/>
    <w:rsid w:val="00481636"/>
    <w:rsid w:val="00481EC0"/>
    <w:rsid w:val="0048202A"/>
    <w:rsid w:val="00482BC2"/>
    <w:rsid w:val="0048311B"/>
    <w:rsid w:val="00483310"/>
    <w:rsid w:val="004836B3"/>
    <w:rsid w:val="004843D8"/>
    <w:rsid w:val="00485187"/>
    <w:rsid w:val="00485277"/>
    <w:rsid w:val="00485B22"/>
    <w:rsid w:val="004861E2"/>
    <w:rsid w:val="00486541"/>
    <w:rsid w:val="0048665C"/>
    <w:rsid w:val="004876B4"/>
    <w:rsid w:val="0048772C"/>
    <w:rsid w:val="004907C4"/>
    <w:rsid w:val="004908C1"/>
    <w:rsid w:val="00490ADD"/>
    <w:rsid w:val="00490C8C"/>
    <w:rsid w:val="00490DCC"/>
    <w:rsid w:val="00490ECF"/>
    <w:rsid w:val="004911BF"/>
    <w:rsid w:val="00491372"/>
    <w:rsid w:val="0049141C"/>
    <w:rsid w:val="0049242C"/>
    <w:rsid w:val="00492754"/>
    <w:rsid w:val="00492771"/>
    <w:rsid w:val="0049277E"/>
    <w:rsid w:val="00492C34"/>
    <w:rsid w:val="00492DDE"/>
    <w:rsid w:val="00493501"/>
    <w:rsid w:val="00493A55"/>
    <w:rsid w:val="00493A7A"/>
    <w:rsid w:val="00494B53"/>
    <w:rsid w:val="004954F4"/>
    <w:rsid w:val="00495842"/>
    <w:rsid w:val="00495AA3"/>
    <w:rsid w:val="0049621F"/>
    <w:rsid w:val="004965BE"/>
    <w:rsid w:val="00496CAD"/>
    <w:rsid w:val="004A0B59"/>
    <w:rsid w:val="004A0B94"/>
    <w:rsid w:val="004A16B6"/>
    <w:rsid w:val="004A1CF1"/>
    <w:rsid w:val="004A22B7"/>
    <w:rsid w:val="004A2427"/>
    <w:rsid w:val="004A24FF"/>
    <w:rsid w:val="004A2640"/>
    <w:rsid w:val="004A2908"/>
    <w:rsid w:val="004A2B11"/>
    <w:rsid w:val="004A3087"/>
    <w:rsid w:val="004A31BA"/>
    <w:rsid w:val="004A3F86"/>
    <w:rsid w:val="004A4E36"/>
    <w:rsid w:val="004A545C"/>
    <w:rsid w:val="004A628F"/>
    <w:rsid w:val="004A6C1C"/>
    <w:rsid w:val="004A6E36"/>
    <w:rsid w:val="004A7E20"/>
    <w:rsid w:val="004B059F"/>
    <w:rsid w:val="004B118E"/>
    <w:rsid w:val="004B1247"/>
    <w:rsid w:val="004B13D9"/>
    <w:rsid w:val="004B1864"/>
    <w:rsid w:val="004B1F82"/>
    <w:rsid w:val="004B219A"/>
    <w:rsid w:val="004B23B8"/>
    <w:rsid w:val="004B23D8"/>
    <w:rsid w:val="004B272F"/>
    <w:rsid w:val="004B28ED"/>
    <w:rsid w:val="004B2992"/>
    <w:rsid w:val="004B2A0C"/>
    <w:rsid w:val="004B2ABE"/>
    <w:rsid w:val="004B2B68"/>
    <w:rsid w:val="004B39D3"/>
    <w:rsid w:val="004B3F62"/>
    <w:rsid w:val="004B4C94"/>
    <w:rsid w:val="004B4FEA"/>
    <w:rsid w:val="004B558A"/>
    <w:rsid w:val="004B5D9F"/>
    <w:rsid w:val="004B5FF4"/>
    <w:rsid w:val="004B6478"/>
    <w:rsid w:val="004B7111"/>
    <w:rsid w:val="004B7685"/>
    <w:rsid w:val="004C0B2C"/>
    <w:rsid w:val="004C1906"/>
    <w:rsid w:val="004C1E20"/>
    <w:rsid w:val="004C2F50"/>
    <w:rsid w:val="004C32D1"/>
    <w:rsid w:val="004C3943"/>
    <w:rsid w:val="004C3BF2"/>
    <w:rsid w:val="004C3EDA"/>
    <w:rsid w:val="004C46FA"/>
    <w:rsid w:val="004C47A2"/>
    <w:rsid w:val="004C4919"/>
    <w:rsid w:val="004C4A10"/>
    <w:rsid w:val="004C4B32"/>
    <w:rsid w:val="004C5360"/>
    <w:rsid w:val="004C7037"/>
    <w:rsid w:val="004C7220"/>
    <w:rsid w:val="004C75A8"/>
    <w:rsid w:val="004C788F"/>
    <w:rsid w:val="004C7BB2"/>
    <w:rsid w:val="004D0017"/>
    <w:rsid w:val="004D001B"/>
    <w:rsid w:val="004D011A"/>
    <w:rsid w:val="004D01BA"/>
    <w:rsid w:val="004D09AC"/>
    <w:rsid w:val="004D0B48"/>
    <w:rsid w:val="004D182D"/>
    <w:rsid w:val="004D1F25"/>
    <w:rsid w:val="004D2E41"/>
    <w:rsid w:val="004D3619"/>
    <w:rsid w:val="004D4063"/>
    <w:rsid w:val="004D468B"/>
    <w:rsid w:val="004D4B6E"/>
    <w:rsid w:val="004D5C3F"/>
    <w:rsid w:val="004D67DE"/>
    <w:rsid w:val="004E0790"/>
    <w:rsid w:val="004E0A5E"/>
    <w:rsid w:val="004E0CFC"/>
    <w:rsid w:val="004E0F23"/>
    <w:rsid w:val="004E159A"/>
    <w:rsid w:val="004E371C"/>
    <w:rsid w:val="004E3CAA"/>
    <w:rsid w:val="004E4C5F"/>
    <w:rsid w:val="004E57DE"/>
    <w:rsid w:val="004E5AB1"/>
    <w:rsid w:val="004E5F7F"/>
    <w:rsid w:val="004E665D"/>
    <w:rsid w:val="004E75DB"/>
    <w:rsid w:val="004E7798"/>
    <w:rsid w:val="004F03AF"/>
    <w:rsid w:val="004F14E2"/>
    <w:rsid w:val="004F1702"/>
    <w:rsid w:val="004F1DF9"/>
    <w:rsid w:val="004F1EAE"/>
    <w:rsid w:val="004F2C1F"/>
    <w:rsid w:val="004F2DAA"/>
    <w:rsid w:val="004F2DB9"/>
    <w:rsid w:val="004F3615"/>
    <w:rsid w:val="004F3D98"/>
    <w:rsid w:val="004F4944"/>
    <w:rsid w:val="004F502F"/>
    <w:rsid w:val="004F552D"/>
    <w:rsid w:val="004F629C"/>
    <w:rsid w:val="004F6933"/>
    <w:rsid w:val="004F6B05"/>
    <w:rsid w:val="004F6ECF"/>
    <w:rsid w:val="004F6F16"/>
    <w:rsid w:val="004F71E6"/>
    <w:rsid w:val="004F7D04"/>
    <w:rsid w:val="00500765"/>
    <w:rsid w:val="00501491"/>
    <w:rsid w:val="005018FF"/>
    <w:rsid w:val="00503858"/>
    <w:rsid w:val="005038F9"/>
    <w:rsid w:val="00503D2E"/>
    <w:rsid w:val="00503D42"/>
    <w:rsid w:val="00503F7F"/>
    <w:rsid w:val="00504777"/>
    <w:rsid w:val="005047FB"/>
    <w:rsid w:val="00504B14"/>
    <w:rsid w:val="00505061"/>
    <w:rsid w:val="00505D75"/>
    <w:rsid w:val="00505EB5"/>
    <w:rsid w:val="005062A0"/>
    <w:rsid w:val="005068AA"/>
    <w:rsid w:val="0050760E"/>
    <w:rsid w:val="00507B8B"/>
    <w:rsid w:val="00510583"/>
    <w:rsid w:val="005107F8"/>
    <w:rsid w:val="005117EB"/>
    <w:rsid w:val="0051249A"/>
    <w:rsid w:val="00512795"/>
    <w:rsid w:val="00512D4D"/>
    <w:rsid w:val="005134DA"/>
    <w:rsid w:val="00513F05"/>
    <w:rsid w:val="00514BB5"/>
    <w:rsid w:val="00514BED"/>
    <w:rsid w:val="0051535C"/>
    <w:rsid w:val="00515B6E"/>
    <w:rsid w:val="00516922"/>
    <w:rsid w:val="00517047"/>
    <w:rsid w:val="00517199"/>
    <w:rsid w:val="005173E2"/>
    <w:rsid w:val="0052019C"/>
    <w:rsid w:val="00520F45"/>
    <w:rsid w:val="00521702"/>
    <w:rsid w:val="00522267"/>
    <w:rsid w:val="005222BF"/>
    <w:rsid w:val="00522984"/>
    <w:rsid w:val="00522E08"/>
    <w:rsid w:val="00523797"/>
    <w:rsid w:val="005237D6"/>
    <w:rsid w:val="00523BA0"/>
    <w:rsid w:val="00523C40"/>
    <w:rsid w:val="00523DED"/>
    <w:rsid w:val="005240F6"/>
    <w:rsid w:val="00524341"/>
    <w:rsid w:val="0052468A"/>
    <w:rsid w:val="00524701"/>
    <w:rsid w:val="00524FAC"/>
    <w:rsid w:val="005265A1"/>
    <w:rsid w:val="00526685"/>
    <w:rsid w:val="0052763F"/>
    <w:rsid w:val="00527D76"/>
    <w:rsid w:val="00527FF3"/>
    <w:rsid w:val="005301D3"/>
    <w:rsid w:val="005303D4"/>
    <w:rsid w:val="005306BE"/>
    <w:rsid w:val="00530CEB"/>
    <w:rsid w:val="0053124A"/>
    <w:rsid w:val="0053162D"/>
    <w:rsid w:val="00532C69"/>
    <w:rsid w:val="00532DE5"/>
    <w:rsid w:val="00532E5C"/>
    <w:rsid w:val="0053316D"/>
    <w:rsid w:val="0053373E"/>
    <w:rsid w:val="0053455C"/>
    <w:rsid w:val="00534727"/>
    <w:rsid w:val="00535808"/>
    <w:rsid w:val="00535AC8"/>
    <w:rsid w:val="00535DCC"/>
    <w:rsid w:val="00536A02"/>
    <w:rsid w:val="005375B8"/>
    <w:rsid w:val="00537B9F"/>
    <w:rsid w:val="00540627"/>
    <w:rsid w:val="005406DD"/>
    <w:rsid w:val="00540BE0"/>
    <w:rsid w:val="0054139A"/>
    <w:rsid w:val="00541A7F"/>
    <w:rsid w:val="00542664"/>
    <w:rsid w:val="0054268B"/>
    <w:rsid w:val="00542AE5"/>
    <w:rsid w:val="00542D55"/>
    <w:rsid w:val="00542D9D"/>
    <w:rsid w:val="00543010"/>
    <w:rsid w:val="00543537"/>
    <w:rsid w:val="005438EC"/>
    <w:rsid w:val="005441FD"/>
    <w:rsid w:val="005442AE"/>
    <w:rsid w:val="005443C9"/>
    <w:rsid w:val="00544703"/>
    <w:rsid w:val="00544CFA"/>
    <w:rsid w:val="0054517A"/>
    <w:rsid w:val="005451C0"/>
    <w:rsid w:val="00545494"/>
    <w:rsid w:val="005457F6"/>
    <w:rsid w:val="00545800"/>
    <w:rsid w:val="00545915"/>
    <w:rsid w:val="005459D6"/>
    <w:rsid w:val="00545E1A"/>
    <w:rsid w:val="0054611F"/>
    <w:rsid w:val="00546D47"/>
    <w:rsid w:val="005472DA"/>
    <w:rsid w:val="00547740"/>
    <w:rsid w:val="00550619"/>
    <w:rsid w:val="00550A67"/>
    <w:rsid w:val="0055109F"/>
    <w:rsid w:val="005528FC"/>
    <w:rsid w:val="0055294C"/>
    <w:rsid w:val="0055297C"/>
    <w:rsid w:val="005536E0"/>
    <w:rsid w:val="0055377F"/>
    <w:rsid w:val="00553A8F"/>
    <w:rsid w:val="005546F5"/>
    <w:rsid w:val="00554E26"/>
    <w:rsid w:val="0055598C"/>
    <w:rsid w:val="00556C37"/>
    <w:rsid w:val="00557132"/>
    <w:rsid w:val="0055747B"/>
    <w:rsid w:val="00557CA2"/>
    <w:rsid w:val="00557E69"/>
    <w:rsid w:val="005603E5"/>
    <w:rsid w:val="00560625"/>
    <w:rsid w:val="005626DC"/>
    <w:rsid w:val="00562D38"/>
    <w:rsid w:val="00563D2D"/>
    <w:rsid w:val="005648B1"/>
    <w:rsid w:val="005649E7"/>
    <w:rsid w:val="00564C19"/>
    <w:rsid w:val="00565853"/>
    <w:rsid w:val="00565A20"/>
    <w:rsid w:val="00565B10"/>
    <w:rsid w:val="00565CD9"/>
    <w:rsid w:val="0056666D"/>
    <w:rsid w:val="00566712"/>
    <w:rsid w:val="00566764"/>
    <w:rsid w:val="005668A0"/>
    <w:rsid w:val="005701FF"/>
    <w:rsid w:val="00570733"/>
    <w:rsid w:val="00570F57"/>
    <w:rsid w:val="005716E6"/>
    <w:rsid w:val="0057180D"/>
    <w:rsid w:val="00571DB1"/>
    <w:rsid w:val="00572037"/>
    <w:rsid w:val="0057269A"/>
    <w:rsid w:val="00572E32"/>
    <w:rsid w:val="005732EE"/>
    <w:rsid w:val="00573BB0"/>
    <w:rsid w:val="00573E3A"/>
    <w:rsid w:val="00573EBD"/>
    <w:rsid w:val="005748DD"/>
    <w:rsid w:val="00574F26"/>
    <w:rsid w:val="00575079"/>
    <w:rsid w:val="005760BF"/>
    <w:rsid w:val="00576E65"/>
    <w:rsid w:val="00576EC1"/>
    <w:rsid w:val="00577095"/>
    <w:rsid w:val="00577C5A"/>
    <w:rsid w:val="00580123"/>
    <w:rsid w:val="00580608"/>
    <w:rsid w:val="00580738"/>
    <w:rsid w:val="005807B0"/>
    <w:rsid w:val="005809C4"/>
    <w:rsid w:val="00580B03"/>
    <w:rsid w:val="0058218B"/>
    <w:rsid w:val="005821FA"/>
    <w:rsid w:val="00582389"/>
    <w:rsid w:val="005827B9"/>
    <w:rsid w:val="00582911"/>
    <w:rsid w:val="00582C49"/>
    <w:rsid w:val="005837AE"/>
    <w:rsid w:val="00583855"/>
    <w:rsid w:val="00583E27"/>
    <w:rsid w:val="00584609"/>
    <w:rsid w:val="005847D3"/>
    <w:rsid w:val="00584AAC"/>
    <w:rsid w:val="00584E00"/>
    <w:rsid w:val="005850C2"/>
    <w:rsid w:val="00585102"/>
    <w:rsid w:val="005865A6"/>
    <w:rsid w:val="0058706A"/>
    <w:rsid w:val="00587F2A"/>
    <w:rsid w:val="0059052E"/>
    <w:rsid w:val="0059074F"/>
    <w:rsid w:val="005918F1"/>
    <w:rsid w:val="00591DF9"/>
    <w:rsid w:val="00591EE4"/>
    <w:rsid w:val="00592505"/>
    <w:rsid w:val="005929BC"/>
    <w:rsid w:val="00592C69"/>
    <w:rsid w:val="00592DA4"/>
    <w:rsid w:val="00592E88"/>
    <w:rsid w:val="005932E3"/>
    <w:rsid w:val="005938EA"/>
    <w:rsid w:val="0059428A"/>
    <w:rsid w:val="00594822"/>
    <w:rsid w:val="00594912"/>
    <w:rsid w:val="005949EB"/>
    <w:rsid w:val="00595185"/>
    <w:rsid w:val="00595381"/>
    <w:rsid w:val="005963D8"/>
    <w:rsid w:val="00596AFD"/>
    <w:rsid w:val="00597823"/>
    <w:rsid w:val="005A017A"/>
    <w:rsid w:val="005A0587"/>
    <w:rsid w:val="005A0654"/>
    <w:rsid w:val="005A0E42"/>
    <w:rsid w:val="005A1AD8"/>
    <w:rsid w:val="005A1ADF"/>
    <w:rsid w:val="005A2000"/>
    <w:rsid w:val="005A20A2"/>
    <w:rsid w:val="005A2A6E"/>
    <w:rsid w:val="005A2D87"/>
    <w:rsid w:val="005A3050"/>
    <w:rsid w:val="005A378A"/>
    <w:rsid w:val="005A3852"/>
    <w:rsid w:val="005A3EBA"/>
    <w:rsid w:val="005A3FAA"/>
    <w:rsid w:val="005A3FAC"/>
    <w:rsid w:val="005A4D4A"/>
    <w:rsid w:val="005A5100"/>
    <w:rsid w:val="005A52CC"/>
    <w:rsid w:val="005A63C8"/>
    <w:rsid w:val="005A7651"/>
    <w:rsid w:val="005A76BC"/>
    <w:rsid w:val="005A7E57"/>
    <w:rsid w:val="005B01A0"/>
    <w:rsid w:val="005B02D7"/>
    <w:rsid w:val="005B0619"/>
    <w:rsid w:val="005B09B3"/>
    <w:rsid w:val="005B1222"/>
    <w:rsid w:val="005B1C00"/>
    <w:rsid w:val="005B247F"/>
    <w:rsid w:val="005B27E3"/>
    <w:rsid w:val="005B2BB5"/>
    <w:rsid w:val="005B47E5"/>
    <w:rsid w:val="005B4B10"/>
    <w:rsid w:val="005B4F8B"/>
    <w:rsid w:val="005B57C3"/>
    <w:rsid w:val="005B5AB3"/>
    <w:rsid w:val="005B68FB"/>
    <w:rsid w:val="005B6937"/>
    <w:rsid w:val="005B6993"/>
    <w:rsid w:val="005B6B51"/>
    <w:rsid w:val="005B704D"/>
    <w:rsid w:val="005B719E"/>
    <w:rsid w:val="005B7279"/>
    <w:rsid w:val="005B7938"/>
    <w:rsid w:val="005B7F3F"/>
    <w:rsid w:val="005C0768"/>
    <w:rsid w:val="005C091D"/>
    <w:rsid w:val="005C09C2"/>
    <w:rsid w:val="005C119E"/>
    <w:rsid w:val="005C1C93"/>
    <w:rsid w:val="005C2599"/>
    <w:rsid w:val="005C396F"/>
    <w:rsid w:val="005C3F6F"/>
    <w:rsid w:val="005C4025"/>
    <w:rsid w:val="005C459B"/>
    <w:rsid w:val="005C45DD"/>
    <w:rsid w:val="005C46F6"/>
    <w:rsid w:val="005C4C69"/>
    <w:rsid w:val="005C524D"/>
    <w:rsid w:val="005C525B"/>
    <w:rsid w:val="005C5619"/>
    <w:rsid w:val="005C5891"/>
    <w:rsid w:val="005C5B2E"/>
    <w:rsid w:val="005C5E58"/>
    <w:rsid w:val="005C61FD"/>
    <w:rsid w:val="005C6565"/>
    <w:rsid w:val="005C7423"/>
    <w:rsid w:val="005C7D41"/>
    <w:rsid w:val="005C7E0C"/>
    <w:rsid w:val="005D0276"/>
    <w:rsid w:val="005D0384"/>
    <w:rsid w:val="005D0629"/>
    <w:rsid w:val="005D0642"/>
    <w:rsid w:val="005D0802"/>
    <w:rsid w:val="005D0B69"/>
    <w:rsid w:val="005D12E5"/>
    <w:rsid w:val="005D1979"/>
    <w:rsid w:val="005D19E0"/>
    <w:rsid w:val="005D1B04"/>
    <w:rsid w:val="005D1D02"/>
    <w:rsid w:val="005D1FA3"/>
    <w:rsid w:val="005D24E1"/>
    <w:rsid w:val="005D2721"/>
    <w:rsid w:val="005D30D8"/>
    <w:rsid w:val="005D3172"/>
    <w:rsid w:val="005D3B80"/>
    <w:rsid w:val="005D3E9F"/>
    <w:rsid w:val="005D4543"/>
    <w:rsid w:val="005D4781"/>
    <w:rsid w:val="005D4F53"/>
    <w:rsid w:val="005D5059"/>
    <w:rsid w:val="005D5CBE"/>
    <w:rsid w:val="005D617E"/>
    <w:rsid w:val="005D6296"/>
    <w:rsid w:val="005D685C"/>
    <w:rsid w:val="005D69A5"/>
    <w:rsid w:val="005D7544"/>
    <w:rsid w:val="005D7789"/>
    <w:rsid w:val="005E0453"/>
    <w:rsid w:val="005E0BA5"/>
    <w:rsid w:val="005E1B13"/>
    <w:rsid w:val="005E1EA5"/>
    <w:rsid w:val="005E215A"/>
    <w:rsid w:val="005E22C9"/>
    <w:rsid w:val="005E2305"/>
    <w:rsid w:val="005E2503"/>
    <w:rsid w:val="005E254D"/>
    <w:rsid w:val="005E26B2"/>
    <w:rsid w:val="005E2AD2"/>
    <w:rsid w:val="005E33F2"/>
    <w:rsid w:val="005E39AB"/>
    <w:rsid w:val="005E3AAB"/>
    <w:rsid w:val="005E4365"/>
    <w:rsid w:val="005E4D12"/>
    <w:rsid w:val="005E64B0"/>
    <w:rsid w:val="005E6BCE"/>
    <w:rsid w:val="005E7073"/>
    <w:rsid w:val="005E76C7"/>
    <w:rsid w:val="005E7A0D"/>
    <w:rsid w:val="005E7C36"/>
    <w:rsid w:val="005E7FC9"/>
    <w:rsid w:val="005F0552"/>
    <w:rsid w:val="005F1404"/>
    <w:rsid w:val="005F19D1"/>
    <w:rsid w:val="005F1E73"/>
    <w:rsid w:val="005F24F4"/>
    <w:rsid w:val="005F2694"/>
    <w:rsid w:val="005F2BB5"/>
    <w:rsid w:val="005F3356"/>
    <w:rsid w:val="005F38BF"/>
    <w:rsid w:val="005F3A47"/>
    <w:rsid w:val="005F3A8D"/>
    <w:rsid w:val="005F3BBE"/>
    <w:rsid w:val="005F43B0"/>
    <w:rsid w:val="005F47EC"/>
    <w:rsid w:val="005F4FA0"/>
    <w:rsid w:val="005F50DA"/>
    <w:rsid w:val="005F5617"/>
    <w:rsid w:val="005F61E2"/>
    <w:rsid w:val="005F6B7A"/>
    <w:rsid w:val="005F6F80"/>
    <w:rsid w:val="005F776D"/>
    <w:rsid w:val="005F7794"/>
    <w:rsid w:val="005F788A"/>
    <w:rsid w:val="005F7A2C"/>
    <w:rsid w:val="005F7A4A"/>
    <w:rsid w:val="005F7F3A"/>
    <w:rsid w:val="006000D7"/>
    <w:rsid w:val="006002E4"/>
    <w:rsid w:val="0060037B"/>
    <w:rsid w:val="0060052F"/>
    <w:rsid w:val="0060085D"/>
    <w:rsid w:val="00600C7C"/>
    <w:rsid w:val="00600CF3"/>
    <w:rsid w:val="00600EBC"/>
    <w:rsid w:val="0060200C"/>
    <w:rsid w:val="006023DA"/>
    <w:rsid w:val="00602408"/>
    <w:rsid w:val="00602458"/>
    <w:rsid w:val="006025D8"/>
    <w:rsid w:val="0060262F"/>
    <w:rsid w:val="00602678"/>
    <w:rsid w:val="00602C94"/>
    <w:rsid w:val="0060317D"/>
    <w:rsid w:val="006031B1"/>
    <w:rsid w:val="00603471"/>
    <w:rsid w:val="0060440D"/>
    <w:rsid w:val="00604692"/>
    <w:rsid w:val="006052F0"/>
    <w:rsid w:val="00605BD1"/>
    <w:rsid w:val="006061EA"/>
    <w:rsid w:val="00606412"/>
    <w:rsid w:val="00606E88"/>
    <w:rsid w:val="00607083"/>
    <w:rsid w:val="00607141"/>
    <w:rsid w:val="006074C8"/>
    <w:rsid w:val="0060791D"/>
    <w:rsid w:val="00610945"/>
    <w:rsid w:val="00610B56"/>
    <w:rsid w:val="00610B86"/>
    <w:rsid w:val="00611809"/>
    <w:rsid w:val="00611943"/>
    <w:rsid w:val="00611A70"/>
    <w:rsid w:val="00611D8D"/>
    <w:rsid w:val="006128F8"/>
    <w:rsid w:val="00614C04"/>
    <w:rsid w:val="006150F0"/>
    <w:rsid w:val="006164CA"/>
    <w:rsid w:val="00616702"/>
    <w:rsid w:val="006175EE"/>
    <w:rsid w:val="0061788F"/>
    <w:rsid w:val="006179D9"/>
    <w:rsid w:val="00617EFB"/>
    <w:rsid w:val="0062079E"/>
    <w:rsid w:val="00621037"/>
    <w:rsid w:val="0062147B"/>
    <w:rsid w:val="006217A3"/>
    <w:rsid w:val="00622717"/>
    <w:rsid w:val="00622B7F"/>
    <w:rsid w:val="0062334A"/>
    <w:rsid w:val="00623A6F"/>
    <w:rsid w:val="006244E0"/>
    <w:rsid w:val="0062586D"/>
    <w:rsid w:val="00625E42"/>
    <w:rsid w:val="00627023"/>
    <w:rsid w:val="00630142"/>
    <w:rsid w:val="0063042E"/>
    <w:rsid w:val="006310F8"/>
    <w:rsid w:val="00631182"/>
    <w:rsid w:val="006319FE"/>
    <w:rsid w:val="00632654"/>
    <w:rsid w:val="0063272F"/>
    <w:rsid w:val="0063319D"/>
    <w:rsid w:val="006334DE"/>
    <w:rsid w:val="00633D0D"/>
    <w:rsid w:val="00633D52"/>
    <w:rsid w:val="00633FD0"/>
    <w:rsid w:val="00634A8F"/>
    <w:rsid w:val="00634DCF"/>
    <w:rsid w:val="006355A1"/>
    <w:rsid w:val="00635D96"/>
    <w:rsid w:val="00635EEE"/>
    <w:rsid w:val="0063664A"/>
    <w:rsid w:val="00636A32"/>
    <w:rsid w:val="0063740F"/>
    <w:rsid w:val="0063744E"/>
    <w:rsid w:val="006378AB"/>
    <w:rsid w:val="006409B7"/>
    <w:rsid w:val="00640BFE"/>
    <w:rsid w:val="00641131"/>
    <w:rsid w:val="006418E1"/>
    <w:rsid w:val="00642001"/>
    <w:rsid w:val="00642164"/>
    <w:rsid w:val="00642994"/>
    <w:rsid w:val="00642C64"/>
    <w:rsid w:val="00643507"/>
    <w:rsid w:val="00643562"/>
    <w:rsid w:val="00643E47"/>
    <w:rsid w:val="0064414C"/>
    <w:rsid w:val="00644887"/>
    <w:rsid w:val="00644A79"/>
    <w:rsid w:val="00644B19"/>
    <w:rsid w:val="00644EC1"/>
    <w:rsid w:val="0064598C"/>
    <w:rsid w:val="00645AD9"/>
    <w:rsid w:val="00645AEC"/>
    <w:rsid w:val="00646608"/>
    <w:rsid w:val="00646629"/>
    <w:rsid w:val="00646B8F"/>
    <w:rsid w:val="006473E5"/>
    <w:rsid w:val="006475D6"/>
    <w:rsid w:val="00650E11"/>
    <w:rsid w:val="006514B5"/>
    <w:rsid w:val="0065256F"/>
    <w:rsid w:val="0065330E"/>
    <w:rsid w:val="00653A8F"/>
    <w:rsid w:val="00653F9A"/>
    <w:rsid w:val="00654650"/>
    <w:rsid w:val="006549A0"/>
    <w:rsid w:val="00654FEA"/>
    <w:rsid w:val="00655AF6"/>
    <w:rsid w:val="00655D0B"/>
    <w:rsid w:val="00655ED6"/>
    <w:rsid w:val="0065600E"/>
    <w:rsid w:val="00656E53"/>
    <w:rsid w:val="00656EA1"/>
    <w:rsid w:val="00657B6A"/>
    <w:rsid w:val="00657DC7"/>
    <w:rsid w:val="006611EF"/>
    <w:rsid w:val="00661885"/>
    <w:rsid w:val="00662520"/>
    <w:rsid w:val="00662738"/>
    <w:rsid w:val="0066294D"/>
    <w:rsid w:val="0066347D"/>
    <w:rsid w:val="006635D0"/>
    <w:rsid w:val="00663761"/>
    <w:rsid w:val="006641F3"/>
    <w:rsid w:val="00664616"/>
    <w:rsid w:val="00664B60"/>
    <w:rsid w:val="00664E4A"/>
    <w:rsid w:val="0066521D"/>
    <w:rsid w:val="00665271"/>
    <w:rsid w:val="00665466"/>
    <w:rsid w:val="00665B38"/>
    <w:rsid w:val="00665B92"/>
    <w:rsid w:val="0066687A"/>
    <w:rsid w:val="00666925"/>
    <w:rsid w:val="00667026"/>
    <w:rsid w:val="0066710A"/>
    <w:rsid w:val="0066789D"/>
    <w:rsid w:val="006678DC"/>
    <w:rsid w:val="00670629"/>
    <w:rsid w:val="006706E1"/>
    <w:rsid w:val="0067080D"/>
    <w:rsid w:val="00670E17"/>
    <w:rsid w:val="0067152F"/>
    <w:rsid w:val="00671C5E"/>
    <w:rsid w:val="00672B30"/>
    <w:rsid w:val="0067396A"/>
    <w:rsid w:val="00673A4E"/>
    <w:rsid w:val="006747BA"/>
    <w:rsid w:val="00674BC0"/>
    <w:rsid w:val="00675484"/>
    <w:rsid w:val="0067612D"/>
    <w:rsid w:val="0067653A"/>
    <w:rsid w:val="00676730"/>
    <w:rsid w:val="00677436"/>
    <w:rsid w:val="0068022C"/>
    <w:rsid w:val="00680842"/>
    <w:rsid w:val="006809EF"/>
    <w:rsid w:val="0068160C"/>
    <w:rsid w:val="00681BE8"/>
    <w:rsid w:val="00682677"/>
    <w:rsid w:val="00682B59"/>
    <w:rsid w:val="00682FB7"/>
    <w:rsid w:val="00683C89"/>
    <w:rsid w:val="00683CE3"/>
    <w:rsid w:val="00685821"/>
    <w:rsid w:val="006868A3"/>
    <w:rsid w:val="0068750C"/>
    <w:rsid w:val="00687707"/>
    <w:rsid w:val="00687A1E"/>
    <w:rsid w:val="00690695"/>
    <w:rsid w:val="006910A4"/>
    <w:rsid w:val="00691BD9"/>
    <w:rsid w:val="00691D5C"/>
    <w:rsid w:val="00691D7F"/>
    <w:rsid w:val="00692031"/>
    <w:rsid w:val="006920E0"/>
    <w:rsid w:val="0069217B"/>
    <w:rsid w:val="0069219D"/>
    <w:rsid w:val="006923AB"/>
    <w:rsid w:val="0069340D"/>
    <w:rsid w:val="006934B7"/>
    <w:rsid w:val="00693741"/>
    <w:rsid w:val="00693DB8"/>
    <w:rsid w:val="00693F29"/>
    <w:rsid w:val="00695784"/>
    <w:rsid w:val="0069654C"/>
    <w:rsid w:val="0069690D"/>
    <w:rsid w:val="00696E67"/>
    <w:rsid w:val="00696EAC"/>
    <w:rsid w:val="006972E6"/>
    <w:rsid w:val="00697A2F"/>
    <w:rsid w:val="006A0333"/>
    <w:rsid w:val="006A0BFE"/>
    <w:rsid w:val="006A0D86"/>
    <w:rsid w:val="006A1D0A"/>
    <w:rsid w:val="006A1E5D"/>
    <w:rsid w:val="006A273C"/>
    <w:rsid w:val="006A2E1B"/>
    <w:rsid w:val="006A328A"/>
    <w:rsid w:val="006A41BE"/>
    <w:rsid w:val="006A443C"/>
    <w:rsid w:val="006A466E"/>
    <w:rsid w:val="006A47E5"/>
    <w:rsid w:val="006A4BAD"/>
    <w:rsid w:val="006A5A89"/>
    <w:rsid w:val="006A60E4"/>
    <w:rsid w:val="006A6644"/>
    <w:rsid w:val="006A6735"/>
    <w:rsid w:val="006A691A"/>
    <w:rsid w:val="006A6C93"/>
    <w:rsid w:val="006A7605"/>
    <w:rsid w:val="006B0A3A"/>
    <w:rsid w:val="006B26A8"/>
    <w:rsid w:val="006B2E73"/>
    <w:rsid w:val="006B34A1"/>
    <w:rsid w:val="006B3B74"/>
    <w:rsid w:val="006B40FC"/>
    <w:rsid w:val="006B44A2"/>
    <w:rsid w:val="006B4866"/>
    <w:rsid w:val="006B51EF"/>
    <w:rsid w:val="006B5534"/>
    <w:rsid w:val="006B5785"/>
    <w:rsid w:val="006B5B8A"/>
    <w:rsid w:val="006B5BA1"/>
    <w:rsid w:val="006B6B5F"/>
    <w:rsid w:val="006B75C8"/>
    <w:rsid w:val="006B796E"/>
    <w:rsid w:val="006B7BDE"/>
    <w:rsid w:val="006B7D2D"/>
    <w:rsid w:val="006B7E37"/>
    <w:rsid w:val="006C0519"/>
    <w:rsid w:val="006C0B84"/>
    <w:rsid w:val="006C17AD"/>
    <w:rsid w:val="006C196D"/>
    <w:rsid w:val="006C1D7B"/>
    <w:rsid w:val="006C256D"/>
    <w:rsid w:val="006C2790"/>
    <w:rsid w:val="006C29B9"/>
    <w:rsid w:val="006C3DE1"/>
    <w:rsid w:val="006C3DF6"/>
    <w:rsid w:val="006C46A1"/>
    <w:rsid w:val="006C4B69"/>
    <w:rsid w:val="006C51E5"/>
    <w:rsid w:val="006C5B93"/>
    <w:rsid w:val="006C5DF2"/>
    <w:rsid w:val="006C608D"/>
    <w:rsid w:val="006C74D0"/>
    <w:rsid w:val="006D0AF9"/>
    <w:rsid w:val="006D0C69"/>
    <w:rsid w:val="006D1F3E"/>
    <w:rsid w:val="006D213D"/>
    <w:rsid w:val="006D2501"/>
    <w:rsid w:val="006D2E9D"/>
    <w:rsid w:val="006D36F1"/>
    <w:rsid w:val="006D60C0"/>
    <w:rsid w:val="006D6D2F"/>
    <w:rsid w:val="006D6DDF"/>
    <w:rsid w:val="006D7126"/>
    <w:rsid w:val="006E012A"/>
    <w:rsid w:val="006E0C91"/>
    <w:rsid w:val="006E0E61"/>
    <w:rsid w:val="006E12BA"/>
    <w:rsid w:val="006E14A7"/>
    <w:rsid w:val="006E1814"/>
    <w:rsid w:val="006E19EB"/>
    <w:rsid w:val="006E1EEA"/>
    <w:rsid w:val="006E22FE"/>
    <w:rsid w:val="006E23B4"/>
    <w:rsid w:val="006E2532"/>
    <w:rsid w:val="006E28DC"/>
    <w:rsid w:val="006E31A7"/>
    <w:rsid w:val="006E3627"/>
    <w:rsid w:val="006E3709"/>
    <w:rsid w:val="006E39E0"/>
    <w:rsid w:val="006E4490"/>
    <w:rsid w:val="006E45C8"/>
    <w:rsid w:val="006E4765"/>
    <w:rsid w:val="006E4ACD"/>
    <w:rsid w:val="006E52A9"/>
    <w:rsid w:val="006E6133"/>
    <w:rsid w:val="006E630A"/>
    <w:rsid w:val="006E6481"/>
    <w:rsid w:val="006E6E2A"/>
    <w:rsid w:val="006E7326"/>
    <w:rsid w:val="006E7654"/>
    <w:rsid w:val="006F015F"/>
    <w:rsid w:val="006F0620"/>
    <w:rsid w:val="006F08CF"/>
    <w:rsid w:val="006F0F22"/>
    <w:rsid w:val="006F15D9"/>
    <w:rsid w:val="006F18D2"/>
    <w:rsid w:val="006F1C54"/>
    <w:rsid w:val="006F1EDD"/>
    <w:rsid w:val="006F259C"/>
    <w:rsid w:val="006F295E"/>
    <w:rsid w:val="006F2C11"/>
    <w:rsid w:val="006F2FF4"/>
    <w:rsid w:val="006F3AAB"/>
    <w:rsid w:val="006F3AD9"/>
    <w:rsid w:val="006F3D82"/>
    <w:rsid w:val="006F3F49"/>
    <w:rsid w:val="006F4784"/>
    <w:rsid w:val="006F4AB8"/>
    <w:rsid w:val="006F5E5A"/>
    <w:rsid w:val="006F6293"/>
    <w:rsid w:val="006F6C82"/>
    <w:rsid w:val="006F712E"/>
    <w:rsid w:val="006F7173"/>
    <w:rsid w:val="006F73BF"/>
    <w:rsid w:val="006F74DA"/>
    <w:rsid w:val="006F7B07"/>
    <w:rsid w:val="00700189"/>
    <w:rsid w:val="00700413"/>
    <w:rsid w:val="00701945"/>
    <w:rsid w:val="0070198B"/>
    <w:rsid w:val="00702089"/>
    <w:rsid w:val="00702283"/>
    <w:rsid w:val="00702871"/>
    <w:rsid w:val="00703215"/>
    <w:rsid w:val="007036D7"/>
    <w:rsid w:val="0070390A"/>
    <w:rsid w:val="0070397F"/>
    <w:rsid w:val="007039B3"/>
    <w:rsid w:val="00703D9F"/>
    <w:rsid w:val="00704921"/>
    <w:rsid w:val="00704AD7"/>
    <w:rsid w:val="00704EE4"/>
    <w:rsid w:val="00705179"/>
    <w:rsid w:val="0070599C"/>
    <w:rsid w:val="0070629A"/>
    <w:rsid w:val="00706644"/>
    <w:rsid w:val="0070681D"/>
    <w:rsid w:val="00706F83"/>
    <w:rsid w:val="0070720F"/>
    <w:rsid w:val="00707421"/>
    <w:rsid w:val="007078D0"/>
    <w:rsid w:val="007101BE"/>
    <w:rsid w:val="007107E6"/>
    <w:rsid w:val="00710C80"/>
    <w:rsid w:val="00710C97"/>
    <w:rsid w:val="00710D7D"/>
    <w:rsid w:val="00710EEA"/>
    <w:rsid w:val="00712DAC"/>
    <w:rsid w:val="00713464"/>
    <w:rsid w:val="007153E5"/>
    <w:rsid w:val="007157C6"/>
    <w:rsid w:val="00715E45"/>
    <w:rsid w:val="00716D85"/>
    <w:rsid w:val="00716E8B"/>
    <w:rsid w:val="00717890"/>
    <w:rsid w:val="00717C0A"/>
    <w:rsid w:val="00720201"/>
    <w:rsid w:val="00721217"/>
    <w:rsid w:val="00721A19"/>
    <w:rsid w:val="00721AC1"/>
    <w:rsid w:val="0072261B"/>
    <w:rsid w:val="00722736"/>
    <w:rsid w:val="0072400B"/>
    <w:rsid w:val="007254CA"/>
    <w:rsid w:val="007257DD"/>
    <w:rsid w:val="007259F4"/>
    <w:rsid w:val="00726573"/>
    <w:rsid w:val="007266ED"/>
    <w:rsid w:val="00726C28"/>
    <w:rsid w:val="007270F8"/>
    <w:rsid w:val="00727262"/>
    <w:rsid w:val="00727449"/>
    <w:rsid w:val="00727BB7"/>
    <w:rsid w:val="00727C37"/>
    <w:rsid w:val="007304F9"/>
    <w:rsid w:val="00730C25"/>
    <w:rsid w:val="00731174"/>
    <w:rsid w:val="00731A26"/>
    <w:rsid w:val="00731BA2"/>
    <w:rsid w:val="007328C1"/>
    <w:rsid w:val="007329A4"/>
    <w:rsid w:val="00732C54"/>
    <w:rsid w:val="007331D6"/>
    <w:rsid w:val="0073344B"/>
    <w:rsid w:val="00733EA8"/>
    <w:rsid w:val="007342E7"/>
    <w:rsid w:val="00734607"/>
    <w:rsid w:val="0073463F"/>
    <w:rsid w:val="00734EB5"/>
    <w:rsid w:val="007350BE"/>
    <w:rsid w:val="0073650C"/>
    <w:rsid w:val="007365E3"/>
    <w:rsid w:val="007366D9"/>
    <w:rsid w:val="00736BFC"/>
    <w:rsid w:val="00736CDF"/>
    <w:rsid w:val="00737AD7"/>
    <w:rsid w:val="00740139"/>
    <w:rsid w:val="00740D19"/>
    <w:rsid w:val="007411E2"/>
    <w:rsid w:val="00741DF5"/>
    <w:rsid w:val="00742DB6"/>
    <w:rsid w:val="00742EF0"/>
    <w:rsid w:val="00743102"/>
    <w:rsid w:val="0074317A"/>
    <w:rsid w:val="00743803"/>
    <w:rsid w:val="00744C47"/>
    <w:rsid w:val="00746659"/>
    <w:rsid w:val="00746AE5"/>
    <w:rsid w:val="00747176"/>
    <w:rsid w:val="007477BF"/>
    <w:rsid w:val="00747DFE"/>
    <w:rsid w:val="007502BF"/>
    <w:rsid w:val="007508AF"/>
    <w:rsid w:val="00751F90"/>
    <w:rsid w:val="00752BB9"/>
    <w:rsid w:val="0075314E"/>
    <w:rsid w:val="00753A12"/>
    <w:rsid w:val="00753EDF"/>
    <w:rsid w:val="0075464C"/>
    <w:rsid w:val="00754C24"/>
    <w:rsid w:val="0075553D"/>
    <w:rsid w:val="00755771"/>
    <w:rsid w:val="00755AB2"/>
    <w:rsid w:val="0075610E"/>
    <w:rsid w:val="007567C4"/>
    <w:rsid w:val="0075693F"/>
    <w:rsid w:val="00756A41"/>
    <w:rsid w:val="0075736D"/>
    <w:rsid w:val="007573B6"/>
    <w:rsid w:val="00757607"/>
    <w:rsid w:val="00760734"/>
    <w:rsid w:val="00760FA5"/>
    <w:rsid w:val="00762552"/>
    <w:rsid w:val="00763416"/>
    <w:rsid w:val="00763BF2"/>
    <w:rsid w:val="007652AA"/>
    <w:rsid w:val="007652BC"/>
    <w:rsid w:val="007658CA"/>
    <w:rsid w:val="00765B96"/>
    <w:rsid w:val="007664A3"/>
    <w:rsid w:val="00766A5E"/>
    <w:rsid w:val="00766EEF"/>
    <w:rsid w:val="00767DCD"/>
    <w:rsid w:val="00767EB6"/>
    <w:rsid w:val="00770500"/>
    <w:rsid w:val="00770CEA"/>
    <w:rsid w:val="007711F8"/>
    <w:rsid w:val="0077136D"/>
    <w:rsid w:val="00771668"/>
    <w:rsid w:val="007724E5"/>
    <w:rsid w:val="00772CFF"/>
    <w:rsid w:val="00773107"/>
    <w:rsid w:val="00773372"/>
    <w:rsid w:val="007739F2"/>
    <w:rsid w:val="00774C5B"/>
    <w:rsid w:val="00774E98"/>
    <w:rsid w:val="00775309"/>
    <w:rsid w:val="00775534"/>
    <w:rsid w:val="007758FE"/>
    <w:rsid w:val="00775B3F"/>
    <w:rsid w:val="00775B56"/>
    <w:rsid w:val="00775E02"/>
    <w:rsid w:val="00775E1E"/>
    <w:rsid w:val="00775FBF"/>
    <w:rsid w:val="00775FFC"/>
    <w:rsid w:val="00776238"/>
    <w:rsid w:val="00776250"/>
    <w:rsid w:val="00776646"/>
    <w:rsid w:val="00777D0E"/>
    <w:rsid w:val="00780201"/>
    <w:rsid w:val="007806C1"/>
    <w:rsid w:val="0078116E"/>
    <w:rsid w:val="00781746"/>
    <w:rsid w:val="00782066"/>
    <w:rsid w:val="0078283C"/>
    <w:rsid w:val="00782D3A"/>
    <w:rsid w:val="00783259"/>
    <w:rsid w:val="007832C1"/>
    <w:rsid w:val="00784583"/>
    <w:rsid w:val="00784DBF"/>
    <w:rsid w:val="00784F3F"/>
    <w:rsid w:val="007851AD"/>
    <w:rsid w:val="007859B5"/>
    <w:rsid w:val="00785E33"/>
    <w:rsid w:val="00786217"/>
    <w:rsid w:val="0078647E"/>
    <w:rsid w:val="00786C20"/>
    <w:rsid w:val="00786E9E"/>
    <w:rsid w:val="00786F40"/>
    <w:rsid w:val="0078744C"/>
    <w:rsid w:val="00787962"/>
    <w:rsid w:val="00787995"/>
    <w:rsid w:val="00790166"/>
    <w:rsid w:val="00790DC9"/>
    <w:rsid w:val="00791032"/>
    <w:rsid w:val="007912B5"/>
    <w:rsid w:val="0079154E"/>
    <w:rsid w:val="007919F4"/>
    <w:rsid w:val="00792A0F"/>
    <w:rsid w:val="0079312F"/>
    <w:rsid w:val="00793499"/>
    <w:rsid w:val="007935F7"/>
    <w:rsid w:val="00793B3F"/>
    <w:rsid w:val="00794351"/>
    <w:rsid w:val="007943BD"/>
    <w:rsid w:val="00794759"/>
    <w:rsid w:val="007954E4"/>
    <w:rsid w:val="007955EB"/>
    <w:rsid w:val="007957B5"/>
    <w:rsid w:val="007965E5"/>
    <w:rsid w:val="00796ED4"/>
    <w:rsid w:val="00797235"/>
    <w:rsid w:val="0079743B"/>
    <w:rsid w:val="007A08C0"/>
    <w:rsid w:val="007A0E91"/>
    <w:rsid w:val="007A141F"/>
    <w:rsid w:val="007A1ACF"/>
    <w:rsid w:val="007A2448"/>
    <w:rsid w:val="007A33BC"/>
    <w:rsid w:val="007A34B7"/>
    <w:rsid w:val="007A5303"/>
    <w:rsid w:val="007A666D"/>
    <w:rsid w:val="007A6783"/>
    <w:rsid w:val="007A6B52"/>
    <w:rsid w:val="007A754C"/>
    <w:rsid w:val="007A75EA"/>
    <w:rsid w:val="007A7F8E"/>
    <w:rsid w:val="007B0492"/>
    <w:rsid w:val="007B0BBD"/>
    <w:rsid w:val="007B0D00"/>
    <w:rsid w:val="007B12FD"/>
    <w:rsid w:val="007B1962"/>
    <w:rsid w:val="007B29DD"/>
    <w:rsid w:val="007B3C01"/>
    <w:rsid w:val="007B4177"/>
    <w:rsid w:val="007B44DC"/>
    <w:rsid w:val="007B5E51"/>
    <w:rsid w:val="007B64AF"/>
    <w:rsid w:val="007B64E0"/>
    <w:rsid w:val="007B6F18"/>
    <w:rsid w:val="007B7F1D"/>
    <w:rsid w:val="007C0139"/>
    <w:rsid w:val="007C01DF"/>
    <w:rsid w:val="007C05ED"/>
    <w:rsid w:val="007C0759"/>
    <w:rsid w:val="007C0D74"/>
    <w:rsid w:val="007C14FA"/>
    <w:rsid w:val="007C20C6"/>
    <w:rsid w:val="007C2142"/>
    <w:rsid w:val="007C2362"/>
    <w:rsid w:val="007C2482"/>
    <w:rsid w:val="007C24EB"/>
    <w:rsid w:val="007C274A"/>
    <w:rsid w:val="007C2D20"/>
    <w:rsid w:val="007C4C28"/>
    <w:rsid w:val="007C5F28"/>
    <w:rsid w:val="007C6718"/>
    <w:rsid w:val="007C6894"/>
    <w:rsid w:val="007C69CF"/>
    <w:rsid w:val="007C700E"/>
    <w:rsid w:val="007C7E66"/>
    <w:rsid w:val="007D11B4"/>
    <w:rsid w:val="007D11B9"/>
    <w:rsid w:val="007D1D6D"/>
    <w:rsid w:val="007D3B9E"/>
    <w:rsid w:val="007D4779"/>
    <w:rsid w:val="007D54E3"/>
    <w:rsid w:val="007D56A9"/>
    <w:rsid w:val="007D68AC"/>
    <w:rsid w:val="007D7B8F"/>
    <w:rsid w:val="007D7FC7"/>
    <w:rsid w:val="007D7FE6"/>
    <w:rsid w:val="007E02E1"/>
    <w:rsid w:val="007E0826"/>
    <w:rsid w:val="007E12C4"/>
    <w:rsid w:val="007E1B08"/>
    <w:rsid w:val="007E1B3F"/>
    <w:rsid w:val="007E1E1F"/>
    <w:rsid w:val="007E20B0"/>
    <w:rsid w:val="007E2189"/>
    <w:rsid w:val="007E2393"/>
    <w:rsid w:val="007E24CD"/>
    <w:rsid w:val="007E2A8F"/>
    <w:rsid w:val="007E2C11"/>
    <w:rsid w:val="007E38A8"/>
    <w:rsid w:val="007E42FE"/>
    <w:rsid w:val="007E5690"/>
    <w:rsid w:val="007E61A6"/>
    <w:rsid w:val="007E6720"/>
    <w:rsid w:val="007E6818"/>
    <w:rsid w:val="007E705D"/>
    <w:rsid w:val="007E70A2"/>
    <w:rsid w:val="007E74C3"/>
    <w:rsid w:val="007E7BEE"/>
    <w:rsid w:val="007F064A"/>
    <w:rsid w:val="007F0677"/>
    <w:rsid w:val="007F088D"/>
    <w:rsid w:val="007F099D"/>
    <w:rsid w:val="007F1198"/>
    <w:rsid w:val="007F1FA4"/>
    <w:rsid w:val="007F22F9"/>
    <w:rsid w:val="007F34E9"/>
    <w:rsid w:val="007F3D8A"/>
    <w:rsid w:val="007F3EFC"/>
    <w:rsid w:val="007F4B40"/>
    <w:rsid w:val="007F5D93"/>
    <w:rsid w:val="007F5E42"/>
    <w:rsid w:val="007F6007"/>
    <w:rsid w:val="007F65A1"/>
    <w:rsid w:val="007F6892"/>
    <w:rsid w:val="007F68D4"/>
    <w:rsid w:val="007F6C2C"/>
    <w:rsid w:val="007F6F80"/>
    <w:rsid w:val="007F700D"/>
    <w:rsid w:val="007F76FA"/>
    <w:rsid w:val="007F797C"/>
    <w:rsid w:val="007F7D26"/>
    <w:rsid w:val="00800912"/>
    <w:rsid w:val="00800B3C"/>
    <w:rsid w:val="00800C9A"/>
    <w:rsid w:val="00801CB0"/>
    <w:rsid w:val="008033AB"/>
    <w:rsid w:val="0080353C"/>
    <w:rsid w:val="00803643"/>
    <w:rsid w:val="00804402"/>
    <w:rsid w:val="008046ED"/>
    <w:rsid w:val="00804BEF"/>
    <w:rsid w:val="008050EE"/>
    <w:rsid w:val="0080540B"/>
    <w:rsid w:val="00805895"/>
    <w:rsid w:val="0080618E"/>
    <w:rsid w:val="00806546"/>
    <w:rsid w:val="00806919"/>
    <w:rsid w:val="008077D9"/>
    <w:rsid w:val="00807F03"/>
    <w:rsid w:val="0081014F"/>
    <w:rsid w:val="00810A0C"/>
    <w:rsid w:val="008118E0"/>
    <w:rsid w:val="00811A3F"/>
    <w:rsid w:val="00811EFB"/>
    <w:rsid w:val="00812CA4"/>
    <w:rsid w:val="00812DB2"/>
    <w:rsid w:val="00812F39"/>
    <w:rsid w:val="00812FF3"/>
    <w:rsid w:val="008131A8"/>
    <w:rsid w:val="0081372F"/>
    <w:rsid w:val="00813844"/>
    <w:rsid w:val="00813971"/>
    <w:rsid w:val="00814C6F"/>
    <w:rsid w:val="00814CEB"/>
    <w:rsid w:val="00815194"/>
    <w:rsid w:val="00815ECC"/>
    <w:rsid w:val="00816BB9"/>
    <w:rsid w:val="00820153"/>
    <w:rsid w:val="0082032B"/>
    <w:rsid w:val="008204B1"/>
    <w:rsid w:val="008207DA"/>
    <w:rsid w:val="008221E3"/>
    <w:rsid w:val="00822341"/>
    <w:rsid w:val="008226BB"/>
    <w:rsid w:val="0082283F"/>
    <w:rsid w:val="00822AD8"/>
    <w:rsid w:val="008235EA"/>
    <w:rsid w:val="00823892"/>
    <w:rsid w:val="008238DD"/>
    <w:rsid w:val="008240C5"/>
    <w:rsid w:val="00824A09"/>
    <w:rsid w:val="008252BE"/>
    <w:rsid w:val="008265B4"/>
    <w:rsid w:val="00826A4A"/>
    <w:rsid w:val="008272F2"/>
    <w:rsid w:val="008276CE"/>
    <w:rsid w:val="008277C0"/>
    <w:rsid w:val="0082788B"/>
    <w:rsid w:val="00827AB3"/>
    <w:rsid w:val="00830494"/>
    <w:rsid w:val="008305B8"/>
    <w:rsid w:val="0083177C"/>
    <w:rsid w:val="008319B9"/>
    <w:rsid w:val="00833363"/>
    <w:rsid w:val="00833EBD"/>
    <w:rsid w:val="00834069"/>
    <w:rsid w:val="00834911"/>
    <w:rsid w:val="00835195"/>
    <w:rsid w:val="008354FF"/>
    <w:rsid w:val="008355EC"/>
    <w:rsid w:val="00836522"/>
    <w:rsid w:val="00836690"/>
    <w:rsid w:val="008368AA"/>
    <w:rsid w:val="00837544"/>
    <w:rsid w:val="00837B37"/>
    <w:rsid w:val="00840C43"/>
    <w:rsid w:val="00842629"/>
    <w:rsid w:val="008428D6"/>
    <w:rsid w:val="00842A99"/>
    <w:rsid w:val="00842F9E"/>
    <w:rsid w:val="008432F1"/>
    <w:rsid w:val="00843E3F"/>
    <w:rsid w:val="00843FB3"/>
    <w:rsid w:val="00844D4E"/>
    <w:rsid w:val="00845150"/>
    <w:rsid w:val="0084551D"/>
    <w:rsid w:val="00846A05"/>
    <w:rsid w:val="00846F8F"/>
    <w:rsid w:val="008478B1"/>
    <w:rsid w:val="0084799F"/>
    <w:rsid w:val="0085156F"/>
    <w:rsid w:val="008516DC"/>
    <w:rsid w:val="00851853"/>
    <w:rsid w:val="00852180"/>
    <w:rsid w:val="0085226B"/>
    <w:rsid w:val="00852E9F"/>
    <w:rsid w:val="00853190"/>
    <w:rsid w:val="00853DAF"/>
    <w:rsid w:val="008543C2"/>
    <w:rsid w:val="008546A8"/>
    <w:rsid w:val="00854E83"/>
    <w:rsid w:val="00855200"/>
    <w:rsid w:val="0085554B"/>
    <w:rsid w:val="0085562E"/>
    <w:rsid w:val="00855E51"/>
    <w:rsid w:val="0085650A"/>
    <w:rsid w:val="00856798"/>
    <w:rsid w:val="00856CAD"/>
    <w:rsid w:val="00857435"/>
    <w:rsid w:val="00857B37"/>
    <w:rsid w:val="00857DC7"/>
    <w:rsid w:val="00860440"/>
    <w:rsid w:val="00860C6D"/>
    <w:rsid w:val="00860E3F"/>
    <w:rsid w:val="0086130B"/>
    <w:rsid w:val="00861724"/>
    <w:rsid w:val="00861F40"/>
    <w:rsid w:val="0086235A"/>
    <w:rsid w:val="00862524"/>
    <w:rsid w:val="00863CBC"/>
    <w:rsid w:val="00863E3F"/>
    <w:rsid w:val="00864362"/>
    <w:rsid w:val="0086494C"/>
    <w:rsid w:val="00864A57"/>
    <w:rsid w:val="0086544A"/>
    <w:rsid w:val="008665FC"/>
    <w:rsid w:val="008668DA"/>
    <w:rsid w:val="00866B7F"/>
    <w:rsid w:val="008671F0"/>
    <w:rsid w:val="008671FA"/>
    <w:rsid w:val="00867D55"/>
    <w:rsid w:val="00867E49"/>
    <w:rsid w:val="00867ECC"/>
    <w:rsid w:val="00867F0A"/>
    <w:rsid w:val="008700A0"/>
    <w:rsid w:val="0087012F"/>
    <w:rsid w:val="008703EC"/>
    <w:rsid w:val="0087154F"/>
    <w:rsid w:val="0087187C"/>
    <w:rsid w:val="00872813"/>
    <w:rsid w:val="008728D7"/>
    <w:rsid w:val="00872988"/>
    <w:rsid w:val="00872C69"/>
    <w:rsid w:val="00872CB4"/>
    <w:rsid w:val="00873198"/>
    <w:rsid w:val="00873CE7"/>
    <w:rsid w:val="008742A2"/>
    <w:rsid w:val="00874335"/>
    <w:rsid w:val="008757B9"/>
    <w:rsid w:val="008757CC"/>
    <w:rsid w:val="00876AAF"/>
    <w:rsid w:val="00876AFE"/>
    <w:rsid w:val="00876F94"/>
    <w:rsid w:val="0087734E"/>
    <w:rsid w:val="008774D0"/>
    <w:rsid w:val="00880E82"/>
    <w:rsid w:val="008820F9"/>
    <w:rsid w:val="00882386"/>
    <w:rsid w:val="008823B6"/>
    <w:rsid w:val="00882651"/>
    <w:rsid w:val="00882B96"/>
    <w:rsid w:val="00882F29"/>
    <w:rsid w:val="0088321D"/>
    <w:rsid w:val="0088345D"/>
    <w:rsid w:val="00883664"/>
    <w:rsid w:val="00883681"/>
    <w:rsid w:val="00883F92"/>
    <w:rsid w:val="0088493A"/>
    <w:rsid w:val="00884FCD"/>
    <w:rsid w:val="008855A4"/>
    <w:rsid w:val="008855D7"/>
    <w:rsid w:val="00885CA1"/>
    <w:rsid w:val="00885D40"/>
    <w:rsid w:val="00886392"/>
    <w:rsid w:val="00886864"/>
    <w:rsid w:val="00886912"/>
    <w:rsid w:val="0088715E"/>
    <w:rsid w:val="0088728B"/>
    <w:rsid w:val="008873AC"/>
    <w:rsid w:val="0088784A"/>
    <w:rsid w:val="00887879"/>
    <w:rsid w:val="008903FC"/>
    <w:rsid w:val="00890465"/>
    <w:rsid w:val="00890E5A"/>
    <w:rsid w:val="00891170"/>
    <w:rsid w:val="00892438"/>
    <w:rsid w:val="0089277F"/>
    <w:rsid w:val="00892AB9"/>
    <w:rsid w:val="0089347E"/>
    <w:rsid w:val="00893B74"/>
    <w:rsid w:val="00893B77"/>
    <w:rsid w:val="00894FBE"/>
    <w:rsid w:val="00895F27"/>
    <w:rsid w:val="0089674C"/>
    <w:rsid w:val="00896F69"/>
    <w:rsid w:val="00897351"/>
    <w:rsid w:val="00897952"/>
    <w:rsid w:val="008A01CE"/>
    <w:rsid w:val="008A04FC"/>
    <w:rsid w:val="008A0AAC"/>
    <w:rsid w:val="008A0E6A"/>
    <w:rsid w:val="008A1975"/>
    <w:rsid w:val="008A260C"/>
    <w:rsid w:val="008A2A31"/>
    <w:rsid w:val="008A2A99"/>
    <w:rsid w:val="008A2E7D"/>
    <w:rsid w:val="008A3741"/>
    <w:rsid w:val="008A3A35"/>
    <w:rsid w:val="008A3DEF"/>
    <w:rsid w:val="008A3F9B"/>
    <w:rsid w:val="008A44AE"/>
    <w:rsid w:val="008A5102"/>
    <w:rsid w:val="008A53B6"/>
    <w:rsid w:val="008A5DD5"/>
    <w:rsid w:val="008A6A2D"/>
    <w:rsid w:val="008A6C50"/>
    <w:rsid w:val="008A6D39"/>
    <w:rsid w:val="008A7838"/>
    <w:rsid w:val="008B0045"/>
    <w:rsid w:val="008B0058"/>
    <w:rsid w:val="008B019D"/>
    <w:rsid w:val="008B090C"/>
    <w:rsid w:val="008B225C"/>
    <w:rsid w:val="008B2952"/>
    <w:rsid w:val="008B2FC3"/>
    <w:rsid w:val="008B34D2"/>
    <w:rsid w:val="008B3664"/>
    <w:rsid w:val="008B3E43"/>
    <w:rsid w:val="008B463B"/>
    <w:rsid w:val="008B488C"/>
    <w:rsid w:val="008B654E"/>
    <w:rsid w:val="008B6577"/>
    <w:rsid w:val="008B6BED"/>
    <w:rsid w:val="008B75C8"/>
    <w:rsid w:val="008B767D"/>
    <w:rsid w:val="008B7736"/>
    <w:rsid w:val="008C0057"/>
    <w:rsid w:val="008C063B"/>
    <w:rsid w:val="008C129D"/>
    <w:rsid w:val="008C1F0A"/>
    <w:rsid w:val="008C25AB"/>
    <w:rsid w:val="008C2786"/>
    <w:rsid w:val="008C27E4"/>
    <w:rsid w:val="008C3061"/>
    <w:rsid w:val="008C3AAB"/>
    <w:rsid w:val="008C3E7D"/>
    <w:rsid w:val="008C41E5"/>
    <w:rsid w:val="008C451F"/>
    <w:rsid w:val="008C4A83"/>
    <w:rsid w:val="008C4C6C"/>
    <w:rsid w:val="008C4D5F"/>
    <w:rsid w:val="008C504D"/>
    <w:rsid w:val="008C5556"/>
    <w:rsid w:val="008C5634"/>
    <w:rsid w:val="008C5A2C"/>
    <w:rsid w:val="008C5E01"/>
    <w:rsid w:val="008C6602"/>
    <w:rsid w:val="008C6F67"/>
    <w:rsid w:val="008C710F"/>
    <w:rsid w:val="008C72C4"/>
    <w:rsid w:val="008C7385"/>
    <w:rsid w:val="008C742F"/>
    <w:rsid w:val="008C7FEB"/>
    <w:rsid w:val="008D038E"/>
    <w:rsid w:val="008D05C2"/>
    <w:rsid w:val="008D0960"/>
    <w:rsid w:val="008D0A5E"/>
    <w:rsid w:val="008D149D"/>
    <w:rsid w:val="008D14C6"/>
    <w:rsid w:val="008D253A"/>
    <w:rsid w:val="008D278B"/>
    <w:rsid w:val="008D2A18"/>
    <w:rsid w:val="008D2EE4"/>
    <w:rsid w:val="008D2FCE"/>
    <w:rsid w:val="008D317D"/>
    <w:rsid w:val="008D3229"/>
    <w:rsid w:val="008D467A"/>
    <w:rsid w:val="008D467E"/>
    <w:rsid w:val="008D4D14"/>
    <w:rsid w:val="008D5E73"/>
    <w:rsid w:val="008D68D9"/>
    <w:rsid w:val="008D7042"/>
    <w:rsid w:val="008D71F2"/>
    <w:rsid w:val="008D7423"/>
    <w:rsid w:val="008D75DC"/>
    <w:rsid w:val="008E0069"/>
    <w:rsid w:val="008E0E63"/>
    <w:rsid w:val="008E0E8F"/>
    <w:rsid w:val="008E114D"/>
    <w:rsid w:val="008E16EF"/>
    <w:rsid w:val="008E1A4E"/>
    <w:rsid w:val="008E20B0"/>
    <w:rsid w:val="008E25E3"/>
    <w:rsid w:val="008E262F"/>
    <w:rsid w:val="008E28E3"/>
    <w:rsid w:val="008E2A16"/>
    <w:rsid w:val="008E2F56"/>
    <w:rsid w:val="008E4224"/>
    <w:rsid w:val="008E4D21"/>
    <w:rsid w:val="008E5460"/>
    <w:rsid w:val="008E5A1A"/>
    <w:rsid w:val="008E6C94"/>
    <w:rsid w:val="008E6D65"/>
    <w:rsid w:val="008E7333"/>
    <w:rsid w:val="008E733D"/>
    <w:rsid w:val="008E7525"/>
    <w:rsid w:val="008E7846"/>
    <w:rsid w:val="008E7A90"/>
    <w:rsid w:val="008E7B3E"/>
    <w:rsid w:val="008E7D3A"/>
    <w:rsid w:val="008F003F"/>
    <w:rsid w:val="008F0108"/>
    <w:rsid w:val="008F0C71"/>
    <w:rsid w:val="008F1212"/>
    <w:rsid w:val="008F18C3"/>
    <w:rsid w:val="008F1CDC"/>
    <w:rsid w:val="008F385A"/>
    <w:rsid w:val="008F3B3D"/>
    <w:rsid w:val="008F4141"/>
    <w:rsid w:val="008F4AF5"/>
    <w:rsid w:val="008F5664"/>
    <w:rsid w:val="008F5C7E"/>
    <w:rsid w:val="008F5E82"/>
    <w:rsid w:val="008F6048"/>
    <w:rsid w:val="008F61E3"/>
    <w:rsid w:val="008F6FCC"/>
    <w:rsid w:val="008F70B6"/>
    <w:rsid w:val="008F74E4"/>
    <w:rsid w:val="008F7A7D"/>
    <w:rsid w:val="009009BA"/>
    <w:rsid w:val="00900A3A"/>
    <w:rsid w:val="00900EC5"/>
    <w:rsid w:val="009017CF"/>
    <w:rsid w:val="00901965"/>
    <w:rsid w:val="00901BE5"/>
    <w:rsid w:val="00901D9F"/>
    <w:rsid w:val="00901E17"/>
    <w:rsid w:val="00902A22"/>
    <w:rsid w:val="00902D95"/>
    <w:rsid w:val="00902ED8"/>
    <w:rsid w:val="0090334E"/>
    <w:rsid w:val="0090379D"/>
    <w:rsid w:val="00903B7C"/>
    <w:rsid w:val="00903E5B"/>
    <w:rsid w:val="009044FE"/>
    <w:rsid w:val="00904650"/>
    <w:rsid w:val="0090560C"/>
    <w:rsid w:val="00905697"/>
    <w:rsid w:val="0090593C"/>
    <w:rsid w:val="00905C6C"/>
    <w:rsid w:val="00905EE7"/>
    <w:rsid w:val="0090611D"/>
    <w:rsid w:val="00906129"/>
    <w:rsid w:val="009064C9"/>
    <w:rsid w:val="00907523"/>
    <w:rsid w:val="00907A4A"/>
    <w:rsid w:val="00907E68"/>
    <w:rsid w:val="00910405"/>
    <w:rsid w:val="00910885"/>
    <w:rsid w:val="009115DF"/>
    <w:rsid w:val="00911C56"/>
    <w:rsid w:val="00911E54"/>
    <w:rsid w:val="00913FE2"/>
    <w:rsid w:val="009140D6"/>
    <w:rsid w:val="009140E8"/>
    <w:rsid w:val="009158A6"/>
    <w:rsid w:val="009158FD"/>
    <w:rsid w:val="00915B96"/>
    <w:rsid w:val="00916C6D"/>
    <w:rsid w:val="00916D92"/>
    <w:rsid w:val="00917AFF"/>
    <w:rsid w:val="00917B86"/>
    <w:rsid w:val="00920472"/>
    <w:rsid w:val="00920ABE"/>
    <w:rsid w:val="00920DC2"/>
    <w:rsid w:val="00921F66"/>
    <w:rsid w:val="0092265F"/>
    <w:rsid w:val="009235BD"/>
    <w:rsid w:val="009236E7"/>
    <w:rsid w:val="009241CD"/>
    <w:rsid w:val="00924BA5"/>
    <w:rsid w:val="00925F7C"/>
    <w:rsid w:val="0092698B"/>
    <w:rsid w:val="009269B1"/>
    <w:rsid w:val="00926E11"/>
    <w:rsid w:val="009272E6"/>
    <w:rsid w:val="0092791B"/>
    <w:rsid w:val="00927C3D"/>
    <w:rsid w:val="0093038A"/>
    <w:rsid w:val="00930A91"/>
    <w:rsid w:val="00930FA3"/>
    <w:rsid w:val="00931715"/>
    <w:rsid w:val="009319B3"/>
    <w:rsid w:val="00932249"/>
    <w:rsid w:val="00932E5B"/>
    <w:rsid w:val="00933290"/>
    <w:rsid w:val="009332F0"/>
    <w:rsid w:val="0093398E"/>
    <w:rsid w:val="00933C72"/>
    <w:rsid w:val="00933D25"/>
    <w:rsid w:val="00933EA1"/>
    <w:rsid w:val="00934957"/>
    <w:rsid w:val="00934B64"/>
    <w:rsid w:val="009355CD"/>
    <w:rsid w:val="00935828"/>
    <w:rsid w:val="00935903"/>
    <w:rsid w:val="00935D25"/>
    <w:rsid w:val="009368FA"/>
    <w:rsid w:val="00936A5D"/>
    <w:rsid w:val="00936ACC"/>
    <w:rsid w:val="00936C47"/>
    <w:rsid w:val="009374A7"/>
    <w:rsid w:val="009378F8"/>
    <w:rsid w:val="00937F35"/>
    <w:rsid w:val="009404FF"/>
    <w:rsid w:val="009417B3"/>
    <w:rsid w:val="00942EC3"/>
    <w:rsid w:val="00942ECE"/>
    <w:rsid w:val="0094312C"/>
    <w:rsid w:val="0094336B"/>
    <w:rsid w:val="00943B4B"/>
    <w:rsid w:val="009445B7"/>
    <w:rsid w:val="0094534B"/>
    <w:rsid w:val="00946254"/>
    <w:rsid w:val="0094680B"/>
    <w:rsid w:val="009468CE"/>
    <w:rsid w:val="00946D7E"/>
    <w:rsid w:val="009477D2"/>
    <w:rsid w:val="0095095E"/>
    <w:rsid w:val="00950A9D"/>
    <w:rsid w:val="0095130E"/>
    <w:rsid w:val="0095132C"/>
    <w:rsid w:val="0095176A"/>
    <w:rsid w:val="009520AD"/>
    <w:rsid w:val="0095254A"/>
    <w:rsid w:val="009526B6"/>
    <w:rsid w:val="009531C0"/>
    <w:rsid w:val="009532A5"/>
    <w:rsid w:val="009543AE"/>
    <w:rsid w:val="00954C5F"/>
    <w:rsid w:val="00954E8A"/>
    <w:rsid w:val="009554DB"/>
    <w:rsid w:val="00955962"/>
    <w:rsid w:val="009559F2"/>
    <w:rsid w:val="00955C32"/>
    <w:rsid w:val="00955D2D"/>
    <w:rsid w:val="00956194"/>
    <w:rsid w:val="00956C0B"/>
    <w:rsid w:val="00956F89"/>
    <w:rsid w:val="00957680"/>
    <w:rsid w:val="009577A5"/>
    <w:rsid w:val="009579AF"/>
    <w:rsid w:val="0096044E"/>
    <w:rsid w:val="009606FD"/>
    <w:rsid w:val="00960A64"/>
    <w:rsid w:val="00961A0A"/>
    <w:rsid w:val="00962B5B"/>
    <w:rsid w:val="00962E1A"/>
    <w:rsid w:val="00963666"/>
    <w:rsid w:val="00963703"/>
    <w:rsid w:val="00963F09"/>
    <w:rsid w:val="00964214"/>
    <w:rsid w:val="00964452"/>
    <w:rsid w:val="00964879"/>
    <w:rsid w:val="0096496A"/>
    <w:rsid w:val="00965435"/>
    <w:rsid w:val="0096545F"/>
    <w:rsid w:val="0096575D"/>
    <w:rsid w:val="00965896"/>
    <w:rsid w:val="00966012"/>
    <w:rsid w:val="00966B31"/>
    <w:rsid w:val="00966BD2"/>
    <w:rsid w:val="00966E92"/>
    <w:rsid w:val="009679CC"/>
    <w:rsid w:val="0097046C"/>
    <w:rsid w:val="00970BA7"/>
    <w:rsid w:val="0097142D"/>
    <w:rsid w:val="0097195B"/>
    <w:rsid w:val="00971E46"/>
    <w:rsid w:val="00971FA6"/>
    <w:rsid w:val="0097275B"/>
    <w:rsid w:val="00972B1D"/>
    <w:rsid w:val="00972D9B"/>
    <w:rsid w:val="00973480"/>
    <w:rsid w:val="00973C3C"/>
    <w:rsid w:val="0097422F"/>
    <w:rsid w:val="00974911"/>
    <w:rsid w:val="009749B1"/>
    <w:rsid w:val="00974BA5"/>
    <w:rsid w:val="00975BC0"/>
    <w:rsid w:val="00975D7C"/>
    <w:rsid w:val="00976822"/>
    <w:rsid w:val="00976A54"/>
    <w:rsid w:val="00976BD3"/>
    <w:rsid w:val="00976D2C"/>
    <w:rsid w:val="0097705D"/>
    <w:rsid w:val="00977914"/>
    <w:rsid w:val="00980072"/>
    <w:rsid w:val="00980434"/>
    <w:rsid w:val="00980E93"/>
    <w:rsid w:val="009810D5"/>
    <w:rsid w:val="00981270"/>
    <w:rsid w:val="0098178E"/>
    <w:rsid w:val="009817C5"/>
    <w:rsid w:val="00981F26"/>
    <w:rsid w:val="0098226D"/>
    <w:rsid w:val="00982463"/>
    <w:rsid w:val="009829D6"/>
    <w:rsid w:val="00982F1D"/>
    <w:rsid w:val="00982F49"/>
    <w:rsid w:val="00983151"/>
    <w:rsid w:val="00983911"/>
    <w:rsid w:val="00984006"/>
    <w:rsid w:val="00984709"/>
    <w:rsid w:val="00984EDA"/>
    <w:rsid w:val="00985295"/>
    <w:rsid w:val="00985573"/>
    <w:rsid w:val="0098567A"/>
    <w:rsid w:val="00986102"/>
    <w:rsid w:val="00986684"/>
    <w:rsid w:val="00986697"/>
    <w:rsid w:val="009867CE"/>
    <w:rsid w:val="00986DF9"/>
    <w:rsid w:val="00987392"/>
    <w:rsid w:val="00987BCD"/>
    <w:rsid w:val="00987F9A"/>
    <w:rsid w:val="009902C3"/>
    <w:rsid w:val="0099041B"/>
    <w:rsid w:val="00990BEE"/>
    <w:rsid w:val="00990EC6"/>
    <w:rsid w:val="00991AB2"/>
    <w:rsid w:val="0099203B"/>
    <w:rsid w:val="0099246A"/>
    <w:rsid w:val="00992F97"/>
    <w:rsid w:val="00993235"/>
    <w:rsid w:val="00993E83"/>
    <w:rsid w:val="00995006"/>
    <w:rsid w:val="0099506F"/>
    <w:rsid w:val="009950F0"/>
    <w:rsid w:val="00995365"/>
    <w:rsid w:val="009953DA"/>
    <w:rsid w:val="00995535"/>
    <w:rsid w:val="00995D19"/>
    <w:rsid w:val="00995E9A"/>
    <w:rsid w:val="00996BB7"/>
    <w:rsid w:val="0099722A"/>
    <w:rsid w:val="009A090C"/>
    <w:rsid w:val="009A0CF9"/>
    <w:rsid w:val="009A1D8A"/>
    <w:rsid w:val="009A22E9"/>
    <w:rsid w:val="009A2697"/>
    <w:rsid w:val="009A26F0"/>
    <w:rsid w:val="009A32EC"/>
    <w:rsid w:val="009A331E"/>
    <w:rsid w:val="009A3D9A"/>
    <w:rsid w:val="009A4C97"/>
    <w:rsid w:val="009A4ED1"/>
    <w:rsid w:val="009A58E0"/>
    <w:rsid w:val="009A65B8"/>
    <w:rsid w:val="009A6B28"/>
    <w:rsid w:val="009A73F6"/>
    <w:rsid w:val="009A798E"/>
    <w:rsid w:val="009A7C07"/>
    <w:rsid w:val="009B0A8C"/>
    <w:rsid w:val="009B0B0B"/>
    <w:rsid w:val="009B1069"/>
    <w:rsid w:val="009B153B"/>
    <w:rsid w:val="009B1D03"/>
    <w:rsid w:val="009B27F5"/>
    <w:rsid w:val="009B2DED"/>
    <w:rsid w:val="009B330B"/>
    <w:rsid w:val="009B35E1"/>
    <w:rsid w:val="009B459A"/>
    <w:rsid w:val="009B463E"/>
    <w:rsid w:val="009B5032"/>
    <w:rsid w:val="009B58FC"/>
    <w:rsid w:val="009B611E"/>
    <w:rsid w:val="009B67D3"/>
    <w:rsid w:val="009B6F48"/>
    <w:rsid w:val="009B7003"/>
    <w:rsid w:val="009B749A"/>
    <w:rsid w:val="009B7870"/>
    <w:rsid w:val="009B7967"/>
    <w:rsid w:val="009C0627"/>
    <w:rsid w:val="009C0C1C"/>
    <w:rsid w:val="009C0D20"/>
    <w:rsid w:val="009C0D71"/>
    <w:rsid w:val="009C1457"/>
    <w:rsid w:val="009C2080"/>
    <w:rsid w:val="009C2816"/>
    <w:rsid w:val="009C4F30"/>
    <w:rsid w:val="009C4F47"/>
    <w:rsid w:val="009C5D27"/>
    <w:rsid w:val="009C6E97"/>
    <w:rsid w:val="009C6F9F"/>
    <w:rsid w:val="009C74E3"/>
    <w:rsid w:val="009C7AEF"/>
    <w:rsid w:val="009C7DE2"/>
    <w:rsid w:val="009D0E87"/>
    <w:rsid w:val="009D16AC"/>
    <w:rsid w:val="009D2A78"/>
    <w:rsid w:val="009D3204"/>
    <w:rsid w:val="009D322B"/>
    <w:rsid w:val="009D393E"/>
    <w:rsid w:val="009D39B5"/>
    <w:rsid w:val="009D3BC6"/>
    <w:rsid w:val="009D44B3"/>
    <w:rsid w:val="009D48A1"/>
    <w:rsid w:val="009D4B05"/>
    <w:rsid w:val="009D4BB8"/>
    <w:rsid w:val="009D50FB"/>
    <w:rsid w:val="009D56EE"/>
    <w:rsid w:val="009D5BAA"/>
    <w:rsid w:val="009D5E5D"/>
    <w:rsid w:val="009D5F5D"/>
    <w:rsid w:val="009D6A35"/>
    <w:rsid w:val="009D6AC5"/>
    <w:rsid w:val="009D6BA0"/>
    <w:rsid w:val="009D731F"/>
    <w:rsid w:val="009D757B"/>
    <w:rsid w:val="009D7B7B"/>
    <w:rsid w:val="009D7FA1"/>
    <w:rsid w:val="009D7FBE"/>
    <w:rsid w:val="009E023B"/>
    <w:rsid w:val="009E05AF"/>
    <w:rsid w:val="009E06A6"/>
    <w:rsid w:val="009E07F3"/>
    <w:rsid w:val="009E0D17"/>
    <w:rsid w:val="009E143D"/>
    <w:rsid w:val="009E21E7"/>
    <w:rsid w:val="009E25F4"/>
    <w:rsid w:val="009E29B9"/>
    <w:rsid w:val="009E301E"/>
    <w:rsid w:val="009E3189"/>
    <w:rsid w:val="009E32AD"/>
    <w:rsid w:val="009E3333"/>
    <w:rsid w:val="009E471E"/>
    <w:rsid w:val="009E4BCA"/>
    <w:rsid w:val="009E5101"/>
    <w:rsid w:val="009E53CA"/>
    <w:rsid w:val="009E5857"/>
    <w:rsid w:val="009E5B61"/>
    <w:rsid w:val="009E6B77"/>
    <w:rsid w:val="009E78DD"/>
    <w:rsid w:val="009F025E"/>
    <w:rsid w:val="009F0723"/>
    <w:rsid w:val="009F146D"/>
    <w:rsid w:val="009F160E"/>
    <w:rsid w:val="009F2545"/>
    <w:rsid w:val="009F2AFB"/>
    <w:rsid w:val="009F306C"/>
    <w:rsid w:val="009F30AE"/>
    <w:rsid w:val="009F4185"/>
    <w:rsid w:val="009F4DCF"/>
    <w:rsid w:val="009F54FB"/>
    <w:rsid w:val="009F592C"/>
    <w:rsid w:val="009F6843"/>
    <w:rsid w:val="009F7839"/>
    <w:rsid w:val="009F7D61"/>
    <w:rsid w:val="009F7D78"/>
    <w:rsid w:val="009F7EE6"/>
    <w:rsid w:val="00A007F8"/>
    <w:rsid w:val="00A017FA"/>
    <w:rsid w:val="00A01926"/>
    <w:rsid w:val="00A01A71"/>
    <w:rsid w:val="00A01CBC"/>
    <w:rsid w:val="00A022FC"/>
    <w:rsid w:val="00A02872"/>
    <w:rsid w:val="00A02EB2"/>
    <w:rsid w:val="00A035EF"/>
    <w:rsid w:val="00A03C27"/>
    <w:rsid w:val="00A051E4"/>
    <w:rsid w:val="00A05244"/>
    <w:rsid w:val="00A05648"/>
    <w:rsid w:val="00A05A51"/>
    <w:rsid w:val="00A05B74"/>
    <w:rsid w:val="00A05E78"/>
    <w:rsid w:val="00A0671B"/>
    <w:rsid w:val="00A06E82"/>
    <w:rsid w:val="00A07BA6"/>
    <w:rsid w:val="00A105F4"/>
    <w:rsid w:val="00A114B7"/>
    <w:rsid w:val="00A1179D"/>
    <w:rsid w:val="00A119B5"/>
    <w:rsid w:val="00A1217E"/>
    <w:rsid w:val="00A1247F"/>
    <w:rsid w:val="00A12D9D"/>
    <w:rsid w:val="00A132D0"/>
    <w:rsid w:val="00A1367B"/>
    <w:rsid w:val="00A1423B"/>
    <w:rsid w:val="00A14E2A"/>
    <w:rsid w:val="00A14E61"/>
    <w:rsid w:val="00A158D9"/>
    <w:rsid w:val="00A16601"/>
    <w:rsid w:val="00A17336"/>
    <w:rsid w:val="00A17BE7"/>
    <w:rsid w:val="00A17D11"/>
    <w:rsid w:val="00A200F3"/>
    <w:rsid w:val="00A2012C"/>
    <w:rsid w:val="00A20A31"/>
    <w:rsid w:val="00A20A5E"/>
    <w:rsid w:val="00A21674"/>
    <w:rsid w:val="00A21D03"/>
    <w:rsid w:val="00A21D85"/>
    <w:rsid w:val="00A22D26"/>
    <w:rsid w:val="00A22EE2"/>
    <w:rsid w:val="00A23A81"/>
    <w:rsid w:val="00A23F3C"/>
    <w:rsid w:val="00A24CCC"/>
    <w:rsid w:val="00A2558F"/>
    <w:rsid w:val="00A266D7"/>
    <w:rsid w:val="00A2684C"/>
    <w:rsid w:val="00A27237"/>
    <w:rsid w:val="00A27BE1"/>
    <w:rsid w:val="00A27EFC"/>
    <w:rsid w:val="00A30076"/>
    <w:rsid w:val="00A30115"/>
    <w:rsid w:val="00A30251"/>
    <w:rsid w:val="00A30388"/>
    <w:rsid w:val="00A303F2"/>
    <w:rsid w:val="00A3051C"/>
    <w:rsid w:val="00A30954"/>
    <w:rsid w:val="00A30BB8"/>
    <w:rsid w:val="00A31978"/>
    <w:rsid w:val="00A31FFC"/>
    <w:rsid w:val="00A3255F"/>
    <w:rsid w:val="00A32DC7"/>
    <w:rsid w:val="00A33213"/>
    <w:rsid w:val="00A332DA"/>
    <w:rsid w:val="00A336B9"/>
    <w:rsid w:val="00A336C8"/>
    <w:rsid w:val="00A33A2E"/>
    <w:rsid w:val="00A33E97"/>
    <w:rsid w:val="00A33F84"/>
    <w:rsid w:val="00A33FC2"/>
    <w:rsid w:val="00A34160"/>
    <w:rsid w:val="00A348D7"/>
    <w:rsid w:val="00A351D5"/>
    <w:rsid w:val="00A35EC5"/>
    <w:rsid w:val="00A36319"/>
    <w:rsid w:val="00A37310"/>
    <w:rsid w:val="00A37CCB"/>
    <w:rsid w:val="00A37EC7"/>
    <w:rsid w:val="00A4042B"/>
    <w:rsid w:val="00A4199A"/>
    <w:rsid w:val="00A41F99"/>
    <w:rsid w:val="00A42003"/>
    <w:rsid w:val="00A42518"/>
    <w:rsid w:val="00A42604"/>
    <w:rsid w:val="00A42EED"/>
    <w:rsid w:val="00A43BCA"/>
    <w:rsid w:val="00A43CA4"/>
    <w:rsid w:val="00A449C9"/>
    <w:rsid w:val="00A454BB"/>
    <w:rsid w:val="00A45DC2"/>
    <w:rsid w:val="00A45DF1"/>
    <w:rsid w:val="00A46541"/>
    <w:rsid w:val="00A46EBE"/>
    <w:rsid w:val="00A470AE"/>
    <w:rsid w:val="00A4722C"/>
    <w:rsid w:val="00A47356"/>
    <w:rsid w:val="00A47D1D"/>
    <w:rsid w:val="00A47F8E"/>
    <w:rsid w:val="00A5000D"/>
    <w:rsid w:val="00A50419"/>
    <w:rsid w:val="00A50575"/>
    <w:rsid w:val="00A51474"/>
    <w:rsid w:val="00A51CA6"/>
    <w:rsid w:val="00A525A6"/>
    <w:rsid w:val="00A529EB"/>
    <w:rsid w:val="00A52A4E"/>
    <w:rsid w:val="00A53600"/>
    <w:rsid w:val="00A53655"/>
    <w:rsid w:val="00A542F4"/>
    <w:rsid w:val="00A545D0"/>
    <w:rsid w:val="00A55891"/>
    <w:rsid w:val="00A559CF"/>
    <w:rsid w:val="00A55E29"/>
    <w:rsid w:val="00A567EE"/>
    <w:rsid w:val="00A5680E"/>
    <w:rsid w:val="00A56880"/>
    <w:rsid w:val="00A56923"/>
    <w:rsid w:val="00A56B81"/>
    <w:rsid w:val="00A6023A"/>
    <w:rsid w:val="00A6067C"/>
    <w:rsid w:val="00A6076B"/>
    <w:rsid w:val="00A61435"/>
    <w:rsid w:val="00A6185C"/>
    <w:rsid w:val="00A618BF"/>
    <w:rsid w:val="00A61C30"/>
    <w:rsid w:val="00A624FD"/>
    <w:rsid w:val="00A63448"/>
    <w:rsid w:val="00A63755"/>
    <w:rsid w:val="00A64027"/>
    <w:rsid w:val="00A64514"/>
    <w:rsid w:val="00A651D0"/>
    <w:rsid w:val="00A65336"/>
    <w:rsid w:val="00A6585E"/>
    <w:rsid w:val="00A66AD4"/>
    <w:rsid w:val="00A67CDB"/>
    <w:rsid w:val="00A67E1F"/>
    <w:rsid w:val="00A70357"/>
    <w:rsid w:val="00A705AE"/>
    <w:rsid w:val="00A70D81"/>
    <w:rsid w:val="00A715EC"/>
    <w:rsid w:val="00A73847"/>
    <w:rsid w:val="00A73DF1"/>
    <w:rsid w:val="00A74D55"/>
    <w:rsid w:val="00A751CD"/>
    <w:rsid w:val="00A751D9"/>
    <w:rsid w:val="00A75582"/>
    <w:rsid w:val="00A75791"/>
    <w:rsid w:val="00A75F56"/>
    <w:rsid w:val="00A75F9E"/>
    <w:rsid w:val="00A7628B"/>
    <w:rsid w:val="00A76908"/>
    <w:rsid w:val="00A77127"/>
    <w:rsid w:val="00A7791C"/>
    <w:rsid w:val="00A77E7C"/>
    <w:rsid w:val="00A800D3"/>
    <w:rsid w:val="00A808B4"/>
    <w:rsid w:val="00A8234C"/>
    <w:rsid w:val="00A8284A"/>
    <w:rsid w:val="00A8351C"/>
    <w:rsid w:val="00A83731"/>
    <w:rsid w:val="00A846F1"/>
    <w:rsid w:val="00A8582A"/>
    <w:rsid w:val="00A871A7"/>
    <w:rsid w:val="00A87425"/>
    <w:rsid w:val="00A90135"/>
    <w:rsid w:val="00A90AA7"/>
    <w:rsid w:val="00A91637"/>
    <w:rsid w:val="00A91D20"/>
    <w:rsid w:val="00A91DD1"/>
    <w:rsid w:val="00A91DD6"/>
    <w:rsid w:val="00A91F81"/>
    <w:rsid w:val="00A9221D"/>
    <w:rsid w:val="00A9383F"/>
    <w:rsid w:val="00A9524C"/>
    <w:rsid w:val="00A953A8"/>
    <w:rsid w:val="00A95612"/>
    <w:rsid w:val="00A96257"/>
    <w:rsid w:val="00A9637F"/>
    <w:rsid w:val="00A96873"/>
    <w:rsid w:val="00A96AB0"/>
    <w:rsid w:val="00A96ABE"/>
    <w:rsid w:val="00AA18C0"/>
    <w:rsid w:val="00AA19F2"/>
    <w:rsid w:val="00AA31F8"/>
    <w:rsid w:val="00AA3273"/>
    <w:rsid w:val="00AA3771"/>
    <w:rsid w:val="00AA3AC2"/>
    <w:rsid w:val="00AA3B45"/>
    <w:rsid w:val="00AA4603"/>
    <w:rsid w:val="00AA4EE6"/>
    <w:rsid w:val="00AA535E"/>
    <w:rsid w:val="00AA547F"/>
    <w:rsid w:val="00AA5846"/>
    <w:rsid w:val="00AA5E23"/>
    <w:rsid w:val="00AA5F55"/>
    <w:rsid w:val="00AA614A"/>
    <w:rsid w:val="00AA6B6B"/>
    <w:rsid w:val="00AA705C"/>
    <w:rsid w:val="00AA72A3"/>
    <w:rsid w:val="00AA7CF5"/>
    <w:rsid w:val="00AB0748"/>
    <w:rsid w:val="00AB075B"/>
    <w:rsid w:val="00AB08B9"/>
    <w:rsid w:val="00AB1037"/>
    <w:rsid w:val="00AB1671"/>
    <w:rsid w:val="00AB2282"/>
    <w:rsid w:val="00AB22D4"/>
    <w:rsid w:val="00AB2730"/>
    <w:rsid w:val="00AB2877"/>
    <w:rsid w:val="00AB2D9B"/>
    <w:rsid w:val="00AB33E2"/>
    <w:rsid w:val="00AB3DC9"/>
    <w:rsid w:val="00AB461A"/>
    <w:rsid w:val="00AB47DC"/>
    <w:rsid w:val="00AB4AAA"/>
    <w:rsid w:val="00AB4B0C"/>
    <w:rsid w:val="00AB4BB2"/>
    <w:rsid w:val="00AB6524"/>
    <w:rsid w:val="00AB6B60"/>
    <w:rsid w:val="00AB7401"/>
    <w:rsid w:val="00AB7B29"/>
    <w:rsid w:val="00AC05A9"/>
    <w:rsid w:val="00AC0D0E"/>
    <w:rsid w:val="00AC0F1F"/>
    <w:rsid w:val="00AC16D6"/>
    <w:rsid w:val="00AC4838"/>
    <w:rsid w:val="00AC4B1A"/>
    <w:rsid w:val="00AC5436"/>
    <w:rsid w:val="00AC5909"/>
    <w:rsid w:val="00AC65CD"/>
    <w:rsid w:val="00AC6BEA"/>
    <w:rsid w:val="00AC71C3"/>
    <w:rsid w:val="00AC74FA"/>
    <w:rsid w:val="00AC7AB7"/>
    <w:rsid w:val="00AC7DE6"/>
    <w:rsid w:val="00AD044D"/>
    <w:rsid w:val="00AD1007"/>
    <w:rsid w:val="00AD1268"/>
    <w:rsid w:val="00AD1356"/>
    <w:rsid w:val="00AD1A2F"/>
    <w:rsid w:val="00AD1B1C"/>
    <w:rsid w:val="00AD1FDE"/>
    <w:rsid w:val="00AD302B"/>
    <w:rsid w:val="00AD34C5"/>
    <w:rsid w:val="00AD34D9"/>
    <w:rsid w:val="00AD406E"/>
    <w:rsid w:val="00AD4B2B"/>
    <w:rsid w:val="00AD563E"/>
    <w:rsid w:val="00AD5874"/>
    <w:rsid w:val="00AD5CAF"/>
    <w:rsid w:val="00AD6319"/>
    <w:rsid w:val="00AD6547"/>
    <w:rsid w:val="00AD654F"/>
    <w:rsid w:val="00AD678E"/>
    <w:rsid w:val="00AD783D"/>
    <w:rsid w:val="00AD7AD0"/>
    <w:rsid w:val="00AD7DB0"/>
    <w:rsid w:val="00AE0105"/>
    <w:rsid w:val="00AE042F"/>
    <w:rsid w:val="00AE05C3"/>
    <w:rsid w:val="00AE0692"/>
    <w:rsid w:val="00AE0BF0"/>
    <w:rsid w:val="00AE10A5"/>
    <w:rsid w:val="00AE1B12"/>
    <w:rsid w:val="00AE1C3A"/>
    <w:rsid w:val="00AE1D0C"/>
    <w:rsid w:val="00AE1DDF"/>
    <w:rsid w:val="00AE2603"/>
    <w:rsid w:val="00AE2B5F"/>
    <w:rsid w:val="00AE31C5"/>
    <w:rsid w:val="00AE440A"/>
    <w:rsid w:val="00AE485D"/>
    <w:rsid w:val="00AE4F0F"/>
    <w:rsid w:val="00AE5489"/>
    <w:rsid w:val="00AE558C"/>
    <w:rsid w:val="00AE570B"/>
    <w:rsid w:val="00AE5A8D"/>
    <w:rsid w:val="00AE6551"/>
    <w:rsid w:val="00AE6C06"/>
    <w:rsid w:val="00AE6CFF"/>
    <w:rsid w:val="00AE7258"/>
    <w:rsid w:val="00AE73CE"/>
    <w:rsid w:val="00AE78B0"/>
    <w:rsid w:val="00AE7D9D"/>
    <w:rsid w:val="00AE7EC4"/>
    <w:rsid w:val="00AE7F85"/>
    <w:rsid w:val="00AE7FD7"/>
    <w:rsid w:val="00AF029D"/>
    <w:rsid w:val="00AF03E5"/>
    <w:rsid w:val="00AF06A9"/>
    <w:rsid w:val="00AF097E"/>
    <w:rsid w:val="00AF0BFD"/>
    <w:rsid w:val="00AF2097"/>
    <w:rsid w:val="00AF354A"/>
    <w:rsid w:val="00AF35ED"/>
    <w:rsid w:val="00AF3E86"/>
    <w:rsid w:val="00AF41D2"/>
    <w:rsid w:val="00AF4408"/>
    <w:rsid w:val="00AF469D"/>
    <w:rsid w:val="00AF47E4"/>
    <w:rsid w:val="00AF4987"/>
    <w:rsid w:val="00AF4A49"/>
    <w:rsid w:val="00AF5284"/>
    <w:rsid w:val="00AF528D"/>
    <w:rsid w:val="00AF5591"/>
    <w:rsid w:val="00AF5984"/>
    <w:rsid w:val="00AF62B4"/>
    <w:rsid w:val="00AF636A"/>
    <w:rsid w:val="00AF64A0"/>
    <w:rsid w:val="00AF67B8"/>
    <w:rsid w:val="00AF6BDC"/>
    <w:rsid w:val="00AF6C7F"/>
    <w:rsid w:val="00AF6DF0"/>
    <w:rsid w:val="00AF6E29"/>
    <w:rsid w:val="00AF7D6C"/>
    <w:rsid w:val="00AF7DB0"/>
    <w:rsid w:val="00B00143"/>
    <w:rsid w:val="00B00F80"/>
    <w:rsid w:val="00B01349"/>
    <w:rsid w:val="00B01736"/>
    <w:rsid w:val="00B018F4"/>
    <w:rsid w:val="00B01C13"/>
    <w:rsid w:val="00B02E5E"/>
    <w:rsid w:val="00B032FA"/>
    <w:rsid w:val="00B03E0D"/>
    <w:rsid w:val="00B0410B"/>
    <w:rsid w:val="00B04146"/>
    <w:rsid w:val="00B0462F"/>
    <w:rsid w:val="00B0491D"/>
    <w:rsid w:val="00B05385"/>
    <w:rsid w:val="00B0579E"/>
    <w:rsid w:val="00B05E9E"/>
    <w:rsid w:val="00B060D1"/>
    <w:rsid w:val="00B0640B"/>
    <w:rsid w:val="00B06787"/>
    <w:rsid w:val="00B06BF5"/>
    <w:rsid w:val="00B070D2"/>
    <w:rsid w:val="00B0739A"/>
    <w:rsid w:val="00B10DA7"/>
    <w:rsid w:val="00B10EC9"/>
    <w:rsid w:val="00B11590"/>
    <w:rsid w:val="00B116B6"/>
    <w:rsid w:val="00B11FA5"/>
    <w:rsid w:val="00B1271E"/>
    <w:rsid w:val="00B12893"/>
    <w:rsid w:val="00B12CF0"/>
    <w:rsid w:val="00B146E2"/>
    <w:rsid w:val="00B1488A"/>
    <w:rsid w:val="00B14A17"/>
    <w:rsid w:val="00B14D64"/>
    <w:rsid w:val="00B14EB6"/>
    <w:rsid w:val="00B15048"/>
    <w:rsid w:val="00B151E5"/>
    <w:rsid w:val="00B15258"/>
    <w:rsid w:val="00B1540D"/>
    <w:rsid w:val="00B15893"/>
    <w:rsid w:val="00B15D1C"/>
    <w:rsid w:val="00B15E39"/>
    <w:rsid w:val="00B17777"/>
    <w:rsid w:val="00B17A61"/>
    <w:rsid w:val="00B17B04"/>
    <w:rsid w:val="00B17E7A"/>
    <w:rsid w:val="00B20FF6"/>
    <w:rsid w:val="00B21B31"/>
    <w:rsid w:val="00B21B79"/>
    <w:rsid w:val="00B2231D"/>
    <w:rsid w:val="00B2243B"/>
    <w:rsid w:val="00B2278E"/>
    <w:rsid w:val="00B228EC"/>
    <w:rsid w:val="00B2332D"/>
    <w:rsid w:val="00B234ED"/>
    <w:rsid w:val="00B242D1"/>
    <w:rsid w:val="00B2449D"/>
    <w:rsid w:val="00B2479E"/>
    <w:rsid w:val="00B25309"/>
    <w:rsid w:val="00B25A54"/>
    <w:rsid w:val="00B25D8B"/>
    <w:rsid w:val="00B26B80"/>
    <w:rsid w:val="00B273E7"/>
    <w:rsid w:val="00B274DE"/>
    <w:rsid w:val="00B2764F"/>
    <w:rsid w:val="00B276D6"/>
    <w:rsid w:val="00B27740"/>
    <w:rsid w:val="00B27766"/>
    <w:rsid w:val="00B2780B"/>
    <w:rsid w:val="00B306DC"/>
    <w:rsid w:val="00B307F6"/>
    <w:rsid w:val="00B30F99"/>
    <w:rsid w:val="00B31344"/>
    <w:rsid w:val="00B31A9A"/>
    <w:rsid w:val="00B31D8D"/>
    <w:rsid w:val="00B332E3"/>
    <w:rsid w:val="00B33514"/>
    <w:rsid w:val="00B33CB4"/>
    <w:rsid w:val="00B348CB"/>
    <w:rsid w:val="00B349CB"/>
    <w:rsid w:val="00B35035"/>
    <w:rsid w:val="00B35A40"/>
    <w:rsid w:val="00B35D7A"/>
    <w:rsid w:val="00B35D88"/>
    <w:rsid w:val="00B36367"/>
    <w:rsid w:val="00B363AF"/>
    <w:rsid w:val="00B36718"/>
    <w:rsid w:val="00B36EA6"/>
    <w:rsid w:val="00B36EE4"/>
    <w:rsid w:val="00B370E5"/>
    <w:rsid w:val="00B41163"/>
    <w:rsid w:val="00B422FF"/>
    <w:rsid w:val="00B42828"/>
    <w:rsid w:val="00B428E8"/>
    <w:rsid w:val="00B42B3D"/>
    <w:rsid w:val="00B42D09"/>
    <w:rsid w:val="00B433E0"/>
    <w:rsid w:val="00B4341D"/>
    <w:rsid w:val="00B43A7B"/>
    <w:rsid w:val="00B442AF"/>
    <w:rsid w:val="00B44635"/>
    <w:rsid w:val="00B45D0F"/>
    <w:rsid w:val="00B46099"/>
    <w:rsid w:val="00B46606"/>
    <w:rsid w:val="00B4673B"/>
    <w:rsid w:val="00B469E3"/>
    <w:rsid w:val="00B46ABE"/>
    <w:rsid w:val="00B47240"/>
    <w:rsid w:val="00B4734E"/>
    <w:rsid w:val="00B473BB"/>
    <w:rsid w:val="00B51160"/>
    <w:rsid w:val="00B51311"/>
    <w:rsid w:val="00B516D6"/>
    <w:rsid w:val="00B51BE3"/>
    <w:rsid w:val="00B520D5"/>
    <w:rsid w:val="00B52866"/>
    <w:rsid w:val="00B528DA"/>
    <w:rsid w:val="00B5364D"/>
    <w:rsid w:val="00B53D19"/>
    <w:rsid w:val="00B554A4"/>
    <w:rsid w:val="00B560A0"/>
    <w:rsid w:val="00B5637E"/>
    <w:rsid w:val="00B57036"/>
    <w:rsid w:val="00B57691"/>
    <w:rsid w:val="00B60051"/>
    <w:rsid w:val="00B60489"/>
    <w:rsid w:val="00B60B8E"/>
    <w:rsid w:val="00B61CA0"/>
    <w:rsid w:val="00B62469"/>
    <w:rsid w:val="00B6370A"/>
    <w:rsid w:val="00B63831"/>
    <w:rsid w:val="00B63F31"/>
    <w:rsid w:val="00B645E8"/>
    <w:rsid w:val="00B64A86"/>
    <w:rsid w:val="00B64B35"/>
    <w:rsid w:val="00B659FE"/>
    <w:rsid w:val="00B65E7A"/>
    <w:rsid w:val="00B65F3B"/>
    <w:rsid w:val="00B66334"/>
    <w:rsid w:val="00B66978"/>
    <w:rsid w:val="00B66BD0"/>
    <w:rsid w:val="00B66F4B"/>
    <w:rsid w:val="00B67401"/>
    <w:rsid w:val="00B70347"/>
    <w:rsid w:val="00B7068A"/>
    <w:rsid w:val="00B70A84"/>
    <w:rsid w:val="00B7105F"/>
    <w:rsid w:val="00B72962"/>
    <w:rsid w:val="00B72D20"/>
    <w:rsid w:val="00B74AB5"/>
    <w:rsid w:val="00B74BFA"/>
    <w:rsid w:val="00B7522B"/>
    <w:rsid w:val="00B75A18"/>
    <w:rsid w:val="00B76B7D"/>
    <w:rsid w:val="00B77CB7"/>
    <w:rsid w:val="00B77DB5"/>
    <w:rsid w:val="00B77DFA"/>
    <w:rsid w:val="00B805CB"/>
    <w:rsid w:val="00B80E14"/>
    <w:rsid w:val="00B8186D"/>
    <w:rsid w:val="00B81B05"/>
    <w:rsid w:val="00B81D7C"/>
    <w:rsid w:val="00B821DB"/>
    <w:rsid w:val="00B829A0"/>
    <w:rsid w:val="00B82B77"/>
    <w:rsid w:val="00B83288"/>
    <w:rsid w:val="00B832A6"/>
    <w:rsid w:val="00B83694"/>
    <w:rsid w:val="00B83A6D"/>
    <w:rsid w:val="00B83BEB"/>
    <w:rsid w:val="00B83C71"/>
    <w:rsid w:val="00B83E30"/>
    <w:rsid w:val="00B83E3B"/>
    <w:rsid w:val="00B8558C"/>
    <w:rsid w:val="00B87200"/>
    <w:rsid w:val="00B8757B"/>
    <w:rsid w:val="00B879DC"/>
    <w:rsid w:val="00B90085"/>
    <w:rsid w:val="00B90478"/>
    <w:rsid w:val="00B906A6"/>
    <w:rsid w:val="00B906AE"/>
    <w:rsid w:val="00B90B43"/>
    <w:rsid w:val="00B90BA9"/>
    <w:rsid w:val="00B90E5B"/>
    <w:rsid w:val="00B90FE7"/>
    <w:rsid w:val="00B91C3D"/>
    <w:rsid w:val="00B928E6"/>
    <w:rsid w:val="00B9343F"/>
    <w:rsid w:val="00B945CB"/>
    <w:rsid w:val="00B94C15"/>
    <w:rsid w:val="00B94ED5"/>
    <w:rsid w:val="00B94F47"/>
    <w:rsid w:val="00B95785"/>
    <w:rsid w:val="00B95AB4"/>
    <w:rsid w:val="00B95C52"/>
    <w:rsid w:val="00B95E1E"/>
    <w:rsid w:val="00B96013"/>
    <w:rsid w:val="00B9659F"/>
    <w:rsid w:val="00B965CC"/>
    <w:rsid w:val="00B97822"/>
    <w:rsid w:val="00B97D8B"/>
    <w:rsid w:val="00BA0A9E"/>
    <w:rsid w:val="00BA107E"/>
    <w:rsid w:val="00BA14C0"/>
    <w:rsid w:val="00BA14EA"/>
    <w:rsid w:val="00BA18FB"/>
    <w:rsid w:val="00BA20F0"/>
    <w:rsid w:val="00BA3DB9"/>
    <w:rsid w:val="00BA4C82"/>
    <w:rsid w:val="00BA4F7F"/>
    <w:rsid w:val="00BA523F"/>
    <w:rsid w:val="00BA6128"/>
    <w:rsid w:val="00BA61D2"/>
    <w:rsid w:val="00BA72AF"/>
    <w:rsid w:val="00BA744A"/>
    <w:rsid w:val="00BA7A0E"/>
    <w:rsid w:val="00BA7DA7"/>
    <w:rsid w:val="00BB0991"/>
    <w:rsid w:val="00BB0B0A"/>
    <w:rsid w:val="00BB0B1C"/>
    <w:rsid w:val="00BB0FB2"/>
    <w:rsid w:val="00BB20C0"/>
    <w:rsid w:val="00BB22C2"/>
    <w:rsid w:val="00BB2E7F"/>
    <w:rsid w:val="00BB3413"/>
    <w:rsid w:val="00BB44A1"/>
    <w:rsid w:val="00BB48E4"/>
    <w:rsid w:val="00BB496C"/>
    <w:rsid w:val="00BB4F3A"/>
    <w:rsid w:val="00BB500A"/>
    <w:rsid w:val="00BB5043"/>
    <w:rsid w:val="00BB5133"/>
    <w:rsid w:val="00BB53DE"/>
    <w:rsid w:val="00BB5FBA"/>
    <w:rsid w:val="00BB6354"/>
    <w:rsid w:val="00BB68BF"/>
    <w:rsid w:val="00BB6E42"/>
    <w:rsid w:val="00BB70F9"/>
    <w:rsid w:val="00BB71FA"/>
    <w:rsid w:val="00BB763D"/>
    <w:rsid w:val="00BC0033"/>
    <w:rsid w:val="00BC0CAC"/>
    <w:rsid w:val="00BC134A"/>
    <w:rsid w:val="00BC15C6"/>
    <w:rsid w:val="00BC1CDC"/>
    <w:rsid w:val="00BC2204"/>
    <w:rsid w:val="00BC33C8"/>
    <w:rsid w:val="00BC367A"/>
    <w:rsid w:val="00BC3D64"/>
    <w:rsid w:val="00BC416C"/>
    <w:rsid w:val="00BC4E42"/>
    <w:rsid w:val="00BC4EF6"/>
    <w:rsid w:val="00BC51B6"/>
    <w:rsid w:val="00BC5291"/>
    <w:rsid w:val="00BC58A3"/>
    <w:rsid w:val="00BC58D8"/>
    <w:rsid w:val="00BC5A00"/>
    <w:rsid w:val="00BC5F47"/>
    <w:rsid w:val="00BC6407"/>
    <w:rsid w:val="00BC64A2"/>
    <w:rsid w:val="00BC6772"/>
    <w:rsid w:val="00BC6FEE"/>
    <w:rsid w:val="00BC72A6"/>
    <w:rsid w:val="00BC781D"/>
    <w:rsid w:val="00BC7BF2"/>
    <w:rsid w:val="00BD059B"/>
    <w:rsid w:val="00BD06B9"/>
    <w:rsid w:val="00BD1388"/>
    <w:rsid w:val="00BD2501"/>
    <w:rsid w:val="00BD293E"/>
    <w:rsid w:val="00BD2A28"/>
    <w:rsid w:val="00BD3010"/>
    <w:rsid w:val="00BD3491"/>
    <w:rsid w:val="00BD4157"/>
    <w:rsid w:val="00BD4C62"/>
    <w:rsid w:val="00BD4FD9"/>
    <w:rsid w:val="00BD5A29"/>
    <w:rsid w:val="00BD69AB"/>
    <w:rsid w:val="00BD69B3"/>
    <w:rsid w:val="00BD7612"/>
    <w:rsid w:val="00BD79D8"/>
    <w:rsid w:val="00BD7A78"/>
    <w:rsid w:val="00BE05E4"/>
    <w:rsid w:val="00BE0740"/>
    <w:rsid w:val="00BE09B4"/>
    <w:rsid w:val="00BE11E9"/>
    <w:rsid w:val="00BE13F2"/>
    <w:rsid w:val="00BE1950"/>
    <w:rsid w:val="00BE1D8F"/>
    <w:rsid w:val="00BE27F9"/>
    <w:rsid w:val="00BE2A6F"/>
    <w:rsid w:val="00BE35B9"/>
    <w:rsid w:val="00BE3B30"/>
    <w:rsid w:val="00BE4B6D"/>
    <w:rsid w:val="00BE50AE"/>
    <w:rsid w:val="00BE580F"/>
    <w:rsid w:val="00BE6434"/>
    <w:rsid w:val="00BE64C8"/>
    <w:rsid w:val="00BE6849"/>
    <w:rsid w:val="00BE6D2C"/>
    <w:rsid w:val="00BE73DA"/>
    <w:rsid w:val="00BE7A4D"/>
    <w:rsid w:val="00BF02E1"/>
    <w:rsid w:val="00BF0B9B"/>
    <w:rsid w:val="00BF1BE7"/>
    <w:rsid w:val="00BF2481"/>
    <w:rsid w:val="00BF2A6E"/>
    <w:rsid w:val="00BF3914"/>
    <w:rsid w:val="00BF3D5E"/>
    <w:rsid w:val="00BF483A"/>
    <w:rsid w:val="00BF4D43"/>
    <w:rsid w:val="00BF51E9"/>
    <w:rsid w:val="00BF5721"/>
    <w:rsid w:val="00BF5AC1"/>
    <w:rsid w:val="00BF64F3"/>
    <w:rsid w:val="00BF6BCB"/>
    <w:rsid w:val="00BF6C9C"/>
    <w:rsid w:val="00C0067B"/>
    <w:rsid w:val="00C00743"/>
    <w:rsid w:val="00C00B61"/>
    <w:rsid w:val="00C0145F"/>
    <w:rsid w:val="00C0175A"/>
    <w:rsid w:val="00C01FB2"/>
    <w:rsid w:val="00C025AE"/>
    <w:rsid w:val="00C03486"/>
    <w:rsid w:val="00C046C8"/>
    <w:rsid w:val="00C048BD"/>
    <w:rsid w:val="00C04E40"/>
    <w:rsid w:val="00C04F09"/>
    <w:rsid w:val="00C0549C"/>
    <w:rsid w:val="00C059DF"/>
    <w:rsid w:val="00C05E03"/>
    <w:rsid w:val="00C05FC4"/>
    <w:rsid w:val="00C068A2"/>
    <w:rsid w:val="00C06C3D"/>
    <w:rsid w:val="00C07C36"/>
    <w:rsid w:val="00C07ED7"/>
    <w:rsid w:val="00C07FC6"/>
    <w:rsid w:val="00C105CD"/>
    <w:rsid w:val="00C10670"/>
    <w:rsid w:val="00C10A5C"/>
    <w:rsid w:val="00C1178B"/>
    <w:rsid w:val="00C117FF"/>
    <w:rsid w:val="00C11B91"/>
    <w:rsid w:val="00C11D2E"/>
    <w:rsid w:val="00C12092"/>
    <w:rsid w:val="00C1223B"/>
    <w:rsid w:val="00C13784"/>
    <w:rsid w:val="00C137C0"/>
    <w:rsid w:val="00C13804"/>
    <w:rsid w:val="00C14820"/>
    <w:rsid w:val="00C14C98"/>
    <w:rsid w:val="00C150BA"/>
    <w:rsid w:val="00C153C5"/>
    <w:rsid w:val="00C154C2"/>
    <w:rsid w:val="00C15B96"/>
    <w:rsid w:val="00C160AC"/>
    <w:rsid w:val="00C16709"/>
    <w:rsid w:val="00C16AE2"/>
    <w:rsid w:val="00C16D9B"/>
    <w:rsid w:val="00C16DB3"/>
    <w:rsid w:val="00C17130"/>
    <w:rsid w:val="00C17F34"/>
    <w:rsid w:val="00C2000C"/>
    <w:rsid w:val="00C2126D"/>
    <w:rsid w:val="00C2150C"/>
    <w:rsid w:val="00C21E37"/>
    <w:rsid w:val="00C22D84"/>
    <w:rsid w:val="00C2329A"/>
    <w:rsid w:val="00C24A5C"/>
    <w:rsid w:val="00C24B00"/>
    <w:rsid w:val="00C259F2"/>
    <w:rsid w:val="00C265FA"/>
    <w:rsid w:val="00C26CBD"/>
    <w:rsid w:val="00C27B3E"/>
    <w:rsid w:val="00C27CBD"/>
    <w:rsid w:val="00C312E0"/>
    <w:rsid w:val="00C32200"/>
    <w:rsid w:val="00C33434"/>
    <w:rsid w:val="00C337F1"/>
    <w:rsid w:val="00C33CE9"/>
    <w:rsid w:val="00C343CA"/>
    <w:rsid w:val="00C3472C"/>
    <w:rsid w:val="00C34FE8"/>
    <w:rsid w:val="00C350EF"/>
    <w:rsid w:val="00C35693"/>
    <w:rsid w:val="00C35B52"/>
    <w:rsid w:val="00C35B59"/>
    <w:rsid w:val="00C3676D"/>
    <w:rsid w:val="00C3703D"/>
    <w:rsid w:val="00C3725B"/>
    <w:rsid w:val="00C37533"/>
    <w:rsid w:val="00C37F58"/>
    <w:rsid w:val="00C40801"/>
    <w:rsid w:val="00C40DB4"/>
    <w:rsid w:val="00C4146F"/>
    <w:rsid w:val="00C41AC6"/>
    <w:rsid w:val="00C423FC"/>
    <w:rsid w:val="00C42C97"/>
    <w:rsid w:val="00C43353"/>
    <w:rsid w:val="00C43740"/>
    <w:rsid w:val="00C43E73"/>
    <w:rsid w:val="00C4405F"/>
    <w:rsid w:val="00C44392"/>
    <w:rsid w:val="00C44511"/>
    <w:rsid w:val="00C44646"/>
    <w:rsid w:val="00C44782"/>
    <w:rsid w:val="00C44EE5"/>
    <w:rsid w:val="00C454E7"/>
    <w:rsid w:val="00C457F9"/>
    <w:rsid w:val="00C45857"/>
    <w:rsid w:val="00C462EE"/>
    <w:rsid w:val="00C46378"/>
    <w:rsid w:val="00C46785"/>
    <w:rsid w:val="00C46DB0"/>
    <w:rsid w:val="00C46DC4"/>
    <w:rsid w:val="00C46F1F"/>
    <w:rsid w:val="00C47459"/>
    <w:rsid w:val="00C47780"/>
    <w:rsid w:val="00C501AB"/>
    <w:rsid w:val="00C50361"/>
    <w:rsid w:val="00C50C4C"/>
    <w:rsid w:val="00C51348"/>
    <w:rsid w:val="00C518A8"/>
    <w:rsid w:val="00C52550"/>
    <w:rsid w:val="00C52551"/>
    <w:rsid w:val="00C528FE"/>
    <w:rsid w:val="00C52D17"/>
    <w:rsid w:val="00C53401"/>
    <w:rsid w:val="00C546DC"/>
    <w:rsid w:val="00C55141"/>
    <w:rsid w:val="00C55A83"/>
    <w:rsid w:val="00C563FD"/>
    <w:rsid w:val="00C564DE"/>
    <w:rsid w:val="00C5679C"/>
    <w:rsid w:val="00C56D15"/>
    <w:rsid w:val="00C579DD"/>
    <w:rsid w:val="00C60234"/>
    <w:rsid w:val="00C604A9"/>
    <w:rsid w:val="00C61370"/>
    <w:rsid w:val="00C61749"/>
    <w:rsid w:val="00C61C76"/>
    <w:rsid w:val="00C623E4"/>
    <w:rsid w:val="00C62A0B"/>
    <w:rsid w:val="00C6306A"/>
    <w:rsid w:val="00C6310E"/>
    <w:rsid w:val="00C63A9C"/>
    <w:rsid w:val="00C63FED"/>
    <w:rsid w:val="00C640BE"/>
    <w:rsid w:val="00C64363"/>
    <w:rsid w:val="00C645A3"/>
    <w:rsid w:val="00C6484E"/>
    <w:rsid w:val="00C64990"/>
    <w:rsid w:val="00C65BF9"/>
    <w:rsid w:val="00C65C67"/>
    <w:rsid w:val="00C65F24"/>
    <w:rsid w:val="00C667B7"/>
    <w:rsid w:val="00C668CE"/>
    <w:rsid w:val="00C669AD"/>
    <w:rsid w:val="00C669B4"/>
    <w:rsid w:val="00C66B8F"/>
    <w:rsid w:val="00C6703C"/>
    <w:rsid w:val="00C6760E"/>
    <w:rsid w:val="00C6764C"/>
    <w:rsid w:val="00C6798C"/>
    <w:rsid w:val="00C67B7F"/>
    <w:rsid w:val="00C67C79"/>
    <w:rsid w:val="00C70AC1"/>
    <w:rsid w:val="00C712A3"/>
    <w:rsid w:val="00C712B8"/>
    <w:rsid w:val="00C71AA3"/>
    <w:rsid w:val="00C720A1"/>
    <w:rsid w:val="00C7246B"/>
    <w:rsid w:val="00C72639"/>
    <w:rsid w:val="00C72DFC"/>
    <w:rsid w:val="00C73452"/>
    <w:rsid w:val="00C73853"/>
    <w:rsid w:val="00C7406B"/>
    <w:rsid w:val="00C74175"/>
    <w:rsid w:val="00C74407"/>
    <w:rsid w:val="00C747F2"/>
    <w:rsid w:val="00C756F7"/>
    <w:rsid w:val="00C75B2B"/>
    <w:rsid w:val="00C762DF"/>
    <w:rsid w:val="00C76DE7"/>
    <w:rsid w:val="00C77D36"/>
    <w:rsid w:val="00C80998"/>
    <w:rsid w:val="00C80D31"/>
    <w:rsid w:val="00C80F25"/>
    <w:rsid w:val="00C81469"/>
    <w:rsid w:val="00C8193A"/>
    <w:rsid w:val="00C81C5A"/>
    <w:rsid w:val="00C81EFF"/>
    <w:rsid w:val="00C820A1"/>
    <w:rsid w:val="00C83BE2"/>
    <w:rsid w:val="00C83C67"/>
    <w:rsid w:val="00C83EE3"/>
    <w:rsid w:val="00C841C2"/>
    <w:rsid w:val="00C84AB9"/>
    <w:rsid w:val="00C85C6B"/>
    <w:rsid w:val="00C85FE1"/>
    <w:rsid w:val="00C862B8"/>
    <w:rsid w:val="00C8661A"/>
    <w:rsid w:val="00C869A3"/>
    <w:rsid w:val="00C877F4"/>
    <w:rsid w:val="00C90197"/>
    <w:rsid w:val="00C9022F"/>
    <w:rsid w:val="00C905D6"/>
    <w:rsid w:val="00C90A97"/>
    <w:rsid w:val="00C90C3D"/>
    <w:rsid w:val="00C90E60"/>
    <w:rsid w:val="00C9129F"/>
    <w:rsid w:val="00C913CC"/>
    <w:rsid w:val="00C915BF"/>
    <w:rsid w:val="00C9238D"/>
    <w:rsid w:val="00C9271F"/>
    <w:rsid w:val="00C92E06"/>
    <w:rsid w:val="00C92FB4"/>
    <w:rsid w:val="00C933BB"/>
    <w:rsid w:val="00C935FA"/>
    <w:rsid w:val="00C93F59"/>
    <w:rsid w:val="00C94504"/>
    <w:rsid w:val="00C9491B"/>
    <w:rsid w:val="00C94B3D"/>
    <w:rsid w:val="00C94B49"/>
    <w:rsid w:val="00C94B8A"/>
    <w:rsid w:val="00C96D1B"/>
    <w:rsid w:val="00C97DCD"/>
    <w:rsid w:val="00CA0950"/>
    <w:rsid w:val="00CA0CF7"/>
    <w:rsid w:val="00CA0F67"/>
    <w:rsid w:val="00CA17CC"/>
    <w:rsid w:val="00CA2612"/>
    <w:rsid w:val="00CA27B2"/>
    <w:rsid w:val="00CA2E8C"/>
    <w:rsid w:val="00CA38A5"/>
    <w:rsid w:val="00CA5237"/>
    <w:rsid w:val="00CA52C3"/>
    <w:rsid w:val="00CA52E8"/>
    <w:rsid w:val="00CA565B"/>
    <w:rsid w:val="00CA59CC"/>
    <w:rsid w:val="00CA5E5A"/>
    <w:rsid w:val="00CA60B7"/>
    <w:rsid w:val="00CA673C"/>
    <w:rsid w:val="00CA6850"/>
    <w:rsid w:val="00CA6851"/>
    <w:rsid w:val="00CA6960"/>
    <w:rsid w:val="00CA69EC"/>
    <w:rsid w:val="00CA6F44"/>
    <w:rsid w:val="00CA7CBE"/>
    <w:rsid w:val="00CB0886"/>
    <w:rsid w:val="00CB091C"/>
    <w:rsid w:val="00CB0C46"/>
    <w:rsid w:val="00CB0CF9"/>
    <w:rsid w:val="00CB0F0B"/>
    <w:rsid w:val="00CB116F"/>
    <w:rsid w:val="00CB1189"/>
    <w:rsid w:val="00CB1973"/>
    <w:rsid w:val="00CB21D3"/>
    <w:rsid w:val="00CB295D"/>
    <w:rsid w:val="00CB2A13"/>
    <w:rsid w:val="00CB4CD9"/>
    <w:rsid w:val="00CB50CD"/>
    <w:rsid w:val="00CB5143"/>
    <w:rsid w:val="00CB57CD"/>
    <w:rsid w:val="00CB6B4F"/>
    <w:rsid w:val="00CB6F02"/>
    <w:rsid w:val="00CB7307"/>
    <w:rsid w:val="00CC12D9"/>
    <w:rsid w:val="00CC19F4"/>
    <w:rsid w:val="00CC1F62"/>
    <w:rsid w:val="00CC2498"/>
    <w:rsid w:val="00CC264D"/>
    <w:rsid w:val="00CC2825"/>
    <w:rsid w:val="00CC2DB5"/>
    <w:rsid w:val="00CC30B7"/>
    <w:rsid w:val="00CC3196"/>
    <w:rsid w:val="00CC433E"/>
    <w:rsid w:val="00CC4358"/>
    <w:rsid w:val="00CC436E"/>
    <w:rsid w:val="00CC513E"/>
    <w:rsid w:val="00CC5494"/>
    <w:rsid w:val="00CC5D28"/>
    <w:rsid w:val="00CC6A23"/>
    <w:rsid w:val="00CD015D"/>
    <w:rsid w:val="00CD092D"/>
    <w:rsid w:val="00CD223D"/>
    <w:rsid w:val="00CD2FDB"/>
    <w:rsid w:val="00CD3863"/>
    <w:rsid w:val="00CD389D"/>
    <w:rsid w:val="00CD3B02"/>
    <w:rsid w:val="00CD4077"/>
    <w:rsid w:val="00CD4644"/>
    <w:rsid w:val="00CD47B1"/>
    <w:rsid w:val="00CD4FB9"/>
    <w:rsid w:val="00CD53E9"/>
    <w:rsid w:val="00CD5784"/>
    <w:rsid w:val="00CE06DC"/>
    <w:rsid w:val="00CE07B0"/>
    <w:rsid w:val="00CE0E74"/>
    <w:rsid w:val="00CE0FE0"/>
    <w:rsid w:val="00CE100B"/>
    <w:rsid w:val="00CE10BA"/>
    <w:rsid w:val="00CE1DC2"/>
    <w:rsid w:val="00CE1FEE"/>
    <w:rsid w:val="00CE267E"/>
    <w:rsid w:val="00CE2686"/>
    <w:rsid w:val="00CE2C73"/>
    <w:rsid w:val="00CE2D8A"/>
    <w:rsid w:val="00CE2DA3"/>
    <w:rsid w:val="00CE30EE"/>
    <w:rsid w:val="00CE3415"/>
    <w:rsid w:val="00CE37AC"/>
    <w:rsid w:val="00CE3819"/>
    <w:rsid w:val="00CE3A07"/>
    <w:rsid w:val="00CE3F34"/>
    <w:rsid w:val="00CE4827"/>
    <w:rsid w:val="00CE4A4E"/>
    <w:rsid w:val="00CE559B"/>
    <w:rsid w:val="00CE5602"/>
    <w:rsid w:val="00CE567E"/>
    <w:rsid w:val="00CE5B36"/>
    <w:rsid w:val="00CE5FEB"/>
    <w:rsid w:val="00CE66A7"/>
    <w:rsid w:val="00CE681A"/>
    <w:rsid w:val="00CE7260"/>
    <w:rsid w:val="00CE78E0"/>
    <w:rsid w:val="00CE79DF"/>
    <w:rsid w:val="00CE7DCF"/>
    <w:rsid w:val="00CF00ED"/>
    <w:rsid w:val="00CF06BB"/>
    <w:rsid w:val="00CF0901"/>
    <w:rsid w:val="00CF09DA"/>
    <w:rsid w:val="00CF10AE"/>
    <w:rsid w:val="00CF1BCB"/>
    <w:rsid w:val="00CF21F6"/>
    <w:rsid w:val="00CF25B5"/>
    <w:rsid w:val="00CF2BDF"/>
    <w:rsid w:val="00CF319D"/>
    <w:rsid w:val="00CF3DE4"/>
    <w:rsid w:val="00CF3EA8"/>
    <w:rsid w:val="00CF4572"/>
    <w:rsid w:val="00CF499D"/>
    <w:rsid w:val="00CF4C7F"/>
    <w:rsid w:val="00CF5063"/>
    <w:rsid w:val="00CF52F9"/>
    <w:rsid w:val="00CF57F6"/>
    <w:rsid w:val="00CF6138"/>
    <w:rsid w:val="00CF6FA4"/>
    <w:rsid w:val="00CF735F"/>
    <w:rsid w:val="00CF7935"/>
    <w:rsid w:val="00CF7E68"/>
    <w:rsid w:val="00CF7F17"/>
    <w:rsid w:val="00D00063"/>
    <w:rsid w:val="00D00320"/>
    <w:rsid w:val="00D0032D"/>
    <w:rsid w:val="00D005AF"/>
    <w:rsid w:val="00D005DC"/>
    <w:rsid w:val="00D00C4B"/>
    <w:rsid w:val="00D0154D"/>
    <w:rsid w:val="00D01A51"/>
    <w:rsid w:val="00D03248"/>
    <w:rsid w:val="00D033C0"/>
    <w:rsid w:val="00D03500"/>
    <w:rsid w:val="00D040EA"/>
    <w:rsid w:val="00D044AF"/>
    <w:rsid w:val="00D050D4"/>
    <w:rsid w:val="00D05160"/>
    <w:rsid w:val="00D0537E"/>
    <w:rsid w:val="00D05C95"/>
    <w:rsid w:val="00D05E30"/>
    <w:rsid w:val="00D0655C"/>
    <w:rsid w:val="00D06740"/>
    <w:rsid w:val="00D06DBA"/>
    <w:rsid w:val="00D0719F"/>
    <w:rsid w:val="00D07415"/>
    <w:rsid w:val="00D1001C"/>
    <w:rsid w:val="00D10822"/>
    <w:rsid w:val="00D10EF7"/>
    <w:rsid w:val="00D11DE7"/>
    <w:rsid w:val="00D12403"/>
    <w:rsid w:val="00D134FC"/>
    <w:rsid w:val="00D1352C"/>
    <w:rsid w:val="00D137AC"/>
    <w:rsid w:val="00D13C07"/>
    <w:rsid w:val="00D145F5"/>
    <w:rsid w:val="00D15967"/>
    <w:rsid w:val="00D163C1"/>
    <w:rsid w:val="00D170BB"/>
    <w:rsid w:val="00D17A2E"/>
    <w:rsid w:val="00D17B74"/>
    <w:rsid w:val="00D17EAE"/>
    <w:rsid w:val="00D20571"/>
    <w:rsid w:val="00D211ED"/>
    <w:rsid w:val="00D215C8"/>
    <w:rsid w:val="00D216E5"/>
    <w:rsid w:val="00D2212B"/>
    <w:rsid w:val="00D230E2"/>
    <w:rsid w:val="00D23F92"/>
    <w:rsid w:val="00D2402E"/>
    <w:rsid w:val="00D2473A"/>
    <w:rsid w:val="00D25773"/>
    <w:rsid w:val="00D25D2B"/>
    <w:rsid w:val="00D264E7"/>
    <w:rsid w:val="00D26834"/>
    <w:rsid w:val="00D26D49"/>
    <w:rsid w:val="00D272A5"/>
    <w:rsid w:val="00D27347"/>
    <w:rsid w:val="00D27C57"/>
    <w:rsid w:val="00D301B8"/>
    <w:rsid w:val="00D30B27"/>
    <w:rsid w:val="00D30B57"/>
    <w:rsid w:val="00D31450"/>
    <w:rsid w:val="00D3182A"/>
    <w:rsid w:val="00D31CBE"/>
    <w:rsid w:val="00D31FEE"/>
    <w:rsid w:val="00D3212D"/>
    <w:rsid w:val="00D32291"/>
    <w:rsid w:val="00D32EC8"/>
    <w:rsid w:val="00D34AAC"/>
    <w:rsid w:val="00D3592F"/>
    <w:rsid w:val="00D35EDE"/>
    <w:rsid w:val="00D363F3"/>
    <w:rsid w:val="00D36779"/>
    <w:rsid w:val="00D368F3"/>
    <w:rsid w:val="00D36B75"/>
    <w:rsid w:val="00D3709C"/>
    <w:rsid w:val="00D37606"/>
    <w:rsid w:val="00D37FD3"/>
    <w:rsid w:val="00D40066"/>
    <w:rsid w:val="00D40CAF"/>
    <w:rsid w:val="00D40EE7"/>
    <w:rsid w:val="00D4166E"/>
    <w:rsid w:val="00D41C22"/>
    <w:rsid w:val="00D434B2"/>
    <w:rsid w:val="00D43FDE"/>
    <w:rsid w:val="00D44556"/>
    <w:rsid w:val="00D44670"/>
    <w:rsid w:val="00D44CE0"/>
    <w:rsid w:val="00D45037"/>
    <w:rsid w:val="00D458FD"/>
    <w:rsid w:val="00D45A35"/>
    <w:rsid w:val="00D45CBD"/>
    <w:rsid w:val="00D46182"/>
    <w:rsid w:val="00D46196"/>
    <w:rsid w:val="00D46B36"/>
    <w:rsid w:val="00D46EAD"/>
    <w:rsid w:val="00D47086"/>
    <w:rsid w:val="00D472B8"/>
    <w:rsid w:val="00D47971"/>
    <w:rsid w:val="00D47BAD"/>
    <w:rsid w:val="00D47CDE"/>
    <w:rsid w:val="00D47ECD"/>
    <w:rsid w:val="00D51EC7"/>
    <w:rsid w:val="00D53505"/>
    <w:rsid w:val="00D53973"/>
    <w:rsid w:val="00D5423F"/>
    <w:rsid w:val="00D54E1D"/>
    <w:rsid w:val="00D553CF"/>
    <w:rsid w:val="00D5574A"/>
    <w:rsid w:val="00D55B25"/>
    <w:rsid w:val="00D56219"/>
    <w:rsid w:val="00D56A9E"/>
    <w:rsid w:val="00D56AAD"/>
    <w:rsid w:val="00D57AE0"/>
    <w:rsid w:val="00D57C16"/>
    <w:rsid w:val="00D600A1"/>
    <w:rsid w:val="00D60811"/>
    <w:rsid w:val="00D60D83"/>
    <w:rsid w:val="00D611D1"/>
    <w:rsid w:val="00D61E44"/>
    <w:rsid w:val="00D6229D"/>
    <w:rsid w:val="00D62311"/>
    <w:rsid w:val="00D62C32"/>
    <w:rsid w:val="00D6315B"/>
    <w:rsid w:val="00D6408F"/>
    <w:rsid w:val="00D6420B"/>
    <w:rsid w:val="00D64602"/>
    <w:rsid w:val="00D64BDF"/>
    <w:rsid w:val="00D66137"/>
    <w:rsid w:val="00D66A91"/>
    <w:rsid w:val="00D67835"/>
    <w:rsid w:val="00D715FD"/>
    <w:rsid w:val="00D71BFB"/>
    <w:rsid w:val="00D73082"/>
    <w:rsid w:val="00D730CA"/>
    <w:rsid w:val="00D7374B"/>
    <w:rsid w:val="00D74768"/>
    <w:rsid w:val="00D748D7"/>
    <w:rsid w:val="00D74E1E"/>
    <w:rsid w:val="00D75819"/>
    <w:rsid w:val="00D75871"/>
    <w:rsid w:val="00D76480"/>
    <w:rsid w:val="00D76C1C"/>
    <w:rsid w:val="00D76D8B"/>
    <w:rsid w:val="00D7715A"/>
    <w:rsid w:val="00D77C99"/>
    <w:rsid w:val="00D80FF7"/>
    <w:rsid w:val="00D811FF"/>
    <w:rsid w:val="00D81D27"/>
    <w:rsid w:val="00D8208A"/>
    <w:rsid w:val="00D82707"/>
    <w:rsid w:val="00D8272D"/>
    <w:rsid w:val="00D828C5"/>
    <w:rsid w:val="00D82A81"/>
    <w:rsid w:val="00D82ED1"/>
    <w:rsid w:val="00D82F63"/>
    <w:rsid w:val="00D83365"/>
    <w:rsid w:val="00D83B22"/>
    <w:rsid w:val="00D83DCC"/>
    <w:rsid w:val="00D83DD1"/>
    <w:rsid w:val="00D83E54"/>
    <w:rsid w:val="00D8411B"/>
    <w:rsid w:val="00D849D9"/>
    <w:rsid w:val="00D84EA9"/>
    <w:rsid w:val="00D85711"/>
    <w:rsid w:val="00D8648F"/>
    <w:rsid w:val="00D87203"/>
    <w:rsid w:val="00D87887"/>
    <w:rsid w:val="00D87E42"/>
    <w:rsid w:val="00D87E84"/>
    <w:rsid w:val="00D908DA"/>
    <w:rsid w:val="00D9118B"/>
    <w:rsid w:val="00D91A86"/>
    <w:rsid w:val="00D922DB"/>
    <w:rsid w:val="00D9314B"/>
    <w:rsid w:val="00D936CC"/>
    <w:rsid w:val="00D937D9"/>
    <w:rsid w:val="00D93A74"/>
    <w:rsid w:val="00D9411A"/>
    <w:rsid w:val="00D9436B"/>
    <w:rsid w:val="00D947A3"/>
    <w:rsid w:val="00D951A7"/>
    <w:rsid w:val="00D953EB"/>
    <w:rsid w:val="00D95892"/>
    <w:rsid w:val="00D95EFA"/>
    <w:rsid w:val="00D96252"/>
    <w:rsid w:val="00D96944"/>
    <w:rsid w:val="00D97C2E"/>
    <w:rsid w:val="00D97F8E"/>
    <w:rsid w:val="00DA0375"/>
    <w:rsid w:val="00DA06E1"/>
    <w:rsid w:val="00DA0760"/>
    <w:rsid w:val="00DA1125"/>
    <w:rsid w:val="00DA1363"/>
    <w:rsid w:val="00DA188D"/>
    <w:rsid w:val="00DA2D7B"/>
    <w:rsid w:val="00DA408C"/>
    <w:rsid w:val="00DA4273"/>
    <w:rsid w:val="00DA4290"/>
    <w:rsid w:val="00DA43CC"/>
    <w:rsid w:val="00DA440D"/>
    <w:rsid w:val="00DA4A1A"/>
    <w:rsid w:val="00DA4F5B"/>
    <w:rsid w:val="00DA533C"/>
    <w:rsid w:val="00DA53B9"/>
    <w:rsid w:val="00DA5867"/>
    <w:rsid w:val="00DA5FE8"/>
    <w:rsid w:val="00DA6C4A"/>
    <w:rsid w:val="00DA6D2A"/>
    <w:rsid w:val="00DA72B4"/>
    <w:rsid w:val="00DA72E2"/>
    <w:rsid w:val="00DA7398"/>
    <w:rsid w:val="00DA73BE"/>
    <w:rsid w:val="00DA7594"/>
    <w:rsid w:val="00DA7DD4"/>
    <w:rsid w:val="00DB0050"/>
    <w:rsid w:val="00DB0F9D"/>
    <w:rsid w:val="00DB1857"/>
    <w:rsid w:val="00DB1CB1"/>
    <w:rsid w:val="00DB25C4"/>
    <w:rsid w:val="00DB31D4"/>
    <w:rsid w:val="00DB3554"/>
    <w:rsid w:val="00DB372D"/>
    <w:rsid w:val="00DB3EEA"/>
    <w:rsid w:val="00DB45B4"/>
    <w:rsid w:val="00DB4942"/>
    <w:rsid w:val="00DB4DB9"/>
    <w:rsid w:val="00DB4E59"/>
    <w:rsid w:val="00DB58D7"/>
    <w:rsid w:val="00DB64D3"/>
    <w:rsid w:val="00DB6537"/>
    <w:rsid w:val="00DB7031"/>
    <w:rsid w:val="00DB7BC6"/>
    <w:rsid w:val="00DC0662"/>
    <w:rsid w:val="00DC093B"/>
    <w:rsid w:val="00DC0CAA"/>
    <w:rsid w:val="00DC14E4"/>
    <w:rsid w:val="00DC1C89"/>
    <w:rsid w:val="00DC270A"/>
    <w:rsid w:val="00DC3277"/>
    <w:rsid w:val="00DC3337"/>
    <w:rsid w:val="00DC3467"/>
    <w:rsid w:val="00DC4258"/>
    <w:rsid w:val="00DC4CBF"/>
    <w:rsid w:val="00DC5431"/>
    <w:rsid w:val="00DC6559"/>
    <w:rsid w:val="00DC6BB1"/>
    <w:rsid w:val="00DC71D8"/>
    <w:rsid w:val="00DC77BC"/>
    <w:rsid w:val="00DC7E81"/>
    <w:rsid w:val="00DD056A"/>
    <w:rsid w:val="00DD0723"/>
    <w:rsid w:val="00DD0A8B"/>
    <w:rsid w:val="00DD19F6"/>
    <w:rsid w:val="00DD1B67"/>
    <w:rsid w:val="00DD1F60"/>
    <w:rsid w:val="00DD2291"/>
    <w:rsid w:val="00DD2622"/>
    <w:rsid w:val="00DD2B27"/>
    <w:rsid w:val="00DD2C87"/>
    <w:rsid w:val="00DD3004"/>
    <w:rsid w:val="00DD307D"/>
    <w:rsid w:val="00DD4BF3"/>
    <w:rsid w:val="00DD50C4"/>
    <w:rsid w:val="00DD56CF"/>
    <w:rsid w:val="00DD57A2"/>
    <w:rsid w:val="00DD5ABB"/>
    <w:rsid w:val="00DD6028"/>
    <w:rsid w:val="00DD6041"/>
    <w:rsid w:val="00DD6274"/>
    <w:rsid w:val="00DD6B3F"/>
    <w:rsid w:val="00DD6CAC"/>
    <w:rsid w:val="00DD6E77"/>
    <w:rsid w:val="00DD7150"/>
    <w:rsid w:val="00DD732D"/>
    <w:rsid w:val="00DE002E"/>
    <w:rsid w:val="00DE0359"/>
    <w:rsid w:val="00DE110D"/>
    <w:rsid w:val="00DE1181"/>
    <w:rsid w:val="00DE1A61"/>
    <w:rsid w:val="00DE1C34"/>
    <w:rsid w:val="00DE24A8"/>
    <w:rsid w:val="00DE2569"/>
    <w:rsid w:val="00DE26DF"/>
    <w:rsid w:val="00DE2913"/>
    <w:rsid w:val="00DE463C"/>
    <w:rsid w:val="00DE4EA5"/>
    <w:rsid w:val="00DE50A0"/>
    <w:rsid w:val="00DE5EE3"/>
    <w:rsid w:val="00DE5F52"/>
    <w:rsid w:val="00DE6267"/>
    <w:rsid w:val="00DE6302"/>
    <w:rsid w:val="00DE64E0"/>
    <w:rsid w:val="00DE710F"/>
    <w:rsid w:val="00DE7DB4"/>
    <w:rsid w:val="00DF016D"/>
    <w:rsid w:val="00DF019C"/>
    <w:rsid w:val="00DF0735"/>
    <w:rsid w:val="00DF0846"/>
    <w:rsid w:val="00DF0A20"/>
    <w:rsid w:val="00DF1E94"/>
    <w:rsid w:val="00DF1FC6"/>
    <w:rsid w:val="00DF267A"/>
    <w:rsid w:val="00DF2801"/>
    <w:rsid w:val="00DF2F52"/>
    <w:rsid w:val="00DF31A3"/>
    <w:rsid w:val="00DF3396"/>
    <w:rsid w:val="00DF39D0"/>
    <w:rsid w:val="00DF3CF0"/>
    <w:rsid w:val="00DF3E62"/>
    <w:rsid w:val="00DF3E6F"/>
    <w:rsid w:val="00DF403A"/>
    <w:rsid w:val="00DF4AE7"/>
    <w:rsid w:val="00DF50DF"/>
    <w:rsid w:val="00DF59B8"/>
    <w:rsid w:val="00DF5E49"/>
    <w:rsid w:val="00DF5E7F"/>
    <w:rsid w:val="00DF5FFF"/>
    <w:rsid w:val="00DF631F"/>
    <w:rsid w:val="00DF63F0"/>
    <w:rsid w:val="00DF7A96"/>
    <w:rsid w:val="00E000B5"/>
    <w:rsid w:val="00E003F9"/>
    <w:rsid w:val="00E005DA"/>
    <w:rsid w:val="00E009EA"/>
    <w:rsid w:val="00E00CF0"/>
    <w:rsid w:val="00E00FAE"/>
    <w:rsid w:val="00E01228"/>
    <w:rsid w:val="00E0126B"/>
    <w:rsid w:val="00E01668"/>
    <w:rsid w:val="00E0174E"/>
    <w:rsid w:val="00E01916"/>
    <w:rsid w:val="00E01F01"/>
    <w:rsid w:val="00E02483"/>
    <w:rsid w:val="00E02A5B"/>
    <w:rsid w:val="00E02A8D"/>
    <w:rsid w:val="00E030EC"/>
    <w:rsid w:val="00E0340A"/>
    <w:rsid w:val="00E03BCC"/>
    <w:rsid w:val="00E042DE"/>
    <w:rsid w:val="00E043CE"/>
    <w:rsid w:val="00E04BD3"/>
    <w:rsid w:val="00E05718"/>
    <w:rsid w:val="00E05822"/>
    <w:rsid w:val="00E05CEA"/>
    <w:rsid w:val="00E05F18"/>
    <w:rsid w:val="00E06125"/>
    <w:rsid w:val="00E065AD"/>
    <w:rsid w:val="00E07089"/>
    <w:rsid w:val="00E07B00"/>
    <w:rsid w:val="00E07BDC"/>
    <w:rsid w:val="00E1013C"/>
    <w:rsid w:val="00E10648"/>
    <w:rsid w:val="00E107F1"/>
    <w:rsid w:val="00E109FF"/>
    <w:rsid w:val="00E1153F"/>
    <w:rsid w:val="00E1161B"/>
    <w:rsid w:val="00E1201E"/>
    <w:rsid w:val="00E12378"/>
    <w:rsid w:val="00E12A08"/>
    <w:rsid w:val="00E12D54"/>
    <w:rsid w:val="00E1455B"/>
    <w:rsid w:val="00E14742"/>
    <w:rsid w:val="00E1480A"/>
    <w:rsid w:val="00E1482D"/>
    <w:rsid w:val="00E15615"/>
    <w:rsid w:val="00E16998"/>
    <w:rsid w:val="00E16E0E"/>
    <w:rsid w:val="00E17395"/>
    <w:rsid w:val="00E17D9D"/>
    <w:rsid w:val="00E20533"/>
    <w:rsid w:val="00E20866"/>
    <w:rsid w:val="00E20D5C"/>
    <w:rsid w:val="00E20D63"/>
    <w:rsid w:val="00E20D6C"/>
    <w:rsid w:val="00E20E4C"/>
    <w:rsid w:val="00E20E7D"/>
    <w:rsid w:val="00E20EAC"/>
    <w:rsid w:val="00E21183"/>
    <w:rsid w:val="00E2135A"/>
    <w:rsid w:val="00E21BD7"/>
    <w:rsid w:val="00E22989"/>
    <w:rsid w:val="00E22E4E"/>
    <w:rsid w:val="00E23181"/>
    <w:rsid w:val="00E233EE"/>
    <w:rsid w:val="00E24B6A"/>
    <w:rsid w:val="00E24FBB"/>
    <w:rsid w:val="00E2513A"/>
    <w:rsid w:val="00E25461"/>
    <w:rsid w:val="00E26210"/>
    <w:rsid w:val="00E2658B"/>
    <w:rsid w:val="00E266AD"/>
    <w:rsid w:val="00E26DB4"/>
    <w:rsid w:val="00E27303"/>
    <w:rsid w:val="00E278D1"/>
    <w:rsid w:val="00E27B97"/>
    <w:rsid w:val="00E27C92"/>
    <w:rsid w:val="00E304BA"/>
    <w:rsid w:val="00E30933"/>
    <w:rsid w:val="00E31216"/>
    <w:rsid w:val="00E31A4F"/>
    <w:rsid w:val="00E31A9D"/>
    <w:rsid w:val="00E31D16"/>
    <w:rsid w:val="00E32354"/>
    <w:rsid w:val="00E3265B"/>
    <w:rsid w:val="00E32CF3"/>
    <w:rsid w:val="00E33289"/>
    <w:rsid w:val="00E334E6"/>
    <w:rsid w:val="00E3388B"/>
    <w:rsid w:val="00E33EF5"/>
    <w:rsid w:val="00E342B4"/>
    <w:rsid w:val="00E354F6"/>
    <w:rsid w:val="00E35656"/>
    <w:rsid w:val="00E357F0"/>
    <w:rsid w:val="00E35BF1"/>
    <w:rsid w:val="00E35D0C"/>
    <w:rsid w:val="00E35E01"/>
    <w:rsid w:val="00E37BCF"/>
    <w:rsid w:val="00E37E8A"/>
    <w:rsid w:val="00E40B0D"/>
    <w:rsid w:val="00E40F0E"/>
    <w:rsid w:val="00E40F15"/>
    <w:rsid w:val="00E413D2"/>
    <w:rsid w:val="00E424E3"/>
    <w:rsid w:val="00E4287F"/>
    <w:rsid w:val="00E42EFA"/>
    <w:rsid w:val="00E44B45"/>
    <w:rsid w:val="00E44EFD"/>
    <w:rsid w:val="00E45280"/>
    <w:rsid w:val="00E455F9"/>
    <w:rsid w:val="00E456E9"/>
    <w:rsid w:val="00E4623D"/>
    <w:rsid w:val="00E46502"/>
    <w:rsid w:val="00E4673F"/>
    <w:rsid w:val="00E471F0"/>
    <w:rsid w:val="00E47859"/>
    <w:rsid w:val="00E50172"/>
    <w:rsid w:val="00E50795"/>
    <w:rsid w:val="00E50E5F"/>
    <w:rsid w:val="00E511CF"/>
    <w:rsid w:val="00E51676"/>
    <w:rsid w:val="00E51A80"/>
    <w:rsid w:val="00E51DB3"/>
    <w:rsid w:val="00E51E11"/>
    <w:rsid w:val="00E52C8F"/>
    <w:rsid w:val="00E52FC2"/>
    <w:rsid w:val="00E5309A"/>
    <w:rsid w:val="00E5335E"/>
    <w:rsid w:val="00E53D2B"/>
    <w:rsid w:val="00E54527"/>
    <w:rsid w:val="00E54EE6"/>
    <w:rsid w:val="00E553FA"/>
    <w:rsid w:val="00E554D6"/>
    <w:rsid w:val="00E5557C"/>
    <w:rsid w:val="00E5639B"/>
    <w:rsid w:val="00E568E5"/>
    <w:rsid w:val="00E56A8D"/>
    <w:rsid w:val="00E56D44"/>
    <w:rsid w:val="00E56EEF"/>
    <w:rsid w:val="00E57466"/>
    <w:rsid w:val="00E57923"/>
    <w:rsid w:val="00E600D0"/>
    <w:rsid w:val="00E605A9"/>
    <w:rsid w:val="00E61527"/>
    <w:rsid w:val="00E6170C"/>
    <w:rsid w:val="00E62065"/>
    <w:rsid w:val="00E6263A"/>
    <w:rsid w:val="00E62AAC"/>
    <w:rsid w:val="00E63880"/>
    <w:rsid w:val="00E63E83"/>
    <w:rsid w:val="00E646D4"/>
    <w:rsid w:val="00E64B5D"/>
    <w:rsid w:val="00E662C8"/>
    <w:rsid w:val="00E66343"/>
    <w:rsid w:val="00E66843"/>
    <w:rsid w:val="00E6688E"/>
    <w:rsid w:val="00E6739E"/>
    <w:rsid w:val="00E67DA4"/>
    <w:rsid w:val="00E67FF3"/>
    <w:rsid w:val="00E70CD1"/>
    <w:rsid w:val="00E71097"/>
    <w:rsid w:val="00E715E5"/>
    <w:rsid w:val="00E717EE"/>
    <w:rsid w:val="00E71DA4"/>
    <w:rsid w:val="00E72429"/>
    <w:rsid w:val="00E73463"/>
    <w:rsid w:val="00E75622"/>
    <w:rsid w:val="00E75B64"/>
    <w:rsid w:val="00E75F11"/>
    <w:rsid w:val="00E7613C"/>
    <w:rsid w:val="00E7669D"/>
    <w:rsid w:val="00E76FE1"/>
    <w:rsid w:val="00E772FF"/>
    <w:rsid w:val="00E77394"/>
    <w:rsid w:val="00E779C5"/>
    <w:rsid w:val="00E77CCC"/>
    <w:rsid w:val="00E77EE6"/>
    <w:rsid w:val="00E80555"/>
    <w:rsid w:val="00E807F8"/>
    <w:rsid w:val="00E80C7A"/>
    <w:rsid w:val="00E819EB"/>
    <w:rsid w:val="00E81D78"/>
    <w:rsid w:val="00E82577"/>
    <w:rsid w:val="00E8417F"/>
    <w:rsid w:val="00E841E6"/>
    <w:rsid w:val="00E8464F"/>
    <w:rsid w:val="00E849D9"/>
    <w:rsid w:val="00E84CEE"/>
    <w:rsid w:val="00E856B5"/>
    <w:rsid w:val="00E8581C"/>
    <w:rsid w:val="00E85B37"/>
    <w:rsid w:val="00E866C1"/>
    <w:rsid w:val="00E86E32"/>
    <w:rsid w:val="00E86E38"/>
    <w:rsid w:val="00E86E48"/>
    <w:rsid w:val="00E86FB5"/>
    <w:rsid w:val="00E874EB"/>
    <w:rsid w:val="00E87A2D"/>
    <w:rsid w:val="00E87BA2"/>
    <w:rsid w:val="00E900E3"/>
    <w:rsid w:val="00E90754"/>
    <w:rsid w:val="00E909B4"/>
    <w:rsid w:val="00E91727"/>
    <w:rsid w:val="00E91C4F"/>
    <w:rsid w:val="00E924B7"/>
    <w:rsid w:val="00E9257F"/>
    <w:rsid w:val="00E925C8"/>
    <w:rsid w:val="00E925F4"/>
    <w:rsid w:val="00E92669"/>
    <w:rsid w:val="00E930E1"/>
    <w:rsid w:val="00E932DE"/>
    <w:rsid w:val="00E9441A"/>
    <w:rsid w:val="00E94970"/>
    <w:rsid w:val="00E949A5"/>
    <w:rsid w:val="00E94D9A"/>
    <w:rsid w:val="00E94EAF"/>
    <w:rsid w:val="00E95419"/>
    <w:rsid w:val="00E955C8"/>
    <w:rsid w:val="00E95DE2"/>
    <w:rsid w:val="00E96A51"/>
    <w:rsid w:val="00E96AEC"/>
    <w:rsid w:val="00E96D73"/>
    <w:rsid w:val="00E97025"/>
    <w:rsid w:val="00E97029"/>
    <w:rsid w:val="00E97338"/>
    <w:rsid w:val="00E977A7"/>
    <w:rsid w:val="00E97CC3"/>
    <w:rsid w:val="00E97D0F"/>
    <w:rsid w:val="00EA0A3B"/>
    <w:rsid w:val="00EA0B67"/>
    <w:rsid w:val="00EA0C5B"/>
    <w:rsid w:val="00EA118D"/>
    <w:rsid w:val="00EA13A7"/>
    <w:rsid w:val="00EA1620"/>
    <w:rsid w:val="00EA1FB3"/>
    <w:rsid w:val="00EA2546"/>
    <w:rsid w:val="00EA2698"/>
    <w:rsid w:val="00EA31DE"/>
    <w:rsid w:val="00EA3466"/>
    <w:rsid w:val="00EA41B2"/>
    <w:rsid w:val="00EA4742"/>
    <w:rsid w:val="00EA4E25"/>
    <w:rsid w:val="00EA51B3"/>
    <w:rsid w:val="00EA5733"/>
    <w:rsid w:val="00EA61D6"/>
    <w:rsid w:val="00EA68A4"/>
    <w:rsid w:val="00EA7B9E"/>
    <w:rsid w:val="00EB00F5"/>
    <w:rsid w:val="00EB0304"/>
    <w:rsid w:val="00EB0439"/>
    <w:rsid w:val="00EB0928"/>
    <w:rsid w:val="00EB0A0C"/>
    <w:rsid w:val="00EB0E14"/>
    <w:rsid w:val="00EB1450"/>
    <w:rsid w:val="00EB1B90"/>
    <w:rsid w:val="00EB25B3"/>
    <w:rsid w:val="00EB2D42"/>
    <w:rsid w:val="00EB35F4"/>
    <w:rsid w:val="00EB3804"/>
    <w:rsid w:val="00EB408E"/>
    <w:rsid w:val="00EB4207"/>
    <w:rsid w:val="00EB45B1"/>
    <w:rsid w:val="00EB4C7D"/>
    <w:rsid w:val="00EB4E6E"/>
    <w:rsid w:val="00EB4F02"/>
    <w:rsid w:val="00EB59E9"/>
    <w:rsid w:val="00EB5A2C"/>
    <w:rsid w:val="00EB5A48"/>
    <w:rsid w:val="00EB5E0B"/>
    <w:rsid w:val="00EB721E"/>
    <w:rsid w:val="00EC0CAB"/>
    <w:rsid w:val="00EC131E"/>
    <w:rsid w:val="00EC142B"/>
    <w:rsid w:val="00EC1B88"/>
    <w:rsid w:val="00EC1C35"/>
    <w:rsid w:val="00EC236A"/>
    <w:rsid w:val="00EC2654"/>
    <w:rsid w:val="00EC2995"/>
    <w:rsid w:val="00EC2C83"/>
    <w:rsid w:val="00EC39AA"/>
    <w:rsid w:val="00EC3AFA"/>
    <w:rsid w:val="00EC5007"/>
    <w:rsid w:val="00EC51EA"/>
    <w:rsid w:val="00EC5BFF"/>
    <w:rsid w:val="00EC5EF7"/>
    <w:rsid w:val="00EC6EF7"/>
    <w:rsid w:val="00ED0088"/>
    <w:rsid w:val="00ED05E5"/>
    <w:rsid w:val="00ED09D4"/>
    <w:rsid w:val="00ED0C23"/>
    <w:rsid w:val="00ED1619"/>
    <w:rsid w:val="00ED37DC"/>
    <w:rsid w:val="00ED3B6A"/>
    <w:rsid w:val="00ED4B90"/>
    <w:rsid w:val="00ED576E"/>
    <w:rsid w:val="00ED6577"/>
    <w:rsid w:val="00ED6EBF"/>
    <w:rsid w:val="00ED75FC"/>
    <w:rsid w:val="00EE08E9"/>
    <w:rsid w:val="00EE0906"/>
    <w:rsid w:val="00EE0954"/>
    <w:rsid w:val="00EE0B7B"/>
    <w:rsid w:val="00EE1033"/>
    <w:rsid w:val="00EE1EBF"/>
    <w:rsid w:val="00EE2A9E"/>
    <w:rsid w:val="00EE2ACA"/>
    <w:rsid w:val="00EE37A7"/>
    <w:rsid w:val="00EE3B9A"/>
    <w:rsid w:val="00EE485C"/>
    <w:rsid w:val="00EE51F1"/>
    <w:rsid w:val="00EE53E3"/>
    <w:rsid w:val="00EE546C"/>
    <w:rsid w:val="00EE57D9"/>
    <w:rsid w:val="00EE5AE4"/>
    <w:rsid w:val="00EE5E60"/>
    <w:rsid w:val="00EE6626"/>
    <w:rsid w:val="00EE6F94"/>
    <w:rsid w:val="00EE7193"/>
    <w:rsid w:val="00EF076A"/>
    <w:rsid w:val="00EF07BF"/>
    <w:rsid w:val="00EF1FF7"/>
    <w:rsid w:val="00EF222D"/>
    <w:rsid w:val="00EF2719"/>
    <w:rsid w:val="00EF2793"/>
    <w:rsid w:val="00EF2EED"/>
    <w:rsid w:val="00EF3C54"/>
    <w:rsid w:val="00EF4F30"/>
    <w:rsid w:val="00EF538F"/>
    <w:rsid w:val="00EF5454"/>
    <w:rsid w:val="00EF5698"/>
    <w:rsid w:val="00EF56A4"/>
    <w:rsid w:val="00EF588D"/>
    <w:rsid w:val="00EF6390"/>
    <w:rsid w:val="00EF7BBA"/>
    <w:rsid w:val="00F001D5"/>
    <w:rsid w:val="00F00F51"/>
    <w:rsid w:val="00F01450"/>
    <w:rsid w:val="00F017D8"/>
    <w:rsid w:val="00F018C9"/>
    <w:rsid w:val="00F01D48"/>
    <w:rsid w:val="00F01D9A"/>
    <w:rsid w:val="00F02576"/>
    <w:rsid w:val="00F026E6"/>
    <w:rsid w:val="00F02F02"/>
    <w:rsid w:val="00F050C9"/>
    <w:rsid w:val="00F05D3A"/>
    <w:rsid w:val="00F06520"/>
    <w:rsid w:val="00F06B3B"/>
    <w:rsid w:val="00F06CD9"/>
    <w:rsid w:val="00F076CC"/>
    <w:rsid w:val="00F1037D"/>
    <w:rsid w:val="00F1055F"/>
    <w:rsid w:val="00F107E5"/>
    <w:rsid w:val="00F10908"/>
    <w:rsid w:val="00F1117F"/>
    <w:rsid w:val="00F1176C"/>
    <w:rsid w:val="00F120D6"/>
    <w:rsid w:val="00F12F06"/>
    <w:rsid w:val="00F14178"/>
    <w:rsid w:val="00F142D8"/>
    <w:rsid w:val="00F14474"/>
    <w:rsid w:val="00F14968"/>
    <w:rsid w:val="00F14AEF"/>
    <w:rsid w:val="00F15035"/>
    <w:rsid w:val="00F151A2"/>
    <w:rsid w:val="00F1545F"/>
    <w:rsid w:val="00F154C4"/>
    <w:rsid w:val="00F155DA"/>
    <w:rsid w:val="00F15B1A"/>
    <w:rsid w:val="00F161B2"/>
    <w:rsid w:val="00F170F0"/>
    <w:rsid w:val="00F171D7"/>
    <w:rsid w:val="00F17977"/>
    <w:rsid w:val="00F17D6D"/>
    <w:rsid w:val="00F20244"/>
    <w:rsid w:val="00F208DF"/>
    <w:rsid w:val="00F20A76"/>
    <w:rsid w:val="00F210C4"/>
    <w:rsid w:val="00F211FF"/>
    <w:rsid w:val="00F218DC"/>
    <w:rsid w:val="00F21A80"/>
    <w:rsid w:val="00F21D5E"/>
    <w:rsid w:val="00F222F4"/>
    <w:rsid w:val="00F22815"/>
    <w:rsid w:val="00F2332F"/>
    <w:rsid w:val="00F23C75"/>
    <w:rsid w:val="00F23CE7"/>
    <w:rsid w:val="00F24090"/>
    <w:rsid w:val="00F243DE"/>
    <w:rsid w:val="00F251C3"/>
    <w:rsid w:val="00F2524F"/>
    <w:rsid w:val="00F252C5"/>
    <w:rsid w:val="00F25D99"/>
    <w:rsid w:val="00F25E7E"/>
    <w:rsid w:val="00F27111"/>
    <w:rsid w:val="00F275B5"/>
    <w:rsid w:val="00F278B1"/>
    <w:rsid w:val="00F27B0C"/>
    <w:rsid w:val="00F27CC6"/>
    <w:rsid w:val="00F3057E"/>
    <w:rsid w:val="00F30D3B"/>
    <w:rsid w:val="00F30E70"/>
    <w:rsid w:val="00F3134E"/>
    <w:rsid w:val="00F317C3"/>
    <w:rsid w:val="00F31DE2"/>
    <w:rsid w:val="00F31FC0"/>
    <w:rsid w:val="00F33AC3"/>
    <w:rsid w:val="00F33B37"/>
    <w:rsid w:val="00F33CC7"/>
    <w:rsid w:val="00F34321"/>
    <w:rsid w:val="00F3530C"/>
    <w:rsid w:val="00F3535F"/>
    <w:rsid w:val="00F35404"/>
    <w:rsid w:val="00F360C6"/>
    <w:rsid w:val="00F3664A"/>
    <w:rsid w:val="00F37BEA"/>
    <w:rsid w:val="00F37C26"/>
    <w:rsid w:val="00F4086C"/>
    <w:rsid w:val="00F414A0"/>
    <w:rsid w:val="00F417CA"/>
    <w:rsid w:val="00F421A2"/>
    <w:rsid w:val="00F426FC"/>
    <w:rsid w:val="00F42805"/>
    <w:rsid w:val="00F42894"/>
    <w:rsid w:val="00F42CA8"/>
    <w:rsid w:val="00F42DC4"/>
    <w:rsid w:val="00F42EB9"/>
    <w:rsid w:val="00F42EFA"/>
    <w:rsid w:val="00F437F0"/>
    <w:rsid w:val="00F439D2"/>
    <w:rsid w:val="00F43FB7"/>
    <w:rsid w:val="00F4456F"/>
    <w:rsid w:val="00F448A0"/>
    <w:rsid w:val="00F44B6B"/>
    <w:rsid w:val="00F44D36"/>
    <w:rsid w:val="00F4568A"/>
    <w:rsid w:val="00F479D6"/>
    <w:rsid w:val="00F47C8A"/>
    <w:rsid w:val="00F47DD0"/>
    <w:rsid w:val="00F5044D"/>
    <w:rsid w:val="00F50C03"/>
    <w:rsid w:val="00F51E22"/>
    <w:rsid w:val="00F51E49"/>
    <w:rsid w:val="00F52C82"/>
    <w:rsid w:val="00F53A43"/>
    <w:rsid w:val="00F543DA"/>
    <w:rsid w:val="00F546FB"/>
    <w:rsid w:val="00F54AF2"/>
    <w:rsid w:val="00F551A6"/>
    <w:rsid w:val="00F552B7"/>
    <w:rsid w:val="00F55C10"/>
    <w:rsid w:val="00F55FDD"/>
    <w:rsid w:val="00F564ED"/>
    <w:rsid w:val="00F570C2"/>
    <w:rsid w:val="00F57BE8"/>
    <w:rsid w:val="00F6030A"/>
    <w:rsid w:val="00F6037E"/>
    <w:rsid w:val="00F605D1"/>
    <w:rsid w:val="00F606F7"/>
    <w:rsid w:val="00F60CCC"/>
    <w:rsid w:val="00F61278"/>
    <w:rsid w:val="00F612EA"/>
    <w:rsid w:val="00F6184D"/>
    <w:rsid w:val="00F61A4A"/>
    <w:rsid w:val="00F61D60"/>
    <w:rsid w:val="00F61F24"/>
    <w:rsid w:val="00F62128"/>
    <w:rsid w:val="00F6290A"/>
    <w:rsid w:val="00F629F3"/>
    <w:rsid w:val="00F62BAA"/>
    <w:rsid w:val="00F63402"/>
    <w:rsid w:val="00F63426"/>
    <w:rsid w:val="00F63D66"/>
    <w:rsid w:val="00F64175"/>
    <w:rsid w:val="00F64231"/>
    <w:rsid w:val="00F64660"/>
    <w:rsid w:val="00F64987"/>
    <w:rsid w:val="00F649CE"/>
    <w:rsid w:val="00F65180"/>
    <w:rsid w:val="00F654B4"/>
    <w:rsid w:val="00F6572B"/>
    <w:rsid w:val="00F659B5"/>
    <w:rsid w:val="00F659BB"/>
    <w:rsid w:val="00F668FA"/>
    <w:rsid w:val="00F66F89"/>
    <w:rsid w:val="00F675F5"/>
    <w:rsid w:val="00F677FB"/>
    <w:rsid w:val="00F67A77"/>
    <w:rsid w:val="00F67D59"/>
    <w:rsid w:val="00F7003E"/>
    <w:rsid w:val="00F706DD"/>
    <w:rsid w:val="00F710B4"/>
    <w:rsid w:val="00F71AEC"/>
    <w:rsid w:val="00F72D55"/>
    <w:rsid w:val="00F72E19"/>
    <w:rsid w:val="00F736DC"/>
    <w:rsid w:val="00F737D4"/>
    <w:rsid w:val="00F74133"/>
    <w:rsid w:val="00F757DB"/>
    <w:rsid w:val="00F75C74"/>
    <w:rsid w:val="00F7666A"/>
    <w:rsid w:val="00F767F3"/>
    <w:rsid w:val="00F777E7"/>
    <w:rsid w:val="00F8006E"/>
    <w:rsid w:val="00F8068E"/>
    <w:rsid w:val="00F8101C"/>
    <w:rsid w:val="00F81647"/>
    <w:rsid w:val="00F81A7B"/>
    <w:rsid w:val="00F81C70"/>
    <w:rsid w:val="00F83D16"/>
    <w:rsid w:val="00F83FE2"/>
    <w:rsid w:val="00F847EB"/>
    <w:rsid w:val="00F84A3E"/>
    <w:rsid w:val="00F84E0F"/>
    <w:rsid w:val="00F854C2"/>
    <w:rsid w:val="00F855EC"/>
    <w:rsid w:val="00F85837"/>
    <w:rsid w:val="00F85A8A"/>
    <w:rsid w:val="00F863A5"/>
    <w:rsid w:val="00F86463"/>
    <w:rsid w:val="00F86FDF"/>
    <w:rsid w:val="00F87833"/>
    <w:rsid w:val="00F87892"/>
    <w:rsid w:val="00F907C6"/>
    <w:rsid w:val="00F913D4"/>
    <w:rsid w:val="00F913F8"/>
    <w:rsid w:val="00F9144E"/>
    <w:rsid w:val="00F91A1B"/>
    <w:rsid w:val="00F92053"/>
    <w:rsid w:val="00F92390"/>
    <w:rsid w:val="00F92B95"/>
    <w:rsid w:val="00F94800"/>
    <w:rsid w:val="00F94C38"/>
    <w:rsid w:val="00F95151"/>
    <w:rsid w:val="00F955AF"/>
    <w:rsid w:val="00F96099"/>
    <w:rsid w:val="00F97463"/>
    <w:rsid w:val="00F97CF9"/>
    <w:rsid w:val="00FA14FE"/>
    <w:rsid w:val="00FA1E14"/>
    <w:rsid w:val="00FA27D6"/>
    <w:rsid w:val="00FA2DC7"/>
    <w:rsid w:val="00FA402A"/>
    <w:rsid w:val="00FA41E8"/>
    <w:rsid w:val="00FA42EC"/>
    <w:rsid w:val="00FA58CF"/>
    <w:rsid w:val="00FA5C59"/>
    <w:rsid w:val="00FA611E"/>
    <w:rsid w:val="00FA64B9"/>
    <w:rsid w:val="00FA66A1"/>
    <w:rsid w:val="00FA68A6"/>
    <w:rsid w:val="00FA6F28"/>
    <w:rsid w:val="00FA7483"/>
    <w:rsid w:val="00FA7585"/>
    <w:rsid w:val="00FA7D6C"/>
    <w:rsid w:val="00FB009D"/>
    <w:rsid w:val="00FB0A84"/>
    <w:rsid w:val="00FB0B2B"/>
    <w:rsid w:val="00FB0B5B"/>
    <w:rsid w:val="00FB0DF1"/>
    <w:rsid w:val="00FB1190"/>
    <w:rsid w:val="00FB1553"/>
    <w:rsid w:val="00FB1B61"/>
    <w:rsid w:val="00FB1E84"/>
    <w:rsid w:val="00FB2033"/>
    <w:rsid w:val="00FB372A"/>
    <w:rsid w:val="00FB3985"/>
    <w:rsid w:val="00FB405B"/>
    <w:rsid w:val="00FB4339"/>
    <w:rsid w:val="00FB4948"/>
    <w:rsid w:val="00FB4C2D"/>
    <w:rsid w:val="00FB5159"/>
    <w:rsid w:val="00FB55CA"/>
    <w:rsid w:val="00FB5A1E"/>
    <w:rsid w:val="00FB5CB1"/>
    <w:rsid w:val="00FB5F68"/>
    <w:rsid w:val="00FB62CF"/>
    <w:rsid w:val="00FB66A8"/>
    <w:rsid w:val="00FB6E3E"/>
    <w:rsid w:val="00FB7336"/>
    <w:rsid w:val="00FB7E0A"/>
    <w:rsid w:val="00FC00BD"/>
    <w:rsid w:val="00FC01DD"/>
    <w:rsid w:val="00FC0311"/>
    <w:rsid w:val="00FC0CD7"/>
    <w:rsid w:val="00FC11DE"/>
    <w:rsid w:val="00FC12A0"/>
    <w:rsid w:val="00FC1A30"/>
    <w:rsid w:val="00FC1C17"/>
    <w:rsid w:val="00FC26FF"/>
    <w:rsid w:val="00FC2A8C"/>
    <w:rsid w:val="00FC2D72"/>
    <w:rsid w:val="00FC340C"/>
    <w:rsid w:val="00FC34BA"/>
    <w:rsid w:val="00FC369D"/>
    <w:rsid w:val="00FC391C"/>
    <w:rsid w:val="00FC421A"/>
    <w:rsid w:val="00FC4290"/>
    <w:rsid w:val="00FC493D"/>
    <w:rsid w:val="00FC4CFA"/>
    <w:rsid w:val="00FC50DA"/>
    <w:rsid w:val="00FC5A8A"/>
    <w:rsid w:val="00FC5D9D"/>
    <w:rsid w:val="00FC5E8D"/>
    <w:rsid w:val="00FC63E4"/>
    <w:rsid w:val="00FC63FE"/>
    <w:rsid w:val="00FC6D1C"/>
    <w:rsid w:val="00FD0404"/>
    <w:rsid w:val="00FD07D8"/>
    <w:rsid w:val="00FD0A22"/>
    <w:rsid w:val="00FD18A9"/>
    <w:rsid w:val="00FD2265"/>
    <w:rsid w:val="00FD2714"/>
    <w:rsid w:val="00FD379D"/>
    <w:rsid w:val="00FD3840"/>
    <w:rsid w:val="00FD3E30"/>
    <w:rsid w:val="00FD4303"/>
    <w:rsid w:val="00FD4810"/>
    <w:rsid w:val="00FD5ACE"/>
    <w:rsid w:val="00FD5FF5"/>
    <w:rsid w:val="00FD640C"/>
    <w:rsid w:val="00FD64E9"/>
    <w:rsid w:val="00FD686C"/>
    <w:rsid w:val="00FD6977"/>
    <w:rsid w:val="00FD711C"/>
    <w:rsid w:val="00FD71DA"/>
    <w:rsid w:val="00FD72C5"/>
    <w:rsid w:val="00FD7A3A"/>
    <w:rsid w:val="00FE01BE"/>
    <w:rsid w:val="00FE09E0"/>
    <w:rsid w:val="00FE16C3"/>
    <w:rsid w:val="00FE239C"/>
    <w:rsid w:val="00FE2670"/>
    <w:rsid w:val="00FE27E0"/>
    <w:rsid w:val="00FE2A8E"/>
    <w:rsid w:val="00FE2CA6"/>
    <w:rsid w:val="00FE3245"/>
    <w:rsid w:val="00FE3315"/>
    <w:rsid w:val="00FE376F"/>
    <w:rsid w:val="00FE4115"/>
    <w:rsid w:val="00FE41C5"/>
    <w:rsid w:val="00FE4E05"/>
    <w:rsid w:val="00FE5486"/>
    <w:rsid w:val="00FE553A"/>
    <w:rsid w:val="00FE5A76"/>
    <w:rsid w:val="00FE5F24"/>
    <w:rsid w:val="00FE63F3"/>
    <w:rsid w:val="00FE6BF7"/>
    <w:rsid w:val="00FE79AF"/>
    <w:rsid w:val="00FE7CB7"/>
    <w:rsid w:val="00FE7CD0"/>
    <w:rsid w:val="00FF0364"/>
    <w:rsid w:val="00FF0B09"/>
    <w:rsid w:val="00FF0CF3"/>
    <w:rsid w:val="00FF13D2"/>
    <w:rsid w:val="00FF2AB5"/>
    <w:rsid w:val="00FF327A"/>
    <w:rsid w:val="00FF3457"/>
    <w:rsid w:val="00FF36DF"/>
    <w:rsid w:val="00FF38A2"/>
    <w:rsid w:val="00FF3DF3"/>
    <w:rsid w:val="00FF4F57"/>
    <w:rsid w:val="00FF548A"/>
    <w:rsid w:val="00FF5B6D"/>
    <w:rsid w:val="00FF5BE1"/>
    <w:rsid w:val="00FF6148"/>
    <w:rsid w:val="00FF6F35"/>
    <w:rsid w:val="00FF713B"/>
    <w:rsid w:val="00FF750E"/>
    <w:rsid w:val="00FF7648"/>
    <w:rsid w:val="00FF7676"/>
    <w:rsid w:val="00FF775F"/>
    <w:rsid w:val="00FF7856"/>
    <w:rsid w:val="00FF7D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colormru v:ext="edit" colors="#ccecff,#ccf,#f8f4ed"/>
    </o:shapedefaults>
    <o:shapelayout v:ext="edit">
      <o:idmap v:ext="edit" data="1"/>
    </o:shapelayout>
  </w:shapeDefaults>
  <w:decimalSymbol w:val=","/>
  <w:listSeparator w:val=";"/>
  <w14:docId w14:val="64DC727F"/>
  <w15:docId w15:val="{ED4B8D29-027F-41C0-B90D-7CE80FA5D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99"/>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55133"/>
    <w:pPr>
      <w:spacing w:line="312" w:lineRule="auto"/>
      <w:jc w:val="both"/>
    </w:pPr>
  </w:style>
  <w:style w:type="paragraph" w:styleId="Ttulo1">
    <w:name w:val="heading 1"/>
    <w:basedOn w:val="Normal"/>
    <w:next w:val="Normal"/>
    <w:qFormat/>
    <w:rsid w:val="00AB4B0C"/>
    <w:pPr>
      <w:keepNext/>
      <w:pBdr>
        <w:bottom w:val="single" w:sz="6" w:space="1" w:color="auto"/>
      </w:pBdr>
      <w:shd w:val="pct10" w:color="auto" w:fill="auto"/>
      <w:outlineLvl w:val="0"/>
    </w:pPr>
    <w:rPr>
      <w:b/>
      <w:sz w:val="24"/>
      <w14:shadow w14:blurRad="50800" w14:dist="38100" w14:dir="2700000" w14:sx="100000" w14:sy="100000" w14:kx="0" w14:ky="0" w14:algn="tl">
        <w14:srgbClr w14:val="000000">
          <w14:alpha w14:val="60000"/>
        </w14:srgbClr>
      </w14:shadow>
    </w:rPr>
  </w:style>
  <w:style w:type="paragraph" w:styleId="Ttulo2">
    <w:name w:val="heading 2"/>
    <w:basedOn w:val="Normal"/>
    <w:next w:val="Normal"/>
    <w:autoRedefine/>
    <w:qFormat/>
    <w:rsid w:val="003E35E4"/>
    <w:pPr>
      <w:keepNext/>
      <w:spacing w:after="60" w:line="276" w:lineRule="auto"/>
      <w:ind w:left="360" w:right="51"/>
      <w:outlineLvl w:val="1"/>
    </w:pPr>
    <w:rPr>
      <w:rFonts w:ascii="Calibri" w:hAnsi="Calibri" w:cs="Arial"/>
      <w:b/>
      <w:sz w:val="28"/>
      <w:szCs w:val="24"/>
      <w:lang w:val="es-CR"/>
    </w:rPr>
  </w:style>
  <w:style w:type="paragraph" w:styleId="Ttulo3">
    <w:name w:val="heading 3"/>
    <w:basedOn w:val="Normal"/>
    <w:next w:val="Normal"/>
    <w:autoRedefine/>
    <w:qFormat/>
    <w:rsid w:val="00A9221D"/>
    <w:pPr>
      <w:keepNext/>
      <w:spacing w:line="240" w:lineRule="auto"/>
      <w:ind w:left="142"/>
      <w:jc w:val="left"/>
      <w:outlineLvl w:val="2"/>
    </w:pPr>
    <w:rPr>
      <w:rFonts w:ascii="Calibri" w:hAnsi="Calibri" w:cstheme="minorHAnsi"/>
      <w:b/>
      <w:bCs/>
      <w:iCs/>
      <w:sz w:val="24"/>
      <w:szCs w:val="22"/>
      <w:lang w:val="es-CR"/>
      <w14:shadow w14:blurRad="50800" w14:dist="38100" w14:dir="2700000" w14:sx="100000" w14:sy="100000" w14:kx="0" w14:ky="0" w14:algn="tl">
        <w14:srgbClr w14:val="000000">
          <w14:alpha w14:val="60000"/>
        </w14:srgbClr>
      </w14:shadow>
    </w:rPr>
  </w:style>
  <w:style w:type="paragraph" w:styleId="Ttulo4">
    <w:name w:val="heading 4"/>
    <w:basedOn w:val="Normal"/>
    <w:next w:val="Normal"/>
    <w:qFormat/>
    <w:rsid w:val="00AB4B0C"/>
    <w:pPr>
      <w:keepNext/>
      <w:outlineLvl w:val="3"/>
    </w:pPr>
    <w:rPr>
      <w:b/>
      <w:snapToGrid w:val="0"/>
      <w:color w:val="000000"/>
      <w:sz w:val="18"/>
    </w:rPr>
  </w:style>
  <w:style w:type="paragraph" w:styleId="Ttulo5">
    <w:name w:val="heading 5"/>
    <w:basedOn w:val="Normal"/>
    <w:next w:val="Normal"/>
    <w:qFormat/>
    <w:rsid w:val="00AB4B0C"/>
    <w:pPr>
      <w:keepNext/>
      <w:outlineLvl w:val="4"/>
    </w:pPr>
    <w:rPr>
      <w:b/>
      <w:snapToGrid w:val="0"/>
      <w:color w:val="000000"/>
      <w:sz w:val="16"/>
    </w:rPr>
  </w:style>
  <w:style w:type="paragraph" w:styleId="Ttulo6">
    <w:name w:val="heading 6"/>
    <w:basedOn w:val="Normal"/>
    <w:next w:val="Normal"/>
    <w:qFormat/>
    <w:rsid w:val="00AB4B0C"/>
    <w:pPr>
      <w:keepNext/>
      <w:jc w:val="center"/>
      <w:outlineLvl w:val="5"/>
    </w:pPr>
    <w:rPr>
      <w:b/>
      <w:snapToGrid w:val="0"/>
      <w:color w:val="000080"/>
      <w:sz w:val="16"/>
      <w:u w:val="single"/>
    </w:rPr>
  </w:style>
  <w:style w:type="paragraph" w:styleId="Ttulo7">
    <w:name w:val="heading 7"/>
    <w:basedOn w:val="Normal"/>
    <w:next w:val="Normal"/>
    <w:qFormat/>
    <w:rsid w:val="00AB4B0C"/>
    <w:pPr>
      <w:keepNext/>
      <w:jc w:val="center"/>
      <w:outlineLvl w:val="6"/>
    </w:pPr>
    <w:rPr>
      <w:b/>
      <w:snapToGrid w:val="0"/>
      <w:color w:val="000000"/>
      <w:sz w:val="14"/>
    </w:rPr>
  </w:style>
  <w:style w:type="paragraph" w:styleId="Ttulo8">
    <w:name w:val="heading 8"/>
    <w:basedOn w:val="Normal"/>
    <w:next w:val="Normal"/>
    <w:qFormat/>
    <w:rsid w:val="00AB4B0C"/>
    <w:pPr>
      <w:keepNext/>
      <w:outlineLvl w:val="7"/>
    </w:pPr>
    <w:rPr>
      <w:b/>
      <w:snapToGrid w:val="0"/>
      <w:color w:val="000000"/>
      <w:sz w:val="14"/>
    </w:rPr>
  </w:style>
  <w:style w:type="paragraph" w:styleId="Ttulo9">
    <w:name w:val="heading 9"/>
    <w:basedOn w:val="Normal"/>
    <w:next w:val="Normal"/>
    <w:qFormat/>
    <w:rsid w:val="00AB4B0C"/>
    <w:pPr>
      <w:keepNext/>
      <w:jc w:val="center"/>
      <w:outlineLvl w:val="8"/>
    </w:pPr>
    <w:rPr>
      <w:b/>
      <w:snapToGrid w:val="0"/>
      <w:color w:val="000000"/>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autoRedefine/>
    <w:qFormat/>
    <w:rsid w:val="00AB4B0C"/>
    <w:pPr>
      <w:pBdr>
        <w:bottom w:val="single" w:sz="6" w:space="1" w:color="auto"/>
      </w:pBdr>
      <w:shd w:val="pct10" w:color="auto" w:fill="auto"/>
      <w:jc w:val="left"/>
    </w:pPr>
    <w:rPr>
      <w:b/>
      <w:sz w:val="24"/>
    </w:rPr>
  </w:style>
  <w:style w:type="paragraph" w:styleId="Textoindependiente">
    <w:name w:val="Body Text"/>
    <w:basedOn w:val="Normal"/>
    <w:link w:val="TextoindependienteCar"/>
    <w:rsid w:val="00AB4B0C"/>
    <w:pPr>
      <w:numPr>
        <w:numId w:val="1"/>
      </w:numPr>
    </w:pPr>
    <w:rPr>
      <w:sz w:val="24"/>
    </w:rPr>
  </w:style>
  <w:style w:type="paragraph" w:styleId="Mapadeldocumento">
    <w:name w:val="Document Map"/>
    <w:basedOn w:val="Normal"/>
    <w:semiHidden/>
    <w:rsid w:val="00AB4B0C"/>
    <w:pPr>
      <w:shd w:val="clear" w:color="auto" w:fill="000080"/>
    </w:pPr>
    <w:rPr>
      <w:rFonts w:ascii="Tahoma" w:hAnsi="Tahoma"/>
    </w:rPr>
  </w:style>
  <w:style w:type="paragraph" w:styleId="Textoindependiente2">
    <w:name w:val="Body Text 2"/>
    <w:basedOn w:val="Normal"/>
    <w:link w:val="Textoindependiente2Car"/>
    <w:rsid w:val="00AB4B0C"/>
  </w:style>
  <w:style w:type="character" w:customStyle="1" w:styleId="Textoindependiente2Car">
    <w:name w:val="Texto independiente 2 Car"/>
    <w:basedOn w:val="Fuentedeprrafopredeter"/>
    <w:link w:val="Textoindependiente2"/>
    <w:rsid w:val="00D47BAD"/>
    <w:rPr>
      <w:rFonts w:ascii="Arial" w:hAnsi="Arial"/>
      <w:sz w:val="22"/>
      <w:lang w:val="es-ES" w:eastAsia="es-ES"/>
    </w:rPr>
  </w:style>
  <w:style w:type="paragraph" w:styleId="Textoindependiente3">
    <w:name w:val="Body Text 3"/>
    <w:basedOn w:val="Normal"/>
    <w:rsid w:val="00AB4B0C"/>
  </w:style>
  <w:style w:type="paragraph" w:styleId="Encabezado">
    <w:name w:val="header"/>
    <w:basedOn w:val="Normal"/>
    <w:link w:val="EncabezadoCar"/>
    <w:rsid w:val="00AB4B0C"/>
    <w:pPr>
      <w:tabs>
        <w:tab w:val="center" w:pos="4252"/>
        <w:tab w:val="right" w:pos="8504"/>
      </w:tabs>
    </w:pPr>
  </w:style>
  <w:style w:type="paragraph" w:styleId="Piedepgina">
    <w:name w:val="footer"/>
    <w:basedOn w:val="Normal"/>
    <w:link w:val="PiedepginaCar"/>
    <w:uiPriority w:val="99"/>
    <w:rsid w:val="00AB4B0C"/>
    <w:pPr>
      <w:tabs>
        <w:tab w:val="center" w:pos="4252"/>
        <w:tab w:val="right" w:pos="8504"/>
      </w:tabs>
    </w:pPr>
  </w:style>
  <w:style w:type="paragraph" w:customStyle="1" w:styleId="xl29">
    <w:name w:val="xl29"/>
    <w:basedOn w:val="Normal"/>
    <w:rsid w:val="00AB4B0C"/>
    <w:pPr>
      <w:spacing w:before="100" w:after="100" w:line="240" w:lineRule="auto"/>
      <w:jc w:val="left"/>
    </w:pPr>
    <w:rPr>
      <w:rFonts w:eastAsia="Arial Unicode MS"/>
      <w:b/>
      <w:sz w:val="24"/>
    </w:rPr>
  </w:style>
  <w:style w:type="paragraph" w:customStyle="1" w:styleId="Textosinformato1">
    <w:name w:val="Texto sin formato1"/>
    <w:basedOn w:val="Normal"/>
    <w:rsid w:val="00AB4B0C"/>
    <w:pPr>
      <w:spacing w:line="240" w:lineRule="auto"/>
      <w:jc w:val="left"/>
    </w:pPr>
    <w:rPr>
      <w:rFonts w:ascii="Courier New" w:hAnsi="Courier New"/>
    </w:rPr>
  </w:style>
  <w:style w:type="paragraph" w:styleId="Textonotapie">
    <w:name w:val="footnote text"/>
    <w:basedOn w:val="Normal"/>
    <w:link w:val="TextonotapieCar"/>
    <w:semiHidden/>
    <w:rsid w:val="00AB4B0C"/>
    <w:pPr>
      <w:spacing w:line="240" w:lineRule="auto"/>
      <w:jc w:val="left"/>
    </w:pPr>
  </w:style>
  <w:style w:type="character" w:customStyle="1" w:styleId="TextonotapieCar">
    <w:name w:val="Texto nota pie Car"/>
    <w:basedOn w:val="Fuentedeprrafopredeter"/>
    <w:link w:val="Textonotapie"/>
    <w:semiHidden/>
    <w:rsid w:val="00153918"/>
    <w:rPr>
      <w:lang w:val="es-ES" w:eastAsia="es-ES"/>
    </w:rPr>
  </w:style>
  <w:style w:type="character" w:styleId="Refdenotaalpie">
    <w:name w:val="footnote reference"/>
    <w:basedOn w:val="Fuentedeprrafopredeter"/>
    <w:semiHidden/>
    <w:rsid w:val="00AB4B0C"/>
    <w:rPr>
      <w:vertAlign w:val="superscript"/>
    </w:rPr>
  </w:style>
  <w:style w:type="paragraph" w:styleId="ndice1">
    <w:name w:val="index 1"/>
    <w:basedOn w:val="Normal"/>
    <w:next w:val="Normal"/>
    <w:autoRedefine/>
    <w:semiHidden/>
    <w:rsid w:val="00AB4B0C"/>
    <w:pPr>
      <w:ind w:left="220" w:hanging="220"/>
      <w:jc w:val="left"/>
    </w:pPr>
  </w:style>
  <w:style w:type="paragraph" w:styleId="ndice2">
    <w:name w:val="index 2"/>
    <w:basedOn w:val="Normal"/>
    <w:next w:val="Normal"/>
    <w:autoRedefine/>
    <w:semiHidden/>
    <w:rsid w:val="00AB4B0C"/>
    <w:pPr>
      <w:ind w:left="440" w:hanging="220"/>
      <w:jc w:val="left"/>
    </w:pPr>
  </w:style>
  <w:style w:type="paragraph" w:styleId="ndice3">
    <w:name w:val="index 3"/>
    <w:basedOn w:val="Normal"/>
    <w:next w:val="Normal"/>
    <w:autoRedefine/>
    <w:semiHidden/>
    <w:rsid w:val="00AB4B0C"/>
    <w:pPr>
      <w:ind w:left="660" w:hanging="220"/>
      <w:jc w:val="left"/>
    </w:pPr>
  </w:style>
  <w:style w:type="paragraph" w:styleId="ndice4">
    <w:name w:val="index 4"/>
    <w:basedOn w:val="Normal"/>
    <w:next w:val="Normal"/>
    <w:autoRedefine/>
    <w:semiHidden/>
    <w:rsid w:val="00AB4B0C"/>
    <w:pPr>
      <w:ind w:left="880" w:hanging="220"/>
      <w:jc w:val="left"/>
    </w:pPr>
  </w:style>
  <w:style w:type="paragraph" w:styleId="ndice5">
    <w:name w:val="index 5"/>
    <w:basedOn w:val="Normal"/>
    <w:next w:val="Normal"/>
    <w:autoRedefine/>
    <w:semiHidden/>
    <w:rsid w:val="00AB4B0C"/>
    <w:pPr>
      <w:ind w:left="1100" w:hanging="220"/>
      <w:jc w:val="left"/>
    </w:pPr>
  </w:style>
  <w:style w:type="paragraph" w:styleId="ndice6">
    <w:name w:val="index 6"/>
    <w:basedOn w:val="Normal"/>
    <w:next w:val="Normal"/>
    <w:autoRedefine/>
    <w:semiHidden/>
    <w:rsid w:val="00AB4B0C"/>
    <w:pPr>
      <w:ind w:left="1320" w:hanging="220"/>
      <w:jc w:val="left"/>
    </w:pPr>
  </w:style>
  <w:style w:type="paragraph" w:styleId="ndice7">
    <w:name w:val="index 7"/>
    <w:basedOn w:val="Normal"/>
    <w:next w:val="Normal"/>
    <w:autoRedefine/>
    <w:semiHidden/>
    <w:rsid w:val="00AB4B0C"/>
    <w:pPr>
      <w:ind w:left="1540" w:hanging="220"/>
      <w:jc w:val="left"/>
    </w:pPr>
  </w:style>
  <w:style w:type="paragraph" w:styleId="ndice8">
    <w:name w:val="index 8"/>
    <w:basedOn w:val="Normal"/>
    <w:next w:val="Normal"/>
    <w:autoRedefine/>
    <w:semiHidden/>
    <w:rsid w:val="00AB4B0C"/>
    <w:pPr>
      <w:ind w:left="1760" w:hanging="220"/>
      <w:jc w:val="left"/>
    </w:pPr>
  </w:style>
  <w:style w:type="paragraph" w:styleId="ndice9">
    <w:name w:val="index 9"/>
    <w:basedOn w:val="Normal"/>
    <w:next w:val="Normal"/>
    <w:autoRedefine/>
    <w:semiHidden/>
    <w:rsid w:val="00AB4B0C"/>
    <w:pPr>
      <w:ind w:left="1980" w:hanging="220"/>
      <w:jc w:val="left"/>
    </w:pPr>
  </w:style>
  <w:style w:type="paragraph" w:styleId="Ttulodendice">
    <w:name w:val="index heading"/>
    <w:basedOn w:val="Normal"/>
    <w:next w:val="ndice1"/>
    <w:semiHidden/>
    <w:rsid w:val="00AB4B0C"/>
    <w:pPr>
      <w:spacing w:before="120" w:after="120"/>
      <w:jc w:val="left"/>
    </w:pPr>
    <w:rPr>
      <w:b/>
      <w:i/>
    </w:rPr>
  </w:style>
  <w:style w:type="paragraph" w:styleId="TDC1">
    <w:name w:val="toc 1"/>
    <w:basedOn w:val="Normal"/>
    <w:next w:val="Normal"/>
    <w:autoRedefine/>
    <w:uiPriority w:val="39"/>
    <w:rsid w:val="00D05160"/>
    <w:pPr>
      <w:tabs>
        <w:tab w:val="left" w:pos="709"/>
        <w:tab w:val="right" w:leader="dot" w:pos="8830"/>
      </w:tabs>
      <w:spacing w:after="120" w:line="240" w:lineRule="auto"/>
      <w:ind w:right="51"/>
      <w:jc w:val="left"/>
    </w:pPr>
    <w:rPr>
      <w:b/>
      <w:bCs/>
      <w:caps/>
      <w:sz w:val="18"/>
      <w:lang w:val="es-CR"/>
    </w:rPr>
  </w:style>
  <w:style w:type="paragraph" w:styleId="TDC2">
    <w:name w:val="toc 2"/>
    <w:basedOn w:val="Normal"/>
    <w:next w:val="Normal"/>
    <w:autoRedefine/>
    <w:uiPriority w:val="39"/>
    <w:rsid w:val="009B153B"/>
    <w:pPr>
      <w:tabs>
        <w:tab w:val="left" w:pos="660"/>
        <w:tab w:val="right" w:leader="dot" w:pos="8830"/>
      </w:tabs>
      <w:ind w:left="709" w:hanging="489"/>
      <w:jc w:val="left"/>
    </w:pPr>
    <w:rPr>
      <w:smallCaps/>
    </w:rPr>
  </w:style>
  <w:style w:type="paragraph" w:styleId="TDC3">
    <w:name w:val="toc 3"/>
    <w:basedOn w:val="Normal"/>
    <w:next w:val="Normal"/>
    <w:autoRedefine/>
    <w:uiPriority w:val="39"/>
    <w:rsid w:val="00D07415"/>
    <w:pPr>
      <w:tabs>
        <w:tab w:val="right" w:leader="dot" w:pos="8830"/>
      </w:tabs>
      <w:ind w:left="426"/>
      <w:jc w:val="left"/>
    </w:pPr>
    <w:rPr>
      <w:i/>
      <w:iCs/>
      <w:noProof/>
    </w:rPr>
  </w:style>
  <w:style w:type="paragraph" w:styleId="TDC4">
    <w:name w:val="toc 4"/>
    <w:basedOn w:val="Normal"/>
    <w:next w:val="Normal"/>
    <w:autoRedefine/>
    <w:semiHidden/>
    <w:rsid w:val="00AB4B0C"/>
    <w:pPr>
      <w:ind w:left="660"/>
      <w:jc w:val="left"/>
    </w:pPr>
    <w:rPr>
      <w:sz w:val="18"/>
      <w:szCs w:val="18"/>
    </w:rPr>
  </w:style>
  <w:style w:type="paragraph" w:styleId="TDC5">
    <w:name w:val="toc 5"/>
    <w:basedOn w:val="Normal"/>
    <w:next w:val="Normal"/>
    <w:autoRedefine/>
    <w:semiHidden/>
    <w:rsid w:val="00AB4B0C"/>
    <w:pPr>
      <w:ind w:left="880"/>
      <w:jc w:val="left"/>
    </w:pPr>
    <w:rPr>
      <w:sz w:val="18"/>
      <w:szCs w:val="18"/>
    </w:rPr>
  </w:style>
  <w:style w:type="paragraph" w:styleId="TDC6">
    <w:name w:val="toc 6"/>
    <w:basedOn w:val="Normal"/>
    <w:next w:val="Normal"/>
    <w:autoRedefine/>
    <w:semiHidden/>
    <w:rsid w:val="00AB4B0C"/>
    <w:pPr>
      <w:ind w:left="1100"/>
      <w:jc w:val="left"/>
    </w:pPr>
    <w:rPr>
      <w:sz w:val="18"/>
      <w:szCs w:val="18"/>
    </w:rPr>
  </w:style>
  <w:style w:type="paragraph" w:styleId="TDC7">
    <w:name w:val="toc 7"/>
    <w:basedOn w:val="Normal"/>
    <w:next w:val="Normal"/>
    <w:autoRedefine/>
    <w:semiHidden/>
    <w:rsid w:val="00AB4B0C"/>
    <w:pPr>
      <w:ind w:left="1320"/>
      <w:jc w:val="left"/>
    </w:pPr>
    <w:rPr>
      <w:sz w:val="18"/>
      <w:szCs w:val="18"/>
    </w:rPr>
  </w:style>
  <w:style w:type="paragraph" w:styleId="TDC8">
    <w:name w:val="toc 8"/>
    <w:basedOn w:val="Normal"/>
    <w:next w:val="Normal"/>
    <w:autoRedefine/>
    <w:semiHidden/>
    <w:rsid w:val="00AB4B0C"/>
    <w:pPr>
      <w:ind w:left="1540"/>
      <w:jc w:val="left"/>
    </w:pPr>
    <w:rPr>
      <w:sz w:val="18"/>
      <w:szCs w:val="18"/>
    </w:rPr>
  </w:style>
  <w:style w:type="paragraph" w:styleId="TDC9">
    <w:name w:val="toc 9"/>
    <w:basedOn w:val="Normal"/>
    <w:next w:val="Normal"/>
    <w:autoRedefine/>
    <w:semiHidden/>
    <w:rsid w:val="00AB4B0C"/>
    <w:pPr>
      <w:ind w:left="1760"/>
      <w:jc w:val="left"/>
    </w:pPr>
    <w:rPr>
      <w:sz w:val="18"/>
      <w:szCs w:val="18"/>
    </w:rPr>
  </w:style>
  <w:style w:type="paragraph" w:styleId="Sangradetextonormal">
    <w:name w:val="Body Text Indent"/>
    <w:basedOn w:val="Normal"/>
    <w:rsid w:val="00AB4B0C"/>
    <w:pPr>
      <w:ind w:left="360"/>
    </w:pPr>
  </w:style>
  <w:style w:type="character" w:styleId="Nmerodepgina">
    <w:name w:val="page number"/>
    <w:basedOn w:val="Fuentedeprrafopredeter"/>
    <w:rsid w:val="00D76D8B"/>
  </w:style>
  <w:style w:type="paragraph" w:customStyle="1" w:styleId="1">
    <w:name w:val="1"/>
    <w:basedOn w:val="Normal"/>
    <w:next w:val="Sangradetextonormal"/>
    <w:rsid w:val="00A8582A"/>
    <w:pPr>
      <w:spacing w:line="240" w:lineRule="auto"/>
      <w:ind w:firstLine="708"/>
    </w:pPr>
    <w:rPr>
      <w:sz w:val="24"/>
      <w:lang w:val="es-ES_tradnl"/>
    </w:rPr>
  </w:style>
  <w:style w:type="character" w:customStyle="1" w:styleId="EstiloCorreo50">
    <w:name w:val="EstiloCorreo50"/>
    <w:basedOn w:val="Fuentedeprrafopredeter"/>
    <w:semiHidden/>
    <w:rsid w:val="008131A8"/>
    <w:rPr>
      <w:rFonts w:ascii="Arial" w:hAnsi="Arial" w:cs="Arial"/>
      <w:color w:val="000080"/>
      <w:sz w:val="20"/>
      <w:szCs w:val="20"/>
    </w:rPr>
  </w:style>
  <w:style w:type="table" w:styleId="Tablaconcuadrcula">
    <w:name w:val="Table Grid"/>
    <w:basedOn w:val="Tablanormal"/>
    <w:uiPriority w:val="59"/>
    <w:rsid w:val="00F677FB"/>
    <w:pPr>
      <w:spacing w:line="312"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rsid w:val="00ED0088"/>
    <w:rPr>
      <w:color w:val="0000FF"/>
      <w:u w:val="single"/>
    </w:rPr>
  </w:style>
  <w:style w:type="character" w:styleId="Hipervnculovisitado">
    <w:name w:val="FollowedHyperlink"/>
    <w:basedOn w:val="Fuentedeprrafopredeter"/>
    <w:rsid w:val="00ED0088"/>
    <w:rPr>
      <w:color w:val="800080"/>
      <w:u w:val="single"/>
    </w:rPr>
  </w:style>
  <w:style w:type="paragraph" w:customStyle="1" w:styleId="font0">
    <w:name w:val="font0"/>
    <w:basedOn w:val="Normal"/>
    <w:rsid w:val="00ED0088"/>
    <w:pPr>
      <w:spacing w:before="100" w:beforeAutospacing="1" w:after="100" w:afterAutospacing="1" w:line="240" w:lineRule="auto"/>
      <w:jc w:val="left"/>
    </w:pPr>
    <w:rPr>
      <w:rFonts w:cs="Arial"/>
      <w:lang w:val="es-MX" w:eastAsia="es-MX"/>
    </w:rPr>
  </w:style>
  <w:style w:type="paragraph" w:customStyle="1" w:styleId="font5">
    <w:name w:val="font5"/>
    <w:basedOn w:val="Normal"/>
    <w:rsid w:val="00ED0088"/>
    <w:pPr>
      <w:spacing w:before="100" w:beforeAutospacing="1" w:after="100" w:afterAutospacing="1" w:line="240" w:lineRule="auto"/>
      <w:jc w:val="left"/>
    </w:pPr>
    <w:rPr>
      <w:rFonts w:cs="Arial"/>
      <w:b/>
      <w:bCs/>
      <w:lang w:val="es-MX" w:eastAsia="es-MX"/>
    </w:rPr>
  </w:style>
  <w:style w:type="paragraph" w:customStyle="1" w:styleId="font6">
    <w:name w:val="font6"/>
    <w:basedOn w:val="Normal"/>
    <w:rsid w:val="00ED0088"/>
    <w:pPr>
      <w:spacing w:before="100" w:beforeAutospacing="1" w:after="100" w:afterAutospacing="1" w:line="240" w:lineRule="auto"/>
      <w:jc w:val="left"/>
    </w:pPr>
    <w:rPr>
      <w:rFonts w:cs="Arial"/>
      <w:b/>
      <w:bCs/>
      <w:sz w:val="18"/>
      <w:szCs w:val="18"/>
      <w:lang w:val="es-MX" w:eastAsia="es-MX"/>
    </w:rPr>
  </w:style>
  <w:style w:type="paragraph" w:customStyle="1" w:styleId="font7">
    <w:name w:val="font7"/>
    <w:basedOn w:val="Normal"/>
    <w:rsid w:val="00ED0088"/>
    <w:pPr>
      <w:spacing w:before="100" w:beforeAutospacing="1" w:after="100" w:afterAutospacing="1" w:line="240" w:lineRule="auto"/>
      <w:jc w:val="left"/>
    </w:pPr>
    <w:rPr>
      <w:rFonts w:cs="Arial"/>
      <w:b/>
      <w:bCs/>
      <w:color w:val="0000FF"/>
      <w:lang w:val="es-MX" w:eastAsia="es-MX"/>
    </w:rPr>
  </w:style>
  <w:style w:type="paragraph" w:customStyle="1" w:styleId="font8">
    <w:name w:val="font8"/>
    <w:basedOn w:val="Normal"/>
    <w:rsid w:val="00ED0088"/>
    <w:pPr>
      <w:spacing w:before="100" w:beforeAutospacing="1" w:after="100" w:afterAutospacing="1" w:line="240" w:lineRule="auto"/>
      <w:jc w:val="left"/>
    </w:pPr>
    <w:rPr>
      <w:rFonts w:cs="Arial"/>
      <w:color w:val="0000FF"/>
      <w:lang w:val="es-MX" w:eastAsia="es-MX"/>
    </w:rPr>
  </w:style>
  <w:style w:type="paragraph" w:customStyle="1" w:styleId="font9">
    <w:name w:val="font9"/>
    <w:basedOn w:val="Normal"/>
    <w:rsid w:val="00ED0088"/>
    <w:pPr>
      <w:spacing w:before="100" w:beforeAutospacing="1" w:after="100" w:afterAutospacing="1" w:line="240" w:lineRule="auto"/>
      <w:jc w:val="left"/>
    </w:pPr>
    <w:rPr>
      <w:rFonts w:ascii="Tahoma" w:hAnsi="Tahoma" w:cs="Tahoma"/>
      <w:color w:val="000000"/>
      <w:sz w:val="16"/>
      <w:szCs w:val="16"/>
      <w:lang w:val="es-MX" w:eastAsia="es-MX"/>
    </w:rPr>
  </w:style>
  <w:style w:type="paragraph" w:customStyle="1" w:styleId="font10">
    <w:name w:val="font10"/>
    <w:basedOn w:val="Normal"/>
    <w:rsid w:val="00ED0088"/>
    <w:pPr>
      <w:spacing w:before="100" w:beforeAutospacing="1" w:after="100" w:afterAutospacing="1" w:line="240" w:lineRule="auto"/>
      <w:jc w:val="left"/>
    </w:pPr>
    <w:rPr>
      <w:rFonts w:ascii="Tahoma" w:hAnsi="Tahoma" w:cs="Tahoma"/>
      <w:b/>
      <w:bCs/>
      <w:color w:val="000000"/>
      <w:sz w:val="16"/>
      <w:szCs w:val="16"/>
      <w:lang w:val="es-MX" w:eastAsia="es-MX"/>
    </w:rPr>
  </w:style>
  <w:style w:type="paragraph" w:customStyle="1" w:styleId="xl24">
    <w:name w:val="xl24"/>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Arial"/>
      <w:sz w:val="18"/>
      <w:szCs w:val="18"/>
      <w:lang w:val="es-MX" w:eastAsia="es-MX"/>
    </w:rPr>
  </w:style>
  <w:style w:type="paragraph" w:customStyle="1" w:styleId="xl25">
    <w:name w:val="xl25"/>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Arial"/>
      <w:sz w:val="18"/>
      <w:szCs w:val="18"/>
      <w:lang w:val="es-MX" w:eastAsia="es-MX"/>
    </w:rPr>
  </w:style>
  <w:style w:type="paragraph" w:customStyle="1" w:styleId="xl26">
    <w:name w:val="xl26"/>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cs="Arial"/>
      <w:sz w:val="18"/>
      <w:szCs w:val="18"/>
      <w:lang w:val="es-MX" w:eastAsia="es-MX"/>
    </w:rPr>
  </w:style>
  <w:style w:type="paragraph" w:customStyle="1" w:styleId="xl27">
    <w:name w:val="xl27"/>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cs="Arial"/>
      <w:sz w:val="24"/>
      <w:szCs w:val="24"/>
      <w:lang w:val="es-MX" w:eastAsia="es-MX"/>
    </w:rPr>
  </w:style>
  <w:style w:type="paragraph" w:customStyle="1" w:styleId="xl28">
    <w:name w:val="xl28"/>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cs="Arial"/>
      <w:sz w:val="18"/>
      <w:szCs w:val="18"/>
      <w:lang w:val="es-MX" w:eastAsia="es-MX"/>
    </w:rPr>
  </w:style>
  <w:style w:type="paragraph" w:customStyle="1" w:styleId="xl30">
    <w:name w:val="xl30"/>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cs="Arial"/>
      <w:b/>
      <w:bCs/>
      <w:sz w:val="16"/>
      <w:szCs w:val="16"/>
      <w:lang w:val="es-MX" w:eastAsia="es-MX"/>
    </w:rPr>
  </w:style>
  <w:style w:type="paragraph" w:customStyle="1" w:styleId="xl31">
    <w:name w:val="xl31"/>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Arial"/>
      <w:sz w:val="18"/>
      <w:szCs w:val="18"/>
      <w:lang w:val="es-MX" w:eastAsia="es-MX"/>
    </w:rPr>
  </w:style>
  <w:style w:type="paragraph" w:customStyle="1" w:styleId="xl32">
    <w:name w:val="xl32"/>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Arial"/>
      <w:sz w:val="18"/>
      <w:szCs w:val="18"/>
      <w:lang w:val="es-MX" w:eastAsia="es-MX"/>
    </w:rPr>
  </w:style>
  <w:style w:type="paragraph" w:customStyle="1" w:styleId="xl33">
    <w:name w:val="xl33"/>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Arial"/>
      <w:sz w:val="24"/>
      <w:szCs w:val="24"/>
      <w:lang w:val="es-MX" w:eastAsia="es-MX"/>
    </w:rPr>
  </w:style>
  <w:style w:type="paragraph" w:customStyle="1" w:styleId="xl34">
    <w:name w:val="xl34"/>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Arial"/>
      <w:b/>
      <w:bCs/>
      <w:sz w:val="18"/>
      <w:szCs w:val="18"/>
      <w:lang w:val="es-MX" w:eastAsia="es-MX"/>
    </w:rPr>
  </w:style>
  <w:style w:type="paragraph" w:customStyle="1" w:styleId="xl35">
    <w:name w:val="xl35"/>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Arial"/>
      <w:sz w:val="18"/>
      <w:szCs w:val="18"/>
      <w:lang w:val="es-MX" w:eastAsia="es-MX"/>
    </w:rPr>
  </w:style>
  <w:style w:type="paragraph" w:customStyle="1" w:styleId="xl36">
    <w:name w:val="xl36"/>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Arial"/>
      <w:sz w:val="18"/>
      <w:szCs w:val="18"/>
      <w:lang w:val="es-MX" w:eastAsia="es-MX"/>
    </w:rPr>
  </w:style>
  <w:style w:type="paragraph" w:customStyle="1" w:styleId="xl37">
    <w:name w:val="xl37"/>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cs="Arial"/>
      <w:sz w:val="18"/>
      <w:szCs w:val="18"/>
      <w:lang w:val="es-MX" w:eastAsia="es-MX"/>
    </w:rPr>
  </w:style>
  <w:style w:type="paragraph" w:customStyle="1" w:styleId="xl38">
    <w:name w:val="xl38"/>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Arial"/>
      <w:sz w:val="18"/>
      <w:szCs w:val="18"/>
      <w:lang w:val="es-MX" w:eastAsia="es-MX"/>
    </w:rPr>
  </w:style>
  <w:style w:type="paragraph" w:customStyle="1" w:styleId="xl39">
    <w:name w:val="xl39"/>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pPr>
    <w:rPr>
      <w:rFonts w:cs="Arial"/>
      <w:b/>
      <w:bCs/>
      <w:sz w:val="16"/>
      <w:szCs w:val="16"/>
      <w:lang w:val="es-MX" w:eastAsia="es-MX"/>
    </w:rPr>
  </w:style>
  <w:style w:type="paragraph" w:customStyle="1" w:styleId="xl40">
    <w:name w:val="xl40"/>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pPr>
    <w:rPr>
      <w:rFonts w:cs="Arial"/>
      <w:b/>
      <w:bCs/>
      <w:sz w:val="14"/>
      <w:szCs w:val="14"/>
      <w:lang w:val="es-MX" w:eastAsia="es-MX"/>
    </w:rPr>
  </w:style>
  <w:style w:type="paragraph" w:customStyle="1" w:styleId="xl41">
    <w:name w:val="xl41"/>
    <w:basedOn w:val="Normal"/>
    <w:rsid w:val="00ED008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Arial Narrow" w:hAnsi="Arial Narrow"/>
      <w:sz w:val="24"/>
      <w:szCs w:val="24"/>
      <w:lang w:val="es-MX" w:eastAsia="es-MX"/>
    </w:rPr>
  </w:style>
  <w:style w:type="paragraph" w:customStyle="1" w:styleId="xl42">
    <w:name w:val="xl42"/>
    <w:basedOn w:val="Normal"/>
    <w:rsid w:val="00ED008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cs="Arial"/>
      <w:sz w:val="18"/>
      <w:szCs w:val="18"/>
      <w:lang w:val="es-MX" w:eastAsia="es-MX"/>
    </w:rPr>
  </w:style>
  <w:style w:type="paragraph" w:customStyle="1" w:styleId="xl43">
    <w:name w:val="xl43"/>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Arial"/>
      <w:sz w:val="18"/>
      <w:szCs w:val="18"/>
      <w:lang w:val="es-MX" w:eastAsia="es-MX"/>
    </w:rPr>
  </w:style>
  <w:style w:type="paragraph" w:customStyle="1" w:styleId="xl44">
    <w:name w:val="xl44"/>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cs="Arial"/>
      <w:sz w:val="18"/>
      <w:szCs w:val="18"/>
      <w:lang w:val="es-MX" w:eastAsia="es-MX"/>
    </w:rPr>
  </w:style>
  <w:style w:type="paragraph" w:customStyle="1" w:styleId="xl45">
    <w:name w:val="xl45"/>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cs="Arial"/>
      <w:b/>
      <w:bCs/>
      <w:sz w:val="24"/>
      <w:szCs w:val="24"/>
      <w:lang w:val="es-MX" w:eastAsia="es-MX"/>
    </w:rPr>
  </w:style>
  <w:style w:type="paragraph" w:customStyle="1" w:styleId="xl46">
    <w:name w:val="xl46"/>
    <w:basedOn w:val="Normal"/>
    <w:rsid w:val="00ED0088"/>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left"/>
      <w:textAlignment w:val="center"/>
    </w:pPr>
    <w:rPr>
      <w:rFonts w:cs="Arial"/>
      <w:sz w:val="18"/>
      <w:szCs w:val="18"/>
      <w:lang w:val="es-MX" w:eastAsia="es-MX"/>
    </w:rPr>
  </w:style>
  <w:style w:type="paragraph" w:customStyle="1" w:styleId="xl47">
    <w:name w:val="xl47"/>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cs="Arial"/>
      <w:sz w:val="18"/>
      <w:szCs w:val="18"/>
      <w:lang w:val="es-MX" w:eastAsia="es-MX"/>
    </w:rPr>
  </w:style>
  <w:style w:type="paragraph" w:customStyle="1" w:styleId="xl48">
    <w:name w:val="xl48"/>
    <w:basedOn w:val="Normal"/>
    <w:rsid w:val="00ED008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top"/>
    </w:pPr>
    <w:rPr>
      <w:rFonts w:ascii="Arial Narrow" w:hAnsi="Arial Narrow"/>
      <w:sz w:val="24"/>
      <w:szCs w:val="24"/>
      <w:lang w:val="es-MX" w:eastAsia="es-MX"/>
    </w:rPr>
  </w:style>
  <w:style w:type="paragraph" w:customStyle="1" w:styleId="xl49">
    <w:name w:val="xl49"/>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top"/>
    </w:pPr>
    <w:rPr>
      <w:rFonts w:cs="Arial"/>
      <w:b/>
      <w:bCs/>
      <w:sz w:val="16"/>
      <w:szCs w:val="16"/>
      <w:lang w:val="es-MX" w:eastAsia="es-MX"/>
    </w:rPr>
  </w:style>
  <w:style w:type="paragraph" w:customStyle="1" w:styleId="xl50">
    <w:name w:val="xl50"/>
    <w:basedOn w:val="Normal"/>
    <w:rsid w:val="00ED0088"/>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cs="Arial"/>
      <w:sz w:val="18"/>
      <w:szCs w:val="18"/>
      <w:lang w:val="es-MX" w:eastAsia="es-MX"/>
    </w:rPr>
  </w:style>
  <w:style w:type="paragraph" w:customStyle="1" w:styleId="xl51">
    <w:name w:val="xl51"/>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cs="Arial"/>
      <w:sz w:val="18"/>
      <w:szCs w:val="18"/>
      <w:lang w:val="es-MX" w:eastAsia="es-MX"/>
    </w:rPr>
  </w:style>
  <w:style w:type="paragraph" w:customStyle="1" w:styleId="xl52">
    <w:name w:val="xl52"/>
    <w:basedOn w:val="Normal"/>
    <w:rsid w:val="00ED008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cs="Arial"/>
      <w:sz w:val="18"/>
      <w:szCs w:val="18"/>
      <w:lang w:val="es-MX" w:eastAsia="es-MX"/>
    </w:rPr>
  </w:style>
  <w:style w:type="paragraph" w:customStyle="1" w:styleId="xl53">
    <w:name w:val="xl53"/>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cs="Arial"/>
      <w:b/>
      <w:bCs/>
      <w:sz w:val="18"/>
      <w:szCs w:val="18"/>
      <w:lang w:val="es-MX" w:eastAsia="es-MX"/>
    </w:rPr>
  </w:style>
  <w:style w:type="paragraph" w:customStyle="1" w:styleId="xl54">
    <w:name w:val="xl54"/>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cs="Arial"/>
      <w:sz w:val="18"/>
      <w:szCs w:val="18"/>
      <w:lang w:val="es-MX" w:eastAsia="es-MX"/>
    </w:rPr>
  </w:style>
  <w:style w:type="paragraph" w:customStyle="1" w:styleId="xl55">
    <w:name w:val="xl55"/>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cs="Arial"/>
      <w:sz w:val="18"/>
      <w:szCs w:val="18"/>
      <w:lang w:val="es-MX" w:eastAsia="es-MX"/>
    </w:rPr>
  </w:style>
  <w:style w:type="paragraph" w:customStyle="1" w:styleId="xl56">
    <w:name w:val="xl56"/>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sz w:val="24"/>
      <w:szCs w:val="24"/>
      <w:lang w:val="es-MX" w:eastAsia="es-MX"/>
    </w:rPr>
  </w:style>
  <w:style w:type="paragraph" w:customStyle="1" w:styleId="xl57">
    <w:name w:val="xl57"/>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lang w:val="es-MX" w:eastAsia="es-MX"/>
    </w:rPr>
  </w:style>
  <w:style w:type="paragraph" w:customStyle="1" w:styleId="xl58">
    <w:name w:val="xl58"/>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lang w:val="es-MX" w:eastAsia="es-MX"/>
    </w:rPr>
  </w:style>
  <w:style w:type="paragraph" w:customStyle="1" w:styleId="xl59">
    <w:name w:val="xl59"/>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sz w:val="24"/>
      <w:szCs w:val="24"/>
      <w:lang w:val="es-MX" w:eastAsia="es-MX"/>
    </w:rPr>
  </w:style>
  <w:style w:type="paragraph" w:customStyle="1" w:styleId="xl60">
    <w:name w:val="xl60"/>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sz w:val="24"/>
      <w:szCs w:val="24"/>
      <w:lang w:val="es-MX" w:eastAsia="es-MX"/>
    </w:rPr>
  </w:style>
  <w:style w:type="paragraph" w:customStyle="1" w:styleId="xl61">
    <w:name w:val="xl61"/>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lang w:val="es-MX" w:eastAsia="es-MX"/>
    </w:rPr>
  </w:style>
  <w:style w:type="paragraph" w:customStyle="1" w:styleId="xl62">
    <w:name w:val="xl62"/>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cs="Arial"/>
      <w:sz w:val="24"/>
      <w:szCs w:val="24"/>
      <w:lang w:val="es-MX" w:eastAsia="es-MX"/>
    </w:rPr>
  </w:style>
  <w:style w:type="paragraph" w:customStyle="1" w:styleId="xl63">
    <w:name w:val="xl63"/>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Arial"/>
      <w:sz w:val="24"/>
      <w:szCs w:val="24"/>
      <w:lang w:val="es-MX" w:eastAsia="es-MX"/>
    </w:rPr>
  </w:style>
  <w:style w:type="paragraph" w:customStyle="1" w:styleId="xl64">
    <w:name w:val="xl64"/>
    <w:basedOn w:val="Normal"/>
    <w:rsid w:val="00ED008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cs="Arial"/>
      <w:sz w:val="16"/>
      <w:szCs w:val="16"/>
      <w:lang w:val="es-MX" w:eastAsia="es-MX"/>
    </w:rPr>
  </w:style>
  <w:style w:type="paragraph" w:customStyle="1" w:styleId="xl65">
    <w:name w:val="xl65"/>
    <w:basedOn w:val="Normal"/>
    <w:rsid w:val="00ED008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top"/>
    </w:pPr>
    <w:rPr>
      <w:rFonts w:cs="Arial"/>
      <w:sz w:val="16"/>
      <w:szCs w:val="16"/>
      <w:lang w:val="es-MX" w:eastAsia="es-MX"/>
    </w:rPr>
  </w:style>
  <w:style w:type="paragraph" w:customStyle="1" w:styleId="xl66">
    <w:name w:val="xl66"/>
    <w:basedOn w:val="Normal"/>
    <w:rsid w:val="00ED008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cs="Arial"/>
      <w:sz w:val="14"/>
      <w:szCs w:val="14"/>
      <w:lang w:val="es-MX" w:eastAsia="es-MX"/>
    </w:rPr>
  </w:style>
  <w:style w:type="paragraph" w:customStyle="1" w:styleId="xl67">
    <w:name w:val="xl67"/>
    <w:basedOn w:val="Normal"/>
    <w:rsid w:val="00ED008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cs="Arial"/>
      <w:sz w:val="24"/>
      <w:szCs w:val="24"/>
      <w:lang w:val="es-MX" w:eastAsia="es-MX"/>
    </w:rPr>
  </w:style>
  <w:style w:type="paragraph" w:customStyle="1" w:styleId="xl68">
    <w:name w:val="xl68"/>
    <w:basedOn w:val="Normal"/>
    <w:rsid w:val="00ED008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cs="Arial"/>
      <w:sz w:val="24"/>
      <w:szCs w:val="24"/>
      <w:lang w:val="es-MX" w:eastAsia="es-MX"/>
    </w:rPr>
  </w:style>
  <w:style w:type="paragraph" w:customStyle="1" w:styleId="xl69">
    <w:name w:val="xl69"/>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4"/>
      <w:szCs w:val="24"/>
      <w:lang w:val="es-MX" w:eastAsia="es-MX"/>
    </w:rPr>
  </w:style>
  <w:style w:type="paragraph" w:customStyle="1" w:styleId="xl70">
    <w:name w:val="xl70"/>
    <w:basedOn w:val="Normal"/>
    <w:rsid w:val="00ED0088"/>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sz w:val="24"/>
      <w:szCs w:val="24"/>
      <w:lang w:val="es-MX" w:eastAsia="es-MX"/>
    </w:rPr>
  </w:style>
  <w:style w:type="paragraph" w:customStyle="1" w:styleId="xl71">
    <w:name w:val="xl71"/>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lang w:val="es-MX" w:eastAsia="es-MX"/>
    </w:rPr>
  </w:style>
  <w:style w:type="paragraph" w:customStyle="1" w:styleId="xl72">
    <w:name w:val="xl72"/>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cs="Arial"/>
      <w:sz w:val="24"/>
      <w:szCs w:val="24"/>
      <w:lang w:val="es-MX" w:eastAsia="es-MX"/>
    </w:rPr>
  </w:style>
  <w:style w:type="paragraph" w:customStyle="1" w:styleId="xl73">
    <w:name w:val="xl73"/>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cs="Arial"/>
      <w:sz w:val="24"/>
      <w:szCs w:val="24"/>
      <w:lang w:val="es-MX" w:eastAsia="es-MX"/>
    </w:rPr>
  </w:style>
  <w:style w:type="paragraph" w:customStyle="1" w:styleId="xl74">
    <w:name w:val="xl74"/>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Arial"/>
      <w:b/>
      <w:bCs/>
      <w:sz w:val="24"/>
      <w:szCs w:val="24"/>
      <w:u w:val="single"/>
      <w:lang w:val="es-MX" w:eastAsia="es-MX"/>
    </w:rPr>
  </w:style>
  <w:style w:type="paragraph" w:customStyle="1" w:styleId="xl75">
    <w:name w:val="xl75"/>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cs="Arial"/>
      <w:sz w:val="18"/>
      <w:szCs w:val="18"/>
      <w:lang w:val="es-MX" w:eastAsia="es-MX"/>
    </w:rPr>
  </w:style>
  <w:style w:type="paragraph" w:customStyle="1" w:styleId="xl76">
    <w:name w:val="xl76"/>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Arial"/>
      <w:sz w:val="24"/>
      <w:szCs w:val="24"/>
      <w:lang w:val="es-MX" w:eastAsia="es-MX"/>
    </w:rPr>
  </w:style>
  <w:style w:type="paragraph" w:customStyle="1" w:styleId="xl77">
    <w:name w:val="xl77"/>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sz w:val="18"/>
      <w:szCs w:val="18"/>
      <w:lang w:val="es-MX" w:eastAsia="es-MX"/>
    </w:rPr>
  </w:style>
  <w:style w:type="paragraph" w:customStyle="1" w:styleId="xl78">
    <w:name w:val="xl78"/>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18"/>
      <w:szCs w:val="18"/>
      <w:lang w:val="es-MX" w:eastAsia="es-MX"/>
    </w:rPr>
  </w:style>
  <w:style w:type="paragraph" w:customStyle="1" w:styleId="xl79">
    <w:name w:val="xl79"/>
    <w:basedOn w:val="Normal"/>
    <w:rsid w:val="00ED0088"/>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line="240" w:lineRule="auto"/>
      <w:jc w:val="center"/>
      <w:textAlignment w:val="center"/>
    </w:pPr>
    <w:rPr>
      <w:b/>
      <w:bCs/>
      <w:sz w:val="18"/>
      <w:szCs w:val="18"/>
      <w:lang w:val="es-MX" w:eastAsia="es-MX"/>
    </w:rPr>
  </w:style>
  <w:style w:type="paragraph" w:customStyle="1" w:styleId="xl80">
    <w:name w:val="xl80"/>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18"/>
      <w:szCs w:val="18"/>
      <w:lang w:val="es-MX" w:eastAsia="es-MX"/>
    </w:rPr>
  </w:style>
  <w:style w:type="paragraph" w:customStyle="1" w:styleId="xl81">
    <w:name w:val="xl81"/>
    <w:basedOn w:val="Normal"/>
    <w:rsid w:val="00ED008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sz w:val="18"/>
      <w:szCs w:val="18"/>
      <w:lang w:val="es-MX" w:eastAsia="es-MX"/>
    </w:rPr>
  </w:style>
  <w:style w:type="paragraph" w:customStyle="1" w:styleId="xl82">
    <w:name w:val="xl82"/>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18"/>
      <w:szCs w:val="18"/>
      <w:lang w:val="es-MX" w:eastAsia="es-MX"/>
    </w:rPr>
  </w:style>
  <w:style w:type="paragraph" w:customStyle="1" w:styleId="xl83">
    <w:name w:val="xl83"/>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18"/>
      <w:szCs w:val="18"/>
      <w:lang w:val="es-MX" w:eastAsia="es-MX"/>
    </w:rPr>
  </w:style>
  <w:style w:type="paragraph" w:customStyle="1" w:styleId="xl84">
    <w:name w:val="xl84"/>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18"/>
      <w:szCs w:val="18"/>
      <w:lang w:val="es-MX" w:eastAsia="es-MX"/>
    </w:rPr>
  </w:style>
  <w:style w:type="paragraph" w:customStyle="1" w:styleId="xl85">
    <w:name w:val="xl85"/>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18"/>
      <w:szCs w:val="18"/>
      <w:lang w:val="es-MX" w:eastAsia="es-MX"/>
    </w:rPr>
  </w:style>
  <w:style w:type="paragraph" w:customStyle="1" w:styleId="xl86">
    <w:name w:val="xl86"/>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18"/>
      <w:szCs w:val="18"/>
      <w:lang w:val="es-MX" w:eastAsia="es-MX"/>
    </w:rPr>
  </w:style>
  <w:style w:type="paragraph" w:customStyle="1" w:styleId="xl87">
    <w:name w:val="xl87"/>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18"/>
      <w:szCs w:val="18"/>
      <w:lang w:val="es-MX" w:eastAsia="es-MX"/>
    </w:rPr>
  </w:style>
  <w:style w:type="paragraph" w:customStyle="1" w:styleId="xl88">
    <w:name w:val="xl88"/>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18"/>
      <w:szCs w:val="18"/>
      <w:lang w:val="es-MX" w:eastAsia="es-MX"/>
    </w:rPr>
  </w:style>
  <w:style w:type="paragraph" w:customStyle="1" w:styleId="xl89">
    <w:name w:val="xl89"/>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18"/>
      <w:szCs w:val="18"/>
      <w:lang w:val="es-MX" w:eastAsia="es-MX"/>
    </w:rPr>
  </w:style>
  <w:style w:type="paragraph" w:customStyle="1" w:styleId="xl90">
    <w:name w:val="xl90"/>
    <w:basedOn w:val="Normal"/>
    <w:rsid w:val="00ED0088"/>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line="240" w:lineRule="auto"/>
      <w:jc w:val="left"/>
      <w:textAlignment w:val="center"/>
    </w:pPr>
    <w:rPr>
      <w:rFonts w:cs="Arial"/>
      <w:b/>
      <w:bCs/>
      <w:sz w:val="16"/>
      <w:szCs w:val="16"/>
      <w:lang w:val="es-MX" w:eastAsia="es-MX"/>
    </w:rPr>
  </w:style>
  <w:style w:type="paragraph" w:customStyle="1" w:styleId="xl91">
    <w:name w:val="xl91"/>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cs="Arial"/>
      <w:sz w:val="18"/>
      <w:szCs w:val="18"/>
      <w:lang w:val="es-MX" w:eastAsia="es-MX"/>
    </w:rPr>
  </w:style>
  <w:style w:type="paragraph" w:customStyle="1" w:styleId="xl92">
    <w:name w:val="xl92"/>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cs="Arial"/>
      <w:sz w:val="24"/>
      <w:szCs w:val="24"/>
      <w:lang w:val="es-MX" w:eastAsia="es-MX"/>
    </w:rPr>
  </w:style>
  <w:style w:type="paragraph" w:customStyle="1" w:styleId="xl93">
    <w:name w:val="xl93"/>
    <w:basedOn w:val="Normal"/>
    <w:rsid w:val="00ED008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left"/>
      <w:textAlignment w:val="center"/>
    </w:pPr>
    <w:rPr>
      <w:rFonts w:cs="Arial"/>
      <w:sz w:val="24"/>
      <w:szCs w:val="24"/>
      <w:lang w:val="es-MX" w:eastAsia="es-MX"/>
    </w:rPr>
  </w:style>
  <w:style w:type="paragraph" w:customStyle="1" w:styleId="xl94">
    <w:name w:val="xl94"/>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sz w:val="24"/>
      <w:szCs w:val="24"/>
      <w:lang w:val="es-MX" w:eastAsia="es-MX"/>
    </w:rPr>
  </w:style>
  <w:style w:type="paragraph" w:customStyle="1" w:styleId="xl95">
    <w:name w:val="xl95"/>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sz w:val="24"/>
      <w:szCs w:val="24"/>
      <w:lang w:val="es-MX" w:eastAsia="es-MX"/>
    </w:rPr>
  </w:style>
  <w:style w:type="paragraph" w:customStyle="1" w:styleId="xl96">
    <w:name w:val="xl96"/>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cs="Arial"/>
      <w:sz w:val="24"/>
      <w:szCs w:val="24"/>
      <w:lang w:val="es-MX" w:eastAsia="es-MX"/>
    </w:rPr>
  </w:style>
  <w:style w:type="paragraph" w:customStyle="1" w:styleId="xl97">
    <w:name w:val="xl97"/>
    <w:basedOn w:val="Normal"/>
    <w:rsid w:val="00ED0088"/>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40" w:lineRule="auto"/>
      <w:textAlignment w:val="center"/>
    </w:pPr>
    <w:rPr>
      <w:rFonts w:cs="Arial"/>
      <w:sz w:val="18"/>
      <w:szCs w:val="18"/>
      <w:lang w:val="es-MX" w:eastAsia="es-MX"/>
    </w:rPr>
  </w:style>
  <w:style w:type="paragraph" w:customStyle="1" w:styleId="xl98">
    <w:name w:val="xl98"/>
    <w:basedOn w:val="Normal"/>
    <w:rsid w:val="00ED0088"/>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40" w:lineRule="auto"/>
      <w:jc w:val="left"/>
      <w:textAlignment w:val="center"/>
    </w:pPr>
    <w:rPr>
      <w:rFonts w:cs="Arial"/>
      <w:sz w:val="18"/>
      <w:szCs w:val="18"/>
      <w:lang w:val="es-MX" w:eastAsia="es-MX"/>
    </w:rPr>
  </w:style>
  <w:style w:type="paragraph" w:customStyle="1" w:styleId="xl99">
    <w:name w:val="xl99"/>
    <w:basedOn w:val="Normal"/>
    <w:rsid w:val="00ED0088"/>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40" w:lineRule="auto"/>
      <w:jc w:val="center"/>
      <w:textAlignment w:val="center"/>
    </w:pPr>
    <w:rPr>
      <w:sz w:val="18"/>
      <w:szCs w:val="18"/>
      <w:lang w:val="es-MX" w:eastAsia="es-MX"/>
    </w:rPr>
  </w:style>
  <w:style w:type="paragraph" w:customStyle="1" w:styleId="xl100">
    <w:name w:val="xl100"/>
    <w:basedOn w:val="Normal"/>
    <w:rsid w:val="00ED0088"/>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40" w:lineRule="auto"/>
      <w:jc w:val="center"/>
      <w:textAlignment w:val="center"/>
    </w:pPr>
    <w:rPr>
      <w:rFonts w:cs="Arial"/>
      <w:sz w:val="18"/>
      <w:szCs w:val="18"/>
      <w:lang w:val="es-MX" w:eastAsia="es-MX"/>
    </w:rPr>
  </w:style>
  <w:style w:type="paragraph" w:customStyle="1" w:styleId="xl101">
    <w:name w:val="xl101"/>
    <w:basedOn w:val="Normal"/>
    <w:rsid w:val="00ED0088"/>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40" w:lineRule="auto"/>
      <w:jc w:val="center"/>
      <w:textAlignment w:val="center"/>
    </w:pPr>
    <w:rPr>
      <w:rFonts w:cs="Arial"/>
      <w:sz w:val="18"/>
      <w:szCs w:val="18"/>
      <w:lang w:val="es-MX" w:eastAsia="es-MX"/>
    </w:rPr>
  </w:style>
  <w:style w:type="paragraph" w:customStyle="1" w:styleId="xl102">
    <w:name w:val="xl102"/>
    <w:basedOn w:val="Normal"/>
    <w:rsid w:val="00ED0088"/>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40" w:lineRule="auto"/>
    </w:pPr>
    <w:rPr>
      <w:rFonts w:cs="Arial"/>
      <w:sz w:val="18"/>
      <w:szCs w:val="18"/>
      <w:lang w:val="es-MX" w:eastAsia="es-MX"/>
    </w:rPr>
  </w:style>
  <w:style w:type="paragraph" w:customStyle="1" w:styleId="xl103">
    <w:name w:val="xl103"/>
    <w:basedOn w:val="Normal"/>
    <w:rsid w:val="00ED0088"/>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40" w:lineRule="auto"/>
      <w:textAlignment w:val="top"/>
    </w:pPr>
    <w:rPr>
      <w:rFonts w:cs="Arial"/>
      <w:sz w:val="18"/>
      <w:szCs w:val="18"/>
      <w:lang w:val="es-MX" w:eastAsia="es-MX"/>
    </w:rPr>
  </w:style>
  <w:style w:type="paragraph" w:customStyle="1" w:styleId="xl104">
    <w:name w:val="xl104"/>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cs="Arial"/>
      <w:sz w:val="18"/>
      <w:szCs w:val="18"/>
      <w:lang w:val="es-MX" w:eastAsia="es-MX"/>
    </w:rPr>
  </w:style>
  <w:style w:type="paragraph" w:customStyle="1" w:styleId="xl105">
    <w:name w:val="xl105"/>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left"/>
      <w:textAlignment w:val="center"/>
    </w:pPr>
    <w:rPr>
      <w:rFonts w:cs="Arial"/>
      <w:sz w:val="18"/>
      <w:szCs w:val="18"/>
      <w:lang w:val="es-MX" w:eastAsia="es-MX"/>
    </w:rPr>
  </w:style>
  <w:style w:type="paragraph" w:customStyle="1" w:styleId="xl106">
    <w:name w:val="xl106"/>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sz w:val="18"/>
      <w:szCs w:val="18"/>
      <w:lang w:val="es-MX" w:eastAsia="es-MX"/>
    </w:rPr>
  </w:style>
  <w:style w:type="paragraph" w:customStyle="1" w:styleId="xl107">
    <w:name w:val="xl107"/>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cs="Arial"/>
      <w:sz w:val="18"/>
      <w:szCs w:val="18"/>
      <w:lang w:val="es-MX" w:eastAsia="es-MX"/>
    </w:rPr>
  </w:style>
  <w:style w:type="paragraph" w:customStyle="1" w:styleId="xl108">
    <w:name w:val="xl108"/>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sz w:val="24"/>
      <w:szCs w:val="24"/>
      <w:lang w:val="es-MX" w:eastAsia="es-MX"/>
    </w:rPr>
  </w:style>
  <w:style w:type="paragraph" w:customStyle="1" w:styleId="xl109">
    <w:name w:val="xl109"/>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pPr>
    <w:rPr>
      <w:sz w:val="24"/>
      <w:szCs w:val="24"/>
      <w:lang w:val="es-MX" w:eastAsia="es-MX"/>
    </w:rPr>
  </w:style>
  <w:style w:type="paragraph" w:customStyle="1" w:styleId="xl110">
    <w:name w:val="xl110"/>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left"/>
      <w:textAlignment w:val="center"/>
    </w:pPr>
    <w:rPr>
      <w:rFonts w:cs="Arial"/>
      <w:sz w:val="18"/>
      <w:szCs w:val="18"/>
      <w:lang w:val="es-MX" w:eastAsia="es-MX"/>
    </w:rPr>
  </w:style>
  <w:style w:type="paragraph" w:customStyle="1" w:styleId="xl111">
    <w:name w:val="xl111"/>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sz w:val="18"/>
      <w:szCs w:val="18"/>
      <w:lang w:val="es-MX" w:eastAsia="es-MX"/>
    </w:rPr>
  </w:style>
  <w:style w:type="paragraph" w:customStyle="1" w:styleId="xl112">
    <w:name w:val="xl112"/>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cs="Arial"/>
      <w:sz w:val="18"/>
      <w:szCs w:val="18"/>
      <w:lang w:val="es-MX" w:eastAsia="es-MX"/>
    </w:rPr>
  </w:style>
  <w:style w:type="paragraph" w:customStyle="1" w:styleId="xl113">
    <w:name w:val="xl113"/>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cs="Arial"/>
      <w:sz w:val="18"/>
      <w:szCs w:val="18"/>
      <w:lang w:val="es-MX" w:eastAsia="es-MX"/>
    </w:rPr>
  </w:style>
  <w:style w:type="paragraph" w:customStyle="1" w:styleId="xl114">
    <w:name w:val="xl114"/>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pPr>
    <w:rPr>
      <w:rFonts w:cs="Arial"/>
      <w:sz w:val="18"/>
      <w:szCs w:val="18"/>
      <w:lang w:val="es-MX" w:eastAsia="es-MX"/>
    </w:rPr>
  </w:style>
  <w:style w:type="paragraph" w:customStyle="1" w:styleId="xl115">
    <w:name w:val="xl115"/>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top"/>
    </w:pPr>
    <w:rPr>
      <w:rFonts w:cs="Arial"/>
      <w:sz w:val="18"/>
      <w:szCs w:val="18"/>
      <w:lang w:val="es-MX" w:eastAsia="es-MX"/>
    </w:rPr>
  </w:style>
  <w:style w:type="paragraph" w:customStyle="1" w:styleId="xl116">
    <w:name w:val="xl116"/>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cs="Arial"/>
      <w:sz w:val="18"/>
      <w:szCs w:val="18"/>
      <w:lang w:val="es-MX" w:eastAsia="es-MX"/>
    </w:rPr>
  </w:style>
  <w:style w:type="paragraph" w:customStyle="1" w:styleId="xl117">
    <w:name w:val="xl117"/>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cs="Arial"/>
      <w:sz w:val="18"/>
      <w:szCs w:val="18"/>
      <w:lang w:val="es-MX" w:eastAsia="es-MX"/>
    </w:rPr>
  </w:style>
  <w:style w:type="paragraph" w:customStyle="1" w:styleId="xl118">
    <w:name w:val="xl118"/>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cs="Arial"/>
      <w:sz w:val="24"/>
      <w:szCs w:val="24"/>
      <w:lang w:val="es-MX" w:eastAsia="es-MX"/>
    </w:rPr>
  </w:style>
  <w:style w:type="paragraph" w:customStyle="1" w:styleId="xl119">
    <w:name w:val="xl119"/>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left"/>
      <w:textAlignment w:val="center"/>
    </w:pPr>
    <w:rPr>
      <w:rFonts w:cs="Arial"/>
      <w:sz w:val="24"/>
      <w:szCs w:val="24"/>
      <w:lang w:val="es-MX" w:eastAsia="es-MX"/>
    </w:rPr>
  </w:style>
  <w:style w:type="paragraph" w:customStyle="1" w:styleId="xl120">
    <w:name w:val="xl120"/>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cs="Arial"/>
      <w:sz w:val="24"/>
      <w:szCs w:val="24"/>
      <w:lang w:val="es-MX" w:eastAsia="es-MX"/>
    </w:rPr>
  </w:style>
  <w:style w:type="paragraph" w:customStyle="1" w:styleId="xl121">
    <w:name w:val="xl121"/>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cs="Arial"/>
      <w:sz w:val="24"/>
      <w:szCs w:val="24"/>
      <w:lang w:val="es-MX" w:eastAsia="es-MX"/>
    </w:rPr>
  </w:style>
  <w:style w:type="paragraph" w:customStyle="1" w:styleId="xl122">
    <w:name w:val="xl122"/>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pPr>
    <w:rPr>
      <w:rFonts w:cs="Arial"/>
      <w:sz w:val="16"/>
      <w:szCs w:val="16"/>
      <w:lang w:val="es-MX" w:eastAsia="es-MX"/>
    </w:rPr>
  </w:style>
  <w:style w:type="paragraph" w:customStyle="1" w:styleId="xl123">
    <w:name w:val="xl123"/>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pPr>
    <w:rPr>
      <w:rFonts w:cs="Arial"/>
      <w:sz w:val="24"/>
      <w:szCs w:val="24"/>
      <w:lang w:val="es-MX" w:eastAsia="es-MX"/>
    </w:rPr>
  </w:style>
  <w:style w:type="paragraph" w:customStyle="1" w:styleId="xl124">
    <w:name w:val="xl124"/>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top"/>
    </w:pPr>
    <w:rPr>
      <w:rFonts w:cs="Arial"/>
      <w:sz w:val="16"/>
      <w:szCs w:val="16"/>
      <w:lang w:val="es-MX" w:eastAsia="es-MX"/>
    </w:rPr>
  </w:style>
  <w:style w:type="paragraph" w:customStyle="1" w:styleId="xl125">
    <w:name w:val="xl125"/>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pPr>
    <w:rPr>
      <w:rFonts w:cs="Arial"/>
      <w:sz w:val="14"/>
      <w:szCs w:val="14"/>
      <w:lang w:val="es-MX" w:eastAsia="es-MX"/>
    </w:rPr>
  </w:style>
  <w:style w:type="paragraph" w:customStyle="1" w:styleId="xl126">
    <w:name w:val="xl126"/>
    <w:basedOn w:val="Normal"/>
    <w:rsid w:val="00ED008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cs="Arial"/>
      <w:sz w:val="24"/>
      <w:szCs w:val="24"/>
      <w:lang w:val="es-MX" w:eastAsia="es-MX"/>
    </w:rPr>
  </w:style>
  <w:style w:type="paragraph" w:customStyle="1" w:styleId="xl127">
    <w:name w:val="xl127"/>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cs="Arial"/>
      <w:sz w:val="24"/>
      <w:szCs w:val="24"/>
      <w:lang w:val="es-MX" w:eastAsia="es-MX"/>
    </w:rPr>
  </w:style>
  <w:style w:type="paragraph" w:customStyle="1" w:styleId="xl128">
    <w:name w:val="xl128"/>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left"/>
      <w:textAlignment w:val="center"/>
    </w:pPr>
    <w:rPr>
      <w:sz w:val="24"/>
      <w:szCs w:val="24"/>
      <w:lang w:val="es-MX" w:eastAsia="es-MX"/>
    </w:rPr>
  </w:style>
  <w:style w:type="paragraph" w:customStyle="1" w:styleId="xl129">
    <w:name w:val="xl129"/>
    <w:basedOn w:val="Normal"/>
    <w:rsid w:val="00ED0088"/>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40" w:lineRule="auto"/>
      <w:jc w:val="center"/>
      <w:textAlignment w:val="center"/>
    </w:pPr>
    <w:rPr>
      <w:sz w:val="18"/>
      <w:szCs w:val="18"/>
      <w:lang w:val="es-MX" w:eastAsia="es-MX"/>
    </w:rPr>
  </w:style>
  <w:style w:type="paragraph" w:customStyle="1" w:styleId="xl130">
    <w:name w:val="xl130"/>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sz w:val="24"/>
      <w:szCs w:val="24"/>
      <w:lang w:val="es-MX" w:eastAsia="es-MX"/>
    </w:rPr>
  </w:style>
  <w:style w:type="paragraph" w:customStyle="1" w:styleId="xl131">
    <w:name w:val="xl131"/>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cs="Arial"/>
      <w:sz w:val="18"/>
      <w:szCs w:val="18"/>
      <w:lang w:val="es-MX" w:eastAsia="es-MX"/>
    </w:rPr>
  </w:style>
  <w:style w:type="paragraph" w:customStyle="1" w:styleId="xl132">
    <w:name w:val="xl132"/>
    <w:basedOn w:val="Normal"/>
    <w:rsid w:val="00ED0088"/>
    <w:pPr>
      <w:pBdr>
        <w:top w:val="single" w:sz="4" w:space="0" w:color="auto"/>
        <w:left w:val="single" w:sz="8" w:space="0" w:color="auto"/>
        <w:bottom w:val="single" w:sz="4" w:space="0" w:color="auto"/>
        <w:right w:val="single" w:sz="4" w:space="0" w:color="auto"/>
      </w:pBdr>
      <w:shd w:val="clear" w:color="auto" w:fill="CCFFCC"/>
      <w:spacing w:before="100" w:beforeAutospacing="1" w:after="100" w:afterAutospacing="1" w:line="240" w:lineRule="auto"/>
      <w:jc w:val="left"/>
      <w:textAlignment w:val="center"/>
    </w:pPr>
    <w:rPr>
      <w:rFonts w:cs="Arial"/>
      <w:sz w:val="18"/>
      <w:szCs w:val="18"/>
      <w:lang w:val="es-MX" w:eastAsia="es-MX"/>
    </w:rPr>
  </w:style>
  <w:style w:type="paragraph" w:customStyle="1" w:styleId="xl133">
    <w:name w:val="xl133"/>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top"/>
    </w:pPr>
    <w:rPr>
      <w:rFonts w:cs="Arial"/>
      <w:sz w:val="18"/>
      <w:szCs w:val="18"/>
      <w:lang w:val="es-MX" w:eastAsia="es-MX"/>
    </w:rPr>
  </w:style>
  <w:style w:type="paragraph" w:customStyle="1" w:styleId="xl134">
    <w:name w:val="xl134"/>
    <w:basedOn w:val="Normal"/>
    <w:rsid w:val="00ED0088"/>
    <w:pPr>
      <w:pBdr>
        <w:top w:val="single" w:sz="4" w:space="0" w:color="auto"/>
        <w:left w:val="single" w:sz="8" w:space="0" w:color="auto"/>
        <w:bottom w:val="single" w:sz="4" w:space="0" w:color="auto"/>
        <w:right w:val="single" w:sz="4" w:space="0" w:color="auto"/>
      </w:pBdr>
      <w:shd w:val="clear" w:color="auto" w:fill="CCFFCC"/>
      <w:spacing w:before="100" w:beforeAutospacing="1" w:after="100" w:afterAutospacing="1" w:line="240" w:lineRule="auto"/>
      <w:jc w:val="left"/>
      <w:textAlignment w:val="center"/>
    </w:pPr>
    <w:rPr>
      <w:rFonts w:cs="Arial"/>
      <w:sz w:val="18"/>
      <w:szCs w:val="18"/>
      <w:lang w:val="es-MX" w:eastAsia="es-MX"/>
    </w:rPr>
  </w:style>
  <w:style w:type="paragraph" w:customStyle="1" w:styleId="xl135">
    <w:name w:val="xl135"/>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sz w:val="24"/>
      <w:szCs w:val="24"/>
      <w:lang w:val="es-MX" w:eastAsia="es-MX"/>
    </w:rPr>
  </w:style>
  <w:style w:type="paragraph" w:customStyle="1" w:styleId="xl136">
    <w:name w:val="xl136"/>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left"/>
    </w:pPr>
    <w:rPr>
      <w:rFonts w:cs="Arial"/>
      <w:sz w:val="18"/>
      <w:szCs w:val="18"/>
      <w:lang w:val="es-MX" w:eastAsia="es-MX"/>
    </w:rPr>
  </w:style>
  <w:style w:type="paragraph" w:customStyle="1" w:styleId="xl137">
    <w:name w:val="xl137"/>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sz w:val="24"/>
      <w:szCs w:val="24"/>
      <w:lang w:val="es-MX" w:eastAsia="es-MX"/>
    </w:rPr>
  </w:style>
  <w:style w:type="paragraph" w:customStyle="1" w:styleId="xl138">
    <w:name w:val="xl138"/>
    <w:basedOn w:val="Normal"/>
    <w:rsid w:val="00ED0088"/>
    <w:pPr>
      <w:pBdr>
        <w:top w:val="single" w:sz="4" w:space="0" w:color="auto"/>
        <w:left w:val="single" w:sz="4" w:space="0" w:color="auto"/>
        <w:bottom w:val="single" w:sz="4" w:space="0" w:color="auto"/>
        <w:right w:val="single" w:sz="8" w:space="0" w:color="auto"/>
      </w:pBdr>
      <w:shd w:val="clear" w:color="auto" w:fill="CCFFCC"/>
      <w:spacing w:before="100" w:beforeAutospacing="1" w:after="100" w:afterAutospacing="1" w:line="240" w:lineRule="auto"/>
      <w:jc w:val="center"/>
      <w:textAlignment w:val="top"/>
    </w:pPr>
    <w:rPr>
      <w:sz w:val="24"/>
      <w:szCs w:val="24"/>
      <w:lang w:val="es-MX" w:eastAsia="es-MX"/>
    </w:rPr>
  </w:style>
  <w:style w:type="paragraph" w:customStyle="1" w:styleId="xl139">
    <w:name w:val="xl139"/>
    <w:basedOn w:val="Normal"/>
    <w:rsid w:val="00ED0088"/>
    <w:pPr>
      <w:pBdr>
        <w:top w:val="single" w:sz="4" w:space="0" w:color="auto"/>
        <w:left w:val="single" w:sz="4" w:space="0" w:color="auto"/>
        <w:bottom w:val="single" w:sz="4" w:space="0" w:color="auto"/>
        <w:right w:val="single" w:sz="8" w:space="0" w:color="auto"/>
      </w:pBdr>
      <w:shd w:val="clear" w:color="auto" w:fill="CCFFCC"/>
      <w:spacing w:before="100" w:beforeAutospacing="1" w:after="100" w:afterAutospacing="1" w:line="240" w:lineRule="auto"/>
      <w:textAlignment w:val="center"/>
    </w:pPr>
    <w:rPr>
      <w:sz w:val="24"/>
      <w:szCs w:val="24"/>
      <w:lang w:val="es-MX" w:eastAsia="es-MX"/>
    </w:rPr>
  </w:style>
  <w:style w:type="paragraph" w:customStyle="1" w:styleId="xl140">
    <w:name w:val="xl140"/>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sz w:val="18"/>
      <w:szCs w:val="18"/>
      <w:lang w:val="es-MX" w:eastAsia="es-MX"/>
    </w:rPr>
  </w:style>
  <w:style w:type="paragraph" w:customStyle="1" w:styleId="xl141">
    <w:name w:val="xl141"/>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left"/>
      <w:textAlignment w:val="center"/>
    </w:pPr>
    <w:rPr>
      <w:sz w:val="24"/>
      <w:szCs w:val="24"/>
      <w:lang w:val="es-MX" w:eastAsia="es-MX"/>
    </w:rPr>
  </w:style>
  <w:style w:type="paragraph" w:customStyle="1" w:styleId="xl142">
    <w:name w:val="xl142"/>
    <w:basedOn w:val="Normal"/>
    <w:rsid w:val="00ED0088"/>
    <w:pPr>
      <w:pBdr>
        <w:top w:val="single" w:sz="4" w:space="0" w:color="auto"/>
        <w:left w:val="single" w:sz="4" w:space="0" w:color="auto"/>
        <w:bottom w:val="single" w:sz="4" w:space="0" w:color="auto"/>
        <w:right w:val="single" w:sz="8" w:space="0" w:color="auto"/>
      </w:pBdr>
      <w:shd w:val="clear" w:color="auto" w:fill="CCFFCC"/>
      <w:spacing w:before="100" w:beforeAutospacing="1" w:after="100" w:afterAutospacing="1" w:line="240" w:lineRule="auto"/>
      <w:jc w:val="center"/>
      <w:textAlignment w:val="top"/>
    </w:pPr>
    <w:rPr>
      <w:rFonts w:cs="Arial"/>
      <w:sz w:val="18"/>
      <w:szCs w:val="18"/>
      <w:lang w:val="es-MX" w:eastAsia="es-MX"/>
    </w:rPr>
  </w:style>
  <w:style w:type="paragraph" w:customStyle="1" w:styleId="xl143">
    <w:name w:val="xl143"/>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sz w:val="18"/>
      <w:szCs w:val="18"/>
      <w:lang w:val="es-MX" w:eastAsia="es-MX"/>
    </w:rPr>
  </w:style>
  <w:style w:type="paragraph" w:customStyle="1" w:styleId="xl144">
    <w:name w:val="xl144"/>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pPr>
    <w:rPr>
      <w:rFonts w:cs="Arial"/>
      <w:sz w:val="18"/>
      <w:szCs w:val="18"/>
      <w:lang w:val="es-MX" w:eastAsia="es-MX"/>
    </w:rPr>
  </w:style>
  <w:style w:type="paragraph" w:customStyle="1" w:styleId="xl145">
    <w:name w:val="xl145"/>
    <w:basedOn w:val="Normal"/>
    <w:rsid w:val="00ED0088"/>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40" w:lineRule="auto"/>
      <w:jc w:val="center"/>
      <w:textAlignment w:val="center"/>
    </w:pPr>
    <w:rPr>
      <w:rFonts w:cs="Arial"/>
      <w:sz w:val="18"/>
      <w:szCs w:val="18"/>
      <w:lang w:val="es-MX" w:eastAsia="es-MX"/>
    </w:rPr>
  </w:style>
  <w:style w:type="paragraph" w:customStyle="1" w:styleId="xl146">
    <w:name w:val="xl146"/>
    <w:basedOn w:val="Normal"/>
    <w:rsid w:val="00ED0088"/>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40" w:lineRule="auto"/>
    </w:pPr>
    <w:rPr>
      <w:rFonts w:cs="Arial"/>
      <w:sz w:val="18"/>
      <w:szCs w:val="18"/>
      <w:lang w:val="es-MX" w:eastAsia="es-MX"/>
    </w:rPr>
  </w:style>
  <w:style w:type="paragraph" w:customStyle="1" w:styleId="xl147">
    <w:name w:val="xl147"/>
    <w:basedOn w:val="Normal"/>
    <w:rsid w:val="00ED0088"/>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line="240" w:lineRule="auto"/>
      <w:textAlignment w:val="center"/>
    </w:pPr>
    <w:rPr>
      <w:rFonts w:cs="Arial"/>
      <w:sz w:val="18"/>
      <w:szCs w:val="18"/>
      <w:lang w:val="es-MX" w:eastAsia="es-MX"/>
    </w:rPr>
  </w:style>
  <w:style w:type="paragraph" w:customStyle="1" w:styleId="xl148">
    <w:name w:val="xl148"/>
    <w:basedOn w:val="Normal"/>
    <w:rsid w:val="00ED0088"/>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line="240" w:lineRule="auto"/>
      <w:jc w:val="left"/>
      <w:textAlignment w:val="center"/>
    </w:pPr>
    <w:rPr>
      <w:rFonts w:cs="Arial"/>
      <w:sz w:val="18"/>
      <w:szCs w:val="18"/>
      <w:lang w:val="es-MX" w:eastAsia="es-MX"/>
    </w:rPr>
  </w:style>
  <w:style w:type="paragraph" w:customStyle="1" w:styleId="xl149">
    <w:name w:val="xl149"/>
    <w:basedOn w:val="Normal"/>
    <w:rsid w:val="00ED0088"/>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line="240" w:lineRule="auto"/>
      <w:jc w:val="center"/>
      <w:textAlignment w:val="center"/>
    </w:pPr>
    <w:rPr>
      <w:sz w:val="18"/>
      <w:szCs w:val="18"/>
      <w:lang w:val="es-MX" w:eastAsia="es-MX"/>
    </w:rPr>
  </w:style>
  <w:style w:type="paragraph" w:customStyle="1" w:styleId="xl150">
    <w:name w:val="xl150"/>
    <w:basedOn w:val="Normal"/>
    <w:rsid w:val="00ED0088"/>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line="240" w:lineRule="auto"/>
      <w:jc w:val="center"/>
      <w:textAlignment w:val="center"/>
    </w:pPr>
    <w:rPr>
      <w:rFonts w:cs="Arial"/>
      <w:sz w:val="18"/>
      <w:szCs w:val="18"/>
      <w:lang w:val="es-MX" w:eastAsia="es-MX"/>
    </w:rPr>
  </w:style>
  <w:style w:type="paragraph" w:customStyle="1" w:styleId="xl151">
    <w:name w:val="xl151"/>
    <w:basedOn w:val="Normal"/>
    <w:rsid w:val="00ED0088"/>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line="240" w:lineRule="auto"/>
      <w:jc w:val="center"/>
      <w:textAlignment w:val="center"/>
    </w:pPr>
    <w:rPr>
      <w:rFonts w:cs="Arial"/>
      <w:sz w:val="18"/>
      <w:szCs w:val="18"/>
      <w:lang w:val="es-MX" w:eastAsia="es-MX"/>
    </w:rPr>
  </w:style>
  <w:style w:type="paragraph" w:customStyle="1" w:styleId="xl152">
    <w:name w:val="xl152"/>
    <w:basedOn w:val="Normal"/>
    <w:rsid w:val="00ED0088"/>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line="240" w:lineRule="auto"/>
    </w:pPr>
    <w:rPr>
      <w:rFonts w:cs="Arial"/>
      <w:sz w:val="18"/>
      <w:szCs w:val="18"/>
      <w:lang w:val="es-MX" w:eastAsia="es-MX"/>
    </w:rPr>
  </w:style>
  <w:style w:type="paragraph" w:customStyle="1" w:styleId="xl153">
    <w:name w:val="xl153"/>
    <w:basedOn w:val="Normal"/>
    <w:rsid w:val="00ED0088"/>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line="240" w:lineRule="auto"/>
      <w:textAlignment w:val="top"/>
    </w:pPr>
    <w:rPr>
      <w:rFonts w:cs="Arial"/>
      <w:sz w:val="18"/>
      <w:szCs w:val="18"/>
      <w:lang w:val="es-MX" w:eastAsia="es-MX"/>
    </w:rPr>
  </w:style>
  <w:style w:type="paragraph" w:customStyle="1" w:styleId="xl154">
    <w:name w:val="xl154"/>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sz w:val="18"/>
      <w:szCs w:val="18"/>
      <w:lang w:val="es-MX" w:eastAsia="es-MX"/>
    </w:rPr>
  </w:style>
  <w:style w:type="paragraph" w:customStyle="1" w:styleId="xl155">
    <w:name w:val="xl155"/>
    <w:basedOn w:val="Normal"/>
    <w:rsid w:val="00ED0088"/>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line="240" w:lineRule="auto"/>
      <w:jc w:val="left"/>
      <w:textAlignment w:val="center"/>
    </w:pPr>
    <w:rPr>
      <w:rFonts w:cs="Arial"/>
      <w:sz w:val="18"/>
      <w:szCs w:val="18"/>
      <w:lang w:val="es-MX" w:eastAsia="es-MX"/>
    </w:rPr>
  </w:style>
  <w:style w:type="paragraph" w:customStyle="1" w:styleId="xl156">
    <w:name w:val="xl156"/>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left"/>
      <w:textAlignment w:val="center"/>
    </w:pPr>
    <w:rPr>
      <w:rFonts w:cs="Arial"/>
      <w:sz w:val="18"/>
      <w:szCs w:val="18"/>
      <w:lang w:val="es-MX" w:eastAsia="es-MX"/>
    </w:rPr>
  </w:style>
  <w:style w:type="paragraph" w:customStyle="1" w:styleId="xl157">
    <w:name w:val="xl157"/>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cs="Arial"/>
      <w:sz w:val="18"/>
      <w:szCs w:val="18"/>
      <w:lang w:val="es-MX" w:eastAsia="es-MX"/>
    </w:rPr>
  </w:style>
  <w:style w:type="paragraph" w:customStyle="1" w:styleId="xl158">
    <w:name w:val="xl158"/>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left"/>
      <w:textAlignment w:val="center"/>
    </w:pPr>
    <w:rPr>
      <w:rFonts w:cs="Arial"/>
      <w:sz w:val="18"/>
      <w:szCs w:val="18"/>
      <w:lang w:val="es-MX" w:eastAsia="es-MX"/>
    </w:rPr>
  </w:style>
  <w:style w:type="paragraph" w:customStyle="1" w:styleId="xl159">
    <w:name w:val="xl159"/>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sz w:val="18"/>
      <w:szCs w:val="18"/>
      <w:lang w:val="es-MX" w:eastAsia="es-MX"/>
    </w:rPr>
  </w:style>
  <w:style w:type="paragraph" w:customStyle="1" w:styleId="xl160">
    <w:name w:val="xl160"/>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cs="Arial"/>
      <w:color w:val="0000FF"/>
      <w:sz w:val="18"/>
      <w:szCs w:val="18"/>
      <w:lang w:val="es-MX" w:eastAsia="es-MX"/>
    </w:rPr>
  </w:style>
  <w:style w:type="paragraph" w:customStyle="1" w:styleId="xl161">
    <w:name w:val="xl161"/>
    <w:basedOn w:val="Normal"/>
    <w:rsid w:val="00ED0088"/>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sz w:val="24"/>
      <w:szCs w:val="24"/>
      <w:lang w:val="es-MX" w:eastAsia="es-MX"/>
    </w:rPr>
  </w:style>
  <w:style w:type="paragraph" w:customStyle="1" w:styleId="xl162">
    <w:name w:val="xl162"/>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Arial"/>
      <w:b/>
      <w:bCs/>
      <w:sz w:val="24"/>
      <w:szCs w:val="24"/>
      <w:u w:val="single"/>
      <w:lang w:val="es-MX" w:eastAsia="es-MX"/>
    </w:rPr>
  </w:style>
  <w:style w:type="paragraph" w:styleId="Textodeglobo">
    <w:name w:val="Balloon Text"/>
    <w:basedOn w:val="Normal"/>
    <w:semiHidden/>
    <w:rsid w:val="00691D7F"/>
    <w:rPr>
      <w:rFonts w:ascii="Tahoma" w:hAnsi="Tahoma" w:cs="Tahoma"/>
      <w:sz w:val="16"/>
      <w:szCs w:val="16"/>
    </w:rPr>
  </w:style>
  <w:style w:type="character" w:styleId="Refdecomentario">
    <w:name w:val="annotation reference"/>
    <w:basedOn w:val="Fuentedeprrafopredeter"/>
    <w:semiHidden/>
    <w:rsid w:val="001615D3"/>
    <w:rPr>
      <w:sz w:val="16"/>
      <w:szCs w:val="16"/>
    </w:rPr>
  </w:style>
  <w:style w:type="paragraph" w:styleId="Textocomentario">
    <w:name w:val="annotation text"/>
    <w:basedOn w:val="Normal"/>
    <w:semiHidden/>
    <w:rsid w:val="001615D3"/>
    <w:pPr>
      <w:spacing w:line="240" w:lineRule="auto"/>
      <w:jc w:val="left"/>
    </w:pPr>
    <w:rPr>
      <w:lang w:val="es-ES_tradnl"/>
    </w:rPr>
  </w:style>
  <w:style w:type="paragraph" w:styleId="Sangra2detindependiente">
    <w:name w:val="Body Text Indent 2"/>
    <w:basedOn w:val="Normal"/>
    <w:rsid w:val="00D8648F"/>
    <w:pPr>
      <w:spacing w:after="120" w:line="480" w:lineRule="auto"/>
      <w:ind w:left="283"/>
    </w:pPr>
  </w:style>
  <w:style w:type="paragraph" w:styleId="Asuntodelcomentario">
    <w:name w:val="annotation subject"/>
    <w:basedOn w:val="Textocomentario"/>
    <w:next w:val="Textocomentario"/>
    <w:semiHidden/>
    <w:rsid w:val="0055297C"/>
    <w:pPr>
      <w:spacing w:line="312" w:lineRule="auto"/>
      <w:jc w:val="both"/>
    </w:pPr>
    <w:rPr>
      <w:rFonts w:ascii="Arial" w:hAnsi="Arial"/>
      <w:b/>
      <w:bCs/>
      <w:lang w:val="es-ES"/>
    </w:rPr>
  </w:style>
  <w:style w:type="paragraph" w:customStyle="1" w:styleId="Car1">
    <w:name w:val="Car1"/>
    <w:basedOn w:val="Normal"/>
    <w:rsid w:val="003A13F8"/>
    <w:pPr>
      <w:spacing w:after="160" w:line="240" w:lineRule="exact"/>
      <w:jc w:val="left"/>
    </w:pPr>
    <w:rPr>
      <w:rFonts w:eastAsia="MS Mincho"/>
    </w:rPr>
  </w:style>
  <w:style w:type="paragraph" w:customStyle="1" w:styleId="CharChar">
    <w:name w:val="Char Char"/>
    <w:basedOn w:val="Normal"/>
    <w:rsid w:val="003A13F8"/>
    <w:pPr>
      <w:spacing w:after="160" w:line="240" w:lineRule="exact"/>
      <w:jc w:val="left"/>
    </w:pPr>
  </w:style>
  <w:style w:type="paragraph" w:styleId="Prrafodelista">
    <w:name w:val="List Paragraph"/>
    <w:basedOn w:val="Normal"/>
    <w:uiPriority w:val="34"/>
    <w:qFormat/>
    <w:rsid w:val="00534727"/>
    <w:pPr>
      <w:ind w:left="720"/>
      <w:contextualSpacing/>
    </w:pPr>
  </w:style>
  <w:style w:type="character" w:styleId="nfasisintenso">
    <w:name w:val="Intense Emphasis"/>
    <w:basedOn w:val="Fuentedeprrafopredeter"/>
    <w:uiPriority w:val="21"/>
    <w:qFormat/>
    <w:rsid w:val="007350BE"/>
    <w:rPr>
      <w:b/>
      <w:bCs/>
      <w:i/>
      <w:iCs/>
      <w:color w:val="4F81BD" w:themeColor="accent1"/>
    </w:rPr>
  </w:style>
  <w:style w:type="paragraph" w:customStyle="1" w:styleId="Titulo">
    <w:name w:val="Titulo"/>
    <w:basedOn w:val="Ttulo1"/>
    <w:autoRedefine/>
    <w:rsid w:val="00153918"/>
    <w:pPr>
      <w:widowControl w:val="0"/>
      <w:pBdr>
        <w:bottom w:val="none" w:sz="0" w:space="0" w:color="auto"/>
      </w:pBdr>
      <w:shd w:val="clear" w:color="auto" w:fill="auto"/>
      <w:tabs>
        <w:tab w:val="left" w:pos="-1238"/>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line="218" w:lineRule="auto"/>
      <w:jc w:val="left"/>
      <w:textAlignment w:val="baseline"/>
    </w:pPr>
    <w:rPr>
      <w:rFonts w:cs="Arial"/>
      <w:b w:val="0"/>
      <w:bCs/>
      <w:caps/>
      <w:color w:val="000000"/>
      <w:sz w:val="22"/>
      <w:szCs w:val="22"/>
      <w:lang w:val="es-CR"/>
      <w14:shadow w14:blurRad="0" w14:dist="0" w14:dir="0" w14:sx="0" w14:sy="0" w14:kx="0" w14:ky="0" w14:algn="none">
        <w14:srgbClr w14:val="000000"/>
      </w14:shadow>
    </w:rPr>
  </w:style>
  <w:style w:type="table" w:styleId="Tablaelegante">
    <w:name w:val="Table Elegant"/>
    <w:basedOn w:val="Tablanormal"/>
    <w:rsid w:val="00153918"/>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Revisin">
    <w:name w:val="Revision"/>
    <w:hidden/>
    <w:uiPriority w:val="99"/>
    <w:semiHidden/>
    <w:rsid w:val="00E932DE"/>
    <w:rPr>
      <w:rFonts w:ascii="Arial" w:hAnsi="Arial"/>
      <w:sz w:val="22"/>
      <w:lang w:val="es-ES" w:eastAsia="es-ES"/>
    </w:rPr>
  </w:style>
  <w:style w:type="character" w:customStyle="1" w:styleId="EncabezadoCar">
    <w:name w:val="Encabezado Car"/>
    <w:basedOn w:val="Fuentedeprrafopredeter"/>
    <w:link w:val="Encabezado"/>
    <w:rsid w:val="00DA408C"/>
    <w:rPr>
      <w:rFonts w:ascii="Arial" w:hAnsi="Arial"/>
      <w:sz w:val="22"/>
      <w:lang w:val="es-ES" w:eastAsia="es-ES"/>
    </w:rPr>
  </w:style>
  <w:style w:type="character" w:customStyle="1" w:styleId="PiedepginaCar">
    <w:name w:val="Pie de página Car"/>
    <w:basedOn w:val="Fuentedeprrafopredeter"/>
    <w:link w:val="Piedepgina"/>
    <w:uiPriority w:val="99"/>
    <w:rsid w:val="000B4E56"/>
    <w:rPr>
      <w:rFonts w:ascii="Arial" w:hAnsi="Arial"/>
      <w:sz w:val="22"/>
      <w:lang w:val="es-ES" w:eastAsia="es-ES"/>
    </w:rPr>
  </w:style>
  <w:style w:type="character" w:customStyle="1" w:styleId="TextoindependienteCar">
    <w:name w:val="Texto independiente Car"/>
    <w:basedOn w:val="Fuentedeprrafopredeter"/>
    <w:link w:val="Textoindependiente"/>
    <w:rsid w:val="00355E64"/>
    <w:rPr>
      <w:rFonts w:ascii="Arial" w:hAnsi="Arial"/>
      <w:sz w:val="24"/>
      <w:lang w:val="es-ES" w:eastAsia="es-ES"/>
    </w:rPr>
  </w:style>
  <w:style w:type="paragraph" w:styleId="NormalWeb">
    <w:name w:val="Normal (Web)"/>
    <w:basedOn w:val="Normal"/>
    <w:uiPriority w:val="99"/>
    <w:unhideWhenUsed/>
    <w:rsid w:val="006C17AD"/>
    <w:pPr>
      <w:spacing w:before="100" w:beforeAutospacing="1" w:after="100" w:afterAutospacing="1" w:line="240" w:lineRule="auto"/>
      <w:jc w:val="left"/>
    </w:pPr>
    <w:rPr>
      <w:sz w:val="24"/>
      <w:szCs w:val="24"/>
    </w:rPr>
  </w:style>
  <w:style w:type="table" w:styleId="Tablanormal1">
    <w:name w:val="Plain Table 1"/>
    <w:basedOn w:val="Tablanormal"/>
    <w:uiPriority w:val="99"/>
    <w:rsid w:val="002C5C6F"/>
    <w:rPr>
      <w:rFonts w:asciiTheme="minorHAnsi" w:eastAsiaTheme="minorHAnsi" w:hAnsiTheme="minorHAnsi" w:cstheme="minorBidi"/>
      <w:sz w:val="22"/>
      <w:szCs w:val="22"/>
      <w:lang w:val="es-E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34450">
      <w:bodyDiv w:val="1"/>
      <w:marLeft w:val="0"/>
      <w:marRight w:val="0"/>
      <w:marTop w:val="0"/>
      <w:marBottom w:val="0"/>
      <w:divBdr>
        <w:top w:val="none" w:sz="0" w:space="0" w:color="auto"/>
        <w:left w:val="none" w:sz="0" w:space="0" w:color="auto"/>
        <w:bottom w:val="none" w:sz="0" w:space="0" w:color="auto"/>
        <w:right w:val="none" w:sz="0" w:space="0" w:color="auto"/>
      </w:divBdr>
    </w:div>
    <w:div w:id="3751527">
      <w:bodyDiv w:val="1"/>
      <w:marLeft w:val="0"/>
      <w:marRight w:val="0"/>
      <w:marTop w:val="0"/>
      <w:marBottom w:val="0"/>
      <w:divBdr>
        <w:top w:val="none" w:sz="0" w:space="0" w:color="auto"/>
        <w:left w:val="none" w:sz="0" w:space="0" w:color="auto"/>
        <w:bottom w:val="none" w:sz="0" w:space="0" w:color="auto"/>
        <w:right w:val="none" w:sz="0" w:space="0" w:color="auto"/>
      </w:divBdr>
    </w:div>
    <w:div w:id="6559929">
      <w:bodyDiv w:val="1"/>
      <w:marLeft w:val="0"/>
      <w:marRight w:val="0"/>
      <w:marTop w:val="0"/>
      <w:marBottom w:val="0"/>
      <w:divBdr>
        <w:top w:val="none" w:sz="0" w:space="0" w:color="auto"/>
        <w:left w:val="none" w:sz="0" w:space="0" w:color="auto"/>
        <w:bottom w:val="none" w:sz="0" w:space="0" w:color="auto"/>
        <w:right w:val="none" w:sz="0" w:space="0" w:color="auto"/>
      </w:divBdr>
    </w:div>
    <w:div w:id="15736139">
      <w:bodyDiv w:val="1"/>
      <w:marLeft w:val="0"/>
      <w:marRight w:val="0"/>
      <w:marTop w:val="0"/>
      <w:marBottom w:val="0"/>
      <w:divBdr>
        <w:top w:val="none" w:sz="0" w:space="0" w:color="auto"/>
        <w:left w:val="none" w:sz="0" w:space="0" w:color="auto"/>
        <w:bottom w:val="none" w:sz="0" w:space="0" w:color="auto"/>
        <w:right w:val="none" w:sz="0" w:space="0" w:color="auto"/>
      </w:divBdr>
    </w:div>
    <w:div w:id="22639598">
      <w:bodyDiv w:val="1"/>
      <w:marLeft w:val="0"/>
      <w:marRight w:val="0"/>
      <w:marTop w:val="0"/>
      <w:marBottom w:val="0"/>
      <w:divBdr>
        <w:top w:val="none" w:sz="0" w:space="0" w:color="auto"/>
        <w:left w:val="none" w:sz="0" w:space="0" w:color="auto"/>
        <w:bottom w:val="none" w:sz="0" w:space="0" w:color="auto"/>
        <w:right w:val="none" w:sz="0" w:space="0" w:color="auto"/>
      </w:divBdr>
    </w:div>
    <w:div w:id="26109126">
      <w:bodyDiv w:val="1"/>
      <w:marLeft w:val="0"/>
      <w:marRight w:val="0"/>
      <w:marTop w:val="0"/>
      <w:marBottom w:val="0"/>
      <w:divBdr>
        <w:top w:val="none" w:sz="0" w:space="0" w:color="auto"/>
        <w:left w:val="none" w:sz="0" w:space="0" w:color="auto"/>
        <w:bottom w:val="none" w:sz="0" w:space="0" w:color="auto"/>
        <w:right w:val="none" w:sz="0" w:space="0" w:color="auto"/>
      </w:divBdr>
    </w:div>
    <w:div w:id="30307491">
      <w:bodyDiv w:val="1"/>
      <w:marLeft w:val="0"/>
      <w:marRight w:val="0"/>
      <w:marTop w:val="0"/>
      <w:marBottom w:val="0"/>
      <w:divBdr>
        <w:top w:val="none" w:sz="0" w:space="0" w:color="auto"/>
        <w:left w:val="none" w:sz="0" w:space="0" w:color="auto"/>
        <w:bottom w:val="none" w:sz="0" w:space="0" w:color="auto"/>
        <w:right w:val="none" w:sz="0" w:space="0" w:color="auto"/>
      </w:divBdr>
    </w:div>
    <w:div w:id="30570871">
      <w:bodyDiv w:val="1"/>
      <w:marLeft w:val="0"/>
      <w:marRight w:val="0"/>
      <w:marTop w:val="0"/>
      <w:marBottom w:val="0"/>
      <w:divBdr>
        <w:top w:val="none" w:sz="0" w:space="0" w:color="auto"/>
        <w:left w:val="none" w:sz="0" w:space="0" w:color="auto"/>
        <w:bottom w:val="none" w:sz="0" w:space="0" w:color="auto"/>
        <w:right w:val="none" w:sz="0" w:space="0" w:color="auto"/>
      </w:divBdr>
    </w:div>
    <w:div w:id="37360408">
      <w:bodyDiv w:val="1"/>
      <w:marLeft w:val="0"/>
      <w:marRight w:val="0"/>
      <w:marTop w:val="0"/>
      <w:marBottom w:val="0"/>
      <w:divBdr>
        <w:top w:val="none" w:sz="0" w:space="0" w:color="auto"/>
        <w:left w:val="none" w:sz="0" w:space="0" w:color="auto"/>
        <w:bottom w:val="none" w:sz="0" w:space="0" w:color="auto"/>
        <w:right w:val="none" w:sz="0" w:space="0" w:color="auto"/>
      </w:divBdr>
    </w:div>
    <w:div w:id="38434750">
      <w:bodyDiv w:val="1"/>
      <w:marLeft w:val="0"/>
      <w:marRight w:val="0"/>
      <w:marTop w:val="0"/>
      <w:marBottom w:val="0"/>
      <w:divBdr>
        <w:top w:val="none" w:sz="0" w:space="0" w:color="auto"/>
        <w:left w:val="none" w:sz="0" w:space="0" w:color="auto"/>
        <w:bottom w:val="none" w:sz="0" w:space="0" w:color="auto"/>
        <w:right w:val="none" w:sz="0" w:space="0" w:color="auto"/>
      </w:divBdr>
    </w:div>
    <w:div w:id="38555947">
      <w:bodyDiv w:val="1"/>
      <w:marLeft w:val="0"/>
      <w:marRight w:val="0"/>
      <w:marTop w:val="0"/>
      <w:marBottom w:val="0"/>
      <w:divBdr>
        <w:top w:val="none" w:sz="0" w:space="0" w:color="auto"/>
        <w:left w:val="none" w:sz="0" w:space="0" w:color="auto"/>
        <w:bottom w:val="none" w:sz="0" w:space="0" w:color="auto"/>
        <w:right w:val="none" w:sz="0" w:space="0" w:color="auto"/>
      </w:divBdr>
    </w:div>
    <w:div w:id="50427857">
      <w:bodyDiv w:val="1"/>
      <w:marLeft w:val="0"/>
      <w:marRight w:val="0"/>
      <w:marTop w:val="0"/>
      <w:marBottom w:val="0"/>
      <w:divBdr>
        <w:top w:val="none" w:sz="0" w:space="0" w:color="auto"/>
        <w:left w:val="none" w:sz="0" w:space="0" w:color="auto"/>
        <w:bottom w:val="none" w:sz="0" w:space="0" w:color="auto"/>
        <w:right w:val="none" w:sz="0" w:space="0" w:color="auto"/>
      </w:divBdr>
    </w:div>
    <w:div w:id="58945155">
      <w:bodyDiv w:val="1"/>
      <w:marLeft w:val="0"/>
      <w:marRight w:val="0"/>
      <w:marTop w:val="0"/>
      <w:marBottom w:val="0"/>
      <w:divBdr>
        <w:top w:val="none" w:sz="0" w:space="0" w:color="auto"/>
        <w:left w:val="none" w:sz="0" w:space="0" w:color="auto"/>
        <w:bottom w:val="none" w:sz="0" w:space="0" w:color="auto"/>
        <w:right w:val="none" w:sz="0" w:space="0" w:color="auto"/>
      </w:divBdr>
    </w:div>
    <w:div w:id="59715287">
      <w:bodyDiv w:val="1"/>
      <w:marLeft w:val="0"/>
      <w:marRight w:val="0"/>
      <w:marTop w:val="0"/>
      <w:marBottom w:val="0"/>
      <w:divBdr>
        <w:top w:val="none" w:sz="0" w:space="0" w:color="auto"/>
        <w:left w:val="none" w:sz="0" w:space="0" w:color="auto"/>
        <w:bottom w:val="none" w:sz="0" w:space="0" w:color="auto"/>
        <w:right w:val="none" w:sz="0" w:space="0" w:color="auto"/>
      </w:divBdr>
    </w:div>
    <w:div w:id="62609538">
      <w:bodyDiv w:val="1"/>
      <w:marLeft w:val="0"/>
      <w:marRight w:val="0"/>
      <w:marTop w:val="0"/>
      <w:marBottom w:val="0"/>
      <w:divBdr>
        <w:top w:val="none" w:sz="0" w:space="0" w:color="auto"/>
        <w:left w:val="none" w:sz="0" w:space="0" w:color="auto"/>
        <w:bottom w:val="none" w:sz="0" w:space="0" w:color="auto"/>
        <w:right w:val="none" w:sz="0" w:space="0" w:color="auto"/>
      </w:divBdr>
    </w:div>
    <w:div w:id="67381704">
      <w:bodyDiv w:val="1"/>
      <w:marLeft w:val="0"/>
      <w:marRight w:val="0"/>
      <w:marTop w:val="0"/>
      <w:marBottom w:val="0"/>
      <w:divBdr>
        <w:top w:val="none" w:sz="0" w:space="0" w:color="auto"/>
        <w:left w:val="none" w:sz="0" w:space="0" w:color="auto"/>
        <w:bottom w:val="none" w:sz="0" w:space="0" w:color="auto"/>
        <w:right w:val="none" w:sz="0" w:space="0" w:color="auto"/>
      </w:divBdr>
    </w:div>
    <w:div w:id="67659105">
      <w:bodyDiv w:val="1"/>
      <w:marLeft w:val="0"/>
      <w:marRight w:val="0"/>
      <w:marTop w:val="0"/>
      <w:marBottom w:val="0"/>
      <w:divBdr>
        <w:top w:val="none" w:sz="0" w:space="0" w:color="auto"/>
        <w:left w:val="none" w:sz="0" w:space="0" w:color="auto"/>
        <w:bottom w:val="none" w:sz="0" w:space="0" w:color="auto"/>
        <w:right w:val="none" w:sz="0" w:space="0" w:color="auto"/>
      </w:divBdr>
    </w:div>
    <w:div w:id="72120067">
      <w:bodyDiv w:val="1"/>
      <w:marLeft w:val="0"/>
      <w:marRight w:val="0"/>
      <w:marTop w:val="0"/>
      <w:marBottom w:val="0"/>
      <w:divBdr>
        <w:top w:val="none" w:sz="0" w:space="0" w:color="auto"/>
        <w:left w:val="none" w:sz="0" w:space="0" w:color="auto"/>
        <w:bottom w:val="none" w:sz="0" w:space="0" w:color="auto"/>
        <w:right w:val="none" w:sz="0" w:space="0" w:color="auto"/>
      </w:divBdr>
    </w:div>
    <w:div w:id="73673780">
      <w:bodyDiv w:val="1"/>
      <w:marLeft w:val="0"/>
      <w:marRight w:val="0"/>
      <w:marTop w:val="0"/>
      <w:marBottom w:val="0"/>
      <w:divBdr>
        <w:top w:val="none" w:sz="0" w:space="0" w:color="auto"/>
        <w:left w:val="none" w:sz="0" w:space="0" w:color="auto"/>
        <w:bottom w:val="none" w:sz="0" w:space="0" w:color="auto"/>
        <w:right w:val="none" w:sz="0" w:space="0" w:color="auto"/>
      </w:divBdr>
    </w:div>
    <w:div w:id="74785608">
      <w:bodyDiv w:val="1"/>
      <w:marLeft w:val="0"/>
      <w:marRight w:val="0"/>
      <w:marTop w:val="0"/>
      <w:marBottom w:val="0"/>
      <w:divBdr>
        <w:top w:val="none" w:sz="0" w:space="0" w:color="auto"/>
        <w:left w:val="none" w:sz="0" w:space="0" w:color="auto"/>
        <w:bottom w:val="none" w:sz="0" w:space="0" w:color="auto"/>
        <w:right w:val="none" w:sz="0" w:space="0" w:color="auto"/>
      </w:divBdr>
    </w:div>
    <w:div w:id="83690457">
      <w:bodyDiv w:val="1"/>
      <w:marLeft w:val="0"/>
      <w:marRight w:val="0"/>
      <w:marTop w:val="0"/>
      <w:marBottom w:val="0"/>
      <w:divBdr>
        <w:top w:val="none" w:sz="0" w:space="0" w:color="auto"/>
        <w:left w:val="none" w:sz="0" w:space="0" w:color="auto"/>
        <w:bottom w:val="none" w:sz="0" w:space="0" w:color="auto"/>
        <w:right w:val="none" w:sz="0" w:space="0" w:color="auto"/>
      </w:divBdr>
    </w:div>
    <w:div w:id="94399562">
      <w:bodyDiv w:val="1"/>
      <w:marLeft w:val="0"/>
      <w:marRight w:val="0"/>
      <w:marTop w:val="0"/>
      <w:marBottom w:val="0"/>
      <w:divBdr>
        <w:top w:val="none" w:sz="0" w:space="0" w:color="auto"/>
        <w:left w:val="none" w:sz="0" w:space="0" w:color="auto"/>
        <w:bottom w:val="none" w:sz="0" w:space="0" w:color="auto"/>
        <w:right w:val="none" w:sz="0" w:space="0" w:color="auto"/>
      </w:divBdr>
    </w:div>
    <w:div w:id="95713554">
      <w:bodyDiv w:val="1"/>
      <w:marLeft w:val="0"/>
      <w:marRight w:val="0"/>
      <w:marTop w:val="0"/>
      <w:marBottom w:val="0"/>
      <w:divBdr>
        <w:top w:val="none" w:sz="0" w:space="0" w:color="auto"/>
        <w:left w:val="none" w:sz="0" w:space="0" w:color="auto"/>
        <w:bottom w:val="none" w:sz="0" w:space="0" w:color="auto"/>
        <w:right w:val="none" w:sz="0" w:space="0" w:color="auto"/>
      </w:divBdr>
    </w:div>
    <w:div w:id="104081184">
      <w:bodyDiv w:val="1"/>
      <w:marLeft w:val="0"/>
      <w:marRight w:val="0"/>
      <w:marTop w:val="0"/>
      <w:marBottom w:val="0"/>
      <w:divBdr>
        <w:top w:val="none" w:sz="0" w:space="0" w:color="auto"/>
        <w:left w:val="none" w:sz="0" w:space="0" w:color="auto"/>
        <w:bottom w:val="none" w:sz="0" w:space="0" w:color="auto"/>
        <w:right w:val="none" w:sz="0" w:space="0" w:color="auto"/>
      </w:divBdr>
    </w:div>
    <w:div w:id="105004363">
      <w:bodyDiv w:val="1"/>
      <w:marLeft w:val="0"/>
      <w:marRight w:val="0"/>
      <w:marTop w:val="0"/>
      <w:marBottom w:val="0"/>
      <w:divBdr>
        <w:top w:val="none" w:sz="0" w:space="0" w:color="auto"/>
        <w:left w:val="none" w:sz="0" w:space="0" w:color="auto"/>
        <w:bottom w:val="none" w:sz="0" w:space="0" w:color="auto"/>
        <w:right w:val="none" w:sz="0" w:space="0" w:color="auto"/>
      </w:divBdr>
    </w:div>
    <w:div w:id="106121223">
      <w:bodyDiv w:val="1"/>
      <w:marLeft w:val="0"/>
      <w:marRight w:val="0"/>
      <w:marTop w:val="0"/>
      <w:marBottom w:val="0"/>
      <w:divBdr>
        <w:top w:val="none" w:sz="0" w:space="0" w:color="auto"/>
        <w:left w:val="none" w:sz="0" w:space="0" w:color="auto"/>
        <w:bottom w:val="none" w:sz="0" w:space="0" w:color="auto"/>
        <w:right w:val="none" w:sz="0" w:space="0" w:color="auto"/>
      </w:divBdr>
    </w:div>
    <w:div w:id="107893269">
      <w:bodyDiv w:val="1"/>
      <w:marLeft w:val="0"/>
      <w:marRight w:val="0"/>
      <w:marTop w:val="0"/>
      <w:marBottom w:val="0"/>
      <w:divBdr>
        <w:top w:val="none" w:sz="0" w:space="0" w:color="auto"/>
        <w:left w:val="none" w:sz="0" w:space="0" w:color="auto"/>
        <w:bottom w:val="none" w:sz="0" w:space="0" w:color="auto"/>
        <w:right w:val="none" w:sz="0" w:space="0" w:color="auto"/>
      </w:divBdr>
    </w:div>
    <w:div w:id="108010539">
      <w:bodyDiv w:val="1"/>
      <w:marLeft w:val="0"/>
      <w:marRight w:val="0"/>
      <w:marTop w:val="0"/>
      <w:marBottom w:val="0"/>
      <w:divBdr>
        <w:top w:val="none" w:sz="0" w:space="0" w:color="auto"/>
        <w:left w:val="none" w:sz="0" w:space="0" w:color="auto"/>
        <w:bottom w:val="none" w:sz="0" w:space="0" w:color="auto"/>
        <w:right w:val="none" w:sz="0" w:space="0" w:color="auto"/>
      </w:divBdr>
    </w:div>
    <w:div w:id="109130701">
      <w:bodyDiv w:val="1"/>
      <w:marLeft w:val="0"/>
      <w:marRight w:val="0"/>
      <w:marTop w:val="0"/>
      <w:marBottom w:val="0"/>
      <w:divBdr>
        <w:top w:val="none" w:sz="0" w:space="0" w:color="auto"/>
        <w:left w:val="none" w:sz="0" w:space="0" w:color="auto"/>
        <w:bottom w:val="none" w:sz="0" w:space="0" w:color="auto"/>
        <w:right w:val="none" w:sz="0" w:space="0" w:color="auto"/>
      </w:divBdr>
    </w:div>
    <w:div w:id="120998334">
      <w:bodyDiv w:val="1"/>
      <w:marLeft w:val="0"/>
      <w:marRight w:val="0"/>
      <w:marTop w:val="0"/>
      <w:marBottom w:val="0"/>
      <w:divBdr>
        <w:top w:val="none" w:sz="0" w:space="0" w:color="auto"/>
        <w:left w:val="none" w:sz="0" w:space="0" w:color="auto"/>
        <w:bottom w:val="none" w:sz="0" w:space="0" w:color="auto"/>
        <w:right w:val="none" w:sz="0" w:space="0" w:color="auto"/>
      </w:divBdr>
    </w:div>
    <w:div w:id="134225062">
      <w:bodyDiv w:val="1"/>
      <w:marLeft w:val="0"/>
      <w:marRight w:val="0"/>
      <w:marTop w:val="0"/>
      <w:marBottom w:val="0"/>
      <w:divBdr>
        <w:top w:val="none" w:sz="0" w:space="0" w:color="auto"/>
        <w:left w:val="none" w:sz="0" w:space="0" w:color="auto"/>
        <w:bottom w:val="none" w:sz="0" w:space="0" w:color="auto"/>
        <w:right w:val="none" w:sz="0" w:space="0" w:color="auto"/>
      </w:divBdr>
    </w:div>
    <w:div w:id="135612621">
      <w:bodyDiv w:val="1"/>
      <w:marLeft w:val="0"/>
      <w:marRight w:val="0"/>
      <w:marTop w:val="0"/>
      <w:marBottom w:val="0"/>
      <w:divBdr>
        <w:top w:val="none" w:sz="0" w:space="0" w:color="auto"/>
        <w:left w:val="none" w:sz="0" w:space="0" w:color="auto"/>
        <w:bottom w:val="none" w:sz="0" w:space="0" w:color="auto"/>
        <w:right w:val="none" w:sz="0" w:space="0" w:color="auto"/>
      </w:divBdr>
    </w:div>
    <w:div w:id="137576479">
      <w:bodyDiv w:val="1"/>
      <w:marLeft w:val="0"/>
      <w:marRight w:val="0"/>
      <w:marTop w:val="0"/>
      <w:marBottom w:val="0"/>
      <w:divBdr>
        <w:top w:val="none" w:sz="0" w:space="0" w:color="auto"/>
        <w:left w:val="none" w:sz="0" w:space="0" w:color="auto"/>
        <w:bottom w:val="none" w:sz="0" w:space="0" w:color="auto"/>
        <w:right w:val="none" w:sz="0" w:space="0" w:color="auto"/>
      </w:divBdr>
    </w:div>
    <w:div w:id="146439620">
      <w:bodyDiv w:val="1"/>
      <w:marLeft w:val="0"/>
      <w:marRight w:val="0"/>
      <w:marTop w:val="0"/>
      <w:marBottom w:val="0"/>
      <w:divBdr>
        <w:top w:val="none" w:sz="0" w:space="0" w:color="auto"/>
        <w:left w:val="none" w:sz="0" w:space="0" w:color="auto"/>
        <w:bottom w:val="none" w:sz="0" w:space="0" w:color="auto"/>
        <w:right w:val="none" w:sz="0" w:space="0" w:color="auto"/>
      </w:divBdr>
    </w:div>
    <w:div w:id="146631891">
      <w:bodyDiv w:val="1"/>
      <w:marLeft w:val="0"/>
      <w:marRight w:val="0"/>
      <w:marTop w:val="0"/>
      <w:marBottom w:val="0"/>
      <w:divBdr>
        <w:top w:val="none" w:sz="0" w:space="0" w:color="auto"/>
        <w:left w:val="none" w:sz="0" w:space="0" w:color="auto"/>
        <w:bottom w:val="none" w:sz="0" w:space="0" w:color="auto"/>
        <w:right w:val="none" w:sz="0" w:space="0" w:color="auto"/>
      </w:divBdr>
    </w:div>
    <w:div w:id="148835478">
      <w:bodyDiv w:val="1"/>
      <w:marLeft w:val="0"/>
      <w:marRight w:val="0"/>
      <w:marTop w:val="0"/>
      <w:marBottom w:val="0"/>
      <w:divBdr>
        <w:top w:val="none" w:sz="0" w:space="0" w:color="auto"/>
        <w:left w:val="none" w:sz="0" w:space="0" w:color="auto"/>
        <w:bottom w:val="none" w:sz="0" w:space="0" w:color="auto"/>
        <w:right w:val="none" w:sz="0" w:space="0" w:color="auto"/>
      </w:divBdr>
    </w:div>
    <w:div w:id="148979842">
      <w:bodyDiv w:val="1"/>
      <w:marLeft w:val="0"/>
      <w:marRight w:val="0"/>
      <w:marTop w:val="0"/>
      <w:marBottom w:val="0"/>
      <w:divBdr>
        <w:top w:val="none" w:sz="0" w:space="0" w:color="auto"/>
        <w:left w:val="none" w:sz="0" w:space="0" w:color="auto"/>
        <w:bottom w:val="none" w:sz="0" w:space="0" w:color="auto"/>
        <w:right w:val="none" w:sz="0" w:space="0" w:color="auto"/>
      </w:divBdr>
    </w:div>
    <w:div w:id="158275703">
      <w:bodyDiv w:val="1"/>
      <w:marLeft w:val="0"/>
      <w:marRight w:val="0"/>
      <w:marTop w:val="0"/>
      <w:marBottom w:val="0"/>
      <w:divBdr>
        <w:top w:val="none" w:sz="0" w:space="0" w:color="auto"/>
        <w:left w:val="none" w:sz="0" w:space="0" w:color="auto"/>
        <w:bottom w:val="none" w:sz="0" w:space="0" w:color="auto"/>
        <w:right w:val="none" w:sz="0" w:space="0" w:color="auto"/>
      </w:divBdr>
    </w:div>
    <w:div w:id="161434585">
      <w:bodyDiv w:val="1"/>
      <w:marLeft w:val="0"/>
      <w:marRight w:val="0"/>
      <w:marTop w:val="0"/>
      <w:marBottom w:val="0"/>
      <w:divBdr>
        <w:top w:val="none" w:sz="0" w:space="0" w:color="auto"/>
        <w:left w:val="none" w:sz="0" w:space="0" w:color="auto"/>
        <w:bottom w:val="none" w:sz="0" w:space="0" w:color="auto"/>
        <w:right w:val="none" w:sz="0" w:space="0" w:color="auto"/>
      </w:divBdr>
    </w:div>
    <w:div w:id="164370301">
      <w:bodyDiv w:val="1"/>
      <w:marLeft w:val="0"/>
      <w:marRight w:val="0"/>
      <w:marTop w:val="0"/>
      <w:marBottom w:val="0"/>
      <w:divBdr>
        <w:top w:val="none" w:sz="0" w:space="0" w:color="auto"/>
        <w:left w:val="none" w:sz="0" w:space="0" w:color="auto"/>
        <w:bottom w:val="none" w:sz="0" w:space="0" w:color="auto"/>
        <w:right w:val="none" w:sz="0" w:space="0" w:color="auto"/>
      </w:divBdr>
    </w:div>
    <w:div w:id="165677993">
      <w:bodyDiv w:val="1"/>
      <w:marLeft w:val="0"/>
      <w:marRight w:val="0"/>
      <w:marTop w:val="0"/>
      <w:marBottom w:val="0"/>
      <w:divBdr>
        <w:top w:val="none" w:sz="0" w:space="0" w:color="auto"/>
        <w:left w:val="none" w:sz="0" w:space="0" w:color="auto"/>
        <w:bottom w:val="none" w:sz="0" w:space="0" w:color="auto"/>
        <w:right w:val="none" w:sz="0" w:space="0" w:color="auto"/>
      </w:divBdr>
    </w:div>
    <w:div w:id="174349656">
      <w:bodyDiv w:val="1"/>
      <w:marLeft w:val="0"/>
      <w:marRight w:val="0"/>
      <w:marTop w:val="0"/>
      <w:marBottom w:val="0"/>
      <w:divBdr>
        <w:top w:val="none" w:sz="0" w:space="0" w:color="auto"/>
        <w:left w:val="none" w:sz="0" w:space="0" w:color="auto"/>
        <w:bottom w:val="none" w:sz="0" w:space="0" w:color="auto"/>
        <w:right w:val="none" w:sz="0" w:space="0" w:color="auto"/>
      </w:divBdr>
    </w:div>
    <w:div w:id="178590444">
      <w:bodyDiv w:val="1"/>
      <w:marLeft w:val="0"/>
      <w:marRight w:val="0"/>
      <w:marTop w:val="0"/>
      <w:marBottom w:val="0"/>
      <w:divBdr>
        <w:top w:val="none" w:sz="0" w:space="0" w:color="auto"/>
        <w:left w:val="none" w:sz="0" w:space="0" w:color="auto"/>
        <w:bottom w:val="none" w:sz="0" w:space="0" w:color="auto"/>
        <w:right w:val="none" w:sz="0" w:space="0" w:color="auto"/>
      </w:divBdr>
    </w:div>
    <w:div w:id="182862914">
      <w:bodyDiv w:val="1"/>
      <w:marLeft w:val="0"/>
      <w:marRight w:val="0"/>
      <w:marTop w:val="0"/>
      <w:marBottom w:val="0"/>
      <w:divBdr>
        <w:top w:val="none" w:sz="0" w:space="0" w:color="auto"/>
        <w:left w:val="none" w:sz="0" w:space="0" w:color="auto"/>
        <w:bottom w:val="none" w:sz="0" w:space="0" w:color="auto"/>
        <w:right w:val="none" w:sz="0" w:space="0" w:color="auto"/>
      </w:divBdr>
    </w:div>
    <w:div w:id="186676522">
      <w:bodyDiv w:val="1"/>
      <w:marLeft w:val="0"/>
      <w:marRight w:val="0"/>
      <w:marTop w:val="0"/>
      <w:marBottom w:val="0"/>
      <w:divBdr>
        <w:top w:val="none" w:sz="0" w:space="0" w:color="auto"/>
        <w:left w:val="none" w:sz="0" w:space="0" w:color="auto"/>
        <w:bottom w:val="none" w:sz="0" w:space="0" w:color="auto"/>
        <w:right w:val="none" w:sz="0" w:space="0" w:color="auto"/>
      </w:divBdr>
    </w:div>
    <w:div w:id="193349720">
      <w:bodyDiv w:val="1"/>
      <w:marLeft w:val="0"/>
      <w:marRight w:val="0"/>
      <w:marTop w:val="0"/>
      <w:marBottom w:val="0"/>
      <w:divBdr>
        <w:top w:val="none" w:sz="0" w:space="0" w:color="auto"/>
        <w:left w:val="none" w:sz="0" w:space="0" w:color="auto"/>
        <w:bottom w:val="none" w:sz="0" w:space="0" w:color="auto"/>
        <w:right w:val="none" w:sz="0" w:space="0" w:color="auto"/>
      </w:divBdr>
    </w:div>
    <w:div w:id="204560469">
      <w:bodyDiv w:val="1"/>
      <w:marLeft w:val="0"/>
      <w:marRight w:val="0"/>
      <w:marTop w:val="0"/>
      <w:marBottom w:val="0"/>
      <w:divBdr>
        <w:top w:val="none" w:sz="0" w:space="0" w:color="auto"/>
        <w:left w:val="none" w:sz="0" w:space="0" w:color="auto"/>
        <w:bottom w:val="none" w:sz="0" w:space="0" w:color="auto"/>
        <w:right w:val="none" w:sz="0" w:space="0" w:color="auto"/>
      </w:divBdr>
    </w:div>
    <w:div w:id="206576617">
      <w:bodyDiv w:val="1"/>
      <w:marLeft w:val="0"/>
      <w:marRight w:val="0"/>
      <w:marTop w:val="0"/>
      <w:marBottom w:val="0"/>
      <w:divBdr>
        <w:top w:val="none" w:sz="0" w:space="0" w:color="auto"/>
        <w:left w:val="none" w:sz="0" w:space="0" w:color="auto"/>
        <w:bottom w:val="none" w:sz="0" w:space="0" w:color="auto"/>
        <w:right w:val="none" w:sz="0" w:space="0" w:color="auto"/>
      </w:divBdr>
    </w:div>
    <w:div w:id="211045668">
      <w:bodyDiv w:val="1"/>
      <w:marLeft w:val="0"/>
      <w:marRight w:val="0"/>
      <w:marTop w:val="0"/>
      <w:marBottom w:val="0"/>
      <w:divBdr>
        <w:top w:val="none" w:sz="0" w:space="0" w:color="auto"/>
        <w:left w:val="none" w:sz="0" w:space="0" w:color="auto"/>
        <w:bottom w:val="none" w:sz="0" w:space="0" w:color="auto"/>
        <w:right w:val="none" w:sz="0" w:space="0" w:color="auto"/>
      </w:divBdr>
    </w:div>
    <w:div w:id="221454640">
      <w:bodyDiv w:val="1"/>
      <w:marLeft w:val="0"/>
      <w:marRight w:val="0"/>
      <w:marTop w:val="0"/>
      <w:marBottom w:val="0"/>
      <w:divBdr>
        <w:top w:val="none" w:sz="0" w:space="0" w:color="auto"/>
        <w:left w:val="none" w:sz="0" w:space="0" w:color="auto"/>
        <w:bottom w:val="none" w:sz="0" w:space="0" w:color="auto"/>
        <w:right w:val="none" w:sz="0" w:space="0" w:color="auto"/>
      </w:divBdr>
    </w:div>
    <w:div w:id="221840811">
      <w:bodyDiv w:val="1"/>
      <w:marLeft w:val="0"/>
      <w:marRight w:val="0"/>
      <w:marTop w:val="0"/>
      <w:marBottom w:val="0"/>
      <w:divBdr>
        <w:top w:val="none" w:sz="0" w:space="0" w:color="auto"/>
        <w:left w:val="none" w:sz="0" w:space="0" w:color="auto"/>
        <w:bottom w:val="none" w:sz="0" w:space="0" w:color="auto"/>
        <w:right w:val="none" w:sz="0" w:space="0" w:color="auto"/>
      </w:divBdr>
    </w:div>
    <w:div w:id="228158336">
      <w:bodyDiv w:val="1"/>
      <w:marLeft w:val="0"/>
      <w:marRight w:val="0"/>
      <w:marTop w:val="0"/>
      <w:marBottom w:val="0"/>
      <w:divBdr>
        <w:top w:val="none" w:sz="0" w:space="0" w:color="auto"/>
        <w:left w:val="none" w:sz="0" w:space="0" w:color="auto"/>
        <w:bottom w:val="none" w:sz="0" w:space="0" w:color="auto"/>
        <w:right w:val="none" w:sz="0" w:space="0" w:color="auto"/>
      </w:divBdr>
    </w:div>
    <w:div w:id="232542404">
      <w:bodyDiv w:val="1"/>
      <w:marLeft w:val="0"/>
      <w:marRight w:val="0"/>
      <w:marTop w:val="0"/>
      <w:marBottom w:val="0"/>
      <w:divBdr>
        <w:top w:val="none" w:sz="0" w:space="0" w:color="auto"/>
        <w:left w:val="none" w:sz="0" w:space="0" w:color="auto"/>
        <w:bottom w:val="none" w:sz="0" w:space="0" w:color="auto"/>
        <w:right w:val="none" w:sz="0" w:space="0" w:color="auto"/>
      </w:divBdr>
    </w:div>
    <w:div w:id="239222088">
      <w:bodyDiv w:val="1"/>
      <w:marLeft w:val="0"/>
      <w:marRight w:val="0"/>
      <w:marTop w:val="0"/>
      <w:marBottom w:val="0"/>
      <w:divBdr>
        <w:top w:val="none" w:sz="0" w:space="0" w:color="auto"/>
        <w:left w:val="none" w:sz="0" w:space="0" w:color="auto"/>
        <w:bottom w:val="none" w:sz="0" w:space="0" w:color="auto"/>
        <w:right w:val="none" w:sz="0" w:space="0" w:color="auto"/>
      </w:divBdr>
    </w:div>
    <w:div w:id="242420886">
      <w:bodyDiv w:val="1"/>
      <w:marLeft w:val="0"/>
      <w:marRight w:val="0"/>
      <w:marTop w:val="0"/>
      <w:marBottom w:val="0"/>
      <w:divBdr>
        <w:top w:val="none" w:sz="0" w:space="0" w:color="auto"/>
        <w:left w:val="none" w:sz="0" w:space="0" w:color="auto"/>
        <w:bottom w:val="none" w:sz="0" w:space="0" w:color="auto"/>
        <w:right w:val="none" w:sz="0" w:space="0" w:color="auto"/>
      </w:divBdr>
    </w:div>
    <w:div w:id="244657787">
      <w:bodyDiv w:val="1"/>
      <w:marLeft w:val="0"/>
      <w:marRight w:val="0"/>
      <w:marTop w:val="0"/>
      <w:marBottom w:val="0"/>
      <w:divBdr>
        <w:top w:val="none" w:sz="0" w:space="0" w:color="auto"/>
        <w:left w:val="none" w:sz="0" w:space="0" w:color="auto"/>
        <w:bottom w:val="none" w:sz="0" w:space="0" w:color="auto"/>
        <w:right w:val="none" w:sz="0" w:space="0" w:color="auto"/>
      </w:divBdr>
    </w:div>
    <w:div w:id="244999867">
      <w:bodyDiv w:val="1"/>
      <w:marLeft w:val="0"/>
      <w:marRight w:val="0"/>
      <w:marTop w:val="0"/>
      <w:marBottom w:val="0"/>
      <w:divBdr>
        <w:top w:val="none" w:sz="0" w:space="0" w:color="auto"/>
        <w:left w:val="none" w:sz="0" w:space="0" w:color="auto"/>
        <w:bottom w:val="none" w:sz="0" w:space="0" w:color="auto"/>
        <w:right w:val="none" w:sz="0" w:space="0" w:color="auto"/>
      </w:divBdr>
    </w:div>
    <w:div w:id="251159842">
      <w:bodyDiv w:val="1"/>
      <w:marLeft w:val="0"/>
      <w:marRight w:val="0"/>
      <w:marTop w:val="0"/>
      <w:marBottom w:val="0"/>
      <w:divBdr>
        <w:top w:val="none" w:sz="0" w:space="0" w:color="auto"/>
        <w:left w:val="none" w:sz="0" w:space="0" w:color="auto"/>
        <w:bottom w:val="none" w:sz="0" w:space="0" w:color="auto"/>
        <w:right w:val="none" w:sz="0" w:space="0" w:color="auto"/>
      </w:divBdr>
    </w:div>
    <w:div w:id="259918724">
      <w:bodyDiv w:val="1"/>
      <w:marLeft w:val="0"/>
      <w:marRight w:val="0"/>
      <w:marTop w:val="0"/>
      <w:marBottom w:val="0"/>
      <w:divBdr>
        <w:top w:val="none" w:sz="0" w:space="0" w:color="auto"/>
        <w:left w:val="none" w:sz="0" w:space="0" w:color="auto"/>
        <w:bottom w:val="none" w:sz="0" w:space="0" w:color="auto"/>
        <w:right w:val="none" w:sz="0" w:space="0" w:color="auto"/>
      </w:divBdr>
    </w:div>
    <w:div w:id="260601931">
      <w:bodyDiv w:val="1"/>
      <w:marLeft w:val="0"/>
      <w:marRight w:val="0"/>
      <w:marTop w:val="0"/>
      <w:marBottom w:val="0"/>
      <w:divBdr>
        <w:top w:val="none" w:sz="0" w:space="0" w:color="auto"/>
        <w:left w:val="none" w:sz="0" w:space="0" w:color="auto"/>
        <w:bottom w:val="none" w:sz="0" w:space="0" w:color="auto"/>
        <w:right w:val="none" w:sz="0" w:space="0" w:color="auto"/>
      </w:divBdr>
    </w:div>
    <w:div w:id="267396897">
      <w:bodyDiv w:val="1"/>
      <w:marLeft w:val="0"/>
      <w:marRight w:val="0"/>
      <w:marTop w:val="0"/>
      <w:marBottom w:val="0"/>
      <w:divBdr>
        <w:top w:val="none" w:sz="0" w:space="0" w:color="auto"/>
        <w:left w:val="none" w:sz="0" w:space="0" w:color="auto"/>
        <w:bottom w:val="none" w:sz="0" w:space="0" w:color="auto"/>
        <w:right w:val="none" w:sz="0" w:space="0" w:color="auto"/>
      </w:divBdr>
    </w:div>
    <w:div w:id="269318036">
      <w:bodyDiv w:val="1"/>
      <w:marLeft w:val="0"/>
      <w:marRight w:val="0"/>
      <w:marTop w:val="0"/>
      <w:marBottom w:val="0"/>
      <w:divBdr>
        <w:top w:val="none" w:sz="0" w:space="0" w:color="auto"/>
        <w:left w:val="none" w:sz="0" w:space="0" w:color="auto"/>
        <w:bottom w:val="none" w:sz="0" w:space="0" w:color="auto"/>
        <w:right w:val="none" w:sz="0" w:space="0" w:color="auto"/>
      </w:divBdr>
    </w:div>
    <w:div w:id="282930245">
      <w:bodyDiv w:val="1"/>
      <w:marLeft w:val="0"/>
      <w:marRight w:val="0"/>
      <w:marTop w:val="0"/>
      <w:marBottom w:val="0"/>
      <w:divBdr>
        <w:top w:val="none" w:sz="0" w:space="0" w:color="auto"/>
        <w:left w:val="none" w:sz="0" w:space="0" w:color="auto"/>
        <w:bottom w:val="none" w:sz="0" w:space="0" w:color="auto"/>
        <w:right w:val="none" w:sz="0" w:space="0" w:color="auto"/>
      </w:divBdr>
    </w:div>
    <w:div w:id="287132457">
      <w:bodyDiv w:val="1"/>
      <w:marLeft w:val="0"/>
      <w:marRight w:val="0"/>
      <w:marTop w:val="0"/>
      <w:marBottom w:val="0"/>
      <w:divBdr>
        <w:top w:val="none" w:sz="0" w:space="0" w:color="auto"/>
        <w:left w:val="none" w:sz="0" w:space="0" w:color="auto"/>
        <w:bottom w:val="none" w:sz="0" w:space="0" w:color="auto"/>
        <w:right w:val="none" w:sz="0" w:space="0" w:color="auto"/>
      </w:divBdr>
    </w:div>
    <w:div w:id="300158975">
      <w:bodyDiv w:val="1"/>
      <w:marLeft w:val="0"/>
      <w:marRight w:val="0"/>
      <w:marTop w:val="0"/>
      <w:marBottom w:val="0"/>
      <w:divBdr>
        <w:top w:val="none" w:sz="0" w:space="0" w:color="auto"/>
        <w:left w:val="none" w:sz="0" w:space="0" w:color="auto"/>
        <w:bottom w:val="none" w:sz="0" w:space="0" w:color="auto"/>
        <w:right w:val="none" w:sz="0" w:space="0" w:color="auto"/>
      </w:divBdr>
    </w:div>
    <w:div w:id="304430780">
      <w:bodyDiv w:val="1"/>
      <w:marLeft w:val="0"/>
      <w:marRight w:val="0"/>
      <w:marTop w:val="0"/>
      <w:marBottom w:val="0"/>
      <w:divBdr>
        <w:top w:val="none" w:sz="0" w:space="0" w:color="auto"/>
        <w:left w:val="none" w:sz="0" w:space="0" w:color="auto"/>
        <w:bottom w:val="none" w:sz="0" w:space="0" w:color="auto"/>
        <w:right w:val="none" w:sz="0" w:space="0" w:color="auto"/>
      </w:divBdr>
    </w:div>
    <w:div w:id="306203279">
      <w:bodyDiv w:val="1"/>
      <w:marLeft w:val="0"/>
      <w:marRight w:val="0"/>
      <w:marTop w:val="0"/>
      <w:marBottom w:val="0"/>
      <w:divBdr>
        <w:top w:val="none" w:sz="0" w:space="0" w:color="auto"/>
        <w:left w:val="none" w:sz="0" w:space="0" w:color="auto"/>
        <w:bottom w:val="none" w:sz="0" w:space="0" w:color="auto"/>
        <w:right w:val="none" w:sz="0" w:space="0" w:color="auto"/>
      </w:divBdr>
    </w:div>
    <w:div w:id="307175320">
      <w:bodyDiv w:val="1"/>
      <w:marLeft w:val="0"/>
      <w:marRight w:val="0"/>
      <w:marTop w:val="0"/>
      <w:marBottom w:val="0"/>
      <w:divBdr>
        <w:top w:val="none" w:sz="0" w:space="0" w:color="auto"/>
        <w:left w:val="none" w:sz="0" w:space="0" w:color="auto"/>
        <w:bottom w:val="none" w:sz="0" w:space="0" w:color="auto"/>
        <w:right w:val="none" w:sz="0" w:space="0" w:color="auto"/>
      </w:divBdr>
    </w:div>
    <w:div w:id="314603400">
      <w:bodyDiv w:val="1"/>
      <w:marLeft w:val="0"/>
      <w:marRight w:val="0"/>
      <w:marTop w:val="0"/>
      <w:marBottom w:val="0"/>
      <w:divBdr>
        <w:top w:val="none" w:sz="0" w:space="0" w:color="auto"/>
        <w:left w:val="none" w:sz="0" w:space="0" w:color="auto"/>
        <w:bottom w:val="none" w:sz="0" w:space="0" w:color="auto"/>
        <w:right w:val="none" w:sz="0" w:space="0" w:color="auto"/>
      </w:divBdr>
    </w:div>
    <w:div w:id="318730003">
      <w:bodyDiv w:val="1"/>
      <w:marLeft w:val="0"/>
      <w:marRight w:val="0"/>
      <w:marTop w:val="0"/>
      <w:marBottom w:val="0"/>
      <w:divBdr>
        <w:top w:val="none" w:sz="0" w:space="0" w:color="auto"/>
        <w:left w:val="none" w:sz="0" w:space="0" w:color="auto"/>
        <w:bottom w:val="none" w:sz="0" w:space="0" w:color="auto"/>
        <w:right w:val="none" w:sz="0" w:space="0" w:color="auto"/>
      </w:divBdr>
    </w:div>
    <w:div w:id="320158812">
      <w:bodyDiv w:val="1"/>
      <w:marLeft w:val="0"/>
      <w:marRight w:val="0"/>
      <w:marTop w:val="0"/>
      <w:marBottom w:val="0"/>
      <w:divBdr>
        <w:top w:val="none" w:sz="0" w:space="0" w:color="auto"/>
        <w:left w:val="none" w:sz="0" w:space="0" w:color="auto"/>
        <w:bottom w:val="none" w:sz="0" w:space="0" w:color="auto"/>
        <w:right w:val="none" w:sz="0" w:space="0" w:color="auto"/>
      </w:divBdr>
    </w:div>
    <w:div w:id="334188150">
      <w:bodyDiv w:val="1"/>
      <w:marLeft w:val="0"/>
      <w:marRight w:val="0"/>
      <w:marTop w:val="0"/>
      <w:marBottom w:val="0"/>
      <w:divBdr>
        <w:top w:val="none" w:sz="0" w:space="0" w:color="auto"/>
        <w:left w:val="none" w:sz="0" w:space="0" w:color="auto"/>
        <w:bottom w:val="none" w:sz="0" w:space="0" w:color="auto"/>
        <w:right w:val="none" w:sz="0" w:space="0" w:color="auto"/>
      </w:divBdr>
    </w:div>
    <w:div w:id="339435848">
      <w:bodyDiv w:val="1"/>
      <w:marLeft w:val="0"/>
      <w:marRight w:val="0"/>
      <w:marTop w:val="0"/>
      <w:marBottom w:val="0"/>
      <w:divBdr>
        <w:top w:val="none" w:sz="0" w:space="0" w:color="auto"/>
        <w:left w:val="none" w:sz="0" w:space="0" w:color="auto"/>
        <w:bottom w:val="none" w:sz="0" w:space="0" w:color="auto"/>
        <w:right w:val="none" w:sz="0" w:space="0" w:color="auto"/>
      </w:divBdr>
    </w:div>
    <w:div w:id="345712215">
      <w:bodyDiv w:val="1"/>
      <w:marLeft w:val="0"/>
      <w:marRight w:val="0"/>
      <w:marTop w:val="0"/>
      <w:marBottom w:val="0"/>
      <w:divBdr>
        <w:top w:val="none" w:sz="0" w:space="0" w:color="auto"/>
        <w:left w:val="none" w:sz="0" w:space="0" w:color="auto"/>
        <w:bottom w:val="none" w:sz="0" w:space="0" w:color="auto"/>
        <w:right w:val="none" w:sz="0" w:space="0" w:color="auto"/>
      </w:divBdr>
    </w:div>
    <w:div w:id="347174837">
      <w:bodyDiv w:val="1"/>
      <w:marLeft w:val="0"/>
      <w:marRight w:val="0"/>
      <w:marTop w:val="0"/>
      <w:marBottom w:val="0"/>
      <w:divBdr>
        <w:top w:val="none" w:sz="0" w:space="0" w:color="auto"/>
        <w:left w:val="none" w:sz="0" w:space="0" w:color="auto"/>
        <w:bottom w:val="none" w:sz="0" w:space="0" w:color="auto"/>
        <w:right w:val="none" w:sz="0" w:space="0" w:color="auto"/>
      </w:divBdr>
    </w:div>
    <w:div w:id="351420201">
      <w:bodyDiv w:val="1"/>
      <w:marLeft w:val="0"/>
      <w:marRight w:val="0"/>
      <w:marTop w:val="0"/>
      <w:marBottom w:val="0"/>
      <w:divBdr>
        <w:top w:val="none" w:sz="0" w:space="0" w:color="auto"/>
        <w:left w:val="none" w:sz="0" w:space="0" w:color="auto"/>
        <w:bottom w:val="none" w:sz="0" w:space="0" w:color="auto"/>
        <w:right w:val="none" w:sz="0" w:space="0" w:color="auto"/>
      </w:divBdr>
    </w:div>
    <w:div w:id="357707992">
      <w:bodyDiv w:val="1"/>
      <w:marLeft w:val="0"/>
      <w:marRight w:val="0"/>
      <w:marTop w:val="0"/>
      <w:marBottom w:val="0"/>
      <w:divBdr>
        <w:top w:val="none" w:sz="0" w:space="0" w:color="auto"/>
        <w:left w:val="none" w:sz="0" w:space="0" w:color="auto"/>
        <w:bottom w:val="none" w:sz="0" w:space="0" w:color="auto"/>
        <w:right w:val="none" w:sz="0" w:space="0" w:color="auto"/>
      </w:divBdr>
    </w:div>
    <w:div w:id="358092605">
      <w:bodyDiv w:val="1"/>
      <w:marLeft w:val="0"/>
      <w:marRight w:val="0"/>
      <w:marTop w:val="0"/>
      <w:marBottom w:val="0"/>
      <w:divBdr>
        <w:top w:val="none" w:sz="0" w:space="0" w:color="auto"/>
        <w:left w:val="none" w:sz="0" w:space="0" w:color="auto"/>
        <w:bottom w:val="none" w:sz="0" w:space="0" w:color="auto"/>
        <w:right w:val="none" w:sz="0" w:space="0" w:color="auto"/>
      </w:divBdr>
    </w:div>
    <w:div w:id="360015184">
      <w:bodyDiv w:val="1"/>
      <w:marLeft w:val="0"/>
      <w:marRight w:val="0"/>
      <w:marTop w:val="0"/>
      <w:marBottom w:val="0"/>
      <w:divBdr>
        <w:top w:val="none" w:sz="0" w:space="0" w:color="auto"/>
        <w:left w:val="none" w:sz="0" w:space="0" w:color="auto"/>
        <w:bottom w:val="none" w:sz="0" w:space="0" w:color="auto"/>
        <w:right w:val="none" w:sz="0" w:space="0" w:color="auto"/>
      </w:divBdr>
    </w:div>
    <w:div w:id="369189035">
      <w:bodyDiv w:val="1"/>
      <w:marLeft w:val="0"/>
      <w:marRight w:val="0"/>
      <w:marTop w:val="0"/>
      <w:marBottom w:val="0"/>
      <w:divBdr>
        <w:top w:val="none" w:sz="0" w:space="0" w:color="auto"/>
        <w:left w:val="none" w:sz="0" w:space="0" w:color="auto"/>
        <w:bottom w:val="none" w:sz="0" w:space="0" w:color="auto"/>
        <w:right w:val="none" w:sz="0" w:space="0" w:color="auto"/>
      </w:divBdr>
    </w:div>
    <w:div w:id="373622402">
      <w:bodyDiv w:val="1"/>
      <w:marLeft w:val="0"/>
      <w:marRight w:val="0"/>
      <w:marTop w:val="0"/>
      <w:marBottom w:val="0"/>
      <w:divBdr>
        <w:top w:val="none" w:sz="0" w:space="0" w:color="auto"/>
        <w:left w:val="none" w:sz="0" w:space="0" w:color="auto"/>
        <w:bottom w:val="none" w:sz="0" w:space="0" w:color="auto"/>
        <w:right w:val="none" w:sz="0" w:space="0" w:color="auto"/>
      </w:divBdr>
    </w:div>
    <w:div w:id="378169691">
      <w:bodyDiv w:val="1"/>
      <w:marLeft w:val="0"/>
      <w:marRight w:val="0"/>
      <w:marTop w:val="0"/>
      <w:marBottom w:val="0"/>
      <w:divBdr>
        <w:top w:val="none" w:sz="0" w:space="0" w:color="auto"/>
        <w:left w:val="none" w:sz="0" w:space="0" w:color="auto"/>
        <w:bottom w:val="none" w:sz="0" w:space="0" w:color="auto"/>
        <w:right w:val="none" w:sz="0" w:space="0" w:color="auto"/>
      </w:divBdr>
    </w:div>
    <w:div w:id="378407681">
      <w:bodyDiv w:val="1"/>
      <w:marLeft w:val="0"/>
      <w:marRight w:val="0"/>
      <w:marTop w:val="0"/>
      <w:marBottom w:val="0"/>
      <w:divBdr>
        <w:top w:val="none" w:sz="0" w:space="0" w:color="auto"/>
        <w:left w:val="none" w:sz="0" w:space="0" w:color="auto"/>
        <w:bottom w:val="none" w:sz="0" w:space="0" w:color="auto"/>
        <w:right w:val="none" w:sz="0" w:space="0" w:color="auto"/>
      </w:divBdr>
    </w:div>
    <w:div w:id="378630799">
      <w:bodyDiv w:val="1"/>
      <w:marLeft w:val="0"/>
      <w:marRight w:val="0"/>
      <w:marTop w:val="0"/>
      <w:marBottom w:val="0"/>
      <w:divBdr>
        <w:top w:val="none" w:sz="0" w:space="0" w:color="auto"/>
        <w:left w:val="none" w:sz="0" w:space="0" w:color="auto"/>
        <w:bottom w:val="none" w:sz="0" w:space="0" w:color="auto"/>
        <w:right w:val="none" w:sz="0" w:space="0" w:color="auto"/>
      </w:divBdr>
    </w:div>
    <w:div w:id="380251968">
      <w:bodyDiv w:val="1"/>
      <w:marLeft w:val="0"/>
      <w:marRight w:val="0"/>
      <w:marTop w:val="0"/>
      <w:marBottom w:val="0"/>
      <w:divBdr>
        <w:top w:val="none" w:sz="0" w:space="0" w:color="auto"/>
        <w:left w:val="none" w:sz="0" w:space="0" w:color="auto"/>
        <w:bottom w:val="none" w:sz="0" w:space="0" w:color="auto"/>
        <w:right w:val="none" w:sz="0" w:space="0" w:color="auto"/>
      </w:divBdr>
    </w:div>
    <w:div w:id="382993092">
      <w:bodyDiv w:val="1"/>
      <w:marLeft w:val="0"/>
      <w:marRight w:val="0"/>
      <w:marTop w:val="0"/>
      <w:marBottom w:val="0"/>
      <w:divBdr>
        <w:top w:val="none" w:sz="0" w:space="0" w:color="auto"/>
        <w:left w:val="none" w:sz="0" w:space="0" w:color="auto"/>
        <w:bottom w:val="none" w:sz="0" w:space="0" w:color="auto"/>
        <w:right w:val="none" w:sz="0" w:space="0" w:color="auto"/>
      </w:divBdr>
    </w:div>
    <w:div w:id="392199981">
      <w:bodyDiv w:val="1"/>
      <w:marLeft w:val="0"/>
      <w:marRight w:val="0"/>
      <w:marTop w:val="0"/>
      <w:marBottom w:val="0"/>
      <w:divBdr>
        <w:top w:val="none" w:sz="0" w:space="0" w:color="auto"/>
        <w:left w:val="none" w:sz="0" w:space="0" w:color="auto"/>
        <w:bottom w:val="none" w:sz="0" w:space="0" w:color="auto"/>
        <w:right w:val="none" w:sz="0" w:space="0" w:color="auto"/>
      </w:divBdr>
    </w:div>
    <w:div w:id="398333444">
      <w:bodyDiv w:val="1"/>
      <w:marLeft w:val="0"/>
      <w:marRight w:val="0"/>
      <w:marTop w:val="0"/>
      <w:marBottom w:val="0"/>
      <w:divBdr>
        <w:top w:val="none" w:sz="0" w:space="0" w:color="auto"/>
        <w:left w:val="none" w:sz="0" w:space="0" w:color="auto"/>
        <w:bottom w:val="none" w:sz="0" w:space="0" w:color="auto"/>
        <w:right w:val="none" w:sz="0" w:space="0" w:color="auto"/>
      </w:divBdr>
    </w:div>
    <w:div w:id="398989451">
      <w:bodyDiv w:val="1"/>
      <w:marLeft w:val="0"/>
      <w:marRight w:val="0"/>
      <w:marTop w:val="0"/>
      <w:marBottom w:val="0"/>
      <w:divBdr>
        <w:top w:val="none" w:sz="0" w:space="0" w:color="auto"/>
        <w:left w:val="none" w:sz="0" w:space="0" w:color="auto"/>
        <w:bottom w:val="none" w:sz="0" w:space="0" w:color="auto"/>
        <w:right w:val="none" w:sz="0" w:space="0" w:color="auto"/>
      </w:divBdr>
    </w:div>
    <w:div w:id="401761922">
      <w:bodyDiv w:val="1"/>
      <w:marLeft w:val="0"/>
      <w:marRight w:val="0"/>
      <w:marTop w:val="0"/>
      <w:marBottom w:val="0"/>
      <w:divBdr>
        <w:top w:val="none" w:sz="0" w:space="0" w:color="auto"/>
        <w:left w:val="none" w:sz="0" w:space="0" w:color="auto"/>
        <w:bottom w:val="none" w:sz="0" w:space="0" w:color="auto"/>
        <w:right w:val="none" w:sz="0" w:space="0" w:color="auto"/>
      </w:divBdr>
    </w:div>
    <w:div w:id="405423228">
      <w:bodyDiv w:val="1"/>
      <w:marLeft w:val="0"/>
      <w:marRight w:val="0"/>
      <w:marTop w:val="0"/>
      <w:marBottom w:val="0"/>
      <w:divBdr>
        <w:top w:val="none" w:sz="0" w:space="0" w:color="auto"/>
        <w:left w:val="none" w:sz="0" w:space="0" w:color="auto"/>
        <w:bottom w:val="none" w:sz="0" w:space="0" w:color="auto"/>
        <w:right w:val="none" w:sz="0" w:space="0" w:color="auto"/>
      </w:divBdr>
    </w:div>
    <w:div w:id="406852355">
      <w:bodyDiv w:val="1"/>
      <w:marLeft w:val="0"/>
      <w:marRight w:val="0"/>
      <w:marTop w:val="0"/>
      <w:marBottom w:val="0"/>
      <w:divBdr>
        <w:top w:val="none" w:sz="0" w:space="0" w:color="auto"/>
        <w:left w:val="none" w:sz="0" w:space="0" w:color="auto"/>
        <w:bottom w:val="none" w:sz="0" w:space="0" w:color="auto"/>
        <w:right w:val="none" w:sz="0" w:space="0" w:color="auto"/>
      </w:divBdr>
    </w:div>
    <w:div w:id="412972505">
      <w:bodyDiv w:val="1"/>
      <w:marLeft w:val="0"/>
      <w:marRight w:val="0"/>
      <w:marTop w:val="0"/>
      <w:marBottom w:val="0"/>
      <w:divBdr>
        <w:top w:val="none" w:sz="0" w:space="0" w:color="auto"/>
        <w:left w:val="none" w:sz="0" w:space="0" w:color="auto"/>
        <w:bottom w:val="none" w:sz="0" w:space="0" w:color="auto"/>
        <w:right w:val="none" w:sz="0" w:space="0" w:color="auto"/>
      </w:divBdr>
    </w:div>
    <w:div w:id="413085280">
      <w:bodyDiv w:val="1"/>
      <w:marLeft w:val="0"/>
      <w:marRight w:val="0"/>
      <w:marTop w:val="0"/>
      <w:marBottom w:val="0"/>
      <w:divBdr>
        <w:top w:val="none" w:sz="0" w:space="0" w:color="auto"/>
        <w:left w:val="none" w:sz="0" w:space="0" w:color="auto"/>
        <w:bottom w:val="none" w:sz="0" w:space="0" w:color="auto"/>
        <w:right w:val="none" w:sz="0" w:space="0" w:color="auto"/>
      </w:divBdr>
    </w:div>
    <w:div w:id="413627657">
      <w:bodyDiv w:val="1"/>
      <w:marLeft w:val="0"/>
      <w:marRight w:val="0"/>
      <w:marTop w:val="0"/>
      <w:marBottom w:val="0"/>
      <w:divBdr>
        <w:top w:val="none" w:sz="0" w:space="0" w:color="auto"/>
        <w:left w:val="none" w:sz="0" w:space="0" w:color="auto"/>
        <w:bottom w:val="none" w:sz="0" w:space="0" w:color="auto"/>
        <w:right w:val="none" w:sz="0" w:space="0" w:color="auto"/>
      </w:divBdr>
    </w:div>
    <w:div w:id="414985261">
      <w:bodyDiv w:val="1"/>
      <w:marLeft w:val="0"/>
      <w:marRight w:val="0"/>
      <w:marTop w:val="0"/>
      <w:marBottom w:val="0"/>
      <w:divBdr>
        <w:top w:val="none" w:sz="0" w:space="0" w:color="auto"/>
        <w:left w:val="none" w:sz="0" w:space="0" w:color="auto"/>
        <w:bottom w:val="none" w:sz="0" w:space="0" w:color="auto"/>
        <w:right w:val="none" w:sz="0" w:space="0" w:color="auto"/>
      </w:divBdr>
    </w:div>
    <w:div w:id="424543709">
      <w:bodyDiv w:val="1"/>
      <w:marLeft w:val="0"/>
      <w:marRight w:val="0"/>
      <w:marTop w:val="0"/>
      <w:marBottom w:val="0"/>
      <w:divBdr>
        <w:top w:val="none" w:sz="0" w:space="0" w:color="auto"/>
        <w:left w:val="none" w:sz="0" w:space="0" w:color="auto"/>
        <w:bottom w:val="none" w:sz="0" w:space="0" w:color="auto"/>
        <w:right w:val="none" w:sz="0" w:space="0" w:color="auto"/>
      </w:divBdr>
    </w:div>
    <w:div w:id="427043049">
      <w:bodyDiv w:val="1"/>
      <w:marLeft w:val="0"/>
      <w:marRight w:val="0"/>
      <w:marTop w:val="0"/>
      <w:marBottom w:val="0"/>
      <w:divBdr>
        <w:top w:val="none" w:sz="0" w:space="0" w:color="auto"/>
        <w:left w:val="none" w:sz="0" w:space="0" w:color="auto"/>
        <w:bottom w:val="none" w:sz="0" w:space="0" w:color="auto"/>
        <w:right w:val="none" w:sz="0" w:space="0" w:color="auto"/>
      </w:divBdr>
    </w:div>
    <w:div w:id="430316160">
      <w:bodyDiv w:val="1"/>
      <w:marLeft w:val="0"/>
      <w:marRight w:val="0"/>
      <w:marTop w:val="0"/>
      <w:marBottom w:val="0"/>
      <w:divBdr>
        <w:top w:val="none" w:sz="0" w:space="0" w:color="auto"/>
        <w:left w:val="none" w:sz="0" w:space="0" w:color="auto"/>
        <w:bottom w:val="none" w:sz="0" w:space="0" w:color="auto"/>
        <w:right w:val="none" w:sz="0" w:space="0" w:color="auto"/>
      </w:divBdr>
    </w:div>
    <w:div w:id="435562008">
      <w:bodyDiv w:val="1"/>
      <w:marLeft w:val="0"/>
      <w:marRight w:val="0"/>
      <w:marTop w:val="0"/>
      <w:marBottom w:val="0"/>
      <w:divBdr>
        <w:top w:val="none" w:sz="0" w:space="0" w:color="auto"/>
        <w:left w:val="none" w:sz="0" w:space="0" w:color="auto"/>
        <w:bottom w:val="none" w:sz="0" w:space="0" w:color="auto"/>
        <w:right w:val="none" w:sz="0" w:space="0" w:color="auto"/>
      </w:divBdr>
    </w:div>
    <w:div w:id="440958271">
      <w:bodyDiv w:val="1"/>
      <w:marLeft w:val="0"/>
      <w:marRight w:val="0"/>
      <w:marTop w:val="0"/>
      <w:marBottom w:val="0"/>
      <w:divBdr>
        <w:top w:val="none" w:sz="0" w:space="0" w:color="auto"/>
        <w:left w:val="none" w:sz="0" w:space="0" w:color="auto"/>
        <w:bottom w:val="none" w:sz="0" w:space="0" w:color="auto"/>
        <w:right w:val="none" w:sz="0" w:space="0" w:color="auto"/>
      </w:divBdr>
    </w:div>
    <w:div w:id="442072451">
      <w:bodyDiv w:val="1"/>
      <w:marLeft w:val="0"/>
      <w:marRight w:val="0"/>
      <w:marTop w:val="0"/>
      <w:marBottom w:val="0"/>
      <w:divBdr>
        <w:top w:val="none" w:sz="0" w:space="0" w:color="auto"/>
        <w:left w:val="none" w:sz="0" w:space="0" w:color="auto"/>
        <w:bottom w:val="none" w:sz="0" w:space="0" w:color="auto"/>
        <w:right w:val="none" w:sz="0" w:space="0" w:color="auto"/>
      </w:divBdr>
    </w:div>
    <w:div w:id="449517313">
      <w:bodyDiv w:val="1"/>
      <w:marLeft w:val="0"/>
      <w:marRight w:val="0"/>
      <w:marTop w:val="0"/>
      <w:marBottom w:val="0"/>
      <w:divBdr>
        <w:top w:val="none" w:sz="0" w:space="0" w:color="auto"/>
        <w:left w:val="none" w:sz="0" w:space="0" w:color="auto"/>
        <w:bottom w:val="none" w:sz="0" w:space="0" w:color="auto"/>
        <w:right w:val="none" w:sz="0" w:space="0" w:color="auto"/>
      </w:divBdr>
    </w:div>
    <w:div w:id="451751194">
      <w:bodyDiv w:val="1"/>
      <w:marLeft w:val="0"/>
      <w:marRight w:val="0"/>
      <w:marTop w:val="0"/>
      <w:marBottom w:val="0"/>
      <w:divBdr>
        <w:top w:val="none" w:sz="0" w:space="0" w:color="auto"/>
        <w:left w:val="none" w:sz="0" w:space="0" w:color="auto"/>
        <w:bottom w:val="none" w:sz="0" w:space="0" w:color="auto"/>
        <w:right w:val="none" w:sz="0" w:space="0" w:color="auto"/>
      </w:divBdr>
    </w:div>
    <w:div w:id="453985917">
      <w:bodyDiv w:val="1"/>
      <w:marLeft w:val="0"/>
      <w:marRight w:val="0"/>
      <w:marTop w:val="0"/>
      <w:marBottom w:val="0"/>
      <w:divBdr>
        <w:top w:val="none" w:sz="0" w:space="0" w:color="auto"/>
        <w:left w:val="none" w:sz="0" w:space="0" w:color="auto"/>
        <w:bottom w:val="none" w:sz="0" w:space="0" w:color="auto"/>
        <w:right w:val="none" w:sz="0" w:space="0" w:color="auto"/>
      </w:divBdr>
    </w:div>
    <w:div w:id="456875242">
      <w:bodyDiv w:val="1"/>
      <w:marLeft w:val="0"/>
      <w:marRight w:val="0"/>
      <w:marTop w:val="0"/>
      <w:marBottom w:val="0"/>
      <w:divBdr>
        <w:top w:val="none" w:sz="0" w:space="0" w:color="auto"/>
        <w:left w:val="none" w:sz="0" w:space="0" w:color="auto"/>
        <w:bottom w:val="none" w:sz="0" w:space="0" w:color="auto"/>
        <w:right w:val="none" w:sz="0" w:space="0" w:color="auto"/>
      </w:divBdr>
    </w:div>
    <w:div w:id="458691726">
      <w:bodyDiv w:val="1"/>
      <w:marLeft w:val="0"/>
      <w:marRight w:val="0"/>
      <w:marTop w:val="0"/>
      <w:marBottom w:val="0"/>
      <w:divBdr>
        <w:top w:val="none" w:sz="0" w:space="0" w:color="auto"/>
        <w:left w:val="none" w:sz="0" w:space="0" w:color="auto"/>
        <w:bottom w:val="none" w:sz="0" w:space="0" w:color="auto"/>
        <w:right w:val="none" w:sz="0" w:space="0" w:color="auto"/>
      </w:divBdr>
    </w:div>
    <w:div w:id="459689892">
      <w:bodyDiv w:val="1"/>
      <w:marLeft w:val="0"/>
      <w:marRight w:val="0"/>
      <w:marTop w:val="0"/>
      <w:marBottom w:val="0"/>
      <w:divBdr>
        <w:top w:val="none" w:sz="0" w:space="0" w:color="auto"/>
        <w:left w:val="none" w:sz="0" w:space="0" w:color="auto"/>
        <w:bottom w:val="none" w:sz="0" w:space="0" w:color="auto"/>
        <w:right w:val="none" w:sz="0" w:space="0" w:color="auto"/>
      </w:divBdr>
    </w:div>
    <w:div w:id="467169674">
      <w:bodyDiv w:val="1"/>
      <w:marLeft w:val="0"/>
      <w:marRight w:val="0"/>
      <w:marTop w:val="0"/>
      <w:marBottom w:val="0"/>
      <w:divBdr>
        <w:top w:val="none" w:sz="0" w:space="0" w:color="auto"/>
        <w:left w:val="none" w:sz="0" w:space="0" w:color="auto"/>
        <w:bottom w:val="none" w:sz="0" w:space="0" w:color="auto"/>
        <w:right w:val="none" w:sz="0" w:space="0" w:color="auto"/>
      </w:divBdr>
    </w:div>
    <w:div w:id="476607359">
      <w:bodyDiv w:val="1"/>
      <w:marLeft w:val="0"/>
      <w:marRight w:val="0"/>
      <w:marTop w:val="0"/>
      <w:marBottom w:val="0"/>
      <w:divBdr>
        <w:top w:val="none" w:sz="0" w:space="0" w:color="auto"/>
        <w:left w:val="none" w:sz="0" w:space="0" w:color="auto"/>
        <w:bottom w:val="none" w:sz="0" w:space="0" w:color="auto"/>
        <w:right w:val="none" w:sz="0" w:space="0" w:color="auto"/>
      </w:divBdr>
    </w:div>
    <w:div w:id="476916045">
      <w:bodyDiv w:val="1"/>
      <w:marLeft w:val="0"/>
      <w:marRight w:val="0"/>
      <w:marTop w:val="0"/>
      <w:marBottom w:val="0"/>
      <w:divBdr>
        <w:top w:val="none" w:sz="0" w:space="0" w:color="auto"/>
        <w:left w:val="none" w:sz="0" w:space="0" w:color="auto"/>
        <w:bottom w:val="none" w:sz="0" w:space="0" w:color="auto"/>
        <w:right w:val="none" w:sz="0" w:space="0" w:color="auto"/>
      </w:divBdr>
    </w:div>
    <w:div w:id="477458541">
      <w:bodyDiv w:val="1"/>
      <w:marLeft w:val="0"/>
      <w:marRight w:val="0"/>
      <w:marTop w:val="0"/>
      <w:marBottom w:val="0"/>
      <w:divBdr>
        <w:top w:val="none" w:sz="0" w:space="0" w:color="auto"/>
        <w:left w:val="none" w:sz="0" w:space="0" w:color="auto"/>
        <w:bottom w:val="none" w:sz="0" w:space="0" w:color="auto"/>
        <w:right w:val="none" w:sz="0" w:space="0" w:color="auto"/>
      </w:divBdr>
    </w:div>
    <w:div w:id="479276447">
      <w:bodyDiv w:val="1"/>
      <w:marLeft w:val="0"/>
      <w:marRight w:val="0"/>
      <w:marTop w:val="0"/>
      <w:marBottom w:val="0"/>
      <w:divBdr>
        <w:top w:val="none" w:sz="0" w:space="0" w:color="auto"/>
        <w:left w:val="none" w:sz="0" w:space="0" w:color="auto"/>
        <w:bottom w:val="none" w:sz="0" w:space="0" w:color="auto"/>
        <w:right w:val="none" w:sz="0" w:space="0" w:color="auto"/>
      </w:divBdr>
    </w:div>
    <w:div w:id="481387945">
      <w:bodyDiv w:val="1"/>
      <w:marLeft w:val="0"/>
      <w:marRight w:val="0"/>
      <w:marTop w:val="0"/>
      <w:marBottom w:val="0"/>
      <w:divBdr>
        <w:top w:val="none" w:sz="0" w:space="0" w:color="auto"/>
        <w:left w:val="none" w:sz="0" w:space="0" w:color="auto"/>
        <w:bottom w:val="none" w:sz="0" w:space="0" w:color="auto"/>
        <w:right w:val="none" w:sz="0" w:space="0" w:color="auto"/>
      </w:divBdr>
    </w:div>
    <w:div w:id="486821233">
      <w:bodyDiv w:val="1"/>
      <w:marLeft w:val="0"/>
      <w:marRight w:val="0"/>
      <w:marTop w:val="0"/>
      <w:marBottom w:val="0"/>
      <w:divBdr>
        <w:top w:val="none" w:sz="0" w:space="0" w:color="auto"/>
        <w:left w:val="none" w:sz="0" w:space="0" w:color="auto"/>
        <w:bottom w:val="none" w:sz="0" w:space="0" w:color="auto"/>
        <w:right w:val="none" w:sz="0" w:space="0" w:color="auto"/>
      </w:divBdr>
    </w:div>
    <w:div w:id="489180217">
      <w:bodyDiv w:val="1"/>
      <w:marLeft w:val="0"/>
      <w:marRight w:val="0"/>
      <w:marTop w:val="0"/>
      <w:marBottom w:val="0"/>
      <w:divBdr>
        <w:top w:val="none" w:sz="0" w:space="0" w:color="auto"/>
        <w:left w:val="none" w:sz="0" w:space="0" w:color="auto"/>
        <w:bottom w:val="none" w:sz="0" w:space="0" w:color="auto"/>
        <w:right w:val="none" w:sz="0" w:space="0" w:color="auto"/>
      </w:divBdr>
    </w:div>
    <w:div w:id="490415194">
      <w:bodyDiv w:val="1"/>
      <w:marLeft w:val="0"/>
      <w:marRight w:val="0"/>
      <w:marTop w:val="0"/>
      <w:marBottom w:val="0"/>
      <w:divBdr>
        <w:top w:val="none" w:sz="0" w:space="0" w:color="auto"/>
        <w:left w:val="none" w:sz="0" w:space="0" w:color="auto"/>
        <w:bottom w:val="none" w:sz="0" w:space="0" w:color="auto"/>
        <w:right w:val="none" w:sz="0" w:space="0" w:color="auto"/>
      </w:divBdr>
    </w:div>
    <w:div w:id="495849340">
      <w:bodyDiv w:val="1"/>
      <w:marLeft w:val="0"/>
      <w:marRight w:val="0"/>
      <w:marTop w:val="0"/>
      <w:marBottom w:val="0"/>
      <w:divBdr>
        <w:top w:val="none" w:sz="0" w:space="0" w:color="auto"/>
        <w:left w:val="none" w:sz="0" w:space="0" w:color="auto"/>
        <w:bottom w:val="none" w:sz="0" w:space="0" w:color="auto"/>
        <w:right w:val="none" w:sz="0" w:space="0" w:color="auto"/>
      </w:divBdr>
    </w:div>
    <w:div w:id="507058877">
      <w:bodyDiv w:val="1"/>
      <w:marLeft w:val="0"/>
      <w:marRight w:val="0"/>
      <w:marTop w:val="0"/>
      <w:marBottom w:val="0"/>
      <w:divBdr>
        <w:top w:val="none" w:sz="0" w:space="0" w:color="auto"/>
        <w:left w:val="none" w:sz="0" w:space="0" w:color="auto"/>
        <w:bottom w:val="none" w:sz="0" w:space="0" w:color="auto"/>
        <w:right w:val="none" w:sz="0" w:space="0" w:color="auto"/>
      </w:divBdr>
    </w:div>
    <w:div w:id="508100824">
      <w:bodyDiv w:val="1"/>
      <w:marLeft w:val="0"/>
      <w:marRight w:val="0"/>
      <w:marTop w:val="0"/>
      <w:marBottom w:val="0"/>
      <w:divBdr>
        <w:top w:val="none" w:sz="0" w:space="0" w:color="auto"/>
        <w:left w:val="none" w:sz="0" w:space="0" w:color="auto"/>
        <w:bottom w:val="none" w:sz="0" w:space="0" w:color="auto"/>
        <w:right w:val="none" w:sz="0" w:space="0" w:color="auto"/>
      </w:divBdr>
    </w:div>
    <w:div w:id="508182456">
      <w:bodyDiv w:val="1"/>
      <w:marLeft w:val="0"/>
      <w:marRight w:val="0"/>
      <w:marTop w:val="0"/>
      <w:marBottom w:val="0"/>
      <w:divBdr>
        <w:top w:val="none" w:sz="0" w:space="0" w:color="auto"/>
        <w:left w:val="none" w:sz="0" w:space="0" w:color="auto"/>
        <w:bottom w:val="none" w:sz="0" w:space="0" w:color="auto"/>
        <w:right w:val="none" w:sz="0" w:space="0" w:color="auto"/>
      </w:divBdr>
    </w:div>
    <w:div w:id="508640929">
      <w:bodyDiv w:val="1"/>
      <w:marLeft w:val="0"/>
      <w:marRight w:val="0"/>
      <w:marTop w:val="0"/>
      <w:marBottom w:val="0"/>
      <w:divBdr>
        <w:top w:val="none" w:sz="0" w:space="0" w:color="auto"/>
        <w:left w:val="none" w:sz="0" w:space="0" w:color="auto"/>
        <w:bottom w:val="none" w:sz="0" w:space="0" w:color="auto"/>
        <w:right w:val="none" w:sz="0" w:space="0" w:color="auto"/>
      </w:divBdr>
    </w:div>
    <w:div w:id="510031346">
      <w:bodyDiv w:val="1"/>
      <w:marLeft w:val="0"/>
      <w:marRight w:val="0"/>
      <w:marTop w:val="0"/>
      <w:marBottom w:val="0"/>
      <w:divBdr>
        <w:top w:val="none" w:sz="0" w:space="0" w:color="auto"/>
        <w:left w:val="none" w:sz="0" w:space="0" w:color="auto"/>
        <w:bottom w:val="none" w:sz="0" w:space="0" w:color="auto"/>
        <w:right w:val="none" w:sz="0" w:space="0" w:color="auto"/>
      </w:divBdr>
    </w:div>
    <w:div w:id="515311034">
      <w:bodyDiv w:val="1"/>
      <w:marLeft w:val="0"/>
      <w:marRight w:val="0"/>
      <w:marTop w:val="0"/>
      <w:marBottom w:val="0"/>
      <w:divBdr>
        <w:top w:val="none" w:sz="0" w:space="0" w:color="auto"/>
        <w:left w:val="none" w:sz="0" w:space="0" w:color="auto"/>
        <w:bottom w:val="none" w:sz="0" w:space="0" w:color="auto"/>
        <w:right w:val="none" w:sz="0" w:space="0" w:color="auto"/>
      </w:divBdr>
    </w:div>
    <w:div w:id="524371640">
      <w:bodyDiv w:val="1"/>
      <w:marLeft w:val="0"/>
      <w:marRight w:val="0"/>
      <w:marTop w:val="0"/>
      <w:marBottom w:val="0"/>
      <w:divBdr>
        <w:top w:val="none" w:sz="0" w:space="0" w:color="auto"/>
        <w:left w:val="none" w:sz="0" w:space="0" w:color="auto"/>
        <w:bottom w:val="none" w:sz="0" w:space="0" w:color="auto"/>
        <w:right w:val="none" w:sz="0" w:space="0" w:color="auto"/>
      </w:divBdr>
    </w:div>
    <w:div w:id="526331707">
      <w:bodyDiv w:val="1"/>
      <w:marLeft w:val="0"/>
      <w:marRight w:val="0"/>
      <w:marTop w:val="0"/>
      <w:marBottom w:val="0"/>
      <w:divBdr>
        <w:top w:val="none" w:sz="0" w:space="0" w:color="auto"/>
        <w:left w:val="none" w:sz="0" w:space="0" w:color="auto"/>
        <w:bottom w:val="none" w:sz="0" w:space="0" w:color="auto"/>
        <w:right w:val="none" w:sz="0" w:space="0" w:color="auto"/>
      </w:divBdr>
    </w:div>
    <w:div w:id="534008325">
      <w:bodyDiv w:val="1"/>
      <w:marLeft w:val="0"/>
      <w:marRight w:val="0"/>
      <w:marTop w:val="0"/>
      <w:marBottom w:val="0"/>
      <w:divBdr>
        <w:top w:val="none" w:sz="0" w:space="0" w:color="auto"/>
        <w:left w:val="none" w:sz="0" w:space="0" w:color="auto"/>
        <w:bottom w:val="none" w:sz="0" w:space="0" w:color="auto"/>
        <w:right w:val="none" w:sz="0" w:space="0" w:color="auto"/>
      </w:divBdr>
    </w:div>
    <w:div w:id="537549141">
      <w:bodyDiv w:val="1"/>
      <w:marLeft w:val="0"/>
      <w:marRight w:val="0"/>
      <w:marTop w:val="0"/>
      <w:marBottom w:val="0"/>
      <w:divBdr>
        <w:top w:val="none" w:sz="0" w:space="0" w:color="auto"/>
        <w:left w:val="none" w:sz="0" w:space="0" w:color="auto"/>
        <w:bottom w:val="none" w:sz="0" w:space="0" w:color="auto"/>
        <w:right w:val="none" w:sz="0" w:space="0" w:color="auto"/>
      </w:divBdr>
    </w:div>
    <w:div w:id="545337473">
      <w:bodyDiv w:val="1"/>
      <w:marLeft w:val="0"/>
      <w:marRight w:val="0"/>
      <w:marTop w:val="0"/>
      <w:marBottom w:val="0"/>
      <w:divBdr>
        <w:top w:val="none" w:sz="0" w:space="0" w:color="auto"/>
        <w:left w:val="none" w:sz="0" w:space="0" w:color="auto"/>
        <w:bottom w:val="none" w:sz="0" w:space="0" w:color="auto"/>
        <w:right w:val="none" w:sz="0" w:space="0" w:color="auto"/>
      </w:divBdr>
    </w:div>
    <w:div w:id="550502415">
      <w:bodyDiv w:val="1"/>
      <w:marLeft w:val="0"/>
      <w:marRight w:val="0"/>
      <w:marTop w:val="0"/>
      <w:marBottom w:val="0"/>
      <w:divBdr>
        <w:top w:val="none" w:sz="0" w:space="0" w:color="auto"/>
        <w:left w:val="none" w:sz="0" w:space="0" w:color="auto"/>
        <w:bottom w:val="none" w:sz="0" w:space="0" w:color="auto"/>
        <w:right w:val="none" w:sz="0" w:space="0" w:color="auto"/>
      </w:divBdr>
    </w:div>
    <w:div w:id="559247379">
      <w:bodyDiv w:val="1"/>
      <w:marLeft w:val="0"/>
      <w:marRight w:val="0"/>
      <w:marTop w:val="0"/>
      <w:marBottom w:val="0"/>
      <w:divBdr>
        <w:top w:val="none" w:sz="0" w:space="0" w:color="auto"/>
        <w:left w:val="none" w:sz="0" w:space="0" w:color="auto"/>
        <w:bottom w:val="none" w:sz="0" w:space="0" w:color="auto"/>
        <w:right w:val="none" w:sz="0" w:space="0" w:color="auto"/>
      </w:divBdr>
    </w:div>
    <w:div w:id="559437034">
      <w:bodyDiv w:val="1"/>
      <w:marLeft w:val="0"/>
      <w:marRight w:val="0"/>
      <w:marTop w:val="0"/>
      <w:marBottom w:val="0"/>
      <w:divBdr>
        <w:top w:val="none" w:sz="0" w:space="0" w:color="auto"/>
        <w:left w:val="none" w:sz="0" w:space="0" w:color="auto"/>
        <w:bottom w:val="none" w:sz="0" w:space="0" w:color="auto"/>
        <w:right w:val="none" w:sz="0" w:space="0" w:color="auto"/>
      </w:divBdr>
    </w:div>
    <w:div w:id="560679857">
      <w:bodyDiv w:val="1"/>
      <w:marLeft w:val="0"/>
      <w:marRight w:val="0"/>
      <w:marTop w:val="0"/>
      <w:marBottom w:val="0"/>
      <w:divBdr>
        <w:top w:val="none" w:sz="0" w:space="0" w:color="auto"/>
        <w:left w:val="none" w:sz="0" w:space="0" w:color="auto"/>
        <w:bottom w:val="none" w:sz="0" w:space="0" w:color="auto"/>
        <w:right w:val="none" w:sz="0" w:space="0" w:color="auto"/>
      </w:divBdr>
    </w:div>
    <w:div w:id="571355103">
      <w:bodyDiv w:val="1"/>
      <w:marLeft w:val="0"/>
      <w:marRight w:val="0"/>
      <w:marTop w:val="0"/>
      <w:marBottom w:val="0"/>
      <w:divBdr>
        <w:top w:val="none" w:sz="0" w:space="0" w:color="auto"/>
        <w:left w:val="none" w:sz="0" w:space="0" w:color="auto"/>
        <w:bottom w:val="none" w:sz="0" w:space="0" w:color="auto"/>
        <w:right w:val="none" w:sz="0" w:space="0" w:color="auto"/>
      </w:divBdr>
    </w:div>
    <w:div w:id="572158730">
      <w:bodyDiv w:val="1"/>
      <w:marLeft w:val="0"/>
      <w:marRight w:val="0"/>
      <w:marTop w:val="0"/>
      <w:marBottom w:val="0"/>
      <w:divBdr>
        <w:top w:val="none" w:sz="0" w:space="0" w:color="auto"/>
        <w:left w:val="none" w:sz="0" w:space="0" w:color="auto"/>
        <w:bottom w:val="none" w:sz="0" w:space="0" w:color="auto"/>
        <w:right w:val="none" w:sz="0" w:space="0" w:color="auto"/>
      </w:divBdr>
    </w:div>
    <w:div w:id="577596812">
      <w:bodyDiv w:val="1"/>
      <w:marLeft w:val="0"/>
      <w:marRight w:val="0"/>
      <w:marTop w:val="0"/>
      <w:marBottom w:val="0"/>
      <w:divBdr>
        <w:top w:val="none" w:sz="0" w:space="0" w:color="auto"/>
        <w:left w:val="none" w:sz="0" w:space="0" w:color="auto"/>
        <w:bottom w:val="none" w:sz="0" w:space="0" w:color="auto"/>
        <w:right w:val="none" w:sz="0" w:space="0" w:color="auto"/>
      </w:divBdr>
    </w:div>
    <w:div w:id="583299611">
      <w:bodyDiv w:val="1"/>
      <w:marLeft w:val="0"/>
      <w:marRight w:val="0"/>
      <w:marTop w:val="0"/>
      <w:marBottom w:val="0"/>
      <w:divBdr>
        <w:top w:val="none" w:sz="0" w:space="0" w:color="auto"/>
        <w:left w:val="none" w:sz="0" w:space="0" w:color="auto"/>
        <w:bottom w:val="none" w:sz="0" w:space="0" w:color="auto"/>
        <w:right w:val="none" w:sz="0" w:space="0" w:color="auto"/>
      </w:divBdr>
    </w:div>
    <w:div w:id="584874234">
      <w:bodyDiv w:val="1"/>
      <w:marLeft w:val="0"/>
      <w:marRight w:val="0"/>
      <w:marTop w:val="0"/>
      <w:marBottom w:val="0"/>
      <w:divBdr>
        <w:top w:val="none" w:sz="0" w:space="0" w:color="auto"/>
        <w:left w:val="none" w:sz="0" w:space="0" w:color="auto"/>
        <w:bottom w:val="none" w:sz="0" w:space="0" w:color="auto"/>
        <w:right w:val="none" w:sz="0" w:space="0" w:color="auto"/>
      </w:divBdr>
    </w:div>
    <w:div w:id="588193737">
      <w:bodyDiv w:val="1"/>
      <w:marLeft w:val="0"/>
      <w:marRight w:val="0"/>
      <w:marTop w:val="0"/>
      <w:marBottom w:val="0"/>
      <w:divBdr>
        <w:top w:val="none" w:sz="0" w:space="0" w:color="auto"/>
        <w:left w:val="none" w:sz="0" w:space="0" w:color="auto"/>
        <w:bottom w:val="none" w:sz="0" w:space="0" w:color="auto"/>
        <w:right w:val="none" w:sz="0" w:space="0" w:color="auto"/>
      </w:divBdr>
    </w:div>
    <w:div w:id="589630775">
      <w:bodyDiv w:val="1"/>
      <w:marLeft w:val="0"/>
      <w:marRight w:val="0"/>
      <w:marTop w:val="0"/>
      <w:marBottom w:val="0"/>
      <w:divBdr>
        <w:top w:val="none" w:sz="0" w:space="0" w:color="auto"/>
        <w:left w:val="none" w:sz="0" w:space="0" w:color="auto"/>
        <w:bottom w:val="none" w:sz="0" w:space="0" w:color="auto"/>
        <w:right w:val="none" w:sz="0" w:space="0" w:color="auto"/>
      </w:divBdr>
    </w:div>
    <w:div w:id="590506392">
      <w:bodyDiv w:val="1"/>
      <w:marLeft w:val="0"/>
      <w:marRight w:val="0"/>
      <w:marTop w:val="0"/>
      <w:marBottom w:val="0"/>
      <w:divBdr>
        <w:top w:val="none" w:sz="0" w:space="0" w:color="auto"/>
        <w:left w:val="none" w:sz="0" w:space="0" w:color="auto"/>
        <w:bottom w:val="none" w:sz="0" w:space="0" w:color="auto"/>
        <w:right w:val="none" w:sz="0" w:space="0" w:color="auto"/>
      </w:divBdr>
    </w:div>
    <w:div w:id="594899994">
      <w:bodyDiv w:val="1"/>
      <w:marLeft w:val="0"/>
      <w:marRight w:val="0"/>
      <w:marTop w:val="0"/>
      <w:marBottom w:val="0"/>
      <w:divBdr>
        <w:top w:val="none" w:sz="0" w:space="0" w:color="auto"/>
        <w:left w:val="none" w:sz="0" w:space="0" w:color="auto"/>
        <w:bottom w:val="none" w:sz="0" w:space="0" w:color="auto"/>
        <w:right w:val="none" w:sz="0" w:space="0" w:color="auto"/>
      </w:divBdr>
    </w:div>
    <w:div w:id="602497764">
      <w:bodyDiv w:val="1"/>
      <w:marLeft w:val="0"/>
      <w:marRight w:val="0"/>
      <w:marTop w:val="0"/>
      <w:marBottom w:val="0"/>
      <w:divBdr>
        <w:top w:val="none" w:sz="0" w:space="0" w:color="auto"/>
        <w:left w:val="none" w:sz="0" w:space="0" w:color="auto"/>
        <w:bottom w:val="none" w:sz="0" w:space="0" w:color="auto"/>
        <w:right w:val="none" w:sz="0" w:space="0" w:color="auto"/>
      </w:divBdr>
    </w:div>
    <w:div w:id="613441632">
      <w:bodyDiv w:val="1"/>
      <w:marLeft w:val="0"/>
      <w:marRight w:val="0"/>
      <w:marTop w:val="0"/>
      <w:marBottom w:val="0"/>
      <w:divBdr>
        <w:top w:val="none" w:sz="0" w:space="0" w:color="auto"/>
        <w:left w:val="none" w:sz="0" w:space="0" w:color="auto"/>
        <w:bottom w:val="none" w:sz="0" w:space="0" w:color="auto"/>
        <w:right w:val="none" w:sz="0" w:space="0" w:color="auto"/>
      </w:divBdr>
    </w:div>
    <w:div w:id="624821180">
      <w:bodyDiv w:val="1"/>
      <w:marLeft w:val="0"/>
      <w:marRight w:val="0"/>
      <w:marTop w:val="0"/>
      <w:marBottom w:val="0"/>
      <w:divBdr>
        <w:top w:val="none" w:sz="0" w:space="0" w:color="auto"/>
        <w:left w:val="none" w:sz="0" w:space="0" w:color="auto"/>
        <w:bottom w:val="none" w:sz="0" w:space="0" w:color="auto"/>
        <w:right w:val="none" w:sz="0" w:space="0" w:color="auto"/>
      </w:divBdr>
    </w:div>
    <w:div w:id="634063591">
      <w:bodyDiv w:val="1"/>
      <w:marLeft w:val="0"/>
      <w:marRight w:val="0"/>
      <w:marTop w:val="0"/>
      <w:marBottom w:val="0"/>
      <w:divBdr>
        <w:top w:val="none" w:sz="0" w:space="0" w:color="auto"/>
        <w:left w:val="none" w:sz="0" w:space="0" w:color="auto"/>
        <w:bottom w:val="none" w:sz="0" w:space="0" w:color="auto"/>
        <w:right w:val="none" w:sz="0" w:space="0" w:color="auto"/>
      </w:divBdr>
    </w:div>
    <w:div w:id="638607604">
      <w:bodyDiv w:val="1"/>
      <w:marLeft w:val="0"/>
      <w:marRight w:val="0"/>
      <w:marTop w:val="0"/>
      <w:marBottom w:val="0"/>
      <w:divBdr>
        <w:top w:val="none" w:sz="0" w:space="0" w:color="auto"/>
        <w:left w:val="none" w:sz="0" w:space="0" w:color="auto"/>
        <w:bottom w:val="none" w:sz="0" w:space="0" w:color="auto"/>
        <w:right w:val="none" w:sz="0" w:space="0" w:color="auto"/>
      </w:divBdr>
    </w:div>
    <w:div w:id="639190706">
      <w:bodyDiv w:val="1"/>
      <w:marLeft w:val="0"/>
      <w:marRight w:val="0"/>
      <w:marTop w:val="0"/>
      <w:marBottom w:val="0"/>
      <w:divBdr>
        <w:top w:val="none" w:sz="0" w:space="0" w:color="auto"/>
        <w:left w:val="none" w:sz="0" w:space="0" w:color="auto"/>
        <w:bottom w:val="none" w:sz="0" w:space="0" w:color="auto"/>
        <w:right w:val="none" w:sz="0" w:space="0" w:color="auto"/>
      </w:divBdr>
    </w:div>
    <w:div w:id="644629648">
      <w:bodyDiv w:val="1"/>
      <w:marLeft w:val="0"/>
      <w:marRight w:val="0"/>
      <w:marTop w:val="0"/>
      <w:marBottom w:val="0"/>
      <w:divBdr>
        <w:top w:val="none" w:sz="0" w:space="0" w:color="auto"/>
        <w:left w:val="none" w:sz="0" w:space="0" w:color="auto"/>
        <w:bottom w:val="none" w:sz="0" w:space="0" w:color="auto"/>
        <w:right w:val="none" w:sz="0" w:space="0" w:color="auto"/>
      </w:divBdr>
    </w:div>
    <w:div w:id="646712149">
      <w:bodyDiv w:val="1"/>
      <w:marLeft w:val="0"/>
      <w:marRight w:val="0"/>
      <w:marTop w:val="0"/>
      <w:marBottom w:val="0"/>
      <w:divBdr>
        <w:top w:val="none" w:sz="0" w:space="0" w:color="auto"/>
        <w:left w:val="none" w:sz="0" w:space="0" w:color="auto"/>
        <w:bottom w:val="none" w:sz="0" w:space="0" w:color="auto"/>
        <w:right w:val="none" w:sz="0" w:space="0" w:color="auto"/>
      </w:divBdr>
    </w:div>
    <w:div w:id="646975605">
      <w:bodyDiv w:val="1"/>
      <w:marLeft w:val="0"/>
      <w:marRight w:val="0"/>
      <w:marTop w:val="0"/>
      <w:marBottom w:val="0"/>
      <w:divBdr>
        <w:top w:val="none" w:sz="0" w:space="0" w:color="auto"/>
        <w:left w:val="none" w:sz="0" w:space="0" w:color="auto"/>
        <w:bottom w:val="none" w:sz="0" w:space="0" w:color="auto"/>
        <w:right w:val="none" w:sz="0" w:space="0" w:color="auto"/>
      </w:divBdr>
    </w:div>
    <w:div w:id="660623697">
      <w:bodyDiv w:val="1"/>
      <w:marLeft w:val="0"/>
      <w:marRight w:val="0"/>
      <w:marTop w:val="0"/>
      <w:marBottom w:val="0"/>
      <w:divBdr>
        <w:top w:val="none" w:sz="0" w:space="0" w:color="auto"/>
        <w:left w:val="none" w:sz="0" w:space="0" w:color="auto"/>
        <w:bottom w:val="none" w:sz="0" w:space="0" w:color="auto"/>
        <w:right w:val="none" w:sz="0" w:space="0" w:color="auto"/>
      </w:divBdr>
    </w:div>
    <w:div w:id="667824875">
      <w:bodyDiv w:val="1"/>
      <w:marLeft w:val="0"/>
      <w:marRight w:val="0"/>
      <w:marTop w:val="0"/>
      <w:marBottom w:val="0"/>
      <w:divBdr>
        <w:top w:val="none" w:sz="0" w:space="0" w:color="auto"/>
        <w:left w:val="none" w:sz="0" w:space="0" w:color="auto"/>
        <w:bottom w:val="none" w:sz="0" w:space="0" w:color="auto"/>
        <w:right w:val="none" w:sz="0" w:space="0" w:color="auto"/>
      </w:divBdr>
    </w:div>
    <w:div w:id="683366801">
      <w:bodyDiv w:val="1"/>
      <w:marLeft w:val="0"/>
      <w:marRight w:val="0"/>
      <w:marTop w:val="0"/>
      <w:marBottom w:val="0"/>
      <w:divBdr>
        <w:top w:val="none" w:sz="0" w:space="0" w:color="auto"/>
        <w:left w:val="none" w:sz="0" w:space="0" w:color="auto"/>
        <w:bottom w:val="none" w:sz="0" w:space="0" w:color="auto"/>
        <w:right w:val="none" w:sz="0" w:space="0" w:color="auto"/>
      </w:divBdr>
    </w:div>
    <w:div w:id="691348266">
      <w:bodyDiv w:val="1"/>
      <w:marLeft w:val="0"/>
      <w:marRight w:val="0"/>
      <w:marTop w:val="0"/>
      <w:marBottom w:val="0"/>
      <w:divBdr>
        <w:top w:val="none" w:sz="0" w:space="0" w:color="auto"/>
        <w:left w:val="none" w:sz="0" w:space="0" w:color="auto"/>
        <w:bottom w:val="none" w:sz="0" w:space="0" w:color="auto"/>
        <w:right w:val="none" w:sz="0" w:space="0" w:color="auto"/>
      </w:divBdr>
    </w:div>
    <w:div w:id="699860199">
      <w:bodyDiv w:val="1"/>
      <w:marLeft w:val="0"/>
      <w:marRight w:val="0"/>
      <w:marTop w:val="0"/>
      <w:marBottom w:val="0"/>
      <w:divBdr>
        <w:top w:val="none" w:sz="0" w:space="0" w:color="auto"/>
        <w:left w:val="none" w:sz="0" w:space="0" w:color="auto"/>
        <w:bottom w:val="none" w:sz="0" w:space="0" w:color="auto"/>
        <w:right w:val="none" w:sz="0" w:space="0" w:color="auto"/>
      </w:divBdr>
    </w:div>
    <w:div w:id="704330565">
      <w:bodyDiv w:val="1"/>
      <w:marLeft w:val="0"/>
      <w:marRight w:val="0"/>
      <w:marTop w:val="0"/>
      <w:marBottom w:val="0"/>
      <w:divBdr>
        <w:top w:val="none" w:sz="0" w:space="0" w:color="auto"/>
        <w:left w:val="none" w:sz="0" w:space="0" w:color="auto"/>
        <w:bottom w:val="none" w:sz="0" w:space="0" w:color="auto"/>
        <w:right w:val="none" w:sz="0" w:space="0" w:color="auto"/>
      </w:divBdr>
    </w:div>
    <w:div w:id="716658488">
      <w:bodyDiv w:val="1"/>
      <w:marLeft w:val="0"/>
      <w:marRight w:val="0"/>
      <w:marTop w:val="0"/>
      <w:marBottom w:val="0"/>
      <w:divBdr>
        <w:top w:val="none" w:sz="0" w:space="0" w:color="auto"/>
        <w:left w:val="none" w:sz="0" w:space="0" w:color="auto"/>
        <w:bottom w:val="none" w:sz="0" w:space="0" w:color="auto"/>
        <w:right w:val="none" w:sz="0" w:space="0" w:color="auto"/>
      </w:divBdr>
    </w:div>
    <w:div w:id="727456490">
      <w:bodyDiv w:val="1"/>
      <w:marLeft w:val="0"/>
      <w:marRight w:val="0"/>
      <w:marTop w:val="0"/>
      <w:marBottom w:val="0"/>
      <w:divBdr>
        <w:top w:val="none" w:sz="0" w:space="0" w:color="auto"/>
        <w:left w:val="none" w:sz="0" w:space="0" w:color="auto"/>
        <w:bottom w:val="none" w:sz="0" w:space="0" w:color="auto"/>
        <w:right w:val="none" w:sz="0" w:space="0" w:color="auto"/>
      </w:divBdr>
    </w:div>
    <w:div w:id="741490717">
      <w:bodyDiv w:val="1"/>
      <w:marLeft w:val="0"/>
      <w:marRight w:val="0"/>
      <w:marTop w:val="0"/>
      <w:marBottom w:val="0"/>
      <w:divBdr>
        <w:top w:val="none" w:sz="0" w:space="0" w:color="auto"/>
        <w:left w:val="none" w:sz="0" w:space="0" w:color="auto"/>
        <w:bottom w:val="none" w:sz="0" w:space="0" w:color="auto"/>
        <w:right w:val="none" w:sz="0" w:space="0" w:color="auto"/>
      </w:divBdr>
    </w:div>
    <w:div w:id="744452260">
      <w:bodyDiv w:val="1"/>
      <w:marLeft w:val="0"/>
      <w:marRight w:val="0"/>
      <w:marTop w:val="0"/>
      <w:marBottom w:val="0"/>
      <w:divBdr>
        <w:top w:val="none" w:sz="0" w:space="0" w:color="auto"/>
        <w:left w:val="none" w:sz="0" w:space="0" w:color="auto"/>
        <w:bottom w:val="none" w:sz="0" w:space="0" w:color="auto"/>
        <w:right w:val="none" w:sz="0" w:space="0" w:color="auto"/>
      </w:divBdr>
    </w:div>
    <w:div w:id="747767302">
      <w:bodyDiv w:val="1"/>
      <w:marLeft w:val="0"/>
      <w:marRight w:val="0"/>
      <w:marTop w:val="0"/>
      <w:marBottom w:val="0"/>
      <w:divBdr>
        <w:top w:val="none" w:sz="0" w:space="0" w:color="auto"/>
        <w:left w:val="none" w:sz="0" w:space="0" w:color="auto"/>
        <w:bottom w:val="none" w:sz="0" w:space="0" w:color="auto"/>
        <w:right w:val="none" w:sz="0" w:space="0" w:color="auto"/>
      </w:divBdr>
    </w:div>
    <w:div w:id="753235950">
      <w:bodyDiv w:val="1"/>
      <w:marLeft w:val="0"/>
      <w:marRight w:val="0"/>
      <w:marTop w:val="0"/>
      <w:marBottom w:val="0"/>
      <w:divBdr>
        <w:top w:val="none" w:sz="0" w:space="0" w:color="auto"/>
        <w:left w:val="none" w:sz="0" w:space="0" w:color="auto"/>
        <w:bottom w:val="none" w:sz="0" w:space="0" w:color="auto"/>
        <w:right w:val="none" w:sz="0" w:space="0" w:color="auto"/>
      </w:divBdr>
    </w:div>
    <w:div w:id="760108542">
      <w:bodyDiv w:val="1"/>
      <w:marLeft w:val="0"/>
      <w:marRight w:val="0"/>
      <w:marTop w:val="0"/>
      <w:marBottom w:val="0"/>
      <w:divBdr>
        <w:top w:val="none" w:sz="0" w:space="0" w:color="auto"/>
        <w:left w:val="none" w:sz="0" w:space="0" w:color="auto"/>
        <w:bottom w:val="none" w:sz="0" w:space="0" w:color="auto"/>
        <w:right w:val="none" w:sz="0" w:space="0" w:color="auto"/>
      </w:divBdr>
    </w:div>
    <w:div w:id="762454877">
      <w:bodyDiv w:val="1"/>
      <w:marLeft w:val="0"/>
      <w:marRight w:val="0"/>
      <w:marTop w:val="0"/>
      <w:marBottom w:val="0"/>
      <w:divBdr>
        <w:top w:val="none" w:sz="0" w:space="0" w:color="auto"/>
        <w:left w:val="none" w:sz="0" w:space="0" w:color="auto"/>
        <w:bottom w:val="none" w:sz="0" w:space="0" w:color="auto"/>
        <w:right w:val="none" w:sz="0" w:space="0" w:color="auto"/>
      </w:divBdr>
    </w:div>
    <w:div w:id="772361596">
      <w:bodyDiv w:val="1"/>
      <w:marLeft w:val="0"/>
      <w:marRight w:val="0"/>
      <w:marTop w:val="0"/>
      <w:marBottom w:val="0"/>
      <w:divBdr>
        <w:top w:val="none" w:sz="0" w:space="0" w:color="auto"/>
        <w:left w:val="none" w:sz="0" w:space="0" w:color="auto"/>
        <w:bottom w:val="none" w:sz="0" w:space="0" w:color="auto"/>
        <w:right w:val="none" w:sz="0" w:space="0" w:color="auto"/>
      </w:divBdr>
    </w:div>
    <w:div w:id="776559174">
      <w:bodyDiv w:val="1"/>
      <w:marLeft w:val="0"/>
      <w:marRight w:val="0"/>
      <w:marTop w:val="0"/>
      <w:marBottom w:val="0"/>
      <w:divBdr>
        <w:top w:val="none" w:sz="0" w:space="0" w:color="auto"/>
        <w:left w:val="none" w:sz="0" w:space="0" w:color="auto"/>
        <w:bottom w:val="none" w:sz="0" w:space="0" w:color="auto"/>
        <w:right w:val="none" w:sz="0" w:space="0" w:color="auto"/>
      </w:divBdr>
    </w:div>
    <w:div w:id="777602896">
      <w:bodyDiv w:val="1"/>
      <w:marLeft w:val="0"/>
      <w:marRight w:val="0"/>
      <w:marTop w:val="0"/>
      <w:marBottom w:val="0"/>
      <w:divBdr>
        <w:top w:val="none" w:sz="0" w:space="0" w:color="auto"/>
        <w:left w:val="none" w:sz="0" w:space="0" w:color="auto"/>
        <w:bottom w:val="none" w:sz="0" w:space="0" w:color="auto"/>
        <w:right w:val="none" w:sz="0" w:space="0" w:color="auto"/>
      </w:divBdr>
    </w:div>
    <w:div w:id="778373517">
      <w:bodyDiv w:val="1"/>
      <w:marLeft w:val="0"/>
      <w:marRight w:val="0"/>
      <w:marTop w:val="0"/>
      <w:marBottom w:val="0"/>
      <w:divBdr>
        <w:top w:val="none" w:sz="0" w:space="0" w:color="auto"/>
        <w:left w:val="none" w:sz="0" w:space="0" w:color="auto"/>
        <w:bottom w:val="none" w:sz="0" w:space="0" w:color="auto"/>
        <w:right w:val="none" w:sz="0" w:space="0" w:color="auto"/>
      </w:divBdr>
    </w:div>
    <w:div w:id="782654840">
      <w:bodyDiv w:val="1"/>
      <w:marLeft w:val="0"/>
      <w:marRight w:val="0"/>
      <w:marTop w:val="0"/>
      <w:marBottom w:val="0"/>
      <w:divBdr>
        <w:top w:val="none" w:sz="0" w:space="0" w:color="auto"/>
        <w:left w:val="none" w:sz="0" w:space="0" w:color="auto"/>
        <w:bottom w:val="none" w:sz="0" w:space="0" w:color="auto"/>
        <w:right w:val="none" w:sz="0" w:space="0" w:color="auto"/>
      </w:divBdr>
    </w:div>
    <w:div w:id="783571402">
      <w:bodyDiv w:val="1"/>
      <w:marLeft w:val="0"/>
      <w:marRight w:val="0"/>
      <w:marTop w:val="0"/>
      <w:marBottom w:val="0"/>
      <w:divBdr>
        <w:top w:val="none" w:sz="0" w:space="0" w:color="auto"/>
        <w:left w:val="none" w:sz="0" w:space="0" w:color="auto"/>
        <w:bottom w:val="none" w:sz="0" w:space="0" w:color="auto"/>
        <w:right w:val="none" w:sz="0" w:space="0" w:color="auto"/>
      </w:divBdr>
    </w:div>
    <w:div w:id="784616336">
      <w:bodyDiv w:val="1"/>
      <w:marLeft w:val="0"/>
      <w:marRight w:val="0"/>
      <w:marTop w:val="0"/>
      <w:marBottom w:val="0"/>
      <w:divBdr>
        <w:top w:val="none" w:sz="0" w:space="0" w:color="auto"/>
        <w:left w:val="none" w:sz="0" w:space="0" w:color="auto"/>
        <w:bottom w:val="none" w:sz="0" w:space="0" w:color="auto"/>
        <w:right w:val="none" w:sz="0" w:space="0" w:color="auto"/>
      </w:divBdr>
    </w:div>
    <w:div w:id="787625804">
      <w:bodyDiv w:val="1"/>
      <w:marLeft w:val="0"/>
      <w:marRight w:val="0"/>
      <w:marTop w:val="0"/>
      <w:marBottom w:val="0"/>
      <w:divBdr>
        <w:top w:val="none" w:sz="0" w:space="0" w:color="auto"/>
        <w:left w:val="none" w:sz="0" w:space="0" w:color="auto"/>
        <w:bottom w:val="none" w:sz="0" w:space="0" w:color="auto"/>
        <w:right w:val="none" w:sz="0" w:space="0" w:color="auto"/>
      </w:divBdr>
    </w:div>
    <w:div w:id="793135966">
      <w:bodyDiv w:val="1"/>
      <w:marLeft w:val="0"/>
      <w:marRight w:val="0"/>
      <w:marTop w:val="0"/>
      <w:marBottom w:val="0"/>
      <w:divBdr>
        <w:top w:val="none" w:sz="0" w:space="0" w:color="auto"/>
        <w:left w:val="none" w:sz="0" w:space="0" w:color="auto"/>
        <w:bottom w:val="none" w:sz="0" w:space="0" w:color="auto"/>
        <w:right w:val="none" w:sz="0" w:space="0" w:color="auto"/>
      </w:divBdr>
    </w:div>
    <w:div w:id="794566561">
      <w:bodyDiv w:val="1"/>
      <w:marLeft w:val="0"/>
      <w:marRight w:val="0"/>
      <w:marTop w:val="0"/>
      <w:marBottom w:val="0"/>
      <w:divBdr>
        <w:top w:val="none" w:sz="0" w:space="0" w:color="auto"/>
        <w:left w:val="none" w:sz="0" w:space="0" w:color="auto"/>
        <w:bottom w:val="none" w:sz="0" w:space="0" w:color="auto"/>
        <w:right w:val="none" w:sz="0" w:space="0" w:color="auto"/>
      </w:divBdr>
    </w:div>
    <w:div w:id="796800190">
      <w:bodyDiv w:val="1"/>
      <w:marLeft w:val="0"/>
      <w:marRight w:val="0"/>
      <w:marTop w:val="0"/>
      <w:marBottom w:val="0"/>
      <w:divBdr>
        <w:top w:val="none" w:sz="0" w:space="0" w:color="auto"/>
        <w:left w:val="none" w:sz="0" w:space="0" w:color="auto"/>
        <w:bottom w:val="none" w:sz="0" w:space="0" w:color="auto"/>
        <w:right w:val="none" w:sz="0" w:space="0" w:color="auto"/>
      </w:divBdr>
    </w:div>
    <w:div w:id="818233619">
      <w:bodyDiv w:val="1"/>
      <w:marLeft w:val="0"/>
      <w:marRight w:val="0"/>
      <w:marTop w:val="0"/>
      <w:marBottom w:val="0"/>
      <w:divBdr>
        <w:top w:val="none" w:sz="0" w:space="0" w:color="auto"/>
        <w:left w:val="none" w:sz="0" w:space="0" w:color="auto"/>
        <w:bottom w:val="none" w:sz="0" w:space="0" w:color="auto"/>
        <w:right w:val="none" w:sz="0" w:space="0" w:color="auto"/>
      </w:divBdr>
    </w:div>
    <w:div w:id="820004480">
      <w:bodyDiv w:val="1"/>
      <w:marLeft w:val="0"/>
      <w:marRight w:val="0"/>
      <w:marTop w:val="0"/>
      <w:marBottom w:val="0"/>
      <w:divBdr>
        <w:top w:val="none" w:sz="0" w:space="0" w:color="auto"/>
        <w:left w:val="none" w:sz="0" w:space="0" w:color="auto"/>
        <w:bottom w:val="none" w:sz="0" w:space="0" w:color="auto"/>
        <w:right w:val="none" w:sz="0" w:space="0" w:color="auto"/>
      </w:divBdr>
    </w:div>
    <w:div w:id="826364593">
      <w:bodyDiv w:val="1"/>
      <w:marLeft w:val="0"/>
      <w:marRight w:val="0"/>
      <w:marTop w:val="0"/>
      <w:marBottom w:val="0"/>
      <w:divBdr>
        <w:top w:val="none" w:sz="0" w:space="0" w:color="auto"/>
        <w:left w:val="none" w:sz="0" w:space="0" w:color="auto"/>
        <w:bottom w:val="none" w:sz="0" w:space="0" w:color="auto"/>
        <w:right w:val="none" w:sz="0" w:space="0" w:color="auto"/>
      </w:divBdr>
    </w:div>
    <w:div w:id="826746604">
      <w:bodyDiv w:val="1"/>
      <w:marLeft w:val="0"/>
      <w:marRight w:val="0"/>
      <w:marTop w:val="0"/>
      <w:marBottom w:val="0"/>
      <w:divBdr>
        <w:top w:val="none" w:sz="0" w:space="0" w:color="auto"/>
        <w:left w:val="none" w:sz="0" w:space="0" w:color="auto"/>
        <w:bottom w:val="none" w:sz="0" w:space="0" w:color="auto"/>
        <w:right w:val="none" w:sz="0" w:space="0" w:color="auto"/>
      </w:divBdr>
    </w:div>
    <w:div w:id="827552604">
      <w:bodyDiv w:val="1"/>
      <w:marLeft w:val="0"/>
      <w:marRight w:val="0"/>
      <w:marTop w:val="0"/>
      <w:marBottom w:val="0"/>
      <w:divBdr>
        <w:top w:val="none" w:sz="0" w:space="0" w:color="auto"/>
        <w:left w:val="none" w:sz="0" w:space="0" w:color="auto"/>
        <w:bottom w:val="none" w:sz="0" w:space="0" w:color="auto"/>
        <w:right w:val="none" w:sz="0" w:space="0" w:color="auto"/>
      </w:divBdr>
    </w:div>
    <w:div w:id="836968101">
      <w:bodyDiv w:val="1"/>
      <w:marLeft w:val="0"/>
      <w:marRight w:val="0"/>
      <w:marTop w:val="0"/>
      <w:marBottom w:val="0"/>
      <w:divBdr>
        <w:top w:val="none" w:sz="0" w:space="0" w:color="auto"/>
        <w:left w:val="none" w:sz="0" w:space="0" w:color="auto"/>
        <w:bottom w:val="none" w:sz="0" w:space="0" w:color="auto"/>
        <w:right w:val="none" w:sz="0" w:space="0" w:color="auto"/>
      </w:divBdr>
    </w:div>
    <w:div w:id="839387473">
      <w:bodyDiv w:val="1"/>
      <w:marLeft w:val="0"/>
      <w:marRight w:val="0"/>
      <w:marTop w:val="0"/>
      <w:marBottom w:val="0"/>
      <w:divBdr>
        <w:top w:val="none" w:sz="0" w:space="0" w:color="auto"/>
        <w:left w:val="none" w:sz="0" w:space="0" w:color="auto"/>
        <w:bottom w:val="none" w:sz="0" w:space="0" w:color="auto"/>
        <w:right w:val="none" w:sz="0" w:space="0" w:color="auto"/>
      </w:divBdr>
    </w:div>
    <w:div w:id="843864482">
      <w:bodyDiv w:val="1"/>
      <w:marLeft w:val="0"/>
      <w:marRight w:val="0"/>
      <w:marTop w:val="0"/>
      <w:marBottom w:val="0"/>
      <w:divBdr>
        <w:top w:val="none" w:sz="0" w:space="0" w:color="auto"/>
        <w:left w:val="none" w:sz="0" w:space="0" w:color="auto"/>
        <w:bottom w:val="none" w:sz="0" w:space="0" w:color="auto"/>
        <w:right w:val="none" w:sz="0" w:space="0" w:color="auto"/>
      </w:divBdr>
    </w:div>
    <w:div w:id="846942021">
      <w:bodyDiv w:val="1"/>
      <w:marLeft w:val="0"/>
      <w:marRight w:val="0"/>
      <w:marTop w:val="0"/>
      <w:marBottom w:val="0"/>
      <w:divBdr>
        <w:top w:val="none" w:sz="0" w:space="0" w:color="auto"/>
        <w:left w:val="none" w:sz="0" w:space="0" w:color="auto"/>
        <w:bottom w:val="none" w:sz="0" w:space="0" w:color="auto"/>
        <w:right w:val="none" w:sz="0" w:space="0" w:color="auto"/>
      </w:divBdr>
    </w:div>
    <w:div w:id="849487659">
      <w:bodyDiv w:val="1"/>
      <w:marLeft w:val="0"/>
      <w:marRight w:val="0"/>
      <w:marTop w:val="0"/>
      <w:marBottom w:val="0"/>
      <w:divBdr>
        <w:top w:val="none" w:sz="0" w:space="0" w:color="auto"/>
        <w:left w:val="none" w:sz="0" w:space="0" w:color="auto"/>
        <w:bottom w:val="none" w:sz="0" w:space="0" w:color="auto"/>
        <w:right w:val="none" w:sz="0" w:space="0" w:color="auto"/>
      </w:divBdr>
    </w:div>
    <w:div w:id="849762050">
      <w:bodyDiv w:val="1"/>
      <w:marLeft w:val="0"/>
      <w:marRight w:val="0"/>
      <w:marTop w:val="0"/>
      <w:marBottom w:val="0"/>
      <w:divBdr>
        <w:top w:val="none" w:sz="0" w:space="0" w:color="auto"/>
        <w:left w:val="none" w:sz="0" w:space="0" w:color="auto"/>
        <w:bottom w:val="none" w:sz="0" w:space="0" w:color="auto"/>
        <w:right w:val="none" w:sz="0" w:space="0" w:color="auto"/>
      </w:divBdr>
    </w:div>
    <w:div w:id="858356572">
      <w:bodyDiv w:val="1"/>
      <w:marLeft w:val="0"/>
      <w:marRight w:val="0"/>
      <w:marTop w:val="0"/>
      <w:marBottom w:val="0"/>
      <w:divBdr>
        <w:top w:val="none" w:sz="0" w:space="0" w:color="auto"/>
        <w:left w:val="none" w:sz="0" w:space="0" w:color="auto"/>
        <w:bottom w:val="none" w:sz="0" w:space="0" w:color="auto"/>
        <w:right w:val="none" w:sz="0" w:space="0" w:color="auto"/>
      </w:divBdr>
    </w:div>
    <w:div w:id="859322869">
      <w:bodyDiv w:val="1"/>
      <w:marLeft w:val="0"/>
      <w:marRight w:val="0"/>
      <w:marTop w:val="0"/>
      <w:marBottom w:val="0"/>
      <w:divBdr>
        <w:top w:val="none" w:sz="0" w:space="0" w:color="auto"/>
        <w:left w:val="none" w:sz="0" w:space="0" w:color="auto"/>
        <w:bottom w:val="none" w:sz="0" w:space="0" w:color="auto"/>
        <w:right w:val="none" w:sz="0" w:space="0" w:color="auto"/>
      </w:divBdr>
    </w:div>
    <w:div w:id="860706031">
      <w:bodyDiv w:val="1"/>
      <w:marLeft w:val="0"/>
      <w:marRight w:val="0"/>
      <w:marTop w:val="0"/>
      <w:marBottom w:val="0"/>
      <w:divBdr>
        <w:top w:val="none" w:sz="0" w:space="0" w:color="auto"/>
        <w:left w:val="none" w:sz="0" w:space="0" w:color="auto"/>
        <w:bottom w:val="none" w:sz="0" w:space="0" w:color="auto"/>
        <w:right w:val="none" w:sz="0" w:space="0" w:color="auto"/>
      </w:divBdr>
    </w:div>
    <w:div w:id="864908296">
      <w:bodyDiv w:val="1"/>
      <w:marLeft w:val="0"/>
      <w:marRight w:val="0"/>
      <w:marTop w:val="0"/>
      <w:marBottom w:val="0"/>
      <w:divBdr>
        <w:top w:val="none" w:sz="0" w:space="0" w:color="auto"/>
        <w:left w:val="none" w:sz="0" w:space="0" w:color="auto"/>
        <w:bottom w:val="none" w:sz="0" w:space="0" w:color="auto"/>
        <w:right w:val="none" w:sz="0" w:space="0" w:color="auto"/>
      </w:divBdr>
    </w:div>
    <w:div w:id="864952180">
      <w:bodyDiv w:val="1"/>
      <w:marLeft w:val="0"/>
      <w:marRight w:val="0"/>
      <w:marTop w:val="0"/>
      <w:marBottom w:val="0"/>
      <w:divBdr>
        <w:top w:val="none" w:sz="0" w:space="0" w:color="auto"/>
        <w:left w:val="none" w:sz="0" w:space="0" w:color="auto"/>
        <w:bottom w:val="none" w:sz="0" w:space="0" w:color="auto"/>
        <w:right w:val="none" w:sz="0" w:space="0" w:color="auto"/>
      </w:divBdr>
    </w:div>
    <w:div w:id="867332748">
      <w:bodyDiv w:val="1"/>
      <w:marLeft w:val="0"/>
      <w:marRight w:val="0"/>
      <w:marTop w:val="0"/>
      <w:marBottom w:val="0"/>
      <w:divBdr>
        <w:top w:val="none" w:sz="0" w:space="0" w:color="auto"/>
        <w:left w:val="none" w:sz="0" w:space="0" w:color="auto"/>
        <w:bottom w:val="none" w:sz="0" w:space="0" w:color="auto"/>
        <w:right w:val="none" w:sz="0" w:space="0" w:color="auto"/>
      </w:divBdr>
    </w:div>
    <w:div w:id="867377988">
      <w:bodyDiv w:val="1"/>
      <w:marLeft w:val="0"/>
      <w:marRight w:val="0"/>
      <w:marTop w:val="0"/>
      <w:marBottom w:val="0"/>
      <w:divBdr>
        <w:top w:val="none" w:sz="0" w:space="0" w:color="auto"/>
        <w:left w:val="none" w:sz="0" w:space="0" w:color="auto"/>
        <w:bottom w:val="none" w:sz="0" w:space="0" w:color="auto"/>
        <w:right w:val="none" w:sz="0" w:space="0" w:color="auto"/>
      </w:divBdr>
    </w:div>
    <w:div w:id="868025748">
      <w:bodyDiv w:val="1"/>
      <w:marLeft w:val="0"/>
      <w:marRight w:val="0"/>
      <w:marTop w:val="0"/>
      <w:marBottom w:val="0"/>
      <w:divBdr>
        <w:top w:val="none" w:sz="0" w:space="0" w:color="auto"/>
        <w:left w:val="none" w:sz="0" w:space="0" w:color="auto"/>
        <w:bottom w:val="none" w:sz="0" w:space="0" w:color="auto"/>
        <w:right w:val="none" w:sz="0" w:space="0" w:color="auto"/>
      </w:divBdr>
    </w:div>
    <w:div w:id="868374592">
      <w:bodyDiv w:val="1"/>
      <w:marLeft w:val="0"/>
      <w:marRight w:val="0"/>
      <w:marTop w:val="0"/>
      <w:marBottom w:val="0"/>
      <w:divBdr>
        <w:top w:val="none" w:sz="0" w:space="0" w:color="auto"/>
        <w:left w:val="none" w:sz="0" w:space="0" w:color="auto"/>
        <w:bottom w:val="none" w:sz="0" w:space="0" w:color="auto"/>
        <w:right w:val="none" w:sz="0" w:space="0" w:color="auto"/>
      </w:divBdr>
    </w:div>
    <w:div w:id="888153060">
      <w:bodyDiv w:val="1"/>
      <w:marLeft w:val="0"/>
      <w:marRight w:val="0"/>
      <w:marTop w:val="0"/>
      <w:marBottom w:val="0"/>
      <w:divBdr>
        <w:top w:val="none" w:sz="0" w:space="0" w:color="auto"/>
        <w:left w:val="none" w:sz="0" w:space="0" w:color="auto"/>
        <w:bottom w:val="none" w:sz="0" w:space="0" w:color="auto"/>
        <w:right w:val="none" w:sz="0" w:space="0" w:color="auto"/>
      </w:divBdr>
    </w:div>
    <w:div w:id="892042452">
      <w:bodyDiv w:val="1"/>
      <w:marLeft w:val="0"/>
      <w:marRight w:val="0"/>
      <w:marTop w:val="0"/>
      <w:marBottom w:val="0"/>
      <w:divBdr>
        <w:top w:val="none" w:sz="0" w:space="0" w:color="auto"/>
        <w:left w:val="none" w:sz="0" w:space="0" w:color="auto"/>
        <w:bottom w:val="none" w:sz="0" w:space="0" w:color="auto"/>
        <w:right w:val="none" w:sz="0" w:space="0" w:color="auto"/>
      </w:divBdr>
    </w:div>
    <w:div w:id="901140553">
      <w:bodyDiv w:val="1"/>
      <w:marLeft w:val="0"/>
      <w:marRight w:val="0"/>
      <w:marTop w:val="0"/>
      <w:marBottom w:val="0"/>
      <w:divBdr>
        <w:top w:val="none" w:sz="0" w:space="0" w:color="auto"/>
        <w:left w:val="none" w:sz="0" w:space="0" w:color="auto"/>
        <w:bottom w:val="none" w:sz="0" w:space="0" w:color="auto"/>
        <w:right w:val="none" w:sz="0" w:space="0" w:color="auto"/>
      </w:divBdr>
    </w:div>
    <w:div w:id="901987042">
      <w:bodyDiv w:val="1"/>
      <w:marLeft w:val="0"/>
      <w:marRight w:val="0"/>
      <w:marTop w:val="0"/>
      <w:marBottom w:val="0"/>
      <w:divBdr>
        <w:top w:val="none" w:sz="0" w:space="0" w:color="auto"/>
        <w:left w:val="none" w:sz="0" w:space="0" w:color="auto"/>
        <w:bottom w:val="none" w:sz="0" w:space="0" w:color="auto"/>
        <w:right w:val="none" w:sz="0" w:space="0" w:color="auto"/>
      </w:divBdr>
    </w:div>
    <w:div w:id="906916924">
      <w:bodyDiv w:val="1"/>
      <w:marLeft w:val="0"/>
      <w:marRight w:val="0"/>
      <w:marTop w:val="0"/>
      <w:marBottom w:val="0"/>
      <w:divBdr>
        <w:top w:val="none" w:sz="0" w:space="0" w:color="auto"/>
        <w:left w:val="none" w:sz="0" w:space="0" w:color="auto"/>
        <w:bottom w:val="none" w:sz="0" w:space="0" w:color="auto"/>
        <w:right w:val="none" w:sz="0" w:space="0" w:color="auto"/>
      </w:divBdr>
    </w:div>
    <w:div w:id="912857345">
      <w:bodyDiv w:val="1"/>
      <w:marLeft w:val="0"/>
      <w:marRight w:val="0"/>
      <w:marTop w:val="0"/>
      <w:marBottom w:val="0"/>
      <w:divBdr>
        <w:top w:val="none" w:sz="0" w:space="0" w:color="auto"/>
        <w:left w:val="none" w:sz="0" w:space="0" w:color="auto"/>
        <w:bottom w:val="none" w:sz="0" w:space="0" w:color="auto"/>
        <w:right w:val="none" w:sz="0" w:space="0" w:color="auto"/>
      </w:divBdr>
    </w:div>
    <w:div w:id="913472529">
      <w:bodyDiv w:val="1"/>
      <w:marLeft w:val="0"/>
      <w:marRight w:val="0"/>
      <w:marTop w:val="0"/>
      <w:marBottom w:val="0"/>
      <w:divBdr>
        <w:top w:val="none" w:sz="0" w:space="0" w:color="auto"/>
        <w:left w:val="none" w:sz="0" w:space="0" w:color="auto"/>
        <w:bottom w:val="none" w:sz="0" w:space="0" w:color="auto"/>
        <w:right w:val="none" w:sz="0" w:space="0" w:color="auto"/>
      </w:divBdr>
    </w:div>
    <w:div w:id="913508401">
      <w:bodyDiv w:val="1"/>
      <w:marLeft w:val="0"/>
      <w:marRight w:val="0"/>
      <w:marTop w:val="0"/>
      <w:marBottom w:val="0"/>
      <w:divBdr>
        <w:top w:val="none" w:sz="0" w:space="0" w:color="auto"/>
        <w:left w:val="none" w:sz="0" w:space="0" w:color="auto"/>
        <w:bottom w:val="none" w:sz="0" w:space="0" w:color="auto"/>
        <w:right w:val="none" w:sz="0" w:space="0" w:color="auto"/>
      </w:divBdr>
    </w:div>
    <w:div w:id="916866113">
      <w:bodyDiv w:val="1"/>
      <w:marLeft w:val="0"/>
      <w:marRight w:val="0"/>
      <w:marTop w:val="0"/>
      <w:marBottom w:val="0"/>
      <w:divBdr>
        <w:top w:val="none" w:sz="0" w:space="0" w:color="auto"/>
        <w:left w:val="none" w:sz="0" w:space="0" w:color="auto"/>
        <w:bottom w:val="none" w:sz="0" w:space="0" w:color="auto"/>
        <w:right w:val="none" w:sz="0" w:space="0" w:color="auto"/>
      </w:divBdr>
    </w:div>
    <w:div w:id="922374761">
      <w:bodyDiv w:val="1"/>
      <w:marLeft w:val="0"/>
      <w:marRight w:val="0"/>
      <w:marTop w:val="0"/>
      <w:marBottom w:val="0"/>
      <w:divBdr>
        <w:top w:val="none" w:sz="0" w:space="0" w:color="auto"/>
        <w:left w:val="none" w:sz="0" w:space="0" w:color="auto"/>
        <w:bottom w:val="none" w:sz="0" w:space="0" w:color="auto"/>
        <w:right w:val="none" w:sz="0" w:space="0" w:color="auto"/>
      </w:divBdr>
    </w:div>
    <w:div w:id="922682312">
      <w:bodyDiv w:val="1"/>
      <w:marLeft w:val="0"/>
      <w:marRight w:val="0"/>
      <w:marTop w:val="0"/>
      <w:marBottom w:val="0"/>
      <w:divBdr>
        <w:top w:val="none" w:sz="0" w:space="0" w:color="auto"/>
        <w:left w:val="none" w:sz="0" w:space="0" w:color="auto"/>
        <w:bottom w:val="none" w:sz="0" w:space="0" w:color="auto"/>
        <w:right w:val="none" w:sz="0" w:space="0" w:color="auto"/>
      </w:divBdr>
    </w:div>
    <w:div w:id="930893041">
      <w:bodyDiv w:val="1"/>
      <w:marLeft w:val="0"/>
      <w:marRight w:val="0"/>
      <w:marTop w:val="0"/>
      <w:marBottom w:val="0"/>
      <w:divBdr>
        <w:top w:val="none" w:sz="0" w:space="0" w:color="auto"/>
        <w:left w:val="none" w:sz="0" w:space="0" w:color="auto"/>
        <w:bottom w:val="none" w:sz="0" w:space="0" w:color="auto"/>
        <w:right w:val="none" w:sz="0" w:space="0" w:color="auto"/>
      </w:divBdr>
    </w:div>
    <w:div w:id="933854458">
      <w:bodyDiv w:val="1"/>
      <w:marLeft w:val="0"/>
      <w:marRight w:val="0"/>
      <w:marTop w:val="0"/>
      <w:marBottom w:val="0"/>
      <w:divBdr>
        <w:top w:val="none" w:sz="0" w:space="0" w:color="auto"/>
        <w:left w:val="none" w:sz="0" w:space="0" w:color="auto"/>
        <w:bottom w:val="none" w:sz="0" w:space="0" w:color="auto"/>
        <w:right w:val="none" w:sz="0" w:space="0" w:color="auto"/>
      </w:divBdr>
    </w:div>
    <w:div w:id="935098611">
      <w:bodyDiv w:val="1"/>
      <w:marLeft w:val="0"/>
      <w:marRight w:val="0"/>
      <w:marTop w:val="0"/>
      <w:marBottom w:val="0"/>
      <w:divBdr>
        <w:top w:val="none" w:sz="0" w:space="0" w:color="auto"/>
        <w:left w:val="none" w:sz="0" w:space="0" w:color="auto"/>
        <w:bottom w:val="none" w:sz="0" w:space="0" w:color="auto"/>
        <w:right w:val="none" w:sz="0" w:space="0" w:color="auto"/>
      </w:divBdr>
    </w:div>
    <w:div w:id="941768413">
      <w:bodyDiv w:val="1"/>
      <w:marLeft w:val="0"/>
      <w:marRight w:val="0"/>
      <w:marTop w:val="0"/>
      <w:marBottom w:val="0"/>
      <w:divBdr>
        <w:top w:val="none" w:sz="0" w:space="0" w:color="auto"/>
        <w:left w:val="none" w:sz="0" w:space="0" w:color="auto"/>
        <w:bottom w:val="none" w:sz="0" w:space="0" w:color="auto"/>
        <w:right w:val="none" w:sz="0" w:space="0" w:color="auto"/>
      </w:divBdr>
    </w:div>
    <w:div w:id="944575758">
      <w:bodyDiv w:val="1"/>
      <w:marLeft w:val="0"/>
      <w:marRight w:val="0"/>
      <w:marTop w:val="0"/>
      <w:marBottom w:val="0"/>
      <w:divBdr>
        <w:top w:val="none" w:sz="0" w:space="0" w:color="auto"/>
        <w:left w:val="none" w:sz="0" w:space="0" w:color="auto"/>
        <w:bottom w:val="none" w:sz="0" w:space="0" w:color="auto"/>
        <w:right w:val="none" w:sz="0" w:space="0" w:color="auto"/>
      </w:divBdr>
    </w:div>
    <w:div w:id="948776745">
      <w:bodyDiv w:val="1"/>
      <w:marLeft w:val="0"/>
      <w:marRight w:val="0"/>
      <w:marTop w:val="0"/>
      <w:marBottom w:val="0"/>
      <w:divBdr>
        <w:top w:val="none" w:sz="0" w:space="0" w:color="auto"/>
        <w:left w:val="none" w:sz="0" w:space="0" w:color="auto"/>
        <w:bottom w:val="none" w:sz="0" w:space="0" w:color="auto"/>
        <w:right w:val="none" w:sz="0" w:space="0" w:color="auto"/>
      </w:divBdr>
    </w:div>
    <w:div w:id="955674833">
      <w:bodyDiv w:val="1"/>
      <w:marLeft w:val="0"/>
      <w:marRight w:val="0"/>
      <w:marTop w:val="0"/>
      <w:marBottom w:val="0"/>
      <w:divBdr>
        <w:top w:val="none" w:sz="0" w:space="0" w:color="auto"/>
        <w:left w:val="none" w:sz="0" w:space="0" w:color="auto"/>
        <w:bottom w:val="none" w:sz="0" w:space="0" w:color="auto"/>
        <w:right w:val="none" w:sz="0" w:space="0" w:color="auto"/>
      </w:divBdr>
    </w:div>
    <w:div w:id="957250436">
      <w:bodyDiv w:val="1"/>
      <w:marLeft w:val="0"/>
      <w:marRight w:val="0"/>
      <w:marTop w:val="0"/>
      <w:marBottom w:val="0"/>
      <w:divBdr>
        <w:top w:val="none" w:sz="0" w:space="0" w:color="auto"/>
        <w:left w:val="none" w:sz="0" w:space="0" w:color="auto"/>
        <w:bottom w:val="none" w:sz="0" w:space="0" w:color="auto"/>
        <w:right w:val="none" w:sz="0" w:space="0" w:color="auto"/>
      </w:divBdr>
    </w:div>
    <w:div w:id="959531123">
      <w:bodyDiv w:val="1"/>
      <w:marLeft w:val="0"/>
      <w:marRight w:val="0"/>
      <w:marTop w:val="0"/>
      <w:marBottom w:val="0"/>
      <w:divBdr>
        <w:top w:val="none" w:sz="0" w:space="0" w:color="auto"/>
        <w:left w:val="none" w:sz="0" w:space="0" w:color="auto"/>
        <w:bottom w:val="none" w:sz="0" w:space="0" w:color="auto"/>
        <w:right w:val="none" w:sz="0" w:space="0" w:color="auto"/>
      </w:divBdr>
    </w:div>
    <w:div w:id="962687338">
      <w:bodyDiv w:val="1"/>
      <w:marLeft w:val="0"/>
      <w:marRight w:val="0"/>
      <w:marTop w:val="0"/>
      <w:marBottom w:val="0"/>
      <w:divBdr>
        <w:top w:val="none" w:sz="0" w:space="0" w:color="auto"/>
        <w:left w:val="none" w:sz="0" w:space="0" w:color="auto"/>
        <w:bottom w:val="none" w:sz="0" w:space="0" w:color="auto"/>
        <w:right w:val="none" w:sz="0" w:space="0" w:color="auto"/>
      </w:divBdr>
    </w:div>
    <w:div w:id="965742342">
      <w:bodyDiv w:val="1"/>
      <w:marLeft w:val="0"/>
      <w:marRight w:val="0"/>
      <w:marTop w:val="0"/>
      <w:marBottom w:val="0"/>
      <w:divBdr>
        <w:top w:val="none" w:sz="0" w:space="0" w:color="auto"/>
        <w:left w:val="none" w:sz="0" w:space="0" w:color="auto"/>
        <w:bottom w:val="none" w:sz="0" w:space="0" w:color="auto"/>
        <w:right w:val="none" w:sz="0" w:space="0" w:color="auto"/>
      </w:divBdr>
    </w:div>
    <w:div w:id="967660577">
      <w:bodyDiv w:val="1"/>
      <w:marLeft w:val="0"/>
      <w:marRight w:val="0"/>
      <w:marTop w:val="0"/>
      <w:marBottom w:val="0"/>
      <w:divBdr>
        <w:top w:val="none" w:sz="0" w:space="0" w:color="auto"/>
        <w:left w:val="none" w:sz="0" w:space="0" w:color="auto"/>
        <w:bottom w:val="none" w:sz="0" w:space="0" w:color="auto"/>
        <w:right w:val="none" w:sz="0" w:space="0" w:color="auto"/>
      </w:divBdr>
    </w:div>
    <w:div w:id="969213304">
      <w:bodyDiv w:val="1"/>
      <w:marLeft w:val="0"/>
      <w:marRight w:val="0"/>
      <w:marTop w:val="0"/>
      <w:marBottom w:val="0"/>
      <w:divBdr>
        <w:top w:val="none" w:sz="0" w:space="0" w:color="auto"/>
        <w:left w:val="none" w:sz="0" w:space="0" w:color="auto"/>
        <w:bottom w:val="none" w:sz="0" w:space="0" w:color="auto"/>
        <w:right w:val="none" w:sz="0" w:space="0" w:color="auto"/>
      </w:divBdr>
    </w:div>
    <w:div w:id="971862731">
      <w:bodyDiv w:val="1"/>
      <w:marLeft w:val="0"/>
      <w:marRight w:val="0"/>
      <w:marTop w:val="0"/>
      <w:marBottom w:val="0"/>
      <w:divBdr>
        <w:top w:val="none" w:sz="0" w:space="0" w:color="auto"/>
        <w:left w:val="none" w:sz="0" w:space="0" w:color="auto"/>
        <w:bottom w:val="none" w:sz="0" w:space="0" w:color="auto"/>
        <w:right w:val="none" w:sz="0" w:space="0" w:color="auto"/>
      </w:divBdr>
    </w:div>
    <w:div w:id="973564137">
      <w:bodyDiv w:val="1"/>
      <w:marLeft w:val="0"/>
      <w:marRight w:val="0"/>
      <w:marTop w:val="0"/>
      <w:marBottom w:val="0"/>
      <w:divBdr>
        <w:top w:val="none" w:sz="0" w:space="0" w:color="auto"/>
        <w:left w:val="none" w:sz="0" w:space="0" w:color="auto"/>
        <w:bottom w:val="none" w:sz="0" w:space="0" w:color="auto"/>
        <w:right w:val="none" w:sz="0" w:space="0" w:color="auto"/>
      </w:divBdr>
    </w:div>
    <w:div w:id="973871309">
      <w:bodyDiv w:val="1"/>
      <w:marLeft w:val="0"/>
      <w:marRight w:val="0"/>
      <w:marTop w:val="0"/>
      <w:marBottom w:val="0"/>
      <w:divBdr>
        <w:top w:val="none" w:sz="0" w:space="0" w:color="auto"/>
        <w:left w:val="none" w:sz="0" w:space="0" w:color="auto"/>
        <w:bottom w:val="none" w:sz="0" w:space="0" w:color="auto"/>
        <w:right w:val="none" w:sz="0" w:space="0" w:color="auto"/>
      </w:divBdr>
    </w:div>
    <w:div w:id="977148826">
      <w:bodyDiv w:val="1"/>
      <w:marLeft w:val="0"/>
      <w:marRight w:val="0"/>
      <w:marTop w:val="0"/>
      <w:marBottom w:val="0"/>
      <w:divBdr>
        <w:top w:val="none" w:sz="0" w:space="0" w:color="auto"/>
        <w:left w:val="none" w:sz="0" w:space="0" w:color="auto"/>
        <w:bottom w:val="none" w:sz="0" w:space="0" w:color="auto"/>
        <w:right w:val="none" w:sz="0" w:space="0" w:color="auto"/>
      </w:divBdr>
    </w:div>
    <w:div w:id="986670254">
      <w:bodyDiv w:val="1"/>
      <w:marLeft w:val="0"/>
      <w:marRight w:val="0"/>
      <w:marTop w:val="0"/>
      <w:marBottom w:val="0"/>
      <w:divBdr>
        <w:top w:val="none" w:sz="0" w:space="0" w:color="auto"/>
        <w:left w:val="none" w:sz="0" w:space="0" w:color="auto"/>
        <w:bottom w:val="none" w:sz="0" w:space="0" w:color="auto"/>
        <w:right w:val="none" w:sz="0" w:space="0" w:color="auto"/>
      </w:divBdr>
    </w:div>
    <w:div w:id="987131821">
      <w:bodyDiv w:val="1"/>
      <w:marLeft w:val="0"/>
      <w:marRight w:val="0"/>
      <w:marTop w:val="0"/>
      <w:marBottom w:val="0"/>
      <w:divBdr>
        <w:top w:val="none" w:sz="0" w:space="0" w:color="auto"/>
        <w:left w:val="none" w:sz="0" w:space="0" w:color="auto"/>
        <w:bottom w:val="none" w:sz="0" w:space="0" w:color="auto"/>
        <w:right w:val="none" w:sz="0" w:space="0" w:color="auto"/>
      </w:divBdr>
    </w:div>
    <w:div w:id="987319914">
      <w:bodyDiv w:val="1"/>
      <w:marLeft w:val="0"/>
      <w:marRight w:val="0"/>
      <w:marTop w:val="0"/>
      <w:marBottom w:val="0"/>
      <w:divBdr>
        <w:top w:val="none" w:sz="0" w:space="0" w:color="auto"/>
        <w:left w:val="none" w:sz="0" w:space="0" w:color="auto"/>
        <w:bottom w:val="none" w:sz="0" w:space="0" w:color="auto"/>
        <w:right w:val="none" w:sz="0" w:space="0" w:color="auto"/>
      </w:divBdr>
    </w:div>
    <w:div w:id="988024478">
      <w:bodyDiv w:val="1"/>
      <w:marLeft w:val="0"/>
      <w:marRight w:val="0"/>
      <w:marTop w:val="0"/>
      <w:marBottom w:val="0"/>
      <w:divBdr>
        <w:top w:val="none" w:sz="0" w:space="0" w:color="auto"/>
        <w:left w:val="none" w:sz="0" w:space="0" w:color="auto"/>
        <w:bottom w:val="none" w:sz="0" w:space="0" w:color="auto"/>
        <w:right w:val="none" w:sz="0" w:space="0" w:color="auto"/>
      </w:divBdr>
    </w:div>
    <w:div w:id="991566141">
      <w:bodyDiv w:val="1"/>
      <w:marLeft w:val="0"/>
      <w:marRight w:val="0"/>
      <w:marTop w:val="0"/>
      <w:marBottom w:val="0"/>
      <w:divBdr>
        <w:top w:val="none" w:sz="0" w:space="0" w:color="auto"/>
        <w:left w:val="none" w:sz="0" w:space="0" w:color="auto"/>
        <w:bottom w:val="none" w:sz="0" w:space="0" w:color="auto"/>
        <w:right w:val="none" w:sz="0" w:space="0" w:color="auto"/>
      </w:divBdr>
    </w:div>
    <w:div w:id="997270451">
      <w:bodyDiv w:val="1"/>
      <w:marLeft w:val="0"/>
      <w:marRight w:val="0"/>
      <w:marTop w:val="0"/>
      <w:marBottom w:val="0"/>
      <w:divBdr>
        <w:top w:val="none" w:sz="0" w:space="0" w:color="auto"/>
        <w:left w:val="none" w:sz="0" w:space="0" w:color="auto"/>
        <w:bottom w:val="none" w:sz="0" w:space="0" w:color="auto"/>
        <w:right w:val="none" w:sz="0" w:space="0" w:color="auto"/>
      </w:divBdr>
    </w:div>
    <w:div w:id="997609550">
      <w:bodyDiv w:val="1"/>
      <w:marLeft w:val="0"/>
      <w:marRight w:val="0"/>
      <w:marTop w:val="0"/>
      <w:marBottom w:val="0"/>
      <w:divBdr>
        <w:top w:val="none" w:sz="0" w:space="0" w:color="auto"/>
        <w:left w:val="none" w:sz="0" w:space="0" w:color="auto"/>
        <w:bottom w:val="none" w:sz="0" w:space="0" w:color="auto"/>
        <w:right w:val="none" w:sz="0" w:space="0" w:color="auto"/>
      </w:divBdr>
    </w:div>
    <w:div w:id="1002003176">
      <w:bodyDiv w:val="1"/>
      <w:marLeft w:val="0"/>
      <w:marRight w:val="0"/>
      <w:marTop w:val="0"/>
      <w:marBottom w:val="0"/>
      <w:divBdr>
        <w:top w:val="none" w:sz="0" w:space="0" w:color="auto"/>
        <w:left w:val="none" w:sz="0" w:space="0" w:color="auto"/>
        <w:bottom w:val="none" w:sz="0" w:space="0" w:color="auto"/>
        <w:right w:val="none" w:sz="0" w:space="0" w:color="auto"/>
      </w:divBdr>
    </w:div>
    <w:div w:id="1002898471">
      <w:bodyDiv w:val="1"/>
      <w:marLeft w:val="0"/>
      <w:marRight w:val="0"/>
      <w:marTop w:val="0"/>
      <w:marBottom w:val="0"/>
      <w:divBdr>
        <w:top w:val="none" w:sz="0" w:space="0" w:color="auto"/>
        <w:left w:val="none" w:sz="0" w:space="0" w:color="auto"/>
        <w:bottom w:val="none" w:sz="0" w:space="0" w:color="auto"/>
        <w:right w:val="none" w:sz="0" w:space="0" w:color="auto"/>
      </w:divBdr>
    </w:div>
    <w:div w:id="1005285824">
      <w:bodyDiv w:val="1"/>
      <w:marLeft w:val="0"/>
      <w:marRight w:val="0"/>
      <w:marTop w:val="0"/>
      <w:marBottom w:val="0"/>
      <w:divBdr>
        <w:top w:val="none" w:sz="0" w:space="0" w:color="auto"/>
        <w:left w:val="none" w:sz="0" w:space="0" w:color="auto"/>
        <w:bottom w:val="none" w:sz="0" w:space="0" w:color="auto"/>
        <w:right w:val="none" w:sz="0" w:space="0" w:color="auto"/>
      </w:divBdr>
    </w:div>
    <w:div w:id="1005935488">
      <w:bodyDiv w:val="1"/>
      <w:marLeft w:val="0"/>
      <w:marRight w:val="0"/>
      <w:marTop w:val="0"/>
      <w:marBottom w:val="0"/>
      <w:divBdr>
        <w:top w:val="none" w:sz="0" w:space="0" w:color="auto"/>
        <w:left w:val="none" w:sz="0" w:space="0" w:color="auto"/>
        <w:bottom w:val="none" w:sz="0" w:space="0" w:color="auto"/>
        <w:right w:val="none" w:sz="0" w:space="0" w:color="auto"/>
      </w:divBdr>
    </w:div>
    <w:div w:id="1010571933">
      <w:bodyDiv w:val="1"/>
      <w:marLeft w:val="0"/>
      <w:marRight w:val="0"/>
      <w:marTop w:val="0"/>
      <w:marBottom w:val="0"/>
      <w:divBdr>
        <w:top w:val="none" w:sz="0" w:space="0" w:color="auto"/>
        <w:left w:val="none" w:sz="0" w:space="0" w:color="auto"/>
        <w:bottom w:val="none" w:sz="0" w:space="0" w:color="auto"/>
        <w:right w:val="none" w:sz="0" w:space="0" w:color="auto"/>
      </w:divBdr>
    </w:div>
    <w:div w:id="1013655567">
      <w:bodyDiv w:val="1"/>
      <w:marLeft w:val="0"/>
      <w:marRight w:val="0"/>
      <w:marTop w:val="0"/>
      <w:marBottom w:val="0"/>
      <w:divBdr>
        <w:top w:val="none" w:sz="0" w:space="0" w:color="auto"/>
        <w:left w:val="none" w:sz="0" w:space="0" w:color="auto"/>
        <w:bottom w:val="none" w:sz="0" w:space="0" w:color="auto"/>
        <w:right w:val="none" w:sz="0" w:space="0" w:color="auto"/>
      </w:divBdr>
    </w:div>
    <w:div w:id="1014039704">
      <w:bodyDiv w:val="1"/>
      <w:marLeft w:val="0"/>
      <w:marRight w:val="0"/>
      <w:marTop w:val="0"/>
      <w:marBottom w:val="0"/>
      <w:divBdr>
        <w:top w:val="none" w:sz="0" w:space="0" w:color="auto"/>
        <w:left w:val="none" w:sz="0" w:space="0" w:color="auto"/>
        <w:bottom w:val="none" w:sz="0" w:space="0" w:color="auto"/>
        <w:right w:val="none" w:sz="0" w:space="0" w:color="auto"/>
      </w:divBdr>
    </w:div>
    <w:div w:id="1037047676">
      <w:bodyDiv w:val="1"/>
      <w:marLeft w:val="0"/>
      <w:marRight w:val="0"/>
      <w:marTop w:val="0"/>
      <w:marBottom w:val="0"/>
      <w:divBdr>
        <w:top w:val="none" w:sz="0" w:space="0" w:color="auto"/>
        <w:left w:val="none" w:sz="0" w:space="0" w:color="auto"/>
        <w:bottom w:val="none" w:sz="0" w:space="0" w:color="auto"/>
        <w:right w:val="none" w:sz="0" w:space="0" w:color="auto"/>
      </w:divBdr>
    </w:div>
    <w:div w:id="1041519449">
      <w:bodyDiv w:val="1"/>
      <w:marLeft w:val="0"/>
      <w:marRight w:val="0"/>
      <w:marTop w:val="0"/>
      <w:marBottom w:val="0"/>
      <w:divBdr>
        <w:top w:val="none" w:sz="0" w:space="0" w:color="auto"/>
        <w:left w:val="none" w:sz="0" w:space="0" w:color="auto"/>
        <w:bottom w:val="none" w:sz="0" w:space="0" w:color="auto"/>
        <w:right w:val="none" w:sz="0" w:space="0" w:color="auto"/>
      </w:divBdr>
    </w:div>
    <w:div w:id="1048799449">
      <w:bodyDiv w:val="1"/>
      <w:marLeft w:val="0"/>
      <w:marRight w:val="0"/>
      <w:marTop w:val="0"/>
      <w:marBottom w:val="0"/>
      <w:divBdr>
        <w:top w:val="none" w:sz="0" w:space="0" w:color="auto"/>
        <w:left w:val="none" w:sz="0" w:space="0" w:color="auto"/>
        <w:bottom w:val="none" w:sz="0" w:space="0" w:color="auto"/>
        <w:right w:val="none" w:sz="0" w:space="0" w:color="auto"/>
      </w:divBdr>
    </w:div>
    <w:div w:id="1048840065">
      <w:bodyDiv w:val="1"/>
      <w:marLeft w:val="0"/>
      <w:marRight w:val="0"/>
      <w:marTop w:val="0"/>
      <w:marBottom w:val="0"/>
      <w:divBdr>
        <w:top w:val="none" w:sz="0" w:space="0" w:color="auto"/>
        <w:left w:val="none" w:sz="0" w:space="0" w:color="auto"/>
        <w:bottom w:val="none" w:sz="0" w:space="0" w:color="auto"/>
        <w:right w:val="none" w:sz="0" w:space="0" w:color="auto"/>
      </w:divBdr>
    </w:div>
    <w:div w:id="1050154028">
      <w:bodyDiv w:val="1"/>
      <w:marLeft w:val="0"/>
      <w:marRight w:val="0"/>
      <w:marTop w:val="0"/>
      <w:marBottom w:val="0"/>
      <w:divBdr>
        <w:top w:val="none" w:sz="0" w:space="0" w:color="auto"/>
        <w:left w:val="none" w:sz="0" w:space="0" w:color="auto"/>
        <w:bottom w:val="none" w:sz="0" w:space="0" w:color="auto"/>
        <w:right w:val="none" w:sz="0" w:space="0" w:color="auto"/>
      </w:divBdr>
    </w:div>
    <w:div w:id="1050692238">
      <w:bodyDiv w:val="1"/>
      <w:marLeft w:val="0"/>
      <w:marRight w:val="0"/>
      <w:marTop w:val="0"/>
      <w:marBottom w:val="0"/>
      <w:divBdr>
        <w:top w:val="none" w:sz="0" w:space="0" w:color="auto"/>
        <w:left w:val="none" w:sz="0" w:space="0" w:color="auto"/>
        <w:bottom w:val="none" w:sz="0" w:space="0" w:color="auto"/>
        <w:right w:val="none" w:sz="0" w:space="0" w:color="auto"/>
      </w:divBdr>
    </w:div>
    <w:div w:id="1056931598">
      <w:bodyDiv w:val="1"/>
      <w:marLeft w:val="0"/>
      <w:marRight w:val="0"/>
      <w:marTop w:val="0"/>
      <w:marBottom w:val="0"/>
      <w:divBdr>
        <w:top w:val="none" w:sz="0" w:space="0" w:color="auto"/>
        <w:left w:val="none" w:sz="0" w:space="0" w:color="auto"/>
        <w:bottom w:val="none" w:sz="0" w:space="0" w:color="auto"/>
        <w:right w:val="none" w:sz="0" w:space="0" w:color="auto"/>
      </w:divBdr>
    </w:div>
    <w:div w:id="1061975849">
      <w:bodyDiv w:val="1"/>
      <w:marLeft w:val="0"/>
      <w:marRight w:val="0"/>
      <w:marTop w:val="0"/>
      <w:marBottom w:val="0"/>
      <w:divBdr>
        <w:top w:val="none" w:sz="0" w:space="0" w:color="auto"/>
        <w:left w:val="none" w:sz="0" w:space="0" w:color="auto"/>
        <w:bottom w:val="none" w:sz="0" w:space="0" w:color="auto"/>
        <w:right w:val="none" w:sz="0" w:space="0" w:color="auto"/>
      </w:divBdr>
    </w:div>
    <w:div w:id="1069423531">
      <w:bodyDiv w:val="1"/>
      <w:marLeft w:val="0"/>
      <w:marRight w:val="0"/>
      <w:marTop w:val="0"/>
      <w:marBottom w:val="0"/>
      <w:divBdr>
        <w:top w:val="none" w:sz="0" w:space="0" w:color="auto"/>
        <w:left w:val="none" w:sz="0" w:space="0" w:color="auto"/>
        <w:bottom w:val="none" w:sz="0" w:space="0" w:color="auto"/>
        <w:right w:val="none" w:sz="0" w:space="0" w:color="auto"/>
      </w:divBdr>
    </w:div>
    <w:div w:id="1075781428">
      <w:bodyDiv w:val="1"/>
      <w:marLeft w:val="0"/>
      <w:marRight w:val="0"/>
      <w:marTop w:val="0"/>
      <w:marBottom w:val="0"/>
      <w:divBdr>
        <w:top w:val="none" w:sz="0" w:space="0" w:color="auto"/>
        <w:left w:val="none" w:sz="0" w:space="0" w:color="auto"/>
        <w:bottom w:val="none" w:sz="0" w:space="0" w:color="auto"/>
        <w:right w:val="none" w:sz="0" w:space="0" w:color="auto"/>
      </w:divBdr>
    </w:div>
    <w:div w:id="1082526654">
      <w:bodyDiv w:val="1"/>
      <w:marLeft w:val="0"/>
      <w:marRight w:val="0"/>
      <w:marTop w:val="0"/>
      <w:marBottom w:val="0"/>
      <w:divBdr>
        <w:top w:val="none" w:sz="0" w:space="0" w:color="auto"/>
        <w:left w:val="none" w:sz="0" w:space="0" w:color="auto"/>
        <w:bottom w:val="none" w:sz="0" w:space="0" w:color="auto"/>
        <w:right w:val="none" w:sz="0" w:space="0" w:color="auto"/>
      </w:divBdr>
    </w:div>
    <w:div w:id="1083063248">
      <w:bodyDiv w:val="1"/>
      <w:marLeft w:val="0"/>
      <w:marRight w:val="0"/>
      <w:marTop w:val="0"/>
      <w:marBottom w:val="0"/>
      <w:divBdr>
        <w:top w:val="none" w:sz="0" w:space="0" w:color="auto"/>
        <w:left w:val="none" w:sz="0" w:space="0" w:color="auto"/>
        <w:bottom w:val="none" w:sz="0" w:space="0" w:color="auto"/>
        <w:right w:val="none" w:sz="0" w:space="0" w:color="auto"/>
      </w:divBdr>
    </w:div>
    <w:div w:id="1085230453">
      <w:bodyDiv w:val="1"/>
      <w:marLeft w:val="0"/>
      <w:marRight w:val="0"/>
      <w:marTop w:val="0"/>
      <w:marBottom w:val="0"/>
      <w:divBdr>
        <w:top w:val="none" w:sz="0" w:space="0" w:color="auto"/>
        <w:left w:val="none" w:sz="0" w:space="0" w:color="auto"/>
        <w:bottom w:val="none" w:sz="0" w:space="0" w:color="auto"/>
        <w:right w:val="none" w:sz="0" w:space="0" w:color="auto"/>
      </w:divBdr>
    </w:div>
    <w:div w:id="1085804235">
      <w:bodyDiv w:val="1"/>
      <w:marLeft w:val="0"/>
      <w:marRight w:val="0"/>
      <w:marTop w:val="0"/>
      <w:marBottom w:val="0"/>
      <w:divBdr>
        <w:top w:val="none" w:sz="0" w:space="0" w:color="auto"/>
        <w:left w:val="none" w:sz="0" w:space="0" w:color="auto"/>
        <w:bottom w:val="none" w:sz="0" w:space="0" w:color="auto"/>
        <w:right w:val="none" w:sz="0" w:space="0" w:color="auto"/>
      </w:divBdr>
    </w:div>
    <w:div w:id="1086148873">
      <w:bodyDiv w:val="1"/>
      <w:marLeft w:val="0"/>
      <w:marRight w:val="0"/>
      <w:marTop w:val="0"/>
      <w:marBottom w:val="0"/>
      <w:divBdr>
        <w:top w:val="none" w:sz="0" w:space="0" w:color="auto"/>
        <w:left w:val="none" w:sz="0" w:space="0" w:color="auto"/>
        <w:bottom w:val="none" w:sz="0" w:space="0" w:color="auto"/>
        <w:right w:val="none" w:sz="0" w:space="0" w:color="auto"/>
      </w:divBdr>
    </w:div>
    <w:div w:id="1090079322">
      <w:bodyDiv w:val="1"/>
      <w:marLeft w:val="0"/>
      <w:marRight w:val="0"/>
      <w:marTop w:val="0"/>
      <w:marBottom w:val="0"/>
      <w:divBdr>
        <w:top w:val="none" w:sz="0" w:space="0" w:color="auto"/>
        <w:left w:val="none" w:sz="0" w:space="0" w:color="auto"/>
        <w:bottom w:val="none" w:sz="0" w:space="0" w:color="auto"/>
        <w:right w:val="none" w:sz="0" w:space="0" w:color="auto"/>
      </w:divBdr>
    </w:div>
    <w:div w:id="1091702598">
      <w:bodyDiv w:val="1"/>
      <w:marLeft w:val="0"/>
      <w:marRight w:val="0"/>
      <w:marTop w:val="0"/>
      <w:marBottom w:val="0"/>
      <w:divBdr>
        <w:top w:val="none" w:sz="0" w:space="0" w:color="auto"/>
        <w:left w:val="none" w:sz="0" w:space="0" w:color="auto"/>
        <w:bottom w:val="none" w:sz="0" w:space="0" w:color="auto"/>
        <w:right w:val="none" w:sz="0" w:space="0" w:color="auto"/>
      </w:divBdr>
    </w:div>
    <w:div w:id="1092580873">
      <w:bodyDiv w:val="1"/>
      <w:marLeft w:val="0"/>
      <w:marRight w:val="0"/>
      <w:marTop w:val="0"/>
      <w:marBottom w:val="0"/>
      <w:divBdr>
        <w:top w:val="none" w:sz="0" w:space="0" w:color="auto"/>
        <w:left w:val="none" w:sz="0" w:space="0" w:color="auto"/>
        <w:bottom w:val="none" w:sz="0" w:space="0" w:color="auto"/>
        <w:right w:val="none" w:sz="0" w:space="0" w:color="auto"/>
      </w:divBdr>
    </w:div>
    <w:div w:id="1092898804">
      <w:bodyDiv w:val="1"/>
      <w:marLeft w:val="0"/>
      <w:marRight w:val="0"/>
      <w:marTop w:val="0"/>
      <w:marBottom w:val="0"/>
      <w:divBdr>
        <w:top w:val="none" w:sz="0" w:space="0" w:color="auto"/>
        <w:left w:val="none" w:sz="0" w:space="0" w:color="auto"/>
        <w:bottom w:val="none" w:sz="0" w:space="0" w:color="auto"/>
        <w:right w:val="none" w:sz="0" w:space="0" w:color="auto"/>
      </w:divBdr>
    </w:div>
    <w:div w:id="1094399406">
      <w:bodyDiv w:val="1"/>
      <w:marLeft w:val="0"/>
      <w:marRight w:val="0"/>
      <w:marTop w:val="0"/>
      <w:marBottom w:val="0"/>
      <w:divBdr>
        <w:top w:val="none" w:sz="0" w:space="0" w:color="auto"/>
        <w:left w:val="none" w:sz="0" w:space="0" w:color="auto"/>
        <w:bottom w:val="none" w:sz="0" w:space="0" w:color="auto"/>
        <w:right w:val="none" w:sz="0" w:space="0" w:color="auto"/>
      </w:divBdr>
    </w:div>
    <w:div w:id="1096631354">
      <w:bodyDiv w:val="1"/>
      <w:marLeft w:val="0"/>
      <w:marRight w:val="0"/>
      <w:marTop w:val="0"/>
      <w:marBottom w:val="0"/>
      <w:divBdr>
        <w:top w:val="none" w:sz="0" w:space="0" w:color="auto"/>
        <w:left w:val="none" w:sz="0" w:space="0" w:color="auto"/>
        <w:bottom w:val="none" w:sz="0" w:space="0" w:color="auto"/>
        <w:right w:val="none" w:sz="0" w:space="0" w:color="auto"/>
      </w:divBdr>
    </w:div>
    <w:div w:id="1099182835">
      <w:bodyDiv w:val="1"/>
      <w:marLeft w:val="0"/>
      <w:marRight w:val="0"/>
      <w:marTop w:val="0"/>
      <w:marBottom w:val="0"/>
      <w:divBdr>
        <w:top w:val="none" w:sz="0" w:space="0" w:color="auto"/>
        <w:left w:val="none" w:sz="0" w:space="0" w:color="auto"/>
        <w:bottom w:val="none" w:sz="0" w:space="0" w:color="auto"/>
        <w:right w:val="none" w:sz="0" w:space="0" w:color="auto"/>
      </w:divBdr>
    </w:div>
    <w:div w:id="1100757866">
      <w:bodyDiv w:val="1"/>
      <w:marLeft w:val="0"/>
      <w:marRight w:val="0"/>
      <w:marTop w:val="0"/>
      <w:marBottom w:val="0"/>
      <w:divBdr>
        <w:top w:val="none" w:sz="0" w:space="0" w:color="auto"/>
        <w:left w:val="none" w:sz="0" w:space="0" w:color="auto"/>
        <w:bottom w:val="none" w:sz="0" w:space="0" w:color="auto"/>
        <w:right w:val="none" w:sz="0" w:space="0" w:color="auto"/>
      </w:divBdr>
    </w:div>
    <w:div w:id="1101801111">
      <w:bodyDiv w:val="1"/>
      <w:marLeft w:val="0"/>
      <w:marRight w:val="0"/>
      <w:marTop w:val="0"/>
      <w:marBottom w:val="0"/>
      <w:divBdr>
        <w:top w:val="none" w:sz="0" w:space="0" w:color="auto"/>
        <w:left w:val="none" w:sz="0" w:space="0" w:color="auto"/>
        <w:bottom w:val="none" w:sz="0" w:space="0" w:color="auto"/>
        <w:right w:val="none" w:sz="0" w:space="0" w:color="auto"/>
      </w:divBdr>
    </w:div>
    <w:div w:id="1108163247">
      <w:bodyDiv w:val="1"/>
      <w:marLeft w:val="0"/>
      <w:marRight w:val="0"/>
      <w:marTop w:val="0"/>
      <w:marBottom w:val="0"/>
      <w:divBdr>
        <w:top w:val="none" w:sz="0" w:space="0" w:color="auto"/>
        <w:left w:val="none" w:sz="0" w:space="0" w:color="auto"/>
        <w:bottom w:val="none" w:sz="0" w:space="0" w:color="auto"/>
        <w:right w:val="none" w:sz="0" w:space="0" w:color="auto"/>
      </w:divBdr>
    </w:div>
    <w:div w:id="1109544065">
      <w:bodyDiv w:val="1"/>
      <w:marLeft w:val="0"/>
      <w:marRight w:val="0"/>
      <w:marTop w:val="0"/>
      <w:marBottom w:val="0"/>
      <w:divBdr>
        <w:top w:val="none" w:sz="0" w:space="0" w:color="auto"/>
        <w:left w:val="none" w:sz="0" w:space="0" w:color="auto"/>
        <w:bottom w:val="none" w:sz="0" w:space="0" w:color="auto"/>
        <w:right w:val="none" w:sz="0" w:space="0" w:color="auto"/>
      </w:divBdr>
    </w:div>
    <w:div w:id="1110247822">
      <w:bodyDiv w:val="1"/>
      <w:marLeft w:val="0"/>
      <w:marRight w:val="0"/>
      <w:marTop w:val="0"/>
      <w:marBottom w:val="0"/>
      <w:divBdr>
        <w:top w:val="none" w:sz="0" w:space="0" w:color="auto"/>
        <w:left w:val="none" w:sz="0" w:space="0" w:color="auto"/>
        <w:bottom w:val="none" w:sz="0" w:space="0" w:color="auto"/>
        <w:right w:val="none" w:sz="0" w:space="0" w:color="auto"/>
      </w:divBdr>
    </w:div>
    <w:div w:id="1115254794">
      <w:bodyDiv w:val="1"/>
      <w:marLeft w:val="0"/>
      <w:marRight w:val="0"/>
      <w:marTop w:val="0"/>
      <w:marBottom w:val="0"/>
      <w:divBdr>
        <w:top w:val="none" w:sz="0" w:space="0" w:color="auto"/>
        <w:left w:val="none" w:sz="0" w:space="0" w:color="auto"/>
        <w:bottom w:val="none" w:sz="0" w:space="0" w:color="auto"/>
        <w:right w:val="none" w:sz="0" w:space="0" w:color="auto"/>
      </w:divBdr>
    </w:div>
    <w:div w:id="1115444210">
      <w:bodyDiv w:val="1"/>
      <w:marLeft w:val="0"/>
      <w:marRight w:val="0"/>
      <w:marTop w:val="0"/>
      <w:marBottom w:val="0"/>
      <w:divBdr>
        <w:top w:val="none" w:sz="0" w:space="0" w:color="auto"/>
        <w:left w:val="none" w:sz="0" w:space="0" w:color="auto"/>
        <w:bottom w:val="none" w:sz="0" w:space="0" w:color="auto"/>
        <w:right w:val="none" w:sz="0" w:space="0" w:color="auto"/>
      </w:divBdr>
    </w:div>
    <w:div w:id="1121849253">
      <w:bodyDiv w:val="1"/>
      <w:marLeft w:val="0"/>
      <w:marRight w:val="0"/>
      <w:marTop w:val="0"/>
      <w:marBottom w:val="0"/>
      <w:divBdr>
        <w:top w:val="none" w:sz="0" w:space="0" w:color="auto"/>
        <w:left w:val="none" w:sz="0" w:space="0" w:color="auto"/>
        <w:bottom w:val="none" w:sz="0" w:space="0" w:color="auto"/>
        <w:right w:val="none" w:sz="0" w:space="0" w:color="auto"/>
      </w:divBdr>
    </w:div>
    <w:div w:id="1125347226">
      <w:bodyDiv w:val="1"/>
      <w:marLeft w:val="0"/>
      <w:marRight w:val="0"/>
      <w:marTop w:val="0"/>
      <w:marBottom w:val="0"/>
      <w:divBdr>
        <w:top w:val="none" w:sz="0" w:space="0" w:color="auto"/>
        <w:left w:val="none" w:sz="0" w:space="0" w:color="auto"/>
        <w:bottom w:val="none" w:sz="0" w:space="0" w:color="auto"/>
        <w:right w:val="none" w:sz="0" w:space="0" w:color="auto"/>
      </w:divBdr>
    </w:div>
    <w:div w:id="1129784333">
      <w:bodyDiv w:val="1"/>
      <w:marLeft w:val="0"/>
      <w:marRight w:val="0"/>
      <w:marTop w:val="0"/>
      <w:marBottom w:val="0"/>
      <w:divBdr>
        <w:top w:val="none" w:sz="0" w:space="0" w:color="auto"/>
        <w:left w:val="none" w:sz="0" w:space="0" w:color="auto"/>
        <w:bottom w:val="none" w:sz="0" w:space="0" w:color="auto"/>
        <w:right w:val="none" w:sz="0" w:space="0" w:color="auto"/>
      </w:divBdr>
    </w:div>
    <w:div w:id="1131361845">
      <w:bodyDiv w:val="1"/>
      <w:marLeft w:val="0"/>
      <w:marRight w:val="0"/>
      <w:marTop w:val="0"/>
      <w:marBottom w:val="0"/>
      <w:divBdr>
        <w:top w:val="none" w:sz="0" w:space="0" w:color="auto"/>
        <w:left w:val="none" w:sz="0" w:space="0" w:color="auto"/>
        <w:bottom w:val="none" w:sz="0" w:space="0" w:color="auto"/>
        <w:right w:val="none" w:sz="0" w:space="0" w:color="auto"/>
      </w:divBdr>
    </w:div>
    <w:div w:id="1132140146">
      <w:bodyDiv w:val="1"/>
      <w:marLeft w:val="0"/>
      <w:marRight w:val="0"/>
      <w:marTop w:val="0"/>
      <w:marBottom w:val="0"/>
      <w:divBdr>
        <w:top w:val="none" w:sz="0" w:space="0" w:color="auto"/>
        <w:left w:val="none" w:sz="0" w:space="0" w:color="auto"/>
        <w:bottom w:val="none" w:sz="0" w:space="0" w:color="auto"/>
        <w:right w:val="none" w:sz="0" w:space="0" w:color="auto"/>
      </w:divBdr>
    </w:div>
    <w:div w:id="1132288851">
      <w:bodyDiv w:val="1"/>
      <w:marLeft w:val="0"/>
      <w:marRight w:val="0"/>
      <w:marTop w:val="0"/>
      <w:marBottom w:val="0"/>
      <w:divBdr>
        <w:top w:val="none" w:sz="0" w:space="0" w:color="auto"/>
        <w:left w:val="none" w:sz="0" w:space="0" w:color="auto"/>
        <w:bottom w:val="none" w:sz="0" w:space="0" w:color="auto"/>
        <w:right w:val="none" w:sz="0" w:space="0" w:color="auto"/>
      </w:divBdr>
    </w:div>
    <w:div w:id="1132744789">
      <w:bodyDiv w:val="1"/>
      <w:marLeft w:val="0"/>
      <w:marRight w:val="0"/>
      <w:marTop w:val="0"/>
      <w:marBottom w:val="0"/>
      <w:divBdr>
        <w:top w:val="none" w:sz="0" w:space="0" w:color="auto"/>
        <w:left w:val="none" w:sz="0" w:space="0" w:color="auto"/>
        <w:bottom w:val="none" w:sz="0" w:space="0" w:color="auto"/>
        <w:right w:val="none" w:sz="0" w:space="0" w:color="auto"/>
      </w:divBdr>
    </w:div>
    <w:div w:id="1139572676">
      <w:bodyDiv w:val="1"/>
      <w:marLeft w:val="0"/>
      <w:marRight w:val="0"/>
      <w:marTop w:val="0"/>
      <w:marBottom w:val="0"/>
      <w:divBdr>
        <w:top w:val="none" w:sz="0" w:space="0" w:color="auto"/>
        <w:left w:val="none" w:sz="0" w:space="0" w:color="auto"/>
        <w:bottom w:val="none" w:sz="0" w:space="0" w:color="auto"/>
        <w:right w:val="none" w:sz="0" w:space="0" w:color="auto"/>
      </w:divBdr>
    </w:div>
    <w:div w:id="1140801471">
      <w:bodyDiv w:val="1"/>
      <w:marLeft w:val="0"/>
      <w:marRight w:val="0"/>
      <w:marTop w:val="0"/>
      <w:marBottom w:val="0"/>
      <w:divBdr>
        <w:top w:val="none" w:sz="0" w:space="0" w:color="auto"/>
        <w:left w:val="none" w:sz="0" w:space="0" w:color="auto"/>
        <w:bottom w:val="none" w:sz="0" w:space="0" w:color="auto"/>
        <w:right w:val="none" w:sz="0" w:space="0" w:color="auto"/>
      </w:divBdr>
    </w:div>
    <w:div w:id="1145857429">
      <w:bodyDiv w:val="1"/>
      <w:marLeft w:val="0"/>
      <w:marRight w:val="0"/>
      <w:marTop w:val="0"/>
      <w:marBottom w:val="0"/>
      <w:divBdr>
        <w:top w:val="none" w:sz="0" w:space="0" w:color="auto"/>
        <w:left w:val="none" w:sz="0" w:space="0" w:color="auto"/>
        <w:bottom w:val="none" w:sz="0" w:space="0" w:color="auto"/>
        <w:right w:val="none" w:sz="0" w:space="0" w:color="auto"/>
      </w:divBdr>
    </w:div>
    <w:div w:id="1147362343">
      <w:bodyDiv w:val="1"/>
      <w:marLeft w:val="0"/>
      <w:marRight w:val="0"/>
      <w:marTop w:val="0"/>
      <w:marBottom w:val="0"/>
      <w:divBdr>
        <w:top w:val="none" w:sz="0" w:space="0" w:color="auto"/>
        <w:left w:val="none" w:sz="0" w:space="0" w:color="auto"/>
        <w:bottom w:val="none" w:sz="0" w:space="0" w:color="auto"/>
        <w:right w:val="none" w:sz="0" w:space="0" w:color="auto"/>
      </w:divBdr>
    </w:div>
    <w:div w:id="1148012623">
      <w:bodyDiv w:val="1"/>
      <w:marLeft w:val="0"/>
      <w:marRight w:val="0"/>
      <w:marTop w:val="0"/>
      <w:marBottom w:val="0"/>
      <w:divBdr>
        <w:top w:val="none" w:sz="0" w:space="0" w:color="auto"/>
        <w:left w:val="none" w:sz="0" w:space="0" w:color="auto"/>
        <w:bottom w:val="none" w:sz="0" w:space="0" w:color="auto"/>
        <w:right w:val="none" w:sz="0" w:space="0" w:color="auto"/>
      </w:divBdr>
    </w:div>
    <w:div w:id="1149052542">
      <w:bodyDiv w:val="1"/>
      <w:marLeft w:val="0"/>
      <w:marRight w:val="0"/>
      <w:marTop w:val="0"/>
      <w:marBottom w:val="0"/>
      <w:divBdr>
        <w:top w:val="none" w:sz="0" w:space="0" w:color="auto"/>
        <w:left w:val="none" w:sz="0" w:space="0" w:color="auto"/>
        <w:bottom w:val="none" w:sz="0" w:space="0" w:color="auto"/>
        <w:right w:val="none" w:sz="0" w:space="0" w:color="auto"/>
      </w:divBdr>
    </w:div>
    <w:div w:id="1165820413">
      <w:bodyDiv w:val="1"/>
      <w:marLeft w:val="0"/>
      <w:marRight w:val="0"/>
      <w:marTop w:val="0"/>
      <w:marBottom w:val="0"/>
      <w:divBdr>
        <w:top w:val="none" w:sz="0" w:space="0" w:color="auto"/>
        <w:left w:val="none" w:sz="0" w:space="0" w:color="auto"/>
        <w:bottom w:val="none" w:sz="0" w:space="0" w:color="auto"/>
        <w:right w:val="none" w:sz="0" w:space="0" w:color="auto"/>
      </w:divBdr>
    </w:div>
    <w:div w:id="1166286330">
      <w:bodyDiv w:val="1"/>
      <w:marLeft w:val="0"/>
      <w:marRight w:val="0"/>
      <w:marTop w:val="0"/>
      <w:marBottom w:val="0"/>
      <w:divBdr>
        <w:top w:val="none" w:sz="0" w:space="0" w:color="auto"/>
        <w:left w:val="none" w:sz="0" w:space="0" w:color="auto"/>
        <w:bottom w:val="none" w:sz="0" w:space="0" w:color="auto"/>
        <w:right w:val="none" w:sz="0" w:space="0" w:color="auto"/>
      </w:divBdr>
    </w:div>
    <w:div w:id="1171794956">
      <w:bodyDiv w:val="1"/>
      <w:marLeft w:val="0"/>
      <w:marRight w:val="0"/>
      <w:marTop w:val="0"/>
      <w:marBottom w:val="0"/>
      <w:divBdr>
        <w:top w:val="none" w:sz="0" w:space="0" w:color="auto"/>
        <w:left w:val="none" w:sz="0" w:space="0" w:color="auto"/>
        <w:bottom w:val="none" w:sz="0" w:space="0" w:color="auto"/>
        <w:right w:val="none" w:sz="0" w:space="0" w:color="auto"/>
      </w:divBdr>
    </w:div>
    <w:div w:id="1173568180">
      <w:bodyDiv w:val="1"/>
      <w:marLeft w:val="0"/>
      <w:marRight w:val="0"/>
      <w:marTop w:val="0"/>
      <w:marBottom w:val="0"/>
      <w:divBdr>
        <w:top w:val="none" w:sz="0" w:space="0" w:color="auto"/>
        <w:left w:val="none" w:sz="0" w:space="0" w:color="auto"/>
        <w:bottom w:val="none" w:sz="0" w:space="0" w:color="auto"/>
        <w:right w:val="none" w:sz="0" w:space="0" w:color="auto"/>
      </w:divBdr>
    </w:div>
    <w:div w:id="1201823862">
      <w:bodyDiv w:val="1"/>
      <w:marLeft w:val="0"/>
      <w:marRight w:val="0"/>
      <w:marTop w:val="0"/>
      <w:marBottom w:val="0"/>
      <w:divBdr>
        <w:top w:val="none" w:sz="0" w:space="0" w:color="auto"/>
        <w:left w:val="none" w:sz="0" w:space="0" w:color="auto"/>
        <w:bottom w:val="none" w:sz="0" w:space="0" w:color="auto"/>
        <w:right w:val="none" w:sz="0" w:space="0" w:color="auto"/>
      </w:divBdr>
    </w:div>
    <w:div w:id="1211504072">
      <w:bodyDiv w:val="1"/>
      <w:marLeft w:val="0"/>
      <w:marRight w:val="0"/>
      <w:marTop w:val="0"/>
      <w:marBottom w:val="0"/>
      <w:divBdr>
        <w:top w:val="none" w:sz="0" w:space="0" w:color="auto"/>
        <w:left w:val="none" w:sz="0" w:space="0" w:color="auto"/>
        <w:bottom w:val="none" w:sz="0" w:space="0" w:color="auto"/>
        <w:right w:val="none" w:sz="0" w:space="0" w:color="auto"/>
      </w:divBdr>
    </w:div>
    <w:div w:id="1222444779">
      <w:bodyDiv w:val="1"/>
      <w:marLeft w:val="0"/>
      <w:marRight w:val="0"/>
      <w:marTop w:val="0"/>
      <w:marBottom w:val="0"/>
      <w:divBdr>
        <w:top w:val="none" w:sz="0" w:space="0" w:color="auto"/>
        <w:left w:val="none" w:sz="0" w:space="0" w:color="auto"/>
        <w:bottom w:val="none" w:sz="0" w:space="0" w:color="auto"/>
        <w:right w:val="none" w:sz="0" w:space="0" w:color="auto"/>
      </w:divBdr>
    </w:div>
    <w:div w:id="1231304003">
      <w:bodyDiv w:val="1"/>
      <w:marLeft w:val="0"/>
      <w:marRight w:val="0"/>
      <w:marTop w:val="0"/>
      <w:marBottom w:val="0"/>
      <w:divBdr>
        <w:top w:val="none" w:sz="0" w:space="0" w:color="auto"/>
        <w:left w:val="none" w:sz="0" w:space="0" w:color="auto"/>
        <w:bottom w:val="none" w:sz="0" w:space="0" w:color="auto"/>
        <w:right w:val="none" w:sz="0" w:space="0" w:color="auto"/>
      </w:divBdr>
    </w:div>
    <w:div w:id="1232738302">
      <w:bodyDiv w:val="1"/>
      <w:marLeft w:val="0"/>
      <w:marRight w:val="0"/>
      <w:marTop w:val="0"/>
      <w:marBottom w:val="0"/>
      <w:divBdr>
        <w:top w:val="none" w:sz="0" w:space="0" w:color="auto"/>
        <w:left w:val="none" w:sz="0" w:space="0" w:color="auto"/>
        <w:bottom w:val="none" w:sz="0" w:space="0" w:color="auto"/>
        <w:right w:val="none" w:sz="0" w:space="0" w:color="auto"/>
      </w:divBdr>
    </w:div>
    <w:div w:id="1235431492">
      <w:bodyDiv w:val="1"/>
      <w:marLeft w:val="0"/>
      <w:marRight w:val="0"/>
      <w:marTop w:val="0"/>
      <w:marBottom w:val="0"/>
      <w:divBdr>
        <w:top w:val="none" w:sz="0" w:space="0" w:color="auto"/>
        <w:left w:val="none" w:sz="0" w:space="0" w:color="auto"/>
        <w:bottom w:val="none" w:sz="0" w:space="0" w:color="auto"/>
        <w:right w:val="none" w:sz="0" w:space="0" w:color="auto"/>
      </w:divBdr>
    </w:div>
    <w:div w:id="1240213356">
      <w:bodyDiv w:val="1"/>
      <w:marLeft w:val="0"/>
      <w:marRight w:val="0"/>
      <w:marTop w:val="0"/>
      <w:marBottom w:val="0"/>
      <w:divBdr>
        <w:top w:val="none" w:sz="0" w:space="0" w:color="auto"/>
        <w:left w:val="none" w:sz="0" w:space="0" w:color="auto"/>
        <w:bottom w:val="none" w:sz="0" w:space="0" w:color="auto"/>
        <w:right w:val="none" w:sz="0" w:space="0" w:color="auto"/>
      </w:divBdr>
    </w:div>
    <w:div w:id="1242834513">
      <w:bodyDiv w:val="1"/>
      <w:marLeft w:val="0"/>
      <w:marRight w:val="0"/>
      <w:marTop w:val="0"/>
      <w:marBottom w:val="0"/>
      <w:divBdr>
        <w:top w:val="none" w:sz="0" w:space="0" w:color="auto"/>
        <w:left w:val="none" w:sz="0" w:space="0" w:color="auto"/>
        <w:bottom w:val="none" w:sz="0" w:space="0" w:color="auto"/>
        <w:right w:val="none" w:sz="0" w:space="0" w:color="auto"/>
      </w:divBdr>
    </w:div>
    <w:div w:id="1243679932">
      <w:bodyDiv w:val="1"/>
      <w:marLeft w:val="0"/>
      <w:marRight w:val="0"/>
      <w:marTop w:val="0"/>
      <w:marBottom w:val="0"/>
      <w:divBdr>
        <w:top w:val="none" w:sz="0" w:space="0" w:color="auto"/>
        <w:left w:val="none" w:sz="0" w:space="0" w:color="auto"/>
        <w:bottom w:val="none" w:sz="0" w:space="0" w:color="auto"/>
        <w:right w:val="none" w:sz="0" w:space="0" w:color="auto"/>
      </w:divBdr>
    </w:div>
    <w:div w:id="1245722050">
      <w:bodyDiv w:val="1"/>
      <w:marLeft w:val="0"/>
      <w:marRight w:val="0"/>
      <w:marTop w:val="0"/>
      <w:marBottom w:val="0"/>
      <w:divBdr>
        <w:top w:val="none" w:sz="0" w:space="0" w:color="auto"/>
        <w:left w:val="none" w:sz="0" w:space="0" w:color="auto"/>
        <w:bottom w:val="none" w:sz="0" w:space="0" w:color="auto"/>
        <w:right w:val="none" w:sz="0" w:space="0" w:color="auto"/>
      </w:divBdr>
    </w:div>
    <w:div w:id="1252469428">
      <w:bodyDiv w:val="1"/>
      <w:marLeft w:val="0"/>
      <w:marRight w:val="0"/>
      <w:marTop w:val="0"/>
      <w:marBottom w:val="0"/>
      <w:divBdr>
        <w:top w:val="none" w:sz="0" w:space="0" w:color="auto"/>
        <w:left w:val="none" w:sz="0" w:space="0" w:color="auto"/>
        <w:bottom w:val="none" w:sz="0" w:space="0" w:color="auto"/>
        <w:right w:val="none" w:sz="0" w:space="0" w:color="auto"/>
      </w:divBdr>
    </w:div>
    <w:div w:id="1253272656">
      <w:bodyDiv w:val="1"/>
      <w:marLeft w:val="0"/>
      <w:marRight w:val="0"/>
      <w:marTop w:val="0"/>
      <w:marBottom w:val="0"/>
      <w:divBdr>
        <w:top w:val="none" w:sz="0" w:space="0" w:color="auto"/>
        <w:left w:val="none" w:sz="0" w:space="0" w:color="auto"/>
        <w:bottom w:val="none" w:sz="0" w:space="0" w:color="auto"/>
        <w:right w:val="none" w:sz="0" w:space="0" w:color="auto"/>
      </w:divBdr>
    </w:div>
    <w:div w:id="1255481696">
      <w:bodyDiv w:val="1"/>
      <w:marLeft w:val="0"/>
      <w:marRight w:val="0"/>
      <w:marTop w:val="0"/>
      <w:marBottom w:val="0"/>
      <w:divBdr>
        <w:top w:val="none" w:sz="0" w:space="0" w:color="auto"/>
        <w:left w:val="none" w:sz="0" w:space="0" w:color="auto"/>
        <w:bottom w:val="none" w:sz="0" w:space="0" w:color="auto"/>
        <w:right w:val="none" w:sz="0" w:space="0" w:color="auto"/>
      </w:divBdr>
    </w:div>
    <w:div w:id="1261530157">
      <w:bodyDiv w:val="1"/>
      <w:marLeft w:val="0"/>
      <w:marRight w:val="0"/>
      <w:marTop w:val="0"/>
      <w:marBottom w:val="0"/>
      <w:divBdr>
        <w:top w:val="none" w:sz="0" w:space="0" w:color="auto"/>
        <w:left w:val="none" w:sz="0" w:space="0" w:color="auto"/>
        <w:bottom w:val="none" w:sz="0" w:space="0" w:color="auto"/>
        <w:right w:val="none" w:sz="0" w:space="0" w:color="auto"/>
      </w:divBdr>
    </w:div>
    <w:div w:id="1264613251">
      <w:bodyDiv w:val="1"/>
      <w:marLeft w:val="0"/>
      <w:marRight w:val="0"/>
      <w:marTop w:val="0"/>
      <w:marBottom w:val="0"/>
      <w:divBdr>
        <w:top w:val="none" w:sz="0" w:space="0" w:color="auto"/>
        <w:left w:val="none" w:sz="0" w:space="0" w:color="auto"/>
        <w:bottom w:val="none" w:sz="0" w:space="0" w:color="auto"/>
        <w:right w:val="none" w:sz="0" w:space="0" w:color="auto"/>
      </w:divBdr>
    </w:div>
    <w:div w:id="1265186474">
      <w:bodyDiv w:val="1"/>
      <w:marLeft w:val="0"/>
      <w:marRight w:val="0"/>
      <w:marTop w:val="0"/>
      <w:marBottom w:val="0"/>
      <w:divBdr>
        <w:top w:val="none" w:sz="0" w:space="0" w:color="auto"/>
        <w:left w:val="none" w:sz="0" w:space="0" w:color="auto"/>
        <w:bottom w:val="none" w:sz="0" w:space="0" w:color="auto"/>
        <w:right w:val="none" w:sz="0" w:space="0" w:color="auto"/>
      </w:divBdr>
    </w:div>
    <w:div w:id="1280717122">
      <w:bodyDiv w:val="1"/>
      <w:marLeft w:val="0"/>
      <w:marRight w:val="0"/>
      <w:marTop w:val="0"/>
      <w:marBottom w:val="0"/>
      <w:divBdr>
        <w:top w:val="none" w:sz="0" w:space="0" w:color="auto"/>
        <w:left w:val="none" w:sz="0" w:space="0" w:color="auto"/>
        <w:bottom w:val="none" w:sz="0" w:space="0" w:color="auto"/>
        <w:right w:val="none" w:sz="0" w:space="0" w:color="auto"/>
      </w:divBdr>
    </w:div>
    <w:div w:id="1283728044">
      <w:bodyDiv w:val="1"/>
      <w:marLeft w:val="0"/>
      <w:marRight w:val="0"/>
      <w:marTop w:val="0"/>
      <w:marBottom w:val="0"/>
      <w:divBdr>
        <w:top w:val="none" w:sz="0" w:space="0" w:color="auto"/>
        <w:left w:val="none" w:sz="0" w:space="0" w:color="auto"/>
        <w:bottom w:val="none" w:sz="0" w:space="0" w:color="auto"/>
        <w:right w:val="none" w:sz="0" w:space="0" w:color="auto"/>
      </w:divBdr>
    </w:div>
    <w:div w:id="1284194915">
      <w:bodyDiv w:val="1"/>
      <w:marLeft w:val="0"/>
      <w:marRight w:val="0"/>
      <w:marTop w:val="0"/>
      <w:marBottom w:val="0"/>
      <w:divBdr>
        <w:top w:val="none" w:sz="0" w:space="0" w:color="auto"/>
        <w:left w:val="none" w:sz="0" w:space="0" w:color="auto"/>
        <w:bottom w:val="none" w:sz="0" w:space="0" w:color="auto"/>
        <w:right w:val="none" w:sz="0" w:space="0" w:color="auto"/>
      </w:divBdr>
    </w:div>
    <w:div w:id="1290554121">
      <w:bodyDiv w:val="1"/>
      <w:marLeft w:val="0"/>
      <w:marRight w:val="0"/>
      <w:marTop w:val="0"/>
      <w:marBottom w:val="0"/>
      <w:divBdr>
        <w:top w:val="none" w:sz="0" w:space="0" w:color="auto"/>
        <w:left w:val="none" w:sz="0" w:space="0" w:color="auto"/>
        <w:bottom w:val="none" w:sz="0" w:space="0" w:color="auto"/>
        <w:right w:val="none" w:sz="0" w:space="0" w:color="auto"/>
      </w:divBdr>
    </w:div>
    <w:div w:id="1295142801">
      <w:bodyDiv w:val="1"/>
      <w:marLeft w:val="0"/>
      <w:marRight w:val="0"/>
      <w:marTop w:val="0"/>
      <w:marBottom w:val="0"/>
      <w:divBdr>
        <w:top w:val="none" w:sz="0" w:space="0" w:color="auto"/>
        <w:left w:val="none" w:sz="0" w:space="0" w:color="auto"/>
        <w:bottom w:val="none" w:sz="0" w:space="0" w:color="auto"/>
        <w:right w:val="none" w:sz="0" w:space="0" w:color="auto"/>
      </w:divBdr>
    </w:div>
    <w:div w:id="1295872810">
      <w:bodyDiv w:val="1"/>
      <w:marLeft w:val="0"/>
      <w:marRight w:val="0"/>
      <w:marTop w:val="0"/>
      <w:marBottom w:val="0"/>
      <w:divBdr>
        <w:top w:val="none" w:sz="0" w:space="0" w:color="auto"/>
        <w:left w:val="none" w:sz="0" w:space="0" w:color="auto"/>
        <w:bottom w:val="none" w:sz="0" w:space="0" w:color="auto"/>
        <w:right w:val="none" w:sz="0" w:space="0" w:color="auto"/>
      </w:divBdr>
    </w:div>
    <w:div w:id="1307398425">
      <w:bodyDiv w:val="1"/>
      <w:marLeft w:val="0"/>
      <w:marRight w:val="0"/>
      <w:marTop w:val="0"/>
      <w:marBottom w:val="0"/>
      <w:divBdr>
        <w:top w:val="none" w:sz="0" w:space="0" w:color="auto"/>
        <w:left w:val="none" w:sz="0" w:space="0" w:color="auto"/>
        <w:bottom w:val="none" w:sz="0" w:space="0" w:color="auto"/>
        <w:right w:val="none" w:sz="0" w:space="0" w:color="auto"/>
      </w:divBdr>
    </w:div>
    <w:div w:id="1314673633">
      <w:bodyDiv w:val="1"/>
      <w:marLeft w:val="0"/>
      <w:marRight w:val="0"/>
      <w:marTop w:val="0"/>
      <w:marBottom w:val="0"/>
      <w:divBdr>
        <w:top w:val="none" w:sz="0" w:space="0" w:color="auto"/>
        <w:left w:val="none" w:sz="0" w:space="0" w:color="auto"/>
        <w:bottom w:val="none" w:sz="0" w:space="0" w:color="auto"/>
        <w:right w:val="none" w:sz="0" w:space="0" w:color="auto"/>
      </w:divBdr>
    </w:div>
    <w:div w:id="1318076784">
      <w:bodyDiv w:val="1"/>
      <w:marLeft w:val="0"/>
      <w:marRight w:val="0"/>
      <w:marTop w:val="0"/>
      <w:marBottom w:val="0"/>
      <w:divBdr>
        <w:top w:val="none" w:sz="0" w:space="0" w:color="auto"/>
        <w:left w:val="none" w:sz="0" w:space="0" w:color="auto"/>
        <w:bottom w:val="none" w:sz="0" w:space="0" w:color="auto"/>
        <w:right w:val="none" w:sz="0" w:space="0" w:color="auto"/>
      </w:divBdr>
    </w:div>
    <w:div w:id="1320380529">
      <w:bodyDiv w:val="1"/>
      <w:marLeft w:val="0"/>
      <w:marRight w:val="0"/>
      <w:marTop w:val="0"/>
      <w:marBottom w:val="0"/>
      <w:divBdr>
        <w:top w:val="none" w:sz="0" w:space="0" w:color="auto"/>
        <w:left w:val="none" w:sz="0" w:space="0" w:color="auto"/>
        <w:bottom w:val="none" w:sz="0" w:space="0" w:color="auto"/>
        <w:right w:val="none" w:sz="0" w:space="0" w:color="auto"/>
      </w:divBdr>
    </w:div>
    <w:div w:id="1322005366">
      <w:bodyDiv w:val="1"/>
      <w:marLeft w:val="0"/>
      <w:marRight w:val="0"/>
      <w:marTop w:val="0"/>
      <w:marBottom w:val="0"/>
      <w:divBdr>
        <w:top w:val="none" w:sz="0" w:space="0" w:color="auto"/>
        <w:left w:val="none" w:sz="0" w:space="0" w:color="auto"/>
        <w:bottom w:val="none" w:sz="0" w:space="0" w:color="auto"/>
        <w:right w:val="none" w:sz="0" w:space="0" w:color="auto"/>
      </w:divBdr>
    </w:div>
    <w:div w:id="1329333801">
      <w:bodyDiv w:val="1"/>
      <w:marLeft w:val="0"/>
      <w:marRight w:val="0"/>
      <w:marTop w:val="0"/>
      <w:marBottom w:val="0"/>
      <w:divBdr>
        <w:top w:val="none" w:sz="0" w:space="0" w:color="auto"/>
        <w:left w:val="none" w:sz="0" w:space="0" w:color="auto"/>
        <w:bottom w:val="none" w:sz="0" w:space="0" w:color="auto"/>
        <w:right w:val="none" w:sz="0" w:space="0" w:color="auto"/>
      </w:divBdr>
    </w:div>
    <w:div w:id="1334723523">
      <w:bodyDiv w:val="1"/>
      <w:marLeft w:val="0"/>
      <w:marRight w:val="0"/>
      <w:marTop w:val="0"/>
      <w:marBottom w:val="0"/>
      <w:divBdr>
        <w:top w:val="none" w:sz="0" w:space="0" w:color="auto"/>
        <w:left w:val="none" w:sz="0" w:space="0" w:color="auto"/>
        <w:bottom w:val="none" w:sz="0" w:space="0" w:color="auto"/>
        <w:right w:val="none" w:sz="0" w:space="0" w:color="auto"/>
      </w:divBdr>
    </w:div>
    <w:div w:id="1349478235">
      <w:bodyDiv w:val="1"/>
      <w:marLeft w:val="0"/>
      <w:marRight w:val="0"/>
      <w:marTop w:val="0"/>
      <w:marBottom w:val="0"/>
      <w:divBdr>
        <w:top w:val="none" w:sz="0" w:space="0" w:color="auto"/>
        <w:left w:val="none" w:sz="0" w:space="0" w:color="auto"/>
        <w:bottom w:val="none" w:sz="0" w:space="0" w:color="auto"/>
        <w:right w:val="none" w:sz="0" w:space="0" w:color="auto"/>
      </w:divBdr>
    </w:div>
    <w:div w:id="1352410250">
      <w:bodyDiv w:val="1"/>
      <w:marLeft w:val="0"/>
      <w:marRight w:val="0"/>
      <w:marTop w:val="0"/>
      <w:marBottom w:val="0"/>
      <w:divBdr>
        <w:top w:val="none" w:sz="0" w:space="0" w:color="auto"/>
        <w:left w:val="none" w:sz="0" w:space="0" w:color="auto"/>
        <w:bottom w:val="none" w:sz="0" w:space="0" w:color="auto"/>
        <w:right w:val="none" w:sz="0" w:space="0" w:color="auto"/>
      </w:divBdr>
    </w:div>
    <w:div w:id="1364094641">
      <w:bodyDiv w:val="1"/>
      <w:marLeft w:val="0"/>
      <w:marRight w:val="0"/>
      <w:marTop w:val="0"/>
      <w:marBottom w:val="0"/>
      <w:divBdr>
        <w:top w:val="none" w:sz="0" w:space="0" w:color="auto"/>
        <w:left w:val="none" w:sz="0" w:space="0" w:color="auto"/>
        <w:bottom w:val="none" w:sz="0" w:space="0" w:color="auto"/>
        <w:right w:val="none" w:sz="0" w:space="0" w:color="auto"/>
      </w:divBdr>
    </w:div>
    <w:div w:id="1377509090">
      <w:bodyDiv w:val="1"/>
      <w:marLeft w:val="0"/>
      <w:marRight w:val="0"/>
      <w:marTop w:val="0"/>
      <w:marBottom w:val="0"/>
      <w:divBdr>
        <w:top w:val="none" w:sz="0" w:space="0" w:color="auto"/>
        <w:left w:val="none" w:sz="0" w:space="0" w:color="auto"/>
        <w:bottom w:val="none" w:sz="0" w:space="0" w:color="auto"/>
        <w:right w:val="none" w:sz="0" w:space="0" w:color="auto"/>
      </w:divBdr>
    </w:div>
    <w:div w:id="1379820876">
      <w:bodyDiv w:val="1"/>
      <w:marLeft w:val="0"/>
      <w:marRight w:val="0"/>
      <w:marTop w:val="0"/>
      <w:marBottom w:val="0"/>
      <w:divBdr>
        <w:top w:val="none" w:sz="0" w:space="0" w:color="auto"/>
        <w:left w:val="none" w:sz="0" w:space="0" w:color="auto"/>
        <w:bottom w:val="none" w:sz="0" w:space="0" w:color="auto"/>
        <w:right w:val="none" w:sz="0" w:space="0" w:color="auto"/>
      </w:divBdr>
    </w:div>
    <w:div w:id="1383407156">
      <w:bodyDiv w:val="1"/>
      <w:marLeft w:val="0"/>
      <w:marRight w:val="0"/>
      <w:marTop w:val="0"/>
      <w:marBottom w:val="0"/>
      <w:divBdr>
        <w:top w:val="none" w:sz="0" w:space="0" w:color="auto"/>
        <w:left w:val="none" w:sz="0" w:space="0" w:color="auto"/>
        <w:bottom w:val="none" w:sz="0" w:space="0" w:color="auto"/>
        <w:right w:val="none" w:sz="0" w:space="0" w:color="auto"/>
      </w:divBdr>
    </w:div>
    <w:div w:id="1383627711">
      <w:bodyDiv w:val="1"/>
      <w:marLeft w:val="0"/>
      <w:marRight w:val="0"/>
      <w:marTop w:val="0"/>
      <w:marBottom w:val="0"/>
      <w:divBdr>
        <w:top w:val="none" w:sz="0" w:space="0" w:color="auto"/>
        <w:left w:val="none" w:sz="0" w:space="0" w:color="auto"/>
        <w:bottom w:val="none" w:sz="0" w:space="0" w:color="auto"/>
        <w:right w:val="none" w:sz="0" w:space="0" w:color="auto"/>
      </w:divBdr>
    </w:div>
    <w:div w:id="1387141589">
      <w:bodyDiv w:val="1"/>
      <w:marLeft w:val="0"/>
      <w:marRight w:val="0"/>
      <w:marTop w:val="0"/>
      <w:marBottom w:val="0"/>
      <w:divBdr>
        <w:top w:val="none" w:sz="0" w:space="0" w:color="auto"/>
        <w:left w:val="none" w:sz="0" w:space="0" w:color="auto"/>
        <w:bottom w:val="none" w:sz="0" w:space="0" w:color="auto"/>
        <w:right w:val="none" w:sz="0" w:space="0" w:color="auto"/>
      </w:divBdr>
    </w:div>
    <w:div w:id="1392926712">
      <w:bodyDiv w:val="1"/>
      <w:marLeft w:val="0"/>
      <w:marRight w:val="0"/>
      <w:marTop w:val="0"/>
      <w:marBottom w:val="0"/>
      <w:divBdr>
        <w:top w:val="none" w:sz="0" w:space="0" w:color="auto"/>
        <w:left w:val="none" w:sz="0" w:space="0" w:color="auto"/>
        <w:bottom w:val="none" w:sz="0" w:space="0" w:color="auto"/>
        <w:right w:val="none" w:sz="0" w:space="0" w:color="auto"/>
      </w:divBdr>
    </w:div>
    <w:div w:id="1399399059">
      <w:bodyDiv w:val="1"/>
      <w:marLeft w:val="0"/>
      <w:marRight w:val="0"/>
      <w:marTop w:val="0"/>
      <w:marBottom w:val="0"/>
      <w:divBdr>
        <w:top w:val="none" w:sz="0" w:space="0" w:color="auto"/>
        <w:left w:val="none" w:sz="0" w:space="0" w:color="auto"/>
        <w:bottom w:val="none" w:sz="0" w:space="0" w:color="auto"/>
        <w:right w:val="none" w:sz="0" w:space="0" w:color="auto"/>
      </w:divBdr>
    </w:div>
    <w:div w:id="1399472628">
      <w:bodyDiv w:val="1"/>
      <w:marLeft w:val="0"/>
      <w:marRight w:val="0"/>
      <w:marTop w:val="0"/>
      <w:marBottom w:val="0"/>
      <w:divBdr>
        <w:top w:val="none" w:sz="0" w:space="0" w:color="auto"/>
        <w:left w:val="none" w:sz="0" w:space="0" w:color="auto"/>
        <w:bottom w:val="none" w:sz="0" w:space="0" w:color="auto"/>
        <w:right w:val="none" w:sz="0" w:space="0" w:color="auto"/>
      </w:divBdr>
    </w:div>
    <w:div w:id="1400056154">
      <w:bodyDiv w:val="1"/>
      <w:marLeft w:val="0"/>
      <w:marRight w:val="0"/>
      <w:marTop w:val="0"/>
      <w:marBottom w:val="0"/>
      <w:divBdr>
        <w:top w:val="none" w:sz="0" w:space="0" w:color="auto"/>
        <w:left w:val="none" w:sz="0" w:space="0" w:color="auto"/>
        <w:bottom w:val="none" w:sz="0" w:space="0" w:color="auto"/>
        <w:right w:val="none" w:sz="0" w:space="0" w:color="auto"/>
      </w:divBdr>
    </w:div>
    <w:div w:id="1405445141">
      <w:bodyDiv w:val="1"/>
      <w:marLeft w:val="0"/>
      <w:marRight w:val="0"/>
      <w:marTop w:val="0"/>
      <w:marBottom w:val="0"/>
      <w:divBdr>
        <w:top w:val="none" w:sz="0" w:space="0" w:color="auto"/>
        <w:left w:val="none" w:sz="0" w:space="0" w:color="auto"/>
        <w:bottom w:val="none" w:sz="0" w:space="0" w:color="auto"/>
        <w:right w:val="none" w:sz="0" w:space="0" w:color="auto"/>
      </w:divBdr>
    </w:div>
    <w:div w:id="1406688515">
      <w:bodyDiv w:val="1"/>
      <w:marLeft w:val="0"/>
      <w:marRight w:val="0"/>
      <w:marTop w:val="0"/>
      <w:marBottom w:val="0"/>
      <w:divBdr>
        <w:top w:val="none" w:sz="0" w:space="0" w:color="auto"/>
        <w:left w:val="none" w:sz="0" w:space="0" w:color="auto"/>
        <w:bottom w:val="none" w:sz="0" w:space="0" w:color="auto"/>
        <w:right w:val="none" w:sz="0" w:space="0" w:color="auto"/>
      </w:divBdr>
    </w:div>
    <w:div w:id="1410611363">
      <w:bodyDiv w:val="1"/>
      <w:marLeft w:val="0"/>
      <w:marRight w:val="0"/>
      <w:marTop w:val="0"/>
      <w:marBottom w:val="0"/>
      <w:divBdr>
        <w:top w:val="none" w:sz="0" w:space="0" w:color="auto"/>
        <w:left w:val="none" w:sz="0" w:space="0" w:color="auto"/>
        <w:bottom w:val="none" w:sz="0" w:space="0" w:color="auto"/>
        <w:right w:val="none" w:sz="0" w:space="0" w:color="auto"/>
      </w:divBdr>
    </w:div>
    <w:div w:id="1422608370">
      <w:bodyDiv w:val="1"/>
      <w:marLeft w:val="0"/>
      <w:marRight w:val="0"/>
      <w:marTop w:val="0"/>
      <w:marBottom w:val="0"/>
      <w:divBdr>
        <w:top w:val="none" w:sz="0" w:space="0" w:color="auto"/>
        <w:left w:val="none" w:sz="0" w:space="0" w:color="auto"/>
        <w:bottom w:val="none" w:sz="0" w:space="0" w:color="auto"/>
        <w:right w:val="none" w:sz="0" w:space="0" w:color="auto"/>
      </w:divBdr>
    </w:div>
    <w:div w:id="1429230153">
      <w:bodyDiv w:val="1"/>
      <w:marLeft w:val="0"/>
      <w:marRight w:val="0"/>
      <w:marTop w:val="0"/>
      <w:marBottom w:val="0"/>
      <w:divBdr>
        <w:top w:val="none" w:sz="0" w:space="0" w:color="auto"/>
        <w:left w:val="none" w:sz="0" w:space="0" w:color="auto"/>
        <w:bottom w:val="none" w:sz="0" w:space="0" w:color="auto"/>
        <w:right w:val="none" w:sz="0" w:space="0" w:color="auto"/>
      </w:divBdr>
    </w:div>
    <w:div w:id="1439981844">
      <w:bodyDiv w:val="1"/>
      <w:marLeft w:val="0"/>
      <w:marRight w:val="0"/>
      <w:marTop w:val="0"/>
      <w:marBottom w:val="0"/>
      <w:divBdr>
        <w:top w:val="none" w:sz="0" w:space="0" w:color="auto"/>
        <w:left w:val="none" w:sz="0" w:space="0" w:color="auto"/>
        <w:bottom w:val="none" w:sz="0" w:space="0" w:color="auto"/>
        <w:right w:val="none" w:sz="0" w:space="0" w:color="auto"/>
      </w:divBdr>
    </w:div>
    <w:div w:id="1442073645">
      <w:bodyDiv w:val="1"/>
      <w:marLeft w:val="0"/>
      <w:marRight w:val="0"/>
      <w:marTop w:val="0"/>
      <w:marBottom w:val="0"/>
      <w:divBdr>
        <w:top w:val="none" w:sz="0" w:space="0" w:color="auto"/>
        <w:left w:val="none" w:sz="0" w:space="0" w:color="auto"/>
        <w:bottom w:val="none" w:sz="0" w:space="0" w:color="auto"/>
        <w:right w:val="none" w:sz="0" w:space="0" w:color="auto"/>
      </w:divBdr>
    </w:div>
    <w:div w:id="1451902795">
      <w:bodyDiv w:val="1"/>
      <w:marLeft w:val="0"/>
      <w:marRight w:val="0"/>
      <w:marTop w:val="0"/>
      <w:marBottom w:val="0"/>
      <w:divBdr>
        <w:top w:val="none" w:sz="0" w:space="0" w:color="auto"/>
        <w:left w:val="none" w:sz="0" w:space="0" w:color="auto"/>
        <w:bottom w:val="none" w:sz="0" w:space="0" w:color="auto"/>
        <w:right w:val="none" w:sz="0" w:space="0" w:color="auto"/>
      </w:divBdr>
      <w:divsChild>
        <w:div w:id="1120103090">
          <w:marLeft w:val="0"/>
          <w:marRight w:val="0"/>
          <w:marTop w:val="0"/>
          <w:marBottom w:val="0"/>
          <w:divBdr>
            <w:top w:val="none" w:sz="0" w:space="0" w:color="auto"/>
            <w:left w:val="none" w:sz="0" w:space="0" w:color="auto"/>
            <w:bottom w:val="none" w:sz="0" w:space="0" w:color="auto"/>
            <w:right w:val="none" w:sz="0" w:space="0" w:color="auto"/>
          </w:divBdr>
        </w:div>
      </w:divsChild>
    </w:div>
    <w:div w:id="1456292363">
      <w:bodyDiv w:val="1"/>
      <w:marLeft w:val="0"/>
      <w:marRight w:val="0"/>
      <w:marTop w:val="0"/>
      <w:marBottom w:val="0"/>
      <w:divBdr>
        <w:top w:val="none" w:sz="0" w:space="0" w:color="auto"/>
        <w:left w:val="none" w:sz="0" w:space="0" w:color="auto"/>
        <w:bottom w:val="none" w:sz="0" w:space="0" w:color="auto"/>
        <w:right w:val="none" w:sz="0" w:space="0" w:color="auto"/>
      </w:divBdr>
    </w:div>
    <w:div w:id="1457792891">
      <w:bodyDiv w:val="1"/>
      <w:marLeft w:val="0"/>
      <w:marRight w:val="0"/>
      <w:marTop w:val="0"/>
      <w:marBottom w:val="0"/>
      <w:divBdr>
        <w:top w:val="none" w:sz="0" w:space="0" w:color="auto"/>
        <w:left w:val="none" w:sz="0" w:space="0" w:color="auto"/>
        <w:bottom w:val="none" w:sz="0" w:space="0" w:color="auto"/>
        <w:right w:val="none" w:sz="0" w:space="0" w:color="auto"/>
      </w:divBdr>
    </w:div>
    <w:div w:id="1460803689">
      <w:bodyDiv w:val="1"/>
      <w:marLeft w:val="0"/>
      <w:marRight w:val="0"/>
      <w:marTop w:val="0"/>
      <w:marBottom w:val="0"/>
      <w:divBdr>
        <w:top w:val="none" w:sz="0" w:space="0" w:color="auto"/>
        <w:left w:val="none" w:sz="0" w:space="0" w:color="auto"/>
        <w:bottom w:val="none" w:sz="0" w:space="0" w:color="auto"/>
        <w:right w:val="none" w:sz="0" w:space="0" w:color="auto"/>
      </w:divBdr>
    </w:div>
    <w:div w:id="1468551732">
      <w:bodyDiv w:val="1"/>
      <w:marLeft w:val="0"/>
      <w:marRight w:val="0"/>
      <w:marTop w:val="0"/>
      <w:marBottom w:val="0"/>
      <w:divBdr>
        <w:top w:val="none" w:sz="0" w:space="0" w:color="auto"/>
        <w:left w:val="none" w:sz="0" w:space="0" w:color="auto"/>
        <w:bottom w:val="none" w:sz="0" w:space="0" w:color="auto"/>
        <w:right w:val="none" w:sz="0" w:space="0" w:color="auto"/>
      </w:divBdr>
    </w:div>
    <w:div w:id="1482036794">
      <w:bodyDiv w:val="1"/>
      <w:marLeft w:val="0"/>
      <w:marRight w:val="0"/>
      <w:marTop w:val="0"/>
      <w:marBottom w:val="0"/>
      <w:divBdr>
        <w:top w:val="none" w:sz="0" w:space="0" w:color="auto"/>
        <w:left w:val="none" w:sz="0" w:space="0" w:color="auto"/>
        <w:bottom w:val="none" w:sz="0" w:space="0" w:color="auto"/>
        <w:right w:val="none" w:sz="0" w:space="0" w:color="auto"/>
      </w:divBdr>
    </w:div>
    <w:div w:id="1482650830">
      <w:bodyDiv w:val="1"/>
      <w:marLeft w:val="0"/>
      <w:marRight w:val="0"/>
      <w:marTop w:val="0"/>
      <w:marBottom w:val="0"/>
      <w:divBdr>
        <w:top w:val="none" w:sz="0" w:space="0" w:color="auto"/>
        <w:left w:val="none" w:sz="0" w:space="0" w:color="auto"/>
        <w:bottom w:val="none" w:sz="0" w:space="0" w:color="auto"/>
        <w:right w:val="none" w:sz="0" w:space="0" w:color="auto"/>
      </w:divBdr>
    </w:div>
    <w:div w:id="1482775498">
      <w:bodyDiv w:val="1"/>
      <w:marLeft w:val="0"/>
      <w:marRight w:val="0"/>
      <w:marTop w:val="0"/>
      <w:marBottom w:val="0"/>
      <w:divBdr>
        <w:top w:val="none" w:sz="0" w:space="0" w:color="auto"/>
        <w:left w:val="none" w:sz="0" w:space="0" w:color="auto"/>
        <w:bottom w:val="none" w:sz="0" w:space="0" w:color="auto"/>
        <w:right w:val="none" w:sz="0" w:space="0" w:color="auto"/>
      </w:divBdr>
    </w:div>
    <w:div w:id="1485394991">
      <w:bodyDiv w:val="1"/>
      <w:marLeft w:val="0"/>
      <w:marRight w:val="0"/>
      <w:marTop w:val="0"/>
      <w:marBottom w:val="0"/>
      <w:divBdr>
        <w:top w:val="none" w:sz="0" w:space="0" w:color="auto"/>
        <w:left w:val="none" w:sz="0" w:space="0" w:color="auto"/>
        <w:bottom w:val="none" w:sz="0" w:space="0" w:color="auto"/>
        <w:right w:val="none" w:sz="0" w:space="0" w:color="auto"/>
      </w:divBdr>
    </w:div>
    <w:div w:id="1500657611">
      <w:bodyDiv w:val="1"/>
      <w:marLeft w:val="0"/>
      <w:marRight w:val="0"/>
      <w:marTop w:val="0"/>
      <w:marBottom w:val="0"/>
      <w:divBdr>
        <w:top w:val="none" w:sz="0" w:space="0" w:color="auto"/>
        <w:left w:val="none" w:sz="0" w:space="0" w:color="auto"/>
        <w:bottom w:val="none" w:sz="0" w:space="0" w:color="auto"/>
        <w:right w:val="none" w:sz="0" w:space="0" w:color="auto"/>
      </w:divBdr>
    </w:div>
    <w:div w:id="1504053711">
      <w:bodyDiv w:val="1"/>
      <w:marLeft w:val="0"/>
      <w:marRight w:val="0"/>
      <w:marTop w:val="0"/>
      <w:marBottom w:val="0"/>
      <w:divBdr>
        <w:top w:val="none" w:sz="0" w:space="0" w:color="auto"/>
        <w:left w:val="none" w:sz="0" w:space="0" w:color="auto"/>
        <w:bottom w:val="none" w:sz="0" w:space="0" w:color="auto"/>
        <w:right w:val="none" w:sz="0" w:space="0" w:color="auto"/>
      </w:divBdr>
    </w:div>
    <w:div w:id="1506476717">
      <w:bodyDiv w:val="1"/>
      <w:marLeft w:val="0"/>
      <w:marRight w:val="0"/>
      <w:marTop w:val="0"/>
      <w:marBottom w:val="0"/>
      <w:divBdr>
        <w:top w:val="none" w:sz="0" w:space="0" w:color="auto"/>
        <w:left w:val="none" w:sz="0" w:space="0" w:color="auto"/>
        <w:bottom w:val="none" w:sz="0" w:space="0" w:color="auto"/>
        <w:right w:val="none" w:sz="0" w:space="0" w:color="auto"/>
      </w:divBdr>
    </w:div>
    <w:div w:id="1508716089">
      <w:bodyDiv w:val="1"/>
      <w:marLeft w:val="0"/>
      <w:marRight w:val="0"/>
      <w:marTop w:val="0"/>
      <w:marBottom w:val="0"/>
      <w:divBdr>
        <w:top w:val="none" w:sz="0" w:space="0" w:color="auto"/>
        <w:left w:val="none" w:sz="0" w:space="0" w:color="auto"/>
        <w:bottom w:val="none" w:sz="0" w:space="0" w:color="auto"/>
        <w:right w:val="none" w:sz="0" w:space="0" w:color="auto"/>
      </w:divBdr>
    </w:div>
    <w:div w:id="1508902476">
      <w:bodyDiv w:val="1"/>
      <w:marLeft w:val="0"/>
      <w:marRight w:val="0"/>
      <w:marTop w:val="0"/>
      <w:marBottom w:val="0"/>
      <w:divBdr>
        <w:top w:val="none" w:sz="0" w:space="0" w:color="auto"/>
        <w:left w:val="none" w:sz="0" w:space="0" w:color="auto"/>
        <w:bottom w:val="none" w:sz="0" w:space="0" w:color="auto"/>
        <w:right w:val="none" w:sz="0" w:space="0" w:color="auto"/>
      </w:divBdr>
    </w:div>
    <w:div w:id="1518622244">
      <w:bodyDiv w:val="1"/>
      <w:marLeft w:val="0"/>
      <w:marRight w:val="0"/>
      <w:marTop w:val="0"/>
      <w:marBottom w:val="0"/>
      <w:divBdr>
        <w:top w:val="none" w:sz="0" w:space="0" w:color="auto"/>
        <w:left w:val="none" w:sz="0" w:space="0" w:color="auto"/>
        <w:bottom w:val="none" w:sz="0" w:space="0" w:color="auto"/>
        <w:right w:val="none" w:sz="0" w:space="0" w:color="auto"/>
      </w:divBdr>
    </w:div>
    <w:div w:id="1528249600">
      <w:bodyDiv w:val="1"/>
      <w:marLeft w:val="0"/>
      <w:marRight w:val="0"/>
      <w:marTop w:val="0"/>
      <w:marBottom w:val="0"/>
      <w:divBdr>
        <w:top w:val="none" w:sz="0" w:space="0" w:color="auto"/>
        <w:left w:val="none" w:sz="0" w:space="0" w:color="auto"/>
        <w:bottom w:val="none" w:sz="0" w:space="0" w:color="auto"/>
        <w:right w:val="none" w:sz="0" w:space="0" w:color="auto"/>
      </w:divBdr>
    </w:div>
    <w:div w:id="1536306312">
      <w:bodyDiv w:val="1"/>
      <w:marLeft w:val="0"/>
      <w:marRight w:val="0"/>
      <w:marTop w:val="0"/>
      <w:marBottom w:val="0"/>
      <w:divBdr>
        <w:top w:val="none" w:sz="0" w:space="0" w:color="auto"/>
        <w:left w:val="none" w:sz="0" w:space="0" w:color="auto"/>
        <w:bottom w:val="none" w:sz="0" w:space="0" w:color="auto"/>
        <w:right w:val="none" w:sz="0" w:space="0" w:color="auto"/>
      </w:divBdr>
    </w:div>
    <w:div w:id="1557155736">
      <w:bodyDiv w:val="1"/>
      <w:marLeft w:val="0"/>
      <w:marRight w:val="0"/>
      <w:marTop w:val="0"/>
      <w:marBottom w:val="0"/>
      <w:divBdr>
        <w:top w:val="none" w:sz="0" w:space="0" w:color="auto"/>
        <w:left w:val="none" w:sz="0" w:space="0" w:color="auto"/>
        <w:bottom w:val="none" w:sz="0" w:space="0" w:color="auto"/>
        <w:right w:val="none" w:sz="0" w:space="0" w:color="auto"/>
      </w:divBdr>
    </w:div>
    <w:div w:id="1561867042">
      <w:bodyDiv w:val="1"/>
      <w:marLeft w:val="0"/>
      <w:marRight w:val="0"/>
      <w:marTop w:val="0"/>
      <w:marBottom w:val="0"/>
      <w:divBdr>
        <w:top w:val="none" w:sz="0" w:space="0" w:color="auto"/>
        <w:left w:val="none" w:sz="0" w:space="0" w:color="auto"/>
        <w:bottom w:val="none" w:sz="0" w:space="0" w:color="auto"/>
        <w:right w:val="none" w:sz="0" w:space="0" w:color="auto"/>
      </w:divBdr>
    </w:div>
    <w:div w:id="1565600363">
      <w:bodyDiv w:val="1"/>
      <w:marLeft w:val="0"/>
      <w:marRight w:val="0"/>
      <w:marTop w:val="0"/>
      <w:marBottom w:val="0"/>
      <w:divBdr>
        <w:top w:val="none" w:sz="0" w:space="0" w:color="auto"/>
        <w:left w:val="none" w:sz="0" w:space="0" w:color="auto"/>
        <w:bottom w:val="none" w:sz="0" w:space="0" w:color="auto"/>
        <w:right w:val="none" w:sz="0" w:space="0" w:color="auto"/>
      </w:divBdr>
    </w:div>
    <w:div w:id="1571845061">
      <w:bodyDiv w:val="1"/>
      <w:marLeft w:val="0"/>
      <w:marRight w:val="0"/>
      <w:marTop w:val="0"/>
      <w:marBottom w:val="0"/>
      <w:divBdr>
        <w:top w:val="none" w:sz="0" w:space="0" w:color="auto"/>
        <w:left w:val="none" w:sz="0" w:space="0" w:color="auto"/>
        <w:bottom w:val="none" w:sz="0" w:space="0" w:color="auto"/>
        <w:right w:val="none" w:sz="0" w:space="0" w:color="auto"/>
      </w:divBdr>
    </w:div>
    <w:div w:id="1587962431">
      <w:bodyDiv w:val="1"/>
      <w:marLeft w:val="0"/>
      <w:marRight w:val="0"/>
      <w:marTop w:val="0"/>
      <w:marBottom w:val="0"/>
      <w:divBdr>
        <w:top w:val="none" w:sz="0" w:space="0" w:color="auto"/>
        <w:left w:val="none" w:sz="0" w:space="0" w:color="auto"/>
        <w:bottom w:val="none" w:sz="0" w:space="0" w:color="auto"/>
        <w:right w:val="none" w:sz="0" w:space="0" w:color="auto"/>
      </w:divBdr>
    </w:div>
    <w:div w:id="1588265509">
      <w:bodyDiv w:val="1"/>
      <w:marLeft w:val="0"/>
      <w:marRight w:val="0"/>
      <w:marTop w:val="0"/>
      <w:marBottom w:val="0"/>
      <w:divBdr>
        <w:top w:val="none" w:sz="0" w:space="0" w:color="auto"/>
        <w:left w:val="none" w:sz="0" w:space="0" w:color="auto"/>
        <w:bottom w:val="none" w:sz="0" w:space="0" w:color="auto"/>
        <w:right w:val="none" w:sz="0" w:space="0" w:color="auto"/>
      </w:divBdr>
    </w:div>
    <w:div w:id="1590038169">
      <w:bodyDiv w:val="1"/>
      <w:marLeft w:val="0"/>
      <w:marRight w:val="0"/>
      <w:marTop w:val="0"/>
      <w:marBottom w:val="0"/>
      <w:divBdr>
        <w:top w:val="none" w:sz="0" w:space="0" w:color="auto"/>
        <w:left w:val="none" w:sz="0" w:space="0" w:color="auto"/>
        <w:bottom w:val="none" w:sz="0" w:space="0" w:color="auto"/>
        <w:right w:val="none" w:sz="0" w:space="0" w:color="auto"/>
      </w:divBdr>
    </w:div>
    <w:div w:id="1598562830">
      <w:bodyDiv w:val="1"/>
      <w:marLeft w:val="0"/>
      <w:marRight w:val="0"/>
      <w:marTop w:val="0"/>
      <w:marBottom w:val="0"/>
      <w:divBdr>
        <w:top w:val="none" w:sz="0" w:space="0" w:color="auto"/>
        <w:left w:val="none" w:sz="0" w:space="0" w:color="auto"/>
        <w:bottom w:val="none" w:sz="0" w:space="0" w:color="auto"/>
        <w:right w:val="none" w:sz="0" w:space="0" w:color="auto"/>
      </w:divBdr>
    </w:div>
    <w:div w:id="1614828450">
      <w:bodyDiv w:val="1"/>
      <w:marLeft w:val="0"/>
      <w:marRight w:val="0"/>
      <w:marTop w:val="0"/>
      <w:marBottom w:val="0"/>
      <w:divBdr>
        <w:top w:val="none" w:sz="0" w:space="0" w:color="auto"/>
        <w:left w:val="none" w:sz="0" w:space="0" w:color="auto"/>
        <w:bottom w:val="none" w:sz="0" w:space="0" w:color="auto"/>
        <w:right w:val="none" w:sz="0" w:space="0" w:color="auto"/>
      </w:divBdr>
    </w:div>
    <w:div w:id="1615558414">
      <w:bodyDiv w:val="1"/>
      <w:marLeft w:val="0"/>
      <w:marRight w:val="0"/>
      <w:marTop w:val="0"/>
      <w:marBottom w:val="0"/>
      <w:divBdr>
        <w:top w:val="none" w:sz="0" w:space="0" w:color="auto"/>
        <w:left w:val="none" w:sz="0" w:space="0" w:color="auto"/>
        <w:bottom w:val="none" w:sz="0" w:space="0" w:color="auto"/>
        <w:right w:val="none" w:sz="0" w:space="0" w:color="auto"/>
      </w:divBdr>
    </w:div>
    <w:div w:id="1619486129">
      <w:bodyDiv w:val="1"/>
      <w:marLeft w:val="0"/>
      <w:marRight w:val="0"/>
      <w:marTop w:val="0"/>
      <w:marBottom w:val="0"/>
      <w:divBdr>
        <w:top w:val="none" w:sz="0" w:space="0" w:color="auto"/>
        <w:left w:val="none" w:sz="0" w:space="0" w:color="auto"/>
        <w:bottom w:val="none" w:sz="0" w:space="0" w:color="auto"/>
        <w:right w:val="none" w:sz="0" w:space="0" w:color="auto"/>
      </w:divBdr>
    </w:div>
    <w:div w:id="1622149566">
      <w:bodyDiv w:val="1"/>
      <w:marLeft w:val="0"/>
      <w:marRight w:val="0"/>
      <w:marTop w:val="0"/>
      <w:marBottom w:val="0"/>
      <w:divBdr>
        <w:top w:val="none" w:sz="0" w:space="0" w:color="auto"/>
        <w:left w:val="none" w:sz="0" w:space="0" w:color="auto"/>
        <w:bottom w:val="none" w:sz="0" w:space="0" w:color="auto"/>
        <w:right w:val="none" w:sz="0" w:space="0" w:color="auto"/>
      </w:divBdr>
    </w:div>
    <w:div w:id="1622490555">
      <w:bodyDiv w:val="1"/>
      <w:marLeft w:val="0"/>
      <w:marRight w:val="0"/>
      <w:marTop w:val="0"/>
      <w:marBottom w:val="0"/>
      <w:divBdr>
        <w:top w:val="none" w:sz="0" w:space="0" w:color="auto"/>
        <w:left w:val="none" w:sz="0" w:space="0" w:color="auto"/>
        <w:bottom w:val="none" w:sz="0" w:space="0" w:color="auto"/>
        <w:right w:val="none" w:sz="0" w:space="0" w:color="auto"/>
      </w:divBdr>
    </w:div>
    <w:div w:id="1626496394">
      <w:bodyDiv w:val="1"/>
      <w:marLeft w:val="0"/>
      <w:marRight w:val="0"/>
      <w:marTop w:val="0"/>
      <w:marBottom w:val="0"/>
      <w:divBdr>
        <w:top w:val="none" w:sz="0" w:space="0" w:color="auto"/>
        <w:left w:val="none" w:sz="0" w:space="0" w:color="auto"/>
        <w:bottom w:val="none" w:sz="0" w:space="0" w:color="auto"/>
        <w:right w:val="none" w:sz="0" w:space="0" w:color="auto"/>
      </w:divBdr>
    </w:div>
    <w:div w:id="1637174734">
      <w:bodyDiv w:val="1"/>
      <w:marLeft w:val="0"/>
      <w:marRight w:val="0"/>
      <w:marTop w:val="0"/>
      <w:marBottom w:val="0"/>
      <w:divBdr>
        <w:top w:val="none" w:sz="0" w:space="0" w:color="auto"/>
        <w:left w:val="none" w:sz="0" w:space="0" w:color="auto"/>
        <w:bottom w:val="none" w:sz="0" w:space="0" w:color="auto"/>
        <w:right w:val="none" w:sz="0" w:space="0" w:color="auto"/>
      </w:divBdr>
    </w:div>
    <w:div w:id="1640529250">
      <w:bodyDiv w:val="1"/>
      <w:marLeft w:val="0"/>
      <w:marRight w:val="0"/>
      <w:marTop w:val="0"/>
      <w:marBottom w:val="0"/>
      <w:divBdr>
        <w:top w:val="none" w:sz="0" w:space="0" w:color="auto"/>
        <w:left w:val="none" w:sz="0" w:space="0" w:color="auto"/>
        <w:bottom w:val="none" w:sz="0" w:space="0" w:color="auto"/>
        <w:right w:val="none" w:sz="0" w:space="0" w:color="auto"/>
      </w:divBdr>
    </w:div>
    <w:div w:id="1643805843">
      <w:bodyDiv w:val="1"/>
      <w:marLeft w:val="0"/>
      <w:marRight w:val="0"/>
      <w:marTop w:val="0"/>
      <w:marBottom w:val="0"/>
      <w:divBdr>
        <w:top w:val="none" w:sz="0" w:space="0" w:color="auto"/>
        <w:left w:val="none" w:sz="0" w:space="0" w:color="auto"/>
        <w:bottom w:val="none" w:sz="0" w:space="0" w:color="auto"/>
        <w:right w:val="none" w:sz="0" w:space="0" w:color="auto"/>
      </w:divBdr>
    </w:div>
    <w:div w:id="1657614009">
      <w:bodyDiv w:val="1"/>
      <w:marLeft w:val="0"/>
      <w:marRight w:val="0"/>
      <w:marTop w:val="0"/>
      <w:marBottom w:val="0"/>
      <w:divBdr>
        <w:top w:val="none" w:sz="0" w:space="0" w:color="auto"/>
        <w:left w:val="none" w:sz="0" w:space="0" w:color="auto"/>
        <w:bottom w:val="none" w:sz="0" w:space="0" w:color="auto"/>
        <w:right w:val="none" w:sz="0" w:space="0" w:color="auto"/>
      </w:divBdr>
    </w:div>
    <w:div w:id="1657875927">
      <w:bodyDiv w:val="1"/>
      <w:marLeft w:val="0"/>
      <w:marRight w:val="0"/>
      <w:marTop w:val="0"/>
      <w:marBottom w:val="0"/>
      <w:divBdr>
        <w:top w:val="none" w:sz="0" w:space="0" w:color="auto"/>
        <w:left w:val="none" w:sz="0" w:space="0" w:color="auto"/>
        <w:bottom w:val="none" w:sz="0" w:space="0" w:color="auto"/>
        <w:right w:val="none" w:sz="0" w:space="0" w:color="auto"/>
      </w:divBdr>
    </w:div>
    <w:div w:id="1659727447">
      <w:bodyDiv w:val="1"/>
      <w:marLeft w:val="0"/>
      <w:marRight w:val="0"/>
      <w:marTop w:val="0"/>
      <w:marBottom w:val="0"/>
      <w:divBdr>
        <w:top w:val="none" w:sz="0" w:space="0" w:color="auto"/>
        <w:left w:val="none" w:sz="0" w:space="0" w:color="auto"/>
        <w:bottom w:val="none" w:sz="0" w:space="0" w:color="auto"/>
        <w:right w:val="none" w:sz="0" w:space="0" w:color="auto"/>
      </w:divBdr>
    </w:div>
    <w:div w:id="1667398069">
      <w:bodyDiv w:val="1"/>
      <w:marLeft w:val="0"/>
      <w:marRight w:val="0"/>
      <w:marTop w:val="0"/>
      <w:marBottom w:val="0"/>
      <w:divBdr>
        <w:top w:val="none" w:sz="0" w:space="0" w:color="auto"/>
        <w:left w:val="none" w:sz="0" w:space="0" w:color="auto"/>
        <w:bottom w:val="none" w:sz="0" w:space="0" w:color="auto"/>
        <w:right w:val="none" w:sz="0" w:space="0" w:color="auto"/>
      </w:divBdr>
    </w:div>
    <w:div w:id="1676569693">
      <w:bodyDiv w:val="1"/>
      <w:marLeft w:val="0"/>
      <w:marRight w:val="0"/>
      <w:marTop w:val="0"/>
      <w:marBottom w:val="0"/>
      <w:divBdr>
        <w:top w:val="none" w:sz="0" w:space="0" w:color="auto"/>
        <w:left w:val="none" w:sz="0" w:space="0" w:color="auto"/>
        <w:bottom w:val="none" w:sz="0" w:space="0" w:color="auto"/>
        <w:right w:val="none" w:sz="0" w:space="0" w:color="auto"/>
      </w:divBdr>
    </w:div>
    <w:div w:id="1679120020">
      <w:bodyDiv w:val="1"/>
      <w:marLeft w:val="0"/>
      <w:marRight w:val="0"/>
      <w:marTop w:val="0"/>
      <w:marBottom w:val="0"/>
      <w:divBdr>
        <w:top w:val="none" w:sz="0" w:space="0" w:color="auto"/>
        <w:left w:val="none" w:sz="0" w:space="0" w:color="auto"/>
        <w:bottom w:val="none" w:sz="0" w:space="0" w:color="auto"/>
        <w:right w:val="none" w:sz="0" w:space="0" w:color="auto"/>
      </w:divBdr>
    </w:div>
    <w:div w:id="1685084439">
      <w:bodyDiv w:val="1"/>
      <w:marLeft w:val="0"/>
      <w:marRight w:val="0"/>
      <w:marTop w:val="0"/>
      <w:marBottom w:val="0"/>
      <w:divBdr>
        <w:top w:val="none" w:sz="0" w:space="0" w:color="auto"/>
        <w:left w:val="none" w:sz="0" w:space="0" w:color="auto"/>
        <w:bottom w:val="none" w:sz="0" w:space="0" w:color="auto"/>
        <w:right w:val="none" w:sz="0" w:space="0" w:color="auto"/>
      </w:divBdr>
    </w:div>
    <w:div w:id="1687638946">
      <w:bodyDiv w:val="1"/>
      <w:marLeft w:val="0"/>
      <w:marRight w:val="0"/>
      <w:marTop w:val="0"/>
      <w:marBottom w:val="0"/>
      <w:divBdr>
        <w:top w:val="none" w:sz="0" w:space="0" w:color="auto"/>
        <w:left w:val="none" w:sz="0" w:space="0" w:color="auto"/>
        <w:bottom w:val="none" w:sz="0" w:space="0" w:color="auto"/>
        <w:right w:val="none" w:sz="0" w:space="0" w:color="auto"/>
      </w:divBdr>
    </w:div>
    <w:div w:id="1690132722">
      <w:bodyDiv w:val="1"/>
      <w:marLeft w:val="0"/>
      <w:marRight w:val="0"/>
      <w:marTop w:val="0"/>
      <w:marBottom w:val="0"/>
      <w:divBdr>
        <w:top w:val="none" w:sz="0" w:space="0" w:color="auto"/>
        <w:left w:val="none" w:sz="0" w:space="0" w:color="auto"/>
        <w:bottom w:val="none" w:sz="0" w:space="0" w:color="auto"/>
        <w:right w:val="none" w:sz="0" w:space="0" w:color="auto"/>
      </w:divBdr>
    </w:div>
    <w:div w:id="1697778826">
      <w:bodyDiv w:val="1"/>
      <w:marLeft w:val="0"/>
      <w:marRight w:val="0"/>
      <w:marTop w:val="0"/>
      <w:marBottom w:val="0"/>
      <w:divBdr>
        <w:top w:val="none" w:sz="0" w:space="0" w:color="auto"/>
        <w:left w:val="none" w:sz="0" w:space="0" w:color="auto"/>
        <w:bottom w:val="none" w:sz="0" w:space="0" w:color="auto"/>
        <w:right w:val="none" w:sz="0" w:space="0" w:color="auto"/>
      </w:divBdr>
    </w:div>
    <w:div w:id="1701665312">
      <w:bodyDiv w:val="1"/>
      <w:marLeft w:val="0"/>
      <w:marRight w:val="0"/>
      <w:marTop w:val="0"/>
      <w:marBottom w:val="0"/>
      <w:divBdr>
        <w:top w:val="none" w:sz="0" w:space="0" w:color="auto"/>
        <w:left w:val="none" w:sz="0" w:space="0" w:color="auto"/>
        <w:bottom w:val="none" w:sz="0" w:space="0" w:color="auto"/>
        <w:right w:val="none" w:sz="0" w:space="0" w:color="auto"/>
      </w:divBdr>
    </w:div>
    <w:div w:id="1702125348">
      <w:bodyDiv w:val="1"/>
      <w:marLeft w:val="0"/>
      <w:marRight w:val="0"/>
      <w:marTop w:val="0"/>
      <w:marBottom w:val="0"/>
      <w:divBdr>
        <w:top w:val="none" w:sz="0" w:space="0" w:color="auto"/>
        <w:left w:val="none" w:sz="0" w:space="0" w:color="auto"/>
        <w:bottom w:val="none" w:sz="0" w:space="0" w:color="auto"/>
        <w:right w:val="none" w:sz="0" w:space="0" w:color="auto"/>
      </w:divBdr>
    </w:div>
    <w:div w:id="1703096243">
      <w:bodyDiv w:val="1"/>
      <w:marLeft w:val="0"/>
      <w:marRight w:val="0"/>
      <w:marTop w:val="0"/>
      <w:marBottom w:val="0"/>
      <w:divBdr>
        <w:top w:val="none" w:sz="0" w:space="0" w:color="auto"/>
        <w:left w:val="none" w:sz="0" w:space="0" w:color="auto"/>
        <w:bottom w:val="none" w:sz="0" w:space="0" w:color="auto"/>
        <w:right w:val="none" w:sz="0" w:space="0" w:color="auto"/>
      </w:divBdr>
    </w:div>
    <w:div w:id="1725248321">
      <w:bodyDiv w:val="1"/>
      <w:marLeft w:val="0"/>
      <w:marRight w:val="0"/>
      <w:marTop w:val="0"/>
      <w:marBottom w:val="0"/>
      <w:divBdr>
        <w:top w:val="none" w:sz="0" w:space="0" w:color="auto"/>
        <w:left w:val="none" w:sz="0" w:space="0" w:color="auto"/>
        <w:bottom w:val="none" w:sz="0" w:space="0" w:color="auto"/>
        <w:right w:val="none" w:sz="0" w:space="0" w:color="auto"/>
      </w:divBdr>
    </w:div>
    <w:div w:id="1725249057">
      <w:bodyDiv w:val="1"/>
      <w:marLeft w:val="0"/>
      <w:marRight w:val="0"/>
      <w:marTop w:val="0"/>
      <w:marBottom w:val="0"/>
      <w:divBdr>
        <w:top w:val="none" w:sz="0" w:space="0" w:color="auto"/>
        <w:left w:val="none" w:sz="0" w:space="0" w:color="auto"/>
        <w:bottom w:val="none" w:sz="0" w:space="0" w:color="auto"/>
        <w:right w:val="none" w:sz="0" w:space="0" w:color="auto"/>
      </w:divBdr>
    </w:div>
    <w:div w:id="1736975569">
      <w:bodyDiv w:val="1"/>
      <w:marLeft w:val="0"/>
      <w:marRight w:val="0"/>
      <w:marTop w:val="0"/>
      <w:marBottom w:val="0"/>
      <w:divBdr>
        <w:top w:val="none" w:sz="0" w:space="0" w:color="auto"/>
        <w:left w:val="none" w:sz="0" w:space="0" w:color="auto"/>
        <w:bottom w:val="none" w:sz="0" w:space="0" w:color="auto"/>
        <w:right w:val="none" w:sz="0" w:space="0" w:color="auto"/>
      </w:divBdr>
    </w:div>
    <w:div w:id="1751465436">
      <w:bodyDiv w:val="1"/>
      <w:marLeft w:val="0"/>
      <w:marRight w:val="0"/>
      <w:marTop w:val="0"/>
      <w:marBottom w:val="0"/>
      <w:divBdr>
        <w:top w:val="none" w:sz="0" w:space="0" w:color="auto"/>
        <w:left w:val="none" w:sz="0" w:space="0" w:color="auto"/>
        <w:bottom w:val="none" w:sz="0" w:space="0" w:color="auto"/>
        <w:right w:val="none" w:sz="0" w:space="0" w:color="auto"/>
      </w:divBdr>
    </w:div>
    <w:div w:id="1752003128">
      <w:bodyDiv w:val="1"/>
      <w:marLeft w:val="0"/>
      <w:marRight w:val="0"/>
      <w:marTop w:val="0"/>
      <w:marBottom w:val="0"/>
      <w:divBdr>
        <w:top w:val="none" w:sz="0" w:space="0" w:color="auto"/>
        <w:left w:val="none" w:sz="0" w:space="0" w:color="auto"/>
        <w:bottom w:val="none" w:sz="0" w:space="0" w:color="auto"/>
        <w:right w:val="none" w:sz="0" w:space="0" w:color="auto"/>
      </w:divBdr>
    </w:div>
    <w:div w:id="1753576870">
      <w:bodyDiv w:val="1"/>
      <w:marLeft w:val="0"/>
      <w:marRight w:val="0"/>
      <w:marTop w:val="0"/>
      <w:marBottom w:val="0"/>
      <w:divBdr>
        <w:top w:val="none" w:sz="0" w:space="0" w:color="auto"/>
        <w:left w:val="none" w:sz="0" w:space="0" w:color="auto"/>
        <w:bottom w:val="none" w:sz="0" w:space="0" w:color="auto"/>
        <w:right w:val="none" w:sz="0" w:space="0" w:color="auto"/>
      </w:divBdr>
    </w:div>
    <w:div w:id="1755324458">
      <w:bodyDiv w:val="1"/>
      <w:marLeft w:val="0"/>
      <w:marRight w:val="0"/>
      <w:marTop w:val="0"/>
      <w:marBottom w:val="0"/>
      <w:divBdr>
        <w:top w:val="none" w:sz="0" w:space="0" w:color="auto"/>
        <w:left w:val="none" w:sz="0" w:space="0" w:color="auto"/>
        <w:bottom w:val="none" w:sz="0" w:space="0" w:color="auto"/>
        <w:right w:val="none" w:sz="0" w:space="0" w:color="auto"/>
      </w:divBdr>
    </w:div>
    <w:div w:id="1765959377">
      <w:bodyDiv w:val="1"/>
      <w:marLeft w:val="0"/>
      <w:marRight w:val="0"/>
      <w:marTop w:val="0"/>
      <w:marBottom w:val="0"/>
      <w:divBdr>
        <w:top w:val="none" w:sz="0" w:space="0" w:color="auto"/>
        <w:left w:val="none" w:sz="0" w:space="0" w:color="auto"/>
        <w:bottom w:val="none" w:sz="0" w:space="0" w:color="auto"/>
        <w:right w:val="none" w:sz="0" w:space="0" w:color="auto"/>
      </w:divBdr>
    </w:div>
    <w:div w:id="1774590200">
      <w:bodyDiv w:val="1"/>
      <w:marLeft w:val="0"/>
      <w:marRight w:val="0"/>
      <w:marTop w:val="0"/>
      <w:marBottom w:val="0"/>
      <w:divBdr>
        <w:top w:val="none" w:sz="0" w:space="0" w:color="auto"/>
        <w:left w:val="none" w:sz="0" w:space="0" w:color="auto"/>
        <w:bottom w:val="none" w:sz="0" w:space="0" w:color="auto"/>
        <w:right w:val="none" w:sz="0" w:space="0" w:color="auto"/>
      </w:divBdr>
    </w:div>
    <w:div w:id="1775057384">
      <w:bodyDiv w:val="1"/>
      <w:marLeft w:val="0"/>
      <w:marRight w:val="0"/>
      <w:marTop w:val="0"/>
      <w:marBottom w:val="0"/>
      <w:divBdr>
        <w:top w:val="none" w:sz="0" w:space="0" w:color="auto"/>
        <w:left w:val="none" w:sz="0" w:space="0" w:color="auto"/>
        <w:bottom w:val="none" w:sz="0" w:space="0" w:color="auto"/>
        <w:right w:val="none" w:sz="0" w:space="0" w:color="auto"/>
      </w:divBdr>
    </w:div>
    <w:div w:id="1775587975">
      <w:bodyDiv w:val="1"/>
      <w:marLeft w:val="0"/>
      <w:marRight w:val="0"/>
      <w:marTop w:val="0"/>
      <w:marBottom w:val="0"/>
      <w:divBdr>
        <w:top w:val="none" w:sz="0" w:space="0" w:color="auto"/>
        <w:left w:val="none" w:sz="0" w:space="0" w:color="auto"/>
        <w:bottom w:val="none" w:sz="0" w:space="0" w:color="auto"/>
        <w:right w:val="none" w:sz="0" w:space="0" w:color="auto"/>
      </w:divBdr>
    </w:div>
    <w:div w:id="1776707248">
      <w:bodyDiv w:val="1"/>
      <w:marLeft w:val="0"/>
      <w:marRight w:val="0"/>
      <w:marTop w:val="0"/>
      <w:marBottom w:val="0"/>
      <w:divBdr>
        <w:top w:val="none" w:sz="0" w:space="0" w:color="auto"/>
        <w:left w:val="none" w:sz="0" w:space="0" w:color="auto"/>
        <w:bottom w:val="none" w:sz="0" w:space="0" w:color="auto"/>
        <w:right w:val="none" w:sz="0" w:space="0" w:color="auto"/>
      </w:divBdr>
    </w:div>
    <w:div w:id="1788158753">
      <w:bodyDiv w:val="1"/>
      <w:marLeft w:val="0"/>
      <w:marRight w:val="0"/>
      <w:marTop w:val="0"/>
      <w:marBottom w:val="0"/>
      <w:divBdr>
        <w:top w:val="none" w:sz="0" w:space="0" w:color="auto"/>
        <w:left w:val="none" w:sz="0" w:space="0" w:color="auto"/>
        <w:bottom w:val="none" w:sz="0" w:space="0" w:color="auto"/>
        <w:right w:val="none" w:sz="0" w:space="0" w:color="auto"/>
      </w:divBdr>
    </w:div>
    <w:div w:id="1788236819">
      <w:bodyDiv w:val="1"/>
      <w:marLeft w:val="0"/>
      <w:marRight w:val="0"/>
      <w:marTop w:val="0"/>
      <w:marBottom w:val="0"/>
      <w:divBdr>
        <w:top w:val="none" w:sz="0" w:space="0" w:color="auto"/>
        <w:left w:val="none" w:sz="0" w:space="0" w:color="auto"/>
        <w:bottom w:val="none" w:sz="0" w:space="0" w:color="auto"/>
        <w:right w:val="none" w:sz="0" w:space="0" w:color="auto"/>
      </w:divBdr>
    </w:div>
    <w:div w:id="1789203003">
      <w:bodyDiv w:val="1"/>
      <w:marLeft w:val="0"/>
      <w:marRight w:val="0"/>
      <w:marTop w:val="0"/>
      <w:marBottom w:val="0"/>
      <w:divBdr>
        <w:top w:val="none" w:sz="0" w:space="0" w:color="auto"/>
        <w:left w:val="none" w:sz="0" w:space="0" w:color="auto"/>
        <w:bottom w:val="none" w:sz="0" w:space="0" w:color="auto"/>
        <w:right w:val="none" w:sz="0" w:space="0" w:color="auto"/>
      </w:divBdr>
    </w:div>
    <w:div w:id="1792897946">
      <w:bodyDiv w:val="1"/>
      <w:marLeft w:val="0"/>
      <w:marRight w:val="0"/>
      <w:marTop w:val="0"/>
      <w:marBottom w:val="0"/>
      <w:divBdr>
        <w:top w:val="none" w:sz="0" w:space="0" w:color="auto"/>
        <w:left w:val="none" w:sz="0" w:space="0" w:color="auto"/>
        <w:bottom w:val="none" w:sz="0" w:space="0" w:color="auto"/>
        <w:right w:val="none" w:sz="0" w:space="0" w:color="auto"/>
      </w:divBdr>
    </w:div>
    <w:div w:id="1799569469">
      <w:bodyDiv w:val="1"/>
      <w:marLeft w:val="0"/>
      <w:marRight w:val="0"/>
      <w:marTop w:val="0"/>
      <w:marBottom w:val="0"/>
      <w:divBdr>
        <w:top w:val="none" w:sz="0" w:space="0" w:color="auto"/>
        <w:left w:val="none" w:sz="0" w:space="0" w:color="auto"/>
        <w:bottom w:val="none" w:sz="0" w:space="0" w:color="auto"/>
        <w:right w:val="none" w:sz="0" w:space="0" w:color="auto"/>
      </w:divBdr>
    </w:div>
    <w:div w:id="1800339581">
      <w:bodyDiv w:val="1"/>
      <w:marLeft w:val="0"/>
      <w:marRight w:val="0"/>
      <w:marTop w:val="0"/>
      <w:marBottom w:val="0"/>
      <w:divBdr>
        <w:top w:val="none" w:sz="0" w:space="0" w:color="auto"/>
        <w:left w:val="none" w:sz="0" w:space="0" w:color="auto"/>
        <w:bottom w:val="none" w:sz="0" w:space="0" w:color="auto"/>
        <w:right w:val="none" w:sz="0" w:space="0" w:color="auto"/>
      </w:divBdr>
    </w:div>
    <w:div w:id="1800761460">
      <w:bodyDiv w:val="1"/>
      <w:marLeft w:val="0"/>
      <w:marRight w:val="0"/>
      <w:marTop w:val="0"/>
      <w:marBottom w:val="0"/>
      <w:divBdr>
        <w:top w:val="none" w:sz="0" w:space="0" w:color="auto"/>
        <w:left w:val="none" w:sz="0" w:space="0" w:color="auto"/>
        <w:bottom w:val="none" w:sz="0" w:space="0" w:color="auto"/>
        <w:right w:val="none" w:sz="0" w:space="0" w:color="auto"/>
      </w:divBdr>
    </w:div>
    <w:div w:id="1809126965">
      <w:bodyDiv w:val="1"/>
      <w:marLeft w:val="0"/>
      <w:marRight w:val="0"/>
      <w:marTop w:val="0"/>
      <w:marBottom w:val="0"/>
      <w:divBdr>
        <w:top w:val="none" w:sz="0" w:space="0" w:color="auto"/>
        <w:left w:val="none" w:sz="0" w:space="0" w:color="auto"/>
        <w:bottom w:val="none" w:sz="0" w:space="0" w:color="auto"/>
        <w:right w:val="none" w:sz="0" w:space="0" w:color="auto"/>
      </w:divBdr>
    </w:div>
    <w:div w:id="1811903560">
      <w:bodyDiv w:val="1"/>
      <w:marLeft w:val="0"/>
      <w:marRight w:val="0"/>
      <w:marTop w:val="0"/>
      <w:marBottom w:val="0"/>
      <w:divBdr>
        <w:top w:val="none" w:sz="0" w:space="0" w:color="auto"/>
        <w:left w:val="none" w:sz="0" w:space="0" w:color="auto"/>
        <w:bottom w:val="none" w:sz="0" w:space="0" w:color="auto"/>
        <w:right w:val="none" w:sz="0" w:space="0" w:color="auto"/>
      </w:divBdr>
    </w:div>
    <w:div w:id="1812822722">
      <w:bodyDiv w:val="1"/>
      <w:marLeft w:val="0"/>
      <w:marRight w:val="0"/>
      <w:marTop w:val="0"/>
      <w:marBottom w:val="0"/>
      <w:divBdr>
        <w:top w:val="none" w:sz="0" w:space="0" w:color="auto"/>
        <w:left w:val="none" w:sz="0" w:space="0" w:color="auto"/>
        <w:bottom w:val="none" w:sz="0" w:space="0" w:color="auto"/>
        <w:right w:val="none" w:sz="0" w:space="0" w:color="auto"/>
      </w:divBdr>
    </w:div>
    <w:div w:id="1813669029">
      <w:bodyDiv w:val="1"/>
      <w:marLeft w:val="0"/>
      <w:marRight w:val="0"/>
      <w:marTop w:val="0"/>
      <w:marBottom w:val="0"/>
      <w:divBdr>
        <w:top w:val="none" w:sz="0" w:space="0" w:color="auto"/>
        <w:left w:val="none" w:sz="0" w:space="0" w:color="auto"/>
        <w:bottom w:val="none" w:sz="0" w:space="0" w:color="auto"/>
        <w:right w:val="none" w:sz="0" w:space="0" w:color="auto"/>
      </w:divBdr>
    </w:div>
    <w:div w:id="1823084209">
      <w:bodyDiv w:val="1"/>
      <w:marLeft w:val="0"/>
      <w:marRight w:val="0"/>
      <w:marTop w:val="0"/>
      <w:marBottom w:val="0"/>
      <w:divBdr>
        <w:top w:val="none" w:sz="0" w:space="0" w:color="auto"/>
        <w:left w:val="none" w:sz="0" w:space="0" w:color="auto"/>
        <w:bottom w:val="none" w:sz="0" w:space="0" w:color="auto"/>
        <w:right w:val="none" w:sz="0" w:space="0" w:color="auto"/>
      </w:divBdr>
    </w:div>
    <w:div w:id="1832285852">
      <w:bodyDiv w:val="1"/>
      <w:marLeft w:val="0"/>
      <w:marRight w:val="0"/>
      <w:marTop w:val="0"/>
      <w:marBottom w:val="0"/>
      <w:divBdr>
        <w:top w:val="none" w:sz="0" w:space="0" w:color="auto"/>
        <w:left w:val="none" w:sz="0" w:space="0" w:color="auto"/>
        <w:bottom w:val="none" w:sz="0" w:space="0" w:color="auto"/>
        <w:right w:val="none" w:sz="0" w:space="0" w:color="auto"/>
      </w:divBdr>
    </w:div>
    <w:div w:id="1838614921">
      <w:bodyDiv w:val="1"/>
      <w:marLeft w:val="0"/>
      <w:marRight w:val="0"/>
      <w:marTop w:val="0"/>
      <w:marBottom w:val="0"/>
      <w:divBdr>
        <w:top w:val="none" w:sz="0" w:space="0" w:color="auto"/>
        <w:left w:val="none" w:sz="0" w:space="0" w:color="auto"/>
        <w:bottom w:val="none" w:sz="0" w:space="0" w:color="auto"/>
        <w:right w:val="none" w:sz="0" w:space="0" w:color="auto"/>
      </w:divBdr>
    </w:div>
    <w:div w:id="1842619362">
      <w:bodyDiv w:val="1"/>
      <w:marLeft w:val="0"/>
      <w:marRight w:val="0"/>
      <w:marTop w:val="0"/>
      <w:marBottom w:val="0"/>
      <w:divBdr>
        <w:top w:val="none" w:sz="0" w:space="0" w:color="auto"/>
        <w:left w:val="none" w:sz="0" w:space="0" w:color="auto"/>
        <w:bottom w:val="none" w:sz="0" w:space="0" w:color="auto"/>
        <w:right w:val="none" w:sz="0" w:space="0" w:color="auto"/>
      </w:divBdr>
    </w:div>
    <w:div w:id="1843811466">
      <w:bodyDiv w:val="1"/>
      <w:marLeft w:val="0"/>
      <w:marRight w:val="0"/>
      <w:marTop w:val="0"/>
      <w:marBottom w:val="0"/>
      <w:divBdr>
        <w:top w:val="none" w:sz="0" w:space="0" w:color="auto"/>
        <w:left w:val="none" w:sz="0" w:space="0" w:color="auto"/>
        <w:bottom w:val="none" w:sz="0" w:space="0" w:color="auto"/>
        <w:right w:val="none" w:sz="0" w:space="0" w:color="auto"/>
      </w:divBdr>
    </w:div>
    <w:div w:id="1849247138">
      <w:bodyDiv w:val="1"/>
      <w:marLeft w:val="0"/>
      <w:marRight w:val="0"/>
      <w:marTop w:val="0"/>
      <w:marBottom w:val="0"/>
      <w:divBdr>
        <w:top w:val="none" w:sz="0" w:space="0" w:color="auto"/>
        <w:left w:val="none" w:sz="0" w:space="0" w:color="auto"/>
        <w:bottom w:val="none" w:sz="0" w:space="0" w:color="auto"/>
        <w:right w:val="none" w:sz="0" w:space="0" w:color="auto"/>
      </w:divBdr>
    </w:div>
    <w:div w:id="1852331155">
      <w:bodyDiv w:val="1"/>
      <w:marLeft w:val="0"/>
      <w:marRight w:val="0"/>
      <w:marTop w:val="0"/>
      <w:marBottom w:val="0"/>
      <w:divBdr>
        <w:top w:val="none" w:sz="0" w:space="0" w:color="auto"/>
        <w:left w:val="none" w:sz="0" w:space="0" w:color="auto"/>
        <w:bottom w:val="none" w:sz="0" w:space="0" w:color="auto"/>
        <w:right w:val="none" w:sz="0" w:space="0" w:color="auto"/>
      </w:divBdr>
    </w:div>
    <w:div w:id="1854880617">
      <w:bodyDiv w:val="1"/>
      <w:marLeft w:val="0"/>
      <w:marRight w:val="0"/>
      <w:marTop w:val="0"/>
      <w:marBottom w:val="0"/>
      <w:divBdr>
        <w:top w:val="none" w:sz="0" w:space="0" w:color="auto"/>
        <w:left w:val="none" w:sz="0" w:space="0" w:color="auto"/>
        <w:bottom w:val="none" w:sz="0" w:space="0" w:color="auto"/>
        <w:right w:val="none" w:sz="0" w:space="0" w:color="auto"/>
      </w:divBdr>
    </w:div>
    <w:div w:id="1858888443">
      <w:bodyDiv w:val="1"/>
      <w:marLeft w:val="0"/>
      <w:marRight w:val="0"/>
      <w:marTop w:val="0"/>
      <w:marBottom w:val="0"/>
      <w:divBdr>
        <w:top w:val="none" w:sz="0" w:space="0" w:color="auto"/>
        <w:left w:val="none" w:sz="0" w:space="0" w:color="auto"/>
        <w:bottom w:val="none" w:sz="0" w:space="0" w:color="auto"/>
        <w:right w:val="none" w:sz="0" w:space="0" w:color="auto"/>
      </w:divBdr>
    </w:div>
    <w:div w:id="1860660539">
      <w:bodyDiv w:val="1"/>
      <w:marLeft w:val="0"/>
      <w:marRight w:val="0"/>
      <w:marTop w:val="0"/>
      <w:marBottom w:val="0"/>
      <w:divBdr>
        <w:top w:val="none" w:sz="0" w:space="0" w:color="auto"/>
        <w:left w:val="none" w:sz="0" w:space="0" w:color="auto"/>
        <w:bottom w:val="none" w:sz="0" w:space="0" w:color="auto"/>
        <w:right w:val="none" w:sz="0" w:space="0" w:color="auto"/>
      </w:divBdr>
    </w:div>
    <w:div w:id="1880123802">
      <w:bodyDiv w:val="1"/>
      <w:marLeft w:val="0"/>
      <w:marRight w:val="0"/>
      <w:marTop w:val="0"/>
      <w:marBottom w:val="0"/>
      <w:divBdr>
        <w:top w:val="none" w:sz="0" w:space="0" w:color="auto"/>
        <w:left w:val="none" w:sz="0" w:space="0" w:color="auto"/>
        <w:bottom w:val="none" w:sz="0" w:space="0" w:color="auto"/>
        <w:right w:val="none" w:sz="0" w:space="0" w:color="auto"/>
      </w:divBdr>
    </w:div>
    <w:div w:id="1886209248">
      <w:bodyDiv w:val="1"/>
      <w:marLeft w:val="0"/>
      <w:marRight w:val="0"/>
      <w:marTop w:val="0"/>
      <w:marBottom w:val="0"/>
      <w:divBdr>
        <w:top w:val="none" w:sz="0" w:space="0" w:color="auto"/>
        <w:left w:val="none" w:sz="0" w:space="0" w:color="auto"/>
        <w:bottom w:val="none" w:sz="0" w:space="0" w:color="auto"/>
        <w:right w:val="none" w:sz="0" w:space="0" w:color="auto"/>
      </w:divBdr>
    </w:div>
    <w:div w:id="1886791226">
      <w:bodyDiv w:val="1"/>
      <w:marLeft w:val="0"/>
      <w:marRight w:val="0"/>
      <w:marTop w:val="0"/>
      <w:marBottom w:val="0"/>
      <w:divBdr>
        <w:top w:val="none" w:sz="0" w:space="0" w:color="auto"/>
        <w:left w:val="none" w:sz="0" w:space="0" w:color="auto"/>
        <w:bottom w:val="none" w:sz="0" w:space="0" w:color="auto"/>
        <w:right w:val="none" w:sz="0" w:space="0" w:color="auto"/>
      </w:divBdr>
    </w:div>
    <w:div w:id="1891573161">
      <w:bodyDiv w:val="1"/>
      <w:marLeft w:val="0"/>
      <w:marRight w:val="0"/>
      <w:marTop w:val="0"/>
      <w:marBottom w:val="0"/>
      <w:divBdr>
        <w:top w:val="none" w:sz="0" w:space="0" w:color="auto"/>
        <w:left w:val="none" w:sz="0" w:space="0" w:color="auto"/>
        <w:bottom w:val="none" w:sz="0" w:space="0" w:color="auto"/>
        <w:right w:val="none" w:sz="0" w:space="0" w:color="auto"/>
      </w:divBdr>
    </w:div>
    <w:div w:id="1899319614">
      <w:bodyDiv w:val="1"/>
      <w:marLeft w:val="0"/>
      <w:marRight w:val="0"/>
      <w:marTop w:val="0"/>
      <w:marBottom w:val="0"/>
      <w:divBdr>
        <w:top w:val="none" w:sz="0" w:space="0" w:color="auto"/>
        <w:left w:val="none" w:sz="0" w:space="0" w:color="auto"/>
        <w:bottom w:val="none" w:sz="0" w:space="0" w:color="auto"/>
        <w:right w:val="none" w:sz="0" w:space="0" w:color="auto"/>
      </w:divBdr>
    </w:div>
    <w:div w:id="1905329369">
      <w:bodyDiv w:val="1"/>
      <w:marLeft w:val="0"/>
      <w:marRight w:val="0"/>
      <w:marTop w:val="0"/>
      <w:marBottom w:val="0"/>
      <w:divBdr>
        <w:top w:val="none" w:sz="0" w:space="0" w:color="auto"/>
        <w:left w:val="none" w:sz="0" w:space="0" w:color="auto"/>
        <w:bottom w:val="none" w:sz="0" w:space="0" w:color="auto"/>
        <w:right w:val="none" w:sz="0" w:space="0" w:color="auto"/>
      </w:divBdr>
    </w:div>
    <w:div w:id="1909919005">
      <w:bodyDiv w:val="1"/>
      <w:marLeft w:val="0"/>
      <w:marRight w:val="0"/>
      <w:marTop w:val="0"/>
      <w:marBottom w:val="0"/>
      <w:divBdr>
        <w:top w:val="none" w:sz="0" w:space="0" w:color="auto"/>
        <w:left w:val="none" w:sz="0" w:space="0" w:color="auto"/>
        <w:bottom w:val="none" w:sz="0" w:space="0" w:color="auto"/>
        <w:right w:val="none" w:sz="0" w:space="0" w:color="auto"/>
      </w:divBdr>
    </w:div>
    <w:div w:id="1910772751">
      <w:bodyDiv w:val="1"/>
      <w:marLeft w:val="0"/>
      <w:marRight w:val="0"/>
      <w:marTop w:val="0"/>
      <w:marBottom w:val="0"/>
      <w:divBdr>
        <w:top w:val="none" w:sz="0" w:space="0" w:color="auto"/>
        <w:left w:val="none" w:sz="0" w:space="0" w:color="auto"/>
        <w:bottom w:val="none" w:sz="0" w:space="0" w:color="auto"/>
        <w:right w:val="none" w:sz="0" w:space="0" w:color="auto"/>
      </w:divBdr>
    </w:div>
    <w:div w:id="1914002011">
      <w:bodyDiv w:val="1"/>
      <w:marLeft w:val="0"/>
      <w:marRight w:val="0"/>
      <w:marTop w:val="0"/>
      <w:marBottom w:val="0"/>
      <w:divBdr>
        <w:top w:val="none" w:sz="0" w:space="0" w:color="auto"/>
        <w:left w:val="none" w:sz="0" w:space="0" w:color="auto"/>
        <w:bottom w:val="none" w:sz="0" w:space="0" w:color="auto"/>
        <w:right w:val="none" w:sz="0" w:space="0" w:color="auto"/>
      </w:divBdr>
    </w:div>
    <w:div w:id="1916283903">
      <w:bodyDiv w:val="1"/>
      <w:marLeft w:val="0"/>
      <w:marRight w:val="0"/>
      <w:marTop w:val="0"/>
      <w:marBottom w:val="0"/>
      <w:divBdr>
        <w:top w:val="none" w:sz="0" w:space="0" w:color="auto"/>
        <w:left w:val="none" w:sz="0" w:space="0" w:color="auto"/>
        <w:bottom w:val="none" w:sz="0" w:space="0" w:color="auto"/>
        <w:right w:val="none" w:sz="0" w:space="0" w:color="auto"/>
      </w:divBdr>
    </w:div>
    <w:div w:id="1928539649">
      <w:bodyDiv w:val="1"/>
      <w:marLeft w:val="0"/>
      <w:marRight w:val="0"/>
      <w:marTop w:val="0"/>
      <w:marBottom w:val="0"/>
      <w:divBdr>
        <w:top w:val="none" w:sz="0" w:space="0" w:color="auto"/>
        <w:left w:val="none" w:sz="0" w:space="0" w:color="auto"/>
        <w:bottom w:val="none" w:sz="0" w:space="0" w:color="auto"/>
        <w:right w:val="none" w:sz="0" w:space="0" w:color="auto"/>
      </w:divBdr>
    </w:div>
    <w:div w:id="1928659516">
      <w:bodyDiv w:val="1"/>
      <w:marLeft w:val="0"/>
      <w:marRight w:val="0"/>
      <w:marTop w:val="0"/>
      <w:marBottom w:val="0"/>
      <w:divBdr>
        <w:top w:val="none" w:sz="0" w:space="0" w:color="auto"/>
        <w:left w:val="none" w:sz="0" w:space="0" w:color="auto"/>
        <w:bottom w:val="none" w:sz="0" w:space="0" w:color="auto"/>
        <w:right w:val="none" w:sz="0" w:space="0" w:color="auto"/>
      </w:divBdr>
    </w:div>
    <w:div w:id="1930698339">
      <w:bodyDiv w:val="1"/>
      <w:marLeft w:val="0"/>
      <w:marRight w:val="0"/>
      <w:marTop w:val="0"/>
      <w:marBottom w:val="0"/>
      <w:divBdr>
        <w:top w:val="none" w:sz="0" w:space="0" w:color="auto"/>
        <w:left w:val="none" w:sz="0" w:space="0" w:color="auto"/>
        <w:bottom w:val="none" w:sz="0" w:space="0" w:color="auto"/>
        <w:right w:val="none" w:sz="0" w:space="0" w:color="auto"/>
      </w:divBdr>
    </w:div>
    <w:div w:id="1934321462">
      <w:bodyDiv w:val="1"/>
      <w:marLeft w:val="0"/>
      <w:marRight w:val="0"/>
      <w:marTop w:val="0"/>
      <w:marBottom w:val="0"/>
      <w:divBdr>
        <w:top w:val="none" w:sz="0" w:space="0" w:color="auto"/>
        <w:left w:val="none" w:sz="0" w:space="0" w:color="auto"/>
        <w:bottom w:val="none" w:sz="0" w:space="0" w:color="auto"/>
        <w:right w:val="none" w:sz="0" w:space="0" w:color="auto"/>
      </w:divBdr>
    </w:div>
    <w:div w:id="1935479461">
      <w:bodyDiv w:val="1"/>
      <w:marLeft w:val="0"/>
      <w:marRight w:val="0"/>
      <w:marTop w:val="0"/>
      <w:marBottom w:val="0"/>
      <w:divBdr>
        <w:top w:val="none" w:sz="0" w:space="0" w:color="auto"/>
        <w:left w:val="none" w:sz="0" w:space="0" w:color="auto"/>
        <w:bottom w:val="none" w:sz="0" w:space="0" w:color="auto"/>
        <w:right w:val="none" w:sz="0" w:space="0" w:color="auto"/>
      </w:divBdr>
    </w:div>
    <w:div w:id="1955483430">
      <w:bodyDiv w:val="1"/>
      <w:marLeft w:val="0"/>
      <w:marRight w:val="0"/>
      <w:marTop w:val="0"/>
      <w:marBottom w:val="0"/>
      <w:divBdr>
        <w:top w:val="none" w:sz="0" w:space="0" w:color="auto"/>
        <w:left w:val="none" w:sz="0" w:space="0" w:color="auto"/>
        <w:bottom w:val="none" w:sz="0" w:space="0" w:color="auto"/>
        <w:right w:val="none" w:sz="0" w:space="0" w:color="auto"/>
      </w:divBdr>
    </w:div>
    <w:div w:id="1957905898">
      <w:bodyDiv w:val="1"/>
      <w:marLeft w:val="0"/>
      <w:marRight w:val="0"/>
      <w:marTop w:val="0"/>
      <w:marBottom w:val="0"/>
      <w:divBdr>
        <w:top w:val="none" w:sz="0" w:space="0" w:color="auto"/>
        <w:left w:val="none" w:sz="0" w:space="0" w:color="auto"/>
        <w:bottom w:val="none" w:sz="0" w:space="0" w:color="auto"/>
        <w:right w:val="none" w:sz="0" w:space="0" w:color="auto"/>
      </w:divBdr>
    </w:div>
    <w:div w:id="1960642437">
      <w:bodyDiv w:val="1"/>
      <w:marLeft w:val="0"/>
      <w:marRight w:val="0"/>
      <w:marTop w:val="0"/>
      <w:marBottom w:val="0"/>
      <w:divBdr>
        <w:top w:val="none" w:sz="0" w:space="0" w:color="auto"/>
        <w:left w:val="none" w:sz="0" w:space="0" w:color="auto"/>
        <w:bottom w:val="none" w:sz="0" w:space="0" w:color="auto"/>
        <w:right w:val="none" w:sz="0" w:space="0" w:color="auto"/>
      </w:divBdr>
    </w:div>
    <w:div w:id="1961498963">
      <w:bodyDiv w:val="1"/>
      <w:marLeft w:val="0"/>
      <w:marRight w:val="0"/>
      <w:marTop w:val="0"/>
      <w:marBottom w:val="0"/>
      <w:divBdr>
        <w:top w:val="none" w:sz="0" w:space="0" w:color="auto"/>
        <w:left w:val="none" w:sz="0" w:space="0" w:color="auto"/>
        <w:bottom w:val="none" w:sz="0" w:space="0" w:color="auto"/>
        <w:right w:val="none" w:sz="0" w:space="0" w:color="auto"/>
      </w:divBdr>
    </w:div>
    <w:div w:id="1961838441">
      <w:bodyDiv w:val="1"/>
      <w:marLeft w:val="0"/>
      <w:marRight w:val="0"/>
      <w:marTop w:val="0"/>
      <w:marBottom w:val="0"/>
      <w:divBdr>
        <w:top w:val="none" w:sz="0" w:space="0" w:color="auto"/>
        <w:left w:val="none" w:sz="0" w:space="0" w:color="auto"/>
        <w:bottom w:val="none" w:sz="0" w:space="0" w:color="auto"/>
        <w:right w:val="none" w:sz="0" w:space="0" w:color="auto"/>
      </w:divBdr>
    </w:div>
    <w:div w:id="1966891238">
      <w:bodyDiv w:val="1"/>
      <w:marLeft w:val="0"/>
      <w:marRight w:val="0"/>
      <w:marTop w:val="0"/>
      <w:marBottom w:val="0"/>
      <w:divBdr>
        <w:top w:val="none" w:sz="0" w:space="0" w:color="auto"/>
        <w:left w:val="none" w:sz="0" w:space="0" w:color="auto"/>
        <w:bottom w:val="none" w:sz="0" w:space="0" w:color="auto"/>
        <w:right w:val="none" w:sz="0" w:space="0" w:color="auto"/>
      </w:divBdr>
    </w:div>
    <w:div w:id="1972591197">
      <w:bodyDiv w:val="1"/>
      <w:marLeft w:val="0"/>
      <w:marRight w:val="0"/>
      <w:marTop w:val="0"/>
      <w:marBottom w:val="0"/>
      <w:divBdr>
        <w:top w:val="none" w:sz="0" w:space="0" w:color="auto"/>
        <w:left w:val="none" w:sz="0" w:space="0" w:color="auto"/>
        <w:bottom w:val="none" w:sz="0" w:space="0" w:color="auto"/>
        <w:right w:val="none" w:sz="0" w:space="0" w:color="auto"/>
      </w:divBdr>
    </w:div>
    <w:div w:id="1976913792">
      <w:bodyDiv w:val="1"/>
      <w:marLeft w:val="0"/>
      <w:marRight w:val="0"/>
      <w:marTop w:val="0"/>
      <w:marBottom w:val="0"/>
      <w:divBdr>
        <w:top w:val="none" w:sz="0" w:space="0" w:color="auto"/>
        <w:left w:val="none" w:sz="0" w:space="0" w:color="auto"/>
        <w:bottom w:val="none" w:sz="0" w:space="0" w:color="auto"/>
        <w:right w:val="none" w:sz="0" w:space="0" w:color="auto"/>
      </w:divBdr>
    </w:div>
    <w:div w:id="1977181741">
      <w:bodyDiv w:val="1"/>
      <w:marLeft w:val="0"/>
      <w:marRight w:val="0"/>
      <w:marTop w:val="0"/>
      <w:marBottom w:val="0"/>
      <w:divBdr>
        <w:top w:val="none" w:sz="0" w:space="0" w:color="auto"/>
        <w:left w:val="none" w:sz="0" w:space="0" w:color="auto"/>
        <w:bottom w:val="none" w:sz="0" w:space="0" w:color="auto"/>
        <w:right w:val="none" w:sz="0" w:space="0" w:color="auto"/>
      </w:divBdr>
    </w:div>
    <w:div w:id="1979721790">
      <w:bodyDiv w:val="1"/>
      <w:marLeft w:val="0"/>
      <w:marRight w:val="0"/>
      <w:marTop w:val="0"/>
      <w:marBottom w:val="0"/>
      <w:divBdr>
        <w:top w:val="none" w:sz="0" w:space="0" w:color="auto"/>
        <w:left w:val="none" w:sz="0" w:space="0" w:color="auto"/>
        <w:bottom w:val="none" w:sz="0" w:space="0" w:color="auto"/>
        <w:right w:val="none" w:sz="0" w:space="0" w:color="auto"/>
      </w:divBdr>
    </w:div>
    <w:div w:id="1984503313">
      <w:bodyDiv w:val="1"/>
      <w:marLeft w:val="0"/>
      <w:marRight w:val="0"/>
      <w:marTop w:val="0"/>
      <w:marBottom w:val="0"/>
      <w:divBdr>
        <w:top w:val="none" w:sz="0" w:space="0" w:color="auto"/>
        <w:left w:val="none" w:sz="0" w:space="0" w:color="auto"/>
        <w:bottom w:val="none" w:sz="0" w:space="0" w:color="auto"/>
        <w:right w:val="none" w:sz="0" w:space="0" w:color="auto"/>
      </w:divBdr>
    </w:div>
    <w:div w:id="1986615548">
      <w:bodyDiv w:val="1"/>
      <w:marLeft w:val="0"/>
      <w:marRight w:val="0"/>
      <w:marTop w:val="0"/>
      <w:marBottom w:val="0"/>
      <w:divBdr>
        <w:top w:val="none" w:sz="0" w:space="0" w:color="auto"/>
        <w:left w:val="none" w:sz="0" w:space="0" w:color="auto"/>
        <w:bottom w:val="none" w:sz="0" w:space="0" w:color="auto"/>
        <w:right w:val="none" w:sz="0" w:space="0" w:color="auto"/>
      </w:divBdr>
    </w:div>
    <w:div w:id="1994681726">
      <w:bodyDiv w:val="1"/>
      <w:marLeft w:val="0"/>
      <w:marRight w:val="0"/>
      <w:marTop w:val="0"/>
      <w:marBottom w:val="0"/>
      <w:divBdr>
        <w:top w:val="none" w:sz="0" w:space="0" w:color="auto"/>
        <w:left w:val="none" w:sz="0" w:space="0" w:color="auto"/>
        <w:bottom w:val="none" w:sz="0" w:space="0" w:color="auto"/>
        <w:right w:val="none" w:sz="0" w:space="0" w:color="auto"/>
      </w:divBdr>
    </w:div>
    <w:div w:id="1997880319">
      <w:bodyDiv w:val="1"/>
      <w:marLeft w:val="0"/>
      <w:marRight w:val="0"/>
      <w:marTop w:val="0"/>
      <w:marBottom w:val="0"/>
      <w:divBdr>
        <w:top w:val="none" w:sz="0" w:space="0" w:color="auto"/>
        <w:left w:val="none" w:sz="0" w:space="0" w:color="auto"/>
        <w:bottom w:val="none" w:sz="0" w:space="0" w:color="auto"/>
        <w:right w:val="none" w:sz="0" w:space="0" w:color="auto"/>
      </w:divBdr>
    </w:div>
    <w:div w:id="1999070251">
      <w:bodyDiv w:val="1"/>
      <w:marLeft w:val="0"/>
      <w:marRight w:val="0"/>
      <w:marTop w:val="0"/>
      <w:marBottom w:val="0"/>
      <w:divBdr>
        <w:top w:val="none" w:sz="0" w:space="0" w:color="auto"/>
        <w:left w:val="none" w:sz="0" w:space="0" w:color="auto"/>
        <w:bottom w:val="none" w:sz="0" w:space="0" w:color="auto"/>
        <w:right w:val="none" w:sz="0" w:space="0" w:color="auto"/>
      </w:divBdr>
    </w:div>
    <w:div w:id="2008552627">
      <w:bodyDiv w:val="1"/>
      <w:marLeft w:val="0"/>
      <w:marRight w:val="0"/>
      <w:marTop w:val="0"/>
      <w:marBottom w:val="0"/>
      <w:divBdr>
        <w:top w:val="none" w:sz="0" w:space="0" w:color="auto"/>
        <w:left w:val="none" w:sz="0" w:space="0" w:color="auto"/>
        <w:bottom w:val="none" w:sz="0" w:space="0" w:color="auto"/>
        <w:right w:val="none" w:sz="0" w:space="0" w:color="auto"/>
      </w:divBdr>
    </w:div>
    <w:div w:id="2008629598">
      <w:bodyDiv w:val="1"/>
      <w:marLeft w:val="0"/>
      <w:marRight w:val="0"/>
      <w:marTop w:val="0"/>
      <w:marBottom w:val="0"/>
      <w:divBdr>
        <w:top w:val="none" w:sz="0" w:space="0" w:color="auto"/>
        <w:left w:val="none" w:sz="0" w:space="0" w:color="auto"/>
        <w:bottom w:val="none" w:sz="0" w:space="0" w:color="auto"/>
        <w:right w:val="none" w:sz="0" w:space="0" w:color="auto"/>
      </w:divBdr>
    </w:div>
    <w:div w:id="2010978560">
      <w:bodyDiv w:val="1"/>
      <w:marLeft w:val="0"/>
      <w:marRight w:val="0"/>
      <w:marTop w:val="0"/>
      <w:marBottom w:val="0"/>
      <w:divBdr>
        <w:top w:val="none" w:sz="0" w:space="0" w:color="auto"/>
        <w:left w:val="none" w:sz="0" w:space="0" w:color="auto"/>
        <w:bottom w:val="none" w:sz="0" w:space="0" w:color="auto"/>
        <w:right w:val="none" w:sz="0" w:space="0" w:color="auto"/>
      </w:divBdr>
    </w:div>
    <w:div w:id="2015761740">
      <w:bodyDiv w:val="1"/>
      <w:marLeft w:val="0"/>
      <w:marRight w:val="0"/>
      <w:marTop w:val="0"/>
      <w:marBottom w:val="0"/>
      <w:divBdr>
        <w:top w:val="none" w:sz="0" w:space="0" w:color="auto"/>
        <w:left w:val="none" w:sz="0" w:space="0" w:color="auto"/>
        <w:bottom w:val="none" w:sz="0" w:space="0" w:color="auto"/>
        <w:right w:val="none" w:sz="0" w:space="0" w:color="auto"/>
      </w:divBdr>
    </w:div>
    <w:div w:id="2025398628">
      <w:bodyDiv w:val="1"/>
      <w:marLeft w:val="0"/>
      <w:marRight w:val="0"/>
      <w:marTop w:val="0"/>
      <w:marBottom w:val="0"/>
      <w:divBdr>
        <w:top w:val="none" w:sz="0" w:space="0" w:color="auto"/>
        <w:left w:val="none" w:sz="0" w:space="0" w:color="auto"/>
        <w:bottom w:val="none" w:sz="0" w:space="0" w:color="auto"/>
        <w:right w:val="none" w:sz="0" w:space="0" w:color="auto"/>
      </w:divBdr>
    </w:div>
    <w:div w:id="2028213080">
      <w:bodyDiv w:val="1"/>
      <w:marLeft w:val="0"/>
      <w:marRight w:val="0"/>
      <w:marTop w:val="0"/>
      <w:marBottom w:val="0"/>
      <w:divBdr>
        <w:top w:val="none" w:sz="0" w:space="0" w:color="auto"/>
        <w:left w:val="none" w:sz="0" w:space="0" w:color="auto"/>
        <w:bottom w:val="none" w:sz="0" w:space="0" w:color="auto"/>
        <w:right w:val="none" w:sz="0" w:space="0" w:color="auto"/>
      </w:divBdr>
    </w:div>
    <w:div w:id="2028359455">
      <w:bodyDiv w:val="1"/>
      <w:marLeft w:val="0"/>
      <w:marRight w:val="0"/>
      <w:marTop w:val="0"/>
      <w:marBottom w:val="0"/>
      <w:divBdr>
        <w:top w:val="none" w:sz="0" w:space="0" w:color="auto"/>
        <w:left w:val="none" w:sz="0" w:space="0" w:color="auto"/>
        <w:bottom w:val="none" w:sz="0" w:space="0" w:color="auto"/>
        <w:right w:val="none" w:sz="0" w:space="0" w:color="auto"/>
      </w:divBdr>
    </w:div>
    <w:div w:id="2032024290">
      <w:bodyDiv w:val="1"/>
      <w:marLeft w:val="0"/>
      <w:marRight w:val="0"/>
      <w:marTop w:val="0"/>
      <w:marBottom w:val="0"/>
      <w:divBdr>
        <w:top w:val="none" w:sz="0" w:space="0" w:color="auto"/>
        <w:left w:val="none" w:sz="0" w:space="0" w:color="auto"/>
        <w:bottom w:val="none" w:sz="0" w:space="0" w:color="auto"/>
        <w:right w:val="none" w:sz="0" w:space="0" w:color="auto"/>
      </w:divBdr>
    </w:div>
    <w:div w:id="2033607505">
      <w:bodyDiv w:val="1"/>
      <w:marLeft w:val="0"/>
      <w:marRight w:val="0"/>
      <w:marTop w:val="0"/>
      <w:marBottom w:val="0"/>
      <w:divBdr>
        <w:top w:val="none" w:sz="0" w:space="0" w:color="auto"/>
        <w:left w:val="none" w:sz="0" w:space="0" w:color="auto"/>
        <w:bottom w:val="none" w:sz="0" w:space="0" w:color="auto"/>
        <w:right w:val="none" w:sz="0" w:space="0" w:color="auto"/>
      </w:divBdr>
    </w:div>
    <w:div w:id="2034727747">
      <w:bodyDiv w:val="1"/>
      <w:marLeft w:val="0"/>
      <w:marRight w:val="0"/>
      <w:marTop w:val="0"/>
      <w:marBottom w:val="0"/>
      <w:divBdr>
        <w:top w:val="none" w:sz="0" w:space="0" w:color="auto"/>
        <w:left w:val="none" w:sz="0" w:space="0" w:color="auto"/>
        <w:bottom w:val="none" w:sz="0" w:space="0" w:color="auto"/>
        <w:right w:val="none" w:sz="0" w:space="0" w:color="auto"/>
      </w:divBdr>
    </w:div>
    <w:div w:id="2035766874">
      <w:bodyDiv w:val="1"/>
      <w:marLeft w:val="0"/>
      <w:marRight w:val="0"/>
      <w:marTop w:val="0"/>
      <w:marBottom w:val="0"/>
      <w:divBdr>
        <w:top w:val="none" w:sz="0" w:space="0" w:color="auto"/>
        <w:left w:val="none" w:sz="0" w:space="0" w:color="auto"/>
        <w:bottom w:val="none" w:sz="0" w:space="0" w:color="auto"/>
        <w:right w:val="none" w:sz="0" w:space="0" w:color="auto"/>
      </w:divBdr>
    </w:div>
    <w:div w:id="2038702126">
      <w:bodyDiv w:val="1"/>
      <w:marLeft w:val="0"/>
      <w:marRight w:val="0"/>
      <w:marTop w:val="0"/>
      <w:marBottom w:val="0"/>
      <w:divBdr>
        <w:top w:val="none" w:sz="0" w:space="0" w:color="auto"/>
        <w:left w:val="none" w:sz="0" w:space="0" w:color="auto"/>
        <w:bottom w:val="none" w:sz="0" w:space="0" w:color="auto"/>
        <w:right w:val="none" w:sz="0" w:space="0" w:color="auto"/>
      </w:divBdr>
    </w:div>
    <w:div w:id="2046055866">
      <w:bodyDiv w:val="1"/>
      <w:marLeft w:val="0"/>
      <w:marRight w:val="0"/>
      <w:marTop w:val="0"/>
      <w:marBottom w:val="0"/>
      <w:divBdr>
        <w:top w:val="none" w:sz="0" w:space="0" w:color="auto"/>
        <w:left w:val="none" w:sz="0" w:space="0" w:color="auto"/>
        <w:bottom w:val="none" w:sz="0" w:space="0" w:color="auto"/>
        <w:right w:val="none" w:sz="0" w:space="0" w:color="auto"/>
      </w:divBdr>
    </w:div>
    <w:div w:id="2063363688">
      <w:bodyDiv w:val="1"/>
      <w:marLeft w:val="0"/>
      <w:marRight w:val="0"/>
      <w:marTop w:val="0"/>
      <w:marBottom w:val="0"/>
      <w:divBdr>
        <w:top w:val="none" w:sz="0" w:space="0" w:color="auto"/>
        <w:left w:val="none" w:sz="0" w:space="0" w:color="auto"/>
        <w:bottom w:val="none" w:sz="0" w:space="0" w:color="auto"/>
        <w:right w:val="none" w:sz="0" w:space="0" w:color="auto"/>
      </w:divBdr>
    </w:div>
    <w:div w:id="2065444498">
      <w:bodyDiv w:val="1"/>
      <w:marLeft w:val="0"/>
      <w:marRight w:val="0"/>
      <w:marTop w:val="0"/>
      <w:marBottom w:val="0"/>
      <w:divBdr>
        <w:top w:val="none" w:sz="0" w:space="0" w:color="auto"/>
        <w:left w:val="none" w:sz="0" w:space="0" w:color="auto"/>
        <w:bottom w:val="none" w:sz="0" w:space="0" w:color="auto"/>
        <w:right w:val="none" w:sz="0" w:space="0" w:color="auto"/>
      </w:divBdr>
    </w:div>
    <w:div w:id="2066641581">
      <w:bodyDiv w:val="1"/>
      <w:marLeft w:val="0"/>
      <w:marRight w:val="0"/>
      <w:marTop w:val="0"/>
      <w:marBottom w:val="0"/>
      <w:divBdr>
        <w:top w:val="none" w:sz="0" w:space="0" w:color="auto"/>
        <w:left w:val="none" w:sz="0" w:space="0" w:color="auto"/>
        <w:bottom w:val="none" w:sz="0" w:space="0" w:color="auto"/>
        <w:right w:val="none" w:sz="0" w:space="0" w:color="auto"/>
      </w:divBdr>
    </w:div>
    <w:div w:id="2067606938">
      <w:bodyDiv w:val="1"/>
      <w:marLeft w:val="0"/>
      <w:marRight w:val="0"/>
      <w:marTop w:val="0"/>
      <w:marBottom w:val="0"/>
      <w:divBdr>
        <w:top w:val="none" w:sz="0" w:space="0" w:color="auto"/>
        <w:left w:val="none" w:sz="0" w:space="0" w:color="auto"/>
        <w:bottom w:val="none" w:sz="0" w:space="0" w:color="auto"/>
        <w:right w:val="none" w:sz="0" w:space="0" w:color="auto"/>
      </w:divBdr>
    </w:div>
    <w:div w:id="2076003599">
      <w:bodyDiv w:val="1"/>
      <w:marLeft w:val="0"/>
      <w:marRight w:val="0"/>
      <w:marTop w:val="0"/>
      <w:marBottom w:val="0"/>
      <w:divBdr>
        <w:top w:val="none" w:sz="0" w:space="0" w:color="auto"/>
        <w:left w:val="none" w:sz="0" w:space="0" w:color="auto"/>
        <w:bottom w:val="none" w:sz="0" w:space="0" w:color="auto"/>
        <w:right w:val="none" w:sz="0" w:space="0" w:color="auto"/>
      </w:divBdr>
    </w:div>
    <w:div w:id="2088457006">
      <w:bodyDiv w:val="1"/>
      <w:marLeft w:val="0"/>
      <w:marRight w:val="0"/>
      <w:marTop w:val="0"/>
      <w:marBottom w:val="0"/>
      <w:divBdr>
        <w:top w:val="none" w:sz="0" w:space="0" w:color="auto"/>
        <w:left w:val="none" w:sz="0" w:space="0" w:color="auto"/>
        <w:bottom w:val="none" w:sz="0" w:space="0" w:color="auto"/>
        <w:right w:val="none" w:sz="0" w:space="0" w:color="auto"/>
      </w:divBdr>
    </w:div>
    <w:div w:id="2089038540">
      <w:bodyDiv w:val="1"/>
      <w:marLeft w:val="0"/>
      <w:marRight w:val="0"/>
      <w:marTop w:val="0"/>
      <w:marBottom w:val="0"/>
      <w:divBdr>
        <w:top w:val="none" w:sz="0" w:space="0" w:color="auto"/>
        <w:left w:val="none" w:sz="0" w:space="0" w:color="auto"/>
        <w:bottom w:val="none" w:sz="0" w:space="0" w:color="auto"/>
        <w:right w:val="none" w:sz="0" w:space="0" w:color="auto"/>
      </w:divBdr>
    </w:div>
    <w:div w:id="2106071577">
      <w:bodyDiv w:val="1"/>
      <w:marLeft w:val="0"/>
      <w:marRight w:val="0"/>
      <w:marTop w:val="0"/>
      <w:marBottom w:val="0"/>
      <w:divBdr>
        <w:top w:val="none" w:sz="0" w:space="0" w:color="auto"/>
        <w:left w:val="none" w:sz="0" w:space="0" w:color="auto"/>
        <w:bottom w:val="none" w:sz="0" w:space="0" w:color="auto"/>
        <w:right w:val="none" w:sz="0" w:space="0" w:color="auto"/>
      </w:divBdr>
    </w:div>
    <w:div w:id="2107656390">
      <w:bodyDiv w:val="1"/>
      <w:marLeft w:val="0"/>
      <w:marRight w:val="0"/>
      <w:marTop w:val="0"/>
      <w:marBottom w:val="0"/>
      <w:divBdr>
        <w:top w:val="none" w:sz="0" w:space="0" w:color="auto"/>
        <w:left w:val="none" w:sz="0" w:space="0" w:color="auto"/>
        <w:bottom w:val="none" w:sz="0" w:space="0" w:color="auto"/>
        <w:right w:val="none" w:sz="0" w:space="0" w:color="auto"/>
      </w:divBdr>
    </w:div>
    <w:div w:id="2108770514">
      <w:bodyDiv w:val="1"/>
      <w:marLeft w:val="0"/>
      <w:marRight w:val="0"/>
      <w:marTop w:val="0"/>
      <w:marBottom w:val="0"/>
      <w:divBdr>
        <w:top w:val="none" w:sz="0" w:space="0" w:color="auto"/>
        <w:left w:val="none" w:sz="0" w:space="0" w:color="auto"/>
        <w:bottom w:val="none" w:sz="0" w:space="0" w:color="auto"/>
        <w:right w:val="none" w:sz="0" w:space="0" w:color="auto"/>
      </w:divBdr>
    </w:div>
    <w:div w:id="2110201556">
      <w:bodyDiv w:val="1"/>
      <w:marLeft w:val="0"/>
      <w:marRight w:val="0"/>
      <w:marTop w:val="0"/>
      <w:marBottom w:val="0"/>
      <w:divBdr>
        <w:top w:val="none" w:sz="0" w:space="0" w:color="auto"/>
        <w:left w:val="none" w:sz="0" w:space="0" w:color="auto"/>
        <w:bottom w:val="none" w:sz="0" w:space="0" w:color="auto"/>
        <w:right w:val="none" w:sz="0" w:space="0" w:color="auto"/>
      </w:divBdr>
    </w:div>
    <w:div w:id="2111003397">
      <w:bodyDiv w:val="1"/>
      <w:marLeft w:val="0"/>
      <w:marRight w:val="0"/>
      <w:marTop w:val="0"/>
      <w:marBottom w:val="0"/>
      <w:divBdr>
        <w:top w:val="none" w:sz="0" w:space="0" w:color="auto"/>
        <w:left w:val="none" w:sz="0" w:space="0" w:color="auto"/>
        <w:bottom w:val="none" w:sz="0" w:space="0" w:color="auto"/>
        <w:right w:val="none" w:sz="0" w:space="0" w:color="auto"/>
      </w:divBdr>
    </w:div>
    <w:div w:id="2111849255">
      <w:bodyDiv w:val="1"/>
      <w:marLeft w:val="0"/>
      <w:marRight w:val="0"/>
      <w:marTop w:val="0"/>
      <w:marBottom w:val="0"/>
      <w:divBdr>
        <w:top w:val="none" w:sz="0" w:space="0" w:color="auto"/>
        <w:left w:val="none" w:sz="0" w:space="0" w:color="auto"/>
        <w:bottom w:val="none" w:sz="0" w:space="0" w:color="auto"/>
        <w:right w:val="none" w:sz="0" w:space="0" w:color="auto"/>
      </w:divBdr>
    </w:div>
    <w:div w:id="2122648006">
      <w:bodyDiv w:val="1"/>
      <w:marLeft w:val="0"/>
      <w:marRight w:val="0"/>
      <w:marTop w:val="0"/>
      <w:marBottom w:val="0"/>
      <w:divBdr>
        <w:top w:val="none" w:sz="0" w:space="0" w:color="auto"/>
        <w:left w:val="none" w:sz="0" w:space="0" w:color="auto"/>
        <w:bottom w:val="none" w:sz="0" w:space="0" w:color="auto"/>
        <w:right w:val="none" w:sz="0" w:space="0" w:color="auto"/>
      </w:divBdr>
    </w:div>
    <w:div w:id="2122988242">
      <w:bodyDiv w:val="1"/>
      <w:marLeft w:val="0"/>
      <w:marRight w:val="0"/>
      <w:marTop w:val="0"/>
      <w:marBottom w:val="0"/>
      <w:divBdr>
        <w:top w:val="none" w:sz="0" w:space="0" w:color="auto"/>
        <w:left w:val="none" w:sz="0" w:space="0" w:color="auto"/>
        <w:bottom w:val="none" w:sz="0" w:space="0" w:color="auto"/>
        <w:right w:val="none" w:sz="0" w:space="0" w:color="auto"/>
      </w:divBdr>
    </w:div>
    <w:div w:id="2123911982">
      <w:bodyDiv w:val="1"/>
      <w:marLeft w:val="0"/>
      <w:marRight w:val="0"/>
      <w:marTop w:val="0"/>
      <w:marBottom w:val="0"/>
      <w:divBdr>
        <w:top w:val="none" w:sz="0" w:space="0" w:color="auto"/>
        <w:left w:val="none" w:sz="0" w:space="0" w:color="auto"/>
        <w:bottom w:val="none" w:sz="0" w:space="0" w:color="auto"/>
        <w:right w:val="none" w:sz="0" w:space="0" w:color="auto"/>
      </w:divBdr>
    </w:div>
    <w:div w:id="2126077156">
      <w:bodyDiv w:val="1"/>
      <w:marLeft w:val="0"/>
      <w:marRight w:val="0"/>
      <w:marTop w:val="0"/>
      <w:marBottom w:val="0"/>
      <w:divBdr>
        <w:top w:val="none" w:sz="0" w:space="0" w:color="auto"/>
        <w:left w:val="none" w:sz="0" w:space="0" w:color="auto"/>
        <w:bottom w:val="none" w:sz="0" w:space="0" w:color="auto"/>
        <w:right w:val="none" w:sz="0" w:space="0" w:color="auto"/>
      </w:divBdr>
    </w:div>
    <w:div w:id="2127459504">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
    <w:div w:id="2137671434">
      <w:bodyDiv w:val="1"/>
      <w:marLeft w:val="0"/>
      <w:marRight w:val="0"/>
      <w:marTop w:val="0"/>
      <w:marBottom w:val="0"/>
      <w:divBdr>
        <w:top w:val="none" w:sz="0" w:space="0" w:color="auto"/>
        <w:left w:val="none" w:sz="0" w:space="0" w:color="auto"/>
        <w:bottom w:val="none" w:sz="0" w:space="0" w:color="auto"/>
        <w:right w:val="none" w:sz="0" w:space="0" w:color="auto"/>
      </w:divBdr>
    </w:div>
    <w:div w:id="2139060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5.emf"/><Relationship Id="rId3" Type="http://schemas.openxmlformats.org/officeDocument/2006/relationships/customXml" Target="../customXml/item3.xml"/><Relationship Id="rId21" Type="http://schemas.openxmlformats.org/officeDocument/2006/relationships/package" Target="embeddings/Microsoft_Word_Document.docx"/><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package" Target="embeddings/Microsoft_Excel_Worksheet1.xlsx"/><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image" Target="media/image6.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package" Target="embeddings/Microsoft_Excel_Worksheet.xlsx"/><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package" Target="embeddings/Microsoft_Excel_Worksheet2.xlsx"/><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emf"/><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8F3A47E95F5DC44F9831F0D543B59D64" ma:contentTypeVersion="5" ma:contentTypeDescription="Crear nuevo documento." ma:contentTypeScope="" ma:versionID="a9067151f5b0f611fb4f52ef93eb07ff">
  <xsd:schema xmlns:xsd="http://www.w3.org/2001/XMLSchema" xmlns:xs="http://www.w3.org/2001/XMLSchema" xmlns:p="http://schemas.microsoft.com/office/2006/metadata/properties" xmlns:ns2="0f01b33b-af6d-466e-808f-b63681c2fce0" xmlns:ns3="ec256790-ae76-4991-a1a5-b9be55b7dc37" targetNamespace="http://schemas.microsoft.com/office/2006/metadata/properties" ma:root="true" ma:fieldsID="5fd0b24211ca63a413f7ff3b12abc224" ns2:_="" ns3:_="">
    <xsd:import namespace="0f01b33b-af6d-466e-808f-b63681c2fce0"/>
    <xsd:import namespace="ec256790-ae76-4991-a1a5-b9be55b7dc3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01b33b-af6d-466e-808f-b63681c2fce0"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c256790-ae76-4991-a1a5-b9be55b7dc3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Tipo de contenido"/>
        <xsd:element ref="dc:title" minOccurs="0" maxOccurs="1" ma:index="3"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F45459-0C01-4F19-B2A4-1632488C6274}">
  <ds:schemaRefs>
    <ds:schemaRef ds:uri="http://schemas.microsoft.com/sharepoint/v3/contenttype/forms"/>
  </ds:schemaRefs>
</ds:datastoreItem>
</file>

<file path=customXml/itemProps2.xml><?xml version="1.0" encoding="utf-8"?>
<ds:datastoreItem xmlns:ds="http://schemas.openxmlformats.org/officeDocument/2006/customXml" ds:itemID="{D54BFAE4-6589-4B8A-99F2-D8FF5886F2F3}">
  <ds:schemaRefs>
    <ds:schemaRef ds:uri="http://schemas.openxmlformats.org/officeDocument/2006/bibliography"/>
  </ds:schemaRefs>
</ds:datastoreItem>
</file>

<file path=customXml/itemProps3.xml><?xml version="1.0" encoding="utf-8"?>
<ds:datastoreItem xmlns:ds="http://schemas.openxmlformats.org/officeDocument/2006/customXml" ds:itemID="{ACC8C6FE-61C2-4CD3-A86B-92B670D0E40B}">
  <ds:schemaRefs>
    <ds:schemaRef ds:uri="http://schemas.microsoft.com/office/2006/metadata/properties"/>
  </ds:schemaRefs>
</ds:datastoreItem>
</file>

<file path=customXml/itemProps4.xml><?xml version="1.0" encoding="utf-8"?>
<ds:datastoreItem xmlns:ds="http://schemas.openxmlformats.org/officeDocument/2006/customXml" ds:itemID="{2727B2F2-81CC-4310-98F0-EBD7AA4E6B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01b33b-af6d-466e-808f-b63681c2fce0"/>
    <ds:schemaRef ds:uri="ec256790-ae76-4991-a1a5-b9be55b7dc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12756</Words>
  <Characters>70163</Characters>
  <Application>Microsoft Office Word</Application>
  <DocSecurity>0</DocSecurity>
  <Lines>584</Lines>
  <Paragraphs>165</Paragraphs>
  <ScaleCrop>false</ScaleCrop>
  <HeadingPairs>
    <vt:vector size="2" baseType="variant">
      <vt:variant>
        <vt:lpstr>Título</vt:lpstr>
      </vt:variant>
      <vt:variant>
        <vt:i4>1</vt:i4>
      </vt:variant>
    </vt:vector>
  </HeadingPairs>
  <TitlesOfParts>
    <vt:vector size="1" baseType="lpstr">
      <vt:lpstr>SUPEN Informe  IV EJECUCION 2019.docx</vt:lpstr>
    </vt:vector>
  </TitlesOfParts>
  <Company>sugef</Company>
  <LinksUpToDate>false</LinksUpToDate>
  <CharactersWithSpaces>82754</CharactersWithSpaces>
  <SharedDoc>false</SharedDoc>
  <HLinks>
    <vt:vector size="216" baseType="variant">
      <vt:variant>
        <vt:i4>1048635</vt:i4>
      </vt:variant>
      <vt:variant>
        <vt:i4>212</vt:i4>
      </vt:variant>
      <vt:variant>
        <vt:i4>0</vt:i4>
      </vt:variant>
      <vt:variant>
        <vt:i4>5</vt:i4>
      </vt:variant>
      <vt:variant>
        <vt:lpwstr/>
      </vt:variant>
      <vt:variant>
        <vt:lpwstr>_Toc13219411</vt:lpwstr>
      </vt:variant>
      <vt:variant>
        <vt:i4>1114171</vt:i4>
      </vt:variant>
      <vt:variant>
        <vt:i4>206</vt:i4>
      </vt:variant>
      <vt:variant>
        <vt:i4>0</vt:i4>
      </vt:variant>
      <vt:variant>
        <vt:i4>5</vt:i4>
      </vt:variant>
      <vt:variant>
        <vt:lpwstr/>
      </vt:variant>
      <vt:variant>
        <vt:lpwstr>_Toc13219410</vt:lpwstr>
      </vt:variant>
      <vt:variant>
        <vt:i4>1572922</vt:i4>
      </vt:variant>
      <vt:variant>
        <vt:i4>200</vt:i4>
      </vt:variant>
      <vt:variant>
        <vt:i4>0</vt:i4>
      </vt:variant>
      <vt:variant>
        <vt:i4>5</vt:i4>
      </vt:variant>
      <vt:variant>
        <vt:lpwstr/>
      </vt:variant>
      <vt:variant>
        <vt:lpwstr>_Toc13219409</vt:lpwstr>
      </vt:variant>
      <vt:variant>
        <vt:i4>1638458</vt:i4>
      </vt:variant>
      <vt:variant>
        <vt:i4>194</vt:i4>
      </vt:variant>
      <vt:variant>
        <vt:i4>0</vt:i4>
      </vt:variant>
      <vt:variant>
        <vt:i4>5</vt:i4>
      </vt:variant>
      <vt:variant>
        <vt:lpwstr/>
      </vt:variant>
      <vt:variant>
        <vt:lpwstr>_Toc13219408</vt:lpwstr>
      </vt:variant>
      <vt:variant>
        <vt:i4>1441850</vt:i4>
      </vt:variant>
      <vt:variant>
        <vt:i4>188</vt:i4>
      </vt:variant>
      <vt:variant>
        <vt:i4>0</vt:i4>
      </vt:variant>
      <vt:variant>
        <vt:i4>5</vt:i4>
      </vt:variant>
      <vt:variant>
        <vt:lpwstr/>
      </vt:variant>
      <vt:variant>
        <vt:lpwstr>_Toc13219407</vt:lpwstr>
      </vt:variant>
      <vt:variant>
        <vt:i4>1507386</vt:i4>
      </vt:variant>
      <vt:variant>
        <vt:i4>182</vt:i4>
      </vt:variant>
      <vt:variant>
        <vt:i4>0</vt:i4>
      </vt:variant>
      <vt:variant>
        <vt:i4>5</vt:i4>
      </vt:variant>
      <vt:variant>
        <vt:lpwstr/>
      </vt:variant>
      <vt:variant>
        <vt:lpwstr>_Toc13219406</vt:lpwstr>
      </vt:variant>
      <vt:variant>
        <vt:i4>1310778</vt:i4>
      </vt:variant>
      <vt:variant>
        <vt:i4>176</vt:i4>
      </vt:variant>
      <vt:variant>
        <vt:i4>0</vt:i4>
      </vt:variant>
      <vt:variant>
        <vt:i4>5</vt:i4>
      </vt:variant>
      <vt:variant>
        <vt:lpwstr/>
      </vt:variant>
      <vt:variant>
        <vt:lpwstr>_Toc13219405</vt:lpwstr>
      </vt:variant>
      <vt:variant>
        <vt:i4>1376314</vt:i4>
      </vt:variant>
      <vt:variant>
        <vt:i4>170</vt:i4>
      </vt:variant>
      <vt:variant>
        <vt:i4>0</vt:i4>
      </vt:variant>
      <vt:variant>
        <vt:i4>5</vt:i4>
      </vt:variant>
      <vt:variant>
        <vt:lpwstr/>
      </vt:variant>
      <vt:variant>
        <vt:lpwstr>_Toc13219404</vt:lpwstr>
      </vt:variant>
      <vt:variant>
        <vt:i4>1179706</vt:i4>
      </vt:variant>
      <vt:variant>
        <vt:i4>164</vt:i4>
      </vt:variant>
      <vt:variant>
        <vt:i4>0</vt:i4>
      </vt:variant>
      <vt:variant>
        <vt:i4>5</vt:i4>
      </vt:variant>
      <vt:variant>
        <vt:lpwstr/>
      </vt:variant>
      <vt:variant>
        <vt:lpwstr>_Toc13219403</vt:lpwstr>
      </vt:variant>
      <vt:variant>
        <vt:i4>1245242</vt:i4>
      </vt:variant>
      <vt:variant>
        <vt:i4>158</vt:i4>
      </vt:variant>
      <vt:variant>
        <vt:i4>0</vt:i4>
      </vt:variant>
      <vt:variant>
        <vt:i4>5</vt:i4>
      </vt:variant>
      <vt:variant>
        <vt:lpwstr/>
      </vt:variant>
      <vt:variant>
        <vt:lpwstr>_Toc13219402</vt:lpwstr>
      </vt:variant>
      <vt:variant>
        <vt:i4>1048634</vt:i4>
      </vt:variant>
      <vt:variant>
        <vt:i4>152</vt:i4>
      </vt:variant>
      <vt:variant>
        <vt:i4>0</vt:i4>
      </vt:variant>
      <vt:variant>
        <vt:i4>5</vt:i4>
      </vt:variant>
      <vt:variant>
        <vt:lpwstr/>
      </vt:variant>
      <vt:variant>
        <vt:lpwstr>_Toc13219401</vt:lpwstr>
      </vt:variant>
      <vt:variant>
        <vt:i4>1114170</vt:i4>
      </vt:variant>
      <vt:variant>
        <vt:i4>146</vt:i4>
      </vt:variant>
      <vt:variant>
        <vt:i4>0</vt:i4>
      </vt:variant>
      <vt:variant>
        <vt:i4>5</vt:i4>
      </vt:variant>
      <vt:variant>
        <vt:lpwstr/>
      </vt:variant>
      <vt:variant>
        <vt:lpwstr>_Toc13219400</vt:lpwstr>
      </vt:variant>
      <vt:variant>
        <vt:i4>2031667</vt:i4>
      </vt:variant>
      <vt:variant>
        <vt:i4>140</vt:i4>
      </vt:variant>
      <vt:variant>
        <vt:i4>0</vt:i4>
      </vt:variant>
      <vt:variant>
        <vt:i4>5</vt:i4>
      </vt:variant>
      <vt:variant>
        <vt:lpwstr/>
      </vt:variant>
      <vt:variant>
        <vt:lpwstr>_Toc13219399</vt:lpwstr>
      </vt:variant>
      <vt:variant>
        <vt:i4>1966131</vt:i4>
      </vt:variant>
      <vt:variant>
        <vt:i4>134</vt:i4>
      </vt:variant>
      <vt:variant>
        <vt:i4>0</vt:i4>
      </vt:variant>
      <vt:variant>
        <vt:i4>5</vt:i4>
      </vt:variant>
      <vt:variant>
        <vt:lpwstr/>
      </vt:variant>
      <vt:variant>
        <vt:lpwstr>_Toc13219398</vt:lpwstr>
      </vt:variant>
      <vt:variant>
        <vt:i4>1114163</vt:i4>
      </vt:variant>
      <vt:variant>
        <vt:i4>128</vt:i4>
      </vt:variant>
      <vt:variant>
        <vt:i4>0</vt:i4>
      </vt:variant>
      <vt:variant>
        <vt:i4>5</vt:i4>
      </vt:variant>
      <vt:variant>
        <vt:lpwstr/>
      </vt:variant>
      <vt:variant>
        <vt:lpwstr>_Toc13219397</vt:lpwstr>
      </vt:variant>
      <vt:variant>
        <vt:i4>1048627</vt:i4>
      </vt:variant>
      <vt:variant>
        <vt:i4>122</vt:i4>
      </vt:variant>
      <vt:variant>
        <vt:i4>0</vt:i4>
      </vt:variant>
      <vt:variant>
        <vt:i4>5</vt:i4>
      </vt:variant>
      <vt:variant>
        <vt:lpwstr/>
      </vt:variant>
      <vt:variant>
        <vt:lpwstr>_Toc13219396</vt:lpwstr>
      </vt:variant>
      <vt:variant>
        <vt:i4>1245235</vt:i4>
      </vt:variant>
      <vt:variant>
        <vt:i4>116</vt:i4>
      </vt:variant>
      <vt:variant>
        <vt:i4>0</vt:i4>
      </vt:variant>
      <vt:variant>
        <vt:i4>5</vt:i4>
      </vt:variant>
      <vt:variant>
        <vt:lpwstr/>
      </vt:variant>
      <vt:variant>
        <vt:lpwstr>_Toc13219395</vt:lpwstr>
      </vt:variant>
      <vt:variant>
        <vt:i4>1179699</vt:i4>
      </vt:variant>
      <vt:variant>
        <vt:i4>110</vt:i4>
      </vt:variant>
      <vt:variant>
        <vt:i4>0</vt:i4>
      </vt:variant>
      <vt:variant>
        <vt:i4>5</vt:i4>
      </vt:variant>
      <vt:variant>
        <vt:lpwstr/>
      </vt:variant>
      <vt:variant>
        <vt:lpwstr>_Toc13219394</vt:lpwstr>
      </vt:variant>
      <vt:variant>
        <vt:i4>1376307</vt:i4>
      </vt:variant>
      <vt:variant>
        <vt:i4>104</vt:i4>
      </vt:variant>
      <vt:variant>
        <vt:i4>0</vt:i4>
      </vt:variant>
      <vt:variant>
        <vt:i4>5</vt:i4>
      </vt:variant>
      <vt:variant>
        <vt:lpwstr/>
      </vt:variant>
      <vt:variant>
        <vt:lpwstr>_Toc13219393</vt:lpwstr>
      </vt:variant>
      <vt:variant>
        <vt:i4>1310771</vt:i4>
      </vt:variant>
      <vt:variant>
        <vt:i4>98</vt:i4>
      </vt:variant>
      <vt:variant>
        <vt:i4>0</vt:i4>
      </vt:variant>
      <vt:variant>
        <vt:i4>5</vt:i4>
      </vt:variant>
      <vt:variant>
        <vt:lpwstr/>
      </vt:variant>
      <vt:variant>
        <vt:lpwstr>_Toc13219392</vt:lpwstr>
      </vt:variant>
      <vt:variant>
        <vt:i4>1507379</vt:i4>
      </vt:variant>
      <vt:variant>
        <vt:i4>92</vt:i4>
      </vt:variant>
      <vt:variant>
        <vt:i4>0</vt:i4>
      </vt:variant>
      <vt:variant>
        <vt:i4>5</vt:i4>
      </vt:variant>
      <vt:variant>
        <vt:lpwstr/>
      </vt:variant>
      <vt:variant>
        <vt:lpwstr>_Toc13219391</vt:lpwstr>
      </vt:variant>
      <vt:variant>
        <vt:i4>1441843</vt:i4>
      </vt:variant>
      <vt:variant>
        <vt:i4>86</vt:i4>
      </vt:variant>
      <vt:variant>
        <vt:i4>0</vt:i4>
      </vt:variant>
      <vt:variant>
        <vt:i4>5</vt:i4>
      </vt:variant>
      <vt:variant>
        <vt:lpwstr/>
      </vt:variant>
      <vt:variant>
        <vt:lpwstr>_Toc13219390</vt:lpwstr>
      </vt:variant>
      <vt:variant>
        <vt:i4>2031666</vt:i4>
      </vt:variant>
      <vt:variant>
        <vt:i4>80</vt:i4>
      </vt:variant>
      <vt:variant>
        <vt:i4>0</vt:i4>
      </vt:variant>
      <vt:variant>
        <vt:i4>5</vt:i4>
      </vt:variant>
      <vt:variant>
        <vt:lpwstr/>
      </vt:variant>
      <vt:variant>
        <vt:lpwstr>_Toc13219389</vt:lpwstr>
      </vt:variant>
      <vt:variant>
        <vt:i4>1966130</vt:i4>
      </vt:variant>
      <vt:variant>
        <vt:i4>74</vt:i4>
      </vt:variant>
      <vt:variant>
        <vt:i4>0</vt:i4>
      </vt:variant>
      <vt:variant>
        <vt:i4>5</vt:i4>
      </vt:variant>
      <vt:variant>
        <vt:lpwstr/>
      </vt:variant>
      <vt:variant>
        <vt:lpwstr>_Toc13219388</vt:lpwstr>
      </vt:variant>
      <vt:variant>
        <vt:i4>1114162</vt:i4>
      </vt:variant>
      <vt:variant>
        <vt:i4>68</vt:i4>
      </vt:variant>
      <vt:variant>
        <vt:i4>0</vt:i4>
      </vt:variant>
      <vt:variant>
        <vt:i4>5</vt:i4>
      </vt:variant>
      <vt:variant>
        <vt:lpwstr/>
      </vt:variant>
      <vt:variant>
        <vt:lpwstr>_Toc13219387</vt:lpwstr>
      </vt:variant>
      <vt:variant>
        <vt:i4>1048626</vt:i4>
      </vt:variant>
      <vt:variant>
        <vt:i4>62</vt:i4>
      </vt:variant>
      <vt:variant>
        <vt:i4>0</vt:i4>
      </vt:variant>
      <vt:variant>
        <vt:i4>5</vt:i4>
      </vt:variant>
      <vt:variant>
        <vt:lpwstr/>
      </vt:variant>
      <vt:variant>
        <vt:lpwstr>_Toc13219386</vt:lpwstr>
      </vt:variant>
      <vt:variant>
        <vt:i4>1245234</vt:i4>
      </vt:variant>
      <vt:variant>
        <vt:i4>56</vt:i4>
      </vt:variant>
      <vt:variant>
        <vt:i4>0</vt:i4>
      </vt:variant>
      <vt:variant>
        <vt:i4>5</vt:i4>
      </vt:variant>
      <vt:variant>
        <vt:lpwstr/>
      </vt:variant>
      <vt:variant>
        <vt:lpwstr>_Toc13219385</vt:lpwstr>
      </vt:variant>
      <vt:variant>
        <vt:i4>1179698</vt:i4>
      </vt:variant>
      <vt:variant>
        <vt:i4>50</vt:i4>
      </vt:variant>
      <vt:variant>
        <vt:i4>0</vt:i4>
      </vt:variant>
      <vt:variant>
        <vt:i4>5</vt:i4>
      </vt:variant>
      <vt:variant>
        <vt:lpwstr/>
      </vt:variant>
      <vt:variant>
        <vt:lpwstr>_Toc13219384</vt:lpwstr>
      </vt:variant>
      <vt:variant>
        <vt:i4>1376306</vt:i4>
      </vt:variant>
      <vt:variant>
        <vt:i4>44</vt:i4>
      </vt:variant>
      <vt:variant>
        <vt:i4>0</vt:i4>
      </vt:variant>
      <vt:variant>
        <vt:i4>5</vt:i4>
      </vt:variant>
      <vt:variant>
        <vt:lpwstr/>
      </vt:variant>
      <vt:variant>
        <vt:lpwstr>_Toc13219383</vt:lpwstr>
      </vt:variant>
      <vt:variant>
        <vt:i4>1310770</vt:i4>
      </vt:variant>
      <vt:variant>
        <vt:i4>38</vt:i4>
      </vt:variant>
      <vt:variant>
        <vt:i4>0</vt:i4>
      </vt:variant>
      <vt:variant>
        <vt:i4>5</vt:i4>
      </vt:variant>
      <vt:variant>
        <vt:lpwstr/>
      </vt:variant>
      <vt:variant>
        <vt:lpwstr>_Toc13219382</vt:lpwstr>
      </vt:variant>
      <vt:variant>
        <vt:i4>1507378</vt:i4>
      </vt:variant>
      <vt:variant>
        <vt:i4>32</vt:i4>
      </vt:variant>
      <vt:variant>
        <vt:i4>0</vt:i4>
      </vt:variant>
      <vt:variant>
        <vt:i4>5</vt:i4>
      </vt:variant>
      <vt:variant>
        <vt:lpwstr/>
      </vt:variant>
      <vt:variant>
        <vt:lpwstr>_Toc13219381</vt:lpwstr>
      </vt:variant>
      <vt:variant>
        <vt:i4>1441842</vt:i4>
      </vt:variant>
      <vt:variant>
        <vt:i4>26</vt:i4>
      </vt:variant>
      <vt:variant>
        <vt:i4>0</vt:i4>
      </vt:variant>
      <vt:variant>
        <vt:i4>5</vt:i4>
      </vt:variant>
      <vt:variant>
        <vt:lpwstr/>
      </vt:variant>
      <vt:variant>
        <vt:lpwstr>_Toc13219380</vt:lpwstr>
      </vt:variant>
      <vt:variant>
        <vt:i4>2031677</vt:i4>
      </vt:variant>
      <vt:variant>
        <vt:i4>20</vt:i4>
      </vt:variant>
      <vt:variant>
        <vt:i4>0</vt:i4>
      </vt:variant>
      <vt:variant>
        <vt:i4>5</vt:i4>
      </vt:variant>
      <vt:variant>
        <vt:lpwstr/>
      </vt:variant>
      <vt:variant>
        <vt:lpwstr>_Toc13219379</vt:lpwstr>
      </vt:variant>
      <vt:variant>
        <vt:i4>1966141</vt:i4>
      </vt:variant>
      <vt:variant>
        <vt:i4>14</vt:i4>
      </vt:variant>
      <vt:variant>
        <vt:i4>0</vt:i4>
      </vt:variant>
      <vt:variant>
        <vt:i4>5</vt:i4>
      </vt:variant>
      <vt:variant>
        <vt:lpwstr/>
      </vt:variant>
      <vt:variant>
        <vt:lpwstr>_Toc13219378</vt:lpwstr>
      </vt:variant>
      <vt:variant>
        <vt:i4>1114173</vt:i4>
      </vt:variant>
      <vt:variant>
        <vt:i4>8</vt:i4>
      </vt:variant>
      <vt:variant>
        <vt:i4>0</vt:i4>
      </vt:variant>
      <vt:variant>
        <vt:i4>5</vt:i4>
      </vt:variant>
      <vt:variant>
        <vt:lpwstr/>
      </vt:variant>
      <vt:variant>
        <vt:lpwstr>_Toc13219377</vt:lpwstr>
      </vt:variant>
      <vt:variant>
        <vt:i4>1048637</vt:i4>
      </vt:variant>
      <vt:variant>
        <vt:i4>2</vt:i4>
      </vt:variant>
      <vt:variant>
        <vt:i4>0</vt:i4>
      </vt:variant>
      <vt:variant>
        <vt:i4>5</vt:i4>
      </vt:variant>
      <vt:variant>
        <vt:lpwstr/>
      </vt:variant>
      <vt:variant>
        <vt:lpwstr>_Toc13219376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SUPEN Informe  IV EJECUCION 2019.docx</dc:title>
  <dc:subject/>
  <dc:creator>sugef</dc:creator>
  <cp:keywords/>
  <dc:description/>
  <cp:lastModifiedBy>VILLALOBOS ARROYO ALLAN STEVEN</cp:lastModifiedBy>
  <cp:revision>2</cp:revision>
  <cp:lastPrinted>2019-07-01T21:25:00Z</cp:lastPrinted>
  <dcterms:created xsi:type="dcterms:W3CDTF">2021-02-10T17:43:00Z</dcterms:created>
  <dcterms:modified xsi:type="dcterms:W3CDTF">2021-02-10T17:43:00Z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0x0101008F3A47E95F5DC44F9831F0D543B59D64</vt:lpwstr>
  </property>
</Properties>
</file>