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C727F" w14:textId="77777777" w:rsidR="000D7639" w:rsidRPr="00D07970"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D07970">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DDC28"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D07970"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D07970" w:rsidRDefault="00C756F7" w:rsidP="0075610E">
      <w:pPr>
        <w:pStyle w:val="Textoindependiente2"/>
        <w:spacing w:line="288" w:lineRule="auto"/>
        <w:ind w:left="567" w:right="-34" w:firstLine="2"/>
        <w:jc w:val="center"/>
        <w:rPr>
          <w:rFonts w:asciiTheme="minorHAnsi" w:hAnsiTheme="minorHAnsi" w:cstheme="minorHAnsi"/>
          <w:b/>
          <w:i/>
          <w:color w:val="000080"/>
          <w:sz w:val="40"/>
          <w:szCs w:val="40"/>
          <w:lang w:val="es-CR"/>
        </w:rPr>
      </w:pPr>
      <w:r w:rsidRPr="00D07970">
        <w:rPr>
          <w:rFonts w:asciiTheme="minorHAnsi" w:hAnsiTheme="minorHAnsi" w:cstheme="minorHAnsi"/>
          <w:b/>
          <w:i/>
          <w:color w:val="000080"/>
          <w:sz w:val="40"/>
          <w:szCs w:val="40"/>
          <w:lang w:val="es-CR"/>
        </w:rPr>
        <w:t xml:space="preserve">Superintendencia </w:t>
      </w:r>
      <w:r w:rsidR="00673A4E" w:rsidRPr="00D07970">
        <w:rPr>
          <w:rFonts w:asciiTheme="minorHAnsi" w:hAnsiTheme="minorHAnsi" w:cstheme="minorHAnsi"/>
          <w:b/>
          <w:i/>
          <w:color w:val="000080"/>
          <w:sz w:val="40"/>
          <w:szCs w:val="40"/>
          <w:lang w:val="es-CR"/>
        </w:rPr>
        <w:t>de Pensiones</w:t>
      </w:r>
      <w:bookmarkEnd w:id="0"/>
      <w:bookmarkEnd w:id="1"/>
    </w:p>
    <w:p w14:paraId="64DC7282" w14:textId="2B201A1A" w:rsidR="00C756F7" w:rsidRPr="00D07970" w:rsidRDefault="00C756F7" w:rsidP="0075610E">
      <w:pPr>
        <w:pStyle w:val="Encabezado"/>
        <w:spacing w:line="288" w:lineRule="auto"/>
        <w:ind w:left="567" w:right="618" w:firstLine="2"/>
        <w:rPr>
          <w:rFonts w:asciiTheme="minorHAnsi" w:hAnsiTheme="minorHAnsi" w:cstheme="minorHAnsi"/>
          <w:sz w:val="24"/>
          <w:lang w:val="es-CR"/>
        </w:rPr>
      </w:pPr>
    </w:p>
    <w:p w14:paraId="64DC7283" w14:textId="4EFFE69B" w:rsidR="00C756F7" w:rsidRPr="00D07970" w:rsidRDefault="00C756F7" w:rsidP="0075610E">
      <w:pPr>
        <w:pStyle w:val="Encabezado"/>
        <w:spacing w:line="288" w:lineRule="auto"/>
        <w:ind w:left="567" w:right="618" w:firstLine="2"/>
        <w:rPr>
          <w:rFonts w:asciiTheme="minorHAnsi" w:hAnsiTheme="minorHAnsi" w:cstheme="minorHAnsi"/>
          <w:sz w:val="24"/>
          <w:lang w:val="es-CR"/>
        </w:rPr>
      </w:pPr>
    </w:p>
    <w:p w14:paraId="64DC7284" w14:textId="77777777" w:rsidR="001C1A65" w:rsidRPr="00D07970" w:rsidRDefault="001C1A65" w:rsidP="0075610E">
      <w:pPr>
        <w:spacing w:line="288" w:lineRule="auto"/>
        <w:ind w:left="567" w:right="618" w:firstLine="2"/>
        <w:rPr>
          <w:rFonts w:asciiTheme="minorHAnsi" w:hAnsiTheme="minorHAnsi" w:cstheme="minorHAnsi"/>
          <w:lang w:val="es-CR"/>
        </w:rPr>
      </w:pPr>
    </w:p>
    <w:p w14:paraId="64DC7285" w14:textId="77777777" w:rsidR="00250EE1" w:rsidRPr="00D07970" w:rsidRDefault="00250EE1" w:rsidP="0075610E">
      <w:pPr>
        <w:spacing w:line="288" w:lineRule="auto"/>
        <w:ind w:left="567" w:right="618" w:firstLine="2"/>
        <w:rPr>
          <w:rFonts w:asciiTheme="minorHAnsi" w:hAnsiTheme="minorHAnsi" w:cstheme="minorHAnsi"/>
          <w:lang w:val="es-CR"/>
        </w:rPr>
      </w:pPr>
    </w:p>
    <w:p w14:paraId="64DC7286" w14:textId="77777777" w:rsidR="001C1A65" w:rsidRPr="00D07970" w:rsidRDefault="001C1A65" w:rsidP="0075610E">
      <w:pPr>
        <w:spacing w:line="288" w:lineRule="auto"/>
        <w:ind w:left="567" w:right="618" w:firstLine="2"/>
        <w:rPr>
          <w:rFonts w:asciiTheme="minorHAnsi" w:hAnsiTheme="minorHAnsi" w:cstheme="minorHAnsi"/>
          <w:lang w:val="es-CR"/>
        </w:rPr>
      </w:pPr>
    </w:p>
    <w:p w14:paraId="64DC7287" w14:textId="77777777" w:rsidR="00C756F7" w:rsidRPr="00D07970" w:rsidRDefault="00C756F7" w:rsidP="0075610E">
      <w:pPr>
        <w:pStyle w:val="Textoindependiente2"/>
        <w:spacing w:line="288" w:lineRule="auto"/>
        <w:ind w:left="567" w:right="618" w:firstLine="2"/>
        <w:jc w:val="center"/>
        <w:rPr>
          <w:rFonts w:asciiTheme="minorHAnsi" w:hAnsiTheme="minorHAnsi" w:cstheme="minorHAnsi"/>
          <w:lang w:val="es-CR"/>
        </w:rPr>
      </w:pPr>
    </w:p>
    <w:p w14:paraId="39C26D26" w14:textId="77777777" w:rsidR="004E57DE" w:rsidRPr="00D07970" w:rsidRDefault="004E57DE" w:rsidP="0075610E">
      <w:pPr>
        <w:pStyle w:val="Textoindependiente2"/>
        <w:spacing w:line="288" w:lineRule="auto"/>
        <w:ind w:left="567" w:right="618" w:firstLine="2"/>
        <w:jc w:val="center"/>
        <w:rPr>
          <w:rFonts w:asciiTheme="minorHAnsi" w:hAnsiTheme="minorHAnsi" w:cstheme="minorHAnsi"/>
          <w:lang w:val="es-CR"/>
        </w:rPr>
      </w:pPr>
    </w:p>
    <w:p w14:paraId="64DC7288" w14:textId="77777777" w:rsidR="00D47BAD" w:rsidRPr="00D07970" w:rsidRDefault="00D47BAD" w:rsidP="0075610E">
      <w:pPr>
        <w:pStyle w:val="Textoindependiente2"/>
        <w:spacing w:line="288" w:lineRule="auto"/>
        <w:ind w:left="567" w:right="618" w:firstLine="2"/>
        <w:jc w:val="center"/>
        <w:rPr>
          <w:rFonts w:asciiTheme="minorHAnsi" w:hAnsiTheme="minorHAnsi" w:cstheme="minorHAnsi"/>
          <w:lang w:val="es-CR"/>
        </w:rPr>
      </w:pPr>
    </w:p>
    <w:p w14:paraId="64DC7289" w14:textId="4B055056" w:rsidR="00E47859" w:rsidRPr="00D07970" w:rsidRDefault="00E47859" w:rsidP="0075610E">
      <w:pPr>
        <w:pStyle w:val="Textoindependiente2"/>
        <w:spacing w:line="288" w:lineRule="auto"/>
        <w:ind w:left="567" w:right="-34" w:firstLine="2"/>
        <w:jc w:val="center"/>
        <w:rPr>
          <w:rFonts w:asciiTheme="minorHAnsi" w:hAnsiTheme="minorHAnsi" w:cstheme="minorHAnsi"/>
          <w:b/>
          <w:color w:val="000080"/>
          <w:sz w:val="56"/>
          <w:szCs w:val="52"/>
          <w:lang w:val="es-CR"/>
        </w:rPr>
      </w:pPr>
      <w:r w:rsidRPr="00D07970">
        <w:rPr>
          <w:rFonts w:asciiTheme="minorHAnsi" w:hAnsiTheme="minorHAnsi" w:cstheme="minorHAnsi"/>
          <w:b/>
          <w:color w:val="000080"/>
          <w:sz w:val="56"/>
          <w:szCs w:val="52"/>
          <w:lang w:val="es-CR"/>
        </w:rPr>
        <w:t xml:space="preserve">INFORME DE </w:t>
      </w:r>
      <w:r w:rsidR="00A06D37" w:rsidRPr="00D07970">
        <w:rPr>
          <w:rFonts w:asciiTheme="minorHAnsi" w:hAnsiTheme="minorHAnsi" w:cstheme="minorHAnsi"/>
          <w:b/>
          <w:color w:val="000080"/>
          <w:sz w:val="56"/>
          <w:szCs w:val="52"/>
          <w:lang w:val="es-CR"/>
        </w:rPr>
        <w:t>LIQUIDACIÓN</w:t>
      </w:r>
    </w:p>
    <w:p w14:paraId="64DC728A" w14:textId="4DDCFEBC" w:rsidR="00E47859" w:rsidRPr="00D07970" w:rsidRDefault="00A06D37"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D07970">
        <w:rPr>
          <w:rFonts w:asciiTheme="minorHAnsi" w:hAnsiTheme="minorHAnsi" w:cstheme="minorHAnsi"/>
          <w:b/>
          <w:color w:val="000080"/>
          <w:sz w:val="56"/>
          <w:szCs w:val="52"/>
          <w:lang w:val="es-CR"/>
        </w:rPr>
        <w:t>PRESUPUESTARIA</w:t>
      </w:r>
    </w:p>
    <w:p w14:paraId="64DC728B" w14:textId="77777777" w:rsidR="00D47BAD" w:rsidRPr="00D07970"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64DC728D" w14:textId="40A7E5CD" w:rsidR="00C756F7" w:rsidRPr="00D07970" w:rsidRDefault="00C756F7" w:rsidP="0075610E">
      <w:pPr>
        <w:pStyle w:val="Textoindependiente2"/>
        <w:spacing w:line="288" w:lineRule="auto"/>
        <w:ind w:left="567" w:right="108" w:firstLine="2"/>
        <w:jc w:val="center"/>
        <w:rPr>
          <w:rFonts w:asciiTheme="minorHAnsi" w:hAnsiTheme="minorHAnsi" w:cstheme="minorHAnsi"/>
          <w:b/>
          <w:smallCaps/>
          <w:color w:val="000080"/>
          <w:sz w:val="56"/>
          <w:szCs w:val="52"/>
          <w:lang w:val="es-CR"/>
        </w:rPr>
      </w:pPr>
      <w:r w:rsidRPr="00D07970">
        <w:rPr>
          <w:rFonts w:asciiTheme="minorHAnsi" w:hAnsiTheme="minorHAnsi" w:cstheme="minorHAnsi"/>
          <w:b/>
          <w:smallCaps/>
          <w:color w:val="000080"/>
          <w:sz w:val="96"/>
          <w:szCs w:val="52"/>
          <w:lang w:val="es-CR"/>
        </w:rPr>
        <w:t>20</w:t>
      </w:r>
      <w:r w:rsidR="002B24B1" w:rsidRPr="00D07970">
        <w:rPr>
          <w:rFonts w:asciiTheme="minorHAnsi" w:hAnsiTheme="minorHAnsi" w:cstheme="minorHAnsi"/>
          <w:b/>
          <w:smallCaps/>
          <w:color w:val="000080"/>
          <w:sz w:val="96"/>
          <w:szCs w:val="52"/>
          <w:lang w:val="es-CR"/>
        </w:rPr>
        <w:t>2</w:t>
      </w:r>
      <w:r w:rsidR="00FF7285">
        <w:rPr>
          <w:rFonts w:asciiTheme="minorHAnsi" w:hAnsiTheme="minorHAnsi" w:cstheme="minorHAnsi"/>
          <w:b/>
          <w:smallCaps/>
          <w:color w:val="000080"/>
          <w:sz w:val="96"/>
          <w:szCs w:val="52"/>
          <w:lang w:val="es-CR"/>
        </w:rPr>
        <w:t>1</w:t>
      </w:r>
    </w:p>
    <w:p w14:paraId="180F5DC8" w14:textId="77777777" w:rsidR="00026DC4" w:rsidRPr="00D07970"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52EB83A4" w14:textId="316289C1" w:rsidR="00026DC4" w:rsidRPr="00D07970"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0F72EC22" w14:textId="66C7BFA0" w:rsidR="00026DC4" w:rsidRPr="00D07970"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5B82E13C" w14:textId="77777777" w:rsidR="004E57DE" w:rsidRPr="00D07970"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4707B12F" w14:textId="77777777" w:rsidR="004E57DE" w:rsidRPr="00D07970"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64DC7290" w14:textId="585B581A" w:rsidR="00A2684C" w:rsidRPr="00D07970" w:rsidRDefault="000228A4"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D07970"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000080"/>
          <w:sz w:val="36"/>
          <w:szCs w:val="36"/>
          <w:lang w:val="es-CR"/>
        </w:rPr>
        <w:t>Enero</w:t>
      </w:r>
      <w:r w:rsidR="0046461B" w:rsidRPr="00D07970">
        <w:rPr>
          <w:rFonts w:asciiTheme="minorHAnsi" w:hAnsiTheme="minorHAnsi" w:cstheme="minorHAnsi"/>
          <w:color w:val="000080"/>
          <w:sz w:val="36"/>
          <w:szCs w:val="36"/>
          <w:lang w:val="es-CR"/>
        </w:rPr>
        <w:t xml:space="preserve"> -</w:t>
      </w:r>
      <w:r w:rsidR="00F84E0F" w:rsidRPr="00D07970">
        <w:rPr>
          <w:rFonts w:asciiTheme="minorHAnsi" w:hAnsiTheme="minorHAnsi" w:cstheme="minorHAnsi"/>
          <w:color w:val="000080"/>
          <w:sz w:val="36"/>
          <w:szCs w:val="36"/>
          <w:lang w:val="es-CR"/>
        </w:rPr>
        <w:t xml:space="preserve"> 20</w:t>
      </w:r>
      <w:r w:rsidR="00F17209" w:rsidRPr="00D07970">
        <w:rPr>
          <w:rFonts w:asciiTheme="minorHAnsi" w:hAnsiTheme="minorHAnsi" w:cstheme="minorHAnsi"/>
          <w:color w:val="000080"/>
          <w:sz w:val="36"/>
          <w:szCs w:val="36"/>
          <w:lang w:val="es-CR"/>
        </w:rPr>
        <w:t>2</w:t>
      </w:r>
      <w:r w:rsidR="00FF7285">
        <w:rPr>
          <w:rFonts w:asciiTheme="minorHAnsi" w:hAnsiTheme="minorHAnsi" w:cstheme="minorHAnsi"/>
          <w:color w:val="000080"/>
          <w:sz w:val="36"/>
          <w:szCs w:val="36"/>
          <w:lang w:val="es-CR"/>
        </w:rPr>
        <w:t>2</w:t>
      </w:r>
    </w:p>
    <w:p w14:paraId="64DC7291" w14:textId="77777777" w:rsidR="00E47859" w:rsidRPr="00D07970" w:rsidRDefault="00E47859" w:rsidP="00E47859">
      <w:pPr>
        <w:spacing w:line="288" w:lineRule="auto"/>
        <w:jc w:val="center"/>
        <w:rPr>
          <w:rFonts w:asciiTheme="minorHAnsi" w:hAnsiTheme="minorHAnsi" w:cstheme="minorHAnsi"/>
          <w:b/>
          <w:sz w:val="32"/>
          <w:lang w:val="es-CR"/>
        </w:rPr>
      </w:pPr>
      <w:r w:rsidRPr="00D07970">
        <w:rPr>
          <w:rFonts w:asciiTheme="minorHAnsi" w:hAnsiTheme="minorHAnsi" w:cstheme="minorHAnsi"/>
          <w:b/>
          <w:sz w:val="32"/>
          <w:lang w:val="es-CR"/>
        </w:rPr>
        <w:lastRenderedPageBreak/>
        <w:t>ÍNDICE</w:t>
      </w:r>
    </w:p>
    <w:p w14:paraId="5951CC5E" w14:textId="71FA3B58" w:rsidR="0090414F" w:rsidRDefault="00A33FC2">
      <w:pPr>
        <w:pStyle w:val="TDC1"/>
        <w:rPr>
          <w:rFonts w:asciiTheme="minorHAnsi" w:eastAsiaTheme="minorEastAsia" w:hAnsiTheme="minorHAnsi" w:cstheme="minorBidi"/>
          <w:b w:val="0"/>
          <w:bCs w:val="0"/>
          <w:caps w:val="0"/>
          <w:noProof/>
          <w:sz w:val="22"/>
          <w:szCs w:val="22"/>
          <w:lang w:val="es-CR" w:eastAsia="es-CR"/>
        </w:rPr>
      </w:pPr>
      <w:r w:rsidRPr="00D07970">
        <w:rPr>
          <w:rFonts w:asciiTheme="minorHAnsi" w:hAnsiTheme="minorHAnsi" w:cstheme="minorHAnsi"/>
          <w:lang w:val="es-CR"/>
        </w:rPr>
        <w:fldChar w:fldCharType="begin"/>
      </w:r>
      <w:r w:rsidR="00E47859" w:rsidRPr="00D07970">
        <w:rPr>
          <w:rFonts w:asciiTheme="minorHAnsi" w:hAnsiTheme="minorHAnsi" w:cstheme="minorHAnsi"/>
          <w:lang w:val="es-CR"/>
        </w:rPr>
        <w:instrText xml:space="preserve"> TOC \o "1-6" \h \z \u </w:instrText>
      </w:r>
      <w:r w:rsidRPr="00D07970">
        <w:rPr>
          <w:rFonts w:asciiTheme="minorHAnsi" w:hAnsiTheme="minorHAnsi" w:cstheme="minorHAnsi"/>
          <w:lang w:val="es-CR"/>
        </w:rPr>
        <w:fldChar w:fldCharType="separate"/>
      </w:r>
      <w:hyperlink w:anchor="_Toc94183015" w:history="1">
        <w:r w:rsidR="0090414F" w:rsidRPr="00FC4A4C">
          <w:rPr>
            <w:rStyle w:val="Hipervnculo"/>
            <w:rFonts w:cstheme="minorHAnsi"/>
            <w:noProof/>
            <w:lang w:val="es-CR"/>
          </w:rPr>
          <w:t>PRESENTACIÓN</w:t>
        </w:r>
        <w:r w:rsidR="0090414F">
          <w:rPr>
            <w:noProof/>
            <w:webHidden/>
          </w:rPr>
          <w:tab/>
        </w:r>
        <w:r w:rsidR="0090414F">
          <w:rPr>
            <w:noProof/>
            <w:webHidden/>
          </w:rPr>
          <w:fldChar w:fldCharType="begin"/>
        </w:r>
        <w:r w:rsidR="0090414F">
          <w:rPr>
            <w:noProof/>
            <w:webHidden/>
          </w:rPr>
          <w:instrText xml:space="preserve"> PAGEREF _Toc94183015 \h </w:instrText>
        </w:r>
        <w:r w:rsidR="0090414F">
          <w:rPr>
            <w:noProof/>
            <w:webHidden/>
          </w:rPr>
        </w:r>
        <w:r w:rsidR="0090414F">
          <w:rPr>
            <w:noProof/>
            <w:webHidden/>
          </w:rPr>
          <w:fldChar w:fldCharType="separate"/>
        </w:r>
        <w:r w:rsidR="0090414F">
          <w:rPr>
            <w:noProof/>
            <w:webHidden/>
          </w:rPr>
          <w:t>3</w:t>
        </w:r>
        <w:r w:rsidR="0090414F">
          <w:rPr>
            <w:noProof/>
            <w:webHidden/>
          </w:rPr>
          <w:fldChar w:fldCharType="end"/>
        </w:r>
      </w:hyperlink>
    </w:p>
    <w:p w14:paraId="321A2337" w14:textId="1FE700C7" w:rsidR="0090414F" w:rsidRDefault="0090414F">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94183016" w:history="1">
        <w:r w:rsidRPr="00FC4A4C">
          <w:rPr>
            <w:rStyle w:val="Hipervnculo"/>
            <w:bCs/>
            <w:i/>
            <w:iCs/>
            <w:noProof/>
          </w:rPr>
          <w:t>i.</w:t>
        </w:r>
        <w:r>
          <w:rPr>
            <w:rFonts w:asciiTheme="minorHAnsi" w:eastAsiaTheme="minorEastAsia" w:hAnsiTheme="minorHAnsi" w:cstheme="minorBidi"/>
            <w:smallCaps w:val="0"/>
            <w:noProof/>
            <w:sz w:val="22"/>
            <w:szCs w:val="22"/>
            <w:lang w:val="es-CR" w:eastAsia="es-CR"/>
          </w:rPr>
          <w:tab/>
        </w:r>
        <w:r w:rsidRPr="00FC4A4C">
          <w:rPr>
            <w:rStyle w:val="Hipervnculo"/>
            <w:bCs/>
            <w:i/>
            <w:iCs/>
            <w:noProof/>
          </w:rPr>
          <w:t>Introducción</w:t>
        </w:r>
        <w:r>
          <w:rPr>
            <w:noProof/>
            <w:webHidden/>
          </w:rPr>
          <w:tab/>
        </w:r>
        <w:r>
          <w:rPr>
            <w:noProof/>
            <w:webHidden/>
          </w:rPr>
          <w:fldChar w:fldCharType="begin"/>
        </w:r>
        <w:r>
          <w:rPr>
            <w:noProof/>
            <w:webHidden/>
          </w:rPr>
          <w:instrText xml:space="preserve"> PAGEREF _Toc94183016 \h </w:instrText>
        </w:r>
        <w:r>
          <w:rPr>
            <w:noProof/>
            <w:webHidden/>
          </w:rPr>
        </w:r>
        <w:r>
          <w:rPr>
            <w:noProof/>
            <w:webHidden/>
          </w:rPr>
          <w:fldChar w:fldCharType="separate"/>
        </w:r>
        <w:r>
          <w:rPr>
            <w:noProof/>
            <w:webHidden/>
          </w:rPr>
          <w:t>4</w:t>
        </w:r>
        <w:r>
          <w:rPr>
            <w:noProof/>
            <w:webHidden/>
          </w:rPr>
          <w:fldChar w:fldCharType="end"/>
        </w:r>
      </w:hyperlink>
    </w:p>
    <w:p w14:paraId="2FC5D27E" w14:textId="56D14AB1" w:rsidR="0090414F" w:rsidRDefault="0090414F">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94183017" w:history="1">
        <w:r w:rsidRPr="00FC4A4C">
          <w:rPr>
            <w:rStyle w:val="Hipervnculo"/>
            <w:bCs/>
            <w:i/>
            <w:iCs/>
            <w:noProof/>
          </w:rPr>
          <w:t xml:space="preserve">ii. </w:t>
        </w:r>
        <w:r>
          <w:rPr>
            <w:rFonts w:asciiTheme="minorHAnsi" w:eastAsiaTheme="minorEastAsia" w:hAnsiTheme="minorHAnsi" w:cstheme="minorBidi"/>
            <w:smallCaps w:val="0"/>
            <w:noProof/>
            <w:sz w:val="22"/>
            <w:szCs w:val="22"/>
            <w:lang w:val="es-CR" w:eastAsia="es-CR"/>
          </w:rPr>
          <w:tab/>
        </w:r>
        <w:r w:rsidRPr="00FC4A4C">
          <w:rPr>
            <w:rStyle w:val="Hipervnculo"/>
            <w:bCs/>
            <w:i/>
            <w:iCs/>
            <w:noProof/>
          </w:rPr>
          <w:t>Objeto del informe</w:t>
        </w:r>
        <w:r>
          <w:rPr>
            <w:noProof/>
            <w:webHidden/>
          </w:rPr>
          <w:tab/>
        </w:r>
        <w:r>
          <w:rPr>
            <w:noProof/>
            <w:webHidden/>
          </w:rPr>
          <w:fldChar w:fldCharType="begin"/>
        </w:r>
        <w:r>
          <w:rPr>
            <w:noProof/>
            <w:webHidden/>
          </w:rPr>
          <w:instrText xml:space="preserve"> PAGEREF _Toc94183017 \h </w:instrText>
        </w:r>
        <w:r>
          <w:rPr>
            <w:noProof/>
            <w:webHidden/>
          </w:rPr>
        </w:r>
        <w:r>
          <w:rPr>
            <w:noProof/>
            <w:webHidden/>
          </w:rPr>
          <w:fldChar w:fldCharType="separate"/>
        </w:r>
        <w:r>
          <w:rPr>
            <w:noProof/>
            <w:webHidden/>
          </w:rPr>
          <w:t>5</w:t>
        </w:r>
        <w:r>
          <w:rPr>
            <w:noProof/>
            <w:webHidden/>
          </w:rPr>
          <w:fldChar w:fldCharType="end"/>
        </w:r>
      </w:hyperlink>
    </w:p>
    <w:p w14:paraId="5328F9A0" w14:textId="1116BA62" w:rsidR="0090414F" w:rsidRDefault="0090414F">
      <w:pPr>
        <w:pStyle w:val="TDC1"/>
        <w:rPr>
          <w:rFonts w:asciiTheme="minorHAnsi" w:eastAsiaTheme="minorEastAsia" w:hAnsiTheme="minorHAnsi" w:cstheme="minorBidi"/>
          <w:b w:val="0"/>
          <w:bCs w:val="0"/>
          <w:caps w:val="0"/>
          <w:noProof/>
          <w:sz w:val="22"/>
          <w:szCs w:val="22"/>
          <w:lang w:val="es-CR" w:eastAsia="es-CR"/>
        </w:rPr>
      </w:pPr>
      <w:hyperlink w:anchor="_Toc94183018" w:history="1">
        <w:r w:rsidRPr="00FC4A4C">
          <w:rPr>
            <w:rStyle w:val="Hipervnculo"/>
            <w:rFonts w:cstheme="minorHAnsi"/>
            <w:noProof/>
            <w:lang w:val="es-CR"/>
          </w:rPr>
          <w:t>A.</w:t>
        </w:r>
        <w:r>
          <w:rPr>
            <w:rFonts w:asciiTheme="minorHAnsi" w:eastAsiaTheme="minorEastAsia" w:hAnsiTheme="minorHAnsi" w:cstheme="minorBidi"/>
            <w:b w:val="0"/>
            <w:bCs w:val="0"/>
            <w:caps w:val="0"/>
            <w:noProof/>
            <w:sz w:val="22"/>
            <w:szCs w:val="22"/>
            <w:lang w:val="es-CR" w:eastAsia="es-CR"/>
          </w:rPr>
          <w:tab/>
        </w:r>
        <w:r w:rsidRPr="00FC4A4C">
          <w:rPr>
            <w:rStyle w:val="Hipervnculo"/>
            <w:rFonts w:cstheme="minorHAnsi"/>
            <w:noProof/>
            <w:lang w:val="es-CR"/>
          </w:rPr>
          <w:t xml:space="preserve">RESULTADOS DE LA LIQUIDACIÓN PRESUPUESTARIA </w:t>
        </w:r>
        <w:r w:rsidRPr="00FC4A4C">
          <w:rPr>
            <w:rStyle w:val="Hipervnculo"/>
            <w:i/>
            <w:iCs/>
            <w:noProof/>
            <w:lang w:val="es-CR"/>
          </w:rPr>
          <w:t>4.3.19 b</w:t>
        </w:r>
        <w:r>
          <w:rPr>
            <w:noProof/>
            <w:webHidden/>
          </w:rPr>
          <w:tab/>
        </w:r>
        <w:r>
          <w:rPr>
            <w:noProof/>
            <w:webHidden/>
          </w:rPr>
          <w:fldChar w:fldCharType="begin"/>
        </w:r>
        <w:r>
          <w:rPr>
            <w:noProof/>
            <w:webHidden/>
          </w:rPr>
          <w:instrText xml:space="preserve"> PAGEREF _Toc94183018 \h </w:instrText>
        </w:r>
        <w:r>
          <w:rPr>
            <w:noProof/>
            <w:webHidden/>
          </w:rPr>
        </w:r>
        <w:r>
          <w:rPr>
            <w:noProof/>
            <w:webHidden/>
          </w:rPr>
          <w:fldChar w:fldCharType="separate"/>
        </w:r>
        <w:r>
          <w:rPr>
            <w:noProof/>
            <w:webHidden/>
          </w:rPr>
          <w:t>6</w:t>
        </w:r>
        <w:r>
          <w:rPr>
            <w:noProof/>
            <w:webHidden/>
          </w:rPr>
          <w:fldChar w:fldCharType="end"/>
        </w:r>
      </w:hyperlink>
    </w:p>
    <w:p w14:paraId="65FD3E66" w14:textId="3F69E635"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19" w:history="1">
        <w:r w:rsidRPr="00FC4A4C">
          <w:rPr>
            <w:rStyle w:val="Hipervnculo"/>
            <w:rFonts w:cstheme="minorHAnsi"/>
            <w:b/>
            <w:bCs/>
            <w:lang w:val="es-CR"/>
          </w:rPr>
          <w:t>i.</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Resumen a nivel institucional que refleje la totalidad de los ingresos recibidos y el total de gastos ejecutados en el período. (4.3.19 b. i)</w:t>
        </w:r>
        <w:r>
          <w:rPr>
            <w:webHidden/>
          </w:rPr>
          <w:tab/>
        </w:r>
        <w:r>
          <w:rPr>
            <w:webHidden/>
          </w:rPr>
          <w:fldChar w:fldCharType="begin"/>
        </w:r>
        <w:r>
          <w:rPr>
            <w:webHidden/>
          </w:rPr>
          <w:instrText xml:space="preserve"> PAGEREF _Toc94183019 \h </w:instrText>
        </w:r>
        <w:r>
          <w:rPr>
            <w:webHidden/>
          </w:rPr>
        </w:r>
        <w:r>
          <w:rPr>
            <w:webHidden/>
          </w:rPr>
          <w:fldChar w:fldCharType="separate"/>
        </w:r>
        <w:r>
          <w:rPr>
            <w:webHidden/>
          </w:rPr>
          <w:t>6</w:t>
        </w:r>
        <w:r>
          <w:rPr>
            <w:webHidden/>
          </w:rPr>
          <w:fldChar w:fldCharType="end"/>
        </w:r>
      </w:hyperlink>
    </w:p>
    <w:p w14:paraId="3F4FAFA3" w14:textId="4B8CA2FE" w:rsidR="0090414F" w:rsidRDefault="0090414F">
      <w:pPr>
        <w:pStyle w:val="TDC3"/>
        <w:rPr>
          <w:rFonts w:asciiTheme="minorHAnsi" w:eastAsiaTheme="minorEastAsia" w:hAnsiTheme="minorHAnsi" w:cstheme="minorBidi"/>
          <w:i w:val="0"/>
          <w:iCs w:val="0"/>
          <w:sz w:val="22"/>
          <w:szCs w:val="22"/>
          <w:lang w:val="es-CR" w:eastAsia="es-CR"/>
        </w:rPr>
      </w:pPr>
      <w:hyperlink w:anchor="_Toc94183020" w:history="1">
        <w:r w:rsidRPr="00FC4A4C">
          <w:rPr>
            <w:rStyle w:val="Hipervnculo"/>
            <w:b/>
            <w:bCs/>
          </w:rPr>
          <w:t>Cuadro 1</w:t>
        </w:r>
        <w:r w:rsidRPr="00FC4A4C">
          <w:rPr>
            <w:rStyle w:val="Hipervnculo"/>
          </w:rPr>
          <w:t>: Informe de ingresos recibidos y gastos ejecutados</w:t>
        </w:r>
        <w:r>
          <w:rPr>
            <w:webHidden/>
          </w:rPr>
          <w:tab/>
        </w:r>
        <w:r>
          <w:rPr>
            <w:webHidden/>
          </w:rPr>
          <w:fldChar w:fldCharType="begin"/>
        </w:r>
        <w:r>
          <w:rPr>
            <w:webHidden/>
          </w:rPr>
          <w:instrText xml:space="preserve"> PAGEREF _Toc94183020 \h </w:instrText>
        </w:r>
        <w:r>
          <w:rPr>
            <w:webHidden/>
          </w:rPr>
        </w:r>
        <w:r>
          <w:rPr>
            <w:webHidden/>
          </w:rPr>
          <w:fldChar w:fldCharType="separate"/>
        </w:r>
        <w:r>
          <w:rPr>
            <w:webHidden/>
          </w:rPr>
          <w:t>6</w:t>
        </w:r>
        <w:r>
          <w:rPr>
            <w:webHidden/>
          </w:rPr>
          <w:fldChar w:fldCharType="end"/>
        </w:r>
      </w:hyperlink>
    </w:p>
    <w:p w14:paraId="6F11DF39" w14:textId="39CA1554"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21" w:history="1">
        <w:r w:rsidRPr="00FC4A4C">
          <w:rPr>
            <w:rStyle w:val="Hipervnculo"/>
            <w:rFonts w:cstheme="minorHAnsi"/>
            <w:b/>
            <w:bCs/>
            <w:lang w:val="es-CR"/>
          </w:rPr>
          <w:t>ii.</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Detalle de la conformación del superávit (4.3.19. ii)</w:t>
        </w:r>
        <w:r>
          <w:rPr>
            <w:webHidden/>
          </w:rPr>
          <w:tab/>
        </w:r>
        <w:r>
          <w:rPr>
            <w:webHidden/>
          </w:rPr>
          <w:fldChar w:fldCharType="begin"/>
        </w:r>
        <w:r>
          <w:rPr>
            <w:webHidden/>
          </w:rPr>
          <w:instrText xml:space="preserve"> PAGEREF _Toc94183021 \h </w:instrText>
        </w:r>
        <w:r>
          <w:rPr>
            <w:webHidden/>
          </w:rPr>
        </w:r>
        <w:r>
          <w:rPr>
            <w:webHidden/>
          </w:rPr>
          <w:fldChar w:fldCharType="separate"/>
        </w:r>
        <w:r>
          <w:rPr>
            <w:webHidden/>
          </w:rPr>
          <w:t>6</w:t>
        </w:r>
        <w:r>
          <w:rPr>
            <w:webHidden/>
          </w:rPr>
          <w:fldChar w:fldCharType="end"/>
        </w:r>
      </w:hyperlink>
    </w:p>
    <w:p w14:paraId="1BAD73D6" w14:textId="06D1AD0F"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22" w:history="1">
        <w:r w:rsidRPr="00FC4A4C">
          <w:rPr>
            <w:rStyle w:val="Hipervnculo"/>
            <w:rFonts w:cstheme="minorHAnsi"/>
            <w:b/>
            <w:bCs/>
            <w:lang w:val="es-CR"/>
          </w:rPr>
          <w:t>iii.</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Monto del superávit libre o déficit (4.3.19 b. iii)</w:t>
        </w:r>
        <w:r>
          <w:rPr>
            <w:webHidden/>
          </w:rPr>
          <w:tab/>
        </w:r>
        <w:r>
          <w:rPr>
            <w:webHidden/>
          </w:rPr>
          <w:fldChar w:fldCharType="begin"/>
        </w:r>
        <w:r>
          <w:rPr>
            <w:webHidden/>
          </w:rPr>
          <w:instrText xml:space="preserve"> PAGEREF _Toc94183022 \h </w:instrText>
        </w:r>
        <w:r>
          <w:rPr>
            <w:webHidden/>
          </w:rPr>
        </w:r>
        <w:r>
          <w:rPr>
            <w:webHidden/>
          </w:rPr>
          <w:fldChar w:fldCharType="separate"/>
        </w:r>
        <w:r>
          <w:rPr>
            <w:webHidden/>
          </w:rPr>
          <w:t>7</w:t>
        </w:r>
        <w:r>
          <w:rPr>
            <w:webHidden/>
          </w:rPr>
          <w:fldChar w:fldCharType="end"/>
        </w:r>
      </w:hyperlink>
    </w:p>
    <w:p w14:paraId="6841A265" w14:textId="238D878E" w:rsidR="0090414F" w:rsidRDefault="0090414F">
      <w:pPr>
        <w:pStyle w:val="TDC3"/>
        <w:rPr>
          <w:rFonts w:asciiTheme="minorHAnsi" w:eastAsiaTheme="minorEastAsia" w:hAnsiTheme="minorHAnsi" w:cstheme="minorBidi"/>
          <w:i w:val="0"/>
          <w:iCs w:val="0"/>
          <w:sz w:val="22"/>
          <w:szCs w:val="22"/>
          <w:lang w:val="es-CR" w:eastAsia="es-CR"/>
        </w:rPr>
      </w:pPr>
      <w:hyperlink w:anchor="_Toc94183023" w:history="1">
        <w:r w:rsidRPr="00FC4A4C">
          <w:rPr>
            <w:rStyle w:val="Hipervnculo"/>
            <w:b/>
            <w:bCs/>
          </w:rPr>
          <w:t>Cuadro 2</w:t>
        </w:r>
        <w:r w:rsidRPr="00FC4A4C">
          <w:rPr>
            <w:rStyle w:val="Hipervnculo"/>
          </w:rPr>
          <w:t>: Informe de superávit o déficit</w:t>
        </w:r>
        <w:r>
          <w:rPr>
            <w:webHidden/>
          </w:rPr>
          <w:tab/>
        </w:r>
        <w:r>
          <w:rPr>
            <w:webHidden/>
          </w:rPr>
          <w:fldChar w:fldCharType="begin"/>
        </w:r>
        <w:r>
          <w:rPr>
            <w:webHidden/>
          </w:rPr>
          <w:instrText xml:space="preserve"> PAGEREF _Toc94183023 \h </w:instrText>
        </w:r>
        <w:r>
          <w:rPr>
            <w:webHidden/>
          </w:rPr>
        </w:r>
        <w:r>
          <w:rPr>
            <w:webHidden/>
          </w:rPr>
          <w:fldChar w:fldCharType="separate"/>
        </w:r>
        <w:r>
          <w:rPr>
            <w:webHidden/>
          </w:rPr>
          <w:t>7</w:t>
        </w:r>
        <w:r>
          <w:rPr>
            <w:webHidden/>
          </w:rPr>
          <w:fldChar w:fldCharType="end"/>
        </w:r>
      </w:hyperlink>
    </w:p>
    <w:p w14:paraId="38FFEBBC" w14:textId="6142AF7F"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24" w:history="1">
        <w:r w:rsidRPr="00FC4A4C">
          <w:rPr>
            <w:rStyle w:val="Hipervnculo"/>
            <w:rFonts w:cstheme="minorHAnsi"/>
            <w:b/>
            <w:bCs/>
            <w:lang w:val="es-CR"/>
          </w:rPr>
          <w:t>iv.</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Detalle del cálculo de cada uno de los componentes del superávit. (4.3.19 b. iv)</w:t>
        </w:r>
        <w:r>
          <w:rPr>
            <w:webHidden/>
          </w:rPr>
          <w:tab/>
        </w:r>
        <w:r>
          <w:rPr>
            <w:webHidden/>
          </w:rPr>
          <w:fldChar w:fldCharType="begin"/>
        </w:r>
        <w:r>
          <w:rPr>
            <w:webHidden/>
          </w:rPr>
          <w:instrText xml:space="preserve"> PAGEREF _Toc94183024 \h </w:instrText>
        </w:r>
        <w:r>
          <w:rPr>
            <w:webHidden/>
          </w:rPr>
        </w:r>
        <w:r>
          <w:rPr>
            <w:webHidden/>
          </w:rPr>
          <w:fldChar w:fldCharType="separate"/>
        </w:r>
        <w:r>
          <w:rPr>
            <w:webHidden/>
          </w:rPr>
          <w:t>7</w:t>
        </w:r>
        <w:r>
          <w:rPr>
            <w:webHidden/>
          </w:rPr>
          <w:fldChar w:fldCharType="end"/>
        </w:r>
      </w:hyperlink>
    </w:p>
    <w:p w14:paraId="4D036C7A" w14:textId="439C352D"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25" w:history="1">
        <w:r w:rsidRPr="00FC4A4C">
          <w:rPr>
            <w:rStyle w:val="Hipervnculo"/>
            <w:rFonts w:cstheme="minorHAnsi"/>
            <w:b/>
            <w:bCs/>
            <w:lang w:val="es-CR"/>
          </w:rPr>
          <w:t>v.</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Detalle del superávit acumulado total por cada una de las fuentes. (4.3.19 b. v)</w:t>
        </w:r>
        <w:r>
          <w:rPr>
            <w:webHidden/>
          </w:rPr>
          <w:tab/>
        </w:r>
        <w:r>
          <w:rPr>
            <w:webHidden/>
          </w:rPr>
          <w:fldChar w:fldCharType="begin"/>
        </w:r>
        <w:r>
          <w:rPr>
            <w:webHidden/>
          </w:rPr>
          <w:instrText xml:space="preserve"> PAGEREF _Toc94183025 \h </w:instrText>
        </w:r>
        <w:r>
          <w:rPr>
            <w:webHidden/>
          </w:rPr>
        </w:r>
        <w:r>
          <w:rPr>
            <w:webHidden/>
          </w:rPr>
          <w:fldChar w:fldCharType="separate"/>
        </w:r>
        <w:r>
          <w:rPr>
            <w:webHidden/>
          </w:rPr>
          <w:t>8</w:t>
        </w:r>
        <w:r>
          <w:rPr>
            <w:webHidden/>
          </w:rPr>
          <w:fldChar w:fldCharType="end"/>
        </w:r>
      </w:hyperlink>
    </w:p>
    <w:p w14:paraId="176574B7" w14:textId="116A5118" w:rsidR="0090414F" w:rsidRDefault="0090414F">
      <w:pPr>
        <w:pStyle w:val="TDC1"/>
        <w:rPr>
          <w:rFonts w:asciiTheme="minorHAnsi" w:eastAsiaTheme="minorEastAsia" w:hAnsiTheme="minorHAnsi" w:cstheme="minorBidi"/>
          <w:b w:val="0"/>
          <w:bCs w:val="0"/>
          <w:caps w:val="0"/>
          <w:noProof/>
          <w:sz w:val="22"/>
          <w:szCs w:val="22"/>
          <w:lang w:val="es-CR" w:eastAsia="es-CR"/>
        </w:rPr>
      </w:pPr>
      <w:hyperlink w:anchor="_Toc94183026" w:history="1">
        <w:r w:rsidRPr="00FC4A4C">
          <w:rPr>
            <w:rStyle w:val="Hipervnculo"/>
            <w:rFonts w:cstheme="minorHAnsi"/>
            <w:noProof/>
            <w:lang w:val="es-CR"/>
          </w:rPr>
          <w:t>B.</w:t>
        </w:r>
        <w:r>
          <w:rPr>
            <w:rFonts w:asciiTheme="minorHAnsi" w:eastAsiaTheme="minorEastAsia" w:hAnsiTheme="minorHAnsi" w:cstheme="minorBidi"/>
            <w:b w:val="0"/>
            <w:bCs w:val="0"/>
            <w:caps w:val="0"/>
            <w:noProof/>
            <w:sz w:val="22"/>
            <w:szCs w:val="22"/>
            <w:lang w:val="es-CR" w:eastAsia="es-CR"/>
          </w:rPr>
          <w:tab/>
        </w:r>
        <w:r w:rsidRPr="00FC4A4C">
          <w:rPr>
            <w:rStyle w:val="Hipervnculo"/>
            <w:rFonts w:cstheme="minorHAnsi"/>
            <w:noProof/>
            <w:lang w:val="es-CR"/>
          </w:rPr>
          <w:t xml:space="preserve">INFORMACIÓN COMPLEMENTARIA </w:t>
        </w:r>
        <w:r w:rsidRPr="00FC4A4C">
          <w:rPr>
            <w:rStyle w:val="Hipervnculo"/>
            <w:i/>
            <w:iCs/>
            <w:noProof/>
            <w:lang w:val="es-CR"/>
          </w:rPr>
          <w:t>4.3.19 C</w:t>
        </w:r>
        <w:r>
          <w:rPr>
            <w:noProof/>
            <w:webHidden/>
          </w:rPr>
          <w:tab/>
        </w:r>
        <w:r>
          <w:rPr>
            <w:noProof/>
            <w:webHidden/>
          </w:rPr>
          <w:fldChar w:fldCharType="begin"/>
        </w:r>
        <w:r>
          <w:rPr>
            <w:noProof/>
            <w:webHidden/>
          </w:rPr>
          <w:instrText xml:space="preserve"> PAGEREF _Toc94183026 \h </w:instrText>
        </w:r>
        <w:r>
          <w:rPr>
            <w:noProof/>
            <w:webHidden/>
          </w:rPr>
        </w:r>
        <w:r>
          <w:rPr>
            <w:noProof/>
            <w:webHidden/>
          </w:rPr>
          <w:fldChar w:fldCharType="separate"/>
        </w:r>
        <w:r>
          <w:rPr>
            <w:noProof/>
            <w:webHidden/>
          </w:rPr>
          <w:t>8</w:t>
        </w:r>
        <w:r>
          <w:rPr>
            <w:noProof/>
            <w:webHidden/>
          </w:rPr>
          <w:fldChar w:fldCharType="end"/>
        </w:r>
      </w:hyperlink>
    </w:p>
    <w:p w14:paraId="2A3B55A4" w14:textId="3FE79B94"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27" w:history="1">
        <w:r w:rsidRPr="00FC4A4C">
          <w:rPr>
            <w:rStyle w:val="Hipervnculo"/>
            <w:rFonts w:cstheme="minorHAnsi"/>
            <w:b/>
            <w:bCs/>
            <w:lang w:val="es-CR"/>
          </w:rPr>
          <w:t>i.</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Comentarios generales de la liquidación de los ingresos y gastos (4.3.19 c. i).</w:t>
        </w:r>
        <w:r>
          <w:rPr>
            <w:webHidden/>
          </w:rPr>
          <w:tab/>
        </w:r>
        <w:r>
          <w:rPr>
            <w:webHidden/>
          </w:rPr>
          <w:fldChar w:fldCharType="begin"/>
        </w:r>
        <w:r>
          <w:rPr>
            <w:webHidden/>
          </w:rPr>
          <w:instrText xml:space="preserve"> PAGEREF _Toc94183027 \h </w:instrText>
        </w:r>
        <w:r>
          <w:rPr>
            <w:webHidden/>
          </w:rPr>
        </w:r>
        <w:r>
          <w:rPr>
            <w:webHidden/>
          </w:rPr>
          <w:fldChar w:fldCharType="separate"/>
        </w:r>
        <w:r>
          <w:rPr>
            <w:webHidden/>
          </w:rPr>
          <w:t>8</w:t>
        </w:r>
        <w:r>
          <w:rPr>
            <w:webHidden/>
          </w:rPr>
          <w:fldChar w:fldCharType="end"/>
        </w:r>
      </w:hyperlink>
    </w:p>
    <w:p w14:paraId="41514128" w14:textId="447B1A7C" w:rsidR="0090414F" w:rsidRDefault="0090414F">
      <w:pPr>
        <w:pStyle w:val="TDC3"/>
        <w:rPr>
          <w:rFonts w:asciiTheme="minorHAnsi" w:eastAsiaTheme="minorEastAsia" w:hAnsiTheme="minorHAnsi" w:cstheme="minorBidi"/>
          <w:i w:val="0"/>
          <w:iCs w:val="0"/>
          <w:sz w:val="22"/>
          <w:szCs w:val="22"/>
          <w:lang w:val="es-CR" w:eastAsia="es-CR"/>
        </w:rPr>
      </w:pPr>
      <w:hyperlink w:anchor="_Toc94183028" w:history="1">
        <w:r w:rsidRPr="00FC4A4C">
          <w:rPr>
            <w:rStyle w:val="Hipervnculo"/>
          </w:rPr>
          <w:t>Cuenta presupuestaria de ingresos</w:t>
        </w:r>
        <w:r>
          <w:rPr>
            <w:webHidden/>
          </w:rPr>
          <w:tab/>
        </w:r>
        <w:r>
          <w:rPr>
            <w:webHidden/>
          </w:rPr>
          <w:fldChar w:fldCharType="begin"/>
        </w:r>
        <w:r>
          <w:rPr>
            <w:webHidden/>
          </w:rPr>
          <w:instrText xml:space="preserve"> PAGEREF _Toc94183028 \h </w:instrText>
        </w:r>
        <w:r>
          <w:rPr>
            <w:webHidden/>
          </w:rPr>
        </w:r>
        <w:r>
          <w:rPr>
            <w:webHidden/>
          </w:rPr>
          <w:fldChar w:fldCharType="separate"/>
        </w:r>
        <w:r>
          <w:rPr>
            <w:webHidden/>
          </w:rPr>
          <w:t>8</w:t>
        </w:r>
        <w:r>
          <w:rPr>
            <w:webHidden/>
          </w:rPr>
          <w:fldChar w:fldCharType="end"/>
        </w:r>
      </w:hyperlink>
    </w:p>
    <w:p w14:paraId="653D676F" w14:textId="0508BE28" w:rsidR="0090414F" w:rsidRDefault="0090414F">
      <w:pPr>
        <w:pStyle w:val="TDC3"/>
        <w:rPr>
          <w:rFonts w:asciiTheme="minorHAnsi" w:eastAsiaTheme="minorEastAsia" w:hAnsiTheme="minorHAnsi" w:cstheme="minorBidi"/>
          <w:i w:val="0"/>
          <w:iCs w:val="0"/>
          <w:sz w:val="22"/>
          <w:szCs w:val="22"/>
          <w:lang w:val="es-CR" w:eastAsia="es-CR"/>
        </w:rPr>
      </w:pPr>
      <w:hyperlink w:anchor="_Toc94183029" w:history="1">
        <w:r w:rsidRPr="00FC4A4C">
          <w:rPr>
            <w:rStyle w:val="Hipervnculo"/>
            <w:b/>
            <w:bCs/>
          </w:rPr>
          <w:t>Cuadro 3</w:t>
        </w:r>
        <w:r w:rsidRPr="00FC4A4C">
          <w:rPr>
            <w:rStyle w:val="Hipervnculo"/>
          </w:rPr>
          <w:t>: Detalle de ingresos</w:t>
        </w:r>
        <w:r>
          <w:rPr>
            <w:webHidden/>
          </w:rPr>
          <w:tab/>
        </w:r>
        <w:r>
          <w:rPr>
            <w:webHidden/>
          </w:rPr>
          <w:fldChar w:fldCharType="begin"/>
        </w:r>
        <w:r>
          <w:rPr>
            <w:webHidden/>
          </w:rPr>
          <w:instrText xml:space="preserve"> PAGEREF _Toc94183029 \h </w:instrText>
        </w:r>
        <w:r>
          <w:rPr>
            <w:webHidden/>
          </w:rPr>
        </w:r>
        <w:r>
          <w:rPr>
            <w:webHidden/>
          </w:rPr>
          <w:fldChar w:fldCharType="separate"/>
        </w:r>
        <w:r>
          <w:rPr>
            <w:webHidden/>
          </w:rPr>
          <w:t>8</w:t>
        </w:r>
        <w:r>
          <w:rPr>
            <w:webHidden/>
          </w:rPr>
          <w:fldChar w:fldCharType="end"/>
        </w:r>
      </w:hyperlink>
    </w:p>
    <w:p w14:paraId="7FB5E73C" w14:textId="3801362C" w:rsidR="0090414F" w:rsidRDefault="0090414F">
      <w:pPr>
        <w:pStyle w:val="TDC3"/>
        <w:rPr>
          <w:rFonts w:asciiTheme="minorHAnsi" w:eastAsiaTheme="minorEastAsia" w:hAnsiTheme="minorHAnsi" w:cstheme="minorBidi"/>
          <w:i w:val="0"/>
          <w:iCs w:val="0"/>
          <w:sz w:val="22"/>
          <w:szCs w:val="22"/>
          <w:lang w:val="es-CR" w:eastAsia="es-CR"/>
        </w:rPr>
      </w:pPr>
      <w:hyperlink w:anchor="_Toc94183030" w:history="1">
        <w:r w:rsidRPr="00FC4A4C">
          <w:rPr>
            <w:rStyle w:val="Hipervnculo"/>
          </w:rPr>
          <w:t>Cuentas presupuestarias de egresos</w:t>
        </w:r>
        <w:r>
          <w:rPr>
            <w:webHidden/>
          </w:rPr>
          <w:tab/>
        </w:r>
        <w:r>
          <w:rPr>
            <w:webHidden/>
          </w:rPr>
          <w:fldChar w:fldCharType="begin"/>
        </w:r>
        <w:r>
          <w:rPr>
            <w:webHidden/>
          </w:rPr>
          <w:instrText xml:space="preserve"> PAGEREF _Toc94183030 \h </w:instrText>
        </w:r>
        <w:r>
          <w:rPr>
            <w:webHidden/>
          </w:rPr>
        </w:r>
        <w:r>
          <w:rPr>
            <w:webHidden/>
          </w:rPr>
          <w:fldChar w:fldCharType="separate"/>
        </w:r>
        <w:r>
          <w:rPr>
            <w:webHidden/>
          </w:rPr>
          <w:t>9</w:t>
        </w:r>
        <w:r>
          <w:rPr>
            <w:webHidden/>
          </w:rPr>
          <w:fldChar w:fldCharType="end"/>
        </w:r>
      </w:hyperlink>
    </w:p>
    <w:p w14:paraId="0074E7CE" w14:textId="3DE353D6" w:rsidR="0090414F" w:rsidRDefault="0090414F">
      <w:pPr>
        <w:pStyle w:val="TDC3"/>
        <w:rPr>
          <w:rFonts w:asciiTheme="minorHAnsi" w:eastAsiaTheme="minorEastAsia" w:hAnsiTheme="minorHAnsi" w:cstheme="minorBidi"/>
          <w:i w:val="0"/>
          <w:iCs w:val="0"/>
          <w:sz w:val="22"/>
          <w:szCs w:val="22"/>
          <w:lang w:val="es-CR" w:eastAsia="es-CR"/>
        </w:rPr>
      </w:pPr>
      <w:hyperlink w:anchor="_Toc94183031" w:history="1">
        <w:r w:rsidRPr="00FC4A4C">
          <w:rPr>
            <w:rStyle w:val="Hipervnculo"/>
            <w:b/>
            <w:bCs/>
          </w:rPr>
          <w:t>Cuadro 4</w:t>
        </w:r>
        <w:r w:rsidRPr="00FC4A4C">
          <w:rPr>
            <w:rStyle w:val="Hipervnculo"/>
          </w:rPr>
          <w:t>: Presupuesto de egresos ejecutado</w:t>
        </w:r>
        <w:r>
          <w:rPr>
            <w:webHidden/>
          </w:rPr>
          <w:tab/>
        </w:r>
        <w:r>
          <w:rPr>
            <w:webHidden/>
          </w:rPr>
          <w:fldChar w:fldCharType="begin"/>
        </w:r>
        <w:r>
          <w:rPr>
            <w:webHidden/>
          </w:rPr>
          <w:instrText xml:space="preserve"> PAGEREF _Toc94183031 \h </w:instrText>
        </w:r>
        <w:r>
          <w:rPr>
            <w:webHidden/>
          </w:rPr>
        </w:r>
        <w:r>
          <w:rPr>
            <w:webHidden/>
          </w:rPr>
          <w:fldChar w:fldCharType="separate"/>
        </w:r>
        <w:r>
          <w:rPr>
            <w:webHidden/>
          </w:rPr>
          <w:t>9</w:t>
        </w:r>
        <w:r>
          <w:rPr>
            <w:webHidden/>
          </w:rPr>
          <w:fldChar w:fldCharType="end"/>
        </w:r>
      </w:hyperlink>
    </w:p>
    <w:p w14:paraId="1FED78D1" w14:textId="153CDECC"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32" w:history="1">
        <w:r w:rsidRPr="00FC4A4C">
          <w:rPr>
            <w:rStyle w:val="Hipervnculo"/>
            <w:rFonts w:cstheme="minorHAnsi"/>
            <w:b/>
            <w:bCs/>
            <w:lang w:val="es-CR"/>
          </w:rPr>
          <w:t>ii.</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Congruencia del resultado de la liquidación del presupuesto -superávit o déficit-, con la información que reflejan los estados financieros. (4.3.19 c. ii)</w:t>
        </w:r>
        <w:r>
          <w:rPr>
            <w:webHidden/>
          </w:rPr>
          <w:tab/>
        </w:r>
        <w:r>
          <w:rPr>
            <w:webHidden/>
          </w:rPr>
          <w:fldChar w:fldCharType="begin"/>
        </w:r>
        <w:r>
          <w:rPr>
            <w:webHidden/>
          </w:rPr>
          <w:instrText xml:space="preserve"> PAGEREF _Toc94183032 \h </w:instrText>
        </w:r>
        <w:r>
          <w:rPr>
            <w:webHidden/>
          </w:rPr>
        </w:r>
        <w:r>
          <w:rPr>
            <w:webHidden/>
          </w:rPr>
          <w:fldChar w:fldCharType="separate"/>
        </w:r>
        <w:r>
          <w:rPr>
            <w:webHidden/>
          </w:rPr>
          <w:t>10</w:t>
        </w:r>
        <w:r>
          <w:rPr>
            <w:webHidden/>
          </w:rPr>
          <w:fldChar w:fldCharType="end"/>
        </w:r>
      </w:hyperlink>
    </w:p>
    <w:p w14:paraId="7440BF7E" w14:textId="51A3DA02"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33" w:history="1">
        <w:r w:rsidRPr="00FC4A4C">
          <w:rPr>
            <w:rStyle w:val="Hipervnculo"/>
            <w:rFonts w:cstheme="minorHAnsi"/>
            <w:b/>
            <w:bCs/>
            <w:lang w:val="es-CR"/>
          </w:rPr>
          <w:t>iii.</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Estados financieros que la institución debe emitir de acuerdo con la normativa. (4.3.19 c. iii)</w:t>
        </w:r>
        <w:r>
          <w:rPr>
            <w:webHidden/>
          </w:rPr>
          <w:tab/>
        </w:r>
        <w:r>
          <w:rPr>
            <w:webHidden/>
          </w:rPr>
          <w:fldChar w:fldCharType="begin"/>
        </w:r>
        <w:r>
          <w:rPr>
            <w:webHidden/>
          </w:rPr>
          <w:instrText xml:space="preserve"> PAGEREF _Toc94183033 \h </w:instrText>
        </w:r>
        <w:r>
          <w:rPr>
            <w:webHidden/>
          </w:rPr>
        </w:r>
        <w:r>
          <w:rPr>
            <w:webHidden/>
          </w:rPr>
          <w:fldChar w:fldCharType="separate"/>
        </w:r>
        <w:r>
          <w:rPr>
            <w:webHidden/>
          </w:rPr>
          <w:t>10</w:t>
        </w:r>
        <w:r>
          <w:rPr>
            <w:webHidden/>
          </w:rPr>
          <w:fldChar w:fldCharType="end"/>
        </w:r>
      </w:hyperlink>
    </w:p>
    <w:p w14:paraId="72FF3ABF" w14:textId="24EDB044" w:rsidR="0090414F" w:rsidRDefault="0090414F">
      <w:pPr>
        <w:pStyle w:val="TDC3"/>
        <w:tabs>
          <w:tab w:val="left" w:pos="880"/>
        </w:tabs>
        <w:rPr>
          <w:rFonts w:asciiTheme="minorHAnsi" w:eastAsiaTheme="minorEastAsia" w:hAnsiTheme="minorHAnsi" w:cstheme="minorBidi"/>
          <w:i w:val="0"/>
          <w:iCs w:val="0"/>
          <w:sz w:val="22"/>
          <w:szCs w:val="22"/>
          <w:lang w:val="es-CR" w:eastAsia="es-CR"/>
        </w:rPr>
      </w:pPr>
      <w:hyperlink w:anchor="_Toc94183034" w:history="1">
        <w:r w:rsidRPr="00FC4A4C">
          <w:rPr>
            <w:rStyle w:val="Hipervnculo"/>
            <w:rFonts w:cstheme="minorHAnsi"/>
            <w:b/>
            <w:bCs/>
            <w:lang w:val="es-CR"/>
          </w:rPr>
          <w:t>iv.</w:t>
        </w:r>
        <w:r>
          <w:rPr>
            <w:rFonts w:asciiTheme="minorHAnsi" w:eastAsiaTheme="minorEastAsia" w:hAnsiTheme="minorHAnsi" w:cstheme="minorBidi"/>
            <w:i w:val="0"/>
            <w:iCs w:val="0"/>
            <w:sz w:val="22"/>
            <w:szCs w:val="22"/>
            <w:lang w:val="es-CR" w:eastAsia="es-CR"/>
          </w:rPr>
          <w:tab/>
        </w:r>
        <w:r w:rsidRPr="00FC4A4C">
          <w:rPr>
            <w:rStyle w:val="Hipervnculo"/>
            <w:rFonts w:cstheme="minorHAnsi"/>
            <w:b/>
            <w:bCs/>
            <w:lang w:val="es-CR"/>
          </w:rPr>
          <w:t>La situación económico-financiera global de la institución, con base en la información de los estados financieros en complemento de la ejecución presupuestaria. (4.3.19 c. iv)</w:t>
        </w:r>
        <w:r>
          <w:rPr>
            <w:webHidden/>
          </w:rPr>
          <w:tab/>
        </w:r>
        <w:r>
          <w:rPr>
            <w:webHidden/>
          </w:rPr>
          <w:fldChar w:fldCharType="begin"/>
        </w:r>
        <w:r>
          <w:rPr>
            <w:webHidden/>
          </w:rPr>
          <w:instrText xml:space="preserve"> PAGEREF _Toc94183034 \h </w:instrText>
        </w:r>
        <w:r>
          <w:rPr>
            <w:webHidden/>
          </w:rPr>
        </w:r>
        <w:r>
          <w:rPr>
            <w:webHidden/>
          </w:rPr>
          <w:fldChar w:fldCharType="separate"/>
        </w:r>
        <w:r>
          <w:rPr>
            <w:webHidden/>
          </w:rPr>
          <w:t>11</w:t>
        </w:r>
        <w:r>
          <w:rPr>
            <w:webHidden/>
          </w:rPr>
          <w:fldChar w:fldCharType="end"/>
        </w:r>
      </w:hyperlink>
    </w:p>
    <w:p w14:paraId="447D9E42" w14:textId="42E0A909" w:rsidR="0090414F" w:rsidRDefault="0090414F">
      <w:pPr>
        <w:pStyle w:val="TDC1"/>
        <w:rPr>
          <w:rFonts w:asciiTheme="minorHAnsi" w:eastAsiaTheme="minorEastAsia" w:hAnsiTheme="minorHAnsi" w:cstheme="minorBidi"/>
          <w:b w:val="0"/>
          <w:bCs w:val="0"/>
          <w:caps w:val="0"/>
          <w:noProof/>
          <w:sz w:val="22"/>
          <w:szCs w:val="22"/>
          <w:lang w:val="es-CR" w:eastAsia="es-CR"/>
        </w:rPr>
      </w:pPr>
      <w:hyperlink w:anchor="_Toc94183035" w:history="1">
        <w:r w:rsidRPr="00FC4A4C">
          <w:rPr>
            <w:rStyle w:val="Hipervnculo"/>
            <w:rFonts w:cstheme="minorHAnsi"/>
            <w:noProof/>
            <w:lang w:val="es-CR"/>
          </w:rPr>
          <w:t>C.</w:t>
        </w:r>
        <w:r>
          <w:rPr>
            <w:rFonts w:asciiTheme="minorHAnsi" w:eastAsiaTheme="minorEastAsia" w:hAnsiTheme="minorHAnsi" w:cstheme="minorBidi"/>
            <w:b w:val="0"/>
            <w:bCs w:val="0"/>
            <w:caps w:val="0"/>
            <w:noProof/>
            <w:sz w:val="22"/>
            <w:szCs w:val="22"/>
            <w:lang w:val="es-CR" w:eastAsia="es-CR"/>
          </w:rPr>
          <w:tab/>
        </w:r>
        <w:r w:rsidRPr="00FC4A4C">
          <w:rPr>
            <w:rStyle w:val="Hipervnculo"/>
            <w:rFonts w:cstheme="minorHAnsi"/>
            <w:noProof/>
            <w:lang w:val="es-CR"/>
          </w:rPr>
          <w:t xml:space="preserve">Resultados de la realización de los objetivos y metas. </w:t>
        </w:r>
        <w:r w:rsidRPr="00FC4A4C">
          <w:rPr>
            <w:rStyle w:val="Hipervnculo"/>
            <w:i/>
            <w:iCs/>
            <w:noProof/>
            <w:lang w:val="es-CR"/>
          </w:rPr>
          <w:t>4.3.16</w:t>
        </w:r>
        <w:r>
          <w:rPr>
            <w:noProof/>
            <w:webHidden/>
          </w:rPr>
          <w:tab/>
        </w:r>
        <w:r>
          <w:rPr>
            <w:noProof/>
            <w:webHidden/>
          </w:rPr>
          <w:fldChar w:fldCharType="begin"/>
        </w:r>
        <w:r>
          <w:rPr>
            <w:noProof/>
            <w:webHidden/>
          </w:rPr>
          <w:instrText xml:space="preserve"> PAGEREF _Toc94183035 \h </w:instrText>
        </w:r>
        <w:r>
          <w:rPr>
            <w:noProof/>
            <w:webHidden/>
          </w:rPr>
        </w:r>
        <w:r>
          <w:rPr>
            <w:noProof/>
            <w:webHidden/>
          </w:rPr>
          <w:fldChar w:fldCharType="separate"/>
        </w:r>
        <w:r>
          <w:rPr>
            <w:noProof/>
            <w:webHidden/>
          </w:rPr>
          <w:t>11</w:t>
        </w:r>
        <w:r>
          <w:rPr>
            <w:noProof/>
            <w:webHidden/>
          </w:rPr>
          <w:fldChar w:fldCharType="end"/>
        </w:r>
      </w:hyperlink>
    </w:p>
    <w:p w14:paraId="222D20F8" w14:textId="5ECC4C09" w:rsidR="0090414F" w:rsidRDefault="0090414F">
      <w:pPr>
        <w:pStyle w:val="TDC3"/>
        <w:rPr>
          <w:rFonts w:asciiTheme="minorHAnsi" w:eastAsiaTheme="minorEastAsia" w:hAnsiTheme="minorHAnsi" w:cstheme="minorBidi"/>
          <w:i w:val="0"/>
          <w:iCs w:val="0"/>
          <w:sz w:val="22"/>
          <w:szCs w:val="22"/>
          <w:lang w:val="es-CR" w:eastAsia="es-CR"/>
        </w:rPr>
      </w:pPr>
      <w:hyperlink w:anchor="_Toc94183036" w:history="1">
        <w:r w:rsidRPr="00FC4A4C">
          <w:rPr>
            <w:rStyle w:val="Hipervnculo"/>
            <w:b/>
            <w:bCs/>
          </w:rPr>
          <w:t>Cuadro 5</w:t>
        </w:r>
        <w:r w:rsidRPr="00FC4A4C">
          <w:rPr>
            <w:rStyle w:val="Hipervnculo"/>
          </w:rPr>
          <w:t>: Presupuesto de egresos ejecutado por programa y por meta</w:t>
        </w:r>
        <w:r>
          <w:rPr>
            <w:webHidden/>
          </w:rPr>
          <w:tab/>
        </w:r>
        <w:r>
          <w:rPr>
            <w:webHidden/>
          </w:rPr>
          <w:fldChar w:fldCharType="begin"/>
        </w:r>
        <w:r>
          <w:rPr>
            <w:webHidden/>
          </w:rPr>
          <w:instrText xml:space="preserve"> PAGEREF _Toc94183036 \h </w:instrText>
        </w:r>
        <w:r>
          <w:rPr>
            <w:webHidden/>
          </w:rPr>
        </w:r>
        <w:r>
          <w:rPr>
            <w:webHidden/>
          </w:rPr>
          <w:fldChar w:fldCharType="separate"/>
        </w:r>
        <w:r>
          <w:rPr>
            <w:webHidden/>
          </w:rPr>
          <w:t>11</w:t>
        </w:r>
        <w:r>
          <w:rPr>
            <w:webHidden/>
          </w:rPr>
          <w:fldChar w:fldCharType="end"/>
        </w:r>
      </w:hyperlink>
    </w:p>
    <w:p w14:paraId="38569F83" w14:textId="014066C9" w:rsidR="0090414F" w:rsidRDefault="0090414F">
      <w:pPr>
        <w:pStyle w:val="TDC3"/>
        <w:rPr>
          <w:rFonts w:asciiTheme="minorHAnsi" w:eastAsiaTheme="minorEastAsia" w:hAnsiTheme="minorHAnsi" w:cstheme="minorBidi"/>
          <w:i w:val="0"/>
          <w:iCs w:val="0"/>
          <w:sz w:val="22"/>
          <w:szCs w:val="22"/>
          <w:lang w:val="es-CR" w:eastAsia="es-CR"/>
        </w:rPr>
      </w:pPr>
      <w:hyperlink w:anchor="_Toc94183037" w:history="1">
        <w:r w:rsidRPr="00FC4A4C">
          <w:rPr>
            <w:rStyle w:val="Hipervnculo"/>
          </w:rPr>
          <w:t>Gráfico 1</w:t>
        </w:r>
        <w:r>
          <w:rPr>
            <w:webHidden/>
          </w:rPr>
          <w:tab/>
        </w:r>
        <w:r>
          <w:rPr>
            <w:webHidden/>
          </w:rPr>
          <w:fldChar w:fldCharType="begin"/>
        </w:r>
        <w:r>
          <w:rPr>
            <w:webHidden/>
          </w:rPr>
          <w:instrText xml:space="preserve"> PAGEREF _Toc94183037 \h </w:instrText>
        </w:r>
        <w:r>
          <w:rPr>
            <w:webHidden/>
          </w:rPr>
        </w:r>
        <w:r>
          <w:rPr>
            <w:webHidden/>
          </w:rPr>
          <w:fldChar w:fldCharType="separate"/>
        </w:r>
        <w:r>
          <w:rPr>
            <w:webHidden/>
          </w:rPr>
          <w:t>13</w:t>
        </w:r>
        <w:r>
          <w:rPr>
            <w:webHidden/>
          </w:rPr>
          <w:fldChar w:fldCharType="end"/>
        </w:r>
      </w:hyperlink>
    </w:p>
    <w:p w14:paraId="6E324120" w14:textId="480A4C8C" w:rsidR="0090414F" w:rsidRDefault="0090414F">
      <w:pPr>
        <w:pStyle w:val="TDC3"/>
        <w:rPr>
          <w:rFonts w:asciiTheme="minorHAnsi" w:eastAsiaTheme="minorEastAsia" w:hAnsiTheme="minorHAnsi" w:cstheme="minorBidi"/>
          <w:i w:val="0"/>
          <w:iCs w:val="0"/>
          <w:sz w:val="22"/>
          <w:szCs w:val="22"/>
          <w:lang w:val="es-CR" w:eastAsia="es-CR"/>
        </w:rPr>
      </w:pPr>
      <w:hyperlink w:anchor="_Toc94183038" w:history="1">
        <w:r w:rsidRPr="00FC4A4C">
          <w:rPr>
            <w:rStyle w:val="Hipervnculo"/>
          </w:rPr>
          <w:t>Avance de proyectos estratégicos:</w:t>
        </w:r>
        <w:r>
          <w:rPr>
            <w:webHidden/>
          </w:rPr>
          <w:tab/>
        </w:r>
        <w:r>
          <w:rPr>
            <w:webHidden/>
          </w:rPr>
          <w:fldChar w:fldCharType="begin"/>
        </w:r>
        <w:r>
          <w:rPr>
            <w:webHidden/>
          </w:rPr>
          <w:instrText xml:space="preserve"> PAGEREF _Toc94183038 \h </w:instrText>
        </w:r>
        <w:r>
          <w:rPr>
            <w:webHidden/>
          </w:rPr>
        </w:r>
        <w:r>
          <w:rPr>
            <w:webHidden/>
          </w:rPr>
          <w:fldChar w:fldCharType="separate"/>
        </w:r>
        <w:r>
          <w:rPr>
            <w:webHidden/>
          </w:rPr>
          <w:t>14</w:t>
        </w:r>
        <w:r>
          <w:rPr>
            <w:webHidden/>
          </w:rPr>
          <w:fldChar w:fldCharType="end"/>
        </w:r>
      </w:hyperlink>
    </w:p>
    <w:p w14:paraId="18F94EFB" w14:textId="62DD7F34" w:rsidR="0090414F" w:rsidRDefault="0090414F">
      <w:pPr>
        <w:pStyle w:val="TDC3"/>
        <w:rPr>
          <w:rFonts w:asciiTheme="minorHAnsi" w:eastAsiaTheme="minorEastAsia" w:hAnsiTheme="minorHAnsi" w:cstheme="minorBidi"/>
          <w:i w:val="0"/>
          <w:iCs w:val="0"/>
          <w:sz w:val="22"/>
          <w:szCs w:val="22"/>
          <w:lang w:val="es-CR" w:eastAsia="es-CR"/>
        </w:rPr>
      </w:pPr>
      <w:hyperlink w:anchor="_Toc94183039" w:history="1">
        <w:r w:rsidRPr="00FC4A4C">
          <w:rPr>
            <w:rStyle w:val="Hipervnculo"/>
            <w:b/>
            <w:bCs/>
          </w:rPr>
          <w:t>Cuadro 6</w:t>
        </w:r>
        <w:r w:rsidRPr="00FC4A4C">
          <w:rPr>
            <w:rStyle w:val="Hipervnculo"/>
          </w:rPr>
          <w:t>: Avance en proyectos estratégicos</w:t>
        </w:r>
        <w:r>
          <w:rPr>
            <w:webHidden/>
          </w:rPr>
          <w:tab/>
        </w:r>
        <w:r>
          <w:rPr>
            <w:webHidden/>
          </w:rPr>
          <w:fldChar w:fldCharType="begin"/>
        </w:r>
        <w:r>
          <w:rPr>
            <w:webHidden/>
          </w:rPr>
          <w:instrText xml:space="preserve"> PAGEREF _Toc94183039 \h </w:instrText>
        </w:r>
        <w:r>
          <w:rPr>
            <w:webHidden/>
          </w:rPr>
        </w:r>
        <w:r>
          <w:rPr>
            <w:webHidden/>
          </w:rPr>
          <w:fldChar w:fldCharType="separate"/>
        </w:r>
        <w:r>
          <w:rPr>
            <w:webHidden/>
          </w:rPr>
          <w:t>14</w:t>
        </w:r>
        <w:r>
          <w:rPr>
            <w:webHidden/>
          </w:rPr>
          <w:fldChar w:fldCharType="end"/>
        </w:r>
      </w:hyperlink>
    </w:p>
    <w:p w14:paraId="2F57AB75" w14:textId="50A5CD74" w:rsidR="0090414F" w:rsidRDefault="0090414F">
      <w:pPr>
        <w:pStyle w:val="TDC1"/>
        <w:rPr>
          <w:rFonts w:asciiTheme="minorHAnsi" w:eastAsiaTheme="minorEastAsia" w:hAnsiTheme="minorHAnsi" w:cstheme="minorBidi"/>
          <w:b w:val="0"/>
          <w:bCs w:val="0"/>
          <w:caps w:val="0"/>
          <w:noProof/>
          <w:sz w:val="22"/>
          <w:szCs w:val="22"/>
          <w:lang w:val="es-CR" w:eastAsia="es-CR"/>
        </w:rPr>
      </w:pPr>
      <w:hyperlink w:anchor="_Toc94183040" w:history="1">
        <w:r w:rsidRPr="00FC4A4C">
          <w:rPr>
            <w:rStyle w:val="Hipervnculo"/>
            <w:noProof/>
            <w:lang w:val="es-CR"/>
          </w:rPr>
          <w:t>Resumen</w:t>
        </w:r>
        <w:r>
          <w:rPr>
            <w:noProof/>
            <w:webHidden/>
          </w:rPr>
          <w:tab/>
        </w:r>
        <w:r>
          <w:rPr>
            <w:noProof/>
            <w:webHidden/>
          </w:rPr>
          <w:fldChar w:fldCharType="begin"/>
        </w:r>
        <w:r>
          <w:rPr>
            <w:noProof/>
            <w:webHidden/>
          </w:rPr>
          <w:instrText xml:space="preserve"> PAGEREF _Toc94183040 \h </w:instrText>
        </w:r>
        <w:r>
          <w:rPr>
            <w:noProof/>
            <w:webHidden/>
          </w:rPr>
        </w:r>
        <w:r>
          <w:rPr>
            <w:noProof/>
            <w:webHidden/>
          </w:rPr>
          <w:fldChar w:fldCharType="separate"/>
        </w:r>
        <w:r>
          <w:rPr>
            <w:noProof/>
            <w:webHidden/>
          </w:rPr>
          <w:t>18</w:t>
        </w:r>
        <w:r>
          <w:rPr>
            <w:noProof/>
            <w:webHidden/>
          </w:rPr>
          <w:fldChar w:fldCharType="end"/>
        </w:r>
      </w:hyperlink>
    </w:p>
    <w:p w14:paraId="51596ACA" w14:textId="1CC0A827" w:rsidR="0090414F" w:rsidRDefault="0090414F">
      <w:pPr>
        <w:pStyle w:val="TDC1"/>
        <w:rPr>
          <w:rFonts w:asciiTheme="minorHAnsi" w:eastAsiaTheme="minorEastAsia" w:hAnsiTheme="minorHAnsi" w:cstheme="minorBidi"/>
          <w:b w:val="0"/>
          <w:bCs w:val="0"/>
          <w:caps w:val="0"/>
          <w:noProof/>
          <w:sz w:val="22"/>
          <w:szCs w:val="22"/>
          <w:lang w:val="es-CR" w:eastAsia="es-CR"/>
        </w:rPr>
      </w:pPr>
      <w:hyperlink w:anchor="_Toc94183041" w:history="1">
        <w:r w:rsidRPr="00FC4A4C">
          <w:rPr>
            <w:rStyle w:val="Hipervnculo"/>
            <w:noProof/>
            <w:lang w:val="es-CR"/>
          </w:rPr>
          <w:t>Conclusión</w:t>
        </w:r>
        <w:r>
          <w:rPr>
            <w:noProof/>
            <w:webHidden/>
          </w:rPr>
          <w:tab/>
        </w:r>
        <w:r>
          <w:rPr>
            <w:noProof/>
            <w:webHidden/>
          </w:rPr>
          <w:fldChar w:fldCharType="begin"/>
        </w:r>
        <w:r>
          <w:rPr>
            <w:noProof/>
            <w:webHidden/>
          </w:rPr>
          <w:instrText xml:space="preserve"> PAGEREF _Toc94183041 \h </w:instrText>
        </w:r>
        <w:r>
          <w:rPr>
            <w:noProof/>
            <w:webHidden/>
          </w:rPr>
        </w:r>
        <w:r>
          <w:rPr>
            <w:noProof/>
            <w:webHidden/>
          </w:rPr>
          <w:fldChar w:fldCharType="separate"/>
        </w:r>
        <w:r>
          <w:rPr>
            <w:noProof/>
            <w:webHidden/>
          </w:rPr>
          <w:t>18</w:t>
        </w:r>
        <w:r>
          <w:rPr>
            <w:noProof/>
            <w:webHidden/>
          </w:rPr>
          <w:fldChar w:fldCharType="end"/>
        </w:r>
      </w:hyperlink>
    </w:p>
    <w:p w14:paraId="64DC72AF" w14:textId="6E62A591" w:rsidR="00E47859" w:rsidRPr="00D07970" w:rsidRDefault="00A33FC2" w:rsidP="000254EC">
      <w:pPr>
        <w:pStyle w:val="TDC1"/>
        <w:rPr>
          <w:lang w:val="es-CR"/>
        </w:rPr>
      </w:pPr>
      <w:r w:rsidRPr="00D07970">
        <w:rPr>
          <w:lang w:val="es-CR"/>
        </w:rPr>
        <w:fldChar w:fldCharType="end"/>
      </w:r>
      <w:r w:rsidR="00D47086" w:rsidRPr="00D07970">
        <w:rPr>
          <w:lang w:val="es-CR"/>
        </w:rPr>
        <w:br w:type="page"/>
      </w:r>
    </w:p>
    <w:p w14:paraId="64DC72B0" w14:textId="77777777" w:rsidR="00D47086" w:rsidRPr="00D07970" w:rsidRDefault="00D47086" w:rsidP="005E7FC9">
      <w:pPr>
        <w:tabs>
          <w:tab w:val="left" w:pos="1560"/>
        </w:tabs>
        <w:spacing w:line="288" w:lineRule="auto"/>
        <w:jc w:val="left"/>
        <w:rPr>
          <w:rFonts w:asciiTheme="minorHAnsi" w:hAnsiTheme="minorHAnsi" w:cstheme="minorHAnsi"/>
          <w:lang w:val="es-CR"/>
        </w:rPr>
      </w:pPr>
    </w:p>
    <w:p w14:paraId="64DC72B1" w14:textId="77777777" w:rsidR="00A87425" w:rsidRPr="00D07970" w:rsidRDefault="00E06125" w:rsidP="00254CAE">
      <w:pPr>
        <w:pStyle w:val="Ttulo1"/>
        <w:rPr>
          <w:rFonts w:cstheme="minorHAnsi"/>
          <w:lang w:val="es-CR"/>
        </w:rPr>
      </w:pPr>
      <w:bookmarkStart w:id="2" w:name="_Toc195505386"/>
      <w:bookmarkStart w:id="3" w:name="_Toc203492087"/>
      <w:bookmarkStart w:id="4" w:name="_Toc94183015"/>
      <w:r w:rsidRPr="00D07970">
        <w:rPr>
          <w:rFonts w:cstheme="minorHAnsi"/>
          <w:lang w:val="es-CR"/>
        </w:rPr>
        <w:t>PRESENTACIÓN</w:t>
      </w:r>
      <w:bookmarkEnd w:id="2"/>
      <w:bookmarkEnd w:id="3"/>
      <w:bookmarkEnd w:id="4"/>
    </w:p>
    <w:p w14:paraId="64DC72B2" w14:textId="77777777" w:rsidR="00A87425" w:rsidRPr="00D07970" w:rsidRDefault="00A87425" w:rsidP="00A87425">
      <w:pPr>
        <w:rPr>
          <w:rFonts w:asciiTheme="minorHAnsi" w:hAnsiTheme="minorHAnsi" w:cstheme="minorHAnsi"/>
          <w:sz w:val="24"/>
          <w:szCs w:val="24"/>
          <w:lang w:val="es-CR"/>
        </w:rPr>
      </w:pPr>
    </w:p>
    <w:p w14:paraId="64DC72B3" w14:textId="77777777" w:rsidR="00503858" w:rsidRPr="00D07970" w:rsidRDefault="00503858" w:rsidP="00503858">
      <w:pPr>
        <w:rPr>
          <w:rFonts w:asciiTheme="minorHAnsi" w:hAnsiTheme="minorHAnsi" w:cstheme="minorHAnsi"/>
          <w:sz w:val="24"/>
          <w:szCs w:val="24"/>
          <w:lang w:val="es-CR"/>
        </w:rPr>
      </w:pPr>
    </w:p>
    <w:p w14:paraId="0FD70A23" w14:textId="7C9450FB" w:rsidR="002E25FC" w:rsidRPr="00D07970" w:rsidRDefault="00C44392" w:rsidP="000D22E0">
      <w:pPr>
        <w:ind w:right="51"/>
        <w:rPr>
          <w:rFonts w:asciiTheme="minorHAnsi" w:hAnsiTheme="minorHAnsi" w:cstheme="minorHAnsi"/>
          <w:sz w:val="24"/>
          <w:szCs w:val="24"/>
          <w:lang w:val="es-CR"/>
        </w:rPr>
      </w:pPr>
      <w:r w:rsidRPr="00D07970">
        <w:rPr>
          <w:rFonts w:asciiTheme="minorHAnsi" w:hAnsiTheme="minorHAnsi" w:cstheme="minorHAnsi"/>
          <w:sz w:val="24"/>
          <w:szCs w:val="24"/>
          <w:lang w:val="es-CR"/>
        </w:rPr>
        <w:t xml:space="preserve">En cumplimiento con </w:t>
      </w:r>
      <w:r w:rsidR="00EE5F83" w:rsidRPr="00D07970">
        <w:rPr>
          <w:rFonts w:asciiTheme="minorHAnsi" w:hAnsiTheme="minorHAnsi" w:cstheme="minorHAnsi"/>
          <w:sz w:val="24"/>
          <w:szCs w:val="24"/>
          <w:lang w:val="es-CR"/>
        </w:rPr>
        <w:t>las Normas Técnicas sobre Presupuesto Público</w:t>
      </w:r>
      <w:r w:rsidR="008B7089" w:rsidRPr="00D07970">
        <w:rPr>
          <w:rFonts w:asciiTheme="minorHAnsi" w:hAnsiTheme="minorHAnsi" w:cstheme="minorHAnsi"/>
          <w:sz w:val="24"/>
          <w:szCs w:val="24"/>
          <w:lang w:val="es-CR"/>
        </w:rPr>
        <w:t xml:space="preserve"> </w:t>
      </w:r>
      <w:r w:rsidRPr="00D07970">
        <w:rPr>
          <w:rFonts w:asciiTheme="minorHAnsi" w:hAnsiTheme="minorHAnsi" w:cstheme="minorHAnsi"/>
          <w:sz w:val="24"/>
          <w:szCs w:val="24"/>
          <w:lang w:val="es-CR"/>
        </w:rPr>
        <w:t xml:space="preserve">y las disposiciones de la Contraloría General de la República, se presenta el siguiente informe, el cual corresponde al detalle de </w:t>
      </w:r>
      <w:r w:rsidR="00670F67" w:rsidRPr="00D07970">
        <w:rPr>
          <w:rFonts w:asciiTheme="minorHAnsi" w:hAnsiTheme="minorHAnsi" w:cstheme="minorHAnsi"/>
          <w:sz w:val="24"/>
          <w:szCs w:val="24"/>
          <w:lang w:val="es-CR"/>
        </w:rPr>
        <w:t>liquidación</w:t>
      </w:r>
      <w:r w:rsidRPr="00D07970">
        <w:rPr>
          <w:rFonts w:asciiTheme="minorHAnsi" w:hAnsiTheme="minorHAnsi" w:cstheme="minorHAnsi"/>
          <w:sz w:val="24"/>
          <w:szCs w:val="24"/>
          <w:lang w:val="es-CR"/>
        </w:rPr>
        <w:t xml:space="preserve"> presupuestaria</w:t>
      </w:r>
      <w:r w:rsidR="001A7F97" w:rsidRPr="00D07970">
        <w:rPr>
          <w:rFonts w:asciiTheme="minorHAnsi" w:hAnsiTheme="minorHAnsi" w:cstheme="minorHAnsi"/>
          <w:sz w:val="24"/>
          <w:szCs w:val="24"/>
          <w:lang w:val="es-CR"/>
        </w:rPr>
        <w:t xml:space="preserve"> de 20</w:t>
      </w:r>
      <w:r w:rsidR="00DF6217" w:rsidRPr="00D07970">
        <w:rPr>
          <w:rFonts w:asciiTheme="minorHAnsi" w:hAnsiTheme="minorHAnsi" w:cstheme="minorHAnsi"/>
          <w:sz w:val="24"/>
          <w:szCs w:val="24"/>
          <w:lang w:val="es-CR"/>
        </w:rPr>
        <w:t>2</w:t>
      </w:r>
      <w:r w:rsidR="000E5FA8">
        <w:rPr>
          <w:rFonts w:asciiTheme="minorHAnsi" w:hAnsiTheme="minorHAnsi" w:cstheme="minorHAnsi"/>
          <w:sz w:val="24"/>
          <w:szCs w:val="24"/>
          <w:lang w:val="es-CR"/>
        </w:rPr>
        <w:t>1</w:t>
      </w:r>
      <w:r w:rsidR="009B7870" w:rsidRPr="00D07970">
        <w:rPr>
          <w:rFonts w:asciiTheme="minorHAnsi" w:hAnsiTheme="minorHAnsi" w:cstheme="minorHAnsi"/>
          <w:sz w:val="24"/>
          <w:szCs w:val="24"/>
          <w:lang w:val="es-CR"/>
        </w:rPr>
        <w:t>.</w:t>
      </w:r>
    </w:p>
    <w:p w14:paraId="42CF2CB2" w14:textId="77777777" w:rsidR="002E25FC" w:rsidRPr="00D07970" w:rsidRDefault="002E25FC" w:rsidP="000D22E0">
      <w:pPr>
        <w:ind w:right="51"/>
        <w:rPr>
          <w:rFonts w:asciiTheme="minorHAnsi" w:hAnsiTheme="minorHAnsi" w:cstheme="minorHAnsi"/>
          <w:sz w:val="24"/>
          <w:szCs w:val="24"/>
          <w:lang w:val="es-CR"/>
        </w:rPr>
      </w:pPr>
    </w:p>
    <w:p w14:paraId="64DC72B8" w14:textId="47AC94A4" w:rsidR="00503858" w:rsidRPr="00D07970" w:rsidRDefault="009B7870" w:rsidP="000D22E0">
      <w:pPr>
        <w:ind w:right="51"/>
        <w:rPr>
          <w:rFonts w:asciiTheme="minorHAnsi" w:hAnsiTheme="minorHAnsi" w:cstheme="minorHAnsi"/>
          <w:sz w:val="24"/>
          <w:szCs w:val="24"/>
          <w:lang w:val="es-CR"/>
        </w:rPr>
      </w:pPr>
      <w:r w:rsidRPr="00D07970">
        <w:rPr>
          <w:rFonts w:asciiTheme="minorHAnsi" w:hAnsiTheme="minorHAnsi" w:cstheme="minorHAnsi"/>
          <w:sz w:val="24"/>
          <w:szCs w:val="24"/>
          <w:lang w:val="es-CR"/>
        </w:rPr>
        <w:t>E</w:t>
      </w:r>
      <w:r w:rsidR="001A7F97" w:rsidRPr="00D07970">
        <w:rPr>
          <w:rFonts w:asciiTheme="minorHAnsi" w:hAnsiTheme="minorHAnsi" w:cstheme="minorHAnsi"/>
          <w:sz w:val="24"/>
          <w:szCs w:val="24"/>
          <w:lang w:val="es-CR"/>
        </w:rPr>
        <w:t xml:space="preserve">ste </w:t>
      </w:r>
      <w:r w:rsidR="0062513A" w:rsidRPr="00D07970">
        <w:rPr>
          <w:rFonts w:asciiTheme="minorHAnsi" w:hAnsiTheme="minorHAnsi" w:cstheme="minorHAnsi"/>
          <w:sz w:val="24"/>
          <w:szCs w:val="24"/>
          <w:lang w:val="es-CR"/>
        </w:rPr>
        <w:t>reporte</w:t>
      </w:r>
      <w:r w:rsidR="00C44392" w:rsidRPr="00D07970">
        <w:rPr>
          <w:rFonts w:asciiTheme="minorHAnsi" w:hAnsiTheme="minorHAnsi" w:cstheme="minorHAnsi"/>
          <w:sz w:val="24"/>
          <w:szCs w:val="24"/>
          <w:lang w:val="es-CR"/>
        </w:rPr>
        <w:t xml:space="preserve"> tiene como objeto brindar al Consejo Nacional de Supervisión del Sistema Financiero </w:t>
      </w:r>
      <w:r w:rsidR="00240B0C" w:rsidRPr="00D07970">
        <w:rPr>
          <w:rFonts w:asciiTheme="minorHAnsi" w:hAnsiTheme="minorHAnsi" w:cstheme="minorHAnsi"/>
          <w:sz w:val="24"/>
          <w:szCs w:val="24"/>
          <w:lang w:val="es-CR"/>
        </w:rPr>
        <w:t>(</w:t>
      </w:r>
      <w:r w:rsidR="00AC7DE6" w:rsidRPr="00D07970">
        <w:rPr>
          <w:rFonts w:asciiTheme="minorHAnsi" w:hAnsiTheme="minorHAnsi" w:cstheme="minorHAnsi"/>
          <w:sz w:val="24"/>
          <w:szCs w:val="24"/>
          <w:lang w:val="es-CR"/>
        </w:rPr>
        <w:t>CONASSIF</w:t>
      </w:r>
      <w:r w:rsidR="00240B0C" w:rsidRPr="00D07970">
        <w:rPr>
          <w:rFonts w:asciiTheme="minorHAnsi" w:hAnsiTheme="minorHAnsi" w:cstheme="minorHAnsi"/>
          <w:sz w:val="24"/>
          <w:szCs w:val="24"/>
          <w:lang w:val="es-CR"/>
        </w:rPr>
        <w:t>)</w:t>
      </w:r>
      <w:r w:rsidR="00C05E03" w:rsidRPr="00D07970">
        <w:rPr>
          <w:rFonts w:asciiTheme="minorHAnsi" w:hAnsiTheme="minorHAnsi" w:cstheme="minorHAnsi"/>
          <w:sz w:val="24"/>
          <w:szCs w:val="24"/>
          <w:lang w:val="es-CR"/>
        </w:rPr>
        <w:t xml:space="preserve"> </w:t>
      </w:r>
      <w:r w:rsidR="00C44392" w:rsidRPr="00D07970">
        <w:rPr>
          <w:rFonts w:asciiTheme="minorHAnsi" w:hAnsiTheme="minorHAnsi" w:cstheme="minorHAnsi"/>
          <w:sz w:val="24"/>
          <w:szCs w:val="24"/>
          <w:lang w:val="es-CR"/>
        </w:rPr>
        <w:t>y a la Contraloría General de la República</w:t>
      </w:r>
      <w:r w:rsidR="00240B0C" w:rsidRPr="00D07970">
        <w:rPr>
          <w:rFonts w:asciiTheme="minorHAnsi" w:hAnsiTheme="minorHAnsi" w:cstheme="minorHAnsi"/>
          <w:sz w:val="24"/>
          <w:szCs w:val="24"/>
          <w:lang w:val="es-CR"/>
        </w:rPr>
        <w:t xml:space="preserve"> (CGR)</w:t>
      </w:r>
      <w:r w:rsidR="00C44392" w:rsidRPr="00D07970">
        <w:rPr>
          <w:rFonts w:asciiTheme="minorHAnsi" w:hAnsiTheme="minorHAnsi" w:cstheme="minorHAnsi"/>
          <w:sz w:val="24"/>
          <w:szCs w:val="24"/>
          <w:lang w:val="es-CR"/>
        </w:rPr>
        <w:t>, la información relacionada con la ejecución económica del presupuesto de la Superintendencia</w:t>
      </w:r>
      <w:r w:rsidR="00103674" w:rsidRPr="00D07970">
        <w:rPr>
          <w:rFonts w:asciiTheme="minorHAnsi" w:hAnsiTheme="minorHAnsi" w:cstheme="minorHAnsi"/>
          <w:sz w:val="24"/>
          <w:szCs w:val="24"/>
          <w:lang w:val="es-CR"/>
        </w:rPr>
        <w:t xml:space="preserve"> de Pensiones</w:t>
      </w:r>
      <w:r w:rsidR="000828FC" w:rsidRPr="00D07970">
        <w:rPr>
          <w:rFonts w:asciiTheme="minorHAnsi" w:hAnsiTheme="minorHAnsi" w:cstheme="minorHAnsi"/>
          <w:sz w:val="24"/>
          <w:szCs w:val="24"/>
          <w:lang w:val="es-CR"/>
        </w:rPr>
        <w:t xml:space="preserve"> (</w:t>
      </w:r>
      <w:r w:rsidR="000D22E0" w:rsidRPr="00D07970">
        <w:rPr>
          <w:rFonts w:asciiTheme="minorHAnsi" w:hAnsiTheme="minorHAnsi" w:cstheme="minorHAnsi"/>
          <w:sz w:val="24"/>
          <w:szCs w:val="24"/>
          <w:lang w:val="es-CR"/>
        </w:rPr>
        <w:t>SUPEN</w:t>
      </w:r>
      <w:r w:rsidR="000828FC" w:rsidRPr="00D07970">
        <w:rPr>
          <w:rFonts w:asciiTheme="minorHAnsi" w:hAnsiTheme="minorHAnsi" w:cstheme="minorHAnsi"/>
          <w:sz w:val="24"/>
          <w:szCs w:val="24"/>
          <w:lang w:val="es-CR"/>
        </w:rPr>
        <w:t>)</w:t>
      </w:r>
      <w:r w:rsidR="00C44392" w:rsidRPr="00D07970">
        <w:rPr>
          <w:rFonts w:asciiTheme="minorHAnsi" w:hAnsiTheme="minorHAnsi" w:cstheme="minorHAnsi"/>
          <w:sz w:val="24"/>
          <w:szCs w:val="24"/>
          <w:lang w:val="es-CR"/>
        </w:rPr>
        <w:t xml:space="preserve">, de conformidad con los lineamientos </w:t>
      </w:r>
      <w:r w:rsidR="00BC781D" w:rsidRPr="00D07970">
        <w:rPr>
          <w:rFonts w:asciiTheme="minorHAnsi" w:hAnsiTheme="minorHAnsi" w:cstheme="minorHAnsi"/>
          <w:sz w:val="24"/>
          <w:szCs w:val="24"/>
          <w:lang w:val="es-CR"/>
        </w:rPr>
        <w:t xml:space="preserve">presupuestarios </w:t>
      </w:r>
      <w:r w:rsidR="00C44392" w:rsidRPr="00D07970">
        <w:rPr>
          <w:rFonts w:asciiTheme="minorHAnsi" w:hAnsiTheme="minorHAnsi" w:cstheme="minorHAnsi"/>
          <w:sz w:val="24"/>
          <w:szCs w:val="24"/>
          <w:lang w:val="es-CR"/>
        </w:rPr>
        <w:t xml:space="preserve">previamente establecidos por la Junta Directiva del Banco Central de Costa Rica </w:t>
      </w:r>
      <w:r w:rsidR="00240B0C" w:rsidRPr="00D07970">
        <w:rPr>
          <w:rFonts w:asciiTheme="minorHAnsi" w:hAnsiTheme="minorHAnsi" w:cstheme="minorHAnsi"/>
          <w:sz w:val="24"/>
          <w:szCs w:val="24"/>
          <w:lang w:val="es-CR"/>
        </w:rPr>
        <w:t>(BCCR)</w:t>
      </w:r>
      <w:r w:rsidR="007B12FD" w:rsidRPr="00D07970">
        <w:rPr>
          <w:rFonts w:asciiTheme="minorHAnsi" w:hAnsiTheme="minorHAnsi" w:cstheme="minorHAnsi"/>
          <w:sz w:val="24"/>
          <w:szCs w:val="24"/>
          <w:lang w:val="es-CR"/>
        </w:rPr>
        <w:t xml:space="preserve"> </w:t>
      </w:r>
      <w:r w:rsidR="00C44392" w:rsidRPr="00D07970">
        <w:rPr>
          <w:rFonts w:asciiTheme="minorHAnsi" w:hAnsiTheme="minorHAnsi" w:cstheme="minorHAnsi"/>
          <w:sz w:val="24"/>
          <w:szCs w:val="24"/>
          <w:lang w:val="es-CR"/>
        </w:rPr>
        <w:t xml:space="preserve">y por el </w:t>
      </w:r>
      <w:r w:rsidR="00AC7DE6" w:rsidRPr="00D07970">
        <w:rPr>
          <w:rFonts w:asciiTheme="minorHAnsi" w:hAnsiTheme="minorHAnsi" w:cstheme="minorHAnsi"/>
          <w:sz w:val="24"/>
          <w:szCs w:val="24"/>
          <w:lang w:val="es-CR"/>
        </w:rPr>
        <w:t>CONASSIF</w:t>
      </w:r>
      <w:r w:rsidR="00240B0C" w:rsidRPr="00D07970">
        <w:rPr>
          <w:rFonts w:asciiTheme="minorHAnsi" w:hAnsiTheme="minorHAnsi" w:cstheme="minorHAnsi"/>
          <w:sz w:val="24"/>
          <w:szCs w:val="24"/>
          <w:lang w:val="es-CR"/>
        </w:rPr>
        <w:t>.</w:t>
      </w:r>
    </w:p>
    <w:p w14:paraId="64DC7505" w14:textId="461A7FC6" w:rsidR="00225437" w:rsidRPr="00D07970" w:rsidRDefault="00E47859" w:rsidP="008A34BB">
      <w:pPr>
        <w:pStyle w:val="Ttulo2"/>
        <w:rPr>
          <w:rStyle w:val="nfasisintenso"/>
          <w:b/>
          <w:color w:val="auto"/>
          <w:sz w:val="28"/>
          <w:szCs w:val="28"/>
        </w:rPr>
      </w:pPr>
      <w:r w:rsidRPr="00D07970">
        <w:br w:type="page"/>
      </w: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94183016"/>
      <w:r w:rsidR="001678BF" w:rsidRPr="00D07970">
        <w:rPr>
          <w:rStyle w:val="nfasisintenso"/>
          <w:b/>
          <w:color w:val="auto"/>
          <w:sz w:val="28"/>
          <w:szCs w:val="28"/>
        </w:rPr>
        <w:lastRenderedPageBreak/>
        <w:t>i</w:t>
      </w:r>
      <w:r w:rsidR="00225437" w:rsidRPr="00D07970">
        <w:rPr>
          <w:rStyle w:val="nfasisintenso"/>
          <w:b/>
          <w:color w:val="auto"/>
          <w:sz w:val="28"/>
          <w:szCs w:val="28"/>
        </w:rPr>
        <w:t>.</w:t>
      </w:r>
      <w:r w:rsidR="00225437" w:rsidRPr="00D07970">
        <w:rPr>
          <w:rStyle w:val="nfasisintenso"/>
          <w:b/>
          <w:color w:val="auto"/>
          <w:sz w:val="28"/>
          <w:szCs w:val="28"/>
        </w:rPr>
        <w:tab/>
        <w:t>Introducción</w:t>
      </w:r>
      <w:bookmarkEnd w:id="5"/>
      <w:bookmarkEnd w:id="6"/>
      <w:bookmarkEnd w:id="7"/>
      <w:bookmarkEnd w:id="8"/>
      <w:bookmarkEnd w:id="9"/>
      <w:bookmarkEnd w:id="10"/>
      <w:bookmarkEnd w:id="11"/>
      <w:bookmarkEnd w:id="12"/>
    </w:p>
    <w:p w14:paraId="64DC7506" w14:textId="77777777" w:rsidR="00225437" w:rsidRPr="00D07970" w:rsidRDefault="00225437" w:rsidP="00254CAE">
      <w:pPr>
        <w:rPr>
          <w:rFonts w:asciiTheme="minorHAnsi" w:hAnsiTheme="minorHAnsi" w:cstheme="minorHAnsi"/>
          <w:b/>
          <w:szCs w:val="24"/>
          <w:lang w:val="es-CR"/>
        </w:rPr>
      </w:pPr>
    </w:p>
    <w:p w14:paraId="2E72394A" w14:textId="77777777" w:rsidR="001948FD" w:rsidRPr="0028515D" w:rsidRDefault="001948FD" w:rsidP="001948FD">
      <w:pPr>
        <w:widowControl w:val="0"/>
        <w:ind w:right="51"/>
        <w:rPr>
          <w:rFonts w:asciiTheme="minorHAnsi" w:hAnsiTheme="minorHAnsi" w:cstheme="minorHAnsi"/>
          <w:sz w:val="24"/>
          <w:szCs w:val="24"/>
          <w:lang w:val="es-CR"/>
        </w:rPr>
      </w:pPr>
      <w:r w:rsidRPr="0028515D">
        <w:rPr>
          <w:rFonts w:asciiTheme="minorHAnsi" w:hAnsiTheme="minorHAnsi" w:cstheme="minorHAnsi"/>
          <w:sz w:val="24"/>
          <w:szCs w:val="24"/>
          <w:lang w:val="es-CR"/>
        </w:rPr>
        <w:t xml:space="preserve">El 9 de julio de 2020, el CONASSIF dispuso remitir en consulta al Banco Central de Costa Rica la propuesta presupuestaria del CONASSIF y de sus Órganos de Desconcentración Máxima (ODM), para el ejercicio presupuestario 2021, por un monto total de ¢30.656,4 millones, con sustento en lo que prevé el literal k), del artículo 171, de la Ley Reguladora del Mercado de Valores, Ley 7732, del 27 de enero de 1998, y sus reformas, para efectos del financiamiento de los presupuestos ordinarios de las cuatro Superintendencias y del CONASSIF. Por su parte, la Junta Directiva del Banco Central de Costa Rica conoció la propuesta, según se consigna en el artículo 6, del acta de la sesión 5946-2020, del 14 de julio de 2020, acordando pronunciarse favorablemente. </w:t>
      </w:r>
    </w:p>
    <w:p w14:paraId="6F0CA7E4" w14:textId="77777777" w:rsidR="001948FD" w:rsidRPr="0028515D" w:rsidRDefault="001948FD" w:rsidP="001948FD">
      <w:pPr>
        <w:widowControl w:val="0"/>
        <w:ind w:right="51"/>
        <w:rPr>
          <w:rFonts w:asciiTheme="minorHAnsi" w:hAnsiTheme="minorHAnsi" w:cstheme="minorHAnsi"/>
          <w:sz w:val="24"/>
          <w:szCs w:val="24"/>
          <w:lang w:val="es-CR"/>
        </w:rPr>
      </w:pPr>
    </w:p>
    <w:p w14:paraId="5391D821" w14:textId="77777777" w:rsidR="001948FD" w:rsidRPr="0028515D" w:rsidRDefault="001948FD" w:rsidP="001948FD">
      <w:pPr>
        <w:widowControl w:val="0"/>
        <w:ind w:right="51"/>
        <w:rPr>
          <w:rFonts w:asciiTheme="minorHAnsi" w:hAnsiTheme="minorHAnsi" w:cstheme="minorHAnsi"/>
          <w:sz w:val="24"/>
          <w:szCs w:val="24"/>
          <w:lang w:val="es-CR"/>
        </w:rPr>
      </w:pPr>
      <w:r w:rsidRPr="0028515D">
        <w:rPr>
          <w:rFonts w:asciiTheme="minorHAnsi" w:hAnsiTheme="minorHAnsi" w:cstheme="minorHAnsi"/>
          <w:sz w:val="24"/>
          <w:szCs w:val="24"/>
          <w:lang w:val="es-CR"/>
        </w:rPr>
        <w:t>Posteriormente, el CONASSIF, en cumplimiento de lo establecido en los artículos 3 y 10, de las actas de las sesiones 1592-2020 y 1593-2020, ambas del 20 de julio de 2020, envió en consulta al medio financiero dicha propuesta presupuestaria, no recibiéndose observaciones de fondo ni cambios en las cifras, para luego proceder con la solicitud a la Junta Directiva del Banco Central de Costa Rica la aprobación definitiva.</w:t>
      </w:r>
    </w:p>
    <w:p w14:paraId="1D1D3F09" w14:textId="77777777" w:rsidR="001948FD" w:rsidRPr="0028515D" w:rsidRDefault="001948FD" w:rsidP="001948FD">
      <w:pPr>
        <w:widowControl w:val="0"/>
        <w:ind w:right="51"/>
        <w:rPr>
          <w:rFonts w:asciiTheme="minorHAnsi" w:hAnsiTheme="minorHAnsi" w:cstheme="minorHAnsi"/>
          <w:sz w:val="24"/>
          <w:szCs w:val="24"/>
          <w:lang w:val="es-CR"/>
        </w:rPr>
      </w:pPr>
    </w:p>
    <w:p w14:paraId="0607F5F8" w14:textId="77777777" w:rsidR="001948FD" w:rsidRPr="0028515D" w:rsidRDefault="001948FD" w:rsidP="001948FD">
      <w:pPr>
        <w:widowControl w:val="0"/>
        <w:ind w:right="51"/>
        <w:rPr>
          <w:rFonts w:asciiTheme="minorHAnsi" w:hAnsiTheme="minorHAnsi" w:cstheme="minorHAnsi"/>
          <w:sz w:val="24"/>
          <w:szCs w:val="24"/>
          <w:lang w:val="es-CR"/>
        </w:rPr>
      </w:pPr>
      <w:r w:rsidRPr="0028515D">
        <w:rPr>
          <w:rFonts w:asciiTheme="minorHAnsi" w:hAnsiTheme="minorHAnsi" w:cstheme="minorHAnsi"/>
          <w:sz w:val="24"/>
          <w:szCs w:val="24"/>
          <w:lang w:val="es-CR"/>
        </w:rPr>
        <w:t>Por su parte, la Junta Directiva, mediante el inciso II, artículo 6, del acta de la sesión 5958-2020, del 16 de setiembre de 2020, resolvió en firme, aprobar una transferencia de ¢30.656.362.779,3 como el límite global.</w:t>
      </w:r>
    </w:p>
    <w:p w14:paraId="7A73D952" w14:textId="77777777" w:rsidR="001948FD" w:rsidRPr="0028515D" w:rsidRDefault="001948FD" w:rsidP="001948FD">
      <w:pPr>
        <w:widowControl w:val="0"/>
        <w:ind w:right="51"/>
        <w:rPr>
          <w:rFonts w:asciiTheme="minorHAnsi" w:hAnsiTheme="minorHAnsi" w:cstheme="minorHAnsi"/>
          <w:sz w:val="24"/>
          <w:szCs w:val="24"/>
          <w:lang w:val="es-CR"/>
        </w:rPr>
      </w:pPr>
    </w:p>
    <w:p w14:paraId="496521C3" w14:textId="77777777" w:rsidR="001948FD" w:rsidRPr="0028515D" w:rsidRDefault="001948FD" w:rsidP="001948FD">
      <w:pPr>
        <w:widowControl w:val="0"/>
        <w:ind w:right="51"/>
        <w:rPr>
          <w:rFonts w:asciiTheme="minorHAnsi" w:hAnsiTheme="minorHAnsi" w:cstheme="minorHAnsi"/>
          <w:sz w:val="24"/>
          <w:szCs w:val="24"/>
          <w:lang w:val="es-CR"/>
        </w:rPr>
      </w:pPr>
      <w:r w:rsidRPr="0028515D">
        <w:rPr>
          <w:rFonts w:asciiTheme="minorHAnsi" w:hAnsiTheme="minorHAnsi" w:cstheme="minorHAnsi"/>
          <w:sz w:val="24"/>
          <w:szCs w:val="24"/>
          <w:lang w:val="es-CR"/>
        </w:rPr>
        <w:t>El CONASSIF en el artículo 8, del acta de la sesión 1607-2020, celebrada el 21 de setiembre de 2020, dispuso aprobar en firme el presupuesto de la SUPEN, por un monto de ¢5.453.075.008,04, que luego fue aprobado parcialmente por la CGR, según consta en el oficio número DFOE-EC-1301 del 2 de diciembre de 2020.</w:t>
      </w:r>
    </w:p>
    <w:p w14:paraId="6AC76A28" w14:textId="77777777" w:rsidR="00D30883" w:rsidRPr="00D07970" w:rsidRDefault="00D30883" w:rsidP="00B157A8">
      <w:pPr>
        <w:widowControl w:val="0"/>
        <w:ind w:right="51"/>
        <w:rPr>
          <w:rFonts w:asciiTheme="minorHAnsi" w:hAnsiTheme="minorHAnsi" w:cstheme="minorHAnsi"/>
          <w:sz w:val="24"/>
          <w:szCs w:val="24"/>
          <w:lang w:val="es-CR"/>
        </w:rPr>
      </w:pPr>
    </w:p>
    <w:p w14:paraId="66323F88" w14:textId="09059C15" w:rsidR="00B24A60" w:rsidRDefault="00B24A60">
      <w:pPr>
        <w:spacing w:line="240" w:lineRule="auto"/>
        <w:jc w:val="left"/>
        <w:rPr>
          <w:rFonts w:asciiTheme="minorHAnsi" w:hAnsiTheme="minorHAnsi" w:cstheme="minorHAnsi"/>
          <w:sz w:val="24"/>
          <w:szCs w:val="24"/>
          <w:lang w:val="es-CR"/>
        </w:rPr>
      </w:pPr>
      <w:r>
        <w:rPr>
          <w:rFonts w:asciiTheme="minorHAnsi" w:hAnsiTheme="minorHAnsi" w:cstheme="minorHAnsi"/>
          <w:sz w:val="24"/>
          <w:szCs w:val="24"/>
          <w:lang w:val="es-CR"/>
        </w:rPr>
        <w:br w:type="page"/>
      </w:r>
    </w:p>
    <w:p w14:paraId="64DC750F" w14:textId="5DDC6595" w:rsidR="00225437" w:rsidRPr="00D07970" w:rsidRDefault="001678BF" w:rsidP="008A34BB">
      <w:pPr>
        <w:pStyle w:val="Ttulo2"/>
        <w:rPr>
          <w:rStyle w:val="nfasisintenso"/>
          <w:b/>
          <w:color w:val="auto"/>
          <w:sz w:val="28"/>
          <w:szCs w:val="28"/>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94183017"/>
      <w:proofErr w:type="spellStart"/>
      <w:r w:rsidRPr="00D07970">
        <w:rPr>
          <w:rStyle w:val="nfasisintenso"/>
          <w:b/>
          <w:color w:val="auto"/>
          <w:sz w:val="28"/>
          <w:szCs w:val="28"/>
        </w:rPr>
        <w:t>ii</w:t>
      </w:r>
      <w:proofErr w:type="spellEnd"/>
      <w:r w:rsidR="00225437" w:rsidRPr="00D07970">
        <w:rPr>
          <w:rStyle w:val="nfasisintenso"/>
          <w:b/>
          <w:color w:val="auto"/>
          <w:sz w:val="28"/>
          <w:szCs w:val="28"/>
        </w:rPr>
        <w:t xml:space="preserve">. </w:t>
      </w:r>
      <w:r w:rsidR="00225437" w:rsidRPr="00D07970">
        <w:rPr>
          <w:rStyle w:val="nfasisintenso"/>
          <w:b/>
          <w:color w:val="auto"/>
          <w:sz w:val="28"/>
          <w:szCs w:val="28"/>
        </w:rPr>
        <w:tab/>
        <w:t>Objeto del informe</w:t>
      </w:r>
      <w:bookmarkEnd w:id="13"/>
      <w:bookmarkEnd w:id="14"/>
      <w:bookmarkEnd w:id="15"/>
      <w:bookmarkEnd w:id="16"/>
      <w:bookmarkEnd w:id="17"/>
      <w:bookmarkEnd w:id="18"/>
      <w:bookmarkEnd w:id="19"/>
      <w:bookmarkEnd w:id="20"/>
    </w:p>
    <w:p w14:paraId="64DC7510" w14:textId="77777777" w:rsidR="00225437" w:rsidRPr="00D07970" w:rsidRDefault="00225437" w:rsidP="00D668DE">
      <w:pPr>
        <w:spacing w:line="240" w:lineRule="auto"/>
        <w:rPr>
          <w:rFonts w:asciiTheme="minorHAnsi" w:hAnsiTheme="minorHAnsi" w:cstheme="minorHAnsi"/>
          <w:sz w:val="24"/>
          <w:szCs w:val="24"/>
          <w:lang w:val="es-CR"/>
        </w:rPr>
      </w:pPr>
    </w:p>
    <w:p w14:paraId="64DC7511" w14:textId="4776E316" w:rsidR="00225437" w:rsidRPr="00D07970" w:rsidRDefault="00225437" w:rsidP="00225437">
      <w:pPr>
        <w:rPr>
          <w:rFonts w:asciiTheme="minorHAnsi" w:hAnsiTheme="minorHAnsi" w:cstheme="minorHAnsi"/>
          <w:sz w:val="24"/>
          <w:szCs w:val="24"/>
          <w:lang w:val="es-CR"/>
        </w:rPr>
      </w:pPr>
      <w:r w:rsidRPr="00D07970">
        <w:rPr>
          <w:rFonts w:asciiTheme="minorHAnsi" w:hAnsiTheme="minorHAnsi" w:cstheme="minorHAnsi"/>
          <w:sz w:val="24"/>
          <w:szCs w:val="24"/>
          <w:lang w:val="es-CR"/>
        </w:rPr>
        <w:t xml:space="preserve">El presente informe de </w:t>
      </w:r>
      <w:r w:rsidR="007E4008" w:rsidRPr="00D07970">
        <w:rPr>
          <w:rFonts w:asciiTheme="minorHAnsi" w:hAnsiTheme="minorHAnsi" w:cstheme="minorHAnsi"/>
          <w:sz w:val="24"/>
          <w:szCs w:val="24"/>
          <w:lang w:val="es-CR"/>
        </w:rPr>
        <w:t>liquidación</w:t>
      </w:r>
      <w:r w:rsidRPr="00D07970">
        <w:rPr>
          <w:rFonts w:asciiTheme="minorHAnsi" w:hAnsiTheme="minorHAnsi" w:cstheme="minorHAnsi"/>
          <w:sz w:val="24"/>
          <w:szCs w:val="24"/>
          <w:lang w:val="es-CR"/>
        </w:rPr>
        <w:t xml:space="preserve"> presupuestaria tiene como </w:t>
      </w:r>
      <w:r w:rsidR="00726C28" w:rsidRPr="00D07970">
        <w:rPr>
          <w:rFonts w:asciiTheme="minorHAnsi" w:hAnsiTheme="minorHAnsi" w:cstheme="minorHAnsi"/>
          <w:sz w:val="24"/>
          <w:szCs w:val="24"/>
          <w:lang w:val="es-CR"/>
        </w:rPr>
        <w:t>propósito</w:t>
      </w:r>
      <w:r w:rsidRPr="00D07970">
        <w:rPr>
          <w:rFonts w:asciiTheme="minorHAnsi" w:hAnsiTheme="minorHAnsi" w:cstheme="minorHAnsi"/>
          <w:sz w:val="24"/>
          <w:szCs w:val="24"/>
          <w:lang w:val="es-CR"/>
        </w:rPr>
        <w:t>:</w:t>
      </w:r>
    </w:p>
    <w:p w14:paraId="31A87E55" w14:textId="174DF36A" w:rsidR="00EC142B" w:rsidRPr="00D07970" w:rsidRDefault="00EC142B" w:rsidP="00EC142B">
      <w:pPr>
        <w:numPr>
          <w:ilvl w:val="0"/>
          <w:numId w:val="3"/>
        </w:numPr>
        <w:spacing w:before="120" w:after="120"/>
        <w:rPr>
          <w:rFonts w:asciiTheme="minorHAnsi" w:hAnsiTheme="minorHAnsi" w:cstheme="minorHAnsi"/>
          <w:sz w:val="24"/>
          <w:szCs w:val="24"/>
          <w:lang w:val="es-CR"/>
        </w:rPr>
      </w:pPr>
      <w:r w:rsidRPr="00D07970">
        <w:rPr>
          <w:rFonts w:asciiTheme="minorHAnsi" w:hAnsiTheme="minorHAnsi" w:cstheme="minorHAnsi"/>
          <w:sz w:val="24"/>
          <w:szCs w:val="24"/>
          <w:lang w:val="es-CR"/>
        </w:rPr>
        <w:t xml:space="preserve">Brindar al </w:t>
      </w:r>
      <w:r w:rsidR="00AC7DE6" w:rsidRPr="00D07970">
        <w:rPr>
          <w:rFonts w:asciiTheme="minorHAnsi" w:hAnsiTheme="minorHAnsi" w:cstheme="minorHAnsi"/>
          <w:sz w:val="24"/>
          <w:szCs w:val="24"/>
          <w:lang w:val="es-CR"/>
        </w:rPr>
        <w:t>CONASSIF</w:t>
      </w:r>
      <w:r w:rsidRPr="00D07970">
        <w:rPr>
          <w:rFonts w:asciiTheme="minorHAnsi" w:hAnsiTheme="minorHAnsi" w:cstheme="minorHAnsi"/>
          <w:sz w:val="24"/>
          <w:szCs w:val="24"/>
          <w:lang w:val="es-CR"/>
        </w:rPr>
        <w:t xml:space="preserve"> y a la CGR la información relativa a la </w:t>
      </w:r>
      <w:r w:rsidR="00F7361B" w:rsidRPr="00D07970">
        <w:rPr>
          <w:rFonts w:asciiTheme="minorHAnsi" w:hAnsiTheme="minorHAnsi" w:cstheme="minorHAnsi"/>
          <w:sz w:val="24"/>
          <w:szCs w:val="24"/>
          <w:lang w:val="es-CR"/>
        </w:rPr>
        <w:t>liquidación</w:t>
      </w:r>
      <w:r w:rsidRPr="00D07970">
        <w:rPr>
          <w:rFonts w:asciiTheme="minorHAnsi" w:hAnsiTheme="minorHAnsi" w:cstheme="minorHAnsi"/>
          <w:sz w:val="24"/>
          <w:szCs w:val="24"/>
          <w:lang w:val="es-CR"/>
        </w:rPr>
        <w:t xml:space="preserve"> del presupuesto de la </w:t>
      </w:r>
      <w:r w:rsidR="000D22E0" w:rsidRPr="00D07970">
        <w:rPr>
          <w:rFonts w:asciiTheme="minorHAnsi" w:hAnsiTheme="minorHAnsi" w:cstheme="minorHAnsi"/>
          <w:sz w:val="24"/>
          <w:szCs w:val="24"/>
          <w:lang w:val="es-CR"/>
        </w:rPr>
        <w:t>SUPEN</w:t>
      </w:r>
      <w:r w:rsidRPr="00D07970">
        <w:rPr>
          <w:rFonts w:asciiTheme="minorHAnsi" w:hAnsiTheme="minorHAnsi" w:cstheme="minorHAnsi"/>
          <w:sz w:val="24"/>
          <w:szCs w:val="24"/>
          <w:lang w:val="es-CR"/>
        </w:rPr>
        <w:t xml:space="preserve">, para el </w:t>
      </w:r>
      <w:r w:rsidR="00100B83" w:rsidRPr="00D07970">
        <w:rPr>
          <w:rFonts w:asciiTheme="minorHAnsi" w:hAnsiTheme="minorHAnsi" w:cstheme="minorHAnsi"/>
          <w:sz w:val="24"/>
          <w:szCs w:val="24"/>
          <w:lang w:val="es-CR"/>
        </w:rPr>
        <w:t>ejercicio económico de 20</w:t>
      </w:r>
      <w:r w:rsidR="00845DBA" w:rsidRPr="00D07970">
        <w:rPr>
          <w:rFonts w:asciiTheme="minorHAnsi" w:hAnsiTheme="minorHAnsi" w:cstheme="minorHAnsi"/>
          <w:sz w:val="24"/>
          <w:szCs w:val="24"/>
          <w:lang w:val="es-CR"/>
        </w:rPr>
        <w:t>2</w:t>
      </w:r>
      <w:r w:rsidR="00D3071A">
        <w:rPr>
          <w:rFonts w:asciiTheme="minorHAnsi" w:hAnsiTheme="minorHAnsi" w:cstheme="minorHAnsi"/>
          <w:sz w:val="24"/>
          <w:szCs w:val="24"/>
          <w:lang w:val="es-CR"/>
        </w:rPr>
        <w:t>1</w:t>
      </w:r>
      <w:r w:rsidRPr="00D07970">
        <w:rPr>
          <w:rFonts w:asciiTheme="minorHAnsi" w:hAnsiTheme="minorHAnsi" w:cstheme="minorHAnsi"/>
          <w:sz w:val="24"/>
          <w:szCs w:val="24"/>
          <w:lang w:val="es-CR"/>
        </w:rPr>
        <w:t xml:space="preserve">, de conformidad con los lineamientos exigidos para estos casos por el </w:t>
      </w:r>
      <w:r w:rsidR="00D71BFB" w:rsidRPr="00D07970">
        <w:rPr>
          <w:rFonts w:asciiTheme="minorHAnsi" w:hAnsiTheme="minorHAnsi" w:cstheme="minorHAnsi"/>
          <w:sz w:val="24"/>
          <w:szCs w:val="24"/>
          <w:lang w:val="es-CR"/>
        </w:rPr>
        <w:t>E</w:t>
      </w:r>
      <w:r w:rsidRPr="00D07970">
        <w:rPr>
          <w:rFonts w:asciiTheme="minorHAnsi" w:hAnsiTheme="minorHAnsi" w:cstheme="minorHAnsi"/>
          <w:sz w:val="24"/>
          <w:szCs w:val="24"/>
          <w:lang w:val="es-CR"/>
        </w:rPr>
        <w:t>nte Contralor y el Consejo.</w:t>
      </w:r>
    </w:p>
    <w:p w14:paraId="28036377" w14:textId="77777777" w:rsidR="00EC142B" w:rsidRPr="00D07970" w:rsidRDefault="00EC142B" w:rsidP="00EC142B">
      <w:pPr>
        <w:numPr>
          <w:ilvl w:val="0"/>
          <w:numId w:val="3"/>
        </w:numPr>
        <w:spacing w:before="120" w:after="120"/>
        <w:rPr>
          <w:rFonts w:asciiTheme="minorHAnsi" w:hAnsiTheme="minorHAnsi" w:cstheme="minorHAnsi"/>
          <w:sz w:val="24"/>
          <w:szCs w:val="24"/>
          <w:lang w:val="es-CR"/>
        </w:rPr>
      </w:pPr>
      <w:r w:rsidRPr="00D07970">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5" w14:textId="504A7DE3" w:rsidR="00254CAE" w:rsidRPr="00D07970" w:rsidRDefault="00EC142B" w:rsidP="00254CAE">
      <w:pPr>
        <w:numPr>
          <w:ilvl w:val="0"/>
          <w:numId w:val="3"/>
        </w:numPr>
        <w:spacing w:before="120" w:after="120"/>
        <w:rPr>
          <w:rFonts w:asciiTheme="minorHAnsi" w:hAnsiTheme="minorHAnsi" w:cstheme="minorHAnsi"/>
          <w:sz w:val="24"/>
          <w:szCs w:val="24"/>
          <w:lang w:val="es-CR"/>
        </w:rPr>
      </w:pPr>
      <w:r w:rsidRPr="00D07970">
        <w:rPr>
          <w:rFonts w:asciiTheme="minorHAnsi" w:hAnsiTheme="minorHAnsi" w:cstheme="minorHAnsi"/>
          <w:sz w:val="24"/>
          <w:szCs w:val="24"/>
          <w:lang w:val="es-CR"/>
        </w:rPr>
        <w:t xml:space="preserve">Utilizar </w:t>
      </w:r>
      <w:r w:rsidR="007E4008" w:rsidRPr="00D07970">
        <w:rPr>
          <w:rFonts w:asciiTheme="minorHAnsi" w:hAnsiTheme="minorHAnsi" w:cstheme="minorHAnsi"/>
          <w:sz w:val="24"/>
          <w:szCs w:val="24"/>
          <w:lang w:val="es-CR"/>
        </w:rPr>
        <w:t>como</w:t>
      </w:r>
      <w:r w:rsidRPr="00D07970">
        <w:rPr>
          <w:rFonts w:asciiTheme="minorHAnsi" w:hAnsiTheme="minorHAnsi" w:cstheme="minorHAnsi"/>
          <w:sz w:val="24"/>
          <w:szCs w:val="24"/>
          <w:lang w:val="es-CR"/>
        </w:rPr>
        <w:t xml:space="preserve"> mecanismos de control y seguimiento tanto para la </w:t>
      </w:r>
      <w:r w:rsidR="000D22E0" w:rsidRPr="00D07970">
        <w:rPr>
          <w:rFonts w:asciiTheme="minorHAnsi" w:hAnsiTheme="minorHAnsi" w:cstheme="minorHAnsi"/>
          <w:sz w:val="24"/>
          <w:szCs w:val="24"/>
          <w:lang w:val="es-CR"/>
        </w:rPr>
        <w:t>SUPEN</w:t>
      </w:r>
      <w:r w:rsidRPr="00D07970">
        <w:rPr>
          <w:rFonts w:asciiTheme="minorHAnsi" w:hAnsiTheme="minorHAnsi" w:cstheme="minorHAnsi"/>
          <w:sz w:val="24"/>
          <w:szCs w:val="24"/>
          <w:lang w:val="es-CR"/>
        </w:rPr>
        <w:t xml:space="preserve"> como para el </w:t>
      </w:r>
      <w:r w:rsidR="00AC7DE6" w:rsidRPr="00D07970">
        <w:rPr>
          <w:rFonts w:asciiTheme="minorHAnsi" w:hAnsiTheme="minorHAnsi" w:cstheme="minorHAnsi"/>
          <w:sz w:val="24"/>
          <w:szCs w:val="24"/>
          <w:lang w:val="es-CR"/>
        </w:rPr>
        <w:t>CONASSIF</w:t>
      </w:r>
      <w:r w:rsidR="00573E3A" w:rsidRPr="00D07970">
        <w:rPr>
          <w:rFonts w:asciiTheme="minorHAnsi" w:hAnsiTheme="minorHAnsi" w:cstheme="minorHAnsi"/>
          <w:sz w:val="24"/>
          <w:szCs w:val="24"/>
          <w:lang w:val="es-CR"/>
        </w:rPr>
        <w:t xml:space="preserve">. </w:t>
      </w:r>
      <w:r w:rsidR="00254CAE" w:rsidRPr="00D07970">
        <w:rPr>
          <w:rFonts w:asciiTheme="minorHAnsi" w:hAnsiTheme="minorHAnsi" w:cstheme="minorHAnsi"/>
          <w:sz w:val="24"/>
          <w:szCs w:val="24"/>
          <w:lang w:val="es-CR"/>
        </w:rPr>
        <w:br w:type="page"/>
      </w:r>
    </w:p>
    <w:p w14:paraId="028D1162" w14:textId="1876E7C9" w:rsidR="00A06D37" w:rsidRPr="00D07970" w:rsidRDefault="008C585D" w:rsidP="00A06D37">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1" w:name="_Toc94183018"/>
      <w:r w:rsidRPr="00D07970">
        <w:rPr>
          <w:rFonts w:asciiTheme="minorHAnsi" w:hAnsiTheme="minorHAnsi" w:cstheme="minorHAnsi"/>
          <w:sz w:val="28"/>
          <w:szCs w:val="28"/>
          <w:lang w:val="es-CR"/>
        </w:rPr>
        <w:t>RESULTADOS DE LA LIQUIDACIÓN PRESUPUESTARIA</w:t>
      </w:r>
      <w:r w:rsidRPr="00D07970">
        <w:rPr>
          <w:rStyle w:val="nfasisintenso"/>
          <w:rFonts w:asciiTheme="minorHAnsi" w:hAnsiTheme="minorHAnsi" w:cstheme="minorHAnsi"/>
          <w:b/>
          <w:bCs w:val="0"/>
          <w:i w:val="0"/>
          <w:iCs w:val="0"/>
          <w:color w:val="auto"/>
          <w:sz w:val="28"/>
          <w:szCs w:val="28"/>
          <w:lang w:val="es-CR"/>
        </w:rPr>
        <w:t xml:space="preserve"> </w:t>
      </w:r>
      <w:r w:rsidR="00393236" w:rsidRPr="00D07970">
        <w:rPr>
          <w:rStyle w:val="nfasisintenso"/>
          <w:color w:val="auto"/>
          <w:sz w:val="18"/>
          <w:szCs w:val="28"/>
          <w:lang w:val="es-CR"/>
        </w:rPr>
        <w:t>4.3.19</w:t>
      </w:r>
      <w:r w:rsidR="00FD6CFE" w:rsidRPr="00D07970">
        <w:rPr>
          <w:rStyle w:val="nfasisintenso"/>
          <w:color w:val="auto"/>
          <w:sz w:val="18"/>
          <w:szCs w:val="28"/>
          <w:lang w:val="es-CR"/>
        </w:rPr>
        <w:t xml:space="preserve"> b</w:t>
      </w:r>
      <w:bookmarkEnd w:id="21"/>
    </w:p>
    <w:p w14:paraId="64B29713" w14:textId="0C464C9D" w:rsidR="00A06D37" w:rsidRPr="00D07970" w:rsidRDefault="00A06D37" w:rsidP="00225437">
      <w:pPr>
        <w:spacing w:line="288" w:lineRule="auto"/>
        <w:rPr>
          <w:rFonts w:asciiTheme="minorHAnsi" w:hAnsiTheme="minorHAnsi" w:cstheme="minorHAnsi"/>
          <w:sz w:val="24"/>
          <w:szCs w:val="24"/>
          <w:lang w:val="es-CR"/>
        </w:rPr>
      </w:pPr>
    </w:p>
    <w:p w14:paraId="55E40C71" w14:textId="1FB3CB95" w:rsidR="00C10F7B" w:rsidRPr="00D07970" w:rsidRDefault="00C10F7B" w:rsidP="00C10F7B">
      <w:pPr>
        <w:pStyle w:val="Prrafodelista"/>
        <w:numPr>
          <w:ilvl w:val="0"/>
          <w:numId w:val="17"/>
        </w:numPr>
        <w:outlineLvl w:val="2"/>
        <w:rPr>
          <w:rFonts w:asciiTheme="minorHAnsi" w:hAnsiTheme="minorHAnsi" w:cstheme="minorHAnsi"/>
          <w:b/>
          <w:bCs/>
          <w:i/>
          <w:iCs/>
          <w:sz w:val="24"/>
          <w:szCs w:val="24"/>
          <w:lang w:val="es-CR"/>
        </w:rPr>
      </w:pPr>
      <w:bookmarkStart w:id="22" w:name="_Toc514582661"/>
      <w:bookmarkStart w:id="23" w:name="_Toc16481527"/>
      <w:bookmarkStart w:id="24" w:name="_Toc94183019"/>
      <w:r w:rsidRPr="00D07970">
        <w:rPr>
          <w:rFonts w:asciiTheme="minorHAnsi" w:hAnsiTheme="minorHAnsi" w:cstheme="minorHAnsi"/>
          <w:b/>
          <w:bCs/>
          <w:i/>
          <w:iCs/>
          <w:sz w:val="24"/>
          <w:szCs w:val="24"/>
          <w:lang w:val="es-CR"/>
        </w:rPr>
        <w:t>Resumen a nivel institucional que refleje la totalidad de los ingresos recibidos y el total de gastos ejecutados</w:t>
      </w:r>
      <w:r w:rsidR="00393236" w:rsidRPr="00D07970">
        <w:rPr>
          <w:rFonts w:asciiTheme="minorHAnsi" w:hAnsiTheme="minorHAnsi" w:cstheme="minorHAnsi"/>
          <w:b/>
          <w:bCs/>
          <w:i/>
          <w:iCs/>
          <w:sz w:val="24"/>
          <w:szCs w:val="24"/>
          <w:lang w:val="es-CR"/>
        </w:rPr>
        <w:t xml:space="preserve"> en el período</w:t>
      </w:r>
      <w:r w:rsidRPr="00D07970">
        <w:rPr>
          <w:rFonts w:asciiTheme="minorHAnsi" w:hAnsiTheme="minorHAnsi" w:cstheme="minorHAnsi"/>
          <w:b/>
          <w:bCs/>
          <w:i/>
          <w:iCs/>
          <w:sz w:val="24"/>
          <w:szCs w:val="24"/>
          <w:lang w:val="es-CR"/>
        </w:rPr>
        <w:t>.</w:t>
      </w:r>
      <w:r w:rsidR="00E63484" w:rsidRPr="00D07970">
        <w:rPr>
          <w:rFonts w:asciiTheme="minorHAnsi" w:hAnsiTheme="minorHAnsi" w:cstheme="minorHAnsi"/>
          <w:b/>
          <w:bCs/>
          <w:i/>
          <w:iCs/>
          <w:sz w:val="24"/>
          <w:szCs w:val="24"/>
          <w:lang w:val="es-CR"/>
        </w:rPr>
        <w:t xml:space="preserve"> (4.3.19 b.</w:t>
      </w:r>
      <w:r w:rsidR="0099235F">
        <w:rPr>
          <w:rFonts w:asciiTheme="minorHAnsi" w:hAnsiTheme="minorHAnsi" w:cstheme="minorHAnsi"/>
          <w:b/>
          <w:bCs/>
          <w:i/>
          <w:iCs/>
          <w:sz w:val="24"/>
          <w:szCs w:val="24"/>
          <w:lang w:val="es-CR"/>
        </w:rPr>
        <w:t xml:space="preserve"> </w:t>
      </w:r>
      <w:r w:rsidR="00E63484" w:rsidRPr="00D07970">
        <w:rPr>
          <w:rFonts w:asciiTheme="minorHAnsi" w:hAnsiTheme="minorHAnsi" w:cstheme="minorHAnsi"/>
          <w:b/>
          <w:bCs/>
          <w:i/>
          <w:iCs/>
          <w:sz w:val="24"/>
          <w:szCs w:val="24"/>
          <w:lang w:val="es-CR"/>
        </w:rPr>
        <w:t>i)</w:t>
      </w:r>
      <w:bookmarkEnd w:id="24"/>
    </w:p>
    <w:p w14:paraId="3A1FCF23" w14:textId="77777777" w:rsidR="00C10F7B" w:rsidRPr="00D07970" w:rsidRDefault="00C10F7B" w:rsidP="00C10F7B">
      <w:pPr>
        <w:ind w:left="360"/>
        <w:rPr>
          <w:rFonts w:asciiTheme="minorHAnsi" w:hAnsiTheme="minorHAnsi" w:cstheme="minorHAnsi"/>
          <w:sz w:val="24"/>
          <w:szCs w:val="24"/>
          <w:lang w:val="es-CR"/>
        </w:rPr>
      </w:pPr>
    </w:p>
    <w:p w14:paraId="64DC7518" w14:textId="1D5067D1" w:rsidR="00225437" w:rsidRPr="00D07970" w:rsidRDefault="00D668DE" w:rsidP="00225437">
      <w:pPr>
        <w:rPr>
          <w:rFonts w:asciiTheme="minorHAnsi" w:hAnsiTheme="minorHAnsi" w:cstheme="minorHAnsi"/>
          <w:sz w:val="24"/>
          <w:szCs w:val="24"/>
          <w:lang w:val="es-CR"/>
        </w:rPr>
      </w:pPr>
      <w:r w:rsidRPr="00D07970">
        <w:rPr>
          <w:rFonts w:asciiTheme="minorHAnsi" w:hAnsiTheme="minorHAnsi" w:cstheme="minorHAnsi"/>
          <w:sz w:val="24"/>
          <w:szCs w:val="24"/>
          <w:lang w:val="es-CR"/>
        </w:rPr>
        <w:t>El siguiente cuadro refleja la totalidad de ingresos recibidos y la totalidad de gastos ejecutados en el período de análisis</w:t>
      </w:r>
      <w:r w:rsidR="00CB121D" w:rsidRPr="00D07970">
        <w:rPr>
          <w:rFonts w:asciiTheme="minorHAnsi" w:hAnsiTheme="minorHAnsi" w:cstheme="minorHAnsi"/>
          <w:sz w:val="24"/>
          <w:szCs w:val="24"/>
          <w:lang w:val="es-CR"/>
        </w:rPr>
        <w:t>, con el propósito de reflejar el resultado financiero de la ejecución del presupuesto institucional.</w:t>
      </w:r>
    </w:p>
    <w:p w14:paraId="55145C3B" w14:textId="77777777" w:rsidR="00D668DE" w:rsidRPr="00D07970" w:rsidRDefault="00D668DE" w:rsidP="00225437">
      <w:pPr>
        <w:rPr>
          <w:rFonts w:asciiTheme="minorHAnsi" w:hAnsiTheme="minorHAnsi" w:cstheme="minorHAnsi"/>
          <w:sz w:val="24"/>
          <w:szCs w:val="24"/>
          <w:lang w:val="es-CR"/>
        </w:rPr>
      </w:pPr>
    </w:p>
    <w:p w14:paraId="31E01525" w14:textId="748D612D" w:rsidR="00254CAE" w:rsidRPr="00D07970" w:rsidRDefault="00D668DE" w:rsidP="008E02F2">
      <w:pPr>
        <w:pStyle w:val="Ttulo3"/>
      </w:pPr>
      <w:bookmarkStart w:id="25" w:name="_Toc94183020"/>
      <w:r w:rsidRPr="00D07970">
        <w:rPr>
          <w:b/>
          <w:bCs/>
        </w:rPr>
        <w:t>Cuadro 1</w:t>
      </w:r>
      <w:r w:rsidRPr="00D07970">
        <w:t>: Informe de ingresos recibidos y gastos ejecutados</w:t>
      </w:r>
      <w:bookmarkEnd w:id="25"/>
    </w:p>
    <w:p w14:paraId="6ED5E226" w14:textId="66CD25FB" w:rsidR="00D668DE" w:rsidRDefault="009A5356" w:rsidP="00D668DE">
      <w:pPr>
        <w:spacing w:line="240" w:lineRule="auto"/>
        <w:rPr>
          <w:rFonts w:asciiTheme="minorHAnsi" w:hAnsiTheme="minorHAnsi" w:cstheme="minorHAnsi"/>
          <w:sz w:val="20"/>
          <w:lang w:val="es-CR"/>
        </w:rPr>
      </w:pPr>
      <w:r w:rsidRPr="00D07970">
        <w:rPr>
          <w:rFonts w:asciiTheme="minorHAnsi" w:hAnsiTheme="minorHAnsi" w:cstheme="minorHAnsi"/>
          <w:sz w:val="20"/>
          <w:lang w:val="es-CR"/>
        </w:rPr>
        <w:t>31 de diciembre de 20</w:t>
      </w:r>
      <w:r w:rsidR="00A82919" w:rsidRPr="00D07970">
        <w:rPr>
          <w:rFonts w:asciiTheme="minorHAnsi" w:hAnsiTheme="minorHAnsi" w:cstheme="minorHAnsi"/>
          <w:sz w:val="20"/>
          <w:lang w:val="es-CR"/>
        </w:rPr>
        <w:t>2</w:t>
      </w:r>
      <w:r w:rsidR="00E92660">
        <w:rPr>
          <w:rFonts w:asciiTheme="minorHAnsi" w:hAnsiTheme="minorHAnsi" w:cstheme="minorHAnsi"/>
          <w:sz w:val="20"/>
          <w:lang w:val="es-CR"/>
        </w:rPr>
        <w:t>1</w:t>
      </w:r>
    </w:p>
    <w:tbl>
      <w:tblPr>
        <w:tblW w:w="9629" w:type="dxa"/>
        <w:tblCellMar>
          <w:left w:w="70" w:type="dxa"/>
          <w:right w:w="70" w:type="dxa"/>
        </w:tblCellMar>
        <w:tblLook w:val="04A0" w:firstRow="1" w:lastRow="0" w:firstColumn="1" w:lastColumn="0" w:noHBand="0" w:noVBand="1"/>
      </w:tblPr>
      <w:tblGrid>
        <w:gridCol w:w="1833"/>
        <w:gridCol w:w="2977"/>
        <w:gridCol w:w="1276"/>
        <w:gridCol w:w="2268"/>
        <w:gridCol w:w="1275"/>
      </w:tblGrid>
      <w:tr w:rsidR="00FD25DE" w:rsidRPr="00FD25DE" w14:paraId="11F50769" w14:textId="77777777" w:rsidTr="00FD25DE">
        <w:trPr>
          <w:trHeight w:val="520"/>
        </w:trPr>
        <w:tc>
          <w:tcPr>
            <w:tcW w:w="1833"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72BDF3D4" w14:textId="77777777" w:rsidR="00FD25DE" w:rsidRPr="00FD25DE" w:rsidRDefault="00FD25DE" w:rsidP="00FD25DE">
            <w:pPr>
              <w:spacing w:line="240" w:lineRule="auto"/>
              <w:jc w:val="center"/>
              <w:rPr>
                <w:rFonts w:ascii="Calibri" w:hAnsi="Calibri" w:cs="Calibri"/>
                <w:b/>
                <w:bCs/>
                <w:sz w:val="18"/>
                <w:szCs w:val="18"/>
                <w:lang w:val="es-CR" w:eastAsia="es-CR"/>
              </w:rPr>
            </w:pPr>
            <w:r w:rsidRPr="00FD25DE">
              <w:rPr>
                <w:rFonts w:ascii="Calibri" w:hAnsi="Calibri" w:cs="Calibri"/>
                <w:b/>
                <w:bCs/>
                <w:sz w:val="18"/>
                <w:szCs w:val="18"/>
                <w:lang w:val="es-CR" w:eastAsia="es-CR"/>
              </w:rPr>
              <w:t>CUENTA</w:t>
            </w:r>
          </w:p>
        </w:tc>
        <w:tc>
          <w:tcPr>
            <w:tcW w:w="297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C3FF7AF"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INGRESOS</w:t>
            </w:r>
          </w:p>
        </w:tc>
        <w:tc>
          <w:tcPr>
            <w:tcW w:w="127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3D0DF587"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MONTO</w:t>
            </w:r>
          </w:p>
        </w:tc>
        <w:tc>
          <w:tcPr>
            <w:tcW w:w="2268"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5B9106BF"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EGRESOS</w:t>
            </w:r>
          </w:p>
        </w:tc>
        <w:tc>
          <w:tcPr>
            <w:tcW w:w="1275"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65BCAAE5"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MONTO</w:t>
            </w:r>
          </w:p>
        </w:tc>
      </w:tr>
      <w:tr w:rsidR="00FD25DE" w:rsidRPr="00FD25DE" w14:paraId="63D44F67" w14:textId="77777777" w:rsidTr="00FD25DE">
        <w:trPr>
          <w:trHeight w:val="290"/>
        </w:trPr>
        <w:tc>
          <w:tcPr>
            <w:tcW w:w="1833" w:type="dxa"/>
            <w:tcBorders>
              <w:top w:val="nil"/>
              <w:left w:val="single" w:sz="8" w:space="0" w:color="auto"/>
              <w:bottom w:val="nil"/>
              <w:right w:val="single" w:sz="8" w:space="0" w:color="auto"/>
            </w:tcBorders>
            <w:shd w:val="clear" w:color="000000" w:fill="FFFFFF"/>
            <w:noWrap/>
            <w:vAlign w:val="center"/>
            <w:hideMark/>
          </w:tcPr>
          <w:p w14:paraId="0029F00F"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1.0.0.0.00.00.0.0.000</w:t>
            </w:r>
          </w:p>
        </w:tc>
        <w:tc>
          <w:tcPr>
            <w:tcW w:w="2977" w:type="dxa"/>
            <w:tcBorders>
              <w:top w:val="nil"/>
              <w:left w:val="nil"/>
              <w:bottom w:val="nil"/>
              <w:right w:val="single" w:sz="8" w:space="0" w:color="auto"/>
            </w:tcBorders>
            <w:shd w:val="clear" w:color="000000" w:fill="FFFFFF"/>
            <w:vAlign w:val="center"/>
            <w:hideMark/>
          </w:tcPr>
          <w:p w14:paraId="63EB29AB" w14:textId="77777777" w:rsidR="00FD25DE" w:rsidRPr="00FD25DE" w:rsidRDefault="00FD25DE" w:rsidP="00FD25DE">
            <w:pPr>
              <w:spacing w:line="240" w:lineRule="auto"/>
              <w:jc w:val="lef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 xml:space="preserve"> Ingresos Corrientes</w:t>
            </w:r>
          </w:p>
        </w:tc>
        <w:tc>
          <w:tcPr>
            <w:tcW w:w="1276" w:type="dxa"/>
            <w:tcBorders>
              <w:top w:val="nil"/>
              <w:left w:val="nil"/>
              <w:bottom w:val="nil"/>
              <w:right w:val="nil"/>
            </w:tcBorders>
            <w:shd w:val="clear" w:color="000000" w:fill="FFFFFF"/>
            <w:vAlign w:val="center"/>
            <w:hideMark/>
          </w:tcPr>
          <w:p w14:paraId="4FAA6422" w14:textId="77777777" w:rsidR="00FD25DE" w:rsidRPr="00FD25DE" w:rsidRDefault="00FD25DE" w:rsidP="00FD25DE">
            <w:pPr>
              <w:spacing w:line="240" w:lineRule="auto"/>
              <w:jc w:val="righ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4 407 625 310</w:t>
            </w:r>
          </w:p>
        </w:tc>
        <w:tc>
          <w:tcPr>
            <w:tcW w:w="2268" w:type="dxa"/>
            <w:tcBorders>
              <w:top w:val="nil"/>
              <w:left w:val="single" w:sz="8" w:space="0" w:color="auto"/>
              <w:bottom w:val="nil"/>
              <w:right w:val="single" w:sz="8" w:space="0" w:color="auto"/>
            </w:tcBorders>
            <w:shd w:val="clear" w:color="000000" w:fill="FFFFFF"/>
            <w:noWrap/>
            <w:vAlign w:val="center"/>
            <w:hideMark/>
          </w:tcPr>
          <w:p w14:paraId="56D03A80" w14:textId="77777777" w:rsidR="00FD25DE" w:rsidRPr="00FD25DE" w:rsidRDefault="00FD25DE" w:rsidP="00FD25DE">
            <w:pPr>
              <w:spacing w:line="240" w:lineRule="auto"/>
              <w:jc w:val="lef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A) Gastos de administración</w:t>
            </w:r>
          </w:p>
        </w:tc>
        <w:tc>
          <w:tcPr>
            <w:tcW w:w="1275" w:type="dxa"/>
            <w:tcBorders>
              <w:top w:val="nil"/>
              <w:left w:val="nil"/>
              <w:bottom w:val="nil"/>
              <w:right w:val="single" w:sz="8" w:space="0" w:color="auto"/>
            </w:tcBorders>
            <w:shd w:val="clear" w:color="000000" w:fill="FFFFFF"/>
            <w:vAlign w:val="center"/>
            <w:hideMark/>
          </w:tcPr>
          <w:p w14:paraId="0D612BA7" w14:textId="77777777" w:rsidR="00FD25DE" w:rsidRPr="00FD25DE" w:rsidRDefault="00FD25DE" w:rsidP="00FD25DE">
            <w:pPr>
              <w:spacing w:line="240" w:lineRule="auto"/>
              <w:jc w:val="righ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4 391 945 635</w:t>
            </w:r>
          </w:p>
        </w:tc>
      </w:tr>
      <w:tr w:rsidR="00FD25DE" w:rsidRPr="00FD25DE" w14:paraId="3FAD38C8" w14:textId="77777777" w:rsidTr="00FD25DE">
        <w:trPr>
          <w:trHeight w:val="290"/>
        </w:trPr>
        <w:tc>
          <w:tcPr>
            <w:tcW w:w="1833" w:type="dxa"/>
            <w:tcBorders>
              <w:top w:val="nil"/>
              <w:left w:val="single" w:sz="8" w:space="0" w:color="auto"/>
              <w:bottom w:val="nil"/>
              <w:right w:val="single" w:sz="8" w:space="0" w:color="auto"/>
            </w:tcBorders>
            <w:shd w:val="clear" w:color="000000" w:fill="FFFFFF"/>
            <w:noWrap/>
            <w:vAlign w:val="center"/>
            <w:hideMark/>
          </w:tcPr>
          <w:p w14:paraId="62F702EC" w14:textId="77777777" w:rsidR="00FD25DE" w:rsidRPr="00FD25DE" w:rsidRDefault="00FD25DE" w:rsidP="00FD25DE">
            <w:pPr>
              <w:spacing w:line="240" w:lineRule="auto"/>
              <w:jc w:val="center"/>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1.4.0.0.00.00.0.0.000</w:t>
            </w:r>
          </w:p>
        </w:tc>
        <w:tc>
          <w:tcPr>
            <w:tcW w:w="2977" w:type="dxa"/>
            <w:tcBorders>
              <w:top w:val="nil"/>
              <w:left w:val="nil"/>
              <w:bottom w:val="nil"/>
              <w:right w:val="single" w:sz="8" w:space="0" w:color="auto"/>
            </w:tcBorders>
            <w:shd w:val="clear" w:color="000000" w:fill="FFFFFF"/>
            <w:vAlign w:val="center"/>
            <w:hideMark/>
          </w:tcPr>
          <w:p w14:paraId="39381624"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 xml:space="preserve"> Transferencias Corrientes</w:t>
            </w:r>
          </w:p>
        </w:tc>
        <w:tc>
          <w:tcPr>
            <w:tcW w:w="1276" w:type="dxa"/>
            <w:tcBorders>
              <w:top w:val="nil"/>
              <w:left w:val="nil"/>
              <w:bottom w:val="nil"/>
              <w:right w:val="nil"/>
            </w:tcBorders>
            <w:shd w:val="clear" w:color="000000" w:fill="FFFFFF"/>
            <w:vAlign w:val="center"/>
            <w:hideMark/>
          </w:tcPr>
          <w:p w14:paraId="37B626F7"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4 407 625 310</w:t>
            </w:r>
          </w:p>
        </w:tc>
        <w:tc>
          <w:tcPr>
            <w:tcW w:w="2268" w:type="dxa"/>
            <w:tcBorders>
              <w:top w:val="nil"/>
              <w:left w:val="single" w:sz="8" w:space="0" w:color="auto"/>
              <w:bottom w:val="nil"/>
              <w:right w:val="single" w:sz="8" w:space="0" w:color="auto"/>
            </w:tcBorders>
            <w:shd w:val="clear" w:color="000000" w:fill="FFFFFF"/>
            <w:noWrap/>
            <w:vAlign w:val="center"/>
            <w:hideMark/>
          </w:tcPr>
          <w:p w14:paraId="62019AEF"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0. Remuneraciones</w:t>
            </w:r>
          </w:p>
        </w:tc>
        <w:tc>
          <w:tcPr>
            <w:tcW w:w="1275" w:type="dxa"/>
            <w:tcBorders>
              <w:top w:val="nil"/>
              <w:left w:val="nil"/>
              <w:bottom w:val="nil"/>
              <w:right w:val="single" w:sz="8" w:space="0" w:color="auto"/>
            </w:tcBorders>
            <w:shd w:val="clear" w:color="000000" w:fill="FFFFFF"/>
            <w:vAlign w:val="center"/>
            <w:hideMark/>
          </w:tcPr>
          <w:p w14:paraId="72A1AE6B"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2 554 935 529</w:t>
            </w:r>
          </w:p>
        </w:tc>
      </w:tr>
      <w:tr w:rsidR="00FD25DE" w:rsidRPr="00FD25DE" w14:paraId="6A52E154" w14:textId="77777777" w:rsidTr="00FD25DE">
        <w:trPr>
          <w:trHeight w:val="290"/>
        </w:trPr>
        <w:tc>
          <w:tcPr>
            <w:tcW w:w="1833" w:type="dxa"/>
            <w:tcBorders>
              <w:top w:val="nil"/>
              <w:left w:val="single" w:sz="8" w:space="0" w:color="auto"/>
              <w:bottom w:val="nil"/>
              <w:right w:val="single" w:sz="8" w:space="0" w:color="auto"/>
            </w:tcBorders>
            <w:shd w:val="clear" w:color="auto" w:fill="auto"/>
            <w:noWrap/>
            <w:vAlign w:val="center"/>
            <w:hideMark/>
          </w:tcPr>
          <w:p w14:paraId="73681882" w14:textId="77777777" w:rsidR="00FD25DE" w:rsidRPr="00FD25DE" w:rsidRDefault="00FD25DE" w:rsidP="00FD25DE">
            <w:pPr>
              <w:spacing w:line="240" w:lineRule="auto"/>
              <w:jc w:val="center"/>
              <w:rPr>
                <w:rFonts w:ascii="Calibri" w:hAnsi="Calibri" w:cs="Calibri"/>
                <w:sz w:val="18"/>
                <w:szCs w:val="18"/>
                <w:lang w:val="es-CR" w:eastAsia="es-CR"/>
              </w:rPr>
            </w:pPr>
            <w:r w:rsidRPr="00FD25DE">
              <w:rPr>
                <w:rFonts w:ascii="Calibri" w:hAnsi="Calibri" w:cs="Calibri"/>
                <w:sz w:val="18"/>
                <w:szCs w:val="18"/>
                <w:lang w:val="es-CR" w:eastAsia="es-CR"/>
              </w:rPr>
              <w:t> </w:t>
            </w:r>
          </w:p>
        </w:tc>
        <w:tc>
          <w:tcPr>
            <w:tcW w:w="2977" w:type="dxa"/>
            <w:tcBorders>
              <w:top w:val="nil"/>
              <w:left w:val="nil"/>
              <w:bottom w:val="nil"/>
              <w:right w:val="nil"/>
            </w:tcBorders>
            <w:shd w:val="clear" w:color="000000" w:fill="FFFFFF"/>
            <w:noWrap/>
            <w:vAlign w:val="center"/>
            <w:hideMark/>
          </w:tcPr>
          <w:p w14:paraId="7B813AD8"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 </w:t>
            </w:r>
          </w:p>
        </w:tc>
        <w:tc>
          <w:tcPr>
            <w:tcW w:w="1276" w:type="dxa"/>
            <w:tcBorders>
              <w:top w:val="nil"/>
              <w:left w:val="single" w:sz="8" w:space="0" w:color="auto"/>
              <w:bottom w:val="nil"/>
              <w:right w:val="nil"/>
            </w:tcBorders>
            <w:shd w:val="clear" w:color="000000" w:fill="FFFFFF"/>
            <w:vAlign w:val="center"/>
            <w:hideMark/>
          </w:tcPr>
          <w:p w14:paraId="27BB67FB" w14:textId="77777777" w:rsidR="00FD25DE" w:rsidRPr="00FD25DE" w:rsidRDefault="00FD25DE" w:rsidP="00FD25DE">
            <w:pPr>
              <w:spacing w:line="240" w:lineRule="auto"/>
              <w:jc w:val="righ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 </w:t>
            </w:r>
          </w:p>
        </w:tc>
        <w:tc>
          <w:tcPr>
            <w:tcW w:w="2268" w:type="dxa"/>
            <w:tcBorders>
              <w:top w:val="nil"/>
              <w:left w:val="single" w:sz="8" w:space="0" w:color="auto"/>
              <w:bottom w:val="nil"/>
              <w:right w:val="single" w:sz="8" w:space="0" w:color="auto"/>
            </w:tcBorders>
            <w:shd w:val="clear" w:color="000000" w:fill="FFFFFF"/>
            <w:noWrap/>
            <w:vAlign w:val="center"/>
            <w:hideMark/>
          </w:tcPr>
          <w:p w14:paraId="5B90D73B"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1. Servicios</w:t>
            </w:r>
          </w:p>
        </w:tc>
        <w:tc>
          <w:tcPr>
            <w:tcW w:w="1275" w:type="dxa"/>
            <w:tcBorders>
              <w:top w:val="nil"/>
              <w:left w:val="nil"/>
              <w:bottom w:val="nil"/>
              <w:right w:val="single" w:sz="8" w:space="0" w:color="auto"/>
            </w:tcBorders>
            <w:shd w:val="clear" w:color="000000" w:fill="FFFFFF"/>
            <w:vAlign w:val="center"/>
            <w:hideMark/>
          </w:tcPr>
          <w:p w14:paraId="5E9DE479"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1 803 491 587</w:t>
            </w:r>
          </w:p>
        </w:tc>
      </w:tr>
      <w:tr w:rsidR="00FD25DE" w:rsidRPr="00FD25DE" w14:paraId="5CB5972E" w14:textId="77777777" w:rsidTr="00FD25DE">
        <w:trPr>
          <w:trHeight w:val="580"/>
        </w:trPr>
        <w:tc>
          <w:tcPr>
            <w:tcW w:w="1833" w:type="dxa"/>
            <w:tcBorders>
              <w:top w:val="nil"/>
              <w:left w:val="single" w:sz="8" w:space="0" w:color="auto"/>
              <w:bottom w:val="nil"/>
              <w:right w:val="single" w:sz="8" w:space="0" w:color="auto"/>
            </w:tcBorders>
            <w:shd w:val="clear" w:color="000000" w:fill="FFFFFF"/>
            <w:noWrap/>
            <w:vAlign w:val="center"/>
            <w:hideMark/>
          </w:tcPr>
          <w:p w14:paraId="089B3886" w14:textId="77777777" w:rsidR="00FD25DE" w:rsidRPr="00FD25DE" w:rsidRDefault="00FD25DE" w:rsidP="00FD25DE">
            <w:pPr>
              <w:spacing w:line="240" w:lineRule="auto"/>
              <w:jc w:val="center"/>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1.4.1.0.00.00.0.0.000</w:t>
            </w:r>
          </w:p>
        </w:tc>
        <w:tc>
          <w:tcPr>
            <w:tcW w:w="2977" w:type="dxa"/>
            <w:tcBorders>
              <w:top w:val="nil"/>
              <w:left w:val="nil"/>
              <w:bottom w:val="nil"/>
              <w:right w:val="single" w:sz="8" w:space="0" w:color="auto"/>
            </w:tcBorders>
            <w:shd w:val="clear" w:color="000000" w:fill="FFFFFF"/>
            <w:vAlign w:val="center"/>
            <w:hideMark/>
          </w:tcPr>
          <w:p w14:paraId="45D41A76"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Transferencias corrientes del Sector Público</w:t>
            </w:r>
          </w:p>
        </w:tc>
        <w:tc>
          <w:tcPr>
            <w:tcW w:w="1276" w:type="dxa"/>
            <w:tcBorders>
              <w:top w:val="nil"/>
              <w:left w:val="nil"/>
              <w:bottom w:val="nil"/>
              <w:right w:val="nil"/>
            </w:tcBorders>
            <w:shd w:val="clear" w:color="000000" w:fill="FFFFFF"/>
            <w:vAlign w:val="center"/>
            <w:hideMark/>
          </w:tcPr>
          <w:p w14:paraId="7507FA07"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4 407 625 310</w:t>
            </w:r>
          </w:p>
        </w:tc>
        <w:tc>
          <w:tcPr>
            <w:tcW w:w="2268" w:type="dxa"/>
            <w:tcBorders>
              <w:top w:val="nil"/>
              <w:left w:val="single" w:sz="8" w:space="0" w:color="auto"/>
              <w:bottom w:val="nil"/>
              <w:right w:val="single" w:sz="8" w:space="0" w:color="auto"/>
            </w:tcBorders>
            <w:shd w:val="clear" w:color="000000" w:fill="FFFFFF"/>
            <w:noWrap/>
            <w:vAlign w:val="center"/>
            <w:hideMark/>
          </w:tcPr>
          <w:p w14:paraId="4E0FE497"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2. Materiales y suministros</w:t>
            </w:r>
          </w:p>
        </w:tc>
        <w:tc>
          <w:tcPr>
            <w:tcW w:w="1275" w:type="dxa"/>
            <w:tcBorders>
              <w:top w:val="nil"/>
              <w:left w:val="nil"/>
              <w:bottom w:val="nil"/>
              <w:right w:val="single" w:sz="8" w:space="0" w:color="auto"/>
            </w:tcBorders>
            <w:shd w:val="clear" w:color="000000" w:fill="FFFFFF"/>
            <w:vAlign w:val="center"/>
            <w:hideMark/>
          </w:tcPr>
          <w:p w14:paraId="52C14D0C"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417 192</w:t>
            </w:r>
          </w:p>
        </w:tc>
      </w:tr>
      <w:tr w:rsidR="00FD25DE" w:rsidRPr="00FD25DE" w14:paraId="32BBB3B3" w14:textId="77777777" w:rsidTr="00FD25DE">
        <w:trPr>
          <w:trHeight w:val="290"/>
        </w:trPr>
        <w:tc>
          <w:tcPr>
            <w:tcW w:w="1833" w:type="dxa"/>
            <w:tcBorders>
              <w:top w:val="nil"/>
              <w:left w:val="single" w:sz="8" w:space="0" w:color="auto"/>
              <w:bottom w:val="nil"/>
              <w:right w:val="single" w:sz="8" w:space="0" w:color="auto"/>
            </w:tcBorders>
            <w:shd w:val="clear" w:color="auto" w:fill="auto"/>
            <w:noWrap/>
            <w:vAlign w:val="center"/>
            <w:hideMark/>
          </w:tcPr>
          <w:p w14:paraId="3D75A70A" w14:textId="77777777" w:rsidR="00FD25DE" w:rsidRPr="00FD25DE" w:rsidRDefault="00FD25DE" w:rsidP="00FD25DE">
            <w:pPr>
              <w:spacing w:line="240" w:lineRule="auto"/>
              <w:jc w:val="center"/>
              <w:rPr>
                <w:rFonts w:ascii="Calibri" w:hAnsi="Calibri" w:cs="Calibri"/>
                <w:sz w:val="18"/>
                <w:szCs w:val="18"/>
                <w:lang w:val="es-CR" w:eastAsia="es-CR"/>
              </w:rPr>
            </w:pPr>
            <w:r w:rsidRPr="00FD25DE">
              <w:rPr>
                <w:rFonts w:ascii="Calibri" w:hAnsi="Calibri" w:cs="Calibri"/>
                <w:sz w:val="18"/>
                <w:szCs w:val="18"/>
                <w:lang w:val="es-CR" w:eastAsia="es-CR"/>
              </w:rPr>
              <w:t> </w:t>
            </w:r>
          </w:p>
        </w:tc>
        <w:tc>
          <w:tcPr>
            <w:tcW w:w="2977" w:type="dxa"/>
            <w:tcBorders>
              <w:top w:val="nil"/>
              <w:left w:val="nil"/>
              <w:bottom w:val="nil"/>
              <w:right w:val="nil"/>
            </w:tcBorders>
            <w:shd w:val="clear" w:color="000000" w:fill="FFFFFF"/>
            <w:noWrap/>
            <w:vAlign w:val="center"/>
            <w:hideMark/>
          </w:tcPr>
          <w:p w14:paraId="6595F09D"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 </w:t>
            </w:r>
          </w:p>
        </w:tc>
        <w:tc>
          <w:tcPr>
            <w:tcW w:w="1276" w:type="dxa"/>
            <w:tcBorders>
              <w:top w:val="nil"/>
              <w:left w:val="single" w:sz="8" w:space="0" w:color="auto"/>
              <w:bottom w:val="nil"/>
              <w:right w:val="nil"/>
            </w:tcBorders>
            <w:shd w:val="clear" w:color="000000" w:fill="FFFFFF"/>
            <w:vAlign w:val="center"/>
            <w:hideMark/>
          </w:tcPr>
          <w:p w14:paraId="443CA9E6"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 </w:t>
            </w:r>
          </w:p>
        </w:tc>
        <w:tc>
          <w:tcPr>
            <w:tcW w:w="2268" w:type="dxa"/>
            <w:tcBorders>
              <w:top w:val="nil"/>
              <w:left w:val="single" w:sz="8" w:space="0" w:color="auto"/>
              <w:bottom w:val="nil"/>
              <w:right w:val="single" w:sz="8" w:space="0" w:color="auto"/>
            </w:tcBorders>
            <w:shd w:val="clear" w:color="000000" w:fill="FFFFFF"/>
            <w:noWrap/>
            <w:vAlign w:val="center"/>
            <w:hideMark/>
          </w:tcPr>
          <w:p w14:paraId="664EC7DA"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6. Transferencias corrientes</w:t>
            </w:r>
          </w:p>
        </w:tc>
        <w:tc>
          <w:tcPr>
            <w:tcW w:w="1275" w:type="dxa"/>
            <w:tcBorders>
              <w:top w:val="nil"/>
              <w:left w:val="nil"/>
              <w:bottom w:val="nil"/>
              <w:right w:val="single" w:sz="8" w:space="0" w:color="auto"/>
            </w:tcBorders>
            <w:shd w:val="clear" w:color="000000" w:fill="FFFFFF"/>
            <w:vAlign w:val="center"/>
            <w:hideMark/>
          </w:tcPr>
          <w:p w14:paraId="7755D43A"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33 101 327</w:t>
            </w:r>
          </w:p>
        </w:tc>
      </w:tr>
      <w:tr w:rsidR="00FD25DE" w:rsidRPr="00FD25DE" w14:paraId="10E75EA7" w14:textId="77777777" w:rsidTr="00FD25DE">
        <w:trPr>
          <w:trHeight w:val="870"/>
        </w:trPr>
        <w:tc>
          <w:tcPr>
            <w:tcW w:w="1833" w:type="dxa"/>
            <w:vMerge w:val="restart"/>
            <w:tcBorders>
              <w:top w:val="nil"/>
              <w:left w:val="single" w:sz="8" w:space="0" w:color="auto"/>
              <w:bottom w:val="nil"/>
              <w:right w:val="single" w:sz="8" w:space="0" w:color="auto"/>
            </w:tcBorders>
            <w:shd w:val="clear" w:color="000000" w:fill="FFFFFF"/>
            <w:noWrap/>
            <w:vAlign w:val="center"/>
            <w:hideMark/>
          </w:tcPr>
          <w:p w14:paraId="65E9B2F7" w14:textId="77777777" w:rsidR="00FD25DE" w:rsidRPr="00FD25DE" w:rsidRDefault="00FD25DE" w:rsidP="00FD25DE">
            <w:pPr>
              <w:spacing w:line="240" w:lineRule="auto"/>
              <w:jc w:val="center"/>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1.4.1.6.00.00.0.0.000</w:t>
            </w:r>
          </w:p>
        </w:tc>
        <w:tc>
          <w:tcPr>
            <w:tcW w:w="2977" w:type="dxa"/>
            <w:tcBorders>
              <w:top w:val="nil"/>
              <w:left w:val="nil"/>
              <w:bottom w:val="nil"/>
              <w:right w:val="single" w:sz="8" w:space="0" w:color="auto"/>
            </w:tcBorders>
            <w:shd w:val="clear" w:color="000000" w:fill="FFFFFF"/>
            <w:vAlign w:val="center"/>
            <w:hideMark/>
          </w:tcPr>
          <w:p w14:paraId="51839EDF"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Aporte del Banco Central de Costa Rica, sobre el 100% del presupuesto, según artículo 174, Ley 7732</w:t>
            </w:r>
          </w:p>
        </w:tc>
        <w:tc>
          <w:tcPr>
            <w:tcW w:w="1276" w:type="dxa"/>
            <w:vMerge w:val="restart"/>
            <w:tcBorders>
              <w:top w:val="nil"/>
              <w:left w:val="single" w:sz="8" w:space="0" w:color="auto"/>
              <w:bottom w:val="nil"/>
              <w:right w:val="single" w:sz="8" w:space="0" w:color="auto"/>
            </w:tcBorders>
            <w:shd w:val="clear" w:color="000000" w:fill="FFFFFF"/>
            <w:vAlign w:val="center"/>
            <w:hideMark/>
          </w:tcPr>
          <w:p w14:paraId="4172B57E"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4 407 625 310</w:t>
            </w:r>
          </w:p>
        </w:tc>
        <w:tc>
          <w:tcPr>
            <w:tcW w:w="2268" w:type="dxa"/>
            <w:vMerge w:val="restart"/>
            <w:tcBorders>
              <w:top w:val="nil"/>
              <w:left w:val="single" w:sz="8" w:space="0" w:color="auto"/>
              <w:bottom w:val="nil"/>
              <w:right w:val="single" w:sz="8" w:space="0" w:color="auto"/>
            </w:tcBorders>
            <w:shd w:val="clear" w:color="000000" w:fill="FFFFFF"/>
            <w:noWrap/>
            <w:vAlign w:val="center"/>
            <w:hideMark/>
          </w:tcPr>
          <w:p w14:paraId="68A96C80" w14:textId="77777777" w:rsidR="00FD25DE" w:rsidRPr="00FD25DE" w:rsidRDefault="00FD25DE" w:rsidP="00FD25DE">
            <w:pPr>
              <w:spacing w:line="240" w:lineRule="auto"/>
              <w:jc w:val="lef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B) Servicio de la deuda</w:t>
            </w:r>
          </w:p>
        </w:tc>
        <w:tc>
          <w:tcPr>
            <w:tcW w:w="1275" w:type="dxa"/>
            <w:vMerge w:val="restart"/>
            <w:tcBorders>
              <w:top w:val="nil"/>
              <w:left w:val="single" w:sz="8" w:space="0" w:color="auto"/>
              <w:bottom w:val="nil"/>
              <w:right w:val="single" w:sz="8" w:space="0" w:color="auto"/>
            </w:tcBorders>
            <w:shd w:val="clear" w:color="000000" w:fill="FFFFFF"/>
            <w:vAlign w:val="center"/>
            <w:hideMark/>
          </w:tcPr>
          <w:p w14:paraId="46B46083"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0</w:t>
            </w:r>
          </w:p>
        </w:tc>
      </w:tr>
      <w:tr w:rsidR="00FD25DE" w:rsidRPr="00FD25DE" w14:paraId="215C5C5F" w14:textId="77777777" w:rsidTr="00FD25DE">
        <w:trPr>
          <w:trHeight w:val="580"/>
        </w:trPr>
        <w:tc>
          <w:tcPr>
            <w:tcW w:w="1833" w:type="dxa"/>
            <w:vMerge/>
            <w:tcBorders>
              <w:top w:val="nil"/>
              <w:left w:val="single" w:sz="8" w:space="0" w:color="auto"/>
              <w:bottom w:val="nil"/>
              <w:right w:val="single" w:sz="8" w:space="0" w:color="auto"/>
            </w:tcBorders>
            <w:vAlign w:val="center"/>
            <w:hideMark/>
          </w:tcPr>
          <w:p w14:paraId="1726F713" w14:textId="77777777" w:rsidR="00FD25DE" w:rsidRPr="00FD25DE" w:rsidRDefault="00FD25DE" w:rsidP="00FD25DE">
            <w:pPr>
              <w:spacing w:line="240" w:lineRule="auto"/>
              <w:jc w:val="left"/>
              <w:rPr>
                <w:rFonts w:ascii="Calibri" w:hAnsi="Calibri" w:cs="Calibri"/>
                <w:color w:val="000000"/>
                <w:sz w:val="18"/>
                <w:szCs w:val="18"/>
                <w:lang w:val="es-CR" w:eastAsia="es-CR"/>
              </w:rPr>
            </w:pPr>
          </w:p>
        </w:tc>
        <w:tc>
          <w:tcPr>
            <w:tcW w:w="2977" w:type="dxa"/>
            <w:tcBorders>
              <w:top w:val="nil"/>
              <w:left w:val="nil"/>
              <w:bottom w:val="nil"/>
              <w:right w:val="single" w:sz="8" w:space="0" w:color="auto"/>
            </w:tcBorders>
            <w:shd w:val="clear" w:color="000000" w:fill="FFFFFF"/>
            <w:vAlign w:val="center"/>
            <w:hideMark/>
          </w:tcPr>
          <w:p w14:paraId="4CE1558A" w14:textId="77777777" w:rsidR="00FD25DE" w:rsidRPr="00FD25DE" w:rsidRDefault="00FD25DE" w:rsidP="00FD25DE">
            <w:pPr>
              <w:spacing w:line="240" w:lineRule="auto"/>
              <w:jc w:val="left"/>
              <w:rPr>
                <w:rFonts w:ascii="Calibri" w:hAnsi="Calibri" w:cs="Calibri"/>
                <w:i/>
                <w:iCs/>
                <w:color w:val="000000"/>
                <w:sz w:val="18"/>
                <w:szCs w:val="18"/>
                <w:lang w:val="es-CR" w:eastAsia="es-CR"/>
              </w:rPr>
            </w:pPr>
            <w:r w:rsidRPr="00FD25DE">
              <w:rPr>
                <w:rFonts w:ascii="Calibri" w:hAnsi="Calibri" w:cs="Calibri"/>
                <w:i/>
                <w:iCs/>
                <w:color w:val="000000"/>
                <w:sz w:val="18"/>
                <w:szCs w:val="18"/>
                <w:lang w:val="es-CR" w:eastAsia="es-CR"/>
              </w:rPr>
              <w:t>Superintendencias de Pensiones (SUPEN)</w:t>
            </w:r>
          </w:p>
        </w:tc>
        <w:tc>
          <w:tcPr>
            <w:tcW w:w="1276" w:type="dxa"/>
            <w:vMerge/>
            <w:tcBorders>
              <w:top w:val="nil"/>
              <w:left w:val="single" w:sz="8" w:space="0" w:color="auto"/>
              <w:bottom w:val="nil"/>
              <w:right w:val="single" w:sz="8" w:space="0" w:color="auto"/>
            </w:tcBorders>
            <w:vAlign w:val="center"/>
            <w:hideMark/>
          </w:tcPr>
          <w:p w14:paraId="7B9B6D77" w14:textId="77777777" w:rsidR="00FD25DE" w:rsidRPr="00FD25DE" w:rsidRDefault="00FD25DE" w:rsidP="00FD25DE">
            <w:pPr>
              <w:spacing w:line="240" w:lineRule="auto"/>
              <w:jc w:val="left"/>
              <w:rPr>
                <w:rFonts w:ascii="Calibri" w:hAnsi="Calibri" w:cs="Calibri"/>
                <w:color w:val="000000"/>
                <w:sz w:val="18"/>
                <w:szCs w:val="18"/>
                <w:lang w:val="es-CR" w:eastAsia="es-CR"/>
              </w:rPr>
            </w:pPr>
          </w:p>
        </w:tc>
        <w:tc>
          <w:tcPr>
            <w:tcW w:w="2268" w:type="dxa"/>
            <w:vMerge/>
            <w:tcBorders>
              <w:top w:val="nil"/>
              <w:left w:val="single" w:sz="8" w:space="0" w:color="auto"/>
              <w:bottom w:val="nil"/>
              <w:right w:val="single" w:sz="8" w:space="0" w:color="auto"/>
            </w:tcBorders>
            <w:vAlign w:val="center"/>
            <w:hideMark/>
          </w:tcPr>
          <w:p w14:paraId="14C3625F" w14:textId="77777777" w:rsidR="00FD25DE" w:rsidRPr="00FD25DE" w:rsidRDefault="00FD25DE" w:rsidP="00FD25DE">
            <w:pPr>
              <w:spacing w:line="240" w:lineRule="auto"/>
              <w:jc w:val="left"/>
              <w:rPr>
                <w:rFonts w:ascii="Calibri" w:hAnsi="Calibri" w:cs="Calibri"/>
                <w:b/>
                <w:bCs/>
                <w:color w:val="000000"/>
                <w:sz w:val="18"/>
                <w:szCs w:val="18"/>
                <w:lang w:val="es-CR" w:eastAsia="es-CR"/>
              </w:rPr>
            </w:pPr>
          </w:p>
        </w:tc>
        <w:tc>
          <w:tcPr>
            <w:tcW w:w="1275" w:type="dxa"/>
            <w:vMerge/>
            <w:tcBorders>
              <w:top w:val="nil"/>
              <w:left w:val="single" w:sz="8" w:space="0" w:color="auto"/>
              <w:bottom w:val="nil"/>
              <w:right w:val="single" w:sz="8" w:space="0" w:color="auto"/>
            </w:tcBorders>
            <w:vAlign w:val="center"/>
            <w:hideMark/>
          </w:tcPr>
          <w:p w14:paraId="26A19EF8" w14:textId="77777777" w:rsidR="00FD25DE" w:rsidRPr="00FD25DE" w:rsidRDefault="00FD25DE" w:rsidP="00FD25DE">
            <w:pPr>
              <w:spacing w:line="240" w:lineRule="auto"/>
              <w:jc w:val="left"/>
              <w:rPr>
                <w:rFonts w:ascii="Calibri" w:hAnsi="Calibri" w:cs="Calibri"/>
                <w:color w:val="000000"/>
                <w:sz w:val="18"/>
                <w:szCs w:val="18"/>
                <w:lang w:val="es-CR" w:eastAsia="es-CR"/>
              </w:rPr>
            </w:pPr>
          </w:p>
        </w:tc>
      </w:tr>
      <w:tr w:rsidR="00FD25DE" w:rsidRPr="00FD25DE" w14:paraId="69B11EAB" w14:textId="77777777" w:rsidTr="00FD25DE">
        <w:trPr>
          <w:trHeight w:val="300"/>
        </w:trPr>
        <w:tc>
          <w:tcPr>
            <w:tcW w:w="1833" w:type="dxa"/>
            <w:tcBorders>
              <w:top w:val="nil"/>
              <w:left w:val="single" w:sz="8" w:space="0" w:color="auto"/>
              <w:bottom w:val="single" w:sz="8" w:space="0" w:color="auto"/>
              <w:right w:val="single" w:sz="8" w:space="0" w:color="auto"/>
            </w:tcBorders>
            <w:shd w:val="clear" w:color="auto" w:fill="auto"/>
            <w:noWrap/>
            <w:vAlign w:val="center"/>
            <w:hideMark/>
          </w:tcPr>
          <w:p w14:paraId="6F507EE7" w14:textId="77777777" w:rsidR="00FD25DE" w:rsidRPr="00FD25DE" w:rsidRDefault="00FD25DE" w:rsidP="00FD25DE">
            <w:pPr>
              <w:spacing w:line="240" w:lineRule="auto"/>
              <w:jc w:val="left"/>
              <w:rPr>
                <w:rFonts w:ascii="Calibri" w:hAnsi="Calibri" w:cs="Calibri"/>
                <w:sz w:val="18"/>
                <w:szCs w:val="18"/>
                <w:lang w:val="es-CR" w:eastAsia="es-CR"/>
              </w:rPr>
            </w:pPr>
            <w:r w:rsidRPr="00FD25DE">
              <w:rPr>
                <w:rFonts w:ascii="Calibri" w:hAnsi="Calibri" w:cs="Calibri"/>
                <w:sz w:val="18"/>
                <w:szCs w:val="18"/>
                <w:lang w:val="es-CR" w:eastAsia="es-CR"/>
              </w:rPr>
              <w:t> </w:t>
            </w:r>
          </w:p>
        </w:tc>
        <w:tc>
          <w:tcPr>
            <w:tcW w:w="2977" w:type="dxa"/>
            <w:tcBorders>
              <w:top w:val="nil"/>
              <w:left w:val="nil"/>
              <w:bottom w:val="single" w:sz="8" w:space="0" w:color="auto"/>
              <w:right w:val="nil"/>
            </w:tcBorders>
            <w:shd w:val="clear" w:color="000000" w:fill="FFFFFF"/>
            <w:noWrap/>
            <w:vAlign w:val="center"/>
            <w:hideMark/>
          </w:tcPr>
          <w:p w14:paraId="7E214E50" w14:textId="77777777" w:rsidR="00FD25DE" w:rsidRPr="00FD25DE" w:rsidRDefault="00FD25DE" w:rsidP="00FD25DE">
            <w:pPr>
              <w:spacing w:line="240" w:lineRule="auto"/>
              <w:jc w:val="lef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 </w:t>
            </w:r>
          </w:p>
        </w:tc>
        <w:tc>
          <w:tcPr>
            <w:tcW w:w="1276" w:type="dxa"/>
            <w:tcBorders>
              <w:top w:val="nil"/>
              <w:left w:val="single" w:sz="8" w:space="0" w:color="auto"/>
              <w:bottom w:val="single" w:sz="8" w:space="0" w:color="auto"/>
              <w:right w:val="nil"/>
            </w:tcBorders>
            <w:shd w:val="clear" w:color="000000" w:fill="FFFFFF"/>
            <w:vAlign w:val="center"/>
            <w:hideMark/>
          </w:tcPr>
          <w:p w14:paraId="5EC65091"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 </w:t>
            </w: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14:paraId="790DAE1A" w14:textId="77777777" w:rsidR="00FD25DE" w:rsidRPr="00FD25DE" w:rsidRDefault="00FD25DE" w:rsidP="00FD25DE">
            <w:pPr>
              <w:spacing w:line="240" w:lineRule="auto"/>
              <w:jc w:val="lef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C) Inversiones</w:t>
            </w:r>
          </w:p>
        </w:tc>
        <w:tc>
          <w:tcPr>
            <w:tcW w:w="1275" w:type="dxa"/>
            <w:tcBorders>
              <w:top w:val="nil"/>
              <w:left w:val="nil"/>
              <w:bottom w:val="single" w:sz="8" w:space="0" w:color="auto"/>
              <w:right w:val="single" w:sz="8" w:space="0" w:color="auto"/>
            </w:tcBorders>
            <w:shd w:val="clear" w:color="000000" w:fill="FFFFFF"/>
            <w:vAlign w:val="center"/>
            <w:hideMark/>
          </w:tcPr>
          <w:p w14:paraId="1CDD1D13" w14:textId="77777777" w:rsidR="00FD25DE" w:rsidRPr="00FD25DE" w:rsidRDefault="00FD25DE" w:rsidP="00FD25DE">
            <w:pPr>
              <w:spacing w:line="240" w:lineRule="auto"/>
              <w:jc w:val="right"/>
              <w:rPr>
                <w:rFonts w:ascii="Calibri" w:hAnsi="Calibri" w:cs="Calibri"/>
                <w:color w:val="000000"/>
                <w:sz w:val="18"/>
                <w:szCs w:val="18"/>
                <w:lang w:val="es-CR" w:eastAsia="es-CR"/>
              </w:rPr>
            </w:pPr>
            <w:r w:rsidRPr="00FD25DE">
              <w:rPr>
                <w:rFonts w:ascii="Calibri" w:hAnsi="Calibri" w:cs="Calibri"/>
                <w:color w:val="000000"/>
                <w:sz w:val="18"/>
                <w:szCs w:val="18"/>
                <w:lang w:val="es-CR" w:eastAsia="es-CR"/>
              </w:rPr>
              <w:t>15 679 675</w:t>
            </w:r>
          </w:p>
        </w:tc>
      </w:tr>
      <w:tr w:rsidR="00FD25DE" w:rsidRPr="00FD25DE" w14:paraId="64EF18DF" w14:textId="77777777" w:rsidTr="00FD25DE">
        <w:trPr>
          <w:trHeight w:val="480"/>
        </w:trPr>
        <w:tc>
          <w:tcPr>
            <w:tcW w:w="1833"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4AF26BE0"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 </w:t>
            </w:r>
          </w:p>
        </w:tc>
        <w:tc>
          <w:tcPr>
            <w:tcW w:w="2977" w:type="dxa"/>
            <w:tcBorders>
              <w:top w:val="nil"/>
              <w:left w:val="nil"/>
              <w:bottom w:val="single" w:sz="8" w:space="0" w:color="auto"/>
              <w:right w:val="single" w:sz="8" w:space="0" w:color="auto"/>
            </w:tcBorders>
            <w:shd w:val="clear" w:color="auto" w:fill="DBE5F1" w:themeFill="accent1" w:themeFillTint="33"/>
            <w:noWrap/>
            <w:vAlign w:val="center"/>
            <w:hideMark/>
          </w:tcPr>
          <w:p w14:paraId="51213D7A"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proofErr w:type="gramStart"/>
            <w:r w:rsidRPr="00FD25DE">
              <w:rPr>
                <w:rFonts w:ascii="Calibri" w:hAnsi="Calibri" w:cs="Calibri"/>
                <w:b/>
                <w:bCs/>
                <w:color w:val="000000"/>
                <w:sz w:val="18"/>
                <w:szCs w:val="18"/>
                <w:lang w:val="es-CR" w:eastAsia="es-CR"/>
              </w:rPr>
              <w:t>TOTAL</w:t>
            </w:r>
            <w:proofErr w:type="gramEnd"/>
            <w:r w:rsidRPr="00FD25DE">
              <w:rPr>
                <w:rFonts w:ascii="Calibri" w:hAnsi="Calibri" w:cs="Calibri"/>
                <w:b/>
                <w:bCs/>
                <w:color w:val="000000"/>
                <w:sz w:val="18"/>
                <w:szCs w:val="18"/>
                <w:lang w:val="es-CR" w:eastAsia="es-CR"/>
              </w:rPr>
              <w:t xml:space="preserve"> INGRESOS</w:t>
            </w:r>
          </w:p>
        </w:tc>
        <w:tc>
          <w:tcPr>
            <w:tcW w:w="1276" w:type="dxa"/>
            <w:tcBorders>
              <w:top w:val="nil"/>
              <w:left w:val="nil"/>
              <w:bottom w:val="single" w:sz="8" w:space="0" w:color="auto"/>
              <w:right w:val="single" w:sz="8" w:space="0" w:color="auto"/>
            </w:tcBorders>
            <w:shd w:val="clear" w:color="auto" w:fill="DBE5F1" w:themeFill="accent1" w:themeFillTint="33"/>
            <w:vAlign w:val="center"/>
            <w:hideMark/>
          </w:tcPr>
          <w:p w14:paraId="034047A4" w14:textId="77777777" w:rsidR="00FD25DE" w:rsidRPr="00FD25DE" w:rsidRDefault="00FD25DE" w:rsidP="00FD25DE">
            <w:pPr>
              <w:spacing w:line="240" w:lineRule="auto"/>
              <w:jc w:val="righ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4 407 625 310</w:t>
            </w:r>
          </w:p>
        </w:tc>
        <w:tc>
          <w:tcPr>
            <w:tcW w:w="2268" w:type="dxa"/>
            <w:tcBorders>
              <w:top w:val="nil"/>
              <w:left w:val="nil"/>
              <w:bottom w:val="single" w:sz="8" w:space="0" w:color="auto"/>
              <w:right w:val="single" w:sz="8" w:space="0" w:color="auto"/>
            </w:tcBorders>
            <w:shd w:val="clear" w:color="auto" w:fill="DBE5F1" w:themeFill="accent1" w:themeFillTint="33"/>
            <w:noWrap/>
            <w:vAlign w:val="center"/>
            <w:hideMark/>
          </w:tcPr>
          <w:p w14:paraId="54091BA5" w14:textId="77777777" w:rsidR="00FD25DE" w:rsidRPr="00FD25DE" w:rsidRDefault="00FD25DE" w:rsidP="00FD25DE">
            <w:pPr>
              <w:spacing w:line="240" w:lineRule="auto"/>
              <w:jc w:val="center"/>
              <w:rPr>
                <w:rFonts w:ascii="Calibri" w:hAnsi="Calibri" w:cs="Calibri"/>
                <w:b/>
                <w:bCs/>
                <w:color w:val="000000"/>
                <w:sz w:val="18"/>
                <w:szCs w:val="18"/>
                <w:lang w:val="es-CR" w:eastAsia="es-CR"/>
              </w:rPr>
            </w:pPr>
            <w:proofErr w:type="gramStart"/>
            <w:r w:rsidRPr="00FD25DE">
              <w:rPr>
                <w:rFonts w:ascii="Calibri" w:hAnsi="Calibri" w:cs="Calibri"/>
                <w:b/>
                <w:bCs/>
                <w:color w:val="000000"/>
                <w:sz w:val="18"/>
                <w:szCs w:val="18"/>
                <w:lang w:val="es-CR" w:eastAsia="es-CR"/>
              </w:rPr>
              <w:t>TOTAL</w:t>
            </w:r>
            <w:proofErr w:type="gramEnd"/>
            <w:r w:rsidRPr="00FD25DE">
              <w:rPr>
                <w:rFonts w:ascii="Calibri" w:hAnsi="Calibri" w:cs="Calibri"/>
                <w:b/>
                <w:bCs/>
                <w:color w:val="000000"/>
                <w:sz w:val="18"/>
                <w:szCs w:val="18"/>
                <w:lang w:val="es-CR" w:eastAsia="es-CR"/>
              </w:rPr>
              <w:t xml:space="preserve"> EGRESOS</w:t>
            </w:r>
          </w:p>
        </w:tc>
        <w:tc>
          <w:tcPr>
            <w:tcW w:w="1275" w:type="dxa"/>
            <w:tcBorders>
              <w:top w:val="nil"/>
              <w:left w:val="nil"/>
              <w:bottom w:val="single" w:sz="8" w:space="0" w:color="auto"/>
              <w:right w:val="single" w:sz="8" w:space="0" w:color="auto"/>
            </w:tcBorders>
            <w:shd w:val="clear" w:color="auto" w:fill="DBE5F1" w:themeFill="accent1" w:themeFillTint="33"/>
            <w:vAlign w:val="center"/>
            <w:hideMark/>
          </w:tcPr>
          <w:p w14:paraId="7C766434" w14:textId="77777777" w:rsidR="00FD25DE" w:rsidRPr="00FD25DE" w:rsidRDefault="00FD25DE" w:rsidP="00FD25DE">
            <w:pPr>
              <w:spacing w:line="240" w:lineRule="auto"/>
              <w:jc w:val="right"/>
              <w:rPr>
                <w:rFonts w:ascii="Calibri" w:hAnsi="Calibri" w:cs="Calibri"/>
                <w:b/>
                <w:bCs/>
                <w:color w:val="000000"/>
                <w:sz w:val="18"/>
                <w:szCs w:val="18"/>
                <w:lang w:val="es-CR" w:eastAsia="es-CR"/>
              </w:rPr>
            </w:pPr>
            <w:r w:rsidRPr="00FD25DE">
              <w:rPr>
                <w:rFonts w:ascii="Calibri" w:hAnsi="Calibri" w:cs="Calibri"/>
                <w:b/>
                <w:bCs/>
                <w:color w:val="000000"/>
                <w:sz w:val="18"/>
                <w:szCs w:val="18"/>
                <w:lang w:val="es-CR" w:eastAsia="es-CR"/>
              </w:rPr>
              <w:t>4 407 625 310</w:t>
            </w:r>
          </w:p>
        </w:tc>
      </w:tr>
    </w:tbl>
    <w:p w14:paraId="67370CE3" w14:textId="45F64039" w:rsidR="00FD25DE" w:rsidRDefault="00FD25DE" w:rsidP="00D668DE">
      <w:pPr>
        <w:spacing w:line="240" w:lineRule="auto"/>
        <w:rPr>
          <w:rFonts w:asciiTheme="minorHAnsi" w:hAnsiTheme="minorHAnsi" w:cstheme="minorHAnsi"/>
          <w:sz w:val="20"/>
          <w:lang w:val="es-CR"/>
        </w:rPr>
      </w:pPr>
    </w:p>
    <w:p w14:paraId="61D35B47" w14:textId="1D6E54E6" w:rsidR="003C6500" w:rsidRDefault="003C6500" w:rsidP="00D668DE">
      <w:pPr>
        <w:spacing w:line="240" w:lineRule="auto"/>
        <w:rPr>
          <w:rFonts w:asciiTheme="minorHAnsi" w:hAnsiTheme="minorHAnsi" w:cstheme="minorHAnsi"/>
          <w:sz w:val="20"/>
          <w:lang w:val="es-CR"/>
        </w:rPr>
      </w:pPr>
    </w:p>
    <w:p w14:paraId="2CBBABA9" w14:textId="77777777" w:rsidR="00FD25DE" w:rsidRPr="00D07970" w:rsidRDefault="00FD25DE" w:rsidP="00D668DE">
      <w:pPr>
        <w:spacing w:line="240" w:lineRule="auto"/>
        <w:rPr>
          <w:rFonts w:asciiTheme="minorHAnsi" w:hAnsiTheme="minorHAnsi" w:cstheme="minorHAnsi"/>
          <w:sz w:val="20"/>
          <w:lang w:val="es-CR"/>
        </w:rPr>
      </w:pPr>
    </w:p>
    <w:p w14:paraId="7A387184" w14:textId="191EB5CD" w:rsidR="0050400F" w:rsidRPr="00D07970" w:rsidRDefault="0050400F" w:rsidP="00D0007D">
      <w:pPr>
        <w:pStyle w:val="Prrafodelista"/>
        <w:numPr>
          <w:ilvl w:val="0"/>
          <w:numId w:val="17"/>
        </w:numPr>
        <w:outlineLvl w:val="2"/>
        <w:rPr>
          <w:rFonts w:asciiTheme="minorHAnsi" w:hAnsiTheme="minorHAnsi" w:cstheme="minorHAnsi"/>
          <w:b/>
          <w:bCs/>
          <w:i/>
          <w:iCs/>
          <w:sz w:val="24"/>
          <w:szCs w:val="24"/>
          <w:lang w:val="es-CR"/>
        </w:rPr>
      </w:pPr>
      <w:bookmarkStart w:id="26" w:name="_Toc94183021"/>
      <w:r w:rsidRPr="00D07970">
        <w:rPr>
          <w:rFonts w:asciiTheme="minorHAnsi" w:hAnsiTheme="minorHAnsi" w:cstheme="minorHAnsi"/>
          <w:b/>
          <w:bCs/>
          <w:i/>
          <w:iCs/>
          <w:sz w:val="24"/>
          <w:szCs w:val="24"/>
          <w:lang w:val="es-CR"/>
        </w:rPr>
        <w:t>Detalle de la conformación del super</w:t>
      </w:r>
      <w:r w:rsidR="003A578C" w:rsidRPr="00D07970">
        <w:rPr>
          <w:rFonts w:asciiTheme="minorHAnsi" w:hAnsiTheme="minorHAnsi" w:cstheme="minorHAnsi"/>
          <w:b/>
          <w:bCs/>
          <w:i/>
          <w:iCs/>
          <w:sz w:val="24"/>
          <w:szCs w:val="24"/>
          <w:lang w:val="es-CR"/>
        </w:rPr>
        <w:t>ávit</w:t>
      </w:r>
      <w:r w:rsidR="002C3763" w:rsidRPr="00D07970">
        <w:rPr>
          <w:rFonts w:asciiTheme="minorHAnsi" w:hAnsiTheme="minorHAnsi" w:cstheme="minorHAnsi"/>
          <w:b/>
          <w:bCs/>
          <w:i/>
          <w:iCs/>
          <w:sz w:val="24"/>
          <w:szCs w:val="24"/>
          <w:lang w:val="es-CR"/>
        </w:rPr>
        <w:t xml:space="preserve"> (4.3.19. </w:t>
      </w:r>
      <w:proofErr w:type="spellStart"/>
      <w:r w:rsidR="002C3763" w:rsidRPr="00D07970">
        <w:rPr>
          <w:rFonts w:asciiTheme="minorHAnsi" w:hAnsiTheme="minorHAnsi" w:cstheme="minorHAnsi"/>
          <w:b/>
          <w:bCs/>
          <w:i/>
          <w:iCs/>
          <w:sz w:val="24"/>
          <w:szCs w:val="24"/>
          <w:lang w:val="es-CR"/>
        </w:rPr>
        <w:t>ii</w:t>
      </w:r>
      <w:proofErr w:type="spellEnd"/>
      <w:r w:rsidR="002C3763" w:rsidRPr="00D07970">
        <w:rPr>
          <w:rFonts w:asciiTheme="minorHAnsi" w:hAnsiTheme="minorHAnsi" w:cstheme="minorHAnsi"/>
          <w:b/>
          <w:bCs/>
          <w:i/>
          <w:iCs/>
          <w:sz w:val="24"/>
          <w:szCs w:val="24"/>
          <w:lang w:val="es-CR"/>
        </w:rPr>
        <w:t>)</w:t>
      </w:r>
      <w:bookmarkEnd w:id="26"/>
    </w:p>
    <w:p w14:paraId="08DA1D06" w14:textId="77777777" w:rsidR="0050400F" w:rsidRPr="00D07970" w:rsidRDefault="0050400F" w:rsidP="00225437">
      <w:pPr>
        <w:rPr>
          <w:rFonts w:asciiTheme="minorHAnsi" w:hAnsiTheme="minorHAnsi" w:cstheme="minorHAnsi"/>
          <w:sz w:val="24"/>
          <w:szCs w:val="24"/>
          <w:lang w:val="es-CR"/>
        </w:rPr>
      </w:pPr>
    </w:p>
    <w:p w14:paraId="4378836F" w14:textId="127D6538" w:rsidR="0050400F" w:rsidRPr="00D07970" w:rsidRDefault="0050400F" w:rsidP="006F08C9">
      <w:pPr>
        <w:rPr>
          <w:rFonts w:asciiTheme="minorHAnsi" w:hAnsiTheme="minorHAnsi" w:cstheme="minorHAnsi"/>
          <w:sz w:val="24"/>
          <w:szCs w:val="24"/>
          <w:lang w:val="es-CR"/>
        </w:rPr>
      </w:pPr>
      <w:r w:rsidRPr="00D07970">
        <w:rPr>
          <w:rFonts w:asciiTheme="minorHAnsi" w:hAnsiTheme="minorHAnsi" w:cstheme="minorHAnsi"/>
          <w:sz w:val="24"/>
          <w:szCs w:val="24"/>
          <w:lang w:val="es-CR"/>
        </w:rPr>
        <w:t>El financiamiento del presupuesto de la SUPEN está determinado en la Ley Regula</w:t>
      </w:r>
      <w:r w:rsidR="00C8512C" w:rsidRPr="00D07970">
        <w:rPr>
          <w:rFonts w:asciiTheme="minorHAnsi" w:hAnsiTheme="minorHAnsi" w:cstheme="minorHAnsi"/>
          <w:sz w:val="24"/>
          <w:szCs w:val="24"/>
          <w:lang w:val="es-CR"/>
        </w:rPr>
        <w:t>dora del Mercado de Valores N°</w:t>
      </w:r>
      <w:r w:rsidRPr="00D07970">
        <w:rPr>
          <w:rFonts w:asciiTheme="minorHAnsi" w:hAnsiTheme="minorHAnsi" w:cstheme="minorHAnsi"/>
          <w:sz w:val="24"/>
          <w:szCs w:val="24"/>
          <w:lang w:val="es-CR"/>
        </w:rPr>
        <w:t xml:space="preserve">7732, </w:t>
      </w:r>
      <w:r w:rsidR="006F08C9" w:rsidRPr="00D07970">
        <w:rPr>
          <w:rFonts w:asciiTheme="minorHAnsi" w:hAnsiTheme="minorHAnsi" w:cstheme="minorHAnsi"/>
          <w:sz w:val="24"/>
          <w:szCs w:val="24"/>
          <w:lang w:val="es-CR"/>
        </w:rPr>
        <w:t xml:space="preserve">artículo 174, </w:t>
      </w:r>
      <w:r w:rsidR="00C8512C" w:rsidRPr="00D07970">
        <w:rPr>
          <w:rFonts w:asciiTheme="minorHAnsi" w:hAnsiTheme="minorHAnsi" w:cstheme="minorHAnsi"/>
          <w:sz w:val="24"/>
          <w:szCs w:val="24"/>
          <w:lang w:val="es-CR"/>
        </w:rPr>
        <w:t xml:space="preserve">que </w:t>
      </w:r>
      <w:r w:rsidR="008123DF" w:rsidRPr="00D07970">
        <w:rPr>
          <w:rFonts w:asciiTheme="minorHAnsi" w:hAnsiTheme="minorHAnsi" w:cstheme="minorHAnsi"/>
          <w:sz w:val="24"/>
          <w:szCs w:val="24"/>
          <w:lang w:val="es-CR"/>
        </w:rPr>
        <w:t xml:space="preserve">entre otras cosas </w:t>
      </w:r>
      <w:r w:rsidR="006F08C9" w:rsidRPr="00D07970">
        <w:rPr>
          <w:rFonts w:asciiTheme="minorHAnsi" w:hAnsiTheme="minorHAnsi" w:cstheme="minorHAnsi"/>
          <w:sz w:val="24"/>
          <w:szCs w:val="24"/>
          <w:lang w:val="es-CR"/>
        </w:rPr>
        <w:t xml:space="preserve">establece: </w:t>
      </w:r>
      <w:r w:rsidR="006F08C9" w:rsidRPr="00D07970">
        <w:rPr>
          <w:rFonts w:asciiTheme="minorHAnsi" w:hAnsiTheme="minorHAnsi" w:cstheme="minorHAnsi"/>
          <w:i/>
          <w:iCs/>
          <w:sz w:val="24"/>
          <w:szCs w:val="24"/>
          <w:lang w:val="es-CR"/>
        </w:rPr>
        <w:t>El presupuesto de las superintendencias será financiado en un ochenta por ciento (80%) con recursos provenientes del B</w:t>
      </w:r>
      <w:r w:rsidR="0092291B" w:rsidRPr="00D07970">
        <w:rPr>
          <w:rFonts w:asciiTheme="minorHAnsi" w:hAnsiTheme="minorHAnsi" w:cstheme="minorHAnsi"/>
          <w:i/>
          <w:iCs/>
          <w:sz w:val="24"/>
          <w:szCs w:val="24"/>
          <w:lang w:val="es-CR"/>
        </w:rPr>
        <w:t>CCR</w:t>
      </w:r>
      <w:r w:rsidR="006F08C9" w:rsidRPr="00D07970">
        <w:rPr>
          <w:rFonts w:asciiTheme="minorHAnsi" w:hAnsiTheme="minorHAnsi" w:cstheme="minorHAnsi"/>
          <w:i/>
          <w:iCs/>
          <w:sz w:val="24"/>
          <w:szCs w:val="24"/>
          <w:lang w:val="es-CR"/>
        </w:rPr>
        <w:t xml:space="preserve"> y en un veinte por ciento (20%) de los gastos efectivamente incurridos, mediante contribuciones obligatorias de los sujetos fiscalizados</w:t>
      </w:r>
      <w:r w:rsidR="006F08C9" w:rsidRPr="00D07970">
        <w:rPr>
          <w:rFonts w:asciiTheme="minorHAnsi" w:hAnsiTheme="minorHAnsi" w:cstheme="minorHAnsi"/>
          <w:sz w:val="24"/>
          <w:szCs w:val="24"/>
          <w:lang w:val="es-CR"/>
        </w:rPr>
        <w:t>.</w:t>
      </w:r>
    </w:p>
    <w:p w14:paraId="0D63ED02" w14:textId="03FB6A53" w:rsidR="0050400F" w:rsidRPr="00D07970" w:rsidRDefault="0050400F" w:rsidP="00225437">
      <w:pPr>
        <w:rPr>
          <w:rFonts w:asciiTheme="minorHAnsi" w:hAnsiTheme="minorHAnsi" w:cstheme="minorHAnsi"/>
          <w:sz w:val="24"/>
          <w:szCs w:val="24"/>
          <w:lang w:val="es-CR"/>
        </w:rPr>
      </w:pPr>
    </w:p>
    <w:p w14:paraId="5F2AB211" w14:textId="7AE17D03" w:rsidR="0050400F" w:rsidRPr="00D07970" w:rsidRDefault="0050400F" w:rsidP="00225437">
      <w:pPr>
        <w:rPr>
          <w:rFonts w:asciiTheme="minorHAnsi" w:hAnsiTheme="minorHAnsi" w:cstheme="minorHAnsi"/>
          <w:sz w:val="24"/>
          <w:szCs w:val="24"/>
          <w:lang w:val="es-CR"/>
        </w:rPr>
      </w:pPr>
      <w:r w:rsidRPr="00D07970">
        <w:rPr>
          <w:rFonts w:asciiTheme="minorHAnsi" w:hAnsiTheme="minorHAnsi" w:cstheme="minorHAnsi"/>
          <w:sz w:val="24"/>
          <w:szCs w:val="24"/>
          <w:lang w:val="es-CR"/>
        </w:rPr>
        <w:t>Dada esa normativa</w:t>
      </w:r>
      <w:r w:rsidR="00073388" w:rsidRPr="00D07970">
        <w:rPr>
          <w:rFonts w:asciiTheme="minorHAnsi" w:hAnsiTheme="minorHAnsi" w:cstheme="minorHAnsi"/>
          <w:sz w:val="24"/>
          <w:szCs w:val="24"/>
          <w:lang w:val="es-CR"/>
        </w:rPr>
        <w:t>,</w:t>
      </w:r>
      <w:r w:rsidRPr="00D07970">
        <w:rPr>
          <w:rFonts w:asciiTheme="minorHAnsi" w:hAnsiTheme="minorHAnsi" w:cstheme="minorHAnsi"/>
          <w:sz w:val="24"/>
          <w:szCs w:val="24"/>
          <w:lang w:val="es-CR"/>
        </w:rPr>
        <w:t xml:space="preserve"> la SUPEN no refleja superávit</w:t>
      </w:r>
      <w:r w:rsidR="00A1087A" w:rsidRPr="00D07970">
        <w:rPr>
          <w:rFonts w:asciiTheme="minorHAnsi" w:hAnsiTheme="minorHAnsi" w:cstheme="minorHAnsi"/>
          <w:sz w:val="24"/>
          <w:szCs w:val="24"/>
          <w:lang w:val="es-CR"/>
        </w:rPr>
        <w:t xml:space="preserve"> de ningún tipo</w:t>
      </w:r>
      <w:r w:rsidRPr="00D07970">
        <w:rPr>
          <w:rFonts w:asciiTheme="minorHAnsi" w:hAnsiTheme="minorHAnsi" w:cstheme="minorHAnsi"/>
          <w:sz w:val="24"/>
          <w:szCs w:val="24"/>
          <w:lang w:val="es-CR"/>
        </w:rPr>
        <w:t>, por lo que no se presenta detalle alguno</w:t>
      </w:r>
      <w:r w:rsidR="00A1087A" w:rsidRPr="00D07970">
        <w:rPr>
          <w:rFonts w:asciiTheme="minorHAnsi" w:hAnsiTheme="minorHAnsi" w:cstheme="minorHAnsi"/>
          <w:sz w:val="24"/>
          <w:szCs w:val="24"/>
          <w:lang w:val="es-CR"/>
        </w:rPr>
        <w:t xml:space="preserve"> de la conformación</w:t>
      </w:r>
      <w:r w:rsidRPr="00D07970">
        <w:rPr>
          <w:rFonts w:asciiTheme="minorHAnsi" w:hAnsiTheme="minorHAnsi" w:cstheme="minorHAnsi"/>
          <w:sz w:val="24"/>
          <w:szCs w:val="24"/>
          <w:lang w:val="es-CR"/>
        </w:rPr>
        <w:t xml:space="preserve"> del superávit en esta sección del informe</w:t>
      </w:r>
      <w:r w:rsidR="00A1087A" w:rsidRPr="00D07970">
        <w:rPr>
          <w:rFonts w:asciiTheme="minorHAnsi" w:hAnsiTheme="minorHAnsi" w:cstheme="minorHAnsi"/>
          <w:sz w:val="24"/>
          <w:szCs w:val="24"/>
          <w:lang w:val="es-CR"/>
        </w:rPr>
        <w:t>.</w:t>
      </w:r>
    </w:p>
    <w:p w14:paraId="5915F34A" w14:textId="507C9F7A" w:rsidR="0050400F" w:rsidRPr="00D07970" w:rsidRDefault="0050400F" w:rsidP="00225437">
      <w:pPr>
        <w:rPr>
          <w:rFonts w:asciiTheme="minorHAnsi" w:hAnsiTheme="minorHAnsi" w:cstheme="minorHAnsi"/>
          <w:sz w:val="24"/>
          <w:szCs w:val="24"/>
          <w:lang w:val="es-CR"/>
        </w:rPr>
      </w:pPr>
    </w:p>
    <w:p w14:paraId="50FCB506" w14:textId="67908B79" w:rsidR="00A1087A" w:rsidRPr="00D07970" w:rsidRDefault="00A1087A" w:rsidP="00F94444">
      <w:pPr>
        <w:pStyle w:val="Prrafodelista"/>
        <w:numPr>
          <w:ilvl w:val="0"/>
          <w:numId w:val="17"/>
        </w:numPr>
        <w:outlineLvl w:val="2"/>
        <w:rPr>
          <w:rFonts w:asciiTheme="minorHAnsi" w:hAnsiTheme="minorHAnsi" w:cstheme="minorHAnsi"/>
          <w:b/>
          <w:bCs/>
          <w:i/>
          <w:iCs/>
          <w:sz w:val="24"/>
          <w:szCs w:val="24"/>
          <w:lang w:val="es-CR"/>
        </w:rPr>
      </w:pPr>
      <w:bookmarkStart w:id="27" w:name="_Toc94183022"/>
      <w:r w:rsidRPr="00D07970">
        <w:rPr>
          <w:rFonts w:asciiTheme="minorHAnsi" w:hAnsiTheme="minorHAnsi" w:cstheme="minorHAnsi"/>
          <w:b/>
          <w:bCs/>
          <w:i/>
          <w:iCs/>
          <w:sz w:val="24"/>
          <w:szCs w:val="24"/>
          <w:lang w:val="es-CR"/>
        </w:rPr>
        <w:t>Monto del superávit libre o déficit</w:t>
      </w:r>
      <w:r w:rsidR="002C3763" w:rsidRPr="00D07970">
        <w:rPr>
          <w:rFonts w:asciiTheme="minorHAnsi" w:hAnsiTheme="minorHAnsi" w:cstheme="minorHAnsi"/>
          <w:b/>
          <w:bCs/>
          <w:i/>
          <w:iCs/>
          <w:sz w:val="24"/>
          <w:szCs w:val="24"/>
          <w:lang w:val="es-CR"/>
        </w:rPr>
        <w:t xml:space="preserve"> (4.3.19 b. </w:t>
      </w:r>
      <w:proofErr w:type="spellStart"/>
      <w:r w:rsidR="002C3763" w:rsidRPr="00D07970">
        <w:rPr>
          <w:rFonts w:asciiTheme="minorHAnsi" w:hAnsiTheme="minorHAnsi" w:cstheme="minorHAnsi"/>
          <w:b/>
          <w:bCs/>
          <w:i/>
          <w:iCs/>
          <w:sz w:val="24"/>
          <w:szCs w:val="24"/>
          <w:lang w:val="es-CR"/>
        </w:rPr>
        <w:t>iii</w:t>
      </w:r>
      <w:proofErr w:type="spellEnd"/>
      <w:r w:rsidR="002C3763" w:rsidRPr="00D07970">
        <w:rPr>
          <w:rFonts w:asciiTheme="minorHAnsi" w:hAnsiTheme="minorHAnsi" w:cstheme="minorHAnsi"/>
          <w:b/>
          <w:bCs/>
          <w:i/>
          <w:iCs/>
          <w:sz w:val="24"/>
          <w:szCs w:val="24"/>
          <w:lang w:val="es-CR"/>
        </w:rPr>
        <w:t>)</w:t>
      </w:r>
      <w:bookmarkEnd w:id="27"/>
    </w:p>
    <w:p w14:paraId="607C54FE" w14:textId="38EE5EE4" w:rsidR="00577E6B" w:rsidRPr="00D07970" w:rsidRDefault="00577E6B" w:rsidP="00225437">
      <w:pPr>
        <w:rPr>
          <w:rFonts w:asciiTheme="minorHAnsi" w:hAnsiTheme="minorHAnsi" w:cstheme="minorHAnsi"/>
          <w:sz w:val="24"/>
          <w:szCs w:val="24"/>
          <w:lang w:val="es-CR"/>
        </w:rPr>
      </w:pPr>
    </w:p>
    <w:p w14:paraId="2BBB35D5" w14:textId="6EF74BD6" w:rsidR="000D4770" w:rsidRPr="00D07970" w:rsidRDefault="00880D5E" w:rsidP="00225437">
      <w:pPr>
        <w:rPr>
          <w:rFonts w:asciiTheme="minorHAnsi" w:hAnsiTheme="minorHAnsi" w:cstheme="minorHAnsi"/>
          <w:sz w:val="24"/>
          <w:szCs w:val="24"/>
          <w:lang w:val="es-CR"/>
        </w:rPr>
      </w:pPr>
      <w:r w:rsidRPr="00D07970">
        <w:rPr>
          <w:rFonts w:asciiTheme="minorHAnsi" w:hAnsiTheme="minorHAnsi" w:cstheme="minorHAnsi"/>
          <w:sz w:val="24"/>
          <w:szCs w:val="24"/>
          <w:lang w:val="es-CR"/>
        </w:rPr>
        <w:t>Conforme se indicó</w:t>
      </w:r>
      <w:r w:rsidR="004B7BB1" w:rsidRPr="00D07970">
        <w:rPr>
          <w:rFonts w:asciiTheme="minorHAnsi" w:hAnsiTheme="minorHAnsi" w:cstheme="minorHAnsi"/>
          <w:sz w:val="24"/>
          <w:szCs w:val="24"/>
          <w:lang w:val="es-CR"/>
        </w:rPr>
        <w:t xml:space="preserve"> en el punto anterior</w:t>
      </w:r>
      <w:r w:rsidRPr="00D07970">
        <w:rPr>
          <w:rFonts w:asciiTheme="minorHAnsi" w:hAnsiTheme="minorHAnsi" w:cstheme="minorHAnsi"/>
          <w:sz w:val="24"/>
          <w:szCs w:val="24"/>
          <w:lang w:val="es-CR"/>
        </w:rPr>
        <w:t>, p</w:t>
      </w:r>
      <w:r w:rsidR="0006164A" w:rsidRPr="00D07970">
        <w:rPr>
          <w:rFonts w:asciiTheme="minorHAnsi" w:hAnsiTheme="minorHAnsi" w:cstheme="minorHAnsi"/>
          <w:sz w:val="24"/>
          <w:szCs w:val="24"/>
          <w:lang w:val="es-CR"/>
        </w:rPr>
        <w:t xml:space="preserve">or la forma en que se sufragan los egresos </w:t>
      </w:r>
      <w:r w:rsidR="0015197A" w:rsidRPr="00D07970">
        <w:rPr>
          <w:rFonts w:asciiTheme="minorHAnsi" w:hAnsiTheme="minorHAnsi" w:cstheme="minorHAnsi"/>
          <w:sz w:val="24"/>
          <w:szCs w:val="24"/>
          <w:lang w:val="es-CR"/>
        </w:rPr>
        <w:t xml:space="preserve">en la </w:t>
      </w:r>
      <w:r w:rsidR="000148A4" w:rsidRPr="00D07970">
        <w:rPr>
          <w:rFonts w:asciiTheme="minorHAnsi" w:hAnsiTheme="minorHAnsi" w:cstheme="minorHAnsi"/>
          <w:sz w:val="24"/>
          <w:szCs w:val="24"/>
          <w:lang w:val="es-CR"/>
        </w:rPr>
        <w:t>S</w:t>
      </w:r>
      <w:r w:rsidR="0015197A" w:rsidRPr="00D07970">
        <w:rPr>
          <w:rFonts w:asciiTheme="minorHAnsi" w:hAnsiTheme="minorHAnsi" w:cstheme="minorHAnsi"/>
          <w:sz w:val="24"/>
          <w:szCs w:val="24"/>
          <w:lang w:val="es-CR"/>
        </w:rPr>
        <w:t xml:space="preserve">uperintendencia </w:t>
      </w:r>
      <w:r w:rsidR="0006164A" w:rsidRPr="00D07970">
        <w:rPr>
          <w:rFonts w:asciiTheme="minorHAnsi" w:hAnsiTheme="minorHAnsi" w:cstheme="minorHAnsi"/>
          <w:sz w:val="24"/>
          <w:szCs w:val="24"/>
          <w:lang w:val="es-CR"/>
        </w:rPr>
        <w:t xml:space="preserve">no </w:t>
      </w:r>
      <w:r w:rsidR="0015197A" w:rsidRPr="00D07970">
        <w:rPr>
          <w:rFonts w:asciiTheme="minorHAnsi" w:hAnsiTheme="minorHAnsi" w:cstheme="minorHAnsi"/>
          <w:sz w:val="24"/>
          <w:szCs w:val="24"/>
          <w:lang w:val="es-CR"/>
        </w:rPr>
        <w:t>se genera</w:t>
      </w:r>
      <w:r w:rsidR="0006164A" w:rsidRPr="00D07970">
        <w:rPr>
          <w:rFonts w:asciiTheme="minorHAnsi" w:hAnsiTheme="minorHAnsi" w:cstheme="minorHAnsi"/>
          <w:sz w:val="24"/>
          <w:szCs w:val="24"/>
          <w:lang w:val="es-CR"/>
        </w:rPr>
        <w:t xml:space="preserve"> superávit </w:t>
      </w:r>
      <w:r w:rsidR="0015197A" w:rsidRPr="00D07970">
        <w:rPr>
          <w:rFonts w:asciiTheme="minorHAnsi" w:hAnsiTheme="minorHAnsi" w:cstheme="minorHAnsi"/>
          <w:sz w:val="24"/>
          <w:szCs w:val="24"/>
          <w:lang w:val="es-CR"/>
        </w:rPr>
        <w:t>o</w:t>
      </w:r>
      <w:r w:rsidR="0006164A" w:rsidRPr="00D07970">
        <w:rPr>
          <w:rFonts w:asciiTheme="minorHAnsi" w:hAnsiTheme="minorHAnsi" w:cstheme="minorHAnsi"/>
          <w:sz w:val="24"/>
          <w:szCs w:val="24"/>
          <w:lang w:val="es-CR"/>
        </w:rPr>
        <w:t xml:space="preserve"> déficit. El siguiente cuadro refleja de manera resumida los ingresos totales devengados y los gastos ejecutados.</w:t>
      </w:r>
    </w:p>
    <w:p w14:paraId="18D22576" w14:textId="77777777" w:rsidR="000D4770" w:rsidRPr="00D07970" w:rsidRDefault="000D4770" w:rsidP="00225437">
      <w:pPr>
        <w:rPr>
          <w:rFonts w:asciiTheme="minorHAnsi" w:hAnsiTheme="minorHAnsi" w:cstheme="minorHAnsi"/>
          <w:sz w:val="24"/>
          <w:szCs w:val="24"/>
          <w:lang w:val="es-CR"/>
        </w:rPr>
      </w:pPr>
    </w:p>
    <w:p w14:paraId="3F8C68DB" w14:textId="7225BAA7" w:rsidR="000D4770" w:rsidRPr="00D07970" w:rsidRDefault="000D4770" w:rsidP="008E02F2">
      <w:pPr>
        <w:pStyle w:val="Ttulo3"/>
      </w:pPr>
      <w:bookmarkStart w:id="28" w:name="_Toc94183023"/>
      <w:r w:rsidRPr="00D07970">
        <w:rPr>
          <w:b/>
          <w:bCs/>
        </w:rPr>
        <w:t>Cuadro 2</w:t>
      </w:r>
      <w:r w:rsidRPr="00D07970">
        <w:t>: Informe de superávit o déficit</w:t>
      </w:r>
      <w:bookmarkEnd w:id="28"/>
    </w:p>
    <w:p w14:paraId="7DAE4009" w14:textId="00332435" w:rsidR="00F73760" w:rsidRDefault="009A5356" w:rsidP="00F73760">
      <w:pPr>
        <w:spacing w:line="240" w:lineRule="auto"/>
        <w:ind w:left="567"/>
        <w:rPr>
          <w:rFonts w:asciiTheme="minorHAnsi" w:hAnsiTheme="minorHAnsi" w:cstheme="minorHAnsi"/>
          <w:sz w:val="20"/>
          <w:lang w:val="es-CR"/>
        </w:rPr>
      </w:pPr>
      <w:r w:rsidRPr="00D07970">
        <w:rPr>
          <w:rFonts w:asciiTheme="minorHAnsi" w:hAnsiTheme="minorHAnsi" w:cstheme="minorHAnsi"/>
          <w:sz w:val="20"/>
          <w:lang w:val="es-CR"/>
        </w:rPr>
        <w:t>31 de diciembre de 20</w:t>
      </w:r>
      <w:r w:rsidR="00D1109D" w:rsidRPr="00D07970">
        <w:rPr>
          <w:rFonts w:asciiTheme="minorHAnsi" w:hAnsiTheme="minorHAnsi" w:cstheme="minorHAnsi"/>
          <w:sz w:val="20"/>
          <w:lang w:val="es-CR"/>
        </w:rPr>
        <w:t>2</w:t>
      </w:r>
      <w:r w:rsidR="00F73760">
        <w:rPr>
          <w:rFonts w:asciiTheme="minorHAnsi" w:hAnsiTheme="minorHAnsi" w:cstheme="minorHAnsi"/>
          <w:sz w:val="20"/>
          <w:lang w:val="es-CR"/>
        </w:rPr>
        <w:t>1</w:t>
      </w:r>
    </w:p>
    <w:tbl>
      <w:tblPr>
        <w:tblW w:w="6960" w:type="dxa"/>
        <w:tblInd w:w="421" w:type="dxa"/>
        <w:tblCellMar>
          <w:left w:w="70" w:type="dxa"/>
          <w:right w:w="70" w:type="dxa"/>
        </w:tblCellMar>
        <w:tblLook w:val="04A0" w:firstRow="1" w:lastRow="0" w:firstColumn="1" w:lastColumn="0" w:noHBand="0" w:noVBand="1"/>
      </w:tblPr>
      <w:tblGrid>
        <w:gridCol w:w="3740"/>
        <w:gridCol w:w="1520"/>
        <w:gridCol w:w="1700"/>
      </w:tblGrid>
      <w:tr w:rsidR="00BF186F" w:rsidRPr="00BF186F" w14:paraId="322669BD" w14:textId="77777777" w:rsidTr="00BF186F">
        <w:trPr>
          <w:trHeight w:val="510"/>
        </w:trPr>
        <w:tc>
          <w:tcPr>
            <w:tcW w:w="37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E557746" w14:textId="77777777" w:rsidR="00BF186F" w:rsidRPr="00BF186F" w:rsidRDefault="00BF186F" w:rsidP="00BF186F">
            <w:pPr>
              <w:spacing w:line="240" w:lineRule="auto"/>
              <w:jc w:val="lef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Detalle</w:t>
            </w:r>
          </w:p>
        </w:tc>
        <w:tc>
          <w:tcPr>
            <w:tcW w:w="152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FCDAF45" w14:textId="77777777" w:rsidR="00BF186F" w:rsidRPr="00BF186F" w:rsidRDefault="00BF186F" w:rsidP="00BF186F">
            <w:pPr>
              <w:spacing w:line="240" w:lineRule="auto"/>
              <w:jc w:val="lef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 </w:t>
            </w: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0C9A0B0" w14:textId="77777777" w:rsidR="00BF186F" w:rsidRPr="00BF186F" w:rsidRDefault="00BF186F" w:rsidP="00BF186F">
            <w:pPr>
              <w:spacing w:line="240" w:lineRule="auto"/>
              <w:jc w:val="center"/>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Monto</w:t>
            </w:r>
          </w:p>
        </w:tc>
      </w:tr>
      <w:tr w:rsidR="00BF186F" w:rsidRPr="00BF186F" w14:paraId="47F5DCC2"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06B33D6C"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25480FD5"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58942FAD"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68635583"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3E22E14F" w14:textId="77777777" w:rsidR="00BF186F" w:rsidRPr="00BF186F" w:rsidRDefault="00BF186F" w:rsidP="00BF186F">
            <w:pPr>
              <w:spacing w:line="240" w:lineRule="auto"/>
              <w:jc w:val="left"/>
              <w:rPr>
                <w:rFonts w:ascii="Calibri Light" w:hAnsi="Calibri Light" w:cs="Calibri Light"/>
                <w:szCs w:val="22"/>
                <w:lang w:val="es-CR" w:eastAsia="es-CR"/>
              </w:rPr>
            </w:pPr>
            <w:r w:rsidRPr="00BF186F">
              <w:rPr>
                <w:rFonts w:ascii="Calibri Light" w:hAnsi="Calibri Light" w:cs="Calibri Light"/>
                <w:szCs w:val="22"/>
                <w:lang w:val="es-CR" w:eastAsia="es-CR"/>
              </w:rPr>
              <w:t>1. Ingresos presupuestados</w:t>
            </w:r>
          </w:p>
        </w:tc>
        <w:tc>
          <w:tcPr>
            <w:tcW w:w="1520" w:type="dxa"/>
            <w:tcBorders>
              <w:top w:val="nil"/>
              <w:left w:val="nil"/>
              <w:bottom w:val="single" w:sz="4" w:space="0" w:color="auto"/>
              <w:right w:val="single" w:sz="4" w:space="0" w:color="auto"/>
            </w:tcBorders>
            <w:shd w:val="clear" w:color="auto" w:fill="auto"/>
            <w:noWrap/>
            <w:vAlign w:val="center"/>
            <w:hideMark/>
          </w:tcPr>
          <w:p w14:paraId="5B2A5D94"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5 453 075 008</w:t>
            </w:r>
          </w:p>
        </w:tc>
        <w:tc>
          <w:tcPr>
            <w:tcW w:w="1700" w:type="dxa"/>
            <w:tcBorders>
              <w:top w:val="nil"/>
              <w:left w:val="nil"/>
              <w:bottom w:val="single" w:sz="4" w:space="0" w:color="auto"/>
              <w:right w:val="single" w:sz="4" w:space="0" w:color="auto"/>
            </w:tcBorders>
            <w:shd w:val="clear" w:color="auto" w:fill="auto"/>
            <w:noWrap/>
            <w:vAlign w:val="center"/>
            <w:hideMark/>
          </w:tcPr>
          <w:p w14:paraId="0354D45B"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42D6F642"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45D4741C" w14:textId="77777777" w:rsidR="00BF186F" w:rsidRPr="00BF186F" w:rsidRDefault="00BF186F" w:rsidP="00BF186F">
            <w:pPr>
              <w:spacing w:line="240" w:lineRule="auto"/>
              <w:jc w:val="left"/>
              <w:rPr>
                <w:rFonts w:ascii="Calibri Light" w:hAnsi="Calibri Light" w:cs="Calibri Light"/>
                <w:szCs w:val="22"/>
                <w:lang w:val="es-CR" w:eastAsia="es-CR"/>
              </w:rPr>
            </w:pPr>
            <w:r w:rsidRPr="00BF186F">
              <w:rPr>
                <w:rFonts w:ascii="Calibri Light" w:hAnsi="Calibri Light" w:cs="Calibri Light"/>
                <w:szCs w:val="22"/>
                <w:lang w:val="es-CR" w:eastAsia="es-CR"/>
              </w:rPr>
              <w:t xml:space="preserve">   Ingresos devengados</w:t>
            </w:r>
          </w:p>
        </w:tc>
        <w:tc>
          <w:tcPr>
            <w:tcW w:w="1520" w:type="dxa"/>
            <w:tcBorders>
              <w:top w:val="nil"/>
              <w:left w:val="nil"/>
              <w:bottom w:val="single" w:sz="4" w:space="0" w:color="auto"/>
              <w:right w:val="single" w:sz="4" w:space="0" w:color="auto"/>
            </w:tcBorders>
            <w:shd w:val="clear" w:color="auto" w:fill="auto"/>
            <w:noWrap/>
            <w:vAlign w:val="center"/>
            <w:hideMark/>
          </w:tcPr>
          <w:p w14:paraId="027727C6"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4 407 625 310</w:t>
            </w:r>
          </w:p>
        </w:tc>
        <w:tc>
          <w:tcPr>
            <w:tcW w:w="1700" w:type="dxa"/>
            <w:tcBorders>
              <w:top w:val="nil"/>
              <w:left w:val="nil"/>
              <w:bottom w:val="single" w:sz="4" w:space="0" w:color="auto"/>
              <w:right w:val="single" w:sz="4" w:space="0" w:color="auto"/>
            </w:tcBorders>
            <w:shd w:val="clear" w:color="auto" w:fill="auto"/>
            <w:noWrap/>
            <w:vAlign w:val="center"/>
            <w:hideMark/>
          </w:tcPr>
          <w:p w14:paraId="303D82FD"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27A1C5CD"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4BB2245B" w14:textId="77777777" w:rsidR="00BF186F" w:rsidRPr="00BF186F" w:rsidRDefault="00BF186F" w:rsidP="00BF186F">
            <w:pPr>
              <w:spacing w:line="240" w:lineRule="auto"/>
              <w:jc w:val="left"/>
              <w:rPr>
                <w:rFonts w:ascii="Calibri Light" w:hAnsi="Calibri Light" w:cs="Calibri Light"/>
                <w:b/>
                <w:bCs/>
                <w:color w:val="000000"/>
                <w:szCs w:val="22"/>
                <w:u w:val="single"/>
                <w:lang w:val="es-CR" w:eastAsia="es-CR"/>
              </w:rPr>
            </w:pPr>
            <w:r w:rsidRPr="00BF186F">
              <w:rPr>
                <w:rFonts w:ascii="Calibri Light" w:hAnsi="Calibri Light" w:cs="Calibri Light"/>
                <w:b/>
                <w:bCs/>
                <w:color w:val="000000"/>
                <w:szCs w:val="22"/>
                <w:u w:val="single"/>
                <w:lang w:val="es-CR" w:eastAsia="es-CR"/>
              </w:rPr>
              <w:t>Superávit o pérdida de ingresos</w:t>
            </w:r>
          </w:p>
        </w:tc>
        <w:tc>
          <w:tcPr>
            <w:tcW w:w="1520" w:type="dxa"/>
            <w:tcBorders>
              <w:top w:val="nil"/>
              <w:left w:val="nil"/>
              <w:bottom w:val="single" w:sz="4" w:space="0" w:color="auto"/>
              <w:right w:val="single" w:sz="4" w:space="0" w:color="auto"/>
            </w:tcBorders>
            <w:shd w:val="clear" w:color="auto" w:fill="auto"/>
            <w:noWrap/>
            <w:vAlign w:val="center"/>
            <w:hideMark/>
          </w:tcPr>
          <w:p w14:paraId="0C29A3DC"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347FD882"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-1 045 449 698</w:t>
            </w:r>
          </w:p>
        </w:tc>
      </w:tr>
      <w:tr w:rsidR="00BF186F" w:rsidRPr="00BF186F" w14:paraId="549CF5DC"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042E0365" w14:textId="77777777" w:rsidR="00BF186F" w:rsidRPr="00BF186F" w:rsidRDefault="00BF186F" w:rsidP="00BF186F">
            <w:pPr>
              <w:spacing w:line="240" w:lineRule="auto"/>
              <w:jc w:val="left"/>
              <w:rPr>
                <w:rFonts w:ascii="Calibri Light" w:hAnsi="Calibri Light" w:cs="Calibri Light"/>
                <w:szCs w:val="22"/>
                <w:lang w:val="es-CR" w:eastAsia="es-CR"/>
              </w:rPr>
            </w:pPr>
            <w:r w:rsidRPr="00BF186F">
              <w:rPr>
                <w:rFonts w:ascii="Calibri Light" w:hAnsi="Calibri Light" w:cs="Calibri Light"/>
                <w:szCs w:val="22"/>
                <w:lang w:val="es-CR" w:eastAsia="es-CR"/>
              </w:rPr>
              <w:t>2. Egresos presupuestados</w:t>
            </w:r>
          </w:p>
        </w:tc>
        <w:tc>
          <w:tcPr>
            <w:tcW w:w="1520" w:type="dxa"/>
            <w:tcBorders>
              <w:top w:val="nil"/>
              <w:left w:val="nil"/>
              <w:bottom w:val="single" w:sz="4" w:space="0" w:color="auto"/>
              <w:right w:val="single" w:sz="4" w:space="0" w:color="auto"/>
            </w:tcBorders>
            <w:shd w:val="clear" w:color="auto" w:fill="auto"/>
            <w:noWrap/>
            <w:vAlign w:val="center"/>
            <w:hideMark/>
          </w:tcPr>
          <w:p w14:paraId="7444FCD3"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5 453 075 008</w:t>
            </w:r>
          </w:p>
        </w:tc>
        <w:tc>
          <w:tcPr>
            <w:tcW w:w="1700" w:type="dxa"/>
            <w:tcBorders>
              <w:top w:val="nil"/>
              <w:left w:val="nil"/>
              <w:bottom w:val="single" w:sz="4" w:space="0" w:color="auto"/>
              <w:right w:val="single" w:sz="4" w:space="0" w:color="auto"/>
            </w:tcBorders>
            <w:shd w:val="clear" w:color="auto" w:fill="auto"/>
            <w:noWrap/>
            <w:vAlign w:val="center"/>
            <w:hideMark/>
          </w:tcPr>
          <w:p w14:paraId="15A42144"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0529D919"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2490CFB1" w14:textId="77777777" w:rsidR="00BF186F" w:rsidRPr="00BF186F" w:rsidRDefault="00BF186F" w:rsidP="00BF186F">
            <w:pPr>
              <w:spacing w:line="240" w:lineRule="auto"/>
              <w:jc w:val="left"/>
              <w:rPr>
                <w:rFonts w:ascii="Calibri Light" w:hAnsi="Calibri Light" w:cs="Calibri Light"/>
                <w:szCs w:val="22"/>
                <w:lang w:val="es-CR" w:eastAsia="es-CR"/>
              </w:rPr>
            </w:pPr>
            <w:r w:rsidRPr="00BF186F">
              <w:rPr>
                <w:rFonts w:ascii="Calibri Light" w:hAnsi="Calibri Light" w:cs="Calibri Light"/>
                <w:szCs w:val="22"/>
                <w:lang w:val="es-CR" w:eastAsia="es-CR"/>
              </w:rPr>
              <w:t xml:space="preserve">   </w:t>
            </w:r>
            <w:proofErr w:type="gramStart"/>
            <w:r w:rsidRPr="00BF186F">
              <w:rPr>
                <w:rFonts w:ascii="Calibri Light" w:hAnsi="Calibri Light" w:cs="Calibri Light"/>
                <w:szCs w:val="22"/>
                <w:lang w:val="es-CR" w:eastAsia="es-CR"/>
              </w:rPr>
              <w:t>Total</w:t>
            </w:r>
            <w:proofErr w:type="gramEnd"/>
            <w:r w:rsidRPr="00BF186F">
              <w:rPr>
                <w:rFonts w:ascii="Calibri Light" w:hAnsi="Calibri Light" w:cs="Calibri Light"/>
                <w:szCs w:val="22"/>
                <w:lang w:val="es-CR" w:eastAsia="es-CR"/>
              </w:rPr>
              <w:t xml:space="preserve"> de gastos</w:t>
            </w:r>
          </w:p>
        </w:tc>
        <w:tc>
          <w:tcPr>
            <w:tcW w:w="1520" w:type="dxa"/>
            <w:tcBorders>
              <w:top w:val="nil"/>
              <w:left w:val="nil"/>
              <w:bottom w:val="single" w:sz="4" w:space="0" w:color="auto"/>
              <w:right w:val="single" w:sz="4" w:space="0" w:color="auto"/>
            </w:tcBorders>
            <w:shd w:val="clear" w:color="auto" w:fill="auto"/>
            <w:noWrap/>
            <w:vAlign w:val="center"/>
            <w:hideMark/>
          </w:tcPr>
          <w:p w14:paraId="627C79D0"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4 407 625 310</w:t>
            </w:r>
          </w:p>
        </w:tc>
        <w:tc>
          <w:tcPr>
            <w:tcW w:w="1700" w:type="dxa"/>
            <w:tcBorders>
              <w:top w:val="nil"/>
              <w:left w:val="nil"/>
              <w:bottom w:val="single" w:sz="4" w:space="0" w:color="auto"/>
              <w:right w:val="single" w:sz="4" w:space="0" w:color="auto"/>
            </w:tcBorders>
            <w:shd w:val="clear" w:color="auto" w:fill="auto"/>
            <w:noWrap/>
            <w:vAlign w:val="center"/>
            <w:hideMark/>
          </w:tcPr>
          <w:p w14:paraId="5C5A0976"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21D8F28F"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317A56C5" w14:textId="77777777" w:rsidR="00BF186F" w:rsidRPr="00BF186F" w:rsidRDefault="00BF186F" w:rsidP="00BF186F">
            <w:pPr>
              <w:spacing w:line="240" w:lineRule="auto"/>
              <w:jc w:val="left"/>
              <w:rPr>
                <w:rFonts w:ascii="Calibri Light" w:hAnsi="Calibri Light" w:cs="Calibri Light"/>
                <w:b/>
                <w:bCs/>
                <w:color w:val="000000"/>
                <w:szCs w:val="22"/>
                <w:u w:val="single"/>
                <w:lang w:val="es-CR" w:eastAsia="es-CR"/>
              </w:rPr>
            </w:pPr>
            <w:r w:rsidRPr="00BF186F">
              <w:rPr>
                <w:rFonts w:ascii="Calibri Light" w:hAnsi="Calibri Light" w:cs="Calibri Light"/>
                <w:b/>
                <w:bCs/>
                <w:color w:val="000000"/>
                <w:szCs w:val="22"/>
                <w:u w:val="single"/>
                <w:lang w:val="es-CR" w:eastAsia="es-CR"/>
              </w:rPr>
              <w:t>Superávit o pérdida de egresos</w:t>
            </w:r>
          </w:p>
        </w:tc>
        <w:tc>
          <w:tcPr>
            <w:tcW w:w="1520" w:type="dxa"/>
            <w:tcBorders>
              <w:top w:val="nil"/>
              <w:left w:val="nil"/>
              <w:bottom w:val="single" w:sz="4" w:space="0" w:color="auto"/>
              <w:right w:val="single" w:sz="4" w:space="0" w:color="auto"/>
            </w:tcBorders>
            <w:shd w:val="clear" w:color="auto" w:fill="auto"/>
            <w:noWrap/>
            <w:vAlign w:val="center"/>
            <w:hideMark/>
          </w:tcPr>
          <w:p w14:paraId="3D5F905E"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163246F5"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1 045 449 698</w:t>
            </w:r>
          </w:p>
        </w:tc>
      </w:tr>
      <w:tr w:rsidR="00BF186F" w:rsidRPr="00BF186F" w14:paraId="58FB4C86"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1ADE0B5A"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53664666"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15A79491"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741E136C"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BB3A651" w14:textId="77777777" w:rsidR="00BF186F" w:rsidRPr="00BF186F" w:rsidRDefault="00BF186F" w:rsidP="00BF186F">
            <w:pPr>
              <w:spacing w:line="240" w:lineRule="auto"/>
              <w:jc w:val="left"/>
              <w:rPr>
                <w:rFonts w:ascii="Calibri Light" w:hAnsi="Calibri Light" w:cs="Calibri Light"/>
                <w:b/>
                <w:bCs/>
                <w:color w:val="000000"/>
                <w:szCs w:val="22"/>
                <w:u w:val="single"/>
                <w:lang w:val="es-CR" w:eastAsia="es-CR"/>
              </w:rPr>
            </w:pPr>
            <w:proofErr w:type="gramStart"/>
            <w:r w:rsidRPr="00BF186F">
              <w:rPr>
                <w:rFonts w:ascii="Calibri Light" w:hAnsi="Calibri Light" w:cs="Calibri Light"/>
                <w:b/>
                <w:bCs/>
                <w:color w:val="000000"/>
                <w:szCs w:val="22"/>
                <w:u w:val="single"/>
                <w:lang w:val="es-CR" w:eastAsia="es-CR"/>
              </w:rPr>
              <w:t>TOTAL</w:t>
            </w:r>
            <w:proofErr w:type="gramEnd"/>
            <w:r w:rsidRPr="00BF186F">
              <w:rPr>
                <w:rFonts w:ascii="Calibri Light" w:hAnsi="Calibri Light" w:cs="Calibri Light"/>
                <w:b/>
                <w:bCs/>
                <w:color w:val="000000"/>
                <w:szCs w:val="22"/>
                <w:u w:val="single"/>
                <w:lang w:val="es-CR" w:eastAsia="es-CR"/>
              </w:rPr>
              <w:t xml:space="preserve"> SUPERÁVIT</w:t>
            </w:r>
          </w:p>
        </w:tc>
        <w:tc>
          <w:tcPr>
            <w:tcW w:w="1520" w:type="dxa"/>
            <w:tcBorders>
              <w:top w:val="nil"/>
              <w:left w:val="nil"/>
              <w:bottom w:val="single" w:sz="4" w:space="0" w:color="auto"/>
              <w:right w:val="single" w:sz="4" w:space="0" w:color="auto"/>
            </w:tcBorders>
            <w:shd w:val="clear" w:color="auto" w:fill="DBE5F1" w:themeFill="accent1" w:themeFillTint="33"/>
            <w:noWrap/>
            <w:vAlign w:val="center"/>
            <w:hideMark/>
          </w:tcPr>
          <w:p w14:paraId="76005201" w14:textId="77777777" w:rsidR="00BF186F" w:rsidRPr="00BF186F" w:rsidRDefault="00BF186F" w:rsidP="00BF186F">
            <w:pPr>
              <w:spacing w:line="240" w:lineRule="auto"/>
              <w:jc w:val="lef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 </w:t>
            </w:r>
          </w:p>
        </w:tc>
        <w:tc>
          <w:tcPr>
            <w:tcW w:w="1700" w:type="dxa"/>
            <w:tcBorders>
              <w:top w:val="nil"/>
              <w:left w:val="nil"/>
              <w:bottom w:val="single" w:sz="4" w:space="0" w:color="auto"/>
              <w:right w:val="single" w:sz="4" w:space="0" w:color="auto"/>
            </w:tcBorders>
            <w:shd w:val="clear" w:color="auto" w:fill="DBE5F1" w:themeFill="accent1" w:themeFillTint="33"/>
            <w:noWrap/>
            <w:vAlign w:val="center"/>
            <w:hideMark/>
          </w:tcPr>
          <w:p w14:paraId="0556F5BD" w14:textId="77777777" w:rsidR="00BF186F" w:rsidRPr="00BF186F" w:rsidRDefault="00BF186F" w:rsidP="00BF186F">
            <w:pPr>
              <w:spacing w:line="240" w:lineRule="auto"/>
              <w:jc w:val="righ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0</w:t>
            </w:r>
          </w:p>
        </w:tc>
      </w:tr>
      <w:tr w:rsidR="00BF186F" w:rsidRPr="00BF186F" w14:paraId="5B2E0391"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40DC062D"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53E5D492"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3318D848"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14CA8097"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0F4BC179" w14:textId="77777777" w:rsidR="00BF186F" w:rsidRPr="00BF186F" w:rsidRDefault="00BF186F" w:rsidP="00BF186F">
            <w:pPr>
              <w:spacing w:line="240" w:lineRule="auto"/>
              <w:jc w:val="lef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RESUMEN</w:t>
            </w:r>
          </w:p>
        </w:tc>
        <w:tc>
          <w:tcPr>
            <w:tcW w:w="1520" w:type="dxa"/>
            <w:tcBorders>
              <w:top w:val="nil"/>
              <w:left w:val="nil"/>
              <w:bottom w:val="single" w:sz="4" w:space="0" w:color="auto"/>
              <w:right w:val="single" w:sz="4" w:space="0" w:color="auto"/>
            </w:tcBorders>
            <w:shd w:val="clear" w:color="auto" w:fill="auto"/>
            <w:noWrap/>
            <w:vAlign w:val="center"/>
            <w:hideMark/>
          </w:tcPr>
          <w:p w14:paraId="6849F2BB"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77F1DD7A"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475035E8"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37B3F0A8" w14:textId="77777777" w:rsidR="00BF186F" w:rsidRPr="00BF186F" w:rsidRDefault="00BF186F" w:rsidP="00BF186F">
            <w:pPr>
              <w:spacing w:line="240" w:lineRule="auto"/>
              <w:jc w:val="left"/>
              <w:rPr>
                <w:rFonts w:ascii="Calibri Light" w:hAnsi="Calibri Light" w:cs="Calibri Light"/>
                <w:szCs w:val="22"/>
                <w:lang w:val="es-CR" w:eastAsia="es-CR"/>
              </w:rPr>
            </w:pPr>
            <w:r w:rsidRPr="00BF186F">
              <w:rPr>
                <w:rFonts w:ascii="Calibri Light" w:hAnsi="Calibri Light" w:cs="Calibri Light"/>
                <w:szCs w:val="22"/>
                <w:lang w:val="es-CR" w:eastAsia="es-CR"/>
              </w:rPr>
              <w:t>Ingresos devengados</w:t>
            </w:r>
          </w:p>
        </w:tc>
        <w:tc>
          <w:tcPr>
            <w:tcW w:w="1520" w:type="dxa"/>
            <w:tcBorders>
              <w:top w:val="nil"/>
              <w:left w:val="nil"/>
              <w:bottom w:val="single" w:sz="4" w:space="0" w:color="auto"/>
              <w:right w:val="single" w:sz="4" w:space="0" w:color="auto"/>
            </w:tcBorders>
            <w:shd w:val="clear" w:color="auto" w:fill="auto"/>
            <w:noWrap/>
            <w:vAlign w:val="center"/>
            <w:hideMark/>
          </w:tcPr>
          <w:p w14:paraId="0D2421AB"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3E2C5F49"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4 407 625 310</w:t>
            </w:r>
          </w:p>
        </w:tc>
      </w:tr>
      <w:tr w:rsidR="00BF186F" w:rsidRPr="00BF186F" w14:paraId="06DC2851"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6B30DC92" w14:textId="77777777" w:rsidR="00BF186F" w:rsidRPr="00BF186F" w:rsidRDefault="00BF186F" w:rsidP="00BF186F">
            <w:pPr>
              <w:spacing w:line="240" w:lineRule="auto"/>
              <w:jc w:val="lef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Menos:</w:t>
            </w:r>
          </w:p>
        </w:tc>
        <w:tc>
          <w:tcPr>
            <w:tcW w:w="1520" w:type="dxa"/>
            <w:tcBorders>
              <w:top w:val="nil"/>
              <w:left w:val="nil"/>
              <w:bottom w:val="single" w:sz="4" w:space="0" w:color="auto"/>
              <w:right w:val="single" w:sz="4" w:space="0" w:color="auto"/>
            </w:tcBorders>
            <w:shd w:val="clear" w:color="auto" w:fill="auto"/>
            <w:noWrap/>
            <w:vAlign w:val="center"/>
            <w:hideMark/>
          </w:tcPr>
          <w:p w14:paraId="4C8ABE55"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01B48EEF"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78DF2FCE"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47035576" w14:textId="77777777" w:rsidR="00BF186F" w:rsidRPr="00BF186F" w:rsidRDefault="00BF186F" w:rsidP="00BF186F">
            <w:pPr>
              <w:spacing w:line="240" w:lineRule="auto"/>
              <w:jc w:val="left"/>
              <w:rPr>
                <w:rFonts w:ascii="Calibri Light" w:hAnsi="Calibri Light" w:cs="Calibri Light"/>
                <w:szCs w:val="22"/>
                <w:lang w:val="es-CR" w:eastAsia="es-CR"/>
              </w:rPr>
            </w:pPr>
            <w:proofErr w:type="gramStart"/>
            <w:r w:rsidRPr="00BF186F">
              <w:rPr>
                <w:rFonts w:ascii="Calibri Light" w:hAnsi="Calibri Light" w:cs="Calibri Light"/>
                <w:szCs w:val="22"/>
                <w:lang w:val="es-CR" w:eastAsia="es-CR"/>
              </w:rPr>
              <w:t>Total</w:t>
            </w:r>
            <w:proofErr w:type="gramEnd"/>
            <w:r w:rsidRPr="00BF186F">
              <w:rPr>
                <w:rFonts w:ascii="Calibri Light" w:hAnsi="Calibri Light" w:cs="Calibri Light"/>
                <w:szCs w:val="22"/>
                <w:lang w:val="es-CR" w:eastAsia="es-CR"/>
              </w:rPr>
              <w:t xml:space="preserve"> de gastos</w:t>
            </w:r>
          </w:p>
        </w:tc>
        <w:tc>
          <w:tcPr>
            <w:tcW w:w="1520" w:type="dxa"/>
            <w:tcBorders>
              <w:top w:val="nil"/>
              <w:left w:val="nil"/>
              <w:bottom w:val="single" w:sz="4" w:space="0" w:color="auto"/>
              <w:right w:val="single" w:sz="4" w:space="0" w:color="auto"/>
            </w:tcBorders>
            <w:shd w:val="clear" w:color="auto" w:fill="auto"/>
            <w:noWrap/>
            <w:vAlign w:val="center"/>
            <w:hideMark/>
          </w:tcPr>
          <w:p w14:paraId="65F27CE0"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22AD994F" w14:textId="77777777" w:rsidR="00BF186F" w:rsidRPr="00BF186F" w:rsidRDefault="00BF186F" w:rsidP="00BF186F">
            <w:pPr>
              <w:spacing w:line="240" w:lineRule="auto"/>
              <w:jc w:val="right"/>
              <w:rPr>
                <w:rFonts w:ascii="Calibri Light" w:hAnsi="Calibri Light" w:cs="Calibri Light"/>
                <w:szCs w:val="22"/>
                <w:lang w:val="es-CR" w:eastAsia="es-CR"/>
              </w:rPr>
            </w:pPr>
            <w:r w:rsidRPr="00BF186F">
              <w:rPr>
                <w:rFonts w:ascii="Calibri Light" w:hAnsi="Calibri Light" w:cs="Calibri Light"/>
                <w:szCs w:val="22"/>
                <w:lang w:val="es-CR" w:eastAsia="es-CR"/>
              </w:rPr>
              <w:t>4 407 625 310</w:t>
            </w:r>
          </w:p>
        </w:tc>
      </w:tr>
      <w:tr w:rsidR="00BF186F" w:rsidRPr="00BF186F" w14:paraId="07A2A15B"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2539F650"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3BAB13EF"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2D288C7F" w14:textId="77777777" w:rsidR="00BF186F" w:rsidRPr="00BF186F" w:rsidRDefault="00BF186F" w:rsidP="00BF186F">
            <w:pPr>
              <w:spacing w:line="240" w:lineRule="auto"/>
              <w:jc w:val="left"/>
              <w:rPr>
                <w:rFonts w:ascii="Times New Roman" w:hAnsi="Times New Roman"/>
                <w:szCs w:val="22"/>
                <w:lang w:val="es-CR" w:eastAsia="es-CR"/>
              </w:rPr>
            </w:pPr>
            <w:r w:rsidRPr="00BF186F">
              <w:rPr>
                <w:rFonts w:ascii="Times New Roman" w:hAnsi="Times New Roman"/>
                <w:szCs w:val="22"/>
                <w:lang w:val="es-CR" w:eastAsia="es-CR"/>
              </w:rPr>
              <w:t> </w:t>
            </w:r>
          </w:p>
        </w:tc>
      </w:tr>
      <w:tr w:rsidR="00BF186F" w:rsidRPr="00BF186F" w14:paraId="1EDF9ED8"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514E2E6" w14:textId="77777777" w:rsidR="00BF186F" w:rsidRPr="00BF186F" w:rsidRDefault="00BF186F" w:rsidP="00BF186F">
            <w:pPr>
              <w:spacing w:line="240" w:lineRule="auto"/>
              <w:jc w:val="left"/>
              <w:rPr>
                <w:rFonts w:ascii="Calibri Light" w:hAnsi="Calibri Light" w:cs="Calibri Light"/>
                <w:b/>
                <w:bCs/>
                <w:color w:val="000000"/>
                <w:szCs w:val="22"/>
                <w:u w:val="single"/>
                <w:lang w:val="es-CR" w:eastAsia="es-CR"/>
              </w:rPr>
            </w:pPr>
            <w:r w:rsidRPr="00BF186F">
              <w:rPr>
                <w:rFonts w:ascii="Calibri Light" w:hAnsi="Calibri Light" w:cs="Calibri Light"/>
                <w:b/>
                <w:bCs/>
                <w:color w:val="000000"/>
                <w:szCs w:val="22"/>
                <w:u w:val="single"/>
                <w:lang w:val="es-CR" w:eastAsia="es-CR"/>
              </w:rPr>
              <w:t>SUPERÁVIT O PÉRDIDA</w:t>
            </w:r>
          </w:p>
        </w:tc>
        <w:tc>
          <w:tcPr>
            <w:tcW w:w="1520" w:type="dxa"/>
            <w:tcBorders>
              <w:top w:val="nil"/>
              <w:left w:val="nil"/>
              <w:bottom w:val="single" w:sz="4" w:space="0" w:color="auto"/>
              <w:right w:val="single" w:sz="4" w:space="0" w:color="auto"/>
            </w:tcBorders>
            <w:shd w:val="clear" w:color="auto" w:fill="DBE5F1" w:themeFill="accent1" w:themeFillTint="33"/>
            <w:noWrap/>
            <w:vAlign w:val="center"/>
            <w:hideMark/>
          </w:tcPr>
          <w:p w14:paraId="0D5145EF" w14:textId="77777777" w:rsidR="00BF186F" w:rsidRPr="00BF186F" w:rsidRDefault="00BF186F" w:rsidP="00BF186F">
            <w:pPr>
              <w:spacing w:line="240" w:lineRule="auto"/>
              <w:jc w:val="lef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 </w:t>
            </w:r>
          </w:p>
        </w:tc>
        <w:tc>
          <w:tcPr>
            <w:tcW w:w="1700" w:type="dxa"/>
            <w:tcBorders>
              <w:top w:val="nil"/>
              <w:left w:val="nil"/>
              <w:bottom w:val="single" w:sz="4" w:space="0" w:color="auto"/>
              <w:right w:val="single" w:sz="4" w:space="0" w:color="auto"/>
            </w:tcBorders>
            <w:shd w:val="clear" w:color="auto" w:fill="DBE5F1" w:themeFill="accent1" w:themeFillTint="33"/>
            <w:noWrap/>
            <w:vAlign w:val="center"/>
            <w:hideMark/>
          </w:tcPr>
          <w:p w14:paraId="01F49408" w14:textId="77777777" w:rsidR="00BF186F" w:rsidRPr="00BF186F" w:rsidRDefault="00BF186F" w:rsidP="00BF186F">
            <w:pPr>
              <w:spacing w:line="240" w:lineRule="auto"/>
              <w:jc w:val="right"/>
              <w:rPr>
                <w:rFonts w:ascii="Calibri Light" w:hAnsi="Calibri Light" w:cs="Calibri Light"/>
                <w:b/>
                <w:bCs/>
                <w:color w:val="000000"/>
                <w:szCs w:val="22"/>
                <w:lang w:val="es-CR" w:eastAsia="es-CR"/>
              </w:rPr>
            </w:pPr>
            <w:r w:rsidRPr="00BF186F">
              <w:rPr>
                <w:rFonts w:ascii="Calibri Light" w:hAnsi="Calibri Light" w:cs="Calibri Light"/>
                <w:b/>
                <w:bCs/>
                <w:color w:val="000000"/>
                <w:szCs w:val="22"/>
                <w:lang w:val="es-CR" w:eastAsia="es-CR"/>
              </w:rPr>
              <w:t>0</w:t>
            </w:r>
          </w:p>
        </w:tc>
      </w:tr>
    </w:tbl>
    <w:p w14:paraId="4500A2C7" w14:textId="148392D8" w:rsidR="00BF186F" w:rsidRDefault="00BF186F" w:rsidP="00F73760">
      <w:pPr>
        <w:spacing w:line="240" w:lineRule="auto"/>
        <w:ind w:left="567"/>
        <w:rPr>
          <w:rFonts w:asciiTheme="minorHAnsi" w:hAnsiTheme="minorHAnsi" w:cstheme="minorHAnsi"/>
          <w:sz w:val="20"/>
          <w:lang w:val="es-CR"/>
        </w:rPr>
      </w:pPr>
    </w:p>
    <w:p w14:paraId="16A51295" w14:textId="77777777" w:rsidR="00BF186F" w:rsidRDefault="00BF186F" w:rsidP="00F73760">
      <w:pPr>
        <w:spacing w:line="240" w:lineRule="auto"/>
        <w:ind w:left="567"/>
        <w:rPr>
          <w:rFonts w:asciiTheme="minorHAnsi" w:hAnsiTheme="minorHAnsi" w:cstheme="minorHAnsi"/>
          <w:sz w:val="20"/>
          <w:lang w:val="es-CR"/>
        </w:rPr>
      </w:pPr>
    </w:p>
    <w:p w14:paraId="1D77D8CE" w14:textId="5E056E5B" w:rsidR="00697BF1" w:rsidRPr="00D07970" w:rsidRDefault="00697BF1" w:rsidP="00895F4F">
      <w:pPr>
        <w:spacing w:line="240" w:lineRule="auto"/>
        <w:ind w:left="567"/>
        <w:rPr>
          <w:rFonts w:asciiTheme="minorHAnsi" w:hAnsiTheme="minorHAnsi" w:cstheme="minorHAnsi"/>
          <w:sz w:val="20"/>
          <w:lang w:val="es-CR"/>
        </w:rPr>
      </w:pPr>
    </w:p>
    <w:p w14:paraId="2EAFE38E" w14:textId="21382DDE" w:rsidR="00197BBB" w:rsidRPr="00D07970" w:rsidRDefault="00197BBB" w:rsidP="00AB1E80">
      <w:pPr>
        <w:pStyle w:val="Prrafodelista"/>
        <w:numPr>
          <w:ilvl w:val="0"/>
          <w:numId w:val="17"/>
        </w:numPr>
        <w:outlineLvl w:val="2"/>
        <w:rPr>
          <w:rFonts w:asciiTheme="minorHAnsi" w:hAnsiTheme="minorHAnsi" w:cstheme="minorHAnsi"/>
          <w:b/>
          <w:bCs/>
          <w:i/>
          <w:iCs/>
          <w:sz w:val="24"/>
          <w:szCs w:val="24"/>
          <w:lang w:val="es-CR"/>
        </w:rPr>
      </w:pPr>
      <w:bookmarkStart w:id="29" w:name="_Toc94183024"/>
      <w:r w:rsidRPr="00D07970">
        <w:rPr>
          <w:rFonts w:asciiTheme="minorHAnsi" w:hAnsiTheme="minorHAnsi" w:cstheme="minorHAnsi"/>
          <w:b/>
          <w:bCs/>
          <w:i/>
          <w:iCs/>
          <w:sz w:val="24"/>
          <w:szCs w:val="24"/>
          <w:lang w:val="es-CR"/>
        </w:rPr>
        <w:t>Detalle del cálculo de cada uno de los componentes del superávit</w:t>
      </w:r>
      <w:r w:rsidR="00B31989" w:rsidRPr="00D07970">
        <w:rPr>
          <w:rFonts w:asciiTheme="minorHAnsi" w:hAnsiTheme="minorHAnsi" w:cstheme="minorHAnsi"/>
          <w:b/>
          <w:bCs/>
          <w:i/>
          <w:iCs/>
          <w:sz w:val="24"/>
          <w:szCs w:val="24"/>
          <w:lang w:val="es-CR"/>
        </w:rPr>
        <w:t>.</w:t>
      </w:r>
      <w:r w:rsidR="006E1710" w:rsidRPr="00D07970">
        <w:rPr>
          <w:rFonts w:asciiTheme="minorHAnsi" w:hAnsiTheme="minorHAnsi" w:cstheme="minorHAnsi"/>
          <w:b/>
          <w:bCs/>
          <w:i/>
          <w:iCs/>
          <w:sz w:val="24"/>
          <w:szCs w:val="24"/>
          <w:lang w:val="es-CR"/>
        </w:rPr>
        <w:t xml:space="preserve"> (4.3.19 b. </w:t>
      </w:r>
      <w:proofErr w:type="spellStart"/>
      <w:r w:rsidR="006E1710" w:rsidRPr="00D07970">
        <w:rPr>
          <w:rFonts w:asciiTheme="minorHAnsi" w:hAnsiTheme="minorHAnsi" w:cstheme="minorHAnsi"/>
          <w:b/>
          <w:bCs/>
          <w:i/>
          <w:iCs/>
          <w:sz w:val="24"/>
          <w:szCs w:val="24"/>
          <w:lang w:val="es-CR"/>
        </w:rPr>
        <w:t>i</w:t>
      </w:r>
      <w:r w:rsidR="005D14CD" w:rsidRPr="00D07970">
        <w:rPr>
          <w:rFonts w:asciiTheme="minorHAnsi" w:hAnsiTheme="minorHAnsi" w:cstheme="minorHAnsi"/>
          <w:b/>
          <w:bCs/>
          <w:i/>
          <w:iCs/>
          <w:sz w:val="24"/>
          <w:szCs w:val="24"/>
          <w:lang w:val="es-CR"/>
        </w:rPr>
        <w:t>v</w:t>
      </w:r>
      <w:proofErr w:type="spellEnd"/>
      <w:r w:rsidR="005D14CD" w:rsidRPr="00D07970">
        <w:rPr>
          <w:rFonts w:asciiTheme="minorHAnsi" w:hAnsiTheme="minorHAnsi" w:cstheme="minorHAnsi"/>
          <w:b/>
          <w:bCs/>
          <w:i/>
          <w:iCs/>
          <w:sz w:val="24"/>
          <w:szCs w:val="24"/>
          <w:lang w:val="es-CR"/>
        </w:rPr>
        <w:t>)</w:t>
      </w:r>
      <w:bookmarkEnd w:id="29"/>
    </w:p>
    <w:p w14:paraId="350F728B" w14:textId="3F6B8C1D" w:rsidR="00197BBB" w:rsidRPr="00D07970" w:rsidRDefault="00197BBB" w:rsidP="00225437">
      <w:pPr>
        <w:rPr>
          <w:rFonts w:asciiTheme="minorHAnsi" w:hAnsiTheme="minorHAnsi" w:cstheme="minorHAnsi"/>
          <w:sz w:val="24"/>
          <w:szCs w:val="24"/>
          <w:lang w:val="es-CR"/>
        </w:rPr>
      </w:pPr>
    </w:p>
    <w:p w14:paraId="1BEB10ED" w14:textId="442459E1" w:rsidR="00197BBB" w:rsidRPr="00D07970" w:rsidRDefault="00880D5E" w:rsidP="00225437">
      <w:pPr>
        <w:rPr>
          <w:rFonts w:asciiTheme="minorHAnsi" w:hAnsiTheme="minorHAnsi" w:cstheme="minorHAnsi"/>
          <w:sz w:val="24"/>
          <w:szCs w:val="24"/>
          <w:lang w:val="es-CR"/>
        </w:rPr>
      </w:pPr>
      <w:r w:rsidRPr="00D07970">
        <w:rPr>
          <w:rFonts w:asciiTheme="minorHAnsi" w:hAnsiTheme="minorHAnsi" w:cstheme="minorHAnsi"/>
          <w:sz w:val="24"/>
          <w:szCs w:val="24"/>
          <w:lang w:val="es-CR"/>
        </w:rPr>
        <w:t>E</w:t>
      </w:r>
      <w:r w:rsidR="00197BBB" w:rsidRPr="00D07970">
        <w:rPr>
          <w:rFonts w:asciiTheme="minorHAnsi" w:hAnsiTheme="minorHAnsi" w:cstheme="minorHAnsi"/>
          <w:sz w:val="24"/>
          <w:szCs w:val="24"/>
          <w:lang w:val="es-CR"/>
        </w:rPr>
        <w:t xml:space="preserve">l financiamiento del presupuesto de la SUPEN se estable en la Ley Reguladora del Mercado de Valores </w:t>
      </w:r>
      <w:proofErr w:type="spellStart"/>
      <w:r w:rsidR="00197BBB" w:rsidRPr="00D07970">
        <w:rPr>
          <w:rFonts w:asciiTheme="minorHAnsi" w:hAnsiTheme="minorHAnsi" w:cstheme="minorHAnsi"/>
          <w:sz w:val="24"/>
          <w:szCs w:val="24"/>
          <w:lang w:val="es-CR"/>
        </w:rPr>
        <w:t>N°</w:t>
      </w:r>
      <w:proofErr w:type="spellEnd"/>
      <w:r w:rsidR="00872BAD" w:rsidRPr="00D07970">
        <w:rPr>
          <w:rFonts w:asciiTheme="minorHAnsi" w:hAnsiTheme="minorHAnsi" w:cstheme="minorHAnsi"/>
          <w:sz w:val="24"/>
          <w:szCs w:val="24"/>
          <w:lang w:val="es-CR"/>
        </w:rPr>
        <w:t xml:space="preserve"> </w:t>
      </w:r>
      <w:r w:rsidR="00197BBB" w:rsidRPr="00D07970">
        <w:rPr>
          <w:rFonts w:asciiTheme="minorHAnsi" w:hAnsiTheme="minorHAnsi" w:cstheme="minorHAnsi"/>
          <w:sz w:val="24"/>
          <w:szCs w:val="24"/>
          <w:lang w:val="es-CR"/>
        </w:rPr>
        <w:t>7732</w:t>
      </w:r>
      <w:r w:rsidR="002E5A38" w:rsidRPr="00D07970">
        <w:rPr>
          <w:rFonts w:asciiTheme="minorHAnsi" w:hAnsiTheme="minorHAnsi" w:cstheme="minorHAnsi"/>
          <w:sz w:val="24"/>
          <w:szCs w:val="24"/>
          <w:lang w:val="es-CR"/>
        </w:rPr>
        <w:t>, dada esa particularidad</w:t>
      </w:r>
      <w:r w:rsidR="00670A55" w:rsidRPr="00D07970">
        <w:rPr>
          <w:rFonts w:asciiTheme="minorHAnsi" w:hAnsiTheme="minorHAnsi" w:cstheme="minorHAnsi"/>
          <w:sz w:val="24"/>
          <w:szCs w:val="24"/>
          <w:lang w:val="es-CR"/>
        </w:rPr>
        <w:t>, no se presenta</w:t>
      </w:r>
      <w:r w:rsidR="00E5764B" w:rsidRPr="00D07970">
        <w:rPr>
          <w:rFonts w:asciiTheme="minorHAnsi" w:hAnsiTheme="minorHAnsi" w:cstheme="minorHAnsi"/>
          <w:sz w:val="24"/>
          <w:szCs w:val="24"/>
          <w:lang w:val="es-CR"/>
        </w:rPr>
        <w:t xml:space="preserve"> </w:t>
      </w:r>
      <w:r w:rsidR="00670A55" w:rsidRPr="00D07970">
        <w:rPr>
          <w:rFonts w:asciiTheme="minorHAnsi" w:hAnsiTheme="minorHAnsi" w:cstheme="minorHAnsi"/>
          <w:sz w:val="24"/>
          <w:szCs w:val="24"/>
          <w:lang w:val="es-CR"/>
        </w:rPr>
        <w:t>el cálculo de los componente</w:t>
      </w:r>
      <w:r w:rsidR="00282C71" w:rsidRPr="00D07970">
        <w:rPr>
          <w:rFonts w:asciiTheme="minorHAnsi" w:hAnsiTheme="minorHAnsi" w:cstheme="minorHAnsi"/>
          <w:sz w:val="24"/>
          <w:szCs w:val="24"/>
          <w:lang w:val="es-CR"/>
        </w:rPr>
        <w:t>s</w:t>
      </w:r>
      <w:r w:rsidR="00670A55" w:rsidRPr="00D07970">
        <w:rPr>
          <w:rFonts w:asciiTheme="minorHAnsi" w:hAnsiTheme="minorHAnsi" w:cstheme="minorHAnsi"/>
          <w:sz w:val="24"/>
          <w:szCs w:val="24"/>
          <w:lang w:val="es-CR"/>
        </w:rPr>
        <w:t xml:space="preserve"> del superávit específico. </w:t>
      </w:r>
    </w:p>
    <w:p w14:paraId="139227BA" w14:textId="3105433B" w:rsidR="003E5052" w:rsidRPr="00D07970" w:rsidRDefault="003E5052" w:rsidP="00225437">
      <w:pPr>
        <w:rPr>
          <w:rFonts w:asciiTheme="minorHAnsi" w:hAnsiTheme="minorHAnsi" w:cstheme="minorHAnsi"/>
          <w:sz w:val="24"/>
          <w:szCs w:val="24"/>
          <w:lang w:val="es-CR"/>
        </w:rPr>
      </w:pPr>
    </w:p>
    <w:p w14:paraId="42CE2D59" w14:textId="4D415D9F" w:rsidR="003E5052" w:rsidRPr="00D07970" w:rsidRDefault="00835140" w:rsidP="006105F6">
      <w:pPr>
        <w:pStyle w:val="Prrafodelista"/>
        <w:numPr>
          <w:ilvl w:val="0"/>
          <w:numId w:val="17"/>
        </w:numPr>
        <w:ind w:left="993" w:hanging="633"/>
        <w:outlineLvl w:val="2"/>
        <w:rPr>
          <w:rFonts w:asciiTheme="minorHAnsi" w:hAnsiTheme="minorHAnsi" w:cstheme="minorHAnsi"/>
          <w:b/>
          <w:bCs/>
          <w:i/>
          <w:iCs/>
          <w:sz w:val="24"/>
          <w:szCs w:val="24"/>
          <w:lang w:val="es-CR"/>
        </w:rPr>
      </w:pPr>
      <w:bookmarkStart w:id="30" w:name="_Toc94183025"/>
      <w:r w:rsidRPr="00D07970">
        <w:rPr>
          <w:rFonts w:asciiTheme="minorHAnsi" w:hAnsiTheme="minorHAnsi" w:cstheme="minorHAnsi"/>
          <w:b/>
          <w:bCs/>
          <w:i/>
          <w:iCs/>
          <w:sz w:val="24"/>
          <w:szCs w:val="24"/>
          <w:lang w:val="es-CR"/>
        </w:rPr>
        <w:t>Detalle del superávit acumulado total por cada una de las fuentes</w:t>
      </w:r>
      <w:r w:rsidR="003E5052" w:rsidRPr="00D07970">
        <w:rPr>
          <w:rFonts w:asciiTheme="minorHAnsi" w:hAnsiTheme="minorHAnsi" w:cstheme="minorHAnsi"/>
          <w:b/>
          <w:bCs/>
          <w:i/>
          <w:iCs/>
          <w:sz w:val="24"/>
          <w:szCs w:val="24"/>
          <w:lang w:val="es-CR"/>
        </w:rPr>
        <w:t>.</w:t>
      </w:r>
      <w:r w:rsidR="005D14CD" w:rsidRPr="00D07970">
        <w:rPr>
          <w:rFonts w:asciiTheme="minorHAnsi" w:hAnsiTheme="minorHAnsi" w:cstheme="minorHAnsi"/>
          <w:b/>
          <w:bCs/>
          <w:i/>
          <w:iCs/>
          <w:sz w:val="24"/>
          <w:szCs w:val="24"/>
          <w:lang w:val="es-CR"/>
        </w:rPr>
        <w:t xml:space="preserve"> (4.3.19 b.</w:t>
      </w:r>
      <w:r w:rsidR="00CE50DB">
        <w:rPr>
          <w:rFonts w:asciiTheme="minorHAnsi" w:hAnsiTheme="minorHAnsi" w:cstheme="minorHAnsi"/>
          <w:b/>
          <w:bCs/>
          <w:i/>
          <w:iCs/>
          <w:sz w:val="24"/>
          <w:szCs w:val="24"/>
          <w:lang w:val="es-CR"/>
        </w:rPr>
        <w:t xml:space="preserve"> </w:t>
      </w:r>
      <w:r w:rsidR="005D14CD" w:rsidRPr="00D07970">
        <w:rPr>
          <w:rFonts w:asciiTheme="minorHAnsi" w:hAnsiTheme="minorHAnsi" w:cstheme="minorHAnsi"/>
          <w:b/>
          <w:bCs/>
          <w:i/>
          <w:iCs/>
          <w:sz w:val="24"/>
          <w:szCs w:val="24"/>
          <w:lang w:val="es-CR"/>
        </w:rPr>
        <w:t>v)</w:t>
      </w:r>
      <w:bookmarkEnd w:id="30"/>
    </w:p>
    <w:p w14:paraId="113A6F99" w14:textId="77777777" w:rsidR="00835140" w:rsidRPr="00D07970" w:rsidRDefault="00835140" w:rsidP="00225437">
      <w:pPr>
        <w:rPr>
          <w:rFonts w:asciiTheme="minorHAnsi" w:hAnsiTheme="minorHAnsi" w:cstheme="minorHAnsi"/>
          <w:sz w:val="24"/>
          <w:szCs w:val="24"/>
          <w:lang w:val="es-CR"/>
        </w:rPr>
      </w:pPr>
    </w:p>
    <w:p w14:paraId="31F0FD8F" w14:textId="4A777137" w:rsidR="003E5052" w:rsidRPr="00D07970" w:rsidRDefault="00F13137" w:rsidP="00225437">
      <w:pPr>
        <w:rPr>
          <w:rFonts w:asciiTheme="minorHAnsi" w:hAnsiTheme="minorHAnsi" w:cstheme="minorHAnsi"/>
          <w:sz w:val="24"/>
          <w:szCs w:val="24"/>
          <w:lang w:val="es-CR"/>
        </w:rPr>
      </w:pPr>
      <w:r w:rsidRPr="00D07970">
        <w:rPr>
          <w:rFonts w:asciiTheme="minorHAnsi" w:hAnsiTheme="minorHAnsi" w:cstheme="minorHAnsi"/>
          <w:sz w:val="24"/>
          <w:szCs w:val="24"/>
          <w:lang w:val="es-CR"/>
        </w:rPr>
        <w:t>Tomando en cuenta</w:t>
      </w:r>
      <w:r w:rsidR="00131637" w:rsidRPr="00D07970">
        <w:rPr>
          <w:rFonts w:asciiTheme="minorHAnsi" w:hAnsiTheme="minorHAnsi" w:cstheme="minorHAnsi"/>
          <w:sz w:val="24"/>
          <w:szCs w:val="24"/>
          <w:lang w:val="es-CR"/>
        </w:rPr>
        <w:t xml:space="preserve"> </w:t>
      </w:r>
      <w:r w:rsidR="007975CA" w:rsidRPr="00D07970">
        <w:rPr>
          <w:rFonts w:asciiTheme="minorHAnsi" w:hAnsiTheme="minorHAnsi" w:cstheme="minorHAnsi"/>
          <w:sz w:val="24"/>
          <w:szCs w:val="24"/>
          <w:lang w:val="es-CR"/>
        </w:rPr>
        <w:t>la forma d</w:t>
      </w:r>
      <w:r w:rsidR="00131637" w:rsidRPr="00D07970">
        <w:rPr>
          <w:rFonts w:asciiTheme="minorHAnsi" w:hAnsiTheme="minorHAnsi" w:cstheme="minorHAnsi"/>
          <w:sz w:val="24"/>
          <w:szCs w:val="24"/>
          <w:lang w:val="es-CR"/>
        </w:rPr>
        <w:t xml:space="preserve">el </w:t>
      </w:r>
      <w:r w:rsidR="00835140" w:rsidRPr="00D07970">
        <w:rPr>
          <w:rFonts w:asciiTheme="minorHAnsi" w:hAnsiTheme="minorHAnsi" w:cstheme="minorHAnsi"/>
          <w:sz w:val="24"/>
          <w:szCs w:val="24"/>
          <w:lang w:val="es-CR"/>
        </w:rPr>
        <w:t xml:space="preserve">financiamiento del presupuesto de la SUPEN </w:t>
      </w:r>
      <w:r w:rsidR="00131637" w:rsidRPr="00D07970">
        <w:rPr>
          <w:rFonts w:asciiTheme="minorHAnsi" w:hAnsiTheme="minorHAnsi" w:cstheme="minorHAnsi"/>
          <w:sz w:val="24"/>
          <w:szCs w:val="24"/>
          <w:lang w:val="es-CR"/>
        </w:rPr>
        <w:t>no se generan superávit</w:t>
      </w:r>
      <w:r w:rsidR="00835140" w:rsidRPr="00D07970">
        <w:rPr>
          <w:rFonts w:asciiTheme="minorHAnsi" w:hAnsiTheme="minorHAnsi" w:cstheme="minorHAnsi"/>
          <w:sz w:val="24"/>
          <w:szCs w:val="24"/>
          <w:lang w:val="es-CR"/>
        </w:rPr>
        <w:t xml:space="preserve">, </w:t>
      </w:r>
      <w:r w:rsidR="00F62937" w:rsidRPr="00D07970">
        <w:rPr>
          <w:rFonts w:asciiTheme="minorHAnsi" w:hAnsiTheme="minorHAnsi" w:cstheme="minorHAnsi"/>
          <w:sz w:val="24"/>
          <w:szCs w:val="24"/>
          <w:lang w:val="es-CR"/>
        </w:rPr>
        <w:t xml:space="preserve">razón por la cual </w:t>
      </w:r>
      <w:r w:rsidR="00835140" w:rsidRPr="00D07970">
        <w:rPr>
          <w:rFonts w:asciiTheme="minorHAnsi" w:hAnsiTheme="minorHAnsi" w:cstheme="minorHAnsi"/>
          <w:sz w:val="24"/>
          <w:szCs w:val="24"/>
          <w:lang w:val="es-CR"/>
        </w:rPr>
        <w:t xml:space="preserve">no se presenta </w:t>
      </w:r>
      <w:r w:rsidR="00F62937" w:rsidRPr="00D07970">
        <w:rPr>
          <w:rFonts w:asciiTheme="minorHAnsi" w:hAnsiTheme="minorHAnsi" w:cstheme="minorHAnsi"/>
          <w:sz w:val="24"/>
          <w:szCs w:val="24"/>
          <w:lang w:val="es-CR"/>
        </w:rPr>
        <w:t>el detalle de supe</w:t>
      </w:r>
      <w:r w:rsidR="00FC3BF8" w:rsidRPr="00D07970">
        <w:rPr>
          <w:rFonts w:asciiTheme="minorHAnsi" w:hAnsiTheme="minorHAnsi" w:cstheme="minorHAnsi"/>
          <w:sz w:val="24"/>
          <w:szCs w:val="24"/>
          <w:lang w:val="es-CR"/>
        </w:rPr>
        <w:t>rávit acumulado total.</w:t>
      </w:r>
    </w:p>
    <w:p w14:paraId="61671369" w14:textId="3EBE5C5B" w:rsidR="009A6F25" w:rsidRDefault="009A6F25" w:rsidP="00225437">
      <w:pPr>
        <w:rPr>
          <w:rFonts w:asciiTheme="minorHAnsi" w:hAnsiTheme="minorHAnsi" w:cstheme="minorHAnsi"/>
          <w:sz w:val="24"/>
          <w:szCs w:val="24"/>
          <w:lang w:val="es-CR"/>
        </w:rPr>
      </w:pPr>
    </w:p>
    <w:p w14:paraId="27E9DF89" w14:textId="77777777" w:rsidR="00F035F2" w:rsidRPr="00D07970" w:rsidRDefault="00F035F2" w:rsidP="00225437">
      <w:pPr>
        <w:rPr>
          <w:rFonts w:asciiTheme="minorHAnsi" w:hAnsiTheme="minorHAnsi" w:cstheme="minorHAnsi"/>
          <w:sz w:val="24"/>
          <w:szCs w:val="24"/>
          <w:lang w:val="es-CR"/>
        </w:rPr>
      </w:pPr>
    </w:p>
    <w:p w14:paraId="2D7E4600" w14:textId="64432AB3" w:rsidR="0015482A" w:rsidRPr="00D07970" w:rsidRDefault="0015482A"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31" w:name="_Toc94183026"/>
      <w:r w:rsidRPr="00D07970">
        <w:rPr>
          <w:rFonts w:asciiTheme="minorHAnsi" w:hAnsiTheme="minorHAnsi" w:cstheme="minorHAnsi"/>
          <w:sz w:val="28"/>
          <w:szCs w:val="28"/>
          <w:lang w:val="es-CR"/>
        </w:rPr>
        <w:t>INFORMACIÓN COMPLE</w:t>
      </w:r>
      <w:r w:rsidR="00322EBF" w:rsidRPr="00D07970">
        <w:rPr>
          <w:rFonts w:asciiTheme="minorHAnsi" w:hAnsiTheme="minorHAnsi" w:cstheme="minorHAnsi"/>
          <w:sz w:val="28"/>
          <w:szCs w:val="28"/>
          <w:lang w:val="es-CR"/>
        </w:rPr>
        <w:t>MENTARIA</w:t>
      </w:r>
      <w:r w:rsidRPr="00D07970">
        <w:rPr>
          <w:rStyle w:val="nfasisintenso"/>
          <w:rFonts w:asciiTheme="minorHAnsi" w:hAnsiTheme="minorHAnsi" w:cstheme="minorHAnsi"/>
          <w:b/>
          <w:bCs w:val="0"/>
          <w:i w:val="0"/>
          <w:iCs w:val="0"/>
          <w:color w:val="auto"/>
          <w:sz w:val="28"/>
          <w:szCs w:val="28"/>
          <w:lang w:val="es-CR"/>
        </w:rPr>
        <w:t xml:space="preserve"> </w:t>
      </w:r>
      <w:r w:rsidRPr="00D07970">
        <w:rPr>
          <w:rStyle w:val="nfasisintenso"/>
          <w:color w:val="auto"/>
          <w:sz w:val="18"/>
          <w:szCs w:val="28"/>
          <w:lang w:val="es-CR"/>
        </w:rPr>
        <w:t xml:space="preserve">4.3.19 </w:t>
      </w:r>
      <w:r w:rsidR="00322EBF" w:rsidRPr="00D07970">
        <w:rPr>
          <w:rStyle w:val="nfasisintenso"/>
          <w:color w:val="auto"/>
          <w:sz w:val="18"/>
          <w:szCs w:val="28"/>
          <w:lang w:val="es-CR"/>
        </w:rPr>
        <w:t>C</w:t>
      </w:r>
      <w:bookmarkEnd w:id="31"/>
    </w:p>
    <w:p w14:paraId="6353C23A" w14:textId="77777777" w:rsidR="0015482A" w:rsidRPr="00D07970" w:rsidRDefault="0015482A" w:rsidP="00225437">
      <w:pPr>
        <w:rPr>
          <w:rFonts w:asciiTheme="minorHAnsi" w:hAnsiTheme="minorHAnsi" w:cstheme="minorHAnsi"/>
          <w:sz w:val="24"/>
          <w:szCs w:val="24"/>
          <w:lang w:val="es-CR"/>
        </w:rPr>
      </w:pPr>
    </w:p>
    <w:p w14:paraId="574EA6FF" w14:textId="1207AEA0" w:rsidR="00AD71BF" w:rsidRPr="00D07970" w:rsidRDefault="00A659CD" w:rsidP="0065683B">
      <w:pPr>
        <w:pStyle w:val="Prrafodelista"/>
        <w:numPr>
          <w:ilvl w:val="0"/>
          <w:numId w:val="18"/>
        </w:numPr>
        <w:ind w:left="426" w:hanging="349"/>
        <w:outlineLvl w:val="2"/>
        <w:rPr>
          <w:rFonts w:asciiTheme="minorHAnsi" w:hAnsiTheme="minorHAnsi" w:cstheme="minorHAnsi"/>
          <w:b/>
          <w:bCs/>
          <w:i/>
          <w:iCs/>
          <w:sz w:val="24"/>
          <w:szCs w:val="24"/>
          <w:lang w:val="es-CR"/>
        </w:rPr>
      </w:pPr>
      <w:bookmarkStart w:id="32" w:name="_Toc94183027"/>
      <w:r w:rsidRPr="00D07970">
        <w:rPr>
          <w:rFonts w:asciiTheme="minorHAnsi" w:hAnsiTheme="minorHAnsi" w:cstheme="minorHAnsi"/>
          <w:b/>
          <w:bCs/>
          <w:i/>
          <w:iCs/>
          <w:sz w:val="24"/>
          <w:szCs w:val="24"/>
          <w:lang w:val="es-CR"/>
        </w:rPr>
        <w:t>Comentarios generales de la liquidación de los ingresos y gastos (</w:t>
      </w:r>
      <w:r w:rsidR="00324D54" w:rsidRPr="00D07970">
        <w:rPr>
          <w:rFonts w:asciiTheme="minorHAnsi" w:hAnsiTheme="minorHAnsi" w:cstheme="minorHAnsi"/>
          <w:b/>
          <w:bCs/>
          <w:i/>
          <w:iCs/>
          <w:sz w:val="24"/>
          <w:szCs w:val="24"/>
          <w:lang w:val="es-CR"/>
        </w:rPr>
        <w:t xml:space="preserve">4.3.19 </w:t>
      </w:r>
      <w:r w:rsidR="00797E37" w:rsidRPr="00D07970">
        <w:rPr>
          <w:rFonts w:asciiTheme="minorHAnsi" w:hAnsiTheme="minorHAnsi" w:cstheme="minorHAnsi"/>
          <w:b/>
          <w:bCs/>
          <w:i/>
          <w:iCs/>
          <w:sz w:val="24"/>
          <w:szCs w:val="24"/>
          <w:lang w:val="es-CR"/>
        </w:rPr>
        <w:t>c</w:t>
      </w:r>
      <w:r w:rsidR="0072370B" w:rsidRPr="00D07970">
        <w:rPr>
          <w:rFonts w:asciiTheme="minorHAnsi" w:hAnsiTheme="minorHAnsi" w:cstheme="minorHAnsi"/>
          <w:b/>
          <w:bCs/>
          <w:i/>
          <w:iCs/>
          <w:sz w:val="24"/>
          <w:szCs w:val="24"/>
          <w:lang w:val="es-CR"/>
        </w:rPr>
        <w:t>.</w:t>
      </w:r>
      <w:r w:rsidR="00797E37" w:rsidRPr="00D07970">
        <w:rPr>
          <w:rFonts w:asciiTheme="minorHAnsi" w:hAnsiTheme="minorHAnsi" w:cstheme="minorHAnsi"/>
          <w:b/>
          <w:bCs/>
          <w:i/>
          <w:iCs/>
          <w:sz w:val="24"/>
          <w:szCs w:val="24"/>
          <w:lang w:val="es-CR"/>
        </w:rPr>
        <w:t xml:space="preserve"> i</w:t>
      </w:r>
      <w:r w:rsidR="00324D54" w:rsidRPr="00D07970">
        <w:rPr>
          <w:rFonts w:asciiTheme="minorHAnsi" w:hAnsiTheme="minorHAnsi" w:cstheme="minorHAnsi"/>
          <w:b/>
          <w:bCs/>
          <w:i/>
          <w:iCs/>
          <w:sz w:val="24"/>
          <w:szCs w:val="24"/>
          <w:lang w:val="es-CR"/>
        </w:rPr>
        <w:t>)</w:t>
      </w:r>
      <w:r w:rsidR="00AD71BF" w:rsidRPr="00D07970">
        <w:rPr>
          <w:rFonts w:asciiTheme="minorHAnsi" w:hAnsiTheme="minorHAnsi" w:cstheme="minorHAnsi"/>
          <w:b/>
          <w:bCs/>
          <w:i/>
          <w:iCs/>
          <w:sz w:val="24"/>
          <w:szCs w:val="24"/>
          <w:lang w:val="es-CR"/>
        </w:rPr>
        <w:t>.</w:t>
      </w:r>
      <w:bookmarkEnd w:id="32"/>
    </w:p>
    <w:p w14:paraId="0CB6FDE0" w14:textId="4587C07E" w:rsidR="009A6F25" w:rsidRPr="00D07970" w:rsidRDefault="009A6F25" w:rsidP="00225437">
      <w:pPr>
        <w:rPr>
          <w:rFonts w:asciiTheme="minorHAnsi" w:hAnsiTheme="minorHAnsi" w:cstheme="minorHAnsi"/>
          <w:sz w:val="24"/>
          <w:szCs w:val="24"/>
          <w:lang w:val="es-CR"/>
        </w:rPr>
      </w:pPr>
    </w:p>
    <w:p w14:paraId="1D017019" w14:textId="1B5F0934" w:rsidR="00254CAE" w:rsidRPr="00D07970" w:rsidRDefault="004F00DD" w:rsidP="008E02F2">
      <w:pPr>
        <w:pStyle w:val="Ttulo3"/>
        <w:rPr>
          <w:b/>
        </w:rPr>
      </w:pPr>
      <w:bookmarkStart w:id="33" w:name="_Toc94183028"/>
      <w:r w:rsidRPr="00D07970">
        <w:t>C</w:t>
      </w:r>
      <w:r w:rsidR="00254CAE" w:rsidRPr="00D07970">
        <w:t>uenta presupuestaria</w:t>
      </w:r>
      <w:r w:rsidR="00222D26" w:rsidRPr="00D07970">
        <w:t xml:space="preserve"> de </w:t>
      </w:r>
      <w:r w:rsidR="008E5C2B" w:rsidRPr="00D07970">
        <w:t>ingresos</w:t>
      </w:r>
      <w:bookmarkEnd w:id="33"/>
    </w:p>
    <w:p w14:paraId="4D026801" w14:textId="1530CDF7" w:rsidR="00254CAE" w:rsidRPr="00D07970" w:rsidRDefault="00254CAE" w:rsidP="00225437">
      <w:pPr>
        <w:rPr>
          <w:rFonts w:asciiTheme="minorHAnsi" w:hAnsiTheme="minorHAnsi" w:cstheme="minorHAnsi"/>
          <w:lang w:val="es-CR"/>
        </w:rPr>
      </w:pPr>
    </w:p>
    <w:p w14:paraId="0C5A3FDF" w14:textId="6BBE7AAE" w:rsidR="004F00DD" w:rsidRPr="00D07970" w:rsidRDefault="004F00DD" w:rsidP="00225437">
      <w:pPr>
        <w:rPr>
          <w:rFonts w:asciiTheme="minorHAnsi" w:hAnsiTheme="minorHAnsi" w:cstheme="minorHAnsi"/>
          <w:sz w:val="24"/>
          <w:szCs w:val="24"/>
          <w:lang w:val="es-CR"/>
        </w:rPr>
      </w:pPr>
      <w:r w:rsidRPr="00D07970">
        <w:rPr>
          <w:rFonts w:asciiTheme="minorHAnsi" w:hAnsiTheme="minorHAnsi" w:cstheme="minorHAnsi"/>
          <w:sz w:val="24"/>
          <w:szCs w:val="24"/>
          <w:lang w:val="es-CR"/>
        </w:rPr>
        <w:t xml:space="preserve">Los ingresos devengados </w:t>
      </w:r>
      <w:r w:rsidR="00614B60" w:rsidRPr="00D07970">
        <w:rPr>
          <w:rFonts w:asciiTheme="minorHAnsi" w:hAnsiTheme="minorHAnsi" w:cstheme="minorHAnsi"/>
          <w:sz w:val="24"/>
          <w:szCs w:val="24"/>
          <w:lang w:val="es-CR"/>
        </w:rPr>
        <w:t xml:space="preserve">están ligados a la ejecución </w:t>
      </w:r>
      <w:r w:rsidRPr="00D07970">
        <w:rPr>
          <w:rFonts w:asciiTheme="minorHAnsi" w:hAnsiTheme="minorHAnsi" w:cstheme="minorHAnsi"/>
          <w:sz w:val="24"/>
          <w:szCs w:val="24"/>
          <w:lang w:val="es-CR"/>
        </w:rPr>
        <w:t>efectiva de</w:t>
      </w:r>
      <w:r w:rsidR="00D96470" w:rsidRPr="00D07970">
        <w:rPr>
          <w:rFonts w:asciiTheme="minorHAnsi" w:hAnsiTheme="minorHAnsi" w:cstheme="minorHAnsi"/>
          <w:sz w:val="24"/>
          <w:szCs w:val="24"/>
          <w:lang w:val="es-CR"/>
        </w:rPr>
        <w:t>l presupuesto de</w:t>
      </w:r>
      <w:r w:rsidRPr="00D07970">
        <w:rPr>
          <w:rFonts w:asciiTheme="minorHAnsi" w:hAnsiTheme="minorHAnsi" w:cstheme="minorHAnsi"/>
          <w:sz w:val="24"/>
          <w:szCs w:val="24"/>
          <w:lang w:val="es-CR"/>
        </w:rPr>
        <w:t xml:space="preserve"> egresos, el siguiente cuadro detalla el total de </w:t>
      </w:r>
      <w:r w:rsidR="009A563F" w:rsidRPr="00D07970">
        <w:rPr>
          <w:rFonts w:asciiTheme="minorHAnsi" w:hAnsiTheme="minorHAnsi" w:cstheme="minorHAnsi"/>
          <w:sz w:val="24"/>
          <w:szCs w:val="24"/>
          <w:lang w:val="es-CR"/>
        </w:rPr>
        <w:t xml:space="preserve">ingresos </w:t>
      </w:r>
      <w:r w:rsidR="00843B0B" w:rsidRPr="00D07970">
        <w:rPr>
          <w:rFonts w:asciiTheme="minorHAnsi" w:hAnsiTheme="minorHAnsi" w:cstheme="minorHAnsi"/>
          <w:sz w:val="24"/>
          <w:szCs w:val="24"/>
          <w:lang w:val="es-CR"/>
        </w:rPr>
        <w:t>del período</w:t>
      </w:r>
      <w:r w:rsidR="009A563F" w:rsidRPr="00D07970">
        <w:rPr>
          <w:rFonts w:asciiTheme="minorHAnsi" w:hAnsiTheme="minorHAnsi" w:cstheme="minorHAnsi"/>
          <w:sz w:val="24"/>
          <w:szCs w:val="24"/>
          <w:lang w:val="es-CR"/>
        </w:rPr>
        <w:t>.</w:t>
      </w:r>
    </w:p>
    <w:p w14:paraId="2122B139" w14:textId="77777777" w:rsidR="004E2CB2" w:rsidRPr="00D07970" w:rsidRDefault="004E2CB2" w:rsidP="00652016">
      <w:pPr>
        <w:spacing w:line="240" w:lineRule="auto"/>
        <w:jc w:val="left"/>
        <w:rPr>
          <w:rFonts w:asciiTheme="minorHAnsi" w:hAnsiTheme="minorHAnsi" w:cstheme="minorHAnsi"/>
          <w:lang w:val="es-CR"/>
        </w:rPr>
      </w:pPr>
    </w:p>
    <w:p w14:paraId="7D12B2BC" w14:textId="155D2DA9" w:rsidR="004F00DD" w:rsidRPr="00D07970" w:rsidRDefault="004F00DD" w:rsidP="008E02F2">
      <w:pPr>
        <w:pStyle w:val="Ttulo3"/>
      </w:pPr>
      <w:bookmarkStart w:id="34" w:name="_Toc94183029"/>
      <w:r w:rsidRPr="00D07970">
        <w:rPr>
          <w:b/>
          <w:bCs/>
        </w:rPr>
        <w:t xml:space="preserve">Cuadro </w:t>
      </w:r>
      <w:r w:rsidR="00125637" w:rsidRPr="00D07970">
        <w:rPr>
          <w:b/>
          <w:bCs/>
        </w:rPr>
        <w:t>3</w:t>
      </w:r>
      <w:r w:rsidRPr="00D07970">
        <w:t>: Detalle de ingresos</w:t>
      </w:r>
      <w:bookmarkEnd w:id="34"/>
      <w:r w:rsidRPr="00D07970">
        <w:t xml:space="preserve"> </w:t>
      </w:r>
    </w:p>
    <w:p w14:paraId="0D6669C7" w14:textId="337B15D8" w:rsidR="00652016" w:rsidRDefault="00652016" w:rsidP="00652016">
      <w:pPr>
        <w:spacing w:line="240" w:lineRule="auto"/>
        <w:rPr>
          <w:rFonts w:asciiTheme="minorHAnsi" w:hAnsiTheme="minorHAnsi" w:cstheme="minorHAnsi"/>
          <w:sz w:val="20"/>
          <w:lang w:val="es-CR"/>
        </w:rPr>
      </w:pPr>
      <w:r w:rsidRPr="00D07970">
        <w:rPr>
          <w:rFonts w:asciiTheme="minorHAnsi" w:hAnsiTheme="minorHAnsi" w:cstheme="minorHAnsi"/>
          <w:sz w:val="20"/>
          <w:lang w:val="es-CR"/>
        </w:rPr>
        <w:t>31 de diciembre de 20</w:t>
      </w:r>
      <w:r w:rsidR="00211DFF" w:rsidRPr="00D07970">
        <w:rPr>
          <w:rFonts w:asciiTheme="minorHAnsi" w:hAnsiTheme="minorHAnsi" w:cstheme="minorHAnsi"/>
          <w:sz w:val="20"/>
          <w:lang w:val="es-CR"/>
        </w:rPr>
        <w:t>2</w:t>
      </w:r>
      <w:r w:rsidR="00BF186F">
        <w:rPr>
          <w:rFonts w:asciiTheme="minorHAnsi" w:hAnsiTheme="minorHAnsi" w:cstheme="minorHAnsi"/>
          <w:sz w:val="20"/>
          <w:lang w:val="es-CR"/>
        </w:rPr>
        <w:t>1</w:t>
      </w:r>
    </w:p>
    <w:tbl>
      <w:tblPr>
        <w:tblW w:w="8480" w:type="dxa"/>
        <w:tblCellMar>
          <w:left w:w="70" w:type="dxa"/>
          <w:right w:w="70" w:type="dxa"/>
        </w:tblCellMar>
        <w:tblLook w:val="04A0" w:firstRow="1" w:lastRow="0" w:firstColumn="1" w:lastColumn="0" w:noHBand="0" w:noVBand="1"/>
      </w:tblPr>
      <w:tblGrid>
        <w:gridCol w:w="2300"/>
        <w:gridCol w:w="4300"/>
        <w:gridCol w:w="1880"/>
      </w:tblGrid>
      <w:tr w:rsidR="005E5F3E" w:rsidRPr="005E5F3E" w14:paraId="6290401F" w14:textId="77777777" w:rsidTr="005E5F3E">
        <w:trPr>
          <w:trHeight w:val="570"/>
        </w:trPr>
        <w:tc>
          <w:tcPr>
            <w:tcW w:w="2300" w:type="dxa"/>
            <w:tcBorders>
              <w:top w:val="single" w:sz="8" w:space="0" w:color="auto"/>
              <w:left w:val="single" w:sz="8" w:space="0" w:color="auto"/>
              <w:bottom w:val="single" w:sz="8" w:space="0" w:color="auto"/>
              <w:right w:val="single" w:sz="8" w:space="0" w:color="auto"/>
            </w:tcBorders>
            <w:shd w:val="clear" w:color="000000" w:fill="D6DCE4"/>
            <w:noWrap/>
            <w:vAlign w:val="center"/>
            <w:hideMark/>
          </w:tcPr>
          <w:p w14:paraId="096F49A5" w14:textId="77777777" w:rsidR="005E5F3E" w:rsidRPr="005E5F3E" w:rsidRDefault="005E5F3E" w:rsidP="005E5F3E">
            <w:pPr>
              <w:spacing w:line="240" w:lineRule="auto"/>
              <w:jc w:val="center"/>
              <w:rPr>
                <w:rFonts w:cs="Arial"/>
                <w:b/>
                <w:bCs/>
                <w:szCs w:val="22"/>
                <w:lang w:val="es-CR" w:eastAsia="es-CR"/>
              </w:rPr>
            </w:pPr>
            <w:r w:rsidRPr="005E5F3E">
              <w:rPr>
                <w:rFonts w:cs="Arial"/>
                <w:b/>
                <w:bCs/>
                <w:szCs w:val="22"/>
                <w:lang w:val="es-CR" w:eastAsia="es-CR"/>
              </w:rPr>
              <w:t>CUENTA</w:t>
            </w:r>
          </w:p>
        </w:tc>
        <w:tc>
          <w:tcPr>
            <w:tcW w:w="4300" w:type="dxa"/>
            <w:tcBorders>
              <w:top w:val="single" w:sz="8" w:space="0" w:color="auto"/>
              <w:left w:val="nil"/>
              <w:bottom w:val="single" w:sz="8" w:space="0" w:color="auto"/>
              <w:right w:val="single" w:sz="8" w:space="0" w:color="auto"/>
            </w:tcBorders>
            <w:shd w:val="clear" w:color="000000" w:fill="D6DCE4"/>
            <w:vAlign w:val="center"/>
            <w:hideMark/>
          </w:tcPr>
          <w:p w14:paraId="0D68F7BE" w14:textId="77777777" w:rsidR="005E5F3E" w:rsidRPr="005E5F3E" w:rsidRDefault="005E5F3E" w:rsidP="005E5F3E">
            <w:pPr>
              <w:spacing w:line="240" w:lineRule="auto"/>
              <w:jc w:val="center"/>
              <w:rPr>
                <w:rFonts w:cs="Arial"/>
                <w:b/>
                <w:bCs/>
                <w:color w:val="000000"/>
                <w:szCs w:val="22"/>
                <w:lang w:val="es-CR" w:eastAsia="es-CR"/>
              </w:rPr>
            </w:pPr>
            <w:r w:rsidRPr="005E5F3E">
              <w:rPr>
                <w:rFonts w:cs="Arial"/>
                <w:b/>
                <w:bCs/>
                <w:color w:val="000000"/>
                <w:szCs w:val="22"/>
                <w:lang w:val="es-CR" w:eastAsia="es-CR"/>
              </w:rPr>
              <w:t>INGRESOS</w:t>
            </w:r>
          </w:p>
        </w:tc>
        <w:tc>
          <w:tcPr>
            <w:tcW w:w="1880" w:type="dxa"/>
            <w:tcBorders>
              <w:top w:val="single" w:sz="8" w:space="0" w:color="auto"/>
              <w:left w:val="nil"/>
              <w:bottom w:val="single" w:sz="8" w:space="0" w:color="auto"/>
              <w:right w:val="single" w:sz="8" w:space="0" w:color="auto"/>
            </w:tcBorders>
            <w:shd w:val="clear" w:color="000000" w:fill="D6DCE4"/>
            <w:vAlign w:val="center"/>
            <w:hideMark/>
          </w:tcPr>
          <w:p w14:paraId="0EF4DB5D" w14:textId="77777777" w:rsidR="005E5F3E" w:rsidRPr="005E5F3E" w:rsidRDefault="005E5F3E" w:rsidP="005E5F3E">
            <w:pPr>
              <w:spacing w:line="240" w:lineRule="auto"/>
              <w:jc w:val="center"/>
              <w:rPr>
                <w:rFonts w:cs="Arial"/>
                <w:b/>
                <w:bCs/>
                <w:color w:val="000000"/>
                <w:sz w:val="20"/>
                <w:lang w:val="es-CR" w:eastAsia="es-CR"/>
              </w:rPr>
            </w:pPr>
            <w:r w:rsidRPr="005E5F3E">
              <w:rPr>
                <w:rFonts w:cs="Arial"/>
                <w:b/>
                <w:bCs/>
                <w:color w:val="000000"/>
                <w:sz w:val="20"/>
                <w:lang w:val="es-CR" w:eastAsia="es-CR"/>
              </w:rPr>
              <w:t>MONTO</w:t>
            </w:r>
          </w:p>
        </w:tc>
      </w:tr>
      <w:tr w:rsidR="005E5F3E" w:rsidRPr="005E5F3E" w14:paraId="1861EFAA" w14:textId="77777777" w:rsidTr="005E5F3E">
        <w:trPr>
          <w:trHeight w:val="290"/>
        </w:trPr>
        <w:tc>
          <w:tcPr>
            <w:tcW w:w="2300" w:type="dxa"/>
            <w:tcBorders>
              <w:top w:val="nil"/>
              <w:left w:val="single" w:sz="8" w:space="0" w:color="auto"/>
              <w:bottom w:val="nil"/>
              <w:right w:val="single" w:sz="8" w:space="0" w:color="auto"/>
            </w:tcBorders>
            <w:shd w:val="clear" w:color="000000" w:fill="FFFFFF"/>
            <w:noWrap/>
            <w:vAlign w:val="center"/>
            <w:hideMark/>
          </w:tcPr>
          <w:p w14:paraId="52F8CE16" w14:textId="77777777" w:rsidR="005E5F3E" w:rsidRPr="005E5F3E" w:rsidRDefault="005E5F3E" w:rsidP="005E5F3E">
            <w:pPr>
              <w:spacing w:line="240" w:lineRule="auto"/>
              <w:jc w:val="center"/>
              <w:rPr>
                <w:rFonts w:ascii="Calibri" w:hAnsi="Calibri" w:cs="Calibri"/>
                <w:b/>
                <w:bCs/>
                <w:color w:val="000000"/>
                <w:szCs w:val="22"/>
                <w:lang w:val="es-CR" w:eastAsia="es-CR"/>
              </w:rPr>
            </w:pPr>
            <w:r w:rsidRPr="005E5F3E">
              <w:rPr>
                <w:rFonts w:ascii="Calibri" w:hAnsi="Calibri" w:cs="Calibri"/>
                <w:b/>
                <w:bCs/>
                <w:color w:val="000000"/>
                <w:szCs w:val="22"/>
                <w:lang w:val="es-CR" w:eastAsia="es-CR"/>
              </w:rPr>
              <w:t>1.0.0.0.00.00.0.0.000</w:t>
            </w:r>
          </w:p>
        </w:tc>
        <w:tc>
          <w:tcPr>
            <w:tcW w:w="4300" w:type="dxa"/>
            <w:tcBorders>
              <w:top w:val="nil"/>
              <w:left w:val="nil"/>
              <w:bottom w:val="nil"/>
              <w:right w:val="single" w:sz="8" w:space="0" w:color="auto"/>
            </w:tcBorders>
            <w:shd w:val="clear" w:color="000000" w:fill="FFFFFF"/>
            <w:vAlign w:val="center"/>
            <w:hideMark/>
          </w:tcPr>
          <w:p w14:paraId="2E070041" w14:textId="77777777" w:rsidR="005E5F3E" w:rsidRPr="005E5F3E" w:rsidRDefault="005E5F3E" w:rsidP="005E5F3E">
            <w:pPr>
              <w:spacing w:line="240" w:lineRule="auto"/>
              <w:jc w:val="left"/>
              <w:rPr>
                <w:rFonts w:ascii="Calibri" w:hAnsi="Calibri" w:cs="Calibri"/>
                <w:b/>
                <w:bCs/>
                <w:color w:val="000000"/>
                <w:szCs w:val="22"/>
                <w:lang w:val="es-CR" w:eastAsia="es-CR"/>
              </w:rPr>
            </w:pPr>
            <w:r w:rsidRPr="005E5F3E">
              <w:rPr>
                <w:rFonts w:ascii="Calibri" w:hAnsi="Calibri" w:cs="Calibri"/>
                <w:b/>
                <w:bCs/>
                <w:color w:val="000000"/>
                <w:szCs w:val="22"/>
                <w:lang w:val="es-CR" w:eastAsia="es-CR"/>
              </w:rPr>
              <w:t xml:space="preserve"> Ingresos Corrientes</w:t>
            </w:r>
          </w:p>
        </w:tc>
        <w:tc>
          <w:tcPr>
            <w:tcW w:w="1880" w:type="dxa"/>
            <w:tcBorders>
              <w:top w:val="nil"/>
              <w:left w:val="nil"/>
              <w:bottom w:val="nil"/>
              <w:right w:val="single" w:sz="8" w:space="0" w:color="auto"/>
            </w:tcBorders>
            <w:shd w:val="clear" w:color="000000" w:fill="FFFFFF"/>
            <w:vAlign w:val="center"/>
            <w:hideMark/>
          </w:tcPr>
          <w:p w14:paraId="5DA1846B" w14:textId="77777777" w:rsidR="005E5F3E" w:rsidRPr="005E5F3E" w:rsidRDefault="005E5F3E" w:rsidP="005E5F3E">
            <w:pPr>
              <w:spacing w:line="240" w:lineRule="auto"/>
              <w:jc w:val="right"/>
              <w:rPr>
                <w:rFonts w:ascii="Calibri" w:hAnsi="Calibri" w:cs="Calibri"/>
                <w:b/>
                <w:bCs/>
                <w:color w:val="000000"/>
                <w:szCs w:val="22"/>
                <w:lang w:val="es-CR" w:eastAsia="es-CR"/>
              </w:rPr>
            </w:pPr>
            <w:r w:rsidRPr="005E5F3E">
              <w:rPr>
                <w:rFonts w:ascii="Calibri" w:hAnsi="Calibri" w:cs="Calibri"/>
                <w:b/>
                <w:bCs/>
                <w:color w:val="000000"/>
                <w:szCs w:val="22"/>
                <w:lang w:val="es-CR" w:eastAsia="es-CR"/>
              </w:rPr>
              <w:t>4 407 625 310</w:t>
            </w:r>
          </w:p>
        </w:tc>
      </w:tr>
      <w:tr w:rsidR="005E5F3E" w:rsidRPr="005E5F3E" w14:paraId="4690078C" w14:textId="77777777" w:rsidTr="005E5F3E">
        <w:trPr>
          <w:trHeight w:val="290"/>
        </w:trPr>
        <w:tc>
          <w:tcPr>
            <w:tcW w:w="2300" w:type="dxa"/>
            <w:tcBorders>
              <w:top w:val="nil"/>
              <w:left w:val="single" w:sz="8" w:space="0" w:color="auto"/>
              <w:bottom w:val="nil"/>
              <w:right w:val="single" w:sz="8" w:space="0" w:color="auto"/>
            </w:tcBorders>
            <w:shd w:val="clear" w:color="000000" w:fill="FFFFFF"/>
            <w:noWrap/>
            <w:vAlign w:val="center"/>
            <w:hideMark/>
          </w:tcPr>
          <w:p w14:paraId="00340ABA" w14:textId="77777777" w:rsidR="005E5F3E" w:rsidRPr="005E5F3E" w:rsidRDefault="005E5F3E" w:rsidP="005E5F3E">
            <w:pPr>
              <w:spacing w:line="240" w:lineRule="auto"/>
              <w:jc w:val="center"/>
              <w:rPr>
                <w:rFonts w:ascii="Calibri" w:hAnsi="Calibri" w:cs="Calibri"/>
                <w:color w:val="000000"/>
                <w:szCs w:val="22"/>
                <w:lang w:val="es-CR" w:eastAsia="es-CR"/>
              </w:rPr>
            </w:pPr>
            <w:r w:rsidRPr="005E5F3E">
              <w:rPr>
                <w:rFonts w:ascii="Calibri" w:hAnsi="Calibri" w:cs="Calibri"/>
                <w:color w:val="000000"/>
                <w:szCs w:val="22"/>
                <w:lang w:val="es-CR" w:eastAsia="es-CR"/>
              </w:rPr>
              <w:t>1.4.0.0.00.00.0.0.000</w:t>
            </w:r>
          </w:p>
        </w:tc>
        <w:tc>
          <w:tcPr>
            <w:tcW w:w="4300" w:type="dxa"/>
            <w:tcBorders>
              <w:top w:val="nil"/>
              <w:left w:val="nil"/>
              <w:bottom w:val="nil"/>
              <w:right w:val="single" w:sz="8" w:space="0" w:color="auto"/>
            </w:tcBorders>
            <w:shd w:val="clear" w:color="000000" w:fill="FFFFFF"/>
            <w:vAlign w:val="center"/>
            <w:hideMark/>
          </w:tcPr>
          <w:p w14:paraId="678C3D5C" w14:textId="77777777" w:rsidR="005E5F3E" w:rsidRPr="005E5F3E" w:rsidRDefault="005E5F3E" w:rsidP="005E5F3E">
            <w:pPr>
              <w:spacing w:line="240" w:lineRule="auto"/>
              <w:jc w:val="left"/>
              <w:rPr>
                <w:rFonts w:ascii="Calibri" w:hAnsi="Calibri" w:cs="Calibri"/>
                <w:color w:val="000000"/>
                <w:szCs w:val="22"/>
                <w:lang w:val="es-CR" w:eastAsia="es-CR"/>
              </w:rPr>
            </w:pPr>
            <w:r w:rsidRPr="005E5F3E">
              <w:rPr>
                <w:rFonts w:ascii="Calibri" w:hAnsi="Calibri" w:cs="Calibri"/>
                <w:color w:val="000000"/>
                <w:szCs w:val="22"/>
                <w:lang w:val="es-CR" w:eastAsia="es-CR"/>
              </w:rPr>
              <w:t xml:space="preserve"> Transferencias Corrientes</w:t>
            </w:r>
          </w:p>
        </w:tc>
        <w:tc>
          <w:tcPr>
            <w:tcW w:w="1880" w:type="dxa"/>
            <w:tcBorders>
              <w:top w:val="nil"/>
              <w:left w:val="nil"/>
              <w:bottom w:val="nil"/>
              <w:right w:val="single" w:sz="8" w:space="0" w:color="auto"/>
            </w:tcBorders>
            <w:shd w:val="clear" w:color="000000" w:fill="FFFFFF"/>
            <w:vAlign w:val="center"/>
            <w:hideMark/>
          </w:tcPr>
          <w:p w14:paraId="0A1AF0AE" w14:textId="77777777" w:rsidR="005E5F3E" w:rsidRPr="005E5F3E" w:rsidRDefault="005E5F3E" w:rsidP="005E5F3E">
            <w:pPr>
              <w:spacing w:line="240" w:lineRule="auto"/>
              <w:jc w:val="right"/>
              <w:rPr>
                <w:rFonts w:ascii="Calibri" w:hAnsi="Calibri" w:cs="Calibri"/>
                <w:color w:val="000000"/>
                <w:szCs w:val="22"/>
                <w:lang w:val="es-CR" w:eastAsia="es-CR"/>
              </w:rPr>
            </w:pPr>
            <w:r w:rsidRPr="005E5F3E">
              <w:rPr>
                <w:rFonts w:ascii="Calibri" w:hAnsi="Calibri" w:cs="Calibri"/>
                <w:color w:val="000000"/>
                <w:szCs w:val="22"/>
                <w:lang w:val="es-CR" w:eastAsia="es-CR"/>
              </w:rPr>
              <w:t>4 407 625 310</w:t>
            </w:r>
          </w:p>
        </w:tc>
      </w:tr>
      <w:tr w:rsidR="005E5F3E" w:rsidRPr="005E5F3E" w14:paraId="297ACE7C" w14:textId="77777777" w:rsidTr="005E5F3E">
        <w:trPr>
          <w:trHeight w:val="580"/>
        </w:trPr>
        <w:tc>
          <w:tcPr>
            <w:tcW w:w="2300" w:type="dxa"/>
            <w:tcBorders>
              <w:top w:val="nil"/>
              <w:left w:val="single" w:sz="8" w:space="0" w:color="auto"/>
              <w:bottom w:val="nil"/>
              <w:right w:val="single" w:sz="8" w:space="0" w:color="auto"/>
            </w:tcBorders>
            <w:shd w:val="clear" w:color="000000" w:fill="FFFFFF"/>
            <w:noWrap/>
            <w:vAlign w:val="center"/>
            <w:hideMark/>
          </w:tcPr>
          <w:p w14:paraId="1E7E5283" w14:textId="77777777" w:rsidR="005E5F3E" w:rsidRPr="005E5F3E" w:rsidRDefault="005E5F3E" w:rsidP="005E5F3E">
            <w:pPr>
              <w:spacing w:line="240" w:lineRule="auto"/>
              <w:jc w:val="center"/>
              <w:rPr>
                <w:rFonts w:ascii="Calibri" w:hAnsi="Calibri" w:cs="Calibri"/>
                <w:color w:val="000000"/>
                <w:szCs w:val="22"/>
                <w:lang w:val="es-CR" w:eastAsia="es-CR"/>
              </w:rPr>
            </w:pPr>
            <w:r w:rsidRPr="005E5F3E">
              <w:rPr>
                <w:rFonts w:ascii="Calibri" w:hAnsi="Calibri" w:cs="Calibri"/>
                <w:color w:val="000000"/>
                <w:szCs w:val="22"/>
                <w:lang w:val="es-CR" w:eastAsia="es-CR"/>
              </w:rPr>
              <w:t>1.4.1.0.00.00.0.0.000</w:t>
            </w:r>
          </w:p>
        </w:tc>
        <w:tc>
          <w:tcPr>
            <w:tcW w:w="4300" w:type="dxa"/>
            <w:tcBorders>
              <w:top w:val="nil"/>
              <w:left w:val="nil"/>
              <w:bottom w:val="nil"/>
              <w:right w:val="single" w:sz="8" w:space="0" w:color="auto"/>
            </w:tcBorders>
            <w:shd w:val="clear" w:color="000000" w:fill="FFFFFF"/>
            <w:vAlign w:val="center"/>
            <w:hideMark/>
          </w:tcPr>
          <w:p w14:paraId="6F303E75" w14:textId="77777777" w:rsidR="005E5F3E" w:rsidRPr="005E5F3E" w:rsidRDefault="005E5F3E" w:rsidP="005E5F3E">
            <w:pPr>
              <w:spacing w:line="240" w:lineRule="auto"/>
              <w:jc w:val="left"/>
              <w:rPr>
                <w:rFonts w:ascii="Calibri" w:hAnsi="Calibri" w:cs="Calibri"/>
                <w:color w:val="000000"/>
                <w:szCs w:val="22"/>
                <w:lang w:val="es-CR" w:eastAsia="es-CR"/>
              </w:rPr>
            </w:pPr>
            <w:r w:rsidRPr="005E5F3E">
              <w:rPr>
                <w:rFonts w:ascii="Calibri" w:hAnsi="Calibri" w:cs="Calibri"/>
                <w:color w:val="000000"/>
                <w:szCs w:val="22"/>
                <w:lang w:val="es-CR" w:eastAsia="es-CR"/>
              </w:rPr>
              <w:t>Transferencias corrientes del Sector Público</w:t>
            </w:r>
          </w:p>
        </w:tc>
        <w:tc>
          <w:tcPr>
            <w:tcW w:w="1880" w:type="dxa"/>
            <w:tcBorders>
              <w:top w:val="nil"/>
              <w:left w:val="nil"/>
              <w:bottom w:val="nil"/>
              <w:right w:val="single" w:sz="8" w:space="0" w:color="auto"/>
            </w:tcBorders>
            <w:shd w:val="clear" w:color="000000" w:fill="FFFFFF"/>
            <w:vAlign w:val="center"/>
            <w:hideMark/>
          </w:tcPr>
          <w:p w14:paraId="28D90AA9" w14:textId="77777777" w:rsidR="005E5F3E" w:rsidRPr="005E5F3E" w:rsidRDefault="005E5F3E" w:rsidP="005E5F3E">
            <w:pPr>
              <w:spacing w:line="240" w:lineRule="auto"/>
              <w:jc w:val="right"/>
              <w:rPr>
                <w:rFonts w:ascii="Calibri" w:hAnsi="Calibri" w:cs="Calibri"/>
                <w:color w:val="000000"/>
                <w:szCs w:val="22"/>
                <w:lang w:val="es-CR" w:eastAsia="es-CR"/>
              </w:rPr>
            </w:pPr>
            <w:r w:rsidRPr="005E5F3E">
              <w:rPr>
                <w:rFonts w:ascii="Calibri" w:hAnsi="Calibri" w:cs="Calibri"/>
                <w:color w:val="000000"/>
                <w:szCs w:val="22"/>
                <w:lang w:val="es-CR" w:eastAsia="es-CR"/>
              </w:rPr>
              <w:t>4 407 625 310</w:t>
            </w:r>
          </w:p>
        </w:tc>
      </w:tr>
      <w:tr w:rsidR="005E5F3E" w:rsidRPr="005E5F3E" w14:paraId="4A3038FE" w14:textId="77777777" w:rsidTr="005E5F3E">
        <w:trPr>
          <w:trHeight w:val="870"/>
        </w:trPr>
        <w:tc>
          <w:tcPr>
            <w:tcW w:w="23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75043C3" w14:textId="77777777" w:rsidR="005E5F3E" w:rsidRPr="005E5F3E" w:rsidRDefault="005E5F3E" w:rsidP="005E5F3E">
            <w:pPr>
              <w:spacing w:line="240" w:lineRule="auto"/>
              <w:jc w:val="center"/>
              <w:rPr>
                <w:rFonts w:ascii="Calibri" w:hAnsi="Calibri" w:cs="Calibri"/>
                <w:color w:val="000000"/>
                <w:szCs w:val="22"/>
                <w:lang w:val="es-CR" w:eastAsia="es-CR"/>
              </w:rPr>
            </w:pPr>
            <w:r w:rsidRPr="005E5F3E">
              <w:rPr>
                <w:rFonts w:ascii="Calibri" w:hAnsi="Calibri" w:cs="Calibri"/>
                <w:color w:val="000000"/>
                <w:szCs w:val="22"/>
                <w:lang w:val="es-CR" w:eastAsia="es-CR"/>
              </w:rPr>
              <w:t>1.4.1.6.00.00.0.0.000</w:t>
            </w:r>
          </w:p>
        </w:tc>
        <w:tc>
          <w:tcPr>
            <w:tcW w:w="4300" w:type="dxa"/>
            <w:tcBorders>
              <w:top w:val="nil"/>
              <w:left w:val="nil"/>
              <w:bottom w:val="nil"/>
              <w:right w:val="single" w:sz="8" w:space="0" w:color="auto"/>
            </w:tcBorders>
            <w:shd w:val="clear" w:color="000000" w:fill="FFFFFF"/>
            <w:vAlign w:val="center"/>
            <w:hideMark/>
          </w:tcPr>
          <w:p w14:paraId="0D446C14" w14:textId="77777777" w:rsidR="005E5F3E" w:rsidRPr="005E5F3E" w:rsidRDefault="005E5F3E" w:rsidP="005E5F3E">
            <w:pPr>
              <w:spacing w:line="240" w:lineRule="auto"/>
              <w:jc w:val="left"/>
              <w:rPr>
                <w:rFonts w:ascii="Calibri" w:hAnsi="Calibri" w:cs="Calibri"/>
                <w:color w:val="000000"/>
                <w:szCs w:val="22"/>
                <w:lang w:val="es-CR" w:eastAsia="es-CR"/>
              </w:rPr>
            </w:pPr>
            <w:r w:rsidRPr="005E5F3E">
              <w:rPr>
                <w:rFonts w:ascii="Calibri" w:hAnsi="Calibri" w:cs="Calibri"/>
                <w:color w:val="000000"/>
                <w:szCs w:val="22"/>
                <w:lang w:val="es-CR" w:eastAsia="es-CR"/>
              </w:rPr>
              <w:t>Aporte del Banco Central de Costa Rica, sobre el 100% del presupuesto, según artículo 174, Ley 7732</w:t>
            </w:r>
          </w:p>
        </w:tc>
        <w:tc>
          <w:tcPr>
            <w:tcW w:w="1880" w:type="dxa"/>
            <w:vMerge w:val="restart"/>
            <w:tcBorders>
              <w:top w:val="nil"/>
              <w:left w:val="single" w:sz="8" w:space="0" w:color="auto"/>
              <w:bottom w:val="nil"/>
              <w:right w:val="single" w:sz="8" w:space="0" w:color="auto"/>
            </w:tcBorders>
            <w:shd w:val="clear" w:color="000000" w:fill="FFFFFF"/>
            <w:vAlign w:val="center"/>
            <w:hideMark/>
          </w:tcPr>
          <w:p w14:paraId="14F305BF" w14:textId="77777777" w:rsidR="005E5F3E" w:rsidRPr="005E5F3E" w:rsidRDefault="005E5F3E" w:rsidP="005E5F3E">
            <w:pPr>
              <w:spacing w:line="240" w:lineRule="auto"/>
              <w:jc w:val="right"/>
              <w:rPr>
                <w:rFonts w:ascii="Calibri" w:hAnsi="Calibri" w:cs="Calibri"/>
                <w:color w:val="000000"/>
                <w:szCs w:val="22"/>
                <w:lang w:val="es-CR" w:eastAsia="es-CR"/>
              </w:rPr>
            </w:pPr>
            <w:r w:rsidRPr="005E5F3E">
              <w:rPr>
                <w:rFonts w:ascii="Calibri" w:hAnsi="Calibri" w:cs="Calibri"/>
                <w:color w:val="000000"/>
                <w:szCs w:val="22"/>
                <w:lang w:val="es-CR" w:eastAsia="es-CR"/>
              </w:rPr>
              <w:t>4 407 625 310</w:t>
            </w:r>
          </w:p>
        </w:tc>
      </w:tr>
      <w:tr w:rsidR="005E5F3E" w:rsidRPr="005E5F3E" w14:paraId="7F5CBF2D" w14:textId="77777777" w:rsidTr="005E5F3E">
        <w:trPr>
          <w:trHeight w:val="300"/>
        </w:trPr>
        <w:tc>
          <w:tcPr>
            <w:tcW w:w="2300" w:type="dxa"/>
            <w:vMerge/>
            <w:tcBorders>
              <w:top w:val="nil"/>
              <w:left w:val="single" w:sz="8" w:space="0" w:color="auto"/>
              <w:bottom w:val="single" w:sz="4" w:space="0" w:color="auto"/>
              <w:right w:val="single" w:sz="8" w:space="0" w:color="auto"/>
            </w:tcBorders>
            <w:vAlign w:val="center"/>
            <w:hideMark/>
          </w:tcPr>
          <w:p w14:paraId="3707427D" w14:textId="77777777" w:rsidR="005E5F3E" w:rsidRPr="005E5F3E" w:rsidRDefault="005E5F3E" w:rsidP="005E5F3E">
            <w:pPr>
              <w:spacing w:line="240" w:lineRule="auto"/>
              <w:jc w:val="left"/>
              <w:rPr>
                <w:rFonts w:ascii="Calibri" w:hAnsi="Calibri" w:cs="Calibri"/>
                <w:color w:val="000000"/>
                <w:szCs w:val="22"/>
                <w:lang w:val="es-CR" w:eastAsia="es-CR"/>
              </w:rPr>
            </w:pPr>
          </w:p>
        </w:tc>
        <w:tc>
          <w:tcPr>
            <w:tcW w:w="4300" w:type="dxa"/>
            <w:tcBorders>
              <w:top w:val="nil"/>
              <w:left w:val="nil"/>
              <w:bottom w:val="single" w:sz="4" w:space="0" w:color="auto"/>
              <w:right w:val="single" w:sz="8" w:space="0" w:color="auto"/>
            </w:tcBorders>
            <w:shd w:val="clear" w:color="000000" w:fill="FFFFFF"/>
            <w:vAlign w:val="center"/>
            <w:hideMark/>
          </w:tcPr>
          <w:p w14:paraId="2C8E8390" w14:textId="77777777" w:rsidR="005E5F3E" w:rsidRPr="005E5F3E" w:rsidRDefault="005E5F3E" w:rsidP="005E5F3E">
            <w:pPr>
              <w:spacing w:line="240" w:lineRule="auto"/>
              <w:jc w:val="left"/>
              <w:rPr>
                <w:rFonts w:ascii="Calibri" w:hAnsi="Calibri" w:cs="Calibri"/>
                <w:i/>
                <w:iCs/>
                <w:color w:val="000000"/>
                <w:szCs w:val="22"/>
                <w:lang w:val="es-CR" w:eastAsia="es-CR"/>
              </w:rPr>
            </w:pPr>
            <w:r w:rsidRPr="005E5F3E">
              <w:rPr>
                <w:rFonts w:ascii="Calibri" w:hAnsi="Calibri" w:cs="Calibri"/>
                <w:i/>
                <w:iCs/>
                <w:color w:val="000000"/>
                <w:szCs w:val="22"/>
                <w:lang w:val="es-CR" w:eastAsia="es-CR"/>
              </w:rPr>
              <w:t>Superintendencias de Pensiones (SUPEN)</w:t>
            </w:r>
          </w:p>
        </w:tc>
        <w:tc>
          <w:tcPr>
            <w:tcW w:w="1880" w:type="dxa"/>
            <w:vMerge/>
            <w:tcBorders>
              <w:top w:val="nil"/>
              <w:left w:val="single" w:sz="8" w:space="0" w:color="auto"/>
              <w:bottom w:val="single" w:sz="4" w:space="0" w:color="auto"/>
              <w:right w:val="single" w:sz="8" w:space="0" w:color="auto"/>
            </w:tcBorders>
            <w:vAlign w:val="center"/>
            <w:hideMark/>
          </w:tcPr>
          <w:p w14:paraId="7259F018" w14:textId="77777777" w:rsidR="005E5F3E" w:rsidRPr="005E5F3E" w:rsidRDefault="005E5F3E" w:rsidP="005E5F3E">
            <w:pPr>
              <w:spacing w:line="240" w:lineRule="auto"/>
              <w:jc w:val="left"/>
              <w:rPr>
                <w:rFonts w:ascii="Calibri" w:hAnsi="Calibri" w:cs="Calibri"/>
                <w:color w:val="000000"/>
                <w:szCs w:val="22"/>
                <w:lang w:val="es-CR" w:eastAsia="es-CR"/>
              </w:rPr>
            </w:pPr>
          </w:p>
        </w:tc>
      </w:tr>
      <w:tr w:rsidR="005E5F3E" w:rsidRPr="005E5F3E" w14:paraId="3750A77F" w14:textId="77777777" w:rsidTr="005E5F3E">
        <w:trPr>
          <w:trHeight w:val="320"/>
        </w:trPr>
        <w:tc>
          <w:tcPr>
            <w:tcW w:w="2300"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241F284C" w14:textId="77777777" w:rsidR="005E5F3E" w:rsidRPr="005E5F3E" w:rsidRDefault="005E5F3E" w:rsidP="005E5F3E">
            <w:pPr>
              <w:spacing w:line="240" w:lineRule="auto"/>
              <w:jc w:val="center"/>
              <w:rPr>
                <w:rFonts w:ascii="Calibri" w:hAnsi="Calibri" w:cs="Calibri"/>
                <w:b/>
                <w:bCs/>
                <w:color w:val="000000"/>
                <w:sz w:val="24"/>
                <w:szCs w:val="24"/>
                <w:lang w:val="es-CR" w:eastAsia="es-CR"/>
              </w:rPr>
            </w:pPr>
            <w:r w:rsidRPr="005E5F3E">
              <w:rPr>
                <w:rFonts w:ascii="Calibri" w:hAnsi="Calibri" w:cs="Calibri"/>
                <w:b/>
                <w:bCs/>
                <w:color w:val="000000"/>
                <w:sz w:val="24"/>
                <w:szCs w:val="24"/>
                <w:lang w:val="es-CR" w:eastAsia="es-CR"/>
              </w:rPr>
              <w:t> </w:t>
            </w:r>
          </w:p>
        </w:tc>
        <w:tc>
          <w:tcPr>
            <w:tcW w:w="4300" w:type="dxa"/>
            <w:tcBorders>
              <w:top w:val="single" w:sz="4" w:space="0" w:color="auto"/>
              <w:left w:val="nil"/>
              <w:bottom w:val="single" w:sz="8" w:space="0" w:color="auto"/>
              <w:right w:val="single" w:sz="8" w:space="0" w:color="auto"/>
            </w:tcBorders>
            <w:shd w:val="clear" w:color="000000" w:fill="D9D9D9"/>
            <w:noWrap/>
            <w:vAlign w:val="center"/>
            <w:hideMark/>
          </w:tcPr>
          <w:p w14:paraId="5A59A454" w14:textId="77777777" w:rsidR="005E5F3E" w:rsidRPr="005E5F3E" w:rsidRDefault="005E5F3E" w:rsidP="005E5F3E">
            <w:pPr>
              <w:spacing w:line="240" w:lineRule="auto"/>
              <w:jc w:val="center"/>
              <w:rPr>
                <w:rFonts w:ascii="Calibri" w:hAnsi="Calibri" w:cs="Calibri"/>
                <w:b/>
                <w:bCs/>
                <w:color w:val="000000"/>
                <w:sz w:val="24"/>
                <w:szCs w:val="24"/>
                <w:lang w:val="es-CR" w:eastAsia="es-CR"/>
              </w:rPr>
            </w:pPr>
            <w:proofErr w:type="gramStart"/>
            <w:r w:rsidRPr="005E5F3E">
              <w:rPr>
                <w:rFonts w:ascii="Calibri" w:hAnsi="Calibri" w:cs="Calibri"/>
                <w:b/>
                <w:bCs/>
                <w:color w:val="000000"/>
                <w:sz w:val="24"/>
                <w:szCs w:val="24"/>
                <w:lang w:val="es-CR" w:eastAsia="es-CR"/>
              </w:rPr>
              <w:t>TOTAL</w:t>
            </w:r>
            <w:proofErr w:type="gramEnd"/>
            <w:r w:rsidRPr="005E5F3E">
              <w:rPr>
                <w:rFonts w:ascii="Calibri" w:hAnsi="Calibri" w:cs="Calibri"/>
                <w:b/>
                <w:bCs/>
                <w:color w:val="000000"/>
                <w:sz w:val="24"/>
                <w:szCs w:val="24"/>
                <w:lang w:val="es-CR" w:eastAsia="es-CR"/>
              </w:rPr>
              <w:t xml:space="preserve"> INGRESOS</w:t>
            </w:r>
          </w:p>
        </w:tc>
        <w:tc>
          <w:tcPr>
            <w:tcW w:w="1880" w:type="dxa"/>
            <w:tcBorders>
              <w:top w:val="single" w:sz="4" w:space="0" w:color="auto"/>
              <w:left w:val="nil"/>
              <w:bottom w:val="single" w:sz="8" w:space="0" w:color="auto"/>
              <w:right w:val="single" w:sz="8" w:space="0" w:color="auto"/>
            </w:tcBorders>
            <w:shd w:val="clear" w:color="000000" w:fill="D9D9D9"/>
            <w:vAlign w:val="center"/>
            <w:hideMark/>
          </w:tcPr>
          <w:p w14:paraId="3C02179D" w14:textId="77777777" w:rsidR="005E5F3E" w:rsidRPr="005E5F3E" w:rsidRDefault="005E5F3E" w:rsidP="005E5F3E">
            <w:pPr>
              <w:spacing w:line="240" w:lineRule="auto"/>
              <w:jc w:val="right"/>
              <w:rPr>
                <w:rFonts w:ascii="Calibri" w:hAnsi="Calibri" w:cs="Calibri"/>
                <w:b/>
                <w:bCs/>
                <w:color w:val="000000"/>
                <w:sz w:val="24"/>
                <w:szCs w:val="24"/>
                <w:lang w:val="es-CR" w:eastAsia="es-CR"/>
              </w:rPr>
            </w:pPr>
            <w:r w:rsidRPr="005E5F3E">
              <w:rPr>
                <w:rFonts w:ascii="Calibri" w:hAnsi="Calibri" w:cs="Calibri"/>
                <w:b/>
                <w:bCs/>
                <w:color w:val="000000"/>
                <w:sz w:val="24"/>
                <w:szCs w:val="24"/>
                <w:lang w:val="es-CR" w:eastAsia="es-CR"/>
              </w:rPr>
              <w:t>4 407 625 310</w:t>
            </w:r>
          </w:p>
        </w:tc>
      </w:tr>
    </w:tbl>
    <w:p w14:paraId="1401C993" w14:textId="239ED888" w:rsidR="00BF186F" w:rsidRDefault="00BF186F" w:rsidP="00652016">
      <w:pPr>
        <w:spacing w:line="240" w:lineRule="auto"/>
        <w:rPr>
          <w:rFonts w:asciiTheme="minorHAnsi" w:hAnsiTheme="minorHAnsi" w:cstheme="minorHAnsi"/>
          <w:sz w:val="20"/>
          <w:lang w:val="es-CR"/>
        </w:rPr>
      </w:pPr>
    </w:p>
    <w:p w14:paraId="7DB4D5B4" w14:textId="3E0FF8DF" w:rsidR="005E5F3E" w:rsidRDefault="005E5F3E">
      <w:pPr>
        <w:spacing w:line="240" w:lineRule="auto"/>
        <w:jc w:val="left"/>
        <w:rPr>
          <w:rFonts w:asciiTheme="minorHAnsi" w:hAnsiTheme="minorHAnsi" w:cstheme="minorHAnsi"/>
          <w:sz w:val="20"/>
          <w:lang w:val="es-CR"/>
        </w:rPr>
      </w:pPr>
      <w:r>
        <w:rPr>
          <w:rFonts w:asciiTheme="minorHAnsi" w:hAnsiTheme="minorHAnsi" w:cstheme="minorHAnsi"/>
          <w:sz w:val="20"/>
          <w:lang w:val="es-CR"/>
        </w:rPr>
        <w:br w:type="page"/>
      </w:r>
    </w:p>
    <w:p w14:paraId="229DA7C5" w14:textId="77777777" w:rsidR="00843B0B" w:rsidRPr="00D07970" w:rsidRDefault="00843B0B" w:rsidP="00225437">
      <w:pPr>
        <w:rPr>
          <w:rFonts w:asciiTheme="minorHAnsi" w:hAnsiTheme="minorHAnsi" w:cstheme="minorHAnsi"/>
          <w:lang w:val="es-CR"/>
        </w:rPr>
      </w:pPr>
    </w:p>
    <w:p w14:paraId="0B6007DC" w14:textId="507EEC30" w:rsidR="008E5C2B" w:rsidRPr="00D07970" w:rsidRDefault="004F00DD" w:rsidP="008E02F2">
      <w:pPr>
        <w:pStyle w:val="Ttulo3"/>
        <w:rPr>
          <w:b/>
        </w:rPr>
      </w:pPr>
      <w:bookmarkStart w:id="35" w:name="_Toc94183030"/>
      <w:r w:rsidRPr="00D07970">
        <w:t>C</w:t>
      </w:r>
      <w:r w:rsidR="008E5C2B" w:rsidRPr="00D07970">
        <w:t>uenta</w:t>
      </w:r>
      <w:r w:rsidRPr="00D07970">
        <w:t>s</w:t>
      </w:r>
      <w:r w:rsidR="008E5C2B" w:rsidRPr="00D07970">
        <w:t xml:space="preserve"> presupuestaria</w:t>
      </w:r>
      <w:r w:rsidRPr="00D07970">
        <w:t>s</w:t>
      </w:r>
      <w:r w:rsidR="008E5C2B" w:rsidRPr="00D07970">
        <w:t xml:space="preserve"> de egresos</w:t>
      </w:r>
      <w:bookmarkEnd w:id="35"/>
    </w:p>
    <w:p w14:paraId="5592A3D8" w14:textId="7E059897" w:rsidR="008E5C2B" w:rsidRPr="00D07970" w:rsidRDefault="008E5C2B" w:rsidP="00225437">
      <w:pPr>
        <w:rPr>
          <w:rFonts w:asciiTheme="minorHAnsi" w:hAnsiTheme="minorHAnsi" w:cstheme="minorHAnsi"/>
          <w:lang w:val="es-CR"/>
        </w:rPr>
      </w:pPr>
    </w:p>
    <w:p w14:paraId="26029CE7" w14:textId="03BB3D4E" w:rsidR="004A3A2E" w:rsidRPr="00D07970" w:rsidRDefault="004A3A2E" w:rsidP="004A3A2E">
      <w:pPr>
        <w:ind w:right="51"/>
        <w:rPr>
          <w:rFonts w:asciiTheme="minorHAnsi" w:hAnsiTheme="minorHAnsi" w:cstheme="minorHAnsi"/>
          <w:sz w:val="24"/>
          <w:szCs w:val="24"/>
          <w:lang w:val="es-CR"/>
        </w:rPr>
      </w:pPr>
      <w:bookmarkStart w:id="36" w:name="_Toc70497974"/>
      <w:bookmarkStart w:id="37" w:name="_Toc131912454"/>
      <w:bookmarkStart w:id="38" w:name="_Toc163371959"/>
      <w:bookmarkStart w:id="39" w:name="_Toc195505392"/>
      <w:bookmarkStart w:id="40" w:name="_Toc226364825"/>
      <w:bookmarkStart w:id="41" w:name="_Toc273448679"/>
      <w:r w:rsidRPr="00D07970">
        <w:rPr>
          <w:rFonts w:asciiTheme="minorHAnsi" w:hAnsiTheme="minorHAnsi" w:cstheme="minorHAnsi"/>
          <w:sz w:val="24"/>
          <w:szCs w:val="24"/>
          <w:lang w:val="es-CR"/>
        </w:rPr>
        <w:t xml:space="preserve">El siguiente cuadro resumen la ejecución </w:t>
      </w:r>
      <w:r w:rsidR="005F59D6">
        <w:rPr>
          <w:rFonts w:asciiTheme="minorHAnsi" w:hAnsiTheme="minorHAnsi" w:cstheme="minorHAnsi"/>
          <w:sz w:val="24"/>
          <w:szCs w:val="24"/>
          <w:lang w:val="es-CR"/>
        </w:rPr>
        <w:t xml:space="preserve">presupuestal </w:t>
      </w:r>
      <w:r w:rsidRPr="00D07970">
        <w:rPr>
          <w:rFonts w:asciiTheme="minorHAnsi" w:hAnsiTheme="minorHAnsi" w:cstheme="minorHAnsi"/>
          <w:sz w:val="24"/>
          <w:szCs w:val="24"/>
          <w:lang w:val="es-CR"/>
        </w:rPr>
        <w:t xml:space="preserve">alcanzada a nivel de cuenta mayor. </w:t>
      </w:r>
    </w:p>
    <w:p w14:paraId="4D4A1692" w14:textId="77777777" w:rsidR="004A3A2E" w:rsidRPr="00D07970" w:rsidRDefault="004A3A2E" w:rsidP="004A3A2E">
      <w:pPr>
        <w:ind w:right="51"/>
        <w:rPr>
          <w:rFonts w:asciiTheme="minorHAnsi" w:hAnsiTheme="minorHAnsi" w:cstheme="minorHAnsi"/>
          <w:sz w:val="24"/>
          <w:szCs w:val="24"/>
          <w:lang w:val="es-CR"/>
        </w:rPr>
      </w:pPr>
    </w:p>
    <w:p w14:paraId="2E50B1E9" w14:textId="77777777" w:rsidR="004A3A2E" w:rsidRPr="00D07970" w:rsidRDefault="004A3A2E" w:rsidP="008E02F2">
      <w:pPr>
        <w:pStyle w:val="Ttulo3"/>
      </w:pPr>
      <w:bookmarkStart w:id="42" w:name="_Toc94183031"/>
      <w:r w:rsidRPr="00D07970">
        <w:rPr>
          <w:b/>
          <w:bCs/>
        </w:rPr>
        <w:t>Cuadro 4</w:t>
      </w:r>
      <w:r w:rsidRPr="00D07970">
        <w:t>: Presupuesto de egresos ejecutado</w:t>
      </w:r>
      <w:bookmarkEnd w:id="42"/>
      <w:r w:rsidRPr="00D07970">
        <w:t xml:space="preserve"> </w:t>
      </w:r>
    </w:p>
    <w:tbl>
      <w:tblPr>
        <w:tblW w:w="8789" w:type="dxa"/>
        <w:tblCellMar>
          <w:left w:w="70" w:type="dxa"/>
          <w:right w:w="70" w:type="dxa"/>
        </w:tblCellMar>
        <w:tblLook w:val="04A0" w:firstRow="1" w:lastRow="0" w:firstColumn="1" w:lastColumn="0" w:noHBand="0" w:noVBand="1"/>
      </w:tblPr>
      <w:tblGrid>
        <w:gridCol w:w="916"/>
        <w:gridCol w:w="2770"/>
        <w:gridCol w:w="1843"/>
        <w:gridCol w:w="1842"/>
        <w:gridCol w:w="1418"/>
      </w:tblGrid>
      <w:tr w:rsidR="004A3A2E" w:rsidRPr="00D07970" w14:paraId="6A4717DA" w14:textId="77777777" w:rsidTr="00FD3BA0">
        <w:trPr>
          <w:trHeight w:val="615"/>
        </w:trPr>
        <w:tc>
          <w:tcPr>
            <w:tcW w:w="916" w:type="dxa"/>
            <w:tcBorders>
              <w:top w:val="single" w:sz="8" w:space="0" w:color="2F75B5"/>
              <w:left w:val="nil"/>
              <w:bottom w:val="single" w:sz="8" w:space="0" w:color="2F75B5"/>
              <w:right w:val="nil"/>
            </w:tcBorders>
            <w:shd w:val="clear" w:color="000000" w:fill="D6DCE4"/>
            <w:noWrap/>
            <w:vAlign w:val="center"/>
            <w:hideMark/>
          </w:tcPr>
          <w:p w14:paraId="68C60D6F" w14:textId="77777777" w:rsidR="004A3A2E" w:rsidRPr="00D07970" w:rsidRDefault="004A3A2E" w:rsidP="00FD3BA0">
            <w:pPr>
              <w:spacing w:line="240" w:lineRule="auto"/>
              <w:jc w:val="left"/>
              <w:rPr>
                <w:rFonts w:cs="Arial"/>
                <w:b/>
                <w:bCs/>
                <w:color w:val="000000"/>
                <w:sz w:val="20"/>
                <w:lang w:val="es-CR" w:eastAsia="es-CR"/>
              </w:rPr>
            </w:pPr>
            <w:r w:rsidRPr="00D07970">
              <w:rPr>
                <w:rFonts w:cs="Arial"/>
                <w:b/>
                <w:bCs/>
                <w:color w:val="000000"/>
                <w:sz w:val="20"/>
                <w:lang w:val="es-CR" w:eastAsia="es-CR"/>
              </w:rPr>
              <w:t>Código</w:t>
            </w:r>
          </w:p>
        </w:tc>
        <w:tc>
          <w:tcPr>
            <w:tcW w:w="2770" w:type="dxa"/>
            <w:tcBorders>
              <w:top w:val="single" w:sz="8" w:space="0" w:color="2F75B5"/>
              <w:left w:val="nil"/>
              <w:bottom w:val="single" w:sz="8" w:space="0" w:color="2F75B5"/>
              <w:right w:val="nil"/>
            </w:tcBorders>
            <w:shd w:val="clear" w:color="000000" w:fill="D6DCE4"/>
            <w:noWrap/>
            <w:vAlign w:val="center"/>
            <w:hideMark/>
          </w:tcPr>
          <w:p w14:paraId="10FE5AB5" w14:textId="77777777" w:rsidR="004A3A2E" w:rsidRPr="00D07970" w:rsidRDefault="004A3A2E" w:rsidP="00FD3BA0">
            <w:pPr>
              <w:spacing w:line="240" w:lineRule="auto"/>
              <w:jc w:val="center"/>
              <w:rPr>
                <w:rFonts w:cs="Arial"/>
                <w:b/>
                <w:bCs/>
                <w:color w:val="000000"/>
                <w:sz w:val="20"/>
                <w:lang w:val="es-CR" w:eastAsia="es-CR"/>
              </w:rPr>
            </w:pPr>
            <w:r w:rsidRPr="00D07970">
              <w:rPr>
                <w:rFonts w:cs="Arial"/>
                <w:b/>
                <w:bCs/>
                <w:color w:val="000000"/>
                <w:sz w:val="20"/>
                <w:lang w:val="es-CR" w:eastAsia="es-CR"/>
              </w:rPr>
              <w:t>Partida Presupuestaria</w:t>
            </w:r>
          </w:p>
        </w:tc>
        <w:tc>
          <w:tcPr>
            <w:tcW w:w="1843" w:type="dxa"/>
            <w:tcBorders>
              <w:top w:val="single" w:sz="8" w:space="0" w:color="2F75B5"/>
              <w:left w:val="nil"/>
              <w:bottom w:val="single" w:sz="8" w:space="0" w:color="2F75B5"/>
              <w:right w:val="nil"/>
            </w:tcBorders>
            <w:shd w:val="clear" w:color="000000" w:fill="D6DCE4"/>
            <w:noWrap/>
            <w:vAlign w:val="center"/>
            <w:hideMark/>
          </w:tcPr>
          <w:p w14:paraId="08EA7D24" w14:textId="77777777" w:rsidR="004A3A2E" w:rsidRPr="00D07970" w:rsidRDefault="004A3A2E" w:rsidP="00FD3BA0">
            <w:pPr>
              <w:spacing w:line="240" w:lineRule="auto"/>
              <w:jc w:val="center"/>
              <w:rPr>
                <w:rFonts w:cs="Arial"/>
                <w:b/>
                <w:bCs/>
                <w:color w:val="000000"/>
                <w:sz w:val="20"/>
                <w:lang w:val="es-CR" w:eastAsia="es-CR"/>
              </w:rPr>
            </w:pPr>
            <w:r w:rsidRPr="00D07970">
              <w:rPr>
                <w:rFonts w:cs="Arial"/>
                <w:b/>
                <w:bCs/>
                <w:color w:val="000000"/>
                <w:sz w:val="20"/>
                <w:lang w:val="es-CR" w:eastAsia="es-CR"/>
              </w:rPr>
              <w:t>Presupuesto</w:t>
            </w:r>
          </w:p>
        </w:tc>
        <w:tc>
          <w:tcPr>
            <w:tcW w:w="1842" w:type="dxa"/>
            <w:tcBorders>
              <w:top w:val="single" w:sz="8" w:space="0" w:color="2F75B5"/>
              <w:left w:val="nil"/>
              <w:bottom w:val="single" w:sz="8" w:space="0" w:color="2F75B5"/>
              <w:right w:val="nil"/>
            </w:tcBorders>
            <w:shd w:val="clear" w:color="000000" w:fill="D6DCE4"/>
            <w:noWrap/>
            <w:vAlign w:val="center"/>
            <w:hideMark/>
          </w:tcPr>
          <w:p w14:paraId="26CF8813" w14:textId="77777777" w:rsidR="004A3A2E" w:rsidRPr="00D07970" w:rsidRDefault="004A3A2E" w:rsidP="00FD3BA0">
            <w:pPr>
              <w:spacing w:line="240" w:lineRule="auto"/>
              <w:jc w:val="center"/>
              <w:rPr>
                <w:rFonts w:cs="Arial"/>
                <w:b/>
                <w:bCs/>
                <w:color w:val="000000"/>
                <w:sz w:val="20"/>
                <w:lang w:val="es-CR" w:eastAsia="es-CR"/>
              </w:rPr>
            </w:pPr>
            <w:r w:rsidRPr="00D07970">
              <w:rPr>
                <w:rFonts w:cs="Arial"/>
                <w:b/>
                <w:bCs/>
                <w:color w:val="000000"/>
                <w:sz w:val="20"/>
                <w:lang w:val="es-CR" w:eastAsia="es-CR"/>
              </w:rPr>
              <w:t>Gasto</w:t>
            </w:r>
          </w:p>
        </w:tc>
        <w:tc>
          <w:tcPr>
            <w:tcW w:w="1418" w:type="dxa"/>
            <w:tcBorders>
              <w:top w:val="single" w:sz="8" w:space="0" w:color="2F75B5"/>
              <w:left w:val="nil"/>
              <w:bottom w:val="single" w:sz="8" w:space="0" w:color="2F75B5"/>
              <w:right w:val="nil"/>
            </w:tcBorders>
            <w:shd w:val="clear" w:color="000000" w:fill="D6DCE4"/>
            <w:noWrap/>
            <w:vAlign w:val="center"/>
            <w:hideMark/>
          </w:tcPr>
          <w:p w14:paraId="02A40B03" w14:textId="77777777" w:rsidR="004A3A2E" w:rsidRPr="00D07970" w:rsidRDefault="004A3A2E" w:rsidP="00FD3BA0">
            <w:pPr>
              <w:spacing w:line="240" w:lineRule="auto"/>
              <w:jc w:val="center"/>
              <w:rPr>
                <w:rFonts w:cs="Arial"/>
                <w:b/>
                <w:bCs/>
                <w:color w:val="000000"/>
                <w:sz w:val="20"/>
                <w:lang w:val="es-CR" w:eastAsia="es-CR"/>
              </w:rPr>
            </w:pPr>
            <w:r w:rsidRPr="00D07970">
              <w:rPr>
                <w:rFonts w:cs="Arial"/>
                <w:b/>
                <w:bCs/>
                <w:color w:val="000000"/>
                <w:sz w:val="20"/>
                <w:lang w:val="es-CR" w:eastAsia="es-CR"/>
              </w:rPr>
              <w:t>Porcentaje</w:t>
            </w:r>
          </w:p>
        </w:tc>
      </w:tr>
      <w:tr w:rsidR="00A6498D" w:rsidRPr="00D07970" w14:paraId="62AD6D6C" w14:textId="77777777" w:rsidTr="00FD3BA0">
        <w:trPr>
          <w:trHeight w:val="450"/>
        </w:trPr>
        <w:tc>
          <w:tcPr>
            <w:tcW w:w="916" w:type="dxa"/>
            <w:tcBorders>
              <w:top w:val="single" w:sz="8" w:space="0" w:color="2F75B5"/>
              <w:left w:val="nil"/>
              <w:bottom w:val="single" w:sz="4" w:space="0" w:color="auto"/>
              <w:right w:val="single" w:sz="4" w:space="0" w:color="auto"/>
            </w:tcBorders>
            <w:shd w:val="clear" w:color="auto" w:fill="auto"/>
            <w:noWrap/>
            <w:vAlign w:val="center"/>
            <w:hideMark/>
          </w:tcPr>
          <w:p w14:paraId="446AF504" w14:textId="77777777" w:rsidR="00A6498D" w:rsidRPr="00D07970" w:rsidRDefault="00A6498D" w:rsidP="00A6498D">
            <w:pPr>
              <w:spacing w:line="240" w:lineRule="auto"/>
              <w:jc w:val="center"/>
              <w:rPr>
                <w:rFonts w:cs="Arial"/>
                <w:sz w:val="20"/>
                <w:lang w:val="es-CR" w:eastAsia="es-CR"/>
              </w:rPr>
            </w:pPr>
            <w:r w:rsidRPr="00D07970">
              <w:rPr>
                <w:rFonts w:cs="Arial"/>
                <w:sz w:val="20"/>
                <w:lang w:val="es-CR" w:eastAsia="es-CR"/>
              </w:rPr>
              <w:t>0</w:t>
            </w:r>
          </w:p>
        </w:tc>
        <w:tc>
          <w:tcPr>
            <w:tcW w:w="2770"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56467DBB" w14:textId="77777777" w:rsidR="00A6498D" w:rsidRPr="00D07970" w:rsidRDefault="00A6498D" w:rsidP="00A6498D">
            <w:pPr>
              <w:spacing w:line="240" w:lineRule="auto"/>
              <w:jc w:val="left"/>
              <w:rPr>
                <w:rFonts w:cs="Arial"/>
                <w:sz w:val="20"/>
                <w:lang w:val="es-CR" w:eastAsia="es-CR"/>
              </w:rPr>
            </w:pPr>
            <w:r w:rsidRPr="00D07970">
              <w:rPr>
                <w:rFonts w:cs="Arial"/>
                <w:sz w:val="20"/>
                <w:lang w:val="es-CR" w:eastAsia="es-CR"/>
              </w:rPr>
              <w:t>Remuneraciones</w:t>
            </w:r>
          </w:p>
        </w:tc>
        <w:tc>
          <w:tcPr>
            <w:tcW w:w="1843"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6952629F" w14:textId="54A8D37C" w:rsidR="00A6498D" w:rsidRPr="00D07970" w:rsidRDefault="00A6498D" w:rsidP="00A6498D">
            <w:pPr>
              <w:spacing w:line="240" w:lineRule="auto"/>
              <w:jc w:val="right"/>
              <w:rPr>
                <w:rFonts w:cs="Arial"/>
                <w:sz w:val="20"/>
                <w:lang w:val="es-CR" w:eastAsia="es-CR"/>
              </w:rPr>
            </w:pPr>
            <w:r>
              <w:rPr>
                <w:rFonts w:cs="Arial"/>
                <w:sz w:val="20"/>
              </w:rPr>
              <w:t>3 140 644 421</w:t>
            </w:r>
          </w:p>
        </w:tc>
        <w:tc>
          <w:tcPr>
            <w:tcW w:w="1842"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189E58FD" w14:textId="31401287" w:rsidR="00A6498D" w:rsidRPr="00D07970" w:rsidRDefault="00A6498D" w:rsidP="00A6498D">
            <w:pPr>
              <w:spacing w:line="240" w:lineRule="auto"/>
              <w:jc w:val="right"/>
              <w:rPr>
                <w:rFonts w:cs="Arial"/>
                <w:sz w:val="20"/>
                <w:lang w:val="es-CR" w:eastAsia="es-CR"/>
              </w:rPr>
            </w:pPr>
            <w:r>
              <w:rPr>
                <w:rFonts w:cs="Arial"/>
                <w:sz w:val="20"/>
              </w:rPr>
              <w:t>2 554 935 529</w:t>
            </w:r>
          </w:p>
        </w:tc>
        <w:tc>
          <w:tcPr>
            <w:tcW w:w="1418" w:type="dxa"/>
            <w:tcBorders>
              <w:top w:val="single" w:sz="8" w:space="0" w:color="2F75B5"/>
              <w:left w:val="single" w:sz="4" w:space="0" w:color="auto"/>
              <w:bottom w:val="single" w:sz="4" w:space="0" w:color="auto"/>
              <w:right w:val="nil"/>
            </w:tcBorders>
            <w:shd w:val="clear" w:color="auto" w:fill="auto"/>
            <w:noWrap/>
            <w:vAlign w:val="center"/>
            <w:hideMark/>
          </w:tcPr>
          <w:p w14:paraId="0DC8929E" w14:textId="06BE2023" w:rsidR="00A6498D" w:rsidRPr="00D07970" w:rsidRDefault="00A6498D" w:rsidP="00A6498D">
            <w:pPr>
              <w:spacing w:line="240" w:lineRule="auto"/>
              <w:jc w:val="center"/>
              <w:rPr>
                <w:rFonts w:cs="Arial"/>
                <w:sz w:val="20"/>
                <w:lang w:val="es-CR" w:eastAsia="es-CR"/>
              </w:rPr>
            </w:pPr>
            <w:r>
              <w:rPr>
                <w:rFonts w:cs="Arial"/>
                <w:sz w:val="20"/>
              </w:rPr>
              <w:t>81%</w:t>
            </w:r>
          </w:p>
        </w:tc>
      </w:tr>
      <w:tr w:rsidR="00A6498D" w:rsidRPr="00D07970" w14:paraId="14B9FD60" w14:textId="77777777" w:rsidTr="00FD3BA0">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24BA0A7" w14:textId="77777777" w:rsidR="00A6498D" w:rsidRPr="00D07970" w:rsidRDefault="00A6498D" w:rsidP="00A6498D">
            <w:pPr>
              <w:spacing w:line="240" w:lineRule="auto"/>
              <w:jc w:val="center"/>
              <w:rPr>
                <w:rFonts w:cs="Arial"/>
                <w:sz w:val="20"/>
                <w:lang w:val="es-CR" w:eastAsia="es-CR"/>
              </w:rPr>
            </w:pPr>
            <w:r w:rsidRPr="00D07970">
              <w:rPr>
                <w:rFonts w:cs="Arial"/>
                <w:sz w:val="20"/>
                <w:lang w:val="es-CR" w:eastAsia="es-CR"/>
              </w:rPr>
              <w:t>1</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EE709" w14:textId="77777777" w:rsidR="00A6498D" w:rsidRPr="00D07970" w:rsidRDefault="00A6498D" w:rsidP="00A6498D">
            <w:pPr>
              <w:spacing w:line="240" w:lineRule="auto"/>
              <w:jc w:val="left"/>
              <w:rPr>
                <w:rFonts w:cs="Arial"/>
                <w:sz w:val="20"/>
                <w:lang w:val="es-CR" w:eastAsia="es-CR"/>
              </w:rPr>
            </w:pPr>
            <w:r w:rsidRPr="00D07970">
              <w:rPr>
                <w:rFonts w:cs="Arial"/>
                <w:sz w:val="20"/>
                <w:lang w:val="es-CR" w:eastAsia="es-CR"/>
              </w:rPr>
              <w:t>Servicios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1F8DF" w14:textId="2AAF86B7" w:rsidR="00A6498D" w:rsidRPr="00D07970" w:rsidRDefault="00A6498D" w:rsidP="00A6498D">
            <w:pPr>
              <w:spacing w:line="240" w:lineRule="auto"/>
              <w:jc w:val="right"/>
              <w:rPr>
                <w:rFonts w:cs="Arial"/>
                <w:sz w:val="20"/>
                <w:lang w:val="es-CR" w:eastAsia="es-CR"/>
              </w:rPr>
            </w:pPr>
            <w:r>
              <w:rPr>
                <w:rFonts w:cs="Arial"/>
                <w:sz w:val="20"/>
              </w:rPr>
              <w:t>2 074 671 008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4A1F" w14:textId="447E4463" w:rsidR="00A6498D" w:rsidRPr="00D07970" w:rsidRDefault="00A6498D" w:rsidP="00A6498D">
            <w:pPr>
              <w:spacing w:line="240" w:lineRule="auto"/>
              <w:jc w:val="right"/>
              <w:rPr>
                <w:rFonts w:cs="Arial"/>
                <w:sz w:val="20"/>
                <w:lang w:val="es-CR" w:eastAsia="es-CR"/>
              </w:rPr>
            </w:pPr>
            <w:r>
              <w:rPr>
                <w:rFonts w:cs="Arial"/>
                <w:sz w:val="20"/>
              </w:rPr>
              <w:t>1 803 491 587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34394933" w14:textId="227C2E46" w:rsidR="00A6498D" w:rsidRPr="00D07970" w:rsidRDefault="00A6498D" w:rsidP="00A6498D">
            <w:pPr>
              <w:spacing w:line="240" w:lineRule="auto"/>
              <w:jc w:val="center"/>
              <w:rPr>
                <w:rFonts w:cs="Arial"/>
                <w:sz w:val="20"/>
                <w:lang w:val="es-CR" w:eastAsia="es-CR"/>
              </w:rPr>
            </w:pPr>
            <w:r>
              <w:rPr>
                <w:rFonts w:cs="Arial"/>
                <w:sz w:val="20"/>
              </w:rPr>
              <w:t>87%</w:t>
            </w:r>
          </w:p>
        </w:tc>
      </w:tr>
      <w:tr w:rsidR="00A6498D" w:rsidRPr="00D07970" w14:paraId="0613B013" w14:textId="77777777" w:rsidTr="00FD3BA0">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E3A092B" w14:textId="77777777" w:rsidR="00A6498D" w:rsidRPr="00D07970" w:rsidRDefault="00A6498D" w:rsidP="00A6498D">
            <w:pPr>
              <w:spacing w:line="240" w:lineRule="auto"/>
              <w:jc w:val="center"/>
              <w:rPr>
                <w:rFonts w:cs="Arial"/>
                <w:sz w:val="20"/>
                <w:lang w:val="es-CR" w:eastAsia="es-CR"/>
              </w:rPr>
            </w:pPr>
            <w:r w:rsidRPr="00D07970">
              <w:rPr>
                <w:rFonts w:cs="Arial"/>
                <w:sz w:val="20"/>
                <w:lang w:val="es-CR" w:eastAsia="es-CR"/>
              </w:rPr>
              <w:t>2</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E806D" w14:textId="77777777" w:rsidR="00A6498D" w:rsidRPr="00D07970" w:rsidRDefault="00A6498D" w:rsidP="00A6498D">
            <w:pPr>
              <w:spacing w:line="240" w:lineRule="auto"/>
              <w:jc w:val="left"/>
              <w:rPr>
                <w:rFonts w:cs="Arial"/>
                <w:sz w:val="20"/>
                <w:lang w:val="es-CR" w:eastAsia="es-CR"/>
              </w:rPr>
            </w:pPr>
            <w:r w:rsidRPr="00D07970">
              <w:rPr>
                <w:rFonts w:cs="Arial"/>
                <w:sz w:val="20"/>
                <w:lang w:val="es-CR" w:eastAsia="es-CR"/>
              </w:rPr>
              <w:t>Material y Suministros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AC37" w14:textId="031CAAA9" w:rsidR="00A6498D" w:rsidRPr="00D07970" w:rsidRDefault="00A6498D" w:rsidP="00A6498D">
            <w:pPr>
              <w:spacing w:line="240" w:lineRule="auto"/>
              <w:jc w:val="right"/>
              <w:rPr>
                <w:rFonts w:cs="Arial"/>
                <w:sz w:val="20"/>
                <w:lang w:val="es-CR" w:eastAsia="es-CR"/>
              </w:rPr>
            </w:pPr>
            <w:r>
              <w:rPr>
                <w:rFonts w:cs="Arial"/>
                <w:sz w:val="20"/>
              </w:rPr>
              <w:t>14 509 000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92EC" w14:textId="4C46961B" w:rsidR="00A6498D" w:rsidRPr="00D07970" w:rsidRDefault="00A6498D" w:rsidP="00A6498D">
            <w:pPr>
              <w:spacing w:line="240" w:lineRule="auto"/>
              <w:jc w:val="right"/>
              <w:rPr>
                <w:rFonts w:cs="Arial"/>
                <w:sz w:val="20"/>
                <w:lang w:val="es-CR" w:eastAsia="es-CR"/>
              </w:rPr>
            </w:pPr>
            <w:r>
              <w:rPr>
                <w:rFonts w:cs="Arial"/>
                <w:sz w:val="20"/>
              </w:rPr>
              <w:t>417 192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FF93284" w14:textId="79D5A58F" w:rsidR="00A6498D" w:rsidRPr="00D07970" w:rsidRDefault="00A6498D" w:rsidP="00A6498D">
            <w:pPr>
              <w:spacing w:line="240" w:lineRule="auto"/>
              <w:jc w:val="center"/>
              <w:rPr>
                <w:rFonts w:cs="Arial"/>
                <w:sz w:val="20"/>
                <w:lang w:val="es-CR" w:eastAsia="es-CR"/>
              </w:rPr>
            </w:pPr>
            <w:r>
              <w:rPr>
                <w:rFonts w:cs="Arial"/>
                <w:sz w:val="20"/>
              </w:rPr>
              <w:t>3%</w:t>
            </w:r>
          </w:p>
        </w:tc>
      </w:tr>
      <w:tr w:rsidR="00A6498D" w:rsidRPr="00D07970" w14:paraId="19D025EC" w14:textId="77777777" w:rsidTr="00FD3BA0">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C566C45" w14:textId="77777777" w:rsidR="00A6498D" w:rsidRPr="00D07970" w:rsidRDefault="00A6498D" w:rsidP="00A6498D">
            <w:pPr>
              <w:spacing w:line="240" w:lineRule="auto"/>
              <w:jc w:val="center"/>
              <w:rPr>
                <w:rFonts w:cs="Arial"/>
                <w:sz w:val="20"/>
                <w:lang w:val="es-CR" w:eastAsia="es-CR"/>
              </w:rPr>
            </w:pPr>
            <w:r w:rsidRPr="00D07970">
              <w:rPr>
                <w:rFonts w:cs="Arial"/>
                <w:sz w:val="20"/>
                <w:lang w:val="es-CR" w:eastAsia="es-CR"/>
              </w:rPr>
              <w:t>5</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462B7" w14:textId="77777777" w:rsidR="00A6498D" w:rsidRPr="00D07970" w:rsidRDefault="00A6498D" w:rsidP="00A6498D">
            <w:pPr>
              <w:spacing w:line="240" w:lineRule="auto"/>
              <w:jc w:val="left"/>
              <w:rPr>
                <w:rFonts w:cs="Arial"/>
                <w:sz w:val="20"/>
                <w:lang w:val="es-CR" w:eastAsia="es-CR"/>
              </w:rPr>
            </w:pPr>
            <w:r w:rsidRPr="00D07970">
              <w:rPr>
                <w:rFonts w:cs="Arial"/>
                <w:sz w:val="20"/>
                <w:lang w:val="es-CR" w:eastAsia="es-CR"/>
              </w:rPr>
              <w:t>Bienes Duraderos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BE38B" w14:textId="0D226D7C" w:rsidR="00A6498D" w:rsidRPr="00D07970" w:rsidRDefault="00A6498D" w:rsidP="00A6498D">
            <w:pPr>
              <w:spacing w:line="240" w:lineRule="auto"/>
              <w:jc w:val="right"/>
              <w:rPr>
                <w:rFonts w:cs="Arial"/>
                <w:sz w:val="20"/>
                <w:lang w:val="es-CR" w:eastAsia="es-CR"/>
              </w:rPr>
            </w:pPr>
            <w:r>
              <w:rPr>
                <w:rFonts w:cs="Arial"/>
                <w:sz w:val="20"/>
              </w:rPr>
              <w:t>17 212 500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515E6" w14:textId="5B1D783C" w:rsidR="00A6498D" w:rsidRPr="00D07970" w:rsidRDefault="00A6498D" w:rsidP="00A6498D">
            <w:pPr>
              <w:spacing w:line="240" w:lineRule="auto"/>
              <w:jc w:val="right"/>
              <w:rPr>
                <w:rFonts w:cs="Arial"/>
                <w:sz w:val="20"/>
                <w:lang w:val="es-CR" w:eastAsia="es-CR"/>
              </w:rPr>
            </w:pPr>
            <w:r>
              <w:rPr>
                <w:rFonts w:cs="Arial"/>
                <w:sz w:val="20"/>
              </w:rPr>
              <w:t>15 679 675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286008D" w14:textId="0FFF9DC9" w:rsidR="00A6498D" w:rsidRPr="00D07970" w:rsidRDefault="00A6498D" w:rsidP="00A6498D">
            <w:pPr>
              <w:spacing w:line="240" w:lineRule="auto"/>
              <w:jc w:val="center"/>
              <w:rPr>
                <w:rFonts w:cs="Arial"/>
                <w:sz w:val="20"/>
                <w:lang w:val="es-CR" w:eastAsia="es-CR"/>
              </w:rPr>
            </w:pPr>
            <w:r>
              <w:rPr>
                <w:rFonts w:cs="Arial"/>
                <w:sz w:val="20"/>
              </w:rPr>
              <w:t>91%</w:t>
            </w:r>
          </w:p>
        </w:tc>
      </w:tr>
      <w:tr w:rsidR="00A6498D" w:rsidRPr="00D07970" w14:paraId="27332811" w14:textId="77777777" w:rsidTr="00FD3BA0">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14B9C95" w14:textId="77777777" w:rsidR="00A6498D" w:rsidRPr="00D07970" w:rsidRDefault="00A6498D" w:rsidP="00A6498D">
            <w:pPr>
              <w:spacing w:line="240" w:lineRule="auto"/>
              <w:jc w:val="center"/>
              <w:rPr>
                <w:rFonts w:cs="Arial"/>
                <w:sz w:val="20"/>
                <w:lang w:val="es-CR" w:eastAsia="es-CR"/>
              </w:rPr>
            </w:pPr>
            <w:r w:rsidRPr="00D07970">
              <w:rPr>
                <w:rFonts w:cs="Arial"/>
                <w:sz w:val="20"/>
                <w:lang w:val="es-CR" w:eastAsia="es-CR"/>
              </w:rPr>
              <w:t>6</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2F5C5" w14:textId="77777777" w:rsidR="00A6498D" w:rsidRPr="00D07970" w:rsidRDefault="00A6498D" w:rsidP="00A6498D">
            <w:pPr>
              <w:spacing w:line="240" w:lineRule="auto"/>
              <w:jc w:val="left"/>
              <w:rPr>
                <w:rFonts w:cs="Arial"/>
                <w:sz w:val="20"/>
                <w:lang w:val="es-CR" w:eastAsia="es-CR"/>
              </w:rPr>
            </w:pPr>
            <w:r w:rsidRPr="00D07970">
              <w:rPr>
                <w:rFonts w:cs="Arial"/>
                <w:sz w:val="20"/>
                <w:lang w:val="es-CR" w:eastAsia="es-CR"/>
              </w:rPr>
              <w:t>Transferencias Corrientes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B40C9" w14:textId="27136A56" w:rsidR="00A6498D" w:rsidRPr="00D07970" w:rsidRDefault="00A6498D" w:rsidP="00A6498D">
            <w:pPr>
              <w:spacing w:line="240" w:lineRule="auto"/>
              <w:jc w:val="right"/>
              <w:rPr>
                <w:rFonts w:cs="Arial"/>
                <w:sz w:val="20"/>
                <w:lang w:val="es-CR" w:eastAsia="es-CR"/>
              </w:rPr>
            </w:pPr>
            <w:r>
              <w:rPr>
                <w:rFonts w:cs="Arial"/>
                <w:sz w:val="20"/>
              </w:rPr>
              <w:t>127 875 000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13E08" w14:textId="078AE5EB" w:rsidR="00A6498D" w:rsidRPr="00D07970" w:rsidRDefault="00A6498D" w:rsidP="00A6498D">
            <w:pPr>
              <w:spacing w:line="240" w:lineRule="auto"/>
              <w:jc w:val="right"/>
              <w:rPr>
                <w:rFonts w:cs="Arial"/>
                <w:sz w:val="20"/>
                <w:lang w:val="es-CR" w:eastAsia="es-CR"/>
              </w:rPr>
            </w:pPr>
            <w:r>
              <w:rPr>
                <w:rFonts w:cs="Arial"/>
                <w:sz w:val="20"/>
              </w:rPr>
              <w:t>33 101 327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4578AB" w14:textId="3ECE84CD" w:rsidR="00A6498D" w:rsidRPr="00D07970" w:rsidRDefault="00A6498D" w:rsidP="00A6498D">
            <w:pPr>
              <w:spacing w:line="240" w:lineRule="auto"/>
              <w:jc w:val="center"/>
              <w:rPr>
                <w:rFonts w:cs="Arial"/>
                <w:sz w:val="20"/>
                <w:lang w:val="es-CR" w:eastAsia="es-CR"/>
              </w:rPr>
            </w:pPr>
            <w:r>
              <w:rPr>
                <w:rFonts w:cs="Arial"/>
                <w:sz w:val="20"/>
              </w:rPr>
              <w:t>26%</w:t>
            </w:r>
          </w:p>
        </w:tc>
      </w:tr>
      <w:tr w:rsidR="00A6498D" w:rsidRPr="00D07970" w14:paraId="4789FCCB" w14:textId="77777777" w:rsidTr="00FD3BA0">
        <w:trPr>
          <w:trHeight w:val="450"/>
        </w:trPr>
        <w:tc>
          <w:tcPr>
            <w:tcW w:w="916" w:type="dxa"/>
            <w:tcBorders>
              <w:top w:val="single" w:sz="4" w:space="0" w:color="auto"/>
              <w:left w:val="nil"/>
              <w:bottom w:val="single" w:sz="8" w:space="0" w:color="2F75B5"/>
              <w:right w:val="single" w:sz="4" w:space="0" w:color="auto"/>
            </w:tcBorders>
            <w:shd w:val="clear" w:color="auto" w:fill="auto"/>
            <w:noWrap/>
            <w:vAlign w:val="center"/>
            <w:hideMark/>
          </w:tcPr>
          <w:p w14:paraId="7094D609" w14:textId="77777777" w:rsidR="00A6498D" w:rsidRPr="00D07970" w:rsidRDefault="00A6498D" w:rsidP="00A6498D">
            <w:pPr>
              <w:spacing w:line="240" w:lineRule="auto"/>
              <w:jc w:val="center"/>
              <w:rPr>
                <w:rFonts w:cs="Arial"/>
                <w:sz w:val="20"/>
                <w:lang w:val="es-CR" w:eastAsia="es-CR"/>
              </w:rPr>
            </w:pPr>
            <w:r w:rsidRPr="00D07970">
              <w:rPr>
                <w:rFonts w:cs="Arial"/>
                <w:sz w:val="20"/>
                <w:lang w:val="es-CR" w:eastAsia="es-CR"/>
              </w:rPr>
              <w:t>9</w:t>
            </w:r>
          </w:p>
        </w:tc>
        <w:tc>
          <w:tcPr>
            <w:tcW w:w="2770"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18E40A83" w14:textId="77777777" w:rsidR="00A6498D" w:rsidRPr="00D07970" w:rsidRDefault="00A6498D" w:rsidP="00A6498D">
            <w:pPr>
              <w:spacing w:line="240" w:lineRule="auto"/>
              <w:jc w:val="left"/>
              <w:rPr>
                <w:rFonts w:cs="Arial"/>
                <w:sz w:val="20"/>
                <w:lang w:val="es-CR" w:eastAsia="es-CR"/>
              </w:rPr>
            </w:pPr>
            <w:r w:rsidRPr="00D07970">
              <w:rPr>
                <w:rFonts w:cs="Arial"/>
                <w:sz w:val="20"/>
                <w:lang w:val="es-CR" w:eastAsia="es-CR"/>
              </w:rPr>
              <w:t xml:space="preserve">Sumas sin Asignación </w:t>
            </w:r>
          </w:p>
        </w:tc>
        <w:tc>
          <w:tcPr>
            <w:tcW w:w="1843"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7F740526" w14:textId="5DC16844" w:rsidR="00A6498D" w:rsidRPr="00D07970" w:rsidRDefault="00A6498D" w:rsidP="00A6498D">
            <w:pPr>
              <w:spacing w:line="240" w:lineRule="auto"/>
              <w:jc w:val="right"/>
              <w:rPr>
                <w:rFonts w:cs="Arial"/>
                <w:sz w:val="20"/>
                <w:lang w:val="es-CR" w:eastAsia="es-CR"/>
              </w:rPr>
            </w:pPr>
            <w:r>
              <w:rPr>
                <w:rFonts w:cs="Arial"/>
                <w:sz w:val="20"/>
              </w:rPr>
              <w:t>78 163 079</w:t>
            </w:r>
          </w:p>
        </w:tc>
        <w:tc>
          <w:tcPr>
            <w:tcW w:w="1842"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20F68089" w14:textId="6D1C46B9" w:rsidR="00A6498D" w:rsidRPr="00D07970" w:rsidRDefault="00A6498D" w:rsidP="00A6498D">
            <w:pPr>
              <w:spacing w:line="240" w:lineRule="auto"/>
              <w:jc w:val="right"/>
              <w:rPr>
                <w:rFonts w:cs="Arial"/>
                <w:sz w:val="20"/>
                <w:lang w:val="es-CR" w:eastAsia="es-CR"/>
              </w:rPr>
            </w:pPr>
            <w:r>
              <w:rPr>
                <w:rFonts w:cs="Arial"/>
                <w:sz w:val="20"/>
              </w:rPr>
              <w:t>0</w:t>
            </w:r>
          </w:p>
        </w:tc>
        <w:tc>
          <w:tcPr>
            <w:tcW w:w="1418" w:type="dxa"/>
            <w:tcBorders>
              <w:top w:val="single" w:sz="4" w:space="0" w:color="auto"/>
              <w:left w:val="single" w:sz="4" w:space="0" w:color="auto"/>
              <w:bottom w:val="single" w:sz="8" w:space="0" w:color="2F75B5"/>
              <w:right w:val="nil"/>
            </w:tcBorders>
            <w:shd w:val="clear" w:color="auto" w:fill="auto"/>
            <w:noWrap/>
            <w:vAlign w:val="center"/>
            <w:hideMark/>
          </w:tcPr>
          <w:p w14:paraId="2BADD9D1" w14:textId="333B735E" w:rsidR="00A6498D" w:rsidRPr="00D07970" w:rsidRDefault="00A6498D" w:rsidP="00A6498D">
            <w:pPr>
              <w:spacing w:line="240" w:lineRule="auto"/>
              <w:jc w:val="center"/>
              <w:rPr>
                <w:rFonts w:cs="Arial"/>
                <w:sz w:val="20"/>
                <w:lang w:val="es-CR" w:eastAsia="es-CR"/>
              </w:rPr>
            </w:pPr>
            <w:r>
              <w:rPr>
                <w:rFonts w:cs="Arial"/>
                <w:sz w:val="20"/>
              </w:rPr>
              <w:t>0%</w:t>
            </w:r>
          </w:p>
        </w:tc>
      </w:tr>
      <w:tr w:rsidR="00A6498D" w:rsidRPr="00D07970" w14:paraId="51BAFD17" w14:textId="77777777" w:rsidTr="00FD3BA0">
        <w:trPr>
          <w:trHeight w:val="450"/>
        </w:trPr>
        <w:tc>
          <w:tcPr>
            <w:tcW w:w="916" w:type="dxa"/>
            <w:tcBorders>
              <w:top w:val="single" w:sz="8" w:space="0" w:color="2F75B5"/>
              <w:left w:val="nil"/>
              <w:bottom w:val="single" w:sz="8" w:space="0" w:color="2F75B5"/>
              <w:right w:val="nil"/>
            </w:tcBorders>
            <w:shd w:val="clear" w:color="000000" w:fill="D6DCE4"/>
            <w:noWrap/>
            <w:vAlign w:val="center"/>
            <w:hideMark/>
          </w:tcPr>
          <w:p w14:paraId="13B3D7BB" w14:textId="77777777" w:rsidR="00A6498D" w:rsidRPr="00D07970" w:rsidRDefault="00A6498D" w:rsidP="00A6498D">
            <w:pPr>
              <w:spacing w:line="240" w:lineRule="auto"/>
              <w:jc w:val="left"/>
              <w:rPr>
                <w:rFonts w:cs="Arial"/>
                <w:b/>
                <w:bCs/>
                <w:color w:val="000000"/>
                <w:sz w:val="20"/>
                <w:lang w:val="es-CR" w:eastAsia="es-CR"/>
              </w:rPr>
            </w:pPr>
            <w:r w:rsidRPr="00D07970">
              <w:rPr>
                <w:rFonts w:cs="Arial"/>
                <w:b/>
                <w:bCs/>
                <w:color w:val="000000"/>
                <w:sz w:val="20"/>
                <w:lang w:val="es-CR" w:eastAsia="es-CR"/>
              </w:rPr>
              <w:t> </w:t>
            </w:r>
          </w:p>
        </w:tc>
        <w:tc>
          <w:tcPr>
            <w:tcW w:w="2770" w:type="dxa"/>
            <w:tcBorders>
              <w:top w:val="single" w:sz="8" w:space="0" w:color="2F75B5"/>
              <w:left w:val="nil"/>
              <w:bottom w:val="single" w:sz="8" w:space="0" w:color="2F75B5"/>
              <w:right w:val="nil"/>
            </w:tcBorders>
            <w:shd w:val="clear" w:color="000000" w:fill="D6DCE4"/>
            <w:noWrap/>
            <w:vAlign w:val="center"/>
            <w:hideMark/>
          </w:tcPr>
          <w:p w14:paraId="7567EE8E" w14:textId="77777777" w:rsidR="00A6498D" w:rsidRPr="00D07970" w:rsidRDefault="00A6498D" w:rsidP="00A6498D">
            <w:pPr>
              <w:spacing w:line="240" w:lineRule="auto"/>
              <w:jc w:val="left"/>
              <w:rPr>
                <w:rFonts w:cs="Arial"/>
                <w:b/>
                <w:bCs/>
                <w:color w:val="000000"/>
                <w:sz w:val="20"/>
                <w:lang w:val="es-CR" w:eastAsia="es-CR"/>
              </w:rPr>
            </w:pPr>
            <w:r w:rsidRPr="00D07970">
              <w:rPr>
                <w:rFonts w:cs="Arial"/>
                <w:b/>
                <w:bCs/>
                <w:color w:val="000000"/>
                <w:sz w:val="20"/>
                <w:lang w:val="es-CR" w:eastAsia="es-CR"/>
              </w:rPr>
              <w:t>Totales</w:t>
            </w:r>
          </w:p>
        </w:tc>
        <w:tc>
          <w:tcPr>
            <w:tcW w:w="1843" w:type="dxa"/>
            <w:tcBorders>
              <w:top w:val="single" w:sz="8" w:space="0" w:color="2F75B5"/>
              <w:left w:val="nil"/>
              <w:bottom w:val="single" w:sz="8" w:space="0" w:color="2F75B5"/>
              <w:right w:val="nil"/>
            </w:tcBorders>
            <w:shd w:val="clear" w:color="000000" w:fill="D6DCE4"/>
            <w:noWrap/>
            <w:vAlign w:val="center"/>
            <w:hideMark/>
          </w:tcPr>
          <w:p w14:paraId="2F37C4AF" w14:textId="6003091C" w:rsidR="00A6498D" w:rsidRPr="00D07970" w:rsidRDefault="00A6498D" w:rsidP="00A6498D">
            <w:pPr>
              <w:spacing w:line="240" w:lineRule="auto"/>
              <w:jc w:val="right"/>
              <w:rPr>
                <w:rFonts w:cs="Arial"/>
                <w:b/>
                <w:bCs/>
                <w:color w:val="000000"/>
                <w:sz w:val="20"/>
                <w:lang w:val="es-CR" w:eastAsia="es-CR"/>
              </w:rPr>
            </w:pPr>
            <w:r>
              <w:rPr>
                <w:rFonts w:cs="Arial"/>
                <w:b/>
                <w:bCs/>
                <w:color w:val="000000"/>
                <w:sz w:val="20"/>
              </w:rPr>
              <w:t>5 453 075 008</w:t>
            </w:r>
          </w:p>
        </w:tc>
        <w:tc>
          <w:tcPr>
            <w:tcW w:w="1842" w:type="dxa"/>
            <w:tcBorders>
              <w:top w:val="single" w:sz="8" w:space="0" w:color="2F75B5"/>
              <w:left w:val="nil"/>
              <w:bottom w:val="single" w:sz="8" w:space="0" w:color="2F75B5"/>
              <w:right w:val="nil"/>
            </w:tcBorders>
            <w:shd w:val="clear" w:color="000000" w:fill="D6DCE4"/>
            <w:noWrap/>
            <w:vAlign w:val="center"/>
            <w:hideMark/>
          </w:tcPr>
          <w:p w14:paraId="0981343C" w14:textId="45EBDF2C" w:rsidR="00A6498D" w:rsidRPr="00D07970" w:rsidRDefault="00A6498D" w:rsidP="00A6498D">
            <w:pPr>
              <w:spacing w:line="240" w:lineRule="auto"/>
              <w:jc w:val="right"/>
              <w:rPr>
                <w:rFonts w:cs="Arial"/>
                <w:b/>
                <w:bCs/>
                <w:color w:val="000000"/>
                <w:sz w:val="20"/>
                <w:lang w:val="es-CR" w:eastAsia="es-CR"/>
              </w:rPr>
            </w:pPr>
            <w:r>
              <w:rPr>
                <w:rFonts w:cs="Arial"/>
                <w:b/>
                <w:bCs/>
                <w:color w:val="000000"/>
                <w:sz w:val="20"/>
              </w:rPr>
              <w:t>4 407 625 310</w:t>
            </w:r>
          </w:p>
        </w:tc>
        <w:tc>
          <w:tcPr>
            <w:tcW w:w="1418" w:type="dxa"/>
            <w:tcBorders>
              <w:top w:val="single" w:sz="8" w:space="0" w:color="2F75B5"/>
              <w:left w:val="nil"/>
              <w:bottom w:val="single" w:sz="8" w:space="0" w:color="2F75B5"/>
              <w:right w:val="nil"/>
            </w:tcBorders>
            <w:shd w:val="clear" w:color="000000" w:fill="D6DCE4"/>
            <w:noWrap/>
            <w:vAlign w:val="center"/>
            <w:hideMark/>
          </w:tcPr>
          <w:p w14:paraId="3CBDA04A" w14:textId="5CD087AD" w:rsidR="00A6498D" w:rsidRPr="00D07970" w:rsidRDefault="00A6498D" w:rsidP="00A6498D">
            <w:pPr>
              <w:spacing w:line="240" w:lineRule="auto"/>
              <w:jc w:val="center"/>
              <w:rPr>
                <w:rFonts w:cs="Arial"/>
                <w:b/>
                <w:bCs/>
                <w:color w:val="000000"/>
                <w:sz w:val="20"/>
                <w:lang w:val="es-CR" w:eastAsia="es-CR"/>
              </w:rPr>
            </w:pPr>
            <w:r>
              <w:rPr>
                <w:rFonts w:cs="Arial"/>
                <w:b/>
                <w:bCs/>
                <w:color w:val="000000"/>
                <w:sz w:val="20"/>
              </w:rPr>
              <w:t>81%</w:t>
            </w:r>
          </w:p>
        </w:tc>
      </w:tr>
    </w:tbl>
    <w:p w14:paraId="0D8C3CC4" w14:textId="77777777" w:rsidR="004A3A2E" w:rsidRPr="00D07970" w:rsidRDefault="004A3A2E" w:rsidP="004A3A2E">
      <w:pPr>
        <w:ind w:right="51"/>
        <w:rPr>
          <w:rFonts w:asciiTheme="minorHAnsi" w:hAnsiTheme="minorHAnsi" w:cstheme="minorHAnsi"/>
          <w:sz w:val="24"/>
          <w:szCs w:val="24"/>
          <w:lang w:val="es-CR"/>
        </w:rPr>
      </w:pPr>
    </w:p>
    <w:p w14:paraId="496E8DAB" w14:textId="0B0874A7" w:rsidR="008717CD" w:rsidRDefault="00835C5D" w:rsidP="00B423B2">
      <w:pPr>
        <w:ind w:right="51"/>
        <w:rPr>
          <w:rFonts w:asciiTheme="minorHAnsi" w:hAnsiTheme="minorHAnsi" w:cstheme="minorHAnsi"/>
          <w:sz w:val="24"/>
          <w:szCs w:val="24"/>
          <w:lang w:val="es-CR"/>
        </w:rPr>
      </w:pPr>
      <w:r w:rsidRPr="00D07970">
        <w:rPr>
          <w:rFonts w:asciiTheme="minorHAnsi" w:hAnsiTheme="minorHAnsi" w:cstheme="minorHAnsi"/>
          <w:sz w:val="24"/>
          <w:szCs w:val="24"/>
          <w:lang w:val="es-CR"/>
        </w:rPr>
        <w:t>La ejecución de</w:t>
      </w:r>
      <w:r w:rsidR="00690090" w:rsidRPr="00D07970">
        <w:rPr>
          <w:rFonts w:asciiTheme="minorHAnsi" w:hAnsiTheme="minorHAnsi" w:cstheme="minorHAnsi"/>
          <w:sz w:val="24"/>
          <w:szCs w:val="24"/>
          <w:lang w:val="es-CR"/>
        </w:rPr>
        <w:t xml:space="preserve">l presupuesto </w:t>
      </w:r>
      <w:r w:rsidR="00B423B2" w:rsidRPr="00D07970">
        <w:rPr>
          <w:rFonts w:asciiTheme="minorHAnsi" w:hAnsiTheme="minorHAnsi" w:cstheme="minorHAnsi"/>
          <w:sz w:val="24"/>
          <w:szCs w:val="24"/>
          <w:lang w:val="es-CR"/>
        </w:rPr>
        <w:t>aprobado para la SUPEN por la suma de ¢</w:t>
      </w:r>
      <w:r w:rsidR="005F59D6">
        <w:rPr>
          <w:rFonts w:asciiTheme="minorHAnsi" w:hAnsiTheme="minorHAnsi" w:cstheme="minorHAnsi"/>
          <w:sz w:val="24"/>
          <w:szCs w:val="24"/>
          <w:lang w:val="es-CR"/>
        </w:rPr>
        <w:t>5 453,0</w:t>
      </w:r>
      <w:r w:rsidR="00B423B2" w:rsidRPr="00D07970">
        <w:rPr>
          <w:rFonts w:asciiTheme="minorHAnsi" w:hAnsiTheme="minorHAnsi" w:cstheme="minorHAnsi"/>
          <w:sz w:val="24"/>
          <w:szCs w:val="24"/>
          <w:lang w:val="es-CR"/>
        </w:rPr>
        <w:t xml:space="preserve"> millones, alcanzó una ejecución de ¢</w:t>
      </w:r>
      <w:r w:rsidR="005F59D6">
        <w:rPr>
          <w:rFonts w:asciiTheme="minorHAnsi" w:hAnsiTheme="minorHAnsi" w:cstheme="minorHAnsi"/>
          <w:sz w:val="24"/>
          <w:szCs w:val="24"/>
          <w:lang w:val="es-CR"/>
        </w:rPr>
        <w:t>4</w:t>
      </w:r>
      <w:r w:rsidR="009D11EB">
        <w:rPr>
          <w:rFonts w:asciiTheme="minorHAnsi" w:hAnsiTheme="minorHAnsi" w:cstheme="minorHAnsi"/>
          <w:sz w:val="24"/>
          <w:szCs w:val="24"/>
          <w:lang w:val="es-CR"/>
        </w:rPr>
        <w:t xml:space="preserve"> </w:t>
      </w:r>
      <w:r w:rsidR="005F59D6">
        <w:rPr>
          <w:rFonts w:asciiTheme="minorHAnsi" w:hAnsiTheme="minorHAnsi" w:cstheme="minorHAnsi"/>
          <w:sz w:val="24"/>
          <w:szCs w:val="24"/>
          <w:lang w:val="es-CR"/>
        </w:rPr>
        <w:t>407,6</w:t>
      </w:r>
      <w:r w:rsidR="00B423B2" w:rsidRPr="00D07970">
        <w:rPr>
          <w:rFonts w:asciiTheme="minorHAnsi" w:hAnsiTheme="minorHAnsi" w:cstheme="minorHAnsi"/>
          <w:sz w:val="24"/>
          <w:szCs w:val="24"/>
          <w:lang w:val="es-CR"/>
        </w:rPr>
        <w:t xml:space="preserve"> millones, suma que equivale al 8</w:t>
      </w:r>
      <w:r w:rsidR="005F59D6">
        <w:rPr>
          <w:rFonts w:asciiTheme="minorHAnsi" w:hAnsiTheme="minorHAnsi" w:cstheme="minorHAnsi"/>
          <w:sz w:val="24"/>
          <w:szCs w:val="24"/>
          <w:lang w:val="es-CR"/>
        </w:rPr>
        <w:t>1</w:t>
      </w:r>
      <w:r w:rsidR="00B423B2" w:rsidRPr="00D07970">
        <w:rPr>
          <w:rFonts w:asciiTheme="minorHAnsi" w:hAnsiTheme="minorHAnsi" w:cstheme="minorHAnsi"/>
          <w:sz w:val="24"/>
          <w:szCs w:val="24"/>
          <w:lang w:val="es-CR"/>
        </w:rPr>
        <w:t>% del presupuesto total.</w:t>
      </w:r>
      <w:r w:rsidR="008C3E46" w:rsidRPr="00D07970">
        <w:rPr>
          <w:rFonts w:asciiTheme="minorHAnsi" w:hAnsiTheme="minorHAnsi" w:cstheme="minorHAnsi"/>
          <w:sz w:val="24"/>
          <w:szCs w:val="24"/>
          <w:lang w:val="es-CR"/>
        </w:rPr>
        <w:t xml:space="preserve"> En relación con la ejecución del presupuesto, </w:t>
      </w:r>
      <w:r w:rsidR="00C85B4B">
        <w:rPr>
          <w:rFonts w:asciiTheme="minorHAnsi" w:hAnsiTheme="minorHAnsi" w:cstheme="minorHAnsi"/>
          <w:sz w:val="24"/>
          <w:szCs w:val="24"/>
          <w:lang w:val="es-CR"/>
        </w:rPr>
        <w:t>para ca</w:t>
      </w:r>
      <w:r w:rsidR="008717CD">
        <w:rPr>
          <w:rFonts w:asciiTheme="minorHAnsi" w:hAnsiTheme="minorHAnsi" w:cstheme="minorHAnsi"/>
          <w:sz w:val="24"/>
          <w:szCs w:val="24"/>
          <w:lang w:val="es-CR"/>
        </w:rPr>
        <w:t xml:space="preserve">da cuenta a nivel de mayor se obtienes los siguientes resultados: </w:t>
      </w:r>
    </w:p>
    <w:p w14:paraId="25132F8B" w14:textId="768233AE" w:rsidR="008717CD" w:rsidRDefault="008717CD" w:rsidP="00B423B2">
      <w:pPr>
        <w:ind w:right="51"/>
        <w:rPr>
          <w:rFonts w:asciiTheme="minorHAnsi" w:hAnsiTheme="minorHAnsi" w:cstheme="minorHAnsi"/>
          <w:sz w:val="24"/>
          <w:szCs w:val="24"/>
          <w:lang w:val="es-CR"/>
        </w:rPr>
      </w:pPr>
    </w:p>
    <w:p w14:paraId="7C05946A" w14:textId="2ACC499E" w:rsidR="001B58C7" w:rsidRDefault="00AA6355" w:rsidP="0010568C">
      <w:pPr>
        <w:pStyle w:val="Prrafodelista"/>
        <w:numPr>
          <w:ilvl w:val="0"/>
          <w:numId w:val="21"/>
        </w:numPr>
        <w:ind w:right="51"/>
        <w:rPr>
          <w:rFonts w:asciiTheme="minorHAnsi" w:hAnsiTheme="minorHAnsi" w:cstheme="minorHAnsi"/>
          <w:sz w:val="24"/>
          <w:szCs w:val="24"/>
          <w:lang w:val="es-CR"/>
        </w:rPr>
      </w:pPr>
      <w:r w:rsidRPr="00AA6355">
        <w:rPr>
          <w:rFonts w:asciiTheme="minorHAnsi" w:hAnsiTheme="minorHAnsi" w:cstheme="minorHAnsi"/>
          <w:sz w:val="24"/>
          <w:szCs w:val="24"/>
          <w:lang w:val="es-CR"/>
        </w:rPr>
        <w:t>La cuenta “Remuneraciones” alcanzó un nivel de ejecución de 2 5</w:t>
      </w:r>
      <w:r w:rsidR="006E39AE">
        <w:rPr>
          <w:rFonts w:asciiTheme="minorHAnsi" w:hAnsiTheme="minorHAnsi" w:cstheme="minorHAnsi"/>
          <w:sz w:val="24"/>
          <w:szCs w:val="24"/>
          <w:lang w:val="es-CR"/>
        </w:rPr>
        <w:t>54</w:t>
      </w:r>
      <w:r w:rsidRPr="00AA6355">
        <w:rPr>
          <w:rFonts w:asciiTheme="minorHAnsi" w:hAnsiTheme="minorHAnsi" w:cstheme="minorHAnsi"/>
          <w:sz w:val="24"/>
          <w:szCs w:val="24"/>
          <w:lang w:val="es-CR"/>
        </w:rPr>
        <w:t>,</w:t>
      </w:r>
      <w:r w:rsidR="006E39AE">
        <w:rPr>
          <w:rFonts w:asciiTheme="minorHAnsi" w:hAnsiTheme="minorHAnsi" w:cstheme="minorHAnsi"/>
          <w:sz w:val="24"/>
          <w:szCs w:val="24"/>
          <w:lang w:val="es-CR"/>
        </w:rPr>
        <w:t>9</w:t>
      </w:r>
      <w:r w:rsidRPr="00AA6355">
        <w:rPr>
          <w:rFonts w:asciiTheme="minorHAnsi" w:hAnsiTheme="minorHAnsi" w:cstheme="minorHAnsi"/>
          <w:sz w:val="24"/>
          <w:szCs w:val="24"/>
          <w:lang w:val="es-CR"/>
        </w:rPr>
        <w:t xml:space="preserve"> millones de colones, lo que representa un 8</w:t>
      </w:r>
      <w:r w:rsidR="006E39AE">
        <w:rPr>
          <w:rFonts w:asciiTheme="minorHAnsi" w:hAnsiTheme="minorHAnsi" w:cstheme="minorHAnsi"/>
          <w:sz w:val="24"/>
          <w:szCs w:val="24"/>
          <w:lang w:val="es-CR"/>
        </w:rPr>
        <w:t>1</w:t>
      </w:r>
      <w:r w:rsidRPr="00AA6355">
        <w:rPr>
          <w:rFonts w:asciiTheme="minorHAnsi" w:hAnsiTheme="minorHAnsi" w:cstheme="minorHAnsi"/>
          <w:sz w:val="24"/>
          <w:szCs w:val="24"/>
          <w:lang w:val="es-CR"/>
        </w:rPr>
        <w:t>% del total del presupuesto asignado para esta partida.</w:t>
      </w:r>
      <w:r>
        <w:rPr>
          <w:rFonts w:asciiTheme="minorHAnsi" w:hAnsiTheme="minorHAnsi" w:cstheme="minorHAnsi"/>
          <w:sz w:val="24"/>
          <w:szCs w:val="24"/>
          <w:lang w:val="es-CR"/>
        </w:rPr>
        <w:t xml:space="preserve"> </w:t>
      </w:r>
      <w:r w:rsidRPr="00AA6355">
        <w:rPr>
          <w:rFonts w:asciiTheme="minorHAnsi" w:hAnsiTheme="minorHAnsi" w:cstheme="minorHAnsi"/>
          <w:sz w:val="24"/>
          <w:szCs w:val="24"/>
          <w:lang w:val="es-CR"/>
        </w:rPr>
        <w:t xml:space="preserve">Este porcentaje de ejecución es razonable, tomando en cuenta que a la fecha de este informe la SUPEN tenía </w:t>
      </w:r>
      <w:r w:rsidR="006E39AE">
        <w:rPr>
          <w:rFonts w:asciiTheme="minorHAnsi" w:hAnsiTheme="minorHAnsi" w:cstheme="minorHAnsi"/>
          <w:sz w:val="24"/>
          <w:szCs w:val="24"/>
          <w:lang w:val="es-CR"/>
        </w:rPr>
        <w:t>nueve</w:t>
      </w:r>
      <w:r w:rsidRPr="00AA6355">
        <w:rPr>
          <w:rFonts w:asciiTheme="minorHAnsi" w:hAnsiTheme="minorHAnsi" w:cstheme="minorHAnsi"/>
          <w:sz w:val="24"/>
          <w:szCs w:val="24"/>
          <w:lang w:val="es-CR"/>
        </w:rPr>
        <w:t xml:space="preserve"> plazas vacantes.</w:t>
      </w:r>
    </w:p>
    <w:p w14:paraId="70AF9317" w14:textId="503EB54F" w:rsidR="00AA6355" w:rsidRDefault="00BA3828" w:rsidP="0042757D">
      <w:pPr>
        <w:pStyle w:val="Prrafodelista"/>
        <w:numPr>
          <w:ilvl w:val="0"/>
          <w:numId w:val="21"/>
        </w:numPr>
        <w:ind w:right="51"/>
        <w:rPr>
          <w:rFonts w:asciiTheme="minorHAnsi" w:hAnsiTheme="minorHAnsi" w:cstheme="minorHAnsi"/>
          <w:sz w:val="24"/>
          <w:szCs w:val="24"/>
          <w:lang w:val="es-CR"/>
        </w:rPr>
      </w:pPr>
      <w:r w:rsidRPr="009F655D">
        <w:rPr>
          <w:rFonts w:asciiTheme="minorHAnsi" w:hAnsiTheme="minorHAnsi" w:cstheme="minorHAnsi"/>
          <w:sz w:val="24"/>
          <w:szCs w:val="24"/>
          <w:lang w:val="es-CR"/>
        </w:rPr>
        <w:t xml:space="preserve">La cuenta </w:t>
      </w:r>
      <w:r w:rsidR="009F655D" w:rsidRPr="009F655D">
        <w:rPr>
          <w:rFonts w:asciiTheme="minorHAnsi" w:hAnsiTheme="minorHAnsi" w:cstheme="minorHAnsi"/>
          <w:sz w:val="24"/>
          <w:szCs w:val="24"/>
          <w:lang w:val="es-CR"/>
        </w:rPr>
        <w:t xml:space="preserve">“Servicios” </w:t>
      </w:r>
      <w:r w:rsidRPr="009F655D">
        <w:rPr>
          <w:rFonts w:asciiTheme="minorHAnsi" w:hAnsiTheme="minorHAnsi" w:cstheme="minorHAnsi"/>
          <w:sz w:val="24"/>
          <w:szCs w:val="24"/>
          <w:lang w:val="es-CR"/>
        </w:rPr>
        <w:t>cerró con una ejecución de ¢1</w:t>
      </w:r>
      <w:r w:rsidR="00D9195F">
        <w:rPr>
          <w:rFonts w:asciiTheme="minorHAnsi" w:hAnsiTheme="minorHAnsi" w:cstheme="minorHAnsi"/>
          <w:sz w:val="24"/>
          <w:szCs w:val="24"/>
          <w:lang w:val="es-CR"/>
        </w:rPr>
        <w:t> </w:t>
      </w:r>
      <w:r w:rsidRPr="009F655D">
        <w:rPr>
          <w:rFonts w:asciiTheme="minorHAnsi" w:hAnsiTheme="minorHAnsi" w:cstheme="minorHAnsi"/>
          <w:sz w:val="24"/>
          <w:szCs w:val="24"/>
          <w:lang w:val="es-CR"/>
        </w:rPr>
        <w:t>8</w:t>
      </w:r>
      <w:r w:rsidR="00716D6F">
        <w:rPr>
          <w:rFonts w:asciiTheme="minorHAnsi" w:hAnsiTheme="minorHAnsi" w:cstheme="minorHAnsi"/>
          <w:sz w:val="24"/>
          <w:szCs w:val="24"/>
          <w:lang w:val="es-CR"/>
        </w:rPr>
        <w:t>03</w:t>
      </w:r>
      <w:r w:rsidR="00D9195F">
        <w:rPr>
          <w:rFonts w:asciiTheme="minorHAnsi" w:hAnsiTheme="minorHAnsi" w:cstheme="minorHAnsi"/>
          <w:sz w:val="24"/>
          <w:szCs w:val="24"/>
          <w:lang w:val="es-CR"/>
        </w:rPr>
        <w:t>,5</w:t>
      </w:r>
      <w:r w:rsidRPr="009F655D">
        <w:rPr>
          <w:rFonts w:asciiTheme="minorHAnsi" w:hAnsiTheme="minorHAnsi" w:cstheme="minorHAnsi"/>
          <w:sz w:val="24"/>
          <w:szCs w:val="24"/>
          <w:lang w:val="es-CR"/>
        </w:rPr>
        <w:t xml:space="preserve"> millones, cifra que equivale a un 8</w:t>
      </w:r>
      <w:r w:rsidR="00D9195F">
        <w:rPr>
          <w:rFonts w:asciiTheme="minorHAnsi" w:hAnsiTheme="minorHAnsi" w:cstheme="minorHAnsi"/>
          <w:sz w:val="24"/>
          <w:szCs w:val="24"/>
          <w:lang w:val="es-CR"/>
        </w:rPr>
        <w:t>7</w:t>
      </w:r>
      <w:r w:rsidRPr="009F655D">
        <w:rPr>
          <w:rFonts w:asciiTheme="minorHAnsi" w:hAnsiTheme="minorHAnsi" w:cstheme="minorHAnsi"/>
          <w:sz w:val="24"/>
          <w:szCs w:val="24"/>
          <w:lang w:val="es-CR"/>
        </w:rPr>
        <w:t>% del total de recursos presupuestados en esta partida.</w:t>
      </w:r>
      <w:r w:rsidR="009F655D" w:rsidRPr="009F655D">
        <w:rPr>
          <w:rFonts w:asciiTheme="minorHAnsi" w:hAnsiTheme="minorHAnsi" w:cstheme="minorHAnsi"/>
          <w:sz w:val="24"/>
          <w:szCs w:val="24"/>
          <w:lang w:val="es-CR"/>
        </w:rPr>
        <w:t xml:space="preserve"> </w:t>
      </w:r>
      <w:r w:rsidRPr="009F655D">
        <w:rPr>
          <w:rFonts w:asciiTheme="minorHAnsi" w:hAnsiTheme="minorHAnsi" w:cstheme="minorHAnsi"/>
          <w:sz w:val="24"/>
          <w:szCs w:val="24"/>
          <w:lang w:val="es-CR"/>
        </w:rPr>
        <w:t>Los porcentajes de ejecución en las diferentes partidas que conforman la cuenta reflejan, en forma general, un cumplimiento normal de ejecución de conformidad con los lineamientos establecidos por el Consejo</w:t>
      </w:r>
      <w:r w:rsidR="00CF2D65">
        <w:rPr>
          <w:rFonts w:asciiTheme="minorHAnsi" w:hAnsiTheme="minorHAnsi" w:cstheme="minorHAnsi"/>
          <w:sz w:val="24"/>
          <w:szCs w:val="24"/>
          <w:lang w:val="es-CR"/>
        </w:rPr>
        <w:t>.</w:t>
      </w:r>
    </w:p>
    <w:p w14:paraId="4F589A4F" w14:textId="31737F51" w:rsidR="00CF2D65" w:rsidRDefault="00AF3917" w:rsidP="0042757D">
      <w:pPr>
        <w:pStyle w:val="Prrafodelista"/>
        <w:numPr>
          <w:ilvl w:val="0"/>
          <w:numId w:val="21"/>
        </w:numPr>
        <w:ind w:right="51"/>
        <w:rPr>
          <w:rFonts w:asciiTheme="minorHAnsi" w:hAnsiTheme="minorHAnsi" w:cstheme="minorHAnsi"/>
          <w:sz w:val="24"/>
          <w:szCs w:val="24"/>
          <w:lang w:val="es-CR"/>
        </w:rPr>
      </w:pPr>
      <w:r w:rsidRPr="00AF3917">
        <w:rPr>
          <w:rFonts w:asciiTheme="minorHAnsi" w:hAnsiTheme="minorHAnsi" w:cstheme="minorHAnsi"/>
          <w:sz w:val="24"/>
          <w:szCs w:val="24"/>
          <w:lang w:val="es-CR"/>
        </w:rPr>
        <w:t xml:space="preserve">El nivel de ejecución </w:t>
      </w:r>
      <w:r w:rsidR="00F66F40">
        <w:rPr>
          <w:rFonts w:asciiTheme="minorHAnsi" w:hAnsiTheme="minorHAnsi" w:cstheme="minorHAnsi"/>
          <w:sz w:val="24"/>
          <w:szCs w:val="24"/>
          <w:lang w:val="es-CR"/>
        </w:rPr>
        <w:t>de</w:t>
      </w:r>
      <w:r w:rsidRPr="00AF3917">
        <w:rPr>
          <w:rFonts w:asciiTheme="minorHAnsi" w:hAnsiTheme="minorHAnsi" w:cstheme="minorHAnsi"/>
          <w:sz w:val="24"/>
          <w:szCs w:val="24"/>
          <w:lang w:val="es-CR"/>
        </w:rPr>
        <w:t xml:space="preserve"> partida </w:t>
      </w:r>
      <w:r w:rsidR="00F66F40" w:rsidRPr="00F66F40">
        <w:rPr>
          <w:rFonts w:asciiTheme="minorHAnsi" w:hAnsiTheme="minorHAnsi" w:cstheme="minorHAnsi"/>
          <w:sz w:val="24"/>
          <w:szCs w:val="24"/>
          <w:lang w:val="es-CR"/>
        </w:rPr>
        <w:t>“Materiales y Suministros”</w:t>
      </w:r>
      <w:r w:rsidR="00F66F40">
        <w:rPr>
          <w:rFonts w:asciiTheme="minorHAnsi" w:hAnsiTheme="minorHAnsi" w:cstheme="minorHAnsi"/>
          <w:sz w:val="24"/>
          <w:szCs w:val="24"/>
          <w:lang w:val="es-CR"/>
        </w:rPr>
        <w:t xml:space="preserve"> </w:t>
      </w:r>
      <w:r w:rsidRPr="00AF3917">
        <w:rPr>
          <w:rFonts w:asciiTheme="minorHAnsi" w:hAnsiTheme="minorHAnsi" w:cstheme="minorHAnsi"/>
          <w:sz w:val="24"/>
          <w:szCs w:val="24"/>
          <w:lang w:val="es-CR"/>
        </w:rPr>
        <w:t>fue de ¢</w:t>
      </w:r>
      <w:r w:rsidR="00D9195F">
        <w:rPr>
          <w:rFonts w:asciiTheme="minorHAnsi" w:hAnsiTheme="minorHAnsi" w:cstheme="minorHAnsi"/>
          <w:sz w:val="24"/>
          <w:szCs w:val="24"/>
          <w:lang w:val="es-CR"/>
        </w:rPr>
        <w:t>0,4</w:t>
      </w:r>
      <w:r w:rsidRPr="00AF3917">
        <w:rPr>
          <w:rFonts w:asciiTheme="minorHAnsi" w:hAnsiTheme="minorHAnsi" w:cstheme="minorHAnsi"/>
          <w:sz w:val="24"/>
          <w:szCs w:val="24"/>
          <w:lang w:val="es-CR"/>
        </w:rPr>
        <w:t xml:space="preserve"> millones, lo que representa un 3% del total de recursos presupuestados en esta cuenta, hay que considerar el hecho de que todo el personal está en modalidad de teletrabajo, por lo no fue necesario incurrir en gastos ni compras</w:t>
      </w:r>
      <w:r w:rsidR="00922E1D">
        <w:rPr>
          <w:rFonts w:asciiTheme="minorHAnsi" w:hAnsiTheme="minorHAnsi" w:cstheme="minorHAnsi"/>
          <w:sz w:val="24"/>
          <w:szCs w:val="24"/>
          <w:lang w:val="es-CR"/>
        </w:rPr>
        <w:t xml:space="preserve"> de suministros</w:t>
      </w:r>
      <w:r w:rsidRPr="00AF3917">
        <w:rPr>
          <w:rFonts w:asciiTheme="minorHAnsi" w:hAnsiTheme="minorHAnsi" w:cstheme="minorHAnsi"/>
          <w:sz w:val="24"/>
          <w:szCs w:val="24"/>
          <w:lang w:val="es-CR"/>
        </w:rPr>
        <w:t>, eso explica el nivel bajo de ejecución en todas las cuentas</w:t>
      </w:r>
      <w:r w:rsidR="00A447F0">
        <w:rPr>
          <w:rFonts w:asciiTheme="minorHAnsi" w:hAnsiTheme="minorHAnsi" w:cstheme="minorHAnsi"/>
          <w:sz w:val="24"/>
          <w:szCs w:val="24"/>
          <w:lang w:val="es-CR"/>
        </w:rPr>
        <w:t>.</w:t>
      </w:r>
    </w:p>
    <w:p w14:paraId="5336FF3D" w14:textId="65B70374" w:rsidR="00A447F0" w:rsidRDefault="006E43F2" w:rsidP="0042757D">
      <w:pPr>
        <w:pStyle w:val="Prrafodelista"/>
        <w:numPr>
          <w:ilvl w:val="0"/>
          <w:numId w:val="21"/>
        </w:numPr>
        <w:ind w:right="51"/>
        <w:rPr>
          <w:rFonts w:asciiTheme="minorHAnsi" w:hAnsiTheme="minorHAnsi" w:cstheme="minorHAnsi"/>
          <w:sz w:val="24"/>
          <w:szCs w:val="24"/>
          <w:lang w:val="es-CR"/>
        </w:rPr>
      </w:pPr>
      <w:r w:rsidRPr="006E43F2">
        <w:rPr>
          <w:rFonts w:asciiTheme="minorHAnsi" w:hAnsiTheme="minorHAnsi" w:cstheme="minorHAnsi"/>
          <w:sz w:val="24"/>
          <w:szCs w:val="24"/>
          <w:lang w:val="es-CR"/>
        </w:rPr>
        <w:t xml:space="preserve">La </w:t>
      </w:r>
      <w:r w:rsidR="00E91ED1">
        <w:rPr>
          <w:rFonts w:asciiTheme="minorHAnsi" w:hAnsiTheme="minorHAnsi" w:cstheme="minorHAnsi"/>
          <w:sz w:val="24"/>
          <w:szCs w:val="24"/>
          <w:lang w:val="es-CR"/>
        </w:rPr>
        <w:t xml:space="preserve">ejecución de </w:t>
      </w:r>
      <w:r w:rsidRPr="006E43F2">
        <w:rPr>
          <w:rFonts w:asciiTheme="minorHAnsi" w:hAnsiTheme="minorHAnsi" w:cstheme="minorHAnsi"/>
          <w:sz w:val="24"/>
          <w:szCs w:val="24"/>
          <w:lang w:val="es-CR"/>
        </w:rPr>
        <w:t xml:space="preserve">cuenta </w:t>
      </w:r>
      <w:r w:rsidR="00E91ED1" w:rsidRPr="00E91ED1">
        <w:rPr>
          <w:rFonts w:asciiTheme="minorHAnsi" w:hAnsiTheme="minorHAnsi" w:cstheme="minorHAnsi"/>
          <w:sz w:val="24"/>
          <w:szCs w:val="24"/>
          <w:lang w:val="es-CR"/>
        </w:rPr>
        <w:t>“Bienes Duraderos”</w:t>
      </w:r>
      <w:r w:rsidRPr="006E43F2">
        <w:rPr>
          <w:rFonts w:asciiTheme="minorHAnsi" w:hAnsiTheme="minorHAnsi" w:cstheme="minorHAnsi"/>
          <w:sz w:val="24"/>
          <w:szCs w:val="24"/>
          <w:lang w:val="es-CR"/>
        </w:rPr>
        <w:t xml:space="preserve"> corresponde </w:t>
      </w:r>
      <w:r w:rsidR="00423698">
        <w:rPr>
          <w:rFonts w:asciiTheme="minorHAnsi" w:hAnsiTheme="minorHAnsi" w:cstheme="minorHAnsi"/>
          <w:sz w:val="24"/>
          <w:szCs w:val="24"/>
          <w:lang w:val="es-CR"/>
        </w:rPr>
        <w:t>al</w:t>
      </w:r>
      <w:r w:rsidR="008D274D">
        <w:rPr>
          <w:rFonts w:asciiTheme="minorHAnsi" w:hAnsiTheme="minorHAnsi" w:cstheme="minorHAnsi"/>
          <w:sz w:val="24"/>
          <w:szCs w:val="24"/>
          <w:lang w:val="es-CR"/>
        </w:rPr>
        <w:t xml:space="preserve"> pago por la actualización y</w:t>
      </w:r>
      <w:r w:rsidR="00423698">
        <w:rPr>
          <w:rFonts w:asciiTheme="minorHAnsi" w:hAnsiTheme="minorHAnsi" w:cstheme="minorHAnsi"/>
          <w:sz w:val="24"/>
          <w:szCs w:val="24"/>
          <w:lang w:val="es-CR"/>
        </w:rPr>
        <w:t xml:space="preserve"> mantenimiento </w:t>
      </w:r>
      <w:r w:rsidRPr="006E43F2">
        <w:rPr>
          <w:rFonts w:asciiTheme="minorHAnsi" w:hAnsiTheme="minorHAnsi" w:cstheme="minorHAnsi"/>
          <w:sz w:val="24"/>
          <w:szCs w:val="24"/>
          <w:lang w:val="es-CR"/>
        </w:rPr>
        <w:t xml:space="preserve">del programa de supervisión Team Mate, </w:t>
      </w:r>
      <w:r w:rsidR="00862B67">
        <w:rPr>
          <w:rFonts w:asciiTheme="minorHAnsi" w:hAnsiTheme="minorHAnsi" w:cstheme="minorHAnsi"/>
          <w:sz w:val="24"/>
          <w:szCs w:val="24"/>
          <w:lang w:val="es-CR"/>
        </w:rPr>
        <w:t>refleja</w:t>
      </w:r>
      <w:r w:rsidRPr="006E43F2">
        <w:rPr>
          <w:rFonts w:asciiTheme="minorHAnsi" w:hAnsiTheme="minorHAnsi" w:cstheme="minorHAnsi"/>
          <w:sz w:val="24"/>
          <w:szCs w:val="24"/>
          <w:lang w:val="es-CR"/>
        </w:rPr>
        <w:t xml:space="preserve"> una ejecución del 91%, equivale a la suma de ¢</w:t>
      </w:r>
      <w:r w:rsidR="00474F42">
        <w:rPr>
          <w:rFonts w:asciiTheme="minorHAnsi" w:hAnsiTheme="minorHAnsi" w:cstheme="minorHAnsi"/>
          <w:sz w:val="24"/>
          <w:szCs w:val="24"/>
          <w:lang w:val="es-CR"/>
        </w:rPr>
        <w:t>15</w:t>
      </w:r>
      <w:r w:rsidRPr="006E43F2">
        <w:rPr>
          <w:rFonts w:asciiTheme="minorHAnsi" w:hAnsiTheme="minorHAnsi" w:cstheme="minorHAnsi"/>
          <w:sz w:val="24"/>
          <w:szCs w:val="24"/>
          <w:lang w:val="es-CR"/>
        </w:rPr>
        <w:t>,6 millones.</w:t>
      </w:r>
    </w:p>
    <w:p w14:paraId="1CC53C41" w14:textId="2B7CA18E" w:rsidR="00862B67" w:rsidRDefault="002E2C63" w:rsidP="0042757D">
      <w:pPr>
        <w:pStyle w:val="Prrafodelista"/>
        <w:numPr>
          <w:ilvl w:val="0"/>
          <w:numId w:val="21"/>
        </w:num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w:t>
      </w:r>
      <w:r w:rsidR="002A705E">
        <w:rPr>
          <w:rFonts w:asciiTheme="minorHAnsi" w:hAnsiTheme="minorHAnsi" w:cstheme="minorHAnsi"/>
          <w:sz w:val="24"/>
          <w:szCs w:val="24"/>
          <w:lang w:val="es-CR"/>
        </w:rPr>
        <w:t>c</w:t>
      </w:r>
      <w:r w:rsidR="002A705E" w:rsidRPr="002A705E">
        <w:rPr>
          <w:rFonts w:asciiTheme="minorHAnsi" w:hAnsiTheme="minorHAnsi" w:cstheme="minorHAnsi"/>
          <w:sz w:val="24"/>
          <w:szCs w:val="24"/>
          <w:lang w:val="es-CR"/>
        </w:rPr>
        <w:t>uenta “Transferencias Corrientes”</w:t>
      </w:r>
      <w:r w:rsidR="002A705E">
        <w:rPr>
          <w:rFonts w:asciiTheme="minorHAnsi" w:hAnsiTheme="minorHAnsi" w:cstheme="minorHAnsi"/>
          <w:sz w:val="24"/>
          <w:szCs w:val="24"/>
          <w:lang w:val="es-CR"/>
        </w:rPr>
        <w:t xml:space="preserve"> </w:t>
      </w:r>
      <w:r w:rsidRPr="0023319B">
        <w:rPr>
          <w:rFonts w:asciiTheme="minorHAnsi" w:hAnsiTheme="minorHAnsi" w:cstheme="minorHAnsi"/>
          <w:sz w:val="24"/>
          <w:szCs w:val="24"/>
          <w:lang w:val="es-CR"/>
        </w:rPr>
        <w:t xml:space="preserve">refleja al cierre del período </w:t>
      </w:r>
      <w:r w:rsidR="00F01A3E">
        <w:rPr>
          <w:rFonts w:asciiTheme="minorHAnsi" w:hAnsiTheme="minorHAnsi" w:cstheme="minorHAnsi"/>
          <w:sz w:val="24"/>
          <w:szCs w:val="24"/>
          <w:lang w:val="es-CR"/>
        </w:rPr>
        <w:t>una ejecución d</w:t>
      </w:r>
      <w:r w:rsidRPr="0023319B">
        <w:rPr>
          <w:rFonts w:asciiTheme="minorHAnsi" w:hAnsiTheme="minorHAnsi" w:cstheme="minorHAnsi"/>
          <w:sz w:val="24"/>
          <w:szCs w:val="24"/>
          <w:lang w:val="es-CR"/>
        </w:rPr>
        <w:t xml:space="preserve">el </w:t>
      </w:r>
      <w:r w:rsidR="00474F42">
        <w:rPr>
          <w:rFonts w:asciiTheme="minorHAnsi" w:hAnsiTheme="minorHAnsi" w:cstheme="minorHAnsi"/>
          <w:sz w:val="24"/>
          <w:szCs w:val="24"/>
          <w:lang w:val="es-CR"/>
        </w:rPr>
        <w:t>26</w:t>
      </w:r>
      <w:r w:rsidRPr="0023319B">
        <w:rPr>
          <w:rFonts w:asciiTheme="minorHAnsi" w:hAnsiTheme="minorHAnsi" w:cstheme="minorHAnsi"/>
          <w:sz w:val="24"/>
          <w:szCs w:val="24"/>
          <w:lang w:val="es-CR"/>
        </w:rPr>
        <w:t xml:space="preserve">%, equivale a la suma de </w:t>
      </w:r>
      <w:r w:rsidRPr="00831B3C">
        <w:rPr>
          <w:rFonts w:asciiTheme="minorHAnsi" w:hAnsiTheme="minorHAnsi" w:cstheme="minorHAnsi"/>
          <w:sz w:val="24"/>
          <w:szCs w:val="24"/>
          <w:lang w:val="es-CR"/>
        </w:rPr>
        <w:t>¢</w:t>
      </w:r>
      <w:r w:rsidR="000C0C19">
        <w:rPr>
          <w:rFonts w:asciiTheme="minorHAnsi" w:hAnsiTheme="minorHAnsi" w:cstheme="minorHAnsi"/>
          <w:sz w:val="24"/>
          <w:szCs w:val="24"/>
          <w:lang w:val="es-CR"/>
        </w:rPr>
        <w:t>3</w:t>
      </w:r>
      <w:r w:rsidRPr="0023319B">
        <w:rPr>
          <w:rFonts w:asciiTheme="minorHAnsi" w:hAnsiTheme="minorHAnsi" w:cstheme="minorHAnsi"/>
          <w:sz w:val="24"/>
          <w:szCs w:val="24"/>
          <w:lang w:val="es-CR"/>
        </w:rPr>
        <w:t>3,</w:t>
      </w:r>
      <w:r w:rsidR="000C0C19">
        <w:rPr>
          <w:rFonts w:asciiTheme="minorHAnsi" w:hAnsiTheme="minorHAnsi" w:cstheme="minorHAnsi"/>
          <w:sz w:val="24"/>
          <w:szCs w:val="24"/>
          <w:lang w:val="es-CR"/>
        </w:rPr>
        <w:t>1</w:t>
      </w:r>
      <w:r w:rsidRPr="0023319B">
        <w:rPr>
          <w:rFonts w:asciiTheme="minorHAnsi" w:hAnsiTheme="minorHAnsi" w:cstheme="minorHAnsi"/>
          <w:sz w:val="24"/>
          <w:szCs w:val="24"/>
          <w:lang w:val="es-CR"/>
        </w:rPr>
        <w:t xml:space="preserve"> millones</w:t>
      </w:r>
      <w:r w:rsidR="00142D4E">
        <w:rPr>
          <w:rFonts w:asciiTheme="minorHAnsi" w:hAnsiTheme="minorHAnsi" w:cstheme="minorHAnsi"/>
          <w:sz w:val="24"/>
          <w:szCs w:val="24"/>
          <w:lang w:val="es-CR"/>
        </w:rPr>
        <w:t xml:space="preserve">, corresponde </w:t>
      </w:r>
      <w:r w:rsidR="00201BC2" w:rsidRPr="00201BC2">
        <w:rPr>
          <w:rFonts w:asciiTheme="minorHAnsi" w:hAnsiTheme="minorHAnsi" w:cstheme="minorHAnsi"/>
          <w:sz w:val="24"/>
          <w:szCs w:val="24"/>
          <w:lang w:val="es-CR"/>
        </w:rPr>
        <w:t>el pago de los extremos laborales a los funcionarios</w:t>
      </w:r>
      <w:r w:rsidR="00831B3C">
        <w:rPr>
          <w:rFonts w:asciiTheme="minorHAnsi" w:hAnsiTheme="minorHAnsi" w:cstheme="minorHAnsi"/>
          <w:sz w:val="24"/>
          <w:szCs w:val="24"/>
          <w:lang w:val="es-CR"/>
        </w:rPr>
        <w:t>;</w:t>
      </w:r>
      <w:r w:rsidR="00201BC2" w:rsidRPr="00201BC2">
        <w:rPr>
          <w:rFonts w:asciiTheme="minorHAnsi" w:hAnsiTheme="minorHAnsi" w:cstheme="minorHAnsi"/>
          <w:sz w:val="24"/>
          <w:szCs w:val="24"/>
          <w:lang w:val="es-CR"/>
        </w:rPr>
        <w:t xml:space="preserve"> </w:t>
      </w:r>
      <w:r w:rsidR="00831B3C" w:rsidRPr="00831B3C">
        <w:rPr>
          <w:rFonts w:asciiTheme="minorHAnsi" w:hAnsiTheme="minorHAnsi" w:cstheme="minorHAnsi"/>
          <w:sz w:val="24"/>
          <w:szCs w:val="24"/>
          <w:lang w:val="es-CR"/>
        </w:rPr>
        <w:t>incapacidades o licencias por maternidad</w:t>
      </w:r>
      <w:r w:rsidR="008A1DFF">
        <w:rPr>
          <w:rFonts w:asciiTheme="minorHAnsi" w:hAnsiTheme="minorHAnsi" w:cstheme="minorHAnsi"/>
          <w:sz w:val="24"/>
          <w:szCs w:val="24"/>
          <w:lang w:val="es-CR"/>
        </w:rPr>
        <w:t xml:space="preserve">; </w:t>
      </w:r>
      <w:r w:rsidR="008A1DFF" w:rsidRPr="00175814">
        <w:rPr>
          <w:rFonts w:asciiTheme="minorHAnsi" w:hAnsiTheme="minorHAnsi" w:cstheme="minorHAnsi"/>
          <w:sz w:val="24"/>
          <w:szCs w:val="24"/>
          <w:lang w:val="es-CR"/>
        </w:rPr>
        <w:t xml:space="preserve">cuotas </w:t>
      </w:r>
      <w:r w:rsidR="00175814" w:rsidRPr="00175814">
        <w:rPr>
          <w:rFonts w:asciiTheme="minorHAnsi" w:hAnsiTheme="minorHAnsi" w:cstheme="minorHAnsi"/>
          <w:sz w:val="24"/>
          <w:szCs w:val="24"/>
          <w:lang w:val="es-CR"/>
        </w:rPr>
        <w:t xml:space="preserve">o membrecías </w:t>
      </w:r>
      <w:r w:rsidR="008A1DFF" w:rsidRPr="00175814">
        <w:rPr>
          <w:rFonts w:asciiTheme="minorHAnsi" w:hAnsiTheme="minorHAnsi" w:cstheme="minorHAnsi"/>
          <w:sz w:val="24"/>
          <w:szCs w:val="24"/>
          <w:lang w:val="es-CR"/>
        </w:rPr>
        <w:t>a organismos internacionales</w:t>
      </w:r>
      <w:r w:rsidR="00F01A3E">
        <w:rPr>
          <w:rFonts w:asciiTheme="minorHAnsi" w:hAnsiTheme="minorHAnsi" w:cstheme="minorHAnsi"/>
          <w:sz w:val="24"/>
          <w:szCs w:val="24"/>
          <w:lang w:val="es-CR"/>
        </w:rPr>
        <w:t>.</w:t>
      </w:r>
    </w:p>
    <w:p w14:paraId="78F9A7E6" w14:textId="727707BC" w:rsidR="00857F72" w:rsidRPr="009F655D" w:rsidRDefault="00857F72" w:rsidP="0042757D">
      <w:pPr>
        <w:pStyle w:val="Prrafodelista"/>
        <w:numPr>
          <w:ilvl w:val="0"/>
          <w:numId w:val="21"/>
        </w:numPr>
        <w:ind w:right="51"/>
        <w:rPr>
          <w:rFonts w:asciiTheme="minorHAnsi" w:hAnsiTheme="minorHAnsi" w:cstheme="minorHAnsi"/>
          <w:sz w:val="24"/>
          <w:szCs w:val="24"/>
          <w:lang w:val="es-CR"/>
        </w:rPr>
      </w:pPr>
      <w:r>
        <w:rPr>
          <w:rFonts w:asciiTheme="minorHAnsi" w:hAnsiTheme="minorHAnsi" w:cstheme="minorHAnsi"/>
          <w:sz w:val="24"/>
          <w:szCs w:val="24"/>
          <w:lang w:val="es-CR"/>
        </w:rPr>
        <w:t>La cuenta “</w:t>
      </w:r>
      <w:r w:rsidR="006D7D20" w:rsidRPr="006D7D20">
        <w:rPr>
          <w:rFonts w:asciiTheme="minorHAnsi" w:hAnsiTheme="minorHAnsi" w:cstheme="minorHAnsi"/>
          <w:sz w:val="24"/>
          <w:szCs w:val="24"/>
          <w:lang w:val="es-CR"/>
        </w:rPr>
        <w:t>Sumas Libres Sin Asignación Presupuestaria</w:t>
      </w:r>
      <w:r>
        <w:rPr>
          <w:rFonts w:asciiTheme="minorHAnsi" w:hAnsiTheme="minorHAnsi" w:cstheme="minorHAnsi"/>
          <w:sz w:val="24"/>
          <w:szCs w:val="24"/>
          <w:lang w:val="es-CR"/>
        </w:rPr>
        <w:t>”</w:t>
      </w:r>
      <w:r w:rsidR="006D7D20">
        <w:rPr>
          <w:rFonts w:asciiTheme="minorHAnsi" w:hAnsiTheme="minorHAnsi" w:cstheme="minorHAnsi"/>
          <w:sz w:val="24"/>
          <w:szCs w:val="24"/>
          <w:lang w:val="es-CR"/>
        </w:rPr>
        <w:t xml:space="preserve"> </w:t>
      </w:r>
      <w:r w:rsidRPr="00857F72">
        <w:rPr>
          <w:rFonts w:asciiTheme="minorHAnsi" w:hAnsiTheme="minorHAnsi" w:cstheme="minorHAnsi"/>
          <w:sz w:val="24"/>
          <w:szCs w:val="24"/>
          <w:lang w:val="es-CR"/>
        </w:rPr>
        <w:t>incluye los recursos que no tienen asignación presupuestaria determinada, lo que permite guardar el equilibrio presupuestario entre ingresos y gastos</w:t>
      </w:r>
    </w:p>
    <w:p w14:paraId="5076BECA" w14:textId="77777777" w:rsidR="001B58C7" w:rsidRDefault="001B58C7" w:rsidP="00B423B2">
      <w:pPr>
        <w:ind w:right="51"/>
        <w:rPr>
          <w:rFonts w:asciiTheme="minorHAnsi" w:hAnsiTheme="minorHAnsi" w:cstheme="minorHAnsi"/>
          <w:sz w:val="24"/>
          <w:szCs w:val="24"/>
          <w:lang w:val="es-CR"/>
        </w:rPr>
      </w:pPr>
    </w:p>
    <w:p w14:paraId="494F845A" w14:textId="77777777" w:rsidR="0057395F" w:rsidRPr="00D07970" w:rsidRDefault="0057395F" w:rsidP="00B423B2">
      <w:pPr>
        <w:ind w:right="51"/>
        <w:rPr>
          <w:rFonts w:asciiTheme="minorHAnsi" w:hAnsiTheme="minorHAnsi" w:cstheme="minorHAnsi"/>
          <w:sz w:val="24"/>
          <w:szCs w:val="24"/>
          <w:lang w:val="es-CR"/>
        </w:rPr>
      </w:pPr>
    </w:p>
    <w:p w14:paraId="58BFCE99" w14:textId="0A95437F" w:rsidR="00835C5D" w:rsidRPr="00D07970" w:rsidRDefault="00C1101B" w:rsidP="00C1101B">
      <w:pPr>
        <w:pStyle w:val="Prrafodelista"/>
        <w:numPr>
          <w:ilvl w:val="0"/>
          <w:numId w:val="18"/>
        </w:numPr>
        <w:outlineLvl w:val="2"/>
        <w:rPr>
          <w:rFonts w:asciiTheme="minorHAnsi" w:hAnsiTheme="minorHAnsi" w:cstheme="minorHAnsi"/>
          <w:b/>
          <w:bCs/>
          <w:i/>
          <w:iCs/>
          <w:sz w:val="24"/>
          <w:szCs w:val="24"/>
          <w:lang w:val="es-CR"/>
        </w:rPr>
      </w:pPr>
      <w:bookmarkStart w:id="43" w:name="_Toc94183032"/>
      <w:r w:rsidRPr="00D07970">
        <w:rPr>
          <w:rFonts w:asciiTheme="minorHAnsi" w:hAnsiTheme="minorHAnsi" w:cstheme="minorHAnsi"/>
          <w:b/>
          <w:bCs/>
          <w:i/>
          <w:iCs/>
          <w:sz w:val="24"/>
          <w:szCs w:val="24"/>
          <w:lang w:val="es-CR"/>
        </w:rPr>
        <w:t>C</w:t>
      </w:r>
      <w:r w:rsidR="008A524F" w:rsidRPr="00D07970">
        <w:rPr>
          <w:rFonts w:asciiTheme="minorHAnsi" w:hAnsiTheme="minorHAnsi" w:cstheme="minorHAnsi"/>
          <w:b/>
          <w:bCs/>
          <w:i/>
          <w:iCs/>
          <w:sz w:val="24"/>
          <w:szCs w:val="24"/>
          <w:lang w:val="es-CR"/>
        </w:rPr>
        <w:t>ongruencia del resultado de la liquidación del presupuesto -superávit o déficit-, con la información que reflejan los estados financieros</w:t>
      </w:r>
      <w:r w:rsidR="005F00A4" w:rsidRPr="00D07970">
        <w:rPr>
          <w:rFonts w:asciiTheme="minorHAnsi" w:hAnsiTheme="minorHAnsi" w:cstheme="minorHAnsi"/>
          <w:b/>
          <w:bCs/>
          <w:i/>
          <w:iCs/>
          <w:sz w:val="24"/>
          <w:szCs w:val="24"/>
          <w:lang w:val="es-CR"/>
        </w:rPr>
        <w:t>.</w:t>
      </w:r>
      <w:r w:rsidR="004D2574" w:rsidRPr="00D07970">
        <w:rPr>
          <w:rFonts w:asciiTheme="minorHAnsi" w:hAnsiTheme="minorHAnsi" w:cstheme="minorHAnsi"/>
          <w:b/>
          <w:bCs/>
          <w:i/>
          <w:iCs/>
          <w:sz w:val="24"/>
          <w:szCs w:val="24"/>
          <w:lang w:val="es-CR"/>
        </w:rPr>
        <w:t xml:space="preserve"> (4.3.19 c</w:t>
      </w:r>
      <w:r w:rsidR="0057395F" w:rsidRPr="00D07970">
        <w:rPr>
          <w:rFonts w:asciiTheme="minorHAnsi" w:hAnsiTheme="minorHAnsi" w:cstheme="minorHAnsi"/>
          <w:b/>
          <w:bCs/>
          <w:i/>
          <w:iCs/>
          <w:sz w:val="24"/>
          <w:szCs w:val="24"/>
          <w:lang w:val="es-CR"/>
        </w:rPr>
        <w:t>.</w:t>
      </w:r>
      <w:r w:rsidR="004D2574" w:rsidRPr="00D07970">
        <w:rPr>
          <w:rFonts w:asciiTheme="minorHAnsi" w:hAnsiTheme="minorHAnsi" w:cstheme="minorHAnsi"/>
          <w:b/>
          <w:bCs/>
          <w:i/>
          <w:iCs/>
          <w:sz w:val="24"/>
          <w:szCs w:val="24"/>
          <w:lang w:val="es-CR"/>
        </w:rPr>
        <w:t xml:space="preserve"> </w:t>
      </w:r>
      <w:proofErr w:type="spellStart"/>
      <w:r w:rsidR="004D2574" w:rsidRPr="00D07970">
        <w:rPr>
          <w:rFonts w:asciiTheme="minorHAnsi" w:hAnsiTheme="minorHAnsi" w:cstheme="minorHAnsi"/>
          <w:b/>
          <w:bCs/>
          <w:i/>
          <w:iCs/>
          <w:sz w:val="24"/>
          <w:szCs w:val="24"/>
          <w:lang w:val="es-CR"/>
        </w:rPr>
        <w:t>ii</w:t>
      </w:r>
      <w:proofErr w:type="spellEnd"/>
      <w:r w:rsidR="004D2574" w:rsidRPr="00D07970">
        <w:rPr>
          <w:rFonts w:asciiTheme="minorHAnsi" w:hAnsiTheme="minorHAnsi" w:cstheme="minorHAnsi"/>
          <w:b/>
          <w:bCs/>
          <w:i/>
          <w:iCs/>
          <w:sz w:val="24"/>
          <w:szCs w:val="24"/>
          <w:lang w:val="es-CR"/>
        </w:rPr>
        <w:t>)</w:t>
      </w:r>
      <w:bookmarkEnd w:id="43"/>
    </w:p>
    <w:p w14:paraId="422CCBB8" w14:textId="77777777" w:rsidR="00835C5D" w:rsidRPr="00D07970" w:rsidRDefault="00835C5D" w:rsidP="00AB2877">
      <w:pPr>
        <w:spacing w:line="360" w:lineRule="auto"/>
        <w:rPr>
          <w:rFonts w:asciiTheme="minorHAnsi" w:hAnsiTheme="minorHAnsi" w:cstheme="minorHAnsi"/>
          <w:sz w:val="24"/>
          <w:szCs w:val="24"/>
          <w:lang w:val="es-CR"/>
        </w:rPr>
      </w:pPr>
    </w:p>
    <w:bookmarkEnd w:id="36"/>
    <w:bookmarkEnd w:id="37"/>
    <w:bookmarkEnd w:id="38"/>
    <w:bookmarkEnd w:id="39"/>
    <w:bookmarkEnd w:id="40"/>
    <w:bookmarkEnd w:id="41"/>
    <w:p w14:paraId="502CA87A" w14:textId="2E2397FE" w:rsidR="000061DA" w:rsidRPr="00D07970" w:rsidRDefault="000061DA" w:rsidP="000061DA">
      <w:pPr>
        <w:spacing w:line="360" w:lineRule="auto"/>
        <w:rPr>
          <w:rFonts w:asciiTheme="minorHAnsi" w:hAnsiTheme="minorHAnsi" w:cstheme="minorHAnsi"/>
          <w:sz w:val="24"/>
          <w:szCs w:val="24"/>
          <w:lang w:val="es-CR"/>
        </w:rPr>
      </w:pPr>
      <w:r w:rsidRPr="00D07970">
        <w:rPr>
          <w:rFonts w:asciiTheme="minorHAnsi" w:hAnsiTheme="minorHAnsi" w:cstheme="minorHAnsi"/>
          <w:sz w:val="24"/>
          <w:szCs w:val="24"/>
          <w:lang w:val="es-CR"/>
        </w:rPr>
        <w:t xml:space="preserve">La SUPEN </w:t>
      </w:r>
      <w:r w:rsidR="00390403" w:rsidRPr="00D07970">
        <w:rPr>
          <w:rFonts w:asciiTheme="minorHAnsi" w:hAnsiTheme="minorHAnsi" w:cstheme="minorHAnsi"/>
          <w:sz w:val="24"/>
          <w:szCs w:val="24"/>
          <w:lang w:val="es-CR"/>
        </w:rPr>
        <w:t>es</w:t>
      </w:r>
      <w:r w:rsidRPr="00D07970">
        <w:rPr>
          <w:rFonts w:asciiTheme="minorHAnsi" w:hAnsiTheme="minorHAnsi" w:cstheme="minorHAnsi"/>
          <w:sz w:val="24"/>
          <w:szCs w:val="24"/>
          <w:lang w:val="es-CR"/>
        </w:rPr>
        <w:t xml:space="preserve"> un Órgano de Desconcentración Máxima adscrito al B</w:t>
      </w:r>
      <w:r w:rsidR="000F669E" w:rsidRPr="00D07970">
        <w:rPr>
          <w:rFonts w:asciiTheme="minorHAnsi" w:hAnsiTheme="minorHAnsi" w:cstheme="minorHAnsi"/>
          <w:sz w:val="24"/>
          <w:szCs w:val="24"/>
          <w:lang w:val="es-CR"/>
        </w:rPr>
        <w:t xml:space="preserve">anco </w:t>
      </w:r>
      <w:r w:rsidRPr="00D07970">
        <w:rPr>
          <w:rFonts w:asciiTheme="minorHAnsi" w:hAnsiTheme="minorHAnsi" w:cstheme="minorHAnsi"/>
          <w:sz w:val="24"/>
          <w:szCs w:val="24"/>
          <w:lang w:val="es-CR"/>
        </w:rPr>
        <w:t>C</w:t>
      </w:r>
      <w:r w:rsidR="000F669E" w:rsidRPr="00D07970">
        <w:rPr>
          <w:rFonts w:asciiTheme="minorHAnsi" w:hAnsiTheme="minorHAnsi" w:cstheme="minorHAnsi"/>
          <w:sz w:val="24"/>
          <w:szCs w:val="24"/>
          <w:lang w:val="es-CR"/>
        </w:rPr>
        <w:t xml:space="preserve">entral de </w:t>
      </w:r>
      <w:r w:rsidRPr="00D07970">
        <w:rPr>
          <w:rFonts w:asciiTheme="minorHAnsi" w:hAnsiTheme="minorHAnsi" w:cstheme="minorHAnsi"/>
          <w:sz w:val="24"/>
          <w:szCs w:val="24"/>
          <w:lang w:val="es-CR"/>
        </w:rPr>
        <w:t>C</w:t>
      </w:r>
      <w:r w:rsidR="000F669E" w:rsidRPr="00D07970">
        <w:rPr>
          <w:rFonts w:asciiTheme="minorHAnsi" w:hAnsiTheme="minorHAnsi" w:cstheme="minorHAnsi"/>
          <w:sz w:val="24"/>
          <w:szCs w:val="24"/>
          <w:lang w:val="es-CR"/>
        </w:rPr>
        <w:t xml:space="preserve">osta </w:t>
      </w:r>
      <w:r w:rsidRPr="00D07970">
        <w:rPr>
          <w:rFonts w:asciiTheme="minorHAnsi" w:hAnsiTheme="minorHAnsi" w:cstheme="minorHAnsi"/>
          <w:sz w:val="24"/>
          <w:szCs w:val="24"/>
          <w:lang w:val="es-CR"/>
        </w:rPr>
        <w:t>R</w:t>
      </w:r>
      <w:r w:rsidR="000F669E" w:rsidRPr="00D07970">
        <w:rPr>
          <w:rFonts w:asciiTheme="minorHAnsi" w:hAnsiTheme="minorHAnsi" w:cstheme="minorHAnsi"/>
          <w:sz w:val="24"/>
          <w:szCs w:val="24"/>
          <w:lang w:val="es-CR"/>
        </w:rPr>
        <w:t>ica</w:t>
      </w:r>
      <w:r w:rsidR="005375DF">
        <w:rPr>
          <w:rFonts w:asciiTheme="minorHAnsi" w:hAnsiTheme="minorHAnsi" w:cstheme="minorHAnsi"/>
          <w:sz w:val="24"/>
          <w:szCs w:val="24"/>
          <w:lang w:val="es-CR"/>
        </w:rPr>
        <w:t xml:space="preserve"> (BCCR)</w:t>
      </w:r>
      <w:r w:rsidRPr="00D07970">
        <w:rPr>
          <w:rFonts w:asciiTheme="minorHAnsi" w:hAnsiTheme="minorHAnsi" w:cstheme="minorHAnsi"/>
          <w:sz w:val="24"/>
          <w:szCs w:val="24"/>
          <w:lang w:val="es-CR"/>
        </w:rPr>
        <w:t xml:space="preserve">, </w:t>
      </w:r>
      <w:r w:rsidR="006C1738" w:rsidRPr="00D07970">
        <w:rPr>
          <w:rFonts w:asciiTheme="minorHAnsi" w:hAnsiTheme="minorHAnsi" w:cstheme="minorHAnsi"/>
          <w:sz w:val="24"/>
          <w:szCs w:val="24"/>
          <w:lang w:val="es-CR"/>
        </w:rPr>
        <w:t>por lo que</w:t>
      </w:r>
      <w:r w:rsidR="00390403" w:rsidRPr="00D07970">
        <w:rPr>
          <w:rFonts w:asciiTheme="minorHAnsi" w:hAnsiTheme="minorHAnsi" w:cstheme="minorHAnsi"/>
          <w:sz w:val="24"/>
          <w:szCs w:val="24"/>
          <w:lang w:val="es-CR"/>
        </w:rPr>
        <w:t xml:space="preserve">, </w:t>
      </w:r>
      <w:r w:rsidRPr="00D07970">
        <w:rPr>
          <w:rFonts w:asciiTheme="minorHAnsi" w:hAnsiTheme="minorHAnsi" w:cstheme="minorHAnsi"/>
          <w:sz w:val="24"/>
          <w:szCs w:val="24"/>
          <w:lang w:val="es-CR"/>
        </w:rPr>
        <w:t xml:space="preserve">no emite estados financieros, esos documentos se incluyen en el legajo que el BCCR </w:t>
      </w:r>
      <w:r w:rsidR="009662E4" w:rsidRPr="00D07970">
        <w:rPr>
          <w:rFonts w:asciiTheme="minorHAnsi" w:hAnsiTheme="minorHAnsi" w:cstheme="minorHAnsi"/>
          <w:sz w:val="24"/>
          <w:szCs w:val="24"/>
          <w:lang w:val="es-CR"/>
        </w:rPr>
        <w:t xml:space="preserve">remite a través del </w:t>
      </w:r>
      <w:r w:rsidRPr="00D07970">
        <w:rPr>
          <w:rFonts w:asciiTheme="minorHAnsi" w:hAnsiTheme="minorHAnsi" w:cstheme="minorHAnsi"/>
          <w:sz w:val="24"/>
          <w:szCs w:val="24"/>
          <w:lang w:val="es-CR"/>
        </w:rPr>
        <w:t xml:space="preserve">sistema de presupuestos públicos de la Contraloría General de la República, </w:t>
      </w:r>
      <w:r w:rsidR="00925B52" w:rsidRPr="00D07970">
        <w:rPr>
          <w:rFonts w:asciiTheme="minorHAnsi" w:hAnsiTheme="minorHAnsi" w:cstheme="minorHAnsi"/>
          <w:sz w:val="24"/>
          <w:szCs w:val="24"/>
          <w:lang w:val="es-CR"/>
        </w:rPr>
        <w:t>dada esa particularidad</w:t>
      </w:r>
      <w:r w:rsidRPr="00D07970">
        <w:rPr>
          <w:rFonts w:asciiTheme="minorHAnsi" w:hAnsiTheme="minorHAnsi" w:cstheme="minorHAnsi"/>
          <w:sz w:val="24"/>
          <w:szCs w:val="24"/>
          <w:lang w:val="es-CR"/>
        </w:rPr>
        <w:t xml:space="preserve">, no se adjunta </w:t>
      </w:r>
      <w:r w:rsidR="00916788" w:rsidRPr="00D07970">
        <w:rPr>
          <w:rFonts w:asciiTheme="minorHAnsi" w:hAnsiTheme="minorHAnsi" w:cstheme="minorHAnsi"/>
          <w:sz w:val="24"/>
          <w:szCs w:val="24"/>
          <w:lang w:val="es-CR"/>
        </w:rPr>
        <w:t xml:space="preserve">en este </w:t>
      </w:r>
      <w:r w:rsidR="0059232B" w:rsidRPr="00D07970">
        <w:rPr>
          <w:rFonts w:asciiTheme="minorHAnsi" w:hAnsiTheme="minorHAnsi" w:cstheme="minorHAnsi"/>
          <w:sz w:val="24"/>
          <w:szCs w:val="24"/>
          <w:lang w:val="es-CR"/>
        </w:rPr>
        <w:t>reporte</w:t>
      </w:r>
      <w:r w:rsidR="00916788" w:rsidRPr="00D07970">
        <w:rPr>
          <w:rFonts w:asciiTheme="minorHAnsi" w:hAnsiTheme="minorHAnsi" w:cstheme="minorHAnsi"/>
          <w:sz w:val="24"/>
          <w:szCs w:val="24"/>
          <w:lang w:val="es-CR"/>
        </w:rPr>
        <w:t xml:space="preserve"> </w:t>
      </w:r>
      <w:r w:rsidR="00F873F7" w:rsidRPr="00D07970">
        <w:rPr>
          <w:rFonts w:asciiTheme="minorHAnsi" w:hAnsiTheme="minorHAnsi" w:cstheme="minorHAnsi"/>
          <w:sz w:val="24"/>
          <w:szCs w:val="24"/>
          <w:lang w:val="es-CR"/>
        </w:rPr>
        <w:t>los</w:t>
      </w:r>
      <w:r w:rsidRPr="00D07970">
        <w:rPr>
          <w:rFonts w:asciiTheme="minorHAnsi" w:hAnsiTheme="minorHAnsi" w:cstheme="minorHAnsi"/>
          <w:sz w:val="24"/>
          <w:szCs w:val="24"/>
          <w:lang w:val="es-CR"/>
        </w:rPr>
        <w:t xml:space="preserve"> estado</w:t>
      </w:r>
      <w:r w:rsidR="00F873F7" w:rsidRPr="00D07970">
        <w:rPr>
          <w:rFonts w:asciiTheme="minorHAnsi" w:hAnsiTheme="minorHAnsi" w:cstheme="minorHAnsi"/>
          <w:sz w:val="24"/>
          <w:szCs w:val="24"/>
          <w:lang w:val="es-CR"/>
        </w:rPr>
        <w:t>s</w:t>
      </w:r>
      <w:r w:rsidRPr="00D07970">
        <w:rPr>
          <w:rFonts w:asciiTheme="minorHAnsi" w:hAnsiTheme="minorHAnsi" w:cstheme="minorHAnsi"/>
          <w:sz w:val="24"/>
          <w:szCs w:val="24"/>
          <w:lang w:val="es-CR"/>
        </w:rPr>
        <w:t xml:space="preserve"> financiero</w:t>
      </w:r>
      <w:r w:rsidR="00F873F7" w:rsidRPr="00D07970">
        <w:rPr>
          <w:rFonts w:asciiTheme="minorHAnsi" w:hAnsiTheme="minorHAnsi" w:cstheme="minorHAnsi"/>
          <w:sz w:val="24"/>
          <w:szCs w:val="24"/>
          <w:lang w:val="es-CR"/>
        </w:rPr>
        <w:t>s</w:t>
      </w:r>
      <w:r w:rsidRPr="00D07970">
        <w:rPr>
          <w:rFonts w:asciiTheme="minorHAnsi" w:hAnsiTheme="minorHAnsi" w:cstheme="minorHAnsi"/>
          <w:sz w:val="24"/>
          <w:szCs w:val="24"/>
          <w:lang w:val="es-CR"/>
        </w:rPr>
        <w:t xml:space="preserve"> que demuestre</w:t>
      </w:r>
      <w:r w:rsidR="00F873F7" w:rsidRPr="00D07970">
        <w:rPr>
          <w:rFonts w:asciiTheme="minorHAnsi" w:hAnsiTheme="minorHAnsi" w:cstheme="minorHAnsi"/>
          <w:sz w:val="24"/>
          <w:szCs w:val="24"/>
          <w:lang w:val="es-CR"/>
        </w:rPr>
        <w:t>n</w:t>
      </w:r>
      <w:r w:rsidRPr="00D07970">
        <w:rPr>
          <w:rFonts w:asciiTheme="minorHAnsi" w:hAnsiTheme="minorHAnsi" w:cstheme="minorHAnsi"/>
          <w:sz w:val="24"/>
          <w:szCs w:val="24"/>
          <w:lang w:val="es-CR"/>
        </w:rPr>
        <w:t xml:space="preserve"> la congruencia de los informes de ejecución presupuestaria con los datos de los estados financieros.</w:t>
      </w:r>
    </w:p>
    <w:p w14:paraId="2EE79283" w14:textId="77777777" w:rsidR="00C21DCE" w:rsidRPr="00D07970" w:rsidRDefault="00C21DCE" w:rsidP="000061DA">
      <w:pPr>
        <w:spacing w:line="360" w:lineRule="auto"/>
        <w:rPr>
          <w:rFonts w:asciiTheme="minorHAnsi" w:hAnsiTheme="minorHAnsi" w:cstheme="minorHAnsi"/>
          <w:sz w:val="24"/>
          <w:szCs w:val="24"/>
          <w:lang w:val="es-CR"/>
        </w:rPr>
      </w:pPr>
    </w:p>
    <w:p w14:paraId="09F1785B" w14:textId="6F8961FE" w:rsidR="003B2FFD" w:rsidRPr="00D07970" w:rsidRDefault="00D07970" w:rsidP="00C21DCE">
      <w:pPr>
        <w:pStyle w:val="Prrafodelista"/>
        <w:numPr>
          <w:ilvl w:val="0"/>
          <w:numId w:val="18"/>
        </w:numPr>
        <w:outlineLvl w:val="2"/>
        <w:rPr>
          <w:rFonts w:asciiTheme="minorHAnsi" w:hAnsiTheme="minorHAnsi" w:cstheme="minorHAnsi"/>
          <w:b/>
          <w:bCs/>
          <w:i/>
          <w:iCs/>
          <w:sz w:val="24"/>
          <w:szCs w:val="24"/>
          <w:lang w:val="es-CR"/>
        </w:rPr>
      </w:pPr>
      <w:bookmarkStart w:id="44" w:name="_Toc94183033"/>
      <w:r w:rsidRPr="00D07970">
        <w:rPr>
          <w:rFonts w:asciiTheme="minorHAnsi" w:hAnsiTheme="minorHAnsi" w:cstheme="minorHAnsi"/>
          <w:b/>
          <w:bCs/>
          <w:i/>
          <w:iCs/>
          <w:sz w:val="24"/>
          <w:szCs w:val="24"/>
          <w:lang w:val="es-CR"/>
        </w:rPr>
        <w:t>Es</w:t>
      </w:r>
      <w:r w:rsidR="00C21DCE" w:rsidRPr="00D07970">
        <w:rPr>
          <w:rFonts w:asciiTheme="minorHAnsi" w:hAnsiTheme="minorHAnsi" w:cstheme="minorHAnsi"/>
          <w:b/>
          <w:bCs/>
          <w:i/>
          <w:iCs/>
          <w:sz w:val="24"/>
          <w:szCs w:val="24"/>
          <w:lang w:val="es-CR"/>
        </w:rPr>
        <w:t>tados financieros que la institución debe emitir de acuerdo con la normativa</w:t>
      </w:r>
      <w:r w:rsidR="00056014" w:rsidRPr="00D07970">
        <w:rPr>
          <w:rFonts w:asciiTheme="minorHAnsi" w:hAnsiTheme="minorHAnsi" w:cstheme="minorHAnsi"/>
          <w:b/>
          <w:bCs/>
          <w:i/>
          <w:iCs/>
          <w:sz w:val="24"/>
          <w:szCs w:val="24"/>
          <w:lang w:val="es-CR"/>
        </w:rPr>
        <w:t>.</w:t>
      </w:r>
      <w:r w:rsidR="0057395F" w:rsidRPr="00D07970">
        <w:rPr>
          <w:rFonts w:asciiTheme="minorHAnsi" w:hAnsiTheme="minorHAnsi" w:cstheme="minorHAnsi"/>
          <w:b/>
          <w:bCs/>
          <w:i/>
          <w:iCs/>
          <w:sz w:val="24"/>
          <w:szCs w:val="24"/>
          <w:lang w:val="es-CR"/>
        </w:rPr>
        <w:t xml:space="preserve"> (4.3.19 c. </w:t>
      </w:r>
      <w:proofErr w:type="spellStart"/>
      <w:r w:rsidR="0057395F" w:rsidRPr="00D07970">
        <w:rPr>
          <w:rFonts w:asciiTheme="minorHAnsi" w:hAnsiTheme="minorHAnsi" w:cstheme="minorHAnsi"/>
          <w:b/>
          <w:bCs/>
          <w:i/>
          <w:iCs/>
          <w:sz w:val="24"/>
          <w:szCs w:val="24"/>
          <w:lang w:val="es-CR"/>
        </w:rPr>
        <w:t>iii</w:t>
      </w:r>
      <w:proofErr w:type="spellEnd"/>
      <w:r w:rsidR="0057395F" w:rsidRPr="00D07970">
        <w:rPr>
          <w:rFonts w:asciiTheme="minorHAnsi" w:hAnsiTheme="minorHAnsi" w:cstheme="minorHAnsi"/>
          <w:b/>
          <w:bCs/>
          <w:i/>
          <w:iCs/>
          <w:sz w:val="24"/>
          <w:szCs w:val="24"/>
          <w:lang w:val="es-CR"/>
        </w:rPr>
        <w:t>)</w:t>
      </w:r>
      <w:bookmarkEnd w:id="44"/>
    </w:p>
    <w:p w14:paraId="2C934473" w14:textId="77777777" w:rsidR="00C21DCE" w:rsidRPr="00D07970" w:rsidRDefault="00C21DCE" w:rsidP="003F5AD7">
      <w:pPr>
        <w:pStyle w:val="Textoindependiente"/>
        <w:numPr>
          <w:ilvl w:val="0"/>
          <w:numId w:val="0"/>
        </w:numPr>
        <w:spacing w:line="360" w:lineRule="auto"/>
        <w:rPr>
          <w:rFonts w:asciiTheme="minorHAnsi" w:hAnsiTheme="minorHAnsi" w:cstheme="minorHAnsi"/>
          <w:szCs w:val="24"/>
          <w:lang w:val="es-CR"/>
        </w:rPr>
      </w:pPr>
    </w:p>
    <w:p w14:paraId="0B997645" w14:textId="0A3DDC4C" w:rsidR="009E21D1" w:rsidRPr="00D07970" w:rsidRDefault="009E21D1" w:rsidP="003F5AD7">
      <w:pPr>
        <w:pStyle w:val="Textoindependiente"/>
        <w:numPr>
          <w:ilvl w:val="0"/>
          <w:numId w:val="0"/>
        </w:numPr>
        <w:spacing w:line="360" w:lineRule="auto"/>
        <w:rPr>
          <w:rFonts w:asciiTheme="minorHAnsi" w:hAnsiTheme="minorHAnsi" w:cstheme="minorHAnsi"/>
          <w:szCs w:val="24"/>
          <w:lang w:val="es-CR"/>
        </w:rPr>
      </w:pPr>
      <w:r w:rsidRPr="00D07970">
        <w:rPr>
          <w:rFonts w:asciiTheme="minorHAnsi" w:hAnsiTheme="minorHAnsi" w:cstheme="minorHAnsi"/>
          <w:szCs w:val="24"/>
          <w:lang w:val="es-CR"/>
        </w:rPr>
        <w:t xml:space="preserve">En esta sección </w:t>
      </w:r>
      <w:r w:rsidR="003F5AD7" w:rsidRPr="00D07970">
        <w:rPr>
          <w:rFonts w:asciiTheme="minorHAnsi" w:hAnsiTheme="minorHAnsi" w:cstheme="minorHAnsi"/>
          <w:szCs w:val="24"/>
          <w:lang w:val="es-CR"/>
        </w:rPr>
        <w:t>corresponde incluir los estados financiero</w:t>
      </w:r>
      <w:r w:rsidR="00A342DE" w:rsidRPr="00D07970">
        <w:rPr>
          <w:rFonts w:asciiTheme="minorHAnsi" w:hAnsiTheme="minorHAnsi" w:cstheme="minorHAnsi"/>
          <w:szCs w:val="24"/>
          <w:lang w:val="es-CR"/>
        </w:rPr>
        <w:t>s</w:t>
      </w:r>
      <w:r w:rsidR="003F5AD7" w:rsidRPr="00D07970">
        <w:rPr>
          <w:rFonts w:asciiTheme="minorHAnsi" w:hAnsiTheme="minorHAnsi" w:cstheme="minorHAnsi"/>
          <w:szCs w:val="24"/>
          <w:lang w:val="es-CR"/>
        </w:rPr>
        <w:t xml:space="preserve">, </w:t>
      </w:r>
      <w:r w:rsidR="00391E4A" w:rsidRPr="00D07970">
        <w:rPr>
          <w:rFonts w:asciiTheme="minorHAnsi" w:hAnsiTheme="minorHAnsi" w:cstheme="minorHAnsi"/>
          <w:szCs w:val="24"/>
          <w:lang w:val="es-CR"/>
        </w:rPr>
        <w:t xml:space="preserve">por </w:t>
      </w:r>
      <w:r w:rsidR="003F5AD7" w:rsidRPr="00D07970">
        <w:rPr>
          <w:rFonts w:asciiTheme="minorHAnsi" w:hAnsiTheme="minorHAnsi" w:cstheme="minorHAnsi"/>
          <w:szCs w:val="24"/>
          <w:lang w:val="es-CR"/>
        </w:rPr>
        <w:t xml:space="preserve">las razones expuestas en el </w:t>
      </w:r>
      <w:r w:rsidR="00536F81" w:rsidRPr="00D07970">
        <w:rPr>
          <w:rFonts w:asciiTheme="minorHAnsi" w:hAnsiTheme="minorHAnsi" w:cstheme="minorHAnsi"/>
          <w:szCs w:val="24"/>
          <w:lang w:val="es-CR"/>
        </w:rPr>
        <w:t>punto</w:t>
      </w:r>
      <w:r w:rsidR="003F5AD7" w:rsidRPr="00D07970">
        <w:rPr>
          <w:rFonts w:asciiTheme="minorHAnsi" w:hAnsiTheme="minorHAnsi" w:cstheme="minorHAnsi"/>
          <w:szCs w:val="24"/>
          <w:lang w:val="es-CR"/>
        </w:rPr>
        <w:t xml:space="preserve"> anterior </w:t>
      </w:r>
      <w:r w:rsidRPr="00D07970">
        <w:rPr>
          <w:rFonts w:asciiTheme="minorHAnsi" w:hAnsiTheme="minorHAnsi" w:cstheme="minorHAnsi"/>
          <w:szCs w:val="24"/>
          <w:lang w:val="es-CR"/>
        </w:rPr>
        <w:t xml:space="preserve">no se adjuntan </w:t>
      </w:r>
      <w:r w:rsidR="003F5AD7" w:rsidRPr="00D07970">
        <w:rPr>
          <w:rFonts w:asciiTheme="minorHAnsi" w:hAnsiTheme="minorHAnsi" w:cstheme="minorHAnsi"/>
          <w:szCs w:val="24"/>
          <w:lang w:val="es-CR"/>
        </w:rPr>
        <w:t>esos documentos</w:t>
      </w:r>
      <w:r w:rsidRPr="00D07970">
        <w:rPr>
          <w:rFonts w:asciiTheme="minorHAnsi" w:hAnsiTheme="minorHAnsi" w:cstheme="minorHAnsi"/>
          <w:szCs w:val="24"/>
          <w:lang w:val="es-CR"/>
        </w:rPr>
        <w:t>.</w:t>
      </w:r>
      <w:r w:rsidR="00D922F0" w:rsidRPr="00D07970">
        <w:rPr>
          <w:rFonts w:asciiTheme="minorHAnsi" w:hAnsiTheme="minorHAnsi" w:cstheme="minorHAnsi"/>
          <w:szCs w:val="24"/>
          <w:lang w:val="es-CR"/>
        </w:rPr>
        <w:t xml:space="preserve"> </w:t>
      </w:r>
    </w:p>
    <w:p w14:paraId="4DF3BBCB" w14:textId="56C2A365" w:rsidR="009E21D1" w:rsidRPr="00D07970" w:rsidRDefault="009E21D1" w:rsidP="00225437">
      <w:pPr>
        <w:pStyle w:val="Textoindependiente"/>
        <w:numPr>
          <w:ilvl w:val="0"/>
          <w:numId w:val="0"/>
        </w:numPr>
        <w:rPr>
          <w:rFonts w:asciiTheme="minorHAnsi" w:hAnsiTheme="minorHAnsi" w:cstheme="minorHAnsi"/>
          <w:szCs w:val="24"/>
          <w:lang w:val="es-CR"/>
        </w:rPr>
      </w:pPr>
    </w:p>
    <w:p w14:paraId="0403387B" w14:textId="0E3C24E5" w:rsidR="009B78C0" w:rsidRPr="00D07970" w:rsidRDefault="009B78C0" w:rsidP="00C053AB">
      <w:pPr>
        <w:pStyle w:val="Prrafodelista"/>
        <w:numPr>
          <w:ilvl w:val="0"/>
          <w:numId w:val="18"/>
        </w:numPr>
        <w:outlineLvl w:val="2"/>
        <w:rPr>
          <w:rFonts w:asciiTheme="minorHAnsi" w:hAnsiTheme="minorHAnsi" w:cstheme="minorHAnsi"/>
          <w:b/>
          <w:bCs/>
          <w:i/>
          <w:iCs/>
          <w:sz w:val="24"/>
          <w:szCs w:val="24"/>
          <w:lang w:val="es-CR"/>
        </w:rPr>
      </w:pPr>
      <w:bookmarkStart w:id="45" w:name="_Toc94183034"/>
      <w:r w:rsidRPr="00D07970">
        <w:rPr>
          <w:rFonts w:asciiTheme="minorHAnsi" w:hAnsiTheme="minorHAnsi" w:cstheme="minorHAnsi"/>
          <w:b/>
          <w:bCs/>
          <w:i/>
          <w:iCs/>
          <w:sz w:val="24"/>
          <w:szCs w:val="24"/>
          <w:lang w:val="es-CR"/>
        </w:rPr>
        <w:t>La situación económico-financiera global de la institución, con base en la información de los estados financieros en complemento de la ejecución presupuestaria.</w:t>
      </w:r>
      <w:r w:rsidR="002414A1" w:rsidRPr="00D07970">
        <w:rPr>
          <w:rFonts w:asciiTheme="minorHAnsi" w:hAnsiTheme="minorHAnsi" w:cstheme="minorHAnsi"/>
          <w:b/>
          <w:bCs/>
          <w:i/>
          <w:iCs/>
          <w:sz w:val="24"/>
          <w:szCs w:val="24"/>
          <w:lang w:val="es-CR"/>
        </w:rPr>
        <w:t xml:space="preserve"> (4.3.19 c. </w:t>
      </w:r>
      <w:proofErr w:type="spellStart"/>
      <w:r w:rsidR="002414A1" w:rsidRPr="00D07970">
        <w:rPr>
          <w:rFonts w:asciiTheme="minorHAnsi" w:hAnsiTheme="minorHAnsi" w:cstheme="minorHAnsi"/>
          <w:b/>
          <w:bCs/>
          <w:i/>
          <w:iCs/>
          <w:sz w:val="24"/>
          <w:szCs w:val="24"/>
          <w:lang w:val="es-CR"/>
        </w:rPr>
        <w:t>iv</w:t>
      </w:r>
      <w:proofErr w:type="spellEnd"/>
      <w:r w:rsidR="002414A1" w:rsidRPr="00D07970">
        <w:rPr>
          <w:rFonts w:asciiTheme="minorHAnsi" w:hAnsiTheme="minorHAnsi" w:cstheme="minorHAnsi"/>
          <w:b/>
          <w:bCs/>
          <w:i/>
          <w:iCs/>
          <w:sz w:val="24"/>
          <w:szCs w:val="24"/>
          <w:lang w:val="es-CR"/>
        </w:rPr>
        <w:t>)</w:t>
      </w:r>
      <w:bookmarkEnd w:id="45"/>
    </w:p>
    <w:p w14:paraId="6202B770" w14:textId="77777777" w:rsidR="009B78C0" w:rsidRPr="00D07970" w:rsidRDefault="009B78C0" w:rsidP="00225437">
      <w:pPr>
        <w:pStyle w:val="Textoindependiente"/>
        <w:numPr>
          <w:ilvl w:val="0"/>
          <w:numId w:val="0"/>
        </w:numPr>
        <w:rPr>
          <w:rFonts w:asciiTheme="minorHAnsi" w:hAnsiTheme="minorHAnsi" w:cstheme="minorHAnsi"/>
          <w:szCs w:val="24"/>
          <w:lang w:val="es-CR"/>
        </w:rPr>
      </w:pPr>
    </w:p>
    <w:p w14:paraId="14DE0E57" w14:textId="4391BF14" w:rsidR="00512A87" w:rsidRPr="00D07970" w:rsidRDefault="009C523A" w:rsidP="00225437">
      <w:pPr>
        <w:pStyle w:val="Textoindependiente"/>
        <w:numPr>
          <w:ilvl w:val="0"/>
          <w:numId w:val="0"/>
        </w:numPr>
        <w:rPr>
          <w:rFonts w:asciiTheme="minorHAnsi" w:hAnsiTheme="minorHAnsi" w:cstheme="minorHAnsi"/>
          <w:szCs w:val="24"/>
          <w:lang w:val="es-CR"/>
        </w:rPr>
      </w:pPr>
      <w:r w:rsidRPr="00D07970">
        <w:rPr>
          <w:rFonts w:asciiTheme="minorHAnsi" w:hAnsiTheme="minorHAnsi" w:cstheme="minorHAnsi"/>
          <w:szCs w:val="24"/>
          <w:lang w:val="es-CR"/>
        </w:rPr>
        <w:t xml:space="preserve">Conforme se ha indicado en los puntos anteriores el </w:t>
      </w:r>
      <w:r w:rsidR="00A1362E" w:rsidRPr="00D07970">
        <w:rPr>
          <w:rFonts w:asciiTheme="minorHAnsi" w:hAnsiTheme="minorHAnsi" w:cstheme="minorHAnsi"/>
          <w:szCs w:val="24"/>
          <w:lang w:val="es-CR"/>
        </w:rPr>
        <w:t>financi</w:t>
      </w:r>
      <w:r w:rsidR="00964E12" w:rsidRPr="00D07970">
        <w:rPr>
          <w:rFonts w:asciiTheme="minorHAnsi" w:hAnsiTheme="minorHAnsi" w:cstheme="minorHAnsi"/>
          <w:szCs w:val="24"/>
          <w:lang w:val="es-CR"/>
        </w:rPr>
        <w:t xml:space="preserve">amiento del </w:t>
      </w:r>
      <w:r w:rsidRPr="00D07970">
        <w:rPr>
          <w:rFonts w:asciiTheme="minorHAnsi" w:hAnsiTheme="minorHAnsi" w:cstheme="minorHAnsi"/>
          <w:szCs w:val="24"/>
          <w:lang w:val="es-CR"/>
        </w:rPr>
        <w:t xml:space="preserve">presupuesto </w:t>
      </w:r>
      <w:r w:rsidR="00EC2721" w:rsidRPr="00D07970">
        <w:rPr>
          <w:rFonts w:asciiTheme="minorHAnsi" w:hAnsiTheme="minorHAnsi" w:cstheme="minorHAnsi"/>
          <w:szCs w:val="24"/>
          <w:lang w:val="es-CR"/>
        </w:rPr>
        <w:t>de la SUPEN</w:t>
      </w:r>
      <w:r w:rsidR="00964E12" w:rsidRPr="00D07970">
        <w:rPr>
          <w:rFonts w:asciiTheme="minorHAnsi" w:hAnsiTheme="minorHAnsi" w:cstheme="minorHAnsi"/>
          <w:szCs w:val="24"/>
          <w:lang w:val="es-CR"/>
        </w:rPr>
        <w:t xml:space="preserve">, </w:t>
      </w:r>
      <w:r w:rsidR="00290A49" w:rsidRPr="00D07970">
        <w:rPr>
          <w:rFonts w:asciiTheme="minorHAnsi" w:hAnsiTheme="minorHAnsi" w:cstheme="minorHAnsi"/>
          <w:szCs w:val="24"/>
          <w:lang w:val="es-CR"/>
        </w:rPr>
        <w:t>lo establece la</w:t>
      </w:r>
      <w:r w:rsidR="00964E12" w:rsidRPr="00D07970">
        <w:rPr>
          <w:rFonts w:asciiTheme="minorHAnsi" w:hAnsiTheme="minorHAnsi" w:cstheme="minorHAnsi"/>
          <w:szCs w:val="24"/>
          <w:lang w:val="es-CR"/>
        </w:rPr>
        <w:t xml:space="preserve"> Ley Reguladora del Mercado de Valores N°7732, artículo 174, que entre otras cosas </w:t>
      </w:r>
      <w:r w:rsidR="007E344F" w:rsidRPr="00D07970">
        <w:rPr>
          <w:rFonts w:asciiTheme="minorHAnsi" w:hAnsiTheme="minorHAnsi" w:cstheme="minorHAnsi"/>
          <w:szCs w:val="24"/>
          <w:lang w:val="es-CR"/>
        </w:rPr>
        <w:t>indica</w:t>
      </w:r>
      <w:r w:rsidR="00964E12" w:rsidRPr="00D07970">
        <w:rPr>
          <w:rFonts w:asciiTheme="minorHAnsi" w:hAnsiTheme="minorHAnsi" w:cstheme="minorHAnsi"/>
          <w:szCs w:val="24"/>
          <w:lang w:val="es-CR"/>
        </w:rPr>
        <w:t xml:space="preserve">: </w:t>
      </w:r>
      <w:r w:rsidR="00964E12" w:rsidRPr="00D07970">
        <w:rPr>
          <w:rFonts w:asciiTheme="minorHAnsi" w:hAnsiTheme="minorHAnsi" w:cstheme="minorHAnsi"/>
          <w:i/>
          <w:iCs/>
          <w:szCs w:val="24"/>
          <w:lang w:val="es-CR"/>
        </w:rPr>
        <w:t>El presupuesto de las superintendencias será financiado en un ochenta por ciento (80%) con recursos provenientes del BCCR y en un veinte por ciento (20%) de los gastos efectivamente incurridos</w:t>
      </w:r>
      <w:r w:rsidR="007E344F" w:rsidRPr="00D07970">
        <w:rPr>
          <w:rFonts w:asciiTheme="minorHAnsi" w:hAnsiTheme="minorHAnsi" w:cstheme="minorHAnsi"/>
          <w:szCs w:val="24"/>
          <w:lang w:val="es-CR"/>
        </w:rPr>
        <w:t>.</w:t>
      </w:r>
    </w:p>
    <w:p w14:paraId="495C2879" w14:textId="22C7A92F" w:rsidR="009A2EC8" w:rsidRPr="00D07970" w:rsidRDefault="009A2EC8" w:rsidP="00225437">
      <w:pPr>
        <w:pStyle w:val="Textoindependiente"/>
        <w:numPr>
          <w:ilvl w:val="0"/>
          <w:numId w:val="0"/>
        </w:numPr>
        <w:rPr>
          <w:rFonts w:asciiTheme="minorHAnsi" w:hAnsiTheme="minorHAnsi" w:cstheme="minorHAnsi"/>
          <w:szCs w:val="24"/>
          <w:lang w:val="es-CR"/>
        </w:rPr>
      </w:pPr>
    </w:p>
    <w:p w14:paraId="60B2312F" w14:textId="403FDEDA" w:rsidR="00F913EA" w:rsidRPr="00D07970" w:rsidRDefault="00F913EA" w:rsidP="00225437">
      <w:pPr>
        <w:pStyle w:val="Textoindependiente"/>
        <w:numPr>
          <w:ilvl w:val="0"/>
          <w:numId w:val="0"/>
        </w:numPr>
        <w:rPr>
          <w:rFonts w:asciiTheme="minorHAnsi" w:hAnsiTheme="minorHAnsi" w:cstheme="minorHAnsi"/>
          <w:szCs w:val="24"/>
          <w:lang w:val="es-CR"/>
        </w:rPr>
      </w:pPr>
      <w:r w:rsidRPr="00D07970">
        <w:rPr>
          <w:rFonts w:asciiTheme="minorHAnsi" w:hAnsiTheme="minorHAnsi" w:cstheme="minorHAnsi"/>
          <w:szCs w:val="24"/>
          <w:lang w:val="es-CR"/>
        </w:rPr>
        <w:t xml:space="preserve">Es por esa razón que </w:t>
      </w:r>
      <w:r w:rsidR="00B542A6" w:rsidRPr="00D07970">
        <w:rPr>
          <w:rFonts w:asciiTheme="minorHAnsi" w:hAnsiTheme="minorHAnsi" w:cstheme="minorHAnsi"/>
          <w:szCs w:val="24"/>
          <w:lang w:val="es-CR"/>
        </w:rPr>
        <w:t>no aplica presentar</w:t>
      </w:r>
      <w:r w:rsidRPr="00D07970">
        <w:rPr>
          <w:rFonts w:asciiTheme="minorHAnsi" w:hAnsiTheme="minorHAnsi" w:cstheme="minorHAnsi"/>
          <w:szCs w:val="24"/>
          <w:lang w:val="es-CR"/>
        </w:rPr>
        <w:t xml:space="preserve"> la situación económica-financiera global de la institución</w:t>
      </w:r>
      <w:r w:rsidR="00B542A6" w:rsidRPr="00D07970">
        <w:rPr>
          <w:rFonts w:asciiTheme="minorHAnsi" w:hAnsiTheme="minorHAnsi" w:cstheme="minorHAnsi"/>
          <w:szCs w:val="24"/>
          <w:lang w:val="es-CR"/>
        </w:rPr>
        <w:t>.</w:t>
      </w:r>
    </w:p>
    <w:p w14:paraId="5E34EC4C" w14:textId="6D55384B" w:rsidR="003261C7" w:rsidRPr="00D07970" w:rsidRDefault="003261C7">
      <w:pPr>
        <w:spacing w:line="240" w:lineRule="auto"/>
        <w:jc w:val="left"/>
        <w:rPr>
          <w:rFonts w:asciiTheme="minorHAnsi" w:hAnsiTheme="minorHAnsi" w:cstheme="minorHAnsi"/>
          <w:szCs w:val="24"/>
          <w:lang w:val="es-CR"/>
        </w:rPr>
      </w:pPr>
    </w:p>
    <w:p w14:paraId="795D930C" w14:textId="77777777" w:rsidR="00B542A6" w:rsidRPr="00D07970" w:rsidRDefault="00B542A6">
      <w:pPr>
        <w:spacing w:line="240" w:lineRule="auto"/>
        <w:jc w:val="left"/>
        <w:rPr>
          <w:rFonts w:asciiTheme="minorHAnsi" w:hAnsiTheme="minorHAnsi" w:cstheme="minorHAnsi"/>
          <w:szCs w:val="24"/>
          <w:lang w:val="es-CR"/>
        </w:rPr>
      </w:pPr>
    </w:p>
    <w:p w14:paraId="3B7D37AE" w14:textId="301EB854" w:rsidR="001E11B6" w:rsidRPr="00D07970" w:rsidRDefault="00C7031C"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46" w:name="_Toc94183035"/>
      <w:r w:rsidRPr="00D07970">
        <w:rPr>
          <w:rFonts w:asciiTheme="minorHAnsi" w:hAnsiTheme="minorHAnsi" w:cstheme="minorHAnsi"/>
          <w:sz w:val="28"/>
          <w:szCs w:val="28"/>
          <w:lang w:val="es-CR"/>
        </w:rPr>
        <w:t>Resultados de la realización de los objetivos y metas</w:t>
      </w:r>
      <w:r w:rsidR="001E098D" w:rsidRPr="00D07970">
        <w:rPr>
          <w:rFonts w:asciiTheme="minorHAnsi" w:hAnsiTheme="minorHAnsi" w:cstheme="minorHAnsi"/>
          <w:sz w:val="28"/>
          <w:szCs w:val="28"/>
          <w:lang w:val="es-CR"/>
        </w:rPr>
        <w:t>.</w:t>
      </w:r>
      <w:r w:rsidR="002E2EEC" w:rsidRPr="00D07970">
        <w:rPr>
          <w:rFonts w:asciiTheme="minorHAnsi" w:hAnsiTheme="minorHAnsi" w:cstheme="minorHAnsi"/>
          <w:sz w:val="28"/>
          <w:szCs w:val="28"/>
          <w:lang w:val="es-CR"/>
        </w:rPr>
        <w:t xml:space="preserve"> </w:t>
      </w:r>
      <w:r w:rsidR="002E2EEC" w:rsidRPr="00D07970">
        <w:rPr>
          <w:rStyle w:val="nfasisintenso"/>
          <w:color w:val="auto"/>
          <w:sz w:val="18"/>
          <w:szCs w:val="28"/>
          <w:lang w:val="es-CR"/>
        </w:rPr>
        <w:t>4.3.</w:t>
      </w:r>
      <w:r w:rsidR="00DB61F4" w:rsidRPr="00D07970">
        <w:rPr>
          <w:rStyle w:val="nfasisintenso"/>
          <w:color w:val="auto"/>
          <w:sz w:val="18"/>
          <w:szCs w:val="28"/>
          <w:lang w:val="es-CR"/>
        </w:rPr>
        <w:t>1</w:t>
      </w:r>
      <w:r w:rsidR="00E802B5" w:rsidRPr="00D07970">
        <w:rPr>
          <w:rStyle w:val="nfasisintenso"/>
          <w:color w:val="auto"/>
          <w:sz w:val="18"/>
          <w:szCs w:val="28"/>
          <w:lang w:val="es-CR"/>
        </w:rPr>
        <w:t>6</w:t>
      </w:r>
      <w:bookmarkEnd w:id="46"/>
    </w:p>
    <w:p w14:paraId="6E26D995" w14:textId="77777777" w:rsidR="001E11B6" w:rsidRPr="00D07970" w:rsidRDefault="001E11B6" w:rsidP="003261C7">
      <w:pPr>
        <w:rPr>
          <w:b/>
          <w:bCs/>
          <w:sz w:val="20"/>
          <w:lang w:val="es-CR" w:eastAsia="es-CR"/>
        </w:rPr>
      </w:pPr>
    </w:p>
    <w:p w14:paraId="776D37CE" w14:textId="63A27147" w:rsidR="00DF445E" w:rsidRPr="00D07970" w:rsidRDefault="00DF445E" w:rsidP="00DF445E">
      <w:pPr>
        <w:rPr>
          <w:rFonts w:asciiTheme="minorHAnsi" w:hAnsiTheme="minorHAnsi" w:cstheme="minorHAnsi"/>
          <w:sz w:val="24"/>
          <w:szCs w:val="24"/>
          <w:lang w:val="es-CR"/>
        </w:rPr>
      </w:pPr>
      <w:r w:rsidRPr="00D07970">
        <w:rPr>
          <w:rFonts w:asciiTheme="minorHAnsi" w:hAnsiTheme="minorHAnsi" w:cstheme="minorHAnsi"/>
          <w:sz w:val="24"/>
          <w:szCs w:val="24"/>
          <w:lang w:val="es-CR"/>
        </w:rPr>
        <w:t>La SUPEN está conformada por cinco procesos, cada uno de ellos establece</w:t>
      </w:r>
      <w:r w:rsidR="00277987" w:rsidRPr="00D07970">
        <w:rPr>
          <w:rFonts w:asciiTheme="minorHAnsi" w:hAnsiTheme="minorHAnsi" w:cstheme="minorHAnsi"/>
          <w:sz w:val="24"/>
          <w:szCs w:val="24"/>
          <w:lang w:val="es-CR"/>
        </w:rPr>
        <w:t>, para el p</w:t>
      </w:r>
      <w:r w:rsidR="00871EAA" w:rsidRPr="00D07970">
        <w:rPr>
          <w:rFonts w:asciiTheme="minorHAnsi" w:hAnsiTheme="minorHAnsi" w:cstheme="minorHAnsi"/>
          <w:sz w:val="24"/>
          <w:szCs w:val="24"/>
          <w:lang w:val="es-CR"/>
        </w:rPr>
        <w:t>eríodo</w:t>
      </w:r>
      <w:r w:rsidRPr="00D07970">
        <w:rPr>
          <w:rFonts w:asciiTheme="minorHAnsi" w:hAnsiTheme="minorHAnsi" w:cstheme="minorHAnsi"/>
          <w:sz w:val="24"/>
          <w:szCs w:val="24"/>
          <w:lang w:val="es-CR"/>
        </w:rPr>
        <w:t xml:space="preserve"> una serie de objetivos y metas que contribuyen al propósito de la organización; el siguiente cuadro representa el presupuesto asignado por meta y la ejecución</w:t>
      </w:r>
      <w:r w:rsidR="009F5891" w:rsidRPr="00D07970">
        <w:rPr>
          <w:rFonts w:asciiTheme="minorHAnsi" w:hAnsiTheme="minorHAnsi" w:cstheme="minorHAnsi"/>
          <w:sz w:val="24"/>
          <w:szCs w:val="24"/>
          <w:lang w:val="es-CR"/>
        </w:rPr>
        <w:t xml:space="preserve"> presupuestal</w:t>
      </w:r>
      <w:r w:rsidRPr="00D07970">
        <w:rPr>
          <w:rFonts w:asciiTheme="minorHAnsi" w:hAnsiTheme="minorHAnsi" w:cstheme="minorHAnsi"/>
          <w:sz w:val="24"/>
          <w:szCs w:val="24"/>
          <w:lang w:val="es-CR"/>
        </w:rPr>
        <w:t xml:space="preserve"> lograda </w:t>
      </w:r>
      <w:r w:rsidR="009F5891" w:rsidRPr="00D07970">
        <w:rPr>
          <w:rFonts w:asciiTheme="minorHAnsi" w:hAnsiTheme="minorHAnsi" w:cstheme="minorHAnsi"/>
          <w:sz w:val="24"/>
          <w:szCs w:val="24"/>
          <w:lang w:val="es-CR"/>
        </w:rPr>
        <w:t>para cada meta</w:t>
      </w:r>
      <w:r w:rsidRPr="00D07970">
        <w:rPr>
          <w:rFonts w:asciiTheme="minorHAnsi" w:hAnsiTheme="minorHAnsi" w:cstheme="minorHAnsi"/>
          <w:sz w:val="24"/>
          <w:szCs w:val="24"/>
          <w:lang w:val="es-CR"/>
        </w:rPr>
        <w:t>.</w:t>
      </w:r>
    </w:p>
    <w:p w14:paraId="3402C7D5" w14:textId="77777777" w:rsidR="00DF445E" w:rsidRPr="00D07970" w:rsidRDefault="00DF445E" w:rsidP="00DF445E">
      <w:pPr>
        <w:ind w:left="360"/>
        <w:rPr>
          <w:rFonts w:asciiTheme="minorHAnsi" w:hAnsiTheme="minorHAnsi" w:cstheme="minorHAnsi"/>
          <w:sz w:val="24"/>
          <w:szCs w:val="24"/>
          <w:lang w:val="es-CR"/>
        </w:rPr>
      </w:pPr>
    </w:p>
    <w:p w14:paraId="69B902BB" w14:textId="3AB48FBD" w:rsidR="00DF445E" w:rsidRDefault="00871EAA" w:rsidP="008E02F2">
      <w:pPr>
        <w:pStyle w:val="Ttulo3"/>
      </w:pPr>
      <w:bookmarkStart w:id="47" w:name="_Toc61081392"/>
      <w:bookmarkStart w:id="48" w:name="_Toc94183036"/>
      <w:r w:rsidRPr="00D07970">
        <w:rPr>
          <w:b/>
          <w:bCs/>
        </w:rPr>
        <w:t>Cuadro</w:t>
      </w:r>
      <w:r w:rsidR="00DF445E" w:rsidRPr="00D07970">
        <w:rPr>
          <w:b/>
          <w:bCs/>
        </w:rPr>
        <w:t xml:space="preserve"> </w:t>
      </w:r>
      <w:r w:rsidRPr="00D07970">
        <w:rPr>
          <w:b/>
          <w:bCs/>
        </w:rPr>
        <w:t>5</w:t>
      </w:r>
      <w:r w:rsidR="00DF445E" w:rsidRPr="00D07970">
        <w:t>: Presupuesto de egresos ejecutado por programa y por meta</w:t>
      </w:r>
      <w:bookmarkEnd w:id="47"/>
      <w:bookmarkEnd w:id="48"/>
    </w:p>
    <w:tbl>
      <w:tblPr>
        <w:tblW w:w="9500" w:type="dxa"/>
        <w:tblCellMar>
          <w:left w:w="70" w:type="dxa"/>
          <w:right w:w="70" w:type="dxa"/>
        </w:tblCellMar>
        <w:tblLook w:val="04A0" w:firstRow="1" w:lastRow="0" w:firstColumn="1" w:lastColumn="0" w:noHBand="0" w:noVBand="1"/>
      </w:tblPr>
      <w:tblGrid>
        <w:gridCol w:w="1326"/>
        <w:gridCol w:w="686"/>
        <w:gridCol w:w="3478"/>
        <w:gridCol w:w="1418"/>
        <w:gridCol w:w="1441"/>
        <w:gridCol w:w="1151"/>
      </w:tblGrid>
      <w:tr w:rsidR="008D3A0B" w:rsidRPr="00B91E83" w14:paraId="0238EA59" w14:textId="77777777" w:rsidTr="007A47EF">
        <w:trPr>
          <w:trHeight w:val="255"/>
          <w:tblHeader/>
        </w:trPr>
        <w:tc>
          <w:tcPr>
            <w:tcW w:w="130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A10C445"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DEPENDENCIA</w:t>
            </w:r>
          </w:p>
        </w:tc>
        <w:tc>
          <w:tcPr>
            <w:tcW w:w="6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04673BF"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 # META</w:t>
            </w:r>
          </w:p>
        </w:tc>
        <w:tc>
          <w:tcPr>
            <w:tcW w:w="342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9D31059"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ENUNCIADO</w:t>
            </w:r>
          </w:p>
        </w:tc>
        <w:tc>
          <w:tcPr>
            <w:tcW w:w="139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126F563"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Presupuesto por meta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EA08AAA"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Ejecutado por meta</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FF48256"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 Porcentaje de Ejecución </w:t>
            </w:r>
          </w:p>
        </w:tc>
      </w:tr>
      <w:tr w:rsidR="008D3A0B" w:rsidRPr="00B91E83" w14:paraId="1ED55E7C" w14:textId="77777777" w:rsidTr="007A47EF">
        <w:trPr>
          <w:trHeight w:val="420"/>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5C830849"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9E1BBF4"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3423" w:type="dxa"/>
            <w:vMerge/>
            <w:tcBorders>
              <w:top w:val="single" w:sz="4" w:space="0" w:color="auto"/>
              <w:left w:val="single" w:sz="4" w:space="0" w:color="auto"/>
              <w:bottom w:val="single" w:sz="4" w:space="0" w:color="auto"/>
              <w:right w:val="single" w:sz="4" w:space="0" w:color="auto"/>
            </w:tcBorders>
            <w:vAlign w:val="center"/>
            <w:hideMark/>
          </w:tcPr>
          <w:p w14:paraId="53F44B8B"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5E02ED69"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5AADC9"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C9CD49"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r>
      <w:tr w:rsidR="008D3A0B" w:rsidRPr="00B91E83" w14:paraId="120934A0" w14:textId="77777777" w:rsidTr="007A47EF">
        <w:trPr>
          <w:trHeight w:val="315"/>
        </w:trPr>
        <w:tc>
          <w:tcPr>
            <w:tcW w:w="5403"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7A968359"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DESPACHO</w:t>
            </w:r>
          </w:p>
        </w:tc>
        <w:tc>
          <w:tcPr>
            <w:tcW w:w="1396" w:type="dxa"/>
            <w:tcBorders>
              <w:top w:val="nil"/>
              <w:left w:val="nil"/>
              <w:bottom w:val="single" w:sz="4" w:space="0" w:color="auto"/>
              <w:right w:val="single" w:sz="4" w:space="0" w:color="auto"/>
            </w:tcBorders>
            <w:shd w:val="clear" w:color="000000" w:fill="DCE6F1"/>
            <w:vAlign w:val="center"/>
            <w:hideMark/>
          </w:tcPr>
          <w:p w14:paraId="7B39F865"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272 854 851 </w:t>
            </w:r>
          </w:p>
        </w:tc>
        <w:tc>
          <w:tcPr>
            <w:tcW w:w="1418" w:type="dxa"/>
            <w:tcBorders>
              <w:top w:val="nil"/>
              <w:left w:val="nil"/>
              <w:bottom w:val="single" w:sz="4" w:space="0" w:color="auto"/>
              <w:right w:val="single" w:sz="4" w:space="0" w:color="auto"/>
            </w:tcBorders>
            <w:shd w:val="clear" w:color="000000" w:fill="DCE6F1"/>
            <w:vAlign w:val="center"/>
            <w:hideMark/>
          </w:tcPr>
          <w:p w14:paraId="79FB3FB0"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197 001 398 </w:t>
            </w:r>
          </w:p>
        </w:tc>
        <w:tc>
          <w:tcPr>
            <w:tcW w:w="1133" w:type="dxa"/>
            <w:tcBorders>
              <w:top w:val="nil"/>
              <w:left w:val="nil"/>
              <w:bottom w:val="single" w:sz="4" w:space="0" w:color="auto"/>
              <w:right w:val="single" w:sz="4" w:space="0" w:color="auto"/>
            </w:tcBorders>
            <w:shd w:val="clear" w:color="000000" w:fill="DCE6F1"/>
            <w:vAlign w:val="center"/>
            <w:hideMark/>
          </w:tcPr>
          <w:p w14:paraId="36C72CAA"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72%</w:t>
            </w:r>
          </w:p>
        </w:tc>
      </w:tr>
      <w:tr w:rsidR="008D3A0B" w:rsidRPr="00B91E83" w14:paraId="73B8BFA3" w14:textId="77777777" w:rsidTr="007A47EF">
        <w:trPr>
          <w:trHeight w:val="69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0634A0D1"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2C0A185E"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w:t>
            </w:r>
          </w:p>
        </w:tc>
        <w:tc>
          <w:tcPr>
            <w:tcW w:w="3423" w:type="dxa"/>
            <w:tcBorders>
              <w:top w:val="nil"/>
              <w:left w:val="nil"/>
              <w:bottom w:val="single" w:sz="4" w:space="0" w:color="auto"/>
              <w:right w:val="single" w:sz="4" w:space="0" w:color="auto"/>
            </w:tcBorders>
            <w:shd w:val="clear" w:color="auto" w:fill="auto"/>
            <w:vAlign w:val="center"/>
            <w:hideMark/>
          </w:tcPr>
          <w:p w14:paraId="1A558898"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Tener, en promedio, los indicadores de cumplimiento de metas de toda la Superintendencia con nota igual o superior al 85%. </w:t>
            </w:r>
          </w:p>
        </w:tc>
        <w:tc>
          <w:tcPr>
            <w:tcW w:w="1396" w:type="dxa"/>
            <w:tcBorders>
              <w:top w:val="nil"/>
              <w:left w:val="nil"/>
              <w:bottom w:val="single" w:sz="4" w:space="0" w:color="auto"/>
              <w:right w:val="single" w:sz="4" w:space="0" w:color="auto"/>
            </w:tcBorders>
            <w:shd w:val="clear" w:color="auto" w:fill="auto"/>
            <w:vAlign w:val="center"/>
            <w:hideMark/>
          </w:tcPr>
          <w:p w14:paraId="5E65FCC5"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272 854 851 </w:t>
            </w:r>
          </w:p>
        </w:tc>
        <w:tc>
          <w:tcPr>
            <w:tcW w:w="1418" w:type="dxa"/>
            <w:tcBorders>
              <w:top w:val="nil"/>
              <w:left w:val="nil"/>
              <w:bottom w:val="single" w:sz="4" w:space="0" w:color="auto"/>
              <w:right w:val="single" w:sz="4" w:space="0" w:color="auto"/>
            </w:tcBorders>
            <w:shd w:val="clear" w:color="auto" w:fill="auto"/>
            <w:vAlign w:val="center"/>
            <w:hideMark/>
          </w:tcPr>
          <w:p w14:paraId="099EEB56"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197 001 398 </w:t>
            </w:r>
          </w:p>
        </w:tc>
        <w:tc>
          <w:tcPr>
            <w:tcW w:w="1133" w:type="dxa"/>
            <w:tcBorders>
              <w:top w:val="nil"/>
              <w:left w:val="nil"/>
              <w:bottom w:val="single" w:sz="4" w:space="0" w:color="auto"/>
              <w:right w:val="single" w:sz="4" w:space="0" w:color="auto"/>
            </w:tcBorders>
            <w:shd w:val="clear" w:color="auto" w:fill="auto"/>
            <w:vAlign w:val="center"/>
            <w:hideMark/>
          </w:tcPr>
          <w:p w14:paraId="30B6E695"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72%</w:t>
            </w:r>
          </w:p>
        </w:tc>
      </w:tr>
      <w:tr w:rsidR="008D3A0B" w:rsidRPr="00B91E83" w14:paraId="42DB3838" w14:textId="77777777" w:rsidTr="007A47EF">
        <w:trPr>
          <w:trHeight w:val="315"/>
        </w:trPr>
        <w:tc>
          <w:tcPr>
            <w:tcW w:w="5403"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19CC46F"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DIVISIÓN JURÍDICA</w:t>
            </w:r>
          </w:p>
        </w:tc>
        <w:tc>
          <w:tcPr>
            <w:tcW w:w="1396" w:type="dxa"/>
            <w:tcBorders>
              <w:top w:val="nil"/>
              <w:left w:val="nil"/>
              <w:bottom w:val="single" w:sz="4" w:space="0" w:color="auto"/>
              <w:right w:val="single" w:sz="4" w:space="0" w:color="auto"/>
            </w:tcBorders>
            <w:shd w:val="clear" w:color="000000" w:fill="DCE6F1"/>
            <w:vAlign w:val="center"/>
            <w:hideMark/>
          </w:tcPr>
          <w:p w14:paraId="46287F4F"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553 585 713 </w:t>
            </w:r>
          </w:p>
        </w:tc>
        <w:tc>
          <w:tcPr>
            <w:tcW w:w="1418" w:type="dxa"/>
            <w:tcBorders>
              <w:top w:val="nil"/>
              <w:left w:val="nil"/>
              <w:bottom w:val="single" w:sz="4" w:space="0" w:color="auto"/>
              <w:right w:val="single" w:sz="4" w:space="0" w:color="auto"/>
            </w:tcBorders>
            <w:shd w:val="clear" w:color="000000" w:fill="DCE6F1"/>
            <w:vAlign w:val="center"/>
            <w:hideMark/>
          </w:tcPr>
          <w:p w14:paraId="1AA8E141"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483 012 920 </w:t>
            </w:r>
          </w:p>
        </w:tc>
        <w:tc>
          <w:tcPr>
            <w:tcW w:w="1133" w:type="dxa"/>
            <w:tcBorders>
              <w:top w:val="nil"/>
              <w:left w:val="nil"/>
              <w:bottom w:val="single" w:sz="4" w:space="0" w:color="auto"/>
              <w:right w:val="single" w:sz="4" w:space="0" w:color="auto"/>
            </w:tcBorders>
            <w:shd w:val="clear" w:color="000000" w:fill="DCE6F1"/>
            <w:vAlign w:val="center"/>
            <w:hideMark/>
          </w:tcPr>
          <w:p w14:paraId="5BD62F23"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87%</w:t>
            </w:r>
          </w:p>
        </w:tc>
      </w:tr>
      <w:tr w:rsidR="008D3A0B" w:rsidRPr="00B91E83" w14:paraId="17F668CD" w14:textId="77777777" w:rsidTr="007A47EF">
        <w:trPr>
          <w:trHeight w:val="690"/>
        </w:trPr>
        <w:tc>
          <w:tcPr>
            <w:tcW w:w="1305" w:type="dxa"/>
            <w:vMerge w:val="restart"/>
            <w:tcBorders>
              <w:top w:val="nil"/>
              <w:left w:val="single" w:sz="4" w:space="0" w:color="auto"/>
              <w:bottom w:val="nil"/>
              <w:right w:val="single" w:sz="4" w:space="0" w:color="auto"/>
            </w:tcBorders>
            <w:shd w:val="clear" w:color="000000" w:fill="FFFFFF"/>
            <w:vAlign w:val="center"/>
            <w:hideMark/>
          </w:tcPr>
          <w:p w14:paraId="6F088266"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347F7CE4"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2</w:t>
            </w:r>
          </w:p>
        </w:tc>
        <w:tc>
          <w:tcPr>
            <w:tcW w:w="3423" w:type="dxa"/>
            <w:tcBorders>
              <w:top w:val="nil"/>
              <w:left w:val="nil"/>
              <w:bottom w:val="single" w:sz="4" w:space="0" w:color="auto"/>
              <w:right w:val="single" w:sz="4" w:space="0" w:color="auto"/>
            </w:tcBorders>
            <w:shd w:val="clear" w:color="auto" w:fill="auto"/>
            <w:vAlign w:val="center"/>
            <w:hideMark/>
          </w:tcPr>
          <w:p w14:paraId="19E6F7CB"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Tramitar en tiempo las solicitudes de asesoría jurídica y los recursos administrativos </w:t>
            </w:r>
          </w:p>
        </w:tc>
        <w:tc>
          <w:tcPr>
            <w:tcW w:w="1396" w:type="dxa"/>
            <w:tcBorders>
              <w:top w:val="nil"/>
              <w:left w:val="nil"/>
              <w:bottom w:val="single" w:sz="4" w:space="0" w:color="auto"/>
              <w:right w:val="single" w:sz="4" w:space="0" w:color="auto"/>
            </w:tcBorders>
            <w:shd w:val="clear" w:color="auto" w:fill="auto"/>
            <w:vAlign w:val="center"/>
            <w:hideMark/>
          </w:tcPr>
          <w:p w14:paraId="4CBCECBB"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275 124 514 </w:t>
            </w:r>
          </w:p>
        </w:tc>
        <w:tc>
          <w:tcPr>
            <w:tcW w:w="1418" w:type="dxa"/>
            <w:tcBorders>
              <w:top w:val="nil"/>
              <w:left w:val="nil"/>
              <w:bottom w:val="single" w:sz="4" w:space="0" w:color="auto"/>
              <w:right w:val="single" w:sz="4" w:space="0" w:color="auto"/>
            </w:tcBorders>
            <w:shd w:val="clear" w:color="auto" w:fill="auto"/>
            <w:vAlign w:val="center"/>
            <w:hideMark/>
          </w:tcPr>
          <w:p w14:paraId="06D28E70"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235 829 455 </w:t>
            </w:r>
          </w:p>
        </w:tc>
        <w:tc>
          <w:tcPr>
            <w:tcW w:w="1133" w:type="dxa"/>
            <w:tcBorders>
              <w:top w:val="nil"/>
              <w:left w:val="nil"/>
              <w:bottom w:val="single" w:sz="4" w:space="0" w:color="auto"/>
              <w:right w:val="single" w:sz="4" w:space="0" w:color="auto"/>
            </w:tcBorders>
            <w:shd w:val="clear" w:color="auto" w:fill="auto"/>
            <w:vAlign w:val="center"/>
            <w:hideMark/>
          </w:tcPr>
          <w:p w14:paraId="56AF239F"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86%</w:t>
            </w:r>
          </w:p>
        </w:tc>
      </w:tr>
      <w:tr w:rsidR="008D3A0B" w:rsidRPr="00B91E83" w14:paraId="3C9FC7BC" w14:textId="77777777" w:rsidTr="007A47EF">
        <w:trPr>
          <w:trHeight w:val="690"/>
        </w:trPr>
        <w:tc>
          <w:tcPr>
            <w:tcW w:w="1305" w:type="dxa"/>
            <w:vMerge/>
            <w:tcBorders>
              <w:top w:val="nil"/>
              <w:left w:val="single" w:sz="4" w:space="0" w:color="auto"/>
              <w:bottom w:val="nil"/>
              <w:right w:val="single" w:sz="4" w:space="0" w:color="auto"/>
            </w:tcBorders>
            <w:vAlign w:val="center"/>
            <w:hideMark/>
          </w:tcPr>
          <w:p w14:paraId="631F3260"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3EDC65AA"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3</w:t>
            </w:r>
          </w:p>
        </w:tc>
        <w:tc>
          <w:tcPr>
            <w:tcW w:w="3423" w:type="dxa"/>
            <w:tcBorders>
              <w:top w:val="nil"/>
              <w:left w:val="nil"/>
              <w:bottom w:val="single" w:sz="4" w:space="0" w:color="auto"/>
              <w:right w:val="single" w:sz="4" w:space="0" w:color="auto"/>
            </w:tcBorders>
            <w:shd w:val="clear" w:color="auto" w:fill="auto"/>
            <w:vAlign w:val="center"/>
            <w:hideMark/>
          </w:tcPr>
          <w:p w14:paraId="28350DF7"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Tramitar en tiempo las solicitudes de denuncias y/o consultas de los afiliados</w:t>
            </w:r>
          </w:p>
        </w:tc>
        <w:tc>
          <w:tcPr>
            <w:tcW w:w="1396" w:type="dxa"/>
            <w:tcBorders>
              <w:top w:val="nil"/>
              <w:left w:val="nil"/>
              <w:bottom w:val="single" w:sz="4" w:space="0" w:color="auto"/>
              <w:right w:val="single" w:sz="4" w:space="0" w:color="auto"/>
            </w:tcBorders>
            <w:shd w:val="clear" w:color="auto" w:fill="auto"/>
            <w:vAlign w:val="center"/>
            <w:hideMark/>
          </w:tcPr>
          <w:p w14:paraId="16658317"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158 488 535 </w:t>
            </w:r>
          </w:p>
        </w:tc>
        <w:tc>
          <w:tcPr>
            <w:tcW w:w="1418" w:type="dxa"/>
            <w:tcBorders>
              <w:top w:val="nil"/>
              <w:left w:val="nil"/>
              <w:bottom w:val="single" w:sz="4" w:space="0" w:color="auto"/>
              <w:right w:val="single" w:sz="4" w:space="0" w:color="auto"/>
            </w:tcBorders>
            <w:shd w:val="clear" w:color="auto" w:fill="auto"/>
            <w:vAlign w:val="center"/>
            <w:hideMark/>
          </w:tcPr>
          <w:p w14:paraId="4F62D256"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83 852 699 </w:t>
            </w:r>
          </w:p>
        </w:tc>
        <w:tc>
          <w:tcPr>
            <w:tcW w:w="1133" w:type="dxa"/>
            <w:tcBorders>
              <w:top w:val="nil"/>
              <w:left w:val="nil"/>
              <w:bottom w:val="single" w:sz="4" w:space="0" w:color="auto"/>
              <w:right w:val="single" w:sz="4" w:space="0" w:color="auto"/>
            </w:tcBorders>
            <w:shd w:val="clear" w:color="auto" w:fill="auto"/>
            <w:vAlign w:val="center"/>
            <w:hideMark/>
          </w:tcPr>
          <w:p w14:paraId="1D2C03F0"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53%</w:t>
            </w:r>
          </w:p>
        </w:tc>
      </w:tr>
      <w:tr w:rsidR="008D3A0B" w:rsidRPr="00B91E83" w14:paraId="6EC71CFE" w14:textId="77777777" w:rsidTr="007A47EF">
        <w:trPr>
          <w:trHeight w:val="878"/>
        </w:trPr>
        <w:tc>
          <w:tcPr>
            <w:tcW w:w="1305" w:type="dxa"/>
            <w:vMerge/>
            <w:tcBorders>
              <w:top w:val="nil"/>
              <w:left w:val="single" w:sz="4" w:space="0" w:color="auto"/>
              <w:bottom w:val="nil"/>
              <w:right w:val="single" w:sz="4" w:space="0" w:color="auto"/>
            </w:tcBorders>
            <w:vAlign w:val="center"/>
            <w:hideMark/>
          </w:tcPr>
          <w:p w14:paraId="58BE3DF4"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155B9E7F"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4</w:t>
            </w:r>
          </w:p>
        </w:tc>
        <w:tc>
          <w:tcPr>
            <w:tcW w:w="3423" w:type="dxa"/>
            <w:tcBorders>
              <w:top w:val="nil"/>
              <w:left w:val="nil"/>
              <w:bottom w:val="single" w:sz="4" w:space="0" w:color="auto"/>
              <w:right w:val="single" w:sz="4" w:space="0" w:color="auto"/>
            </w:tcBorders>
            <w:shd w:val="clear" w:color="auto" w:fill="auto"/>
            <w:vAlign w:val="center"/>
            <w:hideMark/>
          </w:tcPr>
          <w:p w14:paraId="76DC3457"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Tramitar en un tiempo promedio no superior de doce meses calendario los procedimientos administrativos iniciados por la Superintendencia de Pensiones</w:t>
            </w:r>
          </w:p>
        </w:tc>
        <w:tc>
          <w:tcPr>
            <w:tcW w:w="1396" w:type="dxa"/>
            <w:tcBorders>
              <w:top w:val="nil"/>
              <w:left w:val="nil"/>
              <w:bottom w:val="single" w:sz="4" w:space="0" w:color="auto"/>
              <w:right w:val="single" w:sz="4" w:space="0" w:color="auto"/>
            </w:tcBorders>
            <w:shd w:val="clear" w:color="auto" w:fill="auto"/>
            <w:vAlign w:val="center"/>
            <w:hideMark/>
          </w:tcPr>
          <w:p w14:paraId="78D0F55F"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37 883 756 </w:t>
            </w:r>
          </w:p>
        </w:tc>
        <w:tc>
          <w:tcPr>
            <w:tcW w:w="1418" w:type="dxa"/>
            <w:tcBorders>
              <w:top w:val="nil"/>
              <w:left w:val="nil"/>
              <w:bottom w:val="single" w:sz="4" w:space="0" w:color="auto"/>
              <w:right w:val="single" w:sz="4" w:space="0" w:color="auto"/>
            </w:tcBorders>
            <w:shd w:val="clear" w:color="auto" w:fill="auto"/>
            <w:vAlign w:val="center"/>
            <w:hideMark/>
          </w:tcPr>
          <w:p w14:paraId="036242D0"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8 348 536 </w:t>
            </w:r>
          </w:p>
        </w:tc>
        <w:tc>
          <w:tcPr>
            <w:tcW w:w="1133" w:type="dxa"/>
            <w:tcBorders>
              <w:top w:val="nil"/>
              <w:left w:val="nil"/>
              <w:bottom w:val="single" w:sz="4" w:space="0" w:color="auto"/>
              <w:right w:val="single" w:sz="4" w:space="0" w:color="auto"/>
            </w:tcBorders>
            <w:shd w:val="clear" w:color="auto" w:fill="auto"/>
            <w:vAlign w:val="center"/>
            <w:hideMark/>
          </w:tcPr>
          <w:p w14:paraId="6BA9DE6E"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22%</w:t>
            </w:r>
          </w:p>
        </w:tc>
      </w:tr>
      <w:tr w:rsidR="008D3A0B" w:rsidRPr="00B91E83" w14:paraId="3CBFB8C7" w14:textId="77777777" w:rsidTr="007A47EF">
        <w:trPr>
          <w:trHeight w:val="825"/>
        </w:trPr>
        <w:tc>
          <w:tcPr>
            <w:tcW w:w="1305" w:type="dxa"/>
            <w:vMerge/>
            <w:tcBorders>
              <w:top w:val="nil"/>
              <w:left w:val="single" w:sz="4" w:space="0" w:color="auto"/>
              <w:bottom w:val="nil"/>
              <w:right w:val="single" w:sz="4" w:space="0" w:color="auto"/>
            </w:tcBorders>
            <w:vAlign w:val="center"/>
            <w:hideMark/>
          </w:tcPr>
          <w:p w14:paraId="67B02000"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6AC89735"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5</w:t>
            </w:r>
          </w:p>
        </w:tc>
        <w:tc>
          <w:tcPr>
            <w:tcW w:w="3423" w:type="dxa"/>
            <w:tcBorders>
              <w:top w:val="nil"/>
              <w:left w:val="nil"/>
              <w:bottom w:val="single" w:sz="4" w:space="0" w:color="auto"/>
              <w:right w:val="single" w:sz="4" w:space="0" w:color="auto"/>
            </w:tcBorders>
            <w:shd w:val="clear" w:color="auto" w:fill="auto"/>
            <w:vAlign w:val="center"/>
            <w:hideMark/>
          </w:tcPr>
          <w:p w14:paraId="2C5DCC15"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396" w:type="dxa"/>
            <w:tcBorders>
              <w:top w:val="nil"/>
              <w:left w:val="nil"/>
              <w:bottom w:val="single" w:sz="4" w:space="0" w:color="auto"/>
              <w:right w:val="single" w:sz="4" w:space="0" w:color="auto"/>
            </w:tcBorders>
            <w:shd w:val="clear" w:color="auto" w:fill="auto"/>
            <w:vAlign w:val="center"/>
            <w:hideMark/>
          </w:tcPr>
          <w:p w14:paraId="256B16F9"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82 088 908 </w:t>
            </w:r>
          </w:p>
        </w:tc>
        <w:tc>
          <w:tcPr>
            <w:tcW w:w="1418" w:type="dxa"/>
            <w:tcBorders>
              <w:top w:val="nil"/>
              <w:left w:val="nil"/>
              <w:bottom w:val="single" w:sz="4" w:space="0" w:color="auto"/>
              <w:right w:val="single" w:sz="4" w:space="0" w:color="auto"/>
            </w:tcBorders>
            <w:shd w:val="clear" w:color="auto" w:fill="auto"/>
            <w:vAlign w:val="center"/>
            <w:hideMark/>
          </w:tcPr>
          <w:p w14:paraId="185D2407"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61 845 957 </w:t>
            </w:r>
          </w:p>
        </w:tc>
        <w:tc>
          <w:tcPr>
            <w:tcW w:w="1133" w:type="dxa"/>
            <w:tcBorders>
              <w:top w:val="nil"/>
              <w:left w:val="nil"/>
              <w:bottom w:val="single" w:sz="4" w:space="0" w:color="auto"/>
              <w:right w:val="single" w:sz="4" w:space="0" w:color="auto"/>
            </w:tcBorders>
            <w:shd w:val="clear" w:color="auto" w:fill="auto"/>
            <w:vAlign w:val="center"/>
            <w:hideMark/>
          </w:tcPr>
          <w:p w14:paraId="483BE4A7"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75%</w:t>
            </w:r>
          </w:p>
        </w:tc>
      </w:tr>
      <w:tr w:rsidR="008D3A0B" w:rsidRPr="00B91E83" w14:paraId="47DB9AB0" w14:textId="77777777" w:rsidTr="007A47EF">
        <w:trPr>
          <w:trHeight w:val="405"/>
        </w:trPr>
        <w:tc>
          <w:tcPr>
            <w:tcW w:w="1305" w:type="dxa"/>
            <w:tcBorders>
              <w:top w:val="nil"/>
              <w:left w:val="single" w:sz="4" w:space="0" w:color="auto"/>
              <w:bottom w:val="nil"/>
              <w:right w:val="single" w:sz="4" w:space="0" w:color="auto"/>
            </w:tcBorders>
            <w:shd w:val="clear" w:color="000000" w:fill="FFFFFF"/>
            <w:vAlign w:val="center"/>
            <w:hideMark/>
          </w:tcPr>
          <w:p w14:paraId="22208987"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5548D4B6"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3423" w:type="dxa"/>
            <w:tcBorders>
              <w:top w:val="nil"/>
              <w:left w:val="nil"/>
              <w:bottom w:val="single" w:sz="4" w:space="0" w:color="auto"/>
              <w:right w:val="single" w:sz="4" w:space="0" w:color="auto"/>
            </w:tcBorders>
            <w:shd w:val="clear" w:color="auto" w:fill="auto"/>
            <w:vAlign w:val="center"/>
            <w:hideMark/>
          </w:tcPr>
          <w:p w14:paraId="66152DB2"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Tiempo no Efectivo (Vacaciones, incapacidades y permisos)</w:t>
            </w:r>
          </w:p>
        </w:tc>
        <w:tc>
          <w:tcPr>
            <w:tcW w:w="1396" w:type="dxa"/>
            <w:tcBorders>
              <w:top w:val="nil"/>
              <w:left w:val="nil"/>
              <w:bottom w:val="single" w:sz="4" w:space="0" w:color="auto"/>
              <w:right w:val="single" w:sz="4" w:space="0" w:color="auto"/>
            </w:tcBorders>
            <w:shd w:val="clear" w:color="auto" w:fill="auto"/>
            <w:vAlign w:val="center"/>
            <w:hideMark/>
          </w:tcPr>
          <w:p w14:paraId="5586EEDD"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34866F06"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93 136 272 </w:t>
            </w:r>
          </w:p>
        </w:tc>
        <w:tc>
          <w:tcPr>
            <w:tcW w:w="1133" w:type="dxa"/>
            <w:tcBorders>
              <w:top w:val="nil"/>
              <w:left w:val="nil"/>
              <w:bottom w:val="single" w:sz="4" w:space="0" w:color="auto"/>
              <w:right w:val="single" w:sz="4" w:space="0" w:color="auto"/>
            </w:tcBorders>
            <w:shd w:val="clear" w:color="auto" w:fill="auto"/>
            <w:vAlign w:val="center"/>
            <w:hideMark/>
          </w:tcPr>
          <w:p w14:paraId="245E11BF"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r>
      <w:tr w:rsidR="008D3A0B" w:rsidRPr="00B91E83" w14:paraId="59AF311B" w14:textId="77777777" w:rsidTr="007A47EF">
        <w:trPr>
          <w:trHeight w:val="360"/>
        </w:trPr>
        <w:tc>
          <w:tcPr>
            <w:tcW w:w="5403"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ECA24A8"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DIVISIÓN DE PLANIFICACIÓN Y NORMATIVA</w:t>
            </w:r>
          </w:p>
        </w:tc>
        <w:tc>
          <w:tcPr>
            <w:tcW w:w="1396" w:type="dxa"/>
            <w:tcBorders>
              <w:top w:val="nil"/>
              <w:left w:val="nil"/>
              <w:bottom w:val="single" w:sz="4" w:space="0" w:color="auto"/>
              <w:right w:val="single" w:sz="4" w:space="0" w:color="auto"/>
            </w:tcBorders>
            <w:shd w:val="clear" w:color="000000" w:fill="DCE6F1"/>
            <w:vAlign w:val="center"/>
            <w:hideMark/>
          </w:tcPr>
          <w:p w14:paraId="3BED2F40"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703 031 240 </w:t>
            </w:r>
          </w:p>
        </w:tc>
        <w:tc>
          <w:tcPr>
            <w:tcW w:w="1418" w:type="dxa"/>
            <w:tcBorders>
              <w:top w:val="nil"/>
              <w:left w:val="nil"/>
              <w:bottom w:val="single" w:sz="4" w:space="0" w:color="auto"/>
              <w:right w:val="single" w:sz="4" w:space="0" w:color="auto"/>
            </w:tcBorders>
            <w:shd w:val="clear" w:color="000000" w:fill="DCE6F1"/>
            <w:vAlign w:val="center"/>
            <w:hideMark/>
          </w:tcPr>
          <w:p w14:paraId="153A8B83"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549 129 515 </w:t>
            </w:r>
          </w:p>
        </w:tc>
        <w:tc>
          <w:tcPr>
            <w:tcW w:w="1133" w:type="dxa"/>
            <w:tcBorders>
              <w:top w:val="nil"/>
              <w:left w:val="nil"/>
              <w:bottom w:val="single" w:sz="4" w:space="0" w:color="auto"/>
              <w:right w:val="single" w:sz="4" w:space="0" w:color="auto"/>
            </w:tcBorders>
            <w:shd w:val="clear" w:color="000000" w:fill="DCE6F1"/>
            <w:vAlign w:val="center"/>
            <w:hideMark/>
          </w:tcPr>
          <w:p w14:paraId="0206CB3A"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78%</w:t>
            </w:r>
          </w:p>
        </w:tc>
      </w:tr>
      <w:tr w:rsidR="008D3A0B" w:rsidRPr="00B91E83" w14:paraId="57FDCB40" w14:textId="77777777" w:rsidTr="007A47EF">
        <w:trPr>
          <w:trHeight w:val="400"/>
        </w:trPr>
        <w:tc>
          <w:tcPr>
            <w:tcW w:w="1305" w:type="dxa"/>
            <w:vMerge w:val="restart"/>
            <w:tcBorders>
              <w:top w:val="nil"/>
              <w:left w:val="single" w:sz="4" w:space="0" w:color="auto"/>
              <w:bottom w:val="nil"/>
              <w:right w:val="single" w:sz="4" w:space="0" w:color="auto"/>
            </w:tcBorders>
            <w:shd w:val="clear" w:color="auto" w:fill="auto"/>
            <w:vAlign w:val="center"/>
            <w:hideMark/>
          </w:tcPr>
          <w:p w14:paraId="30FBCC20"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46D2C702"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6</w:t>
            </w:r>
          </w:p>
        </w:tc>
        <w:tc>
          <w:tcPr>
            <w:tcW w:w="3423" w:type="dxa"/>
            <w:tcBorders>
              <w:top w:val="nil"/>
              <w:left w:val="nil"/>
              <w:bottom w:val="single" w:sz="4" w:space="0" w:color="auto"/>
              <w:right w:val="single" w:sz="4" w:space="0" w:color="auto"/>
            </w:tcBorders>
            <w:shd w:val="clear" w:color="auto" w:fill="auto"/>
            <w:vAlign w:val="center"/>
            <w:hideMark/>
          </w:tcPr>
          <w:p w14:paraId="1F297A56"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Tener la planificación estratégica actualizada y alineada a los requerimientos institucionales. </w:t>
            </w:r>
          </w:p>
        </w:tc>
        <w:tc>
          <w:tcPr>
            <w:tcW w:w="1396" w:type="dxa"/>
            <w:tcBorders>
              <w:top w:val="nil"/>
              <w:left w:val="nil"/>
              <w:bottom w:val="single" w:sz="4" w:space="0" w:color="auto"/>
              <w:right w:val="single" w:sz="4" w:space="0" w:color="auto"/>
            </w:tcBorders>
            <w:shd w:val="clear" w:color="auto" w:fill="auto"/>
            <w:vAlign w:val="center"/>
            <w:hideMark/>
          </w:tcPr>
          <w:p w14:paraId="1546EA3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8 058 588 </w:t>
            </w:r>
          </w:p>
        </w:tc>
        <w:tc>
          <w:tcPr>
            <w:tcW w:w="1418" w:type="dxa"/>
            <w:tcBorders>
              <w:top w:val="nil"/>
              <w:left w:val="nil"/>
              <w:bottom w:val="single" w:sz="4" w:space="0" w:color="auto"/>
              <w:right w:val="single" w:sz="4" w:space="0" w:color="auto"/>
            </w:tcBorders>
            <w:shd w:val="clear" w:color="auto" w:fill="auto"/>
            <w:vAlign w:val="center"/>
            <w:hideMark/>
          </w:tcPr>
          <w:p w14:paraId="5C9429ED"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2 527 556 </w:t>
            </w:r>
          </w:p>
        </w:tc>
        <w:tc>
          <w:tcPr>
            <w:tcW w:w="1133" w:type="dxa"/>
            <w:tcBorders>
              <w:top w:val="nil"/>
              <w:left w:val="nil"/>
              <w:bottom w:val="single" w:sz="4" w:space="0" w:color="auto"/>
              <w:right w:val="single" w:sz="4" w:space="0" w:color="auto"/>
            </w:tcBorders>
            <w:shd w:val="clear" w:color="auto" w:fill="auto"/>
            <w:vAlign w:val="center"/>
            <w:hideMark/>
          </w:tcPr>
          <w:p w14:paraId="3B196328"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31%</w:t>
            </w:r>
          </w:p>
        </w:tc>
      </w:tr>
      <w:tr w:rsidR="008D3A0B" w:rsidRPr="00B91E83" w14:paraId="2E54D2BA" w14:textId="77777777" w:rsidTr="007A47EF">
        <w:trPr>
          <w:trHeight w:val="210"/>
        </w:trPr>
        <w:tc>
          <w:tcPr>
            <w:tcW w:w="1305" w:type="dxa"/>
            <w:vMerge/>
            <w:tcBorders>
              <w:top w:val="nil"/>
              <w:left w:val="single" w:sz="4" w:space="0" w:color="auto"/>
              <w:bottom w:val="nil"/>
              <w:right w:val="single" w:sz="4" w:space="0" w:color="auto"/>
            </w:tcBorders>
            <w:vAlign w:val="center"/>
            <w:hideMark/>
          </w:tcPr>
          <w:p w14:paraId="3E6B284C"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2FF5C17A"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7</w:t>
            </w:r>
          </w:p>
        </w:tc>
        <w:tc>
          <w:tcPr>
            <w:tcW w:w="3423" w:type="dxa"/>
            <w:tcBorders>
              <w:top w:val="nil"/>
              <w:left w:val="nil"/>
              <w:bottom w:val="single" w:sz="4" w:space="0" w:color="auto"/>
              <w:right w:val="single" w:sz="4" w:space="0" w:color="auto"/>
            </w:tcBorders>
            <w:shd w:val="clear" w:color="auto" w:fill="auto"/>
            <w:vAlign w:val="center"/>
            <w:hideMark/>
          </w:tcPr>
          <w:p w14:paraId="020C454F"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Cumplir con las entregas de los proyectos en el plazo planificado. </w:t>
            </w:r>
          </w:p>
        </w:tc>
        <w:tc>
          <w:tcPr>
            <w:tcW w:w="1396" w:type="dxa"/>
            <w:tcBorders>
              <w:top w:val="nil"/>
              <w:left w:val="nil"/>
              <w:bottom w:val="single" w:sz="4" w:space="0" w:color="auto"/>
              <w:right w:val="single" w:sz="4" w:space="0" w:color="auto"/>
            </w:tcBorders>
            <w:shd w:val="clear" w:color="auto" w:fill="auto"/>
            <w:vAlign w:val="center"/>
            <w:hideMark/>
          </w:tcPr>
          <w:p w14:paraId="2BCB8EF7"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60 439 412 </w:t>
            </w:r>
          </w:p>
        </w:tc>
        <w:tc>
          <w:tcPr>
            <w:tcW w:w="1418" w:type="dxa"/>
            <w:tcBorders>
              <w:top w:val="nil"/>
              <w:left w:val="nil"/>
              <w:bottom w:val="single" w:sz="4" w:space="0" w:color="auto"/>
              <w:right w:val="single" w:sz="4" w:space="0" w:color="auto"/>
            </w:tcBorders>
            <w:shd w:val="clear" w:color="auto" w:fill="auto"/>
            <w:vAlign w:val="center"/>
            <w:hideMark/>
          </w:tcPr>
          <w:p w14:paraId="3B38541A"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47 138 913 </w:t>
            </w:r>
          </w:p>
        </w:tc>
        <w:tc>
          <w:tcPr>
            <w:tcW w:w="1133" w:type="dxa"/>
            <w:tcBorders>
              <w:top w:val="nil"/>
              <w:left w:val="nil"/>
              <w:bottom w:val="single" w:sz="4" w:space="0" w:color="auto"/>
              <w:right w:val="single" w:sz="4" w:space="0" w:color="auto"/>
            </w:tcBorders>
            <w:shd w:val="clear" w:color="auto" w:fill="auto"/>
            <w:vAlign w:val="center"/>
            <w:hideMark/>
          </w:tcPr>
          <w:p w14:paraId="7AFF4707"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78%</w:t>
            </w:r>
          </w:p>
        </w:tc>
      </w:tr>
      <w:tr w:rsidR="008D3A0B" w:rsidRPr="00B91E83" w14:paraId="26DF8F3A" w14:textId="77777777" w:rsidTr="007A47EF">
        <w:trPr>
          <w:trHeight w:val="400"/>
        </w:trPr>
        <w:tc>
          <w:tcPr>
            <w:tcW w:w="1305" w:type="dxa"/>
            <w:vMerge/>
            <w:tcBorders>
              <w:top w:val="nil"/>
              <w:left w:val="single" w:sz="4" w:space="0" w:color="auto"/>
              <w:bottom w:val="nil"/>
              <w:right w:val="single" w:sz="4" w:space="0" w:color="auto"/>
            </w:tcBorders>
            <w:vAlign w:val="center"/>
            <w:hideMark/>
          </w:tcPr>
          <w:p w14:paraId="0724F4BA"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2FCD3E2A"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8</w:t>
            </w:r>
          </w:p>
        </w:tc>
        <w:tc>
          <w:tcPr>
            <w:tcW w:w="3423" w:type="dxa"/>
            <w:tcBorders>
              <w:top w:val="nil"/>
              <w:left w:val="nil"/>
              <w:bottom w:val="single" w:sz="4" w:space="0" w:color="auto"/>
              <w:right w:val="single" w:sz="4" w:space="0" w:color="auto"/>
            </w:tcBorders>
            <w:shd w:val="clear" w:color="auto" w:fill="auto"/>
            <w:vAlign w:val="center"/>
            <w:hideMark/>
          </w:tcPr>
          <w:p w14:paraId="6FD6ACBE"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Presentar estudios que cumplan con las métricas de calidad del proceso.</w:t>
            </w:r>
          </w:p>
        </w:tc>
        <w:tc>
          <w:tcPr>
            <w:tcW w:w="1396" w:type="dxa"/>
            <w:tcBorders>
              <w:top w:val="nil"/>
              <w:left w:val="nil"/>
              <w:bottom w:val="single" w:sz="4" w:space="0" w:color="auto"/>
              <w:right w:val="single" w:sz="4" w:space="0" w:color="auto"/>
            </w:tcBorders>
            <w:shd w:val="clear" w:color="auto" w:fill="auto"/>
            <w:vAlign w:val="center"/>
            <w:hideMark/>
          </w:tcPr>
          <w:p w14:paraId="19ADECE9"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277 896 768 </w:t>
            </w:r>
          </w:p>
        </w:tc>
        <w:tc>
          <w:tcPr>
            <w:tcW w:w="1418" w:type="dxa"/>
            <w:tcBorders>
              <w:top w:val="nil"/>
              <w:left w:val="nil"/>
              <w:bottom w:val="single" w:sz="4" w:space="0" w:color="auto"/>
              <w:right w:val="single" w:sz="4" w:space="0" w:color="auto"/>
            </w:tcBorders>
            <w:shd w:val="clear" w:color="auto" w:fill="auto"/>
            <w:vAlign w:val="center"/>
            <w:hideMark/>
          </w:tcPr>
          <w:p w14:paraId="40667219"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223 147 054 </w:t>
            </w:r>
          </w:p>
        </w:tc>
        <w:tc>
          <w:tcPr>
            <w:tcW w:w="1133" w:type="dxa"/>
            <w:tcBorders>
              <w:top w:val="nil"/>
              <w:left w:val="nil"/>
              <w:bottom w:val="single" w:sz="4" w:space="0" w:color="auto"/>
              <w:right w:val="single" w:sz="4" w:space="0" w:color="auto"/>
            </w:tcBorders>
            <w:shd w:val="clear" w:color="auto" w:fill="auto"/>
            <w:vAlign w:val="center"/>
            <w:hideMark/>
          </w:tcPr>
          <w:p w14:paraId="3533FF8D"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80%</w:t>
            </w:r>
          </w:p>
        </w:tc>
      </w:tr>
      <w:tr w:rsidR="008D3A0B" w:rsidRPr="00B91E83" w14:paraId="15EF55F2" w14:textId="77777777" w:rsidTr="007A47EF">
        <w:trPr>
          <w:trHeight w:val="400"/>
        </w:trPr>
        <w:tc>
          <w:tcPr>
            <w:tcW w:w="1305" w:type="dxa"/>
            <w:vMerge/>
            <w:tcBorders>
              <w:top w:val="nil"/>
              <w:left w:val="single" w:sz="4" w:space="0" w:color="auto"/>
              <w:bottom w:val="nil"/>
              <w:right w:val="single" w:sz="4" w:space="0" w:color="auto"/>
            </w:tcBorders>
            <w:vAlign w:val="center"/>
            <w:hideMark/>
          </w:tcPr>
          <w:p w14:paraId="69867717"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66939115"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9</w:t>
            </w:r>
          </w:p>
        </w:tc>
        <w:tc>
          <w:tcPr>
            <w:tcW w:w="3423" w:type="dxa"/>
            <w:tcBorders>
              <w:top w:val="nil"/>
              <w:left w:val="nil"/>
              <w:bottom w:val="single" w:sz="4" w:space="0" w:color="auto"/>
              <w:right w:val="single" w:sz="4" w:space="0" w:color="auto"/>
            </w:tcBorders>
            <w:shd w:val="clear" w:color="auto" w:fill="auto"/>
            <w:vAlign w:val="center"/>
            <w:hideMark/>
          </w:tcPr>
          <w:p w14:paraId="4631C9C4" w14:textId="77777777" w:rsidR="008D3A0B" w:rsidRPr="00B91E83" w:rsidRDefault="008D3A0B" w:rsidP="007A47EF">
            <w:pPr>
              <w:spacing w:line="240" w:lineRule="auto"/>
              <w:jc w:val="left"/>
              <w:rPr>
                <w:rFonts w:ascii="Calibri Light" w:hAnsi="Calibri Light" w:cs="Calibri Light"/>
                <w:color w:val="000000"/>
                <w:sz w:val="18"/>
                <w:szCs w:val="18"/>
                <w:lang w:val="es-CR" w:eastAsia="es-CR"/>
              </w:rPr>
            </w:pPr>
            <w:r w:rsidRPr="00B91E83">
              <w:rPr>
                <w:rFonts w:ascii="Calibri Light" w:hAnsi="Calibri Light" w:cs="Calibri Light"/>
                <w:color w:val="000000"/>
                <w:sz w:val="18"/>
                <w:szCs w:val="18"/>
                <w:lang w:val="es-CR" w:eastAsia="es-CR"/>
              </w:rPr>
              <w:t xml:space="preserve">Utilizar, en </w:t>
            </w:r>
            <w:proofErr w:type="spellStart"/>
            <w:r w:rsidRPr="00B91E83">
              <w:rPr>
                <w:rFonts w:ascii="Calibri Light" w:hAnsi="Calibri Light" w:cs="Calibri Light"/>
                <w:color w:val="000000"/>
                <w:sz w:val="18"/>
                <w:szCs w:val="18"/>
                <w:lang w:val="es-CR" w:eastAsia="es-CR"/>
              </w:rPr>
              <w:t>PyN</w:t>
            </w:r>
            <w:proofErr w:type="spellEnd"/>
            <w:r w:rsidRPr="00B91E83">
              <w:rPr>
                <w:rFonts w:ascii="Calibri Light" w:hAnsi="Calibri Light" w:cs="Calibri Light"/>
                <w:color w:val="000000"/>
                <w:sz w:val="18"/>
                <w:szCs w:val="18"/>
                <w:lang w:val="es-CR" w:eastAsia="es-CR"/>
              </w:rPr>
              <w:t xml:space="preserve">, el 65% del plazo declarado en la publicación realizada en La Gaceta por la SUPEN. </w:t>
            </w:r>
          </w:p>
        </w:tc>
        <w:tc>
          <w:tcPr>
            <w:tcW w:w="1396" w:type="dxa"/>
            <w:tcBorders>
              <w:top w:val="nil"/>
              <w:left w:val="nil"/>
              <w:bottom w:val="single" w:sz="4" w:space="0" w:color="auto"/>
              <w:right w:val="single" w:sz="4" w:space="0" w:color="auto"/>
            </w:tcBorders>
            <w:shd w:val="clear" w:color="auto" w:fill="auto"/>
            <w:vAlign w:val="center"/>
            <w:hideMark/>
          </w:tcPr>
          <w:p w14:paraId="7F1636B2"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90 585 883 </w:t>
            </w:r>
          </w:p>
        </w:tc>
        <w:tc>
          <w:tcPr>
            <w:tcW w:w="1418" w:type="dxa"/>
            <w:tcBorders>
              <w:top w:val="nil"/>
              <w:left w:val="nil"/>
              <w:bottom w:val="single" w:sz="4" w:space="0" w:color="auto"/>
              <w:right w:val="single" w:sz="4" w:space="0" w:color="auto"/>
            </w:tcBorders>
            <w:shd w:val="clear" w:color="auto" w:fill="auto"/>
            <w:vAlign w:val="center"/>
            <w:hideMark/>
          </w:tcPr>
          <w:p w14:paraId="123D4A5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70 085 507 </w:t>
            </w:r>
          </w:p>
        </w:tc>
        <w:tc>
          <w:tcPr>
            <w:tcW w:w="1133" w:type="dxa"/>
            <w:tcBorders>
              <w:top w:val="nil"/>
              <w:left w:val="nil"/>
              <w:bottom w:val="single" w:sz="4" w:space="0" w:color="auto"/>
              <w:right w:val="single" w:sz="4" w:space="0" w:color="auto"/>
            </w:tcBorders>
            <w:shd w:val="clear" w:color="auto" w:fill="auto"/>
            <w:vAlign w:val="center"/>
            <w:hideMark/>
          </w:tcPr>
          <w:p w14:paraId="5459D93A"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77%</w:t>
            </w:r>
          </w:p>
        </w:tc>
      </w:tr>
      <w:tr w:rsidR="008D3A0B" w:rsidRPr="00B91E83" w14:paraId="4B871BBF" w14:textId="77777777" w:rsidTr="007A47EF">
        <w:trPr>
          <w:trHeight w:val="400"/>
        </w:trPr>
        <w:tc>
          <w:tcPr>
            <w:tcW w:w="1305" w:type="dxa"/>
            <w:vMerge/>
            <w:tcBorders>
              <w:top w:val="nil"/>
              <w:left w:val="single" w:sz="4" w:space="0" w:color="auto"/>
              <w:bottom w:val="nil"/>
              <w:right w:val="single" w:sz="4" w:space="0" w:color="auto"/>
            </w:tcBorders>
            <w:vAlign w:val="center"/>
            <w:hideMark/>
          </w:tcPr>
          <w:p w14:paraId="19C0F085"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19D7DC5C"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10</w:t>
            </w:r>
          </w:p>
        </w:tc>
        <w:tc>
          <w:tcPr>
            <w:tcW w:w="3423" w:type="dxa"/>
            <w:tcBorders>
              <w:top w:val="nil"/>
              <w:left w:val="nil"/>
              <w:bottom w:val="nil"/>
              <w:right w:val="single" w:sz="4" w:space="0" w:color="auto"/>
            </w:tcBorders>
            <w:shd w:val="clear" w:color="auto" w:fill="auto"/>
            <w:vAlign w:val="center"/>
            <w:hideMark/>
          </w:tcPr>
          <w:p w14:paraId="092D7830" w14:textId="77777777" w:rsidR="008D3A0B" w:rsidRPr="00B91E83" w:rsidRDefault="008D3A0B" w:rsidP="007A47EF">
            <w:pPr>
              <w:spacing w:line="240" w:lineRule="auto"/>
              <w:jc w:val="left"/>
              <w:rPr>
                <w:rFonts w:ascii="Calibri Light" w:hAnsi="Calibri Light" w:cs="Calibri Light"/>
                <w:color w:val="000000"/>
                <w:sz w:val="18"/>
                <w:szCs w:val="18"/>
                <w:lang w:val="es-CR" w:eastAsia="es-CR"/>
              </w:rPr>
            </w:pPr>
            <w:r w:rsidRPr="00B91E83">
              <w:rPr>
                <w:rFonts w:ascii="Calibri Light" w:hAnsi="Calibri Light" w:cs="Calibri Light"/>
                <w:color w:val="000000"/>
                <w:sz w:val="18"/>
                <w:szCs w:val="18"/>
                <w:lang w:val="es-CR" w:eastAsia="es-CR"/>
              </w:rPr>
              <w:t xml:space="preserve">Cumplir el 100% del cronograma de revisión de normativa al menos cada tres años. </w:t>
            </w:r>
          </w:p>
        </w:tc>
        <w:tc>
          <w:tcPr>
            <w:tcW w:w="1396" w:type="dxa"/>
            <w:tcBorders>
              <w:top w:val="nil"/>
              <w:left w:val="nil"/>
              <w:bottom w:val="single" w:sz="4" w:space="0" w:color="auto"/>
              <w:right w:val="single" w:sz="4" w:space="0" w:color="auto"/>
            </w:tcBorders>
            <w:shd w:val="clear" w:color="auto" w:fill="auto"/>
            <w:vAlign w:val="center"/>
            <w:hideMark/>
          </w:tcPr>
          <w:p w14:paraId="306876D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100 732 353 </w:t>
            </w:r>
          </w:p>
        </w:tc>
        <w:tc>
          <w:tcPr>
            <w:tcW w:w="1418" w:type="dxa"/>
            <w:tcBorders>
              <w:top w:val="nil"/>
              <w:left w:val="nil"/>
              <w:bottom w:val="single" w:sz="4" w:space="0" w:color="auto"/>
              <w:right w:val="single" w:sz="4" w:space="0" w:color="auto"/>
            </w:tcBorders>
            <w:shd w:val="clear" w:color="auto" w:fill="auto"/>
            <w:vAlign w:val="center"/>
            <w:hideMark/>
          </w:tcPr>
          <w:p w14:paraId="32A4192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52 049 592 </w:t>
            </w:r>
          </w:p>
        </w:tc>
        <w:tc>
          <w:tcPr>
            <w:tcW w:w="1133" w:type="dxa"/>
            <w:tcBorders>
              <w:top w:val="nil"/>
              <w:left w:val="nil"/>
              <w:bottom w:val="single" w:sz="4" w:space="0" w:color="auto"/>
              <w:right w:val="single" w:sz="4" w:space="0" w:color="auto"/>
            </w:tcBorders>
            <w:shd w:val="clear" w:color="auto" w:fill="auto"/>
            <w:vAlign w:val="center"/>
            <w:hideMark/>
          </w:tcPr>
          <w:p w14:paraId="5C65E175"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52%</w:t>
            </w:r>
          </w:p>
        </w:tc>
      </w:tr>
      <w:tr w:rsidR="008D3A0B" w:rsidRPr="00B91E83" w14:paraId="6FC17B50" w14:textId="77777777" w:rsidTr="007A47EF">
        <w:trPr>
          <w:trHeight w:val="600"/>
        </w:trPr>
        <w:tc>
          <w:tcPr>
            <w:tcW w:w="1305" w:type="dxa"/>
            <w:vMerge/>
            <w:tcBorders>
              <w:top w:val="nil"/>
              <w:left w:val="single" w:sz="4" w:space="0" w:color="auto"/>
              <w:bottom w:val="nil"/>
              <w:right w:val="single" w:sz="4" w:space="0" w:color="auto"/>
            </w:tcBorders>
            <w:vAlign w:val="center"/>
            <w:hideMark/>
          </w:tcPr>
          <w:p w14:paraId="19404ADA"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52844637"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11</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14:paraId="37868E96"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396" w:type="dxa"/>
            <w:tcBorders>
              <w:top w:val="nil"/>
              <w:left w:val="nil"/>
              <w:bottom w:val="single" w:sz="4" w:space="0" w:color="auto"/>
              <w:right w:val="single" w:sz="4" w:space="0" w:color="auto"/>
            </w:tcBorders>
            <w:shd w:val="clear" w:color="auto" w:fill="auto"/>
            <w:vAlign w:val="center"/>
            <w:hideMark/>
          </w:tcPr>
          <w:p w14:paraId="4018EBD5"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165 318 236 </w:t>
            </w:r>
          </w:p>
        </w:tc>
        <w:tc>
          <w:tcPr>
            <w:tcW w:w="1418" w:type="dxa"/>
            <w:tcBorders>
              <w:top w:val="nil"/>
              <w:left w:val="nil"/>
              <w:bottom w:val="single" w:sz="4" w:space="0" w:color="auto"/>
              <w:right w:val="single" w:sz="4" w:space="0" w:color="auto"/>
            </w:tcBorders>
            <w:shd w:val="clear" w:color="auto" w:fill="auto"/>
            <w:vAlign w:val="center"/>
            <w:hideMark/>
          </w:tcPr>
          <w:p w14:paraId="171C0DF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53 530 018 </w:t>
            </w:r>
          </w:p>
        </w:tc>
        <w:tc>
          <w:tcPr>
            <w:tcW w:w="1133" w:type="dxa"/>
            <w:tcBorders>
              <w:top w:val="nil"/>
              <w:left w:val="nil"/>
              <w:bottom w:val="single" w:sz="4" w:space="0" w:color="auto"/>
              <w:right w:val="single" w:sz="4" w:space="0" w:color="auto"/>
            </w:tcBorders>
            <w:shd w:val="clear" w:color="auto" w:fill="auto"/>
            <w:vAlign w:val="center"/>
            <w:hideMark/>
          </w:tcPr>
          <w:p w14:paraId="2A50906D"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32%</w:t>
            </w:r>
          </w:p>
        </w:tc>
      </w:tr>
      <w:tr w:rsidR="008D3A0B" w:rsidRPr="00B91E83" w14:paraId="503D2188" w14:textId="77777777" w:rsidTr="007A47EF">
        <w:trPr>
          <w:trHeight w:val="330"/>
        </w:trPr>
        <w:tc>
          <w:tcPr>
            <w:tcW w:w="1305" w:type="dxa"/>
            <w:tcBorders>
              <w:top w:val="nil"/>
              <w:left w:val="single" w:sz="4" w:space="0" w:color="auto"/>
              <w:bottom w:val="nil"/>
              <w:right w:val="single" w:sz="4" w:space="0" w:color="auto"/>
            </w:tcBorders>
            <w:shd w:val="clear" w:color="auto" w:fill="auto"/>
            <w:vAlign w:val="center"/>
            <w:hideMark/>
          </w:tcPr>
          <w:p w14:paraId="6CA4A478"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03468BE7"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3423" w:type="dxa"/>
            <w:tcBorders>
              <w:top w:val="nil"/>
              <w:left w:val="nil"/>
              <w:bottom w:val="single" w:sz="4" w:space="0" w:color="auto"/>
              <w:right w:val="single" w:sz="4" w:space="0" w:color="auto"/>
            </w:tcBorders>
            <w:shd w:val="clear" w:color="auto" w:fill="auto"/>
            <w:vAlign w:val="center"/>
            <w:hideMark/>
          </w:tcPr>
          <w:p w14:paraId="4471DD95"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Tiempo no Efectivo (Vacaciones, incapacidades y permisos)</w:t>
            </w:r>
          </w:p>
        </w:tc>
        <w:tc>
          <w:tcPr>
            <w:tcW w:w="1396" w:type="dxa"/>
            <w:tcBorders>
              <w:top w:val="nil"/>
              <w:left w:val="nil"/>
              <w:bottom w:val="single" w:sz="4" w:space="0" w:color="auto"/>
              <w:right w:val="single" w:sz="4" w:space="0" w:color="auto"/>
            </w:tcBorders>
            <w:shd w:val="clear" w:color="auto" w:fill="auto"/>
            <w:vAlign w:val="center"/>
            <w:hideMark/>
          </w:tcPr>
          <w:p w14:paraId="5F4E6D9A"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5ECFA0EF"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100 650 876 </w:t>
            </w:r>
          </w:p>
        </w:tc>
        <w:tc>
          <w:tcPr>
            <w:tcW w:w="1133" w:type="dxa"/>
            <w:tcBorders>
              <w:top w:val="nil"/>
              <w:left w:val="nil"/>
              <w:bottom w:val="single" w:sz="4" w:space="0" w:color="auto"/>
              <w:right w:val="single" w:sz="4" w:space="0" w:color="auto"/>
            </w:tcBorders>
            <w:shd w:val="clear" w:color="auto" w:fill="auto"/>
            <w:vAlign w:val="center"/>
            <w:hideMark/>
          </w:tcPr>
          <w:p w14:paraId="5E5DD18E"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r>
      <w:tr w:rsidR="008D3A0B" w:rsidRPr="00B91E83" w14:paraId="156D010F" w14:textId="77777777" w:rsidTr="007A47EF">
        <w:trPr>
          <w:trHeight w:val="330"/>
        </w:trPr>
        <w:tc>
          <w:tcPr>
            <w:tcW w:w="5403"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43C3C4A"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DIVISIÓN SUPERVISIÓN DEL RÉGIMENES COLECTIVOS</w:t>
            </w:r>
          </w:p>
        </w:tc>
        <w:tc>
          <w:tcPr>
            <w:tcW w:w="1396" w:type="dxa"/>
            <w:tcBorders>
              <w:top w:val="nil"/>
              <w:left w:val="nil"/>
              <w:bottom w:val="single" w:sz="4" w:space="0" w:color="auto"/>
              <w:right w:val="single" w:sz="4" w:space="0" w:color="auto"/>
            </w:tcBorders>
            <w:shd w:val="clear" w:color="000000" w:fill="DCE6F1"/>
            <w:vAlign w:val="center"/>
            <w:hideMark/>
          </w:tcPr>
          <w:p w14:paraId="25E1D394"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1 402 027 125 </w:t>
            </w:r>
          </w:p>
        </w:tc>
        <w:tc>
          <w:tcPr>
            <w:tcW w:w="1418" w:type="dxa"/>
            <w:tcBorders>
              <w:top w:val="nil"/>
              <w:left w:val="nil"/>
              <w:bottom w:val="single" w:sz="4" w:space="0" w:color="auto"/>
              <w:right w:val="single" w:sz="4" w:space="0" w:color="auto"/>
            </w:tcBorders>
            <w:shd w:val="clear" w:color="000000" w:fill="DCE6F1"/>
            <w:vAlign w:val="center"/>
            <w:hideMark/>
          </w:tcPr>
          <w:p w14:paraId="637E8F6F"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1 160 590 511 </w:t>
            </w:r>
          </w:p>
        </w:tc>
        <w:tc>
          <w:tcPr>
            <w:tcW w:w="1133" w:type="dxa"/>
            <w:tcBorders>
              <w:top w:val="nil"/>
              <w:left w:val="nil"/>
              <w:bottom w:val="single" w:sz="4" w:space="0" w:color="auto"/>
              <w:right w:val="single" w:sz="4" w:space="0" w:color="auto"/>
            </w:tcBorders>
            <w:shd w:val="clear" w:color="000000" w:fill="DCE6F1"/>
            <w:vAlign w:val="center"/>
            <w:hideMark/>
          </w:tcPr>
          <w:p w14:paraId="095177C9"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83%</w:t>
            </w:r>
          </w:p>
        </w:tc>
      </w:tr>
      <w:tr w:rsidR="008D3A0B" w:rsidRPr="00B91E83" w14:paraId="2D625897" w14:textId="77777777" w:rsidTr="007A47EF">
        <w:trPr>
          <w:trHeight w:val="675"/>
        </w:trPr>
        <w:tc>
          <w:tcPr>
            <w:tcW w:w="1305" w:type="dxa"/>
            <w:vMerge w:val="restart"/>
            <w:tcBorders>
              <w:top w:val="nil"/>
              <w:left w:val="single" w:sz="4" w:space="0" w:color="auto"/>
              <w:bottom w:val="nil"/>
              <w:right w:val="single" w:sz="4" w:space="0" w:color="auto"/>
            </w:tcBorders>
            <w:shd w:val="clear" w:color="auto" w:fill="auto"/>
            <w:vAlign w:val="center"/>
            <w:hideMark/>
          </w:tcPr>
          <w:p w14:paraId="11CE6848"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36833EBD"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12</w:t>
            </w:r>
          </w:p>
        </w:tc>
        <w:tc>
          <w:tcPr>
            <w:tcW w:w="3423" w:type="dxa"/>
            <w:tcBorders>
              <w:top w:val="nil"/>
              <w:left w:val="nil"/>
              <w:bottom w:val="single" w:sz="4" w:space="0" w:color="auto"/>
              <w:right w:val="single" w:sz="4" w:space="0" w:color="auto"/>
            </w:tcBorders>
            <w:shd w:val="clear" w:color="auto" w:fill="auto"/>
            <w:vAlign w:val="center"/>
            <w:hideMark/>
          </w:tcPr>
          <w:p w14:paraId="640AB56B"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Cumplir con el Plan Anual de Supervisión de los Regímenes Colectivos, independientemente del surgimiento de otras actividades que requieran atención.</w:t>
            </w:r>
          </w:p>
        </w:tc>
        <w:tc>
          <w:tcPr>
            <w:tcW w:w="1396" w:type="dxa"/>
            <w:tcBorders>
              <w:top w:val="nil"/>
              <w:left w:val="nil"/>
              <w:bottom w:val="single" w:sz="4" w:space="0" w:color="auto"/>
              <w:right w:val="single" w:sz="4" w:space="0" w:color="auto"/>
            </w:tcBorders>
            <w:shd w:val="clear" w:color="auto" w:fill="auto"/>
            <w:vAlign w:val="center"/>
            <w:hideMark/>
          </w:tcPr>
          <w:p w14:paraId="09DEC522"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1 160 059 526 </w:t>
            </w:r>
          </w:p>
        </w:tc>
        <w:tc>
          <w:tcPr>
            <w:tcW w:w="1418" w:type="dxa"/>
            <w:tcBorders>
              <w:top w:val="nil"/>
              <w:left w:val="nil"/>
              <w:bottom w:val="single" w:sz="4" w:space="0" w:color="auto"/>
              <w:right w:val="single" w:sz="4" w:space="0" w:color="auto"/>
            </w:tcBorders>
            <w:shd w:val="clear" w:color="auto" w:fill="auto"/>
            <w:vAlign w:val="center"/>
            <w:hideMark/>
          </w:tcPr>
          <w:p w14:paraId="423D551C"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729 401 142 </w:t>
            </w:r>
          </w:p>
        </w:tc>
        <w:tc>
          <w:tcPr>
            <w:tcW w:w="1133" w:type="dxa"/>
            <w:tcBorders>
              <w:top w:val="nil"/>
              <w:left w:val="nil"/>
              <w:bottom w:val="single" w:sz="4" w:space="0" w:color="auto"/>
              <w:right w:val="single" w:sz="4" w:space="0" w:color="auto"/>
            </w:tcBorders>
            <w:shd w:val="clear" w:color="auto" w:fill="auto"/>
            <w:vAlign w:val="center"/>
            <w:hideMark/>
          </w:tcPr>
          <w:p w14:paraId="45F6F002"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63%</w:t>
            </w:r>
          </w:p>
        </w:tc>
      </w:tr>
      <w:tr w:rsidR="008D3A0B" w:rsidRPr="00B91E83" w14:paraId="57DF4339" w14:textId="77777777" w:rsidTr="007A47EF">
        <w:trPr>
          <w:trHeight w:val="870"/>
        </w:trPr>
        <w:tc>
          <w:tcPr>
            <w:tcW w:w="1305" w:type="dxa"/>
            <w:vMerge/>
            <w:tcBorders>
              <w:top w:val="nil"/>
              <w:left w:val="single" w:sz="4" w:space="0" w:color="auto"/>
              <w:bottom w:val="nil"/>
              <w:right w:val="single" w:sz="4" w:space="0" w:color="auto"/>
            </w:tcBorders>
            <w:vAlign w:val="center"/>
            <w:hideMark/>
          </w:tcPr>
          <w:p w14:paraId="30ED66DB"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1E8FBCC6"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13</w:t>
            </w:r>
          </w:p>
        </w:tc>
        <w:tc>
          <w:tcPr>
            <w:tcW w:w="3423" w:type="dxa"/>
            <w:tcBorders>
              <w:top w:val="nil"/>
              <w:left w:val="nil"/>
              <w:bottom w:val="single" w:sz="4" w:space="0" w:color="auto"/>
              <w:right w:val="single" w:sz="4" w:space="0" w:color="auto"/>
            </w:tcBorders>
            <w:shd w:val="clear" w:color="auto" w:fill="auto"/>
            <w:vAlign w:val="center"/>
            <w:hideMark/>
          </w:tcPr>
          <w:p w14:paraId="0B49A9E9"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396" w:type="dxa"/>
            <w:tcBorders>
              <w:top w:val="nil"/>
              <w:left w:val="nil"/>
              <w:bottom w:val="single" w:sz="4" w:space="0" w:color="auto"/>
              <w:right w:val="single" w:sz="4" w:space="0" w:color="auto"/>
            </w:tcBorders>
            <w:shd w:val="clear" w:color="auto" w:fill="auto"/>
            <w:vAlign w:val="center"/>
            <w:hideMark/>
          </w:tcPr>
          <w:p w14:paraId="2408090B"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241 967 599 </w:t>
            </w:r>
          </w:p>
        </w:tc>
        <w:tc>
          <w:tcPr>
            <w:tcW w:w="1418" w:type="dxa"/>
            <w:tcBorders>
              <w:top w:val="nil"/>
              <w:left w:val="nil"/>
              <w:bottom w:val="single" w:sz="4" w:space="0" w:color="auto"/>
              <w:right w:val="single" w:sz="4" w:space="0" w:color="auto"/>
            </w:tcBorders>
            <w:shd w:val="clear" w:color="auto" w:fill="auto"/>
            <w:vAlign w:val="center"/>
            <w:hideMark/>
          </w:tcPr>
          <w:p w14:paraId="634FA3B7"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186 517 185 </w:t>
            </w:r>
          </w:p>
        </w:tc>
        <w:tc>
          <w:tcPr>
            <w:tcW w:w="1133" w:type="dxa"/>
            <w:tcBorders>
              <w:top w:val="nil"/>
              <w:left w:val="nil"/>
              <w:bottom w:val="single" w:sz="4" w:space="0" w:color="auto"/>
              <w:right w:val="single" w:sz="4" w:space="0" w:color="auto"/>
            </w:tcBorders>
            <w:shd w:val="clear" w:color="auto" w:fill="auto"/>
            <w:vAlign w:val="center"/>
            <w:hideMark/>
          </w:tcPr>
          <w:p w14:paraId="01489095"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77%</w:t>
            </w:r>
          </w:p>
        </w:tc>
      </w:tr>
      <w:tr w:rsidR="008D3A0B" w:rsidRPr="00B91E83" w14:paraId="238DC3ED" w14:textId="77777777" w:rsidTr="007A47EF">
        <w:trPr>
          <w:trHeight w:val="435"/>
        </w:trPr>
        <w:tc>
          <w:tcPr>
            <w:tcW w:w="1305" w:type="dxa"/>
            <w:tcBorders>
              <w:top w:val="nil"/>
              <w:left w:val="single" w:sz="4" w:space="0" w:color="auto"/>
              <w:bottom w:val="nil"/>
              <w:right w:val="single" w:sz="4" w:space="0" w:color="auto"/>
            </w:tcBorders>
            <w:shd w:val="clear" w:color="auto" w:fill="auto"/>
            <w:vAlign w:val="center"/>
            <w:hideMark/>
          </w:tcPr>
          <w:p w14:paraId="2B22CA29"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70B24DC6"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3423" w:type="dxa"/>
            <w:tcBorders>
              <w:top w:val="nil"/>
              <w:left w:val="nil"/>
              <w:bottom w:val="single" w:sz="4" w:space="0" w:color="auto"/>
              <w:right w:val="single" w:sz="4" w:space="0" w:color="auto"/>
            </w:tcBorders>
            <w:shd w:val="clear" w:color="auto" w:fill="auto"/>
            <w:vAlign w:val="center"/>
            <w:hideMark/>
          </w:tcPr>
          <w:p w14:paraId="035E9EB1"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Tiempo no Efectivo (Vacaciones, incapacidades y permisos)</w:t>
            </w:r>
          </w:p>
        </w:tc>
        <w:tc>
          <w:tcPr>
            <w:tcW w:w="1396" w:type="dxa"/>
            <w:tcBorders>
              <w:top w:val="nil"/>
              <w:left w:val="nil"/>
              <w:bottom w:val="single" w:sz="4" w:space="0" w:color="auto"/>
              <w:right w:val="single" w:sz="4" w:space="0" w:color="auto"/>
            </w:tcBorders>
            <w:shd w:val="clear" w:color="auto" w:fill="auto"/>
            <w:vAlign w:val="center"/>
            <w:hideMark/>
          </w:tcPr>
          <w:p w14:paraId="5FFAA63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2DC79BD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244 672 185 </w:t>
            </w:r>
          </w:p>
        </w:tc>
        <w:tc>
          <w:tcPr>
            <w:tcW w:w="1133" w:type="dxa"/>
            <w:tcBorders>
              <w:top w:val="nil"/>
              <w:left w:val="nil"/>
              <w:bottom w:val="single" w:sz="4" w:space="0" w:color="auto"/>
              <w:right w:val="single" w:sz="4" w:space="0" w:color="auto"/>
            </w:tcBorders>
            <w:shd w:val="clear" w:color="auto" w:fill="auto"/>
            <w:vAlign w:val="center"/>
            <w:hideMark/>
          </w:tcPr>
          <w:p w14:paraId="5DB27DB7"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r>
      <w:tr w:rsidR="008D3A0B" w:rsidRPr="00B91E83" w14:paraId="15DD5B31" w14:textId="77777777" w:rsidTr="007A47EF">
        <w:trPr>
          <w:trHeight w:val="315"/>
        </w:trPr>
        <w:tc>
          <w:tcPr>
            <w:tcW w:w="5403"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0A22AE6"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DIVISIÓN SUPERVISIÓN DEL RÉGIMEN DE CAPITALIZACIÓN INDIVIDUAL</w:t>
            </w:r>
          </w:p>
        </w:tc>
        <w:tc>
          <w:tcPr>
            <w:tcW w:w="1396" w:type="dxa"/>
            <w:tcBorders>
              <w:top w:val="nil"/>
              <w:left w:val="nil"/>
              <w:bottom w:val="single" w:sz="4" w:space="0" w:color="auto"/>
              <w:right w:val="single" w:sz="4" w:space="0" w:color="auto"/>
            </w:tcBorders>
            <w:shd w:val="clear" w:color="000000" w:fill="DCE6F1"/>
            <w:vAlign w:val="center"/>
            <w:hideMark/>
          </w:tcPr>
          <w:p w14:paraId="38547E31"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 1 573 867 702 </w:t>
            </w:r>
          </w:p>
        </w:tc>
        <w:tc>
          <w:tcPr>
            <w:tcW w:w="1418" w:type="dxa"/>
            <w:tcBorders>
              <w:top w:val="nil"/>
              <w:left w:val="nil"/>
              <w:bottom w:val="single" w:sz="4" w:space="0" w:color="auto"/>
              <w:right w:val="single" w:sz="4" w:space="0" w:color="auto"/>
            </w:tcBorders>
            <w:shd w:val="clear" w:color="000000" w:fill="DCE6F1"/>
            <w:vAlign w:val="center"/>
            <w:hideMark/>
          </w:tcPr>
          <w:p w14:paraId="1C79DFF7"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1 333 644 835 </w:t>
            </w:r>
          </w:p>
        </w:tc>
        <w:tc>
          <w:tcPr>
            <w:tcW w:w="1133" w:type="dxa"/>
            <w:tcBorders>
              <w:top w:val="nil"/>
              <w:left w:val="nil"/>
              <w:bottom w:val="single" w:sz="4" w:space="0" w:color="auto"/>
              <w:right w:val="single" w:sz="4" w:space="0" w:color="auto"/>
            </w:tcBorders>
            <w:shd w:val="clear" w:color="000000" w:fill="DCE6F1"/>
            <w:vAlign w:val="center"/>
            <w:hideMark/>
          </w:tcPr>
          <w:p w14:paraId="0A91C91F"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85%</w:t>
            </w:r>
          </w:p>
        </w:tc>
      </w:tr>
      <w:tr w:rsidR="008D3A0B" w:rsidRPr="00B91E83" w14:paraId="20713987" w14:textId="77777777" w:rsidTr="007A47EF">
        <w:trPr>
          <w:trHeight w:val="1020"/>
        </w:trPr>
        <w:tc>
          <w:tcPr>
            <w:tcW w:w="1305" w:type="dxa"/>
            <w:vMerge w:val="restart"/>
            <w:tcBorders>
              <w:top w:val="nil"/>
              <w:left w:val="single" w:sz="4" w:space="0" w:color="auto"/>
              <w:bottom w:val="nil"/>
              <w:right w:val="single" w:sz="4" w:space="0" w:color="auto"/>
            </w:tcBorders>
            <w:shd w:val="clear" w:color="auto" w:fill="auto"/>
            <w:vAlign w:val="center"/>
            <w:hideMark/>
          </w:tcPr>
          <w:p w14:paraId="680031BA"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6A809EFC"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14</w:t>
            </w:r>
          </w:p>
        </w:tc>
        <w:tc>
          <w:tcPr>
            <w:tcW w:w="3423" w:type="dxa"/>
            <w:tcBorders>
              <w:top w:val="nil"/>
              <w:left w:val="nil"/>
              <w:bottom w:val="single" w:sz="4" w:space="0" w:color="auto"/>
              <w:right w:val="single" w:sz="4" w:space="0" w:color="auto"/>
            </w:tcBorders>
            <w:shd w:val="clear" w:color="auto" w:fill="auto"/>
            <w:vAlign w:val="center"/>
            <w:hideMark/>
          </w:tcPr>
          <w:p w14:paraId="63601165"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Fiscalizar y supervisar el cumplimiento de la normativa vigente y evaluar el proceso de identificación, medición, control y seguimiento de los riesgos en las entidades supervisadas y los fondos administrados.</w:t>
            </w:r>
          </w:p>
        </w:tc>
        <w:tc>
          <w:tcPr>
            <w:tcW w:w="1396" w:type="dxa"/>
            <w:tcBorders>
              <w:top w:val="nil"/>
              <w:left w:val="nil"/>
              <w:bottom w:val="single" w:sz="4" w:space="0" w:color="auto"/>
              <w:right w:val="single" w:sz="4" w:space="0" w:color="auto"/>
            </w:tcBorders>
            <w:shd w:val="clear" w:color="auto" w:fill="auto"/>
            <w:vAlign w:val="center"/>
            <w:hideMark/>
          </w:tcPr>
          <w:p w14:paraId="77884673"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1 229 310 544 </w:t>
            </w:r>
          </w:p>
        </w:tc>
        <w:tc>
          <w:tcPr>
            <w:tcW w:w="1418" w:type="dxa"/>
            <w:tcBorders>
              <w:top w:val="nil"/>
              <w:left w:val="nil"/>
              <w:bottom w:val="single" w:sz="4" w:space="0" w:color="auto"/>
              <w:right w:val="single" w:sz="4" w:space="0" w:color="auto"/>
            </w:tcBorders>
            <w:shd w:val="clear" w:color="auto" w:fill="auto"/>
            <w:vAlign w:val="center"/>
            <w:hideMark/>
          </w:tcPr>
          <w:p w14:paraId="4203A629"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793 232 823 </w:t>
            </w:r>
          </w:p>
        </w:tc>
        <w:tc>
          <w:tcPr>
            <w:tcW w:w="1133" w:type="dxa"/>
            <w:tcBorders>
              <w:top w:val="nil"/>
              <w:left w:val="nil"/>
              <w:bottom w:val="single" w:sz="4" w:space="0" w:color="auto"/>
              <w:right w:val="single" w:sz="4" w:space="0" w:color="auto"/>
            </w:tcBorders>
            <w:shd w:val="clear" w:color="auto" w:fill="auto"/>
            <w:vAlign w:val="center"/>
            <w:hideMark/>
          </w:tcPr>
          <w:p w14:paraId="210A3A74"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65%</w:t>
            </w:r>
          </w:p>
        </w:tc>
      </w:tr>
      <w:tr w:rsidR="008D3A0B" w:rsidRPr="00B91E83" w14:paraId="25D3687D" w14:textId="77777777" w:rsidTr="007A47EF">
        <w:trPr>
          <w:trHeight w:val="840"/>
        </w:trPr>
        <w:tc>
          <w:tcPr>
            <w:tcW w:w="1305" w:type="dxa"/>
            <w:vMerge/>
            <w:tcBorders>
              <w:top w:val="nil"/>
              <w:left w:val="single" w:sz="4" w:space="0" w:color="auto"/>
              <w:bottom w:val="nil"/>
              <w:right w:val="single" w:sz="4" w:space="0" w:color="auto"/>
            </w:tcBorders>
            <w:vAlign w:val="center"/>
            <w:hideMark/>
          </w:tcPr>
          <w:p w14:paraId="32B8AB2A"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718B29CB"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15</w:t>
            </w:r>
          </w:p>
        </w:tc>
        <w:tc>
          <w:tcPr>
            <w:tcW w:w="3423" w:type="dxa"/>
            <w:tcBorders>
              <w:top w:val="nil"/>
              <w:left w:val="nil"/>
              <w:bottom w:val="single" w:sz="4" w:space="0" w:color="auto"/>
              <w:right w:val="single" w:sz="4" w:space="0" w:color="auto"/>
            </w:tcBorders>
            <w:shd w:val="clear" w:color="auto" w:fill="auto"/>
            <w:vAlign w:val="center"/>
            <w:hideMark/>
          </w:tcPr>
          <w:p w14:paraId="02CF5227"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396" w:type="dxa"/>
            <w:tcBorders>
              <w:top w:val="nil"/>
              <w:left w:val="nil"/>
              <w:bottom w:val="single" w:sz="4" w:space="0" w:color="auto"/>
              <w:right w:val="single" w:sz="4" w:space="0" w:color="auto"/>
            </w:tcBorders>
            <w:shd w:val="clear" w:color="auto" w:fill="auto"/>
            <w:vAlign w:val="center"/>
            <w:hideMark/>
          </w:tcPr>
          <w:p w14:paraId="668F49F4"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344 557 158 </w:t>
            </w:r>
          </w:p>
        </w:tc>
        <w:tc>
          <w:tcPr>
            <w:tcW w:w="1418" w:type="dxa"/>
            <w:tcBorders>
              <w:top w:val="nil"/>
              <w:left w:val="nil"/>
              <w:bottom w:val="single" w:sz="4" w:space="0" w:color="auto"/>
              <w:right w:val="single" w:sz="4" w:space="0" w:color="auto"/>
            </w:tcBorders>
            <w:shd w:val="clear" w:color="auto" w:fill="auto"/>
            <w:vAlign w:val="center"/>
            <w:hideMark/>
          </w:tcPr>
          <w:p w14:paraId="221500CB"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271 841 977 </w:t>
            </w:r>
          </w:p>
        </w:tc>
        <w:tc>
          <w:tcPr>
            <w:tcW w:w="1133" w:type="dxa"/>
            <w:tcBorders>
              <w:top w:val="nil"/>
              <w:left w:val="nil"/>
              <w:bottom w:val="single" w:sz="4" w:space="0" w:color="auto"/>
              <w:right w:val="single" w:sz="4" w:space="0" w:color="auto"/>
            </w:tcBorders>
            <w:shd w:val="clear" w:color="auto" w:fill="auto"/>
            <w:vAlign w:val="center"/>
            <w:hideMark/>
          </w:tcPr>
          <w:p w14:paraId="1ACC2C7D"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79%</w:t>
            </w:r>
          </w:p>
        </w:tc>
      </w:tr>
      <w:tr w:rsidR="008D3A0B" w:rsidRPr="00B91E83" w14:paraId="1CCE617D" w14:textId="77777777" w:rsidTr="007A47EF">
        <w:trPr>
          <w:trHeight w:val="360"/>
        </w:trPr>
        <w:tc>
          <w:tcPr>
            <w:tcW w:w="1305" w:type="dxa"/>
            <w:tcBorders>
              <w:top w:val="nil"/>
              <w:left w:val="single" w:sz="4" w:space="0" w:color="auto"/>
              <w:bottom w:val="nil"/>
              <w:right w:val="single" w:sz="4" w:space="0" w:color="auto"/>
            </w:tcBorders>
            <w:shd w:val="clear" w:color="auto" w:fill="auto"/>
            <w:vAlign w:val="center"/>
            <w:hideMark/>
          </w:tcPr>
          <w:p w14:paraId="3A5C5C47"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044CD39B"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3423" w:type="dxa"/>
            <w:tcBorders>
              <w:top w:val="nil"/>
              <w:left w:val="nil"/>
              <w:bottom w:val="single" w:sz="4" w:space="0" w:color="auto"/>
              <w:right w:val="single" w:sz="4" w:space="0" w:color="auto"/>
            </w:tcBorders>
            <w:shd w:val="clear" w:color="auto" w:fill="auto"/>
            <w:vAlign w:val="center"/>
            <w:hideMark/>
          </w:tcPr>
          <w:p w14:paraId="125EA38C"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Tiempo no Efectivo (Vacaciones, incapacidades y permisos)</w:t>
            </w:r>
          </w:p>
        </w:tc>
        <w:tc>
          <w:tcPr>
            <w:tcW w:w="1396" w:type="dxa"/>
            <w:tcBorders>
              <w:top w:val="nil"/>
              <w:left w:val="nil"/>
              <w:bottom w:val="single" w:sz="4" w:space="0" w:color="auto"/>
              <w:right w:val="single" w:sz="4" w:space="0" w:color="auto"/>
            </w:tcBorders>
            <w:shd w:val="clear" w:color="auto" w:fill="auto"/>
            <w:vAlign w:val="center"/>
            <w:hideMark/>
          </w:tcPr>
          <w:p w14:paraId="53B4FB37"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61164026"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268 570 035 </w:t>
            </w:r>
          </w:p>
        </w:tc>
        <w:tc>
          <w:tcPr>
            <w:tcW w:w="1133" w:type="dxa"/>
            <w:tcBorders>
              <w:top w:val="nil"/>
              <w:left w:val="nil"/>
              <w:bottom w:val="single" w:sz="4" w:space="0" w:color="auto"/>
              <w:right w:val="single" w:sz="4" w:space="0" w:color="auto"/>
            </w:tcBorders>
            <w:shd w:val="clear" w:color="auto" w:fill="auto"/>
            <w:vAlign w:val="center"/>
            <w:hideMark/>
          </w:tcPr>
          <w:p w14:paraId="2DA7E379"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r>
      <w:tr w:rsidR="008D3A0B" w:rsidRPr="00B91E83" w14:paraId="232E8C59" w14:textId="77777777" w:rsidTr="007A47EF">
        <w:trPr>
          <w:trHeight w:val="285"/>
        </w:trPr>
        <w:tc>
          <w:tcPr>
            <w:tcW w:w="5403"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47ECBA8"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ÁREA COMUNICACIÓN Y SERVICIOS</w:t>
            </w:r>
          </w:p>
        </w:tc>
        <w:tc>
          <w:tcPr>
            <w:tcW w:w="1396" w:type="dxa"/>
            <w:tcBorders>
              <w:top w:val="nil"/>
              <w:left w:val="nil"/>
              <w:bottom w:val="single" w:sz="4" w:space="0" w:color="auto"/>
              <w:right w:val="single" w:sz="4" w:space="0" w:color="auto"/>
            </w:tcBorders>
            <w:shd w:val="clear" w:color="000000" w:fill="DCE6F1"/>
            <w:vAlign w:val="center"/>
            <w:hideMark/>
          </w:tcPr>
          <w:p w14:paraId="7F57BE4D"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947 708 377 </w:t>
            </w:r>
          </w:p>
        </w:tc>
        <w:tc>
          <w:tcPr>
            <w:tcW w:w="1418" w:type="dxa"/>
            <w:tcBorders>
              <w:top w:val="nil"/>
              <w:left w:val="nil"/>
              <w:bottom w:val="single" w:sz="4" w:space="0" w:color="auto"/>
              <w:right w:val="single" w:sz="4" w:space="0" w:color="auto"/>
            </w:tcBorders>
            <w:shd w:val="clear" w:color="000000" w:fill="DCE6F1"/>
            <w:vAlign w:val="center"/>
            <w:hideMark/>
          </w:tcPr>
          <w:p w14:paraId="642C7ABE"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684 246 130 </w:t>
            </w:r>
          </w:p>
        </w:tc>
        <w:tc>
          <w:tcPr>
            <w:tcW w:w="1133" w:type="dxa"/>
            <w:tcBorders>
              <w:top w:val="nil"/>
              <w:left w:val="nil"/>
              <w:bottom w:val="single" w:sz="4" w:space="0" w:color="auto"/>
              <w:right w:val="single" w:sz="4" w:space="0" w:color="auto"/>
            </w:tcBorders>
            <w:shd w:val="clear" w:color="000000" w:fill="DCE6F1"/>
            <w:vAlign w:val="center"/>
            <w:hideMark/>
          </w:tcPr>
          <w:p w14:paraId="196DC516"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72%</w:t>
            </w:r>
          </w:p>
        </w:tc>
      </w:tr>
      <w:tr w:rsidR="008D3A0B" w:rsidRPr="00B91E83" w14:paraId="6EF8E87A" w14:textId="77777777" w:rsidTr="007A47EF">
        <w:trPr>
          <w:trHeight w:val="540"/>
        </w:trPr>
        <w:tc>
          <w:tcPr>
            <w:tcW w:w="1305" w:type="dxa"/>
            <w:vMerge w:val="restart"/>
            <w:tcBorders>
              <w:top w:val="nil"/>
              <w:left w:val="single" w:sz="4" w:space="0" w:color="auto"/>
              <w:bottom w:val="nil"/>
              <w:right w:val="single" w:sz="4" w:space="0" w:color="auto"/>
            </w:tcBorders>
            <w:vAlign w:val="center"/>
            <w:hideMark/>
          </w:tcPr>
          <w:p w14:paraId="4BCB0461"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4673D31B"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17</w:t>
            </w:r>
          </w:p>
        </w:tc>
        <w:tc>
          <w:tcPr>
            <w:tcW w:w="3423" w:type="dxa"/>
            <w:tcBorders>
              <w:top w:val="nil"/>
              <w:left w:val="nil"/>
              <w:bottom w:val="single" w:sz="4" w:space="0" w:color="auto"/>
              <w:right w:val="single" w:sz="4" w:space="0" w:color="auto"/>
            </w:tcBorders>
            <w:shd w:val="clear" w:color="auto" w:fill="auto"/>
            <w:vAlign w:val="center"/>
            <w:hideMark/>
          </w:tcPr>
          <w:p w14:paraId="647692CA"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Atender los requerimientos de gestión de recursos, de acuerdo con las disposiciones institucionales.</w:t>
            </w:r>
          </w:p>
        </w:tc>
        <w:tc>
          <w:tcPr>
            <w:tcW w:w="1396" w:type="dxa"/>
            <w:tcBorders>
              <w:top w:val="nil"/>
              <w:left w:val="nil"/>
              <w:bottom w:val="single" w:sz="4" w:space="0" w:color="auto"/>
              <w:right w:val="single" w:sz="4" w:space="0" w:color="auto"/>
            </w:tcBorders>
            <w:shd w:val="clear" w:color="auto" w:fill="auto"/>
            <w:vAlign w:val="center"/>
            <w:hideMark/>
          </w:tcPr>
          <w:p w14:paraId="33EA435F"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490 688 934 </w:t>
            </w:r>
          </w:p>
        </w:tc>
        <w:tc>
          <w:tcPr>
            <w:tcW w:w="1418" w:type="dxa"/>
            <w:tcBorders>
              <w:top w:val="nil"/>
              <w:left w:val="nil"/>
              <w:bottom w:val="single" w:sz="4" w:space="0" w:color="auto"/>
              <w:right w:val="single" w:sz="4" w:space="0" w:color="auto"/>
            </w:tcBorders>
            <w:shd w:val="clear" w:color="auto" w:fill="auto"/>
            <w:vAlign w:val="center"/>
            <w:hideMark/>
          </w:tcPr>
          <w:p w14:paraId="3D27743F"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161 412 938 </w:t>
            </w:r>
          </w:p>
        </w:tc>
        <w:tc>
          <w:tcPr>
            <w:tcW w:w="1133" w:type="dxa"/>
            <w:tcBorders>
              <w:top w:val="nil"/>
              <w:left w:val="nil"/>
              <w:bottom w:val="single" w:sz="4" w:space="0" w:color="auto"/>
              <w:right w:val="single" w:sz="4" w:space="0" w:color="auto"/>
            </w:tcBorders>
            <w:shd w:val="clear" w:color="auto" w:fill="auto"/>
            <w:vAlign w:val="center"/>
            <w:hideMark/>
          </w:tcPr>
          <w:p w14:paraId="2DA35B78"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33%</w:t>
            </w:r>
          </w:p>
        </w:tc>
      </w:tr>
      <w:tr w:rsidR="008D3A0B" w:rsidRPr="00B91E83" w14:paraId="16A7A55D" w14:textId="77777777" w:rsidTr="007A47EF">
        <w:trPr>
          <w:trHeight w:val="795"/>
        </w:trPr>
        <w:tc>
          <w:tcPr>
            <w:tcW w:w="1305" w:type="dxa"/>
            <w:vMerge/>
            <w:tcBorders>
              <w:top w:val="nil"/>
              <w:left w:val="single" w:sz="4" w:space="0" w:color="auto"/>
              <w:bottom w:val="nil"/>
              <w:right w:val="single" w:sz="4" w:space="0" w:color="auto"/>
            </w:tcBorders>
            <w:vAlign w:val="center"/>
            <w:hideMark/>
          </w:tcPr>
          <w:p w14:paraId="5DFB8103" w14:textId="77777777" w:rsidR="008D3A0B" w:rsidRPr="00B91E83" w:rsidRDefault="008D3A0B" w:rsidP="007A47EF">
            <w:pPr>
              <w:spacing w:line="240" w:lineRule="auto"/>
              <w:jc w:val="left"/>
              <w:rPr>
                <w:rFonts w:ascii="Calibri Light" w:hAnsi="Calibri Light" w:cs="Calibri Light"/>
                <w:b/>
                <w:bCs/>
                <w:sz w:val="18"/>
                <w:szCs w:val="18"/>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14:paraId="14913120"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18</w:t>
            </w:r>
          </w:p>
        </w:tc>
        <w:tc>
          <w:tcPr>
            <w:tcW w:w="3423" w:type="dxa"/>
            <w:tcBorders>
              <w:top w:val="nil"/>
              <w:left w:val="nil"/>
              <w:bottom w:val="single" w:sz="4" w:space="0" w:color="auto"/>
              <w:right w:val="single" w:sz="4" w:space="0" w:color="auto"/>
            </w:tcBorders>
            <w:shd w:val="clear" w:color="auto" w:fill="auto"/>
            <w:vAlign w:val="center"/>
            <w:hideMark/>
          </w:tcPr>
          <w:p w14:paraId="211654B8"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396" w:type="dxa"/>
            <w:tcBorders>
              <w:top w:val="nil"/>
              <w:left w:val="nil"/>
              <w:bottom w:val="single" w:sz="4" w:space="0" w:color="auto"/>
              <w:right w:val="single" w:sz="4" w:space="0" w:color="auto"/>
            </w:tcBorders>
            <w:shd w:val="clear" w:color="auto" w:fill="auto"/>
            <w:vAlign w:val="center"/>
            <w:hideMark/>
          </w:tcPr>
          <w:p w14:paraId="70BCE43E"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31 811 768 </w:t>
            </w:r>
          </w:p>
        </w:tc>
        <w:tc>
          <w:tcPr>
            <w:tcW w:w="1418" w:type="dxa"/>
            <w:tcBorders>
              <w:top w:val="nil"/>
              <w:left w:val="nil"/>
              <w:bottom w:val="single" w:sz="4" w:space="0" w:color="auto"/>
              <w:right w:val="single" w:sz="4" w:space="0" w:color="auto"/>
            </w:tcBorders>
            <w:shd w:val="clear" w:color="auto" w:fill="auto"/>
            <w:vAlign w:val="center"/>
            <w:hideMark/>
          </w:tcPr>
          <w:p w14:paraId="198D10B8"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   20 722 366 </w:t>
            </w:r>
          </w:p>
        </w:tc>
        <w:tc>
          <w:tcPr>
            <w:tcW w:w="1133" w:type="dxa"/>
            <w:tcBorders>
              <w:top w:val="nil"/>
              <w:left w:val="nil"/>
              <w:bottom w:val="single" w:sz="4" w:space="0" w:color="auto"/>
              <w:right w:val="single" w:sz="4" w:space="0" w:color="auto"/>
            </w:tcBorders>
            <w:shd w:val="clear" w:color="auto" w:fill="auto"/>
            <w:vAlign w:val="center"/>
            <w:hideMark/>
          </w:tcPr>
          <w:p w14:paraId="53C70F6D"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65%</w:t>
            </w:r>
          </w:p>
        </w:tc>
      </w:tr>
      <w:tr w:rsidR="008D3A0B" w:rsidRPr="00B91E83" w14:paraId="08346899" w14:textId="77777777" w:rsidTr="007A47EF">
        <w:trPr>
          <w:trHeight w:val="390"/>
        </w:trPr>
        <w:tc>
          <w:tcPr>
            <w:tcW w:w="1305" w:type="dxa"/>
            <w:tcBorders>
              <w:top w:val="nil"/>
              <w:left w:val="single" w:sz="4" w:space="0" w:color="auto"/>
              <w:bottom w:val="nil"/>
              <w:right w:val="single" w:sz="4" w:space="0" w:color="auto"/>
            </w:tcBorders>
            <w:shd w:val="clear" w:color="auto" w:fill="auto"/>
            <w:vAlign w:val="center"/>
            <w:hideMark/>
          </w:tcPr>
          <w:p w14:paraId="387F8F51"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14:paraId="10A9E88D"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w:t>
            </w:r>
          </w:p>
        </w:tc>
        <w:tc>
          <w:tcPr>
            <w:tcW w:w="3423" w:type="dxa"/>
            <w:tcBorders>
              <w:top w:val="nil"/>
              <w:left w:val="nil"/>
              <w:bottom w:val="single" w:sz="4" w:space="0" w:color="auto"/>
              <w:right w:val="single" w:sz="4" w:space="0" w:color="auto"/>
            </w:tcBorders>
            <w:shd w:val="clear" w:color="auto" w:fill="auto"/>
            <w:vAlign w:val="center"/>
            <w:hideMark/>
          </w:tcPr>
          <w:p w14:paraId="614B1FB2" w14:textId="77777777" w:rsidR="008D3A0B" w:rsidRPr="00B91E83" w:rsidRDefault="008D3A0B" w:rsidP="007A47EF">
            <w:pPr>
              <w:spacing w:line="240" w:lineRule="auto"/>
              <w:jc w:val="lef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Tiempo no Efectivo (Vacaciones, incapacidades y permisos)</w:t>
            </w:r>
          </w:p>
        </w:tc>
        <w:tc>
          <w:tcPr>
            <w:tcW w:w="1396" w:type="dxa"/>
            <w:tcBorders>
              <w:top w:val="nil"/>
              <w:left w:val="nil"/>
              <w:bottom w:val="single" w:sz="4" w:space="0" w:color="auto"/>
              <w:right w:val="single" w:sz="4" w:space="0" w:color="auto"/>
            </w:tcBorders>
            <w:shd w:val="clear" w:color="auto" w:fill="auto"/>
            <w:vAlign w:val="center"/>
            <w:hideMark/>
          </w:tcPr>
          <w:p w14:paraId="1A0BCB87"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518BC80B" w14:textId="77777777" w:rsidR="008D3A0B" w:rsidRPr="00B91E83" w:rsidRDefault="008D3A0B" w:rsidP="007A47EF">
            <w:pPr>
              <w:spacing w:line="240" w:lineRule="auto"/>
              <w:jc w:val="right"/>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xml:space="preserve">209 178 504 </w:t>
            </w:r>
          </w:p>
        </w:tc>
        <w:tc>
          <w:tcPr>
            <w:tcW w:w="1133" w:type="dxa"/>
            <w:tcBorders>
              <w:top w:val="nil"/>
              <w:left w:val="nil"/>
              <w:bottom w:val="single" w:sz="4" w:space="0" w:color="auto"/>
              <w:right w:val="single" w:sz="4" w:space="0" w:color="auto"/>
            </w:tcBorders>
            <w:shd w:val="clear" w:color="auto" w:fill="auto"/>
            <w:vAlign w:val="center"/>
            <w:hideMark/>
          </w:tcPr>
          <w:p w14:paraId="7A862B34" w14:textId="77777777" w:rsidR="008D3A0B" w:rsidRPr="00B91E83" w:rsidRDefault="008D3A0B" w:rsidP="007A47EF">
            <w:pPr>
              <w:spacing w:line="240" w:lineRule="auto"/>
              <w:jc w:val="center"/>
              <w:rPr>
                <w:rFonts w:ascii="Calibri Light" w:hAnsi="Calibri Light" w:cs="Calibri Light"/>
                <w:sz w:val="18"/>
                <w:szCs w:val="18"/>
                <w:lang w:val="es-CR" w:eastAsia="es-CR"/>
              </w:rPr>
            </w:pPr>
            <w:r w:rsidRPr="00B91E83">
              <w:rPr>
                <w:rFonts w:ascii="Calibri Light" w:hAnsi="Calibri Light" w:cs="Calibri Light"/>
                <w:sz w:val="18"/>
                <w:szCs w:val="18"/>
                <w:lang w:val="es-CR" w:eastAsia="es-CR"/>
              </w:rPr>
              <w:t> </w:t>
            </w:r>
          </w:p>
        </w:tc>
      </w:tr>
      <w:tr w:rsidR="008D3A0B" w:rsidRPr="00B91E83" w14:paraId="06C24A57" w14:textId="77777777" w:rsidTr="007A47EF">
        <w:trPr>
          <w:trHeight w:val="435"/>
        </w:trPr>
        <w:tc>
          <w:tcPr>
            <w:tcW w:w="5403"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D9D6F0D"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TOTAL</w:t>
            </w:r>
          </w:p>
        </w:tc>
        <w:tc>
          <w:tcPr>
            <w:tcW w:w="1396" w:type="dxa"/>
            <w:tcBorders>
              <w:top w:val="nil"/>
              <w:left w:val="nil"/>
              <w:bottom w:val="single" w:sz="4" w:space="0" w:color="auto"/>
              <w:right w:val="single" w:sz="4" w:space="0" w:color="auto"/>
            </w:tcBorders>
            <w:shd w:val="clear" w:color="000000" w:fill="8DB4E2"/>
            <w:vAlign w:val="center"/>
            <w:hideMark/>
          </w:tcPr>
          <w:p w14:paraId="7BBA2BC6"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5 453 075 008 </w:t>
            </w:r>
          </w:p>
        </w:tc>
        <w:tc>
          <w:tcPr>
            <w:tcW w:w="1418" w:type="dxa"/>
            <w:tcBorders>
              <w:top w:val="nil"/>
              <w:left w:val="nil"/>
              <w:bottom w:val="single" w:sz="4" w:space="0" w:color="auto"/>
              <w:right w:val="single" w:sz="4" w:space="0" w:color="auto"/>
            </w:tcBorders>
            <w:shd w:val="clear" w:color="000000" w:fill="8DB4E2"/>
            <w:vAlign w:val="center"/>
            <w:hideMark/>
          </w:tcPr>
          <w:p w14:paraId="302E33E8" w14:textId="77777777" w:rsidR="008D3A0B" w:rsidRPr="00B91E83" w:rsidRDefault="008D3A0B" w:rsidP="007A47EF">
            <w:pPr>
              <w:spacing w:line="240" w:lineRule="auto"/>
              <w:jc w:val="right"/>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 xml:space="preserve">4 407 625 310 </w:t>
            </w:r>
          </w:p>
        </w:tc>
        <w:tc>
          <w:tcPr>
            <w:tcW w:w="1133" w:type="dxa"/>
            <w:tcBorders>
              <w:top w:val="nil"/>
              <w:left w:val="nil"/>
              <w:bottom w:val="single" w:sz="4" w:space="0" w:color="auto"/>
              <w:right w:val="single" w:sz="4" w:space="0" w:color="auto"/>
            </w:tcBorders>
            <w:shd w:val="clear" w:color="000000" w:fill="8DB4E2"/>
            <w:vAlign w:val="center"/>
            <w:hideMark/>
          </w:tcPr>
          <w:p w14:paraId="778A1130" w14:textId="77777777" w:rsidR="008D3A0B" w:rsidRPr="00B91E83" w:rsidRDefault="008D3A0B" w:rsidP="007A47EF">
            <w:pPr>
              <w:spacing w:line="240" w:lineRule="auto"/>
              <w:jc w:val="center"/>
              <w:rPr>
                <w:rFonts w:ascii="Calibri Light" w:hAnsi="Calibri Light" w:cs="Calibri Light"/>
                <w:b/>
                <w:bCs/>
                <w:sz w:val="18"/>
                <w:szCs w:val="18"/>
                <w:lang w:val="es-CR" w:eastAsia="es-CR"/>
              </w:rPr>
            </w:pPr>
            <w:r w:rsidRPr="00B91E83">
              <w:rPr>
                <w:rFonts w:ascii="Calibri Light" w:hAnsi="Calibri Light" w:cs="Calibri Light"/>
                <w:b/>
                <w:bCs/>
                <w:sz w:val="18"/>
                <w:szCs w:val="18"/>
                <w:lang w:val="es-CR" w:eastAsia="es-CR"/>
              </w:rPr>
              <w:t>81%</w:t>
            </w:r>
          </w:p>
        </w:tc>
      </w:tr>
    </w:tbl>
    <w:p w14:paraId="3BFB1622" w14:textId="46339EBA" w:rsidR="00A1520E" w:rsidRDefault="00A1520E" w:rsidP="00A1520E">
      <w:pPr>
        <w:rPr>
          <w:lang w:val="es-CR"/>
        </w:rPr>
      </w:pPr>
    </w:p>
    <w:p w14:paraId="455D228E" w14:textId="199BC29B" w:rsidR="0038781C" w:rsidRDefault="0038781C" w:rsidP="00A1520E">
      <w:pPr>
        <w:rPr>
          <w:lang w:val="es-CR"/>
        </w:rPr>
      </w:pPr>
    </w:p>
    <w:p w14:paraId="0785860F" w14:textId="77777777" w:rsidR="00D0252C" w:rsidRDefault="00D0252C" w:rsidP="00A1520E">
      <w:pPr>
        <w:rPr>
          <w:lang w:val="es-CR"/>
        </w:rPr>
      </w:pPr>
    </w:p>
    <w:p w14:paraId="3ADB950B" w14:textId="70038171" w:rsidR="00400F84" w:rsidRDefault="00A26268" w:rsidP="008E02F2">
      <w:pPr>
        <w:pStyle w:val="Ttulo3"/>
      </w:pPr>
      <w:bookmarkStart w:id="49" w:name="_Toc94183037"/>
      <w:r w:rsidRPr="00D07970">
        <w:t>Gráfico 1</w:t>
      </w:r>
      <w:bookmarkEnd w:id="49"/>
    </w:p>
    <w:p w14:paraId="5189CB21" w14:textId="1BB59EBE" w:rsidR="0028042C" w:rsidRDefault="002D5770" w:rsidP="0028042C">
      <w:pPr>
        <w:rPr>
          <w:lang w:val="es-CR"/>
        </w:rPr>
      </w:pPr>
      <w:r>
        <w:rPr>
          <w:noProof/>
        </w:rPr>
        <w:drawing>
          <wp:inline distT="0" distB="0" distL="0" distR="0" wp14:anchorId="21978FBB" wp14:editId="26528135">
            <wp:extent cx="5158780" cy="2718927"/>
            <wp:effectExtent l="0" t="0" r="3810" b="5715"/>
            <wp:docPr id="2" name="Gráfico 2" title="Evaluación">
              <a:extLst xmlns:a="http://schemas.openxmlformats.org/drawingml/2006/main">
                <a:ext uri="{FF2B5EF4-FFF2-40B4-BE49-F238E27FC236}">
                  <a16:creationId xmlns:a16="http://schemas.microsoft.com/office/drawing/2014/main" id="{81D834C0-E690-4FF3-8DB1-69E19A376C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30B48C" w14:textId="77777777" w:rsidR="0028042C" w:rsidRPr="0028042C" w:rsidRDefault="0028042C" w:rsidP="0028042C">
      <w:pPr>
        <w:rPr>
          <w:lang w:val="es-CR"/>
        </w:rPr>
      </w:pPr>
    </w:p>
    <w:p w14:paraId="1E97E162" w14:textId="13E6529D" w:rsidR="00A530A0" w:rsidRPr="00D07970" w:rsidRDefault="00A530A0" w:rsidP="00DF445E">
      <w:pPr>
        <w:rPr>
          <w:lang w:val="es-CR"/>
        </w:rPr>
      </w:pPr>
    </w:p>
    <w:p w14:paraId="1106A6FE" w14:textId="7AD006A4" w:rsidR="0008012E" w:rsidRPr="00D07970" w:rsidRDefault="0008012E" w:rsidP="0008012E">
      <w:pPr>
        <w:rPr>
          <w:rFonts w:asciiTheme="minorHAnsi" w:hAnsiTheme="minorHAnsi" w:cstheme="minorHAnsi"/>
          <w:sz w:val="24"/>
          <w:szCs w:val="24"/>
          <w:lang w:val="es-CR"/>
        </w:rPr>
      </w:pPr>
      <w:r w:rsidRPr="00D07970">
        <w:rPr>
          <w:rFonts w:asciiTheme="minorHAnsi" w:hAnsiTheme="minorHAnsi" w:cstheme="minorHAnsi"/>
          <w:sz w:val="24"/>
          <w:szCs w:val="24"/>
          <w:lang w:val="es-CR"/>
        </w:rPr>
        <w:t>Como información adicional, el gráfico resume los resultados alcanzados por los procesos, en la consecución de las metas, para el primer y segundo semestre</w:t>
      </w:r>
      <w:r w:rsidR="003F34E2" w:rsidRPr="00D07970">
        <w:rPr>
          <w:rFonts w:asciiTheme="minorHAnsi" w:hAnsiTheme="minorHAnsi" w:cstheme="minorHAnsi"/>
          <w:sz w:val="24"/>
          <w:szCs w:val="24"/>
          <w:lang w:val="es-CR"/>
        </w:rPr>
        <w:t>, o</w:t>
      </w:r>
      <w:r w:rsidR="00F23BCE" w:rsidRPr="00D07970">
        <w:rPr>
          <w:rFonts w:asciiTheme="minorHAnsi" w:hAnsiTheme="minorHAnsi" w:cstheme="minorHAnsi"/>
          <w:sz w:val="24"/>
          <w:szCs w:val="24"/>
          <w:lang w:val="es-CR"/>
        </w:rPr>
        <w:t>bteniendo una nota promedio de 9</w:t>
      </w:r>
      <w:r w:rsidR="00D0252C">
        <w:rPr>
          <w:rFonts w:asciiTheme="minorHAnsi" w:hAnsiTheme="minorHAnsi" w:cstheme="minorHAnsi"/>
          <w:sz w:val="24"/>
          <w:szCs w:val="24"/>
          <w:lang w:val="es-CR"/>
        </w:rPr>
        <w:t>6</w:t>
      </w:r>
      <w:r w:rsidR="00F23BCE" w:rsidRPr="00D07970">
        <w:rPr>
          <w:rFonts w:asciiTheme="minorHAnsi" w:hAnsiTheme="minorHAnsi" w:cstheme="minorHAnsi"/>
          <w:sz w:val="24"/>
          <w:szCs w:val="24"/>
          <w:lang w:val="es-CR"/>
        </w:rPr>
        <w:t>% y 9</w:t>
      </w:r>
      <w:r w:rsidR="00D0252C">
        <w:rPr>
          <w:rFonts w:asciiTheme="minorHAnsi" w:hAnsiTheme="minorHAnsi" w:cstheme="minorHAnsi"/>
          <w:sz w:val="24"/>
          <w:szCs w:val="24"/>
          <w:lang w:val="es-CR"/>
        </w:rPr>
        <w:t>3</w:t>
      </w:r>
      <w:r w:rsidR="00F23BCE" w:rsidRPr="00D07970">
        <w:rPr>
          <w:rFonts w:asciiTheme="minorHAnsi" w:hAnsiTheme="minorHAnsi" w:cstheme="minorHAnsi"/>
          <w:sz w:val="24"/>
          <w:szCs w:val="24"/>
          <w:lang w:val="es-CR"/>
        </w:rPr>
        <w:t xml:space="preserve">% </w:t>
      </w:r>
      <w:r w:rsidR="00634C00" w:rsidRPr="00D07970">
        <w:rPr>
          <w:rFonts w:asciiTheme="minorHAnsi" w:hAnsiTheme="minorHAnsi" w:cstheme="minorHAnsi"/>
          <w:sz w:val="24"/>
          <w:szCs w:val="24"/>
          <w:lang w:val="es-CR"/>
        </w:rPr>
        <w:t xml:space="preserve">respectivamente, </w:t>
      </w:r>
      <w:r w:rsidR="00F23BCE" w:rsidRPr="00D07970">
        <w:rPr>
          <w:rFonts w:asciiTheme="minorHAnsi" w:hAnsiTheme="minorHAnsi" w:cstheme="minorHAnsi"/>
          <w:sz w:val="24"/>
          <w:szCs w:val="24"/>
          <w:lang w:val="es-CR"/>
        </w:rPr>
        <w:t>para cada uno de los semestres</w:t>
      </w:r>
      <w:r w:rsidRPr="00D07970">
        <w:rPr>
          <w:rFonts w:asciiTheme="minorHAnsi" w:hAnsiTheme="minorHAnsi" w:cstheme="minorHAnsi"/>
          <w:sz w:val="24"/>
          <w:szCs w:val="24"/>
          <w:lang w:val="es-CR"/>
        </w:rPr>
        <w:t>.</w:t>
      </w:r>
    </w:p>
    <w:p w14:paraId="05FC1AFE" w14:textId="77777777" w:rsidR="0008012E" w:rsidRPr="00D07970" w:rsidRDefault="0008012E" w:rsidP="00DF445E">
      <w:pPr>
        <w:rPr>
          <w:lang w:val="es-CR"/>
        </w:rPr>
      </w:pPr>
    </w:p>
    <w:p w14:paraId="2EAD33FA" w14:textId="77777777" w:rsidR="00D974F8" w:rsidRPr="00D07970" w:rsidRDefault="00D974F8" w:rsidP="008E02F2">
      <w:pPr>
        <w:pStyle w:val="Ttulo3"/>
      </w:pPr>
      <w:bookmarkStart w:id="50" w:name="_Toc61081400"/>
      <w:bookmarkStart w:id="51" w:name="_Toc94183038"/>
      <w:r w:rsidRPr="00D07970">
        <w:t>Avance de proyectos estratégicos:</w:t>
      </w:r>
      <w:bookmarkEnd w:id="50"/>
      <w:bookmarkEnd w:id="51"/>
      <w:r w:rsidRPr="00D07970">
        <w:t xml:space="preserve"> </w:t>
      </w:r>
    </w:p>
    <w:p w14:paraId="45AFC899" w14:textId="77777777" w:rsidR="00D974F8" w:rsidRPr="00D07970" w:rsidRDefault="00D974F8" w:rsidP="00D974F8">
      <w:pPr>
        <w:spacing w:before="240" w:after="240"/>
        <w:rPr>
          <w:rFonts w:asciiTheme="minorHAnsi" w:hAnsiTheme="minorHAnsi" w:cstheme="minorHAnsi"/>
          <w:sz w:val="24"/>
          <w:szCs w:val="24"/>
          <w:lang w:val="es-CR"/>
        </w:rPr>
      </w:pPr>
      <w:r w:rsidRPr="00D07970">
        <w:rPr>
          <w:rFonts w:asciiTheme="minorHAnsi" w:hAnsiTheme="minorHAnsi" w:cstheme="minorHAnsi"/>
          <w:sz w:val="24"/>
          <w:szCs w:val="24"/>
          <w:lang w:val="es-CR"/>
        </w:rPr>
        <w:t>La información detallada correspondiente al avance de los proyectos estratégicos.</w:t>
      </w:r>
    </w:p>
    <w:p w14:paraId="7DEA818A" w14:textId="2874A772" w:rsidR="00D974F8" w:rsidRDefault="008A241C" w:rsidP="008E02F2">
      <w:pPr>
        <w:pStyle w:val="Ttulo3"/>
      </w:pPr>
      <w:bookmarkStart w:id="52" w:name="_Toc61081401"/>
      <w:bookmarkStart w:id="53" w:name="_Toc94183039"/>
      <w:r w:rsidRPr="00D07970">
        <w:rPr>
          <w:b/>
          <w:bCs/>
        </w:rPr>
        <w:t>Cuadro 6</w:t>
      </w:r>
      <w:r w:rsidR="00D974F8" w:rsidRPr="00D07970">
        <w:t xml:space="preserve">: </w:t>
      </w:r>
      <w:bookmarkStart w:id="54" w:name="_Hlk535247962"/>
      <w:r w:rsidR="00D974F8" w:rsidRPr="00D07970">
        <w:t>Avance en proyectos estratégicos</w:t>
      </w:r>
      <w:bookmarkEnd w:id="52"/>
      <w:bookmarkEnd w:id="53"/>
    </w:p>
    <w:tbl>
      <w:tblPr>
        <w:tblW w:w="1064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4A0" w:firstRow="1" w:lastRow="0" w:firstColumn="1" w:lastColumn="0" w:noHBand="0" w:noVBand="1"/>
      </w:tblPr>
      <w:tblGrid>
        <w:gridCol w:w="1696"/>
        <w:gridCol w:w="1325"/>
        <w:gridCol w:w="1993"/>
        <w:gridCol w:w="911"/>
        <w:gridCol w:w="914"/>
        <w:gridCol w:w="1324"/>
        <w:gridCol w:w="1123"/>
        <w:gridCol w:w="1356"/>
      </w:tblGrid>
      <w:tr w:rsidR="00795A8F" w:rsidRPr="003D53AE" w14:paraId="13052091" w14:textId="77777777" w:rsidTr="003D53AE">
        <w:trPr>
          <w:trHeight w:val="300"/>
          <w:tblHeader/>
          <w:jc w:val="center"/>
        </w:trPr>
        <w:tc>
          <w:tcPr>
            <w:tcW w:w="1696" w:type="dxa"/>
            <w:shd w:val="clear" w:color="auto" w:fill="C6D9F1" w:themeFill="text2" w:themeFillTint="33"/>
            <w:vAlign w:val="center"/>
          </w:tcPr>
          <w:p w14:paraId="3A9632D3"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Objetivo Estratégico SUPEN y CONASSIF</w:t>
            </w:r>
          </w:p>
        </w:tc>
        <w:tc>
          <w:tcPr>
            <w:tcW w:w="1325" w:type="dxa"/>
            <w:shd w:val="clear" w:color="auto" w:fill="C6D9F1" w:themeFill="text2" w:themeFillTint="33"/>
            <w:noWrap/>
            <w:vAlign w:val="center"/>
          </w:tcPr>
          <w:p w14:paraId="2F288A71"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Nombre del Proyecto</w:t>
            </w:r>
          </w:p>
        </w:tc>
        <w:tc>
          <w:tcPr>
            <w:tcW w:w="1993" w:type="dxa"/>
            <w:shd w:val="clear" w:color="auto" w:fill="C6D9F1" w:themeFill="text2" w:themeFillTint="33"/>
            <w:vAlign w:val="center"/>
          </w:tcPr>
          <w:p w14:paraId="4153D6F6"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Objetivo del proyecto</w:t>
            </w:r>
          </w:p>
        </w:tc>
        <w:tc>
          <w:tcPr>
            <w:tcW w:w="911" w:type="dxa"/>
            <w:shd w:val="clear" w:color="auto" w:fill="C6D9F1" w:themeFill="text2" w:themeFillTint="33"/>
            <w:vAlign w:val="center"/>
          </w:tcPr>
          <w:p w14:paraId="486A60E7"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Fecha Inicio</w:t>
            </w:r>
          </w:p>
        </w:tc>
        <w:tc>
          <w:tcPr>
            <w:tcW w:w="914" w:type="dxa"/>
            <w:shd w:val="clear" w:color="auto" w:fill="C6D9F1" w:themeFill="text2" w:themeFillTint="33"/>
            <w:vAlign w:val="center"/>
          </w:tcPr>
          <w:p w14:paraId="341446F9"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Fecha Fin esperado</w:t>
            </w:r>
          </w:p>
        </w:tc>
        <w:tc>
          <w:tcPr>
            <w:tcW w:w="1324" w:type="dxa"/>
            <w:shd w:val="clear" w:color="auto" w:fill="C6D9F1" w:themeFill="text2" w:themeFillTint="33"/>
            <w:vAlign w:val="center"/>
          </w:tcPr>
          <w:p w14:paraId="08F39C1F"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Próximas Etapas</w:t>
            </w:r>
          </w:p>
        </w:tc>
        <w:tc>
          <w:tcPr>
            <w:tcW w:w="1123" w:type="dxa"/>
            <w:shd w:val="clear" w:color="auto" w:fill="C6D9F1" w:themeFill="text2" w:themeFillTint="33"/>
            <w:vAlign w:val="center"/>
          </w:tcPr>
          <w:p w14:paraId="04B906B1"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Avance (Realizado/</w:t>
            </w:r>
          </w:p>
          <w:p w14:paraId="494254F8"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Planificado)</w:t>
            </w:r>
          </w:p>
        </w:tc>
        <w:tc>
          <w:tcPr>
            <w:tcW w:w="1356" w:type="dxa"/>
            <w:shd w:val="clear" w:color="auto" w:fill="C6D9F1" w:themeFill="text2" w:themeFillTint="33"/>
            <w:vAlign w:val="center"/>
          </w:tcPr>
          <w:p w14:paraId="10C28F6E" w14:textId="77777777" w:rsidR="00795A8F" w:rsidRPr="003D53AE" w:rsidRDefault="00795A8F" w:rsidP="007A47EF">
            <w:pPr>
              <w:spacing w:line="240" w:lineRule="auto"/>
              <w:jc w:val="center"/>
              <w:rPr>
                <w:rFonts w:asciiTheme="minorHAnsi" w:hAnsiTheme="minorHAnsi" w:cstheme="minorHAnsi"/>
                <w:b/>
                <w:color w:val="000000"/>
                <w:sz w:val="20"/>
                <w:szCs w:val="16"/>
                <w:lang w:val="es-CR"/>
              </w:rPr>
            </w:pPr>
            <w:r w:rsidRPr="003D53AE">
              <w:rPr>
                <w:rFonts w:asciiTheme="minorHAnsi" w:hAnsiTheme="minorHAnsi" w:cstheme="minorHAnsi"/>
                <w:b/>
                <w:color w:val="000000"/>
                <w:sz w:val="20"/>
                <w:szCs w:val="16"/>
                <w:lang w:val="es-CR"/>
              </w:rPr>
              <w:t>Observaciones</w:t>
            </w:r>
          </w:p>
        </w:tc>
      </w:tr>
      <w:tr w:rsidR="00795A8F" w:rsidRPr="0028515D" w14:paraId="6D4FA288" w14:textId="77777777" w:rsidTr="003D53AE">
        <w:trPr>
          <w:trHeight w:val="300"/>
          <w:jc w:val="center"/>
        </w:trPr>
        <w:tc>
          <w:tcPr>
            <w:tcW w:w="1696" w:type="dxa"/>
            <w:vAlign w:val="center"/>
          </w:tcPr>
          <w:p w14:paraId="46BF1798"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2BF8EF8C"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080A92B9"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18AB73EA"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Establecer la regulación y supervisión que coadyuve a la estabilidad y solvencia del sistema financiero</w:t>
            </w:r>
          </w:p>
        </w:tc>
        <w:tc>
          <w:tcPr>
            <w:tcW w:w="1325" w:type="dxa"/>
            <w:shd w:val="clear" w:color="auto" w:fill="auto"/>
            <w:noWrap/>
            <w:vAlign w:val="center"/>
          </w:tcPr>
          <w:p w14:paraId="048A8E09"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Sistema Manejo de Liquidez</w:t>
            </w:r>
          </w:p>
        </w:tc>
        <w:tc>
          <w:tcPr>
            <w:tcW w:w="1993" w:type="dxa"/>
            <w:vAlign w:val="center"/>
          </w:tcPr>
          <w:p w14:paraId="5277A152"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Definir e implementar un módulo para la carga de información de los instrumentos para el manejo de liquidez.</w:t>
            </w:r>
          </w:p>
        </w:tc>
        <w:tc>
          <w:tcPr>
            <w:tcW w:w="911" w:type="dxa"/>
            <w:vAlign w:val="center"/>
          </w:tcPr>
          <w:p w14:paraId="5274AD84"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2020</w:t>
            </w:r>
          </w:p>
        </w:tc>
        <w:tc>
          <w:tcPr>
            <w:tcW w:w="914" w:type="dxa"/>
            <w:vAlign w:val="center"/>
          </w:tcPr>
          <w:p w14:paraId="61317BEA"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2021</w:t>
            </w:r>
          </w:p>
        </w:tc>
        <w:tc>
          <w:tcPr>
            <w:tcW w:w="1324" w:type="dxa"/>
            <w:vAlign w:val="center"/>
          </w:tcPr>
          <w:p w14:paraId="426BAD7A" w14:textId="77777777" w:rsidR="00795A8F" w:rsidRPr="0028515D" w:rsidRDefault="00795A8F" w:rsidP="007A47EF">
            <w:pPr>
              <w:spacing w:line="240" w:lineRule="auto"/>
              <w:jc w:val="left"/>
              <w:rPr>
                <w:rFonts w:asciiTheme="minorHAnsi" w:hAnsiTheme="minorHAnsi" w:cstheme="minorHAnsi"/>
                <w:bCs/>
                <w:sz w:val="18"/>
                <w:szCs w:val="18"/>
                <w:lang w:val="es-CR"/>
              </w:rPr>
            </w:pPr>
          </w:p>
        </w:tc>
        <w:tc>
          <w:tcPr>
            <w:tcW w:w="1123" w:type="dxa"/>
            <w:vAlign w:val="center"/>
          </w:tcPr>
          <w:p w14:paraId="37EB099F"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100%</w:t>
            </w:r>
          </w:p>
        </w:tc>
        <w:tc>
          <w:tcPr>
            <w:tcW w:w="1356" w:type="dxa"/>
            <w:vAlign w:val="center"/>
          </w:tcPr>
          <w:p w14:paraId="4EDCEC9B"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Finalizado</w:t>
            </w:r>
          </w:p>
          <w:p w14:paraId="0C6DD9F7" w14:textId="77777777" w:rsidR="00795A8F" w:rsidRPr="0028515D" w:rsidRDefault="00795A8F" w:rsidP="007A47EF">
            <w:pPr>
              <w:spacing w:line="240" w:lineRule="auto"/>
              <w:jc w:val="center"/>
              <w:rPr>
                <w:rFonts w:asciiTheme="minorHAnsi" w:hAnsiTheme="minorHAnsi" w:cstheme="minorHAnsi"/>
                <w:bCs/>
                <w:sz w:val="18"/>
                <w:szCs w:val="18"/>
                <w:lang w:val="es-CR"/>
              </w:rPr>
            </w:pPr>
            <w:r w:rsidRPr="0028515D">
              <w:rPr>
                <w:rFonts w:asciiTheme="minorHAnsi" w:hAnsiTheme="minorHAnsi" w:cstheme="minorHAnsi"/>
                <w:bCs/>
                <w:sz w:val="18"/>
                <w:szCs w:val="18"/>
                <w:lang w:val="es-CR"/>
              </w:rPr>
              <w:t>Julio de 2021</w:t>
            </w:r>
          </w:p>
        </w:tc>
      </w:tr>
      <w:tr w:rsidR="00795A8F" w:rsidRPr="0028515D" w14:paraId="09ADA56A" w14:textId="77777777" w:rsidTr="003D53AE">
        <w:trPr>
          <w:trHeight w:val="300"/>
          <w:jc w:val="center"/>
        </w:trPr>
        <w:tc>
          <w:tcPr>
            <w:tcW w:w="1696" w:type="dxa"/>
            <w:vAlign w:val="center"/>
          </w:tcPr>
          <w:p w14:paraId="231B3864"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664F06E7"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00C8BD10"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3009CCEE"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Establecer la regulación y supervisión que coadyuve a la estabilidad y solvencia del sistema financiero</w:t>
            </w:r>
          </w:p>
        </w:tc>
        <w:tc>
          <w:tcPr>
            <w:tcW w:w="1325" w:type="dxa"/>
            <w:shd w:val="clear" w:color="auto" w:fill="auto"/>
            <w:noWrap/>
            <w:vAlign w:val="center"/>
          </w:tcPr>
          <w:p w14:paraId="03079032"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Fondos Generacionales</w:t>
            </w:r>
          </w:p>
          <w:p w14:paraId="543382F3"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w:t>
            </w:r>
            <w:proofErr w:type="spellStart"/>
            <w:r w:rsidRPr="0028515D">
              <w:rPr>
                <w:rFonts w:asciiTheme="minorHAnsi" w:hAnsiTheme="minorHAnsi" w:cstheme="minorHAnsi"/>
                <w:color w:val="000000"/>
                <w:sz w:val="18"/>
                <w:szCs w:val="18"/>
                <w:lang w:val="es-CR"/>
              </w:rPr>
              <w:t>Multifondos</w:t>
            </w:r>
            <w:proofErr w:type="spellEnd"/>
            <w:r w:rsidRPr="0028515D">
              <w:rPr>
                <w:rFonts w:asciiTheme="minorHAnsi" w:hAnsiTheme="minorHAnsi" w:cstheme="minorHAnsi"/>
                <w:color w:val="000000"/>
                <w:sz w:val="18"/>
                <w:szCs w:val="18"/>
                <w:lang w:val="es-CR"/>
              </w:rPr>
              <w:t>)</w:t>
            </w:r>
          </w:p>
        </w:tc>
        <w:tc>
          <w:tcPr>
            <w:tcW w:w="1993" w:type="dxa"/>
          </w:tcPr>
          <w:p w14:paraId="57338FFD"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 xml:space="preserve">Generar un marco regulatorio para la gestión de los </w:t>
            </w:r>
            <w:proofErr w:type="spellStart"/>
            <w:r w:rsidRPr="0028515D">
              <w:rPr>
                <w:rFonts w:asciiTheme="minorHAnsi" w:hAnsiTheme="minorHAnsi" w:cstheme="minorHAnsi"/>
                <w:sz w:val="18"/>
                <w:szCs w:val="18"/>
                <w:lang w:val="es-CR"/>
              </w:rPr>
              <w:t>multifondos</w:t>
            </w:r>
            <w:proofErr w:type="spellEnd"/>
            <w:r w:rsidRPr="0028515D">
              <w:rPr>
                <w:rFonts w:asciiTheme="minorHAnsi" w:hAnsiTheme="minorHAnsi" w:cstheme="minorHAnsi"/>
                <w:sz w:val="18"/>
                <w:szCs w:val="18"/>
                <w:lang w:val="es-CR"/>
              </w:rPr>
              <w:t xml:space="preserve"> que, acorde con lo estipulado en leyes, las normas vigentes y en principios internacionales, permita a los entes supervisados realizar una sana administración de los recursos en beneficio de los afiliados.</w:t>
            </w:r>
          </w:p>
        </w:tc>
        <w:tc>
          <w:tcPr>
            <w:tcW w:w="911" w:type="dxa"/>
            <w:vAlign w:val="center"/>
          </w:tcPr>
          <w:p w14:paraId="7027BEB0"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2021</w:t>
            </w:r>
          </w:p>
        </w:tc>
        <w:tc>
          <w:tcPr>
            <w:tcW w:w="914" w:type="dxa"/>
            <w:vAlign w:val="center"/>
          </w:tcPr>
          <w:p w14:paraId="3FCB67B7"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2022</w:t>
            </w:r>
          </w:p>
        </w:tc>
        <w:tc>
          <w:tcPr>
            <w:tcW w:w="1324" w:type="dxa"/>
            <w:vAlign w:val="center"/>
          </w:tcPr>
          <w:p w14:paraId="7956A208"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Segundo Semestre del 2021</w:t>
            </w:r>
          </w:p>
          <w:p w14:paraId="0B9302D9"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 xml:space="preserve">Presentar los borradores preliminares de ajuste a la normativa </w:t>
            </w:r>
          </w:p>
        </w:tc>
        <w:tc>
          <w:tcPr>
            <w:tcW w:w="1123" w:type="dxa"/>
            <w:vAlign w:val="center"/>
          </w:tcPr>
          <w:p w14:paraId="21E0EEB7"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80%</w:t>
            </w:r>
          </w:p>
        </w:tc>
        <w:tc>
          <w:tcPr>
            <w:tcW w:w="1356" w:type="dxa"/>
            <w:vAlign w:val="center"/>
          </w:tcPr>
          <w:p w14:paraId="4D329894"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En Etapa de planeación</w:t>
            </w:r>
          </w:p>
          <w:p w14:paraId="29144527"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Durante el 2021 se realizaron las investigaciones y consultas pertinentes a fin de establecer el diseño del cuerpo de la regulación.</w:t>
            </w:r>
          </w:p>
        </w:tc>
      </w:tr>
      <w:tr w:rsidR="00795A8F" w:rsidRPr="0028515D" w14:paraId="16F367DA" w14:textId="77777777" w:rsidTr="003D53AE">
        <w:trPr>
          <w:trHeight w:val="300"/>
          <w:jc w:val="center"/>
        </w:trPr>
        <w:tc>
          <w:tcPr>
            <w:tcW w:w="1696" w:type="dxa"/>
            <w:vAlign w:val="center"/>
          </w:tcPr>
          <w:p w14:paraId="65AF887B"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1A13C0A3"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02D1DA8D"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47BA0294"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4601B9D0"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 xml:space="preserve">Afiliación en la </w:t>
            </w:r>
            <w:proofErr w:type="spellStart"/>
            <w:r w:rsidRPr="0028515D">
              <w:rPr>
                <w:rFonts w:asciiTheme="minorHAnsi" w:hAnsiTheme="minorHAnsi" w:cstheme="minorHAnsi"/>
                <w:color w:val="000000"/>
                <w:sz w:val="18"/>
                <w:szCs w:val="18"/>
                <w:lang w:val="es-CR"/>
              </w:rPr>
              <w:t>desacumulación</w:t>
            </w:r>
            <w:proofErr w:type="spellEnd"/>
            <w:r w:rsidRPr="0028515D">
              <w:rPr>
                <w:rFonts w:asciiTheme="minorHAnsi" w:hAnsiTheme="minorHAnsi" w:cstheme="minorHAnsi"/>
                <w:color w:val="000000"/>
                <w:sz w:val="18"/>
                <w:szCs w:val="18"/>
                <w:lang w:val="es-CR"/>
              </w:rPr>
              <w:t xml:space="preserve"> del ROP</w:t>
            </w:r>
          </w:p>
        </w:tc>
        <w:tc>
          <w:tcPr>
            <w:tcW w:w="1993" w:type="dxa"/>
          </w:tcPr>
          <w:p w14:paraId="4B424D6F"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 xml:space="preserve">Establecer los lineamientos para la unificación de los saldos de los afiliados en etapa de acumulación o </w:t>
            </w:r>
            <w:proofErr w:type="spellStart"/>
            <w:r w:rsidRPr="0028515D">
              <w:rPr>
                <w:rFonts w:asciiTheme="minorHAnsi" w:hAnsiTheme="minorHAnsi" w:cstheme="minorHAnsi"/>
                <w:sz w:val="18"/>
                <w:szCs w:val="18"/>
                <w:lang w:val="es-CR"/>
              </w:rPr>
              <w:t>desacumulación</w:t>
            </w:r>
            <w:proofErr w:type="spellEnd"/>
            <w:r w:rsidRPr="0028515D">
              <w:rPr>
                <w:rFonts w:asciiTheme="minorHAnsi" w:hAnsiTheme="minorHAnsi" w:cstheme="minorHAnsi"/>
                <w:sz w:val="18"/>
                <w:szCs w:val="18"/>
                <w:lang w:val="es-CR"/>
              </w:rPr>
              <w:t xml:space="preserve"> cuando estos estén en más de una entidad. A la fecha se han identificado los afiliados con esta condición y se está coordinando con el Sistema Centralizado de Recaudación (SICERE) una serie de mecanismos que permiten un control único de afiliación.</w:t>
            </w:r>
          </w:p>
        </w:tc>
        <w:tc>
          <w:tcPr>
            <w:tcW w:w="911" w:type="dxa"/>
            <w:vAlign w:val="center"/>
          </w:tcPr>
          <w:p w14:paraId="49A1723E"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2020</w:t>
            </w:r>
          </w:p>
        </w:tc>
        <w:tc>
          <w:tcPr>
            <w:tcW w:w="914" w:type="dxa"/>
            <w:vAlign w:val="center"/>
          </w:tcPr>
          <w:p w14:paraId="51A882F9"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2021</w:t>
            </w:r>
          </w:p>
        </w:tc>
        <w:tc>
          <w:tcPr>
            <w:tcW w:w="1324" w:type="dxa"/>
            <w:vAlign w:val="center"/>
          </w:tcPr>
          <w:p w14:paraId="48B56B1D"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Segundo Semestre 2021</w:t>
            </w:r>
          </w:p>
          <w:p w14:paraId="72DB1D83"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Elaboración de la normativa y sistemas para el manejo de la unificación de cuentas, además de los ajustes a los archivos de libre transferencia</w:t>
            </w:r>
          </w:p>
        </w:tc>
        <w:tc>
          <w:tcPr>
            <w:tcW w:w="1123" w:type="dxa"/>
            <w:vAlign w:val="center"/>
          </w:tcPr>
          <w:p w14:paraId="5B080C98"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80%</w:t>
            </w:r>
          </w:p>
        </w:tc>
        <w:tc>
          <w:tcPr>
            <w:tcW w:w="1356" w:type="dxa"/>
            <w:vAlign w:val="center"/>
          </w:tcPr>
          <w:p w14:paraId="5ED81389"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En Ejecución</w:t>
            </w:r>
          </w:p>
          <w:p w14:paraId="22725353"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Cs/>
                <w:sz w:val="18"/>
                <w:szCs w:val="18"/>
                <w:lang w:val="es-CR"/>
              </w:rPr>
              <w:t>Se están desarrollando los cambios a los sistemas y archivo para el manejo de la doble afiliación en el ROP</w:t>
            </w:r>
          </w:p>
        </w:tc>
      </w:tr>
      <w:tr w:rsidR="00795A8F" w:rsidRPr="0028515D" w14:paraId="34A95977" w14:textId="77777777" w:rsidTr="003D53AE">
        <w:trPr>
          <w:trHeight w:val="300"/>
          <w:jc w:val="center"/>
        </w:trPr>
        <w:tc>
          <w:tcPr>
            <w:tcW w:w="1696" w:type="dxa"/>
            <w:vAlign w:val="center"/>
          </w:tcPr>
          <w:p w14:paraId="12E3E1BA"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4B5753A4"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7030A7D2"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15A31D0D"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2D9E35A5"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Estrategia de Comunicación</w:t>
            </w:r>
          </w:p>
        </w:tc>
        <w:tc>
          <w:tcPr>
            <w:tcW w:w="1993" w:type="dxa"/>
            <w:vAlign w:val="center"/>
          </w:tcPr>
          <w:p w14:paraId="297CBE14"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Establecer una estrategia de comunicación interna y externa que permita empoderar al público en general, con especial énfasis en el afiliado y el pensionado, dotándolo de información y herramientas para mejorar su educación previsional.</w:t>
            </w:r>
          </w:p>
        </w:tc>
        <w:tc>
          <w:tcPr>
            <w:tcW w:w="911" w:type="dxa"/>
            <w:vAlign w:val="center"/>
          </w:tcPr>
          <w:p w14:paraId="3194D584"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2020</w:t>
            </w:r>
          </w:p>
        </w:tc>
        <w:tc>
          <w:tcPr>
            <w:tcW w:w="914" w:type="dxa"/>
            <w:vAlign w:val="center"/>
          </w:tcPr>
          <w:p w14:paraId="35CFF109"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2023</w:t>
            </w:r>
          </w:p>
        </w:tc>
        <w:tc>
          <w:tcPr>
            <w:tcW w:w="1324" w:type="dxa"/>
            <w:vAlign w:val="center"/>
          </w:tcPr>
          <w:p w14:paraId="055EB612"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Segundo Semestre del 2021</w:t>
            </w:r>
          </w:p>
          <w:p w14:paraId="1D7B952D"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Implementar las actividades planificadas</w:t>
            </w:r>
          </w:p>
        </w:tc>
        <w:tc>
          <w:tcPr>
            <w:tcW w:w="1123" w:type="dxa"/>
            <w:vAlign w:val="center"/>
          </w:tcPr>
          <w:p w14:paraId="2916A183"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100%</w:t>
            </w:r>
          </w:p>
        </w:tc>
        <w:tc>
          <w:tcPr>
            <w:tcW w:w="1356" w:type="dxa"/>
            <w:vAlign w:val="center"/>
          </w:tcPr>
          <w:p w14:paraId="643EE0F9"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En Ejecución</w:t>
            </w:r>
          </w:p>
          <w:p w14:paraId="5B49AE1C"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El proyecto marcha al día ejecutando las labores regulares de comunicación con los afiliados y pensionados</w:t>
            </w:r>
          </w:p>
        </w:tc>
      </w:tr>
      <w:tr w:rsidR="00795A8F" w:rsidRPr="0028515D" w14:paraId="7FD16E4A" w14:textId="77777777" w:rsidTr="003D53AE">
        <w:trPr>
          <w:trHeight w:val="300"/>
          <w:jc w:val="center"/>
        </w:trPr>
        <w:tc>
          <w:tcPr>
            <w:tcW w:w="1696" w:type="dxa"/>
            <w:vAlign w:val="center"/>
          </w:tcPr>
          <w:p w14:paraId="5FD9F648"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47CA1002"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2DD4ED20"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5C99BAA4"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109A1380"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Reforma LPT</w:t>
            </w:r>
          </w:p>
        </w:tc>
        <w:tc>
          <w:tcPr>
            <w:tcW w:w="1993" w:type="dxa"/>
            <w:vAlign w:val="center"/>
          </w:tcPr>
          <w:p w14:paraId="01EADAE3"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Identificar los ámbitos en los que se requiere fortalecer las facultades de regulación y supervisión asignadas por ley a la Superintendencia de Pensiones, y proponer las reformas legales correspondientes</w:t>
            </w:r>
          </w:p>
        </w:tc>
        <w:tc>
          <w:tcPr>
            <w:tcW w:w="911" w:type="dxa"/>
            <w:vAlign w:val="center"/>
          </w:tcPr>
          <w:p w14:paraId="29DBF196"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Julio 2021</w:t>
            </w:r>
          </w:p>
        </w:tc>
        <w:tc>
          <w:tcPr>
            <w:tcW w:w="914" w:type="dxa"/>
            <w:vAlign w:val="center"/>
          </w:tcPr>
          <w:p w14:paraId="75CFC708"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Diciembre 2021</w:t>
            </w:r>
          </w:p>
        </w:tc>
        <w:tc>
          <w:tcPr>
            <w:tcW w:w="1324" w:type="dxa"/>
            <w:vAlign w:val="center"/>
          </w:tcPr>
          <w:p w14:paraId="3F136FF3"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Segundo Semestre del 2021</w:t>
            </w:r>
          </w:p>
          <w:p w14:paraId="67BA826F"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Confeccionando la normativa para procesos de intervención</w:t>
            </w:r>
          </w:p>
        </w:tc>
        <w:tc>
          <w:tcPr>
            <w:tcW w:w="1123" w:type="dxa"/>
            <w:vAlign w:val="center"/>
          </w:tcPr>
          <w:p w14:paraId="792ACF43"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70%</w:t>
            </w:r>
          </w:p>
        </w:tc>
        <w:tc>
          <w:tcPr>
            <w:tcW w:w="1356" w:type="dxa"/>
            <w:vAlign w:val="center"/>
          </w:tcPr>
          <w:p w14:paraId="7A5E2F9A"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En Ejecución</w:t>
            </w:r>
          </w:p>
          <w:p w14:paraId="0A55274D"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Las cargas de trabajo del equipo plantean la necesidad de realizar ajustes al cronogramada de trabajo.</w:t>
            </w:r>
          </w:p>
        </w:tc>
      </w:tr>
      <w:tr w:rsidR="00795A8F" w:rsidRPr="0028515D" w14:paraId="3C6B1147" w14:textId="77777777" w:rsidTr="003D53AE">
        <w:trPr>
          <w:trHeight w:val="300"/>
          <w:jc w:val="center"/>
        </w:trPr>
        <w:tc>
          <w:tcPr>
            <w:tcW w:w="1696" w:type="dxa"/>
            <w:vAlign w:val="center"/>
          </w:tcPr>
          <w:p w14:paraId="20810B5D"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119DB9A4"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6AE78DA9"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5032785E"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color w:val="000000"/>
                <w:sz w:val="18"/>
                <w:szCs w:val="18"/>
                <w:lang w:val="es-CR"/>
              </w:rPr>
              <w:t>Establecer la regulación y supervisión que coadyuve a la estabilidad y solvencia del sistema financiero</w:t>
            </w:r>
          </w:p>
        </w:tc>
        <w:tc>
          <w:tcPr>
            <w:tcW w:w="1325" w:type="dxa"/>
            <w:shd w:val="clear" w:color="auto" w:fill="auto"/>
            <w:noWrap/>
            <w:vAlign w:val="center"/>
          </w:tcPr>
          <w:p w14:paraId="3B407E3F"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Ciencia de datos</w:t>
            </w:r>
          </w:p>
        </w:tc>
        <w:tc>
          <w:tcPr>
            <w:tcW w:w="1993" w:type="dxa"/>
          </w:tcPr>
          <w:p w14:paraId="34381765"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Portafolio de tres proyectos:</w:t>
            </w:r>
          </w:p>
          <w:p w14:paraId="66E655BB" w14:textId="77777777" w:rsidR="00795A8F" w:rsidRPr="0028515D" w:rsidRDefault="00795A8F" w:rsidP="007A47EF">
            <w:pPr>
              <w:spacing w:line="240" w:lineRule="auto"/>
              <w:jc w:val="left"/>
              <w:rPr>
                <w:rFonts w:asciiTheme="minorHAnsi" w:hAnsiTheme="minorHAnsi" w:cstheme="minorHAnsi"/>
                <w:sz w:val="18"/>
                <w:szCs w:val="18"/>
                <w:lang w:val="es-CR"/>
              </w:rPr>
            </w:pPr>
          </w:p>
          <w:p w14:paraId="2D73D12F"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Indicadores:</w:t>
            </w:r>
          </w:p>
          <w:p w14:paraId="4F2CC147"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Modelación y programación de un sistema de cálculos actuariales que permita la generación de estudios actuariales y proyecciones financieras/demográficas tanto para fondos como para operadoras.</w:t>
            </w:r>
          </w:p>
          <w:p w14:paraId="02FFAC65" w14:textId="77777777" w:rsidR="00795A8F" w:rsidRPr="0028515D" w:rsidRDefault="00795A8F" w:rsidP="007A47EF">
            <w:pPr>
              <w:spacing w:line="240" w:lineRule="auto"/>
              <w:jc w:val="left"/>
              <w:rPr>
                <w:rFonts w:asciiTheme="minorHAnsi" w:hAnsiTheme="minorHAnsi" w:cstheme="minorHAnsi"/>
                <w:sz w:val="18"/>
                <w:szCs w:val="18"/>
                <w:lang w:val="es-CR"/>
              </w:rPr>
            </w:pPr>
          </w:p>
          <w:p w14:paraId="25854BE0"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Bases de Datos:</w:t>
            </w:r>
          </w:p>
          <w:p w14:paraId="05BC982A"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Crear una nueva cultura e infraestructura para el manejo de datos en la Superintendencia de Pensiones, donde los productos que se ofrezcan hagan un mayor uso de la información que se tiene almacena, con una filosofía de “analítica de información”.</w:t>
            </w:r>
          </w:p>
          <w:p w14:paraId="2F2627D3" w14:textId="77777777" w:rsidR="00795A8F" w:rsidRPr="0028515D" w:rsidRDefault="00795A8F" w:rsidP="007A47EF">
            <w:pPr>
              <w:spacing w:line="240" w:lineRule="auto"/>
              <w:jc w:val="left"/>
              <w:rPr>
                <w:rFonts w:asciiTheme="minorHAnsi" w:hAnsiTheme="minorHAnsi" w:cstheme="minorHAnsi"/>
                <w:sz w:val="18"/>
                <w:szCs w:val="18"/>
                <w:lang w:val="es-CR"/>
              </w:rPr>
            </w:pPr>
          </w:p>
          <w:p w14:paraId="65D295B4"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Modelación actuarial</w:t>
            </w:r>
          </w:p>
          <w:p w14:paraId="5AC6023D"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Modelación y programación de un sistema de cálculos actuariales que permita la generación de estudios actuariales y proyecciones financieras/demográficas tanto para fondos como para operadoras.</w:t>
            </w:r>
          </w:p>
        </w:tc>
        <w:tc>
          <w:tcPr>
            <w:tcW w:w="911" w:type="dxa"/>
            <w:vAlign w:val="center"/>
          </w:tcPr>
          <w:p w14:paraId="7950D4EB"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Enero 2021</w:t>
            </w:r>
          </w:p>
        </w:tc>
        <w:tc>
          <w:tcPr>
            <w:tcW w:w="914" w:type="dxa"/>
            <w:vAlign w:val="center"/>
          </w:tcPr>
          <w:p w14:paraId="2D0537C1"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Diciembre 2022</w:t>
            </w:r>
          </w:p>
        </w:tc>
        <w:tc>
          <w:tcPr>
            <w:tcW w:w="1324" w:type="dxa"/>
            <w:vAlign w:val="center"/>
          </w:tcPr>
          <w:p w14:paraId="3C38AEAC"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Indicadores:</w:t>
            </w:r>
          </w:p>
          <w:p w14:paraId="6591C1DE"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Detenido</w:t>
            </w:r>
          </w:p>
          <w:p w14:paraId="23C74322" w14:textId="77777777" w:rsidR="00795A8F" w:rsidRPr="0028515D" w:rsidRDefault="00795A8F" w:rsidP="007A47EF">
            <w:pPr>
              <w:spacing w:line="240" w:lineRule="auto"/>
              <w:jc w:val="left"/>
              <w:rPr>
                <w:rFonts w:asciiTheme="minorHAnsi" w:hAnsiTheme="minorHAnsi" w:cstheme="minorHAnsi"/>
                <w:bCs/>
                <w:sz w:val="18"/>
                <w:szCs w:val="18"/>
                <w:lang w:val="es-CR"/>
              </w:rPr>
            </w:pPr>
          </w:p>
          <w:p w14:paraId="2E672EE4"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Bases de datos:</w:t>
            </w:r>
          </w:p>
          <w:p w14:paraId="477EBBDE"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Creación de estructuras resumidas en los servidores de consulta</w:t>
            </w:r>
          </w:p>
          <w:p w14:paraId="63FA01B9" w14:textId="77777777" w:rsidR="00795A8F" w:rsidRPr="0028515D" w:rsidRDefault="00795A8F" w:rsidP="007A47EF">
            <w:pPr>
              <w:spacing w:line="240" w:lineRule="auto"/>
              <w:jc w:val="left"/>
              <w:rPr>
                <w:rFonts w:asciiTheme="minorHAnsi" w:hAnsiTheme="minorHAnsi" w:cstheme="minorHAnsi"/>
                <w:bCs/>
                <w:sz w:val="18"/>
                <w:szCs w:val="18"/>
                <w:lang w:val="es-CR"/>
              </w:rPr>
            </w:pPr>
          </w:p>
          <w:p w14:paraId="0920FA64"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Modelación Actuarial:</w:t>
            </w:r>
          </w:p>
          <w:p w14:paraId="51327C2F"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Programación del RORAC</w:t>
            </w:r>
          </w:p>
        </w:tc>
        <w:tc>
          <w:tcPr>
            <w:tcW w:w="1123" w:type="dxa"/>
            <w:vAlign w:val="center"/>
          </w:tcPr>
          <w:p w14:paraId="18D2F736"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80%</w:t>
            </w:r>
          </w:p>
        </w:tc>
        <w:tc>
          <w:tcPr>
            <w:tcW w:w="1356" w:type="dxa"/>
            <w:vAlign w:val="center"/>
          </w:tcPr>
          <w:p w14:paraId="706287D0"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En Ejecución:</w:t>
            </w:r>
          </w:p>
          <w:p w14:paraId="0F01356B"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El proyecto marcha según los cronogramas aprobados</w:t>
            </w:r>
          </w:p>
        </w:tc>
      </w:tr>
      <w:tr w:rsidR="00795A8F" w:rsidRPr="0028515D" w14:paraId="74184D92" w14:textId="77777777" w:rsidTr="003D53AE">
        <w:trPr>
          <w:trHeight w:val="300"/>
          <w:jc w:val="center"/>
        </w:trPr>
        <w:tc>
          <w:tcPr>
            <w:tcW w:w="1696" w:type="dxa"/>
            <w:vAlign w:val="center"/>
          </w:tcPr>
          <w:p w14:paraId="7282AE9A"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1A7133AC"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03D80C5A"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125E9B62"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527BCB67"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Fortalecimiento del FCL</w:t>
            </w:r>
          </w:p>
        </w:tc>
        <w:tc>
          <w:tcPr>
            <w:tcW w:w="1993" w:type="dxa"/>
            <w:vAlign w:val="center"/>
          </w:tcPr>
          <w:p w14:paraId="72370F39"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Elaboración de una propuesta de ley del Fondo de Capitalización Laboral (en adelante FCL) para aumentar la capitalización de las cuentas individuales y adicionar un componente de cobertura contra el desempleo.</w:t>
            </w:r>
          </w:p>
        </w:tc>
        <w:tc>
          <w:tcPr>
            <w:tcW w:w="911" w:type="dxa"/>
            <w:vAlign w:val="center"/>
          </w:tcPr>
          <w:p w14:paraId="454FF19F" w14:textId="77777777" w:rsidR="00795A8F" w:rsidRPr="0028515D" w:rsidRDefault="00795A8F" w:rsidP="007A47EF">
            <w:pPr>
              <w:spacing w:line="240" w:lineRule="auto"/>
              <w:jc w:val="center"/>
              <w:rPr>
                <w:rFonts w:asciiTheme="minorHAnsi" w:hAnsiTheme="minorHAnsi" w:cstheme="minorHAnsi"/>
                <w:b/>
                <w:sz w:val="18"/>
                <w:szCs w:val="18"/>
                <w:lang w:val="es-CR"/>
              </w:rPr>
            </w:pPr>
          </w:p>
        </w:tc>
        <w:tc>
          <w:tcPr>
            <w:tcW w:w="914" w:type="dxa"/>
            <w:vAlign w:val="center"/>
          </w:tcPr>
          <w:p w14:paraId="26F53A9A" w14:textId="77777777" w:rsidR="00795A8F" w:rsidRPr="0028515D" w:rsidRDefault="00795A8F" w:rsidP="007A47EF">
            <w:pPr>
              <w:spacing w:line="240" w:lineRule="auto"/>
              <w:jc w:val="center"/>
              <w:rPr>
                <w:rFonts w:asciiTheme="minorHAnsi" w:hAnsiTheme="minorHAnsi" w:cstheme="minorHAnsi"/>
                <w:b/>
                <w:sz w:val="18"/>
                <w:szCs w:val="18"/>
                <w:lang w:val="es-CR"/>
              </w:rPr>
            </w:pPr>
          </w:p>
        </w:tc>
        <w:tc>
          <w:tcPr>
            <w:tcW w:w="1324" w:type="dxa"/>
            <w:vAlign w:val="center"/>
          </w:tcPr>
          <w:p w14:paraId="28D5F79E" w14:textId="77777777" w:rsidR="00795A8F" w:rsidRPr="0028515D" w:rsidRDefault="00795A8F" w:rsidP="007A47EF">
            <w:pPr>
              <w:spacing w:line="240" w:lineRule="auto"/>
              <w:jc w:val="left"/>
              <w:rPr>
                <w:rFonts w:asciiTheme="minorHAnsi" w:hAnsiTheme="minorHAnsi" w:cstheme="minorHAnsi"/>
                <w:b/>
                <w:sz w:val="18"/>
                <w:szCs w:val="18"/>
                <w:lang w:val="es-CR"/>
              </w:rPr>
            </w:pPr>
          </w:p>
        </w:tc>
        <w:tc>
          <w:tcPr>
            <w:tcW w:w="1123" w:type="dxa"/>
            <w:vAlign w:val="center"/>
          </w:tcPr>
          <w:p w14:paraId="338941CA" w14:textId="77777777" w:rsidR="00795A8F" w:rsidRPr="0028515D" w:rsidRDefault="00795A8F" w:rsidP="007A47EF">
            <w:pPr>
              <w:spacing w:line="240" w:lineRule="auto"/>
              <w:jc w:val="center"/>
              <w:rPr>
                <w:rFonts w:asciiTheme="minorHAnsi" w:hAnsiTheme="minorHAnsi" w:cstheme="minorHAnsi"/>
                <w:sz w:val="18"/>
                <w:szCs w:val="18"/>
                <w:lang w:val="es-CR"/>
              </w:rPr>
            </w:pPr>
          </w:p>
        </w:tc>
        <w:tc>
          <w:tcPr>
            <w:tcW w:w="1356" w:type="dxa"/>
            <w:vAlign w:val="center"/>
          </w:tcPr>
          <w:p w14:paraId="33ADB09C"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Proyecto cerrado</w:t>
            </w:r>
          </w:p>
          <w:p w14:paraId="295D1C6D"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El Comité Ejecutivo luego de varias deliberaciones tomó la decisión de no continuar con este proyecto, dados los ajustes ocasionados por la pandemia, las cuales hacen poco viables nuevos ajustes en el corto plazo.</w:t>
            </w:r>
          </w:p>
        </w:tc>
      </w:tr>
      <w:tr w:rsidR="00795A8F" w:rsidRPr="0028515D" w14:paraId="4C4B6AAA" w14:textId="77777777" w:rsidTr="003D53AE">
        <w:trPr>
          <w:trHeight w:val="300"/>
          <w:jc w:val="center"/>
        </w:trPr>
        <w:tc>
          <w:tcPr>
            <w:tcW w:w="1696" w:type="dxa"/>
            <w:vAlign w:val="center"/>
          </w:tcPr>
          <w:p w14:paraId="6364E148"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SUPEN</w:t>
            </w:r>
          </w:p>
          <w:p w14:paraId="3023821D"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5D436F25"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CONASSIF</w:t>
            </w:r>
          </w:p>
          <w:p w14:paraId="7F0BCBC2"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0294D235"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Promoción de Régimen Voluntario</w:t>
            </w:r>
          </w:p>
        </w:tc>
        <w:tc>
          <w:tcPr>
            <w:tcW w:w="1993" w:type="dxa"/>
            <w:vAlign w:val="center"/>
          </w:tcPr>
          <w:p w14:paraId="2250F121"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Evaluar el desarrollo de los fondos voluntarios y proponer las reformas pertinentes para su futuro crecimiento</w:t>
            </w:r>
          </w:p>
        </w:tc>
        <w:tc>
          <w:tcPr>
            <w:tcW w:w="911" w:type="dxa"/>
            <w:vAlign w:val="center"/>
          </w:tcPr>
          <w:p w14:paraId="163F4979"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Junio</w:t>
            </w:r>
          </w:p>
          <w:p w14:paraId="14F26035"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2021</w:t>
            </w:r>
          </w:p>
        </w:tc>
        <w:tc>
          <w:tcPr>
            <w:tcW w:w="914" w:type="dxa"/>
            <w:vAlign w:val="center"/>
          </w:tcPr>
          <w:p w14:paraId="31617C0A"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Diciembre</w:t>
            </w:r>
          </w:p>
          <w:p w14:paraId="03E05A9C"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2021</w:t>
            </w:r>
          </w:p>
        </w:tc>
        <w:tc>
          <w:tcPr>
            <w:tcW w:w="1324" w:type="dxa"/>
            <w:vAlign w:val="center"/>
          </w:tcPr>
          <w:p w14:paraId="5100D761"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Segundo Semestre 2021</w:t>
            </w:r>
          </w:p>
          <w:p w14:paraId="285393BC"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Elaboración de estudios técnicos y confección de textos de reforma</w:t>
            </w:r>
          </w:p>
        </w:tc>
        <w:tc>
          <w:tcPr>
            <w:tcW w:w="1123" w:type="dxa"/>
            <w:vAlign w:val="center"/>
          </w:tcPr>
          <w:p w14:paraId="29575190"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70%</w:t>
            </w:r>
          </w:p>
        </w:tc>
        <w:tc>
          <w:tcPr>
            <w:tcW w:w="1356" w:type="dxa"/>
            <w:vAlign w:val="center"/>
          </w:tcPr>
          <w:p w14:paraId="15E0D8FB"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En Ejecución</w:t>
            </w:r>
          </w:p>
          <w:p w14:paraId="6DF0DC96"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Se está monitoreando los avances en el cronograma de proyecto a efecto de poder verificar las posibilidades de concluir en tiempo el cronograma.</w:t>
            </w:r>
          </w:p>
        </w:tc>
      </w:tr>
      <w:tr w:rsidR="00795A8F" w:rsidRPr="0028515D" w14:paraId="786C598C" w14:textId="77777777" w:rsidTr="003D53AE">
        <w:trPr>
          <w:trHeight w:val="300"/>
          <w:jc w:val="center"/>
        </w:trPr>
        <w:tc>
          <w:tcPr>
            <w:tcW w:w="1696" w:type="dxa"/>
            <w:vAlign w:val="center"/>
          </w:tcPr>
          <w:p w14:paraId="0447E57C" w14:textId="77777777" w:rsidR="00795A8F" w:rsidRPr="0028515D" w:rsidRDefault="00795A8F" w:rsidP="007A47EF">
            <w:pPr>
              <w:spacing w:line="240" w:lineRule="auto"/>
              <w:jc w:val="left"/>
              <w:rPr>
                <w:rFonts w:asciiTheme="minorHAnsi" w:hAnsiTheme="minorHAnsi" w:cstheme="minorHAnsi"/>
                <w:b/>
                <w:bCs/>
                <w:color w:val="000000"/>
                <w:sz w:val="18"/>
                <w:szCs w:val="18"/>
                <w:lang w:val="es-CR"/>
              </w:rPr>
            </w:pPr>
            <w:r w:rsidRPr="0028515D">
              <w:rPr>
                <w:rFonts w:asciiTheme="minorHAnsi" w:hAnsiTheme="minorHAnsi" w:cstheme="minorHAnsi"/>
                <w:b/>
                <w:bCs/>
                <w:color w:val="000000"/>
                <w:sz w:val="18"/>
                <w:szCs w:val="18"/>
                <w:lang w:val="es-CR"/>
              </w:rPr>
              <w:t>No estratégico</w:t>
            </w:r>
          </w:p>
        </w:tc>
        <w:tc>
          <w:tcPr>
            <w:tcW w:w="1325" w:type="dxa"/>
            <w:shd w:val="clear" w:color="auto" w:fill="auto"/>
            <w:noWrap/>
            <w:vAlign w:val="center"/>
          </w:tcPr>
          <w:p w14:paraId="553B84D6" w14:textId="77777777" w:rsidR="00795A8F" w:rsidRPr="0028515D" w:rsidRDefault="00795A8F" w:rsidP="007A47EF">
            <w:pPr>
              <w:spacing w:line="240" w:lineRule="auto"/>
              <w:jc w:val="left"/>
              <w:rPr>
                <w:rFonts w:asciiTheme="minorHAnsi" w:hAnsiTheme="minorHAnsi" w:cstheme="minorHAnsi"/>
                <w:color w:val="000000"/>
                <w:sz w:val="18"/>
                <w:szCs w:val="18"/>
                <w:lang w:val="es-CR"/>
              </w:rPr>
            </w:pPr>
            <w:r w:rsidRPr="0028515D">
              <w:rPr>
                <w:rFonts w:asciiTheme="minorHAnsi" w:hAnsiTheme="minorHAnsi" w:cstheme="minorHAnsi"/>
                <w:color w:val="000000"/>
                <w:sz w:val="18"/>
                <w:szCs w:val="18"/>
                <w:lang w:val="es-CR"/>
              </w:rPr>
              <w:t>Módulo de Estadísticas para la web</w:t>
            </w:r>
          </w:p>
        </w:tc>
        <w:tc>
          <w:tcPr>
            <w:tcW w:w="1993" w:type="dxa"/>
            <w:vAlign w:val="center"/>
          </w:tcPr>
          <w:p w14:paraId="6763E7D2" w14:textId="77777777" w:rsidR="00795A8F" w:rsidRPr="0028515D" w:rsidRDefault="00795A8F" w:rsidP="007A47EF">
            <w:pPr>
              <w:spacing w:line="240" w:lineRule="auto"/>
              <w:jc w:val="left"/>
              <w:rPr>
                <w:rFonts w:asciiTheme="minorHAnsi" w:hAnsiTheme="minorHAnsi" w:cstheme="minorHAnsi"/>
                <w:sz w:val="18"/>
                <w:szCs w:val="18"/>
                <w:lang w:val="es-CR"/>
              </w:rPr>
            </w:pPr>
            <w:r w:rsidRPr="0028515D">
              <w:rPr>
                <w:rFonts w:asciiTheme="minorHAnsi" w:hAnsiTheme="minorHAnsi" w:cstheme="minorHAnsi"/>
                <w:sz w:val="18"/>
                <w:szCs w:val="18"/>
                <w:lang w:val="es-CR"/>
              </w:rPr>
              <w:t>Definir la estructura de los datos necesaria para la sección de estadísticas de la nueva página web</w:t>
            </w:r>
          </w:p>
        </w:tc>
        <w:tc>
          <w:tcPr>
            <w:tcW w:w="911" w:type="dxa"/>
            <w:vAlign w:val="center"/>
          </w:tcPr>
          <w:p w14:paraId="7EC15A92"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Setiembre</w:t>
            </w:r>
          </w:p>
          <w:p w14:paraId="5ABC99D5"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2021</w:t>
            </w:r>
          </w:p>
        </w:tc>
        <w:tc>
          <w:tcPr>
            <w:tcW w:w="914" w:type="dxa"/>
            <w:vAlign w:val="center"/>
          </w:tcPr>
          <w:p w14:paraId="106677E5"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Diciembre</w:t>
            </w:r>
          </w:p>
          <w:p w14:paraId="461234CD" w14:textId="77777777" w:rsidR="00795A8F" w:rsidRPr="0028515D" w:rsidRDefault="00795A8F" w:rsidP="007A47EF">
            <w:pPr>
              <w:spacing w:line="240" w:lineRule="auto"/>
              <w:jc w:val="center"/>
              <w:rPr>
                <w:rFonts w:asciiTheme="minorHAnsi" w:hAnsiTheme="minorHAnsi" w:cstheme="minorHAnsi"/>
                <w:b/>
                <w:sz w:val="18"/>
                <w:szCs w:val="18"/>
                <w:lang w:val="es-CR"/>
              </w:rPr>
            </w:pPr>
            <w:r w:rsidRPr="0028515D">
              <w:rPr>
                <w:rFonts w:asciiTheme="minorHAnsi" w:hAnsiTheme="minorHAnsi" w:cstheme="minorHAnsi"/>
                <w:b/>
                <w:sz w:val="18"/>
                <w:szCs w:val="18"/>
                <w:lang w:val="es-CR"/>
              </w:rPr>
              <w:t>2021</w:t>
            </w:r>
          </w:p>
        </w:tc>
        <w:tc>
          <w:tcPr>
            <w:tcW w:w="1324" w:type="dxa"/>
            <w:vAlign w:val="center"/>
          </w:tcPr>
          <w:p w14:paraId="4380878C"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Segundo Semestre 2021</w:t>
            </w:r>
          </w:p>
          <w:p w14:paraId="34DCCEFE"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Pruebas a las métricas programadas</w:t>
            </w:r>
          </w:p>
        </w:tc>
        <w:tc>
          <w:tcPr>
            <w:tcW w:w="1123" w:type="dxa"/>
            <w:vAlign w:val="center"/>
          </w:tcPr>
          <w:p w14:paraId="15FDA48B" w14:textId="77777777" w:rsidR="00795A8F" w:rsidRPr="0028515D" w:rsidRDefault="00795A8F" w:rsidP="007A47EF">
            <w:pPr>
              <w:spacing w:line="240" w:lineRule="auto"/>
              <w:jc w:val="center"/>
              <w:rPr>
                <w:rFonts w:asciiTheme="minorHAnsi" w:hAnsiTheme="minorHAnsi" w:cstheme="minorHAnsi"/>
                <w:sz w:val="18"/>
                <w:szCs w:val="18"/>
                <w:lang w:val="es-CR"/>
              </w:rPr>
            </w:pPr>
            <w:r w:rsidRPr="0028515D">
              <w:rPr>
                <w:rFonts w:asciiTheme="minorHAnsi" w:hAnsiTheme="minorHAnsi" w:cstheme="minorHAnsi"/>
                <w:sz w:val="18"/>
                <w:szCs w:val="18"/>
                <w:lang w:val="es-CR"/>
              </w:rPr>
              <w:t>100%</w:t>
            </w:r>
          </w:p>
        </w:tc>
        <w:tc>
          <w:tcPr>
            <w:tcW w:w="1356" w:type="dxa"/>
            <w:vAlign w:val="center"/>
          </w:tcPr>
          <w:p w14:paraId="3E9E19CD" w14:textId="77777777" w:rsidR="00795A8F" w:rsidRPr="0028515D" w:rsidRDefault="00795A8F" w:rsidP="007A47EF">
            <w:pPr>
              <w:spacing w:line="240" w:lineRule="auto"/>
              <w:jc w:val="left"/>
              <w:rPr>
                <w:rFonts w:asciiTheme="minorHAnsi" w:hAnsiTheme="minorHAnsi" w:cstheme="minorHAnsi"/>
                <w:b/>
                <w:sz w:val="18"/>
                <w:szCs w:val="18"/>
                <w:lang w:val="es-CR"/>
              </w:rPr>
            </w:pPr>
            <w:r w:rsidRPr="0028515D">
              <w:rPr>
                <w:rFonts w:asciiTheme="minorHAnsi" w:hAnsiTheme="minorHAnsi" w:cstheme="minorHAnsi"/>
                <w:b/>
                <w:sz w:val="18"/>
                <w:szCs w:val="18"/>
                <w:lang w:val="es-CR"/>
              </w:rPr>
              <w:t>En Ejecución</w:t>
            </w:r>
          </w:p>
          <w:p w14:paraId="525094E1" w14:textId="77777777" w:rsidR="00795A8F" w:rsidRPr="0028515D" w:rsidRDefault="00795A8F" w:rsidP="007A47EF">
            <w:pPr>
              <w:spacing w:line="240" w:lineRule="auto"/>
              <w:jc w:val="left"/>
              <w:rPr>
                <w:rFonts w:asciiTheme="minorHAnsi" w:hAnsiTheme="minorHAnsi" w:cstheme="minorHAnsi"/>
                <w:bCs/>
                <w:sz w:val="18"/>
                <w:szCs w:val="18"/>
                <w:lang w:val="es-CR"/>
              </w:rPr>
            </w:pPr>
            <w:r w:rsidRPr="0028515D">
              <w:rPr>
                <w:rFonts w:asciiTheme="minorHAnsi" w:hAnsiTheme="minorHAnsi" w:cstheme="minorHAnsi"/>
                <w:bCs/>
                <w:sz w:val="18"/>
                <w:szCs w:val="18"/>
                <w:lang w:val="es-CR"/>
              </w:rPr>
              <w:t>El proyecto marcha según los cronogramas aprobados</w:t>
            </w:r>
          </w:p>
        </w:tc>
      </w:tr>
    </w:tbl>
    <w:p w14:paraId="16940124" w14:textId="77777777" w:rsidR="00D974F8" w:rsidRPr="00D07970" w:rsidRDefault="00D974F8" w:rsidP="00D974F8">
      <w:pPr>
        <w:spacing w:line="240" w:lineRule="auto"/>
        <w:rPr>
          <w:rFonts w:ascii="Calibri Light" w:hAnsi="Calibri Light" w:cs="Calibri Light"/>
          <w:sz w:val="18"/>
          <w:lang w:val="es-CR"/>
        </w:rPr>
      </w:pPr>
      <w:r w:rsidRPr="00D07970">
        <w:rPr>
          <w:rFonts w:ascii="Calibri Light" w:hAnsi="Calibri Light" w:cs="Calibri Light"/>
          <w:sz w:val="18"/>
          <w:lang w:val="es-CR"/>
        </w:rPr>
        <w:t>Fuente: Investigación y Desarrollo</w:t>
      </w:r>
    </w:p>
    <w:p w14:paraId="46FC7302" w14:textId="77777777" w:rsidR="00D974F8" w:rsidRPr="00D07970" w:rsidRDefault="00D974F8" w:rsidP="00D974F8">
      <w:pPr>
        <w:pStyle w:val="Prrafodelista"/>
        <w:numPr>
          <w:ilvl w:val="0"/>
          <w:numId w:val="19"/>
        </w:numPr>
        <w:spacing w:line="240" w:lineRule="auto"/>
        <w:ind w:left="0"/>
        <w:rPr>
          <w:rFonts w:ascii="Calibri Light" w:hAnsi="Calibri Light" w:cs="Calibri Light"/>
          <w:sz w:val="18"/>
          <w:lang w:val="es-CR"/>
        </w:rPr>
      </w:pPr>
      <w:r w:rsidRPr="00D07970">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bookmarkEnd w:id="54"/>
    <w:p w14:paraId="03EBB962" w14:textId="0533880C" w:rsidR="00D974F8" w:rsidRPr="00D07970" w:rsidRDefault="00D974F8" w:rsidP="003261C7">
      <w:pPr>
        <w:rPr>
          <w:szCs w:val="22"/>
          <w:lang w:val="es-CR" w:eastAsia="en-US"/>
        </w:rPr>
      </w:pPr>
    </w:p>
    <w:p w14:paraId="24F6E49D" w14:textId="77777777" w:rsidR="00D974F8" w:rsidRPr="00D07970" w:rsidRDefault="00D974F8" w:rsidP="003261C7">
      <w:pPr>
        <w:rPr>
          <w:szCs w:val="22"/>
          <w:lang w:val="es-CR" w:eastAsia="en-US"/>
        </w:rPr>
      </w:pPr>
    </w:p>
    <w:p w14:paraId="0BA2BFA8" w14:textId="73C16B0E" w:rsidR="00FA2E04" w:rsidRPr="00D07970" w:rsidRDefault="00FA2E04">
      <w:pPr>
        <w:spacing w:line="240" w:lineRule="auto"/>
        <w:jc w:val="left"/>
        <w:rPr>
          <w:rFonts w:asciiTheme="minorHAnsi" w:hAnsiTheme="minorHAnsi" w:cstheme="minorHAnsi"/>
          <w:sz w:val="24"/>
          <w:szCs w:val="24"/>
          <w:lang w:val="es-CR"/>
        </w:rPr>
      </w:pPr>
      <w:r w:rsidRPr="00D07970">
        <w:rPr>
          <w:rFonts w:asciiTheme="minorHAnsi" w:hAnsiTheme="minorHAnsi" w:cstheme="minorHAnsi"/>
          <w:szCs w:val="24"/>
          <w:lang w:val="es-CR"/>
        </w:rPr>
        <w:br w:type="page"/>
      </w:r>
    </w:p>
    <w:p w14:paraId="64DC7A56" w14:textId="6FE85C18" w:rsidR="00225437" w:rsidRPr="00D07970" w:rsidRDefault="00225437" w:rsidP="008F4F71">
      <w:pPr>
        <w:pStyle w:val="Ttulo1"/>
        <w:rPr>
          <w:lang w:val="es-CR"/>
        </w:rPr>
      </w:pPr>
      <w:bookmarkStart w:id="55" w:name="_Toc23842389"/>
      <w:bookmarkStart w:id="56" w:name="_Toc109179114"/>
      <w:bookmarkStart w:id="57" w:name="_Toc131912458"/>
      <w:bookmarkStart w:id="58" w:name="_Toc163371963"/>
      <w:bookmarkStart w:id="59" w:name="_Toc195505396"/>
      <w:bookmarkStart w:id="60" w:name="_Toc226364829"/>
      <w:bookmarkStart w:id="61" w:name="_Toc273448684"/>
      <w:bookmarkStart w:id="62" w:name="_Toc94183040"/>
      <w:bookmarkEnd w:id="22"/>
      <w:bookmarkEnd w:id="23"/>
      <w:r w:rsidRPr="00D07970">
        <w:rPr>
          <w:lang w:val="es-CR"/>
        </w:rPr>
        <w:t>Resumen</w:t>
      </w:r>
      <w:bookmarkEnd w:id="55"/>
      <w:bookmarkEnd w:id="56"/>
      <w:bookmarkEnd w:id="57"/>
      <w:bookmarkEnd w:id="58"/>
      <w:bookmarkEnd w:id="59"/>
      <w:bookmarkEnd w:id="60"/>
      <w:bookmarkEnd w:id="61"/>
      <w:bookmarkEnd w:id="62"/>
    </w:p>
    <w:p w14:paraId="64DC7A57" w14:textId="77777777" w:rsidR="00225437" w:rsidRPr="00D07970" w:rsidRDefault="00225437" w:rsidP="00225437">
      <w:pPr>
        <w:spacing w:line="288" w:lineRule="auto"/>
        <w:rPr>
          <w:rFonts w:asciiTheme="minorHAnsi" w:hAnsiTheme="minorHAnsi" w:cstheme="minorHAnsi"/>
          <w:sz w:val="24"/>
          <w:szCs w:val="24"/>
          <w:lang w:val="es-CR"/>
        </w:rPr>
      </w:pPr>
    </w:p>
    <w:p w14:paraId="387B446E" w14:textId="6404EFD6" w:rsidR="00094015" w:rsidRPr="00D07970" w:rsidRDefault="00094015" w:rsidP="00094015">
      <w:pPr>
        <w:ind w:right="51"/>
        <w:rPr>
          <w:rFonts w:asciiTheme="minorHAnsi" w:hAnsiTheme="minorHAnsi" w:cstheme="minorHAnsi"/>
          <w:sz w:val="24"/>
          <w:szCs w:val="24"/>
          <w:lang w:val="es-CR" w:eastAsia="en-US"/>
        </w:rPr>
      </w:pPr>
      <w:r w:rsidRPr="00D07970">
        <w:rPr>
          <w:rFonts w:asciiTheme="minorHAnsi" w:hAnsiTheme="minorHAnsi" w:cstheme="minorHAnsi"/>
          <w:sz w:val="24"/>
          <w:szCs w:val="24"/>
          <w:lang w:val="es-CR"/>
        </w:rPr>
        <w:t>Al finalizar este período, el presupuesto aprobado por la suma de ¢</w:t>
      </w:r>
      <w:r w:rsidR="000A0B21">
        <w:rPr>
          <w:rFonts w:asciiTheme="minorHAnsi" w:hAnsiTheme="minorHAnsi" w:cstheme="minorHAnsi"/>
          <w:sz w:val="24"/>
          <w:szCs w:val="24"/>
          <w:lang w:val="es-CR"/>
        </w:rPr>
        <w:t>5 4</w:t>
      </w:r>
      <w:r w:rsidR="00236EA0">
        <w:rPr>
          <w:rFonts w:asciiTheme="minorHAnsi" w:hAnsiTheme="minorHAnsi" w:cstheme="minorHAnsi"/>
          <w:sz w:val="24"/>
          <w:szCs w:val="24"/>
          <w:lang w:val="es-CR"/>
        </w:rPr>
        <w:t>53,0</w:t>
      </w:r>
      <w:r w:rsidR="00700264">
        <w:rPr>
          <w:rFonts w:asciiTheme="minorHAnsi" w:hAnsiTheme="minorHAnsi" w:cstheme="minorHAnsi"/>
          <w:sz w:val="24"/>
          <w:szCs w:val="24"/>
          <w:lang w:val="es-CR"/>
        </w:rPr>
        <w:t xml:space="preserve"> </w:t>
      </w:r>
      <w:r w:rsidRPr="00D07970">
        <w:rPr>
          <w:rFonts w:asciiTheme="minorHAnsi" w:hAnsiTheme="minorHAnsi" w:cstheme="minorHAnsi"/>
          <w:sz w:val="24"/>
          <w:szCs w:val="24"/>
          <w:lang w:val="es-CR"/>
        </w:rPr>
        <w:t>millones, alcanzó una ejecución de ¢</w:t>
      </w:r>
      <w:r w:rsidR="00236EA0">
        <w:rPr>
          <w:rFonts w:asciiTheme="minorHAnsi" w:hAnsiTheme="minorHAnsi" w:cstheme="minorHAnsi"/>
          <w:sz w:val="24"/>
          <w:szCs w:val="24"/>
          <w:lang w:val="es-CR"/>
        </w:rPr>
        <w:t>4 407,6</w:t>
      </w:r>
      <w:r w:rsidRPr="00D07970">
        <w:rPr>
          <w:rFonts w:asciiTheme="minorHAnsi" w:hAnsiTheme="minorHAnsi" w:cstheme="minorHAnsi"/>
          <w:sz w:val="24"/>
          <w:szCs w:val="24"/>
          <w:lang w:val="es-CR"/>
        </w:rPr>
        <w:t xml:space="preserve"> millones, suma que equivale al 8</w:t>
      </w:r>
      <w:r w:rsidR="007F56D2">
        <w:rPr>
          <w:rFonts w:asciiTheme="minorHAnsi" w:hAnsiTheme="minorHAnsi" w:cstheme="minorHAnsi"/>
          <w:sz w:val="24"/>
          <w:szCs w:val="24"/>
          <w:lang w:val="es-CR"/>
        </w:rPr>
        <w:t>1</w:t>
      </w:r>
      <w:r w:rsidRPr="00D07970">
        <w:rPr>
          <w:rFonts w:asciiTheme="minorHAnsi" w:hAnsiTheme="minorHAnsi" w:cstheme="minorHAnsi"/>
          <w:sz w:val="24"/>
          <w:szCs w:val="24"/>
          <w:lang w:val="es-CR"/>
        </w:rPr>
        <w:t>% del presupuesto total.</w:t>
      </w:r>
    </w:p>
    <w:p w14:paraId="2ACBE26D" w14:textId="77777777" w:rsidR="00094015" w:rsidRPr="00D07970" w:rsidRDefault="00094015" w:rsidP="00094015">
      <w:pPr>
        <w:ind w:right="51"/>
        <w:rPr>
          <w:rFonts w:asciiTheme="minorHAnsi" w:hAnsiTheme="minorHAnsi" w:cstheme="minorHAnsi"/>
          <w:sz w:val="24"/>
          <w:szCs w:val="24"/>
          <w:lang w:val="es-CR"/>
        </w:rPr>
      </w:pPr>
    </w:p>
    <w:p w14:paraId="6ABA2D7C" w14:textId="0FD3E83C" w:rsidR="00094015" w:rsidRPr="00D07970" w:rsidRDefault="00094015" w:rsidP="00094015">
      <w:pPr>
        <w:ind w:right="51"/>
        <w:rPr>
          <w:rFonts w:asciiTheme="minorHAnsi" w:hAnsiTheme="minorHAnsi" w:cstheme="minorHAnsi"/>
          <w:sz w:val="24"/>
          <w:szCs w:val="24"/>
          <w:lang w:val="es-CR"/>
        </w:rPr>
      </w:pPr>
      <w:r w:rsidRPr="00D07970">
        <w:rPr>
          <w:rFonts w:asciiTheme="minorHAnsi" w:hAnsiTheme="minorHAnsi" w:cstheme="minorHAnsi"/>
          <w:sz w:val="24"/>
          <w:szCs w:val="24"/>
          <w:lang w:val="es-CR"/>
        </w:rPr>
        <w:t xml:space="preserve">En lo que respecta al logro de las metas </w:t>
      </w:r>
      <w:r w:rsidR="008234AC">
        <w:rPr>
          <w:rFonts w:asciiTheme="minorHAnsi" w:hAnsiTheme="minorHAnsi" w:cstheme="minorHAnsi"/>
          <w:sz w:val="24"/>
          <w:szCs w:val="24"/>
          <w:lang w:val="es-CR"/>
        </w:rPr>
        <w:t xml:space="preserve">para el segundo semestre </w:t>
      </w:r>
      <w:r w:rsidRPr="00D07970">
        <w:rPr>
          <w:rFonts w:asciiTheme="minorHAnsi" w:hAnsiTheme="minorHAnsi" w:cstheme="minorHAnsi"/>
          <w:sz w:val="24"/>
          <w:szCs w:val="24"/>
          <w:lang w:val="es-CR"/>
        </w:rPr>
        <w:t xml:space="preserve">se observa que </w:t>
      </w:r>
      <w:r w:rsidR="004D6524">
        <w:rPr>
          <w:rFonts w:asciiTheme="minorHAnsi" w:hAnsiTheme="minorHAnsi" w:cstheme="minorHAnsi"/>
          <w:sz w:val="24"/>
          <w:szCs w:val="24"/>
          <w:lang w:val="es-CR"/>
        </w:rPr>
        <w:t>se</w:t>
      </w:r>
      <w:r w:rsidRPr="00D07970">
        <w:rPr>
          <w:rFonts w:asciiTheme="minorHAnsi" w:hAnsiTheme="minorHAnsi" w:cstheme="minorHAnsi"/>
          <w:sz w:val="24"/>
          <w:szCs w:val="24"/>
          <w:lang w:val="es-CR"/>
        </w:rPr>
        <w:t xml:space="preserve"> obtuvo una nota general del 9</w:t>
      </w:r>
      <w:r w:rsidR="00DD7034">
        <w:rPr>
          <w:rFonts w:asciiTheme="minorHAnsi" w:hAnsiTheme="minorHAnsi" w:cstheme="minorHAnsi"/>
          <w:sz w:val="24"/>
          <w:szCs w:val="24"/>
          <w:lang w:val="es-CR"/>
        </w:rPr>
        <w:t>3</w:t>
      </w:r>
      <w:r w:rsidRPr="00D07970">
        <w:rPr>
          <w:rFonts w:asciiTheme="minorHAnsi" w:hAnsiTheme="minorHAnsi" w:cstheme="minorHAnsi"/>
          <w:sz w:val="24"/>
          <w:szCs w:val="24"/>
          <w:lang w:val="es-CR"/>
        </w:rPr>
        <w:t>% como resultado de los trabajos realizados en proporción con los trabajos programados, en cada uno de los cinco procesos que conforman</w:t>
      </w:r>
      <w:r w:rsidR="00F75875">
        <w:rPr>
          <w:rFonts w:asciiTheme="minorHAnsi" w:hAnsiTheme="minorHAnsi" w:cstheme="minorHAnsi"/>
          <w:sz w:val="24"/>
          <w:szCs w:val="24"/>
          <w:lang w:val="es-CR"/>
        </w:rPr>
        <w:t xml:space="preserve"> la organización</w:t>
      </w:r>
      <w:r w:rsidRPr="00D07970">
        <w:rPr>
          <w:rFonts w:asciiTheme="minorHAnsi" w:hAnsiTheme="minorHAnsi" w:cstheme="minorHAnsi"/>
          <w:sz w:val="24"/>
          <w:szCs w:val="24"/>
          <w:lang w:val="es-CR"/>
        </w:rPr>
        <w:t>.</w:t>
      </w:r>
    </w:p>
    <w:p w14:paraId="724E3262" w14:textId="17A6E29C" w:rsidR="006B7848" w:rsidRPr="00D07970" w:rsidRDefault="006B7848" w:rsidP="00136AB9">
      <w:pPr>
        <w:ind w:right="51"/>
        <w:rPr>
          <w:rFonts w:asciiTheme="minorHAnsi" w:hAnsiTheme="minorHAnsi" w:cstheme="minorHAnsi"/>
          <w:sz w:val="24"/>
          <w:szCs w:val="24"/>
          <w:lang w:val="es-CR"/>
        </w:rPr>
      </w:pPr>
    </w:p>
    <w:p w14:paraId="363D0B03" w14:textId="77777777" w:rsidR="006B7848" w:rsidRPr="00D07970" w:rsidRDefault="006B7848" w:rsidP="00136AB9">
      <w:pPr>
        <w:ind w:right="51"/>
        <w:rPr>
          <w:rFonts w:asciiTheme="minorHAnsi" w:hAnsiTheme="minorHAnsi" w:cstheme="minorHAnsi"/>
          <w:sz w:val="24"/>
          <w:szCs w:val="24"/>
          <w:lang w:val="es-CR"/>
        </w:rPr>
      </w:pPr>
    </w:p>
    <w:p w14:paraId="64DC7A63" w14:textId="78774E28" w:rsidR="00225437" w:rsidRPr="00D07970" w:rsidRDefault="00225437" w:rsidP="00A3165F">
      <w:pPr>
        <w:pStyle w:val="Ttulo1"/>
        <w:rPr>
          <w:lang w:val="es-CR"/>
        </w:rPr>
      </w:pPr>
      <w:bookmarkStart w:id="63" w:name="_Toc23842390"/>
      <w:bookmarkStart w:id="64" w:name="_Toc109179115"/>
      <w:bookmarkStart w:id="65" w:name="_Toc131912459"/>
      <w:bookmarkStart w:id="66" w:name="_Toc163371964"/>
      <w:bookmarkStart w:id="67" w:name="_Toc195505397"/>
      <w:bookmarkStart w:id="68" w:name="_Toc226364830"/>
      <w:bookmarkStart w:id="69" w:name="_Toc273448685"/>
      <w:bookmarkStart w:id="70" w:name="_Toc94183041"/>
      <w:r w:rsidRPr="00D07970">
        <w:rPr>
          <w:lang w:val="es-CR"/>
        </w:rPr>
        <w:t>Conclusión</w:t>
      </w:r>
      <w:bookmarkEnd w:id="63"/>
      <w:bookmarkEnd w:id="64"/>
      <w:bookmarkEnd w:id="65"/>
      <w:bookmarkEnd w:id="66"/>
      <w:bookmarkEnd w:id="67"/>
      <w:bookmarkEnd w:id="68"/>
      <w:bookmarkEnd w:id="69"/>
      <w:bookmarkEnd w:id="70"/>
    </w:p>
    <w:p w14:paraId="64DC7A64" w14:textId="77777777" w:rsidR="00225437" w:rsidRPr="00D07970" w:rsidRDefault="00225437" w:rsidP="00E857A2">
      <w:pPr>
        <w:rPr>
          <w:rFonts w:asciiTheme="minorHAnsi" w:hAnsiTheme="minorHAnsi" w:cstheme="minorHAnsi"/>
          <w:sz w:val="24"/>
          <w:szCs w:val="24"/>
          <w:lang w:val="es-CR"/>
        </w:rPr>
      </w:pPr>
    </w:p>
    <w:p w14:paraId="37DF0A4F" w14:textId="51983939" w:rsidR="00D872F6" w:rsidRPr="00D07970" w:rsidRDefault="00D872F6" w:rsidP="00D872F6">
      <w:pPr>
        <w:ind w:right="51"/>
        <w:rPr>
          <w:rFonts w:asciiTheme="minorHAnsi" w:hAnsiTheme="minorHAnsi" w:cstheme="minorHAnsi"/>
          <w:sz w:val="24"/>
          <w:szCs w:val="24"/>
          <w:lang w:val="es-CR" w:eastAsia="en-US"/>
        </w:rPr>
      </w:pPr>
      <w:r w:rsidRPr="00D07970">
        <w:rPr>
          <w:rFonts w:asciiTheme="minorHAnsi" w:hAnsiTheme="minorHAnsi" w:cstheme="minorHAnsi"/>
          <w:sz w:val="24"/>
          <w:szCs w:val="24"/>
          <w:lang w:val="es-CR"/>
        </w:rPr>
        <w:t>El presupuesto para el 202</w:t>
      </w:r>
      <w:r w:rsidR="00F75875">
        <w:rPr>
          <w:rFonts w:asciiTheme="minorHAnsi" w:hAnsiTheme="minorHAnsi" w:cstheme="minorHAnsi"/>
          <w:sz w:val="24"/>
          <w:szCs w:val="24"/>
          <w:lang w:val="es-CR"/>
        </w:rPr>
        <w:t>1</w:t>
      </w:r>
      <w:r w:rsidRPr="00D07970">
        <w:rPr>
          <w:rFonts w:asciiTheme="minorHAnsi" w:hAnsiTheme="minorHAnsi" w:cstheme="minorHAnsi"/>
          <w:sz w:val="24"/>
          <w:szCs w:val="24"/>
          <w:lang w:val="es-CR"/>
        </w:rPr>
        <w:t xml:space="preserve"> aprobado por el Consejo Nacional de Supervisión del Sistema Financiero y la Contraloría General de la República para la SUPEN, corresponde a los recursos necesarios para atender la ejecución de las actividades de supervisión y regulación encomendadas por Ley.</w:t>
      </w:r>
    </w:p>
    <w:p w14:paraId="029B49ED" w14:textId="77777777" w:rsidR="00D872F6" w:rsidRPr="00D07970" w:rsidRDefault="00D872F6" w:rsidP="00D872F6">
      <w:pPr>
        <w:ind w:right="51"/>
        <w:rPr>
          <w:rFonts w:asciiTheme="minorHAnsi" w:hAnsiTheme="minorHAnsi" w:cstheme="minorHAnsi"/>
          <w:sz w:val="24"/>
          <w:szCs w:val="24"/>
          <w:lang w:val="es-CR"/>
        </w:rPr>
      </w:pPr>
    </w:p>
    <w:p w14:paraId="1A6FB8AE" w14:textId="22B4835F" w:rsidR="00D872F6" w:rsidRPr="00D07970" w:rsidRDefault="00D872F6" w:rsidP="00D872F6">
      <w:pPr>
        <w:ind w:right="51"/>
        <w:rPr>
          <w:rFonts w:asciiTheme="minorHAnsi" w:hAnsiTheme="minorHAnsi" w:cstheme="minorHAnsi"/>
          <w:sz w:val="16"/>
          <w:szCs w:val="16"/>
          <w:lang w:val="es-CR"/>
        </w:rPr>
      </w:pPr>
      <w:r w:rsidRPr="00D07970">
        <w:rPr>
          <w:rFonts w:asciiTheme="minorHAnsi" w:hAnsiTheme="minorHAnsi" w:cstheme="minorHAnsi"/>
          <w:sz w:val="24"/>
          <w:szCs w:val="24"/>
          <w:lang w:val="es-CR"/>
        </w:rPr>
        <w:t>En relación con la ejecución del presupuesto de egresos, es necesario indicar que se vio afectada por las circunstancias de la emergencia nacional</w:t>
      </w:r>
      <w:r w:rsidR="0088576F" w:rsidRPr="00D07970">
        <w:rPr>
          <w:rFonts w:asciiTheme="minorHAnsi" w:hAnsiTheme="minorHAnsi" w:cstheme="minorHAnsi"/>
          <w:sz w:val="24"/>
          <w:szCs w:val="24"/>
          <w:lang w:val="es-CR"/>
        </w:rPr>
        <w:t>,</w:t>
      </w:r>
      <w:r w:rsidRPr="00D07970">
        <w:rPr>
          <w:rFonts w:asciiTheme="minorHAnsi" w:hAnsiTheme="minorHAnsi" w:cstheme="minorHAnsi"/>
          <w:sz w:val="24"/>
          <w:szCs w:val="24"/>
          <w:lang w:val="es-CR"/>
        </w:rPr>
        <w:t xml:space="preserve"> pese a esto, la ejecución </w:t>
      </w:r>
      <w:r w:rsidR="00C11C5F" w:rsidRPr="00D07970">
        <w:rPr>
          <w:rFonts w:asciiTheme="minorHAnsi" w:hAnsiTheme="minorHAnsi" w:cstheme="minorHAnsi"/>
          <w:sz w:val="24"/>
          <w:szCs w:val="24"/>
          <w:lang w:val="es-CR"/>
        </w:rPr>
        <w:t>alcanzó el 8</w:t>
      </w:r>
      <w:r w:rsidR="00A6260D">
        <w:rPr>
          <w:rFonts w:asciiTheme="minorHAnsi" w:hAnsiTheme="minorHAnsi" w:cstheme="minorHAnsi"/>
          <w:sz w:val="24"/>
          <w:szCs w:val="24"/>
          <w:lang w:val="es-CR"/>
        </w:rPr>
        <w:t>1</w:t>
      </w:r>
      <w:r w:rsidR="00C11C5F" w:rsidRPr="00D07970">
        <w:rPr>
          <w:rFonts w:asciiTheme="minorHAnsi" w:hAnsiTheme="minorHAnsi" w:cstheme="minorHAnsi"/>
          <w:sz w:val="24"/>
          <w:szCs w:val="24"/>
          <w:lang w:val="es-CR"/>
        </w:rPr>
        <w:t>% del presupuesto</w:t>
      </w:r>
      <w:r w:rsidR="005E64D3" w:rsidRPr="00D07970">
        <w:rPr>
          <w:rFonts w:asciiTheme="minorHAnsi" w:hAnsiTheme="minorHAnsi" w:cstheme="minorHAnsi"/>
          <w:sz w:val="24"/>
          <w:szCs w:val="24"/>
          <w:lang w:val="es-CR"/>
        </w:rPr>
        <w:t>,</w:t>
      </w:r>
      <w:r w:rsidRPr="00D07970">
        <w:rPr>
          <w:rFonts w:asciiTheme="minorHAnsi" w:hAnsiTheme="minorHAnsi" w:cstheme="minorHAnsi"/>
          <w:sz w:val="24"/>
          <w:szCs w:val="24"/>
          <w:lang w:val="es-CR"/>
        </w:rPr>
        <w:t xml:space="preserve"> se realizó en apego del compromiso adquirido, en cumplimiento de las políticas de austeridad dictadas por las autoridades superiores, procurando, en todo momento, que estas disposiciones no afectaran la consecución de las metas, planes propuestos y el desempeño de las responsabilidades propias de la Institución. </w:t>
      </w:r>
    </w:p>
    <w:p w14:paraId="0C520875" w14:textId="77777777" w:rsidR="00D872F6" w:rsidRPr="00D07970" w:rsidRDefault="00D872F6" w:rsidP="00136AB9">
      <w:pPr>
        <w:ind w:right="51"/>
        <w:rPr>
          <w:rFonts w:asciiTheme="minorHAnsi" w:hAnsiTheme="minorHAnsi" w:cstheme="minorHAnsi"/>
          <w:sz w:val="24"/>
          <w:szCs w:val="24"/>
          <w:lang w:val="es-CR"/>
        </w:rPr>
      </w:pPr>
    </w:p>
    <w:p w14:paraId="29A57524" w14:textId="0472F2D5" w:rsidR="00136AB9" w:rsidRPr="00D07970" w:rsidRDefault="00136AB9" w:rsidP="00136AB9">
      <w:pPr>
        <w:ind w:right="51"/>
        <w:jc w:val="center"/>
        <w:rPr>
          <w:rFonts w:asciiTheme="minorHAnsi" w:hAnsiTheme="minorHAnsi" w:cstheme="minorHAnsi"/>
          <w:szCs w:val="22"/>
          <w:lang w:val="es-CR"/>
        </w:rPr>
      </w:pPr>
    </w:p>
    <w:sectPr w:rsidR="00136AB9" w:rsidRPr="00D07970" w:rsidSect="001470A8">
      <w:footerReference w:type="default" r:id="rId14"/>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AE111" w14:textId="77777777" w:rsidR="00927BC8" w:rsidRDefault="00927BC8">
      <w:r>
        <w:separator/>
      </w:r>
    </w:p>
  </w:endnote>
  <w:endnote w:type="continuationSeparator" w:id="0">
    <w:p w14:paraId="0E9A3E1F" w14:textId="77777777" w:rsidR="00927BC8" w:rsidRDefault="00927BC8">
      <w:r>
        <w:continuationSeparator/>
      </w:r>
    </w:p>
  </w:endnote>
  <w:endnote w:type="continuationNotice" w:id="1">
    <w:p w14:paraId="1A6FC0F7" w14:textId="77777777" w:rsidR="00927BC8" w:rsidRDefault="00927B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7B3E" w14:textId="0950D263" w:rsidR="00EC2721" w:rsidRPr="00FB4339" w:rsidRDefault="00EC2721">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1</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127274"/>
      <w:docPartObj>
        <w:docPartGallery w:val="Page Numbers (Bottom of Page)"/>
        <w:docPartUnique/>
      </w:docPartObj>
    </w:sdtPr>
    <w:sdtEndPr/>
    <w:sdtContent>
      <w:p w14:paraId="64DC7B43" w14:textId="49788DE7" w:rsidR="00EC2721" w:rsidRDefault="00EC2721">
        <w:pPr>
          <w:pStyle w:val="Piedepgina"/>
          <w:jc w:val="right"/>
        </w:pPr>
        <w:r>
          <w:fldChar w:fldCharType="begin"/>
        </w:r>
        <w:r>
          <w:instrText>PAGE   \* MERGEFORMAT</w:instrText>
        </w:r>
        <w:r>
          <w:fldChar w:fldCharType="separate"/>
        </w:r>
        <w:r w:rsidRPr="009662E4">
          <w:rPr>
            <w:rFonts w:ascii="Bookman Old Style" w:hAnsi="Bookman Old Style"/>
            <w:i/>
            <w:noProof/>
            <w:snapToGrid w:val="0"/>
            <w:color w:val="0000FF"/>
            <w:sz w:val="18"/>
            <w:szCs w:val="18"/>
          </w:rPr>
          <w:t>44</w:t>
        </w:r>
        <w:r>
          <w:fldChar w:fldCharType="end"/>
        </w:r>
      </w:p>
    </w:sdtContent>
  </w:sdt>
  <w:p w14:paraId="64DC7B44" w14:textId="77777777" w:rsidR="00EC2721" w:rsidRPr="009D44B3" w:rsidRDefault="00EC2721"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F539D" w14:textId="77777777" w:rsidR="00927BC8" w:rsidRDefault="00927BC8">
      <w:r>
        <w:separator/>
      </w:r>
    </w:p>
  </w:footnote>
  <w:footnote w:type="continuationSeparator" w:id="0">
    <w:p w14:paraId="4A3CE67A" w14:textId="77777777" w:rsidR="00927BC8" w:rsidRDefault="00927BC8">
      <w:r>
        <w:continuationSeparator/>
      </w:r>
    </w:p>
  </w:footnote>
  <w:footnote w:type="continuationNotice" w:id="1">
    <w:p w14:paraId="6C15DD32" w14:textId="77777777" w:rsidR="00927BC8" w:rsidRDefault="00927B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6B66" w14:textId="5D81A784" w:rsidR="00EC2721" w:rsidRDefault="00661EC9" w:rsidP="00D07271">
    <w:pPr>
      <w:pStyle w:val="Encabezado"/>
      <w:tabs>
        <w:tab w:val="clear" w:pos="4252"/>
        <w:tab w:val="clear" w:pos="8504"/>
        <w:tab w:val="left" w:pos="1107"/>
      </w:tabs>
    </w:pPr>
    <w:r w:rsidRPr="00D95385">
      <w:rPr>
        <w:noProof/>
        <w:color w:val="365F91" w:themeColor="accent1" w:themeShade="BF"/>
      </w:rPr>
      <w:drawing>
        <wp:anchor distT="0" distB="0" distL="114300" distR="114300" simplePos="0" relativeHeight="251661312" behindDoc="1" locked="0" layoutInCell="1" allowOverlap="1" wp14:anchorId="567BE47C" wp14:editId="00AFF601">
          <wp:simplePos x="0" y="0"/>
          <wp:positionH relativeFrom="margin">
            <wp:posOffset>1211639</wp:posOffset>
          </wp:positionH>
          <wp:positionV relativeFrom="paragraph">
            <wp:posOffset>68561</wp:posOffset>
          </wp:positionV>
          <wp:extent cx="561975" cy="36322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00EC2721" w:rsidRPr="00D95385">
      <w:rPr>
        <w:b/>
        <w:noProof/>
        <w:color w:val="365F91" w:themeColor="accent1" w:themeShade="BF"/>
        <w:sz w:val="32"/>
        <w:lang w:val="es-CR" w:eastAsia="es-CR"/>
      </w:rPr>
      <w:drawing>
        <wp:anchor distT="0" distB="0" distL="114300" distR="114300" simplePos="0" relativeHeight="251659264" behindDoc="1" locked="0" layoutInCell="1" allowOverlap="1" wp14:anchorId="60B702CC" wp14:editId="1B316BF3">
          <wp:simplePos x="0" y="0"/>
          <wp:positionH relativeFrom="page">
            <wp:posOffset>1092835</wp:posOffset>
          </wp:positionH>
          <wp:positionV relativeFrom="page">
            <wp:posOffset>525780</wp:posOffset>
          </wp:positionV>
          <wp:extent cx="836930" cy="38671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r w:rsidR="00D07271">
      <w:tab/>
    </w:r>
  </w:p>
  <w:p w14:paraId="3CEDF7EB" w14:textId="24158477" w:rsidR="00EC2721" w:rsidRPr="00C81469" w:rsidRDefault="00EC2721" w:rsidP="00E22BDD">
    <w:pPr>
      <w:pStyle w:val="Encabezado"/>
      <w:tabs>
        <w:tab w:val="clear" w:pos="4252"/>
        <w:tab w:val="clear" w:pos="8504"/>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 xml:space="preserve">Informe de </w:t>
    </w:r>
    <w:r>
      <w:rPr>
        <w:rFonts w:ascii="Bookman Old Style" w:hAnsi="Bookman Old Style"/>
        <w:b/>
        <w:i/>
        <w:color w:val="365F91" w:themeColor="accent1" w:themeShade="BF"/>
        <w:sz w:val="18"/>
        <w:lang w:val="es-CR"/>
      </w:rPr>
      <w:t>Liquidación</w:t>
    </w:r>
    <w:r w:rsidRPr="00C81469">
      <w:rPr>
        <w:rFonts w:ascii="Bookman Old Style" w:hAnsi="Bookman Old Style"/>
        <w:b/>
        <w:i/>
        <w:color w:val="365F91" w:themeColor="accent1" w:themeShade="BF"/>
        <w:sz w:val="18"/>
        <w:lang w:val="es-CR"/>
      </w:rPr>
      <w:t xml:space="preserve"> Presupuestaria 202</w:t>
    </w:r>
    <w:r w:rsidR="00FF7285">
      <w:rPr>
        <w:rFonts w:ascii="Bookman Old Style" w:hAnsi="Bookman Old Style"/>
        <w:b/>
        <w:i/>
        <w:color w:val="365F91" w:themeColor="accent1" w:themeShade="BF"/>
        <w:sz w:val="18"/>
        <w:lang w:val="es-CR"/>
      </w:rPr>
      <w:t>1</w:t>
    </w:r>
  </w:p>
  <w:p w14:paraId="104CCDB6" w14:textId="0F74F4E6" w:rsidR="00EC2721" w:rsidRPr="00C81469" w:rsidRDefault="00EC2721" w:rsidP="00E22BDD">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6D7C82B3" w14:textId="77777777" w:rsidR="00EC2721" w:rsidRPr="00673A4E" w:rsidRDefault="00EC2721" w:rsidP="00E22BDD">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EF110F2"/>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45DE9"/>
    <w:multiLevelType w:val="hybridMultilevel"/>
    <w:tmpl w:val="EF08AC1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04F0185"/>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1" w15:restartNumberingAfterBreak="0">
    <w:nsid w:val="724D39CC"/>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F680806"/>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3"/>
  </w:num>
  <w:num w:numId="5">
    <w:abstractNumId w:val="9"/>
  </w:num>
  <w:num w:numId="6">
    <w:abstractNumId w:val="6"/>
  </w:num>
  <w:num w:numId="7">
    <w:abstractNumId w:val="7"/>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3"/>
  </w:num>
  <w:num w:numId="16">
    <w:abstractNumId w:val="12"/>
  </w:num>
  <w:num w:numId="17">
    <w:abstractNumId w:val="1"/>
  </w:num>
  <w:num w:numId="18">
    <w:abstractNumId w:val="14"/>
  </w:num>
  <w:num w:numId="19">
    <w:abstractNumId w:val="0"/>
  </w:num>
  <w:num w:numId="20">
    <w:abstractNumId w:val="8"/>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193">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1F8"/>
    <w:rsid w:val="00000B0D"/>
    <w:rsid w:val="00000E2E"/>
    <w:rsid w:val="000016BA"/>
    <w:rsid w:val="00001980"/>
    <w:rsid w:val="00001A13"/>
    <w:rsid w:val="0000237C"/>
    <w:rsid w:val="000032CC"/>
    <w:rsid w:val="00003618"/>
    <w:rsid w:val="00003914"/>
    <w:rsid w:val="00003F16"/>
    <w:rsid w:val="000054AE"/>
    <w:rsid w:val="00005508"/>
    <w:rsid w:val="000056A0"/>
    <w:rsid w:val="00006025"/>
    <w:rsid w:val="000061DA"/>
    <w:rsid w:val="000078DF"/>
    <w:rsid w:val="00011178"/>
    <w:rsid w:val="00012551"/>
    <w:rsid w:val="00012761"/>
    <w:rsid w:val="000131F9"/>
    <w:rsid w:val="00013D6E"/>
    <w:rsid w:val="00013D96"/>
    <w:rsid w:val="000148A4"/>
    <w:rsid w:val="00016238"/>
    <w:rsid w:val="00016241"/>
    <w:rsid w:val="00016C3A"/>
    <w:rsid w:val="0001779E"/>
    <w:rsid w:val="00017F51"/>
    <w:rsid w:val="00020063"/>
    <w:rsid w:val="000201AA"/>
    <w:rsid w:val="000204E5"/>
    <w:rsid w:val="0002140A"/>
    <w:rsid w:val="000228A4"/>
    <w:rsid w:val="00022DEE"/>
    <w:rsid w:val="0002305B"/>
    <w:rsid w:val="00023311"/>
    <w:rsid w:val="000241CB"/>
    <w:rsid w:val="000244BD"/>
    <w:rsid w:val="00024825"/>
    <w:rsid w:val="000254EC"/>
    <w:rsid w:val="00026DC4"/>
    <w:rsid w:val="00026DE1"/>
    <w:rsid w:val="000307DD"/>
    <w:rsid w:val="00030CC6"/>
    <w:rsid w:val="00031769"/>
    <w:rsid w:val="00031FF9"/>
    <w:rsid w:val="000325CB"/>
    <w:rsid w:val="00032A03"/>
    <w:rsid w:val="00032E5C"/>
    <w:rsid w:val="000338A8"/>
    <w:rsid w:val="00033BDD"/>
    <w:rsid w:val="00034FC1"/>
    <w:rsid w:val="00035897"/>
    <w:rsid w:val="00035EDB"/>
    <w:rsid w:val="00036397"/>
    <w:rsid w:val="00036B82"/>
    <w:rsid w:val="000400E1"/>
    <w:rsid w:val="000414DE"/>
    <w:rsid w:val="00041B4F"/>
    <w:rsid w:val="000428EE"/>
    <w:rsid w:val="0004307F"/>
    <w:rsid w:val="00044510"/>
    <w:rsid w:val="00044ECA"/>
    <w:rsid w:val="000452D4"/>
    <w:rsid w:val="0004538E"/>
    <w:rsid w:val="000453A0"/>
    <w:rsid w:val="000455C9"/>
    <w:rsid w:val="00045FCD"/>
    <w:rsid w:val="000465E7"/>
    <w:rsid w:val="00046A19"/>
    <w:rsid w:val="00046F3C"/>
    <w:rsid w:val="00047166"/>
    <w:rsid w:val="00050CB7"/>
    <w:rsid w:val="00050F6A"/>
    <w:rsid w:val="00051237"/>
    <w:rsid w:val="00052301"/>
    <w:rsid w:val="0005259E"/>
    <w:rsid w:val="000546D7"/>
    <w:rsid w:val="00054F67"/>
    <w:rsid w:val="0005511A"/>
    <w:rsid w:val="000554DE"/>
    <w:rsid w:val="00055703"/>
    <w:rsid w:val="00056014"/>
    <w:rsid w:val="00057541"/>
    <w:rsid w:val="000579D8"/>
    <w:rsid w:val="00057E18"/>
    <w:rsid w:val="000604B6"/>
    <w:rsid w:val="00061034"/>
    <w:rsid w:val="0006164A"/>
    <w:rsid w:val="0006167C"/>
    <w:rsid w:val="000619CF"/>
    <w:rsid w:val="0006216B"/>
    <w:rsid w:val="000626D1"/>
    <w:rsid w:val="00062A46"/>
    <w:rsid w:val="00062F8C"/>
    <w:rsid w:val="00063183"/>
    <w:rsid w:val="000632C7"/>
    <w:rsid w:val="000632D4"/>
    <w:rsid w:val="00063389"/>
    <w:rsid w:val="00063C1A"/>
    <w:rsid w:val="000644AD"/>
    <w:rsid w:val="00065357"/>
    <w:rsid w:val="00065484"/>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2EF9"/>
    <w:rsid w:val="00073388"/>
    <w:rsid w:val="00073BF0"/>
    <w:rsid w:val="0007405C"/>
    <w:rsid w:val="00074655"/>
    <w:rsid w:val="00075C68"/>
    <w:rsid w:val="00077F09"/>
    <w:rsid w:val="0008012E"/>
    <w:rsid w:val="00080C7F"/>
    <w:rsid w:val="00080FC3"/>
    <w:rsid w:val="000810B0"/>
    <w:rsid w:val="0008131F"/>
    <w:rsid w:val="00081CB5"/>
    <w:rsid w:val="000825BD"/>
    <w:rsid w:val="000828FC"/>
    <w:rsid w:val="00082B0C"/>
    <w:rsid w:val="00082CB5"/>
    <w:rsid w:val="000830A6"/>
    <w:rsid w:val="00083143"/>
    <w:rsid w:val="000835AD"/>
    <w:rsid w:val="000839FD"/>
    <w:rsid w:val="00083A84"/>
    <w:rsid w:val="000841D3"/>
    <w:rsid w:val="00084246"/>
    <w:rsid w:val="000844CA"/>
    <w:rsid w:val="00084886"/>
    <w:rsid w:val="00085648"/>
    <w:rsid w:val="000857F9"/>
    <w:rsid w:val="00085C5A"/>
    <w:rsid w:val="00086A3D"/>
    <w:rsid w:val="00086EB2"/>
    <w:rsid w:val="0008787B"/>
    <w:rsid w:val="00087C72"/>
    <w:rsid w:val="00087CE1"/>
    <w:rsid w:val="00090577"/>
    <w:rsid w:val="00093C79"/>
    <w:rsid w:val="00093CA8"/>
    <w:rsid w:val="00093D70"/>
    <w:rsid w:val="00094015"/>
    <w:rsid w:val="00094971"/>
    <w:rsid w:val="00094EE2"/>
    <w:rsid w:val="00096D2D"/>
    <w:rsid w:val="00096DB1"/>
    <w:rsid w:val="00097148"/>
    <w:rsid w:val="00097D2F"/>
    <w:rsid w:val="000A0B21"/>
    <w:rsid w:val="000A1450"/>
    <w:rsid w:val="000A26B5"/>
    <w:rsid w:val="000A2A3D"/>
    <w:rsid w:val="000A2B51"/>
    <w:rsid w:val="000A3691"/>
    <w:rsid w:val="000A572C"/>
    <w:rsid w:val="000A5B82"/>
    <w:rsid w:val="000A5EAA"/>
    <w:rsid w:val="000A6695"/>
    <w:rsid w:val="000A6F6B"/>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0C19"/>
    <w:rsid w:val="000C1848"/>
    <w:rsid w:val="000C30BD"/>
    <w:rsid w:val="000C32FA"/>
    <w:rsid w:val="000C37A0"/>
    <w:rsid w:val="000C437C"/>
    <w:rsid w:val="000C4765"/>
    <w:rsid w:val="000C4D0E"/>
    <w:rsid w:val="000C5E23"/>
    <w:rsid w:val="000C6273"/>
    <w:rsid w:val="000C773C"/>
    <w:rsid w:val="000C7838"/>
    <w:rsid w:val="000C7A7D"/>
    <w:rsid w:val="000C7BD3"/>
    <w:rsid w:val="000C7E95"/>
    <w:rsid w:val="000C7FC1"/>
    <w:rsid w:val="000D06DF"/>
    <w:rsid w:val="000D0FE1"/>
    <w:rsid w:val="000D10B8"/>
    <w:rsid w:val="000D22E0"/>
    <w:rsid w:val="000D24E0"/>
    <w:rsid w:val="000D2B02"/>
    <w:rsid w:val="000D31CF"/>
    <w:rsid w:val="000D32D8"/>
    <w:rsid w:val="000D3368"/>
    <w:rsid w:val="000D3E33"/>
    <w:rsid w:val="000D3ED1"/>
    <w:rsid w:val="000D4173"/>
    <w:rsid w:val="000D4770"/>
    <w:rsid w:val="000D50FE"/>
    <w:rsid w:val="000D548C"/>
    <w:rsid w:val="000D5813"/>
    <w:rsid w:val="000D6252"/>
    <w:rsid w:val="000D7639"/>
    <w:rsid w:val="000E08F0"/>
    <w:rsid w:val="000E0EFD"/>
    <w:rsid w:val="000E13F1"/>
    <w:rsid w:val="000E15F2"/>
    <w:rsid w:val="000E1A96"/>
    <w:rsid w:val="000E27E1"/>
    <w:rsid w:val="000E28BA"/>
    <w:rsid w:val="000E2D56"/>
    <w:rsid w:val="000E3AB7"/>
    <w:rsid w:val="000E5161"/>
    <w:rsid w:val="000E53A8"/>
    <w:rsid w:val="000E5CD8"/>
    <w:rsid w:val="000E5FA8"/>
    <w:rsid w:val="000E5FBC"/>
    <w:rsid w:val="000E6950"/>
    <w:rsid w:val="000E6A44"/>
    <w:rsid w:val="000E6C52"/>
    <w:rsid w:val="000E70ED"/>
    <w:rsid w:val="000E7BDD"/>
    <w:rsid w:val="000F0275"/>
    <w:rsid w:val="000F16CD"/>
    <w:rsid w:val="000F2832"/>
    <w:rsid w:val="000F39F0"/>
    <w:rsid w:val="000F538F"/>
    <w:rsid w:val="000F5573"/>
    <w:rsid w:val="000F57EC"/>
    <w:rsid w:val="000F5AF5"/>
    <w:rsid w:val="000F6452"/>
    <w:rsid w:val="000F6522"/>
    <w:rsid w:val="000F65D5"/>
    <w:rsid w:val="000F669E"/>
    <w:rsid w:val="000F673A"/>
    <w:rsid w:val="000F6B70"/>
    <w:rsid w:val="000F7AAD"/>
    <w:rsid w:val="000F7C05"/>
    <w:rsid w:val="00100B83"/>
    <w:rsid w:val="00100D88"/>
    <w:rsid w:val="001013BE"/>
    <w:rsid w:val="0010175E"/>
    <w:rsid w:val="0010229F"/>
    <w:rsid w:val="00102540"/>
    <w:rsid w:val="00102662"/>
    <w:rsid w:val="00103340"/>
    <w:rsid w:val="00103674"/>
    <w:rsid w:val="001038E8"/>
    <w:rsid w:val="00104446"/>
    <w:rsid w:val="00104AB1"/>
    <w:rsid w:val="00104B71"/>
    <w:rsid w:val="00105EB4"/>
    <w:rsid w:val="001068FF"/>
    <w:rsid w:val="00106D1C"/>
    <w:rsid w:val="001076EC"/>
    <w:rsid w:val="00107A6D"/>
    <w:rsid w:val="00107AE6"/>
    <w:rsid w:val="001104DC"/>
    <w:rsid w:val="00110681"/>
    <w:rsid w:val="001117C9"/>
    <w:rsid w:val="00112402"/>
    <w:rsid w:val="00112A58"/>
    <w:rsid w:val="00112BE9"/>
    <w:rsid w:val="001164A1"/>
    <w:rsid w:val="00116A44"/>
    <w:rsid w:val="00117DB7"/>
    <w:rsid w:val="00120984"/>
    <w:rsid w:val="00121BA8"/>
    <w:rsid w:val="00121D80"/>
    <w:rsid w:val="001221D8"/>
    <w:rsid w:val="001222CD"/>
    <w:rsid w:val="0012260D"/>
    <w:rsid w:val="00122C75"/>
    <w:rsid w:val="0012437A"/>
    <w:rsid w:val="001247FB"/>
    <w:rsid w:val="00125637"/>
    <w:rsid w:val="0012606A"/>
    <w:rsid w:val="00131637"/>
    <w:rsid w:val="00131691"/>
    <w:rsid w:val="00131DEA"/>
    <w:rsid w:val="001321AD"/>
    <w:rsid w:val="00132299"/>
    <w:rsid w:val="00132D4A"/>
    <w:rsid w:val="00133177"/>
    <w:rsid w:val="00133D2E"/>
    <w:rsid w:val="00136344"/>
    <w:rsid w:val="00136AB9"/>
    <w:rsid w:val="00137C36"/>
    <w:rsid w:val="00137C57"/>
    <w:rsid w:val="00140AEC"/>
    <w:rsid w:val="00140FBA"/>
    <w:rsid w:val="0014142B"/>
    <w:rsid w:val="00141596"/>
    <w:rsid w:val="00142D4E"/>
    <w:rsid w:val="00142F84"/>
    <w:rsid w:val="001436D7"/>
    <w:rsid w:val="00143CCA"/>
    <w:rsid w:val="0014430F"/>
    <w:rsid w:val="00144539"/>
    <w:rsid w:val="00144A9A"/>
    <w:rsid w:val="00144F7B"/>
    <w:rsid w:val="00145600"/>
    <w:rsid w:val="001470A8"/>
    <w:rsid w:val="0015037C"/>
    <w:rsid w:val="0015103A"/>
    <w:rsid w:val="00151391"/>
    <w:rsid w:val="0015197A"/>
    <w:rsid w:val="00152216"/>
    <w:rsid w:val="001525F6"/>
    <w:rsid w:val="00153463"/>
    <w:rsid w:val="00153918"/>
    <w:rsid w:val="00153E4A"/>
    <w:rsid w:val="0015482A"/>
    <w:rsid w:val="001548C8"/>
    <w:rsid w:val="00154EFF"/>
    <w:rsid w:val="00155133"/>
    <w:rsid w:val="0015560A"/>
    <w:rsid w:val="00156C74"/>
    <w:rsid w:val="00156D5D"/>
    <w:rsid w:val="00157050"/>
    <w:rsid w:val="0016076D"/>
    <w:rsid w:val="00160B8E"/>
    <w:rsid w:val="001615D3"/>
    <w:rsid w:val="001620D8"/>
    <w:rsid w:val="00162816"/>
    <w:rsid w:val="00162A43"/>
    <w:rsid w:val="00162A99"/>
    <w:rsid w:val="001630E8"/>
    <w:rsid w:val="00163269"/>
    <w:rsid w:val="00163587"/>
    <w:rsid w:val="00165C22"/>
    <w:rsid w:val="00165D77"/>
    <w:rsid w:val="00166123"/>
    <w:rsid w:val="00166563"/>
    <w:rsid w:val="00166A2E"/>
    <w:rsid w:val="00166EF1"/>
    <w:rsid w:val="001673A4"/>
    <w:rsid w:val="001678BF"/>
    <w:rsid w:val="00167AE9"/>
    <w:rsid w:val="00167B15"/>
    <w:rsid w:val="00170241"/>
    <w:rsid w:val="00170AA0"/>
    <w:rsid w:val="0017156F"/>
    <w:rsid w:val="00171AB1"/>
    <w:rsid w:val="0017269B"/>
    <w:rsid w:val="00172D4E"/>
    <w:rsid w:val="00172EF5"/>
    <w:rsid w:val="00173C36"/>
    <w:rsid w:val="00173F4E"/>
    <w:rsid w:val="001743F7"/>
    <w:rsid w:val="00175130"/>
    <w:rsid w:val="00175814"/>
    <w:rsid w:val="00175D67"/>
    <w:rsid w:val="00176375"/>
    <w:rsid w:val="00176E80"/>
    <w:rsid w:val="001770F6"/>
    <w:rsid w:val="001810EF"/>
    <w:rsid w:val="00181803"/>
    <w:rsid w:val="00182887"/>
    <w:rsid w:val="00183726"/>
    <w:rsid w:val="00186F96"/>
    <w:rsid w:val="00187132"/>
    <w:rsid w:val="00187264"/>
    <w:rsid w:val="0018733C"/>
    <w:rsid w:val="00187BB6"/>
    <w:rsid w:val="00190BDB"/>
    <w:rsid w:val="00193516"/>
    <w:rsid w:val="00193C9B"/>
    <w:rsid w:val="001948FD"/>
    <w:rsid w:val="00195A02"/>
    <w:rsid w:val="001978A9"/>
    <w:rsid w:val="00197BBB"/>
    <w:rsid w:val="00197DCB"/>
    <w:rsid w:val="001A0F7C"/>
    <w:rsid w:val="001A185D"/>
    <w:rsid w:val="001A1AF1"/>
    <w:rsid w:val="001A3213"/>
    <w:rsid w:val="001A3B07"/>
    <w:rsid w:val="001A3C52"/>
    <w:rsid w:val="001A3F6F"/>
    <w:rsid w:val="001A3FF4"/>
    <w:rsid w:val="001A6426"/>
    <w:rsid w:val="001A710C"/>
    <w:rsid w:val="001A79AA"/>
    <w:rsid w:val="001A7E86"/>
    <w:rsid w:val="001A7F97"/>
    <w:rsid w:val="001B05C7"/>
    <w:rsid w:val="001B0A30"/>
    <w:rsid w:val="001B0C89"/>
    <w:rsid w:val="001B1276"/>
    <w:rsid w:val="001B28F2"/>
    <w:rsid w:val="001B2E4B"/>
    <w:rsid w:val="001B40F7"/>
    <w:rsid w:val="001B4287"/>
    <w:rsid w:val="001B4D51"/>
    <w:rsid w:val="001B53BA"/>
    <w:rsid w:val="001B58C7"/>
    <w:rsid w:val="001B5AF3"/>
    <w:rsid w:val="001B6A00"/>
    <w:rsid w:val="001B7AE0"/>
    <w:rsid w:val="001B7BE8"/>
    <w:rsid w:val="001C1A65"/>
    <w:rsid w:val="001C2147"/>
    <w:rsid w:val="001C240D"/>
    <w:rsid w:val="001C2904"/>
    <w:rsid w:val="001C2AD6"/>
    <w:rsid w:val="001C36F2"/>
    <w:rsid w:val="001C3783"/>
    <w:rsid w:val="001C4230"/>
    <w:rsid w:val="001C47F7"/>
    <w:rsid w:val="001C6F46"/>
    <w:rsid w:val="001C724E"/>
    <w:rsid w:val="001C7548"/>
    <w:rsid w:val="001C7589"/>
    <w:rsid w:val="001C7C7B"/>
    <w:rsid w:val="001D0BB3"/>
    <w:rsid w:val="001D187A"/>
    <w:rsid w:val="001D1A58"/>
    <w:rsid w:val="001D28CD"/>
    <w:rsid w:val="001D3B57"/>
    <w:rsid w:val="001D41FA"/>
    <w:rsid w:val="001D48E5"/>
    <w:rsid w:val="001D491D"/>
    <w:rsid w:val="001D6B10"/>
    <w:rsid w:val="001D6B59"/>
    <w:rsid w:val="001D796D"/>
    <w:rsid w:val="001E0814"/>
    <w:rsid w:val="001E098D"/>
    <w:rsid w:val="001E11B6"/>
    <w:rsid w:val="001E1BE1"/>
    <w:rsid w:val="001E23CE"/>
    <w:rsid w:val="001E2BFE"/>
    <w:rsid w:val="001E3B7F"/>
    <w:rsid w:val="001E3C2E"/>
    <w:rsid w:val="001E5FCD"/>
    <w:rsid w:val="001E60E4"/>
    <w:rsid w:val="001E6D7A"/>
    <w:rsid w:val="001E7773"/>
    <w:rsid w:val="001F10A4"/>
    <w:rsid w:val="001F135B"/>
    <w:rsid w:val="001F1843"/>
    <w:rsid w:val="001F1894"/>
    <w:rsid w:val="001F1905"/>
    <w:rsid w:val="001F264F"/>
    <w:rsid w:val="001F3909"/>
    <w:rsid w:val="001F4C54"/>
    <w:rsid w:val="001F50E5"/>
    <w:rsid w:val="001F55C2"/>
    <w:rsid w:val="001F6667"/>
    <w:rsid w:val="001F6E4B"/>
    <w:rsid w:val="001F72CF"/>
    <w:rsid w:val="001F769D"/>
    <w:rsid w:val="001F791E"/>
    <w:rsid w:val="001F7C62"/>
    <w:rsid w:val="00200231"/>
    <w:rsid w:val="002002F0"/>
    <w:rsid w:val="0020070F"/>
    <w:rsid w:val="00201BC2"/>
    <w:rsid w:val="00202904"/>
    <w:rsid w:val="002030C9"/>
    <w:rsid w:val="00203152"/>
    <w:rsid w:val="00203D3E"/>
    <w:rsid w:val="00204364"/>
    <w:rsid w:val="002043B6"/>
    <w:rsid w:val="00205C26"/>
    <w:rsid w:val="002060C2"/>
    <w:rsid w:val="002064DC"/>
    <w:rsid w:val="002070DE"/>
    <w:rsid w:val="002073FC"/>
    <w:rsid w:val="002103A7"/>
    <w:rsid w:val="00210606"/>
    <w:rsid w:val="00210E34"/>
    <w:rsid w:val="00210ECF"/>
    <w:rsid w:val="00211CDF"/>
    <w:rsid w:val="00211DFF"/>
    <w:rsid w:val="0021207C"/>
    <w:rsid w:val="00212CF9"/>
    <w:rsid w:val="00212EC0"/>
    <w:rsid w:val="002134FD"/>
    <w:rsid w:val="002147D2"/>
    <w:rsid w:val="00214C32"/>
    <w:rsid w:val="00215932"/>
    <w:rsid w:val="002167C0"/>
    <w:rsid w:val="00216C86"/>
    <w:rsid w:val="002206B2"/>
    <w:rsid w:val="00221D1A"/>
    <w:rsid w:val="00221DD0"/>
    <w:rsid w:val="002222F8"/>
    <w:rsid w:val="00222D26"/>
    <w:rsid w:val="00222E4B"/>
    <w:rsid w:val="00222EB0"/>
    <w:rsid w:val="0022396D"/>
    <w:rsid w:val="00224F37"/>
    <w:rsid w:val="00225437"/>
    <w:rsid w:val="00225828"/>
    <w:rsid w:val="0022632E"/>
    <w:rsid w:val="002267AE"/>
    <w:rsid w:val="002271D1"/>
    <w:rsid w:val="00230160"/>
    <w:rsid w:val="00231BB0"/>
    <w:rsid w:val="0023212D"/>
    <w:rsid w:val="00233564"/>
    <w:rsid w:val="002336A2"/>
    <w:rsid w:val="002340DD"/>
    <w:rsid w:val="002354FB"/>
    <w:rsid w:val="002355D6"/>
    <w:rsid w:val="0023578D"/>
    <w:rsid w:val="002359A2"/>
    <w:rsid w:val="00235AC7"/>
    <w:rsid w:val="00235D14"/>
    <w:rsid w:val="00235DFB"/>
    <w:rsid w:val="00235FFA"/>
    <w:rsid w:val="002368CE"/>
    <w:rsid w:val="00236B96"/>
    <w:rsid w:val="00236EA0"/>
    <w:rsid w:val="002376C9"/>
    <w:rsid w:val="00240397"/>
    <w:rsid w:val="00240938"/>
    <w:rsid w:val="002409FE"/>
    <w:rsid w:val="00240B0C"/>
    <w:rsid w:val="002414A1"/>
    <w:rsid w:val="002414EC"/>
    <w:rsid w:val="00242F4C"/>
    <w:rsid w:val="00243399"/>
    <w:rsid w:val="002434B5"/>
    <w:rsid w:val="00244490"/>
    <w:rsid w:val="00244B3A"/>
    <w:rsid w:val="00245046"/>
    <w:rsid w:val="00245141"/>
    <w:rsid w:val="00245589"/>
    <w:rsid w:val="00246B06"/>
    <w:rsid w:val="0025051A"/>
    <w:rsid w:val="00250E5A"/>
    <w:rsid w:val="00250EE1"/>
    <w:rsid w:val="00250F03"/>
    <w:rsid w:val="00254CAE"/>
    <w:rsid w:val="00254D09"/>
    <w:rsid w:val="002559C2"/>
    <w:rsid w:val="00256570"/>
    <w:rsid w:val="00256948"/>
    <w:rsid w:val="00257C61"/>
    <w:rsid w:val="002605D8"/>
    <w:rsid w:val="002614CE"/>
    <w:rsid w:val="00262091"/>
    <w:rsid w:val="00262CED"/>
    <w:rsid w:val="00262CF3"/>
    <w:rsid w:val="00263042"/>
    <w:rsid w:val="0026386B"/>
    <w:rsid w:val="00263D1E"/>
    <w:rsid w:val="0026539C"/>
    <w:rsid w:val="002665F3"/>
    <w:rsid w:val="00267B7B"/>
    <w:rsid w:val="00270005"/>
    <w:rsid w:val="00271A63"/>
    <w:rsid w:val="00272FC9"/>
    <w:rsid w:val="002735B4"/>
    <w:rsid w:val="0027422A"/>
    <w:rsid w:val="00276901"/>
    <w:rsid w:val="0027699D"/>
    <w:rsid w:val="00276D35"/>
    <w:rsid w:val="002773FB"/>
    <w:rsid w:val="00277987"/>
    <w:rsid w:val="00277BCF"/>
    <w:rsid w:val="00277D51"/>
    <w:rsid w:val="0028042C"/>
    <w:rsid w:val="00280893"/>
    <w:rsid w:val="002826E1"/>
    <w:rsid w:val="00282701"/>
    <w:rsid w:val="00282C71"/>
    <w:rsid w:val="00282F78"/>
    <w:rsid w:val="002831B7"/>
    <w:rsid w:val="00283404"/>
    <w:rsid w:val="002842C3"/>
    <w:rsid w:val="00287194"/>
    <w:rsid w:val="00290A49"/>
    <w:rsid w:val="00292DE9"/>
    <w:rsid w:val="00292E0F"/>
    <w:rsid w:val="00293493"/>
    <w:rsid w:val="00293537"/>
    <w:rsid w:val="00294D73"/>
    <w:rsid w:val="0029520A"/>
    <w:rsid w:val="002959E6"/>
    <w:rsid w:val="00295A6E"/>
    <w:rsid w:val="002963BE"/>
    <w:rsid w:val="00296616"/>
    <w:rsid w:val="002973DE"/>
    <w:rsid w:val="00297944"/>
    <w:rsid w:val="00297DBB"/>
    <w:rsid w:val="00297EBB"/>
    <w:rsid w:val="002A02FE"/>
    <w:rsid w:val="002A13EC"/>
    <w:rsid w:val="002A1F49"/>
    <w:rsid w:val="002A25BA"/>
    <w:rsid w:val="002A2C71"/>
    <w:rsid w:val="002A3C73"/>
    <w:rsid w:val="002A499C"/>
    <w:rsid w:val="002A49C8"/>
    <w:rsid w:val="002A4AD2"/>
    <w:rsid w:val="002A58A5"/>
    <w:rsid w:val="002A5C6D"/>
    <w:rsid w:val="002A66C9"/>
    <w:rsid w:val="002A6BFB"/>
    <w:rsid w:val="002A705E"/>
    <w:rsid w:val="002A70C8"/>
    <w:rsid w:val="002A7C93"/>
    <w:rsid w:val="002B0820"/>
    <w:rsid w:val="002B09E8"/>
    <w:rsid w:val="002B1BFB"/>
    <w:rsid w:val="002B1EB2"/>
    <w:rsid w:val="002B21AA"/>
    <w:rsid w:val="002B24B1"/>
    <w:rsid w:val="002B2D01"/>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2572"/>
    <w:rsid w:val="002C31AA"/>
    <w:rsid w:val="002C3763"/>
    <w:rsid w:val="002C3C60"/>
    <w:rsid w:val="002C3E34"/>
    <w:rsid w:val="002C3FE6"/>
    <w:rsid w:val="002C4445"/>
    <w:rsid w:val="002C4AD5"/>
    <w:rsid w:val="002C5C09"/>
    <w:rsid w:val="002C63FE"/>
    <w:rsid w:val="002C790A"/>
    <w:rsid w:val="002C7CE3"/>
    <w:rsid w:val="002D003B"/>
    <w:rsid w:val="002D01EB"/>
    <w:rsid w:val="002D1C20"/>
    <w:rsid w:val="002D237A"/>
    <w:rsid w:val="002D2451"/>
    <w:rsid w:val="002D2E17"/>
    <w:rsid w:val="002D2F2C"/>
    <w:rsid w:val="002D2FCE"/>
    <w:rsid w:val="002D3A55"/>
    <w:rsid w:val="002D3B40"/>
    <w:rsid w:val="002D475F"/>
    <w:rsid w:val="002D4B0D"/>
    <w:rsid w:val="002D507C"/>
    <w:rsid w:val="002D533C"/>
    <w:rsid w:val="002D5770"/>
    <w:rsid w:val="002D63D1"/>
    <w:rsid w:val="002D7627"/>
    <w:rsid w:val="002D76D7"/>
    <w:rsid w:val="002D7942"/>
    <w:rsid w:val="002E1C2E"/>
    <w:rsid w:val="002E1D00"/>
    <w:rsid w:val="002E25FC"/>
    <w:rsid w:val="002E2745"/>
    <w:rsid w:val="002E2750"/>
    <w:rsid w:val="002E2C63"/>
    <w:rsid w:val="002E2EEC"/>
    <w:rsid w:val="002E458A"/>
    <w:rsid w:val="002E5597"/>
    <w:rsid w:val="002E5A06"/>
    <w:rsid w:val="002E5A38"/>
    <w:rsid w:val="002E5CCE"/>
    <w:rsid w:val="002E6630"/>
    <w:rsid w:val="002E6F78"/>
    <w:rsid w:val="002F12D2"/>
    <w:rsid w:val="002F1971"/>
    <w:rsid w:val="002F1AEE"/>
    <w:rsid w:val="002F1C12"/>
    <w:rsid w:val="002F1FD4"/>
    <w:rsid w:val="002F22B0"/>
    <w:rsid w:val="002F3010"/>
    <w:rsid w:val="002F4C5F"/>
    <w:rsid w:val="002F5F23"/>
    <w:rsid w:val="002F6197"/>
    <w:rsid w:val="002F6D8F"/>
    <w:rsid w:val="002F706D"/>
    <w:rsid w:val="002F7B18"/>
    <w:rsid w:val="003021E3"/>
    <w:rsid w:val="00302868"/>
    <w:rsid w:val="00303125"/>
    <w:rsid w:val="003032CD"/>
    <w:rsid w:val="00303AC5"/>
    <w:rsid w:val="00304294"/>
    <w:rsid w:val="0030496B"/>
    <w:rsid w:val="00304D22"/>
    <w:rsid w:val="00305795"/>
    <w:rsid w:val="00305A40"/>
    <w:rsid w:val="00305B51"/>
    <w:rsid w:val="003063F4"/>
    <w:rsid w:val="00307875"/>
    <w:rsid w:val="003104B6"/>
    <w:rsid w:val="00310843"/>
    <w:rsid w:val="00310D0E"/>
    <w:rsid w:val="00310E11"/>
    <w:rsid w:val="003111BA"/>
    <w:rsid w:val="00312DF3"/>
    <w:rsid w:val="00312FF9"/>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2EBF"/>
    <w:rsid w:val="003231FB"/>
    <w:rsid w:val="00324D54"/>
    <w:rsid w:val="003253F9"/>
    <w:rsid w:val="00325C0C"/>
    <w:rsid w:val="003261C7"/>
    <w:rsid w:val="00326371"/>
    <w:rsid w:val="003263E5"/>
    <w:rsid w:val="00326C49"/>
    <w:rsid w:val="00326F72"/>
    <w:rsid w:val="003270F3"/>
    <w:rsid w:val="003272BE"/>
    <w:rsid w:val="00327BB3"/>
    <w:rsid w:val="00327CC2"/>
    <w:rsid w:val="00327F57"/>
    <w:rsid w:val="0033034E"/>
    <w:rsid w:val="003319C4"/>
    <w:rsid w:val="00332000"/>
    <w:rsid w:val="00332358"/>
    <w:rsid w:val="00333F17"/>
    <w:rsid w:val="00334879"/>
    <w:rsid w:val="00335C66"/>
    <w:rsid w:val="00335D3D"/>
    <w:rsid w:val="00337121"/>
    <w:rsid w:val="0033788F"/>
    <w:rsid w:val="00337C15"/>
    <w:rsid w:val="00340A38"/>
    <w:rsid w:val="00342343"/>
    <w:rsid w:val="00342623"/>
    <w:rsid w:val="0034276B"/>
    <w:rsid w:val="003433F5"/>
    <w:rsid w:val="003438EC"/>
    <w:rsid w:val="00344292"/>
    <w:rsid w:val="00344B17"/>
    <w:rsid w:val="0034536B"/>
    <w:rsid w:val="00345E78"/>
    <w:rsid w:val="00346987"/>
    <w:rsid w:val="0034733B"/>
    <w:rsid w:val="0035029F"/>
    <w:rsid w:val="003509DE"/>
    <w:rsid w:val="00351CF0"/>
    <w:rsid w:val="00351F11"/>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2927"/>
    <w:rsid w:val="0036302F"/>
    <w:rsid w:val="00363313"/>
    <w:rsid w:val="003636D3"/>
    <w:rsid w:val="00363C10"/>
    <w:rsid w:val="0036423A"/>
    <w:rsid w:val="00364C9B"/>
    <w:rsid w:val="003654B8"/>
    <w:rsid w:val="0036655B"/>
    <w:rsid w:val="00366EFA"/>
    <w:rsid w:val="0036778D"/>
    <w:rsid w:val="00367A88"/>
    <w:rsid w:val="00370139"/>
    <w:rsid w:val="00371252"/>
    <w:rsid w:val="00371C30"/>
    <w:rsid w:val="00371DC0"/>
    <w:rsid w:val="00372122"/>
    <w:rsid w:val="00372C33"/>
    <w:rsid w:val="00372C99"/>
    <w:rsid w:val="00373571"/>
    <w:rsid w:val="00375309"/>
    <w:rsid w:val="00375E42"/>
    <w:rsid w:val="00375FFA"/>
    <w:rsid w:val="00376D20"/>
    <w:rsid w:val="00376E14"/>
    <w:rsid w:val="00377007"/>
    <w:rsid w:val="0037726E"/>
    <w:rsid w:val="003807C3"/>
    <w:rsid w:val="00380AFF"/>
    <w:rsid w:val="00380B04"/>
    <w:rsid w:val="003810BC"/>
    <w:rsid w:val="00381B81"/>
    <w:rsid w:val="003828A9"/>
    <w:rsid w:val="00382B0B"/>
    <w:rsid w:val="00382CB8"/>
    <w:rsid w:val="00382F72"/>
    <w:rsid w:val="003833DF"/>
    <w:rsid w:val="0038440D"/>
    <w:rsid w:val="0038485E"/>
    <w:rsid w:val="00385978"/>
    <w:rsid w:val="00386EEA"/>
    <w:rsid w:val="0038781C"/>
    <w:rsid w:val="00387E6A"/>
    <w:rsid w:val="00390403"/>
    <w:rsid w:val="00391324"/>
    <w:rsid w:val="003914AF"/>
    <w:rsid w:val="00391E4A"/>
    <w:rsid w:val="00393223"/>
    <w:rsid w:val="00393236"/>
    <w:rsid w:val="003935F8"/>
    <w:rsid w:val="00393A0A"/>
    <w:rsid w:val="00393A53"/>
    <w:rsid w:val="00393C53"/>
    <w:rsid w:val="00394349"/>
    <w:rsid w:val="003944BA"/>
    <w:rsid w:val="00394728"/>
    <w:rsid w:val="00394A6A"/>
    <w:rsid w:val="00394DFD"/>
    <w:rsid w:val="003953BF"/>
    <w:rsid w:val="00396F40"/>
    <w:rsid w:val="003978E4"/>
    <w:rsid w:val="00397A29"/>
    <w:rsid w:val="00397D07"/>
    <w:rsid w:val="003A0429"/>
    <w:rsid w:val="003A0BA7"/>
    <w:rsid w:val="003A0E44"/>
    <w:rsid w:val="003A1273"/>
    <w:rsid w:val="003A12F0"/>
    <w:rsid w:val="003A13F8"/>
    <w:rsid w:val="003A225A"/>
    <w:rsid w:val="003A24EB"/>
    <w:rsid w:val="003A3571"/>
    <w:rsid w:val="003A37E4"/>
    <w:rsid w:val="003A40B1"/>
    <w:rsid w:val="003A42DE"/>
    <w:rsid w:val="003A540A"/>
    <w:rsid w:val="003A55E8"/>
    <w:rsid w:val="003A578C"/>
    <w:rsid w:val="003A5A89"/>
    <w:rsid w:val="003A5BE7"/>
    <w:rsid w:val="003A68D7"/>
    <w:rsid w:val="003B0E14"/>
    <w:rsid w:val="003B1075"/>
    <w:rsid w:val="003B2883"/>
    <w:rsid w:val="003B2D16"/>
    <w:rsid w:val="003B2EE6"/>
    <w:rsid w:val="003B2FFD"/>
    <w:rsid w:val="003B3E06"/>
    <w:rsid w:val="003B40B2"/>
    <w:rsid w:val="003B4259"/>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500"/>
    <w:rsid w:val="003C660B"/>
    <w:rsid w:val="003C6840"/>
    <w:rsid w:val="003C6EA3"/>
    <w:rsid w:val="003C6FEC"/>
    <w:rsid w:val="003C7800"/>
    <w:rsid w:val="003C7C97"/>
    <w:rsid w:val="003D002A"/>
    <w:rsid w:val="003D11C4"/>
    <w:rsid w:val="003D1558"/>
    <w:rsid w:val="003D1DCF"/>
    <w:rsid w:val="003D30CF"/>
    <w:rsid w:val="003D4CBA"/>
    <w:rsid w:val="003D4E80"/>
    <w:rsid w:val="003D53AE"/>
    <w:rsid w:val="003D5B6E"/>
    <w:rsid w:val="003D5B93"/>
    <w:rsid w:val="003D5CCE"/>
    <w:rsid w:val="003D6A8F"/>
    <w:rsid w:val="003D6E9C"/>
    <w:rsid w:val="003D6EAF"/>
    <w:rsid w:val="003D7081"/>
    <w:rsid w:val="003D78C0"/>
    <w:rsid w:val="003E01E1"/>
    <w:rsid w:val="003E0226"/>
    <w:rsid w:val="003E0BCC"/>
    <w:rsid w:val="003E153E"/>
    <w:rsid w:val="003E2664"/>
    <w:rsid w:val="003E4B52"/>
    <w:rsid w:val="003E5052"/>
    <w:rsid w:val="003E5A6E"/>
    <w:rsid w:val="003E64E8"/>
    <w:rsid w:val="003E67B6"/>
    <w:rsid w:val="003E70E4"/>
    <w:rsid w:val="003F01D0"/>
    <w:rsid w:val="003F0376"/>
    <w:rsid w:val="003F046A"/>
    <w:rsid w:val="003F091A"/>
    <w:rsid w:val="003F1390"/>
    <w:rsid w:val="003F180C"/>
    <w:rsid w:val="003F2558"/>
    <w:rsid w:val="003F34E2"/>
    <w:rsid w:val="003F4943"/>
    <w:rsid w:val="003F4F45"/>
    <w:rsid w:val="003F520E"/>
    <w:rsid w:val="003F5288"/>
    <w:rsid w:val="003F5AD7"/>
    <w:rsid w:val="003F6AE2"/>
    <w:rsid w:val="003F6C98"/>
    <w:rsid w:val="003F7190"/>
    <w:rsid w:val="00400CC5"/>
    <w:rsid w:val="00400F84"/>
    <w:rsid w:val="004012DA"/>
    <w:rsid w:val="00402F1C"/>
    <w:rsid w:val="00402FC4"/>
    <w:rsid w:val="00403E61"/>
    <w:rsid w:val="0040424A"/>
    <w:rsid w:val="0040500F"/>
    <w:rsid w:val="00405421"/>
    <w:rsid w:val="0040544A"/>
    <w:rsid w:val="0040547F"/>
    <w:rsid w:val="00406024"/>
    <w:rsid w:val="00406492"/>
    <w:rsid w:val="0040798D"/>
    <w:rsid w:val="00410D26"/>
    <w:rsid w:val="00411165"/>
    <w:rsid w:val="00411F65"/>
    <w:rsid w:val="00413A27"/>
    <w:rsid w:val="004151AA"/>
    <w:rsid w:val="004155A7"/>
    <w:rsid w:val="0041649A"/>
    <w:rsid w:val="00416A8E"/>
    <w:rsid w:val="00417926"/>
    <w:rsid w:val="00417966"/>
    <w:rsid w:val="00417B59"/>
    <w:rsid w:val="00420213"/>
    <w:rsid w:val="00420D9A"/>
    <w:rsid w:val="00421FA0"/>
    <w:rsid w:val="00422F3B"/>
    <w:rsid w:val="00423073"/>
    <w:rsid w:val="00423698"/>
    <w:rsid w:val="00423B31"/>
    <w:rsid w:val="00424155"/>
    <w:rsid w:val="004243F3"/>
    <w:rsid w:val="00424459"/>
    <w:rsid w:val="004259C2"/>
    <w:rsid w:val="00426547"/>
    <w:rsid w:val="00426FAB"/>
    <w:rsid w:val="0042746E"/>
    <w:rsid w:val="00427F0B"/>
    <w:rsid w:val="004308ED"/>
    <w:rsid w:val="00431056"/>
    <w:rsid w:val="0043137E"/>
    <w:rsid w:val="004317A0"/>
    <w:rsid w:val="00431FEB"/>
    <w:rsid w:val="0043340A"/>
    <w:rsid w:val="0043445F"/>
    <w:rsid w:val="004345BF"/>
    <w:rsid w:val="00434CF6"/>
    <w:rsid w:val="00434F22"/>
    <w:rsid w:val="00436101"/>
    <w:rsid w:val="00436BA7"/>
    <w:rsid w:val="00436D22"/>
    <w:rsid w:val="0043703D"/>
    <w:rsid w:val="00437234"/>
    <w:rsid w:val="00437FC1"/>
    <w:rsid w:val="0044027C"/>
    <w:rsid w:val="0044218B"/>
    <w:rsid w:val="00442199"/>
    <w:rsid w:val="00442453"/>
    <w:rsid w:val="0044274F"/>
    <w:rsid w:val="00442995"/>
    <w:rsid w:val="00443608"/>
    <w:rsid w:val="00443CF8"/>
    <w:rsid w:val="004440EF"/>
    <w:rsid w:val="00444547"/>
    <w:rsid w:val="00444B1F"/>
    <w:rsid w:val="00445E86"/>
    <w:rsid w:val="00446418"/>
    <w:rsid w:val="0044666C"/>
    <w:rsid w:val="00446D2B"/>
    <w:rsid w:val="00446E8B"/>
    <w:rsid w:val="0044707F"/>
    <w:rsid w:val="0045003F"/>
    <w:rsid w:val="0045097D"/>
    <w:rsid w:val="0045112C"/>
    <w:rsid w:val="004527D0"/>
    <w:rsid w:val="00452AA5"/>
    <w:rsid w:val="00453104"/>
    <w:rsid w:val="0045327A"/>
    <w:rsid w:val="004540C0"/>
    <w:rsid w:val="00454CEA"/>
    <w:rsid w:val="00454D54"/>
    <w:rsid w:val="004562A1"/>
    <w:rsid w:val="004572BC"/>
    <w:rsid w:val="004579CC"/>
    <w:rsid w:val="00457FF3"/>
    <w:rsid w:val="0046011A"/>
    <w:rsid w:val="00460AA9"/>
    <w:rsid w:val="00461408"/>
    <w:rsid w:val="0046291D"/>
    <w:rsid w:val="00463B5D"/>
    <w:rsid w:val="00463FD2"/>
    <w:rsid w:val="0046461B"/>
    <w:rsid w:val="0046472A"/>
    <w:rsid w:val="00464BF8"/>
    <w:rsid w:val="0046520E"/>
    <w:rsid w:val="00466007"/>
    <w:rsid w:val="00466C40"/>
    <w:rsid w:val="00466E57"/>
    <w:rsid w:val="00467B09"/>
    <w:rsid w:val="00470399"/>
    <w:rsid w:val="00470410"/>
    <w:rsid w:val="00470E75"/>
    <w:rsid w:val="00471167"/>
    <w:rsid w:val="00471BCA"/>
    <w:rsid w:val="00472190"/>
    <w:rsid w:val="004726B2"/>
    <w:rsid w:val="0047309B"/>
    <w:rsid w:val="00473468"/>
    <w:rsid w:val="004734B1"/>
    <w:rsid w:val="0047396E"/>
    <w:rsid w:val="00473A38"/>
    <w:rsid w:val="00473EFF"/>
    <w:rsid w:val="00474D23"/>
    <w:rsid w:val="00474F42"/>
    <w:rsid w:val="00475038"/>
    <w:rsid w:val="00475A8F"/>
    <w:rsid w:val="00476E77"/>
    <w:rsid w:val="004779C2"/>
    <w:rsid w:val="004779EE"/>
    <w:rsid w:val="00477A04"/>
    <w:rsid w:val="004801D5"/>
    <w:rsid w:val="00480E2B"/>
    <w:rsid w:val="00481636"/>
    <w:rsid w:val="00481C9F"/>
    <w:rsid w:val="00481EC0"/>
    <w:rsid w:val="0048202A"/>
    <w:rsid w:val="0048311B"/>
    <w:rsid w:val="00483310"/>
    <w:rsid w:val="004843D8"/>
    <w:rsid w:val="00484805"/>
    <w:rsid w:val="00485187"/>
    <w:rsid w:val="00485B22"/>
    <w:rsid w:val="00486541"/>
    <w:rsid w:val="004876B4"/>
    <w:rsid w:val="0048772C"/>
    <w:rsid w:val="00487DF0"/>
    <w:rsid w:val="004907C4"/>
    <w:rsid w:val="004908C1"/>
    <w:rsid w:val="00490ADD"/>
    <w:rsid w:val="00490DCC"/>
    <w:rsid w:val="004911BF"/>
    <w:rsid w:val="0049141C"/>
    <w:rsid w:val="00492754"/>
    <w:rsid w:val="0049277E"/>
    <w:rsid w:val="00492DDE"/>
    <w:rsid w:val="00493501"/>
    <w:rsid w:val="00493A55"/>
    <w:rsid w:val="00494B53"/>
    <w:rsid w:val="00495842"/>
    <w:rsid w:val="00495C06"/>
    <w:rsid w:val="004965BE"/>
    <w:rsid w:val="00496CAD"/>
    <w:rsid w:val="00497919"/>
    <w:rsid w:val="004A098C"/>
    <w:rsid w:val="004A0B94"/>
    <w:rsid w:val="004A16B6"/>
    <w:rsid w:val="004A2427"/>
    <w:rsid w:val="004A24FF"/>
    <w:rsid w:val="004A2908"/>
    <w:rsid w:val="004A3087"/>
    <w:rsid w:val="004A31BA"/>
    <w:rsid w:val="004A33CD"/>
    <w:rsid w:val="004A3A2E"/>
    <w:rsid w:val="004A3F86"/>
    <w:rsid w:val="004A4E36"/>
    <w:rsid w:val="004A5D95"/>
    <w:rsid w:val="004A6111"/>
    <w:rsid w:val="004A628F"/>
    <w:rsid w:val="004A6E36"/>
    <w:rsid w:val="004A7E20"/>
    <w:rsid w:val="004B059F"/>
    <w:rsid w:val="004B118E"/>
    <w:rsid w:val="004B1247"/>
    <w:rsid w:val="004B13D9"/>
    <w:rsid w:val="004B1F82"/>
    <w:rsid w:val="004B219A"/>
    <w:rsid w:val="004B23C9"/>
    <w:rsid w:val="004B23D8"/>
    <w:rsid w:val="004B272F"/>
    <w:rsid w:val="004B28ED"/>
    <w:rsid w:val="004B2992"/>
    <w:rsid w:val="004B2A0C"/>
    <w:rsid w:val="004B2ABE"/>
    <w:rsid w:val="004B3F62"/>
    <w:rsid w:val="004B4FEA"/>
    <w:rsid w:val="004B558A"/>
    <w:rsid w:val="004B5FF4"/>
    <w:rsid w:val="004B6478"/>
    <w:rsid w:val="004B7111"/>
    <w:rsid w:val="004B7BB1"/>
    <w:rsid w:val="004B7CC9"/>
    <w:rsid w:val="004B7EE0"/>
    <w:rsid w:val="004C1906"/>
    <w:rsid w:val="004C1E20"/>
    <w:rsid w:val="004C2F50"/>
    <w:rsid w:val="004C321B"/>
    <w:rsid w:val="004C32D1"/>
    <w:rsid w:val="004C3A86"/>
    <w:rsid w:val="004C3BF2"/>
    <w:rsid w:val="004C46FA"/>
    <w:rsid w:val="004C4976"/>
    <w:rsid w:val="004C4B32"/>
    <w:rsid w:val="004C5360"/>
    <w:rsid w:val="004C5482"/>
    <w:rsid w:val="004C7037"/>
    <w:rsid w:val="004C7220"/>
    <w:rsid w:val="004C75A8"/>
    <w:rsid w:val="004D0017"/>
    <w:rsid w:val="004D001B"/>
    <w:rsid w:val="004D011A"/>
    <w:rsid w:val="004D01BA"/>
    <w:rsid w:val="004D09AC"/>
    <w:rsid w:val="004D0B48"/>
    <w:rsid w:val="004D182D"/>
    <w:rsid w:val="004D1F25"/>
    <w:rsid w:val="004D2574"/>
    <w:rsid w:val="004D2E41"/>
    <w:rsid w:val="004D3619"/>
    <w:rsid w:val="004D4063"/>
    <w:rsid w:val="004D468B"/>
    <w:rsid w:val="004D52FE"/>
    <w:rsid w:val="004D6524"/>
    <w:rsid w:val="004D67DE"/>
    <w:rsid w:val="004D79C6"/>
    <w:rsid w:val="004E09C6"/>
    <w:rsid w:val="004E0A5E"/>
    <w:rsid w:val="004E0CFC"/>
    <w:rsid w:val="004E184A"/>
    <w:rsid w:val="004E2CB2"/>
    <w:rsid w:val="004E371C"/>
    <w:rsid w:val="004E480B"/>
    <w:rsid w:val="004E57DE"/>
    <w:rsid w:val="004E5AB1"/>
    <w:rsid w:val="004E5F7F"/>
    <w:rsid w:val="004E665D"/>
    <w:rsid w:val="004F00DD"/>
    <w:rsid w:val="004F14E2"/>
    <w:rsid w:val="004F28C7"/>
    <w:rsid w:val="004F2D47"/>
    <w:rsid w:val="004F2DAA"/>
    <w:rsid w:val="004F2ECC"/>
    <w:rsid w:val="004F4944"/>
    <w:rsid w:val="004F502F"/>
    <w:rsid w:val="004F629C"/>
    <w:rsid w:val="004F6933"/>
    <w:rsid w:val="004F723B"/>
    <w:rsid w:val="00500765"/>
    <w:rsid w:val="005018FF"/>
    <w:rsid w:val="00503394"/>
    <w:rsid w:val="00503858"/>
    <w:rsid w:val="005038F9"/>
    <w:rsid w:val="00503D2E"/>
    <w:rsid w:val="00503F7F"/>
    <w:rsid w:val="0050400F"/>
    <w:rsid w:val="00504777"/>
    <w:rsid w:val="00504B14"/>
    <w:rsid w:val="00505061"/>
    <w:rsid w:val="00505EB5"/>
    <w:rsid w:val="005062A0"/>
    <w:rsid w:val="0050760E"/>
    <w:rsid w:val="00507B8B"/>
    <w:rsid w:val="00510583"/>
    <w:rsid w:val="005107F8"/>
    <w:rsid w:val="005117EB"/>
    <w:rsid w:val="0051249A"/>
    <w:rsid w:val="00512A87"/>
    <w:rsid w:val="00512D4D"/>
    <w:rsid w:val="00512E41"/>
    <w:rsid w:val="0051345A"/>
    <w:rsid w:val="005134DA"/>
    <w:rsid w:val="00513F05"/>
    <w:rsid w:val="0051512E"/>
    <w:rsid w:val="00515B6E"/>
    <w:rsid w:val="00517047"/>
    <w:rsid w:val="005173E2"/>
    <w:rsid w:val="00521702"/>
    <w:rsid w:val="00522267"/>
    <w:rsid w:val="00522E08"/>
    <w:rsid w:val="00523797"/>
    <w:rsid w:val="00523BA0"/>
    <w:rsid w:val="00523C40"/>
    <w:rsid w:val="00524341"/>
    <w:rsid w:val="00524E23"/>
    <w:rsid w:val="00524FAC"/>
    <w:rsid w:val="00525234"/>
    <w:rsid w:val="00526685"/>
    <w:rsid w:val="0052763F"/>
    <w:rsid w:val="00527FF3"/>
    <w:rsid w:val="005306BE"/>
    <w:rsid w:val="00530CEB"/>
    <w:rsid w:val="0053124A"/>
    <w:rsid w:val="00531B37"/>
    <w:rsid w:val="00531FF3"/>
    <w:rsid w:val="00532DE5"/>
    <w:rsid w:val="0053316D"/>
    <w:rsid w:val="0053373E"/>
    <w:rsid w:val="00534505"/>
    <w:rsid w:val="0053455C"/>
    <w:rsid w:val="00534727"/>
    <w:rsid w:val="00534C4A"/>
    <w:rsid w:val="00535808"/>
    <w:rsid w:val="00535AC8"/>
    <w:rsid w:val="00536C71"/>
    <w:rsid w:val="00536F81"/>
    <w:rsid w:val="005375DF"/>
    <w:rsid w:val="00537B9F"/>
    <w:rsid w:val="00540627"/>
    <w:rsid w:val="0054139A"/>
    <w:rsid w:val="0054268B"/>
    <w:rsid w:val="00542AE5"/>
    <w:rsid w:val="00542FB1"/>
    <w:rsid w:val="00543010"/>
    <w:rsid w:val="00543537"/>
    <w:rsid w:val="00543609"/>
    <w:rsid w:val="005438EC"/>
    <w:rsid w:val="005442AE"/>
    <w:rsid w:val="00544561"/>
    <w:rsid w:val="00544CFA"/>
    <w:rsid w:val="00544F06"/>
    <w:rsid w:val="0054517A"/>
    <w:rsid w:val="005451C0"/>
    <w:rsid w:val="00545800"/>
    <w:rsid w:val="00545915"/>
    <w:rsid w:val="00545E1A"/>
    <w:rsid w:val="0054611F"/>
    <w:rsid w:val="00546756"/>
    <w:rsid w:val="00546D47"/>
    <w:rsid w:val="005472DA"/>
    <w:rsid w:val="00547740"/>
    <w:rsid w:val="00550463"/>
    <w:rsid w:val="00550619"/>
    <w:rsid w:val="00550A67"/>
    <w:rsid w:val="00550E02"/>
    <w:rsid w:val="0055109F"/>
    <w:rsid w:val="0055294C"/>
    <w:rsid w:val="0055297C"/>
    <w:rsid w:val="005546F5"/>
    <w:rsid w:val="00554E26"/>
    <w:rsid w:val="00556450"/>
    <w:rsid w:val="005603E5"/>
    <w:rsid w:val="00562D38"/>
    <w:rsid w:val="00563D2D"/>
    <w:rsid w:val="005648B1"/>
    <w:rsid w:val="00565B10"/>
    <w:rsid w:val="00565CD9"/>
    <w:rsid w:val="0056666D"/>
    <w:rsid w:val="00566764"/>
    <w:rsid w:val="005668A0"/>
    <w:rsid w:val="005669EA"/>
    <w:rsid w:val="005701FF"/>
    <w:rsid w:val="00570733"/>
    <w:rsid w:val="00570F57"/>
    <w:rsid w:val="0057180D"/>
    <w:rsid w:val="00571DB1"/>
    <w:rsid w:val="005732EE"/>
    <w:rsid w:val="0057395F"/>
    <w:rsid w:val="00573BB0"/>
    <w:rsid w:val="00573E3A"/>
    <w:rsid w:val="00573EBD"/>
    <w:rsid w:val="00575079"/>
    <w:rsid w:val="00575E37"/>
    <w:rsid w:val="005760BF"/>
    <w:rsid w:val="00576E65"/>
    <w:rsid w:val="00577095"/>
    <w:rsid w:val="00577E6B"/>
    <w:rsid w:val="00580608"/>
    <w:rsid w:val="00580738"/>
    <w:rsid w:val="005807B0"/>
    <w:rsid w:val="005809C4"/>
    <w:rsid w:val="00580B03"/>
    <w:rsid w:val="005821FA"/>
    <w:rsid w:val="005827B9"/>
    <w:rsid w:val="00582911"/>
    <w:rsid w:val="005837AE"/>
    <w:rsid w:val="00584609"/>
    <w:rsid w:val="00584DF1"/>
    <w:rsid w:val="00584E00"/>
    <w:rsid w:val="00585102"/>
    <w:rsid w:val="005865A6"/>
    <w:rsid w:val="0058706A"/>
    <w:rsid w:val="0059074F"/>
    <w:rsid w:val="005918F1"/>
    <w:rsid w:val="00591DF9"/>
    <w:rsid w:val="00591EE4"/>
    <w:rsid w:val="0059232B"/>
    <w:rsid w:val="00592505"/>
    <w:rsid w:val="005929BC"/>
    <w:rsid w:val="00592C69"/>
    <w:rsid w:val="00592DA4"/>
    <w:rsid w:val="00592E57"/>
    <w:rsid w:val="00592E88"/>
    <w:rsid w:val="005938EA"/>
    <w:rsid w:val="005949EB"/>
    <w:rsid w:val="00595381"/>
    <w:rsid w:val="005963D8"/>
    <w:rsid w:val="00596AFD"/>
    <w:rsid w:val="00597823"/>
    <w:rsid w:val="0059789B"/>
    <w:rsid w:val="005A017A"/>
    <w:rsid w:val="005A0587"/>
    <w:rsid w:val="005A0654"/>
    <w:rsid w:val="005A1AD8"/>
    <w:rsid w:val="005A1ADF"/>
    <w:rsid w:val="005A2000"/>
    <w:rsid w:val="005A2305"/>
    <w:rsid w:val="005A2A6E"/>
    <w:rsid w:val="005A2D87"/>
    <w:rsid w:val="005A3764"/>
    <w:rsid w:val="005A3852"/>
    <w:rsid w:val="005A3FAA"/>
    <w:rsid w:val="005A5100"/>
    <w:rsid w:val="005A52CC"/>
    <w:rsid w:val="005B01A0"/>
    <w:rsid w:val="005B02D7"/>
    <w:rsid w:val="005B0619"/>
    <w:rsid w:val="005B1222"/>
    <w:rsid w:val="005B27E3"/>
    <w:rsid w:val="005B2BB5"/>
    <w:rsid w:val="005B47E5"/>
    <w:rsid w:val="005B4B10"/>
    <w:rsid w:val="005B4F8B"/>
    <w:rsid w:val="005B57C3"/>
    <w:rsid w:val="005B5AB3"/>
    <w:rsid w:val="005B68FB"/>
    <w:rsid w:val="005B6B51"/>
    <w:rsid w:val="005B6FE3"/>
    <w:rsid w:val="005B704D"/>
    <w:rsid w:val="005B719E"/>
    <w:rsid w:val="005B7F3F"/>
    <w:rsid w:val="005C0768"/>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D020A"/>
    <w:rsid w:val="005D0384"/>
    <w:rsid w:val="005D0629"/>
    <w:rsid w:val="005D0642"/>
    <w:rsid w:val="005D0802"/>
    <w:rsid w:val="005D0A6C"/>
    <w:rsid w:val="005D14CD"/>
    <w:rsid w:val="005D1979"/>
    <w:rsid w:val="005D1B04"/>
    <w:rsid w:val="005D1D02"/>
    <w:rsid w:val="005D24E1"/>
    <w:rsid w:val="005D30D8"/>
    <w:rsid w:val="005D3E9F"/>
    <w:rsid w:val="005D4543"/>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5F3E"/>
    <w:rsid w:val="005E64B0"/>
    <w:rsid w:val="005E64D3"/>
    <w:rsid w:val="005E7C36"/>
    <w:rsid w:val="005E7FC9"/>
    <w:rsid w:val="005F00A4"/>
    <w:rsid w:val="005F19D1"/>
    <w:rsid w:val="005F3356"/>
    <w:rsid w:val="005F38BF"/>
    <w:rsid w:val="005F3A8D"/>
    <w:rsid w:val="005F43B0"/>
    <w:rsid w:val="005F47EC"/>
    <w:rsid w:val="005F4FA0"/>
    <w:rsid w:val="005F5617"/>
    <w:rsid w:val="005F59D6"/>
    <w:rsid w:val="005F61E2"/>
    <w:rsid w:val="005F788A"/>
    <w:rsid w:val="005F7F3A"/>
    <w:rsid w:val="006000D7"/>
    <w:rsid w:val="006002E4"/>
    <w:rsid w:val="0060085D"/>
    <w:rsid w:val="00600C7C"/>
    <w:rsid w:val="00600CF3"/>
    <w:rsid w:val="00600EBC"/>
    <w:rsid w:val="00601B83"/>
    <w:rsid w:val="00602260"/>
    <w:rsid w:val="006023DA"/>
    <w:rsid w:val="00602408"/>
    <w:rsid w:val="00602458"/>
    <w:rsid w:val="006025D8"/>
    <w:rsid w:val="00602678"/>
    <w:rsid w:val="00602C94"/>
    <w:rsid w:val="0060317D"/>
    <w:rsid w:val="006031B1"/>
    <w:rsid w:val="00603471"/>
    <w:rsid w:val="0060440D"/>
    <w:rsid w:val="00604692"/>
    <w:rsid w:val="006052F0"/>
    <w:rsid w:val="00605BD1"/>
    <w:rsid w:val="00605CD7"/>
    <w:rsid w:val="00606412"/>
    <w:rsid w:val="00606919"/>
    <w:rsid w:val="00606E88"/>
    <w:rsid w:val="00607083"/>
    <w:rsid w:val="00607141"/>
    <w:rsid w:val="006105F6"/>
    <w:rsid w:val="00610B86"/>
    <w:rsid w:val="00611809"/>
    <w:rsid w:val="00611943"/>
    <w:rsid w:val="00611A70"/>
    <w:rsid w:val="00611D8D"/>
    <w:rsid w:val="0061263C"/>
    <w:rsid w:val="00612FB0"/>
    <w:rsid w:val="00614B60"/>
    <w:rsid w:val="006150F0"/>
    <w:rsid w:val="00615B1B"/>
    <w:rsid w:val="006164CA"/>
    <w:rsid w:val="006175EE"/>
    <w:rsid w:val="006179D9"/>
    <w:rsid w:val="00617EFB"/>
    <w:rsid w:val="0062147B"/>
    <w:rsid w:val="00622717"/>
    <w:rsid w:val="00622B7F"/>
    <w:rsid w:val="00623A6F"/>
    <w:rsid w:val="0062513A"/>
    <w:rsid w:val="006257CE"/>
    <w:rsid w:val="00625E42"/>
    <w:rsid w:val="0063042E"/>
    <w:rsid w:val="00630CC3"/>
    <w:rsid w:val="006310F8"/>
    <w:rsid w:val="00631182"/>
    <w:rsid w:val="006319FE"/>
    <w:rsid w:val="00632654"/>
    <w:rsid w:val="0063319D"/>
    <w:rsid w:val="006334DE"/>
    <w:rsid w:val="00633D0D"/>
    <w:rsid w:val="00633D52"/>
    <w:rsid w:val="00634A8F"/>
    <w:rsid w:val="00634C00"/>
    <w:rsid w:val="00634DCF"/>
    <w:rsid w:val="006355A1"/>
    <w:rsid w:val="00635D23"/>
    <w:rsid w:val="00635EEE"/>
    <w:rsid w:val="0063664A"/>
    <w:rsid w:val="00636FD1"/>
    <w:rsid w:val="0063740F"/>
    <w:rsid w:val="0063744E"/>
    <w:rsid w:val="006378AB"/>
    <w:rsid w:val="00641131"/>
    <w:rsid w:val="0064414C"/>
    <w:rsid w:val="00644887"/>
    <w:rsid w:val="00644A79"/>
    <w:rsid w:val="00644EC1"/>
    <w:rsid w:val="0064598C"/>
    <w:rsid w:val="00646B8F"/>
    <w:rsid w:val="006473E5"/>
    <w:rsid w:val="00647C01"/>
    <w:rsid w:val="00650E11"/>
    <w:rsid w:val="006514B5"/>
    <w:rsid w:val="00652016"/>
    <w:rsid w:val="006536F8"/>
    <w:rsid w:val="0065379C"/>
    <w:rsid w:val="00653A8F"/>
    <w:rsid w:val="00654650"/>
    <w:rsid w:val="006549A0"/>
    <w:rsid w:val="00655AF6"/>
    <w:rsid w:val="00655D0B"/>
    <w:rsid w:val="00655ED6"/>
    <w:rsid w:val="0065600E"/>
    <w:rsid w:val="0065683B"/>
    <w:rsid w:val="00657B6A"/>
    <w:rsid w:val="0066047F"/>
    <w:rsid w:val="006611EF"/>
    <w:rsid w:val="00661EC9"/>
    <w:rsid w:val="00662520"/>
    <w:rsid w:val="00662738"/>
    <w:rsid w:val="0066294D"/>
    <w:rsid w:val="0066347D"/>
    <w:rsid w:val="006635D0"/>
    <w:rsid w:val="00664616"/>
    <w:rsid w:val="00664E4A"/>
    <w:rsid w:val="00665271"/>
    <w:rsid w:val="00665B38"/>
    <w:rsid w:val="00665B92"/>
    <w:rsid w:val="00665E6A"/>
    <w:rsid w:val="0066789D"/>
    <w:rsid w:val="00670629"/>
    <w:rsid w:val="006706E1"/>
    <w:rsid w:val="0067080D"/>
    <w:rsid w:val="00670A55"/>
    <w:rsid w:val="00670E17"/>
    <w:rsid w:val="00670F67"/>
    <w:rsid w:val="00671C5E"/>
    <w:rsid w:val="00672B30"/>
    <w:rsid w:val="0067396A"/>
    <w:rsid w:val="00673A4E"/>
    <w:rsid w:val="00674BC0"/>
    <w:rsid w:val="0067653A"/>
    <w:rsid w:val="00676730"/>
    <w:rsid w:val="00677436"/>
    <w:rsid w:val="0068022C"/>
    <w:rsid w:val="00680842"/>
    <w:rsid w:val="0068158D"/>
    <w:rsid w:val="0068160C"/>
    <w:rsid w:val="00682FB7"/>
    <w:rsid w:val="00683769"/>
    <w:rsid w:val="00685821"/>
    <w:rsid w:val="006865F9"/>
    <w:rsid w:val="006868A3"/>
    <w:rsid w:val="0068750C"/>
    <w:rsid w:val="00687707"/>
    <w:rsid w:val="00687A1E"/>
    <w:rsid w:val="00690090"/>
    <w:rsid w:val="00690695"/>
    <w:rsid w:val="006906E7"/>
    <w:rsid w:val="00691D7F"/>
    <w:rsid w:val="0069217B"/>
    <w:rsid w:val="0069219D"/>
    <w:rsid w:val="006923AB"/>
    <w:rsid w:val="00693DB8"/>
    <w:rsid w:val="0069654C"/>
    <w:rsid w:val="00696965"/>
    <w:rsid w:val="006969CA"/>
    <w:rsid w:val="00697BF1"/>
    <w:rsid w:val="006A0BFE"/>
    <w:rsid w:val="006A0D86"/>
    <w:rsid w:val="006A1E5D"/>
    <w:rsid w:val="006A273C"/>
    <w:rsid w:val="006A2E1B"/>
    <w:rsid w:val="006A328A"/>
    <w:rsid w:val="006A41BE"/>
    <w:rsid w:val="006A443C"/>
    <w:rsid w:val="006A4BAD"/>
    <w:rsid w:val="006A5A89"/>
    <w:rsid w:val="006A60E4"/>
    <w:rsid w:val="006A691A"/>
    <w:rsid w:val="006B03A3"/>
    <w:rsid w:val="006B0A3A"/>
    <w:rsid w:val="006B26A8"/>
    <w:rsid w:val="006B2E73"/>
    <w:rsid w:val="006B34A1"/>
    <w:rsid w:val="006B40FC"/>
    <w:rsid w:val="006B4866"/>
    <w:rsid w:val="006B4E53"/>
    <w:rsid w:val="006B51EF"/>
    <w:rsid w:val="006B5534"/>
    <w:rsid w:val="006B5785"/>
    <w:rsid w:val="006B5AC4"/>
    <w:rsid w:val="006B5B8A"/>
    <w:rsid w:val="006B690D"/>
    <w:rsid w:val="006B6B5F"/>
    <w:rsid w:val="006B75C8"/>
    <w:rsid w:val="006B7848"/>
    <w:rsid w:val="006B7BDE"/>
    <w:rsid w:val="006B7D2D"/>
    <w:rsid w:val="006B7E37"/>
    <w:rsid w:val="006C0B84"/>
    <w:rsid w:val="006C1738"/>
    <w:rsid w:val="006C17AD"/>
    <w:rsid w:val="006C196D"/>
    <w:rsid w:val="006C256D"/>
    <w:rsid w:val="006C2790"/>
    <w:rsid w:val="006C29B9"/>
    <w:rsid w:val="006C3DF6"/>
    <w:rsid w:val="006C46A1"/>
    <w:rsid w:val="006C51E5"/>
    <w:rsid w:val="006C5B93"/>
    <w:rsid w:val="006C5DF2"/>
    <w:rsid w:val="006C64DE"/>
    <w:rsid w:val="006C74D0"/>
    <w:rsid w:val="006D0AF9"/>
    <w:rsid w:val="006D213D"/>
    <w:rsid w:val="006D2E9D"/>
    <w:rsid w:val="006D36F1"/>
    <w:rsid w:val="006D5663"/>
    <w:rsid w:val="006D60C0"/>
    <w:rsid w:val="006D7D20"/>
    <w:rsid w:val="006E14A7"/>
    <w:rsid w:val="006E1710"/>
    <w:rsid w:val="006E1EEA"/>
    <w:rsid w:val="006E23B4"/>
    <w:rsid w:val="006E2532"/>
    <w:rsid w:val="006E28DC"/>
    <w:rsid w:val="006E3627"/>
    <w:rsid w:val="006E3709"/>
    <w:rsid w:val="006E39AE"/>
    <w:rsid w:val="006E43F2"/>
    <w:rsid w:val="006E45C8"/>
    <w:rsid w:val="006E4ACD"/>
    <w:rsid w:val="006E52A9"/>
    <w:rsid w:val="006E6133"/>
    <w:rsid w:val="006E630A"/>
    <w:rsid w:val="006E6481"/>
    <w:rsid w:val="006E6849"/>
    <w:rsid w:val="006E6E2A"/>
    <w:rsid w:val="006E7654"/>
    <w:rsid w:val="006F0620"/>
    <w:rsid w:val="006F08C9"/>
    <w:rsid w:val="006F08CF"/>
    <w:rsid w:val="006F0F22"/>
    <w:rsid w:val="006F18D2"/>
    <w:rsid w:val="006F1C54"/>
    <w:rsid w:val="006F1EDD"/>
    <w:rsid w:val="006F259C"/>
    <w:rsid w:val="006F295E"/>
    <w:rsid w:val="006F2C11"/>
    <w:rsid w:val="006F2FF4"/>
    <w:rsid w:val="006F3AD9"/>
    <w:rsid w:val="006F4784"/>
    <w:rsid w:val="006F4AB8"/>
    <w:rsid w:val="006F5997"/>
    <w:rsid w:val="006F5BD7"/>
    <w:rsid w:val="006F5E5A"/>
    <w:rsid w:val="006F6C6B"/>
    <w:rsid w:val="006F6C82"/>
    <w:rsid w:val="006F712E"/>
    <w:rsid w:val="006F73BF"/>
    <w:rsid w:val="006F74DA"/>
    <w:rsid w:val="006F7B07"/>
    <w:rsid w:val="00700189"/>
    <w:rsid w:val="00700264"/>
    <w:rsid w:val="00700413"/>
    <w:rsid w:val="00700AC1"/>
    <w:rsid w:val="00701945"/>
    <w:rsid w:val="00703215"/>
    <w:rsid w:val="0070390A"/>
    <w:rsid w:val="0070397F"/>
    <w:rsid w:val="00703D9F"/>
    <w:rsid w:val="00704AD7"/>
    <w:rsid w:val="00704EE4"/>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133D"/>
    <w:rsid w:val="00711493"/>
    <w:rsid w:val="00711D57"/>
    <w:rsid w:val="00712DAC"/>
    <w:rsid w:val="0071308F"/>
    <w:rsid w:val="00713AA3"/>
    <w:rsid w:val="007153E5"/>
    <w:rsid w:val="007157C6"/>
    <w:rsid w:val="00716D6F"/>
    <w:rsid w:val="00716E8B"/>
    <w:rsid w:val="00717C0A"/>
    <w:rsid w:val="00720201"/>
    <w:rsid w:val="00720381"/>
    <w:rsid w:val="00721A19"/>
    <w:rsid w:val="00721AC1"/>
    <w:rsid w:val="00722736"/>
    <w:rsid w:val="0072370B"/>
    <w:rsid w:val="0072400B"/>
    <w:rsid w:val="007259F4"/>
    <w:rsid w:val="00726573"/>
    <w:rsid w:val="007266ED"/>
    <w:rsid w:val="00726C28"/>
    <w:rsid w:val="007270F8"/>
    <w:rsid w:val="00727449"/>
    <w:rsid w:val="00727BB7"/>
    <w:rsid w:val="007304F9"/>
    <w:rsid w:val="00731174"/>
    <w:rsid w:val="00731A26"/>
    <w:rsid w:val="00731BA2"/>
    <w:rsid w:val="007328C1"/>
    <w:rsid w:val="00733BE6"/>
    <w:rsid w:val="00733EA8"/>
    <w:rsid w:val="0073405C"/>
    <w:rsid w:val="00734607"/>
    <w:rsid w:val="0073463F"/>
    <w:rsid w:val="007350BE"/>
    <w:rsid w:val="0073617B"/>
    <w:rsid w:val="0073650C"/>
    <w:rsid w:val="007365E3"/>
    <w:rsid w:val="00736BFC"/>
    <w:rsid w:val="0073724F"/>
    <w:rsid w:val="00737AD7"/>
    <w:rsid w:val="00740139"/>
    <w:rsid w:val="00740776"/>
    <w:rsid w:val="00741DF5"/>
    <w:rsid w:val="00743102"/>
    <w:rsid w:val="0074317A"/>
    <w:rsid w:val="00746AE5"/>
    <w:rsid w:val="007477BF"/>
    <w:rsid w:val="007502BF"/>
    <w:rsid w:val="00750666"/>
    <w:rsid w:val="007508AF"/>
    <w:rsid w:val="007529C9"/>
    <w:rsid w:val="00753A12"/>
    <w:rsid w:val="00753EDF"/>
    <w:rsid w:val="00754C24"/>
    <w:rsid w:val="0075553D"/>
    <w:rsid w:val="00755771"/>
    <w:rsid w:val="00755AB2"/>
    <w:rsid w:val="0075610E"/>
    <w:rsid w:val="007567C4"/>
    <w:rsid w:val="0075693F"/>
    <w:rsid w:val="0075736D"/>
    <w:rsid w:val="00762552"/>
    <w:rsid w:val="00763416"/>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76F87"/>
    <w:rsid w:val="007806C1"/>
    <w:rsid w:val="00780F25"/>
    <w:rsid w:val="00783259"/>
    <w:rsid w:val="007839B6"/>
    <w:rsid w:val="00784583"/>
    <w:rsid w:val="00784F3F"/>
    <w:rsid w:val="00785E33"/>
    <w:rsid w:val="00786C20"/>
    <w:rsid w:val="00786E9E"/>
    <w:rsid w:val="00786F40"/>
    <w:rsid w:val="0078793E"/>
    <w:rsid w:val="00787962"/>
    <w:rsid w:val="00787995"/>
    <w:rsid w:val="00790166"/>
    <w:rsid w:val="00791032"/>
    <w:rsid w:val="00792A0F"/>
    <w:rsid w:val="0079312F"/>
    <w:rsid w:val="00793499"/>
    <w:rsid w:val="007935F7"/>
    <w:rsid w:val="007943BD"/>
    <w:rsid w:val="007955EB"/>
    <w:rsid w:val="00795A8F"/>
    <w:rsid w:val="007975CA"/>
    <w:rsid w:val="00797E17"/>
    <w:rsid w:val="00797E37"/>
    <w:rsid w:val="007A0C05"/>
    <w:rsid w:val="007A1ACF"/>
    <w:rsid w:val="007A6B52"/>
    <w:rsid w:val="007A754C"/>
    <w:rsid w:val="007A75EA"/>
    <w:rsid w:val="007A7F8E"/>
    <w:rsid w:val="007B0492"/>
    <w:rsid w:val="007B0BBD"/>
    <w:rsid w:val="007B0D00"/>
    <w:rsid w:val="007B0FAF"/>
    <w:rsid w:val="007B10CF"/>
    <w:rsid w:val="007B12FD"/>
    <w:rsid w:val="007B29DD"/>
    <w:rsid w:val="007B3682"/>
    <w:rsid w:val="007B3C01"/>
    <w:rsid w:val="007B4177"/>
    <w:rsid w:val="007B44DC"/>
    <w:rsid w:val="007B4E87"/>
    <w:rsid w:val="007B6F18"/>
    <w:rsid w:val="007C0139"/>
    <w:rsid w:val="007C01DF"/>
    <w:rsid w:val="007C0759"/>
    <w:rsid w:val="007C1174"/>
    <w:rsid w:val="007C1CB5"/>
    <w:rsid w:val="007C2142"/>
    <w:rsid w:val="007C2362"/>
    <w:rsid w:val="007C2482"/>
    <w:rsid w:val="007C24EB"/>
    <w:rsid w:val="007C274A"/>
    <w:rsid w:val="007C4C28"/>
    <w:rsid w:val="007C5F28"/>
    <w:rsid w:val="007C64C3"/>
    <w:rsid w:val="007C6718"/>
    <w:rsid w:val="007C6894"/>
    <w:rsid w:val="007C69CF"/>
    <w:rsid w:val="007C700E"/>
    <w:rsid w:val="007C7E66"/>
    <w:rsid w:val="007D11B4"/>
    <w:rsid w:val="007D11B9"/>
    <w:rsid w:val="007D1D6D"/>
    <w:rsid w:val="007D3B9E"/>
    <w:rsid w:val="007D4779"/>
    <w:rsid w:val="007D54E3"/>
    <w:rsid w:val="007D56A9"/>
    <w:rsid w:val="007D68AC"/>
    <w:rsid w:val="007D7CF0"/>
    <w:rsid w:val="007D7FE6"/>
    <w:rsid w:val="007E02E1"/>
    <w:rsid w:val="007E12C4"/>
    <w:rsid w:val="007E1B3F"/>
    <w:rsid w:val="007E2189"/>
    <w:rsid w:val="007E2A8F"/>
    <w:rsid w:val="007E2C11"/>
    <w:rsid w:val="007E344F"/>
    <w:rsid w:val="007E38A8"/>
    <w:rsid w:val="007E3D40"/>
    <w:rsid w:val="007E4008"/>
    <w:rsid w:val="007E42FE"/>
    <w:rsid w:val="007E4F46"/>
    <w:rsid w:val="007E6063"/>
    <w:rsid w:val="007E6720"/>
    <w:rsid w:val="007E705D"/>
    <w:rsid w:val="007E7E0A"/>
    <w:rsid w:val="007E7F77"/>
    <w:rsid w:val="007F0677"/>
    <w:rsid w:val="007F088D"/>
    <w:rsid w:val="007F099D"/>
    <w:rsid w:val="007F1198"/>
    <w:rsid w:val="007F1D25"/>
    <w:rsid w:val="007F1FA4"/>
    <w:rsid w:val="007F3EFC"/>
    <w:rsid w:val="007F4B40"/>
    <w:rsid w:val="007F56D2"/>
    <w:rsid w:val="007F5D93"/>
    <w:rsid w:val="007F6007"/>
    <w:rsid w:val="007F65A1"/>
    <w:rsid w:val="007F6892"/>
    <w:rsid w:val="007F68D4"/>
    <w:rsid w:val="007F6E07"/>
    <w:rsid w:val="007F76FA"/>
    <w:rsid w:val="007F7D26"/>
    <w:rsid w:val="00800912"/>
    <w:rsid w:val="00800B3C"/>
    <w:rsid w:val="00801CB0"/>
    <w:rsid w:val="008033AB"/>
    <w:rsid w:val="0080353C"/>
    <w:rsid w:val="00804402"/>
    <w:rsid w:val="0080540B"/>
    <w:rsid w:val="00805895"/>
    <w:rsid w:val="008058E2"/>
    <w:rsid w:val="0080618E"/>
    <w:rsid w:val="00806546"/>
    <w:rsid w:val="008077D9"/>
    <w:rsid w:val="00807F03"/>
    <w:rsid w:val="008100A0"/>
    <w:rsid w:val="0081014F"/>
    <w:rsid w:val="00810A0C"/>
    <w:rsid w:val="008118E0"/>
    <w:rsid w:val="00811EFB"/>
    <w:rsid w:val="008123DF"/>
    <w:rsid w:val="00812CA4"/>
    <w:rsid w:val="00812DB2"/>
    <w:rsid w:val="00812F39"/>
    <w:rsid w:val="008131A8"/>
    <w:rsid w:val="008131AF"/>
    <w:rsid w:val="0081372F"/>
    <w:rsid w:val="00813844"/>
    <w:rsid w:val="00813971"/>
    <w:rsid w:val="00816BB9"/>
    <w:rsid w:val="00817169"/>
    <w:rsid w:val="0082032B"/>
    <w:rsid w:val="008207DA"/>
    <w:rsid w:val="00822341"/>
    <w:rsid w:val="008234AC"/>
    <w:rsid w:val="008235EA"/>
    <w:rsid w:val="008240C5"/>
    <w:rsid w:val="00825013"/>
    <w:rsid w:val="008252BE"/>
    <w:rsid w:val="008265B4"/>
    <w:rsid w:val="008277C0"/>
    <w:rsid w:val="00830494"/>
    <w:rsid w:val="008305B8"/>
    <w:rsid w:val="008311F5"/>
    <w:rsid w:val="00831B3C"/>
    <w:rsid w:val="00833363"/>
    <w:rsid w:val="00833EBD"/>
    <w:rsid w:val="00835140"/>
    <w:rsid w:val="00835195"/>
    <w:rsid w:val="008354FF"/>
    <w:rsid w:val="008355EC"/>
    <w:rsid w:val="00835C5D"/>
    <w:rsid w:val="00836690"/>
    <w:rsid w:val="008368AA"/>
    <w:rsid w:val="00840C43"/>
    <w:rsid w:val="00842264"/>
    <w:rsid w:val="008423AF"/>
    <w:rsid w:val="00842629"/>
    <w:rsid w:val="008428D6"/>
    <w:rsid w:val="0084346A"/>
    <w:rsid w:val="00843B0B"/>
    <w:rsid w:val="00843E3F"/>
    <w:rsid w:val="00843FB3"/>
    <w:rsid w:val="00845DBA"/>
    <w:rsid w:val="00846A05"/>
    <w:rsid w:val="00846F8F"/>
    <w:rsid w:val="008478B1"/>
    <w:rsid w:val="008479BC"/>
    <w:rsid w:val="008512B3"/>
    <w:rsid w:val="0085156F"/>
    <w:rsid w:val="008516DC"/>
    <w:rsid w:val="00851853"/>
    <w:rsid w:val="0085226B"/>
    <w:rsid w:val="00852E9F"/>
    <w:rsid w:val="008543C2"/>
    <w:rsid w:val="00854E83"/>
    <w:rsid w:val="0085562E"/>
    <w:rsid w:val="00856798"/>
    <w:rsid w:val="0085781D"/>
    <w:rsid w:val="00857DC7"/>
    <w:rsid w:val="00857F72"/>
    <w:rsid w:val="00860440"/>
    <w:rsid w:val="00860C6D"/>
    <w:rsid w:val="00861724"/>
    <w:rsid w:val="00861F40"/>
    <w:rsid w:val="0086235A"/>
    <w:rsid w:val="00862B67"/>
    <w:rsid w:val="00863CBC"/>
    <w:rsid w:val="00863E3F"/>
    <w:rsid w:val="00864362"/>
    <w:rsid w:val="00864A57"/>
    <w:rsid w:val="0086544A"/>
    <w:rsid w:val="008668DA"/>
    <w:rsid w:val="00866B7F"/>
    <w:rsid w:val="008671F0"/>
    <w:rsid w:val="008671FA"/>
    <w:rsid w:val="00867601"/>
    <w:rsid w:val="00867D55"/>
    <w:rsid w:val="008703EC"/>
    <w:rsid w:val="00870F44"/>
    <w:rsid w:val="0087154F"/>
    <w:rsid w:val="008717CD"/>
    <w:rsid w:val="0087187C"/>
    <w:rsid w:val="00871EAA"/>
    <w:rsid w:val="008728D7"/>
    <w:rsid w:val="00872988"/>
    <w:rsid w:val="00872BAD"/>
    <w:rsid w:val="00873CE7"/>
    <w:rsid w:val="008742A2"/>
    <w:rsid w:val="00874335"/>
    <w:rsid w:val="00875754"/>
    <w:rsid w:val="00875986"/>
    <w:rsid w:val="008774D0"/>
    <w:rsid w:val="008806F0"/>
    <w:rsid w:val="00880D5E"/>
    <w:rsid w:val="00880E82"/>
    <w:rsid w:val="008823B6"/>
    <w:rsid w:val="00882B96"/>
    <w:rsid w:val="00882F29"/>
    <w:rsid w:val="0088321D"/>
    <w:rsid w:val="0088345D"/>
    <w:rsid w:val="00883681"/>
    <w:rsid w:val="0088493A"/>
    <w:rsid w:val="00884FCD"/>
    <w:rsid w:val="008855A4"/>
    <w:rsid w:val="0088576F"/>
    <w:rsid w:val="00885D40"/>
    <w:rsid w:val="00886392"/>
    <w:rsid w:val="00886912"/>
    <w:rsid w:val="0088715E"/>
    <w:rsid w:val="0088728B"/>
    <w:rsid w:val="0088784A"/>
    <w:rsid w:val="00887879"/>
    <w:rsid w:val="00890465"/>
    <w:rsid w:val="00891170"/>
    <w:rsid w:val="00891D61"/>
    <w:rsid w:val="00892438"/>
    <w:rsid w:val="0089277F"/>
    <w:rsid w:val="008933F7"/>
    <w:rsid w:val="00893B74"/>
    <w:rsid w:val="00894FBE"/>
    <w:rsid w:val="00894FDF"/>
    <w:rsid w:val="00895F4F"/>
    <w:rsid w:val="0089674C"/>
    <w:rsid w:val="00896F69"/>
    <w:rsid w:val="00897351"/>
    <w:rsid w:val="00897952"/>
    <w:rsid w:val="008A04FC"/>
    <w:rsid w:val="008A0AAC"/>
    <w:rsid w:val="008A0E6A"/>
    <w:rsid w:val="008A156D"/>
    <w:rsid w:val="008A1975"/>
    <w:rsid w:val="008A1DFF"/>
    <w:rsid w:val="008A241C"/>
    <w:rsid w:val="008A260C"/>
    <w:rsid w:val="008A2A31"/>
    <w:rsid w:val="008A2A99"/>
    <w:rsid w:val="008A2E7D"/>
    <w:rsid w:val="008A34BB"/>
    <w:rsid w:val="008A3A35"/>
    <w:rsid w:val="008A3DEF"/>
    <w:rsid w:val="008A3F9B"/>
    <w:rsid w:val="008A524F"/>
    <w:rsid w:val="008A53B6"/>
    <w:rsid w:val="008A5DD5"/>
    <w:rsid w:val="008A6A2D"/>
    <w:rsid w:val="008B0045"/>
    <w:rsid w:val="008B0058"/>
    <w:rsid w:val="008B090C"/>
    <w:rsid w:val="008B225C"/>
    <w:rsid w:val="008B2952"/>
    <w:rsid w:val="008B2FC3"/>
    <w:rsid w:val="008B3E43"/>
    <w:rsid w:val="008B488C"/>
    <w:rsid w:val="008B62A7"/>
    <w:rsid w:val="008B7089"/>
    <w:rsid w:val="008B75C8"/>
    <w:rsid w:val="008B7736"/>
    <w:rsid w:val="008C0057"/>
    <w:rsid w:val="008C063B"/>
    <w:rsid w:val="008C129D"/>
    <w:rsid w:val="008C1F0A"/>
    <w:rsid w:val="008C25AB"/>
    <w:rsid w:val="008C2786"/>
    <w:rsid w:val="008C27E4"/>
    <w:rsid w:val="008C3061"/>
    <w:rsid w:val="008C3AAB"/>
    <w:rsid w:val="008C3E46"/>
    <w:rsid w:val="008C41E5"/>
    <w:rsid w:val="008C41FD"/>
    <w:rsid w:val="008C451F"/>
    <w:rsid w:val="008C4A83"/>
    <w:rsid w:val="008C504D"/>
    <w:rsid w:val="008C5556"/>
    <w:rsid w:val="008C5634"/>
    <w:rsid w:val="008C585D"/>
    <w:rsid w:val="008C5A2C"/>
    <w:rsid w:val="008C6F67"/>
    <w:rsid w:val="008C72C4"/>
    <w:rsid w:val="008C7385"/>
    <w:rsid w:val="008C742F"/>
    <w:rsid w:val="008C7FEB"/>
    <w:rsid w:val="008D0960"/>
    <w:rsid w:val="008D149D"/>
    <w:rsid w:val="008D253A"/>
    <w:rsid w:val="008D274D"/>
    <w:rsid w:val="008D278B"/>
    <w:rsid w:val="008D2ED1"/>
    <w:rsid w:val="008D2EE4"/>
    <w:rsid w:val="008D2FCE"/>
    <w:rsid w:val="008D317D"/>
    <w:rsid w:val="008D3A0B"/>
    <w:rsid w:val="008D43B9"/>
    <w:rsid w:val="008D467A"/>
    <w:rsid w:val="008D68D9"/>
    <w:rsid w:val="008D71F2"/>
    <w:rsid w:val="008D7423"/>
    <w:rsid w:val="008E0069"/>
    <w:rsid w:val="008E02F2"/>
    <w:rsid w:val="008E0E63"/>
    <w:rsid w:val="008E0E8F"/>
    <w:rsid w:val="008E14DE"/>
    <w:rsid w:val="008E20B0"/>
    <w:rsid w:val="008E25E3"/>
    <w:rsid w:val="008E262F"/>
    <w:rsid w:val="008E2A16"/>
    <w:rsid w:val="008E33B4"/>
    <w:rsid w:val="008E3424"/>
    <w:rsid w:val="008E4224"/>
    <w:rsid w:val="008E5460"/>
    <w:rsid w:val="008E5A1A"/>
    <w:rsid w:val="008E5C2B"/>
    <w:rsid w:val="008E6A24"/>
    <w:rsid w:val="008E6C94"/>
    <w:rsid w:val="008E733D"/>
    <w:rsid w:val="008E7846"/>
    <w:rsid w:val="008E7A90"/>
    <w:rsid w:val="008E7B3E"/>
    <w:rsid w:val="008E7D3A"/>
    <w:rsid w:val="008F003F"/>
    <w:rsid w:val="008F0108"/>
    <w:rsid w:val="008F0C71"/>
    <w:rsid w:val="008F1212"/>
    <w:rsid w:val="008F18C3"/>
    <w:rsid w:val="008F1CDC"/>
    <w:rsid w:val="008F4141"/>
    <w:rsid w:val="008F4786"/>
    <w:rsid w:val="008F4AF5"/>
    <w:rsid w:val="008F4F71"/>
    <w:rsid w:val="008F5664"/>
    <w:rsid w:val="008F61E3"/>
    <w:rsid w:val="008F6A73"/>
    <w:rsid w:val="008F6FCC"/>
    <w:rsid w:val="008F70B6"/>
    <w:rsid w:val="008F74E4"/>
    <w:rsid w:val="008F7A7D"/>
    <w:rsid w:val="009009BA"/>
    <w:rsid w:val="00900A3A"/>
    <w:rsid w:val="00900EC5"/>
    <w:rsid w:val="00901965"/>
    <w:rsid w:val="00901BE5"/>
    <w:rsid w:val="00901D9F"/>
    <w:rsid w:val="00902A22"/>
    <w:rsid w:val="00902B78"/>
    <w:rsid w:val="00902D95"/>
    <w:rsid w:val="0090379D"/>
    <w:rsid w:val="00903E5B"/>
    <w:rsid w:val="0090414F"/>
    <w:rsid w:val="00904650"/>
    <w:rsid w:val="0090560C"/>
    <w:rsid w:val="00905697"/>
    <w:rsid w:val="0090593C"/>
    <w:rsid w:val="00905EE7"/>
    <w:rsid w:val="0090611D"/>
    <w:rsid w:val="009065DB"/>
    <w:rsid w:val="00907A4A"/>
    <w:rsid w:val="00907E68"/>
    <w:rsid w:val="00910290"/>
    <w:rsid w:val="00910405"/>
    <w:rsid w:val="00913FE2"/>
    <w:rsid w:val="009140D6"/>
    <w:rsid w:val="009140E8"/>
    <w:rsid w:val="009158FD"/>
    <w:rsid w:val="00915B96"/>
    <w:rsid w:val="00916788"/>
    <w:rsid w:val="00916C6D"/>
    <w:rsid w:val="00920ABE"/>
    <w:rsid w:val="00920E3A"/>
    <w:rsid w:val="0092291B"/>
    <w:rsid w:val="00922E1D"/>
    <w:rsid w:val="009235BD"/>
    <w:rsid w:val="009236E7"/>
    <w:rsid w:val="009241CD"/>
    <w:rsid w:val="00924BA5"/>
    <w:rsid w:val="00925B52"/>
    <w:rsid w:val="00925F7C"/>
    <w:rsid w:val="00926E11"/>
    <w:rsid w:val="0092791B"/>
    <w:rsid w:val="00927BC8"/>
    <w:rsid w:val="0093038A"/>
    <w:rsid w:val="00930A91"/>
    <w:rsid w:val="00930FA3"/>
    <w:rsid w:val="00932249"/>
    <w:rsid w:val="00932E5B"/>
    <w:rsid w:val="00933290"/>
    <w:rsid w:val="009332F0"/>
    <w:rsid w:val="0093398E"/>
    <w:rsid w:val="0093473B"/>
    <w:rsid w:val="00934957"/>
    <w:rsid w:val="00934B64"/>
    <w:rsid w:val="00935903"/>
    <w:rsid w:val="00935D25"/>
    <w:rsid w:val="009368FA"/>
    <w:rsid w:val="00936C47"/>
    <w:rsid w:val="009374A7"/>
    <w:rsid w:val="009404FF"/>
    <w:rsid w:val="00942BD8"/>
    <w:rsid w:val="00942EC3"/>
    <w:rsid w:val="00942ECE"/>
    <w:rsid w:val="0094336B"/>
    <w:rsid w:val="0094389C"/>
    <w:rsid w:val="00943B4B"/>
    <w:rsid w:val="0094680B"/>
    <w:rsid w:val="009468CE"/>
    <w:rsid w:val="00946C9C"/>
    <w:rsid w:val="00946D7E"/>
    <w:rsid w:val="009477D2"/>
    <w:rsid w:val="0095095E"/>
    <w:rsid w:val="00950A9D"/>
    <w:rsid w:val="009512FB"/>
    <w:rsid w:val="0095132C"/>
    <w:rsid w:val="0095176A"/>
    <w:rsid w:val="009526B6"/>
    <w:rsid w:val="009531C0"/>
    <w:rsid w:val="009543AE"/>
    <w:rsid w:val="00954C5F"/>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48F5"/>
    <w:rsid w:val="0096496A"/>
    <w:rsid w:val="009649A0"/>
    <w:rsid w:val="00964E12"/>
    <w:rsid w:val="00965435"/>
    <w:rsid w:val="0096545F"/>
    <w:rsid w:val="0096567B"/>
    <w:rsid w:val="0096575D"/>
    <w:rsid w:val="00965896"/>
    <w:rsid w:val="00966012"/>
    <w:rsid w:val="009662E4"/>
    <w:rsid w:val="00966E92"/>
    <w:rsid w:val="009679CC"/>
    <w:rsid w:val="0097046C"/>
    <w:rsid w:val="00970BA7"/>
    <w:rsid w:val="00971E46"/>
    <w:rsid w:val="00971FA6"/>
    <w:rsid w:val="0097275B"/>
    <w:rsid w:val="00972D9B"/>
    <w:rsid w:val="0097422F"/>
    <w:rsid w:val="00974911"/>
    <w:rsid w:val="009749B1"/>
    <w:rsid w:val="00974C66"/>
    <w:rsid w:val="00976822"/>
    <w:rsid w:val="00976D2C"/>
    <w:rsid w:val="00976F9C"/>
    <w:rsid w:val="0097705D"/>
    <w:rsid w:val="00977E04"/>
    <w:rsid w:val="00980434"/>
    <w:rsid w:val="009810D5"/>
    <w:rsid w:val="00981270"/>
    <w:rsid w:val="00981F26"/>
    <w:rsid w:val="0098226D"/>
    <w:rsid w:val="00982463"/>
    <w:rsid w:val="00982F1D"/>
    <w:rsid w:val="00984006"/>
    <w:rsid w:val="00984EDA"/>
    <w:rsid w:val="0098567A"/>
    <w:rsid w:val="00986102"/>
    <w:rsid w:val="009863F6"/>
    <w:rsid w:val="00986684"/>
    <w:rsid w:val="009867CE"/>
    <w:rsid w:val="00986DF9"/>
    <w:rsid w:val="00987392"/>
    <w:rsid w:val="00990BEE"/>
    <w:rsid w:val="00991AB2"/>
    <w:rsid w:val="0099203B"/>
    <w:rsid w:val="0099235F"/>
    <w:rsid w:val="0099246A"/>
    <w:rsid w:val="00993294"/>
    <w:rsid w:val="00993E83"/>
    <w:rsid w:val="00995365"/>
    <w:rsid w:val="009953DA"/>
    <w:rsid w:val="00995535"/>
    <w:rsid w:val="00995781"/>
    <w:rsid w:val="00995D19"/>
    <w:rsid w:val="00995E9A"/>
    <w:rsid w:val="00996BB7"/>
    <w:rsid w:val="009A0FA3"/>
    <w:rsid w:val="009A1D8A"/>
    <w:rsid w:val="009A22E9"/>
    <w:rsid w:val="009A2697"/>
    <w:rsid w:val="009A2EC8"/>
    <w:rsid w:val="009A3D9A"/>
    <w:rsid w:val="009A4C97"/>
    <w:rsid w:val="009A4ED1"/>
    <w:rsid w:val="009A5356"/>
    <w:rsid w:val="009A563F"/>
    <w:rsid w:val="009A6378"/>
    <w:rsid w:val="009A65B8"/>
    <w:rsid w:val="009A6B28"/>
    <w:rsid w:val="009A6F25"/>
    <w:rsid w:val="009A7C07"/>
    <w:rsid w:val="009B0A8C"/>
    <w:rsid w:val="009B1069"/>
    <w:rsid w:val="009B1D03"/>
    <w:rsid w:val="009B27F5"/>
    <w:rsid w:val="009B330B"/>
    <w:rsid w:val="009B35E1"/>
    <w:rsid w:val="009B459A"/>
    <w:rsid w:val="009B463E"/>
    <w:rsid w:val="009B58FC"/>
    <w:rsid w:val="009B749A"/>
    <w:rsid w:val="009B7870"/>
    <w:rsid w:val="009B78C0"/>
    <w:rsid w:val="009B7967"/>
    <w:rsid w:val="009C0627"/>
    <w:rsid w:val="009C0D71"/>
    <w:rsid w:val="009C2080"/>
    <w:rsid w:val="009C2816"/>
    <w:rsid w:val="009C4884"/>
    <w:rsid w:val="009C4F47"/>
    <w:rsid w:val="009C523A"/>
    <w:rsid w:val="009C6E97"/>
    <w:rsid w:val="009C74E3"/>
    <w:rsid w:val="009C7AEF"/>
    <w:rsid w:val="009D0E87"/>
    <w:rsid w:val="009D11EB"/>
    <w:rsid w:val="009D16AC"/>
    <w:rsid w:val="009D322B"/>
    <w:rsid w:val="009D393E"/>
    <w:rsid w:val="009D444C"/>
    <w:rsid w:val="009D44B3"/>
    <w:rsid w:val="009D4B05"/>
    <w:rsid w:val="009D4BB8"/>
    <w:rsid w:val="009D50FB"/>
    <w:rsid w:val="009D56EE"/>
    <w:rsid w:val="009D5BAA"/>
    <w:rsid w:val="009D5E5D"/>
    <w:rsid w:val="009D6AC5"/>
    <w:rsid w:val="009D6BA0"/>
    <w:rsid w:val="009D731F"/>
    <w:rsid w:val="009D757B"/>
    <w:rsid w:val="009D77EF"/>
    <w:rsid w:val="009E05AF"/>
    <w:rsid w:val="009E07F3"/>
    <w:rsid w:val="009E21D1"/>
    <w:rsid w:val="009E21E7"/>
    <w:rsid w:val="009E25F4"/>
    <w:rsid w:val="009E301E"/>
    <w:rsid w:val="009E32AD"/>
    <w:rsid w:val="009E471E"/>
    <w:rsid w:val="009E53CA"/>
    <w:rsid w:val="009E5857"/>
    <w:rsid w:val="009E5B61"/>
    <w:rsid w:val="009E5CF0"/>
    <w:rsid w:val="009E6B77"/>
    <w:rsid w:val="009F025E"/>
    <w:rsid w:val="009F0723"/>
    <w:rsid w:val="009F146D"/>
    <w:rsid w:val="009F160E"/>
    <w:rsid w:val="009F2545"/>
    <w:rsid w:val="009F30AE"/>
    <w:rsid w:val="009F3DFD"/>
    <w:rsid w:val="009F5891"/>
    <w:rsid w:val="009F592C"/>
    <w:rsid w:val="009F655D"/>
    <w:rsid w:val="009F6843"/>
    <w:rsid w:val="009F7839"/>
    <w:rsid w:val="009F7D61"/>
    <w:rsid w:val="009F7D78"/>
    <w:rsid w:val="00A007F8"/>
    <w:rsid w:val="00A011FE"/>
    <w:rsid w:val="00A01CBC"/>
    <w:rsid w:val="00A022FC"/>
    <w:rsid w:val="00A024E7"/>
    <w:rsid w:val="00A02872"/>
    <w:rsid w:val="00A02EB2"/>
    <w:rsid w:val="00A035EF"/>
    <w:rsid w:val="00A05648"/>
    <w:rsid w:val="00A05A51"/>
    <w:rsid w:val="00A05B74"/>
    <w:rsid w:val="00A05E78"/>
    <w:rsid w:val="00A065D1"/>
    <w:rsid w:val="00A0671B"/>
    <w:rsid w:val="00A06D37"/>
    <w:rsid w:val="00A06E82"/>
    <w:rsid w:val="00A105F4"/>
    <w:rsid w:val="00A1087A"/>
    <w:rsid w:val="00A1108C"/>
    <w:rsid w:val="00A1179D"/>
    <w:rsid w:val="00A119B5"/>
    <w:rsid w:val="00A1217E"/>
    <w:rsid w:val="00A12D9D"/>
    <w:rsid w:val="00A132D0"/>
    <w:rsid w:val="00A1362E"/>
    <w:rsid w:val="00A1367B"/>
    <w:rsid w:val="00A141F9"/>
    <w:rsid w:val="00A1423B"/>
    <w:rsid w:val="00A14E2A"/>
    <w:rsid w:val="00A14E61"/>
    <w:rsid w:val="00A1520E"/>
    <w:rsid w:val="00A158D9"/>
    <w:rsid w:val="00A17336"/>
    <w:rsid w:val="00A17BE7"/>
    <w:rsid w:val="00A17D11"/>
    <w:rsid w:val="00A200F3"/>
    <w:rsid w:val="00A2012C"/>
    <w:rsid w:val="00A21674"/>
    <w:rsid w:val="00A21BD3"/>
    <w:rsid w:val="00A21D03"/>
    <w:rsid w:val="00A21D85"/>
    <w:rsid w:val="00A23A81"/>
    <w:rsid w:val="00A23F3C"/>
    <w:rsid w:val="00A240F7"/>
    <w:rsid w:val="00A24CD6"/>
    <w:rsid w:val="00A252CB"/>
    <w:rsid w:val="00A2558F"/>
    <w:rsid w:val="00A26268"/>
    <w:rsid w:val="00A266D7"/>
    <w:rsid w:val="00A2684C"/>
    <w:rsid w:val="00A27BE1"/>
    <w:rsid w:val="00A30115"/>
    <w:rsid w:val="00A3051C"/>
    <w:rsid w:val="00A30954"/>
    <w:rsid w:val="00A30BB8"/>
    <w:rsid w:val="00A3165F"/>
    <w:rsid w:val="00A31978"/>
    <w:rsid w:val="00A31FFC"/>
    <w:rsid w:val="00A332DA"/>
    <w:rsid w:val="00A336B9"/>
    <w:rsid w:val="00A33A2E"/>
    <w:rsid w:val="00A33E97"/>
    <w:rsid w:val="00A33FC2"/>
    <w:rsid w:val="00A342DE"/>
    <w:rsid w:val="00A351D5"/>
    <w:rsid w:val="00A37319"/>
    <w:rsid w:val="00A37EC7"/>
    <w:rsid w:val="00A37F83"/>
    <w:rsid w:val="00A4042B"/>
    <w:rsid w:val="00A4199A"/>
    <w:rsid w:val="00A41F99"/>
    <w:rsid w:val="00A42003"/>
    <w:rsid w:val="00A42604"/>
    <w:rsid w:val="00A43BCA"/>
    <w:rsid w:val="00A43CA4"/>
    <w:rsid w:val="00A444EE"/>
    <w:rsid w:val="00A447F0"/>
    <w:rsid w:val="00A454BB"/>
    <w:rsid w:val="00A45DF1"/>
    <w:rsid w:val="00A46541"/>
    <w:rsid w:val="00A46EBE"/>
    <w:rsid w:val="00A47356"/>
    <w:rsid w:val="00A47F8E"/>
    <w:rsid w:val="00A50419"/>
    <w:rsid w:val="00A51A10"/>
    <w:rsid w:val="00A52AE6"/>
    <w:rsid w:val="00A5304A"/>
    <w:rsid w:val="00A530A0"/>
    <w:rsid w:val="00A53655"/>
    <w:rsid w:val="00A542F4"/>
    <w:rsid w:val="00A545D0"/>
    <w:rsid w:val="00A55891"/>
    <w:rsid w:val="00A559CF"/>
    <w:rsid w:val="00A55E29"/>
    <w:rsid w:val="00A56923"/>
    <w:rsid w:val="00A6011C"/>
    <w:rsid w:val="00A6023A"/>
    <w:rsid w:val="00A61435"/>
    <w:rsid w:val="00A6185C"/>
    <w:rsid w:val="00A618BF"/>
    <w:rsid w:val="00A61C30"/>
    <w:rsid w:val="00A624FD"/>
    <w:rsid w:val="00A6260D"/>
    <w:rsid w:val="00A62C07"/>
    <w:rsid w:val="00A63261"/>
    <w:rsid w:val="00A63448"/>
    <w:rsid w:val="00A64027"/>
    <w:rsid w:val="00A64938"/>
    <w:rsid w:val="00A6498D"/>
    <w:rsid w:val="00A6585E"/>
    <w:rsid w:val="00A659CD"/>
    <w:rsid w:val="00A67E1F"/>
    <w:rsid w:val="00A705AE"/>
    <w:rsid w:val="00A72D70"/>
    <w:rsid w:val="00A73847"/>
    <w:rsid w:val="00A749CD"/>
    <w:rsid w:val="00A751CD"/>
    <w:rsid w:val="00A75791"/>
    <w:rsid w:val="00A75A4F"/>
    <w:rsid w:val="00A75F9E"/>
    <w:rsid w:val="00A7628B"/>
    <w:rsid w:val="00A77127"/>
    <w:rsid w:val="00A775D5"/>
    <w:rsid w:val="00A800D3"/>
    <w:rsid w:val="00A8234C"/>
    <w:rsid w:val="00A8284A"/>
    <w:rsid w:val="00A82919"/>
    <w:rsid w:val="00A8351C"/>
    <w:rsid w:val="00A83731"/>
    <w:rsid w:val="00A83CA1"/>
    <w:rsid w:val="00A8451E"/>
    <w:rsid w:val="00A8582A"/>
    <w:rsid w:val="00A86286"/>
    <w:rsid w:val="00A87425"/>
    <w:rsid w:val="00A87434"/>
    <w:rsid w:val="00A87B01"/>
    <w:rsid w:val="00A90AA7"/>
    <w:rsid w:val="00A91DD1"/>
    <w:rsid w:val="00A944C4"/>
    <w:rsid w:val="00A9524C"/>
    <w:rsid w:val="00A9637F"/>
    <w:rsid w:val="00A96AF2"/>
    <w:rsid w:val="00A96F98"/>
    <w:rsid w:val="00A9715C"/>
    <w:rsid w:val="00AA18C0"/>
    <w:rsid w:val="00AA31F8"/>
    <w:rsid w:val="00AA3B45"/>
    <w:rsid w:val="00AA4EE6"/>
    <w:rsid w:val="00AA547F"/>
    <w:rsid w:val="00AA5846"/>
    <w:rsid w:val="00AA5F55"/>
    <w:rsid w:val="00AA60B3"/>
    <w:rsid w:val="00AA614A"/>
    <w:rsid w:val="00AA6355"/>
    <w:rsid w:val="00AA705C"/>
    <w:rsid w:val="00AA7CF5"/>
    <w:rsid w:val="00AB075B"/>
    <w:rsid w:val="00AB08B9"/>
    <w:rsid w:val="00AB0A38"/>
    <w:rsid w:val="00AB1671"/>
    <w:rsid w:val="00AB1E80"/>
    <w:rsid w:val="00AB1F9A"/>
    <w:rsid w:val="00AB22D4"/>
    <w:rsid w:val="00AB2730"/>
    <w:rsid w:val="00AB2877"/>
    <w:rsid w:val="00AB2A89"/>
    <w:rsid w:val="00AB3DC9"/>
    <w:rsid w:val="00AB4AAA"/>
    <w:rsid w:val="00AB4B0C"/>
    <w:rsid w:val="00AB6B60"/>
    <w:rsid w:val="00AC0D0E"/>
    <w:rsid w:val="00AC0F1F"/>
    <w:rsid w:val="00AC4838"/>
    <w:rsid w:val="00AC4B1A"/>
    <w:rsid w:val="00AC549F"/>
    <w:rsid w:val="00AC5909"/>
    <w:rsid w:val="00AC6BEA"/>
    <w:rsid w:val="00AC71C3"/>
    <w:rsid w:val="00AC74FA"/>
    <w:rsid w:val="00AC7AB7"/>
    <w:rsid w:val="00AC7DE6"/>
    <w:rsid w:val="00AD011C"/>
    <w:rsid w:val="00AD044D"/>
    <w:rsid w:val="00AD1007"/>
    <w:rsid w:val="00AD1268"/>
    <w:rsid w:val="00AD19CF"/>
    <w:rsid w:val="00AD1A2F"/>
    <w:rsid w:val="00AD1FDE"/>
    <w:rsid w:val="00AD2A3C"/>
    <w:rsid w:val="00AD34D9"/>
    <w:rsid w:val="00AD406E"/>
    <w:rsid w:val="00AD4B2B"/>
    <w:rsid w:val="00AD563E"/>
    <w:rsid w:val="00AD5874"/>
    <w:rsid w:val="00AD5CAF"/>
    <w:rsid w:val="00AD5E21"/>
    <w:rsid w:val="00AD6547"/>
    <w:rsid w:val="00AD6B46"/>
    <w:rsid w:val="00AD71BF"/>
    <w:rsid w:val="00AD783D"/>
    <w:rsid w:val="00AD7D4B"/>
    <w:rsid w:val="00AD7DB0"/>
    <w:rsid w:val="00AE042F"/>
    <w:rsid w:val="00AE0692"/>
    <w:rsid w:val="00AE0BF0"/>
    <w:rsid w:val="00AE10A5"/>
    <w:rsid w:val="00AE1C3A"/>
    <w:rsid w:val="00AE1D0C"/>
    <w:rsid w:val="00AE1DDF"/>
    <w:rsid w:val="00AE2603"/>
    <w:rsid w:val="00AE31A4"/>
    <w:rsid w:val="00AE440A"/>
    <w:rsid w:val="00AE45BF"/>
    <w:rsid w:val="00AE4F0F"/>
    <w:rsid w:val="00AE558C"/>
    <w:rsid w:val="00AE570B"/>
    <w:rsid w:val="00AE6551"/>
    <w:rsid w:val="00AE6C06"/>
    <w:rsid w:val="00AE7258"/>
    <w:rsid w:val="00AE7D9D"/>
    <w:rsid w:val="00AE7EC4"/>
    <w:rsid w:val="00AE7F85"/>
    <w:rsid w:val="00AF03E5"/>
    <w:rsid w:val="00AF06A9"/>
    <w:rsid w:val="00AF0BFD"/>
    <w:rsid w:val="00AF354A"/>
    <w:rsid w:val="00AF3917"/>
    <w:rsid w:val="00AF47E4"/>
    <w:rsid w:val="00AF528D"/>
    <w:rsid w:val="00AF5591"/>
    <w:rsid w:val="00AF64A0"/>
    <w:rsid w:val="00AF67B8"/>
    <w:rsid w:val="00AF6BDC"/>
    <w:rsid w:val="00AF6C7F"/>
    <w:rsid w:val="00B00143"/>
    <w:rsid w:val="00B01736"/>
    <w:rsid w:val="00B01C13"/>
    <w:rsid w:val="00B021F0"/>
    <w:rsid w:val="00B032FA"/>
    <w:rsid w:val="00B0410B"/>
    <w:rsid w:val="00B04146"/>
    <w:rsid w:val="00B0462F"/>
    <w:rsid w:val="00B0491D"/>
    <w:rsid w:val="00B05385"/>
    <w:rsid w:val="00B0579E"/>
    <w:rsid w:val="00B05E9E"/>
    <w:rsid w:val="00B060D1"/>
    <w:rsid w:val="00B0640B"/>
    <w:rsid w:val="00B06787"/>
    <w:rsid w:val="00B10EC9"/>
    <w:rsid w:val="00B116B6"/>
    <w:rsid w:val="00B123B8"/>
    <w:rsid w:val="00B13936"/>
    <w:rsid w:val="00B13BC8"/>
    <w:rsid w:val="00B146E2"/>
    <w:rsid w:val="00B1488A"/>
    <w:rsid w:val="00B1490C"/>
    <w:rsid w:val="00B14A17"/>
    <w:rsid w:val="00B14D28"/>
    <w:rsid w:val="00B14D64"/>
    <w:rsid w:val="00B15048"/>
    <w:rsid w:val="00B15258"/>
    <w:rsid w:val="00B157A8"/>
    <w:rsid w:val="00B15893"/>
    <w:rsid w:val="00B15D1C"/>
    <w:rsid w:val="00B15E39"/>
    <w:rsid w:val="00B17B04"/>
    <w:rsid w:val="00B17E7A"/>
    <w:rsid w:val="00B20470"/>
    <w:rsid w:val="00B21B31"/>
    <w:rsid w:val="00B2243B"/>
    <w:rsid w:val="00B22672"/>
    <w:rsid w:val="00B2278E"/>
    <w:rsid w:val="00B228EC"/>
    <w:rsid w:val="00B2332D"/>
    <w:rsid w:val="00B24475"/>
    <w:rsid w:val="00B2449D"/>
    <w:rsid w:val="00B2479E"/>
    <w:rsid w:val="00B24A60"/>
    <w:rsid w:val="00B25149"/>
    <w:rsid w:val="00B25309"/>
    <w:rsid w:val="00B25A54"/>
    <w:rsid w:val="00B25CE0"/>
    <w:rsid w:val="00B25D8B"/>
    <w:rsid w:val="00B26608"/>
    <w:rsid w:val="00B273E7"/>
    <w:rsid w:val="00B2764F"/>
    <w:rsid w:val="00B276D6"/>
    <w:rsid w:val="00B27740"/>
    <w:rsid w:val="00B2780B"/>
    <w:rsid w:val="00B306DC"/>
    <w:rsid w:val="00B31989"/>
    <w:rsid w:val="00B31A9A"/>
    <w:rsid w:val="00B33CB4"/>
    <w:rsid w:val="00B33FCA"/>
    <w:rsid w:val="00B348CB"/>
    <w:rsid w:val="00B34989"/>
    <w:rsid w:val="00B349CB"/>
    <w:rsid w:val="00B35D7A"/>
    <w:rsid w:val="00B35D88"/>
    <w:rsid w:val="00B36718"/>
    <w:rsid w:val="00B36EE4"/>
    <w:rsid w:val="00B370E5"/>
    <w:rsid w:val="00B37839"/>
    <w:rsid w:val="00B37988"/>
    <w:rsid w:val="00B37DFB"/>
    <w:rsid w:val="00B40887"/>
    <w:rsid w:val="00B40908"/>
    <w:rsid w:val="00B41163"/>
    <w:rsid w:val="00B423B2"/>
    <w:rsid w:val="00B42828"/>
    <w:rsid w:val="00B428E8"/>
    <w:rsid w:val="00B42B3D"/>
    <w:rsid w:val="00B42D09"/>
    <w:rsid w:val="00B433E0"/>
    <w:rsid w:val="00B43C20"/>
    <w:rsid w:val="00B442AF"/>
    <w:rsid w:val="00B44635"/>
    <w:rsid w:val="00B45046"/>
    <w:rsid w:val="00B46099"/>
    <w:rsid w:val="00B469E3"/>
    <w:rsid w:val="00B46ABE"/>
    <w:rsid w:val="00B47240"/>
    <w:rsid w:val="00B51160"/>
    <w:rsid w:val="00B51311"/>
    <w:rsid w:val="00B516D6"/>
    <w:rsid w:val="00B51BE3"/>
    <w:rsid w:val="00B520D5"/>
    <w:rsid w:val="00B52866"/>
    <w:rsid w:val="00B528DA"/>
    <w:rsid w:val="00B53D19"/>
    <w:rsid w:val="00B542A6"/>
    <w:rsid w:val="00B554A4"/>
    <w:rsid w:val="00B57691"/>
    <w:rsid w:val="00B61CA0"/>
    <w:rsid w:val="00B62179"/>
    <w:rsid w:val="00B62469"/>
    <w:rsid w:val="00B6342A"/>
    <w:rsid w:val="00B6370A"/>
    <w:rsid w:val="00B63831"/>
    <w:rsid w:val="00B64B35"/>
    <w:rsid w:val="00B65E7A"/>
    <w:rsid w:val="00B667C1"/>
    <w:rsid w:val="00B66978"/>
    <w:rsid w:val="00B66BD0"/>
    <w:rsid w:val="00B66F4B"/>
    <w:rsid w:val="00B67401"/>
    <w:rsid w:val="00B70347"/>
    <w:rsid w:val="00B7068A"/>
    <w:rsid w:val="00B70978"/>
    <w:rsid w:val="00B7105F"/>
    <w:rsid w:val="00B71534"/>
    <w:rsid w:val="00B72962"/>
    <w:rsid w:val="00B74AB5"/>
    <w:rsid w:val="00B74BFA"/>
    <w:rsid w:val="00B75A18"/>
    <w:rsid w:val="00B76B7D"/>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718"/>
    <w:rsid w:val="00B91C3D"/>
    <w:rsid w:val="00B92091"/>
    <w:rsid w:val="00B928E6"/>
    <w:rsid w:val="00B9343F"/>
    <w:rsid w:val="00B93662"/>
    <w:rsid w:val="00B945CB"/>
    <w:rsid w:val="00B94C15"/>
    <w:rsid w:val="00B94ED5"/>
    <w:rsid w:val="00B94F47"/>
    <w:rsid w:val="00B95785"/>
    <w:rsid w:val="00B95E1E"/>
    <w:rsid w:val="00B9659F"/>
    <w:rsid w:val="00B97822"/>
    <w:rsid w:val="00B97A97"/>
    <w:rsid w:val="00B97D8B"/>
    <w:rsid w:val="00BA0A9E"/>
    <w:rsid w:val="00BA107E"/>
    <w:rsid w:val="00BA14C0"/>
    <w:rsid w:val="00BA14EA"/>
    <w:rsid w:val="00BA18FB"/>
    <w:rsid w:val="00BA20F0"/>
    <w:rsid w:val="00BA3828"/>
    <w:rsid w:val="00BA4F7F"/>
    <w:rsid w:val="00BA523F"/>
    <w:rsid w:val="00BA6128"/>
    <w:rsid w:val="00BA6811"/>
    <w:rsid w:val="00BA744A"/>
    <w:rsid w:val="00BA7936"/>
    <w:rsid w:val="00BA7DA7"/>
    <w:rsid w:val="00BB0991"/>
    <w:rsid w:val="00BB0B1C"/>
    <w:rsid w:val="00BB0FB2"/>
    <w:rsid w:val="00BB22C2"/>
    <w:rsid w:val="00BB2E7F"/>
    <w:rsid w:val="00BB3413"/>
    <w:rsid w:val="00BB3FDE"/>
    <w:rsid w:val="00BB44A1"/>
    <w:rsid w:val="00BB48E4"/>
    <w:rsid w:val="00BB4C04"/>
    <w:rsid w:val="00BB4F3A"/>
    <w:rsid w:val="00BB5043"/>
    <w:rsid w:val="00BB68BF"/>
    <w:rsid w:val="00BB6E42"/>
    <w:rsid w:val="00BB70F9"/>
    <w:rsid w:val="00BB71FA"/>
    <w:rsid w:val="00BB763D"/>
    <w:rsid w:val="00BC0033"/>
    <w:rsid w:val="00BC0CAC"/>
    <w:rsid w:val="00BC134A"/>
    <w:rsid w:val="00BC1B53"/>
    <w:rsid w:val="00BC2204"/>
    <w:rsid w:val="00BC27C3"/>
    <w:rsid w:val="00BC3D64"/>
    <w:rsid w:val="00BC44E2"/>
    <w:rsid w:val="00BC4E42"/>
    <w:rsid w:val="00BC4EF6"/>
    <w:rsid w:val="00BC51B6"/>
    <w:rsid w:val="00BC5291"/>
    <w:rsid w:val="00BC58A3"/>
    <w:rsid w:val="00BC5CB5"/>
    <w:rsid w:val="00BC6407"/>
    <w:rsid w:val="00BC6C24"/>
    <w:rsid w:val="00BC6FEE"/>
    <w:rsid w:val="00BC72A6"/>
    <w:rsid w:val="00BC781D"/>
    <w:rsid w:val="00BD06B9"/>
    <w:rsid w:val="00BD1388"/>
    <w:rsid w:val="00BD293E"/>
    <w:rsid w:val="00BD3010"/>
    <w:rsid w:val="00BD3491"/>
    <w:rsid w:val="00BD4157"/>
    <w:rsid w:val="00BD4C14"/>
    <w:rsid w:val="00BD4C62"/>
    <w:rsid w:val="00BD69B3"/>
    <w:rsid w:val="00BD7612"/>
    <w:rsid w:val="00BE05E4"/>
    <w:rsid w:val="00BE09B4"/>
    <w:rsid w:val="00BE0EA2"/>
    <w:rsid w:val="00BE13F2"/>
    <w:rsid w:val="00BE1950"/>
    <w:rsid w:val="00BE27F9"/>
    <w:rsid w:val="00BE2A6F"/>
    <w:rsid w:val="00BE3B30"/>
    <w:rsid w:val="00BE580F"/>
    <w:rsid w:val="00BE64C8"/>
    <w:rsid w:val="00BE6D2C"/>
    <w:rsid w:val="00BE73DA"/>
    <w:rsid w:val="00BE7A4D"/>
    <w:rsid w:val="00BF02E1"/>
    <w:rsid w:val="00BF0850"/>
    <w:rsid w:val="00BF0B9B"/>
    <w:rsid w:val="00BF0BAF"/>
    <w:rsid w:val="00BF186F"/>
    <w:rsid w:val="00BF1BE7"/>
    <w:rsid w:val="00BF2A6E"/>
    <w:rsid w:val="00BF2E54"/>
    <w:rsid w:val="00BF365E"/>
    <w:rsid w:val="00BF3914"/>
    <w:rsid w:val="00BF3D5E"/>
    <w:rsid w:val="00BF483A"/>
    <w:rsid w:val="00BF4D43"/>
    <w:rsid w:val="00BF522B"/>
    <w:rsid w:val="00BF5AC1"/>
    <w:rsid w:val="00BF64F3"/>
    <w:rsid w:val="00BF6F5D"/>
    <w:rsid w:val="00C00743"/>
    <w:rsid w:val="00C00B61"/>
    <w:rsid w:val="00C01FB2"/>
    <w:rsid w:val="00C03486"/>
    <w:rsid w:val="00C0381D"/>
    <w:rsid w:val="00C048BD"/>
    <w:rsid w:val="00C04D88"/>
    <w:rsid w:val="00C053AB"/>
    <w:rsid w:val="00C059DF"/>
    <w:rsid w:val="00C05E03"/>
    <w:rsid w:val="00C06624"/>
    <w:rsid w:val="00C068A2"/>
    <w:rsid w:val="00C06C3D"/>
    <w:rsid w:val="00C07906"/>
    <w:rsid w:val="00C07C36"/>
    <w:rsid w:val="00C07FC6"/>
    <w:rsid w:val="00C10A5C"/>
    <w:rsid w:val="00C10F7B"/>
    <w:rsid w:val="00C1101B"/>
    <w:rsid w:val="00C11C5F"/>
    <w:rsid w:val="00C11D2E"/>
    <w:rsid w:val="00C12092"/>
    <w:rsid w:val="00C137C0"/>
    <w:rsid w:val="00C150BA"/>
    <w:rsid w:val="00C160AC"/>
    <w:rsid w:val="00C16709"/>
    <w:rsid w:val="00C16AE2"/>
    <w:rsid w:val="00C17095"/>
    <w:rsid w:val="00C178B7"/>
    <w:rsid w:val="00C17F34"/>
    <w:rsid w:val="00C20AA5"/>
    <w:rsid w:val="00C2126D"/>
    <w:rsid w:val="00C2150C"/>
    <w:rsid w:val="00C21DCE"/>
    <w:rsid w:val="00C22290"/>
    <w:rsid w:val="00C22D84"/>
    <w:rsid w:val="00C2329A"/>
    <w:rsid w:val="00C24A5C"/>
    <w:rsid w:val="00C259F2"/>
    <w:rsid w:val="00C27B3E"/>
    <w:rsid w:val="00C27CBD"/>
    <w:rsid w:val="00C307A2"/>
    <w:rsid w:val="00C30A44"/>
    <w:rsid w:val="00C3472C"/>
    <w:rsid w:val="00C34B3B"/>
    <w:rsid w:val="00C35693"/>
    <w:rsid w:val="00C35B52"/>
    <w:rsid w:val="00C3676D"/>
    <w:rsid w:val="00C3703D"/>
    <w:rsid w:val="00C37F58"/>
    <w:rsid w:val="00C4146F"/>
    <w:rsid w:val="00C4171E"/>
    <w:rsid w:val="00C43740"/>
    <w:rsid w:val="00C43E73"/>
    <w:rsid w:val="00C44189"/>
    <w:rsid w:val="00C44392"/>
    <w:rsid w:val="00C44646"/>
    <w:rsid w:val="00C44782"/>
    <w:rsid w:val="00C44EE5"/>
    <w:rsid w:val="00C454E7"/>
    <w:rsid w:val="00C457F9"/>
    <w:rsid w:val="00C46378"/>
    <w:rsid w:val="00C46DB0"/>
    <w:rsid w:val="00C46DC4"/>
    <w:rsid w:val="00C46F1F"/>
    <w:rsid w:val="00C47780"/>
    <w:rsid w:val="00C501AB"/>
    <w:rsid w:val="00C50361"/>
    <w:rsid w:val="00C52551"/>
    <w:rsid w:val="00C528FE"/>
    <w:rsid w:val="00C52C81"/>
    <w:rsid w:val="00C53DDE"/>
    <w:rsid w:val="00C546DC"/>
    <w:rsid w:val="00C55141"/>
    <w:rsid w:val="00C55A83"/>
    <w:rsid w:val="00C564DE"/>
    <w:rsid w:val="00C5679C"/>
    <w:rsid w:val="00C579DD"/>
    <w:rsid w:val="00C60234"/>
    <w:rsid w:val="00C60C64"/>
    <w:rsid w:val="00C61749"/>
    <w:rsid w:val="00C61C76"/>
    <w:rsid w:val="00C62A0B"/>
    <w:rsid w:val="00C6310E"/>
    <w:rsid w:val="00C63A9C"/>
    <w:rsid w:val="00C640BE"/>
    <w:rsid w:val="00C64363"/>
    <w:rsid w:val="00C645A3"/>
    <w:rsid w:val="00C64990"/>
    <w:rsid w:val="00C64CF2"/>
    <w:rsid w:val="00C65883"/>
    <w:rsid w:val="00C65C67"/>
    <w:rsid w:val="00C65F9B"/>
    <w:rsid w:val="00C667B7"/>
    <w:rsid w:val="00C668CE"/>
    <w:rsid w:val="00C66B8F"/>
    <w:rsid w:val="00C6703C"/>
    <w:rsid w:val="00C6760E"/>
    <w:rsid w:val="00C67B7F"/>
    <w:rsid w:val="00C7031C"/>
    <w:rsid w:val="00C70AC1"/>
    <w:rsid w:val="00C712A3"/>
    <w:rsid w:val="00C712B8"/>
    <w:rsid w:val="00C720A1"/>
    <w:rsid w:val="00C72366"/>
    <w:rsid w:val="00C72DFC"/>
    <w:rsid w:val="00C73452"/>
    <w:rsid w:val="00C7406B"/>
    <w:rsid w:val="00C74175"/>
    <w:rsid w:val="00C74307"/>
    <w:rsid w:val="00C74407"/>
    <w:rsid w:val="00C747F2"/>
    <w:rsid w:val="00C756F7"/>
    <w:rsid w:val="00C75B2B"/>
    <w:rsid w:val="00C762DF"/>
    <w:rsid w:val="00C76DE7"/>
    <w:rsid w:val="00C80998"/>
    <w:rsid w:val="00C80D31"/>
    <w:rsid w:val="00C80F25"/>
    <w:rsid w:val="00C81980"/>
    <w:rsid w:val="00C81C5A"/>
    <w:rsid w:val="00C81EFF"/>
    <w:rsid w:val="00C83696"/>
    <w:rsid w:val="00C83EE3"/>
    <w:rsid w:val="00C841C2"/>
    <w:rsid w:val="00C8512C"/>
    <w:rsid w:val="00C85B4B"/>
    <w:rsid w:val="00C85C6B"/>
    <w:rsid w:val="00C877F4"/>
    <w:rsid w:val="00C90A97"/>
    <w:rsid w:val="00C9129F"/>
    <w:rsid w:val="00C913CC"/>
    <w:rsid w:val="00C915BF"/>
    <w:rsid w:val="00C9238D"/>
    <w:rsid w:val="00C9271F"/>
    <w:rsid w:val="00C92E06"/>
    <w:rsid w:val="00C94504"/>
    <w:rsid w:val="00C94B3D"/>
    <w:rsid w:val="00C94B49"/>
    <w:rsid w:val="00C94B8A"/>
    <w:rsid w:val="00C951B2"/>
    <w:rsid w:val="00C96D1B"/>
    <w:rsid w:val="00CA0F67"/>
    <w:rsid w:val="00CA2612"/>
    <w:rsid w:val="00CA2E8C"/>
    <w:rsid w:val="00CA38A5"/>
    <w:rsid w:val="00CA51EF"/>
    <w:rsid w:val="00CA52C3"/>
    <w:rsid w:val="00CA52E8"/>
    <w:rsid w:val="00CA60B7"/>
    <w:rsid w:val="00CA673C"/>
    <w:rsid w:val="00CA6850"/>
    <w:rsid w:val="00CA686F"/>
    <w:rsid w:val="00CA69EC"/>
    <w:rsid w:val="00CA7CBE"/>
    <w:rsid w:val="00CB0886"/>
    <w:rsid w:val="00CB091C"/>
    <w:rsid w:val="00CB0F0B"/>
    <w:rsid w:val="00CB116F"/>
    <w:rsid w:val="00CB1189"/>
    <w:rsid w:val="00CB121D"/>
    <w:rsid w:val="00CB1973"/>
    <w:rsid w:val="00CB21D3"/>
    <w:rsid w:val="00CB295D"/>
    <w:rsid w:val="00CB50CD"/>
    <w:rsid w:val="00CB5143"/>
    <w:rsid w:val="00CB5A3C"/>
    <w:rsid w:val="00CB6B4F"/>
    <w:rsid w:val="00CC0E54"/>
    <w:rsid w:val="00CC12D9"/>
    <w:rsid w:val="00CC1F62"/>
    <w:rsid w:val="00CC2498"/>
    <w:rsid w:val="00CC3196"/>
    <w:rsid w:val="00CC4358"/>
    <w:rsid w:val="00CC436E"/>
    <w:rsid w:val="00CC513E"/>
    <w:rsid w:val="00CC5494"/>
    <w:rsid w:val="00CC5D28"/>
    <w:rsid w:val="00CC6A23"/>
    <w:rsid w:val="00CD092D"/>
    <w:rsid w:val="00CD2056"/>
    <w:rsid w:val="00CD3863"/>
    <w:rsid w:val="00CD389D"/>
    <w:rsid w:val="00CD3B02"/>
    <w:rsid w:val="00CD47B1"/>
    <w:rsid w:val="00CD53E9"/>
    <w:rsid w:val="00CD550C"/>
    <w:rsid w:val="00CD5784"/>
    <w:rsid w:val="00CD6BC8"/>
    <w:rsid w:val="00CE0FE0"/>
    <w:rsid w:val="00CE10BA"/>
    <w:rsid w:val="00CE1128"/>
    <w:rsid w:val="00CE267E"/>
    <w:rsid w:val="00CE2686"/>
    <w:rsid w:val="00CE2C73"/>
    <w:rsid w:val="00CE2DA3"/>
    <w:rsid w:val="00CE30EE"/>
    <w:rsid w:val="00CE31AC"/>
    <w:rsid w:val="00CE37AC"/>
    <w:rsid w:val="00CE3819"/>
    <w:rsid w:val="00CE3890"/>
    <w:rsid w:val="00CE3A07"/>
    <w:rsid w:val="00CE50DB"/>
    <w:rsid w:val="00CE5602"/>
    <w:rsid w:val="00CE567E"/>
    <w:rsid w:val="00CE5FEB"/>
    <w:rsid w:val="00CE681A"/>
    <w:rsid w:val="00CE7260"/>
    <w:rsid w:val="00CE79DF"/>
    <w:rsid w:val="00CE7A94"/>
    <w:rsid w:val="00CF00ED"/>
    <w:rsid w:val="00CF0901"/>
    <w:rsid w:val="00CF21F6"/>
    <w:rsid w:val="00CF25B5"/>
    <w:rsid w:val="00CF2BDF"/>
    <w:rsid w:val="00CF2D65"/>
    <w:rsid w:val="00CF319D"/>
    <w:rsid w:val="00CF3DE4"/>
    <w:rsid w:val="00CF44DA"/>
    <w:rsid w:val="00CF4572"/>
    <w:rsid w:val="00CF4C7F"/>
    <w:rsid w:val="00CF52F9"/>
    <w:rsid w:val="00CF57F6"/>
    <w:rsid w:val="00CF6138"/>
    <w:rsid w:val="00CF6FA4"/>
    <w:rsid w:val="00CF735F"/>
    <w:rsid w:val="00CF7935"/>
    <w:rsid w:val="00CF7E68"/>
    <w:rsid w:val="00CF7E95"/>
    <w:rsid w:val="00D0007D"/>
    <w:rsid w:val="00D00320"/>
    <w:rsid w:val="00D0032D"/>
    <w:rsid w:val="00D0252C"/>
    <w:rsid w:val="00D03990"/>
    <w:rsid w:val="00D050D4"/>
    <w:rsid w:val="00D05E30"/>
    <w:rsid w:val="00D06740"/>
    <w:rsid w:val="00D0719F"/>
    <w:rsid w:val="00D07271"/>
    <w:rsid w:val="00D07415"/>
    <w:rsid w:val="00D07970"/>
    <w:rsid w:val="00D1001C"/>
    <w:rsid w:val="00D10822"/>
    <w:rsid w:val="00D1109D"/>
    <w:rsid w:val="00D134FC"/>
    <w:rsid w:val="00D1352C"/>
    <w:rsid w:val="00D15967"/>
    <w:rsid w:val="00D16486"/>
    <w:rsid w:val="00D170BB"/>
    <w:rsid w:val="00D17B74"/>
    <w:rsid w:val="00D17EAE"/>
    <w:rsid w:val="00D211ED"/>
    <w:rsid w:val="00D216E5"/>
    <w:rsid w:val="00D2212B"/>
    <w:rsid w:val="00D22A59"/>
    <w:rsid w:val="00D230E2"/>
    <w:rsid w:val="00D23F92"/>
    <w:rsid w:val="00D2473A"/>
    <w:rsid w:val="00D25D2B"/>
    <w:rsid w:val="00D25D9B"/>
    <w:rsid w:val="00D26A07"/>
    <w:rsid w:val="00D27347"/>
    <w:rsid w:val="00D301B8"/>
    <w:rsid w:val="00D3071A"/>
    <w:rsid w:val="00D30883"/>
    <w:rsid w:val="00D30B57"/>
    <w:rsid w:val="00D3182A"/>
    <w:rsid w:val="00D31CBE"/>
    <w:rsid w:val="00D31FEE"/>
    <w:rsid w:val="00D334D3"/>
    <w:rsid w:val="00D34AAC"/>
    <w:rsid w:val="00D3592F"/>
    <w:rsid w:val="00D35EDE"/>
    <w:rsid w:val="00D368F3"/>
    <w:rsid w:val="00D36B75"/>
    <w:rsid w:val="00D37025"/>
    <w:rsid w:val="00D40066"/>
    <w:rsid w:val="00D40EE7"/>
    <w:rsid w:val="00D4166E"/>
    <w:rsid w:val="00D41C22"/>
    <w:rsid w:val="00D434B2"/>
    <w:rsid w:val="00D44556"/>
    <w:rsid w:val="00D44670"/>
    <w:rsid w:val="00D44CE0"/>
    <w:rsid w:val="00D45037"/>
    <w:rsid w:val="00D45CBD"/>
    <w:rsid w:val="00D46182"/>
    <w:rsid w:val="00D46196"/>
    <w:rsid w:val="00D46B36"/>
    <w:rsid w:val="00D46CC8"/>
    <w:rsid w:val="00D46EAD"/>
    <w:rsid w:val="00D47086"/>
    <w:rsid w:val="00D472B8"/>
    <w:rsid w:val="00D47971"/>
    <w:rsid w:val="00D47BAD"/>
    <w:rsid w:val="00D51EC7"/>
    <w:rsid w:val="00D5423F"/>
    <w:rsid w:val="00D54E1D"/>
    <w:rsid w:val="00D56219"/>
    <w:rsid w:val="00D56AAD"/>
    <w:rsid w:val="00D57AE0"/>
    <w:rsid w:val="00D600A1"/>
    <w:rsid w:val="00D60D83"/>
    <w:rsid w:val="00D611D1"/>
    <w:rsid w:val="00D61E44"/>
    <w:rsid w:val="00D6229D"/>
    <w:rsid w:val="00D62311"/>
    <w:rsid w:val="00D633B3"/>
    <w:rsid w:val="00D6408F"/>
    <w:rsid w:val="00D64094"/>
    <w:rsid w:val="00D6420B"/>
    <w:rsid w:val="00D64BDF"/>
    <w:rsid w:val="00D668DE"/>
    <w:rsid w:val="00D70A59"/>
    <w:rsid w:val="00D715FD"/>
    <w:rsid w:val="00D71BFB"/>
    <w:rsid w:val="00D7374B"/>
    <w:rsid w:val="00D738F1"/>
    <w:rsid w:val="00D748D7"/>
    <w:rsid w:val="00D74E1E"/>
    <w:rsid w:val="00D75616"/>
    <w:rsid w:val="00D75871"/>
    <w:rsid w:val="00D76480"/>
    <w:rsid w:val="00D76D8B"/>
    <w:rsid w:val="00D811FF"/>
    <w:rsid w:val="00D8272D"/>
    <w:rsid w:val="00D82ED1"/>
    <w:rsid w:val="00D82F63"/>
    <w:rsid w:val="00D83365"/>
    <w:rsid w:val="00D83B22"/>
    <w:rsid w:val="00D83DCC"/>
    <w:rsid w:val="00D83E54"/>
    <w:rsid w:val="00D8411B"/>
    <w:rsid w:val="00D849D9"/>
    <w:rsid w:val="00D85711"/>
    <w:rsid w:val="00D8648F"/>
    <w:rsid w:val="00D872F6"/>
    <w:rsid w:val="00D87E84"/>
    <w:rsid w:val="00D9118B"/>
    <w:rsid w:val="00D9195F"/>
    <w:rsid w:val="00D91A86"/>
    <w:rsid w:val="00D922DB"/>
    <w:rsid w:val="00D922F0"/>
    <w:rsid w:val="00D9314B"/>
    <w:rsid w:val="00D936CC"/>
    <w:rsid w:val="00D9411A"/>
    <w:rsid w:val="00D953EB"/>
    <w:rsid w:val="00D9568C"/>
    <w:rsid w:val="00D95892"/>
    <w:rsid w:val="00D96252"/>
    <w:rsid w:val="00D96470"/>
    <w:rsid w:val="00D96944"/>
    <w:rsid w:val="00D96C0A"/>
    <w:rsid w:val="00D974F8"/>
    <w:rsid w:val="00D97C2E"/>
    <w:rsid w:val="00DA038E"/>
    <w:rsid w:val="00DA06E1"/>
    <w:rsid w:val="00DA0760"/>
    <w:rsid w:val="00DA188D"/>
    <w:rsid w:val="00DA2D7B"/>
    <w:rsid w:val="00DA408C"/>
    <w:rsid w:val="00DA4273"/>
    <w:rsid w:val="00DA4290"/>
    <w:rsid w:val="00DA43CC"/>
    <w:rsid w:val="00DA4A1A"/>
    <w:rsid w:val="00DA4F5B"/>
    <w:rsid w:val="00DA5023"/>
    <w:rsid w:val="00DA533C"/>
    <w:rsid w:val="00DA53B9"/>
    <w:rsid w:val="00DA5867"/>
    <w:rsid w:val="00DA5F9A"/>
    <w:rsid w:val="00DA5FE8"/>
    <w:rsid w:val="00DA7398"/>
    <w:rsid w:val="00DA7DD4"/>
    <w:rsid w:val="00DA7EC4"/>
    <w:rsid w:val="00DB0050"/>
    <w:rsid w:val="00DB0F9D"/>
    <w:rsid w:val="00DB1857"/>
    <w:rsid w:val="00DB1CB1"/>
    <w:rsid w:val="00DB25C4"/>
    <w:rsid w:val="00DB31D4"/>
    <w:rsid w:val="00DB372D"/>
    <w:rsid w:val="00DB3E26"/>
    <w:rsid w:val="00DB3EEA"/>
    <w:rsid w:val="00DB45B4"/>
    <w:rsid w:val="00DB46B1"/>
    <w:rsid w:val="00DB4942"/>
    <w:rsid w:val="00DB4E59"/>
    <w:rsid w:val="00DB58D7"/>
    <w:rsid w:val="00DB61F4"/>
    <w:rsid w:val="00DB64D3"/>
    <w:rsid w:val="00DC046C"/>
    <w:rsid w:val="00DC0CAA"/>
    <w:rsid w:val="00DC3467"/>
    <w:rsid w:val="00DC4258"/>
    <w:rsid w:val="00DC4CBF"/>
    <w:rsid w:val="00DC5431"/>
    <w:rsid w:val="00DC6559"/>
    <w:rsid w:val="00DC71D8"/>
    <w:rsid w:val="00DC77BC"/>
    <w:rsid w:val="00DC7E81"/>
    <w:rsid w:val="00DD0723"/>
    <w:rsid w:val="00DD0A8B"/>
    <w:rsid w:val="00DD1B67"/>
    <w:rsid w:val="00DD1F02"/>
    <w:rsid w:val="00DD2291"/>
    <w:rsid w:val="00DD2B27"/>
    <w:rsid w:val="00DD2C87"/>
    <w:rsid w:val="00DD3004"/>
    <w:rsid w:val="00DD307D"/>
    <w:rsid w:val="00DD4A88"/>
    <w:rsid w:val="00DD4BF3"/>
    <w:rsid w:val="00DD56CF"/>
    <w:rsid w:val="00DD5ABB"/>
    <w:rsid w:val="00DD6028"/>
    <w:rsid w:val="00DD6041"/>
    <w:rsid w:val="00DD6274"/>
    <w:rsid w:val="00DD6B3F"/>
    <w:rsid w:val="00DD6E77"/>
    <w:rsid w:val="00DD7034"/>
    <w:rsid w:val="00DD732D"/>
    <w:rsid w:val="00DE0359"/>
    <w:rsid w:val="00DE110D"/>
    <w:rsid w:val="00DE1A61"/>
    <w:rsid w:val="00DE26DF"/>
    <w:rsid w:val="00DE2913"/>
    <w:rsid w:val="00DE2936"/>
    <w:rsid w:val="00DE463C"/>
    <w:rsid w:val="00DE4FB0"/>
    <w:rsid w:val="00DE6267"/>
    <w:rsid w:val="00DE7691"/>
    <w:rsid w:val="00DE7DB4"/>
    <w:rsid w:val="00DF0735"/>
    <w:rsid w:val="00DF0846"/>
    <w:rsid w:val="00DF0A20"/>
    <w:rsid w:val="00DF1FC6"/>
    <w:rsid w:val="00DF267A"/>
    <w:rsid w:val="00DF2801"/>
    <w:rsid w:val="00DF2F52"/>
    <w:rsid w:val="00DF31A3"/>
    <w:rsid w:val="00DF3396"/>
    <w:rsid w:val="00DF39D0"/>
    <w:rsid w:val="00DF3CF0"/>
    <w:rsid w:val="00DF445E"/>
    <w:rsid w:val="00DF4AE7"/>
    <w:rsid w:val="00DF50DF"/>
    <w:rsid w:val="00DF5E49"/>
    <w:rsid w:val="00DF5FFF"/>
    <w:rsid w:val="00DF6217"/>
    <w:rsid w:val="00DF631F"/>
    <w:rsid w:val="00DF63F0"/>
    <w:rsid w:val="00DF6586"/>
    <w:rsid w:val="00DF7A96"/>
    <w:rsid w:val="00E003F9"/>
    <w:rsid w:val="00E005DA"/>
    <w:rsid w:val="00E009A1"/>
    <w:rsid w:val="00E00CF0"/>
    <w:rsid w:val="00E00FAE"/>
    <w:rsid w:val="00E01228"/>
    <w:rsid w:val="00E0126B"/>
    <w:rsid w:val="00E01668"/>
    <w:rsid w:val="00E01916"/>
    <w:rsid w:val="00E01F01"/>
    <w:rsid w:val="00E0339D"/>
    <w:rsid w:val="00E0340A"/>
    <w:rsid w:val="00E03BCC"/>
    <w:rsid w:val="00E042DE"/>
    <w:rsid w:val="00E043CE"/>
    <w:rsid w:val="00E06125"/>
    <w:rsid w:val="00E1013C"/>
    <w:rsid w:val="00E107F1"/>
    <w:rsid w:val="00E109FF"/>
    <w:rsid w:val="00E1153F"/>
    <w:rsid w:val="00E1201E"/>
    <w:rsid w:val="00E12378"/>
    <w:rsid w:val="00E12C4F"/>
    <w:rsid w:val="00E12D54"/>
    <w:rsid w:val="00E14742"/>
    <w:rsid w:val="00E1480A"/>
    <w:rsid w:val="00E1482D"/>
    <w:rsid w:val="00E16016"/>
    <w:rsid w:val="00E16E0E"/>
    <w:rsid w:val="00E17395"/>
    <w:rsid w:val="00E20533"/>
    <w:rsid w:val="00E20866"/>
    <w:rsid w:val="00E20D5C"/>
    <w:rsid w:val="00E20D6C"/>
    <w:rsid w:val="00E20E4C"/>
    <w:rsid w:val="00E20EAC"/>
    <w:rsid w:val="00E21BD7"/>
    <w:rsid w:val="00E21DAA"/>
    <w:rsid w:val="00E21FE9"/>
    <w:rsid w:val="00E2297A"/>
    <w:rsid w:val="00E22BDD"/>
    <w:rsid w:val="00E23181"/>
    <w:rsid w:val="00E233EE"/>
    <w:rsid w:val="00E24B6A"/>
    <w:rsid w:val="00E24FBB"/>
    <w:rsid w:val="00E25461"/>
    <w:rsid w:val="00E26210"/>
    <w:rsid w:val="00E2658B"/>
    <w:rsid w:val="00E26DB4"/>
    <w:rsid w:val="00E26F8D"/>
    <w:rsid w:val="00E278D1"/>
    <w:rsid w:val="00E27C92"/>
    <w:rsid w:val="00E304BA"/>
    <w:rsid w:val="00E31216"/>
    <w:rsid w:val="00E31A4F"/>
    <w:rsid w:val="00E31A9D"/>
    <w:rsid w:val="00E31D16"/>
    <w:rsid w:val="00E32CF3"/>
    <w:rsid w:val="00E33EF5"/>
    <w:rsid w:val="00E35656"/>
    <w:rsid w:val="00E357F0"/>
    <w:rsid w:val="00E35A72"/>
    <w:rsid w:val="00E35D0C"/>
    <w:rsid w:val="00E36244"/>
    <w:rsid w:val="00E370A4"/>
    <w:rsid w:val="00E37E8A"/>
    <w:rsid w:val="00E40B0D"/>
    <w:rsid w:val="00E40F0E"/>
    <w:rsid w:val="00E4177C"/>
    <w:rsid w:val="00E424E3"/>
    <w:rsid w:val="00E4287F"/>
    <w:rsid w:val="00E44B45"/>
    <w:rsid w:val="00E455F9"/>
    <w:rsid w:val="00E45C21"/>
    <w:rsid w:val="00E4623D"/>
    <w:rsid w:val="00E463B8"/>
    <w:rsid w:val="00E46502"/>
    <w:rsid w:val="00E471F0"/>
    <w:rsid w:val="00E47598"/>
    <w:rsid w:val="00E47859"/>
    <w:rsid w:val="00E479BE"/>
    <w:rsid w:val="00E50795"/>
    <w:rsid w:val="00E50B4B"/>
    <w:rsid w:val="00E511CF"/>
    <w:rsid w:val="00E513F2"/>
    <w:rsid w:val="00E51A80"/>
    <w:rsid w:val="00E51E11"/>
    <w:rsid w:val="00E52C8F"/>
    <w:rsid w:val="00E52FC2"/>
    <w:rsid w:val="00E5309A"/>
    <w:rsid w:val="00E5335E"/>
    <w:rsid w:val="00E53380"/>
    <w:rsid w:val="00E54527"/>
    <w:rsid w:val="00E54EE6"/>
    <w:rsid w:val="00E553FA"/>
    <w:rsid w:val="00E5557C"/>
    <w:rsid w:val="00E5639B"/>
    <w:rsid w:val="00E568E5"/>
    <w:rsid w:val="00E56A8D"/>
    <w:rsid w:val="00E56D44"/>
    <w:rsid w:val="00E56EEF"/>
    <w:rsid w:val="00E5764B"/>
    <w:rsid w:val="00E600D0"/>
    <w:rsid w:val="00E605A9"/>
    <w:rsid w:val="00E61527"/>
    <w:rsid w:val="00E616CE"/>
    <w:rsid w:val="00E6263A"/>
    <w:rsid w:val="00E62AAC"/>
    <w:rsid w:val="00E63484"/>
    <w:rsid w:val="00E63E83"/>
    <w:rsid w:val="00E646D4"/>
    <w:rsid w:val="00E662C8"/>
    <w:rsid w:val="00E6739E"/>
    <w:rsid w:val="00E67DA4"/>
    <w:rsid w:val="00E67DDC"/>
    <w:rsid w:val="00E67F1E"/>
    <w:rsid w:val="00E67FF3"/>
    <w:rsid w:val="00E715E5"/>
    <w:rsid w:val="00E71DA4"/>
    <w:rsid w:val="00E72429"/>
    <w:rsid w:val="00E725C7"/>
    <w:rsid w:val="00E72CBD"/>
    <w:rsid w:val="00E72EB3"/>
    <w:rsid w:val="00E73463"/>
    <w:rsid w:val="00E75F11"/>
    <w:rsid w:val="00E76881"/>
    <w:rsid w:val="00E76FE1"/>
    <w:rsid w:val="00E77394"/>
    <w:rsid w:val="00E779C5"/>
    <w:rsid w:val="00E77B15"/>
    <w:rsid w:val="00E77EE6"/>
    <w:rsid w:val="00E802B5"/>
    <w:rsid w:val="00E807B4"/>
    <w:rsid w:val="00E807F8"/>
    <w:rsid w:val="00E80C7A"/>
    <w:rsid w:val="00E819EB"/>
    <w:rsid w:val="00E82049"/>
    <w:rsid w:val="00E8417F"/>
    <w:rsid w:val="00E8464F"/>
    <w:rsid w:val="00E856B5"/>
    <w:rsid w:val="00E857A2"/>
    <w:rsid w:val="00E8581C"/>
    <w:rsid w:val="00E85B37"/>
    <w:rsid w:val="00E866C1"/>
    <w:rsid w:val="00E86965"/>
    <w:rsid w:val="00E86E32"/>
    <w:rsid w:val="00E86E48"/>
    <w:rsid w:val="00E874EB"/>
    <w:rsid w:val="00E87A2D"/>
    <w:rsid w:val="00E90754"/>
    <w:rsid w:val="00E909B4"/>
    <w:rsid w:val="00E90D02"/>
    <w:rsid w:val="00E9148A"/>
    <w:rsid w:val="00E91ED1"/>
    <w:rsid w:val="00E9257F"/>
    <w:rsid w:val="00E925C8"/>
    <w:rsid w:val="00E92660"/>
    <w:rsid w:val="00E932DE"/>
    <w:rsid w:val="00E935CF"/>
    <w:rsid w:val="00E949A5"/>
    <w:rsid w:val="00E94AD9"/>
    <w:rsid w:val="00E955C8"/>
    <w:rsid w:val="00E95DE2"/>
    <w:rsid w:val="00E96A51"/>
    <w:rsid w:val="00E96AEC"/>
    <w:rsid w:val="00E97025"/>
    <w:rsid w:val="00E97338"/>
    <w:rsid w:val="00E974AF"/>
    <w:rsid w:val="00E977A7"/>
    <w:rsid w:val="00E97CC3"/>
    <w:rsid w:val="00EA13A7"/>
    <w:rsid w:val="00EA1620"/>
    <w:rsid w:val="00EA4742"/>
    <w:rsid w:val="00EA4C27"/>
    <w:rsid w:val="00EA4E25"/>
    <w:rsid w:val="00EA5733"/>
    <w:rsid w:val="00EA61D6"/>
    <w:rsid w:val="00EA68A4"/>
    <w:rsid w:val="00EB00F5"/>
    <w:rsid w:val="00EB0304"/>
    <w:rsid w:val="00EB0439"/>
    <w:rsid w:val="00EB0A0C"/>
    <w:rsid w:val="00EB0E14"/>
    <w:rsid w:val="00EB1450"/>
    <w:rsid w:val="00EB1B90"/>
    <w:rsid w:val="00EB25B3"/>
    <w:rsid w:val="00EB2FD2"/>
    <w:rsid w:val="00EB35F4"/>
    <w:rsid w:val="00EB408E"/>
    <w:rsid w:val="00EB4F02"/>
    <w:rsid w:val="00EB5A2C"/>
    <w:rsid w:val="00EB5A48"/>
    <w:rsid w:val="00EB721E"/>
    <w:rsid w:val="00EC0CAB"/>
    <w:rsid w:val="00EC131E"/>
    <w:rsid w:val="00EC142B"/>
    <w:rsid w:val="00EC1C35"/>
    <w:rsid w:val="00EC2654"/>
    <w:rsid w:val="00EC2721"/>
    <w:rsid w:val="00EC39AA"/>
    <w:rsid w:val="00EC5007"/>
    <w:rsid w:val="00EC5BFF"/>
    <w:rsid w:val="00EC6F01"/>
    <w:rsid w:val="00ED0088"/>
    <w:rsid w:val="00ED05E5"/>
    <w:rsid w:val="00ED1619"/>
    <w:rsid w:val="00ED37DC"/>
    <w:rsid w:val="00ED4B90"/>
    <w:rsid w:val="00ED576E"/>
    <w:rsid w:val="00ED5D87"/>
    <w:rsid w:val="00ED6577"/>
    <w:rsid w:val="00ED75FC"/>
    <w:rsid w:val="00ED7AE2"/>
    <w:rsid w:val="00ED7B7E"/>
    <w:rsid w:val="00EE08E9"/>
    <w:rsid w:val="00EE0906"/>
    <w:rsid w:val="00EE0954"/>
    <w:rsid w:val="00EE0B7B"/>
    <w:rsid w:val="00EE1033"/>
    <w:rsid w:val="00EE2ACA"/>
    <w:rsid w:val="00EE37A7"/>
    <w:rsid w:val="00EE3816"/>
    <w:rsid w:val="00EE53E3"/>
    <w:rsid w:val="00EE546C"/>
    <w:rsid w:val="00EE57D9"/>
    <w:rsid w:val="00EE5AE4"/>
    <w:rsid w:val="00EE5E60"/>
    <w:rsid w:val="00EE5F83"/>
    <w:rsid w:val="00EE7193"/>
    <w:rsid w:val="00EF174C"/>
    <w:rsid w:val="00EF1FF7"/>
    <w:rsid w:val="00EF2793"/>
    <w:rsid w:val="00EF3C54"/>
    <w:rsid w:val="00EF538F"/>
    <w:rsid w:val="00EF5698"/>
    <w:rsid w:val="00EF588D"/>
    <w:rsid w:val="00EF6390"/>
    <w:rsid w:val="00EF68DE"/>
    <w:rsid w:val="00F001D5"/>
    <w:rsid w:val="00F016E6"/>
    <w:rsid w:val="00F017D8"/>
    <w:rsid w:val="00F01A3E"/>
    <w:rsid w:val="00F01D20"/>
    <w:rsid w:val="00F02F02"/>
    <w:rsid w:val="00F035F2"/>
    <w:rsid w:val="00F05D3A"/>
    <w:rsid w:val="00F06520"/>
    <w:rsid w:val="00F06B3B"/>
    <w:rsid w:val="00F076DD"/>
    <w:rsid w:val="00F07A53"/>
    <w:rsid w:val="00F1037D"/>
    <w:rsid w:val="00F10908"/>
    <w:rsid w:val="00F10E26"/>
    <w:rsid w:val="00F1117F"/>
    <w:rsid w:val="00F13137"/>
    <w:rsid w:val="00F142D8"/>
    <w:rsid w:val="00F14474"/>
    <w:rsid w:val="00F14968"/>
    <w:rsid w:val="00F14AEF"/>
    <w:rsid w:val="00F15035"/>
    <w:rsid w:val="00F154C4"/>
    <w:rsid w:val="00F155DA"/>
    <w:rsid w:val="00F157ED"/>
    <w:rsid w:val="00F161B2"/>
    <w:rsid w:val="00F171D7"/>
    <w:rsid w:val="00F17209"/>
    <w:rsid w:val="00F210C4"/>
    <w:rsid w:val="00F211FF"/>
    <w:rsid w:val="00F218DC"/>
    <w:rsid w:val="00F21D5E"/>
    <w:rsid w:val="00F22815"/>
    <w:rsid w:val="00F22E2D"/>
    <w:rsid w:val="00F2332F"/>
    <w:rsid w:val="00F23BCE"/>
    <w:rsid w:val="00F23C75"/>
    <w:rsid w:val="00F24090"/>
    <w:rsid w:val="00F2437E"/>
    <w:rsid w:val="00F243DE"/>
    <w:rsid w:val="00F2499A"/>
    <w:rsid w:val="00F2524F"/>
    <w:rsid w:val="00F25D99"/>
    <w:rsid w:val="00F25E7E"/>
    <w:rsid w:val="00F27111"/>
    <w:rsid w:val="00F275B5"/>
    <w:rsid w:val="00F27B0C"/>
    <w:rsid w:val="00F30E70"/>
    <w:rsid w:val="00F3134E"/>
    <w:rsid w:val="00F317C3"/>
    <w:rsid w:val="00F31DE2"/>
    <w:rsid w:val="00F32E09"/>
    <w:rsid w:val="00F33AC3"/>
    <w:rsid w:val="00F33B37"/>
    <w:rsid w:val="00F33CC7"/>
    <w:rsid w:val="00F34321"/>
    <w:rsid w:val="00F3535F"/>
    <w:rsid w:val="00F35404"/>
    <w:rsid w:val="00F359BF"/>
    <w:rsid w:val="00F360C6"/>
    <w:rsid w:val="00F3664A"/>
    <w:rsid w:val="00F36CF5"/>
    <w:rsid w:val="00F414A0"/>
    <w:rsid w:val="00F421A2"/>
    <w:rsid w:val="00F426FC"/>
    <w:rsid w:val="00F42CA8"/>
    <w:rsid w:val="00F42DC4"/>
    <w:rsid w:val="00F42EB9"/>
    <w:rsid w:val="00F437F0"/>
    <w:rsid w:val="00F43AC4"/>
    <w:rsid w:val="00F43FB7"/>
    <w:rsid w:val="00F4456F"/>
    <w:rsid w:val="00F448A0"/>
    <w:rsid w:val="00F44B6B"/>
    <w:rsid w:val="00F44D36"/>
    <w:rsid w:val="00F46B28"/>
    <w:rsid w:val="00F5044D"/>
    <w:rsid w:val="00F51C9F"/>
    <w:rsid w:val="00F51E22"/>
    <w:rsid w:val="00F52C82"/>
    <w:rsid w:val="00F53A43"/>
    <w:rsid w:val="00F53DF5"/>
    <w:rsid w:val="00F551A6"/>
    <w:rsid w:val="00F55FDD"/>
    <w:rsid w:val="00F564ED"/>
    <w:rsid w:val="00F56766"/>
    <w:rsid w:val="00F570C2"/>
    <w:rsid w:val="00F6030A"/>
    <w:rsid w:val="00F6037E"/>
    <w:rsid w:val="00F606F7"/>
    <w:rsid w:val="00F6092E"/>
    <w:rsid w:val="00F60CCC"/>
    <w:rsid w:val="00F612EA"/>
    <w:rsid w:val="00F61A4A"/>
    <w:rsid w:val="00F61F24"/>
    <w:rsid w:val="00F62096"/>
    <w:rsid w:val="00F62128"/>
    <w:rsid w:val="00F6290A"/>
    <w:rsid w:val="00F62937"/>
    <w:rsid w:val="00F629F3"/>
    <w:rsid w:val="00F63402"/>
    <w:rsid w:val="00F63426"/>
    <w:rsid w:val="00F63D66"/>
    <w:rsid w:val="00F64660"/>
    <w:rsid w:val="00F64D04"/>
    <w:rsid w:val="00F65180"/>
    <w:rsid w:val="00F654B4"/>
    <w:rsid w:val="00F659BB"/>
    <w:rsid w:val="00F6644D"/>
    <w:rsid w:val="00F6687C"/>
    <w:rsid w:val="00F668FA"/>
    <w:rsid w:val="00F66F40"/>
    <w:rsid w:val="00F672B4"/>
    <w:rsid w:val="00F677FB"/>
    <w:rsid w:val="00F67A77"/>
    <w:rsid w:val="00F67D59"/>
    <w:rsid w:val="00F710B4"/>
    <w:rsid w:val="00F72E19"/>
    <w:rsid w:val="00F7361B"/>
    <w:rsid w:val="00F736DC"/>
    <w:rsid w:val="00F73760"/>
    <w:rsid w:val="00F737D4"/>
    <w:rsid w:val="00F75787"/>
    <w:rsid w:val="00F75875"/>
    <w:rsid w:val="00F7602E"/>
    <w:rsid w:val="00F76A29"/>
    <w:rsid w:val="00F8006E"/>
    <w:rsid w:val="00F8068E"/>
    <w:rsid w:val="00F80722"/>
    <w:rsid w:val="00F8101C"/>
    <w:rsid w:val="00F81647"/>
    <w:rsid w:val="00F81A7B"/>
    <w:rsid w:val="00F81C70"/>
    <w:rsid w:val="00F832BA"/>
    <w:rsid w:val="00F83FE2"/>
    <w:rsid w:val="00F847EB"/>
    <w:rsid w:val="00F84A3E"/>
    <w:rsid w:val="00F84E0F"/>
    <w:rsid w:val="00F854C2"/>
    <w:rsid w:val="00F85837"/>
    <w:rsid w:val="00F85A8A"/>
    <w:rsid w:val="00F873F7"/>
    <w:rsid w:val="00F87892"/>
    <w:rsid w:val="00F913EA"/>
    <w:rsid w:val="00F913F8"/>
    <w:rsid w:val="00F9144E"/>
    <w:rsid w:val="00F92053"/>
    <w:rsid w:val="00F92B95"/>
    <w:rsid w:val="00F9346A"/>
    <w:rsid w:val="00F94444"/>
    <w:rsid w:val="00F94C38"/>
    <w:rsid w:val="00F95151"/>
    <w:rsid w:val="00F96030"/>
    <w:rsid w:val="00F9702B"/>
    <w:rsid w:val="00F97CF9"/>
    <w:rsid w:val="00FA132B"/>
    <w:rsid w:val="00FA1E14"/>
    <w:rsid w:val="00FA2E04"/>
    <w:rsid w:val="00FA402A"/>
    <w:rsid w:val="00FA41E8"/>
    <w:rsid w:val="00FA42EC"/>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535"/>
    <w:rsid w:val="00FB4C2D"/>
    <w:rsid w:val="00FB5A1E"/>
    <w:rsid w:val="00FB5CB1"/>
    <w:rsid w:val="00FB5F68"/>
    <w:rsid w:val="00FB62CF"/>
    <w:rsid w:val="00FB7E0A"/>
    <w:rsid w:val="00FC00BD"/>
    <w:rsid w:val="00FC01DD"/>
    <w:rsid w:val="00FC0311"/>
    <w:rsid w:val="00FC040D"/>
    <w:rsid w:val="00FC0CD7"/>
    <w:rsid w:val="00FC12A0"/>
    <w:rsid w:val="00FC1A30"/>
    <w:rsid w:val="00FC1C17"/>
    <w:rsid w:val="00FC2A8C"/>
    <w:rsid w:val="00FC2D72"/>
    <w:rsid w:val="00FC37F1"/>
    <w:rsid w:val="00FC391C"/>
    <w:rsid w:val="00FC3BF8"/>
    <w:rsid w:val="00FC4290"/>
    <w:rsid w:val="00FC493D"/>
    <w:rsid w:val="00FC50DA"/>
    <w:rsid w:val="00FC58BB"/>
    <w:rsid w:val="00FC5A8A"/>
    <w:rsid w:val="00FC5D9D"/>
    <w:rsid w:val="00FC63E4"/>
    <w:rsid w:val="00FC63FE"/>
    <w:rsid w:val="00FC7D9E"/>
    <w:rsid w:val="00FD0A22"/>
    <w:rsid w:val="00FD178C"/>
    <w:rsid w:val="00FD18A9"/>
    <w:rsid w:val="00FD2265"/>
    <w:rsid w:val="00FD25DE"/>
    <w:rsid w:val="00FD2714"/>
    <w:rsid w:val="00FD379D"/>
    <w:rsid w:val="00FD3840"/>
    <w:rsid w:val="00FD3B40"/>
    <w:rsid w:val="00FD577A"/>
    <w:rsid w:val="00FD5ACE"/>
    <w:rsid w:val="00FD6977"/>
    <w:rsid w:val="00FD6CFE"/>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15A"/>
    <w:rsid w:val="00FE754B"/>
    <w:rsid w:val="00FE7932"/>
    <w:rsid w:val="00FE79AF"/>
    <w:rsid w:val="00FE7CD0"/>
    <w:rsid w:val="00FF0954"/>
    <w:rsid w:val="00FF0CF3"/>
    <w:rsid w:val="00FF0D37"/>
    <w:rsid w:val="00FF112D"/>
    <w:rsid w:val="00FF30FE"/>
    <w:rsid w:val="00FF38A2"/>
    <w:rsid w:val="00FF4F57"/>
    <w:rsid w:val="00FF50B4"/>
    <w:rsid w:val="00FF548A"/>
    <w:rsid w:val="00FF5506"/>
    <w:rsid w:val="00FF5B6D"/>
    <w:rsid w:val="00FF5BE1"/>
    <w:rsid w:val="00FF5F50"/>
    <w:rsid w:val="00FF6148"/>
    <w:rsid w:val="00FF6F35"/>
    <w:rsid w:val="00FF728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8A34BB"/>
    <w:pPr>
      <w:keepNext/>
      <w:spacing w:after="60" w:line="276" w:lineRule="auto"/>
      <w:ind w:left="-6"/>
      <w:outlineLvl w:val="1"/>
    </w:pPr>
    <w:rPr>
      <w:rFonts w:asciiTheme="minorHAnsi" w:hAnsiTheme="minorHAnsi" w:cstheme="minorHAnsi"/>
      <w:b/>
      <w:sz w:val="24"/>
      <w:szCs w:val="24"/>
      <w:lang w:val="es-CR"/>
    </w:rPr>
  </w:style>
  <w:style w:type="paragraph" w:styleId="Ttulo3">
    <w:name w:val="heading 3"/>
    <w:basedOn w:val="Normal"/>
    <w:next w:val="Normal"/>
    <w:autoRedefine/>
    <w:qFormat/>
    <w:rsid w:val="008E02F2"/>
    <w:pPr>
      <w:keepNext/>
      <w:spacing w:line="240" w:lineRule="auto"/>
      <w:ind w:left="426"/>
      <w:jc w:val="left"/>
      <w:outlineLvl w:val="2"/>
    </w:pPr>
    <w:rPr>
      <w:rFonts w:asciiTheme="minorHAnsi" w:hAnsiTheme="minorHAnsi"/>
      <w:sz w:val="24"/>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0254EC"/>
    <w:pPr>
      <w:tabs>
        <w:tab w:val="left" w:pos="426"/>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85619020">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526922">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5418977">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2901151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0800242">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063483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8134440">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742641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227151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264684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6163637">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187706">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1828729">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36349106">
      <w:bodyDiv w:val="1"/>
      <w:marLeft w:val="0"/>
      <w:marRight w:val="0"/>
      <w:marTop w:val="0"/>
      <w:marBottom w:val="0"/>
      <w:divBdr>
        <w:top w:val="none" w:sz="0" w:space="0" w:color="auto"/>
        <w:left w:val="none" w:sz="0" w:space="0" w:color="auto"/>
        <w:bottom w:val="none" w:sz="0" w:space="0" w:color="auto"/>
        <w:right w:val="none" w:sz="0" w:space="0" w:color="auto"/>
      </w:divBdr>
    </w:div>
    <w:div w:id="1341662166">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546149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7564171">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27241400">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229026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bccr-my.sharepoint.com/personal/ariasgj_supen_fi_cr/Documents/Datos/Carpeta%20de%20Trabajo/Presupuesto%202021/Informes/4%20Trimestre/POI%20SUPEN%20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baseline="0">
                <a:solidFill>
                  <a:schemeClr val="tx2"/>
                </a:solidFill>
                <a:latin typeface="+mn-lt"/>
                <a:ea typeface="+mn-ea"/>
                <a:cs typeface="+mn-cs"/>
              </a:defRPr>
            </a:pPr>
            <a:r>
              <a:rPr lang="es-CR" sz="1200">
                <a:latin typeface="Arial" panose="020B0604020202020204" pitchFamily="34" charset="0"/>
                <a:cs typeface="Arial" panose="020B0604020202020204" pitchFamily="34" charset="0"/>
              </a:rPr>
              <a:t>SUPEN: Evaluación general y por proceso, 2021 </a:t>
            </a:r>
          </a:p>
        </c:rich>
      </c:tx>
      <c:layout>
        <c:manualLayout>
          <c:xMode val="edge"/>
          <c:yMode val="edge"/>
          <c:x val="5.2053408390420913E-2"/>
          <c:y val="4.6718056528848396E-2"/>
        </c:manualLayout>
      </c:layout>
      <c:overlay val="0"/>
      <c:spPr>
        <a:noFill/>
        <a:ln>
          <a:noFill/>
        </a:ln>
        <a:effectLst/>
      </c:spPr>
      <c:txPr>
        <a:bodyPr rot="0" spcFirstLastPara="1" vertOverflow="ellipsis" vert="horz" wrap="square" anchor="ctr" anchorCtr="1"/>
        <a:lstStyle/>
        <a:p>
          <a:pPr algn="l">
            <a:defRPr sz="1600" b="1" i="0" u="none" strike="noStrike" kern="1200" baseline="0">
              <a:solidFill>
                <a:schemeClr val="tx2"/>
              </a:solidFill>
              <a:latin typeface="+mn-lt"/>
              <a:ea typeface="+mn-ea"/>
              <a:cs typeface="+mn-cs"/>
            </a:defRPr>
          </a:pPr>
          <a:endParaRPr lang="es-C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1033504415187"/>
          <c:y val="0.18928261164089422"/>
          <c:w val="0.81839959322337397"/>
          <c:h val="0.68003165618382599"/>
        </c:manualLayout>
      </c:layout>
      <c:bar3DChart>
        <c:barDir val="col"/>
        <c:grouping val="standard"/>
        <c:varyColors val="0"/>
        <c:ser>
          <c:idx val="1"/>
          <c:order val="1"/>
          <c:tx>
            <c:strRef>
              <c:f>'Anexo 1 Despacho '!$O$20</c:f>
              <c:strCache>
                <c:ptCount val="1"/>
                <c:pt idx="0">
                  <c:v>I  semestre </c:v>
                </c:pt>
              </c:strCache>
            </c:strRef>
          </c:tx>
          <c:spPr>
            <a:solidFill>
              <a:schemeClr val="accent1"/>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'Anexo 1 Despacho '!$M$21:$M$26</c:f>
              <c:strCache>
                <c:ptCount val="6"/>
                <c:pt idx="0">
                  <c:v>CyS</c:v>
                </c:pt>
                <c:pt idx="1">
                  <c:v>DJ</c:v>
                </c:pt>
                <c:pt idx="2">
                  <c:v>RCI</c:v>
                </c:pt>
                <c:pt idx="3">
                  <c:v>RC</c:v>
                </c:pt>
                <c:pt idx="4">
                  <c:v>PyN</c:v>
                </c:pt>
                <c:pt idx="5">
                  <c:v>Total</c:v>
                </c:pt>
              </c:strCache>
            </c:strRef>
          </c:cat>
          <c:val>
            <c:numRef>
              <c:f>'Anexo 1 Despacho '!$O$21:$O$26</c:f>
              <c:numCache>
                <c:formatCode>0%</c:formatCode>
                <c:ptCount val="6"/>
                <c:pt idx="0">
                  <c:v>0.95666666666666667</c:v>
                </c:pt>
                <c:pt idx="1">
                  <c:v>0.9666083333333334</c:v>
                </c:pt>
                <c:pt idx="2">
                  <c:v>0.93840000000000001</c:v>
                </c:pt>
                <c:pt idx="3">
                  <c:v>0.97499999999999998</c:v>
                </c:pt>
                <c:pt idx="4">
                  <c:v>0.94687222222222223</c:v>
                </c:pt>
                <c:pt idx="5">
                  <c:v>0.9567094444444445</c:v>
                </c:pt>
              </c:numCache>
            </c:numRef>
          </c:val>
          <c:extLst>
            <c:ext xmlns:c16="http://schemas.microsoft.com/office/drawing/2014/chart" uri="{C3380CC4-5D6E-409C-BE32-E72D297353CC}">
              <c16:uniqueId val="{00000000-C17C-439E-866F-C7B676C5BD99}"/>
            </c:ext>
          </c:extLst>
        </c:ser>
        <c:ser>
          <c:idx val="2"/>
          <c:order val="2"/>
          <c:tx>
            <c:strRef>
              <c:f>'Anexo 1 Despacho '!$P$20</c:f>
              <c:strCache>
                <c:ptCount val="1"/>
                <c:pt idx="0">
                  <c:v>II semestre </c:v>
                </c:pt>
              </c:strCache>
            </c:strRef>
          </c:tx>
          <c:spPr>
            <a:solidFill>
              <a:schemeClr val="bg1">
                <a:lumMod val="75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'Anexo 1 Despacho '!$M$21:$M$26</c:f>
              <c:strCache>
                <c:ptCount val="6"/>
                <c:pt idx="0">
                  <c:v>CyS</c:v>
                </c:pt>
                <c:pt idx="1">
                  <c:v>DJ</c:v>
                </c:pt>
                <c:pt idx="2">
                  <c:v>RCI</c:v>
                </c:pt>
                <c:pt idx="3">
                  <c:v>RC</c:v>
                </c:pt>
                <c:pt idx="4">
                  <c:v>PyN</c:v>
                </c:pt>
                <c:pt idx="5">
                  <c:v>Total</c:v>
                </c:pt>
              </c:strCache>
            </c:strRef>
          </c:cat>
          <c:val>
            <c:numRef>
              <c:f>'Anexo 1 Despacho '!$P$21:$P$26</c:f>
              <c:numCache>
                <c:formatCode>0%</c:formatCode>
                <c:ptCount val="6"/>
                <c:pt idx="0">
                  <c:v>0.91974444444444448</c:v>
                </c:pt>
                <c:pt idx="1">
                  <c:v>0.97769081502299438</c:v>
                </c:pt>
                <c:pt idx="2">
                  <c:v>0.92490000000000006</c:v>
                </c:pt>
                <c:pt idx="3">
                  <c:v>0.93403333333333338</c:v>
                </c:pt>
                <c:pt idx="4">
                  <c:v>0.91666111111111104</c:v>
                </c:pt>
                <c:pt idx="5">
                  <c:v>0.93460594078237658</c:v>
                </c:pt>
              </c:numCache>
            </c:numRef>
          </c:val>
          <c:extLst>
            <c:ext xmlns:c16="http://schemas.microsoft.com/office/drawing/2014/chart" uri="{C3380CC4-5D6E-409C-BE32-E72D297353CC}">
              <c16:uniqueId val="{00000001-C17C-439E-866F-C7B676C5BD99}"/>
            </c:ext>
          </c:extLst>
        </c:ser>
        <c:dLbls>
          <c:showLegendKey val="0"/>
          <c:showVal val="1"/>
          <c:showCatName val="0"/>
          <c:showSerName val="0"/>
          <c:showPercent val="0"/>
          <c:showBubbleSize val="0"/>
        </c:dLbls>
        <c:gapWidth val="150"/>
        <c:shape val="box"/>
        <c:axId val="217619920"/>
        <c:axId val="217442232"/>
        <c:axId val="219861256"/>
        <c:extLst>
          <c:ext xmlns:c15="http://schemas.microsoft.com/office/drawing/2012/chart" uri="{02D57815-91ED-43cb-92C2-25804820EDAC}">
            <c15:filteredBarSeries>
              <c15:ser>
                <c:idx val="0"/>
                <c:order val="0"/>
                <c:tx>
                  <c:strRef>
                    <c:extLst>
                      <c:ext uri="{02D57815-91ED-43cb-92C2-25804820EDAC}">
                        <c15:formulaRef>
                          <c15:sqref>'Anexo 1 Despacho '!$N$20</c15:sqref>
                        </c15:formulaRef>
                      </c:ext>
                    </c:extLst>
                    <c:strCache>
                      <c:ptCount val="1"/>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5"/>
                    <c:layout>
                      <c:manualLayout>
                        <c:x val="-5.9701501892349572E-3"/>
                        <c:y val="-6.3822877450126334E-17"/>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2-C17C-439E-866F-C7B676C5BD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R"/>
                    </a:p>
                  </c:txP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'Anexo 1 Despacho '!$M$21:$M$26</c15:sqref>
                        </c15:formulaRef>
                      </c:ext>
                    </c:extLst>
                    <c:strCache>
                      <c:ptCount val="6"/>
                      <c:pt idx="0">
                        <c:v>CyS</c:v>
                      </c:pt>
                      <c:pt idx="1">
                        <c:v>DJ</c:v>
                      </c:pt>
                      <c:pt idx="2">
                        <c:v>RCI</c:v>
                      </c:pt>
                      <c:pt idx="3">
                        <c:v>RC</c:v>
                      </c:pt>
                      <c:pt idx="4">
                        <c:v>PyN</c:v>
                      </c:pt>
                      <c:pt idx="5">
                        <c:v>Total</c:v>
                      </c:pt>
                    </c:strCache>
                  </c:strRef>
                </c:cat>
                <c:val>
                  <c:numRef>
                    <c:extLst>
                      <c:ext uri="{02D57815-91ED-43cb-92C2-25804820EDAC}">
                        <c15:formulaRef>
                          <c15:sqref>'Anexo 1 Despacho '!$N$21:$N$26</c15:sqref>
                        </c15:formulaRef>
                      </c:ext>
                    </c:extLst>
                  </c:numRef>
                </c:val>
                <c:extLst>
                  <c:ext xmlns:c16="http://schemas.microsoft.com/office/drawing/2014/chart" uri="{C3380CC4-5D6E-409C-BE32-E72D297353CC}">
                    <c16:uniqueId val="{00000003-C17C-439E-866F-C7B676C5BD99}"/>
                  </c:ext>
                </c:extLst>
              </c15:ser>
            </c15:filteredBarSeries>
          </c:ext>
        </c:extLst>
      </c:bar3DChart>
      <c:catAx>
        <c:axId val="217619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R"/>
          </a:p>
        </c:txPr>
        <c:crossAx val="217442232"/>
        <c:crosses val="autoZero"/>
        <c:auto val="1"/>
        <c:lblAlgn val="ctr"/>
        <c:lblOffset val="100"/>
        <c:noMultiLvlLbl val="0"/>
      </c:catAx>
      <c:valAx>
        <c:axId val="217442232"/>
        <c:scaling>
          <c:orientation val="minMax"/>
          <c:max val="1"/>
          <c:min val="0"/>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R"/>
          </a:p>
        </c:txPr>
        <c:crossAx val="217619920"/>
        <c:crosses val="autoZero"/>
        <c:crossBetween val="between"/>
        <c:majorUnit val="0.2"/>
      </c:valAx>
      <c:serAx>
        <c:axId val="219861256"/>
        <c:scaling>
          <c:orientation val="minMax"/>
        </c:scaling>
        <c:delete val="1"/>
        <c:axPos val="b"/>
        <c:majorTickMark val="none"/>
        <c:minorTickMark val="none"/>
        <c:tickLblPos val="nextTo"/>
        <c:crossAx val="217442232"/>
        <c:crosses val="autoZero"/>
      </c:ser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CR"/>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0.05254</cdr:x>
      <cdr:y>0.91767</cdr:y>
    </cdr:from>
    <cdr:to>
      <cdr:x>0.75085</cdr:x>
      <cdr:y>0.98628</cdr:y>
    </cdr:to>
    <cdr:sp macro="" textlink="">
      <cdr:nvSpPr>
        <cdr:cNvPr id="2" name="CuadroTexto 1">
          <a:extLst xmlns:a="http://schemas.openxmlformats.org/drawingml/2006/main">
            <a:ext uri="{FF2B5EF4-FFF2-40B4-BE49-F238E27FC236}">
              <a16:creationId xmlns:a16="http://schemas.microsoft.com/office/drawing/2014/main" id="{62C9BFD3-48A7-40CB-A47A-83D62B1FB0F7}"/>
            </a:ext>
          </a:extLst>
        </cdr:cNvPr>
        <cdr:cNvSpPr txBox="1"/>
      </cdr:nvSpPr>
      <cdr:spPr>
        <a:xfrm xmlns:a="http://schemas.openxmlformats.org/drawingml/2006/main">
          <a:off x="295275" y="2547938"/>
          <a:ext cx="39243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0.03051</cdr:x>
      <cdr:y>0.89365</cdr:y>
    </cdr:from>
    <cdr:to>
      <cdr:x>0.61017</cdr:x>
      <cdr:y>0.96226</cdr:y>
    </cdr:to>
    <cdr:sp macro="" textlink="">
      <cdr:nvSpPr>
        <cdr:cNvPr id="3" name="CuadroTexto 2">
          <a:extLst xmlns:a="http://schemas.openxmlformats.org/drawingml/2006/main">
            <a:ext uri="{FF2B5EF4-FFF2-40B4-BE49-F238E27FC236}">
              <a16:creationId xmlns:a16="http://schemas.microsoft.com/office/drawing/2014/main" id="{087390F6-03AE-4485-9CC7-B9AB71575944}"/>
            </a:ext>
          </a:extLst>
        </cdr:cNvPr>
        <cdr:cNvSpPr txBox="1"/>
      </cdr:nvSpPr>
      <cdr:spPr>
        <a:xfrm xmlns:a="http://schemas.openxmlformats.org/drawingml/2006/main">
          <a:off x="171450" y="2481263"/>
          <a:ext cx="325755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0.1276</cdr:x>
      <cdr:y>0</cdr:y>
    </cdr:from>
    <cdr:to>
      <cdr:x>0.74163</cdr:x>
      <cdr:y>0.18082</cdr:y>
    </cdr:to>
    <cdr:sp macro="" textlink="">
      <cdr:nvSpPr>
        <cdr:cNvPr id="4" name="CuadroTexto 3">
          <a:extLst xmlns:a="http://schemas.openxmlformats.org/drawingml/2006/main">
            <a:ext uri="{FF2B5EF4-FFF2-40B4-BE49-F238E27FC236}">
              <a16:creationId xmlns:a16="http://schemas.microsoft.com/office/drawing/2014/main" id="{C5CF5593-381F-471F-BD51-D6BCCAFFEEE5}"/>
            </a:ext>
          </a:extLst>
        </cdr:cNvPr>
        <cdr:cNvSpPr txBox="1"/>
      </cdr:nvSpPr>
      <cdr:spPr>
        <a:xfrm xmlns:a="http://schemas.openxmlformats.org/drawingml/2006/main">
          <a:off x="762025" y="0"/>
          <a:ext cx="3667094" cy="6286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R"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117C8289EC6846922D7AD0AE758DB1" ma:contentTypeVersion="13" ma:contentTypeDescription="Crear nuevo documento." ma:contentTypeScope="" ma:versionID="1c29492ff2f14d8a893e74f491983b97">
  <xsd:schema xmlns:xsd="http://www.w3.org/2001/XMLSchema" xmlns:xs="http://www.w3.org/2001/XMLSchema" xmlns:p="http://schemas.microsoft.com/office/2006/metadata/properties" xmlns:ns3="e142e62d-f4b1-4a71-b622-57f775f2bca3" xmlns:ns4="bd473624-898d-45c1-9f2f-d8e776dc9725" targetNamespace="http://schemas.microsoft.com/office/2006/metadata/properties" ma:root="true" ma:fieldsID="516ca9318d26e2e7092f4b344a336e43" ns3:_="" ns4:_="">
    <xsd:import namespace="e142e62d-f4b1-4a71-b622-57f775f2bca3"/>
    <xsd:import namespace="bd473624-898d-45c1-9f2f-d8e776dc972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2e62d-f4b1-4a71-b622-57f775f2bca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473624-898d-45c1-9f2f-d8e776dc9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CA1FB-CDA9-49CF-9AB8-E0639B76A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2e62d-f4b1-4a71-b622-57f775f2bca3"/>
    <ds:schemaRef ds:uri="bd473624-898d-45c1-9f2f-d8e776dc9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C6FE-61C2-4CD3-A86B-92B670D0E40B}">
  <ds:schemaRefs>
    <ds:schemaRef ds:uri="http://purl.org/dc/terms/"/>
    <ds:schemaRef ds:uri="http://schemas.openxmlformats.org/package/2006/metadata/core-properties"/>
    <ds:schemaRef ds:uri="http://purl.org/dc/elements/1.1/"/>
    <ds:schemaRef ds:uri="e142e62d-f4b1-4a71-b622-57f775f2bca3"/>
    <ds:schemaRef ds:uri="http://schemas.microsoft.com/office/infopath/2007/PartnerControls"/>
    <ds:schemaRef ds:uri="http://purl.org/dc/dcmitype/"/>
    <ds:schemaRef ds:uri="http://schemas.microsoft.com/office/2006/documentManagement/types"/>
    <ds:schemaRef ds:uri="bd473624-898d-45c1-9f2f-d8e776dc972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C03232-B96C-416E-BD3B-A3AA3C913B1C}">
  <ds:schemaRefs>
    <ds:schemaRef ds:uri="http://schemas.openxmlformats.org/officeDocument/2006/bibliography"/>
  </ds:schemaRefs>
</ds:datastoreItem>
</file>

<file path=customXml/itemProps4.xml><?xml version="1.0" encoding="utf-8"?>
<ds:datastoreItem xmlns:ds="http://schemas.openxmlformats.org/officeDocument/2006/customXml" ds:itemID="{C1F45459-0C01-4F19-B2A4-1632488C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18</Pages>
  <Words>4007</Words>
  <Characters>23503</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SUPEN Informe LIQUIDACION presupuestaria 2018.docx</vt:lpstr>
    </vt:vector>
  </TitlesOfParts>
  <Company>sugef</Company>
  <LinksUpToDate>false</LinksUpToDate>
  <CharactersWithSpaces>27456</CharactersWithSpaces>
  <SharedDoc>false</SharedDoc>
  <HLinks>
    <vt:vector size="270" baseType="variant">
      <vt:variant>
        <vt:i4>1245239</vt:i4>
      </vt:variant>
      <vt:variant>
        <vt:i4>266</vt:i4>
      </vt:variant>
      <vt:variant>
        <vt:i4>0</vt:i4>
      </vt:variant>
      <vt:variant>
        <vt:i4>5</vt:i4>
      </vt:variant>
      <vt:variant>
        <vt:lpwstr/>
      </vt:variant>
      <vt:variant>
        <vt:lpwstr>_Toc29571218</vt:lpwstr>
      </vt:variant>
      <vt:variant>
        <vt:i4>1835063</vt:i4>
      </vt:variant>
      <vt:variant>
        <vt:i4>260</vt:i4>
      </vt:variant>
      <vt:variant>
        <vt:i4>0</vt:i4>
      </vt:variant>
      <vt:variant>
        <vt:i4>5</vt:i4>
      </vt:variant>
      <vt:variant>
        <vt:lpwstr/>
      </vt:variant>
      <vt:variant>
        <vt:lpwstr>_Toc29571217</vt:lpwstr>
      </vt:variant>
      <vt:variant>
        <vt:i4>1900599</vt:i4>
      </vt:variant>
      <vt:variant>
        <vt:i4>254</vt:i4>
      </vt:variant>
      <vt:variant>
        <vt:i4>0</vt:i4>
      </vt:variant>
      <vt:variant>
        <vt:i4>5</vt:i4>
      </vt:variant>
      <vt:variant>
        <vt:lpwstr/>
      </vt:variant>
      <vt:variant>
        <vt:lpwstr>_Toc29571216</vt:lpwstr>
      </vt:variant>
      <vt:variant>
        <vt:i4>1966135</vt:i4>
      </vt:variant>
      <vt:variant>
        <vt:i4>248</vt:i4>
      </vt:variant>
      <vt:variant>
        <vt:i4>0</vt:i4>
      </vt:variant>
      <vt:variant>
        <vt:i4>5</vt:i4>
      </vt:variant>
      <vt:variant>
        <vt:lpwstr/>
      </vt:variant>
      <vt:variant>
        <vt:lpwstr>_Toc29571215</vt:lpwstr>
      </vt:variant>
      <vt:variant>
        <vt:i4>2031671</vt:i4>
      </vt:variant>
      <vt:variant>
        <vt:i4>242</vt:i4>
      </vt:variant>
      <vt:variant>
        <vt:i4>0</vt:i4>
      </vt:variant>
      <vt:variant>
        <vt:i4>5</vt:i4>
      </vt:variant>
      <vt:variant>
        <vt:lpwstr/>
      </vt:variant>
      <vt:variant>
        <vt:lpwstr>_Toc29571214</vt:lpwstr>
      </vt:variant>
      <vt:variant>
        <vt:i4>1572919</vt:i4>
      </vt:variant>
      <vt:variant>
        <vt:i4>236</vt:i4>
      </vt:variant>
      <vt:variant>
        <vt:i4>0</vt:i4>
      </vt:variant>
      <vt:variant>
        <vt:i4>5</vt:i4>
      </vt:variant>
      <vt:variant>
        <vt:lpwstr/>
      </vt:variant>
      <vt:variant>
        <vt:lpwstr>_Toc29571213</vt:lpwstr>
      </vt:variant>
      <vt:variant>
        <vt:i4>1638455</vt:i4>
      </vt:variant>
      <vt:variant>
        <vt:i4>230</vt:i4>
      </vt:variant>
      <vt:variant>
        <vt:i4>0</vt:i4>
      </vt:variant>
      <vt:variant>
        <vt:i4>5</vt:i4>
      </vt:variant>
      <vt:variant>
        <vt:lpwstr/>
      </vt:variant>
      <vt:variant>
        <vt:lpwstr>_Toc29571212</vt:lpwstr>
      </vt:variant>
      <vt:variant>
        <vt:i4>1703991</vt:i4>
      </vt:variant>
      <vt:variant>
        <vt:i4>224</vt:i4>
      </vt:variant>
      <vt:variant>
        <vt:i4>0</vt:i4>
      </vt:variant>
      <vt:variant>
        <vt:i4>5</vt:i4>
      </vt:variant>
      <vt:variant>
        <vt:lpwstr/>
      </vt:variant>
      <vt:variant>
        <vt:lpwstr>_Toc29571211</vt:lpwstr>
      </vt:variant>
      <vt:variant>
        <vt:i4>1769527</vt:i4>
      </vt:variant>
      <vt:variant>
        <vt:i4>218</vt:i4>
      </vt:variant>
      <vt:variant>
        <vt:i4>0</vt:i4>
      </vt:variant>
      <vt:variant>
        <vt:i4>5</vt:i4>
      </vt:variant>
      <vt:variant>
        <vt:lpwstr/>
      </vt:variant>
      <vt:variant>
        <vt:lpwstr>_Toc29571210</vt:lpwstr>
      </vt:variant>
      <vt:variant>
        <vt:i4>1179702</vt:i4>
      </vt:variant>
      <vt:variant>
        <vt:i4>212</vt:i4>
      </vt:variant>
      <vt:variant>
        <vt:i4>0</vt:i4>
      </vt:variant>
      <vt:variant>
        <vt:i4>5</vt:i4>
      </vt:variant>
      <vt:variant>
        <vt:lpwstr/>
      </vt:variant>
      <vt:variant>
        <vt:lpwstr>_Toc29571209</vt:lpwstr>
      </vt:variant>
      <vt:variant>
        <vt:i4>1245238</vt:i4>
      </vt:variant>
      <vt:variant>
        <vt:i4>206</vt:i4>
      </vt:variant>
      <vt:variant>
        <vt:i4>0</vt:i4>
      </vt:variant>
      <vt:variant>
        <vt:i4>5</vt:i4>
      </vt:variant>
      <vt:variant>
        <vt:lpwstr/>
      </vt:variant>
      <vt:variant>
        <vt:lpwstr>_Toc29571208</vt:lpwstr>
      </vt:variant>
      <vt:variant>
        <vt:i4>1835062</vt:i4>
      </vt:variant>
      <vt:variant>
        <vt:i4>200</vt:i4>
      </vt:variant>
      <vt:variant>
        <vt:i4>0</vt:i4>
      </vt:variant>
      <vt:variant>
        <vt:i4>5</vt:i4>
      </vt:variant>
      <vt:variant>
        <vt:lpwstr/>
      </vt:variant>
      <vt:variant>
        <vt:lpwstr>_Toc29571207</vt:lpwstr>
      </vt:variant>
      <vt:variant>
        <vt:i4>1900598</vt:i4>
      </vt:variant>
      <vt:variant>
        <vt:i4>194</vt:i4>
      </vt:variant>
      <vt:variant>
        <vt:i4>0</vt:i4>
      </vt:variant>
      <vt:variant>
        <vt:i4>5</vt:i4>
      </vt:variant>
      <vt:variant>
        <vt:lpwstr/>
      </vt:variant>
      <vt:variant>
        <vt:lpwstr>_Toc29571206</vt:lpwstr>
      </vt:variant>
      <vt:variant>
        <vt:i4>1966134</vt:i4>
      </vt:variant>
      <vt:variant>
        <vt:i4>188</vt:i4>
      </vt:variant>
      <vt:variant>
        <vt:i4>0</vt:i4>
      </vt:variant>
      <vt:variant>
        <vt:i4>5</vt:i4>
      </vt:variant>
      <vt:variant>
        <vt:lpwstr/>
      </vt:variant>
      <vt:variant>
        <vt:lpwstr>_Toc29571205</vt:lpwstr>
      </vt:variant>
      <vt:variant>
        <vt:i4>2031670</vt:i4>
      </vt:variant>
      <vt:variant>
        <vt:i4>182</vt:i4>
      </vt:variant>
      <vt:variant>
        <vt:i4>0</vt:i4>
      </vt:variant>
      <vt:variant>
        <vt:i4>5</vt:i4>
      </vt:variant>
      <vt:variant>
        <vt:lpwstr/>
      </vt:variant>
      <vt:variant>
        <vt:lpwstr>_Toc29571204</vt:lpwstr>
      </vt:variant>
      <vt:variant>
        <vt:i4>1572918</vt:i4>
      </vt:variant>
      <vt:variant>
        <vt:i4>176</vt:i4>
      </vt:variant>
      <vt:variant>
        <vt:i4>0</vt:i4>
      </vt:variant>
      <vt:variant>
        <vt:i4>5</vt:i4>
      </vt:variant>
      <vt:variant>
        <vt:lpwstr/>
      </vt:variant>
      <vt:variant>
        <vt:lpwstr>_Toc29571203</vt:lpwstr>
      </vt:variant>
      <vt:variant>
        <vt:i4>1638454</vt:i4>
      </vt:variant>
      <vt:variant>
        <vt:i4>170</vt:i4>
      </vt:variant>
      <vt:variant>
        <vt:i4>0</vt:i4>
      </vt:variant>
      <vt:variant>
        <vt:i4>5</vt:i4>
      </vt:variant>
      <vt:variant>
        <vt:lpwstr/>
      </vt:variant>
      <vt:variant>
        <vt:lpwstr>_Toc29571202</vt:lpwstr>
      </vt:variant>
      <vt:variant>
        <vt:i4>1703990</vt:i4>
      </vt:variant>
      <vt:variant>
        <vt:i4>164</vt:i4>
      </vt:variant>
      <vt:variant>
        <vt:i4>0</vt:i4>
      </vt:variant>
      <vt:variant>
        <vt:i4>5</vt:i4>
      </vt:variant>
      <vt:variant>
        <vt:lpwstr/>
      </vt:variant>
      <vt:variant>
        <vt:lpwstr>_Toc29571201</vt:lpwstr>
      </vt:variant>
      <vt:variant>
        <vt:i4>1769526</vt:i4>
      </vt:variant>
      <vt:variant>
        <vt:i4>158</vt:i4>
      </vt:variant>
      <vt:variant>
        <vt:i4>0</vt:i4>
      </vt:variant>
      <vt:variant>
        <vt:i4>5</vt:i4>
      </vt:variant>
      <vt:variant>
        <vt:lpwstr/>
      </vt:variant>
      <vt:variant>
        <vt:lpwstr>_Toc29571200</vt:lpwstr>
      </vt:variant>
      <vt:variant>
        <vt:i4>1114175</vt:i4>
      </vt:variant>
      <vt:variant>
        <vt:i4>152</vt:i4>
      </vt:variant>
      <vt:variant>
        <vt:i4>0</vt:i4>
      </vt:variant>
      <vt:variant>
        <vt:i4>5</vt:i4>
      </vt:variant>
      <vt:variant>
        <vt:lpwstr/>
      </vt:variant>
      <vt:variant>
        <vt:lpwstr>_Toc29571199</vt:lpwstr>
      </vt:variant>
      <vt:variant>
        <vt:i4>1048639</vt:i4>
      </vt:variant>
      <vt:variant>
        <vt:i4>146</vt:i4>
      </vt:variant>
      <vt:variant>
        <vt:i4>0</vt:i4>
      </vt:variant>
      <vt:variant>
        <vt:i4>5</vt:i4>
      </vt:variant>
      <vt:variant>
        <vt:lpwstr/>
      </vt:variant>
      <vt:variant>
        <vt:lpwstr>_Toc29571198</vt:lpwstr>
      </vt:variant>
      <vt:variant>
        <vt:i4>2031679</vt:i4>
      </vt:variant>
      <vt:variant>
        <vt:i4>140</vt:i4>
      </vt:variant>
      <vt:variant>
        <vt:i4>0</vt:i4>
      </vt:variant>
      <vt:variant>
        <vt:i4>5</vt:i4>
      </vt:variant>
      <vt:variant>
        <vt:lpwstr/>
      </vt:variant>
      <vt:variant>
        <vt:lpwstr>_Toc29571197</vt:lpwstr>
      </vt:variant>
      <vt:variant>
        <vt:i4>1966143</vt:i4>
      </vt:variant>
      <vt:variant>
        <vt:i4>134</vt:i4>
      </vt:variant>
      <vt:variant>
        <vt:i4>0</vt:i4>
      </vt:variant>
      <vt:variant>
        <vt:i4>5</vt:i4>
      </vt:variant>
      <vt:variant>
        <vt:lpwstr/>
      </vt:variant>
      <vt:variant>
        <vt:lpwstr>_Toc29571196</vt:lpwstr>
      </vt:variant>
      <vt:variant>
        <vt:i4>1900607</vt:i4>
      </vt:variant>
      <vt:variant>
        <vt:i4>128</vt:i4>
      </vt:variant>
      <vt:variant>
        <vt:i4>0</vt:i4>
      </vt:variant>
      <vt:variant>
        <vt:i4>5</vt:i4>
      </vt:variant>
      <vt:variant>
        <vt:lpwstr/>
      </vt:variant>
      <vt:variant>
        <vt:lpwstr>_Toc29571195</vt:lpwstr>
      </vt:variant>
      <vt:variant>
        <vt:i4>1835071</vt:i4>
      </vt:variant>
      <vt:variant>
        <vt:i4>122</vt:i4>
      </vt:variant>
      <vt:variant>
        <vt:i4>0</vt:i4>
      </vt:variant>
      <vt:variant>
        <vt:i4>5</vt:i4>
      </vt:variant>
      <vt:variant>
        <vt:lpwstr/>
      </vt:variant>
      <vt:variant>
        <vt:lpwstr>_Toc29571194</vt:lpwstr>
      </vt:variant>
      <vt:variant>
        <vt:i4>1769535</vt:i4>
      </vt:variant>
      <vt:variant>
        <vt:i4>116</vt:i4>
      </vt:variant>
      <vt:variant>
        <vt:i4>0</vt:i4>
      </vt:variant>
      <vt:variant>
        <vt:i4>5</vt:i4>
      </vt:variant>
      <vt:variant>
        <vt:lpwstr/>
      </vt:variant>
      <vt:variant>
        <vt:lpwstr>_Toc29571193</vt:lpwstr>
      </vt:variant>
      <vt:variant>
        <vt:i4>1703999</vt:i4>
      </vt:variant>
      <vt:variant>
        <vt:i4>110</vt:i4>
      </vt:variant>
      <vt:variant>
        <vt:i4>0</vt:i4>
      </vt:variant>
      <vt:variant>
        <vt:i4>5</vt:i4>
      </vt:variant>
      <vt:variant>
        <vt:lpwstr/>
      </vt:variant>
      <vt:variant>
        <vt:lpwstr>_Toc29571192</vt:lpwstr>
      </vt:variant>
      <vt:variant>
        <vt:i4>1638463</vt:i4>
      </vt:variant>
      <vt:variant>
        <vt:i4>104</vt:i4>
      </vt:variant>
      <vt:variant>
        <vt:i4>0</vt:i4>
      </vt:variant>
      <vt:variant>
        <vt:i4>5</vt:i4>
      </vt:variant>
      <vt:variant>
        <vt:lpwstr/>
      </vt:variant>
      <vt:variant>
        <vt:lpwstr>_Toc29571191</vt:lpwstr>
      </vt:variant>
      <vt:variant>
        <vt:i4>1572927</vt:i4>
      </vt:variant>
      <vt:variant>
        <vt:i4>98</vt:i4>
      </vt:variant>
      <vt:variant>
        <vt:i4>0</vt:i4>
      </vt:variant>
      <vt:variant>
        <vt:i4>5</vt:i4>
      </vt:variant>
      <vt:variant>
        <vt:lpwstr/>
      </vt:variant>
      <vt:variant>
        <vt:lpwstr>_Toc29571190</vt:lpwstr>
      </vt:variant>
      <vt:variant>
        <vt:i4>1114174</vt:i4>
      </vt:variant>
      <vt:variant>
        <vt:i4>92</vt:i4>
      </vt:variant>
      <vt:variant>
        <vt:i4>0</vt:i4>
      </vt:variant>
      <vt:variant>
        <vt:i4>5</vt:i4>
      </vt:variant>
      <vt:variant>
        <vt:lpwstr/>
      </vt:variant>
      <vt:variant>
        <vt:lpwstr>_Toc29571189</vt:lpwstr>
      </vt:variant>
      <vt:variant>
        <vt:i4>1048638</vt:i4>
      </vt:variant>
      <vt:variant>
        <vt:i4>86</vt:i4>
      </vt:variant>
      <vt:variant>
        <vt:i4>0</vt:i4>
      </vt:variant>
      <vt:variant>
        <vt:i4>5</vt:i4>
      </vt:variant>
      <vt:variant>
        <vt:lpwstr/>
      </vt:variant>
      <vt:variant>
        <vt:lpwstr>_Toc29571188</vt:lpwstr>
      </vt:variant>
      <vt:variant>
        <vt:i4>2031678</vt:i4>
      </vt:variant>
      <vt:variant>
        <vt:i4>80</vt:i4>
      </vt:variant>
      <vt:variant>
        <vt:i4>0</vt:i4>
      </vt:variant>
      <vt:variant>
        <vt:i4>5</vt:i4>
      </vt:variant>
      <vt:variant>
        <vt:lpwstr/>
      </vt:variant>
      <vt:variant>
        <vt:lpwstr>_Toc29571187</vt:lpwstr>
      </vt:variant>
      <vt:variant>
        <vt:i4>1966142</vt:i4>
      </vt:variant>
      <vt:variant>
        <vt:i4>74</vt:i4>
      </vt:variant>
      <vt:variant>
        <vt:i4>0</vt:i4>
      </vt:variant>
      <vt:variant>
        <vt:i4>5</vt:i4>
      </vt:variant>
      <vt:variant>
        <vt:lpwstr/>
      </vt:variant>
      <vt:variant>
        <vt:lpwstr>_Toc29571186</vt:lpwstr>
      </vt:variant>
      <vt:variant>
        <vt:i4>1900606</vt:i4>
      </vt:variant>
      <vt:variant>
        <vt:i4>68</vt:i4>
      </vt:variant>
      <vt:variant>
        <vt:i4>0</vt:i4>
      </vt:variant>
      <vt:variant>
        <vt:i4>5</vt:i4>
      </vt:variant>
      <vt:variant>
        <vt:lpwstr/>
      </vt:variant>
      <vt:variant>
        <vt:lpwstr>_Toc29571185</vt:lpwstr>
      </vt:variant>
      <vt:variant>
        <vt:i4>1835070</vt:i4>
      </vt:variant>
      <vt:variant>
        <vt:i4>62</vt:i4>
      </vt:variant>
      <vt:variant>
        <vt:i4>0</vt:i4>
      </vt:variant>
      <vt:variant>
        <vt:i4>5</vt:i4>
      </vt:variant>
      <vt:variant>
        <vt:lpwstr/>
      </vt:variant>
      <vt:variant>
        <vt:lpwstr>_Toc29571184</vt:lpwstr>
      </vt:variant>
      <vt:variant>
        <vt:i4>1769534</vt:i4>
      </vt:variant>
      <vt:variant>
        <vt:i4>56</vt:i4>
      </vt:variant>
      <vt:variant>
        <vt:i4>0</vt:i4>
      </vt:variant>
      <vt:variant>
        <vt:i4>5</vt:i4>
      </vt:variant>
      <vt:variant>
        <vt:lpwstr/>
      </vt:variant>
      <vt:variant>
        <vt:lpwstr>_Toc29571183</vt:lpwstr>
      </vt:variant>
      <vt:variant>
        <vt:i4>1703998</vt:i4>
      </vt:variant>
      <vt:variant>
        <vt:i4>50</vt:i4>
      </vt:variant>
      <vt:variant>
        <vt:i4>0</vt:i4>
      </vt:variant>
      <vt:variant>
        <vt:i4>5</vt:i4>
      </vt:variant>
      <vt:variant>
        <vt:lpwstr/>
      </vt:variant>
      <vt:variant>
        <vt:lpwstr>_Toc29571182</vt:lpwstr>
      </vt:variant>
      <vt:variant>
        <vt:i4>1638462</vt:i4>
      </vt:variant>
      <vt:variant>
        <vt:i4>44</vt:i4>
      </vt:variant>
      <vt:variant>
        <vt:i4>0</vt:i4>
      </vt:variant>
      <vt:variant>
        <vt:i4>5</vt:i4>
      </vt:variant>
      <vt:variant>
        <vt:lpwstr/>
      </vt:variant>
      <vt:variant>
        <vt:lpwstr>_Toc29571181</vt:lpwstr>
      </vt:variant>
      <vt:variant>
        <vt:i4>1572926</vt:i4>
      </vt:variant>
      <vt:variant>
        <vt:i4>38</vt:i4>
      </vt:variant>
      <vt:variant>
        <vt:i4>0</vt:i4>
      </vt:variant>
      <vt:variant>
        <vt:i4>5</vt:i4>
      </vt:variant>
      <vt:variant>
        <vt:lpwstr/>
      </vt:variant>
      <vt:variant>
        <vt:lpwstr>_Toc29571180</vt:lpwstr>
      </vt:variant>
      <vt:variant>
        <vt:i4>1114161</vt:i4>
      </vt:variant>
      <vt:variant>
        <vt:i4>32</vt:i4>
      </vt:variant>
      <vt:variant>
        <vt:i4>0</vt:i4>
      </vt:variant>
      <vt:variant>
        <vt:i4>5</vt:i4>
      </vt:variant>
      <vt:variant>
        <vt:lpwstr/>
      </vt:variant>
      <vt:variant>
        <vt:lpwstr>_Toc29571179</vt:lpwstr>
      </vt:variant>
      <vt:variant>
        <vt:i4>1048625</vt:i4>
      </vt:variant>
      <vt:variant>
        <vt:i4>26</vt:i4>
      </vt:variant>
      <vt:variant>
        <vt:i4>0</vt:i4>
      </vt:variant>
      <vt:variant>
        <vt:i4>5</vt:i4>
      </vt:variant>
      <vt:variant>
        <vt:lpwstr/>
      </vt:variant>
      <vt:variant>
        <vt:lpwstr>_Toc29571178</vt:lpwstr>
      </vt:variant>
      <vt:variant>
        <vt:i4>2031665</vt:i4>
      </vt:variant>
      <vt:variant>
        <vt:i4>20</vt:i4>
      </vt:variant>
      <vt:variant>
        <vt:i4>0</vt:i4>
      </vt:variant>
      <vt:variant>
        <vt:i4>5</vt:i4>
      </vt:variant>
      <vt:variant>
        <vt:lpwstr/>
      </vt:variant>
      <vt:variant>
        <vt:lpwstr>_Toc29571177</vt:lpwstr>
      </vt:variant>
      <vt:variant>
        <vt:i4>1966129</vt:i4>
      </vt:variant>
      <vt:variant>
        <vt:i4>14</vt:i4>
      </vt:variant>
      <vt:variant>
        <vt:i4>0</vt:i4>
      </vt:variant>
      <vt:variant>
        <vt:i4>5</vt:i4>
      </vt:variant>
      <vt:variant>
        <vt:lpwstr/>
      </vt:variant>
      <vt:variant>
        <vt:lpwstr>_Toc29571176</vt:lpwstr>
      </vt:variant>
      <vt:variant>
        <vt:i4>1900593</vt:i4>
      </vt:variant>
      <vt:variant>
        <vt:i4>8</vt:i4>
      </vt:variant>
      <vt:variant>
        <vt:i4>0</vt:i4>
      </vt:variant>
      <vt:variant>
        <vt:i4>5</vt:i4>
      </vt:variant>
      <vt:variant>
        <vt:lpwstr/>
      </vt:variant>
      <vt:variant>
        <vt:lpwstr>_Toc29571175</vt:lpwstr>
      </vt:variant>
      <vt:variant>
        <vt:i4>1835057</vt:i4>
      </vt:variant>
      <vt:variant>
        <vt:i4>2</vt:i4>
      </vt:variant>
      <vt:variant>
        <vt:i4>0</vt:i4>
      </vt:variant>
      <vt:variant>
        <vt:i4>5</vt:i4>
      </vt:variant>
      <vt:variant>
        <vt:lpwstr/>
      </vt:variant>
      <vt:variant>
        <vt:lpwstr>_Toc29571174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LIQUIDACION presupuestaria 2018.docx</dc:title>
  <dc:subject/>
  <dc:creator>sugef</dc:creator>
  <cp:keywords/>
  <dc:description/>
  <cp:lastModifiedBy>ARIAS GONZALEZ JOSE EZEQUIEL</cp:lastModifiedBy>
  <cp:revision>324</cp:revision>
  <cp:lastPrinted>2017-10-17T16:01:00Z</cp:lastPrinted>
  <dcterms:created xsi:type="dcterms:W3CDTF">2020-01-22T14:41:00Z</dcterms:created>
  <dcterms:modified xsi:type="dcterms:W3CDTF">2022-01-27T19:37:00Z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0x010100F4117C8289EC6846922D7AD0AE758DB1</vt:lpwstr>
  </property>
</Properties>
</file>