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052B8" w14:textId="77777777" w:rsidR="00A4778B" w:rsidRDefault="00A4778B" w:rsidP="00AF7580">
      <w:pPr>
        <w:spacing w:line="276" w:lineRule="auto"/>
        <w:rPr>
          <w:sz w:val="22"/>
        </w:rPr>
      </w:pPr>
    </w:p>
    <w:p w14:paraId="75524969" w14:textId="48F7B794" w:rsidR="00A4778B" w:rsidRPr="00312ED5" w:rsidRDefault="001B1335" w:rsidP="00312ED5">
      <w:pPr>
        <w:pStyle w:val="SupenEncabezado"/>
        <w:rPr>
          <w:rStyle w:val="SupenEncabezadoCar"/>
          <w:b/>
          <w:bCs/>
        </w:rPr>
      </w:pPr>
      <w:sdt>
        <w:sdtPr>
          <w:rPr>
            <w:rStyle w:val="SupenEncabezadoCar"/>
            <w:b/>
            <w:bCs/>
          </w:rPr>
          <w:alias w:val="Código"/>
          <w:tag w:val="A"/>
          <w:id w:val="1991359848"/>
          <w:lock w:val="sdtLocked"/>
          <w:placeholder>
            <w:docPart w:val="5133B443C32D4BBA84994ED17141131F"/>
          </w:placeholder>
          <w:text/>
        </w:sdtPr>
        <w:sdtEndPr>
          <w:rPr>
            <w:rStyle w:val="SupenEncabezadoCar"/>
          </w:rPr>
        </w:sdtEndPr>
        <w:sdtContent>
          <w:r w:rsidR="00312ED5" w:rsidRPr="00312ED5">
            <w:rPr>
              <w:rStyle w:val="SupenEncabezadoCar"/>
              <w:b/>
              <w:bCs/>
            </w:rPr>
            <w:t>SP-A-275-2024</w:t>
          </w:r>
        </w:sdtContent>
      </w:sdt>
    </w:p>
    <w:p w14:paraId="70D748E9" w14:textId="77777777" w:rsidR="003262D5" w:rsidRDefault="003262D5" w:rsidP="00AF7580">
      <w:pPr>
        <w:spacing w:after="160" w:line="276" w:lineRule="auto"/>
      </w:pPr>
    </w:p>
    <w:p w14:paraId="0E1517F2" w14:textId="54834766" w:rsidR="00291B81" w:rsidRPr="00BD0C19" w:rsidRDefault="00291B81" w:rsidP="00AF7580">
      <w:pPr>
        <w:spacing w:line="276" w:lineRule="auto"/>
        <w:jc w:val="both"/>
      </w:pPr>
      <w:r w:rsidRPr="00BD0C19">
        <w:t xml:space="preserve">Superintendencia de Pensiones, al ser las </w:t>
      </w:r>
      <w:r w:rsidR="009337E9">
        <w:t>nueve</w:t>
      </w:r>
      <w:r w:rsidR="00A6542C" w:rsidRPr="00BD0C19">
        <w:t xml:space="preserve"> </w:t>
      </w:r>
      <w:r w:rsidRPr="00BD0C19">
        <w:t xml:space="preserve">horas y </w:t>
      </w:r>
      <w:r w:rsidR="009337E9">
        <w:t>treinta</w:t>
      </w:r>
      <w:r w:rsidRPr="00BD0C19">
        <w:t xml:space="preserve"> minutos del día </w:t>
      </w:r>
      <w:r w:rsidR="009337E9">
        <w:t>30</w:t>
      </w:r>
      <w:r w:rsidRPr="00BD0C19">
        <w:t xml:space="preserve"> de </w:t>
      </w:r>
      <w:r w:rsidR="009337E9">
        <w:t>diciembre</w:t>
      </w:r>
      <w:r w:rsidRPr="00BD0C19">
        <w:t xml:space="preserve"> de 20</w:t>
      </w:r>
      <w:r w:rsidR="009337E9">
        <w:t>24</w:t>
      </w:r>
      <w:r w:rsidRPr="00BD0C19">
        <w:t>.</w:t>
      </w:r>
      <w:r w:rsidR="00C64F66">
        <w:t xml:space="preserve"> </w:t>
      </w:r>
      <w:r w:rsidR="008A5C3A">
        <w:t xml:space="preserve"> </w:t>
      </w:r>
      <w:r w:rsidR="009901AA">
        <w:t xml:space="preserve"> </w:t>
      </w:r>
    </w:p>
    <w:p w14:paraId="5A4457C9" w14:textId="77777777" w:rsidR="00291B81" w:rsidRPr="00BD0C19" w:rsidRDefault="00291B81" w:rsidP="00AF7580">
      <w:pPr>
        <w:spacing w:line="276" w:lineRule="auto"/>
      </w:pPr>
    </w:p>
    <w:p w14:paraId="5963B28F" w14:textId="77777777" w:rsidR="008E24A2" w:rsidRDefault="008E24A2" w:rsidP="008E24A2">
      <w:pPr>
        <w:spacing w:line="240" w:lineRule="auto"/>
        <w:contextualSpacing/>
        <w:rPr>
          <w:rFonts w:ascii="Cambria" w:eastAsia="Times New Roman" w:hAnsi="Cambria" w:cs="Arial"/>
          <w:b/>
          <w:sz w:val="22"/>
          <w:lang w:val="es-CR" w:eastAsia="es-ES"/>
        </w:rPr>
      </w:pPr>
      <w:r w:rsidRPr="002A27C5">
        <w:rPr>
          <w:rFonts w:ascii="Cambria" w:eastAsia="Times New Roman" w:hAnsi="Cambria" w:cs="Arial"/>
          <w:b/>
          <w:sz w:val="22"/>
          <w:lang w:val="es-CR" w:eastAsia="es-ES"/>
        </w:rPr>
        <w:t>Considerando que,</w:t>
      </w:r>
    </w:p>
    <w:p w14:paraId="60C5F5C2" w14:textId="77777777" w:rsidR="008E24A2" w:rsidRPr="002A27C5" w:rsidRDefault="008E24A2" w:rsidP="008E24A2">
      <w:pPr>
        <w:spacing w:line="240" w:lineRule="auto"/>
        <w:contextualSpacing/>
        <w:jc w:val="center"/>
        <w:rPr>
          <w:rFonts w:ascii="Cambria" w:eastAsia="Times New Roman" w:hAnsi="Cambria" w:cs="Arial"/>
          <w:b/>
          <w:sz w:val="22"/>
          <w:lang w:val="es-CR" w:eastAsia="es-ES"/>
        </w:rPr>
      </w:pPr>
    </w:p>
    <w:p w14:paraId="2571FD34" w14:textId="77777777" w:rsidR="008E24A2" w:rsidRPr="002A27C5" w:rsidRDefault="008E24A2" w:rsidP="008E24A2">
      <w:pPr>
        <w:spacing w:line="240" w:lineRule="auto"/>
        <w:contextualSpacing/>
        <w:jc w:val="center"/>
        <w:rPr>
          <w:rFonts w:ascii="Cambria" w:eastAsia="Times New Roman" w:hAnsi="Cambria" w:cs="Arial"/>
          <w:b/>
          <w:sz w:val="22"/>
          <w:lang w:val="es-CR" w:eastAsia="es-ES"/>
        </w:rPr>
      </w:pPr>
    </w:p>
    <w:p w14:paraId="210B72AF" w14:textId="77777777" w:rsidR="008E24A2" w:rsidRDefault="008E24A2" w:rsidP="008E24A2">
      <w:pPr>
        <w:numPr>
          <w:ilvl w:val="0"/>
          <w:numId w:val="1"/>
        </w:numPr>
        <w:spacing w:line="240" w:lineRule="auto"/>
        <w:contextualSpacing/>
        <w:jc w:val="both"/>
        <w:rPr>
          <w:rFonts w:ascii="Cambria" w:eastAsia="Times New Roman" w:hAnsi="Cambria" w:cs="Times New Roman"/>
          <w:sz w:val="22"/>
          <w:lang w:val="es-CR" w:eastAsia="es-ES"/>
        </w:rPr>
      </w:pPr>
      <w:r w:rsidRPr="002A27C5">
        <w:rPr>
          <w:rFonts w:ascii="Cambria" w:eastAsia="Times New Roman" w:hAnsi="Cambria" w:cs="Times New Roman"/>
          <w:sz w:val="22"/>
          <w:lang w:val="es-CR" w:eastAsia="es-ES"/>
        </w:rPr>
        <w:t xml:space="preserve">El artículo 33 de la </w:t>
      </w:r>
      <w:r w:rsidRPr="002A27C5">
        <w:rPr>
          <w:rFonts w:ascii="Cambria" w:eastAsia="Times New Roman" w:hAnsi="Cambria" w:cs="Times New Roman"/>
          <w:i/>
          <w:sz w:val="22"/>
          <w:lang w:val="es-CR" w:eastAsia="es-ES"/>
        </w:rPr>
        <w:t>Ley N° 7523, Régimen Privado de Pensiones Complementarias,</w:t>
      </w:r>
      <w:r w:rsidRPr="002A27C5">
        <w:rPr>
          <w:rFonts w:ascii="Cambria" w:eastAsia="Times New Roman" w:hAnsi="Cambria" w:cs="Times New Roman"/>
          <w:sz w:val="22"/>
          <w:lang w:val="es-CR" w:eastAsia="es-ES"/>
        </w:rPr>
        <w:t xml:space="preserve"> establece que la Superintendencia de Pensiones autorizará, regulará, supervisará y fiscalizará los planes, fondos y regímenes contemplados en esta ley, así como aquellos que le sean encomendados en virtud de otras leyes, y la actividad de las operadoras de pensiones, de los entes autorizados para administrar los fondos de capitalización laboral y de las personas físicas o jurídicas que intervengan, directa o indirectamente, en los actos o contratos relacionados con las disposiciones de esta ley.</w:t>
      </w:r>
    </w:p>
    <w:p w14:paraId="2A400A34" w14:textId="77777777" w:rsidR="00754F88" w:rsidRDefault="00754F88" w:rsidP="00754F88">
      <w:pPr>
        <w:spacing w:line="240" w:lineRule="auto"/>
        <w:ind w:left="360"/>
        <w:contextualSpacing/>
        <w:jc w:val="both"/>
        <w:rPr>
          <w:rFonts w:ascii="Cambria" w:eastAsia="Times New Roman" w:hAnsi="Cambria" w:cs="Times New Roman"/>
          <w:sz w:val="22"/>
          <w:lang w:val="es-CR" w:eastAsia="es-ES"/>
        </w:rPr>
      </w:pPr>
    </w:p>
    <w:p w14:paraId="3E1DFB9C" w14:textId="54CFD8CD" w:rsidR="000E18F1" w:rsidRDefault="005E0713" w:rsidP="0038582B">
      <w:pPr>
        <w:numPr>
          <w:ilvl w:val="0"/>
          <w:numId w:val="1"/>
        </w:numPr>
        <w:spacing w:line="240" w:lineRule="auto"/>
        <w:contextualSpacing/>
        <w:jc w:val="both"/>
        <w:rPr>
          <w:rFonts w:ascii="Cambria" w:eastAsia="Times New Roman" w:hAnsi="Cambria" w:cs="Times New Roman"/>
          <w:sz w:val="22"/>
          <w:lang w:val="es-CR" w:eastAsia="es-ES"/>
        </w:rPr>
      </w:pPr>
      <w:r>
        <w:rPr>
          <w:rFonts w:ascii="Cambria" w:eastAsia="Times New Roman" w:hAnsi="Cambria" w:cs="Times New Roman"/>
          <w:sz w:val="22"/>
          <w:lang w:val="es-CR" w:eastAsia="es-ES"/>
        </w:rPr>
        <w:t>El a</w:t>
      </w:r>
      <w:r w:rsidRPr="005E0713">
        <w:rPr>
          <w:rFonts w:ascii="Cambria" w:eastAsia="Times New Roman" w:hAnsi="Cambria" w:cs="Times New Roman"/>
          <w:sz w:val="22"/>
          <w:lang w:val="es-CR" w:eastAsia="es-ES"/>
        </w:rPr>
        <w:t>rtículo 38</w:t>
      </w:r>
      <w:r w:rsidR="009E7CAD">
        <w:rPr>
          <w:rFonts w:ascii="Cambria" w:eastAsia="Times New Roman" w:hAnsi="Cambria" w:cs="Times New Roman"/>
          <w:sz w:val="22"/>
          <w:lang w:val="es-CR" w:eastAsia="es-ES"/>
        </w:rPr>
        <w:t>, inciso f</w:t>
      </w:r>
      <w:r w:rsidR="00103D63">
        <w:rPr>
          <w:rFonts w:ascii="Cambria" w:eastAsia="Times New Roman" w:hAnsi="Cambria" w:cs="Times New Roman"/>
          <w:sz w:val="22"/>
          <w:lang w:val="es-CR" w:eastAsia="es-ES"/>
        </w:rPr>
        <w:t>), de</w:t>
      </w:r>
      <w:r w:rsidR="009E7CAD">
        <w:rPr>
          <w:rFonts w:ascii="Cambria" w:eastAsia="Times New Roman" w:hAnsi="Cambria" w:cs="Times New Roman"/>
          <w:sz w:val="22"/>
          <w:lang w:val="es-CR" w:eastAsia="es-ES"/>
        </w:rPr>
        <w:t xml:space="preserve"> la Ley N° 7523 establece que es atribución del Superintendente de Pensiones a</w:t>
      </w:r>
      <w:r w:rsidRPr="005E0713">
        <w:rPr>
          <w:rFonts w:ascii="Cambria" w:eastAsia="Times New Roman" w:hAnsi="Cambria" w:cs="Times New Roman"/>
          <w:sz w:val="22"/>
          <w:lang w:val="es-CR" w:eastAsia="es-ES"/>
        </w:rPr>
        <w:t>doptar todas las acciones necesarias para el cumplimiento efectivo de las funciones de autorización, regulación, supervisión y fiscalización que le competen a la Superintendencia, según esta ley y las normas emitidas por el Consejo Nacional.</w:t>
      </w:r>
    </w:p>
    <w:p w14:paraId="06311EA2" w14:textId="77777777" w:rsidR="0038582B" w:rsidRPr="0038582B" w:rsidRDefault="0038582B" w:rsidP="0038582B">
      <w:pPr>
        <w:spacing w:line="240" w:lineRule="auto"/>
        <w:contextualSpacing/>
        <w:jc w:val="both"/>
        <w:rPr>
          <w:rFonts w:ascii="Cambria" w:eastAsia="Times New Roman" w:hAnsi="Cambria" w:cs="Times New Roman"/>
          <w:sz w:val="22"/>
          <w:lang w:val="es-CR" w:eastAsia="es-ES"/>
        </w:rPr>
      </w:pPr>
    </w:p>
    <w:p w14:paraId="7A162199" w14:textId="241FE690" w:rsidR="008E24A2" w:rsidRPr="000E18F1" w:rsidRDefault="007D4D6B" w:rsidP="000E18F1">
      <w:pPr>
        <w:numPr>
          <w:ilvl w:val="0"/>
          <w:numId w:val="1"/>
        </w:numPr>
        <w:spacing w:line="240" w:lineRule="auto"/>
        <w:contextualSpacing/>
        <w:jc w:val="both"/>
        <w:rPr>
          <w:rFonts w:ascii="Cambria" w:eastAsia="Times New Roman" w:hAnsi="Cambria" w:cs="Times New Roman"/>
          <w:sz w:val="22"/>
          <w:lang w:val="es-CR" w:eastAsia="es-ES"/>
        </w:rPr>
      </w:pPr>
      <w:r w:rsidRPr="000E18F1">
        <w:rPr>
          <w:rFonts w:ascii="Cambria" w:eastAsia="Times New Roman" w:hAnsi="Cambria" w:cs="Times New Roman"/>
          <w:sz w:val="22"/>
          <w:lang w:val="es-CR" w:eastAsia="es-ES"/>
        </w:rPr>
        <w:t xml:space="preserve">El artículo </w:t>
      </w:r>
      <w:r w:rsidR="00496D4E" w:rsidRPr="000E18F1">
        <w:rPr>
          <w:rFonts w:ascii="Cambria" w:eastAsia="Times New Roman" w:hAnsi="Cambria" w:cs="Times New Roman"/>
          <w:sz w:val="22"/>
          <w:lang w:val="es-CR" w:eastAsia="es-ES"/>
        </w:rPr>
        <w:t xml:space="preserve">42, inciso e), de la Ley de Protección al Trabajador </w:t>
      </w:r>
      <w:r w:rsidR="00373A1D" w:rsidRPr="000E18F1">
        <w:rPr>
          <w:rFonts w:ascii="Cambria" w:eastAsia="Times New Roman" w:hAnsi="Cambria" w:cs="Times New Roman"/>
          <w:sz w:val="22"/>
          <w:lang w:val="es-CR" w:eastAsia="es-ES"/>
        </w:rPr>
        <w:t xml:space="preserve">dispone que es </w:t>
      </w:r>
      <w:r w:rsidR="00D70299" w:rsidRPr="000E18F1">
        <w:rPr>
          <w:rFonts w:ascii="Cambria" w:eastAsia="Times New Roman" w:hAnsi="Cambria" w:cs="Times New Roman"/>
          <w:sz w:val="22"/>
          <w:lang w:val="es-CR" w:eastAsia="es-ES"/>
        </w:rPr>
        <w:t xml:space="preserve">obligación de las operadoras de pensiones acatar los acuerdos </w:t>
      </w:r>
      <w:r w:rsidR="00D06B7D" w:rsidRPr="000E18F1">
        <w:rPr>
          <w:rFonts w:ascii="Cambria" w:eastAsia="Times New Roman" w:hAnsi="Cambria" w:cs="Times New Roman"/>
          <w:sz w:val="22"/>
          <w:lang w:val="es-CR" w:eastAsia="es-ES"/>
        </w:rPr>
        <w:t xml:space="preserve">emitidos </w:t>
      </w:r>
      <w:r w:rsidR="00D70299" w:rsidRPr="000E18F1">
        <w:rPr>
          <w:rFonts w:ascii="Cambria" w:eastAsia="Times New Roman" w:hAnsi="Cambria" w:cs="Times New Roman"/>
          <w:sz w:val="22"/>
          <w:lang w:val="es-CR" w:eastAsia="es-ES"/>
        </w:rPr>
        <w:t>el Superintendente</w:t>
      </w:r>
      <w:r w:rsidR="00D06B7D" w:rsidRPr="000E18F1">
        <w:rPr>
          <w:rFonts w:ascii="Cambria" w:eastAsia="Times New Roman" w:hAnsi="Cambria" w:cs="Times New Roman"/>
          <w:sz w:val="22"/>
          <w:lang w:val="es-CR" w:eastAsia="es-ES"/>
        </w:rPr>
        <w:t xml:space="preserve"> de Pensiones</w:t>
      </w:r>
      <w:r w:rsidR="00D70299" w:rsidRPr="000E18F1">
        <w:rPr>
          <w:rFonts w:ascii="Cambria" w:eastAsia="Times New Roman" w:hAnsi="Cambria" w:cs="Times New Roman"/>
          <w:sz w:val="22"/>
          <w:lang w:val="es-CR" w:eastAsia="es-ES"/>
        </w:rPr>
        <w:t>.</w:t>
      </w:r>
    </w:p>
    <w:p w14:paraId="30AF4CCD" w14:textId="77777777" w:rsidR="006D2DF9" w:rsidRDefault="006D2DF9" w:rsidP="008E24A2">
      <w:pPr>
        <w:spacing w:line="240" w:lineRule="auto"/>
        <w:ind w:left="360"/>
        <w:contextualSpacing/>
        <w:jc w:val="both"/>
        <w:rPr>
          <w:rFonts w:ascii="Cambria" w:eastAsia="Times New Roman" w:hAnsi="Cambria" w:cs="Times New Roman"/>
          <w:sz w:val="22"/>
          <w:lang w:val="es-CR" w:eastAsia="es-ES"/>
        </w:rPr>
      </w:pPr>
    </w:p>
    <w:p w14:paraId="6137B6AD" w14:textId="32349D66" w:rsidR="008E24A2" w:rsidRDefault="008E24A2" w:rsidP="6F290D6E">
      <w:pPr>
        <w:numPr>
          <w:ilvl w:val="0"/>
          <w:numId w:val="1"/>
        </w:numPr>
        <w:spacing w:line="240" w:lineRule="auto"/>
        <w:contextualSpacing/>
        <w:jc w:val="both"/>
        <w:rPr>
          <w:rFonts w:ascii="Cambria" w:eastAsia="Times New Roman" w:hAnsi="Cambria" w:cs="Times New Roman"/>
          <w:sz w:val="22"/>
          <w:lang w:val="es-CR" w:eastAsia="es-ES"/>
        </w:rPr>
      </w:pPr>
      <w:r w:rsidRPr="6F290D6E">
        <w:rPr>
          <w:rFonts w:ascii="Cambria" w:eastAsia="Times New Roman" w:hAnsi="Cambria" w:cs="Times New Roman"/>
          <w:sz w:val="22"/>
          <w:lang w:val="es-CR" w:eastAsia="es-ES"/>
        </w:rPr>
        <w:t xml:space="preserve">El acuerdo </w:t>
      </w:r>
      <w:bookmarkStart w:id="0" w:name="_Hlk185509169"/>
      <w:r w:rsidRPr="6F290D6E">
        <w:rPr>
          <w:rFonts w:ascii="Cambria" w:eastAsia="Times New Roman" w:hAnsi="Cambria" w:cs="Times New Roman"/>
          <w:sz w:val="22"/>
          <w:lang w:val="es-CR" w:eastAsia="es-ES"/>
        </w:rPr>
        <w:t xml:space="preserve">SGV-A-198. </w:t>
      </w:r>
      <w:r w:rsidR="000E18F1" w:rsidRPr="6F290D6E">
        <w:rPr>
          <w:rFonts w:ascii="Cambria" w:eastAsia="Times New Roman" w:hAnsi="Cambria" w:cs="Times New Roman"/>
          <w:sz w:val="22"/>
          <w:lang w:val="es-CR" w:eastAsia="es-ES"/>
        </w:rPr>
        <w:t>Acuerdo para la Implantación del Reglamento de Custodia</w:t>
      </w:r>
      <w:bookmarkEnd w:id="0"/>
      <w:r w:rsidRPr="6F290D6E">
        <w:rPr>
          <w:rStyle w:val="Refdenotaalpie"/>
          <w:rFonts w:ascii="Cambria" w:eastAsia="Times New Roman" w:hAnsi="Cambria" w:cs="Times New Roman"/>
          <w:sz w:val="22"/>
          <w:lang w:val="es-CR" w:eastAsia="es-ES"/>
        </w:rPr>
        <w:footnoteReference w:id="2"/>
      </w:r>
      <w:r w:rsidRPr="6F290D6E">
        <w:rPr>
          <w:rFonts w:ascii="Cambria" w:eastAsia="Times New Roman" w:hAnsi="Cambria" w:cs="Times New Roman"/>
          <w:sz w:val="22"/>
          <w:lang w:val="es-CR" w:eastAsia="es-ES"/>
        </w:rPr>
        <w:t>,</w:t>
      </w:r>
      <w:r w:rsidR="000E18F1" w:rsidRPr="6F290D6E">
        <w:rPr>
          <w:rFonts w:ascii="Cambria" w:eastAsia="Times New Roman" w:hAnsi="Cambria" w:cs="Times New Roman"/>
          <w:sz w:val="22"/>
          <w:lang w:val="es-CR" w:eastAsia="es-ES"/>
        </w:rPr>
        <w:t xml:space="preserve"> </w:t>
      </w:r>
      <w:r w:rsidRPr="6F290D6E">
        <w:rPr>
          <w:rFonts w:ascii="Cambria" w:eastAsia="Times New Roman" w:hAnsi="Cambria" w:cs="Times New Roman"/>
          <w:sz w:val="22"/>
          <w:lang w:val="es-CR" w:eastAsia="es-ES"/>
        </w:rPr>
        <w:t>dispone en su artículo 10:</w:t>
      </w:r>
    </w:p>
    <w:p w14:paraId="5ACEE225" w14:textId="77777777" w:rsidR="008E24A2" w:rsidRDefault="008E24A2" w:rsidP="008E24A2">
      <w:pPr>
        <w:pStyle w:val="Prrafodelista"/>
        <w:rPr>
          <w:rFonts w:ascii="Cambria" w:eastAsia="Times New Roman" w:hAnsi="Cambria" w:cs="Times New Roman"/>
          <w:sz w:val="22"/>
          <w:lang w:val="es-CR" w:eastAsia="es-ES"/>
        </w:rPr>
      </w:pPr>
    </w:p>
    <w:p w14:paraId="5FA40B87" w14:textId="4E27609F" w:rsidR="008F0BF2" w:rsidRPr="008F0BF2" w:rsidRDefault="008F0BF2" w:rsidP="008F0BF2">
      <w:pPr>
        <w:spacing w:line="240" w:lineRule="auto"/>
        <w:ind w:firstLine="360"/>
        <w:contextualSpacing/>
        <w:jc w:val="both"/>
        <w:rPr>
          <w:rFonts w:ascii="Cambria" w:eastAsia="Times New Roman" w:hAnsi="Cambria" w:cs="Times New Roman"/>
          <w:i/>
          <w:iCs/>
          <w:sz w:val="22"/>
          <w:lang w:val="es-CR" w:eastAsia="es-ES"/>
        </w:rPr>
      </w:pPr>
      <w:r w:rsidRPr="008F0BF2">
        <w:rPr>
          <w:rFonts w:ascii="Cambria" w:eastAsia="Times New Roman" w:hAnsi="Cambria" w:cs="Times New Roman"/>
          <w:i/>
          <w:iCs/>
          <w:sz w:val="22"/>
          <w:lang w:val="es-CR" w:eastAsia="es-ES"/>
        </w:rPr>
        <w:t>“(…) Artículo 10.  Traspaso de valores</w:t>
      </w:r>
    </w:p>
    <w:p w14:paraId="335B1562" w14:textId="77777777" w:rsidR="008F0BF2" w:rsidRPr="008F0BF2" w:rsidRDefault="008F0BF2" w:rsidP="008F0BF2">
      <w:pPr>
        <w:spacing w:line="240" w:lineRule="auto"/>
        <w:contextualSpacing/>
        <w:jc w:val="both"/>
        <w:rPr>
          <w:rFonts w:ascii="Cambria" w:eastAsia="Times New Roman" w:hAnsi="Cambria" w:cs="Times New Roman"/>
          <w:i/>
          <w:iCs/>
          <w:sz w:val="22"/>
          <w:lang w:val="es-CR" w:eastAsia="es-ES"/>
        </w:rPr>
      </w:pPr>
    </w:p>
    <w:p w14:paraId="48501430" w14:textId="154D859A" w:rsidR="008F0BF2" w:rsidRPr="008F0BF2" w:rsidRDefault="008F0BF2" w:rsidP="008F0BF2">
      <w:pPr>
        <w:spacing w:line="240" w:lineRule="auto"/>
        <w:ind w:left="360"/>
        <w:contextualSpacing/>
        <w:jc w:val="both"/>
        <w:rPr>
          <w:rFonts w:ascii="Cambria" w:eastAsia="Times New Roman" w:hAnsi="Cambria" w:cs="Times New Roman"/>
          <w:i/>
          <w:iCs/>
          <w:sz w:val="22"/>
          <w:lang w:val="es-CR" w:eastAsia="es-ES"/>
        </w:rPr>
      </w:pPr>
      <w:r w:rsidRPr="008F0BF2">
        <w:rPr>
          <w:rFonts w:ascii="Cambria" w:eastAsia="Times New Roman" w:hAnsi="Cambria" w:cs="Times New Roman"/>
          <w:i/>
          <w:iCs/>
          <w:sz w:val="22"/>
          <w:lang w:val="es-CR" w:eastAsia="es-ES"/>
        </w:rPr>
        <w:t xml:space="preserve">Para efectos de lo dispuesto en el Reglamento, se autoriza </w:t>
      </w:r>
      <w:r w:rsidR="00177090" w:rsidRPr="008F0BF2">
        <w:rPr>
          <w:rFonts w:ascii="Cambria" w:eastAsia="Times New Roman" w:hAnsi="Cambria" w:cs="Times New Roman"/>
          <w:i/>
          <w:iCs/>
          <w:sz w:val="22"/>
          <w:lang w:val="es-CR" w:eastAsia="es-ES"/>
        </w:rPr>
        <w:t>únicamente la</w:t>
      </w:r>
      <w:r w:rsidRPr="008F0BF2">
        <w:rPr>
          <w:rFonts w:ascii="Cambria" w:eastAsia="Times New Roman" w:hAnsi="Cambria" w:cs="Times New Roman"/>
          <w:i/>
          <w:iCs/>
          <w:sz w:val="22"/>
          <w:lang w:val="es-CR" w:eastAsia="es-ES"/>
        </w:rPr>
        <w:t xml:space="preserve"> realización de los siguientes tipos de traspasos de valores, los cuales deben ser comunicados a la Superintendencia General de Valores:</w:t>
      </w:r>
    </w:p>
    <w:p w14:paraId="3F5917E6" w14:textId="77777777" w:rsidR="008F0BF2" w:rsidRPr="003A7392" w:rsidRDefault="008F0BF2" w:rsidP="008F0BF2">
      <w:pPr>
        <w:spacing w:line="240" w:lineRule="auto"/>
        <w:ind w:left="360"/>
        <w:contextualSpacing/>
        <w:jc w:val="both"/>
        <w:rPr>
          <w:rFonts w:ascii="Cambria" w:eastAsia="Times New Roman" w:hAnsi="Cambria" w:cs="Times New Roman"/>
          <w:i/>
          <w:iCs/>
          <w:sz w:val="22"/>
          <w:lang w:val="es-CR" w:eastAsia="es-ES"/>
        </w:rPr>
      </w:pPr>
    </w:p>
    <w:p w14:paraId="16FA87E0" w14:textId="77777777" w:rsidR="0015129D" w:rsidRPr="003A7392" w:rsidRDefault="0015129D" w:rsidP="0015129D">
      <w:pPr>
        <w:spacing w:line="240" w:lineRule="auto"/>
        <w:ind w:left="360"/>
        <w:contextualSpacing/>
        <w:jc w:val="both"/>
        <w:rPr>
          <w:rFonts w:ascii="Cambria" w:eastAsia="Times New Roman" w:hAnsi="Cambria" w:cs="Times New Roman"/>
          <w:i/>
          <w:iCs/>
          <w:sz w:val="22"/>
          <w:lang w:val="es-CR" w:eastAsia="es-ES"/>
        </w:rPr>
      </w:pPr>
      <w:r w:rsidRPr="003A7392">
        <w:rPr>
          <w:rFonts w:ascii="Cambria" w:eastAsia="Times New Roman" w:hAnsi="Cambria" w:cs="Times New Roman"/>
          <w:i/>
          <w:iCs/>
          <w:sz w:val="22"/>
          <w:lang w:val="es-CR" w:eastAsia="es-ES"/>
        </w:rPr>
        <w:t xml:space="preserve">1.            Traspasos no onerosos: </w:t>
      </w:r>
    </w:p>
    <w:p w14:paraId="4B5B71B8" w14:textId="77777777" w:rsidR="0015129D" w:rsidRPr="003A7392" w:rsidRDefault="0015129D" w:rsidP="008F0BF2">
      <w:pPr>
        <w:spacing w:line="240" w:lineRule="auto"/>
        <w:ind w:left="360"/>
        <w:contextualSpacing/>
        <w:jc w:val="both"/>
        <w:rPr>
          <w:rFonts w:ascii="Cambria" w:eastAsia="Times New Roman" w:hAnsi="Cambria" w:cs="Times New Roman"/>
          <w:i/>
          <w:iCs/>
          <w:sz w:val="22"/>
          <w:lang w:val="es-CR" w:eastAsia="es-ES"/>
        </w:rPr>
      </w:pPr>
    </w:p>
    <w:p w14:paraId="645FFB69" w14:textId="78E08643" w:rsidR="008F0BF2" w:rsidRPr="003A7392" w:rsidRDefault="008F0BF2" w:rsidP="008F0BF2">
      <w:pPr>
        <w:spacing w:line="240" w:lineRule="auto"/>
        <w:ind w:left="360"/>
        <w:contextualSpacing/>
        <w:jc w:val="both"/>
        <w:rPr>
          <w:rFonts w:ascii="Cambria" w:eastAsia="Times New Roman" w:hAnsi="Cambria" w:cs="Times New Roman"/>
          <w:i/>
          <w:iCs/>
          <w:sz w:val="22"/>
          <w:lang w:val="es-CR" w:eastAsia="es-ES"/>
        </w:rPr>
      </w:pPr>
      <w:r w:rsidRPr="003A7392">
        <w:rPr>
          <w:rFonts w:ascii="Cambria" w:eastAsia="Times New Roman" w:hAnsi="Cambria" w:cs="Times New Roman"/>
          <w:i/>
          <w:iCs/>
          <w:sz w:val="22"/>
          <w:lang w:val="es-CR" w:eastAsia="es-ES"/>
        </w:rPr>
        <w:t>(…)</w:t>
      </w:r>
    </w:p>
    <w:p w14:paraId="41B1BC89" w14:textId="77777777" w:rsidR="009A4709" w:rsidRPr="003A7392" w:rsidRDefault="009A4709" w:rsidP="008F0BF2">
      <w:pPr>
        <w:spacing w:line="240" w:lineRule="auto"/>
        <w:ind w:left="360"/>
        <w:contextualSpacing/>
        <w:jc w:val="both"/>
        <w:rPr>
          <w:rFonts w:ascii="Cambria" w:eastAsia="Times New Roman" w:hAnsi="Cambria" w:cs="Times New Roman"/>
          <w:i/>
          <w:iCs/>
          <w:sz w:val="22"/>
          <w:lang w:val="es-CR" w:eastAsia="es-ES"/>
        </w:rPr>
      </w:pPr>
    </w:p>
    <w:p w14:paraId="779B4E21" w14:textId="01A5E318" w:rsidR="000B4A54" w:rsidRPr="003A7392" w:rsidRDefault="000B4A54" w:rsidP="000B4A54">
      <w:pPr>
        <w:spacing w:line="240" w:lineRule="auto"/>
        <w:ind w:left="360"/>
        <w:contextualSpacing/>
        <w:jc w:val="both"/>
        <w:rPr>
          <w:rFonts w:ascii="Cambria" w:eastAsia="Times New Roman" w:hAnsi="Cambria" w:cs="Times New Roman"/>
          <w:i/>
          <w:iCs/>
          <w:sz w:val="22"/>
          <w:lang w:val="es-CR" w:eastAsia="es-ES"/>
        </w:rPr>
      </w:pPr>
      <w:r w:rsidRPr="003A7392">
        <w:rPr>
          <w:rFonts w:ascii="Cambria" w:eastAsia="Times New Roman" w:hAnsi="Cambria" w:cs="Times New Roman"/>
          <w:i/>
          <w:iCs/>
          <w:sz w:val="22"/>
          <w:lang w:val="es-CR" w:eastAsia="es-ES"/>
        </w:rPr>
        <w:t>b)            Traspaso con cambio de titularidad hacia otro custodio o en el mismo custodio, para los cuales se debe contar con la documentación legal necesaria que fundamente el origen del traspaso. Tales traspasos son los siguientes:</w:t>
      </w:r>
    </w:p>
    <w:p w14:paraId="44CC9B4E" w14:textId="77777777" w:rsidR="000B4A54" w:rsidRPr="003A7392" w:rsidRDefault="000B4A54" w:rsidP="000B4A54">
      <w:pPr>
        <w:spacing w:line="240" w:lineRule="auto"/>
        <w:ind w:left="360"/>
        <w:contextualSpacing/>
        <w:jc w:val="both"/>
        <w:rPr>
          <w:rFonts w:ascii="Cambria" w:eastAsia="Times New Roman" w:hAnsi="Cambria" w:cs="Times New Roman"/>
          <w:i/>
          <w:iCs/>
          <w:sz w:val="22"/>
          <w:lang w:val="es-CR" w:eastAsia="es-ES"/>
        </w:rPr>
      </w:pPr>
    </w:p>
    <w:p w14:paraId="5BAC1DFC" w14:textId="1C11378F" w:rsidR="000B4A54" w:rsidRPr="003A7392" w:rsidRDefault="000B4A54" w:rsidP="000B4A54">
      <w:pPr>
        <w:spacing w:line="240" w:lineRule="auto"/>
        <w:ind w:left="360"/>
        <w:contextualSpacing/>
        <w:jc w:val="both"/>
        <w:rPr>
          <w:rFonts w:ascii="Cambria" w:eastAsia="Times New Roman" w:hAnsi="Cambria" w:cs="Times New Roman"/>
          <w:i/>
          <w:iCs/>
          <w:sz w:val="22"/>
          <w:lang w:val="es-CR" w:eastAsia="es-ES"/>
        </w:rPr>
      </w:pPr>
      <w:r w:rsidRPr="003A7392">
        <w:rPr>
          <w:rFonts w:ascii="Cambria" w:eastAsia="Times New Roman" w:hAnsi="Cambria" w:cs="Times New Roman"/>
          <w:i/>
          <w:iCs/>
          <w:sz w:val="22"/>
          <w:lang w:val="es-CR" w:eastAsia="es-ES"/>
        </w:rPr>
        <w:t>(…)</w:t>
      </w:r>
    </w:p>
    <w:p w14:paraId="43234922" w14:textId="77777777" w:rsidR="008F0BF2" w:rsidRPr="008F0BF2" w:rsidRDefault="008F0BF2" w:rsidP="008F0BF2">
      <w:pPr>
        <w:spacing w:line="240" w:lineRule="auto"/>
        <w:contextualSpacing/>
        <w:jc w:val="both"/>
        <w:rPr>
          <w:rFonts w:ascii="Cambria" w:eastAsia="Times New Roman" w:hAnsi="Cambria" w:cs="Times New Roman"/>
          <w:i/>
          <w:iCs/>
          <w:sz w:val="22"/>
          <w:lang w:val="es-CR" w:eastAsia="es-ES"/>
        </w:rPr>
      </w:pPr>
    </w:p>
    <w:p w14:paraId="0EDC818C" w14:textId="77777777" w:rsidR="008F0BF2" w:rsidRPr="008F0BF2" w:rsidRDefault="008F0BF2" w:rsidP="008F0BF2">
      <w:pPr>
        <w:spacing w:line="240" w:lineRule="auto"/>
        <w:ind w:left="708"/>
        <w:contextualSpacing/>
        <w:jc w:val="both"/>
        <w:rPr>
          <w:rFonts w:ascii="Cambria" w:eastAsia="Times New Roman" w:hAnsi="Cambria" w:cs="Times New Roman"/>
          <w:i/>
          <w:iCs/>
          <w:sz w:val="22"/>
          <w:lang w:val="es-CR" w:eastAsia="es-ES"/>
        </w:rPr>
      </w:pPr>
      <w:r w:rsidRPr="008F0BF2">
        <w:rPr>
          <w:rFonts w:ascii="Cambria" w:eastAsia="Times New Roman" w:hAnsi="Cambria" w:cs="Times New Roman"/>
          <w:i/>
          <w:iCs/>
          <w:sz w:val="22"/>
          <w:lang w:val="es-CR" w:eastAsia="es-ES"/>
        </w:rPr>
        <w:lastRenderedPageBreak/>
        <w:t>viii.</w:t>
      </w:r>
      <w:r w:rsidRPr="008F0BF2">
        <w:rPr>
          <w:rFonts w:ascii="Cambria" w:eastAsia="Times New Roman" w:hAnsi="Cambria" w:cs="Times New Roman"/>
          <w:i/>
          <w:iCs/>
          <w:sz w:val="22"/>
          <w:lang w:val="es-CR" w:eastAsia="es-ES"/>
        </w:rPr>
        <w:tab/>
        <w:t>Traspasos de valores de fondos de pensión o de capitalización laboral, de conformidad con las instrucciones que al respecto emita la Superintendencia de Pensiones, originados por:</w:t>
      </w:r>
    </w:p>
    <w:p w14:paraId="2C73E950" w14:textId="77777777" w:rsidR="008F0BF2" w:rsidRPr="008F0BF2" w:rsidRDefault="008F0BF2" w:rsidP="008F0BF2">
      <w:pPr>
        <w:spacing w:line="240" w:lineRule="auto"/>
        <w:contextualSpacing/>
        <w:jc w:val="both"/>
        <w:rPr>
          <w:rFonts w:ascii="Cambria" w:eastAsia="Times New Roman" w:hAnsi="Cambria" w:cs="Times New Roman"/>
          <w:i/>
          <w:iCs/>
          <w:sz w:val="22"/>
          <w:lang w:val="es-CR" w:eastAsia="es-ES"/>
        </w:rPr>
      </w:pPr>
    </w:p>
    <w:p w14:paraId="75CA5C6E" w14:textId="199C1C7D" w:rsidR="008F0BF2" w:rsidRPr="008F0BF2" w:rsidRDefault="008F0BF2" w:rsidP="008F0BF2">
      <w:pPr>
        <w:spacing w:line="240" w:lineRule="auto"/>
        <w:ind w:left="708"/>
        <w:contextualSpacing/>
        <w:jc w:val="both"/>
        <w:rPr>
          <w:rFonts w:ascii="Cambria" w:eastAsia="Times New Roman" w:hAnsi="Cambria" w:cs="Times New Roman"/>
          <w:i/>
          <w:iCs/>
          <w:sz w:val="22"/>
          <w:lang w:val="es-CR" w:eastAsia="es-ES"/>
        </w:rPr>
      </w:pPr>
      <w:r w:rsidRPr="008F0BF2">
        <w:rPr>
          <w:rFonts w:ascii="Cambria" w:eastAsia="Times New Roman" w:hAnsi="Cambria" w:cs="Times New Roman"/>
          <w:i/>
          <w:iCs/>
          <w:sz w:val="22"/>
          <w:lang w:val="es-CR" w:eastAsia="es-ES"/>
        </w:rPr>
        <w:t>• Traslado del Fondo de Capitalización Laboral al Régimen obligatorio de pensiones, siempre y cuando el dinero se mantenga en la misma operadora de pensiones.</w:t>
      </w:r>
    </w:p>
    <w:p w14:paraId="6F48D4E7" w14:textId="77777777" w:rsidR="008F0BF2" w:rsidRPr="008F0BF2" w:rsidRDefault="008F0BF2" w:rsidP="008F0BF2">
      <w:pPr>
        <w:spacing w:line="240" w:lineRule="auto"/>
        <w:contextualSpacing/>
        <w:jc w:val="both"/>
        <w:rPr>
          <w:rFonts w:ascii="Cambria" w:eastAsia="Times New Roman" w:hAnsi="Cambria" w:cs="Times New Roman"/>
          <w:i/>
          <w:iCs/>
          <w:sz w:val="22"/>
          <w:lang w:val="es-CR" w:eastAsia="es-ES"/>
        </w:rPr>
      </w:pPr>
    </w:p>
    <w:p w14:paraId="581CA651" w14:textId="3615D3E6" w:rsidR="008F0BF2" w:rsidRPr="008F0BF2" w:rsidRDefault="008F0BF2" w:rsidP="008F0BF2">
      <w:pPr>
        <w:spacing w:line="240" w:lineRule="auto"/>
        <w:ind w:left="708"/>
        <w:contextualSpacing/>
        <w:jc w:val="both"/>
        <w:rPr>
          <w:rFonts w:ascii="Cambria" w:eastAsia="Times New Roman" w:hAnsi="Cambria" w:cs="Times New Roman"/>
          <w:i/>
          <w:iCs/>
          <w:sz w:val="22"/>
          <w:lang w:val="es-CR" w:eastAsia="es-ES"/>
        </w:rPr>
      </w:pPr>
      <w:r w:rsidRPr="008F0BF2">
        <w:rPr>
          <w:rFonts w:ascii="Cambria" w:eastAsia="Times New Roman" w:hAnsi="Cambria" w:cs="Times New Roman"/>
          <w:i/>
          <w:iCs/>
          <w:sz w:val="22"/>
          <w:lang w:val="es-CR" w:eastAsia="es-ES"/>
        </w:rPr>
        <w:t>• Traslado del Fondo de pensiones complementario creado por ley especial, convención colectiva o normativa a la administración de una Operadora de Pensiones.</w:t>
      </w:r>
    </w:p>
    <w:p w14:paraId="5E2549C4" w14:textId="77777777" w:rsidR="008F0BF2" w:rsidRPr="008F0BF2" w:rsidRDefault="008F0BF2" w:rsidP="008F0BF2">
      <w:pPr>
        <w:spacing w:line="240" w:lineRule="auto"/>
        <w:contextualSpacing/>
        <w:jc w:val="both"/>
        <w:rPr>
          <w:rFonts w:ascii="Cambria" w:eastAsia="Times New Roman" w:hAnsi="Cambria" w:cs="Times New Roman"/>
          <w:i/>
          <w:iCs/>
          <w:sz w:val="22"/>
          <w:lang w:val="es-CR" w:eastAsia="es-ES"/>
        </w:rPr>
      </w:pPr>
    </w:p>
    <w:p w14:paraId="578BC3F6" w14:textId="445895FA" w:rsidR="008F0BF2" w:rsidRDefault="008F0BF2" w:rsidP="008F0BF2">
      <w:pPr>
        <w:spacing w:line="240" w:lineRule="auto"/>
        <w:ind w:left="708"/>
        <w:contextualSpacing/>
        <w:jc w:val="both"/>
        <w:rPr>
          <w:rFonts w:ascii="Cambria" w:eastAsia="Times New Roman" w:hAnsi="Cambria" w:cs="Times New Roman"/>
          <w:i/>
          <w:iCs/>
          <w:sz w:val="22"/>
          <w:lang w:val="es-CR" w:eastAsia="es-ES"/>
        </w:rPr>
      </w:pPr>
      <w:r w:rsidRPr="008F0BF2">
        <w:rPr>
          <w:rFonts w:ascii="Cambria" w:eastAsia="Times New Roman" w:hAnsi="Cambria" w:cs="Times New Roman"/>
          <w:i/>
          <w:iCs/>
          <w:sz w:val="22"/>
          <w:lang w:val="es-CR" w:eastAsia="es-ES"/>
        </w:rPr>
        <w:t>• Fusión o liquidación de una operadora de pensiones o de sus fondos administrado</w:t>
      </w:r>
      <w:r w:rsidR="006240EA">
        <w:rPr>
          <w:rFonts w:ascii="Cambria" w:eastAsia="Times New Roman" w:hAnsi="Cambria" w:cs="Times New Roman"/>
          <w:i/>
          <w:iCs/>
          <w:sz w:val="22"/>
          <w:lang w:val="es-CR" w:eastAsia="es-ES"/>
        </w:rPr>
        <w:t>s.</w:t>
      </w:r>
    </w:p>
    <w:p w14:paraId="114BCD56" w14:textId="77777777" w:rsidR="006240EA" w:rsidRDefault="006240EA" w:rsidP="008F0BF2">
      <w:pPr>
        <w:spacing w:line="240" w:lineRule="auto"/>
        <w:ind w:left="708"/>
        <w:contextualSpacing/>
        <w:jc w:val="both"/>
        <w:rPr>
          <w:rFonts w:ascii="Cambria" w:eastAsia="Times New Roman" w:hAnsi="Cambria" w:cs="Times New Roman"/>
          <w:i/>
          <w:iCs/>
          <w:sz w:val="22"/>
          <w:lang w:val="es-CR" w:eastAsia="es-ES"/>
        </w:rPr>
      </w:pPr>
    </w:p>
    <w:p w14:paraId="263F70EF" w14:textId="79F348F0" w:rsidR="006240EA" w:rsidRDefault="006240EA" w:rsidP="006240EA">
      <w:pPr>
        <w:spacing w:line="240" w:lineRule="auto"/>
        <w:ind w:left="708"/>
        <w:contextualSpacing/>
        <w:jc w:val="both"/>
        <w:rPr>
          <w:rFonts w:ascii="Cambria" w:eastAsia="Times New Roman" w:hAnsi="Cambria" w:cs="Times New Roman"/>
          <w:i/>
          <w:iCs/>
          <w:sz w:val="22"/>
          <w:lang w:val="es-CR" w:eastAsia="es-ES"/>
        </w:rPr>
      </w:pPr>
      <w:r w:rsidRPr="006240EA">
        <w:rPr>
          <w:rFonts w:ascii="Cambria" w:eastAsia="Times New Roman" w:hAnsi="Cambria" w:cs="Times New Roman"/>
          <w:i/>
          <w:iCs/>
          <w:sz w:val="22"/>
          <w:lang w:val="es-CR" w:eastAsia="es-ES"/>
        </w:rPr>
        <w:t>•</w:t>
      </w:r>
      <w:r>
        <w:rPr>
          <w:rFonts w:ascii="Cambria" w:eastAsia="Times New Roman" w:hAnsi="Cambria" w:cs="Times New Roman"/>
          <w:i/>
          <w:iCs/>
          <w:sz w:val="22"/>
          <w:lang w:val="es-CR" w:eastAsia="es-ES"/>
        </w:rPr>
        <w:t xml:space="preserve"> </w:t>
      </w:r>
      <w:r w:rsidRPr="006240EA">
        <w:rPr>
          <w:rFonts w:ascii="Cambria" w:eastAsia="Times New Roman" w:hAnsi="Cambria" w:cs="Times New Roman"/>
          <w:i/>
          <w:iCs/>
          <w:sz w:val="22"/>
          <w:lang w:val="es-CR" w:eastAsia="es-ES"/>
        </w:rPr>
        <w:t>Otros que determine el Superintendente de Pensiones mediante Acuerdo.</w:t>
      </w:r>
    </w:p>
    <w:p w14:paraId="2302E4CE" w14:textId="77777777" w:rsidR="006240EA" w:rsidRDefault="006240EA" w:rsidP="006240EA">
      <w:pPr>
        <w:spacing w:line="240" w:lineRule="auto"/>
        <w:ind w:left="708"/>
        <w:contextualSpacing/>
        <w:jc w:val="both"/>
        <w:rPr>
          <w:rFonts w:ascii="Cambria" w:eastAsia="Times New Roman" w:hAnsi="Cambria" w:cs="Times New Roman"/>
          <w:i/>
          <w:iCs/>
          <w:sz w:val="22"/>
          <w:lang w:val="es-CR" w:eastAsia="es-ES"/>
        </w:rPr>
      </w:pPr>
    </w:p>
    <w:p w14:paraId="1385D6F2" w14:textId="5B618325" w:rsidR="006240EA" w:rsidRPr="006240EA" w:rsidRDefault="006240EA" w:rsidP="006240EA">
      <w:pPr>
        <w:spacing w:line="240" w:lineRule="auto"/>
        <w:ind w:left="708"/>
        <w:contextualSpacing/>
        <w:jc w:val="both"/>
        <w:rPr>
          <w:rFonts w:ascii="Cambria" w:eastAsia="Times New Roman" w:hAnsi="Cambria" w:cs="Times New Roman"/>
          <w:i/>
          <w:iCs/>
          <w:sz w:val="22"/>
          <w:lang w:val="es-CR" w:eastAsia="es-ES"/>
        </w:rPr>
      </w:pPr>
      <w:r>
        <w:rPr>
          <w:rFonts w:ascii="Cambria" w:eastAsia="Times New Roman" w:hAnsi="Cambria" w:cs="Times New Roman"/>
          <w:i/>
          <w:iCs/>
          <w:sz w:val="22"/>
          <w:lang w:val="es-CR" w:eastAsia="es-ES"/>
        </w:rPr>
        <w:t>(…)</w:t>
      </w:r>
    </w:p>
    <w:p w14:paraId="6ADC46F4" w14:textId="77777777" w:rsidR="006240EA" w:rsidRPr="006240EA" w:rsidRDefault="006240EA" w:rsidP="006240EA">
      <w:pPr>
        <w:spacing w:line="240" w:lineRule="auto"/>
        <w:ind w:left="708"/>
        <w:contextualSpacing/>
        <w:jc w:val="both"/>
        <w:rPr>
          <w:rFonts w:ascii="Cambria" w:eastAsia="Times New Roman" w:hAnsi="Cambria" w:cs="Times New Roman"/>
          <w:i/>
          <w:iCs/>
          <w:sz w:val="22"/>
          <w:lang w:val="es-CR" w:eastAsia="es-ES"/>
        </w:rPr>
      </w:pPr>
    </w:p>
    <w:p w14:paraId="61C7E513" w14:textId="12749782" w:rsidR="00147A09" w:rsidRDefault="00147A09" w:rsidP="006240EA">
      <w:pPr>
        <w:spacing w:line="240" w:lineRule="auto"/>
        <w:ind w:left="708"/>
        <w:contextualSpacing/>
        <w:jc w:val="both"/>
        <w:rPr>
          <w:rFonts w:ascii="Cambria" w:eastAsia="Times New Roman" w:hAnsi="Cambria" w:cs="Times New Roman"/>
          <w:i/>
          <w:iCs/>
          <w:sz w:val="22"/>
          <w:lang w:val="es-CR" w:eastAsia="es-ES"/>
        </w:rPr>
      </w:pPr>
      <w:r w:rsidRPr="00147A09">
        <w:rPr>
          <w:rFonts w:ascii="Cambria" w:eastAsia="Times New Roman" w:hAnsi="Cambria" w:cs="Times New Roman"/>
          <w:i/>
          <w:iCs/>
          <w:sz w:val="22"/>
          <w:lang w:val="es-CR" w:eastAsia="es-ES"/>
        </w:rPr>
        <w:t>Todos estos traspasos que autorice la Superintendencia de Pensiones deberán ser reportados por la entidad de custodia ante la Superintendencia General de Valores de conformidad con lo dispuesto en el Acuerdo SGV-A-75 Suministro de información periódica.</w:t>
      </w:r>
    </w:p>
    <w:p w14:paraId="7D2DD99A" w14:textId="77777777" w:rsidR="00147A09" w:rsidRDefault="00147A09" w:rsidP="006240EA">
      <w:pPr>
        <w:spacing w:line="240" w:lineRule="auto"/>
        <w:ind w:left="708"/>
        <w:contextualSpacing/>
        <w:jc w:val="both"/>
        <w:rPr>
          <w:rFonts w:ascii="Cambria" w:eastAsia="Times New Roman" w:hAnsi="Cambria" w:cs="Times New Roman"/>
          <w:i/>
          <w:iCs/>
          <w:sz w:val="22"/>
          <w:lang w:val="es-CR" w:eastAsia="es-ES"/>
        </w:rPr>
      </w:pPr>
    </w:p>
    <w:p w14:paraId="4663F5C3" w14:textId="6C71B8B5" w:rsidR="006240EA" w:rsidRPr="008F0BF2" w:rsidRDefault="006240EA" w:rsidP="006240EA">
      <w:pPr>
        <w:spacing w:line="240" w:lineRule="auto"/>
        <w:ind w:left="708"/>
        <w:contextualSpacing/>
        <w:jc w:val="both"/>
        <w:rPr>
          <w:rFonts w:ascii="Cambria" w:eastAsia="Times New Roman" w:hAnsi="Cambria" w:cs="Times New Roman"/>
          <w:i/>
          <w:iCs/>
          <w:sz w:val="22"/>
          <w:lang w:val="es-CR" w:eastAsia="es-ES"/>
        </w:rPr>
      </w:pPr>
      <w:r w:rsidRPr="006240EA">
        <w:rPr>
          <w:rFonts w:ascii="Cambria" w:eastAsia="Times New Roman" w:hAnsi="Cambria" w:cs="Times New Roman"/>
          <w:i/>
          <w:iCs/>
          <w:sz w:val="22"/>
          <w:lang w:val="es-CR" w:eastAsia="es-ES"/>
        </w:rPr>
        <w:t>Cualquier otro traslado relacionado con fondos de pensión o de capitalización laboral no contemplado en este Acuerdo debe ser autorizado previamente por la Superintendencia de Pensiones (SUPEN)</w:t>
      </w:r>
      <w:r>
        <w:rPr>
          <w:rFonts w:ascii="Cambria" w:eastAsia="Times New Roman" w:hAnsi="Cambria" w:cs="Times New Roman"/>
          <w:i/>
          <w:iCs/>
          <w:sz w:val="22"/>
          <w:lang w:val="es-CR" w:eastAsia="es-ES"/>
        </w:rPr>
        <w:t>…”</w:t>
      </w:r>
      <w:r w:rsidRPr="006240EA">
        <w:rPr>
          <w:rFonts w:ascii="Cambria" w:eastAsia="Times New Roman" w:hAnsi="Cambria" w:cs="Times New Roman"/>
          <w:i/>
          <w:iCs/>
          <w:sz w:val="22"/>
          <w:lang w:val="es-CR" w:eastAsia="es-ES"/>
        </w:rPr>
        <w:t xml:space="preserve">  </w:t>
      </w:r>
    </w:p>
    <w:p w14:paraId="1B121C01" w14:textId="77777777" w:rsidR="008E24A2" w:rsidRPr="008F0BF2" w:rsidRDefault="008E24A2" w:rsidP="008E24A2">
      <w:pPr>
        <w:spacing w:line="240" w:lineRule="auto"/>
        <w:contextualSpacing/>
        <w:jc w:val="both"/>
        <w:rPr>
          <w:rFonts w:ascii="Cambria" w:eastAsia="Times New Roman" w:hAnsi="Cambria" w:cs="Times New Roman"/>
          <w:i/>
          <w:iCs/>
          <w:sz w:val="22"/>
          <w:lang w:val="es-CR" w:eastAsia="es-ES"/>
        </w:rPr>
      </w:pPr>
    </w:p>
    <w:p w14:paraId="76B7E6F5" w14:textId="09A59208" w:rsidR="00291B81" w:rsidRDefault="00754F88" w:rsidP="6F290D6E">
      <w:pPr>
        <w:numPr>
          <w:ilvl w:val="0"/>
          <w:numId w:val="1"/>
        </w:numPr>
        <w:spacing w:line="240" w:lineRule="auto"/>
        <w:contextualSpacing/>
        <w:jc w:val="both"/>
        <w:rPr>
          <w:rFonts w:ascii="Cambria" w:eastAsia="Times New Roman" w:hAnsi="Cambria" w:cs="Times New Roman"/>
          <w:sz w:val="22"/>
          <w:lang w:val="es-CR" w:eastAsia="es-ES"/>
        </w:rPr>
      </w:pPr>
      <w:r w:rsidRPr="6F290D6E">
        <w:rPr>
          <w:rFonts w:ascii="Cambria" w:eastAsia="Times New Roman" w:hAnsi="Cambria" w:cs="Times New Roman"/>
          <w:sz w:val="22"/>
          <w:lang w:val="es-CR" w:eastAsia="es-ES"/>
        </w:rPr>
        <w:t xml:space="preserve">El Consejo Nacional de Supervisión del Sistema Financiero, </w:t>
      </w:r>
      <w:r w:rsidR="0049688E" w:rsidRPr="6F290D6E">
        <w:rPr>
          <w:rFonts w:ascii="Cambria" w:eastAsia="Times New Roman" w:hAnsi="Cambria" w:cs="Times New Roman"/>
          <w:sz w:val="22"/>
          <w:lang w:val="es-CR" w:eastAsia="es-ES"/>
        </w:rPr>
        <w:t xml:space="preserve">mediante acuerdo tomado </w:t>
      </w:r>
      <w:r w:rsidRPr="6F290D6E">
        <w:rPr>
          <w:rFonts w:ascii="Cambria" w:eastAsia="Times New Roman" w:hAnsi="Cambria" w:cs="Times New Roman"/>
          <w:sz w:val="22"/>
          <w:lang w:val="es-CR" w:eastAsia="es-ES"/>
        </w:rPr>
        <w:t>en el artículo 9 del acta de la sesión 1838-2023, celebrada el 6 de diciembre del 2023</w:t>
      </w:r>
      <w:r w:rsidR="0049688E" w:rsidRPr="6F290D6E">
        <w:rPr>
          <w:rStyle w:val="Refdenotaalpie"/>
          <w:rFonts w:ascii="Cambria" w:eastAsia="Times New Roman" w:hAnsi="Cambria" w:cs="Times New Roman"/>
          <w:sz w:val="22"/>
          <w:lang w:val="es-CR" w:eastAsia="es-ES"/>
        </w:rPr>
        <w:footnoteReference w:id="3"/>
      </w:r>
      <w:r w:rsidRPr="6F290D6E">
        <w:rPr>
          <w:rFonts w:ascii="Cambria" w:eastAsia="Times New Roman" w:hAnsi="Cambria" w:cs="Times New Roman"/>
          <w:sz w:val="22"/>
          <w:lang w:val="es-CR" w:eastAsia="es-ES"/>
        </w:rPr>
        <w:t xml:space="preserve">, </w:t>
      </w:r>
      <w:r w:rsidR="0049688E" w:rsidRPr="6F290D6E">
        <w:rPr>
          <w:rFonts w:ascii="Cambria" w:eastAsia="Times New Roman" w:hAnsi="Cambria" w:cs="Times New Roman"/>
          <w:sz w:val="22"/>
          <w:lang w:val="es-CR" w:eastAsia="es-ES"/>
        </w:rPr>
        <w:t xml:space="preserve">dispuso el </w:t>
      </w:r>
      <w:r w:rsidRPr="6F290D6E">
        <w:rPr>
          <w:rFonts w:ascii="Cambria" w:eastAsia="Times New Roman" w:hAnsi="Cambria" w:cs="Times New Roman"/>
          <w:sz w:val="22"/>
          <w:lang w:val="es-CR" w:eastAsia="es-ES"/>
        </w:rPr>
        <w:t xml:space="preserve"> rediseñ</w:t>
      </w:r>
      <w:r w:rsidR="0049688E" w:rsidRPr="6F290D6E">
        <w:rPr>
          <w:rFonts w:ascii="Cambria" w:eastAsia="Times New Roman" w:hAnsi="Cambria" w:cs="Times New Roman"/>
          <w:sz w:val="22"/>
          <w:lang w:val="es-CR" w:eastAsia="es-ES"/>
        </w:rPr>
        <w:t>o de</w:t>
      </w:r>
      <w:r w:rsidRPr="6F290D6E">
        <w:rPr>
          <w:rFonts w:ascii="Cambria" w:eastAsia="Times New Roman" w:hAnsi="Cambria" w:cs="Times New Roman"/>
          <w:sz w:val="22"/>
          <w:lang w:val="es-CR" w:eastAsia="es-ES"/>
        </w:rPr>
        <w:t xml:space="preserve"> los fondos del Régimen Obligatorio de Pensiones Complementarias, a fin de que se desarrollen estrategias de inversión de los fondos, en función del ciclo de vida de los afiliados de manera que la gestión de los recursos no se realice en un solo fondo, si no en varios fondos acordes con la etapa de vida en que se encuentren los afiliados</w:t>
      </w:r>
      <w:r w:rsidR="00357B6C" w:rsidRPr="6F290D6E">
        <w:rPr>
          <w:rFonts w:ascii="Cambria" w:eastAsia="Times New Roman" w:hAnsi="Cambria" w:cs="Times New Roman"/>
          <w:sz w:val="22"/>
          <w:lang w:val="es-CR" w:eastAsia="es-ES"/>
        </w:rPr>
        <w:t>, reforma denominada fondos generacionales.</w:t>
      </w:r>
    </w:p>
    <w:p w14:paraId="49E1F79A" w14:textId="77777777" w:rsidR="0049688E" w:rsidRDefault="0049688E" w:rsidP="0049688E">
      <w:pPr>
        <w:spacing w:line="240" w:lineRule="auto"/>
        <w:ind w:left="360"/>
        <w:contextualSpacing/>
        <w:jc w:val="both"/>
        <w:rPr>
          <w:rFonts w:ascii="Cambria" w:eastAsia="Times New Roman" w:hAnsi="Cambria" w:cs="Times New Roman"/>
          <w:sz w:val="22"/>
          <w:lang w:val="es-CR" w:eastAsia="es-ES"/>
        </w:rPr>
      </w:pPr>
    </w:p>
    <w:p w14:paraId="4FB4EB30" w14:textId="12BF8689" w:rsidR="0049688E" w:rsidRDefault="0049688E" w:rsidP="00747055">
      <w:pPr>
        <w:numPr>
          <w:ilvl w:val="0"/>
          <w:numId w:val="1"/>
        </w:numPr>
        <w:spacing w:line="240" w:lineRule="auto"/>
        <w:contextualSpacing/>
        <w:jc w:val="both"/>
        <w:rPr>
          <w:rFonts w:ascii="Cambria" w:eastAsia="Times New Roman" w:hAnsi="Cambria" w:cs="Times New Roman"/>
          <w:sz w:val="22"/>
          <w:lang w:val="es-CR" w:eastAsia="es-ES"/>
        </w:rPr>
      </w:pPr>
      <w:r w:rsidRPr="00904915">
        <w:rPr>
          <w:rFonts w:ascii="Cambria" w:eastAsia="Times New Roman" w:hAnsi="Cambria" w:cs="Times New Roman"/>
          <w:sz w:val="22"/>
          <w:lang w:val="es-CR" w:eastAsia="es-ES"/>
        </w:rPr>
        <w:t>Las estrategias de inversión en función del ciclo de vida de los afiliados tienen como objetivo incrementar la tasa de reemplazo a través de un proceso en donde las generaciones más jóvenes pueden asumir más riesgo a partir de inversiones en renta variable que, en principio son más volátiles en el corto y mediano plazo, pero que en el largo generan mejores rendimientos</w:t>
      </w:r>
      <w:r w:rsidR="0090367F">
        <w:rPr>
          <w:rFonts w:ascii="Cambria" w:eastAsia="Times New Roman" w:hAnsi="Cambria" w:cs="Times New Roman"/>
          <w:sz w:val="22"/>
          <w:lang w:val="es-CR" w:eastAsia="es-ES"/>
        </w:rPr>
        <w:t xml:space="preserve">. Por su parte, </w:t>
      </w:r>
      <w:r w:rsidR="003F77E9">
        <w:rPr>
          <w:rFonts w:ascii="Cambria" w:eastAsia="Times New Roman" w:hAnsi="Cambria" w:cs="Times New Roman"/>
          <w:sz w:val="22"/>
          <w:lang w:val="es-CR" w:eastAsia="es-ES"/>
        </w:rPr>
        <w:t xml:space="preserve">para las personas de mayor edad, las estrategias </w:t>
      </w:r>
      <w:r w:rsidR="00F82064">
        <w:rPr>
          <w:rFonts w:ascii="Cambria" w:eastAsia="Times New Roman" w:hAnsi="Cambria" w:cs="Times New Roman"/>
          <w:sz w:val="22"/>
          <w:lang w:val="es-CR" w:eastAsia="es-ES"/>
        </w:rPr>
        <w:t>tendrán como objetivo la estabilidad y reducción de riesgos</w:t>
      </w:r>
      <w:r w:rsidR="0090367F">
        <w:rPr>
          <w:rFonts w:ascii="Cambria" w:eastAsia="Times New Roman" w:hAnsi="Cambria" w:cs="Times New Roman"/>
          <w:sz w:val="22"/>
          <w:lang w:val="es-CR" w:eastAsia="es-ES"/>
        </w:rPr>
        <w:t>, con</w:t>
      </w:r>
      <w:r w:rsidR="00B53193">
        <w:rPr>
          <w:rFonts w:ascii="Cambria" w:eastAsia="Times New Roman" w:hAnsi="Cambria" w:cs="Times New Roman"/>
          <w:sz w:val="22"/>
          <w:lang w:val="es-CR" w:eastAsia="es-ES"/>
        </w:rPr>
        <w:t xml:space="preserve"> el objetivo de aportar mayor </w:t>
      </w:r>
      <w:r w:rsidR="0090367F">
        <w:rPr>
          <w:rFonts w:ascii="Cambria" w:eastAsia="Times New Roman" w:hAnsi="Cambria" w:cs="Times New Roman"/>
          <w:sz w:val="22"/>
          <w:lang w:val="es-CR" w:eastAsia="es-ES"/>
        </w:rPr>
        <w:t>protección del saldo que se haya acumulado.</w:t>
      </w:r>
    </w:p>
    <w:p w14:paraId="1F79A595" w14:textId="77777777" w:rsidR="00747055" w:rsidRPr="00747055" w:rsidRDefault="00747055" w:rsidP="00747055">
      <w:pPr>
        <w:spacing w:line="240" w:lineRule="auto"/>
        <w:contextualSpacing/>
        <w:jc w:val="both"/>
        <w:rPr>
          <w:rFonts w:ascii="Cambria" w:eastAsia="Times New Roman" w:hAnsi="Cambria" w:cs="Times New Roman"/>
          <w:sz w:val="22"/>
          <w:lang w:val="es-CR" w:eastAsia="es-ES"/>
        </w:rPr>
      </w:pPr>
    </w:p>
    <w:p w14:paraId="360E3E8C" w14:textId="29CD9149" w:rsidR="006240EA" w:rsidRDefault="0049688E" w:rsidP="001D53C1">
      <w:pPr>
        <w:numPr>
          <w:ilvl w:val="0"/>
          <w:numId w:val="1"/>
        </w:numPr>
        <w:spacing w:line="240" w:lineRule="auto"/>
        <w:contextualSpacing/>
        <w:jc w:val="both"/>
        <w:rPr>
          <w:rFonts w:ascii="Cambria" w:eastAsia="Times New Roman" w:hAnsi="Cambria" w:cs="Times New Roman"/>
          <w:sz w:val="22"/>
          <w:lang w:val="es-CR" w:eastAsia="es-ES"/>
        </w:rPr>
      </w:pPr>
      <w:r w:rsidRPr="006240EA">
        <w:rPr>
          <w:rFonts w:ascii="Cambria" w:eastAsia="Times New Roman" w:hAnsi="Cambria" w:cs="Times New Roman"/>
          <w:sz w:val="22"/>
          <w:lang w:val="es-CR" w:eastAsia="es-ES"/>
        </w:rPr>
        <w:lastRenderedPageBreak/>
        <w:t xml:space="preserve">En virtud de la reforma </w:t>
      </w:r>
      <w:r w:rsidR="00DE4301">
        <w:rPr>
          <w:rFonts w:ascii="Cambria" w:eastAsia="Times New Roman" w:hAnsi="Cambria" w:cs="Times New Roman"/>
          <w:sz w:val="22"/>
          <w:lang w:val="es-CR" w:eastAsia="es-ES"/>
        </w:rPr>
        <w:t>de fondos generacionales</w:t>
      </w:r>
      <w:r w:rsidR="00103734">
        <w:rPr>
          <w:rFonts w:ascii="Cambria" w:eastAsia="Times New Roman" w:hAnsi="Cambria" w:cs="Times New Roman"/>
          <w:sz w:val="22"/>
          <w:lang w:val="es-CR" w:eastAsia="es-ES"/>
        </w:rPr>
        <w:t>,</w:t>
      </w:r>
      <w:r w:rsidRPr="006240EA">
        <w:rPr>
          <w:rFonts w:ascii="Cambria" w:eastAsia="Times New Roman" w:hAnsi="Cambria" w:cs="Times New Roman"/>
          <w:sz w:val="22"/>
          <w:lang w:val="es-CR" w:eastAsia="es-ES"/>
        </w:rPr>
        <w:t xml:space="preserve"> se dispuso que los recursos del Régimen Obligatorio de Pensiones Complementarias serán administrados por cada operadora de pensiones complementarias en cuatro fondos generacionales</w:t>
      </w:r>
      <w:r w:rsidR="006240EA" w:rsidRPr="006240EA">
        <w:rPr>
          <w:rFonts w:ascii="Cambria" w:eastAsia="Times New Roman" w:hAnsi="Cambria" w:cs="Times New Roman"/>
          <w:sz w:val="22"/>
          <w:lang w:val="es-CR" w:eastAsia="es-ES"/>
        </w:rPr>
        <w:t xml:space="preserve"> estructurados según el ciclo de vida de los afiliados que los integrarían, lo cual implica </w:t>
      </w:r>
      <w:r w:rsidR="006240EA">
        <w:rPr>
          <w:rFonts w:ascii="Cambria" w:eastAsia="Times New Roman" w:hAnsi="Cambria" w:cs="Times New Roman"/>
          <w:sz w:val="22"/>
          <w:lang w:val="es-CR" w:eastAsia="es-ES"/>
        </w:rPr>
        <w:t xml:space="preserve">la distribución y </w:t>
      </w:r>
      <w:r w:rsidR="006240EA" w:rsidRPr="006240EA">
        <w:rPr>
          <w:rFonts w:ascii="Cambria" w:eastAsia="Times New Roman" w:hAnsi="Cambria" w:cs="Times New Roman"/>
          <w:sz w:val="22"/>
          <w:lang w:val="es-CR" w:eastAsia="es-ES"/>
        </w:rPr>
        <w:t xml:space="preserve">el traslado de los valores del </w:t>
      </w:r>
      <w:r w:rsidR="006240EA">
        <w:rPr>
          <w:rFonts w:ascii="Cambria" w:eastAsia="Times New Roman" w:hAnsi="Cambria" w:cs="Times New Roman"/>
          <w:sz w:val="22"/>
          <w:lang w:val="es-CR" w:eastAsia="es-ES"/>
        </w:rPr>
        <w:t>único fondo en el que actualmente se administran los recursos del citado Régimen a los nuevos fondos creados</w:t>
      </w:r>
      <w:r w:rsidR="002019F7">
        <w:rPr>
          <w:rFonts w:ascii="Cambria" w:eastAsia="Times New Roman" w:hAnsi="Cambria" w:cs="Times New Roman"/>
          <w:sz w:val="22"/>
          <w:lang w:val="es-CR" w:eastAsia="es-ES"/>
        </w:rPr>
        <w:t>, denominados:</w:t>
      </w:r>
      <w:r w:rsidR="00B9024C">
        <w:rPr>
          <w:rFonts w:ascii="Cambria" w:eastAsia="Times New Roman" w:hAnsi="Cambria" w:cs="Times New Roman"/>
          <w:sz w:val="22"/>
          <w:lang w:val="es-CR" w:eastAsia="es-ES"/>
        </w:rPr>
        <w:t xml:space="preserve"> </w:t>
      </w:r>
      <w:r w:rsidR="002019F7" w:rsidRPr="00B9024C">
        <w:rPr>
          <w:rFonts w:ascii="Cambria" w:eastAsia="Times New Roman" w:hAnsi="Cambria" w:cs="Times New Roman"/>
          <w:sz w:val="22"/>
          <w:lang w:val="es-CR" w:eastAsia="es-ES"/>
        </w:rPr>
        <w:t>i.</w:t>
      </w:r>
      <w:r w:rsidR="00BC61B4">
        <w:rPr>
          <w:rFonts w:ascii="Cambria" w:eastAsia="Times New Roman" w:hAnsi="Cambria" w:cs="Times New Roman"/>
          <w:sz w:val="22"/>
          <w:lang w:val="es-CR" w:eastAsia="es-ES"/>
        </w:rPr>
        <w:t xml:space="preserve"> </w:t>
      </w:r>
      <w:r w:rsidR="002019F7" w:rsidRPr="00B9024C">
        <w:rPr>
          <w:rFonts w:ascii="Cambria" w:eastAsia="Times New Roman" w:hAnsi="Cambria" w:cs="Times New Roman"/>
          <w:sz w:val="22"/>
          <w:lang w:val="es-CR" w:eastAsia="es-ES"/>
        </w:rPr>
        <w:t>Fondo A</w:t>
      </w:r>
      <w:r w:rsidR="00B9024C" w:rsidRPr="00B9024C">
        <w:rPr>
          <w:rFonts w:ascii="Cambria" w:eastAsia="Times New Roman" w:hAnsi="Cambria" w:cs="Times New Roman"/>
          <w:sz w:val="22"/>
          <w:lang w:val="es-CR" w:eastAsia="es-ES"/>
        </w:rPr>
        <w:t xml:space="preserve">, </w:t>
      </w:r>
      <w:r w:rsidR="002019F7" w:rsidRPr="00B9024C">
        <w:rPr>
          <w:rFonts w:ascii="Cambria" w:eastAsia="Times New Roman" w:hAnsi="Cambria" w:cs="Times New Roman"/>
          <w:sz w:val="22"/>
          <w:lang w:val="es-CR" w:eastAsia="es-ES"/>
        </w:rPr>
        <w:t>ii. Fondo B</w:t>
      </w:r>
      <w:r w:rsidR="00B9024C" w:rsidRPr="00B9024C">
        <w:rPr>
          <w:rFonts w:ascii="Cambria" w:eastAsia="Times New Roman" w:hAnsi="Cambria" w:cs="Times New Roman"/>
          <w:sz w:val="22"/>
          <w:lang w:val="es-CR" w:eastAsia="es-ES"/>
        </w:rPr>
        <w:t xml:space="preserve">, </w:t>
      </w:r>
      <w:r w:rsidR="002019F7" w:rsidRPr="00B9024C">
        <w:rPr>
          <w:rFonts w:ascii="Cambria" w:eastAsia="Times New Roman" w:hAnsi="Cambria" w:cs="Times New Roman"/>
          <w:sz w:val="22"/>
          <w:lang w:val="es-CR" w:eastAsia="es-ES"/>
        </w:rPr>
        <w:t>iii. Fondo C</w:t>
      </w:r>
      <w:r w:rsidR="00B9024C" w:rsidRPr="00B9024C">
        <w:rPr>
          <w:rFonts w:ascii="Cambria" w:eastAsia="Times New Roman" w:hAnsi="Cambria" w:cs="Times New Roman"/>
          <w:sz w:val="22"/>
          <w:lang w:val="es-CR" w:eastAsia="es-ES"/>
        </w:rPr>
        <w:t xml:space="preserve"> y </w:t>
      </w:r>
      <w:r w:rsidR="002019F7" w:rsidRPr="00B9024C">
        <w:rPr>
          <w:rFonts w:ascii="Cambria" w:eastAsia="Times New Roman" w:hAnsi="Cambria" w:cs="Times New Roman"/>
          <w:sz w:val="22"/>
          <w:lang w:val="es-CR" w:eastAsia="es-ES"/>
        </w:rPr>
        <w:t>iv. Fondo D</w:t>
      </w:r>
      <w:r w:rsidR="00050991">
        <w:rPr>
          <w:rFonts w:ascii="Cambria" w:eastAsia="Times New Roman" w:hAnsi="Cambria" w:cs="Times New Roman"/>
          <w:sz w:val="22"/>
          <w:lang w:val="es-CR" w:eastAsia="es-ES"/>
        </w:rPr>
        <w:t>.</w:t>
      </w:r>
    </w:p>
    <w:p w14:paraId="4559FE1C" w14:textId="77777777" w:rsidR="001D53C1" w:rsidRPr="001D53C1" w:rsidRDefault="001D53C1" w:rsidP="001D53C1">
      <w:pPr>
        <w:spacing w:line="240" w:lineRule="auto"/>
        <w:contextualSpacing/>
        <w:jc w:val="both"/>
        <w:rPr>
          <w:rFonts w:ascii="Cambria" w:eastAsia="Times New Roman" w:hAnsi="Cambria" w:cs="Times New Roman"/>
          <w:sz w:val="22"/>
          <w:lang w:val="es-CR" w:eastAsia="es-ES"/>
        </w:rPr>
      </w:pPr>
    </w:p>
    <w:p w14:paraId="04A944B9" w14:textId="315A8909" w:rsidR="006240EA" w:rsidRDefault="006240EA" w:rsidP="00EC3A7A">
      <w:pPr>
        <w:numPr>
          <w:ilvl w:val="0"/>
          <w:numId w:val="1"/>
        </w:numPr>
        <w:spacing w:line="240" w:lineRule="auto"/>
        <w:contextualSpacing/>
        <w:jc w:val="both"/>
        <w:rPr>
          <w:rFonts w:ascii="Cambria" w:eastAsia="Times New Roman" w:hAnsi="Cambria" w:cs="Times New Roman"/>
          <w:sz w:val="22"/>
          <w:lang w:val="es-CR" w:eastAsia="es-ES"/>
        </w:rPr>
      </w:pPr>
      <w:r>
        <w:rPr>
          <w:rFonts w:ascii="Cambria" w:eastAsia="Times New Roman" w:hAnsi="Cambria" w:cs="Times New Roman"/>
          <w:sz w:val="22"/>
          <w:lang w:val="es-CR" w:eastAsia="es-ES"/>
        </w:rPr>
        <w:t xml:space="preserve">A tal efecto la citada reforma </w:t>
      </w:r>
      <w:r w:rsidR="00793E0C">
        <w:rPr>
          <w:rFonts w:ascii="Cambria" w:eastAsia="Times New Roman" w:hAnsi="Cambria" w:cs="Times New Roman"/>
          <w:sz w:val="22"/>
          <w:lang w:val="es-CR" w:eastAsia="es-ES"/>
        </w:rPr>
        <w:t>adicion</w:t>
      </w:r>
      <w:r w:rsidR="00B354DD">
        <w:rPr>
          <w:rFonts w:ascii="Cambria" w:eastAsia="Times New Roman" w:hAnsi="Cambria" w:cs="Times New Roman"/>
          <w:sz w:val="22"/>
          <w:lang w:val="es-CR" w:eastAsia="es-ES"/>
        </w:rPr>
        <w:t>ó un</w:t>
      </w:r>
      <w:r>
        <w:rPr>
          <w:rFonts w:ascii="Cambria" w:eastAsia="Times New Roman" w:hAnsi="Cambria" w:cs="Times New Roman"/>
          <w:sz w:val="22"/>
          <w:lang w:val="es-CR" w:eastAsia="es-ES"/>
        </w:rPr>
        <w:t xml:space="preserve"> </w:t>
      </w:r>
      <w:r w:rsidRPr="006240EA">
        <w:rPr>
          <w:rFonts w:ascii="Cambria" w:eastAsia="Times New Roman" w:hAnsi="Cambria" w:cs="Times New Roman"/>
          <w:sz w:val="22"/>
          <w:lang w:val="es-CR" w:eastAsia="es-ES"/>
        </w:rPr>
        <w:t xml:space="preserve">Transitorio VIII al </w:t>
      </w:r>
      <w:r w:rsidRPr="006240EA">
        <w:rPr>
          <w:rFonts w:ascii="Cambria" w:eastAsia="Times New Roman" w:hAnsi="Cambria" w:cs="Times New Roman"/>
          <w:i/>
          <w:iCs/>
          <w:sz w:val="22"/>
          <w:lang w:val="es-CR" w:eastAsia="es-ES"/>
        </w:rPr>
        <w:t>Reglamento de gestión de activos</w:t>
      </w:r>
      <w:r>
        <w:rPr>
          <w:rStyle w:val="Refdenotaalpie"/>
          <w:rFonts w:ascii="Cambria" w:eastAsia="Times New Roman" w:hAnsi="Cambria" w:cs="Times New Roman"/>
          <w:i/>
          <w:iCs/>
          <w:sz w:val="22"/>
          <w:lang w:val="es-CR" w:eastAsia="es-ES"/>
        </w:rPr>
        <w:footnoteReference w:id="4"/>
      </w:r>
      <w:r>
        <w:rPr>
          <w:rFonts w:ascii="Cambria" w:eastAsia="Times New Roman" w:hAnsi="Cambria" w:cs="Times New Roman"/>
          <w:i/>
          <w:iCs/>
          <w:sz w:val="22"/>
          <w:lang w:val="es-CR" w:eastAsia="es-ES"/>
        </w:rPr>
        <w:t xml:space="preserve"> </w:t>
      </w:r>
      <w:r>
        <w:rPr>
          <w:rFonts w:ascii="Cambria" w:eastAsia="Times New Roman" w:hAnsi="Cambria" w:cs="Times New Roman"/>
          <w:sz w:val="22"/>
          <w:lang w:val="es-CR" w:eastAsia="es-ES"/>
        </w:rPr>
        <w:t xml:space="preserve"> que dispone:</w:t>
      </w:r>
    </w:p>
    <w:p w14:paraId="39C971CA" w14:textId="77777777" w:rsidR="00EC3A7A" w:rsidRPr="00EC3A7A" w:rsidRDefault="00EC3A7A" w:rsidP="00EC3A7A">
      <w:pPr>
        <w:spacing w:line="240" w:lineRule="auto"/>
        <w:ind w:left="360"/>
        <w:contextualSpacing/>
        <w:jc w:val="both"/>
        <w:rPr>
          <w:rFonts w:ascii="Cambria" w:eastAsia="Times New Roman" w:hAnsi="Cambria" w:cs="Times New Roman"/>
          <w:sz w:val="22"/>
          <w:lang w:val="es-CR" w:eastAsia="es-ES"/>
        </w:rPr>
      </w:pPr>
    </w:p>
    <w:p w14:paraId="2BF4308C" w14:textId="77777777" w:rsidR="006240EA" w:rsidRPr="006240EA" w:rsidRDefault="006240EA" w:rsidP="006240EA">
      <w:pPr>
        <w:spacing w:line="240" w:lineRule="auto"/>
        <w:ind w:left="708"/>
        <w:contextualSpacing/>
        <w:jc w:val="both"/>
        <w:rPr>
          <w:rFonts w:ascii="Cambria" w:eastAsia="Times New Roman" w:hAnsi="Cambria" w:cs="Times New Roman"/>
          <w:i/>
          <w:iCs/>
          <w:sz w:val="22"/>
          <w:lang w:val="es-CR" w:eastAsia="es-ES"/>
        </w:rPr>
      </w:pPr>
      <w:r w:rsidRPr="006240EA">
        <w:rPr>
          <w:rFonts w:ascii="Cambria" w:eastAsia="Times New Roman" w:hAnsi="Cambria" w:cs="Times New Roman"/>
          <w:i/>
          <w:iCs/>
          <w:sz w:val="22"/>
          <w:lang w:val="es-CR" w:eastAsia="es-ES"/>
        </w:rPr>
        <w:t>“Transitorio VIII.</w:t>
      </w:r>
    </w:p>
    <w:p w14:paraId="51F7242E" w14:textId="77777777" w:rsidR="006240EA" w:rsidRPr="006240EA" w:rsidRDefault="006240EA" w:rsidP="006240EA">
      <w:pPr>
        <w:spacing w:line="240" w:lineRule="auto"/>
        <w:ind w:left="708"/>
        <w:contextualSpacing/>
        <w:jc w:val="both"/>
        <w:rPr>
          <w:rFonts w:ascii="Cambria" w:eastAsia="Times New Roman" w:hAnsi="Cambria" w:cs="Times New Roman"/>
          <w:i/>
          <w:iCs/>
          <w:sz w:val="22"/>
          <w:lang w:val="es-CR" w:eastAsia="es-ES"/>
        </w:rPr>
      </w:pPr>
    </w:p>
    <w:p w14:paraId="4ED091BB" w14:textId="2DC52C33" w:rsidR="006240EA" w:rsidRPr="002019F7" w:rsidRDefault="006240EA" w:rsidP="002019F7">
      <w:pPr>
        <w:pStyle w:val="Prrafodelista"/>
        <w:numPr>
          <w:ilvl w:val="1"/>
          <w:numId w:val="1"/>
        </w:numPr>
        <w:spacing w:line="240" w:lineRule="auto"/>
        <w:jc w:val="both"/>
        <w:rPr>
          <w:rFonts w:ascii="Cambria" w:eastAsia="Times New Roman" w:hAnsi="Cambria" w:cs="Times New Roman"/>
          <w:i/>
          <w:iCs/>
          <w:sz w:val="22"/>
          <w:lang w:val="es-CR" w:eastAsia="es-ES"/>
        </w:rPr>
      </w:pPr>
      <w:r w:rsidRPr="002019F7">
        <w:rPr>
          <w:rFonts w:ascii="Cambria" w:eastAsia="Times New Roman" w:hAnsi="Cambria" w:cs="Times New Roman"/>
          <w:i/>
          <w:iCs/>
          <w:sz w:val="22"/>
          <w:lang w:val="es-CR" w:eastAsia="es-ES"/>
        </w:rPr>
        <w:t>Los traslados de valores del actual fondo del Régimen Obligatorio de Pensiones Complementarias a los nuevos fondos generacionales de este mismo régimen, según el artículo 4 del Reglamento sobre la apertura y funcionamiento de las entidades autorizadas y el funcionamiento de los fondos de pensiones, capitalización laboral y ahorro voluntario previstos en la Ley de Protección al Trabajador, se realizará a título no oneroso, de acuerdo a las condiciones y fechas que establezca y comunique el Superintendente de Pensiones a las operadoras de pensiones y las disposiciones emitidas por SUGEVAL al respecto…”</w:t>
      </w:r>
      <w:r w:rsidR="00CF5644">
        <w:rPr>
          <w:rFonts w:ascii="Cambria" w:eastAsia="Times New Roman" w:hAnsi="Cambria" w:cs="Times New Roman"/>
          <w:i/>
          <w:iCs/>
          <w:sz w:val="22"/>
          <w:lang w:val="es-CR" w:eastAsia="es-ES"/>
        </w:rPr>
        <w:t>.</w:t>
      </w:r>
    </w:p>
    <w:p w14:paraId="5CF7A336" w14:textId="77777777" w:rsidR="002019F7" w:rsidRPr="00DB4D1D" w:rsidRDefault="002019F7" w:rsidP="002019F7">
      <w:pPr>
        <w:spacing w:line="240" w:lineRule="auto"/>
        <w:jc w:val="both"/>
        <w:rPr>
          <w:rFonts w:ascii="Cambria" w:eastAsia="Times New Roman" w:hAnsi="Cambria" w:cs="Times New Roman"/>
          <w:sz w:val="22"/>
          <w:lang w:val="es-CR" w:eastAsia="es-ES"/>
        </w:rPr>
      </w:pPr>
    </w:p>
    <w:p w14:paraId="75B1B2E2" w14:textId="6AF24762" w:rsidR="00343A6C" w:rsidRPr="00AD785B" w:rsidRDefault="00FA69D2" w:rsidP="6F290D6E">
      <w:pPr>
        <w:pStyle w:val="Prrafodelista"/>
        <w:numPr>
          <w:ilvl w:val="0"/>
          <w:numId w:val="1"/>
        </w:numPr>
        <w:spacing w:line="240" w:lineRule="auto"/>
        <w:jc w:val="both"/>
        <w:rPr>
          <w:rFonts w:ascii="Cambria" w:eastAsia="Times New Roman" w:hAnsi="Cambria" w:cs="Times New Roman"/>
          <w:sz w:val="22"/>
          <w:lang w:val="es-CR" w:eastAsia="es-ES"/>
        </w:rPr>
      </w:pPr>
      <w:r w:rsidRPr="6F290D6E">
        <w:rPr>
          <w:rFonts w:ascii="Cambria" w:eastAsia="Times New Roman" w:hAnsi="Cambria" w:cs="Times New Roman"/>
          <w:sz w:val="22"/>
          <w:lang w:val="es-CR" w:eastAsia="es-ES"/>
        </w:rPr>
        <w:t xml:space="preserve">El artículo 361, numeral 2, de la Ley General de la Administración Pública dispone que </w:t>
      </w:r>
      <w:r w:rsidR="00EC31CD" w:rsidRPr="6F290D6E">
        <w:rPr>
          <w:rFonts w:ascii="Cambria" w:eastAsia="Times New Roman" w:hAnsi="Cambria" w:cs="Times New Roman"/>
          <w:sz w:val="22"/>
          <w:lang w:val="es-CR" w:eastAsia="es-ES"/>
        </w:rPr>
        <w:t>s</w:t>
      </w:r>
      <w:r w:rsidRPr="6F290D6E">
        <w:rPr>
          <w:rFonts w:ascii="Cambria" w:eastAsia="Times New Roman" w:hAnsi="Cambria" w:cs="Times New Roman"/>
          <w:sz w:val="22"/>
          <w:lang w:val="es-CR" w:eastAsia="es-ES"/>
        </w:rPr>
        <w:t>e concederá a las entidades representativas de intereses de carácter general o corporativo afectados por la disposición la oportunidad de exponer su parecer, dentro del plazo de die</w:t>
      </w:r>
      <w:r w:rsidR="47936BFE" w:rsidRPr="6F290D6E">
        <w:rPr>
          <w:rFonts w:ascii="Cambria" w:eastAsia="Times New Roman" w:hAnsi="Cambria" w:cs="Times New Roman"/>
          <w:sz w:val="22"/>
          <w:lang w:val="es-CR" w:eastAsia="es-ES"/>
        </w:rPr>
        <w:t>z</w:t>
      </w:r>
      <w:r w:rsidRPr="6F290D6E">
        <w:rPr>
          <w:rFonts w:ascii="Cambria" w:eastAsia="Times New Roman" w:hAnsi="Cambria" w:cs="Times New Roman"/>
          <w:sz w:val="22"/>
          <w:lang w:val="es-CR" w:eastAsia="es-ES"/>
        </w:rPr>
        <w:t xml:space="preserve"> días, salvo cuando se opongan a ello razones de interés público o de urgencia debidamente consignadas en el </w:t>
      </w:r>
      <w:r w:rsidRPr="00AD785B">
        <w:rPr>
          <w:rFonts w:ascii="Cambria" w:eastAsia="Times New Roman" w:hAnsi="Cambria" w:cs="Times New Roman"/>
          <w:sz w:val="22"/>
          <w:lang w:val="es-CR" w:eastAsia="es-ES"/>
        </w:rPr>
        <w:t>anteproyecto.</w:t>
      </w:r>
      <w:r w:rsidR="00F74375" w:rsidRPr="00AD785B">
        <w:rPr>
          <w:rFonts w:ascii="Cambria" w:eastAsia="Times New Roman" w:hAnsi="Cambria" w:cs="Times New Roman"/>
          <w:sz w:val="22"/>
          <w:lang w:val="es-CR" w:eastAsia="es-ES"/>
        </w:rPr>
        <w:t xml:space="preserve">  </w:t>
      </w:r>
    </w:p>
    <w:p w14:paraId="4D404950" w14:textId="77777777" w:rsidR="00343A6C" w:rsidRPr="00AD785B" w:rsidRDefault="00343A6C" w:rsidP="00343A6C">
      <w:pPr>
        <w:pStyle w:val="Prrafodelista"/>
        <w:spacing w:line="240" w:lineRule="auto"/>
        <w:ind w:left="360"/>
        <w:jc w:val="both"/>
        <w:rPr>
          <w:rFonts w:ascii="Cambria" w:eastAsia="Times New Roman" w:hAnsi="Cambria" w:cs="Times New Roman"/>
          <w:sz w:val="22"/>
          <w:lang w:val="es-CR" w:eastAsia="es-ES"/>
        </w:rPr>
      </w:pPr>
    </w:p>
    <w:p w14:paraId="37431721" w14:textId="1EC70D4B" w:rsidR="2C3E3522" w:rsidRPr="00AD785B" w:rsidRDefault="2C3E3522" w:rsidP="6F290D6E">
      <w:pPr>
        <w:pStyle w:val="Prrafodelista"/>
        <w:numPr>
          <w:ilvl w:val="0"/>
          <w:numId w:val="1"/>
        </w:numPr>
        <w:spacing w:line="240" w:lineRule="auto"/>
        <w:jc w:val="both"/>
        <w:rPr>
          <w:rFonts w:ascii="Cambria" w:eastAsia="Times New Roman" w:hAnsi="Cambria" w:cs="Times New Roman"/>
          <w:sz w:val="22"/>
          <w:lang w:val="es-CR" w:eastAsia="es-ES"/>
        </w:rPr>
      </w:pPr>
      <w:r w:rsidRPr="00AD785B">
        <w:rPr>
          <w:rFonts w:ascii="Cambria" w:eastAsia="Times New Roman" w:hAnsi="Cambria" w:cs="Times New Roman"/>
          <w:sz w:val="22"/>
          <w:lang w:val="es-CR" w:eastAsia="es-ES"/>
        </w:rPr>
        <w:t xml:space="preserve">Considerando que es del mayor interés público que las operadoras de pensiones complementarias conozcan </w:t>
      </w:r>
      <w:r w:rsidR="7EFA832C" w:rsidRPr="00AD785B">
        <w:rPr>
          <w:rFonts w:ascii="Cambria" w:eastAsia="Times New Roman" w:hAnsi="Cambria" w:cs="Times New Roman"/>
          <w:sz w:val="22"/>
          <w:lang w:val="es-CR" w:eastAsia="es-ES"/>
        </w:rPr>
        <w:t xml:space="preserve">con la mayor antelación </w:t>
      </w:r>
      <w:r w:rsidR="58448B7D" w:rsidRPr="00AD785B">
        <w:rPr>
          <w:rFonts w:ascii="Cambria" w:eastAsia="Times New Roman" w:hAnsi="Cambria" w:cs="Times New Roman"/>
          <w:sz w:val="22"/>
          <w:lang w:val="es-CR" w:eastAsia="es-ES"/>
        </w:rPr>
        <w:t xml:space="preserve">posible </w:t>
      </w:r>
      <w:r w:rsidR="7EFA832C" w:rsidRPr="00AD785B">
        <w:rPr>
          <w:rFonts w:ascii="Cambria" w:eastAsia="Times New Roman" w:hAnsi="Cambria" w:cs="Times New Roman"/>
          <w:sz w:val="22"/>
          <w:lang w:val="es-CR" w:eastAsia="es-ES"/>
        </w:rPr>
        <w:t xml:space="preserve">todas las reglas </w:t>
      </w:r>
      <w:r w:rsidR="4F9197DC" w:rsidRPr="00AD785B">
        <w:rPr>
          <w:rFonts w:ascii="Cambria" w:eastAsia="Times New Roman" w:hAnsi="Cambria" w:cs="Times New Roman"/>
          <w:sz w:val="22"/>
          <w:lang w:val="es-CR" w:eastAsia="es-ES"/>
        </w:rPr>
        <w:t>aplicables p</w:t>
      </w:r>
      <w:r w:rsidR="13FDDEBC" w:rsidRPr="00AD785B">
        <w:rPr>
          <w:rFonts w:ascii="Cambria" w:eastAsia="Times New Roman" w:hAnsi="Cambria" w:cs="Times New Roman"/>
          <w:sz w:val="22"/>
          <w:lang w:val="es-CR" w:eastAsia="es-ES"/>
        </w:rPr>
        <w:t>ara una adecuada implementación de la normativa que crea los fondos generacionales</w:t>
      </w:r>
      <w:r w:rsidR="174763DC" w:rsidRPr="00AD785B">
        <w:rPr>
          <w:rFonts w:ascii="Cambria" w:eastAsia="Times New Roman" w:hAnsi="Cambria" w:cs="Times New Roman"/>
          <w:sz w:val="22"/>
          <w:lang w:val="es-CR" w:eastAsia="es-ES"/>
        </w:rPr>
        <w:t xml:space="preserve">, y partiendo del hecho de que por medio de este acuerdo </w:t>
      </w:r>
      <w:r w:rsidR="107C922A" w:rsidRPr="00AD785B">
        <w:rPr>
          <w:rFonts w:ascii="Cambria" w:eastAsia="Times New Roman" w:hAnsi="Cambria" w:cs="Times New Roman"/>
          <w:sz w:val="22"/>
          <w:lang w:val="es-CR" w:eastAsia="es-ES"/>
        </w:rPr>
        <w:t xml:space="preserve">únicamente se define </w:t>
      </w:r>
      <w:r w:rsidR="15CD550B" w:rsidRPr="00AD785B">
        <w:rPr>
          <w:rFonts w:ascii="Cambria" w:eastAsia="Times New Roman" w:hAnsi="Cambria" w:cs="Times New Roman"/>
          <w:sz w:val="22"/>
          <w:lang w:val="es-CR" w:eastAsia="es-ES"/>
        </w:rPr>
        <w:t xml:space="preserve">la fecha </w:t>
      </w:r>
      <w:r w:rsidR="70D6FE22" w:rsidRPr="00AD785B">
        <w:rPr>
          <w:rFonts w:ascii="Cambria" w:eastAsia="Times New Roman" w:hAnsi="Cambria" w:cs="Times New Roman"/>
          <w:sz w:val="22"/>
          <w:lang w:val="es-CR" w:eastAsia="es-ES"/>
        </w:rPr>
        <w:t xml:space="preserve">en que deberá hacerse el traslado no oneroso </w:t>
      </w:r>
      <w:r w:rsidR="56989E4D" w:rsidRPr="00AD785B">
        <w:rPr>
          <w:rFonts w:ascii="Cambria" w:eastAsia="Times New Roman" w:hAnsi="Cambria" w:cs="Times New Roman"/>
          <w:sz w:val="22"/>
          <w:lang w:val="es-CR" w:eastAsia="es-ES"/>
        </w:rPr>
        <w:t xml:space="preserve">de los títulos valores </w:t>
      </w:r>
      <w:r w:rsidR="31DFB578" w:rsidRPr="00AD785B">
        <w:rPr>
          <w:rFonts w:ascii="Cambria" w:eastAsia="Times New Roman" w:hAnsi="Cambria" w:cs="Times New Roman"/>
          <w:sz w:val="22"/>
          <w:lang w:val="es-CR" w:eastAsia="es-ES"/>
        </w:rPr>
        <w:t xml:space="preserve">del único fondo en el que actualmente se administran los recursos del </w:t>
      </w:r>
      <w:r w:rsidR="71D1E17F" w:rsidRPr="00AD785B">
        <w:rPr>
          <w:rFonts w:ascii="Cambria" w:eastAsia="Times New Roman" w:hAnsi="Cambria" w:cs="Times New Roman"/>
          <w:sz w:val="22"/>
          <w:lang w:val="es-CR" w:eastAsia="es-ES"/>
        </w:rPr>
        <w:t>ROP</w:t>
      </w:r>
      <w:r w:rsidR="00983294" w:rsidRPr="00AD785B">
        <w:rPr>
          <w:rFonts w:ascii="Cambria" w:eastAsia="Times New Roman" w:hAnsi="Cambria" w:cs="Times New Roman"/>
          <w:sz w:val="22"/>
          <w:lang w:val="es-CR" w:eastAsia="es-ES"/>
        </w:rPr>
        <w:t xml:space="preserve"> </w:t>
      </w:r>
      <w:r w:rsidR="31DFB578" w:rsidRPr="00AD785B">
        <w:rPr>
          <w:rFonts w:ascii="Cambria" w:eastAsia="Times New Roman" w:hAnsi="Cambria" w:cs="Times New Roman"/>
          <w:sz w:val="22"/>
          <w:lang w:val="es-CR" w:eastAsia="es-ES"/>
        </w:rPr>
        <w:t>a los nuevos fondos creados, denominados: i. Fondo A, ii. Fondo B, iii. Fondo C y iv. Fondo D.</w:t>
      </w:r>
      <w:r w:rsidR="3A13E97C" w:rsidRPr="00AD785B">
        <w:rPr>
          <w:rFonts w:ascii="Cambria" w:eastAsia="Times New Roman" w:hAnsi="Cambria" w:cs="Times New Roman"/>
          <w:sz w:val="22"/>
          <w:lang w:val="es-CR" w:eastAsia="es-ES"/>
        </w:rPr>
        <w:t>,</w:t>
      </w:r>
      <w:r w:rsidR="31DFB578" w:rsidRPr="00AD785B">
        <w:rPr>
          <w:rFonts w:ascii="Cambria" w:eastAsia="Times New Roman" w:hAnsi="Cambria" w:cs="Times New Roman"/>
          <w:sz w:val="22"/>
          <w:lang w:val="es-CR" w:eastAsia="es-ES"/>
        </w:rPr>
        <w:t xml:space="preserve"> este órgano estima que existen ra</w:t>
      </w:r>
      <w:r w:rsidR="5A6A3550" w:rsidRPr="00AD785B">
        <w:rPr>
          <w:rFonts w:ascii="Cambria" w:eastAsia="Times New Roman" w:hAnsi="Cambria" w:cs="Times New Roman"/>
          <w:sz w:val="22"/>
          <w:lang w:val="es-CR" w:eastAsia="es-ES"/>
        </w:rPr>
        <w:t>zones suficientes para</w:t>
      </w:r>
      <w:r w:rsidR="736C7BF5" w:rsidRPr="00AD785B">
        <w:rPr>
          <w:rFonts w:ascii="Cambria" w:eastAsia="Times New Roman" w:hAnsi="Cambria" w:cs="Times New Roman"/>
          <w:sz w:val="22"/>
          <w:lang w:val="es-CR" w:eastAsia="es-ES"/>
        </w:rPr>
        <w:t xml:space="preserve"> no realizar la consulta prevista en el artículo 361.2 de la Ley General de Administración Pública. </w:t>
      </w:r>
      <w:r w:rsidR="492F5087" w:rsidRPr="00AD785B">
        <w:rPr>
          <w:rFonts w:ascii="Cambria" w:eastAsia="Times New Roman" w:hAnsi="Cambria" w:cs="Times New Roman"/>
          <w:sz w:val="22"/>
          <w:lang w:val="es-CR" w:eastAsia="es-ES"/>
        </w:rPr>
        <w:t>Es importante señalar</w:t>
      </w:r>
      <w:r w:rsidR="4D3DA4D4" w:rsidRPr="00AD785B">
        <w:rPr>
          <w:rFonts w:ascii="Cambria" w:eastAsia="Times New Roman" w:hAnsi="Cambria" w:cs="Times New Roman"/>
          <w:sz w:val="22"/>
          <w:lang w:val="es-CR" w:eastAsia="es-ES"/>
        </w:rPr>
        <w:t xml:space="preserve">, además, </w:t>
      </w:r>
      <w:r w:rsidR="492F5087" w:rsidRPr="00AD785B">
        <w:rPr>
          <w:rFonts w:ascii="Cambria" w:eastAsia="Times New Roman" w:hAnsi="Cambria" w:cs="Times New Roman"/>
          <w:sz w:val="22"/>
          <w:lang w:val="es-CR" w:eastAsia="es-ES"/>
        </w:rPr>
        <w:t>que</w:t>
      </w:r>
      <w:r w:rsidR="1E50D14A" w:rsidRPr="00AD785B">
        <w:rPr>
          <w:rFonts w:ascii="Cambria" w:eastAsia="Times New Roman" w:hAnsi="Cambria" w:cs="Times New Roman"/>
          <w:sz w:val="22"/>
          <w:lang w:val="es-CR" w:eastAsia="es-ES"/>
        </w:rPr>
        <w:t xml:space="preserve"> el traslado no oneroso </w:t>
      </w:r>
      <w:r w:rsidR="75443265" w:rsidRPr="00AD785B">
        <w:rPr>
          <w:rFonts w:ascii="Cambria" w:eastAsia="Times New Roman" w:hAnsi="Cambria" w:cs="Times New Roman"/>
          <w:sz w:val="22"/>
          <w:lang w:val="es-CR" w:eastAsia="es-ES"/>
        </w:rPr>
        <w:t xml:space="preserve">ya fue ordenado </w:t>
      </w:r>
      <w:r w:rsidR="1E50D14A" w:rsidRPr="00AD785B">
        <w:rPr>
          <w:rFonts w:ascii="Cambria" w:eastAsia="Times New Roman" w:hAnsi="Cambria" w:cs="Times New Roman"/>
          <w:sz w:val="22"/>
          <w:lang w:val="es-CR" w:eastAsia="es-ES"/>
        </w:rPr>
        <w:t xml:space="preserve">en el transitorio VIII del Reglamento de Gestión de Activos, adicionado por el </w:t>
      </w:r>
      <w:r w:rsidR="42E7CF40" w:rsidRPr="00AD785B">
        <w:rPr>
          <w:rFonts w:ascii="Cambria" w:eastAsia="Times New Roman" w:hAnsi="Cambria" w:cs="Times New Roman"/>
          <w:sz w:val="22"/>
          <w:lang w:val="es-CR" w:eastAsia="es-ES"/>
        </w:rPr>
        <w:t xml:space="preserve">acuerdo del </w:t>
      </w:r>
      <w:r w:rsidR="4951B0BA" w:rsidRPr="00AD785B">
        <w:rPr>
          <w:rFonts w:ascii="Cambria" w:eastAsia="Times New Roman" w:hAnsi="Cambria" w:cs="Times New Roman"/>
          <w:sz w:val="22"/>
          <w:lang w:val="es-CR" w:eastAsia="es-ES"/>
        </w:rPr>
        <w:t>Consejo Nacional de Supervisión del Sistema Financiero, artículo 9 del acta de la sesión 1838-2023, celebrada el 6 de diciembre del 2023</w:t>
      </w:r>
      <w:r w:rsidR="52CEC74E" w:rsidRPr="00AD785B">
        <w:rPr>
          <w:rFonts w:ascii="Cambria" w:eastAsia="Times New Roman" w:hAnsi="Cambria" w:cs="Times New Roman"/>
          <w:sz w:val="22"/>
          <w:lang w:val="es-CR" w:eastAsia="es-ES"/>
        </w:rPr>
        <w:t xml:space="preserve">, y la fecha para el traslado no oneroso definida en este acuerdo fue establecida en concordancia con la </w:t>
      </w:r>
      <w:r w:rsidR="52CEC74E" w:rsidRPr="00AD785B">
        <w:rPr>
          <w:rFonts w:ascii="Cambria" w:eastAsia="Times New Roman" w:hAnsi="Cambria" w:cs="Times New Roman"/>
          <w:sz w:val="22"/>
          <w:lang w:val="es-CR" w:eastAsia="es-ES"/>
        </w:rPr>
        <w:lastRenderedPageBreak/>
        <w:t xml:space="preserve">fecha de la entrada en vigencia de la reforma de los fondos generacionales prevista en el mismo acuerdo del Consejo.  </w:t>
      </w:r>
    </w:p>
    <w:p w14:paraId="6A82BD7E" w14:textId="49E31BFC" w:rsidR="00FA69D2" w:rsidRPr="00AD785B" w:rsidRDefault="00FA69D2" w:rsidP="00F74375">
      <w:pPr>
        <w:pStyle w:val="Prrafodelista"/>
        <w:spacing w:line="240" w:lineRule="auto"/>
        <w:ind w:left="360"/>
        <w:jc w:val="both"/>
        <w:rPr>
          <w:rFonts w:ascii="Cambria" w:eastAsia="Times New Roman" w:hAnsi="Cambria" w:cs="Times New Roman"/>
          <w:i/>
          <w:iCs/>
          <w:sz w:val="22"/>
          <w:lang w:val="es-CR" w:eastAsia="es-ES"/>
        </w:rPr>
      </w:pPr>
    </w:p>
    <w:p w14:paraId="5EEEB1B8" w14:textId="77777777" w:rsidR="002019F7" w:rsidRPr="002A27C5" w:rsidRDefault="002019F7" w:rsidP="002019F7">
      <w:pPr>
        <w:spacing w:line="240" w:lineRule="auto"/>
        <w:contextualSpacing/>
        <w:jc w:val="both"/>
        <w:rPr>
          <w:rFonts w:ascii="Cambria" w:eastAsia="Times New Roman" w:hAnsi="Cambria" w:cs="Times New Roman"/>
          <w:sz w:val="22"/>
          <w:lang w:val="es-CR" w:eastAsia="es-ES"/>
        </w:rPr>
      </w:pPr>
    </w:p>
    <w:p w14:paraId="0624CEBE" w14:textId="77777777" w:rsidR="002019F7" w:rsidRPr="002A27C5" w:rsidRDefault="002019F7" w:rsidP="002019F7">
      <w:pPr>
        <w:spacing w:line="240" w:lineRule="auto"/>
        <w:contextualSpacing/>
        <w:jc w:val="center"/>
        <w:rPr>
          <w:rFonts w:ascii="Cambria" w:eastAsia="Times New Roman" w:hAnsi="Cambria" w:cs="Arial"/>
          <w:b/>
          <w:sz w:val="22"/>
          <w:lang w:val="es-CR" w:eastAsia="es-ES"/>
        </w:rPr>
      </w:pPr>
      <w:r w:rsidRPr="002A27C5">
        <w:rPr>
          <w:rFonts w:ascii="Cambria" w:eastAsia="Times New Roman" w:hAnsi="Cambria" w:cs="Arial"/>
          <w:b/>
          <w:sz w:val="22"/>
          <w:lang w:val="es-CR" w:eastAsia="es-ES"/>
        </w:rPr>
        <w:t>Por tanto,</w:t>
      </w:r>
    </w:p>
    <w:p w14:paraId="4D1BFBE8" w14:textId="77777777" w:rsidR="002019F7" w:rsidRPr="002A27C5" w:rsidRDefault="002019F7" w:rsidP="002019F7">
      <w:pPr>
        <w:spacing w:line="240" w:lineRule="auto"/>
        <w:contextualSpacing/>
        <w:jc w:val="center"/>
        <w:rPr>
          <w:rFonts w:ascii="Cambria" w:hAnsi="Cambria"/>
          <w:sz w:val="22"/>
        </w:rPr>
      </w:pPr>
    </w:p>
    <w:p w14:paraId="0D9D1E23" w14:textId="33DEE08B" w:rsidR="002019F7" w:rsidRDefault="002019F7" w:rsidP="002019F7">
      <w:pPr>
        <w:spacing w:line="240" w:lineRule="auto"/>
        <w:contextualSpacing/>
        <w:jc w:val="both"/>
        <w:rPr>
          <w:rFonts w:ascii="Cambria" w:hAnsi="Cambria" w:cs="Times New Roman"/>
          <w:sz w:val="22"/>
        </w:rPr>
      </w:pPr>
      <w:r>
        <w:rPr>
          <w:rFonts w:ascii="Cambria" w:hAnsi="Cambria" w:cs="Times New Roman"/>
          <w:b/>
          <w:bCs/>
          <w:sz w:val="22"/>
        </w:rPr>
        <w:t xml:space="preserve">Primero: </w:t>
      </w:r>
      <w:r>
        <w:rPr>
          <w:rFonts w:ascii="Cambria" w:hAnsi="Cambria" w:cs="Times New Roman"/>
          <w:sz w:val="22"/>
        </w:rPr>
        <w:t xml:space="preserve">Se autoriza a las </w:t>
      </w:r>
      <w:r w:rsidR="00B9024C">
        <w:rPr>
          <w:rFonts w:ascii="Cambria" w:hAnsi="Cambria" w:cs="Times New Roman"/>
          <w:sz w:val="22"/>
        </w:rPr>
        <w:t xml:space="preserve">Operadoras de Pensiones </w:t>
      </w:r>
      <w:r w:rsidR="00464478">
        <w:rPr>
          <w:rFonts w:ascii="Cambria" w:hAnsi="Cambria" w:cs="Times New Roman"/>
          <w:sz w:val="22"/>
        </w:rPr>
        <w:t xml:space="preserve">el </w:t>
      </w:r>
      <w:r>
        <w:rPr>
          <w:rFonts w:ascii="Cambria" w:hAnsi="Cambria" w:cs="Times New Roman"/>
          <w:sz w:val="22"/>
        </w:rPr>
        <w:t xml:space="preserve">traslado </w:t>
      </w:r>
      <w:r w:rsidR="00464478">
        <w:rPr>
          <w:rFonts w:ascii="Cambria" w:hAnsi="Cambria" w:cs="Times New Roman"/>
          <w:sz w:val="22"/>
        </w:rPr>
        <w:t xml:space="preserve">no oneroso </w:t>
      </w:r>
      <w:r>
        <w:rPr>
          <w:rFonts w:ascii="Cambria" w:hAnsi="Cambria" w:cs="Times New Roman"/>
          <w:sz w:val="22"/>
        </w:rPr>
        <w:t>de los valores y del efectivo asociado a estos</w:t>
      </w:r>
      <w:r w:rsidR="00B9024C">
        <w:rPr>
          <w:rFonts w:ascii="Cambria" w:hAnsi="Cambria" w:cs="Times New Roman"/>
          <w:sz w:val="22"/>
        </w:rPr>
        <w:t>,</w:t>
      </w:r>
      <w:r>
        <w:rPr>
          <w:rFonts w:ascii="Cambria" w:hAnsi="Cambria" w:cs="Times New Roman"/>
          <w:sz w:val="22"/>
        </w:rPr>
        <w:t xml:space="preserve"> administrados en el Fondo del </w:t>
      </w:r>
      <w:r w:rsidRPr="002019F7">
        <w:rPr>
          <w:rFonts w:ascii="Cambria" w:hAnsi="Cambria" w:cs="Times New Roman"/>
          <w:sz w:val="22"/>
        </w:rPr>
        <w:t>Régimen Obligatorio de Pensiones Complementarias</w:t>
      </w:r>
      <w:r>
        <w:rPr>
          <w:rFonts w:ascii="Cambria" w:hAnsi="Cambria" w:cs="Times New Roman"/>
          <w:sz w:val="22"/>
        </w:rPr>
        <w:t xml:space="preserve"> a los </w:t>
      </w:r>
      <w:r w:rsidR="00A1156B">
        <w:rPr>
          <w:rFonts w:ascii="Cambria" w:hAnsi="Cambria" w:cs="Times New Roman"/>
          <w:sz w:val="22"/>
        </w:rPr>
        <w:t>F</w:t>
      </w:r>
      <w:r>
        <w:rPr>
          <w:rFonts w:ascii="Cambria" w:hAnsi="Cambria" w:cs="Times New Roman"/>
          <w:sz w:val="22"/>
        </w:rPr>
        <w:t xml:space="preserve">ondos </w:t>
      </w:r>
      <w:r w:rsidR="00A1156B">
        <w:rPr>
          <w:rFonts w:ascii="Cambria" w:hAnsi="Cambria" w:cs="Times New Roman"/>
          <w:sz w:val="22"/>
        </w:rPr>
        <w:t>G</w:t>
      </w:r>
      <w:r>
        <w:rPr>
          <w:rFonts w:ascii="Cambria" w:hAnsi="Cambria" w:cs="Times New Roman"/>
          <w:sz w:val="22"/>
        </w:rPr>
        <w:t>eneracionales establecidos en el “</w:t>
      </w:r>
      <w:r w:rsidRPr="002019F7">
        <w:rPr>
          <w:rFonts w:ascii="Cambria" w:hAnsi="Cambria" w:cs="Times New Roman"/>
          <w:i/>
          <w:iCs/>
          <w:sz w:val="22"/>
        </w:rPr>
        <w:t>Artículo 4. De la administración</w:t>
      </w:r>
      <w:r>
        <w:rPr>
          <w:rFonts w:ascii="Cambria" w:hAnsi="Cambria" w:cs="Times New Roman"/>
          <w:i/>
          <w:iCs/>
          <w:sz w:val="22"/>
        </w:rPr>
        <w:t xml:space="preserve">” </w:t>
      </w:r>
      <w:r>
        <w:rPr>
          <w:rFonts w:ascii="Cambria" w:hAnsi="Cambria" w:cs="Times New Roman"/>
          <w:sz w:val="22"/>
        </w:rPr>
        <w:t xml:space="preserve">del </w:t>
      </w:r>
      <w:r w:rsidRPr="002019F7">
        <w:rPr>
          <w:rFonts w:ascii="Cambria" w:hAnsi="Cambria" w:cs="Times New Roman"/>
          <w:i/>
          <w:iCs/>
          <w:sz w:val="22"/>
        </w:rPr>
        <w:t>Reglamento sobre la apertura y funcionamiento de las entidades autorizadas y el funcionamiento de los fondos de pensiones, capitalización laboral y ahorro voluntario previstos en la Ley de Protección al Trabajador</w:t>
      </w:r>
      <w:r>
        <w:rPr>
          <w:rFonts w:ascii="Cambria" w:hAnsi="Cambria" w:cs="Times New Roman"/>
          <w:sz w:val="22"/>
        </w:rPr>
        <w:t xml:space="preserve">, cuando se </w:t>
      </w:r>
      <w:r w:rsidR="00EA6D7D">
        <w:rPr>
          <w:rFonts w:ascii="Cambria" w:hAnsi="Cambria" w:cs="Times New Roman"/>
          <w:sz w:val="22"/>
        </w:rPr>
        <w:t>trate de movimientos</w:t>
      </w:r>
      <w:r>
        <w:rPr>
          <w:rFonts w:ascii="Cambria" w:hAnsi="Cambria" w:cs="Times New Roman"/>
          <w:sz w:val="22"/>
        </w:rPr>
        <w:t xml:space="preserve"> dentro de una misma operadora de pensiones complementarias.</w:t>
      </w:r>
    </w:p>
    <w:p w14:paraId="20093709" w14:textId="77777777" w:rsidR="00B9024C" w:rsidRDefault="00B9024C" w:rsidP="002019F7">
      <w:pPr>
        <w:spacing w:line="240" w:lineRule="auto"/>
        <w:contextualSpacing/>
        <w:jc w:val="both"/>
        <w:rPr>
          <w:rFonts w:ascii="Cambria" w:hAnsi="Cambria" w:cs="Times New Roman"/>
          <w:sz w:val="22"/>
        </w:rPr>
      </w:pPr>
    </w:p>
    <w:p w14:paraId="15B9382C" w14:textId="42DEF9FA" w:rsidR="00B9024C" w:rsidRPr="00B9024C" w:rsidRDefault="00B9024C" w:rsidP="002019F7">
      <w:pPr>
        <w:spacing w:line="240" w:lineRule="auto"/>
        <w:contextualSpacing/>
        <w:jc w:val="both"/>
        <w:rPr>
          <w:rFonts w:ascii="Cambria" w:hAnsi="Cambria" w:cs="Times New Roman"/>
          <w:sz w:val="22"/>
        </w:rPr>
      </w:pPr>
      <w:r>
        <w:rPr>
          <w:rFonts w:ascii="Cambria" w:hAnsi="Cambria" w:cs="Times New Roman"/>
          <w:b/>
          <w:bCs/>
          <w:sz w:val="22"/>
        </w:rPr>
        <w:t xml:space="preserve">Segundo: </w:t>
      </w:r>
      <w:r>
        <w:rPr>
          <w:rFonts w:ascii="Cambria" w:hAnsi="Cambria" w:cs="Times New Roman"/>
          <w:sz w:val="22"/>
        </w:rPr>
        <w:t xml:space="preserve">Dicho traslado deberá ejecutarse el día 31 de marzo del 2025, con </w:t>
      </w:r>
      <w:r w:rsidR="00464478">
        <w:rPr>
          <w:rFonts w:ascii="Cambria" w:hAnsi="Cambria" w:cs="Times New Roman"/>
          <w:sz w:val="22"/>
        </w:rPr>
        <w:t xml:space="preserve">el </w:t>
      </w:r>
      <w:r>
        <w:rPr>
          <w:rFonts w:ascii="Cambria" w:hAnsi="Cambria" w:cs="Times New Roman"/>
          <w:sz w:val="22"/>
        </w:rPr>
        <w:t>propósito de que la separación tenga efecto a partir del día primero de abril de 2025.</w:t>
      </w:r>
    </w:p>
    <w:p w14:paraId="164664C0" w14:textId="77777777" w:rsidR="002019F7" w:rsidRDefault="002019F7" w:rsidP="002019F7">
      <w:pPr>
        <w:spacing w:line="240" w:lineRule="auto"/>
        <w:contextualSpacing/>
        <w:jc w:val="both"/>
        <w:rPr>
          <w:rFonts w:ascii="Cambria" w:hAnsi="Cambria" w:cs="Times New Roman"/>
          <w:sz w:val="22"/>
        </w:rPr>
      </w:pPr>
    </w:p>
    <w:p w14:paraId="3A93957D" w14:textId="4348BE53" w:rsidR="002019F7" w:rsidRPr="00C760A6" w:rsidRDefault="00B9024C" w:rsidP="002019F7">
      <w:pPr>
        <w:spacing w:line="240" w:lineRule="auto"/>
        <w:contextualSpacing/>
        <w:jc w:val="both"/>
        <w:rPr>
          <w:rFonts w:ascii="Cambria" w:eastAsia="Times New Roman" w:hAnsi="Cambria" w:cs="Times New Roman"/>
          <w:sz w:val="22"/>
          <w:lang w:eastAsia="es-ES"/>
        </w:rPr>
      </w:pPr>
      <w:r>
        <w:rPr>
          <w:rFonts w:ascii="Cambria" w:hAnsi="Cambria" w:cs="Times New Roman"/>
          <w:b/>
          <w:bCs/>
          <w:sz w:val="22"/>
        </w:rPr>
        <w:t xml:space="preserve">Tercero: </w:t>
      </w:r>
      <w:r w:rsidR="002019F7">
        <w:rPr>
          <w:rFonts w:ascii="Cambria" w:hAnsi="Cambria" w:cs="Times New Roman"/>
          <w:sz w:val="22"/>
        </w:rPr>
        <w:t>Para lo anterior deberá cumplirse con lo dispuesto en el</w:t>
      </w:r>
      <w:r>
        <w:rPr>
          <w:rFonts w:ascii="Cambria" w:hAnsi="Cambria" w:cs="Times New Roman"/>
          <w:sz w:val="22"/>
        </w:rPr>
        <w:t xml:space="preserve"> artículo 10 </w:t>
      </w:r>
      <w:r w:rsidR="00177090">
        <w:rPr>
          <w:rFonts w:ascii="Cambria" w:hAnsi="Cambria" w:cs="Times New Roman"/>
          <w:sz w:val="22"/>
        </w:rPr>
        <w:t>del acuerdo</w:t>
      </w:r>
      <w:r w:rsidR="002019F7">
        <w:rPr>
          <w:rFonts w:ascii="Cambria" w:hAnsi="Cambria" w:cs="Times New Roman"/>
          <w:sz w:val="22"/>
        </w:rPr>
        <w:t xml:space="preserve"> de la Superintendencia </w:t>
      </w:r>
      <w:r w:rsidR="002019F7" w:rsidRPr="00C760A6">
        <w:rPr>
          <w:rFonts w:ascii="Cambria" w:hAnsi="Cambria" w:cs="Times New Roman"/>
          <w:sz w:val="22"/>
        </w:rPr>
        <w:t>General de Valores SGV-A-198. “</w:t>
      </w:r>
      <w:r w:rsidR="002019F7" w:rsidRPr="00C760A6">
        <w:rPr>
          <w:rFonts w:ascii="Cambria" w:hAnsi="Cambria" w:cs="Times New Roman"/>
          <w:i/>
          <w:iCs/>
          <w:sz w:val="22"/>
        </w:rPr>
        <w:t>Acuerdo para la implantación del Reglamento de custodia”</w:t>
      </w:r>
      <w:r w:rsidR="000D7C04" w:rsidRPr="00C760A6">
        <w:rPr>
          <w:rFonts w:ascii="Cambria" w:hAnsi="Cambria" w:cs="Times New Roman"/>
          <w:i/>
          <w:iCs/>
          <w:sz w:val="22"/>
        </w:rPr>
        <w:t xml:space="preserve">, </w:t>
      </w:r>
      <w:r w:rsidR="000D7C04" w:rsidRPr="00C760A6">
        <w:rPr>
          <w:rFonts w:ascii="Cambria" w:hAnsi="Cambria" w:cs="Times New Roman"/>
          <w:sz w:val="22"/>
        </w:rPr>
        <w:t>esto es,</w:t>
      </w:r>
      <w:r w:rsidR="000D7C04" w:rsidRPr="00C760A6">
        <w:rPr>
          <w:rFonts w:ascii="Cambria" w:hAnsi="Cambria" w:cs="Times New Roman"/>
          <w:i/>
          <w:iCs/>
          <w:sz w:val="22"/>
        </w:rPr>
        <w:t xml:space="preserve"> los </w:t>
      </w:r>
      <w:r w:rsidR="003708F8" w:rsidRPr="00C760A6">
        <w:rPr>
          <w:rFonts w:ascii="Cambria" w:hAnsi="Cambria" w:cs="Times New Roman"/>
          <w:i/>
          <w:iCs/>
          <w:sz w:val="22"/>
        </w:rPr>
        <w:t>traslados</w:t>
      </w:r>
      <w:r w:rsidR="000D7C04" w:rsidRPr="00C760A6">
        <w:rPr>
          <w:rFonts w:ascii="Cambria" w:hAnsi="Cambria" w:cs="Times New Roman"/>
          <w:i/>
          <w:iCs/>
          <w:sz w:val="22"/>
        </w:rPr>
        <w:t xml:space="preserve"> deberán ser reportados por la entidad de custodia ante la Superintendencia General de Valores de conformidad con lo dispuesto en el Acuerdo SGV-A-75 Suministro de información periódica.</w:t>
      </w:r>
    </w:p>
    <w:p w14:paraId="0299A5C2" w14:textId="77777777" w:rsidR="002019F7" w:rsidRDefault="002019F7" w:rsidP="002019F7">
      <w:pPr>
        <w:spacing w:line="240" w:lineRule="auto"/>
        <w:jc w:val="both"/>
        <w:rPr>
          <w:rFonts w:ascii="Cambria" w:eastAsia="Times New Roman" w:hAnsi="Cambria" w:cs="Times New Roman"/>
          <w:i/>
          <w:iCs/>
          <w:sz w:val="22"/>
          <w:lang w:val="es-CR" w:eastAsia="es-ES"/>
        </w:rPr>
      </w:pPr>
    </w:p>
    <w:p w14:paraId="00D5E1BE" w14:textId="60BEC2B9" w:rsidR="00E17F0F" w:rsidRDefault="00AD785B" w:rsidP="002019F7">
      <w:pPr>
        <w:spacing w:line="240" w:lineRule="auto"/>
        <w:jc w:val="both"/>
        <w:rPr>
          <w:rFonts w:ascii="Cambria" w:eastAsia="Times New Roman" w:hAnsi="Cambria" w:cs="Times New Roman"/>
          <w:i/>
          <w:iCs/>
          <w:sz w:val="22"/>
          <w:lang w:val="es-CR" w:eastAsia="es-ES"/>
        </w:rPr>
      </w:pPr>
      <w:r>
        <w:rPr>
          <w:rFonts w:ascii="Cambria" w:eastAsia="Times New Roman" w:hAnsi="Cambria" w:cs="Times New Roman"/>
          <w:i/>
          <w:iCs/>
          <w:sz w:val="22"/>
          <w:lang w:val="es-CR" w:eastAsia="es-ES"/>
        </w:rPr>
        <w:t xml:space="preserve"> </w:t>
      </w:r>
    </w:p>
    <w:p w14:paraId="73154D46" w14:textId="03B856F9" w:rsidR="00291B81" w:rsidRPr="00E17F0F" w:rsidRDefault="00291B81" w:rsidP="00AF7580">
      <w:pPr>
        <w:spacing w:line="276" w:lineRule="auto"/>
        <w:rPr>
          <w:sz w:val="22"/>
        </w:rPr>
      </w:pPr>
      <w:r w:rsidRPr="00E17F0F">
        <w:rPr>
          <w:sz w:val="22"/>
        </w:rPr>
        <w:t xml:space="preserve">Rige a partir de su </w:t>
      </w:r>
      <w:r w:rsidR="003708F8" w:rsidRPr="00E17F0F">
        <w:rPr>
          <w:sz w:val="22"/>
        </w:rPr>
        <w:t>publicación en el diario oficial La Gaceta</w:t>
      </w:r>
      <w:r w:rsidRPr="00E17F0F">
        <w:rPr>
          <w:sz w:val="22"/>
        </w:rPr>
        <w:t>.</w:t>
      </w:r>
    </w:p>
    <w:p w14:paraId="134266AD" w14:textId="77777777" w:rsidR="00291B81" w:rsidRPr="00BD0C19" w:rsidRDefault="00291B81" w:rsidP="00AF7580">
      <w:pPr>
        <w:spacing w:line="276" w:lineRule="auto"/>
      </w:pPr>
    </w:p>
    <w:p w14:paraId="18B6EDA9" w14:textId="77777777" w:rsidR="00291B81" w:rsidRPr="00BD0C19" w:rsidRDefault="00291B81" w:rsidP="00AF7580">
      <w:pPr>
        <w:spacing w:line="276" w:lineRule="auto"/>
      </w:pPr>
    </w:p>
    <w:p w14:paraId="6F5D8594" w14:textId="318F8630" w:rsidR="00851CCD" w:rsidRDefault="00041856" w:rsidP="00851CCD">
      <w:pPr>
        <w:spacing w:line="276" w:lineRule="auto"/>
      </w:pPr>
      <w:r>
        <w:rPr>
          <w:noProof/>
        </w:rPr>
        <w:drawing>
          <wp:inline distT="0" distB="0" distL="0" distR="0" wp14:anchorId="6A1BA292" wp14:editId="4138B1A7">
            <wp:extent cx="1701800" cy="662940"/>
            <wp:effectExtent l="0" t="0" r="0" b="3810"/>
            <wp:docPr id="8" name="Imagen 8"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mbre de la empresa&#10;&#10;Descripción generada automáticamente con confianza baja"/>
                    <pic:cNvPicPr>
                      <a:picLocks noChangeAspect="1"/>
                    </pic:cNvPicPr>
                  </pic:nvPicPr>
                  <pic:blipFill>
                    <a:blip r:embed="rId11"/>
                    <a:stretch>
                      <a:fillRect/>
                    </a:stretch>
                  </pic:blipFill>
                  <pic:spPr>
                    <a:xfrm>
                      <a:off x="0" y="0"/>
                      <a:ext cx="1701800" cy="662940"/>
                    </a:xfrm>
                    <a:prstGeom prst="rect">
                      <a:avLst/>
                    </a:prstGeom>
                  </pic:spPr>
                </pic:pic>
              </a:graphicData>
            </a:graphic>
          </wp:inline>
        </w:drawing>
      </w:r>
    </w:p>
    <w:p w14:paraId="71DA784C" w14:textId="77777777" w:rsidR="00A0168D" w:rsidRDefault="00A0168D" w:rsidP="00A0168D">
      <w:pPr>
        <w:spacing w:line="276" w:lineRule="auto"/>
      </w:pPr>
      <w:r>
        <w:t>Rocío Aguilar M.</w:t>
      </w:r>
    </w:p>
    <w:p w14:paraId="6545ED6C" w14:textId="77777777" w:rsidR="00A0168D" w:rsidRDefault="00A0168D" w:rsidP="00A0168D">
      <w:pPr>
        <w:spacing w:line="276" w:lineRule="auto"/>
      </w:pPr>
      <w:r>
        <w:t>Superintendente de Pensiones</w:t>
      </w:r>
    </w:p>
    <w:p w14:paraId="46B24524" w14:textId="77777777" w:rsidR="00291B81" w:rsidRDefault="00291B81" w:rsidP="00AF7580">
      <w:pPr>
        <w:spacing w:line="276" w:lineRule="auto"/>
      </w:pPr>
    </w:p>
    <w:p w14:paraId="4F116B87" w14:textId="77777777" w:rsidR="00702D7C" w:rsidRPr="00BD0C19" w:rsidRDefault="00702D7C" w:rsidP="00AF7580">
      <w:pPr>
        <w:spacing w:line="276" w:lineRule="auto"/>
      </w:pPr>
    </w:p>
    <w:p w14:paraId="6C38F60D" w14:textId="6EBF66C5" w:rsidR="006803D3" w:rsidRPr="00464478" w:rsidRDefault="004B3D1D" w:rsidP="00AF7580">
      <w:pPr>
        <w:spacing w:line="276" w:lineRule="auto"/>
        <w:rPr>
          <w:i/>
          <w:sz w:val="18"/>
        </w:rPr>
      </w:pPr>
      <w:r w:rsidRPr="00464478">
        <w:rPr>
          <w:sz w:val="18"/>
        </w:rPr>
        <w:t>Aproba</w:t>
      </w:r>
      <w:r w:rsidR="00B65E0E" w:rsidRPr="00464478">
        <w:rPr>
          <w:sz w:val="18"/>
        </w:rPr>
        <w:t>d</w:t>
      </w:r>
      <w:r w:rsidRPr="00464478">
        <w:rPr>
          <w:sz w:val="18"/>
        </w:rPr>
        <w:t>o</w:t>
      </w:r>
      <w:r w:rsidR="006803D3" w:rsidRPr="00464478">
        <w:rPr>
          <w:sz w:val="18"/>
        </w:rPr>
        <w:t xml:space="preserve"> por </w:t>
      </w:r>
      <w:r w:rsidR="00464478" w:rsidRPr="00464478">
        <w:rPr>
          <w:i/>
          <w:sz w:val="18"/>
        </w:rPr>
        <w:t>RCV/NVH</w:t>
      </w:r>
      <w:r w:rsidR="00050991">
        <w:rPr>
          <w:i/>
          <w:sz w:val="18"/>
        </w:rPr>
        <w:t>.</w:t>
      </w:r>
    </w:p>
    <w:p w14:paraId="195FEE73" w14:textId="5D21E960" w:rsidR="00204052" w:rsidRDefault="00204052" w:rsidP="00CF51F2">
      <w:pPr>
        <w:spacing w:after="160" w:line="259" w:lineRule="auto"/>
        <w:rPr>
          <w:i/>
          <w:color w:val="FF0000"/>
          <w:sz w:val="18"/>
        </w:rPr>
      </w:pPr>
    </w:p>
    <w:sectPr w:rsidR="00204052" w:rsidSect="00D029E6">
      <w:headerReference w:type="default" r:id="rId12"/>
      <w:footerReference w:type="even" r:id="rId13"/>
      <w:footerReference w:type="default" r:id="rId14"/>
      <w:headerReference w:type="first" r:id="rId15"/>
      <w:footerReference w:type="first" r:id="rId16"/>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32D6A" w14:textId="77777777" w:rsidR="00640B09" w:rsidRDefault="00640B09" w:rsidP="00011FAB">
      <w:pPr>
        <w:spacing w:line="240" w:lineRule="auto"/>
      </w:pPr>
      <w:r>
        <w:separator/>
      </w:r>
    </w:p>
  </w:endnote>
  <w:endnote w:type="continuationSeparator" w:id="0">
    <w:p w14:paraId="2D5A4562" w14:textId="77777777" w:rsidR="00640B09" w:rsidRDefault="00640B09" w:rsidP="00011FAB">
      <w:pPr>
        <w:spacing w:line="240" w:lineRule="auto"/>
      </w:pPr>
      <w:r>
        <w:continuationSeparator/>
      </w:r>
    </w:p>
  </w:endnote>
  <w:endnote w:type="continuationNotice" w:id="1">
    <w:p w14:paraId="4628F404" w14:textId="77777777" w:rsidR="00640B09" w:rsidRDefault="00640B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434D" w14:textId="1A54E5E7" w:rsidR="00B9024C" w:rsidRDefault="00B9024C">
    <w:pPr>
      <w:pStyle w:val="Piedepgina"/>
    </w:pPr>
    <w:r>
      <w:rPr>
        <w:noProof/>
      </w:rPr>
      <mc:AlternateContent>
        <mc:Choice Requires="wps">
          <w:drawing>
            <wp:anchor distT="0" distB="0" distL="0" distR="0" simplePos="0" relativeHeight="251658245" behindDoc="0" locked="0" layoutInCell="1" allowOverlap="1" wp14:anchorId="4604974C" wp14:editId="0360D0A3">
              <wp:simplePos x="635" y="635"/>
              <wp:positionH relativeFrom="page">
                <wp:align>center</wp:align>
              </wp:positionH>
              <wp:positionV relativeFrom="page">
                <wp:align>bottom</wp:align>
              </wp:positionV>
              <wp:extent cx="609600" cy="422910"/>
              <wp:effectExtent l="0" t="0" r="0" b="0"/>
              <wp:wrapNone/>
              <wp:docPr id="477432512"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22910"/>
                      </a:xfrm>
                      <a:prstGeom prst="rect">
                        <a:avLst/>
                      </a:prstGeom>
                      <a:noFill/>
                      <a:ln>
                        <a:noFill/>
                      </a:ln>
                    </wps:spPr>
                    <wps:txbx>
                      <w:txbxContent>
                        <w:p w14:paraId="078D1826" w14:textId="4AE41E1B" w:rsidR="00B9024C" w:rsidRPr="00B9024C" w:rsidRDefault="00B9024C" w:rsidP="00B9024C">
                          <w:pPr>
                            <w:rPr>
                              <w:rFonts w:ascii="Calibri" w:eastAsia="Calibri" w:hAnsi="Calibri" w:cs="Calibri"/>
                              <w:noProof/>
                              <w:color w:val="000000"/>
                              <w:sz w:val="20"/>
                              <w:szCs w:val="20"/>
                            </w:rPr>
                          </w:pPr>
                          <w:r w:rsidRPr="00B9024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4974C" id="_x0000_t202" coordsize="21600,21600" o:spt="202" path="m,l,21600r21600,l21600,xe">
              <v:stroke joinstyle="miter"/>
              <v:path gradientshapeok="t" o:connecttype="rect"/>
            </v:shapetype>
            <v:shape id="Cuadro de texto 2" o:spid="_x0000_s1026" type="#_x0000_t202" alt="Uso Interno" style="position:absolute;margin-left:0;margin-top:0;width:48pt;height:33.3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" filled="f" stroked="f">
              <v:textbox style="mso-fit-shape-to-text:t" inset="0,0,0,15pt">
                <w:txbxContent>
                  <w:p w14:paraId="078D1826" w14:textId="4AE41E1B" w:rsidR="00B9024C" w:rsidRPr="00B9024C" w:rsidRDefault="00B9024C" w:rsidP="00B9024C">
                    <w:pPr>
                      <w:rPr>
                        <w:rFonts w:ascii="Calibri" w:eastAsia="Calibri" w:hAnsi="Calibri" w:cs="Calibri"/>
                        <w:noProof/>
                        <w:color w:val="000000"/>
                        <w:sz w:val="20"/>
                        <w:szCs w:val="20"/>
                      </w:rPr>
                    </w:pPr>
                    <w:r w:rsidRPr="00B9024C">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462F3" w14:textId="495C3A77" w:rsidR="003621B6" w:rsidRDefault="00B9024C" w:rsidP="003621B6">
    <w:pPr>
      <w:pStyle w:val="Piedepgina"/>
      <w:pBdr>
        <w:top w:val="single" w:sz="4" w:space="1" w:color="auto"/>
      </w:pBdr>
      <w:rPr>
        <w:i/>
        <w:szCs w:val="24"/>
      </w:rPr>
    </w:pPr>
    <w:r>
      <w:rPr>
        <w:i/>
        <w:noProof/>
        <w:szCs w:val="24"/>
      </w:rPr>
      <mc:AlternateContent>
        <mc:Choice Requires="wps">
          <w:drawing>
            <wp:anchor distT="0" distB="0" distL="0" distR="0" simplePos="0" relativeHeight="251658246" behindDoc="0" locked="0" layoutInCell="1" allowOverlap="1" wp14:anchorId="723BCE7B" wp14:editId="6408B0A4">
              <wp:simplePos x="635" y="635"/>
              <wp:positionH relativeFrom="page">
                <wp:align>center</wp:align>
              </wp:positionH>
              <wp:positionV relativeFrom="page">
                <wp:align>bottom</wp:align>
              </wp:positionV>
              <wp:extent cx="609600" cy="422910"/>
              <wp:effectExtent l="0" t="0" r="0" b="0"/>
              <wp:wrapNone/>
              <wp:docPr id="723158954"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22910"/>
                      </a:xfrm>
                      <a:prstGeom prst="rect">
                        <a:avLst/>
                      </a:prstGeom>
                      <a:noFill/>
                      <a:ln>
                        <a:noFill/>
                      </a:ln>
                    </wps:spPr>
                    <wps:txbx>
                      <w:txbxContent>
                        <w:p w14:paraId="08630532" w14:textId="59CB0D34" w:rsidR="00B9024C" w:rsidRPr="00B9024C" w:rsidRDefault="00B9024C" w:rsidP="00B9024C">
                          <w:pPr>
                            <w:rPr>
                              <w:rFonts w:ascii="Calibri" w:eastAsia="Calibri" w:hAnsi="Calibri" w:cs="Calibri"/>
                              <w:noProof/>
                              <w:color w:val="000000"/>
                              <w:sz w:val="20"/>
                              <w:szCs w:val="20"/>
                            </w:rPr>
                          </w:pPr>
                          <w:r w:rsidRPr="00B9024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CE7B" id="_x0000_t202" coordsize="21600,21600" o:spt="202" path="m,l,21600r21600,l21600,xe">
              <v:stroke joinstyle="miter"/>
              <v:path gradientshapeok="t" o:connecttype="rect"/>
            </v:shapetype>
            <v:shape id="Cuadro de texto 3" o:spid="_x0000_s1027" type="#_x0000_t202" alt="Uso Interno" style="position:absolute;margin-left:0;margin-top:0;width:48pt;height:33.3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" filled="f" stroked="f">
              <v:textbox style="mso-fit-shape-to-text:t" inset="0,0,0,15pt">
                <w:txbxContent>
                  <w:p w14:paraId="08630532" w14:textId="59CB0D34" w:rsidR="00B9024C" w:rsidRPr="00B9024C" w:rsidRDefault="00B9024C" w:rsidP="00B9024C">
                    <w:pPr>
                      <w:rPr>
                        <w:rFonts w:ascii="Calibri" w:eastAsia="Calibri" w:hAnsi="Calibri" w:cs="Calibri"/>
                        <w:noProof/>
                        <w:color w:val="000000"/>
                        <w:sz w:val="20"/>
                        <w:szCs w:val="20"/>
                      </w:rPr>
                    </w:pPr>
                    <w:r w:rsidRPr="00B9024C">
                      <w:rPr>
                        <w:rFonts w:ascii="Calibri" w:eastAsia="Calibri" w:hAnsi="Calibri" w:cs="Calibri"/>
                        <w:noProof/>
                        <w:color w:val="000000"/>
                        <w:sz w:val="20"/>
                        <w:szCs w:val="20"/>
                      </w:rPr>
                      <w:t>Uso Interno</w:t>
                    </w:r>
                  </w:p>
                </w:txbxContent>
              </v:textbox>
              <w10:wrap anchorx="page" anchory="page"/>
            </v:shape>
          </w:pict>
        </mc:Fallback>
      </mc:AlternateContent>
    </w:r>
  </w:p>
  <w:p w14:paraId="61F4F4E5" w14:textId="2249FF4E" w:rsidR="009B3671" w:rsidRPr="00BE078A" w:rsidRDefault="00204052" w:rsidP="00204052">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E9B4" w14:textId="0432859A" w:rsidR="003621B6" w:rsidRDefault="00B9024C" w:rsidP="003621B6">
    <w:pPr>
      <w:pStyle w:val="Piedepgina"/>
      <w:pBdr>
        <w:top w:val="single" w:sz="4" w:space="1" w:color="auto"/>
      </w:pBdr>
      <w:rPr>
        <w:i/>
        <w:szCs w:val="24"/>
      </w:rPr>
    </w:pPr>
    <w:r>
      <w:rPr>
        <w:i/>
        <w:noProof/>
        <w:szCs w:val="24"/>
      </w:rPr>
      <mc:AlternateContent>
        <mc:Choice Requires="wps">
          <w:drawing>
            <wp:anchor distT="0" distB="0" distL="0" distR="0" simplePos="0" relativeHeight="251658244" behindDoc="0" locked="0" layoutInCell="1" allowOverlap="1" wp14:anchorId="213C1B1F" wp14:editId="79C98C6A">
              <wp:simplePos x="1080655" y="9239003"/>
              <wp:positionH relativeFrom="page">
                <wp:align>center</wp:align>
              </wp:positionH>
              <wp:positionV relativeFrom="page">
                <wp:align>bottom</wp:align>
              </wp:positionV>
              <wp:extent cx="609600" cy="422910"/>
              <wp:effectExtent l="0" t="0" r="0" b="0"/>
              <wp:wrapNone/>
              <wp:docPr id="131421323"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22910"/>
                      </a:xfrm>
                      <a:prstGeom prst="rect">
                        <a:avLst/>
                      </a:prstGeom>
                      <a:noFill/>
                      <a:ln>
                        <a:noFill/>
                      </a:ln>
                    </wps:spPr>
                    <wps:txbx>
                      <w:txbxContent>
                        <w:p w14:paraId="172D5D03" w14:textId="4255FC27" w:rsidR="00B9024C" w:rsidRPr="00B9024C" w:rsidRDefault="00B9024C" w:rsidP="00B9024C">
                          <w:pPr>
                            <w:rPr>
                              <w:rFonts w:ascii="Calibri" w:eastAsia="Calibri" w:hAnsi="Calibri" w:cs="Calibri"/>
                              <w:noProof/>
                              <w:color w:val="000000"/>
                              <w:sz w:val="20"/>
                              <w:szCs w:val="20"/>
                            </w:rPr>
                          </w:pPr>
                          <w:r w:rsidRPr="00B9024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C1B1F" id="_x0000_t202" coordsize="21600,21600" o:spt="202" path="m,l,21600r21600,l21600,xe">
              <v:stroke joinstyle="miter"/>
              <v:path gradientshapeok="t" o:connecttype="rect"/>
            </v:shapetype>
            <v:shape id="Cuadro de texto 1" o:spid="_x0000_s1028" type="#_x0000_t202" alt="Uso Interno" style="position:absolute;margin-left:0;margin-top:0;width:48pt;height:33.3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" filled="f" stroked="f">
              <v:textbox style="mso-fit-shape-to-text:t" inset="0,0,0,15pt">
                <w:txbxContent>
                  <w:p w14:paraId="172D5D03" w14:textId="4255FC27" w:rsidR="00B9024C" w:rsidRPr="00B9024C" w:rsidRDefault="00B9024C" w:rsidP="00B9024C">
                    <w:pPr>
                      <w:rPr>
                        <w:rFonts w:ascii="Calibri" w:eastAsia="Calibri" w:hAnsi="Calibri" w:cs="Calibri"/>
                        <w:noProof/>
                        <w:color w:val="000000"/>
                        <w:sz w:val="20"/>
                        <w:szCs w:val="20"/>
                      </w:rPr>
                    </w:pPr>
                    <w:r w:rsidRPr="00B9024C">
                      <w:rPr>
                        <w:rFonts w:ascii="Calibri" w:eastAsia="Calibri" w:hAnsi="Calibri" w:cs="Calibri"/>
                        <w:noProof/>
                        <w:color w:val="000000"/>
                        <w:sz w:val="20"/>
                        <w:szCs w:val="20"/>
                      </w:rPr>
                      <w:t>Uso Interno</w:t>
                    </w:r>
                  </w:p>
                </w:txbxContent>
              </v:textbox>
              <w10:wrap anchorx="page" anchory="page"/>
            </v:shape>
          </w:pict>
        </mc:Fallback>
      </mc:AlternateContent>
    </w:r>
  </w:p>
  <w:p w14:paraId="6FD58B09"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4E10" w14:textId="77777777" w:rsidR="00640B09" w:rsidRDefault="00640B09" w:rsidP="00011FAB">
      <w:pPr>
        <w:spacing w:line="240" w:lineRule="auto"/>
      </w:pPr>
      <w:r>
        <w:separator/>
      </w:r>
    </w:p>
  </w:footnote>
  <w:footnote w:type="continuationSeparator" w:id="0">
    <w:p w14:paraId="58E1694D" w14:textId="77777777" w:rsidR="00640B09" w:rsidRDefault="00640B09" w:rsidP="00011FAB">
      <w:pPr>
        <w:spacing w:line="240" w:lineRule="auto"/>
      </w:pPr>
      <w:r>
        <w:continuationSeparator/>
      </w:r>
    </w:p>
  </w:footnote>
  <w:footnote w:type="continuationNotice" w:id="1">
    <w:p w14:paraId="201738C0" w14:textId="77777777" w:rsidR="00640B09" w:rsidRDefault="00640B09">
      <w:pPr>
        <w:spacing w:line="240" w:lineRule="auto"/>
      </w:pPr>
    </w:p>
  </w:footnote>
  <w:footnote w:id="2">
    <w:p w14:paraId="2821578F" w14:textId="118BA6A6" w:rsidR="008E24A2" w:rsidRPr="008E24A2" w:rsidRDefault="008E24A2" w:rsidP="00B26170">
      <w:pPr>
        <w:pStyle w:val="Textonotapie"/>
        <w:jc w:val="both"/>
        <w:rPr>
          <w:lang w:val="es-CR"/>
        </w:rPr>
      </w:pPr>
      <w:r>
        <w:rPr>
          <w:rStyle w:val="Refdenotaalpie"/>
        </w:rPr>
        <w:footnoteRef/>
      </w:r>
      <w:r>
        <w:t xml:space="preserve"> </w:t>
      </w:r>
      <w:r w:rsidRPr="008E24A2">
        <w:t xml:space="preserve">  Superintendencia General de Valores.  Despacho del Superintendente. A las quince horas del cuatro de setiembre del dos mil quince. Publicado en el Diario Oficial La Gaceta No. 214 del 4 de noviembre del 2015.</w:t>
      </w:r>
    </w:p>
  </w:footnote>
  <w:footnote w:id="3">
    <w:p w14:paraId="3714EEAA" w14:textId="5D9562FD" w:rsidR="0049688E" w:rsidRPr="0049688E" w:rsidRDefault="0049688E" w:rsidP="00B26170">
      <w:pPr>
        <w:pStyle w:val="Textonotapie"/>
        <w:jc w:val="both"/>
        <w:rPr>
          <w:lang w:val="es-CR"/>
        </w:rPr>
      </w:pPr>
      <w:r>
        <w:rPr>
          <w:rStyle w:val="Refdenotaalpie"/>
        </w:rPr>
        <w:footnoteRef/>
      </w:r>
      <w:r>
        <w:t xml:space="preserve"> </w:t>
      </w:r>
      <w:r>
        <w:rPr>
          <w:lang w:val="es-CR"/>
        </w:rPr>
        <w:t>A</w:t>
      </w:r>
      <w:r w:rsidRPr="0049688E">
        <w:rPr>
          <w:lang w:val="es-CR"/>
        </w:rPr>
        <w:t>rtículo 9 del acta de la sesión 1838-2023, celebrada el 6 de diciembre del 2023</w:t>
      </w:r>
      <w:r>
        <w:rPr>
          <w:lang w:val="es-CR"/>
        </w:rPr>
        <w:t xml:space="preserve">, publicado en el Alcance </w:t>
      </w:r>
      <w:r w:rsidRPr="0049688E">
        <w:rPr>
          <w:lang w:val="es-CR"/>
        </w:rPr>
        <w:t>256 del Diario Oficial La Gaceta número 237 del día 21 de diciembre de 2023</w:t>
      </w:r>
      <w:r w:rsidR="00050991">
        <w:rPr>
          <w:lang w:val="es-CR"/>
        </w:rPr>
        <w:t>.</w:t>
      </w:r>
    </w:p>
  </w:footnote>
  <w:footnote w:id="4">
    <w:p w14:paraId="38E5FEAF" w14:textId="5D421435" w:rsidR="006240EA" w:rsidRPr="006240EA" w:rsidRDefault="006240EA" w:rsidP="00B26170">
      <w:pPr>
        <w:pStyle w:val="Textonotapie"/>
        <w:jc w:val="both"/>
        <w:rPr>
          <w:lang w:val="es-CR"/>
        </w:rPr>
      </w:pPr>
      <w:r>
        <w:rPr>
          <w:rStyle w:val="Refdenotaalpie"/>
        </w:rPr>
        <w:footnoteRef/>
      </w:r>
      <w:r>
        <w:t xml:space="preserve"> </w:t>
      </w:r>
      <w:r w:rsidRPr="006240EA">
        <w:t xml:space="preserve">Aprobado por el Consejo Nacional de Supervisión del Sistema Financiero, mediante Artículo 5, del Acta de la Sesión 1452-2018, celebrada el 16 de octubre del 2018. Publicado en el Alcance 192 </w:t>
      </w:r>
      <w:r w:rsidR="00177090" w:rsidRPr="006240EA">
        <w:t>del diario</w:t>
      </w:r>
      <w:r w:rsidRPr="006240EA">
        <w:t xml:space="preserve"> oficial La Gaceta del 02 de noviembre del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9F05" w14:textId="40C327A0" w:rsidR="0075244F" w:rsidRDefault="0067350A" w:rsidP="0075244F">
    <w:pPr>
      <w:pStyle w:val="Encabezado"/>
      <w:rPr>
        <w:sz w:val="22"/>
      </w:rPr>
    </w:pPr>
    <w:r>
      <w:rPr>
        <w:noProof/>
      </w:rPr>
      <w:drawing>
        <wp:anchor distT="0" distB="0" distL="114300" distR="114300" simplePos="0" relativeHeight="251658240" behindDoc="1" locked="0" layoutInCell="1" allowOverlap="1" wp14:anchorId="171EB96E" wp14:editId="46F95A2E">
          <wp:simplePos x="0" y="0"/>
          <wp:positionH relativeFrom="margin">
            <wp:align>right</wp:align>
          </wp:positionH>
          <wp:positionV relativeFrom="paragraph">
            <wp:posOffset>-39163</wp:posOffset>
          </wp:positionV>
          <wp:extent cx="866140" cy="567690"/>
          <wp:effectExtent l="0" t="0" r="0" b="381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anchor>
      </w:drawing>
    </w:r>
    <w:r w:rsidR="0075244F">
      <w:rPr>
        <w:noProof/>
      </w:rPr>
      <w:drawing>
        <wp:anchor distT="0" distB="0" distL="114300" distR="114300" simplePos="0" relativeHeight="251658243" behindDoc="0" locked="0" layoutInCell="1" allowOverlap="1" wp14:anchorId="25BC8F12" wp14:editId="504BE568">
          <wp:simplePos x="0" y="0"/>
          <wp:positionH relativeFrom="column">
            <wp:posOffset>-185420</wp:posOffset>
          </wp:positionH>
          <wp:positionV relativeFrom="paragraph">
            <wp:posOffset>-227330</wp:posOffset>
          </wp:positionV>
          <wp:extent cx="1931035" cy="742950"/>
          <wp:effectExtent l="0" t="0" r="0" b="0"/>
          <wp:wrapSquare wrapText="bothSides"/>
          <wp:docPr id="5" name="Imagen 5"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 dibujo animado con letr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p>
  <w:p w14:paraId="21661595" w14:textId="54094906" w:rsidR="00D766AB" w:rsidRDefault="00D766AB" w:rsidP="00D766AB">
    <w:pPr>
      <w:pStyle w:val="Encabezado"/>
    </w:pPr>
    <w:r>
      <w:tab/>
    </w:r>
    <w:r>
      <w:tab/>
    </w:r>
  </w:p>
  <w:p w14:paraId="6456A6E1" w14:textId="7C228A8A" w:rsidR="00D766AB" w:rsidRDefault="00D766AB" w:rsidP="00D766AB">
    <w:pPr>
      <w:pStyle w:val="Encabezado"/>
    </w:pPr>
  </w:p>
  <w:p w14:paraId="5429CDC9" w14:textId="77777777" w:rsidR="0075244F" w:rsidRPr="00310D45" w:rsidRDefault="0075244F" w:rsidP="00D766AB">
    <w:pPr>
      <w:pStyle w:val="Encabezado"/>
    </w:pPr>
  </w:p>
  <w:p w14:paraId="6F7D6A1C" w14:textId="4DC12E17"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1B1335">
      <w:rPr>
        <w:b/>
        <w:i/>
        <w:noProof/>
        <w:szCs w:val="24"/>
      </w:rPr>
      <w:t>SP-A-275-2024</w:t>
    </w:r>
    <w:r w:rsidRPr="00092B79">
      <w:rPr>
        <w:b/>
        <w:i/>
        <w:noProof/>
        <w:szCs w:val="24"/>
      </w:rPr>
      <w:fldChar w:fldCharType="end"/>
    </w:r>
  </w:p>
  <w:p w14:paraId="395CB880"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351EC883" w14:textId="77777777" w:rsidR="00722522" w:rsidRPr="00DC38D9" w:rsidRDefault="00722522"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F333" w14:textId="22B60987" w:rsidR="000F575B" w:rsidRDefault="000F575B" w:rsidP="000F575B">
    <w:pPr>
      <w:pStyle w:val="Encabezado"/>
      <w:rPr>
        <w:sz w:val="22"/>
      </w:rPr>
    </w:pPr>
    <w:r>
      <w:rPr>
        <w:noProof/>
        <w:sz w:val="22"/>
      </w:rPr>
      <w:drawing>
        <wp:anchor distT="0" distB="0" distL="114300" distR="114300" simplePos="0" relativeHeight="251658242" behindDoc="0" locked="0" layoutInCell="1" allowOverlap="1" wp14:anchorId="1386F05F" wp14:editId="2BFBC94B">
          <wp:simplePos x="0" y="0"/>
          <wp:positionH relativeFrom="column">
            <wp:posOffset>-185420</wp:posOffset>
          </wp:positionH>
          <wp:positionV relativeFrom="paragraph">
            <wp:posOffset>-227330</wp:posOffset>
          </wp:positionV>
          <wp:extent cx="1931035" cy="742950"/>
          <wp:effectExtent l="0" t="0" r="0" b="0"/>
          <wp:wrapSquare wrapText="bothSides"/>
          <wp:docPr id="4" name="Imagen 4"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58241" behindDoc="1" locked="0" layoutInCell="1" allowOverlap="1" wp14:anchorId="3AC02695" wp14:editId="4D1628C3">
          <wp:simplePos x="0" y="0"/>
          <wp:positionH relativeFrom="margin">
            <wp:align>right</wp:align>
          </wp:positionH>
          <wp:positionV relativeFrom="paragraph">
            <wp:posOffset>-127635</wp:posOffset>
          </wp:positionV>
          <wp:extent cx="901700" cy="585470"/>
          <wp:effectExtent l="0" t="0" r="0" b="508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agen de la pantalla de un celular con letras&#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585470"/>
                  </a:xfrm>
                  <a:prstGeom prst="rect">
                    <a:avLst/>
                  </a:prstGeom>
                  <a:noFill/>
                </pic:spPr>
              </pic:pic>
            </a:graphicData>
          </a:graphic>
          <wp14:sizeRelH relativeFrom="page">
            <wp14:pctWidth>0</wp14:pctWidth>
          </wp14:sizeRelH>
          <wp14:sizeRelV relativeFrom="page">
            <wp14:pctHeight>0</wp14:pctHeight>
          </wp14:sizeRelV>
        </wp:anchor>
      </w:drawing>
    </w:r>
  </w:p>
  <w:p w14:paraId="611CA9B7" w14:textId="5337821A" w:rsidR="00F44087" w:rsidRPr="000F575B" w:rsidRDefault="00F44087" w:rsidP="000F57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E3D59"/>
    <w:multiLevelType w:val="hybridMultilevel"/>
    <w:tmpl w:val="41E69FB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52997C8B"/>
    <w:multiLevelType w:val="hybridMultilevel"/>
    <w:tmpl w:val="7E26DA6A"/>
    <w:lvl w:ilvl="0" w:tplc="30C0C24C">
      <w:start w:val="9"/>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 w15:restartNumberingAfterBreak="0">
    <w:nsid w:val="5A0A702A"/>
    <w:multiLevelType w:val="hybridMultilevel"/>
    <w:tmpl w:val="AE440E6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53201348">
    <w:abstractNumId w:val="0"/>
  </w:num>
  <w:num w:numId="2" w16cid:durableId="686322998">
    <w:abstractNumId w:val="2"/>
  </w:num>
  <w:num w:numId="3" w16cid:durableId="928345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5"/>
    <w:rsid w:val="00006235"/>
    <w:rsid w:val="00011FAB"/>
    <w:rsid w:val="00020E53"/>
    <w:rsid w:val="00021ADD"/>
    <w:rsid w:val="00041856"/>
    <w:rsid w:val="000421CB"/>
    <w:rsid w:val="00050991"/>
    <w:rsid w:val="0006650E"/>
    <w:rsid w:val="0008410F"/>
    <w:rsid w:val="00092B79"/>
    <w:rsid w:val="00095A2B"/>
    <w:rsid w:val="000B4A54"/>
    <w:rsid w:val="000D7C04"/>
    <w:rsid w:val="000E18F1"/>
    <w:rsid w:val="000F20BC"/>
    <w:rsid w:val="000F575B"/>
    <w:rsid w:val="000F5D8B"/>
    <w:rsid w:val="00103734"/>
    <w:rsid w:val="00103D63"/>
    <w:rsid w:val="00107ED5"/>
    <w:rsid w:val="00122E4C"/>
    <w:rsid w:val="00125E6E"/>
    <w:rsid w:val="00147A09"/>
    <w:rsid w:val="00150DFA"/>
    <w:rsid w:val="00150F76"/>
    <w:rsid w:val="0015129D"/>
    <w:rsid w:val="001572C1"/>
    <w:rsid w:val="00163777"/>
    <w:rsid w:val="00177090"/>
    <w:rsid w:val="001B1335"/>
    <w:rsid w:val="001B67E6"/>
    <w:rsid w:val="001D18BF"/>
    <w:rsid w:val="001D2487"/>
    <w:rsid w:val="001D3394"/>
    <w:rsid w:val="001D53C1"/>
    <w:rsid w:val="001E5614"/>
    <w:rsid w:val="001E566A"/>
    <w:rsid w:val="002019F7"/>
    <w:rsid w:val="00204052"/>
    <w:rsid w:val="002073B7"/>
    <w:rsid w:val="002257D1"/>
    <w:rsid w:val="00261F6E"/>
    <w:rsid w:val="00262F5C"/>
    <w:rsid w:val="0026796D"/>
    <w:rsid w:val="00277C51"/>
    <w:rsid w:val="00287644"/>
    <w:rsid w:val="00291B81"/>
    <w:rsid w:val="00295482"/>
    <w:rsid w:val="00296E32"/>
    <w:rsid w:val="002A3368"/>
    <w:rsid w:val="002C4C8C"/>
    <w:rsid w:val="002C53C2"/>
    <w:rsid w:val="002F0201"/>
    <w:rsid w:val="002F0CD8"/>
    <w:rsid w:val="00303B4A"/>
    <w:rsid w:val="00305EDC"/>
    <w:rsid w:val="00310D45"/>
    <w:rsid w:val="003126EF"/>
    <w:rsid w:val="00312ED5"/>
    <w:rsid w:val="003155C5"/>
    <w:rsid w:val="0031671E"/>
    <w:rsid w:val="0031679D"/>
    <w:rsid w:val="003262D5"/>
    <w:rsid w:val="0033CB39"/>
    <w:rsid w:val="00343A6C"/>
    <w:rsid w:val="00347408"/>
    <w:rsid w:val="00347829"/>
    <w:rsid w:val="00357B6C"/>
    <w:rsid w:val="003621B6"/>
    <w:rsid w:val="00366A49"/>
    <w:rsid w:val="00367D67"/>
    <w:rsid w:val="003708F8"/>
    <w:rsid w:val="00373A1D"/>
    <w:rsid w:val="00377CEE"/>
    <w:rsid w:val="0038582B"/>
    <w:rsid w:val="00387CD6"/>
    <w:rsid w:val="00395330"/>
    <w:rsid w:val="003A06F4"/>
    <w:rsid w:val="003A7392"/>
    <w:rsid w:val="003B0469"/>
    <w:rsid w:val="003B667F"/>
    <w:rsid w:val="003C68AD"/>
    <w:rsid w:val="003C6AEE"/>
    <w:rsid w:val="003D35CA"/>
    <w:rsid w:val="003F5F31"/>
    <w:rsid w:val="003F77E9"/>
    <w:rsid w:val="00403FB2"/>
    <w:rsid w:val="00413B95"/>
    <w:rsid w:val="00427177"/>
    <w:rsid w:val="0042790D"/>
    <w:rsid w:val="00432490"/>
    <w:rsid w:val="0045287A"/>
    <w:rsid w:val="004565B1"/>
    <w:rsid w:val="00462383"/>
    <w:rsid w:val="00463B35"/>
    <w:rsid w:val="00464393"/>
    <w:rsid w:val="00464478"/>
    <w:rsid w:val="00477218"/>
    <w:rsid w:val="00482AF9"/>
    <w:rsid w:val="00484927"/>
    <w:rsid w:val="004953CB"/>
    <w:rsid w:val="0049688E"/>
    <w:rsid w:val="00496D4E"/>
    <w:rsid w:val="004A2C15"/>
    <w:rsid w:val="004B3D1D"/>
    <w:rsid w:val="004F21B2"/>
    <w:rsid w:val="004F5BE8"/>
    <w:rsid w:val="0050511E"/>
    <w:rsid w:val="00507921"/>
    <w:rsid w:val="00510B84"/>
    <w:rsid w:val="0052130D"/>
    <w:rsid w:val="00523B8A"/>
    <w:rsid w:val="005429B7"/>
    <w:rsid w:val="005672CA"/>
    <w:rsid w:val="0058753F"/>
    <w:rsid w:val="0059081B"/>
    <w:rsid w:val="00594A6E"/>
    <w:rsid w:val="005A55A4"/>
    <w:rsid w:val="005C18F6"/>
    <w:rsid w:val="005D0E59"/>
    <w:rsid w:val="005E0713"/>
    <w:rsid w:val="005E4A8B"/>
    <w:rsid w:val="00612928"/>
    <w:rsid w:val="00621251"/>
    <w:rsid w:val="006240EA"/>
    <w:rsid w:val="00630614"/>
    <w:rsid w:val="00640B09"/>
    <w:rsid w:val="00646F00"/>
    <w:rsid w:val="0066315C"/>
    <w:rsid w:val="0067350A"/>
    <w:rsid w:val="006803D3"/>
    <w:rsid w:val="0069087E"/>
    <w:rsid w:val="006B6689"/>
    <w:rsid w:val="006C5791"/>
    <w:rsid w:val="006D2DF9"/>
    <w:rsid w:val="006D5B49"/>
    <w:rsid w:val="006F5308"/>
    <w:rsid w:val="006F787D"/>
    <w:rsid w:val="007016E7"/>
    <w:rsid w:val="00702D7C"/>
    <w:rsid w:val="00716A66"/>
    <w:rsid w:val="00722522"/>
    <w:rsid w:val="00732D8B"/>
    <w:rsid w:val="0074361A"/>
    <w:rsid w:val="00747055"/>
    <w:rsid w:val="0075244F"/>
    <w:rsid w:val="00754F88"/>
    <w:rsid w:val="00755CE4"/>
    <w:rsid w:val="00762E69"/>
    <w:rsid w:val="00763296"/>
    <w:rsid w:val="0076656D"/>
    <w:rsid w:val="00793E0C"/>
    <w:rsid w:val="0079478E"/>
    <w:rsid w:val="007B253B"/>
    <w:rsid w:val="007D4D6B"/>
    <w:rsid w:val="007D711F"/>
    <w:rsid w:val="007E7168"/>
    <w:rsid w:val="007F7A13"/>
    <w:rsid w:val="008051AB"/>
    <w:rsid w:val="00826EC1"/>
    <w:rsid w:val="008308B4"/>
    <w:rsid w:val="00832382"/>
    <w:rsid w:val="00841E75"/>
    <w:rsid w:val="00851CCD"/>
    <w:rsid w:val="0086042B"/>
    <w:rsid w:val="00880633"/>
    <w:rsid w:val="00883CCF"/>
    <w:rsid w:val="008A098B"/>
    <w:rsid w:val="008A59B7"/>
    <w:rsid w:val="008A5C3A"/>
    <w:rsid w:val="008B4B63"/>
    <w:rsid w:val="008E076A"/>
    <w:rsid w:val="008E24A2"/>
    <w:rsid w:val="008E7D4F"/>
    <w:rsid w:val="008F0BF2"/>
    <w:rsid w:val="0090367F"/>
    <w:rsid w:val="00904915"/>
    <w:rsid w:val="00932536"/>
    <w:rsid w:val="009332DB"/>
    <w:rsid w:val="009337E9"/>
    <w:rsid w:val="00952852"/>
    <w:rsid w:val="009536A5"/>
    <w:rsid w:val="00957923"/>
    <w:rsid w:val="00964488"/>
    <w:rsid w:val="00967B19"/>
    <w:rsid w:val="00980E25"/>
    <w:rsid w:val="00983294"/>
    <w:rsid w:val="009840D3"/>
    <w:rsid w:val="009901AA"/>
    <w:rsid w:val="0099069F"/>
    <w:rsid w:val="009913CA"/>
    <w:rsid w:val="009A4709"/>
    <w:rsid w:val="009B2539"/>
    <w:rsid w:val="009B3671"/>
    <w:rsid w:val="009B475A"/>
    <w:rsid w:val="009E6DB2"/>
    <w:rsid w:val="009E7CAD"/>
    <w:rsid w:val="009F222B"/>
    <w:rsid w:val="009F7C79"/>
    <w:rsid w:val="00A0168D"/>
    <w:rsid w:val="00A01EEA"/>
    <w:rsid w:val="00A1061A"/>
    <w:rsid w:val="00A1156B"/>
    <w:rsid w:val="00A17C0F"/>
    <w:rsid w:val="00A241E6"/>
    <w:rsid w:val="00A47569"/>
    <w:rsid w:val="00A4778B"/>
    <w:rsid w:val="00A50C81"/>
    <w:rsid w:val="00A60740"/>
    <w:rsid w:val="00A60911"/>
    <w:rsid w:val="00A6542C"/>
    <w:rsid w:val="00A659F8"/>
    <w:rsid w:val="00AA68D5"/>
    <w:rsid w:val="00AB116C"/>
    <w:rsid w:val="00AD10D3"/>
    <w:rsid w:val="00AD5E66"/>
    <w:rsid w:val="00AD6B66"/>
    <w:rsid w:val="00AD785B"/>
    <w:rsid w:val="00AD78C0"/>
    <w:rsid w:val="00AF3B9B"/>
    <w:rsid w:val="00AF7580"/>
    <w:rsid w:val="00B03165"/>
    <w:rsid w:val="00B20060"/>
    <w:rsid w:val="00B26170"/>
    <w:rsid w:val="00B354DD"/>
    <w:rsid w:val="00B53193"/>
    <w:rsid w:val="00B55BAB"/>
    <w:rsid w:val="00B65E0E"/>
    <w:rsid w:val="00B849CB"/>
    <w:rsid w:val="00B9024C"/>
    <w:rsid w:val="00BA79F7"/>
    <w:rsid w:val="00BC61B4"/>
    <w:rsid w:val="00BD5F5A"/>
    <w:rsid w:val="00BE078A"/>
    <w:rsid w:val="00BF0791"/>
    <w:rsid w:val="00C015B1"/>
    <w:rsid w:val="00C52E27"/>
    <w:rsid w:val="00C542B8"/>
    <w:rsid w:val="00C64F66"/>
    <w:rsid w:val="00C760A6"/>
    <w:rsid w:val="00C90A71"/>
    <w:rsid w:val="00C934DF"/>
    <w:rsid w:val="00C947D1"/>
    <w:rsid w:val="00CA16C2"/>
    <w:rsid w:val="00CA75A4"/>
    <w:rsid w:val="00CC0335"/>
    <w:rsid w:val="00CC24BF"/>
    <w:rsid w:val="00CD5928"/>
    <w:rsid w:val="00CF51F2"/>
    <w:rsid w:val="00CF5644"/>
    <w:rsid w:val="00D029E6"/>
    <w:rsid w:val="00D0661A"/>
    <w:rsid w:val="00D06B7D"/>
    <w:rsid w:val="00D350B3"/>
    <w:rsid w:val="00D440C1"/>
    <w:rsid w:val="00D61945"/>
    <w:rsid w:val="00D70299"/>
    <w:rsid w:val="00D766AB"/>
    <w:rsid w:val="00D80206"/>
    <w:rsid w:val="00D86CC1"/>
    <w:rsid w:val="00DA3FC7"/>
    <w:rsid w:val="00DA5F5C"/>
    <w:rsid w:val="00DB4D1D"/>
    <w:rsid w:val="00DC38D9"/>
    <w:rsid w:val="00DD5D88"/>
    <w:rsid w:val="00DD729A"/>
    <w:rsid w:val="00DE344F"/>
    <w:rsid w:val="00DE4301"/>
    <w:rsid w:val="00E17F0F"/>
    <w:rsid w:val="00E31175"/>
    <w:rsid w:val="00E42EFF"/>
    <w:rsid w:val="00E5085F"/>
    <w:rsid w:val="00E95D96"/>
    <w:rsid w:val="00EA0753"/>
    <w:rsid w:val="00EA1A49"/>
    <w:rsid w:val="00EA6D7D"/>
    <w:rsid w:val="00EC1B04"/>
    <w:rsid w:val="00EC31CD"/>
    <w:rsid w:val="00EC3A7A"/>
    <w:rsid w:val="00EE58B8"/>
    <w:rsid w:val="00EF04B3"/>
    <w:rsid w:val="00F37C1A"/>
    <w:rsid w:val="00F432E8"/>
    <w:rsid w:val="00F44087"/>
    <w:rsid w:val="00F45755"/>
    <w:rsid w:val="00F51952"/>
    <w:rsid w:val="00F560CF"/>
    <w:rsid w:val="00F57041"/>
    <w:rsid w:val="00F64ED0"/>
    <w:rsid w:val="00F74375"/>
    <w:rsid w:val="00F7760F"/>
    <w:rsid w:val="00F80FC5"/>
    <w:rsid w:val="00F82064"/>
    <w:rsid w:val="00FA69D2"/>
    <w:rsid w:val="00FC5AAD"/>
    <w:rsid w:val="00FD4503"/>
    <w:rsid w:val="00FD6C5B"/>
    <w:rsid w:val="00FE2C34"/>
    <w:rsid w:val="00FF7142"/>
    <w:rsid w:val="0156B413"/>
    <w:rsid w:val="026E100E"/>
    <w:rsid w:val="031E1582"/>
    <w:rsid w:val="03E6F1CB"/>
    <w:rsid w:val="05625381"/>
    <w:rsid w:val="05F915E2"/>
    <w:rsid w:val="08391EDE"/>
    <w:rsid w:val="0959CEBB"/>
    <w:rsid w:val="0BD50904"/>
    <w:rsid w:val="0C1013E1"/>
    <w:rsid w:val="0E1742A2"/>
    <w:rsid w:val="107C922A"/>
    <w:rsid w:val="13FDDEBC"/>
    <w:rsid w:val="1436BD1B"/>
    <w:rsid w:val="15CD550B"/>
    <w:rsid w:val="16DC14FF"/>
    <w:rsid w:val="174763DC"/>
    <w:rsid w:val="17863453"/>
    <w:rsid w:val="179402A3"/>
    <w:rsid w:val="196810F9"/>
    <w:rsid w:val="19DA9C39"/>
    <w:rsid w:val="1B5029D6"/>
    <w:rsid w:val="1D7489FE"/>
    <w:rsid w:val="1D85C77E"/>
    <w:rsid w:val="1DCBF324"/>
    <w:rsid w:val="1E50D14A"/>
    <w:rsid w:val="1ECC9DFC"/>
    <w:rsid w:val="1F525AFF"/>
    <w:rsid w:val="2093B3C4"/>
    <w:rsid w:val="21D0C096"/>
    <w:rsid w:val="24E05F4A"/>
    <w:rsid w:val="25394637"/>
    <w:rsid w:val="269A0E8A"/>
    <w:rsid w:val="298D76B4"/>
    <w:rsid w:val="29A8D7EF"/>
    <w:rsid w:val="2B58040A"/>
    <w:rsid w:val="2BE025A4"/>
    <w:rsid w:val="2C3E3522"/>
    <w:rsid w:val="2C7E8082"/>
    <w:rsid w:val="2EEE9AAC"/>
    <w:rsid w:val="2F34AE6A"/>
    <w:rsid w:val="308ABB97"/>
    <w:rsid w:val="318B30DA"/>
    <w:rsid w:val="31DFB578"/>
    <w:rsid w:val="31E75354"/>
    <w:rsid w:val="34452DB2"/>
    <w:rsid w:val="3476C08B"/>
    <w:rsid w:val="35953CE5"/>
    <w:rsid w:val="36A1AC1A"/>
    <w:rsid w:val="397C14B2"/>
    <w:rsid w:val="3A13E97C"/>
    <w:rsid w:val="3AF29F7A"/>
    <w:rsid w:val="3B5A9B1C"/>
    <w:rsid w:val="3BA6B3AE"/>
    <w:rsid w:val="3BF3AF48"/>
    <w:rsid w:val="415FBBB5"/>
    <w:rsid w:val="42E7CF40"/>
    <w:rsid w:val="454E434D"/>
    <w:rsid w:val="46295330"/>
    <w:rsid w:val="476BB47C"/>
    <w:rsid w:val="47936BFE"/>
    <w:rsid w:val="492F5087"/>
    <w:rsid w:val="4951B0BA"/>
    <w:rsid w:val="4BACCFDE"/>
    <w:rsid w:val="4D3DA4D4"/>
    <w:rsid w:val="4DD67406"/>
    <w:rsid w:val="4E1AB557"/>
    <w:rsid w:val="4ED6597C"/>
    <w:rsid w:val="4F9197DC"/>
    <w:rsid w:val="4FAD3A4A"/>
    <w:rsid w:val="4FDAF99F"/>
    <w:rsid w:val="4FFA8967"/>
    <w:rsid w:val="51784C2F"/>
    <w:rsid w:val="52CEC74E"/>
    <w:rsid w:val="52D0D4D7"/>
    <w:rsid w:val="536D3680"/>
    <w:rsid w:val="552C3F87"/>
    <w:rsid w:val="56989E4D"/>
    <w:rsid w:val="56F1AC46"/>
    <w:rsid w:val="5712EB91"/>
    <w:rsid w:val="5778F666"/>
    <w:rsid w:val="58448B7D"/>
    <w:rsid w:val="588D63FC"/>
    <w:rsid w:val="59F4135A"/>
    <w:rsid w:val="59FAC34D"/>
    <w:rsid w:val="5A6A3550"/>
    <w:rsid w:val="60F60941"/>
    <w:rsid w:val="62093C46"/>
    <w:rsid w:val="63996015"/>
    <w:rsid w:val="64997D79"/>
    <w:rsid w:val="67F29A37"/>
    <w:rsid w:val="699A2CD9"/>
    <w:rsid w:val="6AE41ACD"/>
    <w:rsid w:val="6B3082E2"/>
    <w:rsid w:val="6D63AF17"/>
    <w:rsid w:val="6E7528CC"/>
    <w:rsid w:val="6F20E963"/>
    <w:rsid w:val="6F290D6E"/>
    <w:rsid w:val="6F90DA12"/>
    <w:rsid w:val="70D6FE22"/>
    <w:rsid w:val="719BE58C"/>
    <w:rsid w:val="71D1E17F"/>
    <w:rsid w:val="73275170"/>
    <w:rsid w:val="736C7BF5"/>
    <w:rsid w:val="74274B19"/>
    <w:rsid w:val="75443265"/>
    <w:rsid w:val="75580B71"/>
    <w:rsid w:val="75BC98CE"/>
    <w:rsid w:val="77961B2B"/>
    <w:rsid w:val="77F2C902"/>
    <w:rsid w:val="78BAF1D3"/>
    <w:rsid w:val="78FEDCD9"/>
    <w:rsid w:val="79D61FB2"/>
    <w:rsid w:val="7EFA832C"/>
    <w:rsid w:val="7F34B16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5E0FF"/>
  <w15:docId w15:val="{557255B6-D4B3-4154-A1D8-9744409A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12ED5"/>
    <w:pPr>
      <w:spacing w:after="0" w:line="276" w:lineRule="auto"/>
      <w:jc w:val="center"/>
    </w:pPr>
    <w:rPr>
      <w:rFonts w:ascii="Times New Roman" w:hAnsi="Times New Roman"/>
      <w:b/>
      <w:bCs/>
      <w:sz w:val="24"/>
    </w:rPr>
  </w:style>
  <w:style w:type="character" w:customStyle="1" w:styleId="SupenEncabezadoCar">
    <w:name w:val="Supen_Encabezado Car"/>
    <w:basedOn w:val="Fuentedeprrafopredeter"/>
    <w:link w:val="SupenEncabezado"/>
    <w:rsid w:val="00312ED5"/>
    <w:rPr>
      <w:rFonts w:ascii="Times New Roman" w:hAnsi="Times New Roman"/>
      <w:b/>
      <w:bCs/>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E24A2"/>
    <w:pPr>
      <w:spacing w:line="240" w:lineRule="auto"/>
    </w:pPr>
    <w:rPr>
      <w:sz w:val="20"/>
      <w:szCs w:val="20"/>
    </w:rPr>
  </w:style>
  <w:style w:type="character" w:customStyle="1" w:styleId="TextonotapieCar">
    <w:name w:val="Texto nota pie Car"/>
    <w:basedOn w:val="Fuentedeprrafopredeter"/>
    <w:link w:val="Textonotapie"/>
    <w:uiPriority w:val="99"/>
    <w:semiHidden/>
    <w:rsid w:val="008E24A2"/>
    <w:rPr>
      <w:rFonts w:ascii="Times New Roman" w:hAnsi="Times New Roman"/>
      <w:sz w:val="20"/>
      <w:szCs w:val="20"/>
    </w:rPr>
  </w:style>
  <w:style w:type="character" w:styleId="Refdenotaalpie">
    <w:name w:val="footnote reference"/>
    <w:basedOn w:val="Fuentedeprrafopredeter"/>
    <w:uiPriority w:val="99"/>
    <w:semiHidden/>
    <w:unhideWhenUsed/>
    <w:rsid w:val="008E24A2"/>
    <w:rPr>
      <w:vertAlign w:val="superscript"/>
    </w:rPr>
  </w:style>
  <w:style w:type="paragraph" w:styleId="Prrafodelista">
    <w:name w:val="List Paragraph"/>
    <w:basedOn w:val="Normal"/>
    <w:uiPriority w:val="34"/>
    <w:qFormat/>
    <w:rsid w:val="008E24A2"/>
    <w:pPr>
      <w:ind w:left="720"/>
      <w:contextualSpacing/>
    </w:pPr>
  </w:style>
  <w:style w:type="paragraph" w:styleId="Revisin">
    <w:name w:val="Revision"/>
    <w:hidden/>
    <w:uiPriority w:val="99"/>
    <w:semiHidden/>
    <w:rsid w:val="00464478"/>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716A66"/>
    <w:rPr>
      <w:sz w:val="16"/>
      <w:szCs w:val="16"/>
    </w:rPr>
  </w:style>
  <w:style w:type="paragraph" w:styleId="Textocomentario">
    <w:name w:val="annotation text"/>
    <w:basedOn w:val="Normal"/>
    <w:link w:val="TextocomentarioCar"/>
    <w:uiPriority w:val="99"/>
    <w:unhideWhenUsed/>
    <w:rsid w:val="00716A66"/>
    <w:pPr>
      <w:spacing w:line="240" w:lineRule="auto"/>
    </w:pPr>
    <w:rPr>
      <w:sz w:val="20"/>
      <w:szCs w:val="20"/>
    </w:rPr>
  </w:style>
  <w:style w:type="character" w:customStyle="1" w:styleId="TextocomentarioCar">
    <w:name w:val="Texto comentario Car"/>
    <w:basedOn w:val="Fuentedeprrafopredeter"/>
    <w:link w:val="Textocomentario"/>
    <w:uiPriority w:val="99"/>
    <w:rsid w:val="00716A66"/>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716A66"/>
    <w:rPr>
      <w:b/>
      <w:bCs/>
    </w:rPr>
  </w:style>
  <w:style w:type="character" w:customStyle="1" w:styleId="AsuntodelcomentarioCar">
    <w:name w:val="Asunto del comentario Car"/>
    <w:basedOn w:val="TextocomentarioCar"/>
    <w:link w:val="Asuntodelcomentario"/>
    <w:uiPriority w:val="99"/>
    <w:semiHidden/>
    <w:rsid w:val="00716A66"/>
    <w:rPr>
      <w:rFonts w:ascii="Times New Roman" w:hAnsi="Times New Roman"/>
      <w:b/>
      <w:bCs/>
      <w:sz w:val="20"/>
      <w:szCs w:val="20"/>
    </w:rPr>
  </w:style>
  <w:style w:type="character" w:styleId="Mencionar">
    <w:name w:val="Mention"/>
    <w:basedOn w:val="Fuentedeprrafopredeter"/>
    <w:uiPriority w:val="99"/>
    <w:unhideWhenUsed/>
    <w:rsid w:val="000F5D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636834056">
      <w:bodyDiv w:val="1"/>
      <w:marLeft w:val="0"/>
      <w:marRight w:val="0"/>
      <w:marTop w:val="0"/>
      <w:marBottom w:val="0"/>
      <w:divBdr>
        <w:top w:val="none" w:sz="0" w:space="0" w:color="auto"/>
        <w:left w:val="none" w:sz="0" w:space="0" w:color="auto"/>
        <w:bottom w:val="none" w:sz="0" w:space="0" w:color="auto"/>
        <w:right w:val="none" w:sz="0" w:space="0" w:color="auto"/>
      </w:divBdr>
    </w:div>
    <w:div w:id="728110239">
      <w:bodyDiv w:val="1"/>
      <w:marLeft w:val="0"/>
      <w:marRight w:val="0"/>
      <w:marTop w:val="0"/>
      <w:marBottom w:val="0"/>
      <w:divBdr>
        <w:top w:val="none" w:sz="0" w:space="0" w:color="auto"/>
        <w:left w:val="none" w:sz="0" w:space="0" w:color="auto"/>
        <w:bottom w:val="none" w:sz="0" w:space="0" w:color="auto"/>
        <w:right w:val="none" w:sz="0" w:space="0" w:color="auto"/>
      </w:divBdr>
    </w:div>
    <w:div w:id="1092044696">
      <w:bodyDiv w:val="1"/>
      <w:marLeft w:val="0"/>
      <w:marRight w:val="0"/>
      <w:marTop w:val="0"/>
      <w:marBottom w:val="0"/>
      <w:divBdr>
        <w:top w:val="none" w:sz="0" w:space="0" w:color="auto"/>
        <w:left w:val="none" w:sz="0" w:space="0" w:color="auto"/>
        <w:bottom w:val="none" w:sz="0" w:space="0" w:color="auto"/>
        <w:right w:val="none" w:sz="0" w:space="0" w:color="auto"/>
      </w:divBdr>
    </w:div>
    <w:div w:id="1237473346">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448770549">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20Usuarios\ROJASVI\Downloads\Script_plantillas_SUPEN_V2\archivo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33B443C32D4BBA84994ED17141131F"/>
        <w:category>
          <w:name w:val="General"/>
          <w:gallery w:val="placeholder"/>
        </w:category>
        <w:types>
          <w:type w:val="bbPlcHdr"/>
        </w:types>
        <w:behaviors>
          <w:behavior w:val="content"/>
        </w:behaviors>
        <w:guid w:val="{E8139BC8-58F5-4BA5-B464-A4761809EBEB}"/>
      </w:docPartPr>
      <w:docPartBody>
        <w:p w:rsidR="001B4880" w:rsidRDefault="001B4880">
          <w:pPr>
            <w:pStyle w:val="5133B443C32D4BBA84994ED17141131F"/>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80"/>
    <w:rsid w:val="00006235"/>
    <w:rsid w:val="001173B8"/>
    <w:rsid w:val="001B4880"/>
    <w:rsid w:val="00287644"/>
    <w:rsid w:val="00297D9C"/>
    <w:rsid w:val="002C53C2"/>
    <w:rsid w:val="003F09B8"/>
    <w:rsid w:val="004D32CB"/>
    <w:rsid w:val="004F46CD"/>
    <w:rsid w:val="005672CA"/>
    <w:rsid w:val="00612928"/>
    <w:rsid w:val="007016E7"/>
    <w:rsid w:val="0099069F"/>
    <w:rsid w:val="00AD5E66"/>
    <w:rsid w:val="00C10C03"/>
    <w:rsid w:val="00E31175"/>
    <w:rsid w:val="00E75271"/>
    <w:rsid w:val="00FC5AAD"/>
    <w:rsid w:val="00FD6C5B"/>
    <w:rsid w:val="00FE2C34"/>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133B443C32D4BBA84994ED17141131F">
    <w:name w:val="5133B443C32D4BBA84994ED17141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12" ma:contentTypeDescription="Crear nuevo documento." ma:contentTypeScope="" ma:versionID="a945832557d5e673ba538895661b2184">
  <xsd:schema xmlns:xsd="http://www.w3.org/2001/XMLSchema" xmlns:xs="http://www.w3.org/2001/XMLSchema" xmlns:p="http://schemas.microsoft.com/office/2006/metadata/properties" xmlns:ns2="6c2d2cf2-004b-47d1-b91d-f9a62dc21bae" targetNamespace="http://schemas.microsoft.com/office/2006/metadata/properties" ma:root="true" ma:fieldsID="b03584399eea7ffbf5501e739af43d82"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element ref="ns2:MediaServiceObjectDetectorVersions" minOccurs="0"/>
                <xsd:element ref="ns2:Estado" minOccurs="0"/>
                <xsd:element ref="ns2:IdEvento" minOccurs="0"/>
                <xsd:element ref="ns2:IdSes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2" nillable="true" ma:displayName="Estado" ma:indexed="true" ma:internalName="Estado">
      <xsd:simpleType>
        <xsd:restriction base="dms:Text">
          <xsd:maxLength value="255"/>
        </xsd:restriction>
      </xsd:simpleType>
    </xsd:element>
    <xsd:element name="IdEvento" ma:index="13" nillable="true" ma:displayName="IdEvento" ma:indexed="true" ma:internalName="IdEvento">
      <xsd:simpleType>
        <xsd:restriction base="dms:Text">
          <xsd:maxLength value="255"/>
        </xsd:restriction>
      </xsd:simpleType>
    </xsd:element>
    <xsd:element name="IdSession" ma:index="14" nillable="true" ma:displayName="IdSession" ma:indexed="true" ma:internalName="IdSession">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Evento xmlns="6c2d2cf2-004b-47d1-b91d-f9a62dc21bae" xsi:nil="true"/>
    <IdSession xmlns="6c2d2cf2-004b-47d1-b91d-f9a62dc21bae" xsi:nil="true"/>
    <Estado xmlns="6c2d2cf2-004b-47d1-b91d-f9a62dc21bae" xsi:nil="true"/>
    <Evento xmlns="6c2d2cf2-004b-47d1-b91d-f9a62dc21bae">
      <Url>https://si.supen.fi.cr/Tramites/Tram_Detalle_Evento.aspx?evento=2024030660&amp;op=3</Url>
      <Description>2024030660</Description>
    </Evento>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customXml/itemProps2.xml><?xml version="1.0" encoding="utf-8"?>
<ds:datastoreItem xmlns:ds="http://schemas.openxmlformats.org/officeDocument/2006/customXml" ds:itemID="{F99B5072-CBD7-48C6-AC8B-12AFC287E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451BD-6067-48EB-80C7-A07A167F2540}">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 ds:uri="6ac3b616-3039-448c-a622-822692bef430"/>
    <ds:schemaRef ds:uri="ef69d38d-c069-47fd-a86d-65acf93227a5"/>
    <ds:schemaRef ds:uri="f98666fa-fc93-4cf2-9679-f47c1b2c9ba3"/>
    <ds:schemaRef ds:uri="http://purl.org/dc/terms/"/>
    <ds:schemaRef ds:uri="6c2d2cf2-004b-47d1-b91d-f9a62dc21bae"/>
  </ds:schemaRefs>
</ds:datastoreItem>
</file>

<file path=customXml/itemProps4.xml><?xml version="1.0" encoding="utf-8"?>
<ds:datastoreItem xmlns:ds="http://schemas.openxmlformats.org/officeDocument/2006/customXml" ds:itemID="{2EECF769-8B76-4092-BDAC-1E432D650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Machote SP-A Superintendente</Template>
  <TotalTime>1</TotalTime>
  <Pages>4</Pages>
  <Words>1299</Words>
  <Characters>7150</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2024SPA275.docx</dc:title>
  <dc:subject/>
  <dc:creator>ROJAS VALVERDE DIEGO ANTONIO</dc:creator>
  <cp:keywords/>
  <dc:description/>
  <cp:lastModifiedBy>RODRIGUEZ BOVIERI GIANFRANCO</cp:lastModifiedBy>
  <cp:revision>2</cp:revision>
  <cp:lastPrinted>2016-11-07T20:19:00Z</cp:lastPrinted>
  <dcterms:created xsi:type="dcterms:W3CDTF">2025-02-20T17:28:00Z</dcterms:created>
  <dcterms:modified xsi:type="dcterms:W3CDTF">2025-02-20T17:28:00Z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ClassificationContentMarkingFooterShapeIds">
    <vt:lpwstr>7d5548b,1c750ac0,2b1a87aa</vt:lpwstr>
  </property>
  <property fmtid="{D5CDD505-2E9C-101B-9397-08002B2CF9AE}" pid="4" name="ClassificationContentMarkingFooterFontProps">
    <vt:lpwstr>#000000,10,Calibri</vt:lpwstr>
  </property>
  <property fmtid="{D5CDD505-2E9C-101B-9397-08002B2CF9AE}" pid="5" name="ClassificationContentMarkingFooterText">
    <vt:lpwstr>Uso Interno</vt:lpwstr>
  </property>
  <property fmtid="{D5CDD505-2E9C-101B-9397-08002B2CF9AE}" pid="6" name="MSIP_Label_b8b4be34-365a-4a68-b9fb-75c1b6874315_Enabled">
    <vt:lpwstr>true</vt:lpwstr>
  </property>
  <property fmtid="{D5CDD505-2E9C-101B-9397-08002B2CF9AE}" pid="7" name="MSIP_Label_b8b4be34-365a-4a68-b9fb-75c1b6874315_SetDate">
    <vt:lpwstr>2024-12-19T20:10:25Z</vt:lpwstr>
  </property>
  <property fmtid="{D5CDD505-2E9C-101B-9397-08002B2CF9AE}" pid="8" name="MSIP_Label_b8b4be34-365a-4a68-b9fb-75c1b6874315_Method">
    <vt:lpwstr>Standard</vt:lpwstr>
  </property>
  <property fmtid="{D5CDD505-2E9C-101B-9397-08002B2CF9AE}" pid="9" name="MSIP_Label_b8b4be34-365a-4a68-b9fb-75c1b6874315_Name">
    <vt:lpwstr>b8b4be34-365a-4a68-b9fb-75c1b6874315</vt:lpwstr>
  </property>
  <property fmtid="{D5CDD505-2E9C-101B-9397-08002B2CF9AE}" pid="10" name="MSIP_Label_b8b4be34-365a-4a68-b9fb-75c1b6874315_SiteId">
    <vt:lpwstr>618d0a45-25a6-4618-9f80-8f70a435ee52</vt:lpwstr>
  </property>
  <property fmtid="{D5CDD505-2E9C-101B-9397-08002B2CF9AE}" pid="11" name="MSIP_Label_b8b4be34-365a-4a68-b9fb-75c1b6874315_ActionId">
    <vt:lpwstr>b959fe0d-d7e1-4801-b114-0a29819802ea</vt:lpwstr>
  </property>
  <property fmtid="{D5CDD505-2E9C-101B-9397-08002B2CF9AE}" pid="12" name="MSIP_Label_b8b4be34-365a-4a68-b9fb-75c1b6874315_ContentBits">
    <vt:lpwstr>2</vt:lpwstr>
  </property>
  <property fmtid="{D5CDD505-2E9C-101B-9397-08002B2CF9AE}" pid="13" name="MediaServiceImageTags">
    <vt:lpwstr/>
  </property>
</Properties>
</file>