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B224D" w14:textId="77777777" w:rsidR="00A4778B" w:rsidRDefault="00A4778B" w:rsidP="00570F1D">
      <w:pPr>
        <w:spacing w:line="240" w:lineRule="auto"/>
        <w:contextualSpacing/>
        <w:rPr>
          <w:sz w:val="22"/>
        </w:rPr>
      </w:pPr>
    </w:p>
    <w:p w14:paraId="3F6FCD66" w14:textId="77777777" w:rsidR="00B50BE6" w:rsidRDefault="00B50BE6" w:rsidP="00570F1D">
      <w:pPr>
        <w:spacing w:line="240" w:lineRule="auto"/>
        <w:contextualSpacing/>
        <w:rPr>
          <w:sz w:val="22"/>
        </w:rPr>
      </w:pPr>
    </w:p>
    <w:p w14:paraId="6B192E71" w14:textId="5CFC06B8" w:rsidR="00A4778B" w:rsidRPr="003814A7" w:rsidRDefault="00000000" w:rsidP="003814A7">
      <w:pPr>
        <w:pStyle w:val="SupenEncabezado"/>
        <w:rPr>
          <w:rStyle w:val="SupenEncabezadoCar"/>
          <w:b/>
          <w:bCs/>
        </w:rPr>
      </w:pPr>
      <w:sdt>
        <w:sdtPr>
          <w:rPr>
            <w:rStyle w:val="SupenEncabezadoCar"/>
            <w:b/>
            <w:bCs/>
          </w:rPr>
          <w:alias w:val="Código"/>
          <w:tag w:val="A"/>
          <w:id w:val="1991359848"/>
          <w:lock w:val="sdtLocked"/>
          <w:placeholder>
            <w:docPart w:val="5133B443C32D4BBA84994ED17141131F"/>
          </w:placeholder>
          <w:text/>
        </w:sdtPr>
        <w:sdtContent>
          <w:r w:rsidR="003814A7" w:rsidRPr="003814A7">
            <w:rPr>
              <w:rStyle w:val="SupenEncabezadoCar"/>
              <w:b/>
              <w:bCs/>
            </w:rPr>
            <w:t>SP-A-272-2024</w:t>
          </w:r>
        </w:sdtContent>
      </w:sdt>
    </w:p>
    <w:p w14:paraId="649BF242" w14:textId="4189CC99" w:rsidR="00FC1D8D" w:rsidRDefault="00FC1D8D" w:rsidP="00FC1D8D">
      <w:pPr>
        <w:pStyle w:val="paragraph"/>
        <w:spacing w:before="0" w:beforeAutospacing="0" w:after="0" w:afterAutospacing="0"/>
        <w:textAlignment w:val="baseline"/>
        <w:rPr>
          <w:rFonts w:ascii="Segoe UI" w:hAnsi="Segoe UI" w:cs="Segoe UI"/>
          <w:sz w:val="18"/>
          <w:szCs w:val="18"/>
        </w:rPr>
      </w:pPr>
    </w:p>
    <w:p w14:paraId="4DA9CB1B" w14:textId="77777777" w:rsidR="00570F1D" w:rsidRDefault="00FC1D8D" w:rsidP="00FC1D8D">
      <w:pPr>
        <w:spacing w:line="240" w:lineRule="auto"/>
        <w:contextualSpacing/>
        <w:jc w:val="center"/>
        <w:rPr>
          <w:lang w:val="es-CR"/>
        </w:rPr>
      </w:pPr>
      <w:r>
        <w:rPr>
          <w:lang w:val="es-CR"/>
        </w:rPr>
        <w:t>Reforma al Acuerdo SP-A-267</w:t>
      </w:r>
    </w:p>
    <w:p w14:paraId="05E1B1B0" w14:textId="77777777" w:rsidR="00FC1D8D" w:rsidRPr="00FC1D8D" w:rsidRDefault="00FC1D8D" w:rsidP="00570F1D">
      <w:pPr>
        <w:spacing w:line="240" w:lineRule="auto"/>
        <w:contextualSpacing/>
        <w:rPr>
          <w:lang w:val="es-CR"/>
        </w:rPr>
      </w:pPr>
    </w:p>
    <w:p w14:paraId="170FCAE3" w14:textId="77777777" w:rsidR="00313944" w:rsidRPr="00596FC5" w:rsidRDefault="00313944" w:rsidP="00313944">
      <w:pPr>
        <w:spacing w:line="240" w:lineRule="auto"/>
        <w:jc w:val="both"/>
      </w:pPr>
      <w:r w:rsidRPr="00596FC5">
        <w:t>Superintendencia de Pensiones, al ser las</w:t>
      </w:r>
      <w:r>
        <w:t xml:space="preserve"> quince</w:t>
      </w:r>
      <w:r w:rsidRPr="00596FC5">
        <w:t xml:space="preserve"> horas y</w:t>
      </w:r>
      <w:r>
        <w:t xml:space="preserve"> cuarenta y cinco</w:t>
      </w:r>
      <w:r w:rsidRPr="00596FC5">
        <w:t xml:space="preserve"> minutos del día </w:t>
      </w:r>
      <w:r>
        <w:t>once</w:t>
      </w:r>
      <w:r w:rsidRPr="00596FC5">
        <w:t xml:space="preserve"> de</w:t>
      </w:r>
      <w:r>
        <w:t xml:space="preserve"> octubre</w:t>
      </w:r>
      <w:r w:rsidRPr="00596FC5">
        <w:t xml:space="preserve"> de 2024.</w:t>
      </w:r>
    </w:p>
    <w:p w14:paraId="53E72FD2" w14:textId="77777777" w:rsidR="00313944" w:rsidRPr="00596FC5" w:rsidRDefault="00313944" w:rsidP="00313944">
      <w:pPr>
        <w:spacing w:line="240" w:lineRule="auto"/>
      </w:pPr>
    </w:p>
    <w:p w14:paraId="67225E75" w14:textId="77777777" w:rsidR="00313944" w:rsidRPr="0011717D" w:rsidRDefault="00313944" w:rsidP="00313944">
      <w:pPr>
        <w:spacing w:line="240" w:lineRule="auto"/>
        <w:jc w:val="center"/>
        <w:rPr>
          <w:rFonts w:eastAsia="Times New Roman" w:cstheme="minorHAnsi"/>
          <w:b/>
          <w:bCs/>
          <w:lang w:eastAsia="es-CR"/>
        </w:rPr>
      </w:pPr>
      <w:r w:rsidRPr="0011717D">
        <w:rPr>
          <w:rFonts w:eastAsia="Times New Roman" w:cstheme="minorHAnsi"/>
          <w:b/>
          <w:bCs/>
          <w:lang w:eastAsia="es-CR"/>
        </w:rPr>
        <w:t>CONSIDERANDO QUE:</w:t>
      </w:r>
    </w:p>
    <w:p w14:paraId="2C8EA02C" w14:textId="77777777" w:rsidR="00313944" w:rsidRPr="00596FC5" w:rsidRDefault="00313944" w:rsidP="00313944">
      <w:pPr>
        <w:spacing w:line="240" w:lineRule="auto"/>
        <w:rPr>
          <w:rFonts w:eastAsia="Times New Roman" w:cstheme="minorHAnsi"/>
          <w:lang w:eastAsia="es-CR"/>
        </w:rPr>
      </w:pPr>
    </w:p>
    <w:p w14:paraId="76A38083" w14:textId="77777777" w:rsidR="00313944" w:rsidRPr="00596FC5" w:rsidRDefault="00313944" w:rsidP="00313944">
      <w:pPr>
        <w:spacing w:line="240" w:lineRule="auto"/>
        <w:rPr>
          <w:rFonts w:eastAsia="Times New Roman" w:cstheme="minorHAnsi"/>
          <w:lang w:eastAsia="es-CR"/>
        </w:rPr>
      </w:pPr>
    </w:p>
    <w:p w14:paraId="79861B32" w14:textId="77777777" w:rsidR="00313944" w:rsidRPr="00596FC5" w:rsidRDefault="00313944" w:rsidP="00313944">
      <w:pPr>
        <w:pStyle w:val="Prrafodelista"/>
        <w:numPr>
          <w:ilvl w:val="0"/>
          <w:numId w:val="2"/>
        </w:numPr>
        <w:spacing w:line="240" w:lineRule="auto"/>
        <w:contextualSpacing w:val="0"/>
        <w:jc w:val="both"/>
      </w:pPr>
      <w:r w:rsidRPr="00596FC5">
        <w:t xml:space="preserve">De conformidad con el artículo 33, párrafo segundo, de la Ley de Régimen Privado de Pensiones Complementarias, Ley No 7523, le corresponde a la Superintendencia de Pensiones (SUPEN) regular, supervisar y fiscalizar los planes, fondos y regímenes contemplados en esta Ley, así como, aquellos que le sean encomendados en virtud de otras leyes, y la actividad de las operadoras de pensiones y de los entes autorizados para administrar los fondos de capitalización laboral. </w:t>
      </w:r>
    </w:p>
    <w:p w14:paraId="28CE45E0" w14:textId="77777777" w:rsidR="00313944" w:rsidRPr="00596FC5" w:rsidRDefault="00313944" w:rsidP="00313944">
      <w:pPr>
        <w:pStyle w:val="Prrafodelista"/>
        <w:spacing w:line="240" w:lineRule="auto"/>
        <w:ind w:left="360"/>
        <w:contextualSpacing w:val="0"/>
        <w:jc w:val="both"/>
      </w:pPr>
    </w:p>
    <w:p w14:paraId="0C5B6DD5" w14:textId="77777777" w:rsidR="00313944" w:rsidRDefault="00313944" w:rsidP="00313944">
      <w:pPr>
        <w:pStyle w:val="Prrafodelista"/>
        <w:numPr>
          <w:ilvl w:val="0"/>
          <w:numId w:val="2"/>
        </w:numPr>
        <w:spacing w:line="240" w:lineRule="auto"/>
        <w:contextualSpacing w:val="0"/>
        <w:jc w:val="both"/>
      </w:pPr>
      <w:r w:rsidRPr="00596FC5">
        <w:t>El artículo 38, inciso f), de la Ley arriba citada, habilita al Superintendente de Pensiones para adoptar todas las acciones necesarias que garanticen el cumplimiento efectivo de las funciones de autorización, regulación, supervisión y fiscalización establecidas en la Ley y la normativa emitida por el Consejo Nacional de Supervisión del Sistema Financiero (CONASSIF).</w:t>
      </w:r>
    </w:p>
    <w:p w14:paraId="2A91347C" w14:textId="77777777" w:rsidR="00313944" w:rsidRPr="00596FC5" w:rsidRDefault="00313944" w:rsidP="00313944">
      <w:pPr>
        <w:spacing w:line="240" w:lineRule="auto"/>
        <w:jc w:val="both"/>
      </w:pPr>
    </w:p>
    <w:p w14:paraId="1F97440D" w14:textId="77777777" w:rsidR="00313944" w:rsidRPr="00596FC5" w:rsidRDefault="00313944" w:rsidP="00313944">
      <w:pPr>
        <w:pStyle w:val="Prrafodelista"/>
        <w:numPr>
          <w:ilvl w:val="0"/>
          <w:numId w:val="2"/>
        </w:numPr>
        <w:spacing w:line="240" w:lineRule="auto"/>
        <w:ind w:left="357" w:hanging="357"/>
        <w:contextualSpacing w:val="0"/>
        <w:jc w:val="both"/>
      </w:pPr>
      <w:r w:rsidRPr="00596FC5">
        <w:t>El Consejo Nacional de Supervisión del Sistema Financiero, mediante el artículo 9, del Acta de Sesión 1838-2023, del 6 de diciembre del 2023, aprobó la modificación al Reglamento de Gestión de Activos; Reglamento de Beneficios del Régimen de Capitalización Individual, y del Reglamento sobre la Apertura y Funcionamiento de las Entidades Autorizadas y el Funcionamiento de los Fondos de Pensiones, Capitalización Laboral y Ahorro Voluntario Previstos en la Ley de Protección al Trabajador, para la implementación de los fondos generacionales en el Régimen Obligatorio de Pensiones Complementarias (ROP).</w:t>
      </w:r>
    </w:p>
    <w:p w14:paraId="091A79BF" w14:textId="77777777" w:rsidR="00313944" w:rsidRPr="00596FC5" w:rsidRDefault="00313944" w:rsidP="00313944">
      <w:pPr>
        <w:spacing w:line="240" w:lineRule="auto"/>
        <w:jc w:val="both"/>
      </w:pPr>
    </w:p>
    <w:p w14:paraId="57BD51C0" w14:textId="77777777" w:rsidR="00313944" w:rsidRDefault="00313944" w:rsidP="00313944">
      <w:pPr>
        <w:pStyle w:val="Prrafodelista"/>
        <w:numPr>
          <w:ilvl w:val="0"/>
          <w:numId w:val="2"/>
        </w:numPr>
        <w:spacing w:line="240" w:lineRule="auto"/>
        <w:ind w:left="357" w:hanging="357"/>
        <w:contextualSpacing w:val="0"/>
        <w:jc w:val="both"/>
      </w:pPr>
      <w:r w:rsidRPr="00596FC5">
        <w:t>Mediante Acuerdo SP-A-267, del 15 de enero de 2024, esta Superintendencia emitió lineamientos operativos para gestión de la planificación de las inversiones, así como, el seguimiento que se debe realizar a dicha planificación.</w:t>
      </w:r>
    </w:p>
    <w:p w14:paraId="14F629E4" w14:textId="77777777" w:rsidR="00313944" w:rsidRDefault="00313944" w:rsidP="00313944">
      <w:pPr>
        <w:spacing w:line="240" w:lineRule="auto"/>
        <w:jc w:val="both"/>
      </w:pPr>
    </w:p>
    <w:p w14:paraId="42B1BBF6" w14:textId="77777777" w:rsidR="00313944" w:rsidRPr="00596FC5" w:rsidRDefault="00313944" w:rsidP="00313944">
      <w:pPr>
        <w:pStyle w:val="Prrafodelista"/>
        <w:numPr>
          <w:ilvl w:val="0"/>
          <w:numId w:val="2"/>
        </w:numPr>
        <w:spacing w:line="240" w:lineRule="auto"/>
        <w:ind w:left="357" w:hanging="357"/>
        <w:contextualSpacing w:val="0"/>
        <w:jc w:val="both"/>
      </w:pPr>
      <w:r w:rsidRPr="00B50BE6">
        <w:t>La experiencia internacional (Colombia, decreto 2555, del 2010; México, Disposiciones de Carácter General en Materia Financiera de los Sistemas de Ahorro para el Retiro, 2020) ha incorporado métricas de seguimiento, que requieren información histórica luego de los cambios estructurales en la gestión de las inversiones, como mecanismo para la verificación del cumplimiento de los objetivos de los fondos de pensiones. Estas métricas permiten al supervisor analizar los ajustes a sus estrategias de inversión de las entidades, en caso de encontrar desviaciones con respecto a lo planeado</w:t>
      </w:r>
      <w:r>
        <w:t>.</w:t>
      </w:r>
    </w:p>
    <w:p w14:paraId="3784A5AF" w14:textId="77777777" w:rsidR="00313944" w:rsidRDefault="00313944" w:rsidP="00313944">
      <w:pPr>
        <w:pStyle w:val="Prrafodelista"/>
        <w:spacing w:line="240" w:lineRule="auto"/>
        <w:contextualSpacing w:val="0"/>
      </w:pPr>
    </w:p>
    <w:p w14:paraId="76D4F1D4" w14:textId="77777777" w:rsidR="00313944" w:rsidRPr="00596FC5" w:rsidRDefault="00313944" w:rsidP="00313944">
      <w:pPr>
        <w:spacing w:line="240" w:lineRule="auto"/>
        <w:jc w:val="both"/>
      </w:pPr>
    </w:p>
    <w:p w14:paraId="624E4840" w14:textId="77777777" w:rsidR="00313944" w:rsidRPr="00596FC5" w:rsidRDefault="00313944" w:rsidP="00313944">
      <w:pPr>
        <w:pStyle w:val="Prrafodelista"/>
        <w:numPr>
          <w:ilvl w:val="0"/>
          <w:numId w:val="2"/>
        </w:numPr>
        <w:spacing w:line="240" w:lineRule="auto"/>
        <w:contextualSpacing w:val="0"/>
        <w:jc w:val="both"/>
      </w:pPr>
      <w:r w:rsidRPr="00596FC5">
        <w:lastRenderedPageBreak/>
        <w:t>Las estrategias de inversión que cada gestor diseñe en función del tiempo de permanencia de los afiliados al fondo de pensiones, es el mecanismo por el cual se procura optimizar los rendimientos de los portafolios, con el propósito de otorgar seguridad económica al futuro pensionado.</w:t>
      </w:r>
    </w:p>
    <w:p w14:paraId="7036B15D" w14:textId="77777777" w:rsidR="00313944" w:rsidRPr="00596FC5" w:rsidRDefault="00313944" w:rsidP="00313944">
      <w:pPr>
        <w:spacing w:line="240" w:lineRule="auto"/>
        <w:jc w:val="both"/>
      </w:pPr>
    </w:p>
    <w:p w14:paraId="7D3F2F1F" w14:textId="77777777" w:rsidR="00313944" w:rsidRPr="00596FC5" w:rsidRDefault="00313944" w:rsidP="00313944">
      <w:pPr>
        <w:pStyle w:val="Prrafodelista"/>
        <w:numPr>
          <w:ilvl w:val="0"/>
          <w:numId w:val="2"/>
        </w:numPr>
        <w:spacing w:line="240" w:lineRule="auto"/>
        <w:contextualSpacing w:val="0"/>
        <w:jc w:val="both"/>
      </w:pPr>
      <w:r w:rsidRPr="00596FC5">
        <w:t>Las estrategias de inversión se materializan con la asignación de activos en los fondos generacionales, las cuales se basan en ejercicios de optimización que utilizan supuestos y datos históricos. Por eso, los gestores y la Superintendencia de Pensiones deben establecer revisiones periódicas para verificar si las condiciones y características utilizadas para la selección e incorporación de instrumentos en los portafolios se mantienen.</w:t>
      </w:r>
    </w:p>
    <w:p w14:paraId="7BFFBFA7" w14:textId="77777777" w:rsidR="00313944" w:rsidRPr="00596FC5" w:rsidRDefault="00313944" w:rsidP="00313944">
      <w:pPr>
        <w:spacing w:line="240" w:lineRule="auto"/>
        <w:jc w:val="both"/>
      </w:pPr>
    </w:p>
    <w:p w14:paraId="1D687290" w14:textId="77777777" w:rsidR="00313944" w:rsidRPr="00596FC5" w:rsidRDefault="00313944" w:rsidP="00313944">
      <w:pPr>
        <w:pStyle w:val="Prrafodelista"/>
        <w:numPr>
          <w:ilvl w:val="0"/>
          <w:numId w:val="2"/>
        </w:numPr>
        <w:spacing w:line="240" w:lineRule="auto"/>
        <w:contextualSpacing w:val="0"/>
        <w:jc w:val="both"/>
      </w:pPr>
      <w:r w:rsidRPr="00596FC5">
        <w:t>Las estrategias de inversión, respecto a los fondos generacionales, se constituyen mediante trayectorias de inversión. En estas trayectorias, se seleccionan las clases de activos que se reequilibran periódicamente en sus proporciones, para optimizar el riesgo y la rentabilidad en un plazo determinado; razón por la cual, su seguimiento constituye el punto focal para que los fondos generacionales obtengan los beneficios esperados.</w:t>
      </w:r>
    </w:p>
    <w:p w14:paraId="4AFFD2C2" w14:textId="77777777" w:rsidR="00313944" w:rsidRPr="00596FC5" w:rsidRDefault="00313944" w:rsidP="00313944">
      <w:pPr>
        <w:spacing w:line="240" w:lineRule="auto"/>
        <w:jc w:val="both"/>
      </w:pPr>
    </w:p>
    <w:p w14:paraId="53452B27" w14:textId="77777777" w:rsidR="00313944" w:rsidRPr="00596FC5" w:rsidRDefault="00313944" w:rsidP="00313944">
      <w:pPr>
        <w:pStyle w:val="Prrafodelista"/>
        <w:numPr>
          <w:ilvl w:val="0"/>
          <w:numId w:val="2"/>
        </w:numPr>
        <w:spacing w:line="240" w:lineRule="auto"/>
        <w:contextualSpacing w:val="0"/>
        <w:jc w:val="both"/>
      </w:pPr>
      <w:r w:rsidRPr="00596FC5">
        <w:t xml:space="preserve">SUPEN considera prudente que las Operadoras de Pensiones señalen los rangos de tolerancia de las desviaciones de la trayectoria de inversiones que consideren su declaración de apetito al riesgo, aspecto cuantitativo que el órgano de dirección debe establecer, según el inciso “l” del artículo 6 del Reglamento de Riesgos aplicable a los fondos de pensiones. </w:t>
      </w:r>
    </w:p>
    <w:p w14:paraId="1F95465F" w14:textId="77777777" w:rsidR="00313944" w:rsidRPr="00596FC5" w:rsidRDefault="00313944" w:rsidP="00313944">
      <w:pPr>
        <w:spacing w:line="240" w:lineRule="auto"/>
        <w:jc w:val="both"/>
      </w:pPr>
    </w:p>
    <w:p w14:paraId="3CB95DC3" w14:textId="77777777" w:rsidR="00313944" w:rsidRPr="00596FC5" w:rsidRDefault="00313944" w:rsidP="00313944">
      <w:pPr>
        <w:pStyle w:val="Prrafodelista"/>
        <w:numPr>
          <w:ilvl w:val="0"/>
          <w:numId w:val="2"/>
        </w:numPr>
        <w:spacing w:line="240" w:lineRule="auto"/>
        <w:contextualSpacing w:val="0"/>
        <w:jc w:val="both"/>
      </w:pPr>
      <w:r w:rsidRPr="00596FC5">
        <w:t xml:space="preserve">SUPEN instruyó a las Operadoras de Pensiones Complementarias a remitir trimestralmente reportes sobre el avance de los fondos generacionales y un cronograma con las acciones, responsables y plazos para implementarlos. Esto ha permitido a SUPEN coordinar esfuerzos con los participantes de la industria para que la implementación de los fondos generacionales se realice organizadamente y, de ser necesario, se hagan ajustes a la normativa próxima a entrar en vigor. </w:t>
      </w:r>
    </w:p>
    <w:p w14:paraId="2E4EE4F9" w14:textId="77777777" w:rsidR="00313944" w:rsidRPr="00596FC5" w:rsidRDefault="00313944" w:rsidP="00313944">
      <w:pPr>
        <w:spacing w:line="240" w:lineRule="auto"/>
        <w:jc w:val="both"/>
      </w:pPr>
    </w:p>
    <w:p w14:paraId="23B2E3D9" w14:textId="77777777" w:rsidR="00313944" w:rsidRPr="00596FC5" w:rsidRDefault="00313944" w:rsidP="00313944">
      <w:pPr>
        <w:pStyle w:val="Prrafodelista"/>
        <w:numPr>
          <w:ilvl w:val="0"/>
          <w:numId w:val="2"/>
        </w:numPr>
        <w:spacing w:line="240" w:lineRule="auto"/>
        <w:ind w:left="357" w:hanging="357"/>
        <w:contextualSpacing w:val="0"/>
        <w:jc w:val="both"/>
      </w:pPr>
      <w:r w:rsidRPr="00596FC5">
        <w:t>Esta superintendencia se encuentra realizando un seguimiento a los procesos de implementación de fondos generacionales en cada gestor. El seguimiento realizado incluye actividades de verificación de las posiciones actuales por clase activos y su transición hacia las metas definidas para cada fondo, así como los requerimientos de disponibilidades, el análisis de los vencimientos de instrumentos en los portafolios y el flujo de efectivo generado por las nuevas aportaciones. Producto de este seguimiento se ha identificado la necesidad de otorgar un plazo prudencial para recabar información que permita evaluar, con precisión y de forma estandarizada, el desempeño de las trayectorias de inversión que conforman los fondos generacionales.</w:t>
      </w:r>
    </w:p>
    <w:p w14:paraId="20DBC8EF" w14:textId="77777777" w:rsidR="00313944" w:rsidRDefault="00313944" w:rsidP="00313944">
      <w:pPr>
        <w:pStyle w:val="Prrafodelista"/>
        <w:spacing w:line="240" w:lineRule="auto"/>
        <w:contextualSpacing w:val="0"/>
      </w:pPr>
    </w:p>
    <w:p w14:paraId="2AB84F25" w14:textId="77777777" w:rsidR="00313944" w:rsidRPr="00596FC5" w:rsidRDefault="00313944" w:rsidP="00313944">
      <w:pPr>
        <w:pStyle w:val="Prrafodelista"/>
        <w:spacing w:line="240" w:lineRule="auto"/>
        <w:contextualSpacing w:val="0"/>
      </w:pPr>
    </w:p>
    <w:p w14:paraId="7BC0FB81" w14:textId="77777777" w:rsidR="00313944" w:rsidRPr="00596FC5" w:rsidRDefault="00313944" w:rsidP="00313944">
      <w:pPr>
        <w:pStyle w:val="Prrafodelista"/>
        <w:numPr>
          <w:ilvl w:val="0"/>
          <w:numId w:val="2"/>
        </w:numPr>
        <w:spacing w:line="240" w:lineRule="auto"/>
        <w:ind w:left="357" w:hanging="357"/>
        <w:contextualSpacing w:val="0"/>
        <w:jc w:val="both"/>
      </w:pPr>
      <w:r w:rsidRPr="00596FC5">
        <w:lastRenderedPageBreak/>
        <w:t>Es necesario reformar el Acuerdo SP-A-267-2024, de las quince horas del día quince de enero del año en curso, en aras de aclarar y uniformar el seguimiento que cada gestor le dará a la trayectoria de inversiones.</w:t>
      </w:r>
    </w:p>
    <w:p w14:paraId="357D857D" w14:textId="77777777" w:rsidR="00313944" w:rsidRPr="00596FC5" w:rsidRDefault="00313944" w:rsidP="00313944">
      <w:pPr>
        <w:spacing w:line="240" w:lineRule="auto"/>
      </w:pPr>
    </w:p>
    <w:p w14:paraId="2B76EF8B" w14:textId="77777777" w:rsidR="00313944" w:rsidRPr="00596FC5" w:rsidRDefault="00313944" w:rsidP="00313944">
      <w:pPr>
        <w:spacing w:line="240" w:lineRule="auto"/>
      </w:pPr>
    </w:p>
    <w:p w14:paraId="0CD066E4" w14:textId="77777777" w:rsidR="00313944" w:rsidRPr="00596FC5" w:rsidRDefault="00313944" w:rsidP="00313944">
      <w:pPr>
        <w:spacing w:line="240" w:lineRule="auto"/>
        <w:jc w:val="center"/>
      </w:pPr>
      <w:r w:rsidRPr="007A1F61">
        <w:rPr>
          <w:b/>
          <w:bCs/>
        </w:rPr>
        <w:t>POR TANTO</w:t>
      </w:r>
      <w:r w:rsidRPr="00596FC5">
        <w:t>:</w:t>
      </w:r>
    </w:p>
    <w:p w14:paraId="3207DF91" w14:textId="77777777" w:rsidR="00313944" w:rsidRPr="00596FC5" w:rsidRDefault="00313944" w:rsidP="00313944">
      <w:pPr>
        <w:spacing w:line="240" w:lineRule="auto"/>
      </w:pPr>
    </w:p>
    <w:p w14:paraId="731893FE" w14:textId="77777777" w:rsidR="00313944" w:rsidRPr="00596FC5" w:rsidRDefault="00313944" w:rsidP="00313944">
      <w:pPr>
        <w:spacing w:line="240" w:lineRule="auto"/>
        <w:jc w:val="both"/>
      </w:pPr>
      <w:r>
        <w:t>Artículo ú</w:t>
      </w:r>
      <w:r w:rsidRPr="00596FC5">
        <w:t xml:space="preserve">nico: Se reforma el artículo 4 “Error de seguimiento”, se </w:t>
      </w:r>
      <w:r>
        <w:t>reforma el</w:t>
      </w:r>
      <w:r w:rsidRPr="00596FC5">
        <w:t xml:space="preserve"> artículo 6 “Rebalanceo del portafolio”, se deroga el inciso </w:t>
      </w:r>
      <w:proofErr w:type="spellStart"/>
      <w:r w:rsidRPr="00596FC5">
        <w:t>ii</w:t>
      </w:r>
      <w:proofErr w:type="spellEnd"/>
      <w:r w:rsidRPr="00596FC5">
        <w:t xml:space="preserve"> del artículo 8 “Comunicación al supervisor” y se modifica el inciso </w:t>
      </w:r>
      <w:proofErr w:type="spellStart"/>
      <w:r w:rsidRPr="00596FC5">
        <w:t>iii</w:t>
      </w:r>
      <w:proofErr w:type="spellEnd"/>
      <w:r w:rsidRPr="00596FC5">
        <w:t xml:space="preserve"> de</w:t>
      </w:r>
      <w:r>
        <w:t>l</w:t>
      </w:r>
      <w:r w:rsidRPr="00596FC5">
        <w:t xml:space="preserve"> mismo artículo, y se adiciona un transitorio</w:t>
      </w:r>
      <w:r>
        <w:t>,</w:t>
      </w:r>
      <w:r w:rsidRPr="00596FC5">
        <w:t xml:space="preserve"> </w:t>
      </w:r>
      <w:r>
        <w:t xml:space="preserve">todo </w:t>
      </w:r>
      <w:r w:rsidRPr="00596FC5">
        <w:t>al Acuerdo SP-A-267-2024 de las quince horas del día quince de enero de 2024, para que, en lo sucesivo, se lean de la siguiente forma:</w:t>
      </w:r>
    </w:p>
    <w:p w14:paraId="10F25AB5" w14:textId="77777777" w:rsidR="00313944" w:rsidRPr="00596FC5" w:rsidRDefault="00313944" w:rsidP="00313944">
      <w:pPr>
        <w:spacing w:line="240" w:lineRule="auto"/>
      </w:pPr>
    </w:p>
    <w:p w14:paraId="3C8E86BB" w14:textId="77777777" w:rsidR="00313944" w:rsidRDefault="00313944" w:rsidP="00313944">
      <w:pPr>
        <w:pStyle w:val="paragraph"/>
        <w:spacing w:before="0" w:beforeAutospacing="0" w:after="0" w:afterAutospacing="0"/>
        <w:jc w:val="both"/>
        <w:textAlignment w:val="baseline"/>
        <w:rPr>
          <w:rFonts w:ascii="Segoe UI" w:hAnsi="Segoe UI" w:cs="Segoe UI"/>
          <w:sz w:val="18"/>
          <w:szCs w:val="18"/>
        </w:rPr>
      </w:pPr>
      <w:r>
        <w:rPr>
          <w:rStyle w:val="normaltextrun"/>
          <w:b/>
          <w:bCs/>
          <w:i/>
          <w:iCs/>
          <w:sz w:val="20"/>
          <w:szCs w:val="20"/>
        </w:rPr>
        <w:t>“Artículo 4. Desviación de la trayectoria</w:t>
      </w:r>
      <w:r>
        <w:rPr>
          <w:rStyle w:val="eop"/>
          <w:sz w:val="20"/>
          <w:szCs w:val="20"/>
        </w:rPr>
        <w:t> </w:t>
      </w:r>
    </w:p>
    <w:p w14:paraId="42D37785" w14:textId="77777777" w:rsidR="00313944" w:rsidRDefault="00313944" w:rsidP="00313944">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459CFD03" w14:textId="77777777" w:rsidR="00313944" w:rsidRDefault="00313944" w:rsidP="00313944">
      <w:pPr>
        <w:pStyle w:val="paragraph"/>
        <w:spacing w:before="0" w:beforeAutospacing="0" w:after="0" w:afterAutospacing="0"/>
        <w:jc w:val="both"/>
        <w:textAlignment w:val="baseline"/>
        <w:rPr>
          <w:rFonts w:ascii="Segoe UI" w:hAnsi="Segoe UI" w:cs="Segoe UI"/>
          <w:sz w:val="18"/>
          <w:szCs w:val="18"/>
        </w:rPr>
      </w:pPr>
      <w:r>
        <w:rPr>
          <w:rStyle w:val="normaltextrun"/>
          <w:i/>
          <w:iCs/>
          <w:sz w:val="20"/>
          <w:szCs w:val="20"/>
        </w:rPr>
        <w:t>Corresponde a la diferencia entre los porcentajes por clase de activos en la trayectoria de inversión óptima y la composición del portafolio para dicha clase, en un momento dado. </w:t>
      </w:r>
      <w:r>
        <w:rPr>
          <w:rStyle w:val="eop"/>
          <w:sz w:val="20"/>
          <w:szCs w:val="20"/>
        </w:rPr>
        <w:t> </w:t>
      </w:r>
    </w:p>
    <w:p w14:paraId="32A331CF" w14:textId="77777777" w:rsidR="00313944" w:rsidRDefault="00313944" w:rsidP="00313944">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39BAA43F" w14:textId="77777777" w:rsidR="00313944" w:rsidRDefault="00313944" w:rsidP="00313944">
      <w:pPr>
        <w:pStyle w:val="paragraph"/>
        <w:spacing w:before="0" w:beforeAutospacing="0" w:after="0" w:afterAutospacing="0"/>
        <w:jc w:val="both"/>
        <w:textAlignment w:val="baseline"/>
        <w:rPr>
          <w:rFonts w:ascii="Segoe UI" w:hAnsi="Segoe UI" w:cs="Segoe UI"/>
          <w:sz w:val="18"/>
          <w:szCs w:val="18"/>
        </w:rPr>
      </w:pPr>
      <w:r>
        <w:rPr>
          <w:rStyle w:val="normaltextrun"/>
          <w:i/>
          <w:iCs/>
          <w:sz w:val="20"/>
          <w:szCs w:val="20"/>
        </w:rPr>
        <w:t>El órgano de dirección definirá de forma técnica los rangos tolerables de desviación para cada fondo generacional a lo largo del tiempo. Dichos rangos deben considerar la Declaración de Apetito al Riesgo de acuerdo con la política de inversión y cumplir con la comunicación indicada en el artículo 8 de este acuerdo. </w:t>
      </w:r>
      <w:r>
        <w:rPr>
          <w:rStyle w:val="eop"/>
          <w:sz w:val="20"/>
          <w:szCs w:val="20"/>
        </w:rPr>
        <w:t> </w:t>
      </w:r>
    </w:p>
    <w:p w14:paraId="483BDAC1" w14:textId="77777777" w:rsidR="00313944" w:rsidRDefault="00313944" w:rsidP="00313944">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3B43FE19" w14:textId="77777777" w:rsidR="00313944" w:rsidRDefault="00313944" w:rsidP="00313944">
      <w:pPr>
        <w:pStyle w:val="paragraph"/>
        <w:spacing w:before="0" w:beforeAutospacing="0" w:after="0" w:afterAutospacing="0"/>
        <w:jc w:val="both"/>
        <w:textAlignment w:val="baseline"/>
        <w:rPr>
          <w:rFonts w:ascii="Segoe UI" w:hAnsi="Segoe UI" w:cs="Segoe UI"/>
          <w:sz w:val="18"/>
          <w:szCs w:val="18"/>
        </w:rPr>
      </w:pPr>
      <w:r>
        <w:rPr>
          <w:rStyle w:val="normaltextrun"/>
          <w:i/>
          <w:iCs/>
          <w:sz w:val="20"/>
          <w:szCs w:val="20"/>
        </w:rPr>
        <w:t>Cuando se produzcan desviaciones fuera del rango de tolerancia, la entidad aplicará lo que indica el artículo 6 de este acuerdo”.</w:t>
      </w:r>
      <w:r>
        <w:rPr>
          <w:rStyle w:val="eop"/>
          <w:sz w:val="20"/>
          <w:szCs w:val="20"/>
        </w:rPr>
        <w:t> </w:t>
      </w:r>
    </w:p>
    <w:p w14:paraId="3A77D2B5" w14:textId="77777777" w:rsidR="00313944" w:rsidRDefault="00313944" w:rsidP="00313944">
      <w:pPr>
        <w:spacing w:line="240" w:lineRule="auto"/>
        <w:jc w:val="both"/>
        <w:rPr>
          <w:lang w:val="es-CR"/>
        </w:rPr>
      </w:pPr>
    </w:p>
    <w:p w14:paraId="21DB4A7D" w14:textId="77777777" w:rsidR="00313944" w:rsidRDefault="00313944" w:rsidP="00313944">
      <w:pPr>
        <w:pStyle w:val="paragraph"/>
        <w:spacing w:before="0" w:beforeAutospacing="0" w:after="0" w:afterAutospacing="0"/>
        <w:jc w:val="both"/>
        <w:textAlignment w:val="baseline"/>
        <w:rPr>
          <w:rFonts w:ascii="Segoe UI" w:hAnsi="Segoe UI" w:cs="Segoe UI"/>
          <w:sz w:val="18"/>
          <w:szCs w:val="18"/>
        </w:rPr>
      </w:pPr>
      <w:r>
        <w:rPr>
          <w:rStyle w:val="eop"/>
          <w:rFonts w:eastAsia="Arial"/>
          <w:sz w:val="20"/>
          <w:szCs w:val="20"/>
        </w:rPr>
        <w:t> </w:t>
      </w:r>
      <w:r>
        <w:rPr>
          <w:rStyle w:val="normaltextrun"/>
          <w:b/>
          <w:bCs/>
          <w:i/>
          <w:iCs/>
          <w:sz w:val="20"/>
          <w:szCs w:val="20"/>
        </w:rPr>
        <w:t>“Artículo 6. Modificación de la trayectoria </w:t>
      </w:r>
      <w:r>
        <w:rPr>
          <w:rStyle w:val="eop"/>
          <w:rFonts w:eastAsia="Arial"/>
          <w:sz w:val="20"/>
          <w:szCs w:val="20"/>
        </w:rPr>
        <w:t> </w:t>
      </w:r>
    </w:p>
    <w:p w14:paraId="74C563FD" w14:textId="77777777" w:rsidR="00313944" w:rsidRDefault="00313944" w:rsidP="00313944">
      <w:pPr>
        <w:pStyle w:val="paragraph"/>
        <w:spacing w:before="0" w:beforeAutospacing="0" w:after="0" w:afterAutospacing="0"/>
        <w:jc w:val="both"/>
        <w:textAlignment w:val="baseline"/>
        <w:rPr>
          <w:rFonts w:ascii="Segoe UI" w:hAnsi="Segoe UI" w:cs="Segoe UI"/>
          <w:sz w:val="18"/>
          <w:szCs w:val="18"/>
        </w:rPr>
      </w:pPr>
      <w:r>
        <w:rPr>
          <w:rStyle w:val="eop"/>
          <w:rFonts w:eastAsia="Arial"/>
          <w:sz w:val="20"/>
          <w:szCs w:val="20"/>
        </w:rPr>
        <w:t> </w:t>
      </w:r>
    </w:p>
    <w:p w14:paraId="5399E528" w14:textId="77777777" w:rsidR="00313944" w:rsidRDefault="00313944" w:rsidP="00313944">
      <w:pPr>
        <w:spacing w:line="240" w:lineRule="auto"/>
        <w:jc w:val="both"/>
        <w:rPr>
          <w:i/>
          <w:iCs/>
          <w:sz w:val="20"/>
          <w:szCs w:val="20"/>
        </w:rPr>
      </w:pPr>
      <w:r>
        <w:rPr>
          <w:rStyle w:val="normaltextrun"/>
          <w:i/>
          <w:iCs/>
          <w:sz w:val="20"/>
          <w:szCs w:val="20"/>
        </w:rPr>
        <w:t xml:space="preserve">La trayectoria de inversión podrá ser modificada por el Órgano de Dirección por razones técnicas debidamente justificadas, previo análisis y discusión por parte del </w:t>
      </w:r>
      <w:r w:rsidRPr="00A17857">
        <w:rPr>
          <w:i/>
          <w:iCs/>
          <w:sz w:val="20"/>
          <w:szCs w:val="20"/>
        </w:rPr>
        <w:t xml:space="preserve">Comité de Riesgo y de Inversiones. Igual procedimiento deberá observar </w:t>
      </w:r>
      <w:r w:rsidRPr="00E75C15">
        <w:rPr>
          <w:i/>
          <w:iCs/>
          <w:sz w:val="20"/>
          <w:szCs w:val="20"/>
        </w:rPr>
        <w:t>cuando la operadora decida no realizar ajustes</w:t>
      </w:r>
      <w:r w:rsidRPr="00A17857">
        <w:rPr>
          <w:i/>
          <w:iCs/>
          <w:sz w:val="20"/>
          <w:szCs w:val="20"/>
        </w:rPr>
        <w:t xml:space="preserve"> a la trayectoria de inversiones de un fondo. </w:t>
      </w:r>
    </w:p>
    <w:p w14:paraId="51F9204C" w14:textId="77777777" w:rsidR="00313944" w:rsidRDefault="00313944" w:rsidP="00313944">
      <w:pPr>
        <w:spacing w:line="240" w:lineRule="auto"/>
        <w:jc w:val="both"/>
        <w:rPr>
          <w:i/>
          <w:iCs/>
          <w:sz w:val="20"/>
          <w:szCs w:val="20"/>
        </w:rPr>
      </w:pPr>
    </w:p>
    <w:p w14:paraId="5D58EB9C" w14:textId="77777777" w:rsidR="00313944" w:rsidRPr="00A17857" w:rsidRDefault="00313944" w:rsidP="00313944">
      <w:pPr>
        <w:spacing w:line="240" w:lineRule="auto"/>
        <w:jc w:val="both"/>
        <w:rPr>
          <w:i/>
          <w:iCs/>
          <w:sz w:val="20"/>
          <w:szCs w:val="20"/>
        </w:rPr>
      </w:pPr>
      <w:r w:rsidRPr="00A17857">
        <w:rPr>
          <w:i/>
          <w:iCs/>
          <w:sz w:val="20"/>
          <w:szCs w:val="20"/>
        </w:rPr>
        <w:t>La trayectoria de inversión no podrá ser modificada con el propósito de obtener resultados de rentabilidad de corto plazo. Deberá calibrarse en el tiempo para lograr alcanzar el objetivo de rentabilidad y de tasa de reemplazo declarado por cada operadora para cada uno de los fondos generacionales del Régimen Obligatorio de Pensiones Complementarias. De modificarse, la misma deberá ser inmediatamente comunicada a la Superintendencia de Pensiones y a los afiliados, por los medios correspondientes, una vez aprobada por el Órgano de Dirección.”</w:t>
      </w:r>
    </w:p>
    <w:p w14:paraId="37539E02" w14:textId="77777777" w:rsidR="00313944" w:rsidRPr="00996A29" w:rsidRDefault="00313944" w:rsidP="00313944">
      <w:pPr>
        <w:pStyle w:val="paragraph"/>
        <w:spacing w:before="0" w:beforeAutospacing="0" w:after="0" w:afterAutospacing="0"/>
        <w:textAlignment w:val="baseline"/>
        <w:rPr>
          <w:rFonts w:ascii="Segoe UI" w:hAnsi="Segoe UI" w:cs="Segoe UI"/>
          <w:color w:val="000000" w:themeColor="text1"/>
          <w:sz w:val="18"/>
          <w:szCs w:val="18"/>
        </w:rPr>
      </w:pPr>
      <w:r w:rsidRPr="00534E7B">
        <w:rPr>
          <w:rStyle w:val="eop"/>
          <w:rFonts w:eastAsia="Arial"/>
          <w:color w:val="000000" w:themeColor="text1"/>
          <w:sz w:val="20"/>
          <w:szCs w:val="20"/>
        </w:rPr>
        <w:t> </w:t>
      </w:r>
    </w:p>
    <w:p w14:paraId="1DE18081" w14:textId="77777777" w:rsidR="00313944" w:rsidRPr="00A17857" w:rsidRDefault="00313944" w:rsidP="00313944">
      <w:pPr>
        <w:spacing w:line="240" w:lineRule="auto"/>
        <w:jc w:val="both"/>
        <w:rPr>
          <w:b/>
          <w:bCs/>
          <w:i/>
          <w:iCs/>
          <w:sz w:val="20"/>
          <w:szCs w:val="20"/>
        </w:rPr>
      </w:pPr>
      <w:r w:rsidRPr="00A17857">
        <w:rPr>
          <w:b/>
          <w:bCs/>
          <w:i/>
          <w:iCs/>
          <w:sz w:val="20"/>
          <w:szCs w:val="20"/>
        </w:rPr>
        <w:t>“Artículo 8. Comunicación al supervisor</w:t>
      </w:r>
    </w:p>
    <w:p w14:paraId="6F0B9D2B" w14:textId="77777777" w:rsidR="00313944" w:rsidRPr="00A17857" w:rsidRDefault="00313944" w:rsidP="00313944">
      <w:pPr>
        <w:spacing w:line="240" w:lineRule="auto"/>
        <w:jc w:val="both"/>
        <w:rPr>
          <w:i/>
          <w:iCs/>
          <w:sz w:val="20"/>
          <w:szCs w:val="20"/>
        </w:rPr>
      </w:pPr>
      <w:r w:rsidRPr="00A17857">
        <w:rPr>
          <w:i/>
          <w:iCs/>
          <w:sz w:val="20"/>
          <w:szCs w:val="20"/>
        </w:rPr>
        <w:t>(…)</w:t>
      </w:r>
    </w:p>
    <w:p w14:paraId="2B995F54" w14:textId="77777777" w:rsidR="00313944" w:rsidRPr="00A17857" w:rsidRDefault="00313944" w:rsidP="00313944">
      <w:pPr>
        <w:spacing w:line="240" w:lineRule="auto"/>
        <w:jc w:val="both"/>
        <w:rPr>
          <w:i/>
          <w:iCs/>
          <w:sz w:val="20"/>
          <w:szCs w:val="20"/>
        </w:rPr>
      </w:pPr>
      <w:proofErr w:type="spellStart"/>
      <w:r w:rsidRPr="00A17857">
        <w:rPr>
          <w:i/>
          <w:iCs/>
          <w:sz w:val="20"/>
          <w:szCs w:val="20"/>
        </w:rPr>
        <w:t>ii</w:t>
      </w:r>
      <w:proofErr w:type="spellEnd"/>
      <w:r w:rsidRPr="00A17857">
        <w:rPr>
          <w:i/>
          <w:iCs/>
          <w:sz w:val="20"/>
          <w:szCs w:val="20"/>
        </w:rPr>
        <w:t>.</w:t>
      </w:r>
      <w:r w:rsidRPr="00A17857">
        <w:rPr>
          <w:i/>
          <w:iCs/>
          <w:sz w:val="20"/>
          <w:szCs w:val="20"/>
        </w:rPr>
        <w:tab/>
        <w:t>(Derogado)</w:t>
      </w:r>
    </w:p>
    <w:p w14:paraId="35EAD1CA" w14:textId="77777777" w:rsidR="00313944" w:rsidRPr="00A17857" w:rsidRDefault="00313944" w:rsidP="00313944">
      <w:pPr>
        <w:spacing w:line="240" w:lineRule="auto"/>
        <w:jc w:val="both"/>
        <w:rPr>
          <w:i/>
          <w:iCs/>
          <w:sz w:val="20"/>
          <w:szCs w:val="20"/>
        </w:rPr>
      </w:pPr>
      <w:proofErr w:type="spellStart"/>
      <w:r w:rsidRPr="00A17857">
        <w:rPr>
          <w:i/>
          <w:iCs/>
          <w:sz w:val="20"/>
          <w:szCs w:val="20"/>
        </w:rPr>
        <w:t>iii</w:t>
      </w:r>
      <w:proofErr w:type="spellEnd"/>
      <w:r w:rsidRPr="00A17857">
        <w:rPr>
          <w:i/>
          <w:iCs/>
          <w:sz w:val="20"/>
          <w:szCs w:val="20"/>
        </w:rPr>
        <w:t>.</w:t>
      </w:r>
      <w:r w:rsidRPr="00A17857">
        <w:rPr>
          <w:i/>
          <w:iCs/>
          <w:sz w:val="20"/>
          <w:szCs w:val="20"/>
        </w:rPr>
        <w:tab/>
        <w:t>El desvío de la trayectoria y el rango de tolerancia definido por el órgano de dirección.</w:t>
      </w:r>
    </w:p>
    <w:p w14:paraId="0C7EF5AC" w14:textId="77777777" w:rsidR="00313944" w:rsidRPr="00A17857" w:rsidRDefault="00313944" w:rsidP="00313944">
      <w:pPr>
        <w:spacing w:line="240" w:lineRule="auto"/>
        <w:jc w:val="both"/>
        <w:rPr>
          <w:i/>
          <w:iCs/>
          <w:sz w:val="20"/>
          <w:szCs w:val="20"/>
        </w:rPr>
      </w:pPr>
      <w:r w:rsidRPr="00A17857">
        <w:rPr>
          <w:i/>
          <w:iCs/>
          <w:sz w:val="20"/>
          <w:szCs w:val="20"/>
        </w:rPr>
        <w:t>(…)”</w:t>
      </w:r>
    </w:p>
    <w:p w14:paraId="7DA37F4D" w14:textId="77777777" w:rsidR="00313944" w:rsidRPr="00596FC5" w:rsidRDefault="00313944" w:rsidP="00313944">
      <w:pPr>
        <w:spacing w:line="240" w:lineRule="auto"/>
        <w:jc w:val="both"/>
      </w:pPr>
    </w:p>
    <w:p w14:paraId="0457B98B" w14:textId="77777777" w:rsidR="00313944" w:rsidRDefault="00313944" w:rsidP="00313944">
      <w:pPr>
        <w:pStyle w:val="paragraph"/>
        <w:spacing w:before="0" w:beforeAutospacing="0" w:after="0" w:afterAutospacing="0"/>
        <w:jc w:val="both"/>
        <w:textAlignment w:val="baseline"/>
        <w:rPr>
          <w:rFonts w:ascii="Segoe UI" w:hAnsi="Segoe UI" w:cs="Segoe UI"/>
          <w:sz w:val="18"/>
          <w:szCs w:val="18"/>
        </w:rPr>
      </w:pPr>
      <w:r>
        <w:rPr>
          <w:rStyle w:val="normaltextrun"/>
          <w:b/>
          <w:bCs/>
          <w:i/>
          <w:iCs/>
          <w:sz w:val="20"/>
          <w:szCs w:val="20"/>
        </w:rPr>
        <w:t>“Transitorio</w:t>
      </w:r>
      <w:r>
        <w:rPr>
          <w:rStyle w:val="eop"/>
          <w:sz w:val="20"/>
          <w:szCs w:val="20"/>
        </w:rPr>
        <w:t> </w:t>
      </w:r>
    </w:p>
    <w:p w14:paraId="3475B3AF" w14:textId="77777777" w:rsidR="00313944" w:rsidRDefault="00313944" w:rsidP="00313944">
      <w:pPr>
        <w:pStyle w:val="paragraph"/>
        <w:spacing w:before="0" w:beforeAutospacing="0" w:after="0" w:afterAutospacing="0"/>
        <w:jc w:val="both"/>
        <w:textAlignment w:val="baseline"/>
        <w:rPr>
          <w:rStyle w:val="normaltextrun"/>
          <w:rFonts w:eastAsiaTheme="minorHAnsi" w:cstheme="minorBidi"/>
          <w:i/>
          <w:iCs/>
          <w:sz w:val="20"/>
          <w:szCs w:val="20"/>
          <w:lang w:val="es-ES" w:eastAsia="en-US"/>
        </w:rPr>
      </w:pPr>
    </w:p>
    <w:p w14:paraId="227AFE2B" w14:textId="77777777" w:rsidR="00313944" w:rsidRPr="00996A29" w:rsidRDefault="00313944" w:rsidP="00313944">
      <w:pPr>
        <w:pStyle w:val="paragraph"/>
        <w:spacing w:before="0" w:beforeAutospacing="0" w:after="0" w:afterAutospacing="0"/>
        <w:jc w:val="both"/>
        <w:textAlignment w:val="baseline"/>
        <w:rPr>
          <w:rStyle w:val="normaltextrun"/>
          <w:rFonts w:eastAsiaTheme="minorHAnsi" w:cstheme="minorBidi"/>
          <w:i/>
          <w:iCs/>
          <w:sz w:val="20"/>
          <w:szCs w:val="20"/>
          <w:lang w:val="es-ES" w:eastAsia="en-US"/>
        </w:rPr>
      </w:pPr>
      <w:r w:rsidRPr="00996A29">
        <w:rPr>
          <w:rStyle w:val="normaltextrun"/>
          <w:rFonts w:eastAsiaTheme="minorHAnsi" w:cstheme="minorBidi"/>
          <w:i/>
          <w:iCs/>
          <w:sz w:val="20"/>
          <w:szCs w:val="20"/>
          <w:lang w:val="es-ES" w:eastAsia="en-US"/>
        </w:rPr>
        <w:t xml:space="preserve">El inciso </w:t>
      </w:r>
      <w:proofErr w:type="spellStart"/>
      <w:r w:rsidRPr="00996A29">
        <w:rPr>
          <w:rStyle w:val="normaltextrun"/>
          <w:rFonts w:eastAsiaTheme="minorHAnsi" w:cstheme="minorBidi"/>
          <w:i/>
          <w:iCs/>
          <w:sz w:val="20"/>
          <w:szCs w:val="20"/>
          <w:lang w:val="es-ES" w:eastAsia="en-US"/>
        </w:rPr>
        <w:t>ii</w:t>
      </w:r>
      <w:proofErr w:type="spellEnd"/>
      <w:r w:rsidRPr="00996A29">
        <w:rPr>
          <w:rStyle w:val="normaltextrun"/>
          <w:rFonts w:eastAsiaTheme="minorHAnsi" w:cstheme="minorBidi"/>
          <w:i/>
          <w:iCs/>
          <w:sz w:val="20"/>
          <w:szCs w:val="20"/>
          <w:lang w:val="es-ES" w:eastAsia="en-US"/>
        </w:rPr>
        <w:t xml:space="preserve"> del artículo 2 de este acuerdo entrará en vigor dieciocho meses después de la fecha de inicio de operación de los fondos generacionales.”</w:t>
      </w:r>
      <w:r w:rsidRPr="00996A29">
        <w:rPr>
          <w:rStyle w:val="normaltextrun"/>
          <w:rFonts w:eastAsiaTheme="minorHAnsi" w:cstheme="minorBidi"/>
          <w:i/>
          <w:iCs/>
          <w:lang w:val="es-ES" w:eastAsia="en-US"/>
        </w:rPr>
        <w:t> </w:t>
      </w:r>
    </w:p>
    <w:p w14:paraId="637576EF" w14:textId="77777777" w:rsidR="00313944" w:rsidRPr="00C12201" w:rsidRDefault="00313944" w:rsidP="0031394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lastRenderedPageBreak/>
        <w:t> </w:t>
      </w:r>
    </w:p>
    <w:p w14:paraId="2C609B52" w14:textId="76214BC0" w:rsidR="00313944" w:rsidRPr="00596FC5" w:rsidRDefault="00313944" w:rsidP="00313944">
      <w:pPr>
        <w:spacing w:line="240" w:lineRule="auto"/>
      </w:pPr>
      <w:r w:rsidRPr="00596FC5">
        <w:t xml:space="preserve">Rige a partir </w:t>
      </w:r>
      <w:r>
        <w:t xml:space="preserve">de su </w:t>
      </w:r>
      <w:r w:rsidR="002507F8">
        <w:t>publicación en el Diario Oficial La Gaceta</w:t>
      </w:r>
      <w:r>
        <w:t>.</w:t>
      </w:r>
    </w:p>
    <w:p w14:paraId="1133733B" w14:textId="77777777" w:rsidR="00313944" w:rsidRPr="00596FC5" w:rsidRDefault="00313944" w:rsidP="00313944">
      <w:pPr>
        <w:spacing w:line="240" w:lineRule="auto"/>
      </w:pPr>
    </w:p>
    <w:p w14:paraId="7DD85B1F" w14:textId="77777777" w:rsidR="00313944" w:rsidRPr="00596FC5" w:rsidRDefault="00313944" w:rsidP="00313944">
      <w:pPr>
        <w:spacing w:line="240" w:lineRule="auto"/>
      </w:pPr>
      <w:r w:rsidRPr="00596FC5">
        <w:t>Comuníquese.</w:t>
      </w:r>
    </w:p>
    <w:p w14:paraId="702CB968" w14:textId="77777777" w:rsidR="00313944" w:rsidRPr="00596FC5" w:rsidRDefault="00313944" w:rsidP="00313944">
      <w:pPr>
        <w:spacing w:line="240" w:lineRule="auto"/>
      </w:pPr>
    </w:p>
    <w:p w14:paraId="7ED1C270" w14:textId="77777777" w:rsidR="00313944" w:rsidRPr="00596FC5" w:rsidRDefault="00313944" w:rsidP="00313944">
      <w:pPr>
        <w:spacing w:line="240" w:lineRule="auto"/>
      </w:pPr>
      <w:r w:rsidRPr="00596FC5">
        <w:rPr>
          <w:noProof/>
        </w:rPr>
        <w:drawing>
          <wp:inline distT="0" distB="0" distL="0" distR="0" wp14:anchorId="2F4999E8" wp14:editId="35A22509">
            <wp:extent cx="1701800" cy="662940"/>
            <wp:effectExtent l="0" t="0" r="0" b="3810"/>
            <wp:docPr id="8" name="Imagen 8" descr="Nombre de la empres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Nombre de la empresa&#10;&#10;Descripción generada automáticamente con confianza baja"/>
                    <pic:cNvPicPr>
                      <a:picLocks noChangeAspect="1"/>
                    </pic:cNvPicPr>
                  </pic:nvPicPr>
                  <pic:blipFill>
                    <a:blip r:embed="rId11"/>
                    <a:stretch>
                      <a:fillRect/>
                    </a:stretch>
                  </pic:blipFill>
                  <pic:spPr>
                    <a:xfrm>
                      <a:off x="0" y="0"/>
                      <a:ext cx="1701800" cy="662940"/>
                    </a:xfrm>
                    <a:prstGeom prst="rect">
                      <a:avLst/>
                    </a:prstGeom>
                  </pic:spPr>
                </pic:pic>
              </a:graphicData>
            </a:graphic>
          </wp:inline>
        </w:drawing>
      </w:r>
    </w:p>
    <w:p w14:paraId="501D4609" w14:textId="77777777" w:rsidR="00313944" w:rsidRPr="00596FC5" w:rsidRDefault="00313944" w:rsidP="00313944">
      <w:pPr>
        <w:spacing w:line="240" w:lineRule="auto"/>
      </w:pPr>
      <w:r w:rsidRPr="00596FC5">
        <w:t>Rocío Aguilar M.</w:t>
      </w:r>
    </w:p>
    <w:p w14:paraId="0E14B126" w14:textId="77777777" w:rsidR="00313944" w:rsidRPr="007A1F61" w:rsidRDefault="00313944" w:rsidP="00313944">
      <w:pPr>
        <w:spacing w:line="240" w:lineRule="auto"/>
        <w:rPr>
          <w:b/>
          <w:bCs/>
        </w:rPr>
      </w:pPr>
      <w:r w:rsidRPr="007A1F61">
        <w:rPr>
          <w:b/>
          <w:bCs/>
        </w:rPr>
        <w:t>Superintendente de Pensiones</w:t>
      </w:r>
    </w:p>
    <w:p w14:paraId="4ADCA52B" w14:textId="77777777" w:rsidR="00313944" w:rsidRDefault="00313944" w:rsidP="00313944">
      <w:pPr>
        <w:spacing w:line="240" w:lineRule="auto"/>
      </w:pPr>
    </w:p>
    <w:p w14:paraId="0DB93C77" w14:textId="77777777" w:rsidR="00313944" w:rsidRPr="00596FC5" w:rsidRDefault="00313944" w:rsidP="00313944">
      <w:pPr>
        <w:spacing w:line="240" w:lineRule="auto"/>
      </w:pPr>
    </w:p>
    <w:p w14:paraId="16514C8B" w14:textId="77777777" w:rsidR="00313944" w:rsidRPr="00596FC5" w:rsidRDefault="00313944" w:rsidP="00313944">
      <w:pPr>
        <w:spacing w:line="240" w:lineRule="auto"/>
        <w:rPr>
          <w:i/>
          <w:sz w:val="18"/>
        </w:rPr>
      </w:pPr>
      <w:r w:rsidRPr="00596FC5">
        <w:rPr>
          <w:sz w:val="18"/>
        </w:rPr>
        <w:t xml:space="preserve">Aprobado por </w:t>
      </w:r>
      <w:r w:rsidRPr="00C12201">
        <w:rPr>
          <w:i/>
          <w:iCs/>
          <w:sz w:val="18"/>
        </w:rPr>
        <w:t>RCV</w:t>
      </w:r>
      <w:r w:rsidRPr="00596FC5">
        <w:rPr>
          <w:sz w:val="18"/>
        </w:rPr>
        <w:t>.</w:t>
      </w:r>
    </w:p>
    <w:p w14:paraId="47F22386" w14:textId="77777777" w:rsidR="00313944" w:rsidRPr="00596FC5" w:rsidRDefault="00313944" w:rsidP="00313944">
      <w:pPr>
        <w:spacing w:line="240" w:lineRule="auto"/>
        <w:rPr>
          <w:i/>
          <w:sz w:val="18"/>
        </w:rPr>
      </w:pPr>
    </w:p>
    <w:p w14:paraId="6774B726" w14:textId="72A7FE9D" w:rsidR="00204052" w:rsidRPr="00596FC5" w:rsidRDefault="00313944" w:rsidP="00570F1D">
      <w:pPr>
        <w:spacing w:line="240" w:lineRule="auto"/>
        <w:contextualSpacing/>
        <w:rPr>
          <w:i/>
          <w:sz w:val="18"/>
        </w:rPr>
      </w:pPr>
      <w:r>
        <w:rPr>
          <w:i/>
          <w:sz w:val="18"/>
        </w:rPr>
        <w:t xml:space="preserve"> </w:t>
      </w:r>
    </w:p>
    <w:sectPr w:rsidR="00204052" w:rsidRPr="00596FC5" w:rsidSect="00D029E6">
      <w:headerReference w:type="default" r:id="rId12"/>
      <w:footerReference w:type="even" r:id="rId13"/>
      <w:footerReference w:type="default" r:id="rId14"/>
      <w:headerReference w:type="first" r:id="rId15"/>
      <w:footerReference w:type="first" r:id="rId16"/>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D24EE" w14:textId="77777777" w:rsidR="00CB147D" w:rsidRDefault="00CB147D" w:rsidP="00011FAB">
      <w:pPr>
        <w:spacing w:line="240" w:lineRule="auto"/>
      </w:pPr>
      <w:r>
        <w:separator/>
      </w:r>
    </w:p>
  </w:endnote>
  <w:endnote w:type="continuationSeparator" w:id="0">
    <w:p w14:paraId="27579177" w14:textId="77777777" w:rsidR="00CB147D" w:rsidRDefault="00CB147D" w:rsidP="00011FAB">
      <w:pPr>
        <w:spacing w:line="240" w:lineRule="auto"/>
      </w:pPr>
      <w:r>
        <w:continuationSeparator/>
      </w:r>
    </w:p>
  </w:endnote>
  <w:endnote w:type="continuationNotice" w:id="1">
    <w:p w14:paraId="382B9C2F" w14:textId="77777777" w:rsidR="00CB147D" w:rsidRDefault="00CB14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46822" w14:textId="77777777" w:rsidR="002F3E1E" w:rsidRDefault="002F3E1E">
    <w:pPr>
      <w:pStyle w:val="Piedepgina"/>
    </w:pPr>
    <w:r>
      <w:rPr>
        <w:noProof/>
      </w:rPr>
      <mc:AlternateContent>
        <mc:Choice Requires="wps">
          <w:drawing>
            <wp:anchor distT="0" distB="0" distL="0" distR="0" simplePos="0" relativeHeight="251658245" behindDoc="0" locked="0" layoutInCell="1" allowOverlap="1" wp14:anchorId="1CF7EE20" wp14:editId="6E77097B">
              <wp:simplePos x="635" y="635"/>
              <wp:positionH relativeFrom="page">
                <wp:align>center</wp:align>
              </wp:positionH>
              <wp:positionV relativeFrom="page">
                <wp:align>bottom</wp:align>
              </wp:positionV>
              <wp:extent cx="443865" cy="443865"/>
              <wp:effectExtent l="0" t="0" r="0" b="0"/>
              <wp:wrapNone/>
              <wp:docPr id="6" name="Cuadro de texto 6"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CE9358" w14:textId="77777777" w:rsidR="002F3E1E" w:rsidRPr="002F3E1E" w:rsidRDefault="002F3E1E" w:rsidP="002F3E1E">
                          <w:pPr>
                            <w:rPr>
                              <w:rFonts w:ascii="Calibri" w:eastAsia="Calibri" w:hAnsi="Calibri" w:cs="Calibri"/>
                              <w:noProof/>
                              <w:color w:val="000000"/>
                              <w:sz w:val="20"/>
                              <w:szCs w:val="20"/>
                            </w:rPr>
                          </w:pPr>
                          <w:r w:rsidRPr="002F3E1E">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F7EE20" id="_x0000_t202" coordsize="21600,21600" o:spt="202" path="m,l,21600r21600,l21600,xe">
              <v:stroke joinstyle="miter"/>
              <v:path gradientshapeok="t" o:connecttype="rect"/>
            </v:shapetype>
            <v:shape id="Cuadro de texto 6" o:spid="_x0000_s1026" type="#_x0000_t202" alt="Uso Interno"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5CE9358" w14:textId="77777777" w:rsidR="002F3E1E" w:rsidRPr="002F3E1E" w:rsidRDefault="002F3E1E" w:rsidP="002F3E1E">
                    <w:pPr>
                      <w:rPr>
                        <w:rFonts w:ascii="Calibri" w:eastAsia="Calibri" w:hAnsi="Calibri" w:cs="Calibri"/>
                        <w:noProof/>
                        <w:color w:val="000000"/>
                        <w:sz w:val="20"/>
                        <w:szCs w:val="20"/>
                      </w:rPr>
                    </w:pPr>
                    <w:r w:rsidRPr="002F3E1E">
                      <w:rPr>
                        <w:rFonts w:ascii="Calibri" w:eastAsia="Calibri" w:hAnsi="Calibri" w:cs="Calibri"/>
                        <w:noProof/>
                        <w:color w:val="000000"/>
                        <w:sz w:val="20"/>
                        <w:szCs w:val="20"/>
                      </w:rPr>
                      <w:t>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5B026" w14:textId="77777777" w:rsidR="003621B6" w:rsidRDefault="002F3E1E" w:rsidP="003621B6">
    <w:pPr>
      <w:pStyle w:val="Piedepgina"/>
      <w:pBdr>
        <w:top w:val="single" w:sz="4" w:space="1" w:color="auto"/>
      </w:pBdr>
      <w:rPr>
        <w:i/>
        <w:szCs w:val="24"/>
      </w:rPr>
    </w:pPr>
    <w:r>
      <w:rPr>
        <w:i/>
        <w:noProof/>
        <w:szCs w:val="24"/>
      </w:rPr>
      <mc:AlternateContent>
        <mc:Choice Requires="wps">
          <w:drawing>
            <wp:anchor distT="0" distB="0" distL="0" distR="0" simplePos="0" relativeHeight="251658246" behindDoc="0" locked="0" layoutInCell="1" allowOverlap="1" wp14:anchorId="67B394F0" wp14:editId="6F65B2B2">
              <wp:simplePos x="635" y="635"/>
              <wp:positionH relativeFrom="page">
                <wp:align>center</wp:align>
              </wp:positionH>
              <wp:positionV relativeFrom="page">
                <wp:align>bottom</wp:align>
              </wp:positionV>
              <wp:extent cx="443865" cy="443865"/>
              <wp:effectExtent l="0" t="0" r="0" b="0"/>
              <wp:wrapNone/>
              <wp:docPr id="7" name="Cuadro de texto 7"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E0E734" w14:textId="77777777" w:rsidR="002F3E1E" w:rsidRPr="002F3E1E" w:rsidRDefault="002F3E1E" w:rsidP="002F3E1E">
                          <w:pPr>
                            <w:rPr>
                              <w:rFonts w:ascii="Calibri" w:eastAsia="Calibri" w:hAnsi="Calibri" w:cs="Calibri"/>
                              <w:noProof/>
                              <w:color w:val="000000"/>
                              <w:sz w:val="20"/>
                              <w:szCs w:val="20"/>
                            </w:rPr>
                          </w:pPr>
                          <w:r w:rsidRPr="002F3E1E">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B394F0" id="_x0000_t202" coordsize="21600,21600" o:spt="202" path="m,l,21600r21600,l21600,xe">
              <v:stroke joinstyle="miter"/>
              <v:path gradientshapeok="t" o:connecttype="rect"/>
            </v:shapetype>
            <v:shape id="Cuadro de texto 7" o:spid="_x0000_s1027" type="#_x0000_t202" alt="Uso Interno"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CE0E734" w14:textId="77777777" w:rsidR="002F3E1E" w:rsidRPr="002F3E1E" w:rsidRDefault="002F3E1E" w:rsidP="002F3E1E">
                    <w:pPr>
                      <w:rPr>
                        <w:rFonts w:ascii="Calibri" w:eastAsia="Calibri" w:hAnsi="Calibri" w:cs="Calibri"/>
                        <w:noProof/>
                        <w:color w:val="000000"/>
                        <w:sz w:val="20"/>
                        <w:szCs w:val="20"/>
                      </w:rPr>
                    </w:pPr>
                    <w:r w:rsidRPr="002F3E1E">
                      <w:rPr>
                        <w:rFonts w:ascii="Calibri" w:eastAsia="Calibri" w:hAnsi="Calibri" w:cs="Calibri"/>
                        <w:noProof/>
                        <w:color w:val="000000"/>
                        <w:sz w:val="20"/>
                        <w:szCs w:val="20"/>
                      </w:rPr>
                      <w:t>Uso Interno</w:t>
                    </w:r>
                  </w:p>
                </w:txbxContent>
              </v:textbox>
              <w10:wrap anchorx="page" anchory="page"/>
            </v:shape>
          </w:pict>
        </mc:Fallback>
      </mc:AlternateContent>
    </w:r>
  </w:p>
  <w:p w14:paraId="7C337BB7" w14:textId="77777777" w:rsidR="009B3671" w:rsidRPr="00BE078A" w:rsidRDefault="00204052" w:rsidP="00204052">
    <w:pPr>
      <w:pStyle w:val="Piedepgina"/>
      <w:pBdr>
        <w:top w:val="single" w:sz="4" w:space="1" w:color="auto"/>
      </w:pBdr>
      <w:rPr>
        <w:szCs w:val="24"/>
      </w:rPr>
    </w:pPr>
    <w:r>
      <w:rPr>
        <w:i/>
        <w:szCs w:val="24"/>
      </w:rPr>
      <w:t>Teléfonos 2243-4400</w:t>
    </w:r>
    <w:r>
      <w:rPr>
        <w:i/>
        <w:szCs w:val="24"/>
      </w:rPr>
      <w:tab/>
      <w:t>Fax 2243-4444</w:t>
    </w:r>
    <w:r>
      <w:rPr>
        <w:i/>
        <w:szCs w:val="24"/>
      </w:rPr>
      <w:tab/>
    </w:r>
    <w:hyperlink r:id="rId1" w:history="1">
      <w:r>
        <w:rPr>
          <w:rStyle w:val="Hipervnculo"/>
          <w:i/>
          <w:szCs w:val="24"/>
        </w:rPr>
        <w:t>supen@supen.fi.cr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B2BDE" w14:textId="77777777" w:rsidR="003621B6" w:rsidRDefault="002F3E1E" w:rsidP="003621B6">
    <w:pPr>
      <w:pStyle w:val="Piedepgina"/>
      <w:pBdr>
        <w:top w:val="single" w:sz="4" w:space="1" w:color="auto"/>
      </w:pBdr>
      <w:rPr>
        <w:i/>
        <w:szCs w:val="24"/>
      </w:rPr>
    </w:pPr>
    <w:r>
      <w:rPr>
        <w:i/>
        <w:noProof/>
        <w:szCs w:val="24"/>
      </w:rPr>
      <mc:AlternateContent>
        <mc:Choice Requires="wps">
          <w:drawing>
            <wp:anchor distT="0" distB="0" distL="0" distR="0" simplePos="0" relativeHeight="251658244" behindDoc="0" locked="0" layoutInCell="1" allowOverlap="1" wp14:anchorId="2E622FD8" wp14:editId="07D231D6">
              <wp:simplePos x="1079500" y="9239250"/>
              <wp:positionH relativeFrom="page">
                <wp:align>center</wp:align>
              </wp:positionH>
              <wp:positionV relativeFrom="page">
                <wp:align>bottom</wp:align>
              </wp:positionV>
              <wp:extent cx="443865" cy="443865"/>
              <wp:effectExtent l="0" t="0" r="0" b="0"/>
              <wp:wrapNone/>
              <wp:docPr id="1" name="Cuadro de texto 1"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3AE075" w14:textId="77777777" w:rsidR="002F3E1E" w:rsidRPr="002F3E1E" w:rsidRDefault="002F3E1E" w:rsidP="002F3E1E">
                          <w:pPr>
                            <w:rPr>
                              <w:rFonts w:ascii="Calibri" w:eastAsia="Calibri" w:hAnsi="Calibri" w:cs="Calibri"/>
                              <w:noProof/>
                              <w:color w:val="000000"/>
                              <w:sz w:val="20"/>
                              <w:szCs w:val="20"/>
                            </w:rPr>
                          </w:pPr>
                          <w:r w:rsidRPr="002F3E1E">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622FD8" id="_x0000_t202" coordsize="21600,21600" o:spt="202" path="m,l,21600r21600,l21600,xe">
              <v:stroke joinstyle="miter"/>
              <v:path gradientshapeok="t" o:connecttype="rect"/>
            </v:shapetype>
            <v:shape id="Cuadro de texto 1" o:spid="_x0000_s1028" type="#_x0000_t202" alt="Uso Interno"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13AE075" w14:textId="77777777" w:rsidR="002F3E1E" w:rsidRPr="002F3E1E" w:rsidRDefault="002F3E1E" w:rsidP="002F3E1E">
                    <w:pPr>
                      <w:rPr>
                        <w:rFonts w:ascii="Calibri" w:eastAsia="Calibri" w:hAnsi="Calibri" w:cs="Calibri"/>
                        <w:noProof/>
                        <w:color w:val="000000"/>
                        <w:sz w:val="20"/>
                        <w:szCs w:val="20"/>
                      </w:rPr>
                    </w:pPr>
                    <w:r w:rsidRPr="002F3E1E">
                      <w:rPr>
                        <w:rFonts w:ascii="Calibri" w:eastAsia="Calibri" w:hAnsi="Calibri" w:cs="Calibri"/>
                        <w:noProof/>
                        <w:color w:val="000000"/>
                        <w:sz w:val="20"/>
                        <w:szCs w:val="20"/>
                      </w:rPr>
                      <w:t>Uso Interno</w:t>
                    </w:r>
                  </w:p>
                </w:txbxContent>
              </v:textbox>
              <w10:wrap anchorx="page" anchory="page"/>
            </v:shape>
          </w:pict>
        </mc:Fallback>
      </mc:AlternateContent>
    </w:r>
  </w:p>
  <w:p w14:paraId="5BBEC2E2" w14:textId="77777777" w:rsidR="009B3671" w:rsidRPr="00BE078A" w:rsidRDefault="00594A6E" w:rsidP="00594A6E">
    <w:pPr>
      <w:pStyle w:val="Piedepgina"/>
      <w:pBdr>
        <w:top w:val="single" w:sz="4" w:space="1" w:color="auto"/>
      </w:pBdr>
      <w:rPr>
        <w:szCs w:val="24"/>
      </w:rPr>
    </w:pPr>
    <w:r>
      <w:rPr>
        <w:i/>
        <w:szCs w:val="24"/>
      </w:rPr>
      <w:t>Teléfonos 2243-4400</w:t>
    </w:r>
    <w:r>
      <w:rPr>
        <w:i/>
        <w:szCs w:val="24"/>
      </w:rPr>
      <w:tab/>
      <w:t>Fax 2243-4444</w:t>
    </w:r>
    <w:r>
      <w:rPr>
        <w:i/>
        <w:szCs w:val="24"/>
      </w:rPr>
      <w:tab/>
    </w:r>
    <w:hyperlink r:id="rId1" w:history="1">
      <w:r>
        <w:rPr>
          <w:rStyle w:val="Hipervnculo"/>
          <w:i/>
          <w:szCs w:val="24"/>
        </w:rPr>
        <w:t>supen@supen.fi.cr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4DB4B" w14:textId="77777777" w:rsidR="00CB147D" w:rsidRDefault="00CB147D" w:rsidP="00011FAB">
      <w:pPr>
        <w:spacing w:line="240" w:lineRule="auto"/>
      </w:pPr>
      <w:r>
        <w:separator/>
      </w:r>
    </w:p>
  </w:footnote>
  <w:footnote w:type="continuationSeparator" w:id="0">
    <w:p w14:paraId="1B7F2B68" w14:textId="77777777" w:rsidR="00CB147D" w:rsidRDefault="00CB147D" w:rsidP="00011FAB">
      <w:pPr>
        <w:spacing w:line="240" w:lineRule="auto"/>
      </w:pPr>
      <w:r>
        <w:continuationSeparator/>
      </w:r>
    </w:p>
  </w:footnote>
  <w:footnote w:type="continuationNotice" w:id="1">
    <w:p w14:paraId="3A3D4A70" w14:textId="77777777" w:rsidR="00CB147D" w:rsidRDefault="00CB147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73524" w14:textId="77777777" w:rsidR="0075244F" w:rsidRDefault="0067350A" w:rsidP="0075244F">
    <w:pPr>
      <w:pStyle w:val="Encabezado"/>
      <w:rPr>
        <w:sz w:val="22"/>
      </w:rPr>
    </w:pPr>
    <w:r>
      <w:rPr>
        <w:noProof/>
      </w:rPr>
      <w:drawing>
        <wp:anchor distT="0" distB="0" distL="114300" distR="114300" simplePos="0" relativeHeight="251658240" behindDoc="1" locked="0" layoutInCell="1" allowOverlap="1" wp14:anchorId="1C6E25A5" wp14:editId="48A6DF51">
          <wp:simplePos x="0" y="0"/>
          <wp:positionH relativeFrom="margin">
            <wp:align>right</wp:align>
          </wp:positionH>
          <wp:positionV relativeFrom="paragraph">
            <wp:posOffset>-39163</wp:posOffset>
          </wp:positionV>
          <wp:extent cx="866140" cy="567690"/>
          <wp:effectExtent l="0" t="0" r="0" b="3810"/>
          <wp:wrapNone/>
          <wp:docPr id="2" name="Imagen 2"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de la pantalla de un celular con letras&#10;&#10;Descripción generada automáticamente con confianza baja"/>
                  <pic:cNvPicPr/>
                </pic:nvPicPr>
                <pic:blipFill>
                  <a:blip r:embed="rId1"/>
                  <a:stretch>
                    <a:fillRect/>
                  </a:stretch>
                </pic:blipFill>
                <pic:spPr>
                  <a:xfrm>
                    <a:off x="0" y="0"/>
                    <a:ext cx="866140" cy="567690"/>
                  </a:xfrm>
                  <a:prstGeom prst="rect">
                    <a:avLst/>
                  </a:prstGeom>
                </pic:spPr>
              </pic:pic>
            </a:graphicData>
          </a:graphic>
        </wp:anchor>
      </w:drawing>
    </w:r>
    <w:r w:rsidR="0075244F">
      <w:rPr>
        <w:noProof/>
      </w:rPr>
      <w:drawing>
        <wp:anchor distT="0" distB="0" distL="114300" distR="114300" simplePos="0" relativeHeight="251658243" behindDoc="0" locked="0" layoutInCell="1" allowOverlap="1" wp14:anchorId="44D1FEFE" wp14:editId="47302493">
          <wp:simplePos x="0" y="0"/>
          <wp:positionH relativeFrom="column">
            <wp:posOffset>-185420</wp:posOffset>
          </wp:positionH>
          <wp:positionV relativeFrom="paragraph">
            <wp:posOffset>-227330</wp:posOffset>
          </wp:positionV>
          <wp:extent cx="1931035" cy="742950"/>
          <wp:effectExtent l="0" t="0" r="0" b="0"/>
          <wp:wrapSquare wrapText="bothSides"/>
          <wp:docPr id="5" name="Imagen 5"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Un dibujo animado con letras&#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1035" cy="742950"/>
                  </a:xfrm>
                  <a:prstGeom prst="rect">
                    <a:avLst/>
                  </a:prstGeom>
                  <a:noFill/>
                </pic:spPr>
              </pic:pic>
            </a:graphicData>
          </a:graphic>
          <wp14:sizeRelH relativeFrom="page">
            <wp14:pctWidth>0</wp14:pctWidth>
          </wp14:sizeRelH>
          <wp14:sizeRelV relativeFrom="page">
            <wp14:pctHeight>0</wp14:pctHeight>
          </wp14:sizeRelV>
        </wp:anchor>
      </w:drawing>
    </w:r>
  </w:p>
  <w:p w14:paraId="6F2E6B16" w14:textId="77777777" w:rsidR="00D766AB" w:rsidRDefault="00D766AB" w:rsidP="00D766AB">
    <w:pPr>
      <w:pStyle w:val="Encabezado"/>
    </w:pPr>
    <w:r>
      <w:tab/>
    </w:r>
    <w:r>
      <w:tab/>
    </w:r>
  </w:p>
  <w:p w14:paraId="62CF0FFE" w14:textId="77777777" w:rsidR="00D766AB" w:rsidRDefault="00D766AB" w:rsidP="00D766AB">
    <w:pPr>
      <w:pStyle w:val="Encabezado"/>
    </w:pPr>
  </w:p>
  <w:p w14:paraId="3CA57DC8" w14:textId="77777777" w:rsidR="0075244F" w:rsidRPr="00310D45" w:rsidRDefault="0075244F" w:rsidP="00D766AB">
    <w:pPr>
      <w:pStyle w:val="Encabezado"/>
    </w:pPr>
  </w:p>
  <w:p w14:paraId="33D73AD2" w14:textId="40658F51" w:rsidR="006B6689" w:rsidRPr="00092B79" w:rsidRDefault="00621251" w:rsidP="006B6689">
    <w:pPr>
      <w:pStyle w:val="Encabezado"/>
      <w:rPr>
        <w:b/>
        <w:i/>
        <w:noProof/>
        <w:szCs w:val="24"/>
      </w:rPr>
    </w:pPr>
    <w:r w:rsidRPr="00092B79">
      <w:rPr>
        <w:b/>
        <w:i/>
        <w:szCs w:val="24"/>
      </w:rPr>
      <w:fldChar w:fldCharType="begin"/>
    </w:r>
    <w:r w:rsidRPr="00092B79">
      <w:rPr>
        <w:b/>
        <w:i/>
        <w:szCs w:val="24"/>
      </w:rPr>
      <w:instrText xml:space="preserve"> STYLEREF  Supen_Encabezado  \* MERGEFORMAT </w:instrText>
    </w:r>
    <w:r w:rsidRPr="00092B79">
      <w:rPr>
        <w:b/>
        <w:i/>
        <w:szCs w:val="24"/>
      </w:rPr>
      <w:fldChar w:fldCharType="separate"/>
    </w:r>
    <w:r w:rsidR="004F320F">
      <w:rPr>
        <w:b/>
        <w:i/>
        <w:noProof/>
        <w:szCs w:val="24"/>
      </w:rPr>
      <w:t>SP-A-272-2024</w:t>
    </w:r>
    <w:r w:rsidRPr="00092B79">
      <w:rPr>
        <w:b/>
        <w:i/>
        <w:noProof/>
        <w:szCs w:val="24"/>
      </w:rPr>
      <w:fldChar w:fldCharType="end"/>
    </w:r>
  </w:p>
  <w:p w14:paraId="62F869F8" w14:textId="77777777" w:rsidR="00DC38D9" w:rsidRDefault="00D766AB" w:rsidP="006B6689">
    <w:pPr>
      <w:pStyle w:val="Encabezado"/>
      <w:rPr>
        <w:i/>
        <w:szCs w:val="24"/>
      </w:rPr>
    </w:pPr>
    <w:r>
      <w:rPr>
        <w:i/>
        <w:szCs w:val="24"/>
        <w:lang w:val="es-MX"/>
      </w:rPr>
      <w:t xml:space="preserve">Página </w:t>
    </w:r>
    <w:r w:rsidR="00DC38D9" w:rsidRPr="00DC38D9">
      <w:rPr>
        <w:i/>
        <w:szCs w:val="24"/>
      </w:rPr>
      <w:fldChar w:fldCharType="begin"/>
    </w:r>
    <w:r w:rsidR="00DC38D9" w:rsidRPr="00DC38D9">
      <w:rPr>
        <w:i/>
        <w:szCs w:val="24"/>
      </w:rPr>
      <w:instrText>PAGE   \* MERGEFORMAT</w:instrText>
    </w:r>
    <w:r w:rsidR="00DC38D9" w:rsidRPr="00DC38D9">
      <w:rPr>
        <w:i/>
        <w:szCs w:val="24"/>
      </w:rPr>
      <w:fldChar w:fldCharType="separate"/>
    </w:r>
    <w:r w:rsidR="00732D8B">
      <w:rPr>
        <w:i/>
        <w:noProof/>
        <w:szCs w:val="24"/>
      </w:rPr>
      <w:t>2</w:t>
    </w:r>
    <w:r w:rsidR="00DC38D9" w:rsidRPr="00DC38D9">
      <w:rPr>
        <w:i/>
        <w:szCs w:val="24"/>
      </w:rPr>
      <w:fldChar w:fldCharType="end"/>
    </w:r>
  </w:p>
  <w:p w14:paraId="6F064D92" w14:textId="77777777" w:rsidR="00722522" w:rsidRPr="00DC38D9" w:rsidRDefault="00722522" w:rsidP="006B6689">
    <w:pPr>
      <w:pStyle w:val="Encabezado"/>
      <w:rPr>
        <w:i/>
        <w:szCs w:val="24"/>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ADC64" w14:textId="77777777" w:rsidR="000F575B" w:rsidRDefault="000F575B" w:rsidP="000F575B">
    <w:pPr>
      <w:pStyle w:val="Encabezado"/>
      <w:rPr>
        <w:sz w:val="22"/>
      </w:rPr>
    </w:pPr>
    <w:r>
      <w:rPr>
        <w:noProof/>
        <w:sz w:val="22"/>
      </w:rPr>
      <w:drawing>
        <wp:anchor distT="0" distB="0" distL="114300" distR="114300" simplePos="0" relativeHeight="251658242" behindDoc="0" locked="0" layoutInCell="1" allowOverlap="1" wp14:anchorId="2B854C01" wp14:editId="33C18739">
          <wp:simplePos x="0" y="0"/>
          <wp:positionH relativeFrom="column">
            <wp:posOffset>-185420</wp:posOffset>
          </wp:positionH>
          <wp:positionV relativeFrom="paragraph">
            <wp:posOffset>-227330</wp:posOffset>
          </wp:positionV>
          <wp:extent cx="1931035" cy="742950"/>
          <wp:effectExtent l="0" t="0" r="0" b="0"/>
          <wp:wrapSquare wrapText="bothSides"/>
          <wp:docPr id="4" name="Imagen 4"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dibujo animado con letr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035" cy="742950"/>
                  </a:xfrm>
                  <a:prstGeom prst="rect">
                    <a:avLst/>
                  </a:prstGeom>
                  <a:noFill/>
                </pic:spPr>
              </pic:pic>
            </a:graphicData>
          </a:graphic>
          <wp14:sizeRelH relativeFrom="page">
            <wp14:pctWidth>0</wp14:pctWidth>
          </wp14:sizeRelH>
          <wp14:sizeRelV relativeFrom="page">
            <wp14:pctHeight>0</wp14:pctHeight>
          </wp14:sizeRelV>
        </wp:anchor>
      </w:drawing>
    </w:r>
    <w:r>
      <w:rPr>
        <w:noProof/>
        <w:sz w:val="22"/>
      </w:rPr>
      <w:drawing>
        <wp:anchor distT="0" distB="0" distL="114300" distR="114300" simplePos="0" relativeHeight="251658241" behindDoc="1" locked="0" layoutInCell="1" allowOverlap="1" wp14:anchorId="226D6CC7" wp14:editId="5AF2C451">
          <wp:simplePos x="0" y="0"/>
          <wp:positionH relativeFrom="margin">
            <wp:align>right</wp:align>
          </wp:positionH>
          <wp:positionV relativeFrom="paragraph">
            <wp:posOffset>-127635</wp:posOffset>
          </wp:positionV>
          <wp:extent cx="901700" cy="585470"/>
          <wp:effectExtent l="0" t="0" r="0" b="5080"/>
          <wp:wrapNone/>
          <wp:docPr id="3" name="Imagen 3"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Imagen de la pantalla de un celular con letras&#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1700" cy="585470"/>
                  </a:xfrm>
                  <a:prstGeom prst="rect">
                    <a:avLst/>
                  </a:prstGeom>
                  <a:noFill/>
                </pic:spPr>
              </pic:pic>
            </a:graphicData>
          </a:graphic>
          <wp14:sizeRelH relativeFrom="page">
            <wp14:pctWidth>0</wp14:pctWidth>
          </wp14:sizeRelH>
          <wp14:sizeRelV relativeFrom="page">
            <wp14:pctHeight>0</wp14:pctHeight>
          </wp14:sizeRelV>
        </wp:anchor>
      </w:drawing>
    </w:r>
  </w:p>
  <w:p w14:paraId="2415BDE6" w14:textId="77777777" w:rsidR="00F44087" w:rsidRPr="000F575B" w:rsidRDefault="00F44087" w:rsidP="000F57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8F284E"/>
    <w:multiLevelType w:val="hybridMultilevel"/>
    <w:tmpl w:val="E612EE96"/>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 w15:restartNumberingAfterBreak="0">
    <w:nsid w:val="7D587330"/>
    <w:multiLevelType w:val="hybridMultilevel"/>
    <w:tmpl w:val="75DA8A12"/>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16cid:durableId="507911803">
    <w:abstractNumId w:val="1"/>
  </w:num>
  <w:num w:numId="2" w16cid:durableId="1234699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E25"/>
    <w:rsid w:val="00004D01"/>
    <w:rsid w:val="00011FAB"/>
    <w:rsid w:val="00014E6C"/>
    <w:rsid w:val="00021ADD"/>
    <w:rsid w:val="000266D3"/>
    <w:rsid w:val="00027FC8"/>
    <w:rsid w:val="000361E1"/>
    <w:rsid w:val="00041856"/>
    <w:rsid w:val="000421CB"/>
    <w:rsid w:val="0006650E"/>
    <w:rsid w:val="000777CD"/>
    <w:rsid w:val="000811AF"/>
    <w:rsid w:val="0008410F"/>
    <w:rsid w:val="000862EE"/>
    <w:rsid w:val="00092B79"/>
    <w:rsid w:val="00093F95"/>
    <w:rsid w:val="00095A2B"/>
    <w:rsid w:val="00095D6D"/>
    <w:rsid w:val="000B2FF2"/>
    <w:rsid w:val="000C4DF8"/>
    <w:rsid w:val="000C79AF"/>
    <w:rsid w:val="000D2BBC"/>
    <w:rsid w:val="000E4020"/>
    <w:rsid w:val="000F20BC"/>
    <w:rsid w:val="000F56FF"/>
    <w:rsid w:val="000F575B"/>
    <w:rsid w:val="00104A86"/>
    <w:rsid w:val="00107ED5"/>
    <w:rsid w:val="00114DCF"/>
    <w:rsid w:val="0011717D"/>
    <w:rsid w:val="00145C7B"/>
    <w:rsid w:val="00150ACC"/>
    <w:rsid w:val="001572C1"/>
    <w:rsid w:val="00160ED0"/>
    <w:rsid w:val="0016579C"/>
    <w:rsid w:val="0016618D"/>
    <w:rsid w:val="0017212E"/>
    <w:rsid w:val="001812D9"/>
    <w:rsid w:val="001814F4"/>
    <w:rsid w:val="00184AB5"/>
    <w:rsid w:val="001865FC"/>
    <w:rsid w:val="001A7D9A"/>
    <w:rsid w:val="001B4880"/>
    <w:rsid w:val="001B67E6"/>
    <w:rsid w:val="001D18BF"/>
    <w:rsid w:val="001D3394"/>
    <w:rsid w:val="001E06C7"/>
    <w:rsid w:val="001E12A6"/>
    <w:rsid w:val="001F5586"/>
    <w:rsid w:val="002002DC"/>
    <w:rsid w:val="00204052"/>
    <w:rsid w:val="00206BC7"/>
    <w:rsid w:val="002073B7"/>
    <w:rsid w:val="00213EB2"/>
    <w:rsid w:val="002257D1"/>
    <w:rsid w:val="00244667"/>
    <w:rsid w:val="00244D75"/>
    <w:rsid w:val="00245B9E"/>
    <w:rsid w:val="002507F8"/>
    <w:rsid w:val="00261F6E"/>
    <w:rsid w:val="00262F5C"/>
    <w:rsid w:val="0026796D"/>
    <w:rsid w:val="00277C51"/>
    <w:rsid w:val="00281BBD"/>
    <w:rsid w:val="00291B81"/>
    <w:rsid w:val="00295088"/>
    <w:rsid w:val="00295482"/>
    <w:rsid w:val="002A3368"/>
    <w:rsid w:val="002B0760"/>
    <w:rsid w:val="002B0CB9"/>
    <w:rsid w:val="002C1120"/>
    <w:rsid w:val="002C4B00"/>
    <w:rsid w:val="002C4C8C"/>
    <w:rsid w:val="002E332F"/>
    <w:rsid w:val="002E389E"/>
    <w:rsid w:val="002F012F"/>
    <w:rsid w:val="002F0201"/>
    <w:rsid w:val="002F0CD8"/>
    <w:rsid w:val="002F3E1E"/>
    <w:rsid w:val="002F607D"/>
    <w:rsid w:val="00303B4A"/>
    <w:rsid w:val="00305EDC"/>
    <w:rsid w:val="00306B6E"/>
    <w:rsid w:val="00310D45"/>
    <w:rsid w:val="00313944"/>
    <w:rsid w:val="003155C5"/>
    <w:rsid w:val="003165ED"/>
    <w:rsid w:val="0031679D"/>
    <w:rsid w:val="003262D5"/>
    <w:rsid w:val="00341777"/>
    <w:rsid w:val="00342E18"/>
    <w:rsid w:val="00347408"/>
    <w:rsid w:val="00347829"/>
    <w:rsid w:val="003621B6"/>
    <w:rsid w:val="00362EE3"/>
    <w:rsid w:val="003754FC"/>
    <w:rsid w:val="00377CEE"/>
    <w:rsid w:val="003814A7"/>
    <w:rsid w:val="00381968"/>
    <w:rsid w:val="00384D2A"/>
    <w:rsid w:val="00385934"/>
    <w:rsid w:val="00387CD6"/>
    <w:rsid w:val="003902E0"/>
    <w:rsid w:val="003929EA"/>
    <w:rsid w:val="003A06F4"/>
    <w:rsid w:val="003A3EB3"/>
    <w:rsid w:val="003A5A94"/>
    <w:rsid w:val="003A66A6"/>
    <w:rsid w:val="003B0756"/>
    <w:rsid w:val="003B5778"/>
    <w:rsid w:val="003B667F"/>
    <w:rsid w:val="003C326A"/>
    <w:rsid w:val="003C51AE"/>
    <w:rsid w:val="003C545C"/>
    <w:rsid w:val="003D35CA"/>
    <w:rsid w:val="003F0CD8"/>
    <w:rsid w:val="004035EE"/>
    <w:rsid w:val="00413B95"/>
    <w:rsid w:val="0042790D"/>
    <w:rsid w:val="00432490"/>
    <w:rsid w:val="00442540"/>
    <w:rsid w:val="004453C3"/>
    <w:rsid w:val="00446194"/>
    <w:rsid w:val="0045287A"/>
    <w:rsid w:val="00455131"/>
    <w:rsid w:val="004565B1"/>
    <w:rsid w:val="00464393"/>
    <w:rsid w:val="004735C2"/>
    <w:rsid w:val="00477218"/>
    <w:rsid w:val="00480329"/>
    <w:rsid w:val="00481A76"/>
    <w:rsid w:val="00484927"/>
    <w:rsid w:val="004962CA"/>
    <w:rsid w:val="004A2C15"/>
    <w:rsid w:val="004A489A"/>
    <w:rsid w:val="004B3D1D"/>
    <w:rsid w:val="004E3155"/>
    <w:rsid w:val="004E4C88"/>
    <w:rsid w:val="004F1FB4"/>
    <w:rsid w:val="004F21B2"/>
    <w:rsid w:val="004F320F"/>
    <w:rsid w:val="0050511E"/>
    <w:rsid w:val="00507921"/>
    <w:rsid w:val="00510B84"/>
    <w:rsid w:val="00514125"/>
    <w:rsid w:val="00526623"/>
    <w:rsid w:val="00540863"/>
    <w:rsid w:val="005429B7"/>
    <w:rsid w:val="005607F0"/>
    <w:rsid w:val="00570F1D"/>
    <w:rsid w:val="0058396A"/>
    <w:rsid w:val="005863A7"/>
    <w:rsid w:val="005864C5"/>
    <w:rsid w:val="0058753F"/>
    <w:rsid w:val="00587CEA"/>
    <w:rsid w:val="0059081B"/>
    <w:rsid w:val="00594A6E"/>
    <w:rsid w:val="00596FC5"/>
    <w:rsid w:val="005A4175"/>
    <w:rsid w:val="005A55A4"/>
    <w:rsid w:val="005B3B07"/>
    <w:rsid w:val="005C18F6"/>
    <w:rsid w:val="005D0E59"/>
    <w:rsid w:val="005E4A8B"/>
    <w:rsid w:val="005F673D"/>
    <w:rsid w:val="00615CF1"/>
    <w:rsid w:val="00621251"/>
    <w:rsid w:val="00627C5A"/>
    <w:rsid w:val="00630614"/>
    <w:rsid w:val="006347E2"/>
    <w:rsid w:val="0063517C"/>
    <w:rsid w:val="00672F79"/>
    <w:rsid w:val="0067350A"/>
    <w:rsid w:val="006777D7"/>
    <w:rsid w:val="006803D3"/>
    <w:rsid w:val="0069087E"/>
    <w:rsid w:val="00692B77"/>
    <w:rsid w:val="006B6689"/>
    <w:rsid w:val="006C5791"/>
    <w:rsid w:val="006C65C3"/>
    <w:rsid w:val="006D5B49"/>
    <w:rsid w:val="006E3047"/>
    <w:rsid w:val="006E77B0"/>
    <w:rsid w:val="006F5308"/>
    <w:rsid w:val="006F787D"/>
    <w:rsid w:val="00720B42"/>
    <w:rsid w:val="00722522"/>
    <w:rsid w:val="007300CC"/>
    <w:rsid w:val="00732D8B"/>
    <w:rsid w:val="00735559"/>
    <w:rsid w:val="00740F9D"/>
    <w:rsid w:val="00741AEB"/>
    <w:rsid w:val="00743960"/>
    <w:rsid w:val="00743EF0"/>
    <w:rsid w:val="0075244F"/>
    <w:rsid w:val="007535F1"/>
    <w:rsid w:val="007621A3"/>
    <w:rsid w:val="007628A6"/>
    <w:rsid w:val="00762E69"/>
    <w:rsid w:val="00763296"/>
    <w:rsid w:val="00765BF8"/>
    <w:rsid w:val="0076656D"/>
    <w:rsid w:val="00787D25"/>
    <w:rsid w:val="0079478E"/>
    <w:rsid w:val="00797B10"/>
    <w:rsid w:val="007A116E"/>
    <w:rsid w:val="007A1F61"/>
    <w:rsid w:val="007B253B"/>
    <w:rsid w:val="007C2F61"/>
    <w:rsid w:val="007D711F"/>
    <w:rsid w:val="007E7168"/>
    <w:rsid w:val="007E76DA"/>
    <w:rsid w:val="00801B5B"/>
    <w:rsid w:val="008051AB"/>
    <w:rsid w:val="00807A06"/>
    <w:rsid w:val="00826EC1"/>
    <w:rsid w:val="008308B4"/>
    <w:rsid w:val="00832382"/>
    <w:rsid w:val="00841E75"/>
    <w:rsid w:val="00847156"/>
    <w:rsid w:val="00851CCD"/>
    <w:rsid w:val="008645ED"/>
    <w:rsid w:val="00867CA1"/>
    <w:rsid w:val="008708EB"/>
    <w:rsid w:val="008815FD"/>
    <w:rsid w:val="00883CCF"/>
    <w:rsid w:val="008845BE"/>
    <w:rsid w:val="00886AF4"/>
    <w:rsid w:val="008931C6"/>
    <w:rsid w:val="00895DD1"/>
    <w:rsid w:val="00897196"/>
    <w:rsid w:val="008A098B"/>
    <w:rsid w:val="008B09A3"/>
    <w:rsid w:val="008B5367"/>
    <w:rsid w:val="008C4A24"/>
    <w:rsid w:val="008D3632"/>
    <w:rsid w:val="008E076A"/>
    <w:rsid w:val="008E2EF8"/>
    <w:rsid w:val="008E4ECE"/>
    <w:rsid w:val="008E71FB"/>
    <w:rsid w:val="008E7D4F"/>
    <w:rsid w:val="008F4D10"/>
    <w:rsid w:val="0090063C"/>
    <w:rsid w:val="00912217"/>
    <w:rsid w:val="00925EC0"/>
    <w:rsid w:val="009320E2"/>
    <w:rsid w:val="009332DB"/>
    <w:rsid w:val="009336BF"/>
    <w:rsid w:val="00945C54"/>
    <w:rsid w:val="00952283"/>
    <w:rsid w:val="00952852"/>
    <w:rsid w:val="009536A5"/>
    <w:rsid w:val="00955F4F"/>
    <w:rsid w:val="0096535A"/>
    <w:rsid w:val="00967B19"/>
    <w:rsid w:val="00973AE3"/>
    <w:rsid w:val="009741F4"/>
    <w:rsid w:val="00980E25"/>
    <w:rsid w:val="009913CA"/>
    <w:rsid w:val="00997300"/>
    <w:rsid w:val="00997DA4"/>
    <w:rsid w:val="009A0889"/>
    <w:rsid w:val="009B3671"/>
    <w:rsid w:val="009B475A"/>
    <w:rsid w:val="009C16DD"/>
    <w:rsid w:val="009D0E31"/>
    <w:rsid w:val="009E38A1"/>
    <w:rsid w:val="009E6DB2"/>
    <w:rsid w:val="009F7C79"/>
    <w:rsid w:val="00A0168D"/>
    <w:rsid w:val="00A03AF6"/>
    <w:rsid w:val="00A06D49"/>
    <w:rsid w:val="00A1061A"/>
    <w:rsid w:val="00A1395C"/>
    <w:rsid w:val="00A16190"/>
    <w:rsid w:val="00A241E6"/>
    <w:rsid w:val="00A430C7"/>
    <w:rsid w:val="00A431CA"/>
    <w:rsid w:val="00A47569"/>
    <w:rsid w:val="00A4778B"/>
    <w:rsid w:val="00A50F54"/>
    <w:rsid w:val="00A56F55"/>
    <w:rsid w:val="00A60740"/>
    <w:rsid w:val="00A60911"/>
    <w:rsid w:val="00A71DCB"/>
    <w:rsid w:val="00A83352"/>
    <w:rsid w:val="00A852D7"/>
    <w:rsid w:val="00A9467D"/>
    <w:rsid w:val="00AA24D3"/>
    <w:rsid w:val="00AB067A"/>
    <w:rsid w:val="00AB116C"/>
    <w:rsid w:val="00AC4EF7"/>
    <w:rsid w:val="00AC6ADE"/>
    <w:rsid w:val="00AD10D3"/>
    <w:rsid w:val="00AD2E16"/>
    <w:rsid w:val="00AF3B9B"/>
    <w:rsid w:val="00AF4794"/>
    <w:rsid w:val="00AF7580"/>
    <w:rsid w:val="00AF7BCB"/>
    <w:rsid w:val="00B001BB"/>
    <w:rsid w:val="00B04CF9"/>
    <w:rsid w:val="00B1656F"/>
    <w:rsid w:val="00B179E4"/>
    <w:rsid w:val="00B20060"/>
    <w:rsid w:val="00B25126"/>
    <w:rsid w:val="00B50BE6"/>
    <w:rsid w:val="00B545BE"/>
    <w:rsid w:val="00B65E0E"/>
    <w:rsid w:val="00B6F09D"/>
    <w:rsid w:val="00B71DC2"/>
    <w:rsid w:val="00B75541"/>
    <w:rsid w:val="00B849CB"/>
    <w:rsid w:val="00BA4023"/>
    <w:rsid w:val="00BA4F3E"/>
    <w:rsid w:val="00BA5759"/>
    <w:rsid w:val="00BD5F5A"/>
    <w:rsid w:val="00BE078A"/>
    <w:rsid w:val="00C015B1"/>
    <w:rsid w:val="00C05997"/>
    <w:rsid w:val="00C607F7"/>
    <w:rsid w:val="00C62723"/>
    <w:rsid w:val="00C81FD1"/>
    <w:rsid w:val="00C8759F"/>
    <w:rsid w:val="00C90A71"/>
    <w:rsid w:val="00CA16C2"/>
    <w:rsid w:val="00CA19BB"/>
    <w:rsid w:val="00CA2738"/>
    <w:rsid w:val="00CB05F2"/>
    <w:rsid w:val="00CB147D"/>
    <w:rsid w:val="00CB5DF3"/>
    <w:rsid w:val="00CC0335"/>
    <w:rsid w:val="00CC24BF"/>
    <w:rsid w:val="00CC25AA"/>
    <w:rsid w:val="00CC2BEC"/>
    <w:rsid w:val="00CC5384"/>
    <w:rsid w:val="00CC7E18"/>
    <w:rsid w:val="00CD5928"/>
    <w:rsid w:val="00CE2E08"/>
    <w:rsid w:val="00CF51F2"/>
    <w:rsid w:val="00CF7205"/>
    <w:rsid w:val="00D029E6"/>
    <w:rsid w:val="00D060E8"/>
    <w:rsid w:val="00D0661A"/>
    <w:rsid w:val="00D14639"/>
    <w:rsid w:val="00D27FE6"/>
    <w:rsid w:val="00D350B3"/>
    <w:rsid w:val="00D439BB"/>
    <w:rsid w:val="00D440C1"/>
    <w:rsid w:val="00D5353F"/>
    <w:rsid w:val="00D5791A"/>
    <w:rsid w:val="00D603B0"/>
    <w:rsid w:val="00D61945"/>
    <w:rsid w:val="00D766AB"/>
    <w:rsid w:val="00D80206"/>
    <w:rsid w:val="00D83EC9"/>
    <w:rsid w:val="00D86CC1"/>
    <w:rsid w:val="00D955B2"/>
    <w:rsid w:val="00DA5F5C"/>
    <w:rsid w:val="00DA772C"/>
    <w:rsid w:val="00DB6E69"/>
    <w:rsid w:val="00DC38D9"/>
    <w:rsid w:val="00DC55A4"/>
    <w:rsid w:val="00DD2272"/>
    <w:rsid w:val="00DD6428"/>
    <w:rsid w:val="00DD729A"/>
    <w:rsid w:val="00DF4309"/>
    <w:rsid w:val="00DF748C"/>
    <w:rsid w:val="00E02373"/>
    <w:rsid w:val="00E070BC"/>
    <w:rsid w:val="00E10946"/>
    <w:rsid w:val="00E23E2C"/>
    <w:rsid w:val="00E240B6"/>
    <w:rsid w:val="00E34811"/>
    <w:rsid w:val="00E35382"/>
    <w:rsid w:val="00E37563"/>
    <w:rsid w:val="00E42EFF"/>
    <w:rsid w:val="00E46F07"/>
    <w:rsid w:val="00E51713"/>
    <w:rsid w:val="00E62398"/>
    <w:rsid w:val="00E62C74"/>
    <w:rsid w:val="00E72195"/>
    <w:rsid w:val="00E7577C"/>
    <w:rsid w:val="00E75D3A"/>
    <w:rsid w:val="00E76605"/>
    <w:rsid w:val="00E77E92"/>
    <w:rsid w:val="00E81D8D"/>
    <w:rsid w:val="00E95D96"/>
    <w:rsid w:val="00EA0753"/>
    <w:rsid w:val="00EA1A49"/>
    <w:rsid w:val="00EA4A1B"/>
    <w:rsid w:val="00EB2BA0"/>
    <w:rsid w:val="00EC1B04"/>
    <w:rsid w:val="00EC3D11"/>
    <w:rsid w:val="00ED297D"/>
    <w:rsid w:val="00ED346E"/>
    <w:rsid w:val="00ED3F02"/>
    <w:rsid w:val="00EE58B8"/>
    <w:rsid w:val="00EF04B3"/>
    <w:rsid w:val="00F26745"/>
    <w:rsid w:val="00F27C06"/>
    <w:rsid w:val="00F432E8"/>
    <w:rsid w:val="00F44087"/>
    <w:rsid w:val="00F45319"/>
    <w:rsid w:val="00F45755"/>
    <w:rsid w:val="00F51952"/>
    <w:rsid w:val="00F560CF"/>
    <w:rsid w:val="00F56B7E"/>
    <w:rsid w:val="00F56ED8"/>
    <w:rsid w:val="00F57041"/>
    <w:rsid w:val="00F62BB0"/>
    <w:rsid w:val="00F64022"/>
    <w:rsid w:val="00F766BE"/>
    <w:rsid w:val="00F7760F"/>
    <w:rsid w:val="00F80886"/>
    <w:rsid w:val="00F80FC5"/>
    <w:rsid w:val="00FC0DC8"/>
    <w:rsid w:val="00FC1D8D"/>
    <w:rsid w:val="00FC27DE"/>
    <w:rsid w:val="00FC3401"/>
    <w:rsid w:val="00FD3FA6"/>
    <w:rsid w:val="00FF7142"/>
    <w:rsid w:val="014F8A4D"/>
    <w:rsid w:val="03E55336"/>
    <w:rsid w:val="05BD32DD"/>
    <w:rsid w:val="0A15C550"/>
    <w:rsid w:val="0DD2E98A"/>
    <w:rsid w:val="0F9AF707"/>
    <w:rsid w:val="11BF2D1A"/>
    <w:rsid w:val="1236FB68"/>
    <w:rsid w:val="14373589"/>
    <w:rsid w:val="16DF73A3"/>
    <w:rsid w:val="1722A5FE"/>
    <w:rsid w:val="186E5F8E"/>
    <w:rsid w:val="18F0AAD4"/>
    <w:rsid w:val="1A2C2D2E"/>
    <w:rsid w:val="204704B0"/>
    <w:rsid w:val="2193AE65"/>
    <w:rsid w:val="24BF3961"/>
    <w:rsid w:val="264B9C7F"/>
    <w:rsid w:val="29AC7B53"/>
    <w:rsid w:val="31EAF392"/>
    <w:rsid w:val="31FA3B2D"/>
    <w:rsid w:val="34896E34"/>
    <w:rsid w:val="35EAC223"/>
    <w:rsid w:val="36976CB3"/>
    <w:rsid w:val="397D7D8B"/>
    <w:rsid w:val="39CEED3B"/>
    <w:rsid w:val="3AB8FF7C"/>
    <w:rsid w:val="3E32C7C1"/>
    <w:rsid w:val="3E635F19"/>
    <w:rsid w:val="3ECC8C65"/>
    <w:rsid w:val="40052031"/>
    <w:rsid w:val="413D0032"/>
    <w:rsid w:val="43CDD0A2"/>
    <w:rsid w:val="4706246E"/>
    <w:rsid w:val="47B9363E"/>
    <w:rsid w:val="482F6513"/>
    <w:rsid w:val="486B35D1"/>
    <w:rsid w:val="48BB24B5"/>
    <w:rsid w:val="4984F2D4"/>
    <w:rsid w:val="4A806099"/>
    <w:rsid w:val="4C8A1738"/>
    <w:rsid w:val="4D211925"/>
    <w:rsid w:val="4F7E12D2"/>
    <w:rsid w:val="505AAE52"/>
    <w:rsid w:val="52BC821F"/>
    <w:rsid w:val="5387CF96"/>
    <w:rsid w:val="53FEDA40"/>
    <w:rsid w:val="55F2F59A"/>
    <w:rsid w:val="56CCD81A"/>
    <w:rsid w:val="583849E2"/>
    <w:rsid w:val="59422DF6"/>
    <w:rsid w:val="596EB43F"/>
    <w:rsid w:val="5A5D1F31"/>
    <w:rsid w:val="5CCD7316"/>
    <w:rsid w:val="5D7628DE"/>
    <w:rsid w:val="62B4E4FD"/>
    <w:rsid w:val="6FB0954C"/>
    <w:rsid w:val="6FC3B694"/>
    <w:rsid w:val="705948AC"/>
    <w:rsid w:val="716CAE76"/>
    <w:rsid w:val="72E9523D"/>
    <w:rsid w:val="749B4AA5"/>
    <w:rsid w:val="758F50BF"/>
    <w:rsid w:val="760B4048"/>
    <w:rsid w:val="7625BC65"/>
    <w:rsid w:val="76F93162"/>
    <w:rsid w:val="7717E7FB"/>
    <w:rsid w:val="7DE37AE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086BA6"/>
  <w15:docId w15:val="{D4CE5E55-4FB9-41A2-9151-3957C669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2D5"/>
    <w:pPr>
      <w:spacing w:after="0" w:line="360" w:lineRule="auto"/>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11FAB"/>
    <w:rPr>
      <w:color w:val="808080"/>
    </w:rPr>
  </w:style>
  <w:style w:type="paragraph" w:styleId="Encabezado">
    <w:name w:val="header"/>
    <w:basedOn w:val="Normal"/>
    <w:link w:val="EncabezadoCar"/>
    <w:unhideWhenUsed/>
    <w:rsid w:val="00011FAB"/>
    <w:pPr>
      <w:tabs>
        <w:tab w:val="center" w:pos="4252"/>
        <w:tab w:val="right" w:pos="8504"/>
      </w:tabs>
      <w:spacing w:line="240" w:lineRule="auto"/>
    </w:pPr>
  </w:style>
  <w:style w:type="character" w:customStyle="1" w:styleId="EncabezadoCar">
    <w:name w:val="Encabezado Car"/>
    <w:basedOn w:val="Fuentedeprrafopredeter"/>
    <w:link w:val="Encabezado"/>
    <w:rsid w:val="00011FAB"/>
  </w:style>
  <w:style w:type="paragraph" w:styleId="Piedepgina">
    <w:name w:val="footer"/>
    <w:basedOn w:val="Normal"/>
    <w:link w:val="PiedepginaCar"/>
    <w:uiPriority w:val="99"/>
    <w:unhideWhenUsed/>
    <w:rsid w:val="00011FA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11FAB"/>
  </w:style>
  <w:style w:type="paragraph" w:customStyle="1" w:styleId="SupenEncabezado">
    <w:name w:val="Supen_Encabezado"/>
    <w:next w:val="Normal"/>
    <w:link w:val="SupenEncabezadoCar"/>
    <w:autoRedefine/>
    <w:qFormat/>
    <w:rsid w:val="003814A7"/>
    <w:pPr>
      <w:spacing w:after="0" w:line="240" w:lineRule="auto"/>
      <w:contextualSpacing/>
      <w:jc w:val="center"/>
    </w:pPr>
    <w:rPr>
      <w:rFonts w:ascii="Times New Roman" w:hAnsi="Times New Roman"/>
      <w:b/>
      <w:bCs/>
      <w:sz w:val="24"/>
    </w:rPr>
  </w:style>
  <w:style w:type="character" w:customStyle="1" w:styleId="SupenEncabezadoCar">
    <w:name w:val="Supen_Encabezado Car"/>
    <w:basedOn w:val="Fuentedeprrafopredeter"/>
    <w:link w:val="SupenEncabezado"/>
    <w:rsid w:val="003814A7"/>
    <w:rPr>
      <w:rFonts w:ascii="Times New Roman" w:hAnsi="Times New Roman"/>
      <w:b/>
      <w:bCs/>
      <w:sz w:val="24"/>
    </w:rPr>
  </w:style>
  <w:style w:type="paragraph" w:styleId="Sinespaciado">
    <w:name w:val="No Spacing"/>
    <w:uiPriority w:val="1"/>
    <w:qFormat/>
    <w:rsid w:val="00AD10D3"/>
    <w:pPr>
      <w:spacing w:after="0" w:line="240" w:lineRule="auto"/>
    </w:pPr>
  </w:style>
  <w:style w:type="character" w:styleId="Hipervnculo">
    <w:name w:val="Hyperlink"/>
    <w:basedOn w:val="Fuentedeprrafopredeter"/>
    <w:rsid w:val="00DC38D9"/>
    <w:rPr>
      <w:color w:val="0000FF"/>
      <w:u w:val="single"/>
    </w:rPr>
  </w:style>
  <w:style w:type="paragraph" w:styleId="Textodeglobo">
    <w:name w:val="Balloon Text"/>
    <w:basedOn w:val="Normal"/>
    <w:link w:val="TextodegloboCar"/>
    <w:uiPriority w:val="99"/>
    <w:semiHidden/>
    <w:unhideWhenUsed/>
    <w:rsid w:val="00507921"/>
    <w:pPr>
      <w:spacing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07921"/>
    <w:rPr>
      <w:rFonts w:ascii="Lucida Grande" w:hAnsi="Lucida Grande"/>
      <w:sz w:val="18"/>
      <w:szCs w:val="18"/>
    </w:rPr>
  </w:style>
  <w:style w:type="table" w:styleId="Tablaconcuadrcula">
    <w:name w:val="Table Grid"/>
    <w:basedOn w:val="Tablanormal"/>
    <w:uiPriority w:val="39"/>
    <w:rsid w:val="0068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C3401"/>
    <w:pPr>
      <w:ind w:left="720"/>
      <w:contextualSpacing/>
    </w:pPr>
  </w:style>
  <w:style w:type="paragraph" w:customStyle="1" w:styleId="paragraph">
    <w:name w:val="paragraph"/>
    <w:basedOn w:val="Normal"/>
    <w:rsid w:val="00B50BE6"/>
    <w:pPr>
      <w:spacing w:before="100" w:beforeAutospacing="1" w:after="100" w:afterAutospacing="1" w:line="240" w:lineRule="auto"/>
    </w:pPr>
    <w:rPr>
      <w:rFonts w:eastAsia="Times New Roman" w:cs="Times New Roman"/>
      <w:szCs w:val="24"/>
      <w:lang w:val="es-CR" w:eastAsia="es-CR"/>
    </w:rPr>
  </w:style>
  <w:style w:type="character" w:customStyle="1" w:styleId="normaltextrun">
    <w:name w:val="normaltextrun"/>
    <w:basedOn w:val="Fuentedeprrafopredeter"/>
    <w:rsid w:val="00B50BE6"/>
  </w:style>
  <w:style w:type="character" w:customStyle="1" w:styleId="eop">
    <w:name w:val="eop"/>
    <w:basedOn w:val="Fuentedeprrafopredeter"/>
    <w:rsid w:val="00B50BE6"/>
  </w:style>
  <w:style w:type="table" w:customStyle="1" w:styleId="Tablaconcuadrculaclara1">
    <w:name w:val="Tabla con cuadrícula clara1"/>
    <w:basedOn w:val="Tablanormal"/>
    <w:uiPriority w:val="40"/>
    <w:rsid w:val="00B50BE6"/>
    <w:pPr>
      <w:spacing w:after="0" w:line="240" w:lineRule="auto"/>
    </w:pPr>
    <w:rPr>
      <w:lang w:val="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039473">
      <w:bodyDiv w:val="1"/>
      <w:marLeft w:val="0"/>
      <w:marRight w:val="0"/>
      <w:marTop w:val="0"/>
      <w:marBottom w:val="0"/>
      <w:divBdr>
        <w:top w:val="none" w:sz="0" w:space="0" w:color="auto"/>
        <w:left w:val="none" w:sz="0" w:space="0" w:color="auto"/>
        <w:bottom w:val="none" w:sz="0" w:space="0" w:color="auto"/>
        <w:right w:val="none" w:sz="0" w:space="0" w:color="auto"/>
      </w:divBdr>
    </w:div>
    <w:div w:id="588387244">
      <w:bodyDiv w:val="1"/>
      <w:marLeft w:val="0"/>
      <w:marRight w:val="0"/>
      <w:marTop w:val="0"/>
      <w:marBottom w:val="0"/>
      <w:divBdr>
        <w:top w:val="none" w:sz="0" w:space="0" w:color="auto"/>
        <w:left w:val="none" w:sz="0" w:space="0" w:color="auto"/>
        <w:bottom w:val="none" w:sz="0" w:space="0" w:color="auto"/>
        <w:right w:val="none" w:sz="0" w:space="0" w:color="auto"/>
      </w:divBdr>
    </w:div>
    <w:div w:id="629284713">
      <w:bodyDiv w:val="1"/>
      <w:marLeft w:val="0"/>
      <w:marRight w:val="0"/>
      <w:marTop w:val="0"/>
      <w:marBottom w:val="0"/>
      <w:divBdr>
        <w:top w:val="none" w:sz="0" w:space="0" w:color="auto"/>
        <w:left w:val="none" w:sz="0" w:space="0" w:color="auto"/>
        <w:bottom w:val="none" w:sz="0" w:space="0" w:color="auto"/>
        <w:right w:val="none" w:sz="0" w:space="0" w:color="auto"/>
      </w:divBdr>
    </w:div>
    <w:div w:id="636834056">
      <w:bodyDiv w:val="1"/>
      <w:marLeft w:val="0"/>
      <w:marRight w:val="0"/>
      <w:marTop w:val="0"/>
      <w:marBottom w:val="0"/>
      <w:divBdr>
        <w:top w:val="none" w:sz="0" w:space="0" w:color="auto"/>
        <w:left w:val="none" w:sz="0" w:space="0" w:color="auto"/>
        <w:bottom w:val="none" w:sz="0" w:space="0" w:color="auto"/>
        <w:right w:val="none" w:sz="0" w:space="0" w:color="auto"/>
      </w:divBdr>
    </w:div>
    <w:div w:id="728110239">
      <w:bodyDiv w:val="1"/>
      <w:marLeft w:val="0"/>
      <w:marRight w:val="0"/>
      <w:marTop w:val="0"/>
      <w:marBottom w:val="0"/>
      <w:divBdr>
        <w:top w:val="none" w:sz="0" w:space="0" w:color="auto"/>
        <w:left w:val="none" w:sz="0" w:space="0" w:color="auto"/>
        <w:bottom w:val="none" w:sz="0" w:space="0" w:color="auto"/>
        <w:right w:val="none" w:sz="0" w:space="0" w:color="auto"/>
      </w:divBdr>
    </w:div>
    <w:div w:id="1092044696">
      <w:bodyDiv w:val="1"/>
      <w:marLeft w:val="0"/>
      <w:marRight w:val="0"/>
      <w:marTop w:val="0"/>
      <w:marBottom w:val="0"/>
      <w:divBdr>
        <w:top w:val="none" w:sz="0" w:space="0" w:color="auto"/>
        <w:left w:val="none" w:sz="0" w:space="0" w:color="auto"/>
        <w:bottom w:val="none" w:sz="0" w:space="0" w:color="auto"/>
        <w:right w:val="none" w:sz="0" w:space="0" w:color="auto"/>
      </w:divBdr>
    </w:div>
    <w:div w:id="1274480130">
      <w:bodyDiv w:val="1"/>
      <w:marLeft w:val="0"/>
      <w:marRight w:val="0"/>
      <w:marTop w:val="0"/>
      <w:marBottom w:val="0"/>
      <w:divBdr>
        <w:top w:val="none" w:sz="0" w:space="0" w:color="auto"/>
        <w:left w:val="none" w:sz="0" w:space="0" w:color="auto"/>
        <w:bottom w:val="none" w:sz="0" w:space="0" w:color="auto"/>
        <w:right w:val="none" w:sz="0" w:space="0" w:color="auto"/>
      </w:divBdr>
    </w:div>
    <w:div w:id="164600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tmp"/></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os%20Usuarios\ROJASVI\Downloads\Script_plantillas_SUPEN_V2\archivos\Machote%20SP-A%20Superintenden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133B443C32D4BBA84994ED17141131F"/>
        <w:category>
          <w:name w:val="General"/>
          <w:gallery w:val="placeholder"/>
        </w:category>
        <w:types>
          <w:type w:val="bbPlcHdr"/>
        </w:types>
        <w:behaviors>
          <w:behavior w:val="content"/>
        </w:behaviors>
        <w:guid w:val="{E8139BC8-58F5-4BA5-B464-A4761809EBEB}"/>
      </w:docPartPr>
      <w:docPartBody>
        <w:p w:rsidR="001B4880" w:rsidRDefault="001B4880">
          <w:pPr>
            <w:pStyle w:val="5133B443C32D4BBA84994ED17141131F"/>
          </w:pPr>
          <w:r>
            <w:rPr>
              <w:rStyle w:val="Textodelmarcadordeposicin"/>
            </w:rPr>
            <w:t>Ingrese aquí el SP-A-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880"/>
    <w:rsid w:val="00003C1D"/>
    <w:rsid w:val="00164128"/>
    <w:rsid w:val="001B4880"/>
    <w:rsid w:val="00206BC7"/>
    <w:rsid w:val="003F09B8"/>
    <w:rsid w:val="00494C96"/>
    <w:rsid w:val="004F46CD"/>
    <w:rsid w:val="006B0A56"/>
    <w:rsid w:val="00743960"/>
    <w:rsid w:val="007F220C"/>
    <w:rsid w:val="00973AE3"/>
    <w:rsid w:val="00B545BE"/>
    <w:rsid w:val="00B71DC2"/>
    <w:rsid w:val="00C9223D"/>
    <w:rsid w:val="00CF7205"/>
    <w:rsid w:val="00D6564B"/>
    <w:rsid w:val="00E02373"/>
  </w:rsids>
  <m:mathPr>
    <m:mathFont m:val="Cambria Math"/>
    <m:brkBin m:val="before"/>
    <m:brkBinSub m:val="--"/>
    <m:smallFrac m:val="0"/>
    <m:dispDef/>
    <m:lMargin m:val="0"/>
    <m:rMargin m:val="0"/>
    <m:defJc m:val="centerGroup"/>
    <m:wrapIndent m:val="1440"/>
    <m:intLim m:val="subSup"/>
    <m:naryLim m:val="undOvr"/>
  </m:mathPr>
  <w:themeFontLang w:val="es-C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5133B443C32D4BBA84994ED17141131F">
    <w:name w:val="5133B443C32D4BBA84994ED1714113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dEvento xmlns="6c2d2cf2-004b-47d1-b91d-f9a62dc21bae" xsi:nil="true"/>
    <IdSession xmlns="6c2d2cf2-004b-47d1-b91d-f9a62dc21bae" xsi:nil="true"/>
    <Estado xmlns="6c2d2cf2-004b-47d1-b91d-f9a62dc21bae" xsi:nil="true"/>
    <Evento xmlns="6c2d2cf2-004b-47d1-b91d-f9a62dc21bae">
      <Url>https://si.supen.fi.cr/Tramites/Tram_Detalle_Evento.aspx?evento=2024023885&amp;op=3</Url>
      <Description>2024023885</Description>
    </Evento>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98F7ED7A8DC944786D775C5860668D9" ma:contentTypeVersion="12" ma:contentTypeDescription="Crear nuevo documento." ma:contentTypeScope="" ma:versionID="a945832557d5e673ba538895661b2184">
  <xsd:schema xmlns:xsd="http://www.w3.org/2001/XMLSchema" xmlns:xs="http://www.w3.org/2001/XMLSchema" xmlns:p="http://schemas.microsoft.com/office/2006/metadata/properties" xmlns:ns2="6c2d2cf2-004b-47d1-b91d-f9a62dc21bae" targetNamespace="http://schemas.microsoft.com/office/2006/metadata/properties" ma:root="true" ma:fieldsID="b03584399eea7ffbf5501e739af43d82" ns2:_="">
    <xsd:import namespace="6c2d2cf2-004b-47d1-b91d-f9a62dc21bae"/>
    <xsd:element name="properties">
      <xsd:complexType>
        <xsd:sequence>
          <xsd:element name="documentManagement">
            <xsd:complexType>
              <xsd:all>
                <xsd:element ref="ns2:Evento" minOccurs="0"/>
                <xsd:element ref="ns2:MediaServiceMetadata" minOccurs="0"/>
                <xsd:element ref="ns2:MediaServiceFastMetadata" minOccurs="0"/>
                <xsd:element ref="ns2:MediaServiceObjectDetectorVersions" minOccurs="0"/>
                <xsd:element ref="ns2:Estado" minOccurs="0"/>
                <xsd:element ref="ns2:IdEvento" minOccurs="0"/>
                <xsd:element ref="ns2:IdSess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d2cf2-004b-47d1-b91d-f9a62dc21bae" elementFormDefault="qualified">
    <xsd:import namespace="http://schemas.microsoft.com/office/2006/documentManagement/types"/>
    <xsd:import namespace="http://schemas.microsoft.com/office/infopath/2007/PartnerControls"/>
    <xsd:element name="Evento" ma:index="8" nillable="true" ma:displayName="Evento" ma:format="Hyperlink" ma:internalName="Event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stado" ma:index="12" nillable="true" ma:displayName="Estado" ma:indexed="true" ma:internalName="Estado">
      <xsd:simpleType>
        <xsd:restriction base="dms:Text">
          <xsd:maxLength value="255"/>
        </xsd:restriction>
      </xsd:simpleType>
    </xsd:element>
    <xsd:element name="IdEvento" ma:index="13" nillable="true" ma:displayName="IdEvento" ma:indexed="true" ma:internalName="IdEvento">
      <xsd:simpleType>
        <xsd:restriction base="dms:Text">
          <xsd:maxLength value="255"/>
        </xsd:restriction>
      </xsd:simpleType>
    </xsd:element>
    <xsd:element name="IdSession" ma:index="14" nillable="true" ma:displayName="IdSession" ma:indexed="true" ma:internalName="IdSession">
      <xsd:simpleType>
        <xsd:restriction base="dms:Text">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34D451BD-6067-48EB-80C7-A07A167F2540}">
  <ds:schemaRefs>
    <ds:schemaRef ds:uri="http://schemas.microsoft.com/office/2006/metadata/properties"/>
    <ds:schemaRef ds:uri="http://schemas.microsoft.com/office/infopath/2007/PartnerControls"/>
    <ds:schemaRef ds:uri="6c2d2cf2-004b-47d1-b91d-f9a62dc21bae"/>
  </ds:schemaRefs>
</ds:datastoreItem>
</file>

<file path=customXml/itemProps2.xml><?xml version="1.0" encoding="utf-8"?>
<ds:datastoreItem xmlns:ds="http://schemas.openxmlformats.org/officeDocument/2006/customXml" ds:itemID="{99EF7340-EB76-4F08-B93A-5B0E1D763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d2cf2-004b-47d1-b91d-f9a62dc21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44D077-D5FD-4E1D-A950-D1AD9E7B9060}">
  <ds:schemaRefs>
    <ds:schemaRef ds:uri="http://schemas.openxmlformats.org/officeDocument/2006/bibliography"/>
  </ds:schemaRefs>
</ds:datastoreItem>
</file>

<file path=customXml/itemProps4.xml><?xml version="1.0" encoding="utf-8"?>
<ds:datastoreItem xmlns:ds="http://schemas.openxmlformats.org/officeDocument/2006/customXml" ds:itemID="{C8610913-6B66-4C45-B07C-E0FC346CFC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Machote SP-A Superintendente.dotm</Template>
  <TotalTime>16</TotalTime>
  <Pages>4</Pages>
  <Words>1215</Words>
  <Characters>6687</Characters>
  <Application>Microsoft Office Word</Application>
  <DocSecurity>0</DocSecurity>
  <Lines>55</Lines>
  <Paragraphs>15</Paragraphs>
  <ScaleCrop>false</ScaleCrop>
  <Company/>
  <LinksUpToDate>false</LinksUpToDate>
  <CharactersWithSpaces>7887</CharactersWithSpaces>
  <SharedDoc>false</SharedDoc>
  <HLinks>
    <vt:vector size="12" baseType="variant">
      <vt:variant>
        <vt:i4>5767214</vt:i4>
      </vt:variant>
      <vt:variant>
        <vt:i4>9</vt:i4>
      </vt:variant>
      <vt:variant>
        <vt:i4>0</vt:i4>
      </vt:variant>
      <vt:variant>
        <vt:i4>5</vt:i4>
      </vt:variant>
      <vt:variant>
        <vt:lpwstr>mailto:supen@supen.fi.cr</vt:lpwstr>
      </vt:variant>
      <vt:variant>
        <vt:lpwstr/>
      </vt:variant>
      <vt:variant>
        <vt:i4>5767214</vt:i4>
      </vt:variant>
      <vt:variant>
        <vt:i4>6</vt:i4>
      </vt:variant>
      <vt:variant>
        <vt:i4>0</vt:i4>
      </vt:variant>
      <vt:variant>
        <vt:i4>5</vt:i4>
      </vt:variant>
      <vt:variant>
        <vt:lpwstr>mailto:supen@supen.fi.cr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2024SPA272.docx</dc:title>
  <dc:subject/>
  <dc:creator>ROJAS VALVERDE DIEGO ANTONIO</dc:creator>
  <cp:keywords/>
  <dc:description/>
  <cp:lastModifiedBy>RODRIGUEZ BOVIERI GIANFRANCO</cp:lastModifiedBy>
  <cp:revision>5</cp:revision>
  <cp:lastPrinted>2024-09-02T17:11:00Z</cp:lastPrinted>
  <dcterms:created xsi:type="dcterms:W3CDTF">2024-10-22T21:03:00Z</dcterms:created>
  <dcterms:modified xsi:type="dcterms:W3CDTF">2024-10-23T14:52:00Z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0x010100598F7ED7A8DC944786D775C5860668D9</vt:lpwstr>
  </property>
  <property fmtid="{D5CDD505-2E9C-101B-9397-08002B2CF9AE}" pid="3" name="ClassificationContentMarkingFooterShapeIds">
    <vt:lpwstr>1,6,7</vt:lpwstr>
  </property>
  <property fmtid="{D5CDD505-2E9C-101B-9397-08002B2CF9AE}" pid="4" name="ClassificationContentMarkingFooterFontProps">
    <vt:lpwstr>#000000,10,Calibri</vt:lpwstr>
  </property>
  <property fmtid="{D5CDD505-2E9C-101B-9397-08002B2CF9AE}" pid="5" name="ClassificationContentMarkingFooterText">
    <vt:lpwstr>Uso Interno</vt:lpwstr>
  </property>
  <property fmtid="{D5CDD505-2E9C-101B-9397-08002B2CF9AE}" pid="6" name="MSIP_Label_b8b4be34-365a-4a68-b9fb-75c1b6874315_Enabled">
    <vt:lpwstr>true</vt:lpwstr>
  </property>
  <property fmtid="{D5CDD505-2E9C-101B-9397-08002B2CF9AE}" pid="7" name="MSIP_Label_b8b4be34-365a-4a68-b9fb-75c1b6874315_SetDate">
    <vt:lpwstr>2024-08-29T17:36:08Z</vt:lpwstr>
  </property>
  <property fmtid="{D5CDD505-2E9C-101B-9397-08002B2CF9AE}" pid="8" name="MSIP_Label_b8b4be34-365a-4a68-b9fb-75c1b6874315_Method">
    <vt:lpwstr>Standard</vt:lpwstr>
  </property>
  <property fmtid="{D5CDD505-2E9C-101B-9397-08002B2CF9AE}" pid="9" name="MSIP_Label_b8b4be34-365a-4a68-b9fb-75c1b6874315_Name">
    <vt:lpwstr>b8b4be34-365a-4a68-b9fb-75c1b6874315</vt:lpwstr>
  </property>
  <property fmtid="{D5CDD505-2E9C-101B-9397-08002B2CF9AE}" pid="10" name="MSIP_Label_b8b4be34-365a-4a68-b9fb-75c1b6874315_SiteId">
    <vt:lpwstr>618d0a45-25a6-4618-9f80-8f70a435ee52</vt:lpwstr>
  </property>
  <property fmtid="{D5CDD505-2E9C-101B-9397-08002B2CF9AE}" pid="11" name="MSIP_Label_b8b4be34-365a-4a68-b9fb-75c1b6874315_ActionId">
    <vt:lpwstr>719641fb-1ded-40b1-8655-f1d315c4f4f0</vt:lpwstr>
  </property>
  <property fmtid="{D5CDD505-2E9C-101B-9397-08002B2CF9AE}" pid="12" name="MSIP_Label_b8b4be34-365a-4a68-b9fb-75c1b6874315_ContentBits">
    <vt:lpwstr>2</vt:lpwstr>
  </property>
</Properties>
</file>