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52B8" w14:textId="77777777" w:rsidR="00A4778B" w:rsidRDefault="00A4778B" w:rsidP="0003315A">
      <w:pPr>
        <w:spacing w:line="240" w:lineRule="auto"/>
        <w:rPr>
          <w:sz w:val="22"/>
        </w:rPr>
      </w:pPr>
    </w:p>
    <w:p w14:paraId="75524969" w14:textId="0D8BF1F5" w:rsidR="00A4778B" w:rsidRPr="00C35320" w:rsidRDefault="00325924" w:rsidP="00C35320">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03315A" w:rsidRPr="00C35320">
            <w:rPr>
              <w:rStyle w:val="SupenEncabezadoCar"/>
              <w:b/>
              <w:bCs/>
            </w:rPr>
            <w:t>SP-A-267-2024</w:t>
          </w:r>
        </w:sdtContent>
      </w:sdt>
    </w:p>
    <w:p w14:paraId="70D748E9" w14:textId="1EC13498" w:rsidR="003262D5" w:rsidRDefault="003A683A" w:rsidP="0003315A">
      <w:pPr>
        <w:spacing w:line="240" w:lineRule="auto"/>
      </w:pPr>
      <w:r>
        <w:t xml:space="preserve"> </w:t>
      </w:r>
      <w:r w:rsidR="00435A2B">
        <w:t xml:space="preserve"> </w:t>
      </w:r>
    </w:p>
    <w:p w14:paraId="0E1517F2" w14:textId="728FDA3A" w:rsidR="00291B81" w:rsidRDefault="00291B81" w:rsidP="0003315A">
      <w:pPr>
        <w:spacing w:line="240" w:lineRule="auto"/>
        <w:jc w:val="both"/>
      </w:pPr>
      <w:r w:rsidRPr="00BD0C19">
        <w:t xml:space="preserve">Superintendencia de Pensiones, al ser las </w:t>
      </w:r>
      <w:r w:rsidR="005B53CE">
        <w:t xml:space="preserve">quince horas </w:t>
      </w:r>
      <w:r w:rsidRPr="00BD0C19">
        <w:t xml:space="preserve">del día </w:t>
      </w:r>
      <w:r w:rsidR="00F776C4">
        <w:t>quince</w:t>
      </w:r>
      <w:r w:rsidRPr="00BD0C19">
        <w:t xml:space="preserve"> de </w:t>
      </w:r>
      <w:r w:rsidR="0003315A">
        <w:t>enero</w:t>
      </w:r>
      <w:r w:rsidRPr="00BD0C19">
        <w:t xml:space="preserve"> de 2</w:t>
      </w:r>
      <w:r w:rsidR="00FA68E8">
        <w:t>024.</w:t>
      </w:r>
    </w:p>
    <w:p w14:paraId="17C8D68A" w14:textId="77777777" w:rsidR="00FA68E8" w:rsidRDefault="00FA68E8" w:rsidP="00E87328">
      <w:pPr>
        <w:spacing w:line="240" w:lineRule="auto"/>
        <w:jc w:val="center"/>
      </w:pPr>
    </w:p>
    <w:p w14:paraId="5D24EB0B" w14:textId="77777777" w:rsidR="00FA68E8" w:rsidRPr="00FA68E8" w:rsidRDefault="00FA68E8" w:rsidP="0003315A">
      <w:pPr>
        <w:spacing w:line="240" w:lineRule="auto"/>
        <w:jc w:val="center"/>
        <w:rPr>
          <w:rFonts w:eastAsia="Calibri" w:cs="Times New Roman"/>
          <w:b/>
          <w:bCs/>
          <w:szCs w:val="24"/>
        </w:rPr>
      </w:pPr>
      <w:r w:rsidRPr="00FA68E8">
        <w:rPr>
          <w:rFonts w:eastAsia="Calibri" w:cs="Times New Roman"/>
          <w:b/>
          <w:bCs/>
          <w:szCs w:val="24"/>
        </w:rPr>
        <w:t>CONSIDERANDO:</w:t>
      </w:r>
    </w:p>
    <w:p w14:paraId="6C59FEE7" w14:textId="77777777" w:rsidR="00FA68E8" w:rsidRPr="00FA68E8" w:rsidRDefault="00FA68E8" w:rsidP="0003315A">
      <w:pPr>
        <w:tabs>
          <w:tab w:val="left" w:pos="615"/>
        </w:tabs>
        <w:spacing w:line="240" w:lineRule="auto"/>
        <w:rPr>
          <w:rFonts w:eastAsia="Calibri" w:cs="Times New Roman"/>
          <w:b/>
          <w:bCs/>
        </w:rPr>
      </w:pPr>
    </w:p>
    <w:p w14:paraId="5394D210"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El párrafo segundo del artículo 33 de la ley N° 7523, </w:t>
      </w:r>
      <w:r w:rsidRPr="00FA68E8">
        <w:rPr>
          <w:rFonts w:eastAsia="Calibri" w:cs="Times New Roman"/>
          <w:i/>
          <w:iCs/>
        </w:rPr>
        <w:t>Régimen Privado de Pensiones Complementarias</w:t>
      </w:r>
      <w:r w:rsidRPr="00FA68E8">
        <w:rPr>
          <w:rFonts w:eastAsia="Calibri" w:cs="Times New Roman"/>
        </w:rPr>
        <w:t>, dispone que, la Superintendencia de Pensiones (SUPEN),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0F4B8A41" w14:textId="77777777" w:rsidR="00FA68E8" w:rsidRPr="00FA68E8" w:rsidRDefault="00FA68E8" w:rsidP="0003315A">
      <w:pPr>
        <w:spacing w:line="240" w:lineRule="auto"/>
        <w:ind w:left="720"/>
        <w:contextualSpacing/>
        <w:jc w:val="both"/>
        <w:rPr>
          <w:rFonts w:eastAsia="Calibri" w:cs="Times New Roman"/>
        </w:rPr>
      </w:pPr>
    </w:p>
    <w:p w14:paraId="60039C4E"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05903B20" w14:textId="77777777" w:rsidR="00FA68E8" w:rsidRPr="00FA68E8" w:rsidRDefault="00FA68E8" w:rsidP="0003315A">
      <w:pPr>
        <w:spacing w:line="240" w:lineRule="auto"/>
        <w:ind w:left="720"/>
        <w:contextualSpacing/>
        <w:rPr>
          <w:rFonts w:eastAsia="Calibri" w:cs="Times New Roman"/>
        </w:rPr>
      </w:pPr>
    </w:p>
    <w:p w14:paraId="0938E57D" w14:textId="272FAFAC"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 xml:space="preserve">Mediante el artículo 9 del acta de la sesión 1838-2023, celebrada el 6 de diciembre del 2023, se aprobó la reforma al </w:t>
      </w:r>
      <w:r w:rsidRPr="00FA68E8">
        <w:rPr>
          <w:rFonts w:eastAsia="Calibri" w:cs="Times New Roman"/>
          <w:i/>
          <w:iCs/>
        </w:rPr>
        <w:t xml:space="preserve">Reglamento </w:t>
      </w:r>
      <w:r w:rsidRPr="00FA68E8">
        <w:rPr>
          <w:rFonts w:eastAsia="Calibri" w:cs="Times New Roman"/>
        </w:rPr>
        <w:t xml:space="preserve">de </w:t>
      </w:r>
      <w:r w:rsidRPr="00FA68E8">
        <w:rPr>
          <w:rFonts w:eastAsia="Calibri" w:cs="Times New Roman"/>
          <w:i/>
          <w:iCs/>
        </w:rPr>
        <w:t xml:space="preserve">gestión de activos, el Reglamento de beneficios del régimen de capitalización individual y el Reglamento sobre la Apertura y Funcionamiento de las Entidades Autorizadas </w:t>
      </w:r>
      <w:r w:rsidRPr="00FA68E8">
        <w:rPr>
          <w:rFonts w:eastAsia="Calibri" w:cs="Times New Roman"/>
        </w:rPr>
        <w:t>y el</w:t>
      </w:r>
      <w:r w:rsidRPr="00FA68E8">
        <w:rPr>
          <w:rFonts w:eastAsia="Calibri" w:cs="Times New Roman"/>
          <w:i/>
          <w:iCs/>
        </w:rPr>
        <w:t xml:space="preserve"> Funcionamiento de los Fondos de Pensiones, Capitalización Laboral y Ahorro Voluntario Previstos en la Ley de Protección al Trabajador</w:t>
      </w:r>
      <w:r w:rsidRPr="00FA68E8">
        <w:rPr>
          <w:rFonts w:eastAsia="Calibri" w:cs="Times New Roman"/>
        </w:rPr>
        <w:t xml:space="preserve">, mediante la cual se establece el modelo de fondos generacionales del Régimen Obligatorio de Pensiones Complementarias, para que los recursos de este régimen se administren en cuatro fondos independientes y separados, correspondientes a cuatro cohortes etarias de afiliados y pensionados. Dichas reformas rigen quince meses naturales contados a partir del día siguiente al de la publicación, la </w:t>
      </w:r>
      <w:r w:rsidR="005B53CE">
        <w:rPr>
          <w:rFonts w:eastAsia="Calibri" w:cs="Times New Roman"/>
        </w:rPr>
        <w:t xml:space="preserve">que </w:t>
      </w:r>
      <w:r w:rsidRPr="00FA68E8">
        <w:rPr>
          <w:rFonts w:eastAsia="Calibri" w:cs="Times New Roman"/>
        </w:rPr>
        <w:t>se realizó en el Alcance No. 256 a La Gaceta No.</w:t>
      </w:r>
      <w:r>
        <w:rPr>
          <w:rFonts w:eastAsia="Calibri" w:cs="Times New Roman"/>
        </w:rPr>
        <w:t xml:space="preserve"> </w:t>
      </w:r>
      <w:r w:rsidRPr="00FA68E8">
        <w:rPr>
          <w:rFonts w:eastAsia="Calibri" w:cs="Times New Roman"/>
        </w:rPr>
        <w:t>237 del 21 de diciembre del 2023.</w:t>
      </w:r>
    </w:p>
    <w:p w14:paraId="66C89BFD" w14:textId="77777777" w:rsidR="00FA68E8" w:rsidRPr="00FA68E8" w:rsidRDefault="00FA68E8" w:rsidP="0003315A">
      <w:pPr>
        <w:spacing w:line="240" w:lineRule="auto"/>
        <w:jc w:val="both"/>
        <w:rPr>
          <w:rFonts w:eastAsia="Calibri" w:cs="Times New Roman"/>
        </w:rPr>
      </w:pPr>
    </w:p>
    <w:p w14:paraId="39151FD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t>Las estrategias de inversión en función del ciclo de vida de los afiliados tienen como objetivo fundamental incrementar la tasa de reemplazo a través de un proceso en donde las generaciones más jóvenes pueden asumir más riesgo a partir de inversiones en títulos de propiedad que, en principio, son más volátiles en el corto y mediano plazo, pero que en el largo plazo generan mejores rendimientos. Conforme la cohorte etaria envejece, el fondo irá variando la estrategia de las inversiones, aumentando progresivamente la inversión en títulos de deuda, con el objetivo de preservar el capital de los afiliados prontos a pensionarse y el de los ya pensionados, así como para cumplir con el objetivo de rentabilidad y de tasa de reemplazo declarados por las operadoras de pensiones.</w:t>
      </w:r>
    </w:p>
    <w:p w14:paraId="7A742AC9" w14:textId="77777777" w:rsidR="00FA68E8" w:rsidRPr="00FA68E8" w:rsidRDefault="00FA68E8" w:rsidP="0003315A">
      <w:pPr>
        <w:spacing w:line="240" w:lineRule="auto"/>
        <w:jc w:val="both"/>
        <w:rPr>
          <w:rFonts w:eastAsia="Calibri" w:cs="Times New Roman"/>
        </w:rPr>
      </w:pPr>
    </w:p>
    <w:p w14:paraId="559A687D" w14:textId="77777777" w:rsidR="00FA68E8" w:rsidRPr="00FA68E8" w:rsidRDefault="00FA68E8" w:rsidP="0003315A">
      <w:pPr>
        <w:numPr>
          <w:ilvl w:val="0"/>
          <w:numId w:val="1"/>
        </w:numPr>
        <w:spacing w:line="240" w:lineRule="auto"/>
        <w:contextualSpacing/>
        <w:jc w:val="both"/>
        <w:rPr>
          <w:rFonts w:eastAsia="Calibri" w:cs="Times New Roman"/>
        </w:rPr>
      </w:pPr>
      <w:r w:rsidRPr="00FA68E8">
        <w:rPr>
          <w:rFonts w:eastAsia="Calibri" w:cs="Times New Roman"/>
        </w:rPr>
        <w:lastRenderedPageBreak/>
        <w:t>En razón de lo anterior, las estrategias de inversión de cada fondo generacional del Régimen Obligatorio de Pensiones Complementarias requieren adaptarse en el tiempo, de acuerdo con el ciclo vital de los trabajadores que los integran, en concordancia con el objetivo de tasa de reemplazo y la rentabilidad declarados por las operadoras de pensiones complementarias para cada fondo generacional del ROP y la correspondiente planificación y asignación estratégica de las inversiones requeridas para alcanzarlos.</w:t>
      </w:r>
    </w:p>
    <w:p w14:paraId="1FA76CD6" w14:textId="77777777" w:rsidR="00FA68E8" w:rsidRPr="00FA68E8" w:rsidRDefault="00FA68E8" w:rsidP="0003315A">
      <w:pPr>
        <w:spacing w:line="240" w:lineRule="auto"/>
        <w:jc w:val="both"/>
        <w:rPr>
          <w:rFonts w:eastAsia="Calibri" w:cs="Times New Roman"/>
        </w:rPr>
      </w:pPr>
    </w:p>
    <w:p w14:paraId="75071705"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 xml:space="preserve">El artículo 68 bis del </w:t>
      </w:r>
      <w:r w:rsidRPr="00FA68E8">
        <w:rPr>
          <w:rFonts w:eastAsia="Calibri" w:cs="Times New Roman"/>
          <w:i/>
          <w:iCs/>
        </w:rPr>
        <w:t>Reglamento de gestión de activos</w:t>
      </w:r>
      <w:r w:rsidRPr="00FA68E8">
        <w:rPr>
          <w:rFonts w:eastAsia="Calibri" w:cs="Times New Roman"/>
        </w:rPr>
        <w:t xml:space="preserve"> establece la combinación de los tipos de activos que regulatoriamente deben cumplir las operadoras a lo largo del ciclo de vida de la cohorte correspondiente a cada uno de los fondos generacionales del Régimen Obligatorio de Pensiones Complementarias.</w:t>
      </w:r>
    </w:p>
    <w:p w14:paraId="2C0B0D6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F0D381A"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Calibri" w:cs="Times New Roman"/>
        </w:rPr>
        <w:t>La selección de instrumentos de inversión para los horizontes temporales de cada fondo constituye un ejercicio técnico que requiere de la optimización de los portafolios a lo largo del ciclo de vida de los afiliados que los integran, con el objetivo de alcanzar la meta de tasa de rentabilidad y de reemplazo declaradas por los gestores.</w:t>
      </w:r>
    </w:p>
    <w:p w14:paraId="792E0C91" w14:textId="77777777" w:rsidR="00FA68E8" w:rsidRPr="00FA68E8" w:rsidRDefault="00FA68E8" w:rsidP="0003315A">
      <w:pPr>
        <w:spacing w:line="240" w:lineRule="auto"/>
        <w:ind w:left="720"/>
        <w:contextualSpacing/>
        <w:rPr>
          <w:rFonts w:eastAsia="Times New Roman" w:cs="Times New Roman"/>
          <w:szCs w:val="24"/>
          <w:lang w:val="es-CR" w:eastAsia="es-CR"/>
        </w:rPr>
      </w:pPr>
    </w:p>
    <w:p w14:paraId="76A50FAF" w14:textId="77777777" w:rsidR="00FA68E8" w:rsidRPr="00FA68E8" w:rsidRDefault="00FA68E8" w:rsidP="0003315A">
      <w:pPr>
        <w:numPr>
          <w:ilvl w:val="0"/>
          <w:numId w:val="1"/>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Deben establecerse lineamientos generales para que la tasa de reemplazo objetivo de cada uno de los fondos generaciones del Régimen Obligatorio de Pensiones Complementarias sea determinada en forma homogénea por parte de las operadoras de pensiones.</w:t>
      </w:r>
    </w:p>
    <w:p w14:paraId="355793E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BD1CAF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A64AC4B"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POR TANTO:</w:t>
      </w:r>
    </w:p>
    <w:p w14:paraId="43327A36" w14:textId="77777777" w:rsidR="00FA68E8" w:rsidRPr="00FA68E8" w:rsidRDefault="00FA68E8" w:rsidP="0003315A">
      <w:pPr>
        <w:spacing w:line="240" w:lineRule="auto"/>
        <w:jc w:val="center"/>
        <w:textAlignment w:val="baseline"/>
        <w:rPr>
          <w:rFonts w:eastAsia="Times New Roman" w:cs="Times New Roman"/>
          <w:b/>
          <w:bCs/>
          <w:szCs w:val="24"/>
          <w:lang w:val="es-CR" w:eastAsia="es-CR"/>
        </w:rPr>
      </w:pPr>
    </w:p>
    <w:p w14:paraId="02872F9B"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1739F373"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1. Optimización de portafolios </w:t>
      </w:r>
    </w:p>
    <w:p w14:paraId="253D47B7" w14:textId="77777777" w:rsidR="00FA68E8" w:rsidRPr="00FA68E8" w:rsidRDefault="00FA68E8" w:rsidP="0003315A">
      <w:pPr>
        <w:spacing w:line="240" w:lineRule="auto"/>
        <w:ind w:left="720"/>
        <w:contextualSpacing/>
        <w:jc w:val="both"/>
        <w:textAlignment w:val="baseline"/>
        <w:rPr>
          <w:rFonts w:eastAsia="Times New Roman" w:cs="Times New Roman"/>
          <w:szCs w:val="24"/>
          <w:lang w:val="es-CR" w:eastAsia="es-CR"/>
        </w:rPr>
      </w:pPr>
    </w:p>
    <w:p w14:paraId="653B0E8C" w14:textId="4C9523CF"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operadora de pensiones complementarias deberá realizar un ejercicio técnico de optimización de los portafolios de inversiones para cada uno de los fondos generacionales con el objetivo de otorgar la mejor pensión posible para cada uno de sus afiliados, de forma que se obtengan las mejores relaciones de riesgo-rendimiento</w:t>
      </w:r>
      <w:r w:rsidRPr="00FA68E8">
        <w:rPr>
          <w:rFonts w:eastAsia="Calibri" w:cs="Times New Roman"/>
        </w:rPr>
        <w:t xml:space="preserve"> a lo largo del ciclo vital de la correspondiente cohorte etaria de cada fondo, hasta su extinción.</w:t>
      </w:r>
    </w:p>
    <w:p w14:paraId="25A9F3FE" w14:textId="77777777" w:rsidR="00FA68E8" w:rsidRPr="00FA68E8" w:rsidRDefault="00FA68E8" w:rsidP="0003315A">
      <w:pPr>
        <w:spacing w:line="240" w:lineRule="auto"/>
        <w:jc w:val="both"/>
        <w:textAlignment w:val="baseline"/>
        <w:rPr>
          <w:rFonts w:eastAsia="Times New Roman" w:cs="Times New Roman"/>
          <w:b/>
          <w:bCs/>
          <w:szCs w:val="24"/>
          <w:u w:val="double"/>
          <w:lang w:val="es-CR" w:eastAsia="es-CR"/>
        </w:rPr>
      </w:pPr>
    </w:p>
    <w:p w14:paraId="040216AB"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2: Trayectoria de inversión</w:t>
      </w:r>
    </w:p>
    <w:p w14:paraId="5F2C44DC"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405A823D" w14:textId="519E6C6A"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Cada uno de los fondos generacionales del Régimen Obligatorio de Pensiones Complementarias deberá contar con una trayectoria de inversión que muestre los porcentajes de inversión por clases de activos, desde una fecha </w:t>
      </w:r>
      <w:r w:rsidR="00670C1D">
        <w:rPr>
          <w:rFonts w:eastAsia="Times New Roman" w:cs="Times New Roman"/>
          <w:szCs w:val="24"/>
          <w:lang w:val="es-CR" w:eastAsia="es-CR"/>
        </w:rPr>
        <w:t>inicial</w:t>
      </w:r>
      <w:r w:rsidRPr="00FA68E8">
        <w:rPr>
          <w:rFonts w:eastAsia="Times New Roman" w:cs="Times New Roman"/>
          <w:szCs w:val="24"/>
          <w:lang w:val="es-CR" w:eastAsia="es-CR"/>
        </w:rPr>
        <w:t xml:space="preserve"> hasta la extinción del fondo.</w:t>
      </w:r>
    </w:p>
    <w:p w14:paraId="6B434196"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0E38191F" w14:textId="77777777"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lastRenderedPageBreak/>
        <w:t>La trayectoria de inversión deberá reducir los riesgos a que esté expuesto el portafolio de manera paulatina, a través de la combinación de títulos representativos de propiedad y títulos de deuda, hasta la extinción de la generación.</w:t>
      </w:r>
    </w:p>
    <w:p w14:paraId="19287708" w14:textId="77777777" w:rsidR="00FA68E8" w:rsidRPr="00FA68E8" w:rsidRDefault="00FA68E8" w:rsidP="0003315A">
      <w:pPr>
        <w:spacing w:line="240" w:lineRule="auto"/>
        <w:ind w:hanging="436"/>
        <w:jc w:val="both"/>
        <w:textAlignment w:val="baseline"/>
        <w:rPr>
          <w:rFonts w:eastAsia="Times New Roman" w:cs="Times New Roman"/>
          <w:szCs w:val="24"/>
          <w:lang w:val="es-CR" w:eastAsia="es-CR"/>
        </w:rPr>
      </w:pPr>
    </w:p>
    <w:p w14:paraId="406B2D4C" w14:textId="265DB2AC" w:rsidR="00FA68E8" w:rsidRPr="00FA68E8" w:rsidRDefault="00FA68E8" w:rsidP="0003315A">
      <w:pPr>
        <w:numPr>
          <w:ilvl w:val="0"/>
          <w:numId w:val="2"/>
        </w:numPr>
        <w:spacing w:line="240" w:lineRule="auto"/>
        <w:ind w:left="720" w:hanging="436"/>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Junto con la trayectoria de inversión, la operadora de pensiones complementaria deberá declarar la tasa de reemplazo objetivo que 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del fondo podría recibir, de mantenerse como integrante de este. La tasa de reemplazo y la determinación del afiliado </w:t>
      </w:r>
      <w:r w:rsidR="002E789B">
        <w:rPr>
          <w:rFonts w:eastAsia="Times New Roman" w:cs="Times New Roman"/>
          <w:szCs w:val="24"/>
          <w:lang w:val="es-CR" w:eastAsia="es-CR"/>
        </w:rPr>
        <w:t>tipo</w:t>
      </w:r>
      <w:r w:rsidRPr="00FA68E8">
        <w:rPr>
          <w:rFonts w:eastAsia="Times New Roman" w:cs="Times New Roman"/>
          <w:szCs w:val="24"/>
          <w:lang w:val="es-CR" w:eastAsia="es-CR"/>
        </w:rPr>
        <w:t xml:space="preserve"> de cada fondo deberán determinarse mediante los correspondientes estudios técnicos. </w:t>
      </w:r>
    </w:p>
    <w:p w14:paraId="6AB589B5"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170E16F"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trayectoria de inversión de cada uno de los fondos generacionales deberá ser comunicada a la Superintendencia de Pensiones, según el anexo 1 de este acuerdo.</w:t>
      </w:r>
    </w:p>
    <w:p w14:paraId="728542C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D5EC15F"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3. Estudios técnicos</w:t>
      </w:r>
    </w:p>
    <w:p w14:paraId="372D6302"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33C0330"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operadoras de pensiones deberán contar con estudios técnicos que demuestren los resultados que amparan la planificación de las inversiones y la trayectoria de inversión de cada uno de los fondos generacionales. Dichos estudios deben considerar como mínimo:</w:t>
      </w:r>
    </w:p>
    <w:p w14:paraId="105342E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65393735"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características demográficas de cada fondo generacional.</w:t>
      </w:r>
    </w:p>
    <w:p w14:paraId="5F07D00F" w14:textId="1811C12B"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Los instrumentos financieros disponibles en </w:t>
      </w:r>
      <w:r w:rsidR="00A154C9">
        <w:rPr>
          <w:rFonts w:eastAsia="Times New Roman" w:cs="Times New Roman"/>
          <w:szCs w:val="24"/>
          <w:lang w:val="es-CR" w:eastAsia="es-CR"/>
        </w:rPr>
        <w:t xml:space="preserve">el </w:t>
      </w:r>
      <w:r w:rsidRPr="00FA68E8">
        <w:rPr>
          <w:rFonts w:eastAsia="Times New Roman" w:cs="Times New Roman"/>
          <w:szCs w:val="24"/>
          <w:lang w:val="es-CR" w:eastAsia="es-CR"/>
        </w:rPr>
        <w:t>mercado.</w:t>
      </w:r>
    </w:p>
    <w:p w14:paraId="49C5A731"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Las proyecciones de comportamiento de las variables demográficas, económicas y financieras. </w:t>
      </w:r>
    </w:p>
    <w:p w14:paraId="3EABD12D" w14:textId="77777777" w:rsidR="00FA68E8" w:rsidRPr="00FA68E8" w:rsidRDefault="00FA68E8" w:rsidP="0003315A">
      <w:pPr>
        <w:numPr>
          <w:ilvl w:val="0"/>
          <w:numId w:val="3"/>
        </w:numPr>
        <w:spacing w:line="240" w:lineRule="auto"/>
        <w:ind w:hanging="294"/>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Las restricciones regulatorias.</w:t>
      </w:r>
    </w:p>
    <w:p w14:paraId="60848509"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w:t>
      </w:r>
    </w:p>
    <w:p w14:paraId="56F0945E"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4. Error de seguimiento</w:t>
      </w:r>
    </w:p>
    <w:p w14:paraId="6678BBC7"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40C8B522"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El error de seguimiento es la desviación de la trayectoria declarada por la operadora de pensiones para cada fondo generacional del Régimen Obligatorio de Pensiones Complementarias respecto de su desempeño observado. </w:t>
      </w:r>
    </w:p>
    <w:p w14:paraId="6ED9AC25"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2FADFCA1"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Los rangos de desviación deben ser declarados en la política de inversiones de cada uno de los fondos.</w:t>
      </w:r>
    </w:p>
    <w:p w14:paraId="40C189A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BC9907F"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Las operadoras de pensiones deberán verificar periódicamente el rendimiento del fondo y compararlo contra el rendimiento objetivo declarado en su trayectoria de inversión. </w:t>
      </w:r>
    </w:p>
    <w:p w14:paraId="5EB93C04"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340442B"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Cuando se produzcan desviaciones, se aplicará lo que indica el artículo 6.</w:t>
      </w:r>
    </w:p>
    <w:p w14:paraId="5383C983" w14:textId="4068BB15" w:rsidR="0003315A" w:rsidRDefault="0003315A">
      <w:pPr>
        <w:spacing w:after="160" w:line="259" w:lineRule="auto"/>
        <w:rPr>
          <w:rFonts w:eastAsia="Times New Roman" w:cs="Times New Roman"/>
          <w:szCs w:val="24"/>
          <w:lang w:val="es-CR" w:eastAsia="es-CR"/>
        </w:rPr>
      </w:pPr>
      <w:r>
        <w:rPr>
          <w:rFonts w:eastAsia="Times New Roman" w:cs="Times New Roman"/>
          <w:szCs w:val="24"/>
          <w:lang w:val="es-CR" w:eastAsia="es-CR"/>
        </w:rPr>
        <w:br w:type="page"/>
      </w:r>
    </w:p>
    <w:p w14:paraId="0CDDF776"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1D680A9"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5. Política de inversión</w:t>
      </w:r>
    </w:p>
    <w:p w14:paraId="1D128440"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p>
    <w:p w14:paraId="6A684F3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debe ser congruente con el apetito al riesgo y con los resultados de las optimizaciones del correspondiente fondo generacional. La trayectoria de inversión formará parte de la política de inversión, por lo que deberá cumplir con todos los procesos internos de revisión, hasta su final aprobación por parte del Órgano de Dirección. </w:t>
      </w:r>
    </w:p>
    <w:p w14:paraId="3EB3B1CB"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EB89729"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6. Rebalanceo del portafolio</w:t>
      </w:r>
    </w:p>
    <w:p w14:paraId="5A8BAE46" w14:textId="77777777" w:rsidR="00FA68E8" w:rsidRPr="00FA68E8" w:rsidRDefault="00FA68E8" w:rsidP="0003315A">
      <w:pPr>
        <w:spacing w:line="240" w:lineRule="auto"/>
        <w:jc w:val="both"/>
        <w:textAlignment w:val="baseline"/>
        <w:rPr>
          <w:rFonts w:eastAsia="Times New Roman" w:cs="Times New Roman"/>
          <w:b/>
          <w:bCs/>
          <w:lang w:val="es-CR" w:eastAsia="es-CR"/>
        </w:rPr>
      </w:pPr>
    </w:p>
    <w:p w14:paraId="3BA99DFA" w14:textId="77777777" w:rsidR="00FA68E8" w:rsidRPr="00FA68E8" w:rsidRDefault="00FA68E8" w:rsidP="0003315A">
      <w:pPr>
        <w:spacing w:line="240" w:lineRule="auto"/>
        <w:jc w:val="both"/>
        <w:textAlignment w:val="baseline"/>
        <w:rPr>
          <w:rFonts w:eastAsia="Times New Roman" w:cs="Times New Roman"/>
          <w:lang w:val="es-CR" w:eastAsia="es-CR"/>
        </w:rPr>
      </w:pPr>
      <w:r w:rsidRPr="00FA68E8">
        <w:rPr>
          <w:rFonts w:eastAsia="Times New Roman" w:cs="Times New Roman"/>
          <w:lang w:val="es-CR" w:eastAsia="es-CR"/>
        </w:rPr>
        <w:t xml:space="preserve">La trayectoria de inversión podrá ser modificada por el Órgano de Dirección por razones técnicas debidamente justificadas, </w:t>
      </w:r>
      <w:r w:rsidRPr="00FF428F">
        <w:rPr>
          <w:rFonts w:eastAsia="Times New Roman" w:cs="Times New Roman"/>
          <w:lang w:val="es-CR" w:eastAsia="es-CR"/>
        </w:rPr>
        <w:t>previo análisis y discusión por parte del Comité de Riesgo y de Inversiones. Igual procedimiento deberá seguirse en caso de que la operadora decida no realizar ajustes a la trayectoria de inversiones de un fondo.</w:t>
      </w:r>
    </w:p>
    <w:p w14:paraId="751E64E5"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2A11A6AB" w14:textId="4C3E80B3" w:rsidR="00FA68E8" w:rsidRPr="00FA68E8" w:rsidRDefault="00FA68E8" w:rsidP="0003315A">
      <w:pPr>
        <w:spacing w:line="240" w:lineRule="auto"/>
        <w:jc w:val="both"/>
        <w:textAlignment w:val="baseline"/>
        <w:rPr>
          <w:rFonts w:eastAsia="Times New Roman" w:cs="Times New Roman"/>
          <w:szCs w:val="24"/>
          <w:lang w:val="es-CR" w:eastAsia="es-CR"/>
        </w:rPr>
      </w:pPr>
      <w:r w:rsidRPr="005B3C26">
        <w:rPr>
          <w:rFonts w:eastAsia="Times New Roman" w:cs="Times New Roman"/>
          <w:szCs w:val="24"/>
          <w:lang w:val="es-CR" w:eastAsia="es-CR"/>
        </w:rPr>
        <w:t>Cuando se presenten desvíos por seis meses consecutivos o cuando el error de seguimiento a la trayectoria de inversión sea superior a un 5%, las operadoras de pensiones deberán plantear una modificación a la trayectoria de inversión.</w:t>
      </w:r>
      <w:r w:rsidR="00385A87">
        <w:rPr>
          <w:rFonts w:eastAsia="Times New Roman" w:cs="Times New Roman"/>
          <w:szCs w:val="24"/>
          <w:lang w:val="es-CR" w:eastAsia="es-CR"/>
        </w:rPr>
        <w:t xml:space="preserve"> </w:t>
      </w:r>
    </w:p>
    <w:p w14:paraId="0233C32B"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16D30252" w14:textId="69EC0E3A"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no podrá ser modificada con el propósito de obtener resultados de rentabilidad de corto plazo. Deberá calibrarse en el tiempo para que logre alcanzar el objetivo de rentabilidad y de tasa de </w:t>
      </w:r>
      <w:r w:rsidRPr="003275D6">
        <w:rPr>
          <w:rFonts w:eastAsia="Times New Roman" w:cs="Times New Roman"/>
          <w:szCs w:val="24"/>
          <w:lang w:val="es-CR" w:eastAsia="es-CR"/>
        </w:rPr>
        <w:t xml:space="preserve">reemplazo declarado por cada operadora para cada uno de los fondos generacionales del Régimen Obligatorio de Pensiones Complementarias. De modificarse, </w:t>
      </w:r>
      <w:r w:rsidRPr="0099447D">
        <w:rPr>
          <w:rFonts w:eastAsia="Times New Roman" w:cs="Times New Roman"/>
          <w:szCs w:val="24"/>
          <w:lang w:val="es-CR" w:eastAsia="es-CR"/>
        </w:rPr>
        <w:t>la misma deberá ser inmediatamente comunicada a la Superintendencia de Pensiones y a los afiliados</w:t>
      </w:r>
      <w:r w:rsidR="0099447D" w:rsidRPr="0099447D">
        <w:rPr>
          <w:rFonts w:eastAsia="Times New Roman" w:cs="Times New Roman"/>
          <w:szCs w:val="24"/>
          <w:lang w:val="es-CR" w:eastAsia="es-CR"/>
        </w:rPr>
        <w:t>, por los medios correspondientes,</w:t>
      </w:r>
      <w:r w:rsidRPr="0099447D">
        <w:rPr>
          <w:rFonts w:eastAsia="Times New Roman" w:cs="Times New Roman"/>
          <w:szCs w:val="24"/>
          <w:lang w:val="es-CR" w:eastAsia="es-CR"/>
        </w:rPr>
        <w:t xml:space="preserve"> una vez aprobada por el Órgano de Dirección.</w:t>
      </w:r>
    </w:p>
    <w:p w14:paraId="380CB206"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A165D6E"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 xml:space="preserve">Artículo 7. Tasa de reemplazo </w:t>
      </w:r>
    </w:p>
    <w:p w14:paraId="270B293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7238FE2A"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Se estimará una tasa de reemplazo para cada fondo generacional, la cual deberá considerar al menos los siguientes aspectos:</w:t>
      </w:r>
    </w:p>
    <w:p w14:paraId="0F7B93A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12DB89C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tasa de reemplazo se proyectará para el afiliado tipo de cada </w:t>
      </w:r>
      <w:r w:rsidRPr="0099447D">
        <w:rPr>
          <w:rFonts w:eastAsia="Times New Roman" w:cs="Times New Roman"/>
          <w:szCs w:val="24"/>
          <w:lang w:val="es-CR" w:eastAsia="es-CR"/>
        </w:rPr>
        <w:t>fondo generacional.</w:t>
      </w:r>
    </w:p>
    <w:p w14:paraId="0B41DF5B" w14:textId="77777777" w:rsidR="00FA68E8" w:rsidRPr="0099447D"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99447D">
        <w:rPr>
          <w:rFonts w:eastAsia="Times New Roman" w:cs="Times New Roman"/>
          <w:szCs w:val="24"/>
          <w:lang w:val="es-CR" w:eastAsia="es-CR"/>
        </w:rPr>
        <w:t>Mediante estudio demográfico documentado, se determinará la edad promedio de los afiliados de cada fondo generacional (hombres y mujeres).</w:t>
      </w:r>
    </w:p>
    <w:p w14:paraId="792258C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Se estimará la densidad de cotización del afiliado tipo mediante una metodología que considere las características de cada fondo generacional y la densidad de cotización por año. </w:t>
      </w:r>
    </w:p>
    <w:p w14:paraId="35B4EFBC" w14:textId="77777777" w:rsidR="00FA68E8" w:rsidRPr="00600445" w:rsidRDefault="00FA68E8" w:rsidP="0003315A">
      <w:pPr>
        <w:spacing w:line="240" w:lineRule="auto"/>
        <w:ind w:left="720"/>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metodología deberá declarar los criterios utilizados en caso de que no se consideren en la estimación los aportes de </w:t>
      </w:r>
      <w:r w:rsidRPr="00600445">
        <w:rPr>
          <w:rFonts w:eastAsia="Times New Roman" w:cs="Times New Roman"/>
          <w:szCs w:val="24"/>
          <w:lang w:val="es-CR" w:eastAsia="es-CR"/>
        </w:rPr>
        <w:t xml:space="preserve">trabajadores con baja o nula cotización. </w:t>
      </w:r>
    </w:p>
    <w:p w14:paraId="795DDB88" w14:textId="1F4FC6B6" w:rsidR="00FA68E8" w:rsidRPr="00600445"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600445">
        <w:rPr>
          <w:rFonts w:eastAsia="Times New Roman" w:cs="Times New Roman"/>
          <w:szCs w:val="24"/>
          <w:lang w:val="es-CR" w:eastAsia="es-CR"/>
        </w:rPr>
        <w:t xml:space="preserve">La densidad de cotización deberá considerar únicamente los aportes </w:t>
      </w:r>
      <w:r w:rsidR="00346772" w:rsidRPr="00600445">
        <w:rPr>
          <w:rFonts w:eastAsia="Times New Roman" w:cs="Times New Roman"/>
          <w:szCs w:val="24"/>
          <w:lang w:val="es-CR" w:eastAsia="es-CR"/>
        </w:rPr>
        <w:t>ordinarios al Régimen Obligatorio de Pensiones Complementarias</w:t>
      </w:r>
      <w:r w:rsidRPr="00600445">
        <w:rPr>
          <w:rFonts w:eastAsia="Times New Roman" w:cs="Times New Roman"/>
          <w:szCs w:val="24"/>
          <w:lang w:val="es-CR" w:eastAsia="es-CR"/>
        </w:rPr>
        <w:t>.</w:t>
      </w:r>
    </w:p>
    <w:p w14:paraId="20BBE140" w14:textId="2D21C33D"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lastRenderedPageBreak/>
        <w:t xml:space="preserve">No se incluirá en la estimación de la densidad de cotización </w:t>
      </w:r>
      <w:r w:rsidR="0014411E">
        <w:rPr>
          <w:rFonts w:eastAsia="Times New Roman" w:cs="Times New Roman"/>
          <w:szCs w:val="24"/>
          <w:lang w:val="es-CR" w:eastAsia="es-CR"/>
        </w:rPr>
        <w:t xml:space="preserve">a </w:t>
      </w:r>
      <w:r w:rsidRPr="00FA68E8">
        <w:rPr>
          <w:rFonts w:eastAsia="Times New Roman" w:cs="Times New Roman"/>
          <w:szCs w:val="24"/>
          <w:lang w:val="es-CR" w:eastAsia="es-CR"/>
        </w:rPr>
        <w:t>los afiliados con menos de un año de permanencia en la operadora.</w:t>
      </w:r>
    </w:p>
    <w:p w14:paraId="62BD1D01" w14:textId="77777777"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Las proyecciones inflacionarias, los aumentos salariales periódicos y cualquier otra variable asociada a la estimación de la acumulación del afiliado tipo serán determinados mediante el uso de una metodología elaborada por cada operadora.</w:t>
      </w:r>
    </w:p>
    <w:p w14:paraId="0C0E9784" w14:textId="4E397A19" w:rsidR="00FA68E8" w:rsidRPr="00040EC6"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Para la proyección deberá utilizarse la comisión actual de administración para todo el periodo, excluyendo las bonificaciones.</w:t>
      </w:r>
    </w:p>
    <w:p w14:paraId="26D768DD"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040EC6">
        <w:rPr>
          <w:rFonts w:eastAsia="Times New Roman" w:cs="Times New Roman"/>
          <w:szCs w:val="24"/>
          <w:lang w:val="es-CR" w:eastAsia="es-CR"/>
        </w:rPr>
        <w:t>Los rendimientos proyectados del afiliado tipo serán</w:t>
      </w:r>
      <w:r w:rsidRPr="00FA68E8">
        <w:rPr>
          <w:rFonts w:eastAsia="Times New Roman" w:cs="Times New Roman"/>
          <w:szCs w:val="24"/>
          <w:lang w:val="es-CR" w:eastAsia="es-CR"/>
        </w:rPr>
        <w:t xml:space="preserve"> equivalentes a los determinados mediante la trayectoria de inversión hasta la edad de pensión.</w:t>
      </w:r>
    </w:p>
    <w:p w14:paraId="30DEABD2"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edad de retiro del afiliado tipo se estimará con base en la edad de retiro del Régimen de Invalidez, Vejez y Muerte administrado por la Caja Costarricense de Seguro Social, sin postergación ni adelanto para hombres y mujeres.</w:t>
      </w:r>
    </w:p>
    <w:p w14:paraId="69726058" w14:textId="77777777" w:rsidR="00FA68E8" w:rsidRPr="00FA68E8" w:rsidRDefault="00FA68E8" w:rsidP="0003315A">
      <w:pPr>
        <w:numPr>
          <w:ilvl w:val="0"/>
          <w:numId w:val="4"/>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modalidad de pensión que deberá utilizarse para el cálculo de la tasa de reemplazo será un Retiro programado.</w:t>
      </w:r>
    </w:p>
    <w:p w14:paraId="63E6EDA1"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2D371547"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Los supuestos utilizados en las metodologías deberán ser revisados y ajustados, de ser necesario, al menos una vez al año.</w:t>
      </w:r>
    </w:p>
    <w:p w14:paraId="35380BD3"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p>
    <w:p w14:paraId="422A7EFC" w14:textId="77777777" w:rsidR="00FA68E8" w:rsidRPr="00FA68E8" w:rsidRDefault="00FA68E8" w:rsidP="0003315A">
      <w:pPr>
        <w:spacing w:line="240" w:lineRule="auto"/>
        <w:ind w:left="360"/>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información asociada a las tasas de reemplazo no podrá ser utilizada para publicidad, ni divulgarse en los sitios web u otros canales de comunicación, públicos o privados.</w:t>
      </w:r>
    </w:p>
    <w:p w14:paraId="73566183"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3E7C1DE" w14:textId="77777777" w:rsidR="00FA68E8" w:rsidRPr="00FA68E8" w:rsidRDefault="00FA68E8" w:rsidP="0003315A">
      <w:pPr>
        <w:spacing w:line="240" w:lineRule="auto"/>
        <w:jc w:val="both"/>
        <w:textAlignment w:val="baseline"/>
        <w:rPr>
          <w:rFonts w:eastAsia="Times New Roman" w:cs="Times New Roman"/>
          <w:b/>
          <w:bCs/>
          <w:szCs w:val="24"/>
          <w:lang w:val="es-CR" w:eastAsia="es-CR"/>
        </w:rPr>
      </w:pPr>
      <w:r w:rsidRPr="00FA68E8">
        <w:rPr>
          <w:rFonts w:eastAsia="Times New Roman" w:cs="Times New Roman"/>
          <w:b/>
          <w:bCs/>
          <w:szCs w:val="24"/>
          <w:lang w:val="es-CR" w:eastAsia="es-CR"/>
        </w:rPr>
        <w:t>Artículo 8. Comunicación al supervisor</w:t>
      </w:r>
    </w:p>
    <w:p w14:paraId="7D055569"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50AA8F56"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La trayectoria de inversión y la tasa de reemplazo deberán documentarse y remitirse a la Superintendencia cuando se aprueben en firme. </w:t>
      </w:r>
    </w:p>
    <w:p w14:paraId="3A49A930"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36EC7333" w14:textId="163AE46E"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Cada seis meses, las operadoras deberán documentar y remitir a la SUPEN los resultados del seguimiento a la trayectoria de inversión y la tasa de reemplazo de cada fondo generacional.</w:t>
      </w:r>
    </w:p>
    <w:p w14:paraId="280C406C" w14:textId="77777777" w:rsidR="00FA68E8" w:rsidRPr="00FA68E8" w:rsidRDefault="00FA68E8" w:rsidP="0003315A">
      <w:pPr>
        <w:spacing w:line="240" w:lineRule="auto"/>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 </w:t>
      </w:r>
    </w:p>
    <w:p w14:paraId="6F695920" w14:textId="18F707B4" w:rsidR="00FA68E8" w:rsidRPr="009F5BE4" w:rsidRDefault="00FA68E8" w:rsidP="0003315A">
      <w:pPr>
        <w:spacing w:line="240" w:lineRule="auto"/>
        <w:jc w:val="both"/>
        <w:textAlignment w:val="baseline"/>
        <w:rPr>
          <w:rFonts w:eastAsia="Times New Roman" w:cs="Times New Roman"/>
          <w:szCs w:val="24"/>
          <w:lang w:val="es-CR" w:eastAsia="es-CR"/>
        </w:rPr>
      </w:pPr>
      <w:r w:rsidRPr="009F5BE4">
        <w:rPr>
          <w:rFonts w:eastAsia="Times New Roman" w:cs="Times New Roman"/>
          <w:szCs w:val="24"/>
          <w:lang w:val="es-CR" w:eastAsia="es-CR"/>
        </w:rPr>
        <w:t>Lo</w:t>
      </w:r>
      <w:r w:rsidR="009F5BE4" w:rsidRPr="009F5BE4">
        <w:rPr>
          <w:rFonts w:eastAsia="Times New Roman" w:cs="Times New Roman"/>
          <w:szCs w:val="24"/>
          <w:lang w:val="es-CR" w:eastAsia="es-CR"/>
        </w:rPr>
        <w:t xml:space="preserve"> anterior</w:t>
      </w:r>
      <w:r w:rsidRPr="009F5BE4">
        <w:rPr>
          <w:rFonts w:eastAsia="Times New Roman" w:cs="Times New Roman"/>
          <w:szCs w:val="24"/>
          <w:lang w:val="es-CR" w:eastAsia="es-CR"/>
        </w:rPr>
        <w:t xml:space="preserve"> deberá realizarse para cada fondo generacional y, como mínimo, deberán contener: </w:t>
      </w:r>
    </w:p>
    <w:p w14:paraId="378D1C08" w14:textId="77777777" w:rsidR="00FA68E8" w:rsidRPr="00FA68E8" w:rsidRDefault="00FA68E8" w:rsidP="0003315A">
      <w:pPr>
        <w:numPr>
          <w:ilvl w:val="0"/>
          <w:numId w:val="5"/>
        </w:numPr>
        <w:spacing w:line="240" w:lineRule="auto"/>
        <w:contextualSpacing/>
        <w:jc w:val="both"/>
        <w:textAlignment w:val="baseline"/>
        <w:rPr>
          <w:rFonts w:eastAsia="Times New Roman" w:cs="Times New Roman"/>
          <w:szCs w:val="24"/>
          <w:lang w:val="es-CR" w:eastAsia="es-CR"/>
        </w:rPr>
      </w:pPr>
      <w:r w:rsidRPr="009F5BE4">
        <w:rPr>
          <w:rFonts w:eastAsia="Times New Roman" w:cs="Times New Roman"/>
          <w:szCs w:val="24"/>
          <w:lang w:val="es-CR" w:eastAsia="es-CR"/>
        </w:rPr>
        <w:t>La</w:t>
      </w:r>
      <w:r w:rsidRPr="00FA68E8">
        <w:rPr>
          <w:rFonts w:eastAsia="Times New Roman" w:cs="Times New Roman"/>
          <w:szCs w:val="24"/>
          <w:lang w:val="es-CR" w:eastAsia="es-CR"/>
        </w:rPr>
        <w:t xml:space="preserve"> evaluación de la trayectoria de inversión.</w:t>
      </w:r>
    </w:p>
    <w:p w14:paraId="3B793F0A" w14:textId="77777777" w:rsidR="00FA68E8" w:rsidRPr="00FA68E8" w:rsidRDefault="00FA68E8" w:rsidP="0003315A">
      <w:pPr>
        <w:numPr>
          <w:ilvl w:val="0"/>
          <w:numId w:val="5"/>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La fórmula de cálculo del error de seguimiento en cada periodo y los datos utilizados, de manera que pueda replicarse para efectos de supervisión.</w:t>
      </w:r>
    </w:p>
    <w:p w14:paraId="35743E32" w14:textId="77777777" w:rsidR="00FA68E8" w:rsidRPr="00FA68E8" w:rsidRDefault="00FA68E8" w:rsidP="0003315A">
      <w:pPr>
        <w:numPr>
          <w:ilvl w:val="0"/>
          <w:numId w:val="5"/>
        </w:numPr>
        <w:spacing w:line="240" w:lineRule="auto"/>
        <w:contextualSpacing/>
        <w:jc w:val="both"/>
        <w:textAlignment w:val="baseline"/>
        <w:rPr>
          <w:rFonts w:eastAsia="Times New Roman" w:cs="Times New Roman"/>
          <w:szCs w:val="24"/>
          <w:lang w:val="es-CR" w:eastAsia="es-CR"/>
        </w:rPr>
      </w:pPr>
      <w:r w:rsidRPr="00FA68E8">
        <w:rPr>
          <w:rFonts w:eastAsia="Times New Roman" w:cs="Times New Roman"/>
          <w:szCs w:val="24"/>
          <w:lang w:val="es-CR" w:eastAsia="es-CR"/>
        </w:rPr>
        <w:t xml:space="preserve">El desvío real y el umbral de tolerancia que defina el órgano de dirección. </w:t>
      </w:r>
    </w:p>
    <w:p w14:paraId="6FB5857D" w14:textId="77777777" w:rsidR="0003315A" w:rsidRDefault="0003315A">
      <w:pPr>
        <w:spacing w:after="160" w:line="259" w:lineRule="auto"/>
        <w:rPr>
          <w:rFonts w:ascii="Calibri" w:eastAsia="Times New Roman" w:hAnsi="Calibri" w:cs="Calibri"/>
          <w:b/>
          <w:bCs/>
          <w:szCs w:val="24"/>
          <w:lang w:val="es-CR" w:eastAsia="es-CR"/>
        </w:rPr>
      </w:pPr>
      <w:r>
        <w:rPr>
          <w:rFonts w:ascii="Calibri" w:eastAsia="Times New Roman" w:hAnsi="Calibri" w:cs="Calibri"/>
          <w:b/>
          <w:bCs/>
          <w:szCs w:val="24"/>
          <w:lang w:val="es-CR" w:eastAsia="es-CR"/>
        </w:rPr>
        <w:br w:type="page"/>
      </w:r>
    </w:p>
    <w:p w14:paraId="004726A2" w14:textId="5577CB0D"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lastRenderedPageBreak/>
        <w:t>Anexo 1: Trayectoria de inversión</w:t>
      </w:r>
      <w:r w:rsidRPr="00FA68E8">
        <w:rPr>
          <w:rFonts w:ascii="Calibri" w:eastAsia="Times New Roman" w:hAnsi="Calibri" w:cs="Calibri"/>
          <w:szCs w:val="24"/>
          <w:lang w:val="es-CR" w:eastAsia="es-CR"/>
        </w:rPr>
        <w:t> </w:t>
      </w:r>
    </w:p>
    <w:p w14:paraId="44A1B5F9" w14:textId="77777777" w:rsidR="00FA68E8" w:rsidRP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Operadora de Pensiones: XXXX</w:t>
      </w:r>
      <w:r w:rsidRPr="00FA68E8">
        <w:rPr>
          <w:rFonts w:ascii="Calibri" w:eastAsia="Times New Roman" w:hAnsi="Calibri" w:cs="Calibri"/>
          <w:szCs w:val="24"/>
          <w:lang w:val="es-CR" w:eastAsia="es-CR"/>
        </w:rPr>
        <w:t> </w:t>
      </w:r>
    </w:p>
    <w:p w14:paraId="0ACEE6E0" w14:textId="77777777" w:rsidR="00FA68E8" w:rsidRDefault="00FA68E8" w:rsidP="0003315A">
      <w:pPr>
        <w:spacing w:line="240" w:lineRule="auto"/>
        <w:jc w:val="center"/>
        <w:textAlignment w:val="baseline"/>
        <w:rPr>
          <w:rFonts w:ascii="Calibri" w:eastAsia="Times New Roman" w:hAnsi="Calibri" w:cs="Calibri"/>
          <w:szCs w:val="24"/>
          <w:lang w:val="es-CR" w:eastAsia="es-CR"/>
        </w:rPr>
      </w:pPr>
      <w:r w:rsidRPr="00FA68E8">
        <w:rPr>
          <w:rFonts w:ascii="Calibri" w:eastAsia="Times New Roman" w:hAnsi="Calibri" w:cs="Calibri"/>
          <w:b/>
          <w:bCs/>
          <w:szCs w:val="24"/>
          <w:lang w:val="es-CR" w:eastAsia="es-CR"/>
        </w:rPr>
        <w:t>Fondo Generacional: XXX</w:t>
      </w:r>
      <w:r w:rsidRPr="00FA68E8">
        <w:rPr>
          <w:rFonts w:ascii="Calibri" w:eastAsia="Times New Roman" w:hAnsi="Calibri" w:cs="Calibri"/>
          <w:szCs w:val="24"/>
          <w:lang w:val="es-CR" w:eastAsia="es-CR"/>
        </w:rPr>
        <w:t> </w:t>
      </w:r>
    </w:p>
    <w:p w14:paraId="797ED077" w14:textId="77777777" w:rsidR="00DB3C2C" w:rsidRPr="00FA68E8" w:rsidRDefault="00DB3C2C" w:rsidP="0003315A">
      <w:pPr>
        <w:spacing w:line="240" w:lineRule="auto"/>
        <w:jc w:val="center"/>
        <w:textAlignment w:val="baseline"/>
        <w:rPr>
          <w:rFonts w:ascii="Calibri" w:eastAsia="Times New Roman" w:hAnsi="Calibri" w:cs="Calibri"/>
          <w:szCs w:val="24"/>
          <w:lang w:val="es-CR" w:eastAsia="es-CR"/>
        </w:rPr>
      </w:pP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63"/>
        <w:gridCol w:w="1464"/>
        <w:gridCol w:w="1463"/>
        <w:gridCol w:w="1464"/>
        <w:gridCol w:w="1463"/>
        <w:gridCol w:w="1464"/>
      </w:tblGrid>
      <w:tr w:rsidR="00FA68E8" w:rsidRPr="00FA68E8" w14:paraId="6E212351"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80BF527" w14:textId="3E01F7CF"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eastAsia="Times New Roman" w:cs="Times New Roman"/>
                <w:szCs w:val="24"/>
                <w:lang w:val="es-CR" w:eastAsia="es-CR"/>
              </w:rPr>
              <w:t> </w:t>
            </w:r>
            <w:r w:rsidRPr="00FA68E8">
              <w:rPr>
                <w:rFonts w:ascii="Calibri" w:eastAsia="Times New Roman" w:hAnsi="Calibri" w:cs="Calibri"/>
                <w:b/>
                <w:bCs/>
                <w:sz w:val="20"/>
                <w:szCs w:val="20"/>
                <w:lang w:val="es-CR" w:eastAsia="es-CR"/>
              </w:rPr>
              <w:t>Clases de activos</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C8E2E2"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de deuda</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B4F2E9"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Títulos representativos de propiedad</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ED7A366"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Disponibilidades</w:t>
            </w:r>
          </w:p>
        </w:tc>
        <w:tc>
          <w:tcPr>
            <w:tcW w:w="1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1A42FDC"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Sumatoria</w:t>
            </w:r>
          </w:p>
        </w:tc>
        <w:tc>
          <w:tcPr>
            <w:tcW w:w="14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2CCE06B"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Rendimiento</w:t>
            </w:r>
          </w:p>
          <w:p w14:paraId="28CA2604" w14:textId="77777777" w:rsidR="00FA68E8" w:rsidRPr="00FA68E8" w:rsidRDefault="00FA68E8" w:rsidP="0003315A">
            <w:pPr>
              <w:spacing w:line="240" w:lineRule="auto"/>
              <w:jc w:val="center"/>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Objetivo</w:t>
            </w:r>
          </w:p>
        </w:tc>
      </w:tr>
      <w:tr w:rsidR="00FA68E8" w:rsidRPr="00FA68E8" w14:paraId="169F0222"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54DFA7"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2024 </w:t>
            </w:r>
          </w:p>
        </w:tc>
        <w:tc>
          <w:tcPr>
            <w:tcW w:w="1464" w:type="dxa"/>
            <w:tcBorders>
              <w:top w:val="single" w:sz="6" w:space="0" w:color="auto"/>
              <w:left w:val="single" w:sz="6" w:space="0" w:color="auto"/>
              <w:bottom w:val="single" w:sz="6" w:space="0" w:color="auto"/>
              <w:right w:val="single" w:sz="6" w:space="0" w:color="auto"/>
            </w:tcBorders>
            <w:hideMark/>
          </w:tcPr>
          <w:p w14:paraId="3B14BBA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56F88B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2DC1A1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10E2914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5EEBC986"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5B1DBE40" w14:textId="77777777" w:rsidTr="0063275A">
        <w:trPr>
          <w:trHeight w:val="576"/>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218DC4"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2025 </w:t>
            </w:r>
          </w:p>
        </w:tc>
        <w:tc>
          <w:tcPr>
            <w:tcW w:w="1464" w:type="dxa"/>
            <w:tcBorders>
              <w:top w:val="single" w:sz="6" w:space="0" w:color="auto"/>
              <w:left w:val="single" w:sz="6" w:space="0" w:color="auto"/>
              <w:bottom w:val="single" w:sz="6" w:space="0" w:color="auto"/>
              <w:right w:val="single" w:sz="6" w:space="0" w:color="auto"/>
            </w:tcBorders>
            <w:hideMark/>
          </w:tcPr>
          <w:p w14:paraId="3B4899FB"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B47FCB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43B7AE3C"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78A40A09"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4821FE1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767BC84A" w14:textId="77777777" w:rsidTr="0063275A">
        <w:trPr>
          <w:trHeight w:val="288"/>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188DCB"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0C0477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2765DCE"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31F9747D"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49F6B24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182249F4"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r w:rsidR="00FA68E8" w:rsidRPr="00FA68E8" w14:paraId="30E1C39F" w14:textId="77777777" w:rsidTr="0063275A">
        <w:trPr>
          <w:trHeight w:val="1441"/>
        </w:trPr>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FB6FF" w14:textId="77777777" w:rsidR="00FA68E8" w:rsidRPr="00FA68E8" w:rsidRDefault="00FA68E8" w:rsidP="0003315A">
            <w:pPr>
              <w:spacing w:line="240" w:lineRule="auto"/>
              <w:textAlignment w:val="baseline"/>
              <w:rPr>
                <w:rFonts w:ascii="Calibri" w:eastAsia="Times New Roman" w:hAnsi="Calibri" w:cs="Calibri"/>
                <w:b/>
                <w:bCs/>
                <w:sz w:val="20"/>
                <w:szCs w:val="20"/>
                <w:lang w:val="es-CR" w:eastAsia="es-CR"/>
              </w:rPr>
            </w:pPr>
            <w:r w:rsidRPr="00FA68E8">
              <w:rPr>
                <w:rFonts w:ascii="Calibri" w:eastAsia="Times New Roman" w:hAnsi="Calibri" w:cs="Calibri"/>
                <w:b/>
                <w:bCs/>
                <w:sz w:val="20"/>
                <w:szCs w:val="20"/>
                <w:lang w:val="es-CR" w:eastAsia="es-CR"/>
              </w:rPr>
              <w:t>Horizonte de inversión (extinción de la generación) </w:t>
            </w:r>
          </w:p>
        </w:tc>
        <w:tc>
          <w:tcPr>
            <w:tcW w:w="1464" w:type="dxa"/>
            <w:tcBorders>
              <w:top w:val="single" w:sz="6" w:space="0" w:color="auto"/>
              <w:left w:val="single" w:sz="6" w:space="0" w:color="auto"/>
              <w:bottom w:val="single" w:sz="6" w:space="0" w:color="auto"/>
              <w:right w:val="single" w:sz="6" w:space="0" w:color="auto"/>
            </w:tcBorders>
            <w:hideMark/>
          </w:tcPr>
          <w:p w14:paraId="26DC0EB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632D06D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4" w:type="dxa"/>
            <w:tcBorders>
              <w:top w:val="single" w:sz="6" w:space="0" w:color="auto"/>
              <w:left w:val="single" w:sz="6" w:space="0" w:color="auto"/>
              <w:bottom w:val="single" w:sz="6" w:space="0" w:color="auto"/>
              <w:right w:val="single" w:sz="6" w:space="0" w:color="auto"/>
            </w:tcBorders>
            <w:hideMark/>
          </w:tcPr>
          <w:p w14:paraId="516BBB05"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c>
          <w:tcPr>
            <w:tcW w:w="1463" w:type="dxa"/>
            <w:tcBorders>
              <w:top w:val="single" w:sz="6" w:space="0" w:color="auto"/>
              <w:left w:val="single" w:sz="6" w:space="0" w:color="auto"/>
              <w:bottom w:val="single" w:sz="6" w:space="0" w:color="auto"/>
              <w:right w:val="single" w:sz="6" w:space="0" w:color="auto"/>
            </w:tcBorders>
            <w:hideMark/>
          </w:tcPr>
          <w:p w14:paraId="2CF29E03"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100% </w:t>
            </w:r>
          </w:p>
        </w:tc>
        <w:tc>
          <w:tcPr>
            <w:tcW w:w="1464" w:type="dxa"/>
            <w:tcBorders>
              <w:top w:val="single" w:sz="6" w:space="0" w:color="auto"/>
              <w:left w:val="single" w:sz="6" w:space="0" w:color="auto"/>
              <w:bottom w:val="single" w:sz="6" w:space="0" w:color="auto"/>
              <w:right w:val="single" w:sz="6" w:space="0" w:color="auto"/>
            </w:tcBorders>
            <w:hideMark/>
          </w:tcPr>
          <w:p w14:paraId="72A4A1D8" w14:textId="77777777" w:rsidR="00FA68E8" w:rsidRPr="00FA68E8" w:rsidRDefault="00FA68E8" w:rsidP="0003315A">
            <w:pPr>
              <w:spacing w:line="240" w:lineRule="auto"/>
              <w:jc w:val="right"/>
              <w:textAlignment w:val="baseline"/>
              <w:rPr>
                <w:rFonts w:ascii="Calibri" w:eastAsia="Times New Roman" w:hAnsi="Calibri" w:cs="Calibri"/>
                <w:sz w:val="20"/>
                <w:szCs w:val="20"/>
                <w:lang w:val="es-CR" w:eastAsia="es-CR"/>
              </w:rPr>
            </w:pPr>
            <w:r w:rsidRPr="00FA68E8">
              <w:rPr>
                <w:rFonts w:ascii="Calibri" w:eastAsia="Times New Roman" w:hAnsi="Calibri" w:cs="Calibri"/>
                <w:sz w:val="20"/>
                <w:szCs w:val="20"/>
                <w:lang w:val="es-CR" w:eastAsia="es-CR"/>
              </w:rPr>
              <w:t>% </w:t>
            </w:r>
          </w:p>
        </w:tc>
      </w:tr>
    </w:tbl>
    <w:p w14:paraId="601A70D1" w14:textId="77777777" w:rsidR="00FA68E8" w:rsidRPr="00FA68E8" w:rsidRDefault="00FA68E8" w:rsidP="0003315A">
      <w:pPr>
        <w:spacing w:line="240" w:lineRule="auto"/>
        <w:jc w:val="both"/>
        <w:textAlignment w:val="baseline"/>
        <w:rPr>
          <w:rFonts w:eastAsia="Times New Roman" w:cs="Times New Roman"/>
          <w:i/>
          <w:iCs/>
          <w:sz w:val="18"/>
          <w:szCs w:val="18"/>
          <w:lang w:val="es-CR" w:eastAsia="es-CR"/>
        </w:rPr>
      </w:pPr>
      <w:r w:rsidRPr="00FA68E8">
        <w:rPr>
          <w:rFonts w:eastAsia="Times New Roman" w:cs="Times New Roman"/>
          <w:b/>
          <w:bCs/>
          <w:sz w:val="18"/>
          <w:szCs w:val="18"/>
          <w:lang w:val="es-CR" w:eastAsia="es-CR"/>
        </w:rPr>
        <w:t>Nota 1:</w:t>
      </w:r>
      <w:r w:rsidRPr="00FA68E8">
        <w:rPr>
          <w:rFonts w:eastAsia="Times New Roman" w:cs="Times New Roman"/>
          <w:sz w:val="18"/>
          <w:szCs w:val="18"/>
          <w:lang w:val="es-CR" w:eastAsia="es-CR"/>
        </w:rPr>
        <w:t xml:space="preserve"> La determinación de cada proporción de clase de activos (deuda y títulos representativos de propiedad) no podrá superar el 100%</w:t>
      </w:r>
      <w:r w:rsidRPr="00FA68E8">
        <w:rPr>
          <w:rFonts w:eastAsia="Times New Roman" w:cs="Times New Roman"/>
          <w:i/>
          <w:iCs/>
          <w:sz w:val="18"/>
          <w:szCs w:val="18"/>
          <w:lang w:val="es-CR" w:eastAsia="es-CR"/>
        </w:rPr>
        <w:t>.</w:t>
      </w:r>
    </w:p>
    <w:p w14:paraId="7166FBC2" w14:textId="5F868678" w:rsidR="00FA68E8" w:rsidRPr="00FA68E8" w:rsidRDefault="00FA68E8" w:rsidP="0003315A">
      <w:pPr>
        <w:spacing w:line="240" w:lineRule="auto"/>
        <w:jc w:val="both"/>
        <w:textAlignment w:val="baseline"/>
        <w:rPr>
          <w:rFonts w:eastAsia="Times New Roman" w:cs="Times New Roman"/>
          <w:sz w:val="18"/>
          <w:szCs w:val="18"/>
          <w:lang w:val="es-CR" w:eastAsia="es-CR"/>
        </w:rPr>
      </w:pPr>
      <w:r w:rsidRPr="00FA68E8">
        <w:rPr>
          <w:rFonts w:eastAsia="Times New Roman" w:cs="Times New Roman"/>
          <w:b/>
          <w:bCs/>
          <w:sz w:val="18"/>
          <w:szCs w:val="18"/>
          <w:lang w:val="es-CR" w:eastAsia="es-CR"/>
        </w:rPr>
        <w:t>Nota 2</w:t>
      </w:r>
      <w:r w:rsidRPr="00FA68E8">
        <w:rPr>
          <w:rFonts w:eastAsia="Times New Roman" w:cs="Times New Roman"/>
          <w:b/>
          <w:bCs/>
          <w:i/>
          <w:iCs/>
          <w:sz w:val="18"/>
          <w:szCs w:val="18"/>
          <w:lang w:val="es-CR" w:eastAsia="es-CR"/>
        </w:rPr>
        <w:t>:</w:t>
      </w:r>
      <w:r w:rsidRPr="00FA68E8">
        <w:rPr>
          <w:rFonts w:eastAsia="Times New Roman" w:cs="Times New Roman"/>
          <w:i/>
          <w:iCs/>
          <w:sz w:val="18"/>
          <w:szCs w:val="18"/>
          <w:lang w:val="es-CR" w:eastAsia="es-CR"/>
        </w:rPr>
        <w:t xml:space="preserve"> </w:t>
      </w:r>
      <w:r w:rsidRPr="00FA68E8">
        <w:rPr>
          <w:rFonts w:eastAsia="Times New Roman" w:cs="Times New Roman"/>
          <w:sz w:val="18"/>
          <w:szCs w:val="18"/>
          <w:lang w:val="es-CR" w:eastAsia="es-CR"/>
        </w:rPr>
        <w:t>Cada línea de este anexo deberá estar fundamentada en el ejercicio de optimización</w:t>
      </w:r>
      <w:r w:rsidR="00764FA0">
        <w:rPr>
          <w:rFonts w:eastAsia="Times New Roman" w:cs="Times New Roman"/>
          <w:sz w:val="18"/>
          <w:szCs w:val="18"/>
          <w:lang w:val="es-CR" w:eastAsia="es-CR"/>
        </w:rPr>
        <w:t>.</w:t>
      </w:r>
    </w:p>
    <w:p w14:paraId="16D528A8" w14:textId="77777777" w:rsidR="00FA68E8" w:rsidRPr="00FA68E8" w:rsidRDefault="00FA68E8" w:rsidP="0003315A">
      <w:pPr>
        <w:spacing w:line="240" w:lineRule="auto"/>
        <w:jc w:val="both"/>
        <w:textAlignment w:val="baseline"/>
        <w:rPr>
          <w:rFonts w:eastAsia="Times New Roman" w:cs="Times New Roman"/>
          <w:szCs w:val="24"/>
          <w:lang w:val="es-CR" w:eastAsia="es-CR"/>
        </w:rPr>
      </w:pPr>
    </w:p>
    <w:p w14:paraId="0A856D28" w14:textId="77777777" w:rsidR="00FA68E8" w:rsidRPr="00FA68E8" w:rsidRDefault="00FA68E8" w:rsidP="0003315A">
      <w:pPr>
        <w:pStyle w:val="Prrafodelista"/>
        <w:numPr>
          <w:ilvl w:val="0"/>
          <w:numId w:val="9"/>
        </w:numPr>
        <w:spacing w:line="240" w:lineRule="auto"/>
        <w:rPr>
          <w:rFonts w:eastAsia="Calibri" w:cs="Times New Roman"/>
          <w:b/>
          <w:bCs/>
          <w:szCs w:val="24"/>
        </w:rPr>
      </w:pPr>
      <w:r w:rsidRPr="00FA68E8">
        <w:rPr>
          <w:rFonts w:eastAsia="Calibri" w:cs="Times New Roman"/>
          <w:b/>
          <w:bCs/>
          <w:szCs w:val="24"/>
        </w:rPr>
        <w:t>Transitorio.</w:t>
      </w:r>
    </w:p>
    <w:p w14:paraId="23A73A67" w14:textId="77777777" w:rsidR="00FA68E8" w:rsidRDefault="00FA68E8" w:rsidP="0003315A">
      <w:pPr>
        <w:spacing w:line="240" w:lineRule="auto"/>
        <w:jc w:val="both"/>
        <w:rPr>
          <w:rFonts w:eastAsia="Calibri" w:cs="Times New Roman"/>
          <w:szCs w:val="24"/>
        </w:rPr>
      </w:pPr>
    </w:p>
    <w:p w14:paraId="3BB94CE1" w14:textId="260A666C" w:rsidR="00FA68E8" w:rsidRPr="00FA68E8" w:rsidRDefault="00FA68E8" w:rsidP="0003315A">
      <w:pPr>
        <w:spacing w:line="240" w:lineRule="auto"/>
        <w:jc w:val="both"/>
        <w:rPr>
          <w:rFonts w:eastAsia="Calibri" w:cs="Times New Roman"/>
          <w:szCs w:val="24"/>
        </w:rPr>
      </w:pPr>
      <w:r w:rsidRPr="00A87FB9">
        <w:rPr>
          <w:rFonts w:eastAsia="Calibri" w:cs="Times New Roman"/>
          <w:szCs w:val="24"/>
        </w:rPr>
        <w:t>El saldo acumulado en el Régimen Obligatorio de Pensiones del afiliado tipo, al momento en que operativamente se implemente la administración de los recursos del Régimen Obligatorio de Pensiones a través de fondos generacionales, se estimará tomando en cuenta el promedio de la acumulación de los trabajadores considerados para determinar la densidad de cotización</w:t>
      </w:r>
      <w:r w:rsidR="00842F62" w:rsidRPr="00A87FB9">
        <w:rPr>
          <w:rFonts w:eastAsia="Calibri" w:cs="Times New Roman"/>
          <w:szCs w:val="24"/>
        </w:rPr>
        <w:t xml:space="preserve"> de cada generación</w:t>
      </w:r>
      <w:r w:rsidRPr="00A87FB9">
        <w:rPr>
          <w:rFonts w:eastAsia="Calibri" w:cs="Times New Roman"/>
          <w:szCs w:val="24"/>
        </w:rPr>
        <w:t>.</w:t>
      </w:r>
    </w:p>
    <w:p w14:paraId="106B94BF" w14:textId="46E3ADC4" w:rsidR="00FA68E8" w:rsidRDefault="00FA68E8" w:rsidP="0003315A">
      <w:pPr>
        <w:spacing w:line="240" w:lineRule="auto"/>
        <w:jc w:val="both"/>
      </w:pPr>
    </w:p>
    <w:p w14:paraId="278E151E" w14:textId="339B6E06" w:rsidR="00FA68E8" w:rsidRDefault="00FA68E8" w:rsidP="0003315A">
      <w:pPr>
        <w:pStyle w:val="Prrafodelista"/>
        <w:numPr>
          <w:ilvl w:val="0"/>
          <w:numId w:val="9"/>
        </w:numPr>
        <w:spacing w:line="240" w:lineRule="auto"/>
        <w:jc w:val="both"/>
        <w:rPr>
          <w:b/>
          <w:bCs/>
        </w:rPr>
      </w:pPr>
      <w:r w:rsidRPr="00FA68E8">
        <w:rPr>
          <w:b/>
          <w:bCs/>
        </w:rPr>
        <w:t>Vigencia</w:t>
      </w:r>
    </w:p>
    <w:p w14:paraId="6CD89F63" w14:textId="77777777" w:rsidR="00FA68E8" w:rsidRPr="00FA68E8" w:rsidRDefault="00FA68E8" w:rsidP="0003315A">
      <w:pPr>
        <w:pStyle w:val="Prrafodelista"/>
        <w:spacing w:line="240" w:lineRule="auto"/>
        <w:jc w:val="both"/>
        <w:rPr>
          <w:b/>
          <w:bCs/>
        </w:rPr>
      </w:pPr>
    </w:p>
    <w:p w14:paraId="134266AD" w14:textId="6D10F643" w:rsidR="00291B81" w:rsidRPr="00BD0C19" w:rsidRDefault="00FA68E8" w:rsidP="0003315A">
      <w:pPr>
        <w:spacing w:line="240" w:lineRule="auto"/>
      </w:pPr>
      <w:r>
        <w:t>Rige a partir del día 22 de marzo de 2025.</w:t>
      </w:r>
    </w:p>
    <w:p w14:paraId="18B6EDA9" w14:textId="77777777" w:rsidR="00291B81" w:rsidRPr="00BD0C19" w:rsidRDefault="00291B81" w:rsidP="0003315A">
      <w:pPr>
        <w:spacing w:line="240" w:lineRule="auto"/>
      </w:pPr>
    </w:p>
    <w:p w14:paraId="72E6F119" w14:textId="77777777" w:rsidR="00291B81" w:rsidRDefault="00291B81" w:rsidP="0003315A">
      <w:pPr>
        <w:spacing w:line="240" w:lineRule="auto"/>
      </w:pPr>
      <w:r>
        <w:t>Comuníquese.</w:t>
      </w:r>
    </w:p>
    <w:p w14:paraId="6F5D8594" w14:textId="318F8630" w:rsidR="00851CCD" w:rsidRDefault="00041856" w:rsidP="0003315A">
      <w:pPr>
        <w:spacing w:line="240"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72031DF" w:rsidR="00A0168D" w:rsidRDefault="00A0168D" w:rsidP="0003315A">
      <w:pPr>
        <w:spacing w:line="240" w:lineRule="auto"/>
      </w:pPr>
      <w:r>
        <w:t>Rocío Aguilar M</w:t>
      </w:r>
      <w:r w:rsidR="00062EAC">
        <w:t>ontoya</w:t>
      </w:r>
    </w:p>
    <w:p w14:paraId="35617DE7" w14:textId="742F0D5D" w:rsidR="0058753F" w:rsidRDefault="00A0168D" w:rsidP="0003315A">
      <w:pPr>
        <w:spacing w:line="240" w:lineRule="auto"/>
        <w:rPr>
          <w:b/>
          <w:bCs/>
        </w:rPr>
      </w:pPr>
      <w:r w:rsidRPr="0003315A">
        <w:rPr>
          <w:b/>
          <w:bCs/>
        </w:rPr>
        <w:t>Superintendente de Pensiones</w:t>
      </w:r>
    </w:p>
    <w:p w14:paraId="50EBB1B6" w14:textId="77777777" w:rsidR="00C35320" w:rsidRPr="0003315A" w:rsidRDefault="00C35320" w:rsidP="0003315A">
      <w:pPr>
        <w:spacing w:line="240" w:lineRule="auto"/>
        <w:rPr>
          <w:b/>
          <w:bCs/>
        </w:rPr>
      </w:pPr>
    </w:p>
    <w:p w14:paraId="195FEE73" w14:textId="738FFDBC" w:rsidR="00204052" w:rsidRDefault="004B3D1D" w:rsidP="0003315A">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B34496">
        <w:rPr>
          <w:sz w:val="18"/>
        </w:rPr>
        <w:t xml:space="preserve"> RCV/YSCh.</w:t>
      </w:r>
    </w:p>
    <w:sectPr w:rsidR="00204052"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783A9" w14:textId="77777777" w:rsidR="00883CCF" w:rsidRDefault="00883CCF" w:rsidP="00011FAB">
      <w:pPr>
        <w:spacing w:line="240" w:lineRule="auto"/>
      </w:pPr>
      <w:r>
        <w:separator/>
      </w:r>
    </w:p>
  </w:endnote>
  <w:endnote w:type="continuationSeparator" w:id="0">
    <w:p w14:paraId="7AA9F604" w14:textId="77777777" w:rsidR="00883CCF" w:rsidRDefault="00883CCF"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45F2" w14:textId="77777777" w:rsidR="000C3017" w:rsidRDefault="000C30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2F3" w14:textId="3BF519C1"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44E9DB67" wp14:editId="5FED8298">
              <wp:simplePos x="0" y="0"/>
              <wp:positionH relativeFrom="page">
                <wp:posOffset>0</wp:posOffset>
              </wp:positionH>
              <wp:positionV relativeFrom="page">
                <wp:posOffset>9594215</wp:posOffset>
              </wp:positionV>
              <wp:extent cx="7772400" cy="273050"/>
              <wp:effectExtent l="0" t="0" r="0" b="12700"/>
              <wp:wrapNone/>
              <wp:docPr id="1" name="MSIPCMe5db442ab7c6a8f113f4a32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DB67" id="_x0000_t202" coordsize="21600,21600" o:spt="202" path="m,l,21600r21600,l21600,xe">
              <v:stroke joinstyle="miter"/>
              <v:path gradientshapeok="t" o:connecttype="rect"/>
            </v:shapetype>
            <v:shape id="MSIPCMe5db442ab7c6a8f113f4a321"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814E89C" w14:textId="74016F0E"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E9B4" w14:textId="698CF788" w:rsidR="003621B6" w:rsidRDefault="00FA68E8"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6001060E" wp14:editId="4F2B6667">
              <wp:simplePos x="0" y="0"/>
              <wp:positionH relativeFrom="page">
                <wp:posOffset>0</wp:posOffset>
              </wp:positionH>
              <wp:positionV relativeFrom="page">
                <wp:posOffset>9594215</wp:posOffset>
              </wp:positionV>
              <wp:extent cx="7772400" cy="273050"/>
              <wp:effectExtent l="0" t="0" r="0" b="12700"/>
              <wp:wrapNone/>
              <wp:docPr id="6" name="MSIPCMa699448c875e80f4b99672b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1060E" id="_x0000_t202" coordsize="21600,21600" o:spt="202" path="m,l,21600r21600,l21600,xe">
              <v:stroke joinstyle="miter"/>
              <v:path gradientshapeok="t" o:connecttype="rect"/>
            </v:shapetype>
            <v:shape id="MSIPCMa699448c875e80f4b99672b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213096D6" w14:textId="12A84577" w:rsidR="00FA68E8" w:rsidRPr="00FA68E8" w:rsidRDefault="00FA68E8" w:rsidP="00FA68E8">
                    <w:pPr>
                      <w:jc w:val="center"/>
                      <w:rPr>
                        <w:rFonts w:ascii="Calibri" w:hAnsi="Calibri" w:cs="Calibri"/>
                        <w:color w:val="000000"/>
                        <w:sz w:val="20"/>
                      </w:rPr>
                    </w:pPr>
                    <w:r w:rsidRPr="00FA68E8">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2551A" w14:textId="77777777" w:rsidR="00883CCF" w:rsidRDefault="00883CCF" w:rsidP="00011FAB">
      <w:pPr>
        <w:spacing w:line="240" w:lineRule="auto"/>
      </w:pPr>
      <w:r>
        <w:separator/>
      </w:r>
    </w:p>
  </w:footnote>
  <w:footnote w:type="continuationSeparator" w:id="0">
    <w:p w14:paraId="0D32F4B4" w14:textId="77777777" w:rsidR="00883CCF" w:rsidRDefault="00883CCF"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E800" w14:textId="77777777" w:rsidR="000C3017" w:rsidRDefault="000C30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9F05" w14:textId="40C327A0" w:rsidR="0075244F" w:rsidRDefault="0067350A" w:rsidP="0075244F">
    <w:pPr>
      <w:pStyle w:val="Encabezado"/>
      <w:rPr>
        <w:sz w:val="22"/>
      </w:rPr>
    </w:pPr>
    <w:r>
      <w:rPr>
        <w:noProof/>
      </w:rPr>
      <w:drawing>
        <wp:anchor distT="0" distB="0" distL="114300" distR="114300" simplePos="0" relativeHeight="25165312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9264"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64532B60"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325924">
      <w:rPr>
        <w:b/>
        <w:i/>
        <w:noProof/>
        <w:szCs w:val="24"/>
      </w:rPr>
      <w:t>SP-A-267-2024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F333" w14:textId="22B60987" w:rsidR="000F575B" w:rsidRDefault="000F575B" w:rsidP="000F575B">
    <w:pPr>
      <w:pStyle w:val="Encabezado"/>
      <w:rPr>
        <w:sz w:val="22"/>
      </w:rPr>
    </w:pPr>
    <w:r>
      <w:rPr>
        <w:noProof/>
        <w:sz w:val="22"/>
      </w:rPr>
      <w:drawing>
        <wp:anchor distT="0" distB="0" distL="114300" distR="114300" simplePos="0" relativeHeight="251657216"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5168"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664E0"/>
    <w:multiLevelType w:val="hybridMultilevel"/>
    <w:tmpl w:val="685C0C9C"/>
    <w:lvl w:ilvl="0" w:tplc="140A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C611F61"/>
    <w:multiLevelType w:val="hybridMultilevel"/>
    <w:tmpl w:val="EC96EC4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59642CA6"/>
    <w:multiLevelType w:val="hybridMultilevel"/>
    <w:tmpl w:val="ECD696F8"/>
    <w:lvl w:ilvl="0" w:tplc="AB64A106">
      <w:start w:val="1"/>
      <w:numFmt w:val="low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62245713"/>
    <w:multiLevelType w:val="hybridMultilevel"/>
    <w:tmpl w:val="84DEA1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4967A7D"/>
    <w:multiLevelType w:val="hybridMultilevel"/>
    <w:tmpl w:val="BCB4E014"/>
    <w:lvl w:ilvl="0" w:tplc="AB64A106">
      <w:start w:val="1"/>
      <w:numFmt w:val="lowerRoman"/>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7A3B002C"/>
    <w:multiLevelType w:val="hybridMultilevel"/>
    <w:tmpl w:val="9822C7F6"/>
    <w:lvl w:ilvl="0" w:tplc="AB64A106">
      <w:start w:val="1"/>
      <w:numFmt w:val="lowerRoman"/>
      <w:lvlText w:val="%1."/>
      <w:lvlJc w:val="left"/>
      <w:pPr>
        <w:ind w:left="1070" w:hanging="71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496335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803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246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115348">
    <w:abstractNumId w:val="4"/>
    <w:lvlOverride w:ilvl="0">
      <w:startOverride w:val="1"/>
    </w:lvlOverride>
    <w:lvlOverride w:ilvl="1"/>
    <w:lvlOverride w:ilvl="2"/>
    <w:lvlOverride w:ilvl="3"/>
    <w:lvlOverride w:ilvl="4"/>
    <w:lvlOverride w:ilvl="5"/>
    <w:lvlOverride w:ilvl="6"/>
    <w:lvlOverride w:ilvl="7"/>
    <w:lvlOverride w:ilvl="8"/>
  </w:num>
  <w:num w:numId="5" w16cid:durableId="1465465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785893">
    <w:abstractNumId w:val="4"/>
  </w:num>
  <w:num w:numId="7" w16cid:durableId="1511136800">
    <w:abstractNumId w:val="1"/>
  </w:num>
  <w:num w:numId="8" w16cid:durableId="1607498337">
    <w:abstractNumId w:val="0"/>
  </w:num>
  <w:num w:numId="9" w16cid:durableId="1131828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3315A"/>
    <w:rsid w:val="00040EC6"/>
    <w:rsid w:val="00041856"/>
    <w:rsid w:val="000421CB"/>
    <w:rsid w:val="00062EAC"/>
    <w:rsid w:val="0006650E"/>
    <w:rsid w:val="0008410F"/>
    <w:rsid w:val="00092B79"/>
    <w:rsid w:val="00095A2B"/>
    <w:rsid w:val="000C3017"/>
    <w:rsid w:val="000F20BC"/>
    <w:rsid w:val="000F575B"/>
    <w:rsid w:val="00107ED5"/>
    <w:rsid w:val="0014411E"/>
    <w:rsid w:val="001572C1"/>
    <w:rsid w:val="001806BB"/>
    <w:rsid w:val="001B67E6"/>
    <w:rsid w:val="001D18BF"/>
    <w:rsid w:val="001D3394"/>
    <w:rsid w:val="00204052"/>
    <w:rsid w:val="002073B7"/>
    <w:rsid w:val="002257D1"/>
    <w:rsid w:val="00226F9D"/>
    <w:rsid w:val="00261F6E"/>
    <w:rsid w:val="00262F5C"/>
    <w:rsid w:val="0026796D"/>
    <w:rsid w:val="00277C51"/>
    <w:rsid w:val="00290343"/>
    <w:rsid w:val="00291B81"/>
    <w:rsid w:val="00295482"/>
    <w:rsid w:val="002A3368"/>
    <w:rsid w:val="002C4C8C"/>
    <w:rsid w:val="002D2C7A"/>
    <w:rsid w:val="002D4667"/>
    <w:rsid w:val="002E789B"/>
    <w:rsid w:val="002F0201"/>
    <w:rsid w:val="002F0CD8"/>
    <w:rsid w:val="00303B4A"/>
    <w:rsid w:val="00305EDC"/>
    <w:rsid w:val="00310D45"/>
    <w:rsid w:val="003155C5"/>
    <w:rsid w:val="0031679D"/>
    <w:rsid w:val="00325924"/>
    <w:rsid w:val="003262D5"/>
    <w:rsid w:val="003275D6"/>
    <w:rsid w:val="00346772"/>
    <w:rsid w:val="00347408"/>
    <w:rsid w:val="00347829"/>
    <w:rsid w:val="003621B6"/>
    <w:rsid w:val="00377CEE"/>
    <w:rsid w:val="00385A87"/>
    <w:rsid w:val="00387CD6"/>
    <w:rsid w:val="003A06F4"/>
    <w:rsid w:val="003A683A"/>
    <w:rsid w:val="003B667F"/>
    <w:rsid w:val="003D35CA"/>
    <w:rsid w:val="0040085F"/>
    <w:rsid w:val="00413B95"/>
    <w:rsid w:val="0042790D"/>
    <w:rsid w:val="00432490"/>
    <w:rsid w:val="00435A2B"/>
    <w:rsid w:val="0045287A"/>
    <w:rsid w:val="004565B1"/>
    <w:rsid w:val="00464393"/>
    <w:rsid w:val="0046584C"/>
    <w:rsid w:val="00477218"/>
    <w:rsid w:val="00484927"/>
    <w:rsid w:val="004A2C15"/>
    <w:rsid w:val="004B3D1D"/>
    <w:rsid w:val="004D4618"/>
    <w:rsid w:val="004F21B2"/>
    <w:rsid w:val="0050511E"/>
    <w:rsid w:val="00507921"/>
    <w:rsid w:val="00510B84"/>
    <w:rsid w:val="005429B7"/>
    <w:rsid w:val="0058753F"/>
    <w:rsid w:val="0059081B"/>
    <w:rsid w:val="00594A6E"/>
    <w:rsid w:val="005A55A4"/>
    <w:rsid w:val="005B3C26"/>
    <w:rsid w:val="005B53CE"/>
    <w:rsid w:val="005C18F6"/>
    <w:rsid w:val="005D0E59"/>
    <w:rsid w:val="005E4A8B"/>
    <w:rsid w:val="00600445"/>
    <w:rsid w:val="00621251"/>
    <w:rsid w:val="00630614"/>
    <w:rsid w:val="0063275A"/>
    <w:rsid w:val="00670C1D"/>
    <w:rsid w:val="0067350A"/>
    <w:rsid w:val="006803D3"/>
    <w:rsid w:val="0069087E"/>
    <w:rsid w:val="006B6689"/>
    <w:rsid w:val="006C5791"/>
    <w:rsid w:val="006C603D"/>
    <w:rsid w:val="006D5B49"/>
    <w:rsid w:val="006F5308"/>
    <w:rsid w:val="006F787D"/>
    <w:rsid w:val="00722522"/>
    <w:rsid w:val="00732510"/>
    <w:rsid w:val="00732D8B"/>
    <w:rsid w:val="0075244F"/>
    <w:rsid w:val="00762E69"/>
    <w:rsid w:val="00763296"/>
    <w:rsid w:val="00764FA0"/>
    <w:rsid w:val="0076656D"/>
    <w:rsid w:val="0079478E"/>
    <w:rsid w:val="007B253B"/>
    <w:rsid w:val="007D711F"/>
    <w:rsid w:val="007E7168"/>
    <w:rsid w:val="008051AB"/>
    <w:rsid w:val="008064ED"/>
    <w:rsid w:val="00826EC1"/>
    <w:rsid w:val="008308B4"/>
    <w:rsid w:val="00832382"/>
    <w:rsid w:val="00841E75"/>
    <w:rsid w:val="00842F62"/>
    <w:rsid w:val="00851CCD"/>
    <w:rsid w:val="00883CCF"/>
    <w:rsid w:val="008A098B"/>
    <w:rsid w:val="008E076A"/>
    <w:rsid w:val="008E7D4F"/>
    <w:rsid w:val="008F591C"/>
    <w:rsid w:val="009012D5"/>
    <w:rsid w:val="009332DB"/>
    <w:rsid w:val="00952852"/>
    <w:rsid w:val="009536A5"/>
    <w:rsid w:val="00967B19"/>
    <w:rsid w:val="00980E25"/>
    <w:rsid w:val="009913CA"/>
    <w:rsid w:val="0099447D"/>
    <w:rsid w:val="009B3671"/>
    <w:rsid w:val="009B475A"/>
    <w:rsid w:val="009D2ADC"/>
    <w:rsid w:val="009D72EE"/>
    <w:rsid w:val="009E6DB2"/>
    <w:rsid w:val="009F5BE4"/>
    <w:rsid w:val="009F7C79"/>
    <w:rsid w:val="00A0168D"/>
    <w:rsid w:val="00A1061A"/>
    <w:rsid w:val="00A154C9"/>
    <w:rsid w:val="00A241E6"/>
    <w:rsid w:val="00A47569"/>
    <w:rsid w:val="00A4778B"/>
    <w:rsid w:val="00A60740"/>
    <w:rsid w:val="00A60911"/>
    <w:rsid w:val="00A87FB9"/>
    <w:rsid w:val="00AB116C"/>
    <w:rsid w:val="00AD10D3"/>
    <w:rsid w:val="00AE28A5"/>
    <w:rsid w:val="00AF3B9B"/>
    <w:rsid w:val="00AF7580"/>
    <w:rsid w:val="00B20060"/>
    <w:rsid w:val="00B34496"/>
    <w:rsid w:val="00B63CA0"/>
    <w:rsid w:val="00B65E0E"/>
    <w:rsid w:val="00B849CB"/>
    <w:rsid w:val="00BD5F5A"/>
    <w:rsid w:val="00BE078A"/>
    <w:rsid w:val="00C015B1"/>
    <w:rsid w:val="00C33292"/>
    <w:rsid w:val="00C35320"/>
    <w:rsid w:val="00C66A91"/>
    <w:rsid w:val="00C90A71"/>
    <w:rsid w:val="00CA16C2"/>
    <w:rsid w:val="00CC0335"/>
    <w:rsid w:val="00CC24BF"/>
    <w:rsid w:val="00CD5928"/>
    <w:rsid w:val="00CF51F2"/>
    <w:rsid w:val="00D029E6"/>
    <w:rsid w:val="00D0661A"/>
    <w:rsid w:val="00D350B3"/>
    <w:rsid w:val="00D440C1"/>
    <w:rsid w:val="00D61945"/>
    <w:rsid w:val="00D766AB"/>
    <w:rsid w:val="00D80206"/>
    <w:rsid w:val="00D86CC1"/>
    <w:rsid w:val="00DA5F5C"/>
    <w:rsid w:val="00DB0552"/>
    <w:rsid w:val="00DB3C2C"/>
    <w:rsid w:val="00DC38D9"/>
    <w:rsid w:val="00DD729A"/>
    <w:rsid w:val="00E42EFF"/>
    <w:rsid w:val="00E60462"/>
    <w:rsid w:val="00E73BDF"/>
    <w:rsid w:val="00E87328"/>
    <w:rsid w:val="00E924FC"/>
    <w:rsid w:val="00E95B34"/>
    <w:rsid w:val="00E95D96"/>
    <w:rsid w:val="00EA0753"/>
    <w:rsid w:val="00EA1A49"/>
    <w:rsid w:val="00EC1B04"/>
    <w:rsid w:val="00EE58B8"/>
    <w:rsid w:val="00EF04B3"/>
    <w:rsid w:val="00F432E8"/>
    <w:rsid w:val="00F44087"/>
    <w:rsid w:val="00F45755"/>
    <w:rsid w:val="00F51952"/>
    <w:rsid w:val="00F560CF"/>
    <w:rsid w:val="00F57041"/>
    <w:rsid w:val="00F62DF6"/>
    <w:rsid w:val="00F7760F"/>
    <w:rsid w:val="00F776C4"/>
    <w:rsid w:val="00F80778"/>
    <w:rsid w:val="00F80FC5"/>
    <w:rsid w:val="00FA68E8"/>
    <w:rsid w:val="00FB31B4"/>
    <w:rsid w:val="00FE2C34"/>
    <w:rsid w:val="00FF428F"/>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C35320"/>
    <w:pPr>
      <w:spacing w:after="0" w:line="240"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C35320"/>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09194">
      <w:bodyDiv w:val="1"/>
      <w:marLeft w:val="0"/>
      <w:marRight w:val="0"/>
      <w:marTop w:val="0"/>
      <w:marBottom w:val="0"/>
      <w:divBdr>
        <w:top w:val="none" w:sz="0" w:space="0" w:color="auto"/>
        <w:left w:val="none" w:sz="0" w:space="0" w:color="auto"/>
        <w:bottom w:val="none" w:sz="0" w:space="0" w:color="auto"/>
        <w:right w:val="none" w:sz="0" w:space="0" w:color="auto"/>
      </w:divBdr>
    </w:div>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FE2C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https://si.supen.fi.cr/Tramites/Tram_Detalle_Evento.aspx?evento=2024000428&amp;op=3</Url>
      <Description>2024000428</Description>
    </Event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4D451BD-6067-48EB-80C7-A07A167F2540}">
  <ds:schemaRefs>
    <ds:schemaRef ds:uri="http://purl.org/dc/dcmitype/"/>
    <ds:schemaRef ds:uri="http://schemas.microsoft.com/office/2006/documentManagement/types"/>
    <ds:schemaRef ds:uri="http://purl.org/dc/terms/"/>
    <ds:schemaRef ds:uri="http://purl.org/dc/elements/1.1/"/>
    <ds:schemaRef ds:uri="6c2d2cf2-004b-47d1-b91d-f9a62dc21ba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3.xml><?xml version="1.0" encoding="utf-8"?>
<ds:datastoreItem xmlns:ds="http://schemas.openxmlformats.org/officeDocument/2006/customXml" ds:itemID="{83668EC9-74E6-4FA2-AEE7-08D05151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6B965-2208-4041-BBFE-ED1FAB453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6</TotalTime>
  <Pages>6</Pages>
  <Words>1931</Words>
  <Characters>10621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2024SPA267.docx</dc:title>
  <dc:subject/>
  <dc:creator>ROJAS VALVERDE DIEGO ANTONIO</dc:creator>
  <cp:keywords/>
  <dc:description/>
  <cp:lastModifiedBy>RODRIGUEZ BOVIERI GIANFRANCO</cp:lastModifiedBy>
  <cp:revision>2</cp:revision>
  <cp:lastPrinted>2016-11-07T18:19:00Z</cp:lastPrinted>
  <dcterms:created xsi:type="dcterms:W3CDTF">2025-02-20T17:02:00Z</dcterms:created>
  <dcterms:modified xsi:type="dcterms:W3CDTF">2025-02-20T17:02:00Z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2024-01-09T16:59:31Z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b49bdd6a-b866-4cb3-8425-00004fe954eb</vt:lpwstr>
  </property>
  <property fmtid="{D5CDD505-2E9C-101B-9397-08002B2CF9AE}" pid="9" name="MSIP_Label_b8b4be34-365a-4a68-b9fb-75c1b6874315_ContentBits">
    <vt:lpwstr>2</vt:lpwstr>
  </property>
</Properties>
</file>