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5B1C" w14:textId="641C3531" w:rsidR="00DC08A2" w:rsidRPr="00FF37F8" w:rsidRDefault="001D1B76" w:rsidP="00FF37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1D1B76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>SP-A-264-2023</w:t>
      </w:r>
    </w:p>
    <w:p w14:paraId="4EBDEEE1" w14:textId="7BD18232" w:rsidR="00CC2F8C" w:rsidRDefault="00595CC0" w:rsidP="00DA274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890E2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</w:p>
    <w:p w14:paraId="6781FFEF" w14:textId="4D9339CC" w:rsidR="00DA2744" w:rsidRDefault="00DA2744" w:rsidP="00DA274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Superintendencia de Pensiones, al ser la</w:t>
      </w:r>
      <w:r w:rsidR="00AC49ED">
        <w:rPr>
          <w:rFonts w:ascii="Times New Roman" w:eastAsia="Calibri" w:hAnsi="Times New Roman" w:cs="Times New Roman"/>
          <w:sz w:val="24"/>
          <w:szCs w:val="24"/>
          <w:lang w:val="es-CR"/>
        </w:rPr>
        <w:t>s quince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horas del dí</w:t>
      </w:r>
      <w:r w:rsidR="00AC49ED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 </w:t>
      </w:r>
      <w:r w:rsidR="00407CC5">
        <w:rPr>
          <w:rFonts w:ascii="Times New Roman" w:eastAsia="Calibri" w:hAnsi="Times New Roman" w:cs="Times New Roman"/>
          <w:sz w:val="24"/>
          <w:szCs w:val="24"/>
          <w:lang w:val="es-CR"/>
        </w:rPr>
        <w:t>veintiséis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</w:t>
      </w:r>
      <w:r w:rsidR="00FD2871">
        <w:rPr>
          <w:rFonts w:ascii="Times New Roman" w:eastAsia="Calibri" w:hAnsi="Times New Roman" w:cs="Times New Roman"/>
          <w:sz w:val="24"/>
          <w:szCs w:val="24"/>
          <w:lang w:val="es-CR"/>
        </w:rPr>
        <w:t>e julio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del año dos mil veinti</w:t>
      </w:r>
      <w:r w:rsidR="002D049D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trés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. </w:t>
      </w:r>
    </w:p>
    <w:p w14:paraId="014457A2" w14:textId="77777777" w:rsidR="00FF37F8" w:rsidRDefault="00FF37F8" w:rsidP="005A02E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35E2933B" w14:textId="77777777" w:rsidR="005A02EF" w:rsidRPr="003D45D1" w:rsidRDefault="005A02EF" w:rsidP="005A02E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3D45D1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>SE REFORMA EL ACUERDO SP-A-</w:t>
      </w:r>
      <w:r w:rsidR="00A37949" w:rsidRPr="003D45D1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>240-</w:t>
      </w:r>
      <w:r w:rsidR="00325264" w:rsidRPr="003D45D1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>2021, DE LAS QUINCE HORAS DEL VEINTICINCO DE MARZO DE DOS MIL VEINTIUNO</w:t>
      </w:r>
    </w:p>
    <w:p w14:paraId="50370CCF" w14:textId="77777777" w:rsidR="005A02EF" w:rsidRPr="003D45D1" w:rsidRDefault="005A02EF" w:rsidP="005A02EF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6AF3465A" w14:textId="77777777" w:rsidR="00CC2F8C" w:rsidRPr="003D45D1" w:rsidRDefault="00DA2744" w:rsidP="00CC2F8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3D45D1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>CONSIDERANDO:</w:t>
      </w:r>
    </w:p>
    <w:p w14:paraId="11DECCC8" w14:textId="77777777" w:rsidR="00DA2744" w:rsidRPr="00FF37F8" w:rsidRDefault="00E16EF5" w:rsidP="00FF37F8">
      <w:pPr>
        <w:pStyle w:val="Prrafodelist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E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 inciso i) del artículo 38 </w:t>
      </w:r>
      <w:r w:rsidR="00AE2DDF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 la ley N° 7523, </w:t>
      </w:r>
      <w:r w:rsidR="00AE2DDF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Régimen Privado de Pensiones Complementarias</w:t>
      </w:r>
      <w:r w:rsidR="00AE2DDF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, </w:t>
      </w:r>
      <w:r w:rsidR="0059186B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señala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que es atribución del Superintendente de Pensiones, proponer</w:t>
      </w:r>
      <w:r w:rsidR="00C419FC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al Consejo Nacional los requisitos generales que deben cumplir los agentes promotores de las </w:t>
      </w:r>
      <w:r w:rsidR="00A07E8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o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peradoras de </w:t>
      </w:r>
      <w:r w:rsidR="00A07E8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p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ensiones </w:t>
      </w:r>
      <w:r w:rsidR="00A07E8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complementarias 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para ser incluidos en el registro de agentes autorizados</w:t>
      </w:r>
      <w:r w:rsidR="00CC2F8C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2B62BF4B" w14:textId="77777777" w:rsidR="00AE2DDF" w:rsidRPr="00FF37F8" w:rsidRDefault="00AE2DDF" w:rsidP="00AE2DDF">
      <w:pPr>
        <w:pStyle w:val="Prrafodelista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0651614A" w14:textId="7C34DEC1" w:rsidR="000E646E" w:rsidRPr="00FF37F8" w:rsidRDefault="000E646E" w:rsidP="00FF37F8">
      <w:pPr>
        <w:pStyle w:val="Prrafodelista"/>
        <w:numPr>
          <w:ilvl w:val="0"/>
          <w:numId w:val="1"/>
        </w:numPr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E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 artículo 35 de la Ley N°7983, </w:t>
      </w:r>
      <w:r w:rsidR="00DA2744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Ley de Protección al Trabajador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dispone que los agentes promotores de las operadoras de pensiones</w:t>
      </w:r>
      <w:r w:rsidR="00A07E8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complementarias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1A230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debe</w:t>
      </w:r>
      <w:r w:rsidR="00053FE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n 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registrarse ante la Superintendencia de Pensiones y</w:t>
      </w:r>
      <w:r w:rsidR="003D4367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para tal fin, deberán cumplir con los requisitos y aprobar los exámenes que la Superintendencia determine para este efecto.</w:t>
      </w:r>
    </w:p>
    <w:p w14:paraId="7B0DFA78" w14:textId="77777777" w:rsidR="000E646E" w:rsidRPr="00FF37F8" w:rsidRDefault="000E646E" w:rsidP="000E646E">
      <w:pPr>
        <w:pStyle w:val="Prrafodelista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624EBC56" w14:textId="778B509C" w:rsidR="006220B1" w:rsidRPr="00FF37F8" w:rsidRDefault="00DA2744" w:rsidP="00DA2744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El artículo 40 de la Ley N°</w:t>
      </w:r>
      <w:r w:rsidR="00A97F96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7983, establece</w:t>
      </w:r>
      <w:r w:rsidR="00791C09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entre otros, la responsabilidad solidaria de las operadoras de pensiones, por los daños y perjuicios patrimoniales causados a los afiliados, por los actos dolosos o culposos cometidos por los agentes promotores.</w:t>
      </w:r>
    </w:p>
    <w:p w14:paraId="019C1B11" w14:textId="77777777" w:rsidR="006220B1" w:rsidRPr="00FF37F8" w:rsidRDefault="006220B1" w:rsidP="006220B1">
      <w:pPr>
        <w:pStyle w:val="Prrafodelista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5CC71D43" w14:textId="77777777" w:rsidR="00E47CCD" w:rsidRPr="00FF37F8" w:rsidRDefault="00DA2744" w:rsidP="00DA2744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El inciso m) del artículo 42 de la ley a</w:t>
      </w:r>
      <w:r w:rsidR="006220B1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ntes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citada dispone la obligación </w:t>
      </w:r>
      <w:r w:rsidR="00F2401E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que tienen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DA2C49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las operadoras de pensiones complementarias </w:t>
      </w:r>
      <w:r w:rsidR="00DD01B5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 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controlar que los promotores trabajen ofreciendo información veraz, sin inducir a equívocos ni confusiones, según las normas que para el efecto expida la Superintendencia.</w:t>
      </w:r>
    </w:p>
    <w:p w14:paraId="5DBA751F" w14:textId="77777777" w:rsidR="00E47CCD" w:rsidRPr="00FF37F8" w:rsidRDefault="00E47CCD" w:rsidP="00E47CCD">
      <w:pPr>
        <w:pStyle w:val="Prrafodelista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552C0D23" w14:textId="77777777" w:rsidR="00DA2744" w:rsidRPr="00FF37F8" w:rsidRDefault="00217A03" w:rsidP="00DA2744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E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 </w:t>
      </w:r>
      <w:r w:rsidR="00DA2744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Reglamento de Autorizaciones y Aprobaciones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 publicado en el Alcance número 329, del Diario Oficial La Gaceta N°294 del día 16 de diciembre de 2020, estable</w:t>
      </w:r>
      <w:r w:rsidR="00460355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ce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los requisitos mínimos para el registro y acreditación de promotores, disponiendo que la Superintendencia podrá evaluar en cualquier momento a los </w:t>
      </w:r>
      <w:r w:rsidR="00460355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agentes promotores, </w:t>
      </w:r>
      <w:r w:rsidR="00DA27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de acuerdo con los procedimientos determinados para dichos fines.</w:t>
      </w:r>
    </w:p>
    <w:p w14:paraId="1600E09E" w14:textId="77777777" w:rsidR="009237F5" w:rsidRPr="00FF37F8" w:rsidRDefault="009237F5" w:rsidP="009237F5">
      <w:pPr>
        <w:pStyle w:val="Prrafodelista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3AB5CC44" w14:textId="77777777" w:rsidR="005F3D88" w:rsidRPr="00FF37F8" w:rsidRDefault="009237F5" w:rsidP="00B53417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lastRenderedPageBreak/>
        <w:t xml:space="preserve">Los artículos 29 y 30 del </w:t>
      </w:r>
      <w:r w:rsidR="00E563C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R</w:t>
      </w:r>
      <w:r w:rsidR="00DF3F8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eglamento sobre la apertura y funcionamiento de las entidades autorizadas y el funcionamiento de los fondos de pensiones, capitalización laboral y ahorro voluntario previstos en la </w:t>
      </w:r>
      <w:r w:rsidR="00E563C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L</w:t>
      </w:r>
      <w:r w:rsidR="00DF3F8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ey de </w:t>
      </w:r>
      <w:r w:rsidR="00E563C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P</w:t>
      </w:r>
      <w:r w:rsidR="00DF3F8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rotección al </w:t>
      </w:r>
      <w:r w:rsidR="00CC2F8C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T</w:t>
      </w:r>
      <w:r w:rsidR="00DF3F8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rabajador</w:t>
      </w:r>
      <w:r w:rsidR="00E563CB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 </w:t>
      </w:r>
      <w:r w:rsidR="00E563CB" w:rsidRPr="00CC2F8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establecen el deber </w:t>
      </w:r>
      <w:r w:rsidR="00B53417" w:rsidRPr="00CC2F8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 las operadoras de pensiones de </w:t>
      </w:r>
      <w:r w:rsidRPr="00CC2F8C">
        <w:rPr>
          <w:rFonts w:ascii="Times New Roman" w:eastAsia="Calibri" w:hAnsi="Times New Roman" w:cs="Times New Roman"/>
          <w:sz w:val="24"/>
          <w:szCs w:val="24"/>
          <w:lang w:val="es-CR"/>
        </w:rPr>
        <w:t>instruir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y capacitar en forma permanente a sus agentes promotores</w:t>
      </w:r>
      <w:r w:rsidR="00073D7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en todos los aspectos relativos al Sistema Nacional de Pensiones</w:t>
      </w:r>
      <w:r w:rsidR="00374992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con el fin de que puedan asesorar,</w:t>
      </w:r>
      <w:r w:rsidR="00663D4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en forma adecuada, completa y pertinente, a los trabajadores, afiliados y pensionados.</w:t>
      </w:r>
    </w:p>
    <w:p w14:paraId="6B6A0F63" w14:textId="77777777" w:rsidR="005F3D88" w:rsidRPr="00FF37F8" w:rsidRDefault="005F3D88" w:rsidP="005F3D88">
      <w:pPr>
        <w:pStyle w:val="Prrafodelista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5EDD3C21" w14:textId="77777777" w:rsidR="009237F5" w:rsidRPr="00FF37F8" w:rsidRDefault="00516837" w:rsidP="005F3D88">
      <w:pPr>
        <w:pStyle w:val="Prrafodelista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Mediante acuerdo, el</w:t>
      </w:r>
      <w:r w:rsidR="00A35AA9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Superintendente comunicará a las operadoras</w:t>
      </w:r>
      <w:r w:rsidR="00D5615D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pensiones</w:t>
      </w:r>
      <w:r w:rsidR="009860B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 en lo</w:t>
      </w:r>
      <w:r w:rsidR="00AE0E7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9860B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que </w:t>
      </w:r>
      <w:r w:rsidR="003D45D1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interesa, los</w:t>
      </w:r>
      <w:r w:rsidR="00A35AA9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temas y condiciones generales de los exámenes</w:t>
      </w:r>
      <w:r w:rsidR="009860B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68589EDE" w14:textId="77777777" w:rsidR="00073D70" w:rsidRPr="00FF37F8" w:rsidRDefault="00073D70" w:rsidP="005F3D88">
      <w:pPr>
        <w:pStyle w:val="Prrafodelista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2AD3A588" w14:textId="77777777" w:rsidR="00073D70" w:rsidRPr="00FF37F8" w:rsidRDefault="00E62D14" w:rsidP="002C43B3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 través del </w:t>
      </w:r>
      <w:r w:rsidR="003143F8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A</w:t>
      </w:r>
      <w:r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cuerdo SP-A-240</w:t>
      </w:r>
      <w:r w:rsidR="00C91DA3" w:rsidRPr="00FF37F8">
        <w:rPr>
          <w:rFonts w:ascii="Times New Roman" w:hAnsi="Times New Roman" w:cs="Times New Roman"/>
          <w:i/>
          <w:iCs/>
        </w:rPr>
        <w:t xml:space="preserve"> </w:t>
      </w:r>
      <w:r w:rsidR="00C91DA3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de las quince horas del día veinticinco de marzo de</w:t>
      </w:r>
      <w:r w:rsidR="003143F8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 2021</w:t>
      </w:r>
      <w:r w:rsidR="003143F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, la Superintendencia de Pensiones emitió </w:t>
      </w:r>
      <w:r w:rsidR="00506BD6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la guía de </w:t>
      </w:r>
      <w:r w:rsidR="002C43B3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c</w:t>
      </w:r>
      <w:r w:rsidR="00506BD6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apacitación</w:t>
      </w:r>
      <w:r w:rsidR="002C43B3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que </w:t>
      </w:r>
      <w:r w:rsidR="0044645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debe ser</w:t>
      </w:r>
      <w:r w:rsidR="00506BD6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utilizada por las operadoras para </w:t>
      </w:r>
      <w:r w:rsidR="002C43B3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la </w:t>
      </w:r>
      <w:r w:rsidR="00506BD6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capacitación </w:t>
      </w:r>
      <w:r w:rsidR="002C43B3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 los agentes promotores </w:t>
      </w:r>
      <w:r w:rsidR="00506BD6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y las evaluaciones que</w:t>
      </w:r>
      <w:r w:rsidR="0044645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 de los mismos,</w:t>
      </w:r>
      <w:r w:rsidR="00506BD6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AE6FCF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llegue a realizar</w:t>
      </w:r>
      <w:r w:rsidR="00506BD6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la Superintendencia de Pensiones</w:t>
      </w:r>
      <w:r w:rsidR="0044645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  <w:r w:rsidR="00AA1CE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Dicho acuerdo establece una serie de </w:t>
      </w:r>
      <w:r w:rsidR="00932AFD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temas y subtemas </w:t>
      </w:r>
      <w:r w:rsidR="00234365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que constituirán el programa de capacitación y evaluación </w:t>
      </w:r>
      <w:r w:rsidR="000711E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 los agentes promotores de ventas a los efectos de que cuenten con los conocimientos básicos necesarios para realizar </w:t>
      </w:r>
      <w:r w:rsidR="00C6153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adecuadamente </w:t>
      </w:r>
      <w:r w:rsidR="000711E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sus funciones de promoción</w:t>
      </w:r>
      <w:r w:rsidR="007D023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, </w:t>
      </w:r>
      <w:r w:rsidR="000711EA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asesoría</w:t>
      </w:r>
      <w:r w:rsidR="00C6153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7D023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y afiliación </w:t>
      </w:r>
      <w:r w:rsidR="00C6153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a los tra</w:t>
      </w:r>
      <w:r w:rsidR="005B20A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bajadores,</w:t>
      </w:r>
      <w:r w:rsidR="007D023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5B20A4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pensionados</w:t>
      </w:r>
      <w:r w:rsidR="00BF0B37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, afiliados, </w:t>
      </w:r>
      <w:r w:rsidR="007D0230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y público en general.</w:t>
      </w:r>
      <w:r w:rsidR="00490D9B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</w:p>
    <w:p w14:paraId="1482280D" w14:textId="77777777" w:rsidR="0065277B" w:rsidRPr="00FF37F8" w:rsidRDefault="0065277B" w:rsidP="0065277B">
      <w:pPr>
        <w:pStyle w:val="Prrafodelista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604745CD" w14:textId="6A9C7829" w:rsidR="00C62D9C" w:rsidRDefault="00971E97" w:rsidP="003D45D1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E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l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programa 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para la capacitación de agentes promotores requiere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ser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ajustado 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con el 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>propósito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adecuar su contenido 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a los cambios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surgidos en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el entorno del mercado y la regulación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. Por ello, resulta 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necesario 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modificar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el </w:t>
      </w:r>
      <w:r w:rsidR="001B2DA2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citado 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acuerdo SP-A-240, 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para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reordenar, por claridad, algunos de los temas y subtemas, e incluir otros como parte del programa, entre 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los que destacan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: los beneficiarios del Régimen Obligatorio y Voluntario de Pensiones y el Fondo de Capitalización Laboral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la prescripción y traslado de recursos hacia el Régimen 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N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o Contributivo de Pensiones administrado por la Caja Costarricense de Seguro Social; </w:t>
      </w:r>
      <w:r w:rsidR="009E4548">
        <w:rPr>
          <w:rFonts w:ascii="Times New Roman" w:eastAsia="Calibri" w:hAnsi="Times New Roman" w:cs="Times New Roman"/>
          <w:sz w:val="24"/>
          <w:szCs w:val="24"/>
          <w:lang w:val="es-CR"/>
        </w:rPr>
        <w:t>y</w:t>
      </w:r>
      <w:r w:rsidR="00053690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, </w:t>
      </w:r>
      <w:r w:rsidR="009E4548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>los riesgos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C62D9C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 los que se 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>podrían</w:t>
      </w:r>
      <w:r w:rsidR="00C62D9C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exponer los fondos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pensiones y capitalización laboral producto de su administración</w:t>
      </w:r>
      <w:r w:rsidR="009E4548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Asimismo, dentro del temario de 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planes de acumulación y beneficio se incorporarán 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>como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subtemas</w:t>
      </w:r>
      <w:r w:rsidR="00053690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los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traslados entre operadoras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los multifondos y fondos generacionale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>s,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bonificación de comisiones en el Régimen Voluntario y Obligatorio de Pensiones; mientras que, 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>en el tema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C62D9C">
        <w:rPr>
          <w:rFonts w:ascii="Times New Roman" w:eastAsia="Calibri" w:hAnsi="Times New Roman" w:cs="Times New Roman"/>
          <w:sz w:val="24"/>
          <w:szCs w:val="24"/>
          <w:lang w:val="es-CR"/>
        </w:rPr>
        <w:t>dedicado al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régimen sancionatorio</w:t>
      </w:r>
      <w:r w:rsidR="00D122B7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se introduc</w:t>
      </w:r>
      <w:r w:rsidR="00D122B7">
        <w:rPr>
          <w:rFonts w:ascii="Times New Roman" w:eastAsia="Calibri" w:hAnsi="Times New Roman" w:cs="Times New Roman"/>
          <w:sz w:val="24"/>
          <w:szCs w:val="24"/>
          <w:lang w:val="es-CR"/>
        </w:rPr>
        <w:t>en</w:t>
      </w:r>
      <w:r w:rsidR="00C62D9C" w:rsidRPr="00C62D9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aspectos relacionados con el deber de información y asesoría al afiliado y pensionado</w:t>
      </w:r>
      <w:r w:rsidR="00115EFE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294DA377" w14:textId="77777777" w:rsidR="003D45D1" w:rsidRPr="003D45D1" w:rsidRDefault="003D45D1" w:rsidP="003D45D1">
      <w:pPr>
        <w:pStyle w:val="Prrafodelista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07D31254" w14:textId="361DE700" w:rsidR="00115EFE" w:rsidRPr="00FF37F8" w:rsidRDefault="00DA2744" w:rsidP="00115EF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>POR TANTO:</w:t>
      </w:r>
    </w:p>
    <w:p w14:paraId="5A98AA77" w14:textId="77777777" w:rsidR="00437EEF" w:rsidRDefault="00DA2744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Se </w:t>
      </w:r>
      <w:r w:rsidR="000D2FEE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reforma íntegramente el acuerdo </w:t>
      </w:r>
      <w:r w:rsidR="000D2FEE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SP-A-240</w:t>
      </w:r>
      <w:r w:rsidR="00B42A1A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-2021, </w:t>
      </w:r>
      <w:r w:rsidR="000D2FEE"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de las quince horas del día veinticinco de marzo de </w:t>
      </w:r>
      <w:r w:rsidR="00A37949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dos mil </w:t>
      </w:r>
      <w:r w:rsidR="00B42A1A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>veintiuno</w:t>
      </w:r>
      <w:r w:rsidR="000D2FEE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 para que, en lo sucesivo se lea de la siguiente forma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:</w:t>
      </w:r>
    </w:p>
    <w:p w14:paraId="2DD08C92" w14:textId="77777777" w:rsidR="00FF37F8" w:rsidRPr="00FF37F8" w:rsidRDefault="00FF37F8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34AD81C0" w14:textId="77777777" w:rsidR="00331BD1" w:rsidRDefault="00437EEF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“</w:t>
      </w:r>
      <w:r w:rsidR="00B107FF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Establézcase el programa para la capacitación de los agentes promotores que deberán utilizar las entidades autorizadas y la Superintendencia de Pensiones, para la evaluación de agentes promotores de ventas que se realice como parte del ejercicio de supervisión. Este programa deberá contener, al menos, los siguientes temas</w:t>
      </w:r>
      <w:r w:rsidR="00D013C1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,</w:t>
      </w:r>
      <w:r w:rsidR="00B107FF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subtemas</w:t>
      </w:r>
      <w:r w:rsidR="00D013C1"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y contenidos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:</w:t>
      </w:r>
    </w:p>
    <w:p w14:paraId="7F576BE0" w14:textId="77777777" w:rsidR="00CE0369" w:rsidRPr="00113DDA" w:rsidRDefault="00CE0369" w:rsidP="00FF37F8">
      <w:pPr>
        <w:spacing w:after="0"/>
        <w:jc w:val="both"/>
        <w:rPr>
          <w:rFonts w:eastAsia="Calibri" w:cstheme="minorHAnsi"/>
          <w:sz w:val="24"/>
          <w:szCs w:val="24"/>
          <w:lang w:val="es-CR"/>
        </w:rPr>
      </w:pPr>
    </w:p>
    <w:p w14:paraId="57D27B5E" w14:textId="77777777" w:rsidR="0036300D" w:rsidRPr="00113DDA" w:rsidRDefault="00801F6D" w:rsidP="0036300D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113DDA">
        <w:rPr>
          <w:rFonts w:eastAsia="Calibri" w:cstheme="minorHAnsi"/>
          <w:b/>
          <w:bCs/>
          <w:sz w:val="24"/>
          <w:szCs w:val="24"/>
          <w:lang w:val="es-CR"/>
        </w:rPr>
        <w:t>Evolución demográfica de Costa Rica</w:t>
      </w:r>
    </w:p>
    <w:p w14:paraId="40D39CE4" w14:textId="77777777" w:rsidR="004B4C1F" w:rsidRDefault="004B4C1F" w:rsidP="004B4C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1136A535" w14:textId="77777777" w:rsidR="00801F6D" w:rsidRPr="004B4C1F" w:rsidRDefault="00801F6D" w:rsidP="004B4C1F">
      <w:pPr>
        <w:pStyle w:val="Prrafodelist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Los riesgos de la enfermedad, invalidez, vejez y muerte.</w:t>
      </w:r>
    </w:p>
    <w:p w14:paraId="786C9594" w14:textId="77777777" w:rsidR="004B4C1F" w:rsidRPr="004B4C1F" w:rsidRDefault="00801F6D" w:rsidP="00FF37F8">
      <w:pPr>
        <w:pStyle w:val="Prrafodelist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Estado actual y perspectivas demográficas.</w:t>
      </w:r>
    </w:p>
    <w:p w14:paraId="78B338DC" w14:textId="1A3AF3A9" w:rsidR="004B4C1F" w:rsidRPr="004B4C1F" w:rsidRDefault="00801F6D" w:rsidP="004B4C1F">
      <w:pPr>
        <w:pStyle w:val="Prrafodelist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Los desafíos del envejecimiento de la población costarricense: Impactos económicos y sociales.</w:t>
      </w:r>
    </w:p>
    <w:p w14:paraId="0E9957EC" w14:textId="0B10EAB4" w:rsidR="00801F6D" w:rsidRPr="004B4C1F" w:rsidRDefault="00801F6D" w:rsidP="004B4C1F">
      <w:pPr>
        <w:pStyle w:val="Prrafodelist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Importancia del ahorro y la cultura previsional frente a los riesgos de invalidez, vejez y muerte, </w:t>
      </w:r>
      <w:r w:rsidR="00A97CEF"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así como,</w:t>
      </w: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los cambios demográficos</w:t>
      </w:r>
      <w:r w:rsidR="00A97CEF"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asociados</w:t>
      </w: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2BCE9FEC" w14:textId="77777777" w:rsidR="00FF37F8" w:rsidRPr="001B0C13" w:rsidRDefault="00FF37F8" w:rsidP="00FF37F8">
      <w:pPr>
        <w:spacing w:after="0" w:line="259" w:lineRule="auto"/>
        <w:jc w:val="both"/>
        <w:rPr>
          <w:rFonts w:eastAsia="Calibri" w:cstheme="minorHAnsi"/>
          <w:sz w:val="24"/>
          <w:szCs w:val="24"/>
          <w:lang w:val="es-CR"/>
        </w:rPr>
      </w:pPr>
    </w:p>
    <w:p w14:paraId="30D9FA80" w14:textId="77777777" w:rsidR="004B4C1F" w:rsidRPr="001B0C13" w:rsidRDefault="004B4C1F" w:rsidP="004B4C1F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1B0C13">
        <w:rPr>
          <w:rFonts w:eastAsia="Calibri" w:cstheme="minorHAnsi"/>
          <w:b/>
          <w:bCs/>
          <w:sz w:val="24"/>
          <w:szCs w:val="24"/>
          <w:lang w:val="es-CR"/>
        </w:rPr>
        <w:t>La regulación y supervisión del sistema financiero en Costa Rica</w:t>
      </w:r>
    </w:p>
    <w:p w14:paraId="356BCB34" w14:textId="77777777" w:rsidR="004B4C1F" w:rsidRPr="00EC6740" w:rsidRDefault="004B4C1F" w:rsidP="004B4C1F">
      <w:pPr>
        <w:pStyle w:val="Prrafodelista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035F6768" w14:textId="0769CBE9" w:rsidR="004B4C1F" w:rsidRDefault="004B4C1F" w:rsidP="004B4C1F">
      <w:pPr>
        <w:pStyle w:val="Prrafodelista"/>
        <w:numPr>
          <w:ilvl w:val="0"/>
          <w:numId w:val="3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Funciones y competencias 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del Consejo Nacional de Supervisión del Sistema Financiero como regulador del mercado.</w:t>
      </w:r>
    </w:p>
    <w:p w14:paraId="7E0EA844" w14:textId="1E50F93F" w:rsidR="004B4C1F" w:rsidRDefault="004B4C1F" w:rsidP="004B4C1F">
      <w:pPr>
        <w:pStyle w:val="Prrafodelista"/>
        <w:numPr>
          <w:ilvl w:val="0"/>
          <w:numId w:val="30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Funciones y atribuciones de la Superintendencia de Pensiones</w:t>
      </w:r>
      <w:r w:rsidR="002076E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: </w:t>
      </w:r>
      <w:r w:rsidR="002076EC"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Ley de Protección al Trabajador y Ley </w:t>
      </w:r>
      <w:r w:rsidR="002076EC" w:rsidRPr="00A17B1F">
        <w:rPr>
          <w:rFonts w:ascii="Times New Roman" w:eastAsia="Calibri" w:hAnsi="Times New Roman" w:cs="Times New Roman"/>
          <w:sz w:val="24"/>
          <w:szCs w:val="24"/>
          <w:lang w:val="es-CR"/>
        </w:rPr>
        <w:t>Régimen Privado de Pensiones Complementarias</w:t>
      </w:r>
      <w:r w:rsidR="002076EC"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135A2E58" w14:textId="77777777" w:rsidR="004B4C1F" w:rsidRPr="001B0C13" w:rsidRDefault="004B4C1F" w:rsidP="004B4C1F">
      <w:pPr>
        <w:pStyle w:val="Prrafodelista"/>
        <w:spacing w:after="0" w:line="259" w:lineRule="auto"/>
        <w:jc w:val="both"/>
        <w:rPr>
          <w:rFonts w:eastAsia="Calibri" w:cstheme="minorHAnsi"/>
          <w:sz w:val="24"/>
          <w:szCs w:val="24"/>
          <w:lang w:val="es-CR"/>
        </w:rPr>
      </w:pPr>
    </w:p>
    <w:p w14:paraId="05B0A057" w14:textId="77777777" w:rsidR="00331BD1" w:rsidRPr="001B0C13" w:rsidRDefault="006E37F7" w:rsidP="0036300D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1B0C13">
        <w:rPr>
          <w:rFonts w:eastAsia="Calibri" w:cstheme="minorHAnsi"/>
          <w:b/>
          <w:bCs/>
          <w:sz w:val="24"/>
          <w:szCs w:val="24"/>
          <w:lang w:val="es-CR"/>
        </w:rPr>
        <w:t>El sistema de pensiones costarricense</w:t>
      </w:r>
    </w:p>
    <w:p w14:paraId="6403F030" w14:textId="77777777" w:rsidR="0036300D" w:rsidRPr="00EC6740" w:rsidRDefault="0036300D" w:rsidP="0036300D">
      <w:pPr>
        <w:pStyle w:val="Prrafodelista"/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06223F54" w14:textId="77777777" w:rsidR="0036300D" w:rsidRPr="004B4C1F" w:rsidRDefault="00435B4B" w:rsidP="004B4C1F">
      <w:pPr>
        <w:pStyle w:val="Prrafodelista"/>
        <w:numPr>
          <w:ilvl w:val="0"/>
          <w:numId w:val="31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El </w:t>
      </w:r>
      <w:r w:rsidR="006E37F7"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Sistema Nacional de Pensiones: Características, importancia, conformación y funcionamiento del sistema multipilar:</w:t>
      </w:r>
    </w:p>
    <w:p w14:paraId="6AE41D7B" w14:textId="77777777" w:rsidR="00EC6740" w:rsidRPr="00EC6740" w:rsidRDefault="00EC6740" w:rsidP="00EC6740">
      <w:pPr>
        <w:pStyle w:val="Prrafodelista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4C4BD8B7" w14:textId="77777777" w:rsidR="004B4C1F" w:rsidRDefault="006E37F7" w:rsidP="004B4C1F">
      <w:pPr>
        <w:pStyle w:val="Prrafodelista"/>
        <w:numPr>
          <w:ilvl w:val="0"/>
          <w:numId w:val="28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Pilar I: Pensión Contributiva Básica. </w:t>
      </w:r>
    </w:p>
    <w:p w14:paraId="14C5C704" w14:textId="77777777" w:rsidR="004B4C1F" w:rsidRDefault="006E37F7" w:rsidP="004B4C1F">
      <w:pPr>
        <w:pStyle w:val="Prrafodelista"/>
        <w:numPr>
          <w:ilvl w:val="0"/>
          <w:numId w:val="28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Pilar II: Pensión Complementaria Obligatoria.</w:t>
      </w:r>
    </w:p>
    <w:p w14:paraId="02709277" w14:textId="77777777" w:rsidR="006E37F7" w:rsidRDefault="006E37F7" w:rsidP="004B4C1F">
      <w:pPr>
        <w:pStyle w:val="Prrafodelista"/>
        <w:numPr>
          <w:ilvl w:val="0"/>
          <w:numId w:val="28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Pilar III: Pensión Complementaria Voluntaria.</w:t>
      </w:r>
    </w:p>
    <w:p w14:paraId="33AF8093" w14:textId="77777777" w:rsidR="006E37F7" w:rsidRPr="004B4C1F" w:rsidRDefault="006E37F7" w:rsidP="004B4C1F">
      <w:pPr>
        <w:pStyle w:val="Prrafodelista"/>
        <w:numPr>
          <w:ilvl w:val="0"/>
          <w:numId w:val="28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Pilar IV: Pensión No Contributiva.   </w:t>
      </w:r>
    </w:p>
    <w:p w14:paraId="6EE45AB9" w14:textId="77777777" w:rsidR="006E37F7" w:rsidRPr="005616A8" w:rsidRDefault="006E37F7" w:rsidP="00FF37F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  <w:lang w:val="es-CR"/>
        </w:rPr>
      </w:pPr>
    </w:p>
    <w:p w14:paraId="49795B73" w14:textId="77777777" w:rsidR="006E37F7" w:rsidRDefault="006E37F7" w:rsidP="004B4C1F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EC6740">
        <w:rPr>
          <w:rFonts w:ascii="Times New Roman" w:eastAsia="Calibri" w:hAnsi="Times New Roman" w:cs="Times New Roman"/>
          <w:sz w:val="24"/>
          <w:szCs w:val="24"/>
          <w:lang w:val="es-CR"/>
        </w:rPr>
        <w:t>Rol y función de las operadoras de pensiones complementarias y de capitalización laboral.</w:t>
      </w:r>
    </w:p>
    <w:p w14:paraId="4FB62883" w14:textId="77777777" w:rsidR="006E37F7" w:rsidRDefault="006E37F7" w:rsidP="004B4C1F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EC6740">
        <w:rPr>
          <w:rFonts w:ascii="Times New Roman" w:eastAsia="Calibri" w:hAnsi="Times New Roman" w:cs="Times New Roman"/>
          <w:sz w:val="24"/>
          <w:szCs w:val="24"/>
          <w:lang w:val="es-CR"/>
        </w:rPr>
        <w:t>La pensión complementaria ofrecida por las operadoras de pensiones:</w:t>
      </w:r>
    </w:p>
    <w:p w14:paraId="1A3D0C59" w14:textId="77777777" w:rsidR="00EC6740" w:rsidRPr="00EC6740" w:rsidRDefault="00EC6740" w:rsidP="00EC6740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330F753E" w14:textId="77777777" w:rsidR="004B4C1F" w:rsidRPr="004B4C1F" w:rsidRDefault="006E37F7" w:rsidP="004B4C1F">
      <w:pPr>
        <w:pStyle w:val="Prrafodelista"/>
        <w:numPr>
          <w:ilvl w:val="0"/>
          <w:numId w:val="3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Interrelación de las prestaciones o beneficios de los regímene</w:t>
      </w:r>
      <w:r w:rsidR="0036300D"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s del Sistema Nacional de Pensiones.</w:t>
      </w:r>
    </w:p>
    <w:p w14:paraId="7311AD3A" w14:textId="5E8AD078" w:rsidR="0036300D" w:rsidRPr="004B4C1F" w:rsidRDefault="006E37F7" w:rsidP="004B4C1F">
      <w:pPr>
        <w:pStyle w:val="Prrafodelista"/>
        <w:numPr>
          <w:ilvl w:val="0"/>
          <w:numId w:val="33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lastRenderedPageBreak/>
        <w:t>Concepto de una sola pensión integrada por los regímenes de primer, segundo y tercer pilar</w:t>
      </w:r>
      <w:r w:rsid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(jurisprudencia de la Sala Constitucional y la Procuraduría General de la República).</w:t>
      </w:r>
    </w:p>
    <w:p w14:paraId="082F84E2" w14:textId="77777777" w:rsidR="00FF37F8" w:rsidRPr="006A192D" w:rsidRDefault="00FF37F8" w:rsidP="004B4C1F">
      <w:pPr>
        <w:spacing w:after="0" w:line="259" w:lineRule="auto"/>
        <w:jc w:val="both"/>
        <w:rPr>
          <w:rFonts w:eastAsia="Calibri" w:cstheme="minorHAnsi"/>
          <w:i/>
          <w:iCs/>
          <w:sz w:val="24"/>
          <w:szCs w:val="24"/>
          <w:lang w:val="es-CR"/>
        </w:rPr>
      </w:pPr>
    </w:p>
    <w:p w14:paraId="22097A7D" w14:textId="77777777" w:rsidR="006A27C9" w:rsidRPr="006A192D" w:rsidRDefault="00217246" w:rsidP="004B4C1F">
      <w:pPr>
        <w:pStyle w:val="Prrafodelista"/>
        <w:numPr>
          <w:ilvl w:val="0"/>
          <w:numId w:val="3"/>
        </w:numPr>
        <w:spacing w:after="0" w:line="259" w:lineRule="auto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6A192D">
        <w:rPr>
          <w:rFonts w:eastAsia="Calibri" w:cstheme="minorHAnsi"/>
          <w:b/>
          <w:bCs/>
          <w:sz w:val="24"/>
          <w:szCs w:val="24"/>
          <w:lang w:val="es-CR"/>
        </w:rPr>
        <w:t>El sistema de capitalización colectiva y de capitalización individual</w:t>
      </w:r>
    </w:p>
    <w:p w14:paraId="60ACE393" w14:textId="77777777" w:rsidR="00EC6740" w:rsidRDefault="00EC6740" w:rsidP="00EC6740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63A37A42" w14:textId="77777777" w:rsidR="001A1F9E" w:rsidRPr="00EC6740" w:rsidRDefault="00217246" w:rsidP="00EC6740">
      <w:pPr>
        <w:pStyle w:val="Prrafodelista"/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EC6740">
        <w:rPr>
          <w:rFonts w:ascii="Times New Roman" w:eastAsia="Calibri" w:hAnsi="Times New Roman" w:cs="Times New Roman"/>
          <w:sz w:val="24"/>
          <w:szCs w:val="24"/>
          <w:lang w:val="es-CR"/>
        </w:rPr>
        <w:t>Características</w:t>
      </w:r>
      <w:r w:rsidR="004B4C1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Pr="00EC6740">
        <w:rPr>
          <w:rFonts w:ascii="Times New Roman" w:eastAsia="Calibri" w:hAnsi="Times New Roman" w:cs="Times New Roman"/>
          <w:sz w:val="24"/>
          <w:szCs w:val="24"/>
          <w:lang w:val="es-CR"/>
        </w:rPr>
        <w:t>y diferencias, según la naturaleza propia de cada sistema</w:t>
      </w:r>
      <w:r w:rsidR="006A27C9" w:rsidRPr="00EC6740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financiamiento de las pensiones.</w:t>
      </w:r>
    </w:p>
    <w:p w14:paraId="1196197C" w14:textId="77777777" w:rsidR="006A27C9" w:rsidRPr="00EC6740" w:rsidRDefault="00217246" w:rsidP="00EC6740">
      <w:pPr>
        <w:pStyle w:val="Prrafodelista"/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EC6740">
        <w:rPr>
          <w:rFonts w:ascii="Times New Roman" w:eastAsia="Calibri" w:hAnsi="Times New Roman" w:cs="Times New Roman"/>
          <w:sz w:val="24"/>
          <w:szCs w:val="24"/>
          <w:lang w:val="es-CR"/>
        </w:rPr>
        <w:t>Fondos que administran las operadoras de pensiones</w:t>
      </w:r>
      <w:r w:rsidR="001A1F9E" w:rsidRPr="00EC6740">
        <w:rPr>
          <w:rFonts w:ascii="Times New Roman" w:eastAsia="Calibri" w:hAnsi="Times New Roman" w:cs="Times New Roman"/>
          <w:sz w:val="24"/>
          <w:szCs w:val="24"/>
          <w:lang w:val="es-CR"/>
        </w:rPr>
        <w:t>:</w:t>
      </w:r>
    </w:p>
    <w:p w14:paraId="465C65EA" w14:textId="77777777" w:rsidR="00EC6740" w:rsidRPr="00EC6740" w:rsidRDefault="00EC6740" w:rsidP="00EC6740">
      <w:pPr>
        <w:pStyle w:val="Prrafodelista"/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61BEA0DE" w14:textId="77777777" w:rsidR="001A1F9E" w:rsidRPr="004B4C1F" w:rsidRDefault="001A1F9E" w:rsidP="004B4C1F">
      <w:pPr>
        <w:pStyle w:val="Prrafodelista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El Régimen Obligatorio de Pensiones Complementarias.</w:t>
      </w:r>
    </w:p>
    <w:p w14:paraId="692E3CD6" w14:textId="77777777" w:rsidR="001A1F9E" w:rsidRPr="001A1F9E" w:rsidRDefault="001A1F9E" w:rsidP="001A1F9E">
      <w:pPr>
        <w:pStyle w:val="Prrafodelista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El Régimen 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Voluntario</w:t>
      </w: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Pensiones Complementarias.</w:t>
      </w:r>
    </w:p>
    <w:p w14:paraId="2DE0D5EE" w14:textId="77777777" w:rsidR="001A1F9E" w:rsidRDefault="001A1F9E" w:rsidP="001A1F9E">
      <w:pPr>
        <w:pStyle w:val="Prrafodelista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El Fondo de Capitalización Individual.</w:t>
      </w:r>
    </w:p>
    <w:p w14:paraId="257BCC6D" w14:textId="77777777" w:rsidR="001A1F9E" w:rsidRDefault="001A1F9E" w:rsidP="001A1F9E">
      <w:pPr>
        <w:pStyle w:val="Prrafodelista"/>
        <w:numPr>
          <w:ilvl w:val="0"/>
          <w:numId w:val="7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El ahorro voluntario.</w:t>
      </w:r>
    </w:p>
    <w:p w14:paraId="195E3795" w14:textId="77777777" w:rsidR="00EC6740" w:rsidRPr="001A1F9E" w:rsidRDefault="00EC6740" w:rsidP="00EC6740">
      <w:pPr>
        <w:pStyle w:val="Prrafodelista"/>
        <w:spacing w:after="0" w:line="259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4E871BA1" w14:textId="77777777" w:rsidR="00217246" w:rsidRPr="004B4C1F" w:rsidRDefault="00217246" w:rsidP="004B4C1F">
      <w:pPr>
        <w:pStyle w:val="Prrafodelista"/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B4C1F">
        <w:rPr>
          <w:rFonts w:ascii="Times New Roman" w:eastAsia="Calibri" w:hAnsi="Times New Roman" w:cs="Times New Roman"/>
          <w:sz w:val="24"/>
          <w:szCs w:val="24"/>
          <w:lang w:val="es-CR"/>
        </w:rPr>
        <w:t>La separación contable y patrimonial de los fondos de pensión respecto de los recursos propios de las operadoras.</w:t>
      </w:r>
    </w:p>
    <w:p w14:paraId="303BDAC9" w14:textId="77777777" w:rsidR="00C22B3E" w:rsidRDefault="00C22B3E" w:rsidP="004B4C1F">
      <w:pPr>
        <w:pStyle w:val="Prrafodelista"/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La quiebra de las operadoras de pensiones y el traslado de los fondos.</w:t>
      </w:r>
    </w:p>
    <w:p w14:paraId="03452F0F" w14:textId="77777777" w:rsidR="00E11B61" w:rsidRDefault="00E11B61" w:rsidP="004B4C1F">
      <w:pPr>
        <w:pStyle w:val="Prrafodelista"/>
        <w:numPr>
          <w:ilvl w:val="0"/>
          <w:numId w:val="27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E11B61">
        <w:rPr>
          <w:rFonts w:ascii="Times New Roman" w:eastAsia="Calibri" w:hAnsi="Times New Roman" w:cs="Times New Roman"/>
          <w:sz w:val="24"/>
          <w:szCs w:val="24"/>
          <w:lang w:val="es-CR"/>
        </w:rPr>
        <w:t>Inembargabilidad de los fondos.</w:t>
      </w:r>
    </w:p>
    <w:p w14:paraId="102B045B" w14:textId="77777777" w:rsidR="00140A96" w:rsidRPr="00BE402D" w:rsidRDefault="00140A96" w:rsidP="00FF37F8">
      <w:pPr>
        <w:spacing w:after="0" w:line="259" w:lineRule="auto"/>
        <w:jc w:val="both"/>
        <w:rPr>
          <w:rFonts w:eastAsia="Calibri" w:cstheme="minorHAnsi"/>
          <w:sz w:val="24"/>
          <w:szCs w:val="24"/>
          <w:lang w:val="es-CR"/>
        </w:rPr>
      </w:pPr>
    </w:p>
    <w:p w14:paraId="5D52C97C" w14:textId="77777777" w:rsidR="003D45D1" w:rsidRPr="00BE402D" w:rsidRDefault="004214E5" w:rsidP="004B4C1F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BE402D">
        <w:rPr>
          <w:rFonts w:eastAsia="Calibri" w:cstheme="minorHAnsi"/>
          <w:b/>
          <w:bCs/>
          <w:sz w:val="24"/>
          <w:szCs w:val="24"/>
          <w:lang w:val="es-CR"/>
        </w:rPr>
        <w:t>Planes de acumulación y planes de beneficio</w:t>
      </w:r>
    </w:p>
    <w:p w14:paraId="4C089441" w14:textId="77777777" w:rsidR="001A1F9E" w:rsidRPr="00BE402D" w:rsidRDefault="001A1F9E" w:rsidP="001A1F9E">
      <w:pPr>
        <w:pStyle w:val="Prrafodelista"/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</w:p>
    <w:p w14:paraId="002C6546" w14:textId="77777777" w:rsidR="00C22B3E" w:rsidRPr="00BE402D" w:rsidRDefault="004214E5" w:rsidP="001A1F9E">
      <w:pPr>
        <w:pStyle w:val="Prrafodelista"/>
        <w:numPr>
          <w:ilvl w:val="0"/>
          <w:numId w:val="4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BE402D">
        <w:rPr>
          <w:rFonts w:eastAsia="Calibri" w:cstheme="minorHAnsi"/>
          <w:b/>
          <w:bCs/>
          <w:sz w:val="24"/>
          <w:szCs w:val="24"/>
          <w:lang w:val="es-CR"/>
        </w:rPr>
        <w:t>Planes de Acumulación</w:t>
      </w:r>
    </w:p>
    <w:p w14:paraId="4235D1DF" w14:textId="77777777" w:rsidR="004214E5" w:rsidRPr="001A1F9E" w:rsidRDefault="004214E5" w:rsidP="00C22B3E">
      <w:pPr>
        <w:pStyle w:val="Prrafodelista"/>
        <w:spacing w:after="0"/>
        <w:ind w:left="10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s-CR"/>
        </w:rPr>
        <w:t xml:space="preserve"> </w:t>
      </w:r>
    </w:p>
    <w:p w14:paraId="25C12EA2" w14:textId="77777777" w:rsidR="001A1F9E" w:rsidRPr="001A1F9E" w:rsidRDefault="001A1F9E" w:rsidP="001A1F9E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La etapa de acumulación: objetivo.</w:t>
      </w:r>
    </w:p>
    <w:p w14:paraId="7F26BDD0" w14:textId="77777777" w:rsidR="001A1F9E" w:rsidRDefault="004214E5" w:rsidP="00FF37F8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Diferencias entre los planes de acumulación en el Régimen Obligatorio y Voluntario de Pensiones Complementarias.</w:t>
      </w:r>
    </w:p>
    <w:p w14:paraId="0C4CC0EA" w14:textId="77777777" w:rsidR="001A1F9E" w:rsidRDefault="001A1F9E" w:rsidP="001A1F9E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Tipología de planes de acumulación del régimen voluntario de pensiones complementarias.</w:t>
      </w:r>
    </w:p>
    <w:p w14:paraId="7791774B" w14:textId="77777777" w:rsidR="006902CF" w:rsidRPr="001A1F9E" w:rsidRDefault="006902CF" w:rsidP="006902CF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229A717B" w14:textId="77777777" w:rsidR="001A1F9E" w:rsidRPr="00CD7F43" w:rsidRDefault="006902CF" w:rsidP="00CD7F43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Los p</w:t>
      </w:r>
      <w:r w:rsidR="001A1F9E" w:rsidRPr="00CD7F43">
        <w:rPr>
          <w:rFonts w:ascii="Times New Roman" w:eastAsia="Calibri" w:hAnsi="Times New Roman" w:cs="Times New Roman"/>
          <w:sz w:val="24"/>
          <w:szCs w:val="24"/>
          <w:lang w:val="es-CR"/>
        </w:rPr>
        <w:t>lanes individuales de pensión voluntaria.</w:t>
      </w:r>
    </w:p>
    <w:p w14:paraId="1A0051A1" w14:textId="64602F14" w:rsidR="001A1F9E" w:rsidRDefault="006902CF" w:rsidP="001A1F9E">
      <w:pPr>
        <w:pStyle w:val="Prrafodelista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Los p</w:t>
      </w:r>
      <w:r w:rsidR="001A1F9E"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lanes </w:t>
      </w:r>
      <w:r w:rsidR="00C822ED"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colectivos de</w:t>
      </w:r>
      <w:r w:rsidR="001A1F9E"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pensión voluntaria.</w:t>
      </w:r>
    </w:p>
    <w:p w14:paraId="19484E14" w14:textId="77777777" w:rsidR="006902CF" w:rsidRDefault="006902CF" w:rsidP="006902CF">
      <w:pPr>
        <w:pStyle w:val="Prrafodelista"/>
        <w:spacing w:after="0"/>
        <w:ind w:left="106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05E81EC6" w14:textId="6E32A2F7" w:rsidR="00C22B3E" w:rsidRPr="00C22B3E" w:rsidRDefault="00C22B3E" w:rsidP="00C22B3E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Los convenios de aportación: Diferencias respecto de los planes colectivos.</w:t>
      </w:r>
    </w:p>
    <w:p w14:paraId="34F14CAD" w14:textId="27A2BEB1" w:rsidR="004214E5" w:rsidRDefault="001A1F9E" w:rsidP="00FF37F8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La afiliación al Régimen Voluntario y Obligatorio de Pensiones Complementarias.</w:t>
      </w:r>
    </w:p>
    <w:p w14:paraId="28174BE9" w14:textId="77777777" w:rsidR="001A1F9E" w:rsidRDefault="001A1F9E" w:rsidP="00FF37F8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Fuente de</w:t>
      </w:r>
      <w:r w:rsidR="004214E5"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los </w:t>
      </w:r>
      <w:r w:rsidR="004214E5"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aportes</w:t>
      </w: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en los regímenes voluntarios y obligatorios de pensiones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. Los aportes en los planes colectivos.</w:t>
      </w:r>
    </w:p>
    <w:p w14:paraId="20C7F2ED" w14:textId="77777777" w:rsidR="001A1F9E" w:rsidRDefault="001A1F9E" w:rsidP="00FF37F8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Aportes de los trabajadores con más de un empleador.</w:t>
      </w:r>
    </w:p>
    <w:p w14:paraId="31BF3A4D" w14:textId="77777777" w:rsidR="001A1F9E" w:rsidRDefault="001A1F9E" w:rsidP="00FF37F8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Recaudación y distribución de los aportes en el régimen voluntario y obligatorio de pensiones.</w:t>
      </w:r>
    </w:p>
    <w:p w14:paraId="102C6B66" w14:textId="2C9488F2" w:rsidR="001A1F9E" w:rsidRDefault="001A1F9E" w:rsidP="001A1F9E">
      <w:pPr>
        <w:pStyle w:val="Prrafodelista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lastRenderedPageBreak/>
        <w:t xml:space="preserve">El proceso de inversión </w:t>
      </w:r>
      <w:r w:rsidR="00CD7F4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y reinversión </w:t>
      </w: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del capital, los aportes y los rendimientos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durante la etapa de acumulación.</w:t>
      </w:r>
    </w:p>
    <w:p w14:paraId="1320F037" w14:textId="40B14FDB" w:rsidR="001A1F9E" w:rsidRDefault="001A1F9E" w:rsidP="001A1F9E">
      <w:pPr>
        <w:pStyle w:val="Prrafodelista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Régimen </w:t>
      </w:r>
      <w:r w:rsidR="00C822ED"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fiscal aplicable</w:t>
      </w: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al régimen voluntario y obligatorio de pensiones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Pr="001A1F9E">
        <w:rPr>
          <w:rFonts w:ascii="Times New Roman" w:eastAsia="Calibri" w:hAnsi="Times New Roman" w:cs="Times New Roman"/>
          <w:sz w:val="24"/>
          <w:szCs w:val="24"/>
          <w:lang w:val="es-CR"/>
        </w:rPr>
        <w:t>complementarias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71AC1E62" w14:textId="77777777" w:rsidR="006902CF" w:rsidRDefault="006902CF" w:rsidP="006902CF">
      <w:pPr>
        <w:pStyle w:val="Prrafodelista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73167C7A" w14:textId="77777777" w:rsidR="001A1F9E" w:rsidRDefault="001A1F9E" w:rsidP="00CD7F43">
      <w:pPr>
        <w:pStyle w:val="Prrafodelista"/>
        <w:numPr>
          <w:ilvl w:val="0"/>
          <w:numId w:val="34"/>
        </w:numPr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D7F43">
        <w:rPr>
          <w:rFonts w:ascii="Times New Roman" w:eastAsia="Calibri" w:hAnsi="Times New Roman" w:cs="Times New Roman"/>
          <w:sz w:val="24"/>
          <w:szCs w:val="24"/>
          <w:lang w:val="es-CR"/>
        </w:rPr>
        <w:t>Disfrute de las exenciones fiscales.</w:t>
      </w:r>
    </w:p>
    <w:p w14:paraId="40B23D4C" w14:textId="77777777" w:rsidR="00C22B3E" w:rsidRPr="00BE402D" w:rsidRDefault="00CD7F43" w:rsidP="00CD7F43">
      <w:pPr>
        <w:pStyle w:val="Prrafodelista"/>
        <w:numPr>
          <w:ilvl w:val="0"/>
          <w:numId w:val="34"/>
        </w:numPr>
        <w:jc w:val="both"/>
        <w:rPr>
          <w:rFonts w:eastAsia="Calibri" w:cstheme="minorHAnsi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I</w:t>
      </w:r>
      <w:r w:rsidR="001A1F9E" w:rsidRPr="00CD7F43">
        <w:rPr>
          <w:rFonts w:ascii="Times New Roman" w:eastAsia="Calibri" w:hAnsi="Times New Roman" w:cs="Times New Roman"/>
          <w:sz w:val="24"/>
          <w:szCs w:val="24"/>
          <w:lang w:val="es-CR"/>
        </w:rPr>
        <w:t>ncentivos relativos a las cargas sociales.</w:t>
      </w:r>
    </w:p>
    <w:p w14:paraId="10E65285" w14:textId="77777777" w:rsidR="00C22B3E" w:rsidRPr="00BE402D" w:rsidRDefault="00C22B3E" w:rsidP="00C22B3E">
      <w:pPr>
        <w:pStyle w:val="Prrafodelista"/>
        <w:rPr>
          <w:rFonts w:eastAsia="Calibri" w:cstheme="minorHAnsi"/>
          <w:sz w:val="24"/>
          <w:szCs w:val="24"/>
          <w:lang w:val="es-CR"/>
        </w:rPr>
      </w:pPr>
    </w:p>
    <w:p w14:paraId="6EF87DD9" w14:textId="77777777" w:rsidR="00C22B3E" w:rsidRPr="00BE402D" w:rsidRDefault="00C22B3E" w:rsidP="00C22B3E">
      <w:pPr>
        <w:pStyle w:val="Prrafodelista"/>
        <w:numPr>
          <w:ilvl w:val="0"/>
          <w:numId w:val="4"/>
        </w:numPr>
        <w:rPr>
          <w:rFonts w:eastAsia="Calibri" w:cstheme="minorHAnsi"/>
          <w:b/>
          <w:bCs/>
          <w:sz w:val="24"/>
          <w:szCs w:val="24"/>
          <w:lang w:val="es-CR"/>
        </w:rPr>
      </w:pPr>
      <w:r w:rsidRPr="00BE402D">
        <w:rPr>
          <w:rFonts w:eastAsia="Calibri" w:cstheme="minorHAnsi"/>
          <w:b/>
          <w:bCs/>
          <w:sz w:val="24"/>
          <w:szCs w:val="24"/>
          <w:lang w:val="es-CR"/>
        </w:rPr>
        <w:t>La Cuenta de Capitalización Individual (CCI)</w:t>
      </w:r>
    </w:p>
    <w:p w14:paraId="4E00DD40" w14:textId="77777777" w:rsidR="00C22B3E" w:rsidRPr="00071568" w:rsidRDefault="00C22B3E" w:rsidP="00071568">
      <w:pPr>
        <w:pStyle w:val="Prrafodelista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0BE86D6B" w14:textId="6EBA5605" w:rsidR="00071568" w:rsidRPr="00071568" w:rsidRDefault="00C22B3E" w:rsidP="00071568">
      <w:pPr>
        <w:pStyle w:val="Prrafodelista"/>
        <w:numPr>
          <w:ilvl w:val="0"/>
          <w:numId w:val="35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071568">
        <w:rPr>
          <w:rFonts w:ascii="Times New Roman" w:eastAsia="Calibri" w:hAnsi="Times New Roman" w:cs="Times New Roman"/>
          <w:sz w:val="24"/>
          <w:szCs w:val="24"/>
          <w:lang w:val="es-CR"/>
        </w:rPr>
        <w:t>Conformación de la Cuenta de Capitalización Individual.</w:t>
      </w:r>
    </w:p>
    <w:p w14:paraId="0C694F4E" w14:textId="489AB629" w:rsidR="00C22B3E" w:rsidRPr="00071568" w:rsidRDefault="00C22B3E" w:rsidP="00071568">
      <w:pPr>
        <w:pStyle w:val="Prrafodelista"/>
        <w:numPr>
          <w:ilvl w:val="0"/>
          <w:numId w:val="35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07156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Acreditación de los aportes. </w:t>
      </w:r>
      <w:r w:rsidR="00BE402D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</w:p>
    <w:p w14:paraId="3F14263F" w14:textId="77777777" w:rsidR="00CD7F43" w:rsidRPr="00BE402D" w:rsidRDefault="00CD7F43" w:rsidP="00CD7F43">
      <w:pPr>
        <w:pStyle w:val="Prrafodelista"/>
        <w:ind w:left="1080"/>
        <w:rPr>
          <w:rFonts w:eastAsia="Calibri" w:cstheme="minorHAnsi"/>
          <w:sz w:val="24"/>
          <w:szCs w:val="24"/>
          <w:lang w:val="es-CR"/>
        </w:rPr>
      </w:pPr>
    </w:p>
    <w:p w14:paraId="030C2099" w14:textId="77777777" w:rsidR="00C22B3E" w:rsidRPr="00BE402D" w:rsidRDefault="00C22B3E" w:rsidP="00C22B3E">
      <w:pPr>
        <w:pStyle w:val="Prrafodelista"/>
        <w:numPr>
          <w:ilvl w:val="0"/>
          <w:numId w:val="4"/>
        </w:numPr>
        <w:rPr>
          <w:rFonts w:eastAsia="Calibri" w:cstheme="minorHAnsi"/>
          <w:sz w:val="24"/>
          <w:szCs w:val="24"/>
          <w:lang w:val="es-CR"/>
        </w:rPr>
      </w:pPr>
      <w:r w:rsidRPr="00BE402D">
        <w:rPr>
          <w:rFonts w:eastAsia="Calibri" w:cstheme="minorHAnsi"/>
          <w:b/>
          <w:bCs/>
          <w:sz w:val="24"/>
          <w:szCs w:val="24"/>
          <w:lang w:val="es-CR"/>
        </w:rPr>
        <w:t>Fondos generacionales y multifondos</w:t>
      </w:r>
    </w:p>
    <w:p w14:paraId="034B3BAB" w14:textId="77777777" w:rsidR="00C22B3E" w:rsidRPr="00C22B3E" w:rsidRDefault="00C22B3E" w:rsidP="00C22B3E">
      <w:pPr>
        <w:pStyle w:val="Prrafodelista"/>
        <w:ind w:left="1080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783CB76F" w14:textId="77777777" w:rsidR="00C22B3E" w:rsidRDefault="00C22B3E" w:rsidP="00C22B3E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Diferencias.</w:t>
      </w:r>
    </w:p>
    <w:p w14:paraId="4C560385" w14:textId="77777777" w:rsidR="00C22B3E" w:rsidRDefault="00C22B3E" w:rsidP="00C22B3E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Funcionamiento.</w:t>
      </w:r>
    </w:p>
    <w:p w14:paraId="1AD1F4BD" w14:textId="77777777" w:rsidR="00C22B3E" w:rsidRDefault="00C22B3E" w:rsidP="00C22B3E">
      <w:pPr>
        <w:pStyle w:val="Prrafodelista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La inversión y los riesgos en los Fondos generacionales y en los multifondos.</w:t>
      </w:r>
    </w:p>
    <w:p w14:paraId="03A6ADF6" w14:textId="325DC6C4" w:rsidR="001A1F9E" w:rsidRPr="00EB3E75" w:rsidRDefault="00C22B3E" w:rsidP="00C22B3E">
      <w:pPr>
        <w:pStyle w:val="Prrafodelista"/>
        <w:numPr>
          <w:ilvl w:val="0"/>
          <w:numId w:val="11"/>
        </w:numPr>
        <w:spacing w:after="0"/>
        <w:jc w:val="both"/>
        <w:rPr>
          <w:rFonts w:eastAsia="Calibri" w:cstheme="minorHAnsi"/>
          <w:i/>
          <w:iCs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Fines de est</w:t>
      </w:r>
      <w:r w:rsidR="001D3743">
        <w:rPr>
          <w:rFonts w:ascii="Times New Roman" w:eastAsia="Calibri" w:hAnsi="Times New Roman" w:cs="Times New Roman"/>
          <w:sz w:val="24"/>
          <w:szCs w:val="24"/>
          <w:lang w:val="es-CR"/>
        </w:rPr>
        <w:t>os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tipo</w:t>
      </w:r>
      <w:r w:rsidR="001D3743">
        <w:rPr>
          <w:rFonts w:ascii="Times New Roman" w:eastAsia="Calibri" w:hAnsi="Times New Roman" w:cs="Times New Roman"/>
          <w:sz w:val="24"/>
          <w:szCs w:val="24"/>
          <w:lang w:val="es-CR"/>
        </w:rPr>
        <w:t>s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fondos.</w:t>
      </w:r>
    </w:p>
    <w:p w14:paraId="2C6C6BCB" w14:textId="77777777" w:rsidR="00C22B3E" w:rsidRPr="00EB3E75" w:rsidRDefault="00C22B3E" w:rsidP="00C22B3E">
      <w:pPr>
        <w:pStyle w:val="Prrafodelista"/>
        <w:spacing w:after="0"/>
        <w:jc w:val="both"/>
        <w:rPr>
          <w:rFonts w:eastAsia="Calibri" w:cstheme="minorHAnsi"/>
          <w:i/>
          <w:iCs/>
          <w:sz w:val="24"/>
          <w:szCs w:val="24"/>
          <w:lang w:val="es-CR"/>
        </w:rPr>
      </w:pPr>
    </w:p>
    <w:p w14:paraId="567011C7" w14:textId="77777777" w:rsidR="00723700" w:rsidRPr="00EB3E75" w:rsidRDefault="004214E5" w:rsidP="001A1F9E">
      <w:pPr>
        <w:pStyle w:val="Prrafodelista"/>
        <w:numPr>
          <w:ilvl w:val="0"/>
          <w:numId w:val="4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EB3E75">
        <w:rPr>
          <w:rFonts w:eastAsia="Calibri" w:cstheme="minorHAnsi"/>
          <w:b/>
          <w:bCs/>
          <w:sz w:val="24"/>
          <w:szCs w:val="24"/>
          <w:lang w:val="es-CR"/>
        </w:rPr>
        <w:t>Planes de Beneficio</w:t>
      </w:r>
    </w:p>
    <w:p w14:paraId="2466E0A0" w14:textId="77777777" w:rsidR="001A1F9E" w:rsidRPr="001A1F9E" w:rsidRDefault="001A1F9E" w:rsidP="001A1F9E">
      <w:pPr>
        <w:pStyle w:val="Prrafodelista"/>
        <w:spacing w:after="0"/>
        <w:ind w:left="108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s-CR"/>
        </w:rPr>
      </w:pPr>
    </w:p>
    <w:p w14:paraId="19C43218" w14:textId="77777777" w:rsidR="004214E5" w:rsidRDefault="004214E5" w:rsidP="00C22B3E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Tipos de </w:t>
      </w:r>
      <w:r w:rsid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productos de acumulación o pensión del 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Régimen Obligatorio y </w:t>
      </w:r>
      <w:r w:rsid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del Régimen 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Voluntario de Pensiones </w:t>
      </w:r>
      <w:r w:rsidR="00C22B3E">
        <w:rPr>
          <w:rFonts w:ascii="Times New Roman" w:eastAsia="Calibri" w:hAnsi="Times New Roman" w:cs="Times New Roman"/>
          <w:sz w:val="24"/>
          <w:szCs w:val="24"/>
          <w:lang w:val="es-CR"/>
        </w:rPr>
        <w:t>C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omplementarias.</w:t>
      </w:r>
      <w:r w:rsid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Características y diferencias.</w:t>
      </w:r>
    </w:p>
    <w:p w14:paraId="16C27FA3" w14:textId="77777777" w:rsidR="00C22B3E" w:rsidRDefault="00C22B3E" w:rsidP="00C22B3E">
      <w:pPr>
        <w:pStyle w:val="Prrafodelista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Requisitos para acceder a los beneficios del 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Régimen Obligatorio</w:t>
      </w:r>
      <w:r w:rsidRPr="00C22B3E">
        <w:t xml:space="preserve"> 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de Pensiones Complementarias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3EA75D8B" w14:textId="77777777" w:rsidR="00C22B3E" w:rsidRDefault="00C22B3E" w:rsidP="00C22B3E">
      <w:pPr>
        <w:pStyle w:val="Prrafodelista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Requisitos para acceder a los beneficios del Régimen 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Voluntario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Pensiones Complementarias.</w:t>
      </w:r>
    </w:p>
    <w:p w14:paraId="35BC625B" w14:textId="77777777" w:rsidR="00380463" w:rsidRPr="00380463" w:rsidRDefault="00380463" w:rsidP="00380463">
      <w:pPr>
        <w:pStyle w:val="Prrafodelista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El monto de las pensiones: sistemas de pensiones de beneficio definido versus </w:t>
      </w:r>
      <w:r w:rsidRPr="0038046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sistemas de pensiones de 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contribución definida.</w:t>
      </w:r>
    </w:p>
    <w:p w14:paraId="17161421" w14:textId="77777777" w:rsidR="00380463" w:rsidRPr="00380463" w:rsidRDefault="00380463" w:rsidP="00380463">
      <w:pPr>
        <w:pStyle w:val="Prrafodelista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L</w:t>
      </w:r>
      <w:r w:rsidRPr="0038046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 rentabilidad del fondo y el recálculo de las pensiones. </w:t>
      </w:r>
    </w:p>
    <w:p w14:paraId="450EEC03" w14:textId="77777777" w:rsidR="00B46CA5" w:rsidRDefault="00CD7F43" w:rsidP="00CD7F43">
      <w:pPr>
        <w:pStyle w:val="Prrafodelista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D7F43">
        <w:rPr>
          <w:rFonts w:ascii="Times New Roman" w:eastAsia="Calibri" w:hAnsi="Times New Roman" w:cs="Times New Roman"/>
          <w:sz w:val="24"/>
          <w:szCs w:val="24"/>
          <w:lang w:val="es-CR"/>
        </w:rPr>
        <w:t>El retiro total en el Régimen Obligatorio y en el Régimen Voluntario de Pensiones Complementarias.</w:t>
      </w:r>
    </w:p>
    <w:p w14:paraId="3909C697" w14:textId="38AAC6F8" w:rsidR="00B46CA5" w:rsidRDefault="00B46CA5" w:rsidP="005D6981">
      <w:pPr>
        <w:pStyle w:val="Prrafodelista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B46CA5">
        <w:rPr>
          <w:rFonts w:ascii="Times New Roman" w:eastAsia="Calibri" w:hAnsi="Times New Roman" w:cs="Times New Roman"/>
          <w:sz w:val="24"/>
          <w:szCs w:val="24"/>
          <w:lang w:val="es-CR"/>
        </w:rPr>
        <w:t>El retiro anticipado en el Régimen Voluntario de Pensiones Complementarias: requisitos y condiciones.</w:t>
      </w:r>
    </w:p>
    <w:p w14:paraId="366CFFD9" w14:textId="77777777" w:rsidR="005D6981" w:rsidRDefault="005D6981" w:rsidP="005D6981">
      <w:pPr>
        <w:pStyle w:val="Prrafodelista"/>
        <w:rPr>
          <w:rFonts w:eastAsia="Calibri" w:cstheme="minorHAnsi"/>
          <w:sz w:val="24"/>
          <w:szCs w:val="24"/>
          <w:lang w:val="es-CR"/>
        </w:rPr>
      </w:pPr>
    </w:p>
    <w:p w14:paraId="48F230CD" w14:textId="77777777" w:rsidR="00AB126B" w:rsidRDefault="00AB126B" w:rsidP="005D6981">
      <w:pPr>
        <w:pStyle w:val="Prrafodelista"/>
        <w:rPr>
          <w:rFonts w:eastAsia="Calibri" w:cstheme="minorHAnsi"/>
          <w:sz w:val="24"/>
          <w:szCs w:val="24"/>
          <w:lang w:val="es-CR"/>
        </w:rPr>
      </w:pPr>
    </w:p>
    <w:p w14:paraId="5572A5C2" w14:textId="77777777" w:rsidR="00AB126B" w:rsidRPr="005D6981" w:rsidRDefault="00AB126B" w:rsidP="005D6981">
      <w:pPr>
        <w:pStyle w:val="Prrafodelista"/>
        <w:rPr>
          <w:rFonts w:eastAsia="Calibri" w:cstheme="minorHAnsi"/>
          <w:sz w:val="24"/>
          <w:szCs w:val="24"/>
          <w:lang w:val="es-CR"/>
        </w:rPr>
      </w:pPr>
    </w:p>
    <w:p w14:paraId="471469D1" w14:textId="77777777" w:rsidR="00C22B3E" w:rsidRPr="005D6981" w:rsidRDefault="00C22B3E" w:rsidP="004B4C1F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sz w:val="24"/>
          <w:szCs w:val="24"/>
          <w:lang w:val="es-CR"/>
        </w:rPr>
      </w:pPr>
      <w:r w:rsidRPr="005D6981">
        <w:rPr>
          <w:rFonts w:eastAsia="Calibri" w:cstheme="minorHAnsi"/>
          <w:b/>
          <w:bCs/>
          <w:sz w:val="24"/>
          <w:szCs w:val="24"/>
          <w:lang w:val="es-CR"/>
        </w:rPr>
        <w:lastRenderedPageBreak/>
        <w:t xml:space="preserve">El Fondo de Capitalización </w:t>
      </w:r>
      <w:r w:rsidR="00E11B61" w:rsidRPr="005D6981">
        <w:rPr>
          <w:rFonts w:eastAsia="Calibri" w:cstheme="minorHAnsi"/>
          <w:b/>
          <w:bCs/>
          <w:sz w:val="24"/>
          <w:szCs w:val="24"/>
          <w:lang w:val="es-CR"/>
        </w:rPr>
        <w:t>Laboral (FCL)</w:t>
      </w:r>
    </w:p>
    <w:p w14:paraId="752C6465" w14:textId="77777777" w:rsidR="00C22B3E" w:rsidRPr="00C22B3E" w:rsidRDefault="00C22B3E" w:rsidP="00C22B3E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43145EFE" w14:textId="77777777" w:rsidR="00C22B3E" w:rsidRPr="00C22B3E" w:rsidRDefault="00C22B3E" w:rsidP="00C22B3E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Los aportes: fuente, recaudación y distribución.</w:t>
      </w:r>
    </w:p>
    <w:p w14:paraId="7F8D0A1D" w14:textId="77777777" w:rsidR="00C22B3E" w:rsidRDefault="00C22B3E" w:rsidP="00C22B3E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El Retiro del </w:t>
      </w: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Fondo de Capitalización Individual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: causales y requisitos.</w:t>
      </w:r>
    </w:p>
    <w:p w14:paraId="60CA048D" w14:textId="77777777" w:rsidR="00C22B3E" w:rsidRPr="00544F01" w:rsidRDefault="00C22B3E" w:rsidP="00C22B3E">
      <w:pPr>
        <w:spacing w:after="0"/>
        <w:jc w:val="both"/>
        <w:rPr>
          <w:rFonts w:eastAsia="Calibri" w:cstheme="minorHAnsi"/>
          <w:sz w:val="24"/>
          <w:szCs w:val="24"/>
          <w:lang w:val="es-CR"/>
        </w:rPr>
      </w:pPr>
    </w:p>
    <w:p w14:paraId="411D858A" w14:textId="77777777" w:rsidR="00140A96" w:rsidRPr="00544F01" w:rsidRDefault="00C22B3E" w:rsidP="004B4C1F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544F01">
        <w:rPr>
          <w:rFonts w:eastAsia="Calibri" w:cstheme="minorHAnsi"/>
          <w:b/>
          <w:bCs/>
          <w:sz w:val="24"/>
          <w:szCs w:val="24"/>
          <w:lang w:val="es-CR"/>
        </w:rPr>
        <w:t>Las comisiones de administración</w:t>
      </w:r>
    </w:p>
    <w:p w14:paraId="2498E3B0" w14:textId="77777777" w:rsidR="00C22B3E" w:rsidRDefault="00C22B3E" w:rsidP="00C22B3E">
      <w:pPr>
        <w:pStyle w:val="Prrafodelista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1863A7A3" w14:textId="77777777" w:rsidR="00C22B3E" w:rsidRDefault="00C22B3E" w:rsidP="00C22B3E">
      <w:pPr>
        <w:pStyle w:val="Prrafodelista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Las comisiones de administración en el Régimen Obligatorio de Pensiones Complementarias, el Régimen Voluntario de Pensiones Complementarias y el Fondo de Capitalización Laboral.</w:t>
      </w:r>
    </w:p>
    <w:p w14:paraId="4222E3BE" w14:textId="77777777" w:rsidR="00C22B3E" w:rsidRDefault="00C22B3E" w:rsidP="00447FBC">
      <w:pPr>
        <w:pStyle w:val="Prrafodelista"/>
        <w:numPr>
          <w:ilvl w:val="0"/>
          <w:numId w:val="13"/>
        </w:numPr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La bonificación de comisiones de administración en el Régimen Obligatorio de Pensiones Complementarias, el Régimen Voluntario de Pensiones Complementarias y el Fondo de Capitalización Laboral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: tipos y condiciones que deben cumplirse para su disfrute.</w:t>
      </w:r>
    </w:p>
    <w:p w14:paraId="4F87CD75" w14:textId="77777777" w:rsidR="00447FBC" w:rsidRPr="00544F01" w:rsidRDefault="00447FBC" w:rsidP="00447FBC">
      <w:pPr>
        <w:pStyle w:val="Prrafodelista"/>
        <w:ind w:left="1080"/>
        <w:jc w:val="both"/>
        <w:rPr>
          <w:rFonts w:eastAsia="Calibri" w:cstheme="minorHAnsi"/>
          <w:sz w:val="24"/>
          <w:szCs w:val="24"/>
          <w:lang w:val="es-CR"/>
        </w:rPr>
      </w:pPr>
    </w:p>
    <w:p w14:paraId="27E1EEC0" w14:textId="77777777" w:rsidR="00C22B3E" w:rsidRPr="00544F01" w:rsidRDefault="002D6D33" w:rsidP="004B4C1F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sz w:val="24"/>
          <w:szCs w:val="24"/>
          <w:lang w:val="es-CR"/>
        </w:rPr>
      </w:pPr>
      <w:r w:rsidRPr="00544F01">
        <w:rPr>
          <w:rFonts w:eastAsia="Calibri" w:cstheme="minorHAnsi"/>
          <w:b/>
          <w:bCs/>
          <w:sz w:val="24"/>
          <w:szCs w:val="24"/>
          <w:lang w:val="es-CR"/>
        </w:rPr>
        <w:t>Inversión de los fondos de pensiones y de capitalización laboral en el mercado local e internacional</w:t>
      </w:r>
    </w:p>
    <w:p w14:paraId="21910F26" w14:textId="77777777" w:rsidR="00331BD1" w:rsidRPr="00C22B3E" w:rsidRDefault="002D6D33" w:rsidP="00C22B3E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 xml:space="preserve"> </w:t>
      </w:r>
    </w:p>
    <w:p w14:paraId="54FEDEA6" w14:textId="77777777" w:rsidR="00C22B3E" w:rsidRDefault="002D6D33" w:rsidP="00FF37F8">
      <w:pPr>
        <w:pStyle w:val="Prrafodelista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Requisitos y condiciones para invertir en el mercado local y extranjero. </w:t>
      </w:r>
    </w:p>
    <w:p w14:paraId="50B068D6" w14:textId="77777777" w:rsidR="00C22B3E" w:rsidRDefault="002D6D33" w:rsidP="00FF37F8">
      <w:pPr>
        <w:pStyle w:val="Prrafodelista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Límites, prohibiciones, excesos e incumplimiento de límites de inversión.  </w:t>
      </w:r>
    </w:p>
    <w:p w14:paraId="1AB2AE1D" w14:textId="77777777" w:rsidR="00C22B3E" w:rsidRDefault="002D6D33" w:rsidP="00FF37F8">
      <w:pPr>
        <w:pStyle w:val="Prrafodelista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Custodia y depósito de valores. </w:t>
      </w:r>
    </w:p>
    <w:p w14:paraId="53CE563E" w14:textId="77777777" w:rsidR="00380463" w:rsidRDefault="002D6D33" w:rsidP="00FF37F8">
      <w:pPr>
        <w:pStyle w:val="Prrafodelista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22B3E">
        <w:rPr>
          <w:rFonts w:ascii="Times New Roman" w:eastAsia="Calibri" w:hAnsi="Times New Roman" w:cs="Times New Roman"/>
          <w:sz w:val="24"/>
          <w:szCs w:val="24"/>
          <w:lang w:val="es-CR"/>
        </w:rPr>
        <w:t>Rentabilidad de los fondos.</w:t>
      </w:r>
    </w:p>
    <w:p w14:paraId="2DCF5BD8" w14:textId="77777777" w:rsidR="00480D81" w:rsidRDefault="00480D81" w:rsidP="00FF37F8">
      <w:pPr>
        <w:pStyle w:val="Prrafodelista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El valor cuota.</w:t>
      </w:r>
    </w:p>
    <w:p w14:paraId="070346B6" w14:textId="77777777" w:rsidR="00380463" w:rsidRPr="00544F01" w:rsidRDefault="00380463" w:rsidP="00380463">
      <w:p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</w:p>
    <w:p w14:paraId="23BC7468" w14:textId="588CB34B" w:rsidR="006A1302" w:rsidRPr="00544F01" w:rsidRDefault="006A1302" w:rsidP="00420FB5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544F01">
        <w:rPr>
          <w:rFonts w:eastAsia="Calibri" w:cstheme="minorHAnsi"/>
          <w:b/>
          <w:bCs/>
          <w:sz w:val="24"/>
          <w:szCs w:val="24"/>
          <w:lang w:val="es-CR"/>
        </w:rPr>
        <w:t>Riesgos</w:t>
      </w:r>
    </w:p>
    <w:p w14:paraId="0FCA8DC7" w14:textId="77777777" w:rsidR="006A1302" w:rsidRPr="006A1302" w:rsidRDefault="006A1302" w:rsidP="006A1302">
      <w:pPr>
        <w:pStyle w:val="Prrafodelista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68ADD685" w14:textId="77777777" w:rsidR="006A1302" w:rsidRDefault="006A1302" w:rsidP="006A1302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Tipos de riesgos a los que se pueden exponer los fondos de pensiones y de capitalización laboral producto de su inversión en mercados financieros locales e internacionales.</w:t>
      </w:r>
    </w:p>
    <w:p w14:paraId="700B943D" w14:textId="77777777" w:rsidR="006A1302" w:rsidRDefault="006A1302" w:rsidP="006A1302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Riesgos asociados a la administración de las cuentas individuales.</w:t>
      </w:r>
    </w:p>
    <w:p w14:paraId="0742E5E5" w14:textId="79DAE9DC" w:rsidR="006A1302" w:rsidRDefault="006A1302" w:rsidP="006A1302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Riesgos que asume el afiliado o el pensionado en un régimen de contribución definida y 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en </w:t>
      </w: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un régimen de beneficio definido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. </w:t>
      </w: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Diferencias.</w:t>
      </w:r>
    </w:p>
    <w:p w14:paraId="2C7A2DE0" w14:textId="77777777" w:rsidR="006A1302" w:rsidRDefault="006A1302" w:rsidP="006A1302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Riesgos asociados a cada uno de los productos de desacumulación y cómo pueden afectar el monto de las prestaciones: Perfilamiento del pensionado y selección del producto.</w:t>
      </w:r>
    </w:p>
    <w:p w14:paraId="663EC03E" w14:textId="77777777" w:rsidR="006A1302" w:rsidRDefault="006A1302" w:rsidP="006A1302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Riesgos operativos asociados a la afiliación y la libre transferencia hacia otra operadora.</w:t>
      </w:r>
    </w:p>
    <w:p w14:paraId="1061EA83" w14:textId="77777777" w:rsidR="006A1302" w:rsidRDefault="006A1302" w:rsidP="002076EC">
      <w:pPr>
        <w:pStyle w:val="Prrafodelista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>Valor de los fondos, valor cuota y riesgos asociados a:</w:t>
      </w:r>
    </w:p>
    <w:p w14:paraId="272A8FA1" w14:textId="77777777" w:rsidR="00544F01" w:rsidRPr="002076EC" w:rsidRDefault="00544F01" w:rsidP="00544F01">
      <w:pPr>
        <w:pStyle w:val="Prrafodelista"/>
        <w:spacing w:after="0"/>
        <w:ind w:left="106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176E4ADB" w14:textId="77777777" w:rsidR="006A1302" w:rsidRDefault="006A1302" w:rsidP="006A1302">
      <w:pPr>
        <w:pStyle w:val="Prrafodelista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El ejercicio de la libre trasferencia de los afiliados y pensionados hacia otra operadora.</w:t>
      </w:r>
    </w:p>
    <w:p w14:paraId="7D3A6DED" w14:textId="77777777" w:rsidR="006A1302" w:rsidRDefault="006A1302" w:rsidP="006A1302">
      <w:pPr>
        <w:pStyle w:val="Prrafodelista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Los retiros.</w:t>
      </w:r>
    </w:p>
    <w:p w14:paraId="45980A0B" w14:textId="547C4D10" w:rsidR="006A1302" w:rsidRPr="006A1302" w:rsidRDefault="006A1302" w:rsidP="006A1302">
      <w:pPr>
        <w:pStyle w:val="Prrafodelista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6A1302">
        <w:rPr>
          <w:rFonts w:ascii="Times New Roman" w:eastAsia="Calibri" w:hAnsi="Times New Roman" w:cs="Times New Roman"/>
          <w:sz w:val="24"/>
          <w:szCs w:val="24"/>
          <w:lang w:val="es-CR"/>
        </w:rPr>
        <w:t>La adquisición de un producto de beneficios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en otra operadora de pensiones.</w:t>
      </w:r>
    </w:p>
    <w:p w14:paraId="74C62607" w14:textId="77777777" w:rsidR="006A1302" w:rsidRPr="00DB4C62" w:rsidRDefault="006A1302" w:rsidP="006A1302">
      <w:pPr>
        <w:spacing w:after="0"/>
        <w:jc w:val="both"/>
        <w:rPr>
          <w:rFonts w:eastAsia="Calibri" w:cstheme="minorHAnsi"/>
          <w:sz w:val="24"/>
          <w:szCs w:val="24"/>
          <w:lang w:val="es-CR"/>
        </w:rPr>
      </w:pPr>
    </w:p>
    <w:p w14:paraId="70ADD92B" w14:textId="77777777" w:rsidR="00380463" w:rsidRPr="00DB4C62" w:rsidRDefault="00066833" w:rsidP="004B4C1F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sz w:val="24"/>
          <w:szCs w:val="24"/>
          <w:lang w:val="es-CR"/>
        </w:rPr>
      </w:pPr>
      <w:r w:rsidRPr="00DB4C62">
        <w:rPr>
          <w:rFonts w:eastAsia="Calibri" w:cstheme="minorHAnsi"/>
          <w:b/>
          <w:bCs/>
          <w:sz w:val="24"/>
          <w:szCs w:val="24"/>
          <w:lang w:val="es-CR"/>
        </w:rPr>
        <w:t>Los beneficiarios en caso de fallecimiento del afiliado o pensionado</w:t>
      </w:r>
    </w:p>
    <w:p w14:paraId="587145EC" w14:textId="77777777" w:rsidR="00066833" w:rsidRPr="00DB4C62" w:rsidRDefault="00066833" w:rsidP="00FF37F8">
      <w:p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</w:p>
    <w:p w14:paraId="0C945FF4" w14:textId="77777777" w:rsidR="00066833" w:rsidRPr="00066833" w:rsidRDefault="00066833" w:rsidP="00066833">
      <w:pPr>
        <w:pStyle w:val="Prrafodelista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Los beneficiarios en caso de fallecimiento del afiliado y el pensionado en el 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Régimen 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Voluntario y Obligatorio </w:t>
      </w: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de Pensiones Complementarias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3331D8BA" w14:textId="77777777" w:rsidR="00066833" w:rsidRPr="00066833" w:rsidRDefault="00066833" w:rsidP="00066833">
      <w:pPr>
        <w:pStyle w:val="Prrafodelista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Procedimiento y determinación de los beneficiarios. </w:t>
      </w:r>
    </w:p>
    <w:p w14:paraId="1A541D2E" w14:textId="77777777" w:rsidR="00066833" w:rsidRPr="00DB4C62" w:rsidRDefault="00066833" w:rsidP="00FF37F8">
      <w:p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</w:p>
    <w:p w14:paraId="27F03DBC" w14:textId="2A3E060B" w:rsidR="00331BD1" w:rsidRPr="00DB4C62" w:rsidRDefault="00EB78CD" w:rsidP="00420FB5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DB4C62">
        <w:rPr>
          <w:rFonts w:eastAsia="Calibri" w:cstheme="minorHAnsi"/>
          <w:b/>
          <w:bCs/>
          <w:sz w:val="24"/>
          <w:szCs w:val="24"/>
          <w:lang w:val="es-CR"/>
        </w:rPr>
        <w:t>Libre transferencia y traslado de recursos</w:t>
      </w:r>
    </w:p>
    <w:p w14:paraId="467D2ED6" w14:textId="77777777" w:rsidR="00066833" w:rsidRPr="00066833" w:rsidRDefault="00066833" w:rsidP="00066833">
      <w:pPr>
        <w:pStyle w:val="Prrafodelista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4B7AA3E7" w14:textId="78501AC6" w:rsidR="00EB78CD" w:rsidRDefault="00EB78CD" w:rsidP="00066833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Traslado </w:t>
      </w:r>
      <w:r w:rsid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 operadora 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 </w:t>
      </w:r>
      <w:r w:rsid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los 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afiliados y pensionados del Régimen Obligatorio </w:t>
      </w:r>
      <w:r w:rsidR="00C822ED"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>y</w:t>
      </w:r>
      <w:r w:rsidR="00C822ED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C822ED"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>Voluntario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de Pensiones Complementarias</w:t>
      </w:r>
      <w:r w:rsidR="00395D14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y de</w:t>
      </w:r>
      <w:r w:rsidR="0065064F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los afiliados a</w:t>
      </w:r>
      <w:r w:rsidR="00395D14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l </w:t>
      </w:r>
      <w:r w:rsidR="00395D14" w:rsidRPr="00395D14">
        <w:rPr>
          <w:rFonts w:ascii="Times New Roman" w:eastAsia="Calibri" w:hAnsi="Times New Roman" w:cs="Times New Roman"/>
          <w:sz w:val="24"/>
          <w:szCs w:val="24"/>
          <w:lang w:val="es-CR"/>
        </w:rPr>
        <w:t>Fondo de Capitalización Laboral</w:t>
      </w:r>
      <w:r w:rsidR="009145CC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3AEEBECB" w14:textId="77777777" w:rsidR="008B3A2E" w:rsidRPr="00066833" w:rsidRDefault="008B3A2E" w:rsidP="008B3A2E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741A3E78" w14:textId="77777777" w:rsidR="00EB78CD" w:rsidRPr="00066833" w:rsidRDefault="00EB78CD" w:rsidP="00FF37F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>i. Requisitos</w:t>
      </w:r>
      <w:r w:rsidR="00066833"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para ejercer el traslado. </w:t>
      </w:r>
    </w:p>
    <w:p w14:paraId="2DDB81CC" w14:textId="77777777" w:rsidR="00EB78CD" w:rsidRPr="00066833" w:rsidRDefault="00EB78CD" w:rsidP="00FF37F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>ii. Trámite y medios para ejercer el traslado.</w:t>
      </w:r>
    </w:p>
    <w:p w14:paraId="590F40DB" w14:textId="75F12D16" w:rsidR="00066833" w:rsidRDefault="00EB78CD" w:rsidP="00066833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iii. </w:t>
      </w:r>
      <w:r w:rsidR="006A1302">
        <w:rPr>
          <w:rFonts w:ascii="Times New Roman" w:eastAsia="Calibri" w:hAnsi="Times New Roman" w:cs="Times New Roman"/>
          <w:sz w:val="24"/>
          <w:szCs w:val="24"/>
          <w:lang w:val="es-CR"/>
        </w:rPr>
        <w:t>A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sesoría al afiliado y pensionado sobre las consecuencias patrimoniales que </w:t>
      </w:r>
      <w:r w:rsidR="00F66E16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se podrían 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>asum</w:t>
      </w:r>
      <w:r w:rsidR="00F66E16">
        <w:rPr>
          <w:rFonts w:ascii="Times New Roman" w:eastAsia="Calibri" w:hAnsi="Times New Roman" w:cs="Times New Roman"/>
          <w:sz w:val="24"/>
          <w:szCs w:val="24"/>
          <w:lang w:val="es-CR"/>
        </w:rPr>
        <w:t>ir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al ejecutar la libre transferencia en eventos de mercados bajistas</w:t>
      </w:r>
      <w:r w:rsidR="00447FBC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  <w:r w:rsidRPr="00066833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</w:p>
    <w:p w14:paraId="199732A6" w14:textId="3BE48CA1" w:rsidR="00EB78CD" w:rsidRPr="00FF37F8" w:rsidRDefault="00EB78CD" w:rsidP="00FF37F8">
      <w:pPr>
        <w:spacing w:after="0"/>
        <w:ind w:left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</w:pPr>
    </w:p>
    <w:p w14:paraId="587EBB15" w14:textId="48BB3E9A" w:rsidR="00EB78CD" w:rsidRPr="008B3A2E" w:rsidRDefault="00EB78CD" w:rsidP="008B3A2E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Traslado de planes colectivos </w:t>
      </w:r>
      <w:r w:rsidR="009145C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del Régimen Voluntario de Pensiones Complementarias </w:t>
      </w:r>
      <w:r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>a otra operadora</w:t>
      </w:r>
      <w:r w:rsidR="008B3A2E"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10DBF7FD" w14:textId="77777777" w:rsidR="008B3A2E" w:rsidRPr="008B3A2E" w:rsidRDefault="008B3A2E" w:rsidP="008B3A2E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61C552D7" w14:textId="77777777" w:rsidR="00EB78CD" w:rsidRPr="008B3A2E" w:rsidRDefault="00EB78CD" w:rsidP="00FF37F8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i. Condiciones para el traslado del colectivo. </w:t>
      </w:r>
    </w:p>
    <w:p w14:paraId="6A07E934" w14:textId="77777777" w:rsidR="00EB78CD" w:rsidRPr="008B3A2E" w:rsidRDefault="00EB78CD" w:rsidP="00FF37F8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>ii. Trámite para ejercer el traslado.</w:t>
      </w:r>
    </w:p>
    <w:p w14:paraId="4C8A6DB2" w14:textId="0974C68A" w:rsidR="00EB78CD" w:rsidRPr="008B3A2E" w:rsidRDefault="00EB78CD" w:rsidP="00FF37F8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iii. Mecanismos de asesoría al afiliado sobre las consecuencias patrimoniales que </w:t>
      </w:r>
      <w:r w:rsidR="00B34428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se podrían </w:t>
      </w:r>
      <w:r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>asum</w:t>
      </w:r>
      <w:r w:rsidR="00B34428">
        <w:rPr>
          <w:rFonts w:ascii="Times New Roman" w:eastAsia="Calibri" w:hAnsi="Times New Roman" w:cs="Times New Roman"/>
          <w:sz w:val="24"/>
          <w:szCs w:val="24"/>
          <w:lang w:val="es-CR"/>
        </w:rPr>
        <w:t>ir</w:t>
      </w:r>
      <w:r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al ejecutar la libre transferencia en eventos de mercados bajistas</w:t>
      </w:r>
      <w:r w:rsidR="008B3A2E" w:rsidRPr="008B3A2E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759F1E87" w14:textId="77777777" w:rsidR="008B3A2E" w:rsidRPr="00FF37F8" w:rsidRDefault="008B3A2E" w:rsidP="00FF37F8">
      <w:pPr>
        <w:spacing w:after="0"/>
        <w:ind w:left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</w:pPr>
    </w:p>
    <w:p w14:paraId="74630B37" w14:textId="77777777" w:rsidR="002076EC" w:rsidRPr="002076EC" w:rsidRDefault="00EB78CD" w:rsidP="002076EC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>Traslados de recursos de beneficios o desacumulación</w:t>
      </w:r>
      <w:r w:rsidR="002076EC"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16B225A8" w14:textId="559E8C57" w:rsidR="00EB78CD" w:rsidRPr="002076EC" w:rsidRDefault="00EB78CD" w:rsidP="002076EC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CE3B4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</w:p>
    <w:p w14:paraId="5B9490C0" w14:textId="4EE5814F" w:rsidR="00CE3B4E" w:rsidRDefault="00EB78CD" w:rsidP="00CE3B4E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>i. Requisitos y condiciones para ejecutar el traslado.</w:t>
      </w:r>
      <w:r w:rsidR="00CE3B4E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 </w:t>
      </w:r>
    </w:p>
    <w:p w14:paraId="0DA847FB" w14:textId="34ADABAA" w:rsidR="002076EC" w:rsidRPr="008F2B27" w:rsidRDefault="00CE3B4E" w:rsidP="00CE3B4E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ii. </w:t>
      </w:r>
      <w:r w:rsidR="00EB78CD"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Mecanismos de asesoría al pensionado sobre las consecuencias patrimoniales que </w:t>
      </w:r>
      <w:r w:rsidR="0039734A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se podrían </w:t>
      </w:r>
      <w:r w:rsidR="00EB78CD"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>asum</w:t>
      </w:r>
      <w:r w:rsidR="0039734A">
        <w:rPr>
          <w:rFonts w:ascii="Times New Roman" w:eastAsia="Calibri" w:hAnsi="Times New Roman" w:cs="Times New Roman"/>
          <w:sz w:val="24"/>
          <w:szCs w:val="24"/>
          <w:lang w:val="es-CR"/>
        </w:rPr>
        <w:t>ir</w:t>
      </w:r>
      <w:r w:rsidR="00EB78CD"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al ejecutar la libre transferencia en eventos de mercados bajistas.</w:t>
      </w:r>
    </w:p>
    <w:p w14:paraId="0BDE2FBE" w14:textId="77777777" w:rsidR="00EB78CD" w:rsidRPr="00FF37F8" w:rsidRDefault="00EB78CD" w:rsidP="002076EC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i/>
          <w:iCs/>
          <w:sz w:val="24"/>
          <w:szCs w:val="24"/>
          <w:lang w:val="es-CR"/>
        </w:rPr>
        <w:t xml:space="preserve"> </w:t>
      </w:r>
    </w:p>
    <w:p w14:paraId="65DA5168" w14:textId="77777777" w:rsidR="002076EC" w:rsidRPr="002076EC" w:rsidRDefault="00EB78CD" w:rsidP="002076EC">
      <w:pPr>
        <w:pStyle w:val="Prrafodelista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>Traslado de los recursos acumulados en las cuentas individuales del Régimen Obligatorio y Voluntario de Pensiones Complementarias al Régimen No Contributivo de Pensiones administrado por la Caja Costarricense de Seguro Social</w:t>
      </w:r>
      <w:r w:rsidR="002076EC"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0371E444" w14:textId="77777777" w:rsidR="00EB78CD" w:rsidRPr="002076EC" w:rsidRDefault="00EB78CD" w:rsidP="002076EC">
      <w:pPr>
        <w:pStyle w:val="Prrafodelist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2076E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</w:p>
    <w:p w14:paraId="434EC43E" w14:textId="796D66E3" w:rsidR="00EB78CD" w:rsidRPr="008F2B27" w:rsidRDefault="00EB78CD" w:rsidP="00FF37F8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>i</w:t>
      </w:r>
      <w:r w:rsidR="00ED5CB0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  <w:r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Trámite.  </w:t>
      </w:r>
    </w:p>
    <w:p w14:paraId="3FCB5990" w14:textId="2734A7D7" w:rsidR="00EC39C5" w:rsidRPr="008F2B27" w:rsidRDefault="00EB78CD" w:rsidP="00FF37F8">
      <w:pPr>
        <w:spacing w:after="0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>ii</w:t>
      </w:r>
      <w:r w:rsidR="00ED5CB0"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  <w:r w:rsidRPr="008F2B27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Causales y condiciones para el traslado de los recursos (La prescripción decenal y la ausencia de beneficiarios). </w:t>
      </w:r>
    </w:p>
    <w:p w14:paraId="7737B762" w14:textId="77777777" w:rsidR="00FF37F8" w:rsidRPr="002B2782" w:rsidRDefault="00FF37F8" w:rsidP="00FF37F8">
      <w:pPr>
        <w:spacing w:after="0"/>
        <w:ind w:left="708"/>
        <w:jc w:val="both"/>
        <w:rPr>
          <w:rFonts w:eastAsia="Calibri" w:cstheme="minorHAnsi"/>
          <w:i/>
          <w:iCs/>
          <w:sz w:val="24"/>
          <w:szCs w:val="24"/>
          <w:lang w:val="es-CR"/>
        </w:rPr>
      </w:pPr>
    </w:p>
    <w:p w14:paraId="2F833525" w14:textId="29F21F8D" w:rsidR="00447FBC" w:rsidRPr="002B2782" w:rsidRDefault="00447FBC" w:rsidP="00420FB5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2B2782">
        <w:rPr>
          <w:rFonts w:eastAsia="Calibri" w:cstheme="minorHAnsi"/>
          <w:b/>
          <w:bCs/>
          <w:sz w:val="24"/>
          <w:szCs w:val="24"/>
          <w:lang w:val="es-CR"/>
        </w:rPr>
        <w:t>Los estados de cuenta</w:t>
      </w:r>
    </w:p>
    <w:p w14:paraId="579AA0BC" w14:textId="77777777" w:rsidR="00447FBC" w:rsidRPr="00447FBC" w:rsidRDefault="00447FBC" w:rsidP="00447FBC">
      <w:pPr>
        <w:pStyle w:val="Prrafodelista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</w:p>
    <w:p w14:paraId="62153365" w14:textId="77777777" w:rsidR="00447FBC" w:rsidRPr="00447FBC" w:rsidRDefault="00447FBC" w:rsidP="00447FBC">
      <w:pPr>
        <w:pStyle w:val="Prrafodelista"/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Información que deben contener los estados de cuenta.</w:t>
      </w:r>
    </w:p>
    <w:p w14:paraId="6261A77F" w14:textId="1C0F37A8" w:rsidR="00447FBC" w:rsidRPr="00447FBC" w:rsidRDefault="00447FBC" w:rsidP="00447FBC">
      <w:pPr>
        <w:pStyle w:val="Prrafodelista"/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Proyección de pensión y sus diversos escenarios.</w:t>
      </w:r>
    </w:p>
    <w:p w14:paraId="57638C00" w14:textId="0ED6F2E3" w:rsidR="00FF37F8" w:rsidRDefault="00447FBC" w:rsidP="00447FBC">
      <w:pPr>
        <w:pStyle w:val="Prrafodelista"/>
        <w:numPr>
          <w:ilvl w:val="0"/>
          <w:numId w:val="21"/>
        </w:numPr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Frecuencia de remisión de los estados de cuenta</w:t>
      </w:r>
      <w:r w:rsidR="002076E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 los afiliados y pensionados.</w:t>
      </w:r>
    </w:p>
    <w:p w14:paraId="20FEC62D" w14:textId="77777777" w:rsidR="00447FBC" w:rsidRPr="002B2782" w:rsidRDefault="00447FBC" w:rsidP="00447FBC">
      <w:pPr>
        <w:pStyle w:val="Prrafodelista"/>
        <w:rPr>
          <w:rFonts w:eastAsia="Calibri" w:cstheme="minorHAnsi"/>
          <w:sz w:val="24"/>
          <w:szCs w:val="24"/>
          <w:lang w:val="es-CR"/>
        </w:rPr>
      </w:pPr>
    </w:p>
    <w:p w14:paraId="69056E95" w14:textId="7C0D3D9A" w:rsidR="00447FBC" w:rsidRPr="002B2782" w:rsidRDefault="006F2BA4" w:rsidP="00420FB5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b/>
          <w:bCs/>
          <w:sz w:val="24"/>
          <w:szCs w:val="24"/>
          <w:lang w:val="es-CR"/>
        </w:rPr>
      </w:pPr>
      <w:r w:rsidRPr="002B2782">
        <w:rPr>
          <w:rFonts w:eastAsia="Calibri" w:cstheme="minorHAnsi"/>
          <w:b/>
          <w:bCs/>
          <w:sz w:val="24"/>
          <w:szCs w:val="24"/>
          <w:lang w:val="es-CR"/>
        </w:rPr>
        <w:t>Régimen sancionatorio</w:t>
      </w:r>
    </w:p>
    <w:p w14:paraId="107039DA" w14:textId="77777777" w:rsidR="00331BD1" w:rsidRPr="00447FBC" w:rsidRDefault="006F2BA4" w:rsidP="00447FBC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b/>
          <w:bCs/>
          <w:sz w:val="24"/>
          <w:szCs w:val="24"/>
          <w:lang w:val="es-CR"/>
        </w:rPr>
        <w:t xml:space="preserve"> </w:t>
      </w:r>
    </w:p>
    <w:p w14:paraId="3C680D01" w14:textId="77777777" w:rsidR="006F2BA4" w:rsidRPr="00447FBC" w:rsidRDefault="006F2BA4" w:rsidP="00447FBC">
      <w:pPr>
        <w:pStyle w:val="Prrafodelista"/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Responsabilidad disciplinaria administrativa, penal y civil de los agentes promotores.</w:t>
      </w:r>
    </w:p>
    <w:p w14:paraId="7EC7AAAA" w14:textId="77777777" w:rsidR="006F2BA4" w:rsidRDefault="006F2BA4" w:rsidP="00FF37F8">
      <w:pPr>
        <w:pStyle w:val="Prrafodelista"/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Responsabilidad disciplinaria administrativa, penal y civil de las </w:t>
      </w:r>
      <w:r w:rsidR="00646C58"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o</w:t>
      </w: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peradoras de </w:t>
      </w:r>
      <w:r w:rsidR="00646C58"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p</w:t>
      </w: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ensiones Complementarias: Responsabilidad solidaria por las actuaciones de los agentes promotores.</w:t>
      </w:r>
    </w:p>
    <w:p w14:paraId="4CEB2AA7" w14:textId="77777777" w:rsidR="00447FBC" w:rsidRDefault="00447FBC" w:rsidP="00FF37F8">
      <w:pPr>
        <w:pStyle w:val="Prrafodelista"/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Consecuencias jurídicas para el agente promotor y la operadora derivada de la ausencia o indebida asesoría a los clientes que adquieren planes de acumulación y de beneficio en el</w:t>
      </w:r>
      <w:r w:rsidR="006F2BA4"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Régimen </w:t>
      </w: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Voluntario 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y </w:t>
      </w:r>
      <w:r w:rsidR="006F2BA4"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Obligatorio de Pensiones Complementarias.</w:t>
      </w:r>
    </w:p>
    <w:p w14:paraId="74D01BE9" w14:textId="2F85ABFD" w:rsidR="00FF37F8" w:rsidRDefault="00447FBC" w:rsidP="00447FBC">
      <w:pPr>
        <w:pStyle w:val="Prrafodelista"/>
        <w:numPr>
          <w:ilvl w:val="0"/>
          <w:numId w:val="2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Los deberes de</w:t>
      </w:r>
      <w:r w:rsidR="006F2BA4"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información y asesoría al afiliado y pensionado con ocasión del ejercicio del derecho a la libre transferencia. </w:t>
      </w: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Consecuencias jurídicas para el agente promotor y la operadora derivada de la ausencia o indebida asesoría a los clientes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6ECBB247" w14:textId="77777777" w:rsidR="00447FBC" w:rsidRPr="002B2782" w:rsidRDefault="00447FBC" w:rsidP="00447FBC">
      <w:pPr>
        <w:pStyle w:val="Prrafodelista"/>
        <w:spacing w:after="0"/>
        <w:jc w:val="both"/>
        <w:rPr>
          <w:rFonts w:eastAsia="Calibri" w:cstheme="minorHAnsi"/>
          <w:sz w:val="24"/>
          <w:szCs w:val="24"/>
          <w:lang w:val="es-CR"/>
        </w:rPr>
      </w:pPr>
    </w:p>
    <w:p w14:paraId="178338B8" w14:textId="14BEDE04" w:rsidR="00331BD1" w:rsidRPr="002B2782" w:rsidRDefault="009912B7" w:rsidP="00420FB5">
      <w:pPr>
        <w:pStyle w:val="Prrafodelista"/>
        <w:numPr>
          <w:ilvl w:val="0"/>
          <w:numId w:val="3"/>
        </w:numPr>
        <w:spacing w:after="0"/>
        <w:jc w:val="both"/>
        <w:rPr>
          <w:rFonts w:eastAsia="Calibri" w:cstheme="minorHAnsi"/>
          <w:sz w:val="24"/>
          <w:szCs w:val="24"/>
          <w:lang w:val="es-CR"/>
        </w:rPr>
      </w:pPr>
      <w:r w:rsidRPr="002B2782">
        <w:rPr>
          <w:rFonts w:eastAsia="Calibri" w:cstheme="minorHAnsi"/>
          <w:b/>
          <w:bCs/>
          <w:sz w:val="24"/>
          <w:szCs w:val="24"/>
          <w:lang w:val="es-CR"/>
        </w:rPr>
        <w:t>Atención al usuario y derechos del consumidor</w:t>
      </w:r>
      <w:r w:rsidRPr="002B2782">
        <w:rPr>
          <w:rFonts w:eastAsia="Calibri" w:cstheme="minorHAnsi"/>
          <w:sz w:val="24"/>
          <w:szCs w:val="24"/>
          <w:lang w:val="es-CR"/>
        </w:rPr>
        <w:t xml:space="preserve">. </w:t>
      </w:r>
    </w:p>
    <w:p w14:paraId="2023A61D" w14:textId="77777777" w:rsidR="00447FBC" w:rsidRPr="002B2782" w:rsidRDefault="00447FBC" w:rsidP="00FF37F8">
      <w:pPr>
        <w:spacing w:after="0"/>
        <w:jc w:val="both"/>
        <w:rPr>
          <w:rFonts w:eastAsia="Calibri" w:cstheme="minorHAnsi"/>
          <w:sz w:val="24"/>
          <w:szCs w:val="24"/>
          <w:lang w:val="es-CR"/>
        </w:rPr>
      </w:pPr>
    </w:p>
    <w:p w14:paraId="12A87404" w14:textId="77777777" w:rsidR="00447FBC" w:rsidRDefault="009912B7" w:rsidP="00447FBC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Servicio al cliente.</w:t>
      </w:r>
    </w:p>
    <w:p w14:paraId="637769E2" w14:textId="5B579ACC" w:rsidR="00447FBC" w:rsidRDefault="009912B7" w:rsidP="00FF37F8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Atención de consultas.</w:t>
      </w:r>
    </w:p>
    <w:p w14:paraId="7725F849" w14:textId="4ADA68F6" w:rsidR="009912B7" w:rsidRDefault="00447FBC" w:rsidP="00FF37F8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Derechos del consumidor.</w:t>
      </w:r>
    </w:p>
    <w:p w14:paraId="06B30C06" w14:textId="77777777" w:rsidR="009912B7" w:rsidRPr="00447FBC" w:rsidRDefault="009912B7" w:rsidP="00FF37F8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447FBC">
        <w:rPr>
          <w:rFonts w:ascii="Times New Roman" w:eastAsia="Calibri" w:hAnsi="Times New Roman" w:cs="Times New Roman"/>
          <w:sz w:val="24"/>
          <w:szCs w:val="24"/>
          <w:lang w:val="es-CR"/>
        </w:rPr>
        <w:t>Resolución de quejas y controversias.</w:t>
      </w:r>
    </w:p>
    <w:p w14:paraId="1DE0ED44" w14:textId="77777777" w:rsidR="00FF37F8" w:rsidRPr="00FF37F8" w:rsidRDefault="00FF37F8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3358AE38" w14:textId="2E7B52CF" w:rsidR="00C822ED" w:rsidRDefault="00C822ED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C822ED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Rige </w:t>
      </w:r>
      <w:r w:rsidR="001E458F">
        <w:rPr>
          <w:rFonts w:ascii="Times New Roman" w:eastAsia="Calibri" w:hAnsi="Times New Roman" w:cs="Times New Roman"/>
          <w:sz w:val="24"/>
          <w:szCs w:val="24"/>
          <w:lang w:val="es-CR"/>
        </w:rPr>
        <w:t>dos meses</w:t>
      </w:r>
      <w:r w:rsidRPr="00C822ED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natural</w:t>
      </w:r>
      <w:r w:rsidR="001E458F">
        <w:rPr>
          <w:rFonts w:ascii="Times New Roman" w:eastAsia="Calibri" w:hAnsi="Times New Roman" w:cs="Times New Roman"/>
          <w:sz w:val="24"/>
          <w:szCs w:val="24"/>
          <w:lang w:val="es-CR"/>
        </w:rPr>
        <w:t>es</w:t>
      </w:r>
      <w:r w:rsidRPr="00C822ED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="005B2CC6">
        <w:rPr>
          <w:rFonts w:ascii="Times New Roman" w:eastAsia="Calibri" w:hAnsi="Times New Roman" w:cs="Times New Roman"/>
          <w:sz w:val="24"/>
          <w:szCs w:val="24"/>
          <w:lang w:val="es-CR"/>
        </w:rPr>
        <w:t>contado</w:t>
      </w:r>
      <w:r w:rsidR="001E458F">
        <w:rPr>
          <w:rFonts w:ascii="Times New Roman" w:eastAsia="Calibri" w:hAnsi="Times New Roman" w:cs="Times New Roman"/>
          <w:sz w:val="24"/>
          <w:szCs w:val="24"/>
          <w:lang w:val="es-CR"/>
        </w:rPr>
        <w:t>s</w:t>
      </w:r>
      <w:r w:rsidR="005B2CC6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</w:t>
      </w:r>
      <w:r w:rsidRPr="00C822ED">
        <w:rPr>
          <w:rFonts w:ascii="Times New Roman" w:eastAsia="Calibri" w:hAnsi="Times New Roman" w:cs="Times New Roman"/>
          <w:sz w:val="24"/>
          <w:szCs w:val="24"/>
          <w:lang w:val="es-CR"/>
        </w:rPr>
        <w:t>a partir del día de su comunicación</w:t>
      </w:r>
      <w:r>
        <w:rPr>
          <w:rFonts w:ascii="Times New Roman" w:eastAsia="Calibri" w:hAnsi="Times New Roman" w:cs="Times New Roman"/>
          <w:sz w:val="24"/>
          <w:szCs w:val="24"/>
          <w:lang w:val="es-CR"/>
        </w:rPr>
        <w:t>.</w:t>
      </w:r>
    </w:p>
    <w:p w14:paraId="3044ACB8" w14:textId="77777777" w:rsidR="00C822ED" w:rsidRDefault="00C822ED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58FB0E30" w14:textId="7117A66E" w:rsidR="00D24847" w:rsidRDefault="00D24847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Comuníquese.</w:t>
      </w:r>
    </w:p>
    <w:p w14:paraId="325C2207" w14:textId="77777777" w:rsidR="00447FBC" w:rsidRDefault="00447FBC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7C608597" w14:textId="77777777" w:rsidR="00054063" w:rsidRPr="00FF37F8" w:rsidRDefault="00054063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</w:p>
    <w:p w14:paraId="1392312D" w14:textId="77777777" w:rsidR="00D24847" w:rsidRPr="00FF37F8" w:rsidRDefault="00D24847" w:rsidP="00FF37F8">
      <w:pPr>
        <w:spacing w:after="0"/>
        <w:rPr>
          <w:rFonts w:ascii="Times New Roman" w:eastAsia="Calibri" w:hAnsi="Times New Roman" w:cs="Times New Roman"/>
        </w:rPr>
      </w:pPr>
      <w:r w:rsidRPr="00FF37F8">
        <w:rPr>
          <w:rFonts w:ascii="Times New Roman" w:eastAsia="Calibri" w:hAnsi="Times New Roman" w:cs="Times New Roman"/>
          <w:noProof/>
          <w:lang w:eastAsia="es-CR"/>
        </w:rPr>
        <w:drawing>
          <wp:inline distT="0" distB="0" distL="0" distR="0" wp14:anchorId="03163FC5" wp14:editId="07991D78">
            <wp:extent cx="1244600" cy="482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rmadig_centra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53B86" w14:textId="08C4783D" w:rsidR="00D24847" w:rsidRPr="00FF37F8" w:rsidRDefault="00EA3A4B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>
        <w:rPr>
          <w:rFonts w:ascii="Times New Roman" w:eastAsia="Calibri" w:hAnsi="Times New Roman" w:cs="Times New Roman"/>
          <w:sz w:val="24"/>
          <w:szCs w:val="24"/>
          <w:lang w:val="es-CR"/>
        </w:rPr>
        <w:t>Adrián Pacheco Umaña</w:t>
      </w:r>
    </w:p>
    <w:p w14:paraId="2E797C04" w14:textId="79B309C8" w:rsidR="00D24847" w:rsidRPr="00FF37F8" w:rsidRDefault="00D24847" w:rsidP="00FF37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s-CR"/>
        </w:rPr>
      </w:pPr>
      <w:r w:rsidRPr="00FF37F8">
        <w:rPr>
          <w:rFonts w:ascii="Times New Roman" w:eastAsia="Calibri" w:hAnsi="Times New Roman" w:cs="Times New Roman"/>
          <w:sz w:val="24"/>
          <w:szCs w:val="24"/>
          <w:lang w:val="es-CR"/>
        </w:rPr>
        <w:t>Superintendente de Pensiones</w:t>
      </w:r>
      <w:r w:rsidR="00EA3A4B">
        <w:rPr>
          <w:rFonts w:ascii="Times New Roman" w:eastAsia="Calibri" w:hAnsi="Times New Roman" w:cs="Times New Roman"/>
          <w:sz w:val="24"/>
          <w:szCs w:val="24"/>
          <w:lang w:val="es-CR"/>
        </w:rPr>
        <w:t xml:space="preserve"> a.i.</w:t>
      </w:r>
    </w:p>
    <w:p w14:paraId="0597745B" w14:textId="77777777" w:rsidR="00D1240C" w:rsidRDefault="00D1240C" w:rsidP="002344FF">
      <w:pPr>
        <w:tabs>
          <w:tab w:val="left" w:pos="1056"/>
        </w:tabs>
        <w:rPr>
          <w:rFonts w:ascii="Times New Roman" w:hAnsi="Times New Roman" w:cs="Times New Roman"/>
          <w:sz w:val="24"/>
        </w:rPr>
      </w:pPr>
    </w:p>
    <w:p w14:paraId="1E5784CD" w14:textId="4577A7C6" w:rsidR="00703D77" w:rsidRPr="00FF37F8" w:rsidRDefault="00703D77" w:rsidP="002344FF">
      <w:pPr>
        <w:tabs>
          <w:tab w:val="left" w:pos="1056"/>
        </w:tabs>
        <w:rPr>
          <w:rFonts w:ascii="Times New Roman" w:hAnsi="Times New Roman" w:cs="Times New Roman"/>
          <w:sz w:val="24"/>
        </w:rPr>
      </w:pPr>
    </w:p>
    <w:sectPr w:rsidR="00703D77" w:rsidRPr="00FF37F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B511" w14:textId="77777777" w:rsidR="007C2F7F" w:rsidRDefault="007C2F7F" w:rsidP="00907FB5">
      <w:pPr>
        <w:spacing w:after="0" w:line="240" w:lineRule="auto"/>
      </w:pPr>
      <w:r>
        <w:separator/>
      </w:r>
    </w:p>
  </w:endnote>
  <w:endnote w:type="continuationSeparator" w:id="0">
    <w:p w14:paraId="0A422D5A" w14:textId="77777777" w:rsidR="007C2F7F" w:rsidRDefault="007C2F7F" w:rsidP="0090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7DE5" w14:textId="77777777" w:rsidR="00907FB5" w:rsidRDefault="002B47BE" w:rsidP="00907FB5">
    <w:pPr>
      <w:pStyle w:val="Piedepgina"/>
      <w:pBdr>
        <w:top w:val="single" w:sz="4" w:space="1" w:color="auto"/>
      </w:pBdr>
      <w:rPr>
        <w:i/>
        <w:szCs w:val="24"/>
      </w:rPr>
    </w:pPr>
    <w:r>
      <w:rPr>
        <w:i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7A0CB8" wp14:editId="7946C09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d3e4457ba13f2f4e005a415" descr="{&quot;HashCode&quot;:118623000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C215E4" w14:textId="77777777" w:rsidR="002B47BE" w:rsidRPr="002B47BE" w:rsidRDefault="002B47BE" w:rsidP="002B47B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B47B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A0CB8" id="_x0000_t202" coordsize="21600,21600" o:spt="202" path="m,l,21600r21600,l21600,xe">
              <v:stroke joinstyle="miter"/>
              <v:path gradientshapeok="t" o:connecttype="rect"/>
            </v:shapetype>
            <v:shape id="MSIPCMbd3e4457ba13f2f4e005a415" o:spid="_x0000_s1026" type="#_x0000_t202" alt="{&quot;HashCode&quot;:118623000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AC215E4" w14:textId="77777777" w:rsidR="002B47BE" w:rsidRPr="002B47BE" w:rsidRDefault="002B47BE" w:rsidP="002B47B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B47BE">
                      <w:rPr>
                        <w:rFonts w:ascii="Calibri" w:hAnsi="Calibri" w:cs="Calibri"/>
                        <w:color w:val="000000"/>
                        <w:sz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CEC476" w14:textId="77777777" w:rsidR="00907FB5" w:rsidRPr="00E84B2D" w:rsidRDefault="00E84B2D" w:rsidP="00E84B2D">
    <w:pPr>
      <w:pStyle w:val="Piedepgina"/>
      <w:pBdr>
        <w:top w:val="single" w:sz="4" w:space="1" w:color="auto"/>
      </w:pBdr>
      <w:rPr>
        <w:szCs w:val="24"/>
      </w:rPr>
    </w:pPr>
    <w:r>
      <w:rPr>
        <w:i/>
        <w:szCs w:val="24"/>
      </w:rPr>
      <w:t>Teléfonos 2243-4400</w:t>
    </w:r>
    <w:r>
      <w:rPr>
        <w:i/>
        <w:szCs w:val="24"/>
      </w:rPr>
      <w:tab/>
      <w:t>Fax 2243-4444</w:t>
    </w:r>
    <w:r>
      <w:rPr>
        <w:i/>
        <w:szCs w:val="24"/>
      </w:rPr>
      <w:tab/>
    </w:r>
    <w:hyperlink r:id="rId1" w:history="1">
      <w:r>
        <w:rPr>
          <w:rStyle w:val="Hipervnculo"/>
          <w:i/>
          <w:szCs w:val="24"/>
        </w:rPr>
        <w:t>supen@supen.fi.cr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C49D" w14:textId="77777777" w:rsidR="007C2F7F" w:rsidRDefault="007C2F7F" w:rsidP="00907FB5">
      <w:pPr>
        <w:spacing w:after="0" w:line="240" w:lineRule="auto"/>
      </w:pPr>
      <w:r>
        <w:separator/>
      </w:r>
    </w:p>
  </w:footnote>
  <w:footnote w:type="continuationSeparator" w:id="0">
    <w:p w14:paraId="4424DD89" w14:textId="77777777" w:rsidR="007C2F7F" w:rsidRDefault="007C2F7F" w:rsidP="009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B91A" w14:textId="77777777" w:rsidR="00907FB5" w:rsidRDefault="005D197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0EF3AB" wp14:editId="3EA6B3C6">
          <wp:simplePos x="0" y="0"/>
          <wp:positionH relativeFrom="margin">
            <wp:align>right</wp:align>
          </wp:positionH>
          <wp:positionV relativeFrom="paragraph">
            <wp:posOffset>-127389</wp:posOffset>
          </wp:positionV>
          <wp:extent cx="901700" cy="585470"/>
          <wp:effectExtent l="0" t="0" r="0" b="5080"/>
          <wp:wrapNone/>
          <wp:docPr id="11" name="Imagen 11" descr="Imagen de la pantalla de un celular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de la pantalla de un celular con letras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B5">
      <w:rPr>
        <w:noProof/>
        <w:lang w:val="es-CR" w:eastAsia="es-CR"/>
      </w:rPr>
      <w:drawing>
        <wp:anchor distT="0" distB="0" distL="114300" distR="114300" simplePos="0" relativeHeight="251656192" behindDoc="1" locked="0" layoutInCell="1" allowOverlap="1" wp14:anchorId="1C4B85CE" wp14:editId="1858DF45">
          <wp:simplePos x="0" y="0"/>
          <wp:positionH relativeFrom="page">
            <wp:posOffset>812165</wp:posOffset>
          </wp:positionH>
          <wp:positionV relativeFrom="page">
            <wp:posOffset>184150</wp:posOffset>
          </wp:positionV>
          <wp:extent cx="1945005" cy="899795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761"/>
    <w:multiLevelType w:val="hybridMultilevel"/>
    <w:tmpl w:val="91D4ED5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7D9"/>
    <w:multiLevelType w:val="hybridMultilevel"/>
    <w:tmpl w:val="50BA81B0"/>
    <w:lvl w:ilvl="0" w:tplc="958C8CF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31AEA"/>
    <w:multiLevelType w:val="hybridMultilevel"/>
    <w:tmpl w:val="93DCD1A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6276"/>
    <w:multiLevelType w:val="hybridMultilevel"/>
    <w:tmpl w:val="C6FE99A4"/>
    <w:lvl w:ilvl="0" w:tplc="B5FC016C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4BAE"/>
    <w:multiLevelType w:val="hybridMultilevel"/>
    <w:tmpl w:val="A94C5ACA"/>
    <w:lvl w:ilvl="0" w:tplc="63DEB95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13121"/>
    <w:multiLevelType w:val="hybridMultilevel"/>
    <w:tmpl w:val="94C4C85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07648"/>
    <w:multiLevelType w:val="hybridMultilevel"/>
    <w:tmpl w:val="0798BBA0"/>
    <w:lvl w:ilvl="0" w:tplc="140A0019">
      <w:start w:val="1"/>
      <w:numFmt w:val="lowerLetter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485DA2"/>
    <w:multiLevelType w:val="hybridMultilevel"/>
    <w:tmpl w:val="2D742898"/>
    <w:lvl w:ilvl="0" w:tplc="CE9822E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579C8"/>
    <w:multiLevelType w:val="hybridMultilevel"/>
    <w:tmpl w:val="5ADE557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77EF"/>
    <w:multiLevelType w:val="hybridMultilevel"/>
    <w:tmpl w:val="68DAD8F2"/>
    <w:lvl w:ilvl="0" w:tplc="3D601DD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E20BD"/>
    <w:multiLevelType w:val="hybridMultilevel"/>
    <w:tmpl w:val="47948F02"/>
    <w:lvl w:ilvl="0" w:tplc="140A0019">
      <w:start w:val="1"/>
      <w:numFmt w:val="lowerLetter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9B4A57"/>
    <w:multiLevelType w:val="hybridMultilevel"/>
    <w:tmpl w:val="4CD4DB2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A4F6C"/>
    <w:multiLevelType w:val="hybridMultilevel"/>
    <w:tmpl w:val="53766010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927"/>
    <w:multiLevelType w:val="hybridMultilevel"/>
    <w:tmpl w:val="CCDEE8F2"/>
    <w:lvl w:ilvl="0" w:tplc="35902D4E">
      <w:start w:val="1"/>
      <w:numFmt w:val="low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233C7C"/>
    <w:multiLevelType w:val="hybridMultilevel"/>
    <w:tmpl w:val="84F2D3B4"/>
    <w:lvl w:ilvl="0" w:tplc="598819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2F2C"/>
    <w:multiLevelType w:val="hybridMultilevel"/>
    <w:tmpl w:val="DF72B67A"/>
    <w:lvl w:ilvl="0" w:tplc="BDFC158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B28DD"/>
    <w:multiLevelType w:val="hybridMultilevel"/>
    <w:tmpl w:val="4BF44E4C"/>
    <w:lvl w:ilvl="0" w:tplc="2D8E258E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E525B"/>
    <w:multiLevelType w:val="hybridMultilevel"/>
    <w:tmpl w:val="FA924DF8"/>
    <w:lvl w:ilvl="0" w:tplc="7B34E20C">
      <w:start w:val="1"/>
      <w:numFmt w:val="lowerRoman"/>
      <w:lvlText w:val="%1."/>
      <w:lvlJc w:val="left"/>
      <w:pPr>
        <w:ind w:left="1440" w:hanging="720"/>
      </w:pPr>
      <w:rPr>
        <w:rFonts w:ascii="Times New Roman" w:eastAsia="Calibri" w:hAnsi="Times New Roman"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400C7F"/>
    <w:multiLevelType w:val="hybridMultilevel"/>
    <w:tmpl w:val="1F8CC99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8B3"/>
    <w:multiLevelType w:val="hybridMultilevel"/>
    <w:tmpl w:val="A6083404"/>
    <w:lvl w:ilvl="0" w:tplc="0D5E30B4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D2DB3"/>
    <w:multiLevelType w:val="hybridMultilevel"/>
    <w:tmpl w:val="CA2ECE9E"/>
    <w:lvl w:ilvl="0" w:tplc="140A0019">
      <w:start w:val="1"/>
      <w:numFmt w:val="lowerLetter"/>
      <w:lvlText w:val="%1.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B9435F"/>
    <w:multiLevelType w:val="hybridMultilevel"/>
    <w:tmpl w:val="4BD8EA5C"/>
    <w:lvl w:ilvl="0" w:tplc="8A0A3C80">
      <w:start w:val="1"/>
      <w:numFmt w:val="lowerRoman"/>
      <w:lvlText w:val="%1."/>
      <w:lvlJc w:val="right"/>
      <w:pPr>
        <w:ind w:left="1068" w:hanging="360"/>
      </w:pPr>
      <w:rPr>
        <w:rFonts w:ascii="Times New Roman" w:eastAsia="Calibri" w:hAnsi="Times New Roman" w:cs="Times New Roman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003F7A"/>
    <w:multiLevelType w:val="hybridMultilevel"/>
    <w:tmpl w:val="1E40CA66"/>
    <w:lvl w:ilvl="0" w:tplc="1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D94688"/>
    <w:multiLevelType w:val="hybridMultilevel"/>
    <w:tmpl w:val="7F8A53A8"/>
    <w:lvl w:ilvl="0" w:tplc="E256B4CC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91B0F"/>
    <w:multiLevelType w:val="hybridMultilevel"/>
    <w:tmpl w:val="6FF0EE7A"/>
    <w:lvl w:ilvl="0" w:tplc="140A001B">
      <w:start w:val="1"/>
      <w:numFmt w:val="lowerRoman"/>
      <w:lvlText w:val="%1."/>
      <w:lvlJc w:val="righ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72855C7"/>
    <w:multiLevelType w:val="hybridMultilevel"/>
    <w:tmpl w:val="4F9EB89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5434D"/>
    <w:multiLevelType w:val="hybridMultilevel"/>
    <w:tmpl w:val="0F06AE1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1519F"/>
    <w:multiLevelType w:val="hybridMultilevel"/>
    <w:tmpl w:val="0C72EE50"/>
    <w:lvl w:ilvl="0" w:tplc="6554D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894EAD"/>
    <w:multiLevelType w:val="hybridMultilevel"/>
    <w:tmpl w:val="937A5046"/>
    <w:lvl w:ilvl="0" w:tplc="12A243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D71327"/>
    <w:multiLevelType w:val="hybridMultilevel"/>
    <w:tmpl w:val="1374D03A"/>
    <w:lvl w:ilvl="0" w:tplc="F5A688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9C1"/>
    <w:multiLevelType w:val="hybridMultilevel"/>
    <w:tmpl w:val="3764413A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710D87"/>
    <w:multiLevelType w:val="hybridMultilevel"/>
    <w:tmpl w:val="292A7EDC"/>
    <w:lvl w:ilvl="0" w:tplc="140A0019">
      <w:start w:val="1"/>
      <w:numFmt w:val="lowerLetter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486305"/>
    <w:multiLevelType w:val="hybridMultilevel"/>
    <w:tmpl w:val="27960F0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15CA8"/>
    <w:multiLevelType w:val="hybridMultilevel"/>
    <w:tmpl w:val="E36AF3B6"/>
    <w:lvl w:ilvl="0" w:tplc="D59E985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BB195A"/>
    <w:multiLevelType w:val="hybridMultilevel"/>
    <w:tmpl w:val="FD52D738"/>
    <w:lvl w:ilvl="0" w:tplc="16FC2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510">
    <w:abstractNumId w:val="23"/>
  </w:num>
  <w:num w:numId="2" w16cid:durableId="1275674769">
    <w:abstractNumId w:val="32"/>
  </w:num>
  <w:num w:numId="3" w16cid:durableId="278799666">
    <w:abstractNumId w:val="34"/>
  </w:num>
  <w:num w:numId="4" w16cid:durableId="618683476">
    <w:abstractNumId w:val="4"/>
  </w:num>
  <w:num w:numId="5" w16cid:durableId="535628019">
    <w:abstractNumId w:val="18"/>
  </w:num>
  <w:num w:numId="6" w16cid:durableId="852649681">
    <w:abstractNumId w:val="9"/>
  </w:num>
  <w:num w:numId="7" w16cid:durableId="1095639077">
    <w:abstractNumId w:val="17"/>
  </w:num>
  <w:num w:numId="8" w16cid:durableId="371003881">
    <w:abstractNumId w:val="21"/>
  </w:num>
  <w:num w:numId="9" w16cid:durableId="510998754">
    <w:abstractNumId w:val="11"/>
  </w:num>
  <w:num w:numId="10" w16cid:durableId="229924398">
    <w:abstractNumId w:val="12"/>
  </w:num>
  <w:num w:numId="11" w16cid:durableId="1710060243">
    <w:abstractNumId w:val="16"/>
  </w:num>
  <w:num w:numId="12" w16cid:durableId="659966295">
    <w:abstractNumId w:val="28"/>
  </w:num>
  <w:num w:numId="13" w16cid:durableId="426850390">
    <w:abstractNumId w:val="27"/>
  </w:num>
  <w:num w:numId="14" w16cid:durableId="1468159702">
    <w:abstractNumId w:val="10"/>
  </w:num>
  <w:num w:numId="15" w16cid:durableId="837187772">
    <w:abstractNumId w:val="7"/>
  </w:num>
  <w:num w:numId="16" w16cid:durableId="1350989720">
    <w:abstractNumId w:val="8"/>
  </w:num>
  <w:num w:numId="17" w16cid:durableId="1571766658">
    <w:abstractNumId w:val="0"/>
  </w:num>
  <w:num w:numId="18" w16cid:durableId="1794666313">
    <w:abstractNumId w:val="15"/>
  </w:num>
  <w:num w:numId="19" w16cid:durableId="1504124207">
    <w:abstractNumId w:val="20"/>
  </w:num>
  <w:num w:numId="20" w16cid:durableId="462886252">
    <w:abstractNumId w:val="24"/>
  </w:num>
  <w:num w:numId="21" w16cid:durableId="354500925">
    <w:abstractNumId w:val="22"/>
  </w:num>
  <w:num w:numId="22" w16cid:durableId="698746391">
    <w:abstractNumId w:val="14"/>
  </w:num>
  <w:num w:numId="23" w16cid:durableId="317150142">
    <w:abstractNumId w:val="6"/>
  </w:num>
  <w:num w:numId="24" w16cid:durableId="1942031764">
    <w:abstractNumId w:val="3"/>
  </w:num>
  <w:num w:numId="25" w16cid:durableId="1559245875">
    <w:abstractNumId w:val="31"/>
  </w:num>
  <w:num w:numId="26" w16cid:durableId="936600083">
    <w:abstractNumId w:val="5"/>
  </w:num>
  <w:num w:numId="27" w16cid:durableId="926577721">
    <w:abstractNumId w:val="29"/>
  </w:num>
  <w:num w:numId="28" w16cid:durableId="279190218">
    <w:abstractNumId w:val="30"/>
  </w:num>
  <w:num w:numId="29" w16cid:durableId="1581404006">
    <w:abstractNumId w:val="19"/>
  </w:num>
  <w:num w:numId="30" w16cid:durableId="1717701738">
    <w:abstractNumId w:val="26"/>
  </w:num>
  <w:num w:numId="31" w16cid:durableId="489709185">
    <w:abstractNumId w:val="2"/>
  </w:num>
  <w:num w:numId="32" w16cid:durableId="36323294">
    <w:abstractNumId w:val="33"/>
  </w:num>
  <w:num w:numId="33" w16cid:durableId="1151556260">
    <w:abstractNumId w:val="13"/>
  </w:num>
  <w:num w:numId="34" w16cid:durableId="1707558254">
    <w:abstractNumId w:val="1"/>
  </w:num>
  <w:num w:numId="35" w16cid:durableId="1956260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70"/>
    <w:rsid w:val="00001C83"/>
    <w:rsid w:val="000032CA"/>
    <w:rsid w:val="00005DDC"/>
    <w:rsid w:val="000170B7"/>
    <w:rsid w:val="00035BF9"/>
    <w:rsid w:val="00037A29"/>
    <w:rsid w:val="00046171"/>
    <w:rsid w:val="0005189C"/>
    <w:rsid w:val="00053690"/>
    <w:rsid w:val="00053FE8"/>
    <w:rsid w:val="00054063"/>
    <w:rsid w:val="000574D5"/>
    <w:rsid w:val="0006373B"/>
    <w:rsid w:val="00063FD5"/>
    <w:rsid w:val="00066833"/>
    <w:rsid w:val="0007019B"/>
    <w:rsid w:val="000711EA"/>
    <w:rsid w:val="00071568"/>
    <w:rsid w:val="00073AA4"/>
    <w:rsid w:val="00073D70"/>
    <w:rsid w:val="00074BC5"/>
    <w:rsid w:val="000A1B88"/>
    <w:rsid w:val="000B36D8"/>
    <w:rsid w:val="000C7855"/>
    <w:rsid w:val="000D2FEE"/>
    <w:rsid w:val="000D5007"/>
    <w:rsid w:val="000E646E"/>
    <w:rsid w:val="000F450E"/>
    <w:rsid w:val="000F5C55"/>
    <w:rsid w:val="000F61B1"/>
    <w:rsid w:val="00105E90"/>
    <w:rsid w:val="001123E6"/>
    <w:rsid w:val="00113DDA"/>
    <w:rsid w:val="0011494D"/>
    <w:rsid w:val="001152FF"/>
    <w:rsid w:val="00115EFE"/>
    <w:rsid w:val="001268DE"/>
    <w:rsid w:val="00140A96"/>
    <w:rsid w:val="00164A7C"/>
    <w:rsid w:val="00182148"/>
    <w:rsid w:val="00190D85"/>
    <w:rsid w:val="00192782"/>
    <w:rsid w:val="00193C4F"/>
    <w:rsid w:val="001A1F9E"/>
    <w:rsid w:val="001A230A"/>
    <w:rsid w:val="001B0C13"/>
    <w:rsid w:val="001B2DA2"/>
    <w:rsid w:val="001B603F"/>
    <w:rsid w:val="001B776E"/>
    <w:rsid w:val="001B7828"/>
    <w:rsid w:val="001D0924"/>
    <w:rsid w:val="001D1B76"/>
    <w:rsid w:val="001D3743"/>
    <w:rsid w:val="001E308D"/>
    <w:rsid w:val="001E458F"/>
    <w:rsid w:val="001E5423"/>
    <w:rsid w:val="00201865"/>
    <w:rsid w:val="00201B05"/>
    <w:rsid w:val="002076EC"/>
    <w:rsid w:val="0021312B"/>
    <w:rsid w:val="00217246"/>
    <w:rsid w:val="00217A03"/>
    <w:rsid w:val="00234365"/>
    <w:rsid w:val="002344FF"/>
    <w:rsid w:val="00275B05"/>
    <w:rsid w:val="002764C1"/>
    <w:rsid w:val="0029676D"/>
    <w:rsid w:val="00297C96"/>
    <w:rsid w:val="002A30A2"/>
    <w:rsid w:val="002B2782"/>
    <w:rsid w:val="002B47BE"/>
    <w:rsid w:val="002B6F4D"/>
    <w:rsid w:val="002C43B3"/>
    <w:rsid w:val="002D049D"/>
    <w:rsid w:val="002D6D33"/>
    <w:rsid w:val="00301C5C"/>
    <w:rsid w:val="003143F8"/>
    <w:rsid w:val="003158C9"/>
    <w:rsid w:val="00325264"/>
    <w:rsid w:val="00331BD1"/>
    <w:rsid w:val="00333395"/>
    <w:rsid w:val="003447E7"/>
    <w:rsid w:val="003453CA"/>
    <w:rsid w:val="00354DB9"/>
    <w:rsid w:val="003566F2"/>
    <w:rsid w:val="00362792"/>
    <w:rsid w:val="0036300D"/>
    <w:rsid w:val="00364753"/>
    <w:rsid w:val="00372B62"/>
    <w:rsid w:val="00372CD2"/>
    <w:rsid w:val="0037488D"/>
    <w:rsid w:val="00374992"/>
    <w:rsid w:val="0037638D"/>
    <w:rsid w:val="00380463"/>
    <w:rsid w:val="00384444"/>
    <w:rsid w:val="003939A4"/>
    <w:rsid w:val="00395D14"/>
    <w:rsid w:val="0039734A"/>
    <w:rsid w:val="003C41D8"/>
    <w:rsid w:val="003C4E98"/>
    <w:rsid w:val="003D4367"/>
    <w:rsid w:val="003D45D1"/>
    <w:rsid w:val="003E57CB"/>
    <w:rsid w:val="003E6098"/>
    <w:rsid w:val="003F5795"/>
    <w:rsid w:val="003F7FD9"/>
    <w:rsid w:val="00407CC5"/>
    <w:rsid w:val="00410D07"/>
    <w:rsid w:val="00415698"/>
    <w:rsid w:val="00420FB5"/>
    <w:rsid w:val="004214E5"/>
    <w:rsid w:val="00424CA1"/>
    <w:rsid w:val="00427255"/>
    <w:rsid w:val="00433935"/>
    <w:rsid w:val="00435B4B"/>
    <w:rsid w:val="00437EEF"/>
    <w:rsid w:val="00441128"/>
    <w:rsid w:val="00446458"/>
    <w:rsid w:val="00447FBC"/>
    <w:rsid w:val="00460355"/>
    <w:rsid w:val="004756B0"/>
    <w:rsid w:val="00480D81"/>
    <w:rsid w:val="004841ED"/>
    <w:rsid w:val="00490D9B"/>
    <w:rsid w:val="004939B5"/>
    <w:rsid w:val="00497712"/>
    <w:rsid w:val="004A04B7"/>
    <w:rsid w:val="004A1486"/>
    <w:rsid w:val="004A4407"/>
    <w:rsid w:val="004A5207"/>
    <w:rsid w:val="004B4C1F"/>
    <w:rsid w:val="004D08D6"/>
    <w:rsid w:val="004D5917"/>
    <w:rsid w:val="00506BD6"/>
    <w:rsid w:val="005163A8"/>
    <w:rsid w:val="00516837"/>
    <w:rsid w:val="00544F01"/>
    <w:rsid w:val="00550CF8"/>
    <w:rsid w:val="00550FEF"/>
    <w:rsid w:val="00551643"/>
    <w:rsid w:val="005616A8"/>
    <w:rsid w:val="00562052"/>
    <w:rsid w:val="0057106A"/>
    <w:rsid w:val="005761C4"/>
    <w:rsid w:val="0059186B"/>
    <w:rsid w:val="00595CC0"/>
    <w:rsid w:val="005A02EF"/>
    <w:rsid w:val="005B20A4"/>
    <w:rsid w:val="005B2CC6"/>
    <w:rsid w:val="005B3BD3"/>
    <w:rsid w:val="005B4873"/>
    <w:rsid w:val="005B6084"/>
    <w:rsid w:val="005B6646"/>
    <w:rsid w:val="005B6A12"/>
    <w:rsid w:val="005C08F0"/>
    <w:rsid w:val="005C4413"/>
    <w:rsid w:val="005D1970"/>
    <w:rsid w:val="005D6981"/>
    <w:rsid w:val="005D76ED"/>
    <w:rsid w:val="005E6376"/>
    <w:rsid w:val="005F3D88"/>
    <w:rsid w:val="005F435E"/>
    <w:rsid w:val="00600D86"/>
    <w:rsid w:val="00611535"/>
    <w:rsid w:val="0061271E"/>
    <w:rsid w:val="00616706"/>
    <w:rsid w:val="00617A9E"/>
    <w:rsid w:val="00617F20"/>
    <w:rsid w:val="00622064"/>
    <w:rsid w:val="006220B1"/>
    <w:rsid w:val="00634BC6"/>
    <w:rsid w:val="006351FE"/>
    <w:rsid w:val="00637A92"/>
    <w:rsid w:val="00646C58"/>
    <w:rsid w:val="00647B5E"/>
    <w:rsid w:val="0065064F"/>
    <w:rsid w:val="0065277B"/>
    <w:rsid w:val="00663D44"/>
    <w:rsid w:val="006648B8"/>
    <w:rsid w:val="00666825"/>
    <w:rsid w:val="00681B22"/>
    <w:rsid w:val="006841B9"/>
    <w:rsid w:val="00685518"/>
    <w:rsid w:val="006902CF"/>
    <w:rsid w:val="006A0222"/>
    <w:rsid w:val="006A1302"/>
    <w:rsid w:val="006A192D"/>
    <w:rsid w:val="006A27C9"/>
    <w:rsid w:val="006A76A5"/>
    <w:rsid w:val="006B57B2"/>
    <w:rsid w:val="006C3BD1"/>
    <w:rsid w:val="006E2786"/>
    <w:rsid w:val="006E3735"/>
    <w:rsid w:val="006E37F7"/>
    <w:rsid w:val="006F2BA4"/>
    <w:rsid w:val="006F3DB6"/>
    <w:rsid w:val="00703D77"/>
    <w:rsid w:val="00711DCE"/>
    <w:rsid w:val="0071352D"/>
    <w:rsid w:val="00716D6C"/>
    <w:rsid w:val="00723700"/>
    <w:rsid w:val="00724909"/>
    <w:rsid w:val="00760410"/>
    <w:rsid w:val="0076365F"/>
    <w:rsid w:val="00770A94"/>
    <w:rsid w:val="007725FB"/>
    <w:rsid w:val="00781C2E"/>
    <w:rsid w:val="00783E19"/>
    <w:rsid w:val="0078412A"/>
    <w:rsid w:val="00784613"/>
    <w:rsid w:val="00784F17"/>
    <w:rsid w:val="00787661"/>
    <w:rsid w:val="007901D1"/>
    <w:rsid w:val="00790678"/>
    <w:rsid w:val="00791C09"/>
    <w:rsid w:val="007929A3"/>
    <w:rsid w:val="007949C1"/>
    <w:rsid w:val="007A4D42"/>
    <w:rsid w:val="007A7013"/>
    <w:rsid w:val="007C2F7F"/>
    <w:rsid w:val="007C3590"/>
    <w:rsid w:val="007C3F6B"/>
    <w:rsid w:val="007D0230"/>
    <w:rsid w:val="007E0504"/>
    <w:rsid w:val="007E1E25"/>
    <w:rsid w:val="007E37E7"/>
    <w:rsid w:val="007E4586"/>
    <w:rsid w:val="007F0FDE"/>
    <w:rsid w:val="007F233B"/>
    <w:rsid w:val="00801F6D"/>
    <w:rsid w:val="00806722"/>
    <w:rsid w:val="00821045"/>
    <w:rsid w:val="00843117"/>
    <w:rsid w:val="00843E8D"/>
    <w:rsid w:val="00846D60"/>
    <w:rsid w:val="00885218"/>
    <w:rsid w:val="008853EB"/>
    <w:rsid w:val="00890E23"/>
    <w:rsid w:val="00891DE3"/>
    <w:rsid w:val="008A221B"/>
    <w:rsid w:val="008A3CFB"/>
    <w:rsid w:val="008A4C97"/>
    <w:rsid w:val="008A4DC1"/>
    <w:rsid w:val="008B3A2E"/>
    <w:rsid w:val="008C23B5"/>
    <w:rsid w:val="008C6948"/>
    <w:rsid w:val="008C7973"/>
    <w:rsid w:val="008D0FA0"/>
    <w:rsid w:val="008D2CA4"/>
    <w:rsid w:val="008D5543"/>
    <w:rsid w:val="008E23D9"/>
    <w:rsid w:val="008E6D5E"/>
    <w:rsid w:val="008F162B"/>
    <w:rsid w:val="008F2B27"/>
    <w:rsid w:val="008F7406"/>
    <w:rsid w:val="009063C7"/>
    <w:rsid w:val="00907FB5"/>
    <w:rsid w:val="00910A79"/>
    <w:rsid w:val="009145CC"/>
    <w:rsid w:val="00914D86"/>
    <w:rsid w:val="009224DF"/>
    <w:rsid w:val="009237F5"/>
    <w:rsid w:val="00932AFD"/>
    <w:rsid w:val="00942262"/>
    <w:rsid w:val="009521C1"/>
    <w:rsid w:val="009660C2"/>
    <w:rsid w:val="00967558"/>
    <w:rsid w:val="00970E3F"/>
    <w:rsid w:val="00971E97"/>
    <w:rsid w:val="00972DAB"/>
    <w:rsid w:val="00976BBC"/>
    <w:rsid w:val="00983650"/>
    <w:rsid w:val="009860B0"/>
    <w:rsid w:val="00990E0C"/>
    <w:rsid w:val="009912B7"/>
    <w:rsid w:val="009957B0"/>
    <w:rsid w:val="009A5BBB"/>
    <w:rsid w:val="009C0902"/>
    <w:rsid w:val="009C219E"/>
    <w:rsid w:val="009D1523"/>
    <w:rsid w:val="009D44A8"/>
    <w:rsid w:val="009D56D4"/>
    <w:rsid w:val="009E4548"/>
    <w:rsid w:val="009F2E03"/>
    <w:rsid w:val="00A05F8B"/>
    <w:rsid w:val="00A07E8A"/>
    <w:rsid w:val="00A156EE"/>
    <w:rsid w:val="00A17B1F"/>
    <w:rsid w:val="00A22E7D"/>
    <w:rsid w:val="00A27E45"/>
    <w:rsid w:val="00A326C4"/>
    <w:rsid w:val="00A34CE4"/>
    <w:rsid w:val="00A35AA9"/>
    <w:rsid w:val="00A37949"/>
    <w:rsid w:val="00A52D60"/>
    <w:rsid w:val="00A64D84"/>
    <w:rsid w:val="00A65F7D"/>
    <w:rsid w:val="00A714C4"/>
    <w:rsid w:val="00A75108"/>
    <w:rsid w:val="00A75B85"/>
    <w:rsid w:val="00A80E7E"/>
    <w:rsid w:val="00A84756"/>
    <w:rsid w:val="00A849C9"/>
    <w:rsid w:val="00A87FDF"/>
    <w:rsid w:val="00A97CEF"/>
    <w:rsid w:val="00A97F96"/>
    <w:rsid w:val="00AA1CE4"/>
    <w:rsid w:val="00AB126B"/>
    <w:rsid w:val="00AC49ED"/>
    <w:rsid w:val="00AC5351"/>
    <w:rsid w:val="00AC7DC2"/>
    <w:rsid w:val="00AE0E78"/>
    <w:rsid w:val="00AE2DDF"/>
    <w:rsid w:val="00AE6FCF"/>
    <w:rsid w:val="00B05CF2"/>
    <w:rsid w:val="00B06605"/>
    <w:rsid w:val="00B107FF"/>
    <w:rsid w:val="00B13D85"/>
    <w:rsid w:val="00B24ECC"/>
    <w:rsid w:val="00B34428"/>
    <w:rsid w:val="00B34D64"/>
    <w:rsid w:val="00B41BAA"/>
    <w:rsid w:val="00B42A1A"/>
    <w:rsid w:val="00B46CA5"/>
    <w:rsid w:val="00B53417"/>
    <w:rsid w:val="00B655AB"/>
    <w:rsid w:val="00B74E5B"/>
    <w:rsid w:val="00B83254"/>
    <w:rsid w:val="00B845D2"/>
    <w:rsid w:val="00B941F2"/>
    <w:rsid w:val="00BA6D0D"/>
    <w:rsid w:val="00BB095C"/>
    <w:rsid w:val="00BB3473"/>
    <w:rsid w:val="00BB3D42"/>
    <w:rsid w:val="00BB3DCF"/>
    <w:rsid w:val="00BB4BBF"/>
    <w:rsid w:val="00BD7914"/>
    <w:rsid w:val="00BE3BED"/>
    <w:rsid w:val="00BE402D"/>
    <w:rsid w:val="00BF0B37"/>
    <w:rsid w:val="00BF45DE"/>
    <w:rsid w:val="00C03DB1"/>
    <w:rsid w:val="00C10F40"/>
    <w:rsid w:val="00C11A73"/>
    <w:rsid w:val="00C20B3B"/>
    <w:rsid w:val="00C22519"/>
    <w:rsid w:val="00C22B3E"/>
    <w:rsid w:val="00C322AB"/>
    <w:rsid w:val="00C419FC"/>
    <w:rsid w:val="00C519AC"/>
    <w:rsid w:val="00C54711"/>
    <w:rsid w:val="00C61538"/>
    <w:rsid w:val="00C62D9C"/>
    <w:rsid w:val="00C63845"/>
    <w:rsid w:val="00C76DFD"/>
    <w:rsid w:val="00C822ED"/>
    <w:rsid w:val="00C8641C"/>
    <w:rsid w:val="00C91DA3"/>
    <w:rsid w:val="00CA5C43"/>
    <w:rsid w:val="00CC2F8C"/>
    <w:rsid w:val="00CC5BE1"/>
    <w:rsid w:val="00CC5D2F"/>
    <w:rsid w:val="00CD7F43"/>
    <w:rsid w:val="00CE0369"/>
    <w:rsid w:val="00CE3B4E"/>
    <w:rsid w:val="00CE6F0D"/>
    <w:rsid w:val="00D013C1"/>
    <w:rsid w:val="00D0256C"/>
    <w:rsid w:val="00D122B7"/>
    <w:rsid w:val="00D1240C"/>
    <w:rsid w:val="00D159C5"/>
    <w:rsid w:val="00D17AAA"/>
    <w:rsid w:val="00D23448"/>
    <w:rsid w:val="00D24292"/>
    <w:rsid w:val="00D24847"/>
    <w:rsid w:val="00D34DAC"/>
    <w:rsid w:val="00D35239"/>
    <w:rsid w:val="00D42775"/>
    <w:rsid w:val="00D4626F"/>
    <w:rsid w:val="00D519EB"/>
    <w:rsid w:val="00D520B9"/>
    <w:rsid w:val="00D52E84"/>
    <w:rsid w:val="00D5615D"/>
    <w:rsid w:val="00D576B0"/>
    <w:rsid w:val="00D71E78"/>
    <w:rsid w:val="00D90A18"/>
    <w:rsid w:val="00DA2744"/>
    <w:rsid w:val="00DA2C49"/>
    <w:rsid w:val="00DA4BBD"/>
    <w:rsid w:val="00DA4EE4"/>
    <w:rsid w:val="00DA7252"/>
    <w:rsid w:val="00DB4C62"/>
    <w:rsid w:val="00DC08A2"/>
    <w:rsid w:val="00DC4FB0"/>
    <w:rsid w:val="00DD01B5"/>
    <w:rsid w:val="00DD5EE2"/>
    <w:rsid w:val="00DD73B1"/>
    <w:rsid w:val="00DE45AB"/>
    <w:rsid w:val="00DE5947"/>
    <w:rsid w:val="00DF3F8B"/>
    <w:rsid w:val="00DF6466"/>
    <w:rsid w:val="00DF72B9"/>
    <w:rsid w:val="00E00955"/>
    <w:rsid w:val="00E02017"/>
    <w:rsid w:val="00E04A32"/>
    <w:rsid w:val="00E112A2"/>
    <w:rsid w:val="00E11B61"/>
    <w:rsid w:val="00E16EF5"/>
    <w:rsid w:val="00E21572"/>
    <w:rsid w:val="00E274BE"/>
    <w:rsid w:val="00E321FD"/>
    <w:rsid w:val="00E363AC"/>
    <w:rsid w:val="00E435B0"/>
    <w:rsid w:val="00E47CCD"/>
    <w:rsid w:val="00E51EE7"/>
    <w:rsid w:val="00E54D71"/>
    <w:rsid w:val="00E55E91"/>
    <w:rsid w:val="00E563CB"/>
    <w:rsid w:val="00E6085D"/>
    <w:rsid w:val="00E62A82"/>
    <w:rsid w:val="00E62D14"/>
    <w:rsid w:val="00E659B2"/>
    <w:rsid w:val="00E73B8B"/>
    <w:rsid w:val="00E84B2D"/>
    <w:rsid w:val="00E874FE"/>
    <w:rsid w:val="00E91B17"/>
    <w:rsid w:val="00E94570"/>
    <w:rsid w:val="00EA0973"/>
    <w:rsid w:val="00EA0A58"/>
    <w:rsid w:val="00EA2488"/>
    <w:rsid w:val="00EA3A4B"/>
    <w:rsid w:val="00EA43F1"/>
    <w:rsid w:val="00EB3E75"/>
    <w:rsid w:val="00EB78CD"/>
    <w:rsid w:val="00EC39C5"/>
    <w:rsid w:val="00EC3E42"/>
    <w:rsid w:val="00EC44FF"/>
    <w:rsid w:val="00EC6740"/>
    <w:rsid w:val="00ED01FA"/>
    <w:rsid w:val="00ED5CB0"/>
    <w:rsid w:val="00EE148C"/>
    <w:rsid w:val="00EF1DFB"/>
    <w:rsid w:val="00EF23F0"/>
    <w:rsid w:val="00F16B6F"/>
    <w:rsid w:val="00F2401E"/>
    <w:rsid w:val="00F24917"/>
    <w:rsid w:val="00F2662F"/>
    <w:rsid w:val="00F3738D"/>
    <w:rsid w:val="00F40C65"/>
    <w:rsid w:val="00F429B7"/>
    <w:rsid w:val="00F435DB"/>
    <w:rsid w:val="00F46100"/>
    <w:rsid w:val="00F527B6"/>
    <w:rsid w:val="00F540A2"/>
    <w:rsid w:val="00F66E16"/>
    <w:rsid w:val="00F722CB"/>
    <w:rsid w:val="00F755AE"/>
    <w:rsid w:val="00F822E4"/>
    <w:rsid w:val="00F82EAF"/>
    <w:rsid w:val="00F90993"/>
    <w:rsid w:val="00F927C4"/>
    <w:rsid w:val="00F972F1"/>
    <w:rsid w:val="00FA2A4A"/>
    <w:rsid w:val="00FA3A09"/>
    <w:rsid w:val="00FC3541"/>
    <w:rsid w:val="00FC7946"/>
    <w:rsid w:val="00FD09AD"/>
    <w:rsid w:val="00FD2871"/>
    <w:rsid w:val="00FD2946"/>
    <w:rsid w:val="00FD4241"/>
    <w:rsid w:val="00FF37F8"/>
    <w:rsid w:val="00FF4F9A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06944"/>
  <w15:chartTrackingRefBased/>
  <w15:docId w15:val="{903E949A-AC49-4EB1-B067-734727C6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7FB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7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FB5"/>
    <w:rPr>
      <w:lang w:val="es-ES"/>
    </w:rPr>
  </w:style>
  <w:style w:type="character" w:styleId="Hipervnculo">
    <w:name w:val="Hyperlink"/>
    <w:basedOn w:val="Fuentedeprrafopredeter"/>
    <w:rsid w:val="00907FB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E2DDF"/>
    <w:pPr>
      <w:ind w:left="720"/>
      <w:contextualSpacing/>
    </w:pPr>
  </w:style>
  <w:style w:type="table" w:customStyle="1" w:styleId="Tablaconcuadrculaclara1">
    <w:name w:val="Tabla con cuadrícula clara1"/>
    <w:basedOn w:val="Tablanormal"/>
    <w:uiPriority w:val="40"/>
    <w:rsid w:val="004214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E1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4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48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48C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en@supen.fi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Usuarios\ariasgj\Desktop\Plantillas%20personalizadas%20de%20Office\Hoja%20SUPEN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F7ED7A8DC944786D775C5860668D9" ma:contentTypeVersion="7" ma:contentTypeDescription="Crear nuevo documento." ma:contentTypeScope="" ma:versionID="18b833d4a4568477dbe65e6381625d28">
  <xsd:schema xmlns:xsd="http://www.w3.org/2001/XMLSchema" xmlns:xs="http://www.w3.org/2001/XMLSchema" xmlns:p="http://schemas.microsoft.com/office/2006/metadata/properties" xmlns:ns2="6c2d2cf2-004b-47d1-b91d-f9a62dc21bae" targetNamespace="http://schemas.microsoft.com/office/2006/metadata/properties" ma:root="true" ma:fieldsID="fc25ecc9a4813553ccaeeae26d5c5c19" ns2:_="">
    <xsd:import namespace="6c2d2cf2-004b-47d1-b91d-f9a62dc21bae"/>
    <xsd:element name="properties">
      <xsd:complexType>
        <xsd:sequence>
          <xsd:element name="documentManagement">
            <xsd:complexType>
              <xsd:all>
                <xsd:element ref="ns2:Evento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d2cf2-004b-47d1-b91d-f9a62dc21bae" elementFormDefault="qualified">
    <xsd:import namespace="http://schemas.microsoft.com/office/2006/documentManagement/types"/>
    <xsd:import namespace="http://schemas.microsoft.com/office/infopath/2007/PartnerControls"/>
    <xsd:element name="Evento" ma:index="8" nillable="true" ma:displayName="Evento" ma:format="Hyperlink" ma:internalName="Event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o xmlns="6c2d2cf2-004b-47d1-b91d-f9a62dc21bae">
      <Url>https://si.supen.fi.cr/Tramites/Tram_Detalle_Evento.aspx?evento=2023028276&amp;op=3</Url>
      <Description>2023028276</Description>
    </Evento>
  </documentManagement>
</p:properties>
</file>

<file path=customXml/itemProps1.xml><?xml version="1.0" encoding="utf-8"?>
<ds:datastoreItem xmlns:ds="http://schemas.openxmlformats.org/officeDocument/2006/customXml" ds:itemID="{BC341913-7780-409F-BD76-D0E2EF96E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DC6A9-3DAC-4814-A166-48F02425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d2cf2-004b-47d1-b91d-f9a62dc21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CDF62-DE2C-475D-BE54-81B647443299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6c2d2cf2-004b-47d1-b91d-f9a62dc21ba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SUPEN.dotm</Template>
  <TotalTime>2</TotalTime>
  <Pages>9</Pages>
  <Words>2174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2023SPA264.docx</dc:title>
  <dc:subject/>
  <dc:creator>ARIAS GONZALEZ JOSE EZEQUIEL</dc:creator>
  <cp:keywords/>
  <dc:description/>
  <cp:lastModifiedBy>RODRIGUEZ BOVIERI GIANFRANCO</cp:lastModifiedBy>
  <cp:revision>2</cp:revision>
  <dcterms:created xsi:type="dcterms:W3CDTF">2023-07-28T19:36:00Z</dcterms:created>
  <dcterms:modified xsi:type="dcterms:W3CDTF">2023-07-28T19:36:00Z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0x010100598F7ED7A8DC944786D775C5860668D9</vt:lpwstr>
  </property>
  <property fmtid="{D5CDD505-2E9C-101B-9397-08002B2CF9AE}" pid="3" name="MediaServiceImageTags">
    <vt:lpwstr/>
  </property>
  <property fmtid="{D5CDD505-2E9C-101B-9397-08002B2CF9AE}" pid="4" name="MSIP_Label_b8b4be34-365a-4a68-b9fb-75c1b6874315_Enabled">
    <vt:lpwstr>true</vt:lpwstr>
  </property>
  <property fmtid="{D5CDD505-2E9C-101B-9397-08002B2CF9AE}" pid="5" name="MSIP_Label_b8b4be34-365a-4a68-b9fb-75c1b6874315_SetDate">
    <vt:lpwstr>2023-07-12T21:51:11Z</vt:lpwstr>
  </property>
  <property fmtid="{D5CDD505-2E9C-101B-9397-08002B2CF9AE}" pid="6" name="MSIP_Label_b8b4be34-365a-4a68-b9fb-75c1b6874315_Method">
    <vt:lpwstr>Standard</vt:lpwstr>
  </property>
  <property fmtid="{D5CDD505-2E9C-101B-9397-08002B2CF9AE}" pid="7" name="MSIP_Label_b8b4be34-365a-4a68-b9fb-75c1b6874315_Name">
    <vt:lpwstr>b8b4be34-365a-4a68-b9fb-75c1b6874315</vt:lpwstr>
  </property>
  <property fmtid="{D5CDD505-2E9C-101B-9397-08002B2CF9AE}" pid="8" name="MSIP_Label_b8b4be34-365a-4a68-b9fb-75c1b6874315_SiteId">
    <vt:lpwstr>618d0a45-25a6-4618-9f80-8f70a435ee52</vt:lpwstr>
  </property>
  <property fmtid="{D5CDD505-2E9C-101B-9397-08002B2CF9AE}" pid="9" name="MSIP_Label_b8b4be34-365a-4a68-b9fb-75c1b6874315_ActionId">
    <vt:lpwstr>92887c12-30c8-4f2b-9b2b-897b57363c0a</vt:lpwstr>
  </property>
  <property fmtid="{D5CDD505-2E9C-101B-9397-08002B2CF9AE}" pid="10" name="MSIP_Label_b8b4be34-365a-4a68-b9fb-75c1b6874315_ContentBits">
    <vt:lpwstr>2</vt:lpwstr>
  </property>
</Properties>
</file>