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D550" w14:textId="035ACEF5" w:rsidR="00A4778B" w:rsidRPr="007C71BE" w:rsidRDefault="005B6AD1" w:rsidP="00AF7580">
      <w:pPr>
        <w:pStyle w:val="SupenEncabezado"/>
        <w:spacing w:line="276" w:lineRule="auto"/>
        <w:rPr>
          <w:rStyle w:val="SupenEncabezadoCar"/>
          <w:b/>
          <w:bCs/>
        </w:rPr>
      </w:pPr>
      <w:sdt>
        <w:sdtPr>
          <w:rPr>
            <w:rStyle w:val="SupenEncabezadoCar"/>
            <w:b/>
            <w:bCs/>
          </w:rPr>
          <w:alias w:val="Código"/>
          <w:tag w:val="A"/>
          <w:id w:val="1991359848"/>
          <w:lock w:val="sdtLocked"/>
          <w:placeholder>
            <w:docPart w:val="7F40268D98014C93867E1B80A6A34486"/>
          </w:placeholder>
          <w:text/>
        </w:sdtPr>
        <w:sdtEndPr>
          <w:rPr>
            <w:rStyle w:val="SupenEncabezadoCar"/>
          </w:rPr>
        </w:sdtEndPr>
        <w:sdtContent>
          <w:r w:rsidR="00131200" w:rsidRPr="00131200">
            <w:rPr>
              <w:rStyle w:val="SupenEncabezadoCar"/>
              <w:b/>
              <w:bCs/>
            </w:rPr>
            <w:t>SP-A-263-2023</w:t>
          </w:r>
        </w:sdtContent>
      </w:sdt>
    </w:p>
    <w:p w14:paraId="4A460E8A" w14:textId="77777777" w:rsidR="003262D5" w:rsidRPr="007C71BE" w:rsidRDefault="003262D5" w:rsidP="00AF7580">
      <w:pPr>
        <w:spacing w:after="160" w:line="276" w:lineRule="auto"/>
        <w:rPr>
          <w:b/>
          <w:bCs/>
        </w:rPr>
      </w:pPr>
    </w:p>
    <w:p w14:paraId="7CA8B1F9" w14:textId="35C4395F" w:rsidR="00291B81" w:rsidRDefault="00291B81" w:rsidP="00AF7580">
      <w:pPr>
        <w:spacing w:line="276" w:lineRule="auto"/>
        <w:jc w:val="both"/>
      </w:pPr>
      <w:r w:rsidRPr="00BD0C19">
        <w:t>Superintendencia de Pensiones, al ser la</w:t>
      </w:r>
      <w:r w:rsidR="005E0099">
        <w:t xml:space="preserve">s </w:t>
      </w:r>
      <w:r w:rsidR="00AF4A84">
        <w:t>doce</w:t>
      </w:r>
      <w:r w:rsidR="005E0099">
        <w:t xml:space="preserve"> </w:t>
      </w:r>
      <w:r w:rsidRPr="00BD0C19">
        <w:t xml:space="preserve">horas </w:t>
      </w:r>
      <w:r w:rsidR="001D68A9">
        <w:t>d</w:t>
      </w:r>
      <w:r w:rsidRPr="00BD0C19">
        <w:t>el dí</w:t>
      </w:r>
      <w:r w:rsidR="00F449AD">
        <w:t xml:space="preserve">a siete </w:t>
      </w:r>
      <w:r w:rsidRPr="00BD0C19">
        <w:t>d</w:t>
      </w:r>
      <w:r w:rsidR="00F449AD">
        <w:t xml:space="preserve">e julio </w:t>
      </w:r>
      <w:r w:rsidRPr="00BD0C19">
        <w:t>de</w:t>
      </w:r>
      <w:r w:rsidR="001D68A9">
        <w:t xml:space="preserve"> dos mil </w:t>
      </w:r>
      <w:r w:rsidR="008A682B">
        <w:t>veinti</w:t>
      </w:r>
      <w:r w:rsidR="00F9443F">
        <w:t>trés</w:t>
      </w:r>
      <w:r w:rsidR="002B6F41">
        <w:t>.</w:t>
      </w:r>
    </w:p>
    <w:p w14:paraId="6EC0A899" w14:textId="77777777" w:rsidR="00CB18F5" w:rsidRDefault="00CB18F5" w:rsidP="00AF7580">
      <w:pPr>
        <w:spacing w:line="276" w:lineRule="auto"/>
        <w:jc w:val="both"/>
      </w:pPr>
    </w:p>
    <w:p w14:paraId="7010DB42" w14:textId="081D3BF4" w:rsidR="002B6F41" w:rsidRPr="00CB18F5" w:rsidRDefault="002B6F41" w:rsidP="002B6F41">
      <w:pPr>
        <w:spacing w:line="276" w:lineRule="auto"/>
        <w:jc w:val="center"/>
        <w:rPr>
          <w:rFonts w:asciiTheme="minorHAnsi" w:hAnsiTheme="minorHAnsi" w:cstheme="minorHAnsi"/>
          <w:b/>
          <w:bCs/>
          <w:szCs w:val="24"/>
        </w:rPr>
      </w:pPr>
      <w:r w:rsidRPr="00CB18F5">
        <w:rPr>
          <w:rFonts w:asciiTheme="minorHAnsi" w:hAnsiTheme="minorHAnsi" w:cstheme="minorHAnsi"/>
          <w:b/>
          <w:bCs/>
          <w:szCs w:val="24"/>
        </w:rPr>
        <w:t>CONSIDERANDO:</w:t>
      </w:r>
    </w:p>
    <w:p w14:paraId="51B85F8C" w14:textId="77777777" w:rsidR="002B6F41" w:rsidRPr="002B6F41" w:rsidRDefault="00E02F6E" w:rsidP="00E02F6E">
      <w:pPr>
        <w:tabs>
          <w:tab w:val="left" w:pos="615"/>
        </w:tabs>
        <w:spacing w:line="276" w:lineRule="auto"/>
        <w:rPr>
          <w:b/>
          <w:bCs/>
        </w:rPr>
      </w:pPr>
      <w:r>
        <w:rPr>
          <w:b/>
          <w:bCs/>
        </w:rPr>
        <w:tab/>
      </w:r>
    </w:p>
    <w:p w14:paraId="29365F58" w14:textId="77777777" w:rsidR="002B6F41" w:rsidRDefault="002B6F41" w:rsidP="002B6F41">
      <w:pPr>
        <w:pStyle w:val="Prrafodelista"/>
        <w:numPr>
          <w:ilvl w:val="0"/>
          <w:numId w:val="1"/>
        </w:numPr>
        <w:spacing w:line="276" w:lineRule="auto"/>
        <w:jc w:val="both"/>
      </w:pPr>
      <w:r>
        <w:t xml:space="preserve">El párrafo segundo del artículo 33 de la ley N° 7523, </w:t>
      </w:r>
      <w:r w:rsidRPr="002B6F41">
        <w:rPr>
          <w:i/>
          <w:iCs/>
        </w:rPr>
        <w:t>Régimen Privado de Pensiones Complementarias</w:t>
      </w:r>
      <w:r>
        <w:t xml:space="preserve">, dispone </w:t>
      </w:r>
      <w:r w:rsidR="00390B5A">
        <w:t>que,</w:t>
      </w:r>
      <w:r>
        <w:t xml:space="preserve"> la Superintendencia de Pensiones, regulará, supervisará y fiscalizará los planes, fondos y regímenes contemplados en esta ley, así como aquellos que le sean encomendados en virtud de otras leyes, y la actividad de las operador</w:t>
      </w:r>
      <w:r w:rsidR="002A0C19">
        <w:t>a</w:t>
      </w:r>
      <w:r>
        <w:t xml:space="preserve">s de pensiones y de los entes autorizados para administrar los fondos de capitalización laboral. Dicha norma establece que dichas facultades </w:t>
      </w:r>
      <w:r w:rsidR="006D036C">
        <w:t xml:space="preserve">de regulación, fiscalización y supervisión </w:t>
      </w:r>
      <w:r w:rsidR="002C4E7D">
        <w:t>alcanzan</w:t>
      </w:r>
      <w:r>
        <w:t>, también, a las personas físicas o jurídicas que intervengan, directa o indirectamente, en los actos o contratos relacionados con las disposiciones de dicha ley.</w:t>
      </w:r>
    </w:p>
    <w:p w14:paraId="25F47283" w14:textId="77777777" w:rsidR="002B6F41" w:rsidRDefault="002B6F41" w:rsidP="002B6F41">
      <w:pPr>
        <w:pStyle w:val="Prrafodelista"/>
        <w:spacing w:line="276" w:lineRule="auto"/>
        <w:jc w:val="both"/>
      </w:pPr>
    </w:p>
    <w:p w14:paraId="2DD9C044" w14:textId="77777777" w:rsidR="000D6886" w:rsidRDefault="002B6F41" w:rsidP="000D6886">
      <w:pPr>
        <w:pStyle w:val="Prrafodelista"/>
        <w:numPr>
          <w:ilvl w:val="0"/>
          <w:numId w:val="1"/>
        </w:numPr>
        <w:spacing w:line="276" w:lineRule="auto"/>
        <w:jc w:val="both"/>
      </w:pPr>
      <w:r>
        <w:t xml:space="preserve">El inciso f) del artículo 38 de la </w:t>
      </w:r>
      <w:r w:rsidR="007E1708">
        <w:t>ley</w:t>
      </w:r>
      <w:r>
        <w:t xml:space="preserve"> antes citada, señala que</w:t>
      </w:r>
      <w:r w:rsidR="007E1708">
        <w:t>,</w:t>
      </w:r>
      <w:r>
        <w:t xml:space="preserve"> corresponde al Superintendente de Pensiones</w:t>
      </w:r>
      <w:r w:rsidR="00A5559C">
        <w:t>,</w:t>
      </w:r>
      <w:r>
        <w:t xml:space="preserve">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15B1BEC8" w14:textId="77777777" w:rsidR="000D6886" w:rsidRDefault="000D6886" w:rsidP="000D6886">
      <w:pPr>
        <w:pStyle w:val="Prrafodelista"/>
      </w:pPr>
    </w:p>
    <w:p w14:paraId="5EF0BC78" w14:textId="77777777" w:rsidR="003C63E2" w:rsidRDefault="00926BF3" w:rsidP="003C63E2">
      <w:pPr>
        <w:pStyle w:val="Prrafodelista"/>
        <w:numPr>
          <w:ilvl w:val="0"/>
          <w:numId w:val="1"/>
        </w:numPr>
        <w:spacing w:line="276" w:lineRule="auto"/>
        <w:jc w:val="both"/>
      </w:pPr>
      <w:r>
        <w:t>En lo que interesa, e</w:t>
      </w:r>
      <w:r w:rsidR="002B6F41">
        <w:t xml:space="preserve">l artículo 77 de la </w:t>
      </w:r>
      <w:r w:rsidR="002B6F41" w:rsidRPr="003C63E2">
        <w:rPr>
          <w:i/>
          <w:iCs/>
        </w:rPr>
        <w:t>Ley de Protección al Trabajador</w:t>
      </w:r>
      <w:r w:rsidR="002B6F41">
        <w:t xml:space="preserve"> establece que </w:t>
      </w:r>
      <w:r w:rsidR="000D6886">
        <w:t xml:space="preserve">los recursos correspondientes </w:t>
      </w:r>
      <w:r w:rsidR="00D01911" w:rsidRPr="00D01911">
        <w:t xml:space="preserve">a los aportes realizados por los patronos y trabajadores a los fondos de capitalización laboral y </w:t>
      </w:r>
      <w:r w:rsidR="00B475DF">
        <w:t xml:space="preserve">a </w:t>
      </w:r>
      <w:r w:rsidR="00D01911" w:rsidRPr="00D01911">
        <w:t>los regímenes complementarios de pensiones, cuando estos no hayan podido asignarse a una cuenta individual</w:t>
      </w:r>
      <w:r w:rsidR="00CD716D">
        <w:t xml:space="preserve">, </w:t>
      </w:r>
      <w:r w:rsidR="002B6F41">
        <w:t>deberán ser remitidos por las operadoras de pensiones complementarias</w:t>
      </w:r>
      <w:r w:rsidR="00CD716D">
        <w:t xml:space="preserve"> al</w:t>
      </w:r>
      <w:r w:rsidR="002B6F41">
        <w:t xml:space="preserve"> Régimen </w:t>
      </w:r>
      <w:r w:rsidR="00390B5A">
        <w:t>N</w:t>
      </w:r>
      <w:r w:rsidR="002B6F41">
        <w:t xml:space="preserve">o Contributivo administrado por la Caja Costarricense de Seguro Social, una vez </w:t>
      </w:r>
      <w:r w:rsidR="00CD716D">
        <w:t xml:space="preserve">haya </w:t>
      </w:r>
      <w:r w:rsidR="002B6F41">
        <w:t xml:space="preserve">transcurrido el plazo de prescripción de diez años, contado a partir del momento en que los recursos ingresaron a la </w:t>
      </w:r>
      <w:r w:rsidR="008D43C7">
        <w:t xml:space="preserve">correspondiente </w:t>
      </w:r>
      <w:r w:rsidR="002B6F41">
        <w:t>operadora</w:t>
      </w:r>
      <w:r w:rsidR="008D43C7">
        <w:t>.</w:t>
      </w:r>
      <w:r w:rsidR="003C63E2">
        <w:t xml:space="preserve"> Igual destino se dará a los </w:t>
      </w:r>
      <w:r w:rsidR="003C63E2" w:rsidRPr="003C63E2">
        <w:t xml:space="preserve">recursos del Régimen Complementario de Pensiones </w:t>
      </w:r>
      <w:r w:rsidR="00900CAA">
        <w:t xml:space="preserve">que </w:t>
      </w:r>
      <w:r w:rsidR="003C63E2" w:rsidRPr="003C63E2">
        <w:t xml:space="preserve">no han sido retirados por los beneficiarios en </w:t>
      </w:r>
      <w:r w:rsidR="003C63E2">
        <w:t xml:space="preserve">el indicado plazo de </w:t>
      </w:r>
      <w:r w:rsidR="003C63E2" w:rsidRPr="003C63E2">
        <w:t>diez años, contado a partir del fallecimiento del afiliado o pensionado</w:t>
      </w:r>
      <w:r w:rsidR="003C63E2">
        <w:t>.</w:t>
      </w:r>
    </w:p>
    <w:p w14:paraId="547B422D" w14:textId="77777777" w:rsidR="003C63E2" w:rsidRDefault="003C63E2" w:rsidP="003C63E2">
      <w:pPr>
        <w:pStyle w:val="Prrafodelista"/>
      </w:pPr>
    </w:p>
    <w:p w14:paraId="17A6987C" w14:textId="77777777" w:rsidR="002B6F41" w:rsidRDefault="0074539F" w:rsidP="00900CAA">
      <w:pPr>
        <w:pStyle w:val="Prrafodelista"/>
        <w:numPr>
          <w:ilvl w:val="0"/>
          <w:numId w:val="1"/>
        </w:numPr>
        <w:spacing w:line="276" w:lineRule="auto"/>
        <w:jc w:val="both"/>
      </w:pPr>
      <w:r>
        <w:t xml:space="preserve">Los </w:t>
      </w:r>
      <w:r w:rsidR="002B6F41">
        <w:t xml:space="preserve">traslados </w:t>
      </w:r>
      <w:r>
        <w:t xml:space="preserve">antes citados </w:t>
      </w:r>
      <w:r w:rsidR="006D30AB">
        <w:t>incluyen</w:t>
      </w:r>
      <w:r w:rsidR="002B6F41">
        <w:t xml:space="preserve"> un</w:t>
      </w:r>
      <w:r w:rsidR="00875CF8">
        <w:t>o</w:t>
      </w:r>
      <w:r w:rsidR="002B6F41">
        <w:t xml:space="preserve"> </w:t>
      </w:r>
      <w:r w:rsidR="002B2E87">
        <w:t>inicial, comprensivo</w:t>
      </w:r>
      <w:r w:rsidR="002B6F41">
        <w:t xml:space="preserve"> de</w:t>
      </w:r>
      <w:r w:rsidR="00B10A76">
        <w:t>l acumulado de</w:t>
      </w:r>
      <w:r w:rsidR="002B6F41">
        <w:t xml:space="preserve"> recursos que, a la fecha, cumplieron con la prescripción decenal arriba indicada, así </w:t>
      </w:r>
      <w:r w:rsidR="000152BA">
        <w:t>l</w:t>
      </w:r>
      <w:r w:rsidR="004442DF">
        <w:t>os</w:t>
      </w:r>
      <w:r w:rsidR="000152BA">
        <w:t xml:space="preserve"> correspondiente</w:t>
      </w:r>
      <w:r w:rsidR="004442DF">
        <w:t>s</w:t>
      </w:r>
      <w:r w:rsidR="000152BA">
        <w:t xml:space="preserve"> a los recursos</w:t>
      </w:r>
      <w:r w:rsidR="002B6F41">
        <w:t xml:space="preserve"> </w:t>
      </w:r>
      <w:r w:rsidR="00D62FED">
        <w:t xml:space="preserve">sobre los que </w:t>
      </w:r>
      <w:r w:rsidR="00247762">
        <w:t xml:space="preserve">se vaya </w:t>
      </w:r>
      <w:r w:rsidR="00780F4D">
        <w:t>cumpliendo</w:t>
      </w:r>
      <w:r w:rsidR="00B46E87">
        <w:t xml:space="preserve"> el </w:t>
      </w:r>
      <w:r w:rsidR="00BB357E">
        <w:t xml:space="preserve">señalado </w:t>
      </w:r>
      <w:r w:rsidR="00FB64F3">
        <w:t>plazo</w:t>
      </w:r>
      <w:r w:rsidR="00247762">
        <w:t xml:space="preserve"> de prescripción</w:t>
      </w:r>
      <w:r w:rsidR="00D7410B">
        <w:t xml:space="preserve">, </w:t>
      </w:r>
      <w:r w:rsidR="00323243">
        <w:t xml:space="preserve">mismos que </w:t>
      </w:r>
      <w:r w:rsidR="00D7410B">
        <w:t>serán trasladados</w:t>
      </w:r>
      <w:r w:rsidR="00163A01">
        <w:t>, en forma periódica</w:t>
      </w:r>
      <w:r w:rsidR="00EB4BAD">
        <w:t>,</w:t>
      </w:r>
      <w:r w:rsidR="00D7410B">
        <w:t xml:space="preserve"> al Régimen </w:t>
      </w:r>
      <w:r w:rsidR="00390B5A">
        <w:t>N</w:t>
      </w:r>
      <w:r w:rsidR="00D7410B">
        <w:t xml:space="preserve">o </w:t>
      </w:r>
      <w:r w:rsidR="00390B5A">
        <w:t>C</w:t>
      </w:r>
      <w:r w:rsidR="00D7410B">
        <w:t>ontributivo</w:t>
      </w:r>
      <w:r w:rsidR="001A4581">
        <w:t xml:space="preserve">, de conformidad con la ley. Estos </w:t>
      </w:r>
      <w:r w:rsidR="00390B5A">
        <w:t>traslados</w:t>
      </w:r>
      <w:r w:rsidR="00703712">
        <w:t xml:space="preserve"> periódicos, según señala el </w:t>
      </w:r>
      <w:r w:rsidR="002B6F41">
        <w:t xml:space="preserve">artículo 4 del </w:t>
      </w:r>
      <w:r w:rsidR="002B6F41" w:rsidRPr="003C63E2">
        <w:rPr>
          <w:i/>
          <w:iCs/>
        </w:rPr>
        <w:t xml:space="preserve">Reglamento sobre la apertura y funcionamiento de las entidades </w:t>
      </w:r>
      <w:r w:rsidR="002B6F41" w:rsidRPr="003C63E2">
        <w:rPr>
          <w:i/>
          <w:iCs/>
        </w:rPr>
        <w:lastRenderedPageBreak/>
        <w:t>autorizadas y el funcionamiento de los fondos de pensiones, capitalización laboral y ahorro voluntario previstos en la Ley de Protección al Trabajador</w:t>
      </w:r>
      <w:r w:rsidR="002B6F41" w:rsidRPr="009464E9">
        <w:t xml:space="preserve">, deberán </w:t>
      </w:r>
      <w:r w:rsidR="00703712" w:rsidRPr="009464E9">
        <w:t xml:space="preserve">realizarse </w:t>
      </w:r>
      <w:r w:rsidR="002B6F41" w:rsidRPr="009464E9">
        <w:t>el último día del correspondiente mes en que se cumpla el plazo antes indicado</w:t>
      </w:r>
      <w:r w:rsidR="00432935" w:rsidRPr="009464E9">
        <w:t>,</w:t>
      </w:r>
      <w:r w:rsidR="00432935">
        <w:t xml:space="preserve"> </w:t>
      </w:r>
      <w:r w:rsidR="002B6F41">
        <w:t>según acuerden la correspondiente operadora y la Caja Costarricense de Seguro Social.</w:t>
      </w:r>
    </w:p>
    <w:p w14:paraId="6D34823E" w14:textId="77777777" w:rsidR="00900CAA" w:rsidRDefault="00900CAA" w:rsidP="00900CAA">
      <w:pPr>
        <w:spacing w:line="276" w:lineRule="auto"/>
        <w:jc w:val="both"/>
      </w:pPr>
    </w:p>
    <w:p w14:paraId="12758361" w14:textId="77777777" w:rsidR="007D7395" w:rsidRDefault="00763EE2" w:rsidP="00DA2869">
      <w:pPr>
        <w:pStyle w:val="Prrafodelista"/>
        <w:numPr>
          <w:ilvl w:val="0"/>
          <w:numId w:val="1"/>
        </w:numPr>
        <w:spacing w:line="276" w:lineRule="auto"/>
        <w:jc w:val="both"/>
      </w:pPr>
      <w:r>
        <w:t xml:space="preserve">El </w:t>
      </w:r>
      <w:r w:rsidR="002B6F41">
        <w:t xml:space="preserve">inciso h) del artículo 104 del </w:t>
      </w:r>
      <w:bookmarkStart w:id="0" w:name="_Hlk92892596"/>
      <w:r w:rsidR="002B6F41" w:rsidRPr="00C0088C">
        <w:rPr>
          <w:i/>
          <w:iCs/>
        </w:rPr>
        <w:t>Reglamento sobre la apertura y funcionamiento de las entidades autorizadas y el funcionamiento de los fondos de pensiones, capitalización laboral y ahorro voluntario previstos en la Ley de Protección al Trabajador</w:t>
      </w:r>
      <w:bookmarkEnd w:id="0"/>
      <w:r w:rsidR="008225AD">
        <w:rPr>
          <w:i/>
          <w:iCs/>
        </w:rPr>
        <w:t xml:space="preserve">, </w:t>
      </w:r>
      <w:r w:rsidR="008225AD">
        <w:t xml:space="preserve">prevé, como un tipo de </w:t>
      </w:r>
      <w:r w:rsidR="00EB0854">
        <w:t>t</w:t>
      </w:r>
      <w:r w:rsidR="008225AD">
        <w:t>r</w:t>
      </w:r>
      <w:r w:rsidR="00EB0854">
        <w:t>a</w:t>
      </w:r>
      <w:r w:rsidR="008225AD">
        <w:t>slado</w:t>
      </w:r>
      <w:r w:rsidR="00EB0854">
        <w:t xml:space="preserve">, el realizado </w:t>
      </w:r>
      <w:r w:rsidR="002B6F41">
        <w:t>hacía el Régimen No Contributivo, de recursos provenientes del Régimen Obligatorio de Pensiones</w:t>
      </w:r>
      <w:r w:rsidR="006670CB">
        <w:t>,</w:t>
      </w:r>
      <w:r w:rsidR="002B6F41">
        <w:t xml:space="preserve"> el Fondo de Capitalización Laboral, Régimen Voluntario de Pensiones y el Ahorro Voluntario, que no han sido asignados a una cuenta individual en un plazo de 10 años a partir del ingreso.</w:t>
      </w:r>
      <w:r w:rsidR="00DA2869">
        <w:t xml:space="preserve"> </w:t>
      </w:r>
    </w:p>
    <w:p w14:paraId="413DE7A5" w14:textId="77777777" w:rsidR="007D7395" w:rsidRDefault="007D7395" w:rsidP="007D7395">
      <w:pPr>
        <w:pStyle w:val="Prrafodelista"/>
      </w:pPr>
    </w:p>
    <w:p w14:paraId="7EEC82C0" w14:textId="77777777" w:rsidR="00691B3A" w:rsidRDefault="00DA2869" w:rsidP="007D7395">
      <w:pPr>
        <w:pStyle w:val="Prrafodelista"/>
        <w:spacing w:line="276" w:lineRule="auto"/>
        <w:jc w:val="both"/>
        <w:rPr>
          <w:i/>
          <w:iCs/>
        </w:rPr>
      </w:pPr>
      <w:r>
        <w:t>Sobre este particular</w:t>
      </w:r>
      <w:r w:rsidR="001013A7">
        <w:t>, l</w:t>
      </w:r>
      <w:r w:rsidR="00EF35B4">
        <w:t xml:space="preserve">a </w:t>
      </w:r>
      <w:r w:rsidR="00EF35B4" w:rsidRPr="00EF35B4">
        <w:t>Procuraduría General de la República</w:t>
      </w:r>
      <w:r w:rsidR="00EF35B4">
        <w:t>, a través del dictamen  C-258-2021</w:t>
      </w:r>
      <w:r w:rsidR="00E16644">
        <w:t xml:space="preserve">, señaló que </w:t>
      </w:r>
      <w:r w:rsidR="00E16644" w:rsidRPr="00DA2869">
        <w:rPr>
          <w:i/>
          <w:iCs/>
        </w:rPr>
        <w:t>“</w:t>
      </w:r>
      <w:r w:rsidR="00EF35B4" w:rsidRPr="00DA2869">
        <w:rPr>
          <w:i/>
          <w:iCs/>
        </w:rPr>
        <w:t>[…] los aportes que realicen los patronos y los trabajadores a los fondos de capitalización laboral y a cualquiera de los regímenes complementarios de pensiones que no puedan asignarse a una cuenta individual (los cuales también deben trasladarse al Régimen No Contributivo cuando transcurran diez años) pueden originarse en dos circunstancias: a) registros erróneos y b) aportes recibidos por asignar. Los registros erróneos son los creados por el Sistema Centralizado de Recaudación (SICERE) cuando los aportes realizados por los patronos al Régimen Obligatorio de Pensiones Complementarias y al Fondo de Capitalización Laboral no contienen los datos necesarios para identificar al trabajador al que pertenecen. Los aportes recibidos por asignar son los que las Operadoras de Pensiones recaudan directamente en sus cuentas bancarias y que no contienen los datos necesarios para identificar la cuenta individual a la que van dirigidos.”</w:t>
      </w:r>
    </w:p>
    <w:p w14:paraId="5260E979" w14:textId="77777777" w:rsidR="00366178" w:rsidRPr="00DA2869" w:rsidRDefault="00366178" w:rsidP="007D7395">
      <w:pPr>
        <w:pStyle w:val="Prrafodelista"/>
        <w:spacing w:line="276" w:lineRule="auto"/>
        <w:jc w:val="both"/>
      </w:pPr>
    </w:p>
    <w:p w14:paraId="6AE9AC2F" w14:textId="77777777" w:rsidR="002B6F41" w:rsidRDefault="006670CB" w:rsidP="002B6F41">
      <w:pPr>
        <w:pStyle w:val="Prrafodelista"/>
        <w:numPr>
          <w:ilvl w:val="0"/>
          <w:numId w:val="1"/>
        </w:numPr>
        <w:spacing w:line="276" w:lineRule="auto"/>
        <w:jc w:val="both"/>
      </w:pPr>
      <w:r>
        <w:t>El a</w:t>
      </w:r>
      <w:r w:rsidR="002B6F41">
        <w:t>rtículo 106</w:t>
      </w:r>
      <w:r>
        <w:t xml:space="preserve"> del </w:t>
      </w:r>
      <w:bookmarkStart w:id="1" w:name="_Hlk92893367"/>
      <w:r w:rsidRPr="006670CB">
        <w:rPr>
          <w:i/>
          <w:iCs/>
        </w:rPr>
        <w:t>Reglamento sobre la apertura y funcionamiento de las entidades autorizadas y el funcionamiento de los fondos de pensiones, capitalización laboral y ahorro voluntario previstos en la Ley de Protección al Trabajador</w:t>
      </w:r>
      <w:bookmarkEnd w:id="1"/>
      <w:r>
        <w:t xml:space="preserve">, señala que </w:t>
      </w:r>
      <w:r w:rsidR="002B6F41">
        <w:t>el Superintendente de Pensiones, mediante acuerdo de alcance general, definirá las condiciones</w:t>
      </w:r>
      <w:r w:rsidR="00CF6D95">
        <w:t xml:space="preserve"> y</w:t>
      </w:r>
      <w:r w:rsidR="002B6F41">
        <w:t xml:space="preserve"> plazos en que se efectuarán los </w:t>
      </w:r>
      <w:r w:rsidR="0076169E">
        <w:t>traslados</w:t>
      </w:r>
      <w:r w:rsidR="002B6F41">
        <w:t>. El acuerdo incluirá el uso de las aplicaciones informáticas que se lleguen a implementar con el fin de verificar la compensación y liquidación de recursos entre entidades autorizadas a través del Sistema Nacional de Pagos (SINPE).</w:t>
      </w:r>
    </w:p>
    <w:p w14:paraId="217F7020" w14:textId="77777777" w:rsidR="001013A7" w:rsidRDefault="001013A7" w:rsidP="001013A7">
      <w:pPr>
        <w:pStyle w:val="Prrafodelista"/>
      </w:pPr>
    </w:p>
    <w:p w14:paraId="30FD4894" w14:textId="77777777" w:rsidR="005D5900" w:rsidRDefault="002B6F41" w:rsidP="002B6F41">
      <w:pPr>
        <w:pStyle w:val="Prrafodelista"/>
        <w:numPr>
          <w:ilvl w:val="0"/>
          <w:numId w:val="1"/>
        </w:numPr>
        <w:spacing w:line="276" w:lineRule="auto"/>
        <w:jc w:val="both"/>
      </w:pPr>
      <w:r>
        <w:lastRenderedPageBreak/>
        <w:t xml:space="preserve">Mediante el oficio SP-1424-2020 del 6 de noviembre de 2020, la Superintendencia de Pensiones comunicó a las operadoras de pensiones las modificaciones a los Anexos </w:t>
      </w:r>
      <w:r w:rsidR="00390B5A">
        <w:t>del Manual</w:t>
      </w:r>
      <w:r>
        <w:t xml:space="preserve"> de Información, derivadas de las reformas a la </w:t>
      </w:r>
      <w:r w:rsidRPr="00DC77E0">
        <w:rPr>
          <w:i/>
          <w:iCs/>
        </w:rPr>
        <w:t>Ley de Protección al Trabajador</w:t>
      </w:r>
      <w:r>
        <w:t>, llevadas a cabo a través de la Ley No. 9906, incluyendo lo relativo a los traslados señalados por el artículo 77 de la Ley No. 7983.</w:t>
      </w:r>
    </w:p>
    <w:p w14:paraId="7FD61E25" w14:textId="77777777" w:rsidR="005D5900" w:rsidRDefault="005D5900" w:rsidP="005D5900">
      <w:pPr>
        <w:pStyle w:val="Prrafodelista"/>
      </w:pPr>
    </w:p>
    <w:p w14:paraId="544F5D1D" w14:textId="77777777" w:rsidR="002B6F41" w:rsidRDefault="002B6F41" w:rsidP="005D5900">
      <w:pPr>
        <w:pStyle w:val="Prrafodelista"/>
        <w:spacing w:line="276" w:lineRule="auto"/>
        <w:jc w:val="both"/>
      </w:pPr>
      <w:r>
        <w:t xml:space="preserve">De igual forma, mediante el Acuerdo SP-A-235 de las dieciséis horas del día nueve de febrero de 2021, se reformó el </w:t>
      </w:r>
      <w:r w:rsidRPr="005D5900">
        <w:rPr>
          <w:i/>
          <w:iCs/>
        </w:rPr>
        <w:t>Acuerdo SP-A-137-2010, Plazo y forma de los traslados de recursos de la cuenta individual de los afiliados al Régimen de Capitalización Individual</w:t>
      </w:r>
      <w:r>
        <w:t xml:space="preserve">, de las quince horas del día veintidós de marzo de 2010, incluyéndose, en su artículo 2, los traslados de las operadoras de pensiones complementarias al Régimen </w:t>
      </w:r>
      <w:r w:rsidR="00390B5A">
        <w:t>N</w:t>
      </w:r>
      <w:r>
        <w:t xml:space="preserve">o </w:t>
      </w:r>
      <w:r w:rsidR="00390B5A">
        <w:t>C</w:t>
      </w:r>
      <w:r>
        <w:t>ontributivo, atrás citados.</w:t>
      </w:r>
    </w:p>
    <w:p w14:paraId="03B3FC21" w14:textId="77777777" w:rsidR="00DC77E0" w:rsidRDefault="00DC77E0" w:rsidP="005D5900">
      <w:pPr>
        <w:pStyle w:val="Prrafodelista"/>
        <w:spacing w:line="276" w:lineRule="auto"/>
        <w:jc w:val="both"/>
      </w:pPr>
    </w:p>
    <w:p w14:paraId="2ADC2241" w14:textId="77777777" w:rsidR="00900CAA" w:rsidRDefault="00900CAA" w:rsidP="005C0B85">
      <w:pPr>
        <w:pStyle w:val="Prrafodelista"/>
        <w:numPr>
          <w:ilvl w:val="0"/>
          <w:numId w:val="1"/>
        </w:numPr>
        <w:spacing w:line="276" w:lineRule="auto"/>
        <w:jc w:val="both"/>
      </w:pPr>
      <w:r>
        <w:t xml:space="preserve">Mediante el acuerdo SP-A-251-2022 de las quince horas del día diecisiete de febrero del año dos mil veintidós, la Superintendencia de Pensiones emitió las disposiciones que resultaban de aplicación </w:t>
      </w:r>
      <w:r w:rsidRPr="00900CAA">
        <w:t xml:space="preserve">al traslado de recursos al Régimen no Contributivo de Pensiones administrado por la Caja Costarricense de Seguro Social, correspondientes a los registros erróneos y aportes por asignar, sobre los cuales haya recaído la prescripción decenal prevista en el artículo 77 de la </w:t>
      </w:r>
      <w:r w:rsidRPr="005E4D4B">
        <w:rPr>
          <w:i/>
          <w:iCs/>
        </w:rPr>
        <w:t>Ley de Protección al Trabajador</w:t>
      </w:r>
      <w:r w:rsidRPr="00900CAA">
        <w:t>.</w:t>
      </w:r>
    </w:p>
    <w:p w14:paraId="5A1AEE27" w14:textId="77777777" w:rsidR="005E4D4B" w:rsidRDefault="005E4D4B" w:rsidP="005E4D4B">
      <w:pPr>
        <w:pStyle w:val="Prrafodelista"/>
        <w:spacing w:line="276" w:lineRule="auto"/>
        <w:jc w:val="both"/>
      </w:pPr>
    </w:p>
    <w:p w14:paraId="562F4680" w14:textId="04D9D676" w:rsidR="00900CAA" w:rsidRPr="005E4D4B" w:rsidRDefault="005E4D4B" w:rsidP="00900CAA">
      <w:pPr>
        <w:pStyle w:val="Prrafodelista"/>
        <w:numPr>
          <w:ilvl w:val="0"/>
          <w:numId w:val="1"/>
        </w:numPr>
        <w:spacing w:line="276" w:lineRule="auto"/>
        <w:jc w:val="both"/>
        <w:rPr>
          <w:i/>
          <w:iCs/>
        </w:rPr>
      </w:pPr>
      <w:r>
        <w:t>El Consejo Nacional de Supervisión del Sistema Financiero, mediante</w:t>
      </w:r>
      <w:r w:rsidR="009E3300" w:rsidRPr="009E3300">
        <w:t xml:space="preserve"> el artículo 7 del acta de la sesión 1802-2023, celebrada el 19 de junio del 2023,</w:t>
      </w:r>
      <w:r w:rsidR="009E3300">
        <w:t xml:space="preserve"> reforma publicada en el diario oficial </w:t>
      </w:r>
      <w:r w:rsidR="009E3300" w:rsidRPr="009E3300">
        <w:t>La Gaceta No 123, Alcance No</w:t>
      </w:r>
      <w:r w:rsidR="00BC24FD">
        <w:t xml:space="preserve">. </w:t>
      </w:r>
      <w:r w:rsidR="009E3300" w:rsidRPr="009E3300">
        <w:t>131, del viernes 07 de julio de 2023</w:t>
      </w:r>
      <w:r w:rsidR="009E3300">
        <w:t xml:space="preserve">, </w:t>
      </w:r>
      <w:r>
        <w:t xml:space="preserve">adicionó un artículo 20 bis al </w:t>
      </w:r>
      <w:r w:rsidRPr="005E4D4B">
        <w:rPr>
          <w:i/>
          <w:iCs/>
        </w:rPr>
        <w:t>Reglamento de beneficios del Régimen de Capitalización Individual</w:t>
      </w:r>
      <w:r>
        <w:t xml:space="preserve">, a los efectos de que apliquen las normas </w:t>
      </w:r>
      <w:r w:rsidRPr="005E4D4B">
        <w:t xml:space="preserve">del </w:t>
      </w:r>
      <w:r w:rsidRPr="005E4D4B">
        <w:rPr>
          <w:i/>
          <w:iCs/>
        </w:rPr>
        <w:t>Código de Trabajo</w:t>
      </w:r>
      <w:r w:rsidRPr="005E4D4B">
        <w:t xml:space="preserve"> </w:t>
      </w:r>
      <w:r>
        <w:t xml:space="preserve">que establecen los actos interruptivos de la prescripción indicada en el artículo 77 de la </w:t>
      </w:r>
      <w:r w:rsidRPr="005E4D4B">
        <w:rPr>
          <w:i/>
          <w:iCs/>
        </w:rPr>
        <w:t>Ley de Protección al Trabajador</w:t>
      </w:r>
      <w:r>
        <w:t>.</w:t>
      </w:r>
    </w:p>
    <w:p w14:paraId="6EB091C3" w14:textId="77777777" w:rsidR="005E4D4B" w:rsidRPr="005E4D4B" w:rsidRDefault="005E4D4B" w:rsidP="005E4D4B">
      <w:pPr>
        <w:pStyle w:val="Prrafodelista"/>
      </w:pPr>
    </w:p>
    <w:p w14:paraId="06D4C9F3" w14:textId="77777777" w:rsidR="005E4D4B" w:rsidRDefault="005E4D4B" w:rsidP="005E4D4B">
      <w:pPr>
        <w:pStyle w:val="Prrafodelista"/>
        <w:numPr>
          <w:ilvl w:val="0"/>
          <w:numId w:val="1"/>
        </w:numPr>
        <w:spacing w:line="276" w:lineRule="auto"/>
        <w:jc w:val="both"/>
      </w:pPr>
      <w:r w:rsidRPr="005E4D4B">
        <w:t xml:space="preserve">Que es necesario </w:t>
      </w:r>
      <w:r>
        <w:t xml:space="preserve">reformar de manera integral el citado acuerdo </w:t>
      </w:r>
      <w:r w:rsidRPr="005E4D4B">
        <w:t>SP-A-251-2022</w:t>
      </w:r>
      <w:r>
        <w:t xml:space="preserve"> para que el mismo sea de aplicación general a todos los recursos que, por haber transcurrido la prescripción decenal del artículo 77 de repetida cita, deban ser trasladados al </w:t>
      </w:r>
      <w:r w:rsidRPr="005E4D4B">
        <w:t>Régimen no Contributivo de Pensiones administrado por la Caja Costarricense de Seguro Social</w:t>
      </w:r>
      <w:r>
        <w:t>.</w:t>
      </w:r>
    </w:p>
    <w:p w14:paraId="2C54162B" w14:textId="77777777" w:rsidR="005E4D4B" w:rsidRDefault="005E4D4B" w:rsidP="005E4D4B">
      <w:pPr>
        <w:spacing w:line="276" w:lineRule="auto"/>
        <w:jc w:val="both"/>
      </w:pPr>
    </w:p>
    <w:p w14:paraId="30E32D83" w14:textId="77777777" w:rsidR="005E4D4B" w:rsidRDefault="005E4D4B" w:rsidP="005E4D4B">
      <w:pPr>
        <w:spacing w:line="276" w:lineRule="auto"/>
        <w:jc w:val="both"/>
      </w:pPr>
    </w:p>
    <w:p w14:paraId="1655D5C8" w14:textId="77777777" w:rsidR="002B6F41" w:rsidRPr="00912BAB" w:rsidRDefault="002B6F41" w:rsidP="002B6F41">
      <w:pPr>
        <w:spacing w:line="276" w:lineRule="auto"/>
        <w:jc w:val="center"/>
        <w:rPr>
          <w:rFonts w:asciiTheme="minorHAnsi" w:hAnsiTheme="minorHAnsi" w:cstheme="minorHAnsi"/>
          <w:b/>
          <w:bCs/>
        </w:rPr>
      </w:pPr>
      <w:r w:rsidRPr="00912BAB">
        <w:rPr>
          <w:rFonts w:asciiTheme="minorHAnsi" w:hAnsiTheme="minorHAnsi" w:cstheme="minorHAnsi"/>
          <w:b/>
          <w:bCs/>
        </w:rPr>
        <w:t>POR TANTO:</w:t>
      </w:r>
    </w:p>
    <w:p w14:paraId="75F70F4D" w14:textId="77777777" w:rsidR="002B6F41" w:rsidRPr="00912BAB" w:rsidRDefault="002B6F41" w:rsidP="002B6F41">
      <w:pPr>
        <w:spacing w:line="276" w:lineRule="auto"/>
        <w:jc w:val="both"/>
        <w:rPr>
          <w:rFonts w:asciiTheme="minorHAnsi" w:hAnsiTheme="minorHAnsi" w:cstheme="minorHAnsi"/>
        </w:rPr>
      </w:pPr>
    </w:p>
    <w:p w14:paraId="2212FF46" w14:textId="77777777" w:rsidR="005E4D4B" w:rsidRDefault="005E4D4B" w:rsidP="0076762D">
      <w:pPr>
        <w:spacing w:line="276" w:lineRule="auto"/>
        <w:jc w:val="both"/>
      </w:pPr>
      <w:r>
        <w:lastRenderedPageBreak/>
        <w:t xml:space="preserve">Se reforma íntegramente el acuerdo </w:t>
      </w:r>
      <w:r w:rsidRPr="005E4D4B">
        <w:t>SP-A-251-2022 de las quince horas del día diecisiete de febrero del año dos mil veintidós</w:t>
      </w:r>
      <w:r>
        <w:t>, para que, en lo sucesivo, se lea de la siguiente forma:</w:t>
      </w:r>
    </w:p>
    <w:p w14:paraId="4DD7F579" w14:textId="77777777" w:rsidR="005E4D4B" w:rsidRDefault="005E4D4B" w:rsidP="0076762D">
      <w:pPr>
        <w:spacing w:line="276" w:lineRule="auto"/>
        <w:jc w:val="both"/>
      </w:pPr>
    </w:p>
    <w:p w14:paraId="70F10303" w14:textId="77777777" w:rsidR="00122A0D" w:rsidRDefault="00417457" w:rsidP="007112D2">
      <w:pPr>
        <w:pStyle w:val="Prrafodelista"/>
        <w:numPr>
          <w:ilvl w:val="0"/>
          <w:numId w:val="4"/>
        </w:numPr>
        <w:spacing w:line="276" w:lineRule="auto"/>
        <w:jc w:val="both"/>
        <w:rPr>
          <w:rFonts w:asciiTheme="minorHAnsi" w:hAnsiTheme="minorHAnsi" w:cstheme="minorHAnsi"/>
          <w:b/>
          <w:bCs/>
        </w:rPr>
      </w:pPr>
      <w:r w:rsidRPr="00BE4AD9">
        <w:rPr>
          <w:rFonts w:asciiTheme="minorHAnsi" w:hAnsiTheme="minorHAnsi" w:cstheme="minorHAnsi"/>
          <w:b/>
          <w:bCs/>
        </w:rPr>
        <w:t>Disposiciones relativas al traslado de</w:t>
      </w:r>
      <w:r w:rsidR="00BE4AD9" w:rsidRPr="00BE4AD9">
        <w:rPr>
          <w:rFonts w:asciiTheme="minorHAnsi" w:hAnsiTheme="minorHAnsi" w:cstheme="minorHAnsi"/>
          <w:b/>
          <w:bCs/>
        </w:rPr>
        <w:t xml:space="preserve"> recursos sobre los cuales haya recaído la prescripción decenal prevista en el artículo 77 de la Ley de Protección al Trabajador.</w:t>
      </w:r>
    </w:p>
    <w:p w14:paraId="690D850C" w14:textId="77777777" w:rsidR="00BE4AD9" w:rsidRPr="00BE4AD9" w:rsidRDefault="00BE4AD9" w:rsidP="00BE4AD9">
      <w:pPr>
        <w:pStyle w:val="Prrafodelista"/>
        <w:spacing w:line="276" w:lineRule="auto"/>
        <w:jc w:val="both"/>
        <w:rPr>
          <w:rFonts w:asciiTheme="minorHAnsi" w:hAnsiTheme="minorHAnsi" w:cstheme="minorHAnsi"/>
          <w:b/>
          <w:bCs/>
        </w:rPr>
      </w:pPr>
    </w:p>
    <w:p w14:paraId="46B5FA0C" w14:textId="77777777" w:rsidR="00F808FD" w:rsidRDefault="00850A00" w:rsidP="002B6F41">
      <w:pPr>
        <w:spacing w:line="276" w:lineRule="auto"/>
        <w:jc w:val="both"/>
      </w:pPr>
      <w:r w:rsidRPr="00850A00">
        <w:t>Las operadoras de pensiones complementarias informarán a la Caja Costarricense de Seguro Social los montos en efectivo que serán trasladados al Régimen No Contributivo de Pensiones por cumplimiento del plazo de prescripción señalado en el artículo 77 de la ley No. 7983. Por su parte, la CCSS deberá indicarle a la operadora la fecha en la cual requerirá se realicen los desembolsos, de acuerdo con sus necesidades presupuestarias</w:t>
      </w:r>
      <w:r w:rsidR="001F278E" w:rsidRPr="005F539E">
        <w:t xml:space="preserve">. </w:t>
      </w:r>
    </w:p>
    <w:p w14:paraId="4E466C49" w14:textId="77777777" w:rsidR="008A6E53" w:rsidRDefault="008A6E53" w:rsidP="002B6F41">
      <w:pPr>
        <w:spacing w:line="276" w:lineRule="auto"/>
        <w:jc w:val="both"/>
      </w:pPr>
    </w:p>
    <w:p w14:paraId="7EB502C2" w14:textId="77777777" w:rsidR="002B6F41" w:rsidRDefault="002B6F41" w:rsidP="00544515">
      <w:pPr>
        <w:pStyle w:val="Prrafodelista"/>
        <w:numPr>
          <w:ilvl w:val="0"/>
          <w:numId w:val="4"/>
        </w:numPr>
        <w:spacing w:line="276" w:lineRule="auto"/>
        <w:jc w:val="both"/>
        <w:rPr>
          <w:rFonts w:asciiTheme="minorHAnsi" w:hAnsiTheme="minorHAnsi" w:cstheme="minorHAnsi"/>
          <w:b/>
          <w:bCs/>
        </w:rPr>
      </w:pPr>
      <w:r w:rsidRPr="00544515">
        <w:rPr>
          <w:rFonts w:asciiTheme="minorHAnsi" w:hAnsiTheme="minorHAnsi" w:cstheme="minorHAnsi"/>
          <w:b/>
          <w:bCs/>
        </w:rPr>
        <w:t>Forma y medio para realizar los traslados</w:t>
      </w:r>
    </w:p>
    <w:p w14:paraId="0137CF4E" w14:textId="77777777" w:rsidR="00C32EE9" w:rsidRDefault="00C32EE9" w:rsidP="00C32EE9">
      <w:pPr>
        <w:pStyle w:val="Prrafodelista"/>
        <w:spacing w:line="276" w:lineRule="auto"/>
        <w:jc w:val="both"/>
        <w:rPr>
          <w:rFonts w:asciiTheme="minorHAnsi" w:hAnsiTheme="minorHAnsi" w:cstheme="minorHAnsi"/>
          <w:b/>
          <w:bCs/>
        </w:rPr>
      </w:pPr>
    </w:p>
    <w:p w14:paraId="55189C81" w14:textId="77777777" w:rsidR="00553393" w:rsidRPr="00C32EE9" w:rsidRDefault="00553393" w:rsidP="00C32EE9">
      <w:pPr>
        <w:spacing w:line="240" w:lineRule="auto"/>
        <w:jc w:val="both"/>
        <w:rPr>
          <w:rFonts w:cs="Times New Roman"/>
          <w:szCs w:val="24"/>
        </w:rPr>
      </w:pPr>
      <w:r w:rsidRPr="00C32EE9">
        <w:rPr>
          <w:rFonts w:cs="Times New Roman"/>
          <w:szCs w:val="24"/>
        </w:rPr>
        <w:t>Los recursos correspondientes al artículo anterior deberán ser trasladados al Régimen No Contributivo de Pensiones en efectivo, en las fechas acordadas entre la Caja Costarricense de Seguro Social y la operadora de pensiones, por alguno de los siguientes medios:</w:t>
      </w:r>
    </w:p>
    <w:p w14:paraId="2C38F169" w14:textId="77777777" w:rsidR="00553393" w:rsidRPr="00B340C5" w:rsidRDefault="00553393" w:rsidP="00553393">
      <w:pPr>
        <w:pStyle w:val="Prrafodelista"/>
        <w:spacing w:line="240" w:lineRule="auto"/>
        <w:jc w:val="both"/>
        <w:rPr>
          <w:rFonts w:cs="Times New Roman"/>
          <w:szCs w:val="24"/>
        </w:rPr>
      </w:pPr>
    </w:p>
    <w:p w14:paraId="1F920158" w14:textId="77777777" w:rsidR="00553393" w:rsidRPr="00B340C5" w:rsidRDefault="00553393" w:rsidP="00553393">
      <w:pPr>
        <w:pStyle w:val="Prrafodelista"/>
        <w:numPr>
          <w:ilvl w:val="0"/>
          <w:numId w:val="10"/>
        </w:numPr>
        <w:spacing w:line="240" w:lineRule="auto"/>
        <w:jc w:val="both"/>
        <w:rPr>
          <w:rFonts w:cs="Times New Roman"/>
          <w:szCs w:val="24"/>
        </w:rPr>
      </w:pPr>
      <w:r w:rsidRPr="00B340C5">
        <w:rPr>
          <w:rFonts w:cs="Times New Roman"/>
          <w:szCs w:val="24"/>
        </w:rPr>
        <w:t xml:space="preserve">A través del </w:t>
      </w:r>
      <w:r w:rsidRPr="00B340C5">
        <w:rPr>
          <w:rFonts w:cs="Times New Roman"/>
          <w:i/>
          <w:iCs/>
          <w:szCs w:val="24"/>
        </w:rPr>
        <w:t>Sistema Nacional de Pagos</w:t>
      </w:r>
      <w:r w:rsidRPr="00B340C5">
        <w:rPr>
          <w:rFonts w:cs="Times New Roman"/>
          <w:szCs w:val="24"/>
        </w:rPr>
        <w:t xml:space="preserve"> (SINPE), en la cuenta corriente que la CCSS deberá previamente informar a la operadora y a la Superintendencia de Pensiones. El traslado deberá efectuarse en tiempo real.</w:t>
      </w:r>
    </w:p>
    <w:p w14:paraId="3F4A4949" w14:textId="77777777" w:rsidR="00553393" w:rsidRPr="00B340C5" w:rsidRDefault="00553393" w:rsidP="00553393">
      <w:pPr>
        <w:pStyle w:val="Prrafodelista"/>
        <w:spacing w:line="240" w:lineRule="auto"/>
        <w:ind w:left="1080"/>
        <w:jc w:val="both"/>
        <w:rPr>
          <w:rFonts w:cs="Times New Roman"/>
          <w:szCs w:val="24"/>
        </w:rPr>
      </w:pPr>
    </w:p>
    <w:p w14:paraId="1FEA57D4" w14:textId="77777777" w:rsidR="00553393" w:rsidRDefault="00553393" w:rsidP="00553393">
      <w:pPr>
        <w:pStyle w:val="Prrafodelista"/>
        <w:numPr>
          <w:ilvl w:val="0"/>
          <w:numId w:val="10"/>
        </w:numPr>
        <w:spacing w:line="240" w:lineRule="auto"/>
        <w:jc w:val="both"/>
        <w:rPr>
          <w:rFonts w:cs="Times New Roman"/>
          <w:szCs w:val="24"/>
        </w:rPr>
      </w:pPr>
      <w:r w:rsidRPr="00B340C5">
        <w:rPr>
          <w:rFonts w:cs="Times New Roman"/>
          <w:szCs w:val="24"/>
        </w:rPr>
        <w:t>Mediante transferencia entre cuentas a través de los medios dispuestos para ello por el intermediario financiero, si la operadora y el Régimen No Contributivo de Pensiones utilizan el mismo banco.</w:t>
      </w:r>
    </w:p>
    <w:p w14:paraId="7C381F7A" w14:textId="77777777" w:rsidR="002B6F41" w:rsidRDefault="002B6F41" w:rsidP="002B6F41">
      <w:pPr>
        <w:spacing w:line="276" w:lineRule="auto"/>
        <w:jc w:val="both"/>
      </w:pPr>
    </w:p>
    <w:p w14:paraId="101C85C2" w14:textId="77777777" w:rsidR="002B6F41" w:rsidRDefault="002B6F41" w:rsidP="002B6F41">
      <w:pPr>
        <w:pStyle w:val="Prrafodelista"/>
        <w:numPr>
          <w:ilvl w:val="0"/>
          <w:numId w:val="4"/>
        </w:numPr>
        <w:spacing w:line="276" w:lineRule="auto"/>
        <w:jc w:val="both"/>
        <w:rPr>
          <w:rFonts w:asciiTheme="minorHAnsi" w:hAnsiTheme="minorHAnsi" w:cstheme="minorHAnsi"/>
          <w:b/>
          <w:bCs/>
        </w:rPr>
      </w:pPr>
      <w:r w:rsidRPr="00125FC1">
        <w:rPr>
          <w:rFonts w:asciiTheme="minorHAnsi" w:hAnsiTheme="minorHAnsi" w:cstheme="minorHAnsi"/>
          <w:b/>
          <w:bCs/>
        </w:rPr>
        <w:t>Fecha de los traslados</w:t>
      </w:r>
    </w:p>
    <w:p w14:paraId="31440F76" w14:textId="77777777" w:rsidR="00C32EE9" w:rsidRDefault="00C32EE9" w:rsidP="00C32EE9">
      <w:pPr>
        <w:pStyle w:val="Prrafodelista"/>
        <w:spacing w:line="276" w:lineRule="auto"/>
        <w:jc w:val="both"/>
        <w:rPr>
          <w:rFonts w:asciiTheme="minorHAnsi" w:hAnsiTheme="minorHAnsi" w:cstheme="minorHAnsi"/>
          <w:b/>
          <w:bCs/>
        </w:rPr>
      </w:pPr>
    </w:p>
    <w:p w14:paraId="1B11ED3F" w14:textId="77777777" w:rsidR="00C32EE9" w:rsidRPr="00B340C5" w:rsidRDefault="00C32EE9" w:rsidP="00C32EE9">
      <w:pPr>
        <w:spacing w:line="240" w:lineRule="auto"/>
        <w:ind w:left="360"/>
        <w:contextualSpacing/>
        <w:jc w:val="both"/>
        <w:rPr>
          <w:rFonts w:cs="Times New Roman"/>
          <w:i/>
          <w:iCs/>
          <w:szCs w:val="24"/>
        </w:rPr>
      </w:pPr>
      <w:r w:rsidRPr="00B340C5">
        <w:rPr>
          <w:rFonts w:cs="Times New Roman"/>
          <w:szCs w:val="24"/>
        </w:rPr>
        <w:t xml:space="preserve">Los traslados periódicos que deban realizarse se verificarán en las fechas previstas en los Tras 18 y Tras 19 del artículo 2 del Acuerdo </w:t>
      </w:r>
      <w:r w:rsidRPr="00B340C5">
        <w:rPr>
          <w:rFonts w:cs="Times New Roman"/>
          <w:i/>
          <w:iCs/>
          <w:szCs w:val="24"/>
        </w:rPr>
        <w:t>SP-A-137-2010, Plazo y forma de los traslados de recursos de la cuenta individual de los afiliados al Régimen de Capitalización Individual,</w:t>
      </w:r>
      <w:r w:rsidRPr="00B340C5">
        <w:rPr>
          <w:rFonts w:cs="Times New Roman"/>
          <w:szCs w:val="24"/>
        </w:rPr>
        <w:t xml:space="preserve"> de las quince horas del día veintidós de marzo de 2010.</w:t>
      </w:r>
    </w:p>
    <w:p w14:paraId="19C75963" w14:textId="77777777" w:rsidR="00366178" w:rsidRDefault="00366178" w:rsidP="00366178">
      <w:pPr>
        <w:pStyle w:val="Prrafodelista"/>
        <w:spacing w:line="276" w:lineRule="auto"/>
        <w:jc w:val="both"/>
        <w:rPr>
          <w:rFonts w:asciiTheme="minorHAnsi" w:hAnsiTheme="minorHAnsi" w:cstheme="minorHAnsi"/>
          <w:b/>
          <w:bCs/>
        </w:rPr>
      </w:pPr>
    </w:p>
    <w:p w14:paraId="0FBCFA18" w14:textId="77777777" w:rsidR="00FC409B" w:rsidRDefault="00FC409B" w:rsidP="009A5B4C">
      <w:pPr>
        <w:pStyle w:val="Prrafodelista"/>
        <w:numPr>
          <w:ilvl w:val="0"/>
          <w:numId w:val="4"/>
        </w:numPr>
        <w:spacing w:line="276" w:lineRule="auto"/>
        <w:jc w:val="both"/>
        <w:rPr>
          <w:rFonts w:asciiTheme="minorHAnsi" w:hAnsiTheme="minorHAnsi" w:cstheme="minorHAnsi"/>
          <w:b/>
          <w:bCs/>
        </w:rPr>
      </w:pPr>
      <w:r w:rsidRPr="00681AF1">
        <w:rPr>
          <w:rFonts w:asciiTheme="minorHAnsi" w:hAnsiTheme="minorHAnsi" w:cstheme="minorHAnsi"/>
          <w:b/>
          <w:bCs/>
        </w:rPr>
        <w:t>Información requerida</w:t>
      </w:r>
      <w:r w:rsidR="00BE4AD9" w:rsidRPr="00681AF1">
        <w:rPr>
          <w:rFonts w:asciiTheme="minorHAnsi" w:hAnsiTheme="minorHAnsi" w:cstheme="minorHAnsi"/>
          <w:b/>
          <w:bCs/>
        </w:rPr>
        <w:t xml:space="preserve"> </w:t>
      </w:r>
      <w:r w:rsidRPr="00681AF1">
        <w:rPr>
          <w:rFonts w:asciiTheme="minorHAnsi" w:hAnsiTheme="minorHAnsi" w:cstheme="minorHAnsi"/>
          <w:b/>
          <w:bCs/>
        </w:rPr>
        <w:t xml:space="preserve">a las operadoras de pensiones administradoras </w:t>
      </w:r>
    </w:p>
    <w:p w14:paraId="5FD31700" w14:textId="77777777" w:rsidR="00681AF1" w:rsidRPr="00681AF1" w:rsidRDefault="00681AF1" w:rsidP="00681AF1">
      <w:pPr>
        <w:pStyle w:val="Prrafodelista"/>
        <w:spacing w:line="276" w:lineRule="auto"/>
        <w:jc w:val="both"/>
        <w:rPr>
          <w:rFonts w:asciiTheme="minorHAnsi" w:hAnsiTheme="minorHAnsi" w:cstheme="minorHAnsi"/>
          <w:b/>
          <w:bCs/>
        </w:rPr>
      </w:pPr>
    </w:p>
    <w:p w14:paraId="40264240" w14:textId="77777777" w:rsidR="00003CEE" w:rsidRPr="00B340C5" w:rsidRDefault="00003CEE" w:rsidP="00003CEE">
      <w:pPr>
        <w:spacing w:line="240" w:lineRule="auto"/>
        <w:ind w:left="360"/>
        <w:contextualSpacing/>
        <w:jc w:val="both"/>
        <w:rPr>
          <w:rFonts w:cs="Times New Roman"/>
          <w:szCs w:val="24"/>
        </w:rPr>
      </w:pPr>
      <w:r w:rsidRPr="00B340C5">
        <w:rPr>
          <w:rFonts w:cs="Times New Roman"/>
          <w:szCs w:val="24"/>
        </w:rPr>
        <w:t>La operadora de pensiones debe remitir a la SUPEN, según el formato adjunto como Anexo 1), el detalle del traslado realizado, el mismo día en que la transferencia se verificó.</w:t>
      </w:r>
    </w:p>
    <w:p w14:paraId="16C876A1" w14:textId="77777777" w:rsidR="00003CEE" w:rsidRPr="00B340C5" w:rsidRDefault="00003CEE" w:rsidP="00003CEE">
      <w:pPr>
        <w:spacing w:line="240" w:lineRule="auto"/>
        <w:ind w:left="360"/>
        <w:contextualSpacing/>
        <w:jc w:val="both"/>
        <w:rPr>
          <w:rFonts w:cs="Times New Roman"/>
          <w:szCs w:val="24"/>
        </w:rPr>
      </w:pPr>
    </w:p>
    <w:p w14:paraId="237BCF1D" w14:textId="77777777" w:rsidR="00003CEE" w:rsidRPr="00B340C5" w:rsidRDefault="00003CEE" w:rsidP="00003CEE">
      <w:pPr>
        <w:spacing w:line="240" w:lineRule="auto"/>
        <w:ind w:left="360"/>
        <w:contextualSpacing/>
        <w:jc w:val="both"/>
        <w:rPr>
          <w:rFonts w:cs="Times New Roman"/>
          <w:szCs w:val="24"/>
        </w:rPr>
      </w:pPr>
      <w:r w:rsidRPr="00B340C5">
        <w:rPr>
          <w:rFonts w:cs="Times New Roman"/>
          <w:szCs w:val="24"/>
        </w:rPr>
        <w:lastRenderedPageBreak/>
        <w:t>La CCSS debe remitir a la SUPEN, en lo que al Régimen No Contributivo de Pensiones se refiere, la siguiente información, en los indicados plazos:</w:t>
      </w:r>
    </w:p>
    <w:p w14:paraId="5FC55018" w14:textId="77777777" w:rsidR="00003CEE" w:rsidRPr="00B340C5" w:rsidRDefault="00003CEE" w:rsidP="00003CEE">
      <w:pPr>
        <w:spacing w:line="240" w:lineRule="auto"/>
        <w:ind w:left="360"/>
        <w:contextualSpacing/>
        <w:jc w:val="both"/>
        <w:rPr>
          <w:rFonts w:cs="Times New Roman"/>
          <w:szCs w:val="24"/>
        </w:rPr>
      </w:pPr>
    </w:p>
    <w:p w14:paraId="2F9E8A47" w14:textId="77777777" w:rsidR="00003CEE" w:rsidRPr="00B340C5" w:rsidRDefault="00003CEE" w:rsidP="00003CEE">
      <w:pPr>
        <w:pStyle w:val="Prrafodelista"/>
        <w:numPr>
          <w:ilvl w:val="0"/>
          <w:numId w:val="11"/>
        </w:numPr>
        <w:spacing w:line="240" w:lineRule="auto"/>
        <w:jc w:val="both"/>
        <w:rPr>
          <w:rFonts w:cs="Times New Roman"/>
          <w:szCs w:val="24"/>
        </w:rPr>
      </w:pPr>
      <w:r w:rsidRPr="00B340C5">
        <w:rPr>
          <w:rFonts w:cs="Times New Roman"/>
          <w:szCs w:val="24"/>
        </w:rPr>
        <w:t>Movimiento bancario del ingreso de recursos por parte de las Operadoras de Pensiones, el día siguiente hábil del ingreso de recursos.</w:t>
      </w:r>
    </w:p>
    <w:p w14:paraId="702B8C4C" w14:textId="77777777" w:rsidR="00003CEE" w:rsidRPr="00B340C5" w:rsidRDefault="00003CEE" w:rsidP="00003CEE">
      <w:pPr>
        <w:pStyle w:val="Prrafodelista"/>
        <w:spacing w:line="240" w:lineRule="auto"/>
        <w:jc w:val="both"/>
        <w:rPr>
          <w:rFonts w:cs="Times New Roman"/>
          <w:szCs w:val="24"/>
        </w:rPr>
      </w:pPr>
    </w:p>
    <w:p w14:paraId="51B23CE4" w14:textId="77777777" w:rsidR="00003CEE" w:rsidRPr="00B340C5" w:rsidRDefault="00003CEE" w:rsidP="00003CEE">
      <w:pPr>
        <w:pStyle w:val="Prrafodelista"/>
        <w:numPr>
          <w:ilvl w:val="0"/>
          <w:numId w:val="11"/>
        </w:numPr>
        <w:spacing w:line="240" w:lineRule="auto"/>
        <w:jc w:val="both"/>
        <w:rPr>
          <w:rFonts w:cs="Times New Roman"/>
          <w:szCs w:val="24"/>
        </w:rPr>
      </w:pPr>
      <w:r w:rsidRPr="00B340C5">
        <w:rPr>
          <w:rFonts w:cs="Times New Roman"/>
          <w:szCs w:val="24"/>
        </w:rPr>
        <w:t>Estado mensual de la Cuenta Bancaria, los primeros tres días hábiles del mes siguiente.</w:t>
      </w:r>
    </w:p>
    <w:p w14:paraId="3DD6C547" w14:textId="77777777" w:rsidR="00003CEE" w:rsidRPr="00B340C5" w:rsidRDefault="00003CEE" w:rsidP="00003CEE">
      <w:pPr>
        <w:pStyle w:val="Prrafodelista"/>
        <w:spacing w:line="240" w:lineRule="auto"/>
        <w:rPr>
          <w:rFonts w:cs="Times New Roman"/>
          <w:szCs w:val="24"/>
        </w:rPr>
      </w:pPr>
    </w:p>
    <w:p w14:paraId="735B1573" w14:textId="77777777" w:rsidR="00003CEE" w:rsidRPr="00B340C5" w:rsidRDefault="00003CEE" w:rsidP="00003CEE">
      <w:pPr>
        <w:pStyle w:val="Prrafodelista"/>
        <w:numPr>
          <w:ilvl w:val="0"/>
          <w:numId w:val="11"/>
        </w:numPr>
        <w:spacing w:line="240" w:lineRule="auto"/>
        <w:jc w:val="both"/>
        <w:rPr>
          <w:rFonts w:cs="Times New Roman"/>
          <w:szCs w:val="24"/>
        </w:rPr>
      </w:pPr>
      <w:r w:rsidRPr="00B340C5">
        <w:rPr>
          <w:rFonts w:cs="Times New Roman"/>
          <w:szCs w:val="24"/>
        </w:rPr>
        <w:t>Informe de la proporción del pago de la planilla del Régimen No Contributivo de Pensiones, los primeros tres días hábiles del mes siguiente, donde quede acreditado el uso de los recursos provenientes de la operadora.</w:t>
      </w:r>
    </w:p>
    <w:p w14:paraId="0852C2C2" w14:textId="77777777" w:rsidR="00003CEE" w:rsidRPr="00B340C5" w:rsidRDefault="00003CEE" w:rsidP="00003CEE">
      <w:pPr>
        <w:pStyle w:val="Prrafodelista"/>
        <w:spacing w:line="240" w:lineRule="auto"/>
        <w:jc w:val="both"/>
        <w:rPr>
          <w:rFonts w:cs="Times New Roman"/>
          <w:szCs w:val="24"/>
        </w:rPr>
      </w:pPr>
    </w:p>
    <w:p w14:paraId="6A064831" w14:textId="77777777" w:rsidR="00003CEE" w:rsidRPr="00B340C5" w:rsidRDefault="00003CEE" w:rsidP="00003CEE">
      <w:pPr>
        <w:pStyle w:val="Prrafodelista"/>
        <w:numPr>
          <w:ilvl w:val="0"/>
          <w:numId w:val="11"/>
        </w:numPr>
        <w:spacing w:line="240" w:lineRule="auto"/>
        <w:jc w:val="both"/>
        <w:rPr>
          <w:rFonts w:cs="Times New Roman"/>
          <w:szCs w:val="24"/>
        </w:rPr>
      </w:pPr>
      <w:r w:rsidRPr="00B340C5">
        <w:rPr>
          <w:rFonts w:cs="Times New Roman"/>
          <w:szCs w:val="24"/>
        </w:rPr>
        <w:t>Flujo de efectivo mensual, los primeros tres días hábiles posteriores a la conciliación del flujo.</w:t>
      </w:r>
    </w:p>
    <w:p w14:paraId="0E0C7717" w14:textId="77777777" w:rsidR="00003CEE" w:rsidRPr="00B340C5" w:rsidRDefault="00003CEE" w:rsidP="00003CEE">
      <w:pPr>
        <w:spacing w:line="240" w:lineRule="auto"/>
        <w:contextualSpacing/>
        <w:jc w:val="both"/>
        <w:rPr>
          <w:rFonts w:cs="Times New Roman"/>
          <w:szCs w:val="24"/>
        </w:rPr>
      </w:pPr>
    </w:p>
    <w:p w14:paraId="0F41676E" w14:textId="77777777" w:rsidR="003C63E2" w:rsidRPr="00F37715" w:rsidRDefault="00003CEE" w:rsidP="00F37715">
      <w:pPr>
        <w:pStyle w:val="Prrafodelista"/>
        <w:numPr>
          <w:ilvl w:val="0"/>
          <w:numId w:val="11"/>
        </w:numPr>
        <w:spacing w:line="240" w:lineRule="auto"/>
        <w:jc w:val="both"/>
        <w:rPr>
          <w:rFonts w:cs="Times New Roman"/>
          <w:szCs w:val="24"/>
        </w:rPr>
      </w:pPr>
      <w:r w:rsidRPr="00B340C5">
        <w:rPr>
          <w:rFonts w:cs="Times New Roman"/>
          <w:szCs w:val="24"/>
        </w:rPr>
        <w:t>Estados financieros mensuales, los primeros tres días hábiles posteriores a su elaboración.</w:t>
      </w:r>
    </w:p>
    <w:p w14:paraId="5B2991AB" w14:textId="77777777" w:rsidR="003C63E2" w:rsidRPr="003C63E2" w:rsidRDefault="003C63E2" w:rsidP="003C63E2">
      <w:pPr>
        <w:spacing w:line="240" w:lineRule="auto"/>
        <w:jc w:val="both"/>
        <w:rPr>
          <w:rFonts w:cs="Times New Roman"/>
          <w:szCs w:val="24"/>
        </w:rPr>
      </w:pPr>
    </w:p>
    <w:p w14:paraId="64C63B7D" w14:textId="77777777" w:rsidR="00400AD1" w:rsidRDefault="00400AD1" w:rsidP="00400AD1">
      <w:pPr>
        <w:spacing w:line="276" w:lineRule="auto"/>
        <w:jc w:val="center"/>
        <w:rPr>
          <w:rFonts w:asciiTheme="minorHAnsi" w:hAnsiTheme="minorHAnsi" w:cstheme="minorHAnsi"/>
          <w:b/>
          <w:bCs/>
        </w:rPr>
      </w:pPr>
      <w:r w:rsidRPr="00400AD1">
        <w:rPr>
          <w:rFonts w:asciiTheme="minorHAnsi" w:hAnsiTheme="minorHAnsi" w:cstheme="minorHAnsi"/>
          <w:b/>
          <w:bCs/>
        </w:rPr>
        <w:t>ANEXO</w:t>
      </w:r>
      <w:r w:rsidR="00474BF9">
        <w:rPr>
          <w:rFonts w:asciiTheme="minorHAnsi" w:hAnsiTheme="minorHAnsi" w:cstheme="minorHAnsi"/>
          <w:b/>
          <w:bCs/>
        </w:rPr>
        <w:t xml:space="preserve"> 1)</w:t>
      </w:r>
    </w:p>
    <w:p w14:paraId="23E5199B" w14:textId="77777777" w:rsidR="00400AD1" w:rsidRDefault="00FC37FD" w:rsidP="00400AD1">
      <w:pPr>
        <w:spacing w:line="276" w:lineRule="auto"/>
        <w:jc w:val="both"/>
        <w:rPr>
          <w:rFonts w:ascii="Calibri" w:eastAsia="Calibri" w:hAnsi="Calibri" w:cs="Times New Roman"/>
          <w:szCs w:val="24"/>
        </w:rPr>
      </w:pPr>
      <w:r>
        <w:rPr>
          <w:rFonts w:ascii="Calibri" w:eastAsia="Calibri" w:hAnsi="Calibri" w:cs="Times New Roman"/>
          <w:szCs w:val="24"/>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5"/>
        <w:gridCol w:w="1974"/>
        <w:gridCol w:w="1919"/>
        <w:gridCol w:w="3568"/>
      </w:tblGrid>
      <w:tr w:rsidR="008F4AB0" w:rsidRPr="00B340C5" w14:paraId="21AD9AA4" w14:textId="77777777" w:rsidTr="005037DC">
        <w:trPr>
          <w:trHeight w:val="300"/>
          <w:jc w:val="center"/>
        </w:trPr>
        <w:tc>
          <w:tcPr>
            <w:tcW w:w="3869" w:type="dxa"/>
            <w:gridSpan w:val="2"/>
            <w:vMerge w:val="restart"/>
            <w:shd w:val="clear" w:color="auto" w:fill="F2F2F2" w:themeFill="background1" w:themeFillShade="F2"/>
          </w:tcPr>
          <w:p w14:paraId="27141811" w14:textId="77777777" w:rsidR="008F4AB0" w:rsidRPr="00B340C5" w:rsidRDefault="008F4AB0" w:rsidP="005037DC">
            <w:pPr>
              <w:spacing w:line="240" w:lineRule="auto"/>
              <w:contextualSpacing/>
              <w:rPr>
                <w:rFonts w:eastAsia="Times New Roman" w:cs="Times New Roman"/>
                <w:b/>
                <w:bCs/>
                <w:color w:val="000000"/>
                <w:szCs w:val="24"/>
                <w:lang w:eastAsia="es-CR"/>
              </w:rPr>
            </w:pPr>
            <w:r w:rsidRPr="00B340C5">
              <w:rPr>
                <w:rFonts w:eastAsia="Times New Roman" w:cs="Times New Roman"/>
                <w:color w:val="000000"/>
                <w:szCs w:val="24"/>
                <w:lang w:eastAsia="es-CR"/>
              </w:rPr>
              <w:t> </w:t>
            </w:r>
          </w:p>
        </w:tc>
        <w:tc>
          <w:tcPr>
            <w:tcW w:w="5487" w:type="dxa"/>
            <w:gridSpan w:val="2"/>
            <w:shd w:val="clear" w:color="auto" w:fill="F2F2F2" w:themeFill="background1" w:themeFillShade="F2"/>
            <w:noWrap/>
            <w:vAlign w:val="bottom"/>
            <w:hideMark/>
          </w:tcPr>
          <w:p w14:paraId="48EC05F6" w14:textId="77777777" w:rsidR="008F4AB0" w:rsidRPr="00681AF1" w:rsidRDefault="008F4AB0" w:rsidP="005037DC">
            <w:pPr>
              <w:spacing w:line="240" w:lineRule="auto"/>
              <w:contextualSpacing/>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Nombre de la Operadora de Pensiones Complementarias</w:t>
            </w:r>
          </w:p>
        </w:tc>
      </w:tr>
      <w:tr w:rsidR="008F4AB0" w:rsidRPr="00B340C5" w14:paraId="7BFE5E83" w14:textId="77777777" w:rsidTr="005037DC">
        <w:trPr>
          <w:trHeight w:val="300"/>
          <w:jc w:val="center"/>
        </w:trPr>
        <w:tc>
          <w:tcPr>
            <w:tcW w:w="3869" w:type="dxa"/>
            <w:gridSpan w:val="2"/>
            <w:vMerge/>
            <w:shd w:val="clear" w:color="auto" w:fill="F2F2F2"/>
          </w:tcPr>
          <w:p w14:paraId="1C124B1D" w14:textId="77777777" w:rsidR="008F4AB0" w:rsidRPr="00B340C5" w:rsidRDefault="008F4AB0" w:rsidP="005037DC">
            <w:pPr>
              <w:spacing w:line="240" w:lineRule="auto"/>
              <w:contextualSpacing/>
              <w:rPr>
                <w:rFonts w:eastAsia="Times New Roman" w:cs="Times New Roman"/>
                <w:b/>
                <w:bCs/>
                <w:color w:val="000000"/>
                <w:szCs w:val="24"/>
                <w:lang w:eastAsia="es-CR"/>
              </w:rPr>
            </w:pPr>
          </w:p>
        </w:tc>
        <w:tc>
          <w:tcPr>
            <w:tcW w:w="5487" w:type="dxa"/>
            <w:gridSpan w:val="2"/>
            <w:shd w:val="clear" w:color="auto" w:fill="F2F2F2"/>
            <w:noWrap/>
            <w:vAlign w:val="bottom"/>
            <w:hideMark/>
          </w:tcPr>
          <w:p w14:paraId="04D86098" w14:textId="77777777" w:rsidR="008F4AB0" w:rsidRPr="00681AF1" w:rsidRDefault="008F4AB0" w:rsidP="005037DC">
            <w:pPr>
              <w:spacing w:line="240" w:lineRule="auto"/>
              <w:contextualSpacing/>
              <w:rPr>
                <w:rFonts w:asciiTheme="minorHAnsi" w:eastAsia="Times New Roman" w:hAnsiTheme="minorHAnsi" w:cstheme="minorHAnsi"/>
                <w:szCs w:val="24"/>
                <w:lang w:eastAsia="es-CR"/>
              </w:rPr>
            </w:pPr>
            <w:r w:rsidRPr="00681AF1">
              <w:rPr>
                <w:rFonts w:asciiTheme="minorHAnsi" w:eastAsia="Times New Roman" w:hAnsiTheme="minorHAnsi" w:cstheme="minorHAnsi"/>
                <w:b/>
                <w:bCs/>
                <w:color w:val="000000"/>
                <w:szCs w:val="24"/>
                <w:lang w:eastAsia="es-CR"/>
              </w:rPr>
              <w:t>Fecha del traslado:</w:t>
            </w:r>
          </w:p>
        </w:tc>
      </w:tr>
      <w:tr w:rsidR="008F4AB0" w:rsidRPr="00B340C5" w14:paraId="39ECEB4A" w14:textId="77777777" w:rsidTr="005037DC">
        <w:trPr>
          <w:trHeight w:val="300"/>
          <w:jc w:val="center"/>
        </w:trPr>
        <w:tc>
          <w:tcPr>
            <w:tcW w:w="3869" w:type="dxa"/>
            <w:gridSpan w:val="2"/>
            <w:vMerge/>
            <w:shd w:val="clear" w:color="auto" w:fill="auto"/>
            <w:noWrap/>
            <w:vAlign w:val="bottom"/>
            <w:hideMark/>
          </w:tcPr>
          <w:p w14:paraId="687CC9BD" w14:textId="77777777" w:rsidR="008F4AB0" w:rsidRPr="00B340C5" w:rsidRDefault="008F4AB0" w:rsidP="005037DC">
            <w:pPr>
              <w:spacing w:line="240" w:lineRule="auto"/>
              <w:contextualSpacing/>
              <w:rPr>
                <w:rFonts w:eastAsia="Times New Roman" w:cs="Times New Roman"/>
                <w:b/>
                <w:bCs/>
                <w:color w:val="000000"/>
                <w:szCs w:val="24"/>
                <w:lang w:eastAsia="es-CR"/>
              </w:rPr>
            </w:pPr>
          </w:p>
        </w:tc>
        <w:tc>
          <w:tcPr>
            <w:tcW w:w="5487" w:type="dxa"/>
            <w:gridSpan w:val="2"/>
            <w:shd w:val="clear" w:color="auto" w:fill="F2F2F2"/>
          </w:tcPr>
          <w:p w14:paraId="16544522" w14:textId="77777777" w:rsidR="008F4AB0" w:rsidRPr="00681AF1" w:rsidRDefault="008F4AB0" w:rsidP="005037DC">
            <w:pPr>
              <w:spacing w:line="240" w:lineRule="auto"/>
              <w:contextualSpacing/>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Detalle del traslado</w:t>
            </w:r>
          </w:p>
        </w:tc>
      </w:tr>
      <w:tr w:rsidR="008F4AB0" w:rsidRPr="00B340C5" w14:paraId="71008636" w14:textId="77777777" w:rsidTr="005037DC">
        <w:trPr>
          <w:trHeight w:val="845"/>
          <w:jc w:val="center"/>
        </w:trPr>
        <w:tc>
          <w:tcPr>
            <w:tcW w:w="1895" w:type="dxa"/>
            <w:shd w:val="clear" w:color="auto" w:fill="D9D9D9" w:themeFill="background1" w:themeFillShade="D9"/>
            <w:noWrap/>
            <w:vAlign w:val="center"/>
            <w:hideMark/>
          </w:tcPr>
          <w:p w14:paraId="510B49BA" w14:textId="77777777" w:rsidR="008F4AB0" w:rsidRPr="00681AF1" w:rsidRDefault="008F4AB0" w:rsidP="005037DC">
            <w:pPr>
              <w:spacing w:line="240" w:lineRule="auto"/>
              <w:contextualSpacing/>
              <w:jc w:val="center"/>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Nombre del fondo</w:t>
            </w:r>
          </w:p>
        </w:tc>
        <w:tc>
          <w:tcPr>
            <w:tcW w:w="1974" w:type="dxa"/>
            <w:shd w:val="clear" w:color="auto" w:fill="D9D9D9" w:themeFill="background1" w:themeFillShade="D9"/>
            <w:noWrap/>
            <w:vAlign w:val="center"/>
            <w:hideMark/>
          </w:tcPr>
          <w:p w14:paraId="3918483A" w14:textId="77777777" w:rsidR="008F4AB0" w:rsidRPr="00681AF1" w:rsidRDefault="008F4AB0" w:rsidP="005037DC">
            <w:pPr>
              <w:spacing w:line="240" w:lineRule="auto"/>
              <w:contextualSpacing/>
              <w:jc w:val="center"/>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Cantidad de registros</w:t>
            </w:r>
          </w:p>
        </w:tc>
        <w:tc>
          <w:tcPr>
            <w:tcW w:w="1919" w:type="dxa"/>
            <w:shd w:val="clear" w:color="auto" w:fill="D9D9D9" w:themeFill="background1" w:themeFillShade="D9"/>
            <w:vAlign w:val="center"/>
          </w:tcPr>
          <w:p w14:paraId="7397A2DF" w14:textId="77777777" w:rsidR="008F4AB0" w:rsidRPr="00681AF1" w:rsidRDefault="008F4AB0" w:rsidP="005037DC">
            <w:pPr>
              <w:spacing w:line="240" w:lineRule="auto"/>
              <w:contextualSpacing/>
              <w:jc w:val="center"/>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Tipo de registro (erróneo</w:t>
            </w:r>
            <w:r w:rsidR="00681AF1" w:rsidRPr="00681AF1">
              <w:rPr>
                <w:rFonts w:asciiTheme="minorHAnsi" w:eastAsia="Times New Roman" w:hAnsiTheme="minorHAnsi" w:cstheme="minorHAnsi"/>
                <w:b/>
                <w:bCs/>
                <w:color w:val="000000"/>
                <w:szCs w:val="24"/>
                <w:lang w:eastAsia="es-CR"/>
              </w:rPr>
              <w:t>,</w:t>
            </w:r>
            <w:r w:rsidRPr="00681AF1">
              <w:rPr>
                <w:rFonts w:asciiTheme="minorHAnsi" w:eastAsia="Times New Roman" w:hAnsiTheme="minorHAnsi" w:cstheme="minorHAnsi"/>
                <w:b/>
                <w:bCs/>
                <w:color w:val="000000"/>
                <w:szCs w:val="24"/>
                <w:lang w:eastAsia="es-CR"/>
              </w:rPr>
              <w:t xml:space="preserve"> aporte por asignar</w:t>
            </w:r>
            <w:r w:rsidR="00681AF1" w:rsidRPr="00681AF1">
              <w:rPr>
                <w:rFonts w:asciiTheme="minorHAnsi" w:eastAsia="Times New Roman" w:hAnsiTheme="minorHAnsi" w:cstheme="minorHAnsi"/>
                <w:b/>
                <w:bCs/>
                <w:color w:val="000000"/>
                <w:szCs w:val="24"/>
                <w:lang w:eastAsia="es-CR"/>
              </w:rPr>
              <w:t xml:space="preserve"> o fallecidos</w:t>
            </w:r>
            <w:r w:rsidRPr="00681AF1">
              <w:rPr>
                <w:rFonts w:asciiTheme="minorHAnsi" w:eastAsia="Times New Roman" w:hAnsiTheme="minorHAnsi" w:cstheme="minorHAnsi"/>
                <w:b/>
                <w:bCs/>
                <w:color w:val="000000"/>
                <w:szCs w:val="24"/>
                <w:lang w:eastAsia="es-CR"/>
              </w:rPr>
              <w:t>)</w:t>
            </w:r>
          </w:p>
        </w:tc>
        <w:tc>
          <w:tcPr>
            <w:tcW w:w="3568" w:type="dxa"/>
            <w:shd w:val="clear" w:color="auto" w:fill="D9D9D9" w:themeFill="background1" w:themeFillShade="D9"/>
            <w:noWrap/>
            <w:vAlign w:val="center"/>
            <w:hideMark/>
          </w:tcPr>
          <w:p w14:paraId="1B5041FF" w14:textId="77777777" w:rsidR="008F4AB0" w:rsidRPr="00681AF1" w:rsidRDefault="008F4AB0" w:rsidP="005037DC">
            <w:pPr>
              <w:spacing w:line="240" w:lineRule="auto"/>
              <w:contextualSpacing/>
              <w:jc w:val="center"/>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Monto</w:t>
            </w:r>
          </w:p>
        </w:tc>
      </w:tr>
      <w:tr w:rsidR="008F4AB0" w:rsidRPr="00B340C5" w14:paraId="3295D462" w14:textId="77777777" w:rsidTr="005037DC">
        <w:trPr>
          <w:trHeight w:val="300"/>
          <w:jc w:val="center"/>
        </w:trPr>
        <w:tc>
          <w:tcPr>
            <w:tcW w:w="1895" w:type="dxa"/>
            <w:shd w:val="clear" w:color="auto" w:fill="auto"/>
            <w:noWrap/>
            <w:vAlign w:val="bottom"/>
            <w:hideMark/>
          </w:tcPr>
          <w:p w14:paraId="3C29B6C2"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2755151B"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0617847B"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4F4203BA"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04A4DC42" w14:textId="77777777" w:rsidTr="005037DC">
        <w:trPr>
          <w:trHeight w:val="300"/>
          <w:jc w:val="center"/>
        </w:trPr>
        <w:tc>
          <w:tcPr>
            <w:tcW w:w="1895" w:type="dxa"/>
            <w:shd w:val="clear" w:color="auto" w:fill="auto"/>
            <w:noWrap/>
            <w:vAlign w:val="bottom"/>
            <w:hideMark/>
          </w:tcPr>
          <w:p w14:paraId="390176F6"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083DA086"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3F43F066"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2C6A49FB"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3BE2DE3B" w14:textId="77777777" w:rsidTr="005037DC">
        <w:trPr>
          <w:trHeight w:val="300"/>
          <w:jc w:val="center"/>
        </w:trPr>
        <w:tc>
          <w:tcPr>
            <w:tcW w:w="1895" w:type="dxa"/>
            <w:shd w:val="clear" w:color="auto" w:fill="auto"/>
            <w:noWrap/>
            <w:vAlign w:val="bottom"/>
            <w:hideMark/>
          </w:tcPr>
          <w:p w14:paraId="43A27AB0"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4B4979F1"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5CD801BE"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65C7C524"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600CF0B1" w14:textId="77777777" w:rsidTr="005037DC">
        <w:trPr>
          <w:trHeight w:val="300"/>
          <w:jc w:val="center"/>
        </w:trPr>
        <w:tc>
          <w:tcPr>
            <w:tcW w:w="1895" w:type="dxa"/>
            <w:shd w:val="clear" w:color="auto" w:fill="auto"/>
            <w:noWrap/>
            <w:vAlign w:val="bottom"/>
            <w:hideMark/>
          </w:tcPr>
          <w:p w14:paraId="09744358"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4C484C80"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0CABB9EC"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33084A08"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56247549" w14:textId="77777777" w:rsidTr="005037DC">
        <w:trPr>
          <w:trHeight w:val="300"/>
          <w:jc w:val="center"/>
        </w:trPr>
        <w:tc>
          <w:tcPr>
            <w:tcW w:w="1895" w:type="dxa"/>
            <w:shd w:val="clear" w:color="auto" w:fill="auto"/>
            <w:noWrap/>
            <w:vAlign w:val="bottom"/>
            <w:hideMark/>
          </w:tcPr>
          <w:p w14:paraId="6B7AA3B2"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5AE6C4FF"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622042AD"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0AAAD119"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193F3B43" w14:textId="77777777" w:rsidTr="005037DC">
        <w:trPr>
          <w:trHeight w:val="300"/>
          <w:jc w:val="center"/>
        </w:trPr>
        <w:tc>
          <w:tcPr>
            <w:tcW w:w="1895" w:type="dxa"/>
            <w:shd w:val="clear" w:color="auto" w:fill="auto"/>
            <w:noWrap/>
            <w:vAlign w:val="bottom"/>
            <w:hideMark/>
          </w:tcPr>
          <w:p w14:paraId="4FB45D1E"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55651B71"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22DAAC33"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3A0CD474"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16560D46" w14:textId="77777777" w:rsidTr="005037DC">
        <w:trPr>
          <w:trHeight w:val="300"/>
          <w:jc w:val="center"/>
        </w:trPr>
        <w:tc>
          <w:tcPr>
            <w:tcW w:w="1895" w:type="dxa"/>
            <w:shd w:val="clear" w:color="auto" w:fill="auto"/>
            <w:noWrap/>
            <w:vAlign w:val="bottom"/>
            <w:hideMark/>
          </w:tcPr>
          <w:p w14:paraId="29D13A01"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5AAB08D6"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6E7ED6BA"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1300875F"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73FB4C49" w14:textId="77777777" w:rsidTr="005037DC">
        <w:trPr>
          <w:trHeight w:val="300"/>
          <w:jc w:val="center"/>
        </w:trPr>
        <w:tc>
          <w:tcPr>
            <w:tcW w:w="1895" w:type="dxa"/>
            <w:shd w:val="clear" w:color="auto" w:fill="auto"/>
            <w:noWrap/>
            <w:vAlign w:val="bottom"/>
            <w:hideMark/>
          </w:tcPr>
          <w:p w14:paraId="7E47EE06"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288353D8"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51343C17"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5BF22827"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32F68682" w14:textId="77777777" w:rsidTr="005037DC">
        <w:trPr>
          <w:trHeight w:val="300"/>
          <w:jc w:val="center"/>
        </w:trPr>
        <w:tc>
          <w:tcPr>
            <w:tcW w:w="1895" w:type="dxa"/>
            <w:shd w:val="clear" w:color="auto" w:fill="auto"/>
            <w:noWrap/>
            <w:vAlign w:val="bottom"/>
            <w:hideMark/>
          </w:tcPr>
          <w:p w14:paraId="0AAA90D9"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4C837FEA"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6BCF1EDA"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03DF9227"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1BFEDFBC" w14:textId="77777777" w:rsidTr="005037DC">
        <w:trPr>
          <w:trHeight w:val="300"/>
          <w:jc w:val="center"/>
        </w:trPr>
        <w:tc>
          <w:tcPr>
            <w:tcW w:w="1895" w:type="dxa"/>
            <w:shd w:val="clear" w:color="auto" w:fill="auto"/>
            <w:noWrap/>
            <w:vAlign w:val="bottom"/>
            <w:hideMark/>
          </w:tcPr>
          <w:p w14:paraId="369306BD"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41764E83"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72AEC6DC"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360FECDE"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7AAC522D" w14:textId="77777777" w:rsidTr="005037DC">
        <w:trPr>
          <w:trHeight w:val="300"/>
          <w:jc w:val="center"/>
        </w:trPr>
        <w:tc>
          <w:tcPr>
            <w:tcW w:w="1895" w:type="dxa"/>
            <w:shd w:val="clear" w:color="auto" w:fill="auto"/>
            <w:noWrap/>
            <w:vAlign w:val="bottom"/>
            <w:hideMark/>
          </w:tcPr>
          <w:p w14:paraId="1BD9F608"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13C0565E"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54BE163C"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1B67DD95"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121E35BE" w14:textId="77777777" w:rsidTr="005037DC">
        <w:trPr>
          <w:trHeight w:val="300"/>
          <w:jc w:val="center"/>
        </w:trPr>
        <w:tc>
          <w:tcPr>
            <w:tcW w:w="1895" w:type="dxa"/>
            <w:shd w:val="clear" w:color="auto" w:fill="auto"/>
            <w:noWrap/>
            <w:vAlign w:val="bottom"/>
            <w:hideMark/>
          </w:tcPr>
          <w:p w14:paraId="3FD97944"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150DF55B"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538A5AC1"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7DC88EE0"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366EAE57" w14:textId="77777777" w:rsidTr="005037DC">
        <w:trPr>
          <w:trHeight w:val="300"/>
          <w:jc w:val="center"/>
        </w:trPr>
        <w:tc>
          <w:tcPr>
            <w:tcW w:w="1895" w:type="dxa"/>
            <w:shd w:val="clear" w:color="auto" w:fill="auto"/>
            <w:noWrap/>
            <w:vAlign w:val="bottom"/>
            <w:hideMark/>
          </w:tcPr>
          <w:p w14:paraId="2C0071FF"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lastRenderedPageBreak/>
              <w:t> </w:t>
            </w:r>
          </w:p>
        </w:tc>
        <w:tc>
          <w:tcPr>
            <w:tcW w:w="1974" w:type="dxa"/>
            <w:shd w:val="clear" w:color="auto" w:fill="auto"/>
            <w:noWrap/>
            <w:vAlign w:val="bottom"/>
            <w:hideMark/>
          </w:tcPr>
          <w:p w14:paraId="2822116A"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3E02D7D0"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0E1E2B45"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275BB8C7" w14:textId="77777777" w:rsidTr="005037DC">
        <w:trPr>
          <w:trHeight w:val="300"/>
          <w:jc w:val="center"/>
        </w:trPr>
        <w:tc>
          <w:tcPr>
            <w:tcW w:w="1895" w:type="dxa"/>
            <w:shd w:val="clear" w:color="auto" w:fill="auto"/>
            <w:noWrap/>
            <w:vAlign w:val="bottom"/>
            <w:hideMark/>
          </w:tcPr>
          <w:p w14:paraId="4F2302E4"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74" w:type="dxa"/>
            <w:shd w:val="clear" w:color="auto" w:fill="auto"/>
            <w:noWrap/>
            <w:vAlign w:val="bottom"/>
            <w:hideMark/>
          </w:tcPr>
          <w:p w14:paraId="0D32C304"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tcPr>
          <w:p w14:paraId="6F70304A"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auto"/>
            <w:noWrap/>
            <w:vAlign w:val="bottom"/>
            <w:hideMark/>
          </w:tcPr>
          <w:p w14:paraId="3DF97DCB"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r w:rsidR="008F4AB0" w:rsidRPr="00B340C5" w14:paraId="57BA4926" w14:textId="77777777" w:rsidTr="005037DC">
        <w:trPr>
          <w:trHeight w:val="300"/>
          <w:jc w:val="center"/>
        </w:trPr>
        <w:tc>
          <w:tcPr>
            <w:tcW w:w="1895" w:type="dxa"/>
            <w:shd w:val="clear" w:color="auto" w:fill="D9D9D9" w:themeFill="background1" w:themeFillShade="D9"/>
            <w:noWrap/>
            <w:vAlign w:val="bottom"/>
            <w:hideMark/>
          </w:tcPr>
          <w:p w14:paraId="04CC7094" w14:textId="77777777" w:rsidR="008F4AB0" w:rsidRPr="00681AF1" w:rsidRDefault="008F4AB0" w:rsidP="005037DC">
            <w:pPr>
              <w:spacing w:line="240" w:lineRule="auto"/>
              <w:contextualSpacing/>
              <w:rPr>
                <w:rFonts w:asciiTheme="minorHAnsi" w:eastAsia="Times New Roman" w:hAnsiTheme="minorHAnsi" w:cstheme="minorHAnsi"/>
                <w:b/>
                <w:bCs/>
                <w:color w:val="000000"/>
                <w:szCs w:val="24"/>
                <w:lang w:eastAsia="es-CR"/>
              </w:rPr>
            </w:pPr>
            <w:r w:rsidRPr="00681AF1">
              <w:rPr>
                <w:rFonts w:asciiTheme="minorHAnsi" w:eastAsia="Times New Roman" w:hAnsiTheme="minorHAnsi" w:cstheme="minorHAnsi"/>
                <w:b/>
                <w:bCs/>
                <w:color w:val="000000"/>
                <w:szCs w:val="24"/>
                <w:lang w:eastAsia="es-CR"/>
              </w:rPr>
              <w:t>TOTAL</w:t>
            </w:r>
          </w:p>
        </w:tc>
        <w:tc>
          <w:tcPr>
            <w:tcW w:w="1974" w:type="dxa"/>
            <w:shd w:val="clear" w:color="auto" w:fill="D9D9D9" w:themeFill="background1" w:themeFillShade="D9"/>
            <w:noWrap/>
            <w:vAlign w:val="bottom"/>
            <w:hideMark/>
          </w:tcPr>
          <w:p w14:paraId="32079FC7"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c>
          <w:tcPr>
            <w:tcW w:w="1919" w:type="dxa"/>
            <w:shd w:val="clear" w:color="auto" w:fill="D9D9D9" w:themeFill="background1" w:themeFillShade="D9"/>
          </w:tcPr>
          <w:p w14:paraId="6989701B" w14:textId="77777777" w:rsidR="008F4AB0" w:rsidRPr="00B340C5" w:rsidRDefault="008F4AB0" w:rsidP="005037DC">
            <w:pPr>
              <w:spacing w:line="240" w:lineRule="auto"/>
              <w:contextualSpacing/>
              <w:rPr>
                <w:rFonts w:eastAsia="Times New Roman" w:cs="Times New Roman"/>
                <w:color w:val="000000"/>
                <w:szCs w:val="24"/>
                <w:lang w:eastAsia="es-CR"/>
              </w:rPr>
            </w:pPr>
          </w:p>
        </w:tc>
        <w:tc>
          <w:tcPr>
            <w:tcW w:w="3568" w:type="dxa"/>
            <w:shd w:val="clear" w:color="auto" w:fill="D9D9D9" w:themeFill="background1" w:themeFillShade="D9"/>
            <w:noWrap/>
            <w:vAlign w:val="bottom"/>
            <w:hideMark/>
          </w:tcPr>
          <w:p w14:paraId="589E9B57" w14:textId="77777777" w:rsidR="008F4AB0" w:rsidRPr="00B340C5" w:rsidRDefault="008F4AB0" w:rsidP="005037DC">
            <w:pPr>
              <w:spacing w:line="240" w:lineRule="auto"/>
              <w:contextualSpacing/>
              <w:rPr>
                <w:rFonts w:eastAsia="Times New Roman" w:cs="Times New Roman"/>
                <w:color w:val="000000"/>
                <w:szCs w:val="24"/>
                <w:lang w:eastAsia="es-CR"/>
              </w:rPr>
            </w:pPr>
            <w:r w:rsidRPr="00B340C5">
              <w:rPr>
                <w:rFonts w:eastAsia="Times New Roman" w:cs="Times New Roman"/>
                <w:color w:val="000000"/>
                <w:szCs w:val="24"/>
                <w:lang w:eastAsia="es-CR"/>
              </w:rPr>
              <w:t> </w:t>
            </w:r>
          </w:p>
        </w:tc>
      </w:tr>
    </w:tbl>
    <w:p w14:paraId="209509E7" w14:textId="77777777" w:rsidR="00CB18F5" w:rsidRPr="00BD0C19" w:rsidRDefault="00CB18F5" w:rsidP="00AF7580">
      <w:pPr>
        <w:spacing w:line="276" w:lineRule="auto"/>
      </w:pPr>
    </w:p>
    <w:p w14:paraId="6AB80744" w14:textId="49DCC166" w:rsidR="004A23F5" w:rsidRDefault="004A23F5" w:rsidP="00AF7580">
      <w:pPr>
        <w:spacing w:line="276" w:lineRule="auto"/>
      </w:pPr>
      <w:r>
        <w:t>Rige a partir de su comunicación.</w:t>
      </w:r>
    </w:p>
    <w:p w14:paraId="34F44626" w14:textId="77777777" w:rsidR="004A23F5" w:rsidRDefault="004A23F5" w:rsidP="00AF7580">
      <w:pPr>
        <w:spacing w:line="276" w:lineRule="auto"/>
      </w:pPr>
    </w:p>
    <w:p w14:paraId="10A9A741" w14:textId="27508423" w:rsidR="00291B81" w:rsidRDefault="00291B81" w:rsidP="00AF7580">
      <w:pPr>
        <w:spacing w:line="276" w:lineRule="auto"/>
      </w:pPr>
      <w:r>
        <w:t>Comuníquese.</w:t>
      </w:r>
    </w:p>
    <w:p w14:paraId="56EA04FC" w14:textId="77777777" w:rsidR="00EF1F0B" w:rsidRDefault="00EF1F0B" w:rsidP="00AF7580">
      <w:pPr>
        <w:spacing w:line="276" w:lineRule="auto"/>
      </w:pPr>
    </w:p>
    <w:p w14:paraId="57823544" w14:textId="77777777" w:rsidR="00685BE3" w:rsidRDefault="00685BE3" w:rsidP="00AF7580">
      <w:pPr>
        <w:spacing w:line="276" w:lineRule="auto"/>
      </w:pPr>
    </w:p>
    <w:p w14:paraId="39424493" w14:textId="77777777" w:rsidR="00851CCD" w:rsidRDefault="00851CCD" w:rsidP="00851CCD">
      <w:pPr>
        <w:spacing w:line="276" w:lineRule="auto"/>
      </w:pPr>
      <w:r>
        <w:rPr>
          <w:noProof/>
          <w:lang w:val="es-CR" w:eastAsia="es-CR"/>
        </w:rPr>
        <w:drawing>
          <wp:inline distT="0" distB="0" distL="0" distR="0" wp14:anchorId="337DA0FF" wp14:editId="75961905">
            <wp:extent cx="1244600" cy="482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3E4D9132" w14:textId="77777777" w:rsidR="00A0168D" w:rsidRDefault="00A0168D" w:rsidP="00A0168D">
      <w:pPr>
        <w:spacing w:line="276" w:lineRule="auto"/>
      </w:pPr>
      <w:r>
        <w:t>Rocío Aguilar M.</w:t>
      </w:r>
    </w:p>
    <w:p w14:paraId="40C8042E" w14:textId="77777777" w:rsidR="0058753F" w:rsidRDefault="00A0168D" w:rsidP="00AF7580">
      <w:pPr>
        <w:spacing w:line="276" w:lineRule="auto"/>
      </w:pPr>
      <w:r>
        <w:t>Superintendente de Pensiones</w:t>
      </w:r>
    </w:p>
    <w:p w14:paraId="54552A75" w14:textId="77777777" w:rsidR="00523FCE" w:rsidRDefault="00523FCE" w:rsidP="00AF7580">
      <w:pPr>
        <w:spacing w:line="276" w:lineRule="auto"/>
        <w:rPr>
          <w:sz w:val="20"/>
        </w:rPr>
      </w:pPr>
    </w:p>
    <w:p w14:paraId="36A4353E" w14:textId="77777777" w:rsidR="00EF1F0B" w:rsidRDefault="00EF1F0B" w:rsidP="00AF7580">
      <w:pPr>
        <w:spacing w:line="276" w:lineRule="auto"/>
        <w:rPr>
          <w:sz w:val="18"/>
        </w:rPr>
      </w:pPr>
    </w:p>
    <w:p w14:paraId="624AAADC" w14:textId="0C5A912E" w:rsidR="00CF4295" w:rsidRDefault="004B3D1D" w:rsidP="00AF7580">
      <w:pPr>
        <w:spacing w:line="276" w:lineRule="auto"/>
        <w:rPr>
          <w:sz w:val="18"/>
        </w:rPr>
      </w:pPr>
      <w:r>
        <w:rPr>
          <w:sz w:val="18"/>
        </w:rPr>
        <w:t>Aproba</w:t>
      </w:r>
      <w:r w:rsidR="00B65E0E">
        <w:rPr>
          <w:sz w:val="18"/>
        </w:rPr>
        <w:t>d</w:t>
      </w:r>
      <w:r>
        <w:rPr>
          <w:sz w:val="18"/>
        </w:rPr>
        <w:t>o</w:t>
      </w:r>
      <w:r w:rsidR="006803D3" w:rsidRPr="006803D3">
        <w:rPr>
          <w:sz w:val="18"/>
        </w:rPr>
        <w:t xml:space="preserve"> por</w:t>
      </w:r>
      <w:r w:rsidR="00681AF1">
        <w:rPr>
          <w:sz w:val="18"/>
        </w:rPr>
        <w:t xml:space="preserve"> </w:t>
      </w:r>
      <w:r w:rsidR="00601E69">
        <w:rPr>
          <w:sz w:val="18"/>
        </w:rPr>
        <w:t>YSCh.</w:t>
      </w:r>
    </w:p>
    <w:p w14:paraId="09804E42" w14:textId="77777777" w:rsidR="00EF1F0B" w:rsidRDefault="00EF1F0B" w:rsidP="00AF7580">
      <w:pPr>
        <w:spacing w:line="276" w:lineRule="auto"/>
        <w:rPr>
          <w:sz w:val="18"/>
        </w:rPr>
      </w:pPr>
    </w:p>
    <w:p w14:paraId="6589AA63" w14:textId="77777777" w:rsidR="00423B0A" w:rsidRDefault="00423B0A" w:rsidP="00AF7580">
      <w:pPr>
        <w:spacing w:line="276" w:lineRule="auto"/>
        <w:rPr>
          <w:sz w:val="18"/>
        </w:rPr>
      </w:pPr>
    </w:p>
    <w:p w14:paraId="6D5A8A74" w14:textId="77777777" w:rsidR="00423B0A" w:rsidRDefault="00423B0A" w:rsidP="00AF7580">
      <w:pPr>
        <w:spacing w:line="276" w:lineRule="auto"/>
        <w:rPr>
          <w:sz w:val="18"/>
        </w:rPr>
      </w:pPr>
      <w:r>
        <w:rPr>
          <w:sz w:val="18"/>
        </w:rPr>
        <w:t>C/</w:t>
      </w:r>
    </w:p>
    <w:p w14:paraId="457E72F6" w14:textId="77777777" w:rsidR="00423B0A" w:rsidRPr="00423B0A" w:rsidRDefault="00423B0A" w:rsidP="00423B0A">
      <w:pPr>
        <w:spacing w:line="276" w:lineRule="auto"/>
        <w:rPr>
          <w:sz w:val="18"/>
        </w:rPr>
      </w:pPr>
      <w:r w:rsidRPr="00423B0A">
        <w:rPr>
          <w:sz w:val="18"/>
        </w:rPr>
        <w:t>Jaime Barrantes Espinoza, Gerente Pensiones CCSS</w:t>
      </w:r>
    </w:p>
    <w:p w14:paraId="1F0D13B9" w14:textId="77777777" w:rsidR="00423B0A" w:rsidRDefault="005B6AD1" w:rsidP="00423B0A">
      <w:pPr>
        <w:spacing w:line="276" w:lineRule="auto"/>
        <w:rPr>
          <w:sz w:val="18"/>
        </w:rPr>
      </w:pPr>
      <w:hyperlink r:id="rId12" w:history="1">
        <w:r w:rsidR="00423B0A" w:rsidRPr="001867C3">
          <w:rPr>
            <w:rStyle w:val="Hipervnculo"/>
            <w:sz w:val="18"/>
          </w:rPr>
          <w:t>jbarrantes@ccss.sa.cr</w:t>
        </w:r>
      </w:hyperlink>
    </w:p>
    <w:p w14:paraId="53BA5734" w14:textId="77777777" w:rsidR="00423B0A" w:rsidRDefault="005B6AD1" w:rsidP="00423B0A">
      <w:pPr>
        <w:spacing w:line="276" w:lineRule="auto"/>
        <w:rPr>
          <w:sz w:val="18"/>
        </w:rPr>
      </w:pPr>
      <w:hyperlink r:id="rId13" w:history="1">
        <w:r w:rsidR="00423B0A" w:rsidRPr="001867C3">
          <w:rPr>
            <w:rStyle w:val="Hipervnculo"/>
            <w:sz w:val="18"/>
          </w:rPr>
          <w:t>coinccss@ccss.sa.cr</w:t>
        </w:r>
      </w:hyperlink>
    </w:p>
    <w:p w14:paraId="2EB04C2B" w14:textId="77777777" w:rsidR="00423B0A" w:rsidRPr="00FA2CD1" w:rsidRDefault="00423B0A" w:rsidP="00423B0A">
      <w:pPr>
        <w:spacing w:line="276" w:lineRule="auto"/>
        <w:rPr>
          <w:sz w:val="18"/>
        </w:rPr>
      </w:pPr>
    </w:p>
    <w:sectPr w:rsidR="00423B0A" w:rsidRPr="00FA2CD1" w:rsidSect="00366178">
      <w:headerReference w:type="even" r:id="rId14"/>
      <w:headerReference w:type="default" r:id="rId15"/>
      <w:footerReference w:type="even" r:id="rId16"/>
      <w:footerReference w:type="default" r:id="rId17"/>
      <w:headerReference w:type="first" r:id="rId18"/>
      <w:footerReference w:type="first" r:id="rId19"/>
      <w:pgSz w:w="12240" w:h="15840" w:code="1"/>
      <w:pgMar w:top="1418" w:right="1531" w:bottom="1418" w:left="153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321C" w14:textId="77777777" w:rsidR="00DE4F55" w:rsidRDefault="00DE4F55" w:rsidP="00011FAB">
      <w:pPr>
        <w:spacing w:line="240" w:lineRule="auto"/>
      </w:pPr>
      <w:r>
        <w:separator/>
      </w:r>
    </w:p>
  </w:endnote>
  <w:endnote w:type="continuationSeparator" w:id="0">
    <w:p w14:paraId="7BC0C1DB" w14:textId="77777777" w:rsidR="00DE4F55" w:rsidRDefault="00DE4F55"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E036" w14:textId="77777777" w:rsidR="00D37BC0" w:rsidRDefault="00D37B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A68E" w14:textId="77777777" w:rsidR="003621B6" w:rsidRDefault="00681AF1"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1F7C7DA6" wp14:editId="645E1A08">
              <wp:simplePos x="0" y="0"/>
              <wp:positionH relativeFrom="page">
                <wp:posOffset>0</wp:posOffset>
              </wp:positionH>
              <wp:positionV relativeFrom="page">
                <wp:posOffset>9594215</wp:posOffset>
              </wp:positionV>
              <wp:extent cx="7772400" cy="273050"/>
              <wp:effectExtent l="0" t="0" r="0" b="12700"/>
              <wp:wrapNone/>
              <wp:docPr id="1" name="MSIPCMaf084261831027e2f1e18ce8"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80FF0" w14:textId="77777777" w:rsidR="00681AF1" w:rsidRPr="00681AF1" w:rsidRDefault="00681AF1" w:rsidP="00681AF1">
                          <w:pPr>
                            <w:jc w:val="center"/>
                            <w:rPr>
                              <w:rFonts w:ascii="Calibri" w:hAnsi="Calibri" w:cs="Calibri"/>
                              <w:color w:val="000000"/>
                              <w:sz w:val="20"/>
                            </w:rPr>
                          </w:pPr>
                          <w:r w:rsidRPr="00681AF1">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7C7DA6" id="_x0000_t202" coordsize="21600,21600" o:spt="202" path="m,l,21600r21600,l21600,xe">
              <v:stroke joinstyle="miter"/>
              <v:path gradientshapeok="t" o:connecttype="rect"/>
            </v:shapetype>
            <v:shape id="MSIPCMaf084261831027e2f1e18ce8"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3E680FF0" w14:textId="77777777" w:rsidR="00681AF1" w:rsidRPr="00681AF1" w:rsidRDefault="00681AF1" w:rsidP="00681AF1">
                    <w:pPr>
                      <w:jc w:val="center"/>
                      <w:rPr>
                        <w:rFonts w:ascii="Calibri" w:hAnsi="Calibri" w:cs="Calibri"/>
                        <w:color w:val="000000"/>
                        <w:sz w:val="20"/>
                      </w:rPr>
                    </w:pPr>
                    <w:r w:rsidRPr="00681AF1">
                      <w:rPr>
                        <w:rFonts w:ascii="Calibri" w:hAnsi="Calibri" w:cs="Calibri"/>
                        <w:color w:val="000000"/>
                        <w:sz w:val="20"/>
                      </w:rPr>
                      <w:t>Uso Interno</w:t>
                    </w:r>
                  </w:p>
                </w:txbxContent>
              </v:textbox>
              <w10:wrap anchorx="page" anchory="page"/>
            </v:shape>
          </w:pict>
        </mc:Fallback>
      </mc:AlternateContent>
    </w:r>
  </w:p>
  <w:p w14:paraId="39383A70" w14:textId="77777777" w:rsidR="009B3671" w:rsidRPr="00BE078A" w:rsidRDefault="00D766AB" w:rsidP="00D766AB">
    <w:pPr>
      <w:pStyle w:val="Piedepgina"/>
      <w:pBdr>
        <w:top w:val="single" w:sz="4" w:space="1" w:color="auto"/>
      </w:pBdr>
      <w:jc w:val="center"/>
      <w:rPr>
        <w:szCs w:val="24"/>
      </w:rPr>
    </w:pPr>
    <w:r>
      <w:rPr>
        <w:i/>
        <w:szCs w:val="24"/>
      </w:rPr>
      <w:t>Teléfonos  2243-4446  /  2243-4445</w:t>
    </w:r>
    <w:r>
      <w:rPr>
        <w:i/>
        <w:szCs w:val="24"/>
      </w:rPr>
      <w:tab/>
      <w:t xml:space="preserve">             Fax 2243-4444            </w:t>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FA2E" w14:textId="77777777" w:rsidR="003621B6" w:rsidRDefault="00681AF1"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4C0F8581" wp14:editId="692D54BD">
              <wp:simplePos x="0" y="0"/>
              <wp:positionH relativeFrom="page">
                <wp:posOffset>0</wp:posOffset>
              </wp:positionH>
              <wp:positionV relativeFrom="page">
                <wp:posOffset>9594215</wp:posOffset>
              </wp:positionV>
              <wp:extent cx="7772400" cy="273050"/>
              <wp:effectExtent l="0" t="0" r="0" b="12700"/>
              <wp:wrapNone/>
              <wp:docPr id="3" name="MSIPCM46d249358570a81c067df22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574E7" w14:textId="77777777" w:rsidR="00681AF1" w:rsidRPr="00681AF1" w:rsidRDefault="00681AF1" w:rsidP="00681AF1">
                          <w:pPr>
                            <w:jc w:val="center"/>
                            <w:rPr>
                              <w:rFonts w:ascii="Calibri" w:hAnsi="Calibri" w:cs="Calibri"/>
                              <w:color w:val="000000"/>
                              <w:sz w:val="20"/>
                            </w:rPr>
                          </w:pPr>
                          <w:r w:rsidRPr="00681AF1">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0F8581" id="_x0000_t202" coordsize="21600,21600" o:spt="202" path="m,l,21600r21600,l21600,xe">
              <v:stroke joinstyle="miter"/>
              <v:path gradientshapeok="t" o:connecttype="rect"/>
            </v:shapetype>
            <v:shape id="MSIPCM46d249358570a81c067df22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33574E7" w14:textId="77777777" w:rsidR="00681AF1" w:rsidRPr="00681AF1" w:rsidRDefault="00681AF1" w:rsidP="00681AF1">
                    <w:pPr>
                      <w:jc w:val="center"/>
                      <w:rPr>
                        <w:rFonts w:ascii="Calibri" w:hAnsi="Calibri" w:cs="Calibri"/>
                        <w:color w:val="000000"/>
                        <w:sz w:val="20"/>
                      </w:rPr>
                    </w:pPr>
                    <w:r w:rsidRPr="00681AF1">
                      <w:rPr>
                        <w:rFonts w:ascii="Calibri" w:hAnsi="Calibri" w:cs="Calibri"/>
                        <w:color w:val="000000"/>
                        <w:sz w:val="20"/>
                      </w:rPr>
                      <w:t>Uso Interno</w:t>
                    </w:r>
                  </w:p>
                </w:txbxContent>
              </v:textbox>
              <w10:wrap anchorx="page" anchory="page"/>
            </v:shape>
          </w:pict>
        </mc:Fallback>
      </mc:AlternateContent>
    </w:r>
  </w:p>
  <w:p w14:paraId="34D26E94"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3533" w14:textId="77777777" w:rsidR="00DE4F55" w:rsidRDefault="00DE4F55" w:rsidP="00011FAB">
      <w:pPr>
        <w:spacing w:line="240" w:lineRule="auto"/>
      </w:pPr>
      <w:r>
        <w:separator/>
      </w:r>
    </w:p>
  </w:footnote>
  <w:footnote w:type="continuationSeparator" w:id="0">
    <w:p w14:paraId="55810343" w14:textId="77777777" w:rsidR="00DE4F55" w:rsidRDefault="00DE4F55"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F579" w14:textId="77777777" w:rsidR="00D37BC0" w:rsidRDefault="00D37B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3A9E" w14:textId="270DDAB5" w:rsidR="006B6689" w:rsidRPr="00092B79" w:rsidRDefault="00D766AB" w:rsidP="006B6689">
    <w:pPr>
      <w:pStyle w:val="Encabezado"/>
      <w:rPr>
        <w:b/>
        <w:i/>
        <w:noProof/>
        <w:szCs w:val="24"/>
      </w:rPr>
    </w:pPr>
    <w:r>
      <w:rPr>
        <w:noProof/>
        <w:lang w:val="es-CR" w:eastAsia="es-CR"/>
      </w:rPr>
      <w:drawing>
        <wp:anchor distT="0" distB="0" distL="114300" distR="114300" simplePos="0" relativeHeight="251657216" behindDoc="1" locked="0" layoutInCell="1" allowOverlap="1" wp14:anchorId="5AD81B7E" wp14:editId="2FA386B8">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3120" behindDoc="0" locked="0" layoutInCell="1" allowOverlap="1" wp14:anchorId="2F74016F" wp14:editId="1067C8D5">
          <wp:simplePos x="0" y="0"/>
          <wp:positionH relativeFrom="margin">
            <wp:posOffset>4740910</wp:posOffset>
          </wp:positionH>
          <wp:positionV relativeFrom="paragraph">
            <wp:posOffset>-264160</wp:posOffset>
          </wp:positionV>
          <wp:extent cx="963930" cy="864235"/>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r w:rsidR="00621251" w:rsidRPr="00092B79">
      <w:rPr>
        <w:b/>
        <w:i/>
        <w:szCs w:val="24"/>
      </w:rPr>
      <w:fldChar w:fldCharType="begin"/>
    </w:r>
    <w:r w:rsidR="00621251" w:rsidRPr="00092B79">
      <w:rPr>
        <w:b/>
        <w:i/>
        <w:szCs w:val="24"/>
      </w:rPr>
      <w:instrText xml:space="preserve"> STYLEREF  Supen_Encabezado  \* MERGEFORMAT </w:instrText>
    </w:r>
    <w:r w:rsidR="00621251" w:rsidRPr="00092B79">
      <w:rPr>
        <w:b/>
        <w:i/>
        <w:szCs w:val="24"/>
      </w:rPr>
      <w:fldChar w:fldCharType="separate"/>
    </w:r>
    <w:r w:rsidR="005B6AD1">
      <w:rPr>
        <w:b/>
        <w:i/>
        <w:noProof/>
        <w:szCs w:val="24"/>
      </w:rPr>
      <w:t>SP-A-263-2023</w:t>
    </w:r>
    <w:r w:rsidR="00621251" w:rsidRPr="00092B79">
      <w:rPr>
        <w:b/>
        <w:i/>
        <w:noProof/>
        <w:szCs w:val="24"/>
      </w:rPr>
      <w:fldChar w:fldCharType="end"/>
    </w:r>
  </w:p>
  <w:p w14:paraId="43BDAB98"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5E6CCB25"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2F5E" w14:textId="77777777" w:rsidR="00310D45" w:rsidRDefault="00F45F6B" w:rsidP="00310D45">
    <w:pPr>
      <w:pStyle w:val="Encabezado"/>
    </w:pPr>
    <w:r>
      <w:rPr>
        <w:noProof/>
        <w:lang w:val="es-CR" w:eastAsia="es-CR"/>
      </w:rPr>
      <w:drawing>
        <wp:anchor distT="0" distB="0" distL="114300" distR="114300" simplePos="0" relativeHeight="251655168" behindDoc="0" locked="0" layoutInCell="1" allowOverlap="1" wp14:anchorId="707EFD4A" wp14:editId="16C75CEA">
          <wp:simplePos x="0" y="0"/>
          <wp:positionH relativeFrom="margin">
            <wp:posOffset>4723765</wp:posOffset>
          </wp:positionH>
          <wp:positionV relativeFrom="paragraph">
            <wp:posOffset>-123825</wp:posOffset>
          </wp:positionV>
          <wp:extent cx="800100" cy="717349"/>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98" cy="718064"/>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9264" behindDoc="1" locked="0" layoutInCell="1" allowOverlap="1" wp14:anchorId="78904E1F" wp14:editId="391224BC">
          <wp:simplePos x="0" y="0"/>
          <wp:positionH relativeFrom="page">
            <wp:posOffset>809625</wp:posOffset>
          </wp:positionH>
          <wp:positionV relativeFrom="page">
            <wp:posOffset>180976</wp:posOffset>
          </wp:positionV>
          <wp:extent cx="1781175" cy="824004"/>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9194" cy="827714"/>
                  </a:xfrm>
                  <a:prstGeom prst="rect">
                    <a:avLst/>
                  </a:prstGeom>
                  <a:noFill/>
                </pic:spPr>
              </pic:pic>
            </a:graphicData>
          </a:graphic>
          <wp14:sizeRelH relativeFrom="margin">
            <wp14:pctWidth>0</wp14:pctWidth>
          </wp14:sizeRelH>
          <wp14:sizeRelV relativeFrom="margin">
            <wp14:pctHeight>0</wp14:pctHeight>
          </wp14:sizeRelV>
        </wp:anchor>
      </w:drawing>
    </w:r>
    <w:r w:rsidR="00310D45">
      <w:tab/>
    </w:r>
    <w:r w:rsidR="00310D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ACE"/>
    <w:multiLevelType w:val="hybridMultilevel"/>
    <w:tmpl w:val="0E30AF04"/>
    <w:lvl w:ilvl="0" w:tplc="73923C42">
      <w:start w:val="1"/>
      <w:numFmt w:val="low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507123D"/>
    <w:multiLevelType w:val="hybridMultilevel"/>
    <w:tmpl w:val="E7A444A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D26851"/>
    <w:multiLevelType w:val="hybridMultilevel"/>
    <w:tmpl w:val="9C7E3416"/>
    <w:lvl w:ilvl="0" w:tplc="1CBCDF3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D3F0381"/>
    <w:multiLevelType w:val="hybridMultilevel"/>
    <w:tmpl w:val="688AE25A"/>
    <w:lvl w:ilvl="0" w:tplc="B3DCAD1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0A55C37"/>
    <w:multiLevelType w:val="hybridMultilevel"/>
    <w:tmpl w:val="D8C6E4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953587B"/>
    <w:multiLevelType w:val="hybridMultilevel"/>
    <w:tmpl w:val="6E1A5628"/>
    <w:lvl w:ilvl="0" w:tplc="1AC44AA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C611F61"/>
    <w:multiLevelType w:val="hybridMultilevel"/>
    <w:tmpl w:val="EC96EC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EC837FE"/>
    <w:multiLevelType w:val="hybridMultilevel"/>
    <w:tmpl w:val="A684A8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6147E55"/>
    <w:multiLevelType w:val="hybridMultilevel"/>
    <w:tmpl w:val="C014556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99551DC"/>
    <w:multiLevelType w:val="hybridMultilevel"/>
    <w:tmpl w:val="33640556"/>
    <w:lvl w:ilvl="0" w:tplc="140A0019">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77F36A84"/>
    <w:multiLevelType w:val="hybridMultilevel"/>
    <w:tmpl w:val="13D2A4FA"/>
    <w:lvl w:ilvl="0" w:tplc="140A0019">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2019306806">
    <w:abstractNumId w:val="6"/>
  </w:num>
  <w:num w:numId="2" w16cid:durableId="2113544505">
    <w:abstractNumId w:val="0"/>
  </w:num>
  <w:num w:numId="3" w16cid:durableId="915288880">
    <w:abstractNumId w:val="4"/>
  </w:num>
  <w:num w:numId="4" w16cid:durableId="358508235">
    <w:abstractNumId w:val="1"/>
  </w:num>
  <w:num w:numId="5" w16cid:durableId="1251962715">
    <w:abstractNumId w:val="8"/>
  </w:num>
  <w:num w:numId="6" w16cid:durableId="446705208">
    <w:abstractNumId w:val="3"/>
  </w:num>
  <w:num w:numId="7" w16cid:durableId="249048348">
    <w:abstractNumId w:val="2"/>
  </w:num>
  <w:num w:numId="8" w16cid:durableId="1929726857">
    <w:abstractNumId w:val="10"/>
  </w:num>
  <w:num w:numId="9" w16cid:durableId="1235817095">
    <w:abstractNumId w:val="9"/>
  </w:num>
  <w:num w:numId="10" w16cid:durableId="1856967185">
    <w:abstractNumId w:val="5"/>
  </w:num>
  <w:num w:numId="11" w16cid:durableId="113646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41"/>
    <w:rsid w:val="00000202"/>
    <w:rsid w:val="00003CEE"/>
    <w:rsid w:val="00011FAB"/>
    <w:rsid w:val="000152BA"/>
    <w:rsid w:val="00016DA2"/>
    <w:rsid w:val="00021ADD"/>
    <w:rsid w:val="000227D1"/>
    <w:rsid w:val="00027970"/>
    <w:rsid w:val="00033EF3"/>
    <w:rsid w:val="000421CB"/>
    <w:rsid w:val="0006650E"/>
    <w:rsid w:val="00074011"/>
    <w:rsid w:val="0007411D"/>
    <w:rsid w:val="00092B79"/>
    <w:rsid w:val="00095A2B"/>
    <w:rsid w:val="000A12E3"/>
    <w:rsid w:val="000A73C1"/>
    <w:rsid w:val="000B1AF8"/>
    <w:rsid w:val="000C4BEB"/>
    <w:rsid w:val="000D24F1"/>
    <w:rsid w:val="000D3722"/>
    <w:rsid w:val="000D6886"/>
    <w:rsid w:val="000D6950"/>
    <w:rsid w:val="000F1E17"/>
    <w:rsid w:val="000F20BC"/>
    <w:rsid w:val="000F389D"/>
    <w:rsid w:val="000F452C"/>
    <w:rsid w:val="001013A7"/>
    <w:rsid w:val="00107ED5"/>
    <w:rsid w:val="00113842"/>
    <w:rsid w:val="00122A0D"/>
    <w:rsid w:val="00125FC1"/>
    <w:rsid w:val="00131200"/>
    <w:rsid w:val="00137918"/>
    <w:rsid w:val="00156311"/>
    <w:rsid w:val="00163A01"/>
    <w:rsid w:val="001710AA"/>
    <w:rsid w:val="0018080E"/>
    <w:rsid w:val="00180DEC"/>
    <w:rsid w:val="00184567"/>
    <w:rsid w:val="001A0861"/>
    <w:rsid w:val="001A0C99"/>
    <w:rsid w:val="001A4581"/>
    <w:rsid w:val="001A76F6"/>
    <w:rsid w:val="001B67E6"/>
    <w:rsid w:val="001C12C6"/>
    <w:rsid w:val="001C160B"/>
    <w:rsid w:val="001C371E"/>
    <w:rsid w:val="001D18BF"/>
    <w:rsid w:val="001D3394"/>
    <w:rsid w:val="001D40FB"/>
    <w:rsid w:val="001D68A9"/>
    <w:rsid w:val="001E15A7"/>
    <w:rsid w:val="001E18C1"/>
    <w:rsid w:val="001F278E"/>
    <w:rsid w:val="00200375"/>
    <w:rsid w:val="002073B7"/>
    <w:rsid w:val="00212AC2"/>
    <w:rsid w:val="00213AE1"/>
    <w:rsid w:val="00214B60"/>
    <w:rsid w:val="00217997"/>
    <w:rsid w:val="0022136B"/>
    <w:rsid w:val="00223091"/>
    <w:rsid w:val="002257D1"/>
    <w:rsid w:val="00232B17"/>
    <w:rsid w:val="0024723F"/>
    <w:rsid w:val="00247762"/>
    <w:rsid w:val="0025034D"/>
    <w:rsid w:val="00251B8A"/>
    <w:rsid w:val="00255DE6"/>
    <w:rsid w:val="00261F6E"/>
    <w:rsid w:val="00262F5C"/>
    <w:rsid w:val="0026796D"/>
    <w:rsid w:val="00272AAF"/>
    <w:rsid w:val="002740A2"/>
    <w:rsid w:val="00277C51"/>
    <w:rsid w:val="00291B81"/>
    <w:rsid w:val="00295482"/>
    <w:rsid w:val="002A04E5"/>
    <w:rsid w:val="002A0C19"/>
    <w:rsid w:val="002B186B"/>
    <w:rsid w:val="002B2E87"/>
    <w:rsid w:val="002B49CD"/>
    <w:rsid w:val="002B6F41"/>
    <w:rsid w:val="002C4C8C"/>
    <w:rsid w:val="002C4E7D"/>
    <w:rsid w:val="002D25B4"/>
    <w:rsid w:val="002F0201"/>
    <w:rsid w:val="002F0CD8"/>
    <w:rsid w:val="002F6609"/>
    <w:rsid w:val="003018FC"/>
    <w:rsid w:val="00303B4A"/>
    <w:rsid w:val="003047A5"/>
    <w:rsid w:val="00305EDC"/>
    <w:rsid w:val="00310D45"/>
    <w:rsid w:val="003155C5"/>
    <w:rsid w:val="003179AB"/>
    <w:rsid w:val="00317BB6"/>
    <w:rsid w:val="00323243"/>
    <w:rsid w:val="003239AF"/>
    <w:rsid w:val="003262D5"/>
    <w:rsid w:val="00330983"/>
    <w:rsid w:val="00343DC5"/>
    <w:rsid w:val="00347408"/>
    <w:rsid w:val="00347829"/>
    <w:rsid w:val="00354D81"/>
    <w:rsid w:val="00357D7E"/>
    <w:rsid w:val="003621B6"/>
    <w:rsid w:val="00366178"/>
    <w:rsid w:val="00366CA5"/>
    <w:rsid w:val="00377CEE"/>
    <w:rsid w:val="00387CD6"/>
    <w:rsid w:val="00387D20"/>
    <w:rsid w:val="00390B5A"/>
    <w:rsid w:val="00391AE8"/>
    <w:rsid w:val="003953B5"/>
    <w:rsid w:val="003A06F4"/>
    <w:rsid w:val="003B5856"/>
    <w:rsid w:val="003B6533"/>
    <w:rsid w:val="003B667F"/>
    <w:rsid w:val="003C0C62"/>
    <w:rsid w:val="003C4514"/>
    <w:rsid w:val="003C479F"/>
    <w:rsid w:val="003C63E2"/>
    <w:rsid w:val="003D35CA"/>
    <w:rsid w:val="003F1C6F"/>
    <w:rsid w:val="00400AD1"/>
    <w:rsid w:val="00405B66"/>
    <w:rsid w:val="00407CFC"/>
    <w:rsid w:val="00413B95"/>
    <w:rsid w:val="00414795"/>
    <w:rsid w:val="00417457"/>
    <w:rsid w:val="0042125C"/>
    <w:rsid w:val="00423B0A"/>
    <w:rsid w:val="00425C6E"/>
    <w:rsid w:val="00427735"/>
    <w:rsid w:val="0042790D"/>
    <w:rsid w:val="00431855"/>
    <w:rsid w:val="00432490"/>
    <w:rsid w:val="00432935"/>
    <w:rsid w:val="004442DF"/>
    <w:rsid w:val="00446058"/>
    <w:rsid w:val="0045287A"/>
    <w:rsid w:val="004565B1"/>
    <w:rsid w:val="004601DB"/>
    <w:rsid w:val="00462483"/>
    <w:rsid w:val="00464393"/>
    <w:rsid w:val="00467539"/>
    <w:rsid w:val="004720CD"/>
    <w:rsid w:val="00474BF9"/>
    <w:rsid w:val="00477218"/>
    <w:rsid w:val="00482DE2"/>
    <w:rsid w:val="00484927"/>
    <w:rsid w:val="00491E99"/>
    <w:rsid w:val="004A23F5"/>
    <w:rsid w:val="004A2C15"/>
    <w:rsid w:val="004B3298"/>
    <w:rsid w:val="004B3D1D"/>
    <w:rsid w:val="004B4DE1"/>
    <w:rsid w:val="004C0BDA"/>
    <w:rsid w:val="004C39FA"/>
    <w:rsid w:val="004D4918"/>
    <w:rsid w:val="004D75B9"/>
    <w:rsid w:val="004E1294"/>
    <w:rsid w:val="004E1A45"/>
    <w:rsid w:val="004E4070"/>
    <w:rsid w:val="004E7559"/>
    <w:rsid w:val="004F103C"/>
    <w:rsid w:val="004F21B2"/>
    <w:rsid w:val="0050511E"/>
    <w:rsid w:val="00507921"/>
    <w:rsid w:val="00510B84"/>
    <w:rsid w:val="00517B8C"/>
    <w:rsid w:val="00522D31"/>
    <w:rsid w:val="00523FCE"/>
    <w:rsid w:val="0053057F"/>
    <w:rsid w:val="00532CA7"/>
    <w:rsid w:val="00533401"/>
    <w:rsid w:val="0053645A"/>
    <w:rsid w:val="0054011A"/>
    <w:rsid w:val="0054152A"/>
    <w:rsid w:val="005429B7"/>
    <w:rsid w:val="00544515"/>
    <w:rsid w:val="005445AF"/>
    <w:rsid w:val="00545B4D"/>
    <w:rsid w:val="00546876"/>
    <w:rsid w:val="00553393"/>
    <w:rsid w:val="00560FDD"/>
    <w:rsid w:val="00567434"/>
    <w:rsid w:val="00580F64"/>
    <w:rsid w:val="0058753F"/>
    <w:rsid w:val="0059081B"/>
    <w:rsid w:val="00591384"/>
    <w:rsid w:val="0059269C"/>
    <w:rsid w:val="00594A6E"/>
    <w:rsid w:val="0059619E"/>
    <w:rsid w:val="00596965"/>
    <w:rsid w:val="005A3326"/>
    <w:rsid w:val="005A55A4"/>
    <w:rsid w:val="005B6AD1"/>
    <w:rsid w:val="005C0E42"/>
    <w:rsid w:val="005C18F6"/>
    <w:rsid w:val="005C4795"/>
    <w:rsid w:val="005D196F"/>
    <w:rsid w:val="005D2207"/>
    <w:rsid w:val="005D4D85"/>
    <w:rsid w:val="005D58DE"/>
    <w:rsid w:val="005D5900"/>
    <w:rsid w:val="005E0099"/>
    <w:rsid w:val="005E4384"/>
    <w:rsid w:val="005E4A8B"/>
    <w:rsid w:val="005E4D4B"/>
    <w:rsid w:val="005F539E"/>
    <w:rsid w:val="005F53BF"/>
    <w:rsid w:val="00601E69"/>
    <w:rsid w:val="006023C0"/>
    <w:rsid w:val="006046F1"/>
    <w:rsid w:val="00614653"/>
    <w:rsid w:val="00621251"/>
    <w:rsid w:val="00624E1F"/>
    <w:rsid w:val="00625A14"/>
    <w:rsid w:val="00625CAB"/>
    <w:rsid w:val="00630614"/>
    <w:rsid w:val="00631669"/>
    <w:rsid w:val="0063388C"/>
    <w:rsid w:val="00635C06"/>
    <w:rsid w:val="0063607D"/>
    <w:rsid w:val="006416A9"/>
    <w:rsid w:val="006429FA"/>
    <w:rsid w:val="00653AF9"/>
    <w:rsid w:val="0066467F"/>
    <w:rsid w:val="006670CB"/>
    <w:rsid w:val="006803D3"/>
    <w:rsid w:val="00681AF1"/>
    <w:rsid w:val="00685BE3"/>
    <w:rsid w:val="00691B3A"/>
    <w:rsid w:val="006A09A1"/>
    <w:rsid w:val="006A2D4A"/>
    <w:rsid w:val="006A3F62"/>
    <w:rsid w:val="006B4856"/>
    <w:rsid w:val="006B6689"/>
    <w:rsid w:val="006C5791"/>
    <w:rsid w:val="006D036C"/>
    <w:rsid w:val="006D30AB"/>
    <w:rsid w:val="006D5B49"/>
    <w:rsid w:val="006E3B2A"/>
    <w:rsid w:val="006F4EC0"/>
    <w:rsid w:val="006F5308"/>
    <w:rsid w:val="006F6DC6"/>
    <w:rsid w:val="006F787D"/>
    <w:rsid w:val="00703712"/>
    <w:rsid w:val="007109B6"/>
    <w:rsid w:val="00722522"/>
    <w:rsid w:val="00732D8B"/>
    <w:rsid w:val="00737617"/>
    <w:rsid w:val="0074539F"/>
    <w:rsid w:val="007453B5"/>
    <w:rsid w:val="00751038"/>
    <w:rsid w:val="0076169E"/>
    <w:rsid w:val="00762160"/>
    <w:rsid w:val="00763296"/>
    <w:rsid w:val="00763EE2"/>
    <w:rsid w:val="0076656D"/>
    <w:rsid w:val="0076762D"/>
    <w:rsid w:val="00780F4D"/>
    <w:rsid w:val="007867F5"/>
    <w:rsid w:val="00791A1C"/>
    <w:rsid w:val="0079478E"/>
    <w:rsid w:val="007B253B"/>
    <w:rsid w:val="007C71BE"/>
    <w:rsid w:val="007D711F"/>
    <w:rsid w:val="007D7395"/>
    <w:rsid w:val="007E1708"/>
    <w:rsid w:val="007E7168"/>
    <w:rsid w:val="007F43A6"/>
    <w:rsid w:val="008051AB"/>
    <w:rsid w:val="00806BD5"/>
    <w:rsid w:val="008225AD"/>
    <w:rsid w:val="00826EC1"/>
    <w:rsid w:val="008308B4"/>
    <w:rsid w:val="00832382"/>
    <w:rsid w:val="00836D7E"/>
    <w:rsid w:val="00841E75"/>
    <w:rsid w:val="00850A00"/>
    <w:rsid w:val="00851CCD"/>
    <w:rsid w:val="00853A2A"/>
    <w:rsid w:val="00875359"/>
    <w:rsid w:val="00875CF8"/>
    <w:rsid w:val="00877342"/>
    <w:rsid w:val="0088055C"/>
    <w:rsid w:val="00881B09"/>
    <w:rsid w:val="00885EDD"/>
    <w:rsid w:val="008A098B"/>
    <w:rsid w:val="008A17CE"/>
    <w:rsid w:val="008A682B"/>
    <w:rsid w:val="008A6E53"/>
    <w:rsid w:val="008B6251"/>
    <w:rsid w:val="008C14EB"/>
    <w:rsid w:val="008C695B"/>
    <w:rsid w:val="008D07E7"/>
    <w:rsid w:val="008D3241"/>
    <w:rsid w:val="008D3F97"/>
    <w:rsid w:val="008D43C7"/>
    <w:rsid w:val="008E076A"/>
    <w:rsid w:val="008F4AB0"/>
    <w:rsid w:val="00900CAA"/>
    <w:rsid w:val="00907C02"/>
    <w:rsid w:val="00912BAB"/>
    <w:rsid w:val="00926BF3"/>
    <w:rsid w:val="009332DB"/>
    <w:rsid w:val="0094026A"/>
    <w:rsid w:val="009464E9"/>
    <w:rsid w:val="00952852"/>
    <w:rsid w:val="009536A5"/>
    <w:rsid w:val="009605D7"/>
    <w:rsid w:val="00967B19"/>
    <w:rsid w:val="00983C07"/>
    <w:rsid w:val="00985094"/>
    <w:rsid w:val="00987751"/>
    <w:rsid w:val="009913CA"/>
    <w:rsid w:val="00995E96"/>
    <w:rsid w:val="009A1133"/>
    <w:rsid w:val="009A3BB2"/>
    <w:rsid w:val="009A4DE9"/>
    <w:rsid w:val="009B0176"/>
    <w:rsid w:val="009B2211"/>
    <w:rsid w:val="009B3671"/>
    <w:rsid w:val="009B475A"/>
    <w:rsid w:val="009B6B03"/>
    <w:rsid w:val="009C5733"/>
    <w:rsid w:val="009D45CD"/>
    <w:rsid w:val="009E110D"/>
    <w:rsid w:val="009E3300"/>
    <w:rsid w:val="009E6DB2"/>
    <w:rsid w:val="009E797C"/>
    <w:rsid w:val="009F0A75"/>
    <w:rsid w:val="009F7C79"/>
    <w:rsid w:val="00A0168D"/>
    <w:rsid w:val="00A01706"/>
    <w:rsid w:val="00A057CF"/>
    <w:rsid w:val="00A15C45"/>
    <w:rsid w:val="00A241E6"/>
    <w:rsid w:val="00A26BD1"/>
    <w:rsid w:val="00A27E57"/>
    <w:rsid w:val="00A33801"/>
    <w:rsid w:val="00A4392A"/>
    <w:rsid w:val="00A43DDD"/>
    <w:rsid w:val="00A47569"/>
    <w:rsid w:val="00A4778B"/>
    <w:rsid w:val="00A504A1"/>
    <w:rsid w:val="00A54273"/>
    <w:rsid w:val="00A5559C"/>
    <w:rsid w:val="00A60740"/>
    <w:rsid w:val="00A60911"/>
    <w:rsid w:val="00A705EF"/>
    <w:rsid w:val="00A814D6"/>
    <w:rsid w:val="00AA2841"/>
    <w:rsid w:val="00AA52F1"/>
    <w:rsid w:val="00AB116C"/>
    <w:rsid w:val="00AB13DA"/>
    <w:rsid w:val="00AB6E10"/>
    <w:rsid w:val="00AC0395"/>
    <w:rsid w:val="00AC6EB0"/>
    <w:rsid w:val="00AC7833"/>
    <w:rsid w:val="00AD10D3"/>
    <w:rsid w:val="00AE1436"/>
    <w:rsid w:val="00AF39E3"/>
    <w:rsid w:val="00AF3B9B"/>
    <w:rsid w:val="00AF4A84"/>
    <w:rsid w:val="00AF7580"/>
    <w:rsid w:val="00AF7614"/>
    <w:rsid w:val="00B05500"/>
    <w:rsid w:val="00B10A76"/>
    <w:rsid w:val="00B16C4E"/>
    <w:rsid w:val="00B178D6"/>
    <w:rsid w:val="00B20060"/>
    <w:rsid w:val="00B33BA2"/>
    <w:rsid w:val="00B34C6C"/>
    <w:rsid w:val="00B43A77"/>
    <w:rsid w:val="00B45DE5"/>
    <w:rsid w:val="00B46E87"/>
    <w:rsid w:val="00B475DF"/>
    <w:rsid w:val="00B65E0E"/>
    <w:rsid w:val="00B709C0"/>
    <w:rsid w:val="00B737FA"/>
    <w:rsid w:val="00B83E79"/>
    <w:rsid w:val="00B86E62"/>
    <w:rsid w:val="00B90589"/>
    <w:rsid w:val="00B92FAB"/>
    <w:rsid w:val="00B97682"/>
    <w:rsid w:val="00BB2D98"/>
    <w:rsid w:val="00BB357E"/>
    <w:rsid w:val="00BC24FD"/>
    <w:rsid w:val="00BD4548"/>
    <w:rsid w:val="00BD501A"/>
    <w:rsid w:val="00BD5331"/>
    <w:rsid w:val="00BD5F5A"/>
    <w:rsid w:val="00BE078A"/>
    <w:rsid w:val="00BE20D4"/>
    <w:rsid w:val="00BE4AD9"/>
    <w:rsid w:val="00BE5E10"/>
    <w:rsid w:val="00BF4A16"/>
    <w:rsid w:val="00C0088C"/>
    <w:rsid w:val="00C00B92"/>
    <w:rsid w:val="00C015B1"/>
    <w:rsid w:val="00C071E4"/>
    <w:rsid w:val="00C07321"/>
    <w:rsid w:val="00C1292B"/>
    <w:rsid w:val="00C27B35"/>
    <w:rsid w:val="00C32EE9"/>
    <w:rsid w:val="00C436D3"/>
    <w:rsid w:val="00C745A3"/>
    <w:rsid w:val="00C745BC"/>
    <w:rsid w:val="00C778BF"/>
    <w:rsid w:val="00C90A71"/>
    <w:rsid w:val="00CA16C2"/>
    <w:rsid w:val="00CB18F5"/>
    <w:rsid w:val="00CC0335"/>
    <w:rsid w:val="00CC24BF"/>
    <w:rsid w:val="00CD25F9"/>
    <w:rsid w:val="00CD5928"/>
    <w:rsid w:val="00CD716D"/>
    <w:rsid w:val="00CE0683"/>
    <w:rsid w:val="00CE1218"/>
    <w:rsid w:val="00CF1CBF"/>
    <w:rsid w:val="00CF4295"/>
    <w:rsid w:val="00CF6D95"/>
    <w:rsid w:val="00D00AB5"/>
    <w:rsid w:val="00D01911"/>
    <w:rsid w:val="00D029E6"/>
    <w:rsid w:val="00D0661A"/>
    <w:rsid w:val="00D350B3"/>
    <w:rsid w:val="00D37BC0"/>
    <w:rsid w:val="00D40F9C"/>
    <w:rsid w:val="00D440C1"/>
    <w:rsid w:val="00D443D7"/>
    <w:rsid w:val="00D45DC9"/>
    <w:rsid w:val="00D60023"/>
    <w:rsid w:val="00D61945"/>
    <w:rsid w:val="00D62FED"/>
    <w:rsid w:val="00D638D5"/>
    <w:rsid w:val="00D7193E"/>
    <w:rsid w:val="00D736C6"/>
    <w:rsid w:val="00D7410B"/>
    <w:rsid w:val="00D766AB"/>
    <w:rsid w:val="00D80206"/>
    <w:rsid w:val="00D82594"/>
    <w:rsid w:val="00D86CC1"/>
    <w:rsid w:val="00D9315D"/>
    <w:rsid w:val="00DA17CA"/>
    <w:rsid w:val="00DA25F7"/>
    <w:rsid w:val="00DA2869"/>
    <w:rsid w:val="00DA5F5C"/>
    <w:rsid w:val="00DC38D9"/>
    <w:rsid w:val="00DC6BB2"/>
    <w:rsid w:val="00DC6EAA"/>
    <w:rsid w:val="00DC77E0"/>
    <w:rsid w:val="00DD4305"/>
    <w:rsid w:val="00DD729A"/>
    <w:rsid w:val="00DE4F55"/>
    <w:rsid w:val="00DF0EA3"/>
    <w:rsid w:val="00E02F6E"/>
    <w:rsid w:val="00E16644"/>
    <w:rsid w:val="00E20FBD"/>
    <w:rsid w:val="00E2369B"/>
    <w:rsid w:val="00E25B55"/>
    <w:rsid w:val="00E2671E"/>
    <w:rsid w:val="00E3522A"/>
    <w:rsid w:val="00E42EFF"/>
    <w:rsid w:val="00E43A43"/>
    <w:rsid w:val="00E64E84"/>
    <w:rsid w:val="00E71946"/>
    <w:rsid w:val="00E735D8"/>
    <w:rsid w:val="00E86C1F"/>
    <w:rsid w:val="00E95D96"/>
    <w:rsid w:val="00E97E08"/>
    <w:rsid w:val="00EA0753"/>
    <w:rsid w:val="00EA1A49"/>
    <w:rsid w:val="00EB0854"/>
    <w:rsid w:val="00EB4BAD"/>
    <w:rsid w:val="00EC1B04"/>
    <w:rsid w:val="00EC3487"/>
    <w:rsid w:val="00EC6094"/>
    <w:rsid w:val="00ED416E"/>
    <w:rsid w:val="00EE1C19"/>
    <w:rsid w:val="00EE3FC2"/>
    <w:rsid w:val="00EE58B8"/>
    <w:rsid w:val="00EE6881"/>
    <w:rsid w:val="00EF04B3"/>
    <w:rsid w:val="00EF1F0B"/>
    <w:rsid w:val="00EF35B4"/>
    <w:rsid w:val="00F37715"/>
    <w:rsid w:val="00F3775E"/>
    <w:rsid w:val="00F432E8"/>
    <w:rsid w:val="00F44087"/>
    <w:rsid w:val="00F449AD"/>
    <w:rsid w:val="00F45755"/>
    <w:rsid w:val="00F45F6B"/>
    <w:rsid w:val="00F51952"/>
    <w:rsid w:val="00F5207C"/>
    <w:rsid w:val="00F560CF"/>
    <w:rsid w:val="00F57041"/>
    <w:rsid w:val="00F7760F"/>
    <w:rsid w:val="00F77695"/>
    <w:rsid w:val="00F808FD"/>
    <w:rsid w:val="00F80FC5"/>
    <w:rsid w:val="00F907D7"/>
    <w:rsid w:val="00F93A51"/>
    <w:rsid w:val="00F9443F"/>
    <w:rsid w:val="00FA2CD1"/>
    <w:rsid w:val="00FA625F"/>
    <w:rsid w:val="00FA6B87"/>
    <w:rsid w:val="00FB54F8"/>
    <w:rsid w:val="00FB58A8"/>
    <w:rsid w:val="00FB64F3"/>
    <w:rsid w:val="00FC37FD"/>
    <w:rsid w:val="00FC409B"/>
    <w:rsid w:val="00FD5F51"/>
    <w:rsid w:val="00FD782A"/>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D8BB0"/>
  <w15:docId w15:val="{A26A1D42-6C52-420B-9506-C6859C44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6F41"/>
    <w:pPr>
      <w:ind w:left="720"/>
      <w:contextualSpacing/>
    </w:pPr>
  </w:style>
  <w:style w:type="character" w:styleId="Mencinsinresolver">
    <w:name w:val="Unresolved Mention"/>
    <w:basedOn w:val="Fuentedeprrafopredeter"/>
    <w:uiPriority w:val="99"/>
    <w:semiHidden/>
    <w:unhideWhenUsed/>
    <w:rsid w:val="00423B0A"/>
    <w:rPr>
      <w:color w:val="605E5C"/>
      <w:shd w:val="clear" w:color="auto" w:fill="E1DFDD"/>
    </w:rPr>
  </w:style>
  <w:style w:type="paragraph" w:styleId="Textonotapie">
    <w:name w:val="footnote text"/>
    <w:basedOn w:val="Normal"/>
    <w:link w:val="TextonotapieCar"/>
    <w:uiPriority w:val="99"/>
    <w:semiHidden/>
    <w:unhideWhenUsed/>
    <w:rsid w:val="005D58DE"/>
    <w:pPr>
      <w:spacing w:line="240" w:lineRule="auto"/>
    </w:pPr>
    <w:rPr>
      <w:sz w:val="20"/>
      <w:szCs w:val="20"/>
    </w:rPr>
  </w:style>
  <w:style w:type="character" w:customStyle="1" w:styleId="TextonotapieCar">
    <w:name w:val="Texto nota pie Car"/>
    <w:basedOn w:val="Fuentedeprrafopredeter"/>
    <w:link w:val="Textonotapie"/>
    <w:uiPriority w:val="99"/>
    <w:semiHidden/>
    <w:rsid w:val="005D58DE"/>
    <w:rPr>
      <w:rFonts w:ascii="Times New Roman" w:hAnsi="Times New Roman"/>
      <w:sz w:val="20"/>
      <w:szCs w:val="20"/>
    </w:rPr>
  </w:style>
  <w:style w:type="character" w:styleId="Refdenotaalpie">
    <w:name w:val="footnote reference"/>
    <w:basedOn w:val="Fuentedeprrafopredeter"/>
    <w:uiPriority w:val="99"/>
    <w:semiHidden/>
    <w:unhideWhenUsed/>
    <w:rsid w:val="005D58DE"/>
    <w:rPr>
      <w:vertAlign w:val="superscript"/>
    </w:rPr>
  </w:style>
  <w:style w:type="character" w:styleId="Hipervnculovisitado">
    <w:name w:val="FollowedHyperlink"/>
    <w:basedOn w:val="Fuentedeprrafopredeter"/>
    <w:uiPriority w:val="99"/>
    <w:semiHidden/>
    <w:unhideWhenUsed/>
    <w:rsid w:val="00CD25F9"/>
    <w:rPr>
      <w:color w:val="954F72" w:themeColor="followedHyperlink"/>
      <w:u w:val="single"/>
    </w:rPr>
  </w:style>
  <w:style w:type="character" w:styleId="Refdecomentario">
    <w:name w:val="annotation reference"/>
    <w:basedOn w:val="Fuentedeprrafopredeter"/>
    <w:uiPriority w:val="99"/>
    <w:semiHidden/>
    <w:unhideWhenUsed/>
    <w:rsid w:val="00B86E62"/>
    <w:rPr>
      <w:sz w:val="16"/>
      <w:szCs w:val="16"/>
    </w:rPr>
  </w:style>
  <w:style w:type="paragraph" w:styleId="Textocomentario">
    <w:name w:val="annotation text"/>
    <w:basedOn w:val="Normal"/>
    <w:link w:val="TextocomentarioCar"/>
    <w:uiPriority w:val="99"/>
    <w:semiHidden/>
    <w:unhideWhenUsed/>
    <w:rsid w:val="00B86E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6E62"/>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B86E62"/>
    <w:rPr>
      <w:b/>
      <w:bCs/>
    </w:rPr>
  </w:style>
  <w:style w:type="character" w:customStyle="1" w:styleId="AsuntodelcomentarioCar">
    <w:name w:val="Asunto del comentario Car"/>
    <w:basedOn w:val="TextocomentarioCar"/>
    <w:link w:val="Asuntodelcomentario"/>
    <w:uiPriority w:val="99"/>
    <w:semiHidden/>
    <w:rsid w:val="00B86E6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inccss@ccss.sa.c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barrantes@ccss.sa.c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bg\AppData\Roaming\Microsoft\Template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0268D98014C93867E1B80A6A34486"/>
        <w:category>
          <w:name w:val="General"/>
          <w:gallery w:val="placeholder"/>
        </w:category>
        <w:types>
          <w:type w:val="bbPlcHdr"/>
        </w:types>
        <w:behaviors>
          <w:behavior w:val="content"/>
        </w:behaviors>
        <w:guid w:val="{28BD068C-BC54-440F-83B9-69B6642DF9EF}"/>
      </w:docPartPr>
      <w:docPartBody>
        <w:p w:rsidR="00B501A5" w:rsidRDefault="007C4F29">
          <w:pPr>
            <w:pStyle w:val="7F40268D98014C93867E1B80A6A34486"/>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A5"/>
    <w:rsid w:val="000004A7"/>
    <w:rsid w:val="00123A6A"/>
    <w:rsid w:val="00132C9B"/>
    <w:rsid w:val="00240210"/>
    <w:rsid w:val="002C0293"/>
    <w:rsid w:val="003B6767"/>
    <w:rsid w:val="003F583F"/>
    <w:rsid w:val="00441221"/>
    <w:rsid w:val="00655DDF"/>
    <w:rsid w:val="007C4F29"/>
    <w:rsid w:val="007D1B8E"/>
    <w:rsid w:val="00993F7C"/>
    <w:rsid w:val="00B26280"/>
    <w:rsid w:val="00B276D7"/>
    <w:rsid w:val="00B501A5"/>
    <w:rsid w:val="00D71525"/>
    <w:rsid w:val="00EA0BBA"/>
    <w:rsid w:val="00F0512D"/>
    <w:rsid w:val="00FB4F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7F40268D98014C93867E1B80A6A34486">
    <w:name w:val="7F40268D98014C93867E1B80A6A34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7" ma:contentTypeDescription="Crear nuevo documento." ma:contentTypeScope="" ma:versionID="18b833d4a4568477dbe65e6381625d28">
  <xsd:schema xmlns:xsd="http://www.w3.org/2001/XMLSchema" xmlns:xs="http://www.w3.org/2001/XMLSchema" xmlns:p="http://schemas.microsoft.com/office/2006/metadata/properties" xmlns:ns2="6c2d2cf2-004b-47d1-b91d-f9a62dc21bae" targetNamespace="http://schemas.microsoft.com/office/2006/metadata/properties" ma:root="true" ma:fieldsID="fc25ecc9a4813553ccaeeae26d5c5c19"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https://si.supen.fi.cr/Tramites/Tram_Detalle_Evento.aspx?evento=2023028064&amp;op=3</Url>
      <Description>2023028064</Description>
    </Even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887B-EDF0-4DED-B6BA-49678EABC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2D867-00FE-4257-A004-BCA078FA2D46}">
  <ds:schemaRefs>
    <ds:schemaRef ds:uri="http://schemas.microsoft.com/sharepoint/v3/contenttype/forms"/>
  </ds:schemaRefs>
</ds:datastoreItem>
</file>

<file path=customXml/itemProps3.xml><?xml version="1.0" encoding="utf-8"?>
<ds:datastoreItem xmlns:ds="http://schemas.openxmlformats.org/officeDocument/2006/customXml" ds:itemID="{93952396-D1CC-402F-917B-DE83B3996C3B}">
  <ds:schemaRefs>
    <ds:schemaRef ds:uri="http://schemas.microsoft.com/office/2006/metadata/properties"/>
    <ds:schemaRef ds:uri="http://schemas.microsoft.com/office/infopath/2007/PartnerControls"/>
    <ds:schemaRef ds:uri="6c2d2cf2-004b-47d1-b91d-f9a62dc21bae"/>
  </ds:schemaRefs>
</ds:datastoreItem>
</file>

<file path=customXml/itemProps4.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1</TotalTime>
  <Pages>6</Pages>
  <Words>1682</Words>
  <Characters>9253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2022SPA251.docx</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2023SPA263.docx</dc:title>
  <dc:subject/>
  <dc:creator>STERLOFF CHARALAMPIDU YANNI</dc:creator>
  <cp:keywords/>
  <dc:description/>
  <cp:lastModifiedBy>RODRIGUEZ BOVIERI GIANFRANCO</cp:lastModifiedBy>
  <cp:revision>2</cp:revision>
  <cp:lastPrinted>2016-11-07T18:19:00Z</cp:lastPrinted>
  <dcterms:created xsi:type="dcterms:W3CDTF">2023-07-14T20:46:00Z</dcterms:created>
  <dcterms:modified xsi:type="dcterms:W3CDTF">2023-07-14T20:46:00Z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2023-06-08T21:29:13Z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2bd4dbd5-bf1b-4f08-b0b0-000024656e9b</vt:lpwstr>
  </property>
  <property fmtid="{D5CDD505-2E9C-101B-9397-08002B2CF9AE}" pid="9" name="MSIP_Label_b8b4be34-365a-4a68-b9fb-75c1b6874315_ContentBits">
    <vt:lpwstr>2</vt:lpwstr>
  </property>
  <property fmtid="{D5CDD505-2E9C-101B-9397-08002B2CF9AE}" pid="10" name="MediaServiceImageTags">
    <vt:lpwstr/>
  </property>
</Properties>
</file>