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Override PartName="/_xmlsignatures/sig1.xml" ContentType="application/vnd.openxmlformats-package.digital-signature-xmlsignature+xml"/>
  <Override PartName="/_xmlsignatures/sig2.xml" ContentType="application/vnd.openxmlformats-package.digital-signature-xmlsignature+xml"/>
  <Override PartName="/_xmlsignatures/sig3.xml" ContentType="application/vnd.openxmlformats-package.digital-signature-xmlsignature+xml"/>
  <Override PartName="/_xmlsignatures/sig4.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817FC" w14:textId="77777777" w:rsidR="00DB54BC" w:rsidRDefault="00DB54BC" w:rsidP="004B05CF">
      <w:pPr>
        <w:pStyle w:val="SupenEncabezado"/>
        <w:spacing w:line="240" w:lineRule="auto"/>
        <w:rPr>
          <w:rStyle w:val="SupenEncabezadoCar"/>
          <w:b/>
          <w:bCs/>
        </w:rPr>
      </w:pPr>
    </w:p>
    <w:p w14:paraId="75E85B27" w14:textId="40004948" w:rsidR="004B05CF" w:rsidRDefault="00000000" w:rsidP="004B05CF">
      <w:pPr>
        <w:pStyle w:val="SupenEncabezado"/>
        <w:spacing w:line="240" w:lineRule="auto"/>
        <w:rPr>
          <w:rStyle w:val="SupenEncabezadoCar"/>
        </w:rPr>
      </w:pPr>
      <w:sdt>
        <w:sdtPr>
          <w:rPr>
            <w:rStyle w:val="SupenEncabezadoCar"/>
            <w:b/>
            <w:bCs/>
          </w:rPr>
          <w:alias w:val="Código"/>
          <w:tag w:val="A"/>
          <w:id w:val="1991359848"/>
          <w:placeholder>
            <w:docPart w:val="43EB93DA3D6F487AA4E3D8639695C645"/>
          </w:placeholder>
          <w:text/>
        </w:sdtPr>
        <w:sdtContent>
          <w:r w:rsidR="00167B1E" w:rsidRPr="00167B1E">
            <w:rPr>
              <w:rStyle w:val="SupenEncabezadoCar"/>
              <w:b/>
              <w:bCs/>
            </w:rPr>
            <w:t>SP-A-295-2026</w:t>
          </w:r>
        </w:sdtContent>
      </w:sdt>
    </w:p>
    <w:p w14:paraId="09B71132" w14:textId="77777777" w:rsidR="004B05CF" w:rsidRDefault="004B05CF" w:rsidP="004B05CF">
      <w:pPr>
        <w:spacing w:line="240" w:lineRule="auto"/>
      </w:pPr>
    </w:p>
    <w:p w14:paraId="4F1B6C0D" w14:textId="6B91A1BC" w:rsidR="004B05CF" w:rsidRDefault="004B05CF" w:rsidP="004B05CF">
      <w:pPr>
        <w:spacing w:line="240" w:lineRule="auto"/>
        <w:jc w:val="both"/>
      </w:pPr>
      <w:r w:rsidRPr="00BD0C19">
        <w:t xml:space="preserve">Superintendencia de Pensiones, al ser las </w:t>
      </w:r>
      <w:r w:rsidR="00167B1E">
        <w:t>15</w:t>
      </w:r>
      <w:r w:rsidRPr="00BD0C19">
        <w:t xml:space="preserve"> horas y </w:t>
      </w:r>
      <w:r w:rsidR="00167B1E">
        <w:t>15</w:t>
      </w:r>
      <w:r w:rsidRPr="00BD0C19">
        <w:t xml:space="preserve"> minutos del día </w:t>
      </w:r>
      <w:r w:rsidR="00B2323B">
        <w:t>14</w:t>
      </w:r>
      <w:r w:rsidRPr="00BD0C19">
        <w:t xml:space="preserve"> de </w:t>
      </w:r>
      <w:r w:rsidR="00167B1E">
        <w:t>abril</w:t>
      </w:r>
      <w:r w:rsidRPr="00BD0C19">
        <w:t xml:space="preserve"> de 20</w:t>
      </w:r>
      <w:r>
        <w:t>26</w:t>
      </w:r>
      <w:r w:rsidRPr="00BD0C19">
        <w:t>.</w:t>
      </w:r>
    </w:p>
    <w:p w14:paraId="6A0D1419" w14:textId="77777777" w:rsidR="004B05CF" w:rsidRDefault="004B05CF" w:rsidP="004B05CF">
      <w:pPr>
        <w:spacing w:line="240" w:lineRule="auto"/>
        <w:jc w:val="both"/>
      </w:pPr>
    </w:p>
    <w:p w14:paraId="41521AE9" w14:textId="77777777" w:rsidR="00DB54BC" w:rsidRDefault="00DB54BC" w:rsidP="004B05CF">
      <w:pPr>
        <w:spacing w:line="240" w:lineRule="auto"/>
        <w:jc w:val="both"/>
      </w:pPr>
    </w:p>
    <w:p w14:paraId="12C8FA12" w14:textId="77777777" w:rsidR="004B05CF" w:rsidRPr="000C0A3C" w:rsidRDefault="004B05CF" w:rsidP="004B05CF">
      <w:pPr>
        <w:spacing w:line="240" w:lineRule="auto"/>
        <w:jc w:val="center"/>
        <w:rPr>
          <w:rFonts w:cs="Times New Roman"/>
          <w:b/>
          <w:bCs/>
        </w:rPr>
      </w:pPr>
      <w:r>
        <w:rPr>
          <w:rFonts w:cs="Times New Roman"/>
          <w:b/>
          <w:bCs/>
        </w:rPr>
        <w:t>CONSIDERANDO:</w:t>
      </w:r>
    </w:p>
    <w:p w14:paraId="432E4919" w14:textId="77777777" w:rsidR="004B05CF" w:rsidRDefault="004B05CF" w:rsidP="004B05CF">
      <w:pPr>
        <w:spacing w:line="240" w:lineRule="auto"/>
      </w:pPr>
    </w:p>
    <w:p w14:paraId="391C84E7" w14:textId="77777777" w:rsidR="00DB54BC" w:rsidRDefault="00DB54BC" w:rsidP="004B05CF">
      <w:pPr>
        <w:spacing w:line="240" w:lineRule="auto"/>
      </w:pPr>
    </w:p>
    <w:p w14:paraId="61B725A3" w14:textId="26DFD880" w:rsidR="004B05CF" w:rsidRDefault="004B05CF" w:rsidP="004B05CF">
      <w:pPr>
        <w:pStyle w:val="Prrafodelista"/>
        <w:numPr>
          <w:ilvl w:val="0"/>
          <w:numId w:val="1"/>
        </w:numPr>
        <w:spacing w:line="240" w:lineRule="auto"/>
        <w:jc w:val="both"/>
        <w:rPr>
          <w:rFonts w:cs="Times New Roman"/>
        </w:rPr>
      </w:pPr>
      <w:r w:rsidRPr="004B05CF">
        <w:rPr>
          <w:rFonts w:cs="Times New Roman"/>
        </w:rPr>
        <w:t xml:space="preserve">El artículo 38, inciso f), de la Ley 7523, </w:t>
      </w:r>
      <w:r w:rsidRPr="004B05CF">
        <w:rPr>
          <w:rFonts w:cs="Times New Roman"/>
          <w:i/>
          <w:iCs/>
        </w:rPr>
        <w:t>Ley del Régimen Privado de Pensiones Complementarias</w:t>
      </w:r>
      <w:r w:rsidRPr="004B05CF">
        <w:rPr>
          <w:rFonts w:cs="Times New Roman"/>
        </w:rPr>
        <w:t xml:space="preserve">, reformada por la Ley 7983, </w:t>
      </w:r>
      <w:r w:rsidRPr="004B05CF">
        <w:rPr>
          <w:rFonts w:cs="Times New Roman"/>
          <w:i/>
          <w:iCs/>
        </w:rPr>
        <w:t>Ley de Protección al Trabajador</w:t>
      </w:r>
      <w:r w:rsidRPr="004B05CF">
        <w:rPr>
          <w:rFonts w:cs="Times New Roman"/>
        </w:rPr>
        <w:t>, atribuye al Superintendente la potestad de adoptar las acciones necesarias para dar cumplimiento efectivo a las funciones de supervisión, autorización y regulación que legalmente le competen a la Superintendencia de Pensiones (SUPEN)</w:t>
      </w:r>
      <w:r>
        <w:rPr>
          <w:rFonts w:cs="Times New Roman"/>
        </w:rPr>
        <w:t>.</w:t>
      </w:r>
    </w:p>
    <w:p w14:paraId="4A2BCB16" w14:textId="77777777" w:rsidR="004B05CF" w:rsidRDefault="004B05CF" w:rsidP="004B05CF">
      <w:pPr>
        <w:pStyle w:val="Prrafodelista"/>
        <w:spacing w:line="240" w:lineRule="auto"/>
        <w:jc w:val="both"/>
        <w:rPr>
          <w:rFonts w:cs="Times New Roman"/>
        </w:rPr>
      </w:pPr>
    </w:p>
    <w:p w14:paraId="0D1AE1EA" w14:textId="7B796455" w:rsidR="004B05CF" w:rsidRDefault="004B05CF" w:rsidP="004B05CF">
      <w:pPr>
        <w:pStyle w:val="Prrafodelista"/>
        <w:numPr>
          <w:ilvl w:val="0"/>
          <w:numId w:val="1"/>
        </w:numPr>
        <w:spacing w:line="240" w:lineRule="auto"/>
        <w:jc w:val="both"/>
        <w:rPr>
          <w:rFonts w:cs="Times New Roman"/>
        </w:rPr>
      </w:pPr>
      <w:r w:rsidRPr="004B05CF">
        <w:rPr>
          <w:rFonts w:cs="Times New Roman"/>
        </w:rPr>
        <w:t xml:space="preserve">El artículo 10 de la </w:t>
      </w:r>
      <w:r w:rsidRPr="004B05CF">
        <w:rPr>
          <w:rFonts w:cs="Times New Roman"/>
          <w:i/>
          <w:iCs/>
        </w:rPr>
        <w:t>Ley de Protección al Trabajador</w:t>
      </w:r>
      <w:r w:rsidRPr="004B05CF">
        <w:rPr>
          <w:rFonts w:cs="Times New Roman"/>
        </w:rPr>
        <w:t xml:space="preserve"> reconoce como derecho de las personas trabajadoras la libertad de afiliarse a la operadora de pensiones complementarias (OPC) de su elección y transferir sin costo, el saldo de su cuenta entre operadoras, en los plazos y condiciones que establezca la SUPEN</w:t>
      </w:r>
      <w:r w:rsidRPr="00DC49AA">
        <w:rPr>
          <w:rFonts w:cs="Times New Roman"/>
        </w:rPr>
        <w:t>.</w:t>
      </w:r>
    </w:p>
    <w:p w14:paraId="5B597618" w14:textId="77777777" w:rsidR="004B05CF" w:rsidRDefault="004B05CF" w:rsidP="004B05CF">
      <w:pPr>
        <w:pStyle w:val="Prrafodelista"/>
        <w:spacing w:line="240" w:lineRule="auto"/>
        <w:jc w:val="both"/>
        <w:rPr>
          <w:rFonts w:cs="Times New Roman"/>
        </w:rPr>
      </w:pPr>
    </w:p>
    <w:p w14:paraId="12145761" w14:textId="77777777" w:rsidR="004B05CF" w:rsidRDefault="004B05CF" w:rsidP="004B05CF">
      <w:pPr>
        <w:pStyle w:val="Prrafodelista"/>
        <w:numPr>
          <w:ilvl w:val="0"/>
          <w:numId w:val="1"/>
        </w:numPr>
        <w:spacing w:line="240" w:lineRule="auto"/>
        <w:jc w:val="both"/>
        <w:rPr>
          <w:rFonts w:cs="Times New Roman"/>
        </w:rPr>
      </w:pPr>
      <w:r w:rsidRPr="004B05CF">
        <w:rPr>
          <w:rFonts w:cs="Times New Roman"/>
        </w:rPr>
        <w:t xml:space="preserve">El artículo 106 del </w:t>
      </w:r>
      <w:r w:rsidRPr="004B05CF">
        <w:rPr>
          <w:rFonts w:cs="Times New Roman"/>
          <w:i/>
          <w:iCs/>
        </w:rPr>
        <w:t>Reglamento sobre la apertura y funcionamiento de las entidades autorizadas y el funcionamiento de los fondos de pensiones, capitalización laboral y ahorro voluntarios, previstos en la Ley de Protección al Trabajador</w:t>
      </w:r>
      <w:r w:rsidRPr="004B05CF">
        <w:rPr>
          <w:rFonts w:cs="Times New Roman"/>
        </w:rPr>
        <w:t xml:space="preserve"> (RAF) dispone que el Superintendente de Pensiones establecerá la forma, condiciones y plazos en que se efectuarán los traslados de recursos de las cuentas individuales de las personas afiliadas</w:t>
      </w:r>
      <w:r w:rsidRPr="00544224">
        <w:rPr>
          <w:rFonts w:cs="Times New Roman"/>
        </w:rPr>
        <w:t>.</w:t>
      </w:r>
    </w:p>
    <w:p w14:paraId="3168E3DB" w14:textId="77777777" w:rsidR="004B05CF" w:rsidRPr="00952003" w:rsidRDefault="004B05CF" w:rsidP="004B05CF">
      <w:pPr>
        <w:spacing w:line="240" w:lineRule="auto"/>
        <w:rPr>
          <w:rFonts w:cs="Times New Roman"/>
        </w:rPr>
      </w:pPr>
    </w:p>
    <w:p w14:paraId="1FFA0434" w14:textId="059B2435" w:rsidR="004B05CF" w:rsidRDefault="004B05CF" w:rsidP="004B05CF">
      <w:pPr>
        <w:pStyle w:val="Prrafodelista"/>
        <w:numPr>
          <w:ilvl w:val="0"/>
          <w:numId w:val="1"/>
        </w:numPr>
        <w:spacing w:line="240" w:lineRule="auto"/>
        <w:jc w:val="both"/>
        <w:rPr>
          <w:rFonts w:cs="Times New Roman"/>
        </w:rPr>
      </w:pPr>
      <w:r w:rsidRPr="004B05CF">
        <w:rPr>
          <w:rFonts w:cs="Times New Roman"/>
        </w:rPr>
        <w:t>Mediante el acuerdo SP-A-137-2010 se reguló el plazo y la forma de los traslados de los recursos de la cuenta individual de las personas afiliadas al Régimen de Capitalización Individual entre operadoras, y se incorporaron disposiciones sobre el funcionamiento y operación del Servicio Electrónico de Compensación y Liquidación de Recursos entre Entidades Autorizadas (SEC) dentro del servicio externo del SINPE para la Transferencia entre Operadoras (TEO)</w:t>
      </w:r>
      <w:r w:rsidRPr="00544224">
        <w:rPr>
          <w:rFonts w:cs="Times New Roman"/>
        </w:rPr>
        <w:t>.</w:t>
      </w:r>
    </w:p>
    <w:p w14:paraId="558008D8" w14:textId="77777777" w:rsidR="004B05CF" w:rsidRPr="00D23F4B" w:rsidRDefault="004B05CF" w:rsidP="004B05CF">
      <w:pPr>
        <w:spacing w:line="240" w:lineRule="auto"/>
        <w:rPr>
          <w:rFonts w:cs="Times New Roman"/>
        </w:rPr>
      </w:pPr>
    </w:p>
    <w:p w14:paraId="2BE02B06" w14:textId="77777777" w:rsidR="004B05CF" w:rsidRDefault="004B05CF" w:rsidP="004B05CF">
      <w:pPr>
        <w:pStyle w:val="Prrafodelista"/>
        <w:numPr>
          <w:ilvl w:val="0"/>
          <w:numId w:val="1"/>
        </w:numPr>
        <w:spacing w:line="240" w:lineRule="auto"/>
        <w:jc w:val="both"/>
        <w:rPr>
          <w:rFonts w:cs="Times New Roman"/>
        </w:rPr>
      </w:pPr>
      <w:r w:rsidRPr="004B05CF">
        <w:rPr>
          <w:rFonts w:cs="Times New Roman"/>
        </w:rPr>
        <w:t>El ciclo de compensación y liquidación del SEC comprende, entre otros hitos, el traslado de recursos asociados a operaciones de cuentas individuales, la determinación de la posición multilateral neta (positiva o negativa) de cada operadora, el envío de fondos a las cuentas liquidadoras en el Banco Central de Costa Rica (BCCR), la liquidación y compensación por medio del Sistema Nacional de Pagos Electrónicos (SINPE) y la acreditación de los recursos en las cuentas individuales de las personas trabajadoras</w:t>
      </w:r>
      <w:r w:rsidRPr="00D23F4B">
        <w:rPr>
          <w:rFonts w:cs="Times New Roman"/>
        </w:rPr>
        <w:t>.</w:t>
      </w:r>
    </w:p>
    <w:p w14:paraId="51DF55E0" w14:textId="77777777" w:rsidR="004B05CF" w:rsidRPr="00D23F4B" w:rsidRDefault="004B05CF" w:rsidP="004B05CF">
      <w:pPr>
        <w:pStyle w:val="Prrafodelista"/>
        <w:spacing w:line="240" w:lineRule="auto"/>
        <w:rPr>
          <w:rFonts w:cs="Times New Roman"/>
        </w:rPr>
      </w:pPr>
    </w:p>
    <w:p w14:paraId="7FEE6443" w14:textId="5129AFA9" w:rsidR="004B05CF" w:rsidRDefault="004B05CF" w:rsidP="004B05CF">
      <w:pPr>
        <w:pStyle w:val="Prrafodelista"/>
        <w:numPr>
          <w:ilvl w:val="0"/>
          <w:numId w:val="1"/>
        </w:numPr>
        <w:spacing w:line="240" w:lineRule="auto"/>
        <w:jc w:val="both"/>
        <w:rPr>
          <w:rFonts w:cs="Times New Roman"/>
        </w:rPr>
      </w:pPr>
      <w:r w:rsidRPr="006727E7">
        <w:t>Para efectos de una adecuada gestión del riesgo de liquidez asociad</w:t>
      </w:r>
      <w:r w:rsidR="0010396F">
        <w:t>a</w:t>
      </w:r>
      <w:r w:rsidRPr="006727E7">
        <w:t xml:space="preserve"> a los traslados del SEC, el Sistema Centralizado de Recaudación (SICERE) suministra a las </w:t>
      </w:r>
      <w:r w:rsidRPr="006727E7">
        <w:lastRenderedPageBreak/>
        <w:t>entidades el detalle de operaciones entrantes y salientes, información que facilita la planificación de los flujos de liquidez requeridos para el ciclo del servici</w:t>
      </w:r>
      <w:r>
        <w:t>o</w:t>
      </w:r>
      <w:r w:rsidRPr="00DC5AA1">
        <w:rPr>
          <w:rFonts w:cs="Times New Roman"/>
        </w:rPr>
        <w:t xml:space="preserve">. </w:t>
      </w:r>
    </w:p>
    <w:p w14:paraId="77896223" w14:textId="77777777" w:rsidR="004B05CF" w:rsidRPr="00DC5AA1" w:rsidRDefault="004B05CF" w:rsidP="004B05CF">
      <w:pPr>
        <w:spacing w:line="240" w:lineRule="auto"/>
        <w:rPr>
          <w:rFonts w:cs="Times New Roman"/>
        </w:rPr>
      </w:pPr>
    </w:p>
    <w:p w14:paraId="6C86C608" w14:textId="4744D1B1" w:rsidR="004B05CF" w:rsidRDefault="004B05CF" w:rsidP="004B05CF">
      <w:pPr>
        <w:pStyle w:val="Prrafodelista"/>
        <w:numPr>
          <w:ilvl w:val="0"/>
          <w:numId w:val="1"/>
        </w:numPr>
        <w:spacing w:line="240" w:lineRule="auto"/>
        <w:jc w:val="both"/>
        <w:rPr>
          <w:rFonts w:cs="Times New Roman"/>
        </w:rPr>
      </w:pPr>
      <w:r w:rsidRPr="004B05CF">
        <w:rPr>
          <w:rFonts w:cs="Times New Roman"/>
        </w:rPr>
        <w:t>El Reglamento del Sistema Nacional de Pagos incorpora la implementación de servicios externos de compensación bilateral, los cuales podrían estar sujetos a garantías o en su defecto, contar con mecanismos de liquidez garantizada que las excluyen. En este último caso, se exige que el participante del servicio mantenga disponibilidades acreditadas en las cuentas liquidadoras, a fin de garantizar la finalización oportuna de las operaciones</w:t>
      </w:r>
      <w:r w:rsidRPr="00402ADA">
        <w:rPr>
          <w:rFonts w:cs="Times New Roman"/>
        </w:rPr>
        <w:t>.</w:t>
      </w:r>
    </w:p>
    <w:p w14:paraId="096821B6" w14:textId="77777777" w:rsidR="004B05CF" w:rsidRPr="002F0D9C" w:rsidRDefault="004B05CF" w:rsidP="004B05CF">
      <w:pPr>
        <w:pStyle w:val="Prrafodelista"/>
        <w:spacing w:line="240" w:lineRule="auto"/>
        <w:rPr>
          <w:rFonts w:cs="Times New Roman"/>
        </w:rPr>
      </w:pPr>
    </w:p>
    <w:p w14:paraId="7AE1FFE1" w14:textId="77777777" w:rsidR="004B05CF" w:rsidRDefault="004B05CF" w:rsidP="004B05CF">
      <w:pPr>
        <w:pStyle w:val="Prrafodelista"/>
        <w:numPr>
          <w:ilvl w:val="0"/>
          <w:numId w:val="1"/>
        </w:numPr>
        <w:spacing w:line="240" w:lineRule="auto"/>
        <w:jc w:val="both"/>
        <w:rPr>
          <w:rFonts w:cs="Times New Roman"/>
        </w:rPr>
      </w:pPr>
      <w:r w:rsidRPr="004B05CF">
        <w:rPr>
          <w:rFonts w:cs="Times New Roman"/>
        </w:rPr>
        <w:t>El adecuado funcionamiento del TEO requería que, previo a la liquidación, las operadoras mantuvieran disponibilidades suficientes y oportunas y aplicaran controles operativos orientados a minimizar el riesgo de incumplimiento y a asegurar la continuidad del servicio, en resguardo del ejercicio efectivo del derecho de libre transferencia de las personas afiliadas. En ese marco, el artículo 352 del Reglamento del Sistema de Pagos establecía, como requisito para la operación del servicio externo TEO, que las operadoras mantuvieran un monto en garantías no menor al promedio móvil más dos desviaciones estándar, calculado sobre la suma de sus débitos netos diarios generados en los últimos setenta (70) días naturales por los servicios de compensación multilateral neta del SINPE, como mecanismo de respaldo para asegurar la continuidad del servicio y el ejercicio efectivo de la libre transferencia</w:t>
      </w:r>
      <w:r>
        <w:rPr>
          <w:rFonts w:cs="Times New Roman"/>
        </w:rPr>
        <w:t>.</w:t>
      </w:r>
    </w:p>
    <w:p w14:paraId="4B2266DB" w14:textId="77777777" w:rsidR="004B05CF" w:rsidRPr="001151BC" w:rsidRDefault="004B05CF" w:rsidP="004B05CF">
      <w:pPr>
        <w:pStyle w:val="Prrafodelista"/>
        <w:spacing w:line="240" w:lineRule="auto"/>
        <w:rPr>
          <w:rFonts w:cs="Times New Roman"/>
        </w:rPr>
      </w:pPr>
    </w:p>
    <w:p w14:paraId="01D0ACD0" w14:textId="13806A55" w:rsidR="004B05CF" w:rsidRDefault="004B05CF" w:rsidP="004B05CF">
      <w:pPr>
        <w:pStyle w:val="Prrafodelista"/>
        <w:numPr>
          <w:ilvl w:val="0"/>
          <w:numId w:val="1"/>
        </w:numPr>
        <w:spacing w:line="240" w:lineRule="auto"/>
        <w:jc w:val="both"/>
        <w:rPr>
          <w:rFonts w:cs="Times New Roman"/>
        </w:rPr>
      </w:pPr>
      <w:r w:rsidRPr="004B05CF">
        <w:rPr>
          <w:rFonts w:cs="Times New Roman"/>
        </w:rPr>
        <w:t>La Junta Directiva del BCCR, mediante el artículo 6 del acta de la sesión 6294-2025, celebrada el 27 de noviembre de 2025 y publicada en el Alcance 160 a La Gaceta 234 del 12 de diciembre de 2025, aprobó una reforma al artículo 352 del Reglamento del Sistema de Pagos</w:t>
      </w:r>
      <w:r w:rsidR="00A55F09">
        <w:rPr>
          <w:rFonts w:cs="Times New Roman"/>
        </w:rPr>
        <w:t>,</w:t>
      </w:r>
      <w:r w:rsidRPr="004B05CF">
        <w:rPr>
          <w:rFonts w:cs="Times New Roman"/>
        </w:rPr>
        <w:t xml:space="preserve"> por lo cual se exime al servicio de Transferencia entre Operadoras del requerimiento de garantías y para ese efecto, se incorpora un ajuste operativo en virtud del cual las operadoras deberán depositar previamente en su cuenta de fondos en el BCCR el monto neto deudor como condición para la remisión del archivo correspondiente por parte de la SUPEN, con el fin de asegurar la liquidación del servicio</w:t>
      </w:r>
      <w:r w:rsidRPr="00947CEE">
        <w:rPr>
          <w:rFonts w:cs="Times New Roman"/>
        </w:rPr>
        <w:t>.</w:t>
      </w:r>
    </w:p>
    <w:p w14:paraId="3D826574" w14:textId="77777777" w:rsidR="004B05CF" w:rsidRPr="000C1835" w:rsidRDefault="004B05CF" w:rsidP="004B05CF">
      <w:pPr>
        <w:pStyle w:val="Prrafodelista"/>
        <w:spacing w:line="240" w:lineRule="auto"/>
        <w:jc w:val="both"/>
        <w:rPr>
          <w:rFonts w:cs="Times New Roman"/>
        </w:rPr>
      </w:pPr>
    </w:p>
    <w:p w14:paraId="4E7AEE55" w14:textId="77777777" w:rsidR="004B05CF" w:rsidRDefault="004B05CF" w:rsidP="004B05CF">
      <w:pPr>
        <w:pStyle w:val="Prrafodelista"/>
        <w:numPr>
          <w:ilvl w:val="0"/>
          <w:numId w:val="1"/>
        </w:numPr>
        <w:spacing w:line="240" w:lineRule="auto"/>
        <w:jc w:val="both"/>
        <w:rPr>
          <w:rFonts w:cs="Times New Roman"/>
        </w:rPr>
      </w:pPr>
      <w:r w:rsidRPr="004B05CF">
        <w:rPr>
          <w:rFonts w:cs="Times New Roman"/>
        </w:rPr>
        <w:t>La supresión del requerimiento de garantías para el TEO modifica un supuesto operativo previsto en el Acuerdo SP-A-137-2010, por lo que resulta necesario armonizar dicho acuerdo para reflejar los nuevos controles previos a la compensación y liquidación, incluyendo la verificación de disponibilidades, la secuencia operativa del día de ciclo y la definición expresa de responsabilidades, a fin de asegurar consistencia con el esquema de fondeo previo y con los puntos de control anteriores a la transmisión del neto multilateral al SINPE</w:t>
      </w:r>
      <w:r w:rsidRPr="00A761EF">
        <w:rPr>
          <w:rFonts w:cs="Times New Roman"/>
        </w:rPr>
        <w:t>.</w:t>
      </w:r>
    </w:p>
    <w:p w14:paraId="5D15FF87" w14:textId="77777777" w:rsidR="004B05CF" w:rsidRPr="00237E8B" w:rsidRDefault="004B05CF" w:rsidP="004B05CF">
      <w:pPr>
        <w:pStyle w:val="Prrafodelista"/>
        <w:spacing w:line="240" w:lineRule="auto"/>
        <w:rPr>
          <w:rFonts w:cs="Times New Roman"/>
        </w:rPr>
      </w:pPr>
    </w:p>
    <w:p w14:paraId="2FF8D747" w14:textId="431A3D03" w:rsidR="004B05CF" w:rsidRDefault="004B05CF" w:rsidP="004B05CF">
      <w:pPr>
        <w:pStyle w:val="Prrafodelista"/>
        <w:numPr>
          <w:ilvl w:val="0"/>
          <w:numId w:val="1"/>
        </w:numPr>
        <w:spacing w:line="240" w:lineRule="auto"/>
        <w:jc w:val="both"/>
        <w:rPr>
          <w:rFonts w:cs="Times New Roman"/>
        </w:rPr>
      </w:pPr>
      <w:r w:rsidRPr="004B05CF">
        <w:rPr>
          <w:rFonts w:cs="Times New Roman"/>
        </w:rPr>
        <w:lastRenderedPageBreak/>
        <w:t>El nuevo esquema operativo para la ejecución del servicio externo TEO administrado por el SINPE sin garantías, exige que cada operadora cuente  con capacidades internas suficientes para la gestión y obtención oportuna de liquidez, incluyendo personal debidamente certificado y disponible para ejecutar, de ser necesario y conforme a los requerimientos operativos aplicables, operaciones de endeudamiento en el Mercado Intercambiario de Liquidez (MIL), a fin de preservar la continuidad del servicio y mitigar el riesgo operativo ante ausencias, contingencias o concentración de funciones críticas; y que bajo dicho esquema</w:t>
      </w:r>
      <w:r w:rsidR="00001FA6">
        <w:rPr>
          <w:rFonts w:cs="Times New Roman"/>
        </w:rPr>
        <w:t>,</w:t>
      </w:r>
      <w:r w:rsidRPr="004B05CF">
        <w:rPr>
          <w:rFonts w:cs="Times New Roman"/>
        </w:rPr>
        <w:t xml:space="preserve"> el fondeo fuera de plazo en las cuentas liquidadoras por parte de alguna de las operadoras participantes, dará como resultado que el SINPE excluirá todo el archivo del multilateral neto que fue trasmitido, ocasionando que todas las operaciones reportadas por las operadoras deban posponerse hasta el siguiente ciclo de liquidación y compensación, derivando en la reversión de los procesos operativos y liquidaciones relacionadas con la libre transferencia de dicho ciclo</w:t>
      </w:r>
      <w:r w:rsidRPr="00237E8B">
        <w:rPr>
          <w:rFonts w:cs="Times New Roman"/>
        </w:rPr>
        <w:t>.</w:t>
      </w:r>
    </w:p>
    <w:p w14:paraId="78679495" w14:textId="77777777" w:rsidR="004B05CF" w:rsidRPr="00237E8B" w:rsidRDefault="004B05CF" w:rsidP="004B05CF">
      <w:pPr>
        <w:pStyle w:val="Prrafodelista"/>
        <w:spacing w:line="240" w:lineRule="auto"/>
        <w:rPr>
          <w:rFonts w:cs="Times New Roman"/>
        </w:rPr>
      </w:pPr>
    </w:p>
    <w:p w14:paraId="52DEDBD0" w14:textId="77777777" w:rsidR="004B05CF" w:rsidRPr="002C541E" w:rsidRDefault="004B05CF" w:rsidP="004B05CF">
      <w:pPr>
        <w:pStyle w:val="Prrafodelista"/>
        <w:numPr>
          <w:ilvl w:val="0"/>
          <w:numId w:val="1"/>
        </w:numPr>
        <w:spacing w:line="240" w:lineRule="auto"/>
        <w:jc w:val="both"/>
        <w:rPr>
          <w:rFonts w:cs="Times New Roman"/>
        </w:rPr>
      </w:pPr>
      <w:r w:rsidRPr="004B05CF">
        <w:rPr>
          <w:rFonts w:cs="Times New Roman"/>
        </w:rPr>
        <w:t xml:space="preserve">A fin de </w:t>
      </w:r>
      <w:bookmarkStart w:id="0" w:name="_Hlk222410316"/>
      <w:r w:rsidRPr="004B05CF">
        <w:rPr>
          <w:rFonts w:cs="Times New Roman"/>
        </w:rPr>
        <w:t xml:space="preserve">armonizar el marco operativo del acuerdo SP-A-137-2010 con la reforma del artículo 352 del Reglamento del Sistema de Pagos, corresponde reformar dicho acuerdo para: i) suprimir las referencias vigentes al esquema de garantías aplicable al TEO, ii) incorporar la exigencia de fondeo previo en la cuenta de fondos del BCCR como condición para el envío del archivo por parte de la SUPEN, iii) reordenar fases operativas, plazos y asignaciones de responsabilidad, incorporando controles previos a la transmisión del neto multilateral al SINPE y cuando corresponda, una etapa de exclusiones y iv) adecuar los requerimientos para que las operadoras dispongan de personal suficiente, debidamente capacitado y disponible para la ejecución de labores dentro del SEC y </w:t>
      </w:r>
      <w:r w:rsidRPr="002C541E">
        <w:rPr>
          <w:rFonts w:cs="Times New Roman"/>
        </w:rPr>
        <w:t>para la eventual gestión de liquidez mediante operaciones en el MIL, asegurando la continuidad y cierre oportuno del ciclo.</w:t>
      </w:r>
      <w:bookmarkEnd w:id="0"/>
    </w:p>
    <w:p w14:paraId="4AA3AB08" w14:textId="77777777" w:rsidR="003338B5" w:rsidRPr="002C541E" w:rsidRDefault="003338B5" w:rsidP="00D57E5D">
      <w:pPr>
        <w:pStyle w:val="Prrafodelista"/>
        <w:spacing w:line="240" w:lineRule="auto"/>
        <w:jc w:val="both"/>
        <w:rPr>
          <w:rFonts w:cs="Times New Roman"/>
        </w:rPr>
      </w:pPr>
    </w:p>
    <w:p w14:paraId="03E51E0A" w14:textId="738FA05F" w:rsidR="003338B5" w:rsidRPr="002C541E" w:rsidRDefault="002363B2" w:rsidP="003338B5">
      <w:pPr>
        <w:pStyle w:val="Prrafodelista"/>
        <w:numPr>
          <w:ilvl w:val="0"/>
          <w:numId w:val="1"/>
        </w:numPr>
        <w:spacing w:line="240" w:lineRule="auto"/>
        <w:jc w:val="both"/>
        <w:rPr>
          <w:rFonts w:cs="Times New Roman"/>
        </w:rPr>
      </w:pPr>
      <w:r w:rsidRPr="002C541E">
        <w:rPr>
          <w:rFonts w:cs="Times New Roman"/>
        </w:rPr>
        <w:t>Mediante oficio SP-153-2026, de 23 de febrero de 2026, se consultó a las OPC la propuesta de modificación del Acuerdo SP-A-137-2010, a fin de suprimir las referencias al esquema de garantías aplicable al TEO e incorporar las reformas consecuentes. En el marco de dicha consulta, las operadoras formularon observaciones, las cuales fueron analizadas y valoradas para introducir los ajustes que se estimaron procedentes.</w:t>
      </w:r>
      <w:r w:rsidR="003338B5" w:rsidRPr="002C541E">
        <w:rPr>
          <w:rFonts w:cs="Times New Roman"/>
        </w:rPr>
        <w:t xml:space="preserve"> </w:t>
      </w:r>
    </w:p>
    <w:p w14:paraId="07BE07BB" w14:textId="77777777" w:rsidR="004B05CF" w:rsidRPr="002C541E" w:rsidRDefault="004B05CF"/>
    <w:p w14:paraId="203B36D9" w14:textId="77777777" w:rsidR="004B05CF" w:rsidRDefault="004B05CF" w:rsidP="004B05CF">
      <w:pPr>
        <w:spacing w:line="240" w:lineRule="auto"/>
        <w:jc w:val="center"/>
        <w:rPr>
          <w:b/>
          <w:bCs/>
        </w:rPr>
      </w:pPr>
      <w:r w:rsidRPr="002C541E">
        <w:rPr>
          <w:b/>
          <w:bCs/>
        </w:rPr>
        <w:t>POR TANTO:</w:t>
      </w:r>
    </w:p>
    <w:p w14:paraId="1B35F42D" w14:textId="77777777" w:rsidR="00DB54BC" w:rsidRPr="002C541E" w:rsidRDefault="00DB54BC" w:rsidP="004B05CF">
      <w:pPr>
        <w:spacing w:line="240" w:lineRule="auto"/>
        <w:jc w:val="center"/>
        <w:rPr>
          <w:b/>
          <w:bCs/>
        </w:rPr>
      </w:pPr>
    </w:p>
    <w:p w14:paraId="1AB3F93A" w14:textId="77777777" w:rsidR="004B05CF" w:rsidRPr="002C541E" w:rsidRDefault="004B05CF" w:rsidP="004B05CF">
      <w:pPr>
        <w:pStyle w:val="Textoindependiente"/>
        <w:spacing w:before="9"/>
        <w:rPr>
          <w:rFonts w:ascii="Times New Roman" w:hAnsi="Times New Roman" w:cs="Times New Roman"/>
          <w:b/>
          <w:sz w:val="22"/>
          <w:szCs w:val="22"/>
          <w:lang w:val="es-CR"/>
        </w:rPr>
      </w:pPr>
    </w:p>
    <w:p w14:paraId="056CEA1C" w14:textId="01A72382" w:rsidR="004B05CF" w:rsidRPr="002C541E" w:rsidRDefault="004B05CF" w:rsidP="004B05CF">
      <w:pPr>
        <w:pStyle w:val="Prrafodelista"/>
        <w:numPr>
          <w:ilvl w:val="0"/>
          <w:numId w:val="2"/>
        </w:numPr>
        <w:spacing w:line="240" w:lineRule="auto"/>
        <w:jc w:val="both"/>
      </w:pPr>
      <w:r w:rsidRPr="002C541E">
        <w:rPr>
          <w:rFonts w:cs="Times New Roman"/>
          <w:lang w:val="es-CR"/>
        </w:rPr>
        <w:t xml:space="preserve">Se modifica </w:t>
      </w:r>
      <w:bookmarkStart w:id="1" w:name="_Hlk222407557"/>
      <w:r w:rsidRPr="002C541E">
        <w:rPr>
          <w:rFonts w:cs="Times New Roman"/>
          <w:lang w:val="es-CR"/>
        </w:rPr>
        <w:t>la Se</w:t>
      </w:r>
      <w:r w:rsidRPr="002C541E">
        <w:rPr>
          <w:rFonts w:cs="Times New Roman"/>
          <w:i/>
          <w:iCs/>
          <w:lang w:val="es-CR"/>
        </w:rPr>
        <w:t>cción III: Servicio Electrónico de Compensación y Liquidación, inciso 10. Etapa de Compensación y Liquidación</w:t>
      </w:r>
      <w:r w:rsidRPr="002C541E">
        <w:rPr>
          <w:rFonts w:cs="Times New Roman"/>
          <w:lang w:val="es-CR"/>
        </w:rPr>
        <w:t xml:space="preserve"> del SEC del Acuerdo SP-A-137-2010</w:t>
      </w:r>
      <w:bookmarkEnd w:id="1"/>
      <w:r w:rsidRPr="002C541E">
        <w:rPr>
          <w:rFonts w:cs="Times New Roman"/>
          <w:lang w:val="es-CR"/>
        </w:rPr>
        <w:t xml:space="preserve">, en el </w:t>
      </w:r>
      <w:r w:rsidR="004C5C4C">
        <w:rPr>
          <w:rFonts w:cs="Times New Roman"/>
          <w:lang w:val="es-CR"/>
        </w:rPr>
        <w:t>que</w:t>
      </w:r>
      <w:r w:rsidRPr="002C541E">
        <w:rPr>
          <w:rFonts w:cs="Times New Roman"/>
          <w:lang w:val="es-CR"/>
        </w:rPr>
        <w:t xml:space="preserve"> se establece </w:t>
      </w:r>
      <w:bookmarkStart w:id="2" w:name="_Hlk222408589"/>
      <w:r w:rsidRPr="002C541E">
        <w:rPr>
          <w:rFonts w:cs="Times New Roman"/>
          <w:lang w:val="es-CR"/>
        </w:rPr>
        <w:t xml:space="preserve">una nueva columna para designar al ejecutor de la fase correspondiente, </w:t>
      </w:r>
      <w:r w:rsidRPr="002C541E">
        <w:rPr>
          <w:rFonts w:cs="Times New Roman"/>
          <w:lang w:val="es-CR"/>
        </w:rPr>
        <w:lastRenderedPageBreak/>
        <w:t>se modifican las fases 5, 6 y 7, y se elimina la fase 8 para que, en lo sucesivo</w:t>
      </w:r>
      <w:bookmarkEnd w:id="2"/>
      <w:r w:rsidRPr="002C541E">
        <w:rPr>
          <w:rFonts w:cs="Times New Roman"/>
          <w:lang w:val="es-CR"/>
        </w:rPr>
        <w:t>, se lea de la siguiente forma:</w:t>
      </w:r>
    </w:p>
    <w:p w14:paraId="3E5DE4F3" w14:textId="77777777" w:rsidR="004B05CF" w:rsidRPr="004C5C4C" w:rsidRDefault="004B05CF" w:rsidP="004B05CF">
      <w:pPr>
        <w:spacing w:line="240" w:lineRule="auto"/>
        <w:ind w:left="102" w:right="118"/>
        <w:jc w:val="both"/>
        <w:rPr>
          <w:rFonts w:cs="Times New Roman"/>
        </w:rPr>
      </w:pPr>
    </w:p>
    <w:p w14:paraId="332521A2" w14:textId="4B00160C" w:rsidR="004B05CF" w:rsidRPr="002C541E" w:rsidRDefault="004B05CF" w:rsidP="004B05CF">
      <w:pPr>
        <w:spacing w:line="240" w:lineRule="auto"/>
        <w:ind w:left="462" w:right="118"/>
        <w:jc w:val="both"/>
        <w:rPr>
          <w:rFonts w:cs="Times New Roman"/>
          <w:b/>
          <w:bCs/>
          <w:i/>
          <w:iCs/>
          <w:lang w:val="es-CR"/>
        </w:rPr>
      </w:pPr>
      <w:r w:rsidRPr="002C541E">
        <w:rPr>
          <w:rFonts w:cs="Times New Roman"/>
          <w:b/>
          <w:bCs/>
          <w:i/>
          <w:iCs/>
          <w:lang w:val="es-CR"/>
        </w:rPr>
        <w:t>10.</w:t>
      </w:r>
      <w:r w:rsidRPr="002C541E">
        <w:rPr>
          <w:rFonts w:cs="Times New Roman"/>
          <w:b/>
          <w:bCs/>
          <w:i/>
          <w:iCs/>
          <w:lang w:val="es-CR"/>
        </w:rPr>
        <w:tab/>
        <w:t xml:space="preserve">Etapa de Compensación y Liquidación del SEC  </w:t>
      </w:r>
    </w:p>
    <w:p w14:paraId="32881826" w14:textId="77777777" w:rsidR="004B05CF" w:rsidRPr="002C541E" w:rsidRDefault="004B05CF" w:rsidP="004B05CF">
      <w:pPr>
        <w:spacing w:line="240" w:lineRule="auto"/>
        <w:ind w:left="462" w:right="118"/>
        <w:jc w:val="both"/>
        <w:rPr>
          <w:rFonts w:cs="Times New Roman"/>
          <w:i/>
          <w:iCs/>
          <w:lang w:val="es-CR"/>
        </w:rPr>
      </w:pPr>
    </w:p>
    <w:p w14:paraId="2A132A8B" w14:textId="77777777" w:rsidR="004B05CF" w:rsidRPr="002C541E" w:rsidRDefault="008C2D43" w:rsidP="004B05CF">
      <w:pPr>
        <w:spacing w:line="240" w:lineRule="auto"/>
        <w:ind w:left="462" w:right="118"/>
        <w:jc w:val="both"/>
        <w:rPr>
          <w:rFonts w:cs="Times New Roman"/>
          <w:i/>
          <w:iCs/>
          <w:lang w:val="es-CR"/>
        </w:rPr>
      </w:pPr>
      <w:r w:rsidRPr="002C541E">
        <w:rPr>
          <w:rFonts w:cs="Times New Roman"/>
          <w:i/>
          <w:iCs/>
          <w:lang w:val="es-CR"/>
        </w:rPr>
        <w:t>Es la etapa dentro del ciclo de operación del SEC donde se realiza la compensación bilateral neta de los débitos y créditos, producto de los traspasos de recursos entre entidades autorizadas. El resultado neto constituye un derecho u obligación de pago para cada participante, según se trate de un crédito neto o de un débito neto</w:t>
      </w:r>
      <w:r w:rsidR="004B05CF" w:rsidRPr="002C541E">
        <w:rPr>
          <w:rFonts w:cs="Times New Roman"/>
          <w:i/>
          <w:iCs/>
          <w:lang w:val="es-CR"/>
        </w:rPr>
        <w:t>.</w:t>
      </w:r>
    </w:p>
    <w:p w14:paraId="3C53EDF0" w14:textId="77777777" w:rsidR="004B05CF" w:rsidRPr="002C541E" w:rsidRDefault="004B05CF" w:rsidP="004B05CF">
      <w:pPr>
        <w:spacing w:line="240" w:lineRule="auto"/>
        <w:ind w:left="462" w:right="118"/>
        <w:jc w:val="both"/>
        <w:rPr>
          <w:rFonts w:cs="Times New Roman"/>
          <w:i/>
          <w:iCs/>
          <w:lang w:val="es-CR"/>
        </w:rPr>
      </w:pPr>
    </w:p>
    <w:p w14:paraId="7ADBE90D" w14:textId="77777777" w:rsidR="004B05CF" w:rsidRPr="002C541E" w:rsidRDefault="008C2D43" w:rsidP="004B05CF">
      <w:pPr>
        <w:spacing w:line="240" w:lineRule="auto"/>
        <w:ind w:left="462" w:right="118"/>
        <w:jc w:val="both"/>
        <w:rPr>
          <w:rFonts w:cs="Times New Roman"/>
          <w:i/>
          <w:iCs/>
          <w:lang w:val="es-CR"/>
        </w:rPr>
      </w:pPr>
      <w:r w:rsidRPr="002C541E">
        <w:rPr>
          <w:rFonts w:cs="Times New Roman"/>
          <w:i/>
          <w:iCs/>
          <w:lang w:val="es-CR"/>
        </w:rPr>
        <w:t>Las situaciones de rechazo de operaciones, exclusión de la entidad o suspensión del ciclo se regirán por lo dispuesto en el numeral 21. Situaciones Contingentes del presente reglamento</w:t>
      </w:r>
      <w:r w:rsidR="004B05CF" w:rsidRPr="002C541E">
        <w:rPr>
          <w:rFonts w:cs="Times New Roman"/>
          <w:i/>
          <w:iCs/>
          <w:lang w:val="es-CR"/>
        </w:rPr>
        <w:t>.</w:t>
      </w:r>
    </w:p>
    <w:p w14:paraId="618881E5" w14:textId="77777777" w:rsidR="004B05CF" w:rsidRPr="002C541E" w:rsidRDefault="004B05CF" w:rsidP="004B05CF">
      <w:pPr>
        <w:spacing w:line="240" w:lineRule="auto"/>
        <w:ind w:left="102" w:right="118"/>
        <w:jc w:val="both"/>
        <w:rPr>
          <w:rFonts w:cs="Times New Roman"/>
          <w:szCs w:val="24"/>
          <w:lang w:val="es-CR"/>
        </w:rPr>
      </w:pPr>
      <w:r w:rsidRPr="002C541E">
        <w:rPr>
          <w:rFonts w:cs="Times New Roman"/>
          <w:szCs w:val="24"/>
          <w:lang w:val="es-CR"/>
        </w:rPr>
        <w:t xml:space="preserve"> </w:t>
      </w:r>
    </w:p>
    <w:tbl>
      <w:tblPr>
        <w:tblW w:w="5996" w:type="pct"/>
        <w:tblInd w:w="-861" w:type="dxa"/>
        <w:tblCellMar>
          <w:left w:w="70" w:type="dxa"/>
          <w:right w:w="70" w:type="dxa"/>
        </w:tblCellMar>
        <w:tblLook w:val="04A0" w:firstRow="1" w:lastRow="0" w:firstColumn="1" w:lastColumn="0" w:noHBand="0" w:noVBand="1"/>
      </w:tblPr>
      <w:tblGrid>
        <w:gridCol w:w="979"/>
        <w:gridCol w:w="1688"/>
        <w:gridCol w:w="1542"/>
        <w:gridCol w:w="4509"/>
        <w:gridCol w:w="1857"/>
      </w:tblGrid>
      <w:tr w:rsidR="002C541E" w:rsidRPr="002C541E" w14:paraId="6652C3A0" w14:textId="77777777" w:rsidTr="008D1FD3">
        <w:trPr>
          <w:trHeight w:val="304"/>
          <w:tblHeader/>
        </w:trPr>
        <w:tc>
          <w:tcPr>
            <w:tcW w:w="463" w:type="pct"/>
            <w:tcBorders>
              <w:top w:val="single" w:sz="8" w:space="0" w:color="auto"/>
              <w:left w:val="single" w:sz="8" w:space="0" w:color="auto"/>
              <w:bottom w:val="single" w:sz="8" w:space="0" w:color="auto"/>
              <w:right w:val="single" w:sz="8" w:space="0" w:color="000000"/>
            </w:tcBorders>
            <w:shd w:val="clear" w:color="000000" w:fill="DAEDF3"/>
            <w:vAlign w:val="center"/>
            <w:hideMark/>
          </w:tcPr>
          <w:p w14:paraId="4CEC16DE" w14:textId="77777777" w:rsidR="004B05CF" w:rsidRPr="002C541E" w:rsidRDefault="004B05CF" w:rsidP="003737F8">
            <w:pPr>
              <w:widowControl w:val="0"/>
              <w:tabs>
                <w:tab w:val="left" w:pos="842"/>
              </w:tabs>
              <w:autoSpaceDE w:val="0"/>
              <w:autoSpaceDN w:val="0"/>
              <w:spacing w:line="240" w:lineRule="auto"/>
              <w:ind w:right="101"/>
              <w:jc w:val="center"/>
              <w:rPr>
                <w:rFonts w:cs="Times New Roman"/>
                <w:b/>
                <w:bCs/>
                <w:i/>
                <w:iCs/>
              </w:rPr>
            </w:pPr>
            <w:r w:rsidRPr="002C541E">
              <w:rPr>
                <w:rFonts w:cs="Times New Roman"/>
                <w:b/>
                <w:bCs/>
                <w:i/>
                <w:iCs/>
              </w:rPr>
              <w:t>Fases</w:t>
            </w:r>
          </w:p>
        </w:tc>
        <w:tc>
          <w:tcPr>
            <w:tcW w:w="798" w:type="pct"/>
            <w:tcBorders>
              <w:top w:val="single" w:sz="8" w:space="0" w:color="auto"/>
              <w:left w:val="nil"/>
              <w:bottom w:val="single" w:sz="8" w:space="0" w:color="auto"/>
              <w:right w:val="single" w:sz="8" w:space="0" w:color="000000"/>
            </w:tcBorders>
            <w:shd w:val="clear" w:color="000000" w:fill="DAEDF3"/>
            <w:vAlign w:val="center"/>
            <w:hideMark/>
          </w:tcPr>
          <w:p w14:paraId="183612F9" w14:textId="77777777" w:rsidR="004B05CF" w:rsidRPr="002C541E" w:rsidRDefault="004B05CF" w:rsidP="003737F8">
            <w:pPr>
              <w:widowControl w:val="0"/>
              <w:tabs>
                <w:tab w:val="left" w:pos="842"/>
              </w:tabs>
              <w:autoSpaceDE w:val="0"/>
              <w:autoSpaceDN w:val="0"/>
              <w:spacing w:line="240" w:lineRule="auto"/>
              <w:ind w:right="101"/>
              <w:jc w:val="center"/>
              <w:rPr>
                <w:rFonts w:cs="Times New Roman"/>
                <w:b/>
                <w:bCs/>
                <w:i/>
                <w:iCs/>
              </w:rPr>
            </w:pPr>
            <w:r w:rsidRPr="002C541E">
              <w:rPr>
                <w:rFonts w:cs="Times New Roman"/>
                <w:b/>
                <w:bCs/>
                <w:i/>
                <w:iCs/>
              </w:rPr>
              <w:t>Descripción</w:t>
            </w:r>
          </w:p>
        </w:tc>
        <w:tc>
          <w:tcPr>
            <w:tcW w:w="729" w:type="pct"/>
            <w:tcBorders>
              <w:top w:val="single" w:sz="8" w:space="0" w:color="auto"/>
              <w:left w:val="nil"/>
              <w:bottom w:val="single" w:sz="8" w:space="0" w:color="auto"/>
              <w:right w:val="single" w:sz="8" w:space="0" w:color="000000"/>
            </w:tcBorders>
            <w:shd w:val="clear" w:color="000000" w:fill="DAEDF3"/>
            <w:vAlign w:val="center"/>
            <w:hideMark/>
          </w:tcPr>
          <w:p w14:paraId="6D82A981" w14:textId="77777777" w:rsidR="004B05CF" w:rsidRPr="002C541E" w:rsidRDefault="008C2D43" w:rsidP="003737F8">
            <w:pPr>
              <w:widowControl w:val="0"/>
              <w:tabs>
                <w:tab w:val="left" w:pos="842"/>
              </w:tabs>
              <w:autoSpaceDE w:val="0"/>
              <w:autoSpaceDN w:val="0"/>
              <w:spacing w:line="240" w:lineRule="auto"/>
              <w:ind w:right="101"/>
              <w:jc w:val="center"/>
              <w:rPr>
                <w:rFonts w:cs="Times New Roman"/>
                <w:b/>
                <w:bCs/>
                <w:i/>
                <w:iCs/>
              </w:rPr>
            </w:pPr>
            <w:r w:rsidRPr="002C541E">
              <w:rPr>
                <w:b/>
                <w:bCs/>
                <w:i/>
                <w:iCs/>
              </w:rPr>
              <w:t>Ejecutor</w:t>
            </w:r>
          </w:p>
        </w:tc>
        <w:tc>
          <w:tcPr>
            <w:tcW w:w="2132" w:type="pct"/>
            <w:tcBorders>
              <w:top w:val="single" w:sz="8" w:space="0" w:color="auto"/>
              <w:left w:val="nil"/>
              <w:bottom w:val="single" w:sz="8" w:space="0" w:color="auto"/>
              <w:right w:val="single" w:sz="8" w:space="0" w:color="000000"/>
            </w:tcBorders>
            <w:shd w:val="clear" w:color="000000" w:fill="DAEDF3"/>
            <w:vAlign w:val="center"/>
            <w:hideMark/>
          </w:tcPr>
          <w:p w14:paraId="48ADABE7" w14:textId="77777777" w:rsidR="004B05CF" w:rsidRPr="002C541E" w:rsidRDefault="004B05CF" w:rsidP="003737F8">
            <w:pPr>
              <w:widowControl w:val="0"/>
              <w:tabs>
                <w:tab w:val="left" w:pos="842"/>
              </w:tabs>
              <w:autoSpaceDE w:val="0"/>
              <w:autoSpaceDN w:val="0"/>
              <w:spacing w:line="240" w:lineRule="auto"/>
              <w:ind w:right="101"/>
              <w:jc w:val="center"/>
              <w:rPr>
                <w:rFonts w:cs="Times New Roman"/>
                <w:b/>
                <w:bCs/>
                <w:i/>
                <w:iCs/>
              </w:rPr>
            </w:pPr>
            <w:r w:rsidRPr="002C541E">
              <w:rPr>
                <w:rFonts w:cs="Times New Roman"/>
                <w:b/>
                <w:bCs/>
                <w:i/>
                <w:iCs/>
              </w:rPr>
              <w:t>Detalle</w:t>
            </w:r>
          </w:p>
        </w:tc>
        <w:tc>
          <w:tcPr>
            <w:tcW w:w="878" w:type="pct"/>
            <w:tcBorders>
              <w:top w:val="single" w:sz="8" w:space="0" w:color="auto"/>
              <w:left w:val="nil"/>
              <w:bottom w:val="single" w:sz="8" w:space="0" w:color="auto"/>
              <w:right w:val="single" w:sz="8" w:space="0" w:color="auto"/>
            </w:tcBorders>
            <w:shd w:val="clear" w:color="000000" w:fill="DAEDF3"/>
            <w:vAlign w:val="center"/>
            <w:hideMark/>
          </w:tcPr>
          <w:p w14:paraId="49A8A871" w14:textId="77777777" w:rsidR="004B05CF" w:rsidRPr="002C541E" w:rsidRDefault="004B05CF" w:rsidP="003737F8">
            <w:pPr>
              <w:widowControl w:val="0"/>
              <w:tabs>
                <w:tab w:val="left" w:pos="842"/>
              </w:tabs>
              <w:autoSpaceDE w:val="0"/>
              <w:autoSpaceDN w:val="0"/>
              <w:spacing w:line="240" w:lineRule="auto"/>
              <w:ind w:right="101"/>
              <w:jc w:val="center"/>
              <w:rPr>
                <w:rFonts w:cs="Times New Roman"/>
                <w:b/>
                <w:bCs/>
                <w:i/>
                <w:iCs/>
              </w:rPr>
            </w:pPr>
            <w:r w:rsidRPr="002C541E">
              <w:rPr>
                <w:rFonts w:cs="Times New Roman"/>
                <w:b/>
                <w:bCs/>
                <w:i/>
                <w:iCs/>
              </w:rPr>
              <w:t>Horario</w:t>
            </w:r>
          </w:p>
        </w:tc>
      </w:tr>
      <w:tr w:rsidR="007E7491" w:rsidRPr="002C541E" w14:paraId="5D5B1CB8" w14:textId="77777777" w:rsidTr="008D1FD3">
        <w:trPr>
          <w:trHeight w:val="3359"/>
        </w:trPr>
        <w:tc>
          <w:tcPr>
            <w:tcW w:w="463" w:type="pct"/>
            <w:tcBorders>
              <w:top w:val="single" w:sz="8" w:space="0" w:color="auto"/>
              <w:left w:val="single" w:sz="8" w:space="0" w:color="auto"/>
              <w:bottom w:val="single" w:sz="8" w:space="0" w:color="auto"/>
              <w:right w:val="single" w:sz="8" w:space="0" w:color="auto"/>
            </w:tcBorders>
            <w:vAlign w:val="center"/>
            <w:hideMark/>
          </w:tcPr>
          <w:p w14:paraId="1027C365" w14:textId="77777777" w:rsidR="007E7491" w:rsidRPr="002C541E" w:rsidRDefault="007E7491" w:rsidP="003737F8">
            <w:pPr>
              <w:widowControl w:val="0"/>
              <w:tabs>
                <w:tab w:val="left" w:pos="842"/>
              </w:tabs>
              <w:autoSpaceDE w:val="0"/>
              <w:autoSpaceDN w:val="0"/>
              <w:spacing w:line="240" w:lineRule="auto"/>
              <w:ind w:right="101"/>
              <w:jc w:val="center"/>
              <w:rPr>
                <w:rFonts w:cs="Times New Roman"/>
                <w:i/>
                <w:iCs/>
              </w:rPr>
            </w:pPr>
            <w:r w:rsidRPr="002C541E">
              <w:rPr>
                <w:rFonts w:cs="Times New Roman"/>
                <w:i/>
                <w:iCs/>
              </w:rPr>
              <w:t>Fase 1</w:t>
            </w:r>
          </w:p>
        </w:tc>
        <w:tc>
          <w:tcPr>
            <w:tcW w:w="798" w:type="pct"/>
            <w:tcBorders>
              <w:top w:val="single" w:sz="8" w:space="0" w:color="auto"/>
              <w:left w:val="single" w:sz="8" w:space="0" w:color="auto"/>
              <w:bottom w:val="single" w:sz="8" w:space="0" w:color="auto"/>
              <w:right w:val="single" w:sz="8" w:space="0" w:color="auto"/>
            </w:tcBorders>
            <w:vAlign w:val="center"/>
            <w:hideMark/>
          </w:tcPr>
          <w:p w14:paraId="607FAD3E" w14:textId="77777777" w:rsidR="007E7491" w:rsidRPr="002C541E" w:rsidRDefault="007E7491" w:rsidP="003737F8">
            <w:pPr>
              <w:widowControl w:val="0"/>
              <w:tabs>
                <w:tab w:val="left" w:pos="842"/>
              </w:tabs>
              <w:autoSpaceDE w:val="0"/>
              <w:autoSpaceDN w:val="0"/>
              <w:spacing w:line="240" w:lineRule="auto"/>
              <w:ind w:right="101"/>
              <w:jc w:val="center"/>
              <w:rPr>
                <w:rFonts w:cs="Times New Roman"/>
                <w:i/>
                <w:iCs/>
              </w:rPr>
            </w:pPr>
            <w:r w:rsidRPr="002C541E">
              <w:rPr>
                <w:rFonts w:cs="Times New Roman"/>
                <w:i/>
                <w:iCs/>
              </w:rPr>
              <w:t>Registro de operaciones salientes</w:t>
            </w:r>
          </w:p>
        </w:tc>
        <w:tc>
          <w:tcPr>
            <w:tcW w:w="729" w:type="pct"/>
            <w:tcBorders>
              <w:top w:val="single" w:sz="8" w:space="0" w:color="auto"/>
              <w:left w:val="single" w:sz="8" w:space="0" w:color="auto"/>
              <w:bottom w:val="single" w:sz="8" w:space="0" w:color="auto"/>
              <w:right w:val="single" w:sz="8" w:space="0" w:color="auto"/>
            </w:tcBorders>
            <w:vAlign w:val="center"/>
            <w:hideMark/>
          </w:tcPr>
          <w:p w14:paraId="1D25FC2B" w14:textId="77777777" w:rsidR="007E7491" w:rsidRPr="002C541E" w:rsidRDefault="007E7491" w:rsidP="003737F8">
            <w:pPr>
              <w:widowControl w:val="0"/>
              <w:tabs>
                <w:tab w:val="left" w:pos="842"/>
              </w:tabs>
              <w:autoSpaceDE w:val="0"/>
              <w:autoSpaceDN w:val="0"/>
              <w:spacing w:line="240" w:lineRule="auto"/>
              <w:ind w:right="101"/>
              <w:jc w:val="center"/>
              <w:rPr>
                <w:rFonts w:cs="Times New Roman"/>
                <w:i/>
                <w:iCs/>
              </w:rPr>
            </w:pPr>
            <w:r w:rsidRPr="002C541E">
              <w:rPr>
                <w:rFonts w:cs="Times New Roman"/>
                <w:i/>
                <w:iCs/>
              </w:rPr>
              <w:t>OPC</w:t>
            </w:r>
          </w:p>
        </w:tc>
        <w:tc>
          <w:tcPr>
            <w:tcW w:w="2132" w:type="pct"/>
            <w:tcBorders>
              <w:top w:val="single" w:sz="8" w:space="0" w:color="auto"/>
              <w:left w:val="single" w:sz="8" w:space="0" w:color="auto"/>
              <w:bottom w:val="single" w:sz="8" w:space="0" w:color="auto"/>
              <w:right w:val="single" w:sz="8" w:space="0" w:color="auto"/>
            </w:tcBorders>
            <w:vAlign w:val="center"/>
            <w:hideMark/>
          </w:tcPr>
          <w:p w14:paraId="5547AC86" w14:textId="77777777" w:rsidR="007E7491" w:rsidRPr="002C541E" w:rsidRDefault="007E7491" w:rsidP="008C2D43">
            <w:pPr>
              <w:widowControl w:val="0"/>
              <w:tabs>
                <w:tab w:val="left" w:pos="842"/>
              </w:tabs>
              <w:autoSpaceDE w:val="0"/>
              <w:autoSpaceDN w:val="0"/>
              <w:spacing w:line="240" w:lineRule="auto"/>
              <w:ind w:right="101"/>
              <w:jc w:val="both"/>
              <w:rPr>
                <w:rFonts w:cs="Times New Roman"/>
                <w:i/>
                <w:iCs/>
              </w:rPr>
            </w:pPr>
            <w:r w:rsidRPr="002C541E">
              <w:rPr>
                <w:rFonts w:cs="Times New Roman"/>
                <w:i/>
                <w:iCs/>
              </w:rPr>
              <w:t>Cada una de las entidades autorizadas origen deberá ingresar al SEC y proceder a cargar los saldos acumulados en la cuenta individual de cada contrato, calculados al valor cuota del día hábil inmediato anterior, así como los demás datos que se requieran para el registro del traslado.</w:t>
            </w:r>
          </w:p>
          <w:p w14:paraId="39B285A5" w14:textId="77777777" w:rsidR="007E7491" w:rsidRPr="002C541E" w:rsidRDefault="007E7491" w:rsidP="008C2D43">
            <w:pPr>
              <w:widowControl w:val="0"/>
              <w:tabs>
                <w:tab w:val="left" w:pos="842"/>
              </w:tabs>
              <w:autoSpaceDE w:val="0"/>
              <w:autoSpaceDN w:val="0"/>
              <w:spacing w:line="240" w:lineRule="auto"/>
              <w:ind w:right="101"/>
              <w:jc w:val="both"/>
              <w:rPr>
                <w:rFonts w:cs="Times New Roman"/>
                <w:i/>
                <w:iCs/>
              </w:rPr>
            </w:pPr>
            <w:r w:rsidRPr="002C541E">
              <w:rPr>
                <w:rFonts w:cs="Times New Roman"/>
                <w:i/>
                <w:iCs/>
              </w:rPr>
              <w:t>En el momento en que la carga de saldos sea oficializada por la Operadora no podrá modificarse.</w:t>
            </w:r>
          </w:p>
        </w:tc>
        <w:tc>
          <w:tcPr>
            <w:tcW w:w="878" w:type="pct"/>
            <w:tcBorders>
              <w:top w:val="single" w:sz="8" w:space="0" w:color="auto"/>
              <w:left w:val="single" w:sz="8" w:space="0" w:color="auto"/>
              <w:bottom w:val="single" w:sz="8" w:space="0" w:color="auto"/>
              <w:right w:val="single" w:sz="8" w:space="0" w:color="auto"/>
            </w:tcBorders>
            <w:vAlign w:val="center"/>
            <w:hideMark/>
          </w:tcPr>
          <w:p w14:paraId="10BDD32D" w14:textId="77777777" w:rsidR="007E7491" w:rsidRPr="002C541E" w:rsidRDefault="007E7491" w:rsidP="003737F8">
            <w:pPr>
              <w:widowControl w:val="0"/>
              <w:tabs>
                <w:tab w:val="left" w:pos="842"/>
              </w:tabs>
              <w:autoSpaceDE w:val="0"/>
              <w:autoSpaceDN w:val="0"/>
              <w:spacing w:line="240" w:lineRule="auto"/>
              <w:ind w:right="101"/>
              <w:jc w:val="center"/>
              <w:rPr>
                <w:rFonts w:cs="Times New Roman"/>
                <w:i/>
                <w:iCs/>
              </w:rPr>
            </w:pPr>
            <w:r w:rsidRPr="008D1FD3">
              <w:rPr>
                <w:rFonts w:cs="Times New Roman"/>
                <w:i/>
                <w:iCs/>
              </w:rPr>
              <w:t>De 7:00 am a 1:00 pm, posterior a esa hora no se podrá oficializar y el cierre se realizará a la 1:15 pm.</w:t>
            </w:r>
          </w:p>
        </w:tc>
      </w:tr>
      <w:tr w:rsidR="002C541E" w:rsidRPr="002C541E" w14:paraId="71347E65" w14:textId="77777777" w:rsidTr="008D1FD3">
        <w:trPr>
          <w:trHeight w:val="1483"/>
        </w:trPr>
        <w:tc>
          <w:tcPr>
            <w:tcW w:w="463" w:type="pct"/>
            <w:tcBorders>
              <w:top w:val="single" w:sz="8" w:space="0" w:color="auto"/>
              <w:left w:val="single" w:sz="8" w:space="0" w:color="auto"/>
              <w:bottom w:val="single" w:sz="8" w:space="0" w:color="auto"/>
              <w:right w:val="single" w:sz="8" w:space="0" w:color="000000"/>
            </w:tcBorders>
            <w:vAlign w:val="center"/>
            <w:hideMark/>
          </w:tcPr>
          <w:p w14:paraId="12C173B8" w14:textId="77777777" w:rsidR="004B05CF" w:rsidRPr="002C541E" w:rsidRDefault="004B05CF" w:rsidP="003737F8">
            <w:pPr>
              <w:widowControl w:val="0"/>
              <w:tabs>
                <w:tab w:val="left" w:pos="842"/>
              </w:tabs>
              <w:autoSpaceDE w:val="0"/>
              <w:autoSpaceDN w:val="0"/>
              <w:spacing w:line="240" w:lineRule="auto"/>
              <w:ind w:right="101"/>
              <w:jc w:val="center"/>
              <w:rPr>
                <w:rFonts w:cs="Times New Roman"/>
                <w:i/>
                <w:iCs/>
              </w:rPr>
            </w:pPr>
            <w:r w:rsidRPr="002C541E">
              <w:rPr>
                <w:rFonts w:cs="Times New Roman"/>
                <w:i/>
                <w:iCs/>
              </w:rPr>
              <w:t>Fase 2</w:t>
            </w:r>
          </w:p>
        </w:tc>
        <w:tc>
          <w:tcPr>
            <w:tcW w:w="798" w:type="pct"/>
            <w:tcBorders>
              <w:top w:val="single" w:sz="8" w:space="0" w:color="auto"/>
              <w:left w:val="nil"/>
              <w:bottom w:val="single" w:sz="8" w:space="0" w:color="auto"/>
              <w:right w:val="single" w:sz="8" w:space="0" w:color="000000"/>
            </w:tcBorders>
            <w:vAlign w:val="center"/>
            <w:hideMark/>
          </w:tcPr>
          <w:p w14:paraId="2281169D" w14:textId="77777777" w:rsidR="004B05CF" w:rsidRPr="002C541E" w:rsidRDefault="004B05CF" w:rsidP="003737F8">
            <w:pPr>
              <w:widowControl w:val="0"/>
              <w:tabs>
                <w:tab w:val="left" w:pos="842"/>
              </w:tabs>
              <w:autoSpaceDE w:val="0"/>
              <w:autoSpaceDN w:val="0"/>
              <w:spacing w:line="240" w:lineRule="auto"/>
              <w:ind w:right="101"/>
              <w:jc w:val="center"/>
              <w:rPr>
                <w:rFonts w:cs="Times New Roman"/>
                <w:i/>
                <w:iCs/>
              </w:rPr>
            </w:pPr>
            <w:r w:rsidRPr="002C541E">
              <w:rPr>
                <w:rFonts w:cs="Times New Roman"/>
                <w:i/>
                <w:iCs/>
              </w:rPr>
              <w:t>Cálculo de posición bilateral</w:t>
            </w:r>
          </w:p>
        </w:tc>
        <w:tc>
          <w:tcPr>
            <w:tcW w:w="729" w:type="pct"/>
            <w:tcBorders>
              <w:top w:val="single" w:sz="8" w:space="0" w:color="auto"/>
              <w:left w:val="nil"/>
              <w:bottom w:val="single" w:sz="8" w:space="0" w:color="auto"/>
              <w:right w:val="single" w:sz="8" w:space="0" w:color="000000"/>
            </w:tcBorders>
            <w:vAlign w:val="center"/>
            <w:hideMark/>
          </w:tcPr>
          <w:p w14:paraId="4D4D446D" w14:textId="77777777" w:rsidR="004B05CF" w:rsidRPr="002C541E" w:rsidRDefault="004B05CF" w:rsidP="003737F8">
            <w:pPr>
              <w:widowControl w:val="0"/>
              <w:tabs>
                <w:tab w:val="left" w:pos="842"/>
              </w:tabs>
              <w:autoSpaceDE w:val="0"/>
              <w:autoSpaceDN w:val="0"/>
              <w:spacing w:line="240" w:lineRule="auto"/>
              <w:ind w:right="101"/>
              <w:jc w:val="center"/>
              <w:rPr>
                <w:rFonts w:cs="Times New Roman"/>
                <w:i/>
                <w:iCs/>
              </w:rPr>
            </w:pPr>
            <w:r w:rsidRPr="002C541E">
              <w:rPr>
                <w:rFonts w:cs="Times New Roman"/>
                <w:i/>
                <w:iCs/>
              </w:rPr>
              <w:t>SEC</w:t>
            </w:r>
          </w:p>
        </w:tc>
        <w:tc>
          <w:tcPr>
            <w:tcW w:w="2132" w:type="pct"/>
            <w:tcBorders>
              <w:top w:val="single" w:sz="8" w:space="0" w:color="auto"/>
              <w:left w:val="nil"/>
              <w:bottom w:val="single" w:sz="8" w:space="0" w:color="auto"/>
              <w:right w:val="single" w:sz="8" w:space="0" w:color="000000"/>
            </w:tcBorders>
            <w:vAlign w:val="center"/>
            <w:hideMark/>
          </w:tcPr>
          <w:p w14:paraId="2846D6B3" w14:textId="77777777" w:rsidR="004B05CF" w:rsidRPr="002C541E" w:rsidRDefault="008C2D43" w:rsidP="003737F8">
            <w:pPr>
              <w:widowControl w:val="0"/>
              <w:tabs>
                <w:tab w:val="left" w:pos="842"/>
              </w:tabs>
              <w:autoSpaceDE w:val="0"/>
              <w:autoSpaceDN w:val="0"/>
              <w:spacing w:line="240" w:lineRule="auto"/>
              <w:ind w:right="101"/>
              <w:jc w:val="both"/>
              <w:rPr>
                <w:rFonts w:cs="Times New Roman"/>
                <w:i/>
                <w:iCs/>
              </w:rPr>
            </w:pPr>
            <w:r w:rsidRPr="002C541E">
              <w:rPr>
                <w:rFonts w:cs="Times New Roman"/>
                <w:i/>
                <w:iCs/>
              </w:rPr>
              <w:t>El SEC ejecutará el proceso de cierre en el cual se compensarán las operaciones entrantes y salientes de cada entidad, generando una posición neta para cada entidad participante (acreedora o deudora).</w:t>
            </w:r>
          </w:p>
        </w:tc>
        <w:tc>
          <w:tcPr>
            <w:tcW w:w="878" w:type="pct"/>
            <w:tcBorders>
              <w:top w:val="single" w:sz="8" w:space="0" w:color="auto"/>
              <w:left w:val="nil"/>
              <w:bottom w:val="single" w:sz="8" w:space="0" w:color="auto"/>
              <w:right w:val="single" w:sz="8" w:space="0" w:color="auto"/>
            </w:tcBorders>
            <w:vAlign w:val="center"/>
            <w:hideMark/>
          </w:tcPr>
          <w:p w14:paraId="40A76758" w14:textId="77777777" w:rsidR="004B05CF" w:rsidRPr="002C541E" w:rsidRDefault="004B05CF" w:rsidP="003737F8">
            <w:pPr>
              <w:widowControl w:val="0"/>
              <w:tabs>
                <w:tab w:val="left" w:pos="842"/>
              </w:tabs>
              <w:autoSpaceDE w:val="0"/>
              <w:autoSpaceDN w:val="0"/>
              <w:spacing w:line="240" w:lineRule="auto"/>
              <w:ind w:right="101"/>
              <w:jc w:val="center"/>
              <w:rPr>
                <w:rFonts w:cs="Times New Roman"/>
                <w:i/>
                <w:iCs/>
              </w:rPr>
            </w:pPr>
            <w:r w:rsidRPr="002C541E">
              <w:rPr>
                <w:rFonts w:cs="Times New Roman"/>
                <w:i/>
                <w:iCs/>
              </w:rPr>
              <w:t>A la 1:15 pm</w:t>
            </w:r>
          </w:p>
        </w:tc>
      </w:tr>
      <w:tr w:rsidR="002C541E" w:rsidRPr="002C541E" w14:paraId="140762F9" w14:textId="77777777" w:rsidTr="003737F8">
        <w:trPr>
          <w:trHeight w:val="1452"/>
        </w:trPr>
        <w:tc>
          <w:tcPr>
            <w:tcW w:w="463" w:type="pct"/>
            <w:tcBorders>
              <w:top w:val="nil"/>
              <w:left w:val="single" w:sz="8" w:space="0" w:color="auto"/>
              <w:bottom w:val="single" w:sz="8" w:space="0" w:color="auto"/>
              <w:right w:val="single" w:sz="8" w:space="0" w:color="000000"/>
            </w:tcBorders>
            <w:vAlign w:val="center"/>
            <w:hideMark/>
          </w:tcPr>
          <w:p w14:paraId="05E1EA52" w14:textId="77777777" w:rsidR="004B05CF" w:rsidRPr="002C541E" w:rsidRDefault="004B05CF" w:rsidP="003737F8">
            <w:pPr>
              <w:widowControl w:val="0"/>
              <w:tabs>
                <w:tab w:val="left" w:pos="842"/>
              </w:tabs>
              <w:autoSpaceDE w:val="0"/>
              <w:autoSpaceDN w:val="0"/>
              <w:spacing w:line="240" w:lineRule="auto"/>
              <w:ind w:right="101"/>
              <w:jc w:val="center"/>
              <w:rPr>
                <w:rFonts w:cs="Times New Roman"/>
                <w:i/>
                <w:iCs/>
              </w:rPr>
            </w:pPr>
            <w:r w:rsidRPr="002C541E">
              <w:rPr>
                <w:rFonts w:cs="Times New Roman"/>
                <w:i/>
                <w:iCs/>
              </w:rPr>
              <w:t>Fase 3</w:t>
            </w:r>
          </w:p>
        </w:tc>
        <w:tc>
          <w:tcPr>
            <w:tcW w:w="798" w:type="pct"/>
            <w:tcBorders>
              <w:top w:val="nil"/>
              <w:left w:val="nil"/>
              <w:bottom w:val="single" w:sz="8" w:space="0" w:color="auto"/>
              <w:right w:val="single" w:sz="8" w:space="0" w:color="000000"/>
            </w:tcBorders>
            <w:vAlign w:val="center"/>
            <w:hideMark/>
          </w:tcPr>
          <w:p w14:paraId="46E7088E" w14:textId="77777777" w:rsidR="004B05CF" w:rsidRPr="002C541E" w:rsidRDefault="004B05CF" w:rsidP="003737F8">
            <w:pPr>
              <w:widowControl w:val="0"/>
              <w:tabs>
                <w:tab w:val="left" w:pos="842"/>
              </w:tabs>
              <w:autoSpaceDE w:val="0"/>
              <w:autoSpaceDN w:val="0"/>
              <w:spacing w:line="240" w:lineRule="auto"/>
              <w:ind w:right="101"/>
              <w:jc w:val="center"/>
              <w:rPr>
                <w:rFonts w:cs="Times New Roman"/>
                <w:i/>
                <w:iCs/>
              </w:rPr>
            </w:pPr>
            <w:r w:rsidRPr="002C541E">
              <w:rPr>
                <w:rFonts w:cs="Times New Roman"/>
                <w:i/>
                <w:iCs/>
              </w:rPr>
              <w:t>Transmisión electrónica del resultado bilateral neto</w:t>
            </w:r>
          </w:p>
        </w:tc>
        <w:tc>
          <w:tcPr>
            <w:tcW w:w="729" w:type="pct"/>
            <w:tcBorders>
              <w:top w:val="nil"/>
              <w:left w:val="nil"/>
              <w:bottom w:val="single" w:sz="8" w:space="0" w:color="auto"/>
              <w:right w:val="single" w:sz="8" w:space="0" w:color="000000"/>
            </w:tcBorders>
            <w:vAlign w:val="center"/>
            <w:hideMark/>
          </w:tcPr>
          <w:p w14:paraId="28401557" w14:textId="77777777" w:rsidR="004B05CF" w:rsidRPr="002C541E" w:rsidRDefault="004B05CF" w:rsidP="003737F8">
            <w:pPr>
              <w:widowControl w:val="0"/>
              <w:tabs>
                <w:tab w:val="left" w:pos="842"/>
              </w:tabs>
              <w:autoSpaceDE w:val="0"/>
              <w:autoSpaceDN w:val="0"/>
              <w:spacing w:line="240" w:lineRule="auto"/>
              <w:ind w:right="101"/>
              <w:jc w:val="center"/>
              <w:rPr>
                <w:rFonts w:cs="Times New Roman"/>
                <w:i/>
                <w:iCs/>
              </w:rPr>
            </w:pPr>
            <w:r w:rsidRPr="002C541E">
              <w:rPr>
                <w:rFonts w:cs="Times New Roman"/>
                <w:i/>
                <w:iCs/>
              </w:rPr>
              <w:t>SEC</w:t>
            </w:r>
          </w:p>
        </w:tc>
        <w:tc>
          <w:tcPr>
            <w:tcW w:w="2132" w:type="pct"/>
            <w:tcBorders>
              <w:top w:val="nil"/>
              <w:left w:val="nil"/>
              <w:bottom w:val="single" w:sz="8" w:space="0" w:color="auto"/>
              <w:right w:val="single" w:sz="8" w:space="0" w:color="000000"/>
            </w:tcBorders>
            <w:vAlign w:val="center"/>
            <w:hideMark/>
          </w:tcPr>
          <w:p w14:paraId="3D7F77B5" w14:textId="77777777" w:rsidR="004B05CF" w:rsidRPr="002C541E" w:rsidRDefault="008C2D43" w:rsidP="003737F8">
            <w:pPr>
              <w:widowControl w:val="0"/>
              <w:tabs>
                <w:tab w:val="left" w:pos="842"/>
              </w:tabs>
              <w:autoSpaceDE w:val="0"/>
              <w:autoSpaceDN w:val="0"/>
              <w:spacing w:line="240" w:lineRule="auto"/>
              <w:ind w:right="101"/>
              <w:jc w:val="both"/>
              <w:rPr>
                <w:rFonts w:cs="Times New Roman"/>
                <w:i/>
                <w:iCs/>
              </w:rPr>
            </w:pPr>
            <w:r w:rsidRPr="002C541E">
              <w:rPr>
                <w:i/>
                <w:iCs/>
              </w:rPr>
              <w:t>El SEC trasladará al SINPE la información de los resultados bilaterales netos a efecto de que se ejecuten los traslados de recursos.</w:t>
            </w:r>
          </w:p>
        </w:tc>
        <w:tc>
          <w:tcPr>
            <w:tcW w:w="878" w:type="pct"/>
            <w:tcBorders>
              <w:top w:val="nil"/>
              <w:left w:val="nil"/>
              <w:bottom w:val="single" w:sz="8" w:space="0" w:color="auto"/>
              <w:right w:val="single" w:sz="8" w:space="0" w:color="auto"/>
            </w:tcBorders>
            <w:vAlign w:val="center"/>
            <w:hideMark/>
          </w:tcPr>
          <w:p w14:paraId="5E203112" w14:textId="77777777" w:rsidR="004B05CF" w:rsidRPr="002C541E" w:rsidRDefault="004B05CF" w:rsidP="003737F8">
            <w:pPr>
              <w:widowControl w:val="0"/>
              <w:tabs>
                <w:tab w:val="left" w:pos="842"/>
              </w:tabs>
              <w:autoSpaceDE w:val="0"/>
              <w:autoSpaceDN w:val="0"/>
              <w:spacing w:line="240" w:lineRule="auto"/>
              <w:ind w:right="101"/>
              <w:jc w:val="center"/>
              <w:rPr>
                <w:rFonts w:cs="Times New Roman"/>
                <w:i/>
                <w:iCs/>
              </w:rPr>
            </w:pPr>
            <w:r w:rsidRPr="002C541E">
              <w:rPr>
                <w:rFonts w:cs="Times New Roman"/>
                <w:i/>
                <w:iCs/>
              </w:rPr>
              <w:t>De 1:30 pm a 2:30 pm.</w:t>
            </w:r>
          </w:p>
        </w:tc>
      </w:tr>
      <w:tr w:rsidR="002C541E" w:rsidRPr="002C541E" w14:paraId="623AF6B1" w14:textId="77777777" w:rsidTr="008D1FD3">
        <w:trPr>
          <w:trHeight w:val="1696"/>
        </w:trPr>
        <w:tc>
          <w:tcPr>
            <w:tcW w:w="463" w:type="pct"/>
            <w:tcBorders>
              <w:top w:val="nil"/>
              <w:left w:val="single" w:sz="8" w:space="0" w:color="auto"/>
              <w:bottom w:val="single" w:sz="8" w:space="0" w:color="auto"/>
              <w:right w:val="single" w:sz="8" w:space="0" w:color="000000"/>
            </w:tcBorders>
            <w:vAlign w:val="center"/>
            <w:hideMark/>
          </w:tcPr>
          <w:p w14:paraId="7A6C9F5A" w14:textId="77777777" w:rsidR="004B05CF" w:rsidRPr="002C541E" w:rsidRDefault="004B05CF" w:rsidP="003737F8">
            <w:pPr>
              <w:widowControl w:val="0"/>
              <w:tabs>
                <w:tab w:val="left" w:pos="842"/>
              </w:tabs>
              <w:autoSpaceDE w:val="0"/>
              <w:autoSpaceDN w:val="0"/>
              <w:spacing w:line="240" w:lineRule="auto"/>
              <w:ind w:right="101"/>
              <w:jc w:val="center"/>
              <w:rPr>
                <w:rFonts w:cs="Times New Roman"/>
                <w:i/>
                <w:iCs/>
              </w:rPr>
            </w:pPr>
            <w:r w:rsidRPr="002C541E">
              <w:rPr>
                <w:rFonts w:cs="Times New Roman"/>
                <w:i/>
                <w:iCs/>
              </w:rPr>
              <w:lastRenderedPageBreak/>
              <w:t>Fase 4</w:t>
            </w:r>
          </w:p>
        </w:tc>
        <w:tc>
          <w:tcPr>
            <w:tcW w:w="798" w:type="pct"/>
            <w:tcBorders>
              <w:top w:val="nil"/>
              <w:left w:val="nil"/>
              <w:bottom w:val="single" w:sz="8" w:space="0" w:color="auto"/>
              <w:right w:val="single" w:sz="8" w:space="0" w:color="000000"/>
            </w:tcBorders>
            <w:vAlign w:val="center"/>
            <w:hideMark/>
          </w:tcPr>
          <w:p w14:paraId="342A490A" w14:textId="77777777" w:rsidR="004B05CF" w:rsidRPr="002C541E" w:rsidRDefault="004B05CF" w:rsidP="003737F8">
            <w:pPr>
              <w:widowControl w:val="0"/>
              <w:tabs>
                <w:tab w:val="left" w:pos="842"/>
              </w:tabs>
              <w:autoSpaceDE w:val="0"/>
              <w:autoSpaceDN w:val="0"/>
              <w:spacing w:line="240" w:lineRule="auto"/>
              <w:ind w:right="101"/>
              <w:jc w:val="center"/>
              <w:rPr>
                <w:rFonts w:cs="Times New Roman"/>
                <w:i/>
                <w:iCs/>
              </w:rPr>
            </w:pPr>
            <w:r w:rsidRPr="002C541E">
              <w:rPr>
                <w:rFonts w:cs="Times New Roman"/>
                <w:i/>
                <w:iCs/>
              </w:rPr>
              <w:t>Verificación de posición neta y fondeo de cuentas.</w:t>
            </w:r>
          </w:p>
        </w:tc>
        <w:tc>
          <w:tcPr>
            <w:tcW w:w="729" w:type="pct"/>
            <w:tcBorders>
              <w:top w:val="nil"/>
              <w:left w:val="nil"/>
              <w:bottom w:val="single" w:sz="8" w:space="0" w:color="auto"/>
              <w:right w:val="single" w:sz="8" w:space="0" w:color="000000"/>
            </w:tcBorders>
            <w:vAlign w:val="center"/>
            <w:hideMark/>
          </w:tcPr>
          <w:p w14:paraId="5540DC86" w14:textId="77777777" w:rsidR="004B05CF" w:rsidRPr="002C541E" w:rsidRDefault="004B05CF" w:rsidP="003737F8">
            <w:pPr>
              <w:widowControl w:val="0"/>
              <w:tabs>
                <w:tab w:val="left" w:pos="842"/>
              </w:tabs>
              <w:autoSpaceDE w:val="0"/>
              <w:autoSpaceDN w:val="0"/>
              <w:spacing w:line="240" w:lineRule="auto"/>
              <w:ind w:right="101"/>
              <w:jc w:val="center"/>
              <w:rPr>
                <w:rFonts w:cs="Times New Roman"/>
                <w:i/>
                <w:iCs/>
              </w:rPr>
            </w:pPr>
            <w:r w:rsidRPr="002C541E">
              <w:rPr>
                <w:rFonts w:cs="Times New Roman"/>
                <w:i/>
                <w:iCs/>
              </w:rPr>
              <w:t>OPC</w:t>
            </w:r>
          </w:p>
        </w:tc>
        <w:tc>
          <w:tcPr>
            <w:tcW w:w="2132" w:type="pct"/>
            <w:tcBorders>
              <w:top w:val="nil"/>
              <w:left w:val="nil"/>
              <w:bottom w:val="single" w:sz="8" w:space="0" w:color="auto"/>
              <w:right w:val="single" w:sz="8" w:space="0" w:color="000000"/>
            </w:tcBorders>
            <w:vAlign w:val="center"/>
            <w:hideMark/>
          </w:tcPr>
          <w:p w14:paraId="3458DCFE" w14:textId="77777777" w:rsidR="004B05CF" w:rsidRPr="002C541E" w:rsidRDefault="004B05CF" w:rsidP="003737F8">
            <w:pPr>
              <w:widowControl w:val="0"/>
              <w:tabs>
                <w:tab w:val="left" w:pos="842"/>
              </w:tabs>
              <w:autoSpaceDE w:val="0"/>
              <w:autoSpaceDN w:val="0"/>
              <w:spacing w:line="240" w:lineRule="auto"/>
              <w:ind w:right="101"/>
              <w:jc w:val="both"/>
              <w:rPr>
                <w:rFonts w:cs="Times New Roman"/>
                <w:i/>
                <w:iCs/>
              </w:rPr>
            </w:pPr>
            <w:r w:rsidRPr="002C541E">
              <w:rPr>
                <w:rFonts w:cs="Times New Roman"/>
                <w:i/>
                <w:iCs/>
              </w:rPr>
              <w:t>Cada</w:t>
            </w:r>
            <w:r w:rsidR="008C2D43" w:rsidRPr="002C541E">
              <w:rPr>
                <w:rFonts w:cs="Times New Roman"/>
                <w:i/>
                <w:iCs/>
              </w:rPr>
              <w:t xml:space="preserve"> </w:t>
            </w:r>
            <w:r w:rsidR="008C2D43" w:rsidRPr="002C541E">
              <w:rPr>
                <w:i/>
                <w:iCs/>
              </w:rPr>
              <w:t>una de las entidades autorizadas participantes dispondrá del resultado de sus traslados entrantes. Cada entidad autorizada deberá verificar su posición bruta y asegurar la disponibilidad de recursos en las cuentas de los fondos administrados para llevar a cabo la liquidación de las operaciones.</w:t>
            </w:r>
          </w:p>
        </w:tc>
        <w:tc>
          <w:tcPr>
            <w:tcW w:w="878" w:type="pct"/>
            <w:tcBorders>
              <w:top w:val="nil"/>
              <w:left w:val="nil"/>
              <w:bottom w:val="single" w:sz="8" w:space="0" w:color="auto"/>
              <w:right w:val="single" w:sz="8" w:space="0" w:color="auto"/>
            </w:tcBorders>
            <w:vAlign w:val="center"/>
            <w:hideMark/>
          </w:tcPr>
          <w:p w14:paraId="5022CDB8" w14:textId="77777777" w:rsidR="004B05CF" w:rsidRPr="002C541E" w:rsidRDefault="004B05CF" w:rsidP="003737F8">
            <w:pPr>
              <w:widowControl w:val="0"/>
              <w:tabs>
                <w:tab w:val="left" w:pos="842"/>
              </w:tabs>
              <w:autoSpaceDE w:val="0"/>
              <w:autoSpaceDN w:val="0"/>
              <w:spacing w:line="240" w:lineRule="auto"/>
              <w:ind w:right="101"/>
              <w:jc w:val="center"/>
              <w:rPr>
                <w:rFonts w:cs="Times New Roman"/>
                <w:i/>
                <w:iCs/>
              </w:rPr>
            </w:pPr>
            <w:r w:rsidRPr="002C541E">
              <w:rPr>
                <w:rFonts w:cs="Times New Roman"/>
                <w:i/>
                <w:iCs/>
              </w:rPr>
              <w:t>De 1:15 pm a 2:30 pm.</w:t>
            </w:r>
          </w:p>
        </w:tc>
      </w:tr>
      <w:tr w:rsidR="008D1FD3" w:rsidRPr="002C541E" w14:paraId="0CF581B3" w14:textId="77777777" w:rsidTr="008D1FD3">
        <w:trPr>
          <w:trHeight w:val="3159"/>
        </w:trPr>
        <w:tc>
          <w:tcPr>
            <w:tcW w:w="463" w:type="pct"/>
            <w:tcBorders>
              <w:top w:val="nil"/>
              <w:left w:val="single" w:sz="8" w:space="0" w:color="auto"/>
              <w:bottom w:val="single" w:sz="8" w:space="0" w:color="000000"/>
              <w:right w:val="single" w:sz="8" w:space="0" w:color="000000"/>
            </w:tcBorders>
            <w:vAlign w:val="center"/>
            <w:hideMark/>
          </w:tcPr>
          <w:p w14:paraId="0B16BEE5" w14:textId="77777777" w:rsidR="008D1FD3" w:rsidRPr="002C541E" w:rsidRDefault="008D1FD3" w:rsidP="003737F8">
            <w:pPr>
              <w:widowControl w:val="0"/>
              <w:tabs>
                <w:tab w:val="left" w:pos="842"/>
              </w:tabs>
              <w:autoSpaceDE w:val="0"/>
              <w:autoSpaceDN w:val="0"/>
              <w:spacing w:line="240" w:lineRule="auto"/>
              <w:ind w:right="101"/>
              <w:jc w:val="center"/>
              <w:rPr>
                <w:rFonts w:cs="Times New Roman"/>
                <w:i/>
                <w:iCs/>
              </w:rPr>
            </w:pPr>
            <w:r w:rsidRPr="002C541E">
              <w:rPr>
                <w:rFonts w:cs="Times New Roman"/>
                <w:i/>
                <w:iCs/>
              </w:rPr>
              <w:t>Fase 5</w:t>
            </w:r>
          </w:p>
        </w:tc>
        <w:tc>
          <w:tcPr>
            <w:tcW w:w="798" w:type="pct"/>
            <w:tcBorders>
              <w:top w:val="nil"/>
              <w:left w:val="single" w:sz="8" w:space="0" w:color="000000"/>
              <w:bottom w:val="single" w:sz="8" w:space="0" w:color="000000"/>
              <w:right w:val="single" w:sz="8" w:space="0" w:color="auto"/>
            </w:tcBorders>
            <w:vAlign w:val="center"/>
            <w:hideMark/>
          </w:tcPr>
          <w:p w14:paraId="02A5FB76" w14:textId="77777777" w:rsidR="008D1FD3" w:rsidRPr="002C541E" w:rsidRDefault="008D1FD3" w:rsidP="003737F8">
            <w:pPr>
              <w:widowControl w:val="0"/>
              <w:tabs>
                <w:tab w:val="left" w:pos="842"/>
              </w:tabs>
              <w:autoSpaceDE w:val="0"/>
              <w:autoSpaceDN w:val="0"/>
              <w:spacing w:line="240" w:lineRule="auto"/>
              <w:ind w:right="101"/>
              <w:jc w:val="center"/>
              <w:rPr>
                <w:rFonts w:cs="Times New Roman"/>
                <w:i/>
                <w:iCs/>
              </w:rPr>
            </w:pPr>
            <w:r w:rsidRPr="002C541E">
              <w:rPr>
                <w:rFonts w:cs="Times New Roman"/>
                <w:i/>
                <w:iCs/>
              </w:rPr>
              <w:t>Retención y liquidación</w:t>
            </w:r>
          </w:p>
        </w:tc>
        <w:tc>
          <w:tcPr>
            <w:tcW w:w="729" w:type="pct"/>
            <w:tcBorders>
              <w:top w:val="single" w:sz="8" w:space="0" w:color="auto"/>
              <w:left w:val="single" w:sz="8" w:space="0" w:color="auto"/>
              <w:bottom w:val="single" w:sz="8" w:space="0" w:color="auto"/>
              <w:right w:val="single" w:sz="8" w:space="0" w:color="auto"/>
            </w:tcBorders>
            <w:vAlign w:val="center"/>
            <w:hideMark/>
          </w:tcPr>
          <w:p w14:paraId="34AC8E0C" w14:textId="77777777" w:rsidR="008D1FD3" w:rsidRPr="002C541E" w:rsidRDefault="008D1FD3" w:rsidP="003737F8">
            <w:pPr>
              <w:widowControl w:val="0"/>
              <w:tabs>
                <w:tab w:val="left" w:pos="842"/>
              </w:tabs>
              <w:autoSpaceDE w:val="0"/>
              <w:autoSpaceDN w:val="0"/>
              <w:spacing w:line="240" w:lineRule="auto"/>
              <w:ind w:right="101"/>
              <w:jc w:val="center"/>
              <w:rPr>
                <w:rFonts w:cs="Times New Roman"/>
                <w:i/>
                <w:iCs/>
              </w:rPr>
            </w:pPr>
            <w:r w:rsidRPr="002C541E">
              <w:rPr>
                <w:rFonts w:cs="Times New Roman"/>
                <w:i/>
                <w:iCs/>
              </w:rPr>
              <w:t>SINPE</w:t>
            </w:r>
          </w:p>
        </w:tc>
        <w:tc>
          <w:tcPr>
            <w:tcW w:w="2132" w:type="pct"/>
            <w:tcBorders>
              <w:top w:val="nil"/>
              <w:left w:val="single" w:sz="8" w:space="0" w:color="auto"/>
              <w:bottom w:val="single" w:sz="8" w:space="0" w:color="000000"/>
              <w:right w:val="single" w:sz="8" w:space="0" w:color="000000"/>
            </w:tcBorders>
            <w:vAlign w:val="center"/>
            <w:hideMark/>
          </w:tcPr>
          <w:p w14:paraId="5AD23455" w14:textId="77777777" w:rsidR="008D1FD3" w:rsidRPr="002C541E" w:rsidRDefault="008D1FD3" w:rsidP="003737F8">
            <w:pPr>
              <w:widowControl w:val="0"/>
              <w:tabs>
                <w:tab w:val="left" w:pos="842"/>
              </w:tabs>
              <w:autoSpaceDE w:val="0"/>
              <w:autoSpaceDN w:val="0"/>
              <w:spacing w:line="240" w:lineRule="auto"/>
              <w:ind w:right="101"/>
              <w:jc w:val="both"/>
              <w:rPr>
                <w:rFonts w:cs="Times New Roman"/>
                <w:i/>
                <w:iCs/>
              </w:rPr>
            </w:pPr>
            <w:r w:rsidRPr="002C541E">
              <w:rPr>
                <w:i/>
                <w:iCs/>
              </w:rPr>
              <w:t xml:space="preserve">Se procede a retener los fondos sobre la Cuenta SINPE de cada una de las entidades participantes </w:t>
            </w:r>
            <w:r w:rsidRPr="002C541E">
              <w:rPr>
                <w:i/>
                <w:iCs/>
              </w:rPr>
              <w:br/>
              <w:t>El SINPE procederá a realizar la liquidación en firme de operaciones, acreditando en las cuentas de los fondos     administrados     que     tengan posición neta positiva y debitando en las cuentas cuya posición neta sea negativa.</w:t>
            </w:r>
          </w:p>
        </w:tc>
        <w:tc>
          <w:tcPr>
            <w:tcW w:w="878" w:type="pct"/>
            <w:tcBorders>
              <w:top w:val="nil"/>
              <w:left w:val="single" w:sz="8" w:space="0" w:color="000000"/>
              <w:bottom w:val="single" w:sz="8" w:space="0" w:color="000000"/>
              <w:right w:val="single" w:sz="8" w:space="0" w:color="auto"/>
            </w:tcBorders>
            <w:vAlign w:val="center"/>
            <w:hideMark/>
          </w:tcPr>
          <w:p w14:paraId="4D2E86C8" w14:textId="77777777" w:rsidR="008D1FD3" w:rsidRPr="002C541E" w:rsidRDefault="008D1FD3" w:rsidP="003737F8">
            <w:pPr>
              <w:widowControl w:val="0"/>
              <w:tabs>
                <w:tab w:val="left" w:pos="842"/>
              </w:tabs>
              <w:autoSpaceDE w:val="0"/>
              <w:autoSpaceDN w:val="0"/>
              <w:spacing w:line="240" w:lineRule="auto"/>
              <w:ind w:right="101"/>
              <w:jc w:val="center"/>
              <w:rPr>
                <w:rFonts w:cs="Times New Roman"/>
                <w:i/>
                <w:iCs/>
              </w:rPr>
            </w:pPr>
            <w:r w:rsidRPr="002C541E">
              <w:rPr>
                <w:rFonts w:cs="Times New Roman"/>
                <w:i/>
                <w:iCs/>
              </w:rPr>
              <w:t>De 2:30 a 3:30 p. m.</w:t>
            </w:r>
          </w:p>
        </w:tc>
      </w:tr>
      <w:tr w:rsidR="002C541E" w:rsidRPr="002C541E" w14:paraId="03124C45" w14:textId="77777777" w:rsidTr="008D1FD3">
        <w:trPr>
          <w:trHeight w:val="1148"/>
        </w:trPr>
        <w:tc>
          <w:tcPr>
            <w:tcW w:w="463" w:type="pct"/>
            <w:tcBorders>
              <w:top w:val="nil"/>
              <w:left w:val="single" w:sz="8" w:space="0" w:color="auto"/>
              <w:bottom w:val="single" w:sz="8" w:space="0" w:color="auto"/>
              <w:right w:val="single" w:sz="8" w:space="0" w:color="000000"/>
            </w:tcBorders>
            <w:vAlign w:val="center"/>
            <w:hideMark/>
          </w:tcPr>
          <w:p w14:paraId="38D7D4A6" w14:textId="77777777" w:rsidR="004B05CF" w:rsidRPr="002C541E" w:rsidRDefault="004B05CF" w:rsidP="003737F8">
            <w:pPr>
              <w:widowControl w:val="0"/>
              <w:tabs>
                <w:tab w:val="left" w:pos="842"/>
              </w:tabs>
              <w:autoSpaceDE w:val="0"/>
              <w:autoSpaceDN w:val="0"/>
              <w:spacing w:line="240" w:lineRule="auto"/>
              <w:ind w:right="101"/>
              <w:jc w:val="center"/>
              <w:rPr>
                <w:rFonts w:cs="Times New Roman"/>
                <w:i/>
                <w:iCs/>
              </w:rPr>
            </w:pPr>
            <w:r w:rsidRPr="002C541E">
              <w:rPr>
                <w:rFonts w:cs="Times New Roman"/>
                <w:i/>
                <w:iCs/>
              </w:rPr>
              <w:t>Fase 6</w:t>
            </w:r>
          </w:p>
        </w:tc>
        <w:tc>
          <w:tcPr>
            <w:tcW w:w="798" w:type="pct"/>
            <w:tcBorders>
              <w:top w:val="nil"/>
              <w:left w:val="nil"/>
              <w:bottom w:val="single" w:sz="8" w:space="0" w:color="auto"/>
              <w:right w:val="single" w:sz="8" w:space="0" w:color="000000"/>
            </w:tcBorders>
            <w:vAlign w:val="center"/>
            <w:hideMark/>
          </w:tcPr>
          <w:p w14:paraId="4B05A87D" w14:textId="77777777" w:rsidR="004B05CF" w:rsidRPr="002C541E" w:rsidRDefault="004B05CF" w:rsidP="003737F8">
            <w:pPr>
              <w:widowControl w:val="0"/>
              <w:tabs>
                <w:tab w:val="left" w:pos="842"/>
              </w:tabs>
              <w:autoSpaceDE w:val="0"/>
              <w:autoSpaceDN w:val="0"/>
              <w:spacing w:line="240" w:lineRule="auto"/>
              <w:ind w:right="101"/>
              <w:jc w:val="center"/>
              <w:rPr>
                <w:rFonts w:cs="Times New Roman"/>
                <w:i/>
                <w:iCs/>
              </w:rPr>
            </w:pPr>
            <w:r w:rsidRPr="002C541E">
              <w:rPr>
                <w:rFonts w:cs="Times New Roman"/>
                <w:i/>
                <w:iCs/>
              </w:rPr>
              <w:t>Traslado de recursos a los fondos respectivos</w:t>
            </w:r>
          </w:p>
        </w:tc>
        <w:tc>
          <w:tcPr>
            <w:tcW w:w="729" w:type="pct"/>
            <w:tcBorders>
              <w:top w:val="single" w:sz="8" w:space="0" w:color="auto"/>
              <w:left w:val="nil"/>
              <w:bottom w:val="single" w:sz="8" w:space="0" w:color="auto"/>
              <w:right w:val="single" w:sz="8" w:space="0" w:color="000000"/>
            </w:tcBorders>
            <w:vAlign w:val="center"/>
            <w:hideMark/>
          </w:tcPr>
          <w:p w14:paraId="331DA87D" w14:textId="77777777" w:rsidR="004B05CF" w:rsidRPr="002C541E" w:rsidRDefault="004B05CF" w:rsidP="003737F8">
            <w:pPr>
              <w:widowControl w:val="0"/>
              <w:tabs>
                <w:tab w:val="left" w:pos="842"/>
              </w:tabs>
              <w:autoSpaceDE w:val="0"/>
              <w:autoSpaceDN w:val="0"/>
              <w:spacing w:line="240" w:lineRule="auto"/>
              <w:ind w:right="101"/>
              <w:jc w:val="center"/>
              <w:rPr>
                <w:rFonts w:cs="Times New Roman"/>
                <w:i/>
                <w:iCs/>
              </w:rPr>
            </w:pPr>
            <w:r w:rsidRPr="002C541E">
              <w:rPr>
                <w:rFonts w:cs="Times New Roman"/>
                <w:i/>
                <w:iCs/>
              </w:rPr>
              <w:t>OPC</w:t>
            </w:r>
          </w:p>
        </w:tc>
        <w:tc>
          <w:tcPr>
            <w:tcW w:w="2132" w:type="pct"/>
            <w:tcBorders>
              <w:top w:val="nil"/>
              <w:left w:val="nil"/>
              <w:bottom w:val="single" w:sz="8" w:space="0" w:color="auto"/>
              <w:right w:val="single" w:sz="8" w:space="0" w:color="000000"/>
            </w:tcBorders>
            <w:vAlign w:val="center"/>
            <w:hideMark/>
          </w:tcPr>
          <w:p w14:paraId="13D59E87" w14:textId="77777777" w:rsidR="004B05CF" w:rsidRPr="002C541E" w:rsidRDefault="008C2D43" w:rsidP="003737F8">
            <w:pPr>
              <w:widowControl w:val="0"/>
              <w:tabs>
                <w:tab w:val="left" w:pos="842"/>
              </w:tabs>
              <w:autoSpaceDE w:val="0"/>
              <w:autoSpaceDN w:val="0"/>
              <w:spacing w:line="240" w:lineRule="auto"/>
              <w:ind w:right="101"/>
              <w:jc w:val="both"/>
              <w:rPr>
                <w:rFonts w:cs="Times New Roman"/>
                <w:i/>
                <w:iCs/>
              </w:rPr>
            </w:pPr>
            <w:r w:rsidRPr="002C541E">
              <w:rPr>
                <w:i/>
                <w:iCs/>
              </w:rPr>
              <w:t xml:space="preserve">Cada una de las entidades autorizadas destino deberá, una vez recibidos los recursos, trasladarlos a la cuenta respectiva del fondo de pensiones o FCL, </w:t>
            </w:r>
            <w:r w:rsidR="003338B5" w:rsidRPr="002C541E">
              <w:rPr>
                <w:i/>
                <w:iCs/>
              </w:rPr>
              <w:t xml:space="preserve">utilizando los servicios de traslado a terceros de recursos a disposición en </w:t>
            </w:r>
            <w:r w:rsidRPr="002C541E">
              <w:rPr>
                <w:i/>
                <w:iCs/>
              </w:rPr>
              <w:t>SINPE</w:t>
            </w:r>
            <w:r w:rsidR="004B05CF" w:rsidRPr="002C541E">
              <w:rPr>
                <w:rFonts w:cs="Times New Roman"/>
                <w:i/>
                <w:iCs/>
              </w:rPr>
              <w:t>.</w:t>
            </w:r>
          </w:p>
        </w:tc>
        <w:tc>
          <w:tcPr>
            <w:tcW w:w="878" w:type="pct"/>
            <w:tcBorders>
              <w:top w:val="nil"/>
              <w:left w:val="nil"/>
              <w:bottom w:val="single" w:sz="8" w:space="0" w:color="auto"/>
              <w:right w:val="single" w:sz="8" w:space="0" w:color="auto"/>
            </w:tcBorders>
            <w:vAlign w:val="center"/>
            <w:hideMark/>
          </w:tcPr>
          <w:p w14:paraId="052F4FBA" w14:textId="77777777" w:rsidR="004B05CF" w:rsidRPr="002C541E" w:rsidRDefault="004B05CF" w:rsidP="003737F8">
            <w:pPr>
              <w:widowControl w:val="0"/>
              <w:tabs>
                <w:tab w:val="left" w:pos="842"/>
              </w:tabs>
              <w:autoSpaceDE w:val="0"/>
              <w:autoSpaceDN w:val="0"/>
              <w:spacing w:line="240" w:lineRule="auto"/>
              <w:ind w:right="101"/>
              <w:jc w:val="center"/>
              <w:rPr>
                <w:rFonts w:cs="Times New Roman"/>
                <w:i/>
                <w:iCs/>
              </w:rPr>
            </w:pPr>
            <w:r w:rsidRPr="002C541E">
              <w:rPr>
                <w:rFonts w:cs="Times New Roman"/>
                <w:i/>
                <w:iCs/>
              </w:rPr>
              <w:t>De 3:30 pm a 5:00 pm</w:t>
            </w:r>
          </w:p>
        </w:tc>
      </w:tr>
      <w:tr w:rsidR="002C541E" w:rsidRPr="002C541E" w14:paraId="1392D495" w14:textId="77777777" w:rsidTr="003737F8">
        <w:trPr>
          <w:trHeight w:val="1717"/>
        </w:trPr>
        <w:tc>
          <w:tcPr>
            <w:tcW w:w="463" w:type="pct"/>
            <w:tcBorders>
              <w:top w:val="nil"/>
              <w:left w:val="single" w:sz="8" w:space="0" w:color="auto"/>
              <w:bottom w:val="single" w:sz="8" w:space="0" w:color="auto"/>
              <w:right w:val="single" w:sz="8" w:space="0" w:color="000000"/>
            </w:tcBorders>
            <w:vAlign w:val="center"/>
            <w:hideMark/>
          </w:tcPr>
          <w:p w14:paraId="7004A14B" w14:textId="77777777" w:rsidR="004B05CF" w:rsidRPr="002C541E" w:rsidRDefault="004B05CF" w:rsidP="003737F8">
            <w:pPr>
              <w:widowControl w:val="0"/>
              <w:tabs>
                <w:tab w:val="left" w:pos="842"/>
              </w:tabs>
              <w:autoSpaceDE w:val="0"/>
              <w:autoSpaceDN w:val="0"/>
              <w:spacing w:line="240" w:lineRule="auto"/>
              <w:ind w:right="101"/>
              <w:jc w:val="center"/>
              <w:rPr>
                <w:rFonts w:cs="Times New Roman"/>
                <w:i/>
                <w:iCs/>
              </w:rPr>
            </w:pPr>
            <w:r w:rsidRPr="002C541E">
              <w:rPr>
                <w:rFonts w:cs="Times New Roman"/>
                <w:i/>
                <w:iCs/>
              </w:rPr>
              <w:t>Fase 7</w:t>
            </w:r>
          </w:p>
        </w:tc>
        <w:tc>
          <w:tcPr>
            <w:tcW w:w="798" w:type="pct"/>
            <w:tcBorders>
              <w:top w:val="nil"/>
              <w:left w:val="nil"/>
              <w:bottom w:val="single" w:sz="8" w:space="0" w:color="auto"/>
              <w:right w:val="single" w:sz="8" w:space="0" w:color="000000"/>
            </w:tcBorders>
            <w:vAlign w:val="center"/>
            <w:hideMark/>
          </w:tcPr>
          <w:p w14:paraId="7CACBD38" w14:textId="77777777" w:rsidR="004B05CF" w:rsidRPr="002C541E" w:rsidRDefault="004B05CF" w:rsidP="003737F8">
            <w:pPr>
              <w:widowControl w:val="0"/>
              <w:tabs>
                <w:tab w:val="left" w:pos="842"/>
              </w:tabs>
              <w:autoSpaceDE w:val="0"/>
              <w:autoSpaceDN w:val="0"/>
              <w:spacing w:line="240" w:lineRule="auto"/>
              <w:ind w:right="101"/>
              <w:jc w:val="center"/>
              <w:rPr>
                <w:rFonts w:cs="Times New Roman"/>
                <w:i/>
                <w:iCs/>
              </w:rPr>
            </w:pPr>
            <w:r w:rsidRPr="002C541E">
              <w:rPr>
                <w:rFonts w:cs="Times New Roman"/>
                <w:i/>
                <w:iCs/>
              </w:rPr>
              <w:t>Acreditación de recursos</w:t>
            </w:r>
          </w:p>
        </w:tc>
        <w:tc>
          <w:tcPr>
            <w:tcW w:w="729" w:type="pct"/>
            <w:tcBorders>
              <w:top w:val="nil"/>
              <w:left w:val="nil"/>
              <w:bottom w:val="single" w:sz="8" w:space="0" w:color="auto"/>
              <w:right w:val="single" w:sz="8" w:space="0" w:color="000000"/>
            </w:tcBorders>
            <w:vAlign w:val="center"/>
            <w:hideMark/>
          </w:tcPr>
          <w:p w14:paraId="09E411BF" w14:textId="77777777" w:rsidR="004B05CF" w:rsidRPr="002C541E" w:rsidRDefault="004B05CF" w:rsidP="003737F8">
            <w:pPr>
              <w:widowControl w:val="0"/>
              <w:tabs>
                <w:tab w:val="left" w:pos="842"/>
              </w:tabs>
              <w:autoSpaceDE w:val="0"/>
              <w:autoSpaceDN w:val="0"/>
              <w:spacing w:line="240" w:lineRule="auto"/>
              <w:ind w:right="101"/>
              <w:jc w:val="center"/>
              <w:rPr>
                <w:rFonts w:cs="Times New Roman"/>
                <w:i/>
                <w:iCs/>
              </w:rPr>
            </w:pPr>
            <w:r w:rsidRPr="002C541E">
              <w:rPr>
                <w:rFonts w:cs="Times New Roman"/>
                <w:i/>
                <w:iCs/>
              </w:rPr>
              <w:t>OPC</w:t>
            </w:r>
          </w:p>
        </w:tc>
        <w:tc>
          <w:tcPr>
            <w:tcW w:w="2132" w:type="pct"/>
            <w:tcBorders>
              <w:top w:val="nil"/>
              <w:left w:val="nil"/>
              <w:bottom w:val="single" w:sz="8" w:space="0" w:color="auto"/>
              <w:right w:val="single" w:sz="8" w:space="0" w:color="000000"/>
            </w:tcBorders>
            <w:vAlign w:val="center"/>
            <w:hideMark/>
          </w:tcPr>
          <w:p w14:paraId="0D897E5E" w14:textId="77777777" w:rsidR="004B05CF" w:rsidRPr="002C541E" w:rsidRDefault="008C2D43" w:rsidP="003737F8">
            <w:pPr>
              <w:widowControl w:val="0"/>
              <w:tabs>
                <w:tab w:val="left" w:pos="842"/>
              </w:tabs>
              <w:autoSpaceDE w:val="0"/>
              <w:autoSpaceDN w:val="0"/>
              <w:spacing w:line="240" w:lineRule="auto"/>
              <w:ind w:right="101"/>
              <w:jc w:val="both"/>
              <w:rPr>
                <w:rFonts w:cs="Times New Roman"/>
                <w:i/>
                <w:iCs/>
              </w:rPr>
            </w:pPr>
            <w:r w:rsidRPr="002C541E">
              <w:rPr>
                <w:i/>
                <w:iCs/>
              </w:rPr>
              <w:t>Cada una de las entidades autorizadas destino deberá ajustar los registros contables pertinentes, de acuerdo con los datos aportados por el SEC.</w:t>
            </w:r>
            <w:r w:rsidRPr="002C541E">
              <w:rPr>
                <w:i/>
                <w:iCs/>
              </w:rPr>
              <w:br/>
              <w:t>De manera inmediata a la recepción de los recursos, la entidad autorizada destino, deberá crear la cuenta del trabajador que se le ha trasladado</w:t>
            </w:r>
            <w:r w:rsidR="004B05CF" w:rsidRPr="002C541E">
              <w:rPr>
                <w:rFonts w:cs="Times New Roman"/>
                <w:i/>
                <w:iCs/>
              </w:rPr>
              <w:t>.</w:t>
            </w:r>
          </w:p>
        </w:tc>
        <w:tc>
          <w:tcPr>
            <w:tcW w:w="878" w:type="pct"/>
            <w:tcBorders>
              <w:top w:val="nil"/>
              <w:left w:val="nil"/>
              <w:bottom w:val="single" w:sz="8" w:space="0" w:color="auto"/>
              <w:right w:val="single" w:sz="8" w:space="0" w:color="auto"/>
            </w:tcBorders>
            <w:vAlign w:val="center"/>
            <w:hideMark/>
          </w:tcPr>
          <w:p w14:paraId="6EC1958A" w14:textId="77777777" w:rsidR="004B05CF" w:rsidRPr="002C541E" w:rsidRDefault="004B05CF" w:rsidP="003737F8">
            <w:pPr>
              <w:widowControl w:val="0"/>
              <w:tabs>
                <w:tab w:val="left" w:pos="842"/>
              </w:tabs>
              <w:autoSpaceDE w:val="0"/>
              <w:autoSpaceDN w:val="0"/>
              <w:spacing w:line="240" w:lineRule="auto"/>
              <w:ind w:right="101"/>
              <w:jc w:val="center"/>
              <w:rPr>
                <w:rFonts w:cs="Times New Roman"/>
                <w:i/>
                <w:iCs/>
              </w:rPr>
            </w:pPr>
            <w:r w:rsidRPr="002C541E">
              <w:rPr>
                <w:rFonts w:cs="Times New Roman"/>
                <w:i/>
                <w:iCs/>
              </w:rPr>
              <w:t>De 5:00 pm a 6:00 pm</w:t>
            </w:r>
          </w:p>
        </w:tc>
      </w:tr>
    </w:tbl>
    <w:p w14:paraId="02F21EF1" w14:textId="77777777" w:rsidR="004B05CF" w:rsidRPr="002C541E" w:rsidRDefault="004B05CF" w:rsidP="004B05CF">
      <w:pPr>
        <w:spacing w:line="240" w:lineRule="auto"/>
        <w:ind w:left="102" w:right="118"/>
        <w:jc w:val="both"/>
        <w:rPr>
          <w:rFonts w:cs="Times New Roman"/>
          <w:szCs w:val="24"/>
          <w:lang w:val="es-CR"/>
        </w:rPr>
      </w:pPr>
    </w:p>
    <w:p w14:paraId="1D99A99E" w14:textId="7B90C74C" w:rsidR="004B05CF" w:rsidRPr="002C541E" w:rsidRDefault="008C2D43" w:rsidP="004B05CF">
      <w:pPr>
        <w:pStyle w:val="Prrafodelista"/>
        <w:numPr>
          <w:ilvl w:val="0"/>
          <w:numId w:val="2"/>
        </w:numPr>
        <w:spacing w:line="240" w:lineRule="auto"/>
        <w:jc w:val="both"/>
      </w:pPr>
      <w:r w:rsidRPr="002C541E">
        <w:t xml:space="preserve">Se modifica la </w:t>
      </w:r>
      <w:r w:rsidRPr="002C541E">
        <w:rPr>
          <w:i/>
          <w:iCs/>
        </w:rPr>
        <w:t>Sección III: Servicio Electrónico de Compensación y Liquidación</w:t>
      </w:r>
      <w:bookmarkStart w:id="3" w:name="_Hlk222408884"/>
      <w:r w:rsidRPr="002C541E">
        <w:t xml:space="preserve">, inciso </w:t>
      </w:r>
      <w:r w:rsidRPr="002C541E">
        <w:rPr>
          <w:i/>
          <w:iCs/>
        </w:rPr>
        <w:t>15. Requisitos generales para las operadoras de pensiones</w:t>
      </w:r>
      <w:r w:rsidRPr="002C541E">
        <w:t xml:space="preserve"> </w:t>
      </w:r>
      <w:bookmarkEnd w:id="3"/>
      <w:r w:rsidRPr="002C541E">
        <w:t>del Acuerdo SP-A-137-2010 para que cambien los acápites f) y g) referentes al personal mínimo capacitado para la continuidad de las labores dentro del sistema de compensación (SEC) y que</w:t>
      </w:r>
      <w:r w:rsidR="008D1FD3">
        <w:t>,</w:t>
      </w:r>
      <w:r w:rsidRPr="002C541E">
        <w:t xml:space="preserve"> en lo sucesivo</w:t>
      </w:r>
      <w:r w:rsidR="008D1FD3">
        <w:t>,</w:t>
      </w:r>
      <w:r w:rsidRPr="002C541E">
        <w:t xml:space="preserve"> se lea de la siguiente forma</w:t>
      </w:r>
      <w:r w:rsidR="004B05CF" w:rsidRPr="002C541E">
        <w:rPr>
          <w:rFonts w:cs="Times New Roman"/>
          <w:lang w:val="es-CR"/>
        </w:rPr>
        <w:t>:</w:t>
      </w:r>
    </w:p>
    <w:p w14:paraId="2B0CD05E" w14:textId="77777777" w:rsidR="004B05CF" w:rsidRPr="002C541E" w:rsidRDefault="004B05CF" w:rsidP="004B05CF">
      <w:pPr>
        <w:spacing w:line="240" w:lineRule="auto"/>
      </w:pPr>
    </w:p>
    <w:p w14:paraId="0163BECD" w14:textId="77777777" w:rsidR="00AF4337" w:rsidRDefault="00AF4337" w:rsidP="004B05CF">
      <w:pPr>
        <w:spacing w:line="240" w:lineRule="auto"/>
        <w:ind w:firstLine="462"/>
        <w:jc w:val="both"/>
        <w:rPr>
          <w:i/>
          <w:iCs/>
        </w:rPr>
      </w:pPr>
    </w:p>
    <w:p w14:paraId="65B59FCE" w14:textId="77777777" w:rsidR="00AF4337" w:rsidRDefault="00AF4337" w:rsidP="004B05CF">
      <w:pPr>
        <w:spacing w:line="240" w:lineRule="auto"/>
        <w:ind w:firstLine="462"/>
        <w:jc w:val="both"/>
        <w:rPr>
          <w:i/>
          <w:iCs/>
        </w:rPr>
      </w:pPr>
    </w:p>
    <w:p w14:paraId="25A278F2" w14:textId="71A518CF" w:rsidR="004B05CF" w:rsidRPr="002C541E" w:rsidRDefault="004B05CF" w:rsidP="004B05CF">
      <w:pPr>
        <w:spacing w:line="240" w:lineRule="auto"/>
        <w:ind w:firstLine="462"/>
        <w:jc w:val="both"/>
        <w:rPr>
          <w:i/>
          <w:iCs/>
        </w:rPr>
      </w:pPr>
      <w:r w:rsidRPr="002C541E">
        <w:rPr>
          <w:i/>
          <w:iCs/>
        </w:rPr>
        <w:t>“</w:t>
      </w:r>
      <w:r w:rsidRPr="002C541E">
        <w:rPr>
          <w:b/>
          <w:bCs/>
          <w:i/>
          <w:iCs/>
        </w:rPr>
        <w:t>15.</w:t>
      </w:r>
      <w:r w:rsidRPr="002C541E">
        <w:rPr>
          <w:b/>
          <w:bCs/>
          <w:i/>
          <w:iCs/>
        </w:rPr>
        <w:tab/>
        <w:t>Requisitos generales para las operadoras de pensiones:</w:t>
      </w:r>
    </w:p>
    <w:p w14:paraId="6506AABD" w14:textId="77777777" w:rsidR="004B05CF" w:rsidRPr="002C541E" w:rsidRDefault="004B05CF" w:rsidP="004B05CF">
      <w:pPr>
        <w:spacing w:line="240" w:lineRule="auto"/>
        <w:ind w:firstLine="462"/>
        <w:jc w:val="both"/>
        <w:rPr>
          <w:i/>
          <w:iCs/>
        </w:rPr>
      </w:pPr>
    </w:p>
    <w:p w14:paraId="4BD0F1CC" w14:textId="77777777" w:rsidR="004B05CF" w:rsidRPr="002C541E" w:rsidRDefault="004B05CF" w:rsidP="004B05CF">
      <w:pPr>
        <w:spacing w:line="240" w:lineRule="auto"/>
        <w:ind w:left="462"/>
        <w:jc w:val="both"/>
        <w:rPr>
          <w:i/>
          <w:iCs/>
        </w:rPr>
      </w:pPr>
      <w:r w:rsidRPr="002C541E">
        <w:rPr>
          <w:i/>
          <w:iCs/>
        </w:rPr>
        <w:t>(…)</w:t>
      </w:r>
    </w:p>
    <w:p w14:paraId="29D8F07C" w14:textId="77777777" w:rsidR="004B05CF" w:rsidRPr="002C541E" w:rsidRDefault="004B05CF" w:rsidP="004B05CF">
      <w:pPr>
        <w:spacing w:line="240" w:lineRule="auto"/>
        <w:ind w:left="462"/>
        <w:jc w:val="both"/>
        <w:rPr>
          <w:i/>
          <w:iCs/>
        </w:rPr>
      </w:pPr>
    </w:p>
    <w:p w14:paraId="028E8291" w14:textId="77777777" w:rsidR="004B05CF" w:rsidRPr="002C541E" w:rsidRDefault="004B05CF" w:rsidP="004B05CF">
      <w:pPr>
        <w:spacing w:line="240" w:lineRule="auto"/>
        <w:ind w:left="462"/>
        <w:jc w:val="both"/>
        <w:rPr>
          <w:i/>
          <w:iCs/>
        </w:rPr>
      </w:pPr>
      <w:r w:rsidRPr="002C541E">
        <w:rPr>
          <w:i/>
          <w:iCs/>
        </w:rPr>
        <w:t>f)</w:t>
      </w:r>
      <w:r w:rsidRPr="002C541E">
        <w:rPr>
          <w:i/>
          <w:iCs/>
        </w:rPr>
        <w:tab/>
      </w:r>
      <w:r w:rsidR="008C2D43" w:rsidRPr="002C541E">
        <w:rPr>
          <w:rFonts w:cs="Times New Roman"/>
          <w:i/>
          <w:iCs/>
        </w:rPr>
        <w:t>Contar con el personal suficiente y debidamente certificado por el Sistema Nacional de Pagos, para realizar las operaciones de solicitud de liquidez a través de endeudamiento en el Mercado Integrado de Liquidez (MIL), de manera que se asegure la suplencia, disponibilidad y la continuidad de esta función crítica en todo momento a fin de mitigar el riesgo de liquidez asociado a las fases de este proceso</w:t>
      </w:r>
      <w:r w:rsidRPr="002C541E">
        <w:rPr>
          <w:i/>
          <w:iCs/>
        </w:rPr>
        <w:t xml:space="preserve">. </w:t>
      </w:r>
    </w:p>
    <w:p w14:paraId="3033AD06" w14:textId="77777777" w:rsidR="004B05CF" w:rsidRPr="002C541E" w:rsidRDefault="004B05CF" w:rsidP="004B05CF">
      <w:pPr>
        <w:spacing w:line="240" w:lineRule="auto"/>
        <w:ind w:left="462"/>
        <w:jc w:val="both"/>
        <w:rPr>
          <w:i/>
          <w:iCs/>
        </w:rPr>
      </w:pPr>
    </w:p>
    <w:p w14:paraId="49818970" w14:textId="77777777" w:rsidR="004B05CF" w:rsidRPr="002C541E" w:rsidRDefault="004B05CF" w:rsidP="004B05CF">
      <w:pPr>
        <w:spacing w:line="240" w:lineRule="auto"/>
        <w:ind w:left="462"/>
        <w:jc w:val="both"/>
        <w:rPr>
          <w:i/>
          <w:iCs/>
        </w:rPr>
      </w:pPr>
      <w:r w:rsidRPr="002C541E">
        <w:rPr>
          <w:i/>
          <w:iCs/>
        </w:rPr>
        <w:t>g)</w:t>
      </w:r>
      <w:r w:rsidRPr="002C541E">
        <w:rPr>
          <w:i/>
          <w:iCs/>
        </w:rPr>
        <w:tab/>
      </w:r>
      <w:r w:rsidR="008C2D43" w:rsidRPr="002C541E">
        <w:rPr>
          <w:rFonts w:cs="Times New Roman"/>
          <w:i/>
          <w:iCs/>
        </w:rPr>
        <w:t>Contar con el personal suficiente y debidamente capacitado para ejecutar y operar las fases y labores dentro del Sistema Electrónico de Compensación (SEC) y debidamente certificado para ejecutar las fases relacionadas con el servicio externo TEO, garantizando la suplencia, disponibilidad y la continuidad operativa sin interrupciones. Esto deberá incluir las labores para la actividad correspondiente a la carga y validación de la información</w:t>
      </w:r>
      <w:r w:rsidRPr="002C541E">
        <w:rPr>
          <w:i/>
          <w:iCs/>
        </w:rPr>
        <w:t xml:space="preserve">.  </w:t>
      </w:r>
    </w:p>
    <w:p w14:paraId="09825865" w14:textId="77777777" w:rsidR="004B05CF" w:rsidRPr="002C541E" w:rsidRDefault="004B05CF" w:rsidP="004B05CF">
      <w:pPr>
        <w:spacing w:line="240" w:lineRule="auto"/>
        <w:ind w:firstLine="462"/>
        <w:jc w:val="both"/>
        <w:rPr>
          <w:i/>
          <w:iCs/>
        </w:rPr>
      </w:pPr>
    </w:p>
    <w:p w14:paraId="6885D1D6" w14:textId="77777777" w:rsidR="004B05CF" w:rsidRPr="002C541E" w:rsidRDefault="004B05CF" w:rsidP="004B05CF">
      <w:pPr>
        <w:spacing w:line="240" w:lineRule="auto"/>
        <w:ind w:left="462"/>
        <w:jc w:val="both"/>
        <w:rPr>
          <w:i/>
          <w:iCs/>
        </w:rPr>
      </w:pPr>
      <w:r w:rsidRPr="002C541E">
        <w:rPr>
          <w:i/>
          <w:iCs/>
        </w:rPr>
        <w:t>(…)”</w:t>
      </w:r>
    </w:p>
    <w:p w14:paraId="70CFF2F4" w14:textId="77777777" w:rsidR="004B05CF" w:rsidRPr="002C541E" w:rsidRDefault="004B05CF" w:rsidP="004B05CF">
      <w:pPr>
        <w:spacing w:line="240" w:lineRule="auto"/>
        <w:ind w:left="462"/>
        <w:jc w:val="both"/>
        <w:rPr>
          <w:i/>
          <w:iCs/>
        </w:rPr>
      </w:pPr>
    </w:p>
    <w:p w14:paraId="74A87046" w14:textId="77777777" w:rsidR="004B05CF" w:rsidRPr="002C541E" w:rsidRDefault="008C2D43" w:rsidP="004B05CF">
      <w:pPr>
        <w:pStyle w:val="Prrafodelista"/>
        <w:numPr>
          <w:ilvl w:val="0"/>
          <w:numId w:val="2"/>
        </w:numPr>
        <w:spacing w:line="240" w:lineRule="auto"/>
        <w:jc w:val="both"/>
      </w:pPr>
      <w:r w:rsidRPr="002C541E">
        <w:t xml:space="preserve">Se modifica la </w:t>
      </w:r>
      <w:r w:rsidRPr="002C541E">
        <w:rPr>
          <w:i/>
          <w:iCs/>
        </w:rPr>
        <w:t>Sección III: Servicio Electrónico de Compensación y Liquidación</w:t>
      </w:r>
      <w:r w:rsidRPr="002C541E">
        <w:t xml:space="preserve">, inciso </w:t>
      </w:r>
      <w:bookmarkStart w:id="4" w:name="_Hlk222409533"/>
      <w:r w:rsidRPr="002C541E">
        <w:rPr>
          <w:i/>
          <w:iCs/>
        </w:rPr>
        <w:t>21. Situaciones Contingentes provocadas por caso fortuito o fuerza mayor</w:t>
      </w:r>
      <w:r w:rsidRPr="002C541E">
        <w:t xml:space="preserve"> </w:t>
      </w:r>
      <w:bookmarkEnd w:id="4"/>
      <w:r w:rsidRPr="002C541E">
        <w:t>del Acuerdo SP-A-137-2010, para que en lo sucesivo se lea de la siguiente forma</w:t>
      </w:r>
      <w:r w:rsidR="004B05CF" w:rsidRPr="002C541E">
        <w:rPr>
          <w:rFonts w:cs="Times New Roman"/>
          <w:lang w:val="es-CR"/>
        </w:rPr>
        <w:t>:</w:t>
      </w:r>
    </w:p>
    <w:p w14:paraId="7CE83486" w14:textId="77777777" w:rsidR="004B05CF" w:rsidRDefault="004B05CF" w:rsidP="004B05CF">
      <w:pPr>
        <w:pStyle w:val="Prrafodelista"/>
        <w:spacing w:line="240" w:lineRule="auto"/>
        <w:ind w:left="462"/>
        <w:jc w:val="both"/>
        <w:rPr>
          <w:rFonts w:cs="Times New Roman"/>
          <w:lang w:val="es-CR"/>
        </w:rPr>
      </w:pPr>
    </w:p>
    <w:p w14:paraId="4EE93827" w14:textId="77777777" w:rsidR="00D14A30" w:rsidRPr="002C541E" w:rsidRDefault="00D14A30" w:rsidP="004B05CF">
      <w:pPr>
        <w:pStyle w:val="Prrafodelista"/>
        <w:spacing w:line="240" w:lineRule="auto"/>
        <w:ind w:left="462"/>
        <w:jc w:val="both"/>
        <w:rPr>
          <w:rFonts w:cs="Times New Roman"/>
          <w:lang w:val="es-CR"/>
        </w:rPr>
      </w:pPr>
    </w:p>
    <w:p w14:paraId="7333E5B3" w14:textId="77777777" w:rsidR="004B05CF" w:rsidRPr="002C541E" w:rsidRDefault="004B05CF" w:rsidP="004B05CF">
      <w:pPr>
        <w:pStyle w:val="Prrafodelista"/>
        <w:spacing w:line="240" w:lineRule="auto"/>
        <w:ind w:left="462"/>
        <w:jc w:val="both"/>
        <w:rPr>
          <w:i/>
          <w:iCs/>
        </w:rPr>
      </w:pPr>
      <w:r w:rsidRPr="002C541E">
        <w:rPr>
          <w:i/>
          <w:iCs/>
        </w:rPr>
        <w:t>“</w:t>
      </w:r>
      <w:r w:rsidRPr="002C541E">
        <w:rPr>
          <w:b/>
          <w:bCs/>
          <w:i/>
          <w:iCs/>
        </w:rPr>
        <w:t>21. Situaciones Contingentes</w:t>
      </w:r>
      <w:r w:rsidRPr="002C541E">
        <w:rPr>
          <w:i/>
          <w:iCs/>
        </w:rPr>
        <w:t xml:space="preserve"> </w:t>
      </w:r>
    </w:p>
    <w:p w14:paraId="28FFE8F5" w14:textId="77777777" w:rsidR="004B05CF" w:rsidRPr="002C541E" w:rsidRDefault="004B05CF" w:rsidP="004B05CF">
      <w:pPr>
        <w:pStyle w:val="Prrafodelista"/>
        <w:spacing w:line="240" w:lineRule="auto"/>
        <w:ind w:left="462"/>
        <w:jc w:val="both"/>
        <w:rPr>
          <w:i/>
          <w:iCs/>
        </w:rPr>
      </w:pPr>
    </w:p>
    <w:p w14:paraId="7C98CC40" w14:textId="77777777" w:rsidR="004B05CF" w:rsidRPr="002C541E" w:rsidRDefault="004B05CF" w:rsidP="004B05CF">
      <w:pPr>
        <w:pStyle w:val="Prrafodelista"/>
        <w:numPr>
          <w:ilvl w:val="0"/>
          <w:numId w:val="3"/>
        </w:numPr>
        <w:spacing w:line="240" w:lineRule="auto"/>
        <w:jc w:val="both"/>
        <w:rPr>
          <w:b/>
          <w:bCs/>
          <w:i/>
          <w:iCs/>
        </w:rPr>
      </w:pPr>
      <w:r w:rsidRPr="002C541E">
        <w:rPr>
          <w:b/>
          <w:bCs/>
          <w:i/>
          <w:iCs/>
        </w:rPr>
        <w:t xml:space="preserve">Situaciones de operación </w:t>
      </w:r>
      <w:r w:rsidR="008C2D43" w:rsidRPr="002C541E">
        <w:rPr>
          <w:b/>
          <w:bCs/>
          <w:i/>
          <w:iCs/>
        </w:rPr>
        <w:t>irregular</w:t>
      </w:r>
      <w:r w:rsidRPr="002C541E">
        <w:rPr>
          <w:b/>
          <w:bCs/>
          <w:i/>
          <w:iCs/>
        </w:rPr>
        <w:t xml:space="preserve"> del SEC</w:t>
      </w:r>
    </w:p>
    <w:p w14:paraId="0CE0BDDF" w14:textId="77777777" w:rsidR="004B05CF" w:rsidRPr="002C541E" w:rsidRDefault="008C2D43" w:rsidP="004B05CF">
      <w:pPr>
        <w:pStyle w:val="Prrafodelista"/>
        <w:spacing w:line="240" w:lineRule="auto"/>
        <w:ind w:left="708"/>
        <w:jc w:val="both"/>
        <w:rPr>
          <w:i/>
          <w:iCs/>
        </w:rPr>
      </w:pPr>
      <w:r w:rsidRPr="002C541E">
        <w:rPr>
          <w:i/>
          <w:iCs/>
        </w:rPr>
        <w:t>Si se presenta una situación que impida la operación normal del SEC, de acuerdo con las fases establecidas en el numeral 10) Etapa de Compensación y Liquidación del SEC la SUPEN comunicará de inmediato a los participantes la imposibilidad de prestar el servicio y las medidas alternativas para efectuar los traslados. En casos excepcionales, la SUPEN podrá programar ciclos extraordinarios de compensación y liquidación</w:t>
      </w:r>
      <w:r w:rsidR="004B05CF" w:rsidRPr="002C541E">
        <w:rPr>
          <w:i/>
          <w:iCs/>
        </w:rPr>
        <w:t>.</w:t>
      </w:r>
    </w:p>
    <w:p w14:paraId="24E0C8FD" w14:textId="77777777" w:rsidR="004B05CF" w:rsidRPr="002C541E" w:rsidRDefault="004B05CF" w:rsidP="004B05CF">
      <w:pPr>
        <w:pStyle w:val="Prrafodelista"/>
        <w:spacing w:line="240" w:lineRule="auto"/>
        <w:ind w:left="462"/>
        <w:jc w:val="both"/>
        <w:rPr>
          <w:i/>
          <w:iCs/>
        </w:rPr>
      </w:pPr>
    </w:p>
    <w:p w14:paraId="5E8B557E" w14:textId="77777777" w:rsidR="004B05CF" w:rsidRPr="002C541E" w:rsidRDefault="008C2D43" w:rsidP="004B05CF">
      <w:pPr>
        <w:pStyle w:val="Prrafodelista"/>
        <w:numPr>
          <w:ilvl w:val="0"/>
          <w:numId w:val="3"/>
        </w:numPr>
        <w:spacing w:line="240" w:lineRule="auto"/>
        <w:jc w:val="both"/>
        <w:rPr>
          <w:b/>
          <w:bCs/>
          <w:i/>
          <w:iCs/>
        </w:rPr>
      </w:pPr>
      <w:r w:rsidRPr="002C541E">
        <w:rPr>
          <w:b/>
          <w:bCs/>
          <w:i/>
          <w:iCs/>
        </w:rPr>
        <w:t>Exclusiones o rechazos en la Fase 1: Registro de operaciones salientes, del numeral 10) Etapa de Compensación y Liquidación del SEC</w:t>
      </w:r>
    </w:p>
    <w:p w14:paraId="225BBCD5" w14:textId="77777777" w:rsidR="004B05CF" w:rsidRPr="002C541E" w:rsidRDefault="004B05CF" w:rsidP="004B05CF">
      <w:pPr>
        <w:pStyle w:val="Prrafodelista"/>
        <w:spacing w:line="240" w:lineRule="auto"/>
        <w:ind w:left="708"/>
        <w:jc w:val="both"/>
        <w:rPr>
          <w:i/>
          <w:iCs/>
        </w:rPr>
      </w:pPr>
      <w:r w:rsidRPr="002C541E">
        <w:rPr>
          <w:i/>
          <w:iCs/>
        </w:rPr>
        <w:t>Las siguientes disposiciones aplican a situaciones ocurridas durante la Fase 1:</w:t>
      </w:r>
    </w:p>
    <w:p w14:paraId="34680D19" w14:textId="77777777" w:rsidR="004B05CF" w:rsidRPr="002C541E" w:rsidRDefault="004B05CF" w:rsidP="004B05CF">
      <w:pPr>
        <w:pStyle w:val="Prrafodelista"/>
        <w:spacing w:line="240" w:lineRule="auto"/>
        <w:ind w:left="462"/>
        <w:jc w:val="both"/>
        <w:rPr>
          <w:i/>
          <w:iCs/>
        </w:rPr>
      </w:pPr>
    </w:p>
    <w:p w14:paraId="16CB4A22" w14:textId="77777777" w:rsidR="004B05CF" w:rsidRPr="002C541E" w:rsidRDefault="004B05CF" w:rsidP="004B05CF">
      <w:pPr>
        <w:pStyle w:val="Prrafodelista"/>
        <w:spacing w:line="240" w:lineRule="auto"/>
        <w:ind w:left="1416"/>
        <w:jc w:val="both"/>
        <w:rPr>
          <w:b/>
          <w:bCs/>
          <w:i/>
          <w:iCs/>
        </w:rPr>
      </w:pPr>
      <w:r w:rsidRPr="002C541E">
        <w:rPr>
          <w:b/>
          <w:bCs/>
          <w:i/>
          <w:iCs/>
        </w:rPr>
        <w:lastRenderedPageBreak/>
        <w:t>b.1) Exclusión total del ciclo</w:t>
      </w:r>
    </w:p>
    <w:p w14:paraId="0FE7A9DC" w14:textId="77777777" w:rsidR="004B05CF" w:rsidRPr="002C541E" w:rsidRDefault="00500F59" w:rsidP="004B05CF">
      <w:pPr>
        <w:pStyle w:val="Prrafodelista"/>
        <w:spacing w:line="240" w:lineRule="auto"/>
        <w:ind w:left="1416"/>
        <w:jc w:val="both"/>
        <w:rPr>
          <w:i/>
          <w:iCs/>
        </w:rPr>
      </w:pPr>
      <w:r w:rsidRPr="002C541E">
        <w:rPr>
          <w:i/>
          <w:iCs/>
        </w:rPr>
        <w:t>Si, por situaciones atribuibles o no a la entidad, una operadora de pensiones no puede finalizar los procesos asociados al registro de operaciones salientes dentro de los plazos establecidos, quedará excluido del ciclo. En estos casos, su representante legal o persona designada deberá comunicarlo de forma inmediata a la SUPEN, por correo institucional u oficio, e indicar las razones de la situación para efectos de que la Superintendencia solicite el plan de acción correctivo correspondiente</w:t>
      </w:r>
      <w:r w:rsidR="004B05CF" w:rsidRPr="002C541E">
        <w:rPr>
          <w:i/>
          <w:iCs/>
        </w:rPr>
        <w:t>.</w:t>
      </w:r>
    </w:p>
    <w:p w14:paraId="456C168B" w14:textId="77777777" w:rsidR="004B05CF" w:rsidRPr="002C541E" w:rsidRDefault="004B05CF" w:rsidP="004B05CF">
      <w:pPr>
        <w:pStyle w:val="Prrafodelista"/>
        <w:spacing w:line="240" w:lineRule="auto"/>
        <w:ind w:left="1416"/>
        <w:jc w:val="both"/>
        <w:rPr>
          <w:i/>
          <w:iCs/>
        </w:rPr>
      </w:pPr>
    </w:p>
    <w:p w14:paraId="5EA9A01F" w14:textId="77777777" w:rsidR="004B05CF" w:rsidRPr="002C541E" w:rsidRDefault="00500F59" w:rsidP="004B05CF">
      <w:pPr>
        <w:pStyle w:val="Prrafodelista"/>
        <w:spacing w:line="240" w:lineRule="auto"/>
        <w:ind w:left="1416"/>
        <w:jc w:val="both"/>
        <w:rPr>
          <w:i/>
          <w:iCs/>
        </w:rPr>
      </w:pPr>
      <w:r w:rsidRPr="002C541E">
        <w:rPr>
          <w:i/>
          <w:iCs/>
        </w:rPr>
        <w:t>A más tardar el día hábil siguiente, el representante legal o persona designada deberá remitir una comunicación formal por escrito, aportando la documentación que explique la situación que provocó la exclusión del ciclo</w:t>
      </w:r>
      <w:r w:rsidR="004B05CF" w:rsidRPr="002C541E">
        <w:rPr>
          <w:i/>
          <w:iCs/>
        </w:rPr>
        <w:t>.</w:t>
      </w:r>
    </w:p>
    <w:p w14:paraId="2C70A5FF" w14:textId="77777777" w:rsidR="004B05CF" w:rsidRPr="002C541E" w:rsidRDefault="004B05CF" w:rsidP="004B05CF">
      <w:pPr>
        <w:pStyle w:val="Prrafodelista"/>
        <w:spacing w:line="240" w:lineRule="auto"/>
        <w:ind w:left="462"/>
        <w:jc w:val="both"/>
        <w:rPr>
          <w:i/>
          <w:iCs/>
        </w:rPr>
      </w:pPr>
    </w:p>
    <w:p w14:paraId="789CEE37" w14:textId="77777777" w:rsidR="004B05CF" w:rsidRPr="002C541E" w:rsidRDefault="004B05CF" w:rsidP="004B05CF">
      <w:pPr>
        <w:pStyle w:val="Prrafodelista"/>
        <w:spacing w:line="240" w:lineRule="auto"/>
        <w:ind w:left="1416"/>
        <w:jc w:val="both"/>
        <w:rPr>
          <w:b/>
          <w:bCs/>
          <w:i/>
          <w:iCs/>
        </w:rPr>
      </w:pPr>
      <w:r w:rsidRPr="002C541E">
        <w:rPr>
          <w:b/>
          <w:bCs/>
          <w:i/>
          <w:iCs/>
        </w:rPr>
        <w:t>b.2) Rechazo de operaciones salientes puntuales</w:t>
      </w:r>
    </w:p>
    <w:p w14:paraId="376BB83B" w14:textId="77777777" w:rsidR="004B05CF" w:rsidRPr="002C541E" w:rsidRDefault="00500F59" w:rsidP="004B05CF">
      <w:pPr>
        <w:pStyle w:val="Prrafodelista"/>
        <w:spacing w:line="240" w:lineRule="auto"/>
        <w:ind w:left="1416"/>
        <w:jc w:val="both"/>
        <w:rPr>
          <w:i/>
          <w:iCs/>
        </w:rPr>
      </w:pPr>
      <w:r w:rsidRPr="002C541E">
        <w:rPr>
          <w:i/>
          <w:iCs/>
        </w:rPr>
        <w:t>Cuando la entidad origen deba realizar traslados de recursos de una o varias operaciones salientes cuyo monto sobrepase la liquidez disponible en sus cuentas corrientes por tratarse de importes atípicos, o no cuente con la información necesaria para la validación del trámite de libre transferencia, podrá proceder a su rechazo en el SEC, según las especificaciones técnicas vigentes. La SUPEN podrá requerir las razones y documentación adicionales que sustenten el rechazo</w:t>
      </w:r>
      <w:r w:rsidR="004B05CF" w:rsidRPr="002C541E">
        <w:rPr>
          <w:i/>
          <w:iCs/>
        </w:rPr>
        <w:t>.</w:t>
      </w:r>
    </w:p>
    <w:p w14:paraId="3A8779D7" w14:textId="77777777" w:rsidR="004B05CF" w:rsidRPr="002C541E" w:rsidRDefault="004B05CF" w:rsidP="004B05CF">
      <w:pPr>
        <w:pStyle w:val="Prrafodelista"/>
        <w:spacing w:line="240" w:lineRule="auto"/>
        <w:ind w:left="462"/>
        <w:jc w:val="both"/>
        <w:rPr>
          <w:i/>
          <w:iCs/>
        </w:rPr>
      </w:pPr>
    </w:p>
    <w:p w14:paraId="7A59EEBD" w14:textId="77777777" w:rsidR="004B05CF" w:rsidRPr="002C541E" w:rsidRDefault="00500F59" w:rsidP="004B05CF">
      <w:pPr>
        <w:pStyle w:val="Prrafodelista"/>
        <w:spacing w:line="240" w:lineRule="auto"/>
        <w:ind w:left="462"/>
        <w:jc w:val="both"/>
        <w:rPr>
          <w:i/>
          <w:iCs/>
          <w:lang w:val="es-CR"/>
        </w:rPr>
      </w:pPr>
      <w:r w:rsidRPr="002C541E">
        <w:rPr>
          <w:i/>
          <w:iCs/>
        </w:rPr>
        <w:t>En los casos de rechazo o exclusión señalados en estos incisos, las operaciones serán reprogramadas, por una única vez, para el ciclo inmediato siguiente, junto con las operaciones programadas de ese día</w:t>
      </w:r>
      <w:r w:rsidR="004B05CF" w:rsidRPr="002C541E">
        <w:rPr>
          <w:i/>
          <w:iCs/>
        </w:rPr>
        <w:t>.</w:t>
      </w:r>
    </w:p>
    <w:p w14:paraId="6728CD5B" w14:textId="77777777" w:rsidR="004B05CF" w:rsidRPr="002C541E" w:rsidRDefault="004B05CF" w:rsidP="004B05CF">
      <w:pPr>
        <w:pStyle w:val="Prrafodelista"/>
        <w:spacing w:line="240" w:lineRule="auto"/>
        <w:ind w:left="462"/>
        <w:jc w:val="both"/>
        <w:rPr>
          <w:i/>
          <w:iCs/>
        </w:rPr>
      </w:pPr>
    </w:p>
    <w:p w14:paraId="235B1046" w14:textId="77777777" w:rsidR="004B05CF" w:rsidRPr="002C541E" w:rsidRDefault="00500F59" w:rsidP="004B05CF">
      <w:pPr>
        <w:pStyle w:val="Prrafodelista"/>
        <w:numPr>
          <w:ilvl w:val="0"/>
          <w:numId w:val="3"/>
        </w:numPr>
        <w:spacing w:line="240" w:lineRule="auto"/>
        <w:jc w:val="both"/>
        <w:rPr>
          <w:b/>
          <w:bCs/>
          <w:i/>
          <w:iCs/>
        </w:rPr>
      </w:pPr>
      <w:r w:rsidRPr="002C541E">
        <w:rPr>
          <w:b/>
          <w:bCs/>
          <w:i/>
          <w:iCs/>
        </w:rPr>
        <w:t>Suspensión del ciclo por incumplimiento del fondeo dispuesto en la Fase 4: Verificación de posición neta y fondeo de cuentas, del numeral 10) Etapa de Compensación y Liquidación del SEC</w:t>
      </w:r>
    </w:p>
    <w:p w14:paraId="778C1CB3" w14:textId="77777777" w:rsidR="004B05CF" w:rsidRPr="002C541E" w:rsidRDefault="004B05CF" w:rsidP="004B05CF">
      <w:pPr>
        <w:pStyle w:val="Prrafodelista"/>
        <w:spacing w:line="240" w:lineRule="auto"/>
        <w:ind w:left="708"/>
        <w:jc w:val="both"/>
        <w:rPr>
          <w:i/>
          <w:iCs/>
        </w:rPr>
      </w:pPr>
    </w:p>
    <w:p w14:paraId="553605F9" w14:textId="77777777" w:rsidR="004B05CF" w:rsidRPr="002C541E" w:rsidRDefault="00500F59" w:rsidP="004B05CF">
      <w:pPr>
        <w:pStyle w:val="Prrafodelista"/>
        <w:spacing w:line="240" w:lineRule="auto"/>
        <w:ind w:left="708"/>
        <w:jc w:val="both"/>
        <w:rPr>
          <w:i/>
          <w:iCs/>
        </w:rPr>
      </w:pPr>
      <w:r w:rsidRPr="002C541E">
        <w:rPr>
          <w:i/>
          <w:iCs/>
        </w:rPr>
        <w:t>Si alguna entidad no realiza el fondeo de recursos en colones o dólares dentro del plazo definido en la Fase 4: Verificación de posición neta y fondeo de cuentas, se rechazará de forma automática todo el archivo enviado con el resultado de la posición multilateral neta remitida. De darse dicha circunstancia, todas las operadoras deberán reversar los procesos operativos, transferencias realizadas hacia las cuentas liquidadoras en el BCCR y liquidaciones efectuadas a afiliados y repetir el ciclo trasladándose al día hábil siguiente, junto con las nuevas operaciones de ese día; en esa fecha se correrá un nuevo ciclo del SEC, debiendo actualizar los saldos a trasladar de las operaciones de cada afiliado</w:t>
      </w:r>
      <w:r w:rsidR="004B05CF" w:rsidRPr="002C541E">
        <w:rPr>
          <w:i/>
          <w:iCs/>
        </w:rPr>
        <w:t>.</w:t>
      </w:r>
    </w:p>
    <w:p w14:paraId="1490008B" w14:textId="77777777" w:rsidR="004B05CF" w:rsidRPr="002C541E" w:rsidRDefault="004B05CF" w:rsidP="004B05CF">
      <w:pPr>
        <w:pStyle w:val="Prrafodelista"/>
        <w:spacing w:line="240" w:lineRule="auto"/>
        <w:ind w:left="462"/>
        <w:jc w:val="both"/>
        <w:rPr>
          <w:i/>
          <w:iCs/>
        </w:rPr>
      </w:pPr>
    </w:p>
    <w:p w14:paraId="73719B3A" w14:textId="77777777" w:rsidR="00DB6513" w:rsidRPr="002C541E" w:rsidRDefault="00500F59" w:rsidP="00500F59">
      <w:pPr>
        <w:pStyle w:val="Prrafodelista"/>
        <w:spacing w:line="240" w:lineRule="auto"/>
        <w:ind w:left="708"/>
        <w:jc w:val="both"/>
        <w:rPr>
          <w:i/>
          <w:iCs/>
        </w:rPr>
      </w:pPr>
      <w:r w:rsidRPr="002C541E">
        <w:rPr>
          <w:i/>
          <w:iCs/>
        </w:rPr>
        <w:lastRenderedPageBreak/>
        <w:t>A más tardar el día hábil siguiente de finalizado el ciclo que fue postergado por falta de liquidez, el representante legal o persona designada de la entidad que no cumplió con el requerimiento de fondeo deberá remitir comunicación formal por escrito a la SUPEN</w:t>
      </w:r>
      <w:r w:rsidRPr="002C541E">
        <w:t xml:space="preserve"> </w:t>
      </w:r>
      <w:r w:rsidRPr="002C541E">
        <w:rPr>
          <w:i/>
          <w:iCs/>
        </w:rPr>
        <w:t>que explique los motivos de dicho incumplimiento, aportando la documentación que respalde la situación que le impidió realizar la operación</w:t>
      </w:r>
      <w:r w:rsidR="004B05CF" w:rsidRPr="002C541E">
        <w:rPr>
          <w:i/>
          <w:iCs/>
        </w:rPr>
        <w:t>.</w:t>
      </w:r>
    </w:p>
    <w:p w14:paraId="685CEBE4" w14:textId="77777777" w:rsidR="00DB6513" w:rsidRPr="002C541E" w:rsidRDefault="00DB6513" w:rsidP="00500F59">
      <w:pPr>
        <w:pStyle w:val="Prrafodelista"/>
        <w:spacing w:line="240" w:lineRule="auto"/>
        <w:ind w:left="708"/>
        <w:jc w:val="both"/>
        <w:rPr>
          <w:i/>
          <w:iCs/>
        </w:rPr>
      </w:pPr>
    </w:p>
    <w:p w14:paraId="4FD2725A" w14:textId="77777777" w:rsidR="004B05CF" w:rsidRPr="002C541E" w:rsidRDefault="007B546E" w:rsidP="00500F59">
      <w:pPr>
        <w:pStyle w:val="Prrafodelista"/>
        <w:spacing w:line="240" w:lineRule="auto"/>
        <w:ind w:left="708"/>
        <w:jc w:val="both"/>
        <w:rPr>
          <w:i/>
          <w:iCs/>
          <w:lang w:val="es-CR"/>
        </w:rPr>
      </w:pPr>
      <w:r w:rsidRPr="002C541E">
        <w:rPr>
          <w:i/>
          <w:iCs/>
        </w:rPr>
        <w:t>L</w:t>
      </w:r>
      <w:r w:rsidR="00DB6513" w:rsidRPr="002C541E">
        <w:rPr>
          <w:i/>
          <w:iCs/>
        </w:rPr>
        <w:t>as entidades participantes y las personas afiliadas que estimen haberse visto afectadas por la posposición del ciclo, atribuible a la actuación de una operadora, podrán presentar un reclamo ante la SUPEN; esta lo tramitará conforme al procedimiento aplicable y valorará, de corresponder, la apertura del procedimiento administrativo correspondiente.</w:t>
      </w:r>
      <w:r w:rsidR="004B05CF" w:rsidRPr="002C541E">
        <w:rPr>
          <w:i/>
          <w:iCs/>
        </w:rPr>
        <w:t>”</w:t>
      </w:r>
    </w:p>
    <w:p w14:paraId="5779CF72" w14:textId="77777777" w:rsidR="004B05CF" w:rsidRDefault="004B05CF" w:rsidP="004B05CF">
      <w:pPr>
        <w:spacing w:line="240" w:lineRule="auto"/>
        <w:rPr>
          <w:i/>
          <w:iCs/>
        </w:rPr>
      </w:pPr>
    </w:p>
    <w:p w14:paraId="72D1E995" w14:textId="77777777" w:rsidR="00D14A30" w:rsidRPr="002C541E" w:rsidRDefault="00D14A30" w:rsidP="004B05CF">
      <w:pPr>
        <w:spacing w:line="240" w:lineRule="auto"/>
        <w:rPr>
          <w:i/>
          <w:iCs/>
        </w:rPr>
      </w:pPr>
    </w:p>
    <w:p w14:paraId="4EACBE93" w14:textId="4DB67BEC" w:rsidR="00E23C1D" w:rsidRPr="002C541E" w:rsidRDefault="003752D9" w:rsidP="00AF4337">
      <w:pPr>
        <w:spacing w:line="240" w:lineRule="auto"/>
        <w:ind w:firstLine="708"/>
        <w:jc w:val="both"/>
        <w:rPr>
          <w:lang w:val="es-CR"/>
        </w:rPr>
      </w:pPr>
      <w:r w:rsidRPr="002C541E">
        <w:rPr>
          <w:lang w:val="es-CR"/>
        </w:rPr>
        <w:t xml:space="preserve">Rige a partir </w:t>
      </w:r>
      <w:r w:rsidR="00D14A30">
        <w:rPr>
          <w:lang w:val="es-CR"/>
        </w:rPr>
        <w:t xml:space="preserve">del </w:t>
      </w:r>
      <w:r w:rsidR="0047240D" w:rsidRPr="002C541E">
        <w:rPr>
          <w:lang w:val="es-CR"/>
        </w:rPr>
        <w:t>3 de junio de 2026</w:t>
      </w:r>
      <w:r w:rsidR="00007C9E" w:rsidRPr="002C541E">
        <w:rPr>
          <w:lang w:val="es-CR"/>
        </w:rPr>
        <w:t xml:space="preserve">. </w:t>
      </w:r>
    </w:p>
    <w:p w14:paraId="73852DAE" w14:textId="77777777" w:rsidR="004B05CF" w:rsidRPr="0047240D" w:rsidRDefault="004B05CF" w:rsidP="004B05CF">
      <w:pPr>
        <w:spacing w:line="240" w:lineRule="auto"/>
        <w:rPr>
          <w:lang w:val="es-CR"/>
        </w:rPr>
      </w:pPr>
    </w:p>
    <w:p w14:paraId="57365EA0" w14:textId="77777777" w:rsidR="004B05CF" w:rsidRDefault="004B05CF" w:rsidP="004B05CF">
      <w:pPr>
        <w:spacing w:line="240" w:lineRule="auto"/>
        <w:rPr>
          <w:lang w:val="es-CR"/>
        </w:rPr>
      </w:pPr>
    </w:p>
    <w:p w14:paraId="610F0916" w14:textId="77777777" w:rsidR="00D14A30" w:rsidRPr="0047240D" w:rsidRDefault="00D14A30" w:rsidP="004B05CF">
      <w:pPr>
        <w:spacing w:line="240" w:lineRule="auto"/>
        <w:rPr>
          <w:lang w:val="es-CR"/>
        </w:rPr>
      </w:pPr>
    </w:p>
    <w:p w14:paraId="5BD9080D" w14:textId="77777777" w:rsidR="004B05CF" w:rsidRPr="0047240D" w:rsidRDefault="004B05CF" w:rsidP="004B05CF">
      <w:pPr>
        <w:spacing w:line="240" w:lineRule="auto"/>
        <w:jc w:val="center"/>
        <w:rPr>
          <w:lang w:val="pt-PT"/>
        </w:rPr>
      </w:pPr>
      <w:r w:rsidRPr="0047240D">
        <w:rPr>
          <w:lang w:val="pt-PT"/>
        </w:rPr>
        <w:t>Comuníquese.</w:t>
      </w:r>
    </w:p>
    <w:p w14:paraId="3016B217" w14:textId="77777777" w:rsidR="004B05CF" w:rsidRDefault="004B05CF" w:rsidP="004B05CF">
      <w:pPr>
        <w:spacing w:line="240" w:lineRule="auto"/>
        <w:jc w:val="center"/>
      </w:pPr>
      <w:r>
        <w:rPr>
          <w:noProof/>
        </w:rPr>
        <w:drawing>
          <wp:inline distT="0" distB="0" distL="0" distR="0" wp14:anchorId="32A53FE2" wp14:editId="08908391">
            <wp:extent cx="1701800" cy="662940"/>
            <wp:effectExtent l="0" t="0" r="0" b="3810"/>
            <wp:docPr id="8" name="Imagen 8" descr="Nombre de la empres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Nombre de la empresa&#10;&#10;Descripción generada automáticamente con confianza baja"/>
                    <pic:cNvPicPr>
                      <a:picLocks noChangeAspect="1"/>
                    </pic:cNvPicPr>
                  </pic:nvPicPr>
                  <pic:blipFill>
                    <a:blip r:embed="rId11"/>
                    <a:stretch>
                      <a:fillRect/>
                    </a:stretch>
                  </pic:blipFill>
                  <pic:spPr>
                    <a:xfrm>
                      <a:off x="0" y="0"/>
                      <a:ext cx="1701800" cy="662940"/>
                    </a:xfrm>
                    <a:prstGeom prst="rect">
                      <a:avLst/>
                    </a:prstGeom>
                  </pic:spPr>
                </pic:pic>
              </a:graphicData>
            </a:graphic>
          </wp:inline>
        </w:drawing>
      </w:r>
    </w:p>
    <w:p w14:paraId="71BAEE40" w14:textId="77777777" w:rsidR="004B05CF" w:rsidRDefault="004B05CF" w:rsidP="004B05CF">
      <w:pPr>
        <w:spacing w:line="240" w:lineRule="auto"/>
        <w:jc w:val="center"/>
      </w:pPr>
      <w:r>
        <w:t>Hermes Alvarado Salas</w:t>
      </w:r>
    </w:p>
    <w:p w14:paraId="2B52FB8C" w14:textId="77777777" w:rsidR="004B05CF" w:rsidRDefault="004B05CF" w:rsidP="004B05CF">
      <w:pPr>
        <w:spacing w:line="240" w:lineRule="auto"/>
        <w:jc w:val="center"/>
      </w:pPr>
      <w:r>
        <w:t>Superintendente de Pensiones</w:t>
      </w:r>
    </w:p>
    <w:p w14:paraId="2988EBB9" w14:textId="77777777" w:rsidR="004B05CF" w:rsidRDefault="004B05CF" w:rsidP="004B05CF">
      <w:pPr>
        <w:spacing w:line="240" w:lineRule="auto"/>
      </w:pPr>
    </w:p>
    <w:p w14:paraId="04C7E516" w14:textId="77777777" w:rsidR="004B05CF" w:rsidRDefault="004B05CF" w:rsidP="004B05CF">
      <w:pPr>
        <w:spacing w:line="240" w:lineRule="auto"/>
        <w:rPr>
          <w:sz w:val="20"/>
        </w:rPr>
      </w:pPr>
    </w:p>
    <w:p w14:paraId="03AC3E69" w14:textId="1946A217" w:rsidR="004B05CF" w:rsidRPr="000E3AB6" w:rsidRDefault="004B05CF" w:rsidP="004B05CF">
      <w:pPr>
        <w:spacing w:line="240" w:lineRule="auto"/>
        <w:rPr>
          <w:i/>
          <w:sz w:val="18"/>
        </w:rPr>
      </w:pPr>
      <w:r w:rsidRPr="000E3AB6">
        <w:rPr>
          <w:sz w:val="18"/>
        </w:rPr>
        <w:t xml:space="preserve">Aprobado por </w:t>
      </w:r>
      <w:r w:rsidR="00D14A30">
        <w:rPr>
          <w:sz w:val="18"/>
        </w:rPr>
        <w:t>DSQ/</w:t>
      </w:r>
      <w:r w:rsidRPr="000E3AB6">
        <w:rPr>
          <w:i/>
          <w:sz w:val="18"/>
        </w:rPr>
        <w:t>RCV</w:t>
      </w:r>
    </w:p>
    <w:p w14:paraId="01E2E537" w14:textId="77777777" w:rsidR="004B05CF" w:rsidRDefault="004B05CF"/>
    <w:sectPr w:rsidR="004B05CF" w:rsidSect="00167B1E">
      <w:headerReference w:type="default" r:id="rId12"/>
      <w:footerReference w:type="even" r:id="rId13"/>
      <w:footerReference w:type="default" r:id="rId14"/>
      <w:headerReference w:type="first" r:id="rId15"/>
      <w:footerReference w:type="first" r:id="rId16"/>
      <w:pgSz w:w="12240" w:h="15840"/>
      <w:pgMar w:top="1560" w:right="1701" w:bottom="1701" w:left="1701" w:header="708" w:footer="51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C8669" w14:textId="77777777" w:rsidR="00265F4A" w:rsidRDefault="00265F4A" w:rsidP="007B546E">
      <w:pPr>
        <w:spacing w:line="240" w:lineRule="auto"/>
      </w:pPr>
      <w:r>
        <w:separator/>
      </w:r>
    </w:p>
  </w:endnote>
  <w:endnote w:type="continuationSeparator" w:id="0">
    <w:p w14:paraId="4F6DDDCA" w14:textId="77777777" w:rsidR="00265F4A" w:rsidRDefault="00265F4A" w:rsidP="007B54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E75A5" w14:textId="77777777" w:rsidR="007B546E" w:rsidRDefault="007B546E">
    <w:pPr>
      <w:pStyle w:val="Piedepgina"/>
    </w:pPr>
    <w:r>
      <w:rPr>
        <w:noProof/>
        <w14:ligatures w14:val="standardContextual"/>
      </w:rPr>
      <mc:AlternateContent>
        <mc:Choice Requires="wps">
          <w:drawing>
            <wp:anchor distT="0" distB="0" distL="0" distR="0" simplePos="0" relativeHeight="251657216" behindDoc="0" locked="0" layoutInCell="1" allowOverlap="1" wp14:anchorId="1D2BB2A6" wp14:editId="6B3E893E">
              <wp:simplePos x="635" y="635"/>
              <wp:positionH relativeFrom="page">
                <wp:align>center</wp:align>
              </wp:positionH>
              <wp:positionV relativeFrom="page">
                <wp:align>bottom</wp:align>
              </wp:positionV>
              <wp:extent cx="1083945" cy="422910"/>
              <wp:effectExtent l="0" t="0" r="1905" b="0"/>
              <wp:wrapNone/>
              <wp:docPr id="569706529" name="Cuadro de texto 2"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422910"/>
                      </a:xfrm>
                      <a:prstGeom prst="rect">
                        <a:avLst/>
                      </a:prstGeom>
                      <a:noFill/>
                      <a:ln>
                        <a:noFill/>
                      </a:ln>
                    </wps:spPr>
                    <wps:txbx>
                      <w:txbxContent>
                        <w:p w14:paraId="1511E5BB" w14:textId="77777777" w:rsidR="007B546E" w:rsidRPr="007B546E" w:rsidRDefault="007B546E" w:rsidP="007B546E">
                          <w:pPr>
                            <w:rPr>
                              <w:rFonts w:ascii="Aptos" w:eastAsia="Aptos" w:hAnsi="Aptos" w:cs="Aptos"/>
                              <w:noProof/>
                              <w:color w:val="000000"/>
                              <w:sz w:val="20"/>
                              <w:szCs w:val="20"/>
                            </w:rPr>
                          </w:pPr>
                          <w:r w:rsidRPr="007B546E">
                            <w:rPr>
                              <w:rFonts w:ascii="Aptos" w:eastAsia="Aptos" w:hAnsi="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2BB2A6" id="_x0000_t202" coordsize="21600,21600" o:spt="202" path="m,l,21600r21600,l21600,xe">
              <v:stroke joinstyle="miter"/>
              <v:path gradientshapeok="t" o:connecttype="rect"/>
            </v:shapetype>
            <v:shape id="Cuadro de texto 2" o:spid="_x0000_s1026" type="#_x0000_t202" alt="Uso Interno estricto" style="position:absolute;margin-left:0;margin-top:0;width:85.35pt;height:33.3pt;z-index:25165721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" filled="f" stroked="f">
              <v:textbox style="mso-fit-shape-to-text:t" inset="0,0,0,15pt">
                <w:txbxContent>
                  <w:p w14:paraId="1511E5BB" w14:textId="77777777" w:rsidR="007B546E" w:rsidRPr="007B546E" w:rsidRDefault="007B546E" w:rsidP="007B546E">
                    <w:pPr>
                      <w:rPr>
                        <w:rFonts w:ascii="Aptos" w:eastAsia="Aptos" w:hAnsi="Aptos" w:cs="Aptos"/>
                        <w:noProof/>
                        <w:color w:val="000000"/>
                        <w:sz w:val="20"/>
                        <w:szCs w:val="20"/>
                      </w:rPr>
                    </w:pPr>
                    <w:r w:rsidRPr="007B546E">
                      <w:rPr>
                        <w:rFonts w:ascii="Aptos" w:eastAsia="Aptos" w:hAnsi="Aptos" w:cs="Aptos"/>
                        <w:noProof/>
                        <w:color w:val="000000"/>
                        <w:sz w:val="20"/>
                        <w:szCs w:val="20"/>
                      </w:rPr>
                      <w:t>Uso Interno estricto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FF562" w14:textId="77777777" w:rsidR="00AF4337" w:rsidRPr="00BE078A" w:rsidRDefault="00AF4337" w:rsidP="00AF4337">
    <w:pPr>
      <w:pStyle w:val="Piedepgina"/>
      <w:pBdr>
        <w:top w:val="single" w:sz="4" w:space="1" w:color="auto"/>
      </w:pBdr>
      <w:rPr>
        <w:szCs w:val="24"/>
      </w:rPr>
    </w:pPr>
    <w:r>
      <w:rPr>
        <w:i/>
        <w:szCs w:val="24"/>
      </w:rPr>
      <w:t>Teléfonos 2243-4848</w:t>
    </w:r>
    <w:r>
      <w:rPr>
        <w:i/>
        <w:szCs w:val="24"/>
      </w:rPr>
      <w:tab/>
      <w:t>Fax 2243-4444</w:t>
    </w:r>
    <w:r>
      <w:rPr>
        <w:i/>
        <w:szCs w:val="24"/>
      </w:rPr>
      <w:tab/>
    </w:r>
    <w:hyperlink r:id="rId1" w:history="1">
      <w:r>
        <w:rPr>
          <w:rStyle w:val="Hipervnculo"/>
          <w:i/>
          <w:szCs w:val="24"/>
        </w:rPr>
        <w:t>supen@supen.fi.cr</w:t>
      </w:r>
    </w:hyperlink>
  </w:p>
  <w:p w14:paraId="2416464E" w14:textId="77777777" w:rsidR="007B546E" w:rsidRDefault="007B546E">
    <w:pPr>
      <w:pStyle w:val="Piedepgina"/>
    </w:pPr>
    <w:r>
      <w:rPr>
        <w:noProof/>
        <w14:ligatures w14:val="standardContextual"/>
      </w:rPr>
      <mc:AlternateContent>
        <mc:Choice Requires="wps">
          <w:drawing>
            <wp:anchor distT="0" distB="0" distL="0" distR="0" simplePos="0" relativeHeight="251661312" behindDoc="0" locked="0" layoutInCell="1" allowOverlap="1" wp14:anchorId="067468A1" wp14:editId="4704C5C2">
              <wp:simplePos x="1084521" y="9434549"/>
              <wp:positionH relativeFrom="page">
                <wp:align>center</wp:align>
              </wp:positionH>
              <wp:positionV relativeFrom="page">
                <wp:align>bottom</wp:align>
              </wp:positionV>
              <wp:extent cx="1083945" cy="422910"/>
              <wp:effectExtent l="0" t="0" r="1905" b="0"/>
              <wp:wrapNone/>
              <wp:docPr id="774829783" name="Cuadro de texto 3"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422910"/>
                      </a:xfrm>
                      <a:prstGeom prst="rect">
                        <a:avLst/>
                      </a:prstGeom>
                      <a:noFill/>
                      <a:ln>
                        <a:noFill/>
                      </a:ln>
                    </wps:spPr>
                    <wps:txbx>
                      <w:txbxContent>
                        <w:p w14:paraId="0437FADF" w14:textId="77777777" w:rsidR="007B546E" w:rsidRPr="007B546E" w:rsidRDefault="007B546E" w:rsidP="007B546E">
                          <w:pPr>
                            <w:rPr>
                              <w:rFonts w:ascii="Aptos" w:eastAsia="Aptos" w:hAnsi="Aptos" w:cs="Aptos"/>
                              <w:noProof/>
                              <w:color w:val="000000"/>
                              <w:sz w:val="20"/>
                              <w:szCs w:val="20"/>
                            </w:rPr>
                          </w:pPr>
                          <w:r w:rsidRPr="007B546E">
                            <w:rPr>
                              <w:rFonts w:ascii="Aptos" w:eastAsia="Aptos" w:hAnsi="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7468A1" id="_x0000_t202" coordsize="21600,21600" o:spt="202" path="m,l,21600r21600,l21600,xe">
              <v:stroke joinstyle="miter"/>
              <v:path gradientshapeok="t" o:connecttype="rect"/>
            </v:shapetype>
            <v:shape id="Cuadro de texto 3" o:spid="_x0000_s1027" type="#_x0000_t202" alt="Uso Interno estricto" style="position:absolute;margin-left:0;margin-top:0;width:85.35pt;height:33.3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" filled="f" stroked="f">
              <v:textbox style="mso-fit-shape-to-text:t" inset="0,0,0,15pt">
                <w:txbxContent>
                  <w:p w14:paraId="0437FADF" w14:textId="77777777" w:rsidR="007B546E" w:rsidRPr="007B546E" w:rsidRDefault="007B546E" w:rsidP="007B546E">
                    <w:pPr>
                      <w:rPr>
                        <w:rFonts w:ascii="Aptos" w:eastAsia="Aptos" w:hAnsi="Aptos" w:cs="Aptos"/>
                        <w:noProof/>
                        <w:color w:val="000000"/>
                        <w:sz w:val="20"/>
                        <w:szCs w:val="20"/>
                      </w:rPr>
                    </w:pPr>
                    <w:r w:rsidRPr="007B546E">
                      <w:rPr>
                        <w:rFonts w:ascii="Aptos" w:eastAsia="Aptos" w:hAnsi="Aptos" w:cs="Aptos"/>
                        <w:noProof/>
                        <w:color w:val="000000"/>
                        <w:sz w:val="20"/>
                        <w:szCs w:val="20"/>
                      </w:rPr>
                      <w:t>Uso Interno estricto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D43F0" w14:textId="77777777" w:rsidR="00AF4337" w:rsidRPr="00BE078A" w:rsidRDefault="00AF4337" w:rsidP="00AF4337">
    <w:pPr>
      <w:pStyle w:val="Piedepgina"/>
      <w:pBdr>
        <w:top w:val="single" w:sz="4" w:space="1" w:color="auto"/>
      </w:pBdr>
      <w:rPr>
        <w:szCs w:val="24"/>
      </w:rPr>
    </w:pPr>
    <w:r>
      <w:rPr>
        <w:i/>
        <w:szCs w:val="24"/>
      </w:rPr>
      <w:t>Teléfonos 2243-4848</w:t>
    </w:r>
    <w:r>
      <w:rPr>
        <w:i/>
        <w:szCs w:val="24"/>
      </w:rPr>
      <w:tab/>
      <w:t>Fax 2243-4444</w:t>
    </w:r>
    <w:r>
      <w:rPr>
        <w:i/>
        <w:szCs w:val="24"/>
      </w:rPr>
      <w:tab/>
    </w:r>
    <w:hyperlink r:id="rId1" w:history="1">
      <w:r>
        <w:rPr>
          <w:rStyle w:val="Hipervnculo"/>
          <w:i/>
          <w:szCs w:val="24"/>
        </w:rPr>
        <w:t>supen@supen.fi.cr</w:t>
      </w:r>
    </w:hyperlink>
  </w:p>
  <w:p w14:paraId="7E272E14" w14:textId="77777777" w:rsidR="007B546E" w:rsidRDefault="007B546E">
    <w:pPr>
      <w:pStyle w:val="Piedepgina"/>
    </w:pPr>
    <w:r>
      <w:rPr>
        <w:noProof/>
        <w14:ligatures w14:val="standardContextual"/>
      </w:rPr>
      <mc:AlternateContent>
        <mc:Choice Requires="wps">
          <w:drawing>
            <wp:anchor distT="0" distB="0" distL="0" distR="0" simplePos="0" relativeHeight="251653120" behindDoc="0" locked="0" layoutInCell="1" allowOverlap="1" wp14:anchorId="4C920DA1" wp14:editId="7C4642F5">
              <wp:simplePos x="635" y="635"/>
              <wp:positionH relativeFrom="page">
                <wp:align>center</wp:align>
              </wp:positionH>
              <wp:positionV relativeFrom="page">
                <wp:align>bottom</wp:align>
              </wp:positionV>
              <wp:extent cx="1083945" cy="422910"/>
              <wp:effectExtent l="0" t="0" r="1905" b="0"/>
              <wp:wrapNone/>
              <wp:docPr id="1038388668" name="Cuadro de texto 1"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422910"/>
                      </a:xfrm>
                      <a:prstGeom prst="rect">
                        <a:avLst/>
                      </a:prstGeom>
                      <a:noFill/>
                      <a:ln>
                        <a:noFill/>
                      </a:ln>
                    </wps:spPr>
                    <wps:txbx>
                      <w:txbxContent>
                        <w:p w14:paraId="723B3A34" w14:textId="77777777" w:rsidR="007B546E" w:rsidRPr="007B546E" w:rsidRDefault="007B546E" w:rsidP="007B546E">
                          <w:pPr>
                            <w:rPr>
                              <w:rFonts w:ascii="Aptos" w:eastAsia="Aptos" w:hAnsi="Aptos" w:cs="Aptos"/>
                              <w:noProof/>
                              <w:color w:val="000000"/>
                              <w:sz w:val="20"/>
                              <w:szCs w:val="20"/>
                            </w:rPr>
                          </w:pPr>
                          <w:r w:rsidRPr="007B546E">
                            <w:rPr>
                              <w:rFonts w:ascii="Aptos" w:eastAsia="Aptos" w:hAnsi="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920DA1" id="_x0000_t202" coordsize="21600,21600" o:spt="202" path="m,l,21600r21600,l21600,xe">
              <v:stroke joinstyle="miter"/>
              <v:path gradientshapeok="t" o:connecttype="rect"/>
            </v:shapetype>
            <v:shape id="Cuadro de texto 1" o:spid="_x0000_s1028" type="#_x0000_t202" alt="Uso Interno estricto" style="position:absolute;margin-left:0;margin-top:0;width:85.35pt;height:33.3pt;z-index:25165312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" filled="f" stroked="f">
              <v:textbox style="mso-fit-shape-to-text:t" inset="0,0,0,15pt">
                <w:txbxContent>
                  <w:p w14:paraId="723B3A34" w14:textId="77777777" w:rsidR="007B546E" w:rsidRPr="007B546E" w:rsidRDefault="007B546E" w:rsidP="007B546E">
                    <w:pPr>
                      <w:rPr>
                        <w:rFonts w:ascii="Aptos" w:eastAsia="Aptos" w:hAnsi="Aptos" w:cs="Aptos"/>
                        <w:noProof/>
                        <w:color w:val="000000"/>
                        <w:sz w:val="20"/>
                        <w:szCs w:val="20"/>
                      </w:rPr>
                    </w:pPr>
                    <w:r w:rsidRPr="007B546E">
                      <w:rPr>
                        <w:rFonts w:ascii="Aptos" w:eastAsia="Aptos" w:hAnsi="Aptos" w:cs="Aptos"/>
                        <w:noProof/>
                        <w:color w:val="000000"/>
                        <w:sz w:val="20"/>
                        <w:szCs w:val="20"/>
                      </w:rPr>
                      <w:t>Uso Interno estricto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29365" w14:textId="77777777" w:rsidR="00265F4A" w:rsidRDefault="00265F4A" w:rsidP="007B546E">
      <w:pPr>
        <w:spacing w:line="240" w:lineRule="auto"/>
      </w:pPr>
      <w:r>
        <w:separator/>
      </w:r>
    </w:p>
  </w:footnote>
  <w:footnote w:type="continuationSeparator" w:id="0">
    <w:p w14:paraId="79E76347" w14:textId="77777777" w:rsidR="00265F4A" w:rsidRDefault="00265F4A" w:rsidP="007B546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4BE4A" w14:textId="2BECB812" w:rsidR="00AF4337" w:rsidRDefault="00AF4337" w:rsidP="00AF4337">
    <w:pPr>
      <w:pStyle w:val="Encabezado"/>
      <w:rPr>
        <w:sz w:val="22"/>
      </w:rPr>
    </w:pPr>
    <w:r>
      <w:rPr>
        <w:noProof/>
        <w:sz w:val="22"/>
      </w:rPr>
      <w:drawing>
        <wp:anchor distT="0" distB="0" distL="114300" distR="114300" simplePos="0" relativeHeight="251665408" behindDoc="0" locked="0" layoutInCell="1" allowOverlap="1" wp14:anchorId="7BD201B5" wp14:editId="42986E45">
          <wp:simplePos x="0" y="0"/>
          <wp:positionH relativeFrom="column">
            <wp:posOffset>-185420</wp:posOffset>
          </wp:positionH>
          <wp:positionV relativeFrom="paragraph">
            <wp:posOffset>-227330</wp:posOffset>
          </wp:positionV>
          <wp:extent cx="1931035" cy="742950"/>
          <wp:effectExtent l="0" t="0" r="0" b="0"/>
          <wp:wrapSquare wrapText="bothSides"/>
          <wp:docPr id="910616045" name="Imagen 910616045" descr="Un dibujo animad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Un dibujo animado con letras&#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1035" cy="742950"/>
                  </a:xfrm>
                  <a:prstGeom prst="rect">
                    <a:avLst/>
                  </a:prstGeom>
                  <a:noFill/>
                </pic:spPr>
              </pic:pic>
            </a:graphicData>
          </a:graphic>
          <wp14:sizeRelH relativeFrom="page">
            <wp14:pctWidth>0</wp14:pctWidth>
          </wp14:sizeRelH>
          <wp14:sizeRelV relativeFrom="page">
            <wp14:pctHeight>0</wp14:pctHeight>
          </wp14:sizeRelV>
        </wp:anchor>
      </w:drawing>
    </w:r>
    <w:r>
      <w:rPr>
        <w:noProof/>
        <w:sz w:val="22"/>
      </w:rPr>
      <w:drawing>
        <wp:anchor distT="0" distB="0" distL="114300" distR="114300" simplePos="0" relativeHeight="251649024" behindDoc="1" locked="0" layoutInCell="1" allowOverlap="1" wp14:anchorId="6CCB2E19" wp14:editId="49B4578A">
          <wp:simplePos x="0" y="0"/>
          <wp:positionH relativeFrom="margin">
            <wp:align>right</wp:align>
          </wp:positionH>
          <wp:positionV relativeFrom="paragraph">
            <wp:posOffset>-127635</wp:posOffset>
          </wp:positionV>
          <wp:extent cx="901700" cy="585470"/>
          <wp:effectExtent l="0" t="0" r="0" b="5080"/>
          <wp:wrapNone/>
          <wp:docPr id="797902907" name="Imagen 797902907"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Imagen de la pantalla de un celular con letras&#10;&#10;Descripción generada automáticamente con confianza baj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1700" cy="585470"/>
                  </a:xfrm>
                  <a:prstGeom prst="rect">
                    <a:avLst/>
                  </a:prstGeom>
                  <a:noFill/>
                </pic:spPr>
              </pic:pic>
            </a:graphicData>
          </a:graphic>
          <wp14:sizeRelH relativeFrom="page">
            <wp14:pctWidth>0</wp14:pctWidth>
          </wp14:sizeRelH>
          <wp14:sizeRelV relativeFrom="page">
            <wp14:pctHeight>0</wp14:pctHeight>
          </wp14:sizeRelV>
        </wp:anchor>
      </w:drawing>
    </w:r>
  </w:p>
  <w:p w14:paraId="06DA0DE0" w14:textId="77777777" w:rsidR="00AF4337" w:rsidRDefault="00AF4337" w:rsidP="00AF4337">
    <w:pPr>
      <w:pStyle w:val="Encabezado"/>
    </w:pPr>
  </w:p>
  <w:p w14:paraId="41EB4450" w14:textId="77777777" w:rsidR="00AF4337" w:rsidRDefault="00AF4337" w:rsidP="00AF4337">
    <w:pPr>
      <w:pStyle w:val="Encabezado"/>
    </w:pPr>
  </w:p>
  <w:p w14:paraId="0F34BA03" w14:textId="77777777" w:rsidR="00AF4337" w:rsidRDefault="00AF4337" w:rsidP="00AF4337">
    <w:pPr>
      <w:pStyle w:val="Encabezado"/>
    </w:pPr>
  </w:p>
  <w:p w14:paraId="03BB8E35" w14:textId="4868C503" w:rsidR="00AF4337" w:rsidRPr="00092B79" w:rsidRDefault="00AF4337" w:rsidP="00AF4337">
    <w:pPr>
      <w:pStyle w:val="Encabezado"/>
      <w:jc w:val="both"/>
      <w:rPr>
        <w:b/>
        <w:i/>
        <w:noProof/>
        <w:szCs w:val="24"/>
      </w:rPr>
    </w:pPr>
    <w:r w:rsidRPr="00092B79">
      <w:rPr>
        <w:b/>
        <w:i/>
        <w:szCs w:val="24"/>
      </w:rPr>
      <w:fldChar w:fldCharType="begin"/>
    </w:r>
    <w:r w:rsidRPr="00092B79">
      <w:rPr>
        <w:b/>
        <w:i/>
        <w:szCs w:val="24"/>
      </w:rPr>
      <w:instrText xml:space="preserve"> STYLEREF  Supen_Encabezado  \* MERGEFORMAT </w:instrText>
    </w:r>
    <w:r w:rsidRPr="00092B79">
      <w:rPr>
        <w:b/>
        <w:i/>
        <w:szCs w:val="24"/>
      </w:rPr>
      <w:fldChar w:fldCharType="separate"/>
    </w:r>
    <w:r w:rsidR="00D14A30">
      <w:rPr>
        <w:b/>
        <w:i/>
        <w:noProof/>
        <w:szCs w:val="24"/>
      </w:rPr>
      <w:t>SP-A-295-2026</w:t>
    </w:r>
    <w:r w:rsidRPr="00092B79">
      <w:rPr>
        <w:b/>
        <w:i/>
        <w:noProof/>
        <w:szCs w:val="24"/>
      </w:rPr>
      <w:fldChar w:fldCharType="end"/>
    </w:r>
  </w:p>
  <w:p w14:paraId="4D4B29CC" w14:textId="77777777" w:rsidR="00AF4337" w:rsidRDefault="00AF4337" w:rsidP="00AF4337">
    <w:pPr>
      <w:pStyle w:val="Encabezado"/>
      <w:rPr>
        <w:i/>
        <w:szCs w:val="24"/>
      </w:rPr>
    </w:pPr>
    <w:r>
      <w:rPr>
        <w:i/>
        <w:szCs w:val="24"/>
        <w:lang w:val="es-MX"/>
      </w:rPr>
      <w:t xml:space="preserve">Página </w:t>
    </w:r>
    <w:r w:rsidRPr="00DC38D9">
      <w:rPr>
        <w:i/>
        <w:szCs w:val="24"/>
      </w:rPr>
      <w:fldChar w:fldCharType="begin"/>
    </w:r>
    <w:r w:rsidRPr="00DC38D9">
      <w:rPr>
        <w:i/>
        <w:szCs w:val="24"/>
      </w:rPr>
      <w:instrText>PAGE   \* MERGEFORMAT</w:instrText>
    </w:r>
    <w:r w:rsidRPr="00DC38D9">
      <w:rPr>
        <w:i/>
        <w:szCs w:val="24"/>
      </w:rPr>
      <w:fldChar w:fldCharType="separate"/>
    </w:r>
    <w:r>
      <w:rPr>
        <w:i/>
        <w:szCs w:val="24"/>
      </w:rPr>
      <w:t>2</w:t>
    </w:r>
    <w:r w:rsidRPr="00DC38D9">
      <w:rPr>
        <w:i/>
        <w:szCs w:val="24"/>
      </w:rPr>
      <w:fldChar w:fldCharType="end"/>
    </w:r>
  </w:p>
  <w:p w14:paraId="784ED7D9" w14:textId="77777777" w:rsidR="00AF4337" w:rsidRPr="00AF4337" w:rsidRDefault="00AF4337" w:rsidP="00AF433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7AB8B" w14:textId="54C6CE03" w:rsidR="00AF4337" w:rsidRDefault="00AF4337">
    <w:pPr>
      <w:pStyle w:val="Encabezado"/>
    </w:pPr>
    <w:r>
      <w:rPr>
        <w:noProof/>
        <w:sz w:val="22"/>
      </w:rPr>
      <w:drawing>
        <wp:anchor distT="0" distB="0" distL="114300" distR="114300" simplePos="0" relativeHeight="251667456" behindDoc="0" locked="0" layoutInCell="1" allowOverlap="1" wp14:anchorId="3730D6AC" wp14:editId="427C8567">
          <wp:simplePos x="0" y="0"/>
          <wp:positionH relativeFrom="margin">
            <wp:align>left</wp:align>
          </wp:positionH>
          <wp:positionV relativeFrom="paragraph">
            <wp:posOffset>-305435</wp:posOffset>
          </wp:positionV>
          <wp:extent cx="1931035" cy="742950"/>
          <wp:effectExtent l="0" t="0" r="0" b="0"/>
          <wp:wrapSquare wrapText="bothSides"/>
          <wp:docPr id="236472611" name="Imagen 236472611" descr="Un dibujo animad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Un dibujo animado con letras&#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1035" cy="742950"/>
                  </a:xfrm>
                  <a:prstGeom prst="rect">
                    <a:avLst/>
                  </a:prstGeom>
                  <a:noFill/>
                </pic:spPr>
              </pic:pic>
            </a:graphicData>
          </a:graphic>
          <wp14:sizeRelH relativeFrom="page">
            <wp14:pctWidth>0</wp14:pctWidth>
          </wp14:sizeRelH>
          <wp14:sizeRelV relativeFrom="page">
            <wp14:pctHeight>0</wp14:pctHeight>
          </wp14:sizeRelV>
        </wp:anchor>
      </w:drawing>
    </w:r>
    <w:r>
      <w:rPr>
        <w:noProof/>
        <w:sz w:val="22"/>
      </w:rPr>
      <w:drawing>
        <wp:anchor distT="0" distB="0" distL="114300" distR="114300" simplePos="0" relativeHeight="251669504" behindDoc="1" locked="0" layoutInCell="1" allowOverlap="1" wp14:anchorId="36E2E0C8" wp14:editId="4CB5EB5C">
          <wp:simplePos x="0" y="0"/>
          <wp:positionH relativeFrom="margin">
            <wp:align>right</wp:align>
          </wp:positionH>
          <wp:positionV relativeFrom="paragraph">
            <wp:posOffset>-254635</wp:posOffset>
          </wp:positionV>
          <wp:extent cx="901700" cy="585470"/>
          <wp:effectExtent l="0" t="0" r="0" b="5080"/>
          <wp:wrapNone/>
          <wp:docPr id="2023821663" name="Imagen 2023821663"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Imagen de la pantalla de un celular con letras&#10;&#10;Descripción generada automáticamente con confianza baj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1700" cy="5854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355CE"/>
    <w:multiLevelType w:val="hybridMultilevel"/>
    <w:tmpl w:val="1682E81E"/>
    <w:lvl w:ilvl="0" w:tplc="DCDA2D08">
      <w:start w:val="1"/>
      <w:numFmt w:val="lowerLetter"/>
      <w:lvlText w:val="%1)"/>
      <w:lvlJc w:val="left"/>
      <w:pPr>
        <w:ind w:left="822" w:hanging="360"/>
      </w:pPr>
      <w:rPr>
        <w:rFonts w:hint="default"/>
      </w:rPr>
    </w:lvl>
    <w:lvl w:ilvl="1" w:tplc="140A0019" w:tentative="1">
      <w:start w:val="1"/>
      <w:numFmt w:val="lowerLetter"/>
      <w:lvlText w:val="%2."/>
      <w:lvlJc w:val="left"/>
      <w:pPr>
        <w:ind w:left="1542" w:hanging="360"/>
      </w:pPr>
    </w:lvl>
    <w:lvl w:ilvl="2" w:tplc="140A001B" w:tentative="1">
      <w:start w:val="1"/>
      <w:numFmt w:val="lowerRoman"/>
      <w:lvlText w:val="%3."/>
      <w:lvlJc w:val="right"/>
      <w:pPr>
        <w:ind w:left="2262" w:hanging="180"/>
      </w:pPr>
    </w:lvl>
    <w:lvl w:ilvl="3" w:tplc="140A000F" w:tentative="1">
      <w:start w:val="1"/>
      <w:numFmt w:val="decimal"/>
      <w:lvlText w:val="%4."/>
      <w:lvlJc w:val="left"/>
      <w:pPr>
        <w:ind w:left="2982" w:hanging="360"/>
      </w:pPr>
    </w:lvl>
    <w:lvl w:ilvl="4" w:tplc="140A0019" w:tentative="1">
      <w:start w:val="1"/>
      <w:numFmt w:val="lowerLetter"/>
      <w:lvlText w:val="%5."/>
      <w:lvlJc w:val="left"/>
      <w:pPr>
        <w:ind w:left="3702" w:hanging="360"/>
      </w:pPr>
    </w:lvl>
    <w:lvl w:ilvl="5" w:tplc="140A001B" w:tentative="1">
      <w:start w:val="1"/>
      <w:numFmt w:val="lowerRoman"/>
      <w:lvlText w:val="%6."/>
      <w:lvlJc w:val="right"/>
      <w:pPr>
        <w:ind w:left="4422" w:hanging="180"/>
      </w:pPr>
    </w:lvl>
    <w:lvl w:ilvl="6" w:tplc="140A000F" w:tentative="1">
      <w:start w:val="1"/>
      <w:numFmt w:val="decimal"/>
      <w:lvlText w:val="%7."/>
      <w:lvlJc w:val="left"/>
      <w:pPr>
        <w:ind w:left="5142" w:hanging="360"/>
      </w:pPr>
    </w:lvl>
    <w:lvl w:ilvl="7" w:tplc="140A0019" w:tentative="1">
      <w:start w:val="1"/>
      <w:numFmt w:val="lowerLetter"/>
      <w:lvlText w:val="%8."/>
      <w:lvlJc w:val="left"/>
      <w:pPr>
        <w:ind w:left="5862" w:hanging="360"/>
      </w:pPr>
    </w:lvl>
    <w:lvl w:ilvl="8" w:tplc="140A001B" w:tentative="1">
      <w:start w:val="1"/>
      <w:numFmt w:val="lowerRoman"/>
      <w:lvlText w:val="%9."/>
      <w:lvlJc w:val="right"/>
      <w:pPr>
        <w:ind w:left="6582" w:hanging="180"/>
      </w:pPr>
    </w:lvl>
  </w:abstractNum>
  <w:abstractNum w:abstractNumId="1" w15:restartNumberingAfterBreak="0">
    <w:nsid w:val="15A92DEF"/>
    <w:multiLevelType w:val="hybridMultilevel"/>
    <w:tmpl w:val="10F04DD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174B5533"/>
    <w:multiLevelType w:val="hybridMultilevel"/>
    <w:tmpl w:val="22404452"/>
    <w:lvl w:ilvl="0" w:tplc="EDE2A644">
      <w:start w:val="1"/>
      <w:numFmt w:val="decimal"/>
      <w:lvlText w:val="%1."/>
      <w:lvlJc w:val="left"/>
      <w:pPr>
        <w:ind w:left="462" w:hanging="360"/>
      </w:pPr>
      <w:rPr>
        <w:rFonts w:hint="default"/>
      </w:rPr>
    </w:lvl>
    <w:lvl w:ilvl="1" w:tplc="140A0019" w:tentative="1">
      <w:start w:val="1"/>
      <w:numFmt w:val="lowerLetter"/>
      <w:lvlText w:val="%2."/>
      <w:lvlJc w:val="left"/>
      <w:pPr>
        <w:ind w:left="1182" w:hanging="360"/>
      </w:pPr>
    </w:lvl>
    <w:lvl w:ilvl="2" w:tplc="140A001B" w:tentative="1">
      <w:start w:val="1"/>
      <w:numFmt w:val="lowerRoman"/>
      <w:lvlText w:val="%3."/>
      <w:lvlJc w:val="right"/>
      <w:pPr>
        <w:ind w:left="1902" w:hanging="180"/>
      </w:pPr>
    </w:lvl>
    <w:lvl w:ilvl="3" w:tplc="140A000F" w:tentative="1">
      <w:start w:val="1"/>
      <w:numFmt w:val="decimal"/>
      <w:lvlText w:val="%4."/>
      <w:lvlJc w:val="left"/>
      <w:pPr>
        <w:ind w:left="2622" w:hanging="360"/>
      </w:pPr>
    </w:lvl>
    <w:lvl w:ilvl="4" w:tplc="140A0019" w:tentative="1">
      <w:start w:val="1"/>
      <w:numFmt w:val="lowerLetter"/>
      <w:lvlText w:val="%5."/>
      <w:lvlJc w:val="left"/>
      <w:pPr>
        <w:ind w:left="3342" w:hanging="360"/>
      </w:pPr>
    </w:lvl>
    <w:lvl w:ilvl="5" w:tplc="140A001B" w:tentative="1">
      <w:start w:val="1"/>
      <w:numFmt w:val="lowerRoman"/>
      <w:lvlText w:val="%6."/>
      <w:lvlJc w:val="right"/>
      <w:pPr>
        <w:ind w:left="4062" w:hanging="180"/>
      </w:pPr>
    </w:lvl>
    <w:lvl w:ilvl="6" w:tplc="140A000F" w:tentative="1">
      <w:start w:val="1"/>
      <w:numFmt w:val="decimal"/>
      <w:lvlText w:val="%7."/>
      <w:lvlJc w:val="left"/>
      <w:pPr>
        <w:ind w:left="4782" w:hanging="360"/>
      </w:pPr>
    </w:lvl>
    <w:lvl w:ilvl="7" w:tplc="140A0019" w:tentative="1">
      <w:start w:val="1"/>
      <w:numFmt w:val="lowerLetter"/>
      <w:lvlText w:val="%8."/>
      <w:lvlJc w:val="left"/>
      <w:pPr>
        <w:ind w:left="5502" w:hanging="360"/>
      </w:pPr>
    </w:lvl>
    <w:lvl w:ilvl="8" w:tplc="140A001B" w:tentative="1">
      <w:start w:val="1"/>
      <w:numFmt w:val="lowerRoman"/>
      <w:lvlText w:val="%9."/>
      <w:lvlJc w:val="right"/>
      <w:pPr>
        <w:ind w:left="6222" w:hanging="180"/>
      </w:pPr>
    </w:lvl>
  </w:abstractNum>
  <w:num w:numId="1" w16cid:durableId="1847665889">
    <w:abstractNumId w:val="1"/>
  </w:num>
  <w:num w:numId="2" w16cid:durableId="1444685392">
    <w:abstractNumId w:val="2"/>
  </w:num>
  <w:num w:numId="3" w16cid:durableId="1652906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5CF"/>
    <w:rsid w:val="00001FA6"/>
    <w:rsid w:val="000031B5"/>
    <w:rsid w:val="00007C9E"/>
    <w:rsid w:val="00072AA8"/>
    <w:rsid w:val="0010396F"/>
    <w:rsid w:val="00167B1E"/>
    <w:rsid w:val="002363B2"/>
    <w:rsid w:val="00265F4A"/>
    <w:rsid w:val="002C541E"/>
    <w:rsid w:val="003338B5"/>
    <w:rsid w:val="00363169"/>
    <w:rsid w:val="003752D9"/>
    <w:rsid w:val="003A3A14"/>
    <w:rsid w:val="0047240D"/>
    <w:rsid w:val="004B05CF"/>
    <w:rsid w:val="004B4E7E"/>
    <w:rsid w:val="004C5C4C"/>
    <w:rsid w:val="00500F59"/>
    <w:rsid w:val="00512693"/>
    <w:rsid w:val="00535488"/>
    <w:rsid w:val="005B581C"/>
    <w:rsid w:val="005B59EA"/>
    <w:rsid w:val="00634486"/>
    <w:rsid w:val="006A5747"/>
    <w:rsid w:val="006A6ECF"/>
    <w:rsid w:val="006C207D"/>
    <w:rsid w:val="006D1F86"/>
    <w:rsid w:val="0072096B"/>
    <w:rsid w:val="007B546E"/>
    <w:rsid w:val="007E7491"/>
    <w:rsid w:val="008C2D43"/>
    <w:rsid w:val="008D1FD3"/>
    <w:rsid w:val="008F0E76"/>
    <w:rsid w:val="009018EE"/>
    <w:rsid w:val="009254F7"/>
    <w:rsid w:val="009268E7"/>
    <w:rsid w:val="00992DD4"/>
    <w:rsid w:val="009B0661"/>
    <w:rsid w:val="009F3393"/>
    <w:rsid w:val="00A55F09"/>
    <w:rsid w:val="00A72288"/>
    <w:rsid w:val="00AF4337"/>
    <w:rsid w:val="00B2323B"/>
    <w:rsid w:val="00B6001A"/>
    <w:rsid w:val="00B64EA0"/>
    <w:rsid w:val="00BC7DEC"/>
    <w:rsid w:val="00BF1D6F"/>
    <w:rsid w:val="00C96FB4"/>
    <w:rsid w:val="00D14A30"/>
    <w:rsid w:val="00D516F8"/>
    <w:rsid w:val="00D57E5D"/>
    <w:rsid w:val="00D61813"/>
    <w:rsid w:val="00D77DEE"/>
    <w:rsid w:val="00DA3D95"/>
    <w:rsid w:val="00DB54BC"/>
    <w:rsid w:val="00DB6513"/>
    <w:rsid w:val="00E15F65"/>
    <w:rsid w:val="00E23C1D"/>
    <w:rsid w:val="00E24450"/>
    <w:rsid w:val="00E2661D"/>
    <w:rsid w:val="00E442E9"/>
    <w:rsid w:val="00EF22D3"/>
    <w:rsid w:val="00F253F8"/>
    <w:rsid w:val="00F369E2"/>
    <w:rsid w:val="00F4283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EAA7A"/>
  <w15:chartTrackingRefBased/>
  <w15:docId w15:val="{9BA4F124-8D7E-4B3E-B84F-DCBE92D7D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05CF"/>
    <w:pPr>
      <w:spacing w:after="0" w:line="360" w:lineRule="auto"/>
    </w:pPr>
    <w:rPr>
      <w:rFonts w:ascii="Times New Roman" w:hAnsi="Times New Roman"/>
      <w:kern w:val="0"/>
      <w:szCs w:val="22"/>
      <w:lang w:val="es-ES"/>
      <w14:ligatures w14:val="none"/>
    </w:rPr>
  </w:style>
  <w:style w:type="paragraph" w:styleId="Ttulo1">
    <w:name w:val="heading 1"/>
    <w:basedOn w:val="Normal"/>
    <w:next w:val="Normal"/>
    <w:link w:val="Ttulo1Car"/>
    <w:uiPriority w:val="9"/>
    <w:qFormat/>
    <w:rsid w:val="004B05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B05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B05C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B05C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B05C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B05C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B05C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B05C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B05CF"/>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B05C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B05C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B05C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B05C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B05C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B05C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B05C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B05C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B05CF"/>
    <w:rPr>
      <w:rFonts w:eastAsiaTheme="majorEastAsia" w:cstheme="majorBidi"/>
      <w:color w:val="272727" w:themeColor="text1" w:themeTint="D8"/>
    </w:rPr>
  </w:style>
  <w:style w:type="paragraph" w:styleId="Ttulo">
    <w:name w:val="Title"/>
    <w:basedOn w:val="Normal"/>
    <w:next w:val="Normal"/>
    <w:link w:val="TtuloCar"/>
    <w:uiPriority w:val="10"/>
    <w:qFormat/>
    <w:rsid w:val="004B05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B05C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B05C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B05C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B05CF"/>
    <w:pPr>
      <w:spacing w:before="160"/>
      <w:jc w:val="center"/>
    </w:pPr>
    <w:rPr>
      <w:i/>
      <w:iCs/>
      <w:color w:val="404040" w:themeColor="text1" w:themeTint="BF"/>
    </w:rPr>
  </w:style>
  <w:style w:type="character" w:customStyle="1" w:styleId="CitaCar">
    <w:name w:val="Cita Car"/>
    <w:basedOn w:val="Fuentedeprrafopredeter"/>
    <w:link w:val="Cita"/>
    <w:uiPriority w:val="29"/>
    <w:rsid w:val="004B05CF"/>
    <w:rPr>
      <w:i/>
      <w:iCs/>
      <w:color w:val="404040" w:themeColor="text1" w:themeTint="BF"/>
    </w:rPr>
  </w:style>
  <w:style w:type="paragraph" w:styleId="Prrafodelista">
    <w:name w:val="List Paragraph"/>
    <w:basedOn w:val="Normal"/>
    <w:uiPriority w:val="34"/>
    <w:qFormat/>
    <w:rsid w:val="004B05CF"/>
    <w:pPr>
      <w:ind w:left="720"/>
      <w:contextualSpacing/>
    </w:pPr>
  </w:style>
  <w:style w:type="character" w:styleId="nfasisintenso">
    <w:name w:val="Intense Emphasis"/>
    <w:basedOn w:val="Fuentedeprrafopredeter"/>
    <w:uiPriority w:val="21"/>
    <w:qFormat/>
    <w:rsid w:val="004B05CF"/>
    <w:rPr>
      <w:i/>
      <w:iCs/>
      <w:color w:val="0F4761" w:themeColor="accent1" w:themeShade="BF"/>
    </w:rPr>
  </w:style>
  <w:style w:type="paragraph" w:styleId="Citadestacada">
    <w:name w:val="Intense Quote"/>
    <w:basedOn w:val="Normal"/>
    <w:next w:val="Normal"/>
    <w:link w:val="CitadestacadaCar"/>
    <w:uiPriority w:val="30"/>
    <w:qFormat/>
    <w:rsid w:val="004B05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B05CF"/>
    <w:rPr>
      <w:i/>
      <w:iCs/>
      <w:color w:val="0F4761" w:themeColor="accent1" w:themeShade="BF"/>
    </w:rPr>
  </w:style>
  <w:style w:type="character" w:styleId="Referenciaintensa">
    <w:name w:val="Intense Reference"/>
    <w:basedOn w:val="Fuentedeprrafopredeter"/>
    <w:uiPriority w:val="32"/>
    <w:qFormat/>
    <w:rsid w:val="004B05CF"/>
    <w:rPr>
      <w:b/>
      <w:bCs/>
      <w:smallCaps/>
      <w:color w:val="0F4761" w:themeColor="accent1" w:themeShade="BF"/>
      <w:spacing w:val="5"/>
    </w:rPr>
  </w:style>
  <w:style w:type="paragraph" w:customStyle="1" w:styleId="SupenEncabezado">
    <w:name w:val="Supen_Encabezado"/>
    <w:next w:val="Normal"/>
    <w:link w:val="SupenEncabezadoCar"/>
    <w:autoRedefine/>
    <w:qFormat/>
    <w:rsid w:val="004B05CF"/>
    <w:pPr>
      <w:spacing w:after="0" w:line="360" w:lineRule="auto"/>
      <w:jc w:val="center"/>
    </w:pPr>
    <w:rPr>
      <w:rFonts w:ascii="Times New Roman" w:hAnsi="Times New Roman"/>
      <w:kern w:val="0"/>
      <w:szCs w:val="22"/>
      <w:lang w:val="es-ES"/>
      <w14:ligatures w14:val="none"/>
    </w:rPr>
  </w:style>
  <w:style w:type="character" w:customStyle="1" w:styleId="SupenEncabezadoCar">
    <w:name w:val="Supen_Encabezado Car"/>
    <w:basedOn w:val="Fuentedeprrafopredeter"/>
    <w:link w:val="SupenEncabezado"/>
    <w:rsid w:val="004B05CF"/>
    <w:rPr>
      <w:rFonts w:ascii="Times New Roman" w:hAnsi="Times New Roman"/>
      <w:kern w:val="0"/>
      <w:szCs w:val="22"/>
      <w:lang w:val="es-ES"/>
      <w14:ligatures w14:val="none"/>
    </w:rPr>
  </w:style>
  <w:style w:type="paragraph" w:styleId="Textoindependiente">
    <w:name w:val="Body Text"/>
    <w:basedOn w:val="Normal"/>
    <w:link w:val="TextoindependienteCar"/>
    <w:uiPriority w:val="1"/>
    <w:qFormat/>
    <w:rsid w:val="004B05CF"/>
    <w:pPr>
      <w:widowControl w:val="0"/>
      <w:autoSpaceDE w:val="0"/>
      <w:autoSpaceDN w:val="0"/>
      <w:spacing w:line="240" w:lineRule="auto"/>
    </w:pPr>
    <w:rPr>
      <w:rFonts w:ascii="Cambria" w:eastAsia="Cambria" w:hAnsi="Cambria" w:cs="Cambria"/>
      <w:szCs w:val="24"/>
      <w:lang w:val="en-US"/>
    </w:rPr>
  </w:style>
  <w:style w:type="character" w:customStyle="1" w:styleId="TextoindependienteCar">
    <w:name w:val="Texto independiente Car"/>
    <w:basedOn w:val="Fuentedeprrafopredeter"/>
    <w:link w:val="Textoindependiente"/>
    <w:uiPriority w:val="1"/>
    <w:rsid w:val="004B05CF"/>
    <w:rPr>
      <w:rFonts w:ascii="Cambria" w:eastAsia="Cambria" w:hAnsi="Cambria" w:cs="Cambria"/>
      <w:kern w:val="0"/>
      <w:lang w:val="en-US"/>
      <w14:ligatures w14:val="none"/>
    </w:rPr>
  </w:style>
  <w:style w:type="paragraph" w:styleId="Piedepgina">
    <w:name w:val="footer"/>
    <w:basedOn w:val="Normal"/>
    <w:link w:val="PiedepginaCar"/>
    <w:uiPriority w:val="99"/>
    <w:unhideWhenUsed/>
    <w:rsid w:val="007B546E"/>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7B546E"/>
    <w:rPr>
      <w:rFonts w:ascii="Times New Roman" w:hAnsi="Times New Roman"/>
      <w:kern w:val="0"/>
      <w:szCs w:val="22"/>
      <w:lang w:val="es-ES"/>
      <w14:ligatures w14:val="none"/>
    </w:rPr>
  </w:style>
  <w:style w:type="paragraph" w:styleId="Encabezado">
    <w:name w:val="header"/>
    <w:basedOn w:val="Normal"/>
    <w:link w:val="EncabezadoCar"/>
    <w:unhideWhenUsed/>
    <w:rsid w:val="00AF4337"/>
    <w:pPr>
      <w:tabs>
        <w:tab w:val="center" w:pos="4419"/>
        <w:tab w:val="right" w:pos="8838"/>
      </w:tabs>
      <w:spacing w:line="240" w:lineRule="auto"/>
    </w:pPr>
  </w:style>
  <w:style w:type="character" w:customStyle="1" w:styleId="EncabezadoCar">
    <w:name w:val="Encabezado Car"/>
    <w:basedOn w:val="Fuentedeprrafopredeter"/>
    <w:link w:val="Encabezado"/>
    <w:rsid w:val="00AF4337"/>
    <w:rPr>
      <w:rFonts w:ascii="Times New Roman" w:hAnsi="Times New Roman"/>
      <w:kern w:val="0"/>
      <w:szCs w:val="22"/>
      <w:lang w:val="es-ES"/>
      <w14:ligatures w14:val="none"/>
    </w:rPr>
  </w:style>
  <w:style w:type="character" w:styleId="Hipervnculo">
    <w:name w:val="Hyperlink"/>
    <w:basedOn w:val="Fuentedeprrafopredeter"/>
    <w:rsid w:val="00AF433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3EB93DA3D6F487AA4E3D8639695C645"/>
        <w:category>
          <w:name w:val="General"/>
          <w:gallery w:val="placeholder"/>
        </w:category>
        <w:types>
          <w:type w:val="bbPlcHdr"/>
        </w:types>
        <w:behaviors>
          <w:behavior w:val="content"/>
        </w:behaviors>
        <w:guid w:val="{620F378C-57C2-4953-9920-2420875E66FF}"/>
      </w:docPartPr>
      <w:docPartBody>
        <w:p w:rsidR="00304C3C" w:rsidRDefault="00304C3C" w:rsidP="00304C3C">
          <w:pPr>
            <w:pStyle w:val="43EB93DA3D6F487AA4E3D8639695C645"/>
          </w:pPr>
          <w:r>
            <w:rPr>
              <w:rStyle w:val="Textodelmarcadordeposicin"/>
            </w:rPr>
            <w:t>Ingrese aquí el SP-A-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C3C"/>
    <w:rsid w:val="000C0F21"/>
    <w:rsid w:val="001015EF"/>
    <w:rsid w:val="0028189C"/>
    <w:rsid w:val="002A4A9D"/>
    <w:rsid w:val="00304C3C"/>
    <w:rsid w:val="004A7DAE"/>
    <w:rsid w:val="00634486"/>
    <w:rsid w:val="006A6ECF"/>
    <w:rsid w:val="008217F0"/>
    <w:rsid w:val="00987666"/>
    <w:rsid w:val="00992DD4"/>
    <w:rsid w:val="009B0661"/>
    <w:rsid w:val="00AB25D7"/>
    <w:rsid w:val="00B6001A"/>
    <w:rsid w:val="00B64EA0"/>
    <w:rsid w:val="00D8695D"/>
    <w:rsid w:val="00DA3D95"/>
    <w:rsid w:val="00F4283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304C3C"/>
    <w:rPr>
      <w:color w:val="808080"/>
    </w:rPr>
  </w:style>
  <w:style w:type="paragraph" w:customStyle="1" w:styleId="43EB93DA3D6F487AA4E3D8639695C645">
    <w:name w:val="43EB93DA3D6F487AA4E3D8639695C645"/>
    <w:rsid w:val="00304C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IdEvento xmlns="6c2d2cf2-004b-47d1-b91d-f9a62dc21bae">2026007616</IdEvento>
    <IdSession xmlns="6c2d2cf2-004b-47d1-b91d-f9a62dc21bae" xsi:nil="true"/>
    <Estado xmlns="6c2d2cf2-004b-47d1-b91d-f9a62dc21bae" xsi:nil="true"/>
    <Evento xmlns="6c2d2cf2-004b-47d1-b91d-f9a62dc21bae">
      <Url xsi:nil="true"/>
      <Description xsi:nil="true"/>
    </Evento>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598F7ED7A8DC944786D775C5860668D9" ma:contentTypeVersion="12" ma:contentTypeDescription="Crear nuevo documento." ma:contentTypeScope="" ma:versionID="0e3c067f722a29c7fa1cc8b529adc12d">
  <xsd:schema xmlns:xsd="http://www.w3.org/2001/XMLSchema" xmlns:xs="http://www.w3.org/2001/XMLSchema" xmlns:p="http://schemas.microsoft.com/office/2006/metadata/properties" xmlns:ns2="6c2d2cf2-004b-47d1-b91d-f9a62dc21bae" targetNamespace="http://schemas.microsoft.com/office/2006/metadata/properties" ma:root="true" ma:fieldsID="5227e60aeb909529db2f21db6406519d" ns2:_="">
    <xsd:import namespace="6c2d2cf2-004b-47d1-b91d-f9a62dc21bae"/>
    <xsd:element name="properties">
      <xsd:complexType>
        <xsd:sequence>
          <xsd:element name="documentManagement">
            <xsd:complexType>
              <xsd:all>
                <xsd:element ref="ns2:Evento" minOccurs="0"/>
                <xsd:element ref="ns2:MediaServiceMetadata" minOccurs="0"/>
                <xsd:element ref="ns2:MediaServiceFastMetadata" minOccurs="0"/>
                <xsd:element ref="ns2:MediaServiceObjectDetectorVersions" minOccurs="0"/>
                <xsd:element ref="ns2:Estado" minOccurs="0"/>
                <xsd:element ref="ns2:IdEvento" minOccurs="0"/>
                <xsd:element ref="ns2:IdSess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2d2cf2-004b-47d1-b91d-f9a62dc21bae" elementFormDefault="qualified">
    <xsd:import namespace="http://schemas.microsoft.com/office/2006/documentManagement/types"/>
    <xsd:import namespace="http://schemas.microsoft.com/office/infopath/2007/PartnerControls"/>
    <xsd:element name="Evento" ma:index="8" nillable="true" ma:displayName="Evento" ma:format="Hyperlink" ma:internalName="Evento"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Estado" ma:index="12" nillable="true" ma:displayName="Estado" ma:indexed="true" ma:internalName="Estado">
      <xsd:simpleType>
        <xsd:restriction base="dms:Text">
          <xsd:maxLength value="255"/>
        </xsd:restriction>
      </xsd:simpleType>
    </xsd:element>
    <xsd:element name="IdEvento" ma:index="13" nillable="true" ma:displayName="IdEvento" ma:indexed="true" ma:internalName="IdEvento">
      <xsd:simpleType>
        <xsd:restriction base="dms:Text">
          <xsd:maxLength value="255"/>
        </xsd:restriction>
      </xsd:simpleType>
    </xsd:element>
    <xsd:element name="IdSession" ma:index="14" nillable="true" ma:displayName="IdSession" ma:indexed="true" ma:internalName="IdSession">
      <xsd:simpleType>
        <xsd:restriction base="dms:Text">
          <xsd:maxLength value="255"/>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FFAFE8-096C-4A4D-896F-E70B08213531}">
  <ds:schemaRefs>
    <ds:schemaRef ds:uri="http://schemas.openxmlformats.org/officeDocument/2006/bibliography"/>
  </ds:schemaRefs>
</ds:datastoreItem>
</file>

<file path=customXml/itemProps2.xml><?xml version="1.0" encoding="utf-8"?>
<ds:datastoreItem xmlns:ds="http://schemas.openxmlformats.org/officeDocument/2006/customXml" ds:itemID="{8C4B744E-2557-4B14-A9E9-7F1C6ED7A321}">
  <ds:schemaRefs>
    <ds:schemaRef ds:uri="http://schemas.microsoft.com/sharepoint/v3/contenttype/forms"/>
  </ds:schemaRefs>
</ds:datastoreItem>
</file>

<file path=customXml/itemProps3.xml><?xml version="1.0" encoding="utf-8"?>
<ds:datastoreItem xmlns:ds="http://schemas.openxmlformats.org/officeDocument/2006/customXml" ds:itemID="{A52254E5-3D68-46E6-A5D6-CB75F8086758}">
  <ds:schemaRefs>
    <ds:schemaRef ds:uri="http://schemas.microsoft.com/office/2006/metadata/properties"/>
    <ds:schemaRef ds:uri="http://schemas.microsoft.com/office/infopath/2007/PartnerControls"/>
    <ds:schemaRef ds:uri="6c2d2cf2-004b-47d1-b91d-f9a62dc21bae"/>
  </ds:schemaRefs>
</ds:datastoreItem>
</file>

<file path=customXml/itemProps4.xml><?xml version="1.0" encoding="utf-8"?>
<ds:datastoreItem xmlns:ds="http://schemas.openxmlformats.org/officeDocument/2006/customXml" ds:itemID="{F2E75F7D-A57C-44F2-A161-EDF1B296A5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2d2cf2-004b-47d1-b91d-f9a62dc21b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2573</Words>
  <Characters>13949</Characters>
  <Application>Microsoft Office Word</Application>
  <DocSecurity>0</DocSecurity>
  <Lines>367</Lines>
  <Paragraphs>104</Paragraphs>
  <ScaleCrop>false</ScaleCrop>
  <HeadingPairs>
    <vt:vector size="2" baseType="variant">
      <vt:variant>
        <vt:lpstr>Título</vt:lpstr>
      </vt:variant>
      <vt:variant>
        <vt:i4>1</vt:i4>
      </vt:variant>
    </vt:vector>
  </HeadingPairs>
  <TitlesOfParts>
    <vt:vector size="1" baseType="lpstr">
      <vt:lpstr>Borrador reformas con observaciones OPC.docx</vt:lpstr>
    </vt:vector>
  </TitlesOfParts>
  <Company>Banco Central de Costa Rica</Company>
  <LinksUpToDate>false</LinksUpToDate>
  <CharactersWithSpaces>16418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2026SPA295.docx</dc:title>
  <dc:subject/>
  <dc:creator>QUESADA FERNANDEZ MARIA ISABEL</dc:creator>
  <cp:keywords/>
  <dc:description/>
  <cp:lastModifiedBy>SAENZ QUESADA DANIEL</cp:lastModifiedBy>
  <cp:revision>16</cp:revision>
  <dcterms:created xsi:type="dcterms:W3CDTF">2026-04-08T21:14:00Z</dcterms:created>
  <dcterms:modified xsi:type="dcterms:W3CDTF">2026-04-14T15:21:00Z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3de48dbc,21f50821,2e2ef6d7</vt:lpwstr>
  </property>
  <property fmtid="{D5CDD505-2E9C-101B-9397-08002B2CF9AE}" pid="3" name="ClassificationContentMarkingFooterFontProps">
    <vt:lpwstr>#000000,10,Aptos</vt:lpwstr>
  </property>
  <property fmtid="{D5CDD505-2E9C-101B-9397-08002B2CF9AE}" pid="4" name="ClassificationContentMarkingFooterText">
    <vt:lpwstr>Uso Interno estricto</vt:lpwstr>
  </property>
  <property fmtid="{D5CDD505-2E9C-101B-9397-08002B2CF9AE}" pid="5" name="MSIP_Label_b8b4be34-365a-4a68-b9fb-75c1b6874315_Enabled">
    <vt:lpwstr>true</vt:lpwstr>
  </property>
  <property fmtid="{D5CDD505-2E9C-101B-9397-08002B2CF9AE}" pid="6" name="MSIP_Label_b8b4be34-365a-4a68-b9fb-75c1b6874315_SetDate">
    <vt:lpwstr>2026-02-19T20:26:44Z</vt:lpwstr>
  </property>
  <property fmtid="{D5CDD505-2E9C-101B-9397-08002B2CF9AE}" pid="7" name="MSIP_Label_b8b4be34-365a-4a68-b9fb-75c1b6874315_Method">
    <vt:lpwstr>Standard</vt:lpwstr>
  </property>
  <property fmtid="{D5CDD505-2E9C-101B-9397-08002B2CF9AE}" pid="8" name="MSIP_Label_b8b4be34-365a-4a68-b9fb-75c1b6874315_Name">
    <vt:lpwstr>b8b4be34-365a-4a68-b9fb-75c1b6874315</vt:lpwstr>
  </property>
  <property fmtid="{D5CDD505-2E9C-101B-9397-08002B2CF9AE}" pid="9" name="MSIP_Label_b8b4be34-365a-4a68-b9fb-75c1b6874315_SiteId">
    <vt:lpwstr>618d0a45-25a6-4618-9f80-8f70a435ee52</vt:lpwstr>
  </property>
  <property fmtid="{D5CDD505-2E9C-101B-9397-08002B2CF9AE}" pid="10" name="MSIP_Label_b8b4be34-365a-4a68-b9fb-75c1b6874315_ActionId">
    <vt:lpwstr>187a3afd-3eef-4eae-8fab-3d9d876bde76</vt:lpwstr>
  </property>
  <property fmtid="{D5CDD505-2E9C-101B-9397-08002B2CF9AE}" pid="11" name="MSIP_Label_b8b4be34-365a-4a68-b9fb-75c1b6874315_ContentBits">
    <vt:lpwstr>2</vt:lpwstr>
  </property>
  <property fmtid="{D5CDD505-2E9C-101B-9397-08002B2CF9AE}" pid="12" name="MSIP_Label_b8b4be34-365a-4a68-b9fb-75c1b6874315_Tag">
    <vt:lpwstr>10, 3, 0, 1</vt:lpwstr>
  </property>
  <property fmtid="{D5CDD505-2E9C-101B-9397-08002B2CF9AE}" pid="13" name="ContentTypeId">
    <vt:lpwstr>0x010100598F7ED7A8DC944786D775C5860668D9</vt:lpwstr>
  </property>
</Properties>
</file>