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25B1C" w14:textId="641C3531" w:rsidR="00DC08A2" w:rsidRPr="00FF37F8" w:rsidRDefault="001D1B76" w:rsidP="00FF37F8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s-CR"/>
        </w:rPr>
      </w:pPr>
      <w:r w:rsidRPr="001D1B76">
        <w:rPr>
          <w:rFonts w:ascii="Times New Roman" w:eastAsia="Calibri" w:hAnsi="Times New Roman" w:cs="Times New Roman"/>
          <w:b/>
          <w:bCs/>
          <w:sz w:val="24"/>
          <w:szCs w:val="24"/>
          <w:lang w:val="es-CR"/>
        </w:rPr>
        <w:t>SP-A-264-2023</w:t>
      </w:r>
    </w:p>
    <w:p w14:paraId="4EBDEEE1" w14:textId="7BD18232" w:rsidR="00CC2F8C" w:rsidRDefault="00595CC0" w:rsidP="00DA2744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  <w:r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 </w:t>
      </w:r>
      <w:r w:rsidR="00890E23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 </w:t>
      </w:r>
    </w:p>
    <w:p w14:paraId="6781FFEF" w14:textId="4D9339CC" w:rsidR="00DA2744" w:rsidRDefault="00DA2744" w:rsidP="00DA2744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  <w:r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>Superintendencia de Pensiones, al ser la</w:t>
      </w:r>
      <w:r w:rsidR="00AC49ED">
        <w:rPr>
          <w:rFonts w:ascii="Times New Roman" w:eastAsia="Calibri" w:hAnsi="Times New Roman" w:cs="Times New Roman"/>
          <w:sz w:val="24"/>
          <w:szCs w:val="24"/>
          <w:lang w:val="es-CR"/>
        </w:rPr>
        <w:t>s quince</w:t>
      </w:r>
      <w:r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 horas del dí</w:t>
      </w:r>
      <w:r w:rsidR="00AC49ED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a </w:t>
      </w:r>
      <w:r w:rsidR="00407CC5">
        <w:rPr>
          <w:rFonts w:ascii="Times New Roman" w:eastAsia="Calibri" w:hAnsi="Times New Roman" w:cs="Times New Roman"/>
          <w:sz w:val="24"/>
          <w:szCs w:val="24"/>
          <w:lang w:val="es-CR"/>
        </w:rPr>
        <w:t>veintiséis</w:t>
      </w:r>
      <w:r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 d</w:t>
      </w:r>
      <w:r w:rsidR="00FD2871">
        <w:rPr>
          <w:rFonts w:ascii="Times New Roman" w:eastAsia="Calibri" w:hAnsi="Times New Roman" w:cs="Times New Roman"/>
          <w:sz w:val="24"/>
          <w:szCs w:val="24"/>
          <w:lang w:val="es-CR"/>
        </w:rPr>
        <w:t>e julio</w:t>
      </w:r>
      <w:r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 del año dos mil veinti</w:t>
      </w:r>
      <w:r w:rsidR="002D049D"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>trés</w:t>
      </w:r>
      <w:r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. </w:t>
      </w:r>
    </w:p>
    <w:p w14:paraId="014457A2" w14:textId="77777777" w:rsidR="00FF37F8" w:rsidRDefault="00FF37F8" w:rsidP="005A02EF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s-CR"/>
        </w:rPr>
      </w:pPr>
    </w:p>
    <w:p w14:paraId="35E2933B" w14:textId="77777777" w:rsidR="005A02EF" w:rsidRPr="003D45D1" w:rsidRDefault="005A02EF" w:rsidP="005A02EF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s-CR"/>
        </w:rPr>
      </w:pPr>
      <w:r w:rsidRPr="003D45D1">
        <w:rPr>
          <w:rFonts w:ascii="Times New Roman" w:eastAsia="Calibri" w:hAnsi="Times New Roman" w:cs="Times New Roman"/>
          <w:b/>
          <w:bCs/>
          <w:sz w:val="24"/>
          <w:szCs w:val="24"/>
          <w:lang w:val="es-CR"/>
        </w:rPr>
        <w:t>SE REFORMA EL ACUERDO SP-A-</w:t>
      </w:r>
      <w:r w:rsidR="00A37949" w:rsidRPr="003D45D1">
        <w:rPr>
          <w:rFonts w:ascii="Times New Roman" w:eastAsia="Calibri" w:hAnsi="Times New Roman" w:cs="Times New Roman"/>
          <w:b/>
          <w:bCs/>
          <w:sz w:val="24"/>
          <w:szCs w:val="24"/>
          <w:lang w:val="es-CR"/>
        </w:rPr>
        <w:t>240-</w:t>
      </w:r>
      <w:r w:rsidR="00325264" w:rsidRPr="003D45D1">
        <w:rPr>
          <w:rFonts w:ascii="Times New Roman" w:eastAsia="Calibri" w:hAnsi="Times New Roman" w:cs="Times New Roman"/>
          <w:b/>
          <w:bCs/>
          <w:sz w:val="24"/>
          <w:szCs w:val="24"/>
          <w:lang w:val="es-CR"/>
        </w:rPr>
        <w:t>2021, DE LAS QUINCE HORAS DEL VEINTICINCO DE MARZO DE DOS MIL VEINTIUNO</w:t>
      </w:r>
    </w:p>
    <w:p w14:paraId="50370CCF" w14:textId="77777777" w:rsidR="005A02EF" w:rsidRPr="003D45D1" w:rsidRDefault="005A02EF" w:rsidP="005A02EF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s-CR"/>
        </w:rPr>
      </w:pPr>
    </w:p>
    <w:p w14:paraId="6AF3465A" w14:textId="77777777" w:rsidR="00CC2F8C" w:rsidRPr="003D45D1" w:rsidRDefault="00DA2744" w:rsidP="00CC2F8C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s-CR"/>
        </w:rPr>
      </w:pPr>
      <w:r w:rsidRPr="003D45D1">
        <w:rPr>
          <w:rFonts w:ascii="Times New Roman" w:eastAsia="Calibri" w:hAnsi="Times New Roman" w:cs="Times New Roman"/>
          <w:b/>
          <w:bCs/>
          <w:sz w:val="24"/>
          <w:szCs w:val="24"/>
          <w:lang w:val="es-CR"/>
        </w:rPr>
        <w:t>CONSIDERANDO:</w:t>
      </w:r>
    </w:p>
    <w:p w14:paraId="11DECCC8" w14:textId="77777777" w:rsidR="00DA2744" w:rsidRPr="00FF37F8" w:rsidRDefault="00E16EF5" w:rsidP="00FF37F8">
      <w:pPr>
        <w:pStyle w:val="Prrafodelista"/>
        <w:numPr>
          <w:ilvl w:val="0"/>
          <w:numId w:val="1"/>
        </w:numPr>
        <w:spacing w:after="160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  <w:r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>E</w:t>
      </w:r>
      <w:r w:rsidR="00DA2744"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l inciso i) del artículo 38 </w:t>
      </w:r>
      <w:r w:rsidR="00AE2DDF"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de la ley N° 7523, </w:t>
      </w:r>
      <w:r w:rsidR="00AE2DDF" w:rsidRPr="00FF37F8">
        <w:rPr>
          <w:rFonts w:ascii="Times New Roman" w:eastAsia="Calibri" w:hAnsi="Times New Roman" w:cs="Times New Roman"/>
          <w:i/>
          <w:iCs/>
          <w:sz w:val="24"/>
          <w:szCs w:val="24"/>
          <w:lang w:val="es-CR"/>
        </w:rPr>
        <w:t>Régimen Privado de Pensiones Complementarias</w:t>
      </w:r>
      <w:r w:rsidR="00AE2DDF"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, </w:t>
      </w:r>
      <w:r w:rsidR="0059186B"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>señala</w:t>
      </w:r>
      <w:r w:rsidR="00DA2744"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 que es atribución del Superintendente de Pensiones, proponer</w:t>
      </w:r>
      <w:r w:rsidR="00C419FC"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 </w:t>
      </w:r>
      <w:r w:rsidR="00DA2744"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al Consejo Nacional los requisitos generales que deben cumplir los agentes promotores de las </w:t>
      </w:r>
      <w:r w:rsidR="00A07E8A"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>o</w:t>
      </w:r>
      <w:r w:rsidR="00DA2744"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peradoras de </w:t>
      </w:r>
      <w:r w:rsidR="00A07E8A"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>p</w:t>
      </w:r>
      <w:r w:rsidR="00DA2744"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ensiones </w:t>
      </w:r>
      <w:r w:rsidR="00A07E8A"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complementarias </w:t>
      </w:r>
      <w:r w:rsidR="00DA2744"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>para ser incluidos en el registro de agentes autorizados</w:t>
      </w:r>
      <w:r w:rsidR="00CC2F8C">
        <w:rPr>
          <w:rFonts w:ascii="Times New Roman" w:eastAsia="Calibri" w:hAnsi="Times New Roman" w:cs="Times New Roman"/>
          <w:sz w:val="24"/>
          <w:szCs w:val="24"/>
          <w:lang w:val="es-CR"/>
        </w:rPr>
        <w:t>.</w:t>
      </w:r>
    </w:p>
    <w:p w14:paraId="2B62BF4B" w14:textId="77777777" w:rsidR="00AE2DDF" w:rsidRPr="00FF37F8" w:rsidRDefault="00AE2DDF" w:rsidP="00AE2DDF">
      <w:pPr>
        <w:pStyle w:val="Prrafodelista"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</w:p>
    <w:p w14:paraId="0651614A" w14:textId="7C34DEC1" w:rsidR="000E646E" w:rsidRPr="00FF37F8" w:rsidRDefault="000E646E" w:rsidP="00FF37F8">
      <w:pPr>
        <w:pStyle w:val="Prrafodelista"/>
        <w:numPr>
          <w:ilvl w:val="0"/>
          <w:numId w:val="1"/>
        </w:numPr>
        <w:spacing w:after="160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  <w:r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>E</w:t>
      </w:r>
      <w:r w:rsidR="00DA2744"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l artículo 35 de la Ley N°7983, </w:t>
      </w:r>
      <w:r w:rsidR="00DA2744" w:rsidRPr="00FF37F8">
        <w:rPr>
          <w:rFonts w:ascii="Times New Roman" w:eastAsia="Calibri" w:hAnsi="Times New Roman" w:cs="Times New Roman"/>
          <w:i/>
          <w:iCs/>
          <w:sz w:val="24"/>
          <w:szCs w:val="24"/>
          <w:lang w:val="es-CR"/>
        </w:rPr>
        <w:t>Ley de Protección al Trabajador</w:t>
      </w:r>
      <w:r w:rsidR="00DA2744"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 dispone que los agentes promotores de las operadoras de pensiones</w:t>
      </w:r>
      <w:r w:rsidR="00A07E8A"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 complementarias</w:t>
      </w:r>
      <w:r w:rsidR="00DA2744"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 </w:t>
      </w:r>
      <w:r w:rsidR="001A230A"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>debe</w:t>
      </w:r>
      <w:r w:rsidR="00053FE8"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n </w:t>
      </w:r>
      <w:r w:rsidR="00DA2744"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>registrarse ante la Superintendencia de Pensiones y</w:t>
      </w:r>
      <w:r w:rsidR="003D4367">
        <w:rPr>
          <w:rFonts w:ascii="Times New Roman" w:eastAsia="Calibri" w:hAnsi="Times New Roman" w:cs="Times New Roman"/>
          <w:sz w:val="24"/>
          <w:szCs w:val="24"/>
          <w:lang w:val="es-CR"/>
        </w:rPr>
        <w:t>,</w:t>
      </w:r>
      <w:r w:rsidR="00DA2744"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 para tal fin, deberán cumplir con los requisitos y aprobar los exámenes que la Superintendencia determine para este efecto.</w:t>
      </w:r>
    </w:p>
    <w:p w14:paraId="7B0DFA78" w14:textId="77777777" w:rsidR="000E646E" w:rsidRPr="00FF37F8" w:rsidRDefault="000E646E" w:rsidP="000E646E">
      <w:pPr>
        <w:pStyle w:val="Prrafodelista"/>
        <w:rPr>
          <w:rFonts w:ascii="Times New Roman" w:eastAsia="Calibri" w:hAnsi="Times New Roman" w:cs="Times New Roman"/>
          <w:sz w:val="24"/>
          <w:szCs w:val="24"/>
          <w:lang w:val="es-CR"/>
        </w:rPr>
      </w:pPr>
    </w:p>
    <w:p w14:paraId="624EBC56" w14:textId="778B509C" w:rsidR="006220B1" w:rsidRPr="00FF37F8" w:rsidRDefault="00DA2744" w:rsidP="00DA2744">
      <w:pPr>
        <w:pStyle w:val="Prrafodelista"/>
        <w:numPr>
          <w:ilvl w:val="0"/>
          <w:numId w:val="1"/>
        </w:num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  <w:r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>El artículo 40 de la Ley N°</w:t>
      </w:r>
      <w:r w:rsidR="00A97F96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 </w:t>
      </w:r>
      <w:r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>7983, establece</w:t>
      </w:r>
      <w:r w:rsidR="00791C09"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>,</w:t>
      </w:r>
      <w:r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 entre otros, la responsabilidad solidaria de las operadoras de pensiones, por los daños y perjuicios patrimoniales causados a los afiliados, por los actos dolosos o culposos cometidos por los agentes promotores.</w:t>
      </w:r>
    </w:p>
    <w:p w14:paraId="019C1B11" w14:textId="77777777" w:rsidR="006220B1" w:rsidRPr="00FF37F8" w:rsidRDefault="006220B1" w:rsidP="006220B1">
      <w:pPr>
        <w:pStyle w:val="Prrafodelista"/>
        <w:rPr>
          <w:rFonts w:ascii="Times New Roman" w:eastAsia="Calibri" w:hAnsi="Times New Roman" w:cs="Times New Roman"/>
          <w:sz w:val="24"/>
          <w:szCs w:val="24"/>
          <w:lang w:val="es-CR"/>
        </w:rPr>
      </w:pPr>
    </w:p>
    <w:p w14:paraId="5CC71D43" w14:textId="77777777" w:rsidR="00E47CCD" w:rsidRPr="00FF37F8" w:rsidRDefault="00DA2744" w:rsidP="00DA2744">
      <w:pPr>
        <w:pStyle w:val="Prrafodelista"/>
        <w:numPr>
          <w:ilvl w:val="0"/>
          <w:numId w:val="1"/>
        </w:num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  <w:r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>El inciso m) del artículo 42 de la ley a</w:t>
      </w:r>
      <w:r w:rsidR="006220B1"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>ntes</w:t>
      </w:r>
      <w:r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 citada dispone la obligación </w:t>
      </w:r>
      <w:r w:rsidR="00F2401E"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>que tienen</w:t>
      </w:r>
      <w:r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 </w:t>
      </w:r>
      <w:r w:rsidR="00DA2C49"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las operadoras de pensiones complementarias </w:t>
      </w:r>
      <w:r w:rsidR="00DD01B5"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de </w:t>
      </w:r>
      <w:r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>controlar que los promotores trabajen ofreciendo información veraz, sin inducir a equívocos ni confusiones, según las normas que para el efecto expida la Superintendencia.</w:t>
      </w:r>
    </w:p>
    <w:p w14:paraId="5DBA751F" w14:textId="77777777" w:rsidR="00E47CCD" w:rsidRPr="00FF37F8" w:rsidRDefault="00E47CCD" w:rsidP="00E47CCD">
      <w:pPr>
        <w:pStyle w:val="Prrafodelista"/>
        <w:rPr>
          <w:rFonts w:ascii="Times New Roman" w:eastAsia="Calibri" w:hAnsi="Times New Roman" w:cs="Times New Roman"/>
          <w:sz w:val="24"/>
          <w:szCs w:val="24"/>
          <w:lang w:val="es-CR"/>
        </w:rPr>
      </w:pPr>
    </w:p>
    <w:p w14:paraId="552C0D23" w14:textId="77777777" w:rsidR="00DA2744" w:rsidRPr="00FF37F8" w:rsidRDefault="00217A03" w:rsidP="00DA2744">
      <w:pPr>
        <w:pStyle w:val="Prrafodelista"/>
        <w:numPr>
          <w:ilvl w:val="0"/>
          <w:numId w:val="1"/>
        </w:num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  <w:r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>E</w:t>
      </w:r>
      <w:r w:rsidR="00DA2744"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l </w:t>
      </w:r>
      <w:r w:rsidR="00DA2744" w:rsidRPr="00FF37F8">
        <w:rPr>
          <w:rFonts w:ascii="Times New Roman" w:eastAsia="Calibri" w:hAnsi="Times New Roman" w:cs="Times New Roman"/>
          <w:i/>
          <w:iCs/>
          <w:sz w:val="24"/>
          <w:szCs w:val="24"/>
          <w:lang w:val="es-CR"/>
        </w:rPr>
        <w:t>Reglamento de Autorizaciones y Aprobaciones</w:t>
      </w:r>
      <w:r w:rsidR="00DA2744"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>, publicado en el Alcance número 329, del Diario Oficial La Gaceta N°294 del día 16 de diciembre de 2020, estable</w:t>
      </w:r>
      <w:r w:rsidR="00460355"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>ce</w:t>
      </w:r>
      <w:r w:rsidR="00DA2744"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 los requisitos mínimos para el registro y acreditación de promotores, disponiendo que la Superintendencia podrá evaluar en cualquier momento a los </w:t>
      </w:r>
      <w:r w:rsidR="00460355"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agentes promotores, </w:t>
      </w:r>
      <w:r w:rsidR="00DA2744"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>de acuerdo con los procedimientos determinados para dichos fines.</w:t>
      </w:r>
    </w:p>
    <w:p w14:paraId="1600E09E" w14:textId="77777777" w:rsidR="009237F5" w:rsidRPr="00FF37F8" w:rsidRDefault="009237F5" w:rsidP="009237F5">
      <w:pPr>
        <w:pStyle w:val="Prrafodelista"/>
        <w:rPr>
          <w:rFonts w:ascii="Times New Roman" w:eastAsia="Calibri" w:hAnsi="Times New Roman" w:cs="Times New Roman"/>
          <w:sz w:val="24"/>
          <w:szCs w:val="24"/>
          <w:lang w:val="es-CR"/>
        </w:rPr>
      </w:pPr>
    </w:p>
    <w:p w14:paraId="3AB5CC44" w14:textId="77777777" w:rsidR="005F3D88" w:rsidRPr="00FF37F8" w:rsidRDefault="009237F5" w:rsidP="00B53417">
      <w:pPr>
        <w:pStyle w:val="Prrafodelista"/>
        <w:numPr>
          <w:ilvl w:val="0"/>
          <w:numId w:val="1"/>
        </w:numPr>
        <w:spacing w:after="160" w:line="259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val="es-CR"/>
        </w:rPr>
      </w:pPr>
      <w:r w:rsidRPr="00FF37F8">
        <w:rPr>
          <w:rFonts w:ascii="Times New Roman" w:eastAsia="Calibri" w:hAnsi="Times New Roman" w:cs="Times New Roman"/>
          <w:sz w:val="24"/>
          <w:szCs w:val="24"/>
          <w:lang w:val="es-CR"/>
        </w:rPr>
        <w:lastRenderedPageBreak/>
        <w:t xml:space="preserve">Los artículos 29 y 30 del </w:t>
      </w:r>
      <w:r w:rsidR="00E563CB" w:rsidRPr="00FF37F8">
        <w:rPr>
          <w:rFonts w:ascii="Times New Roman" w:eastAsia="Calibri" w:hAnsi="Times New Roman" w:cs="Times New Roman"/>
          <w:i/>
          <w:iCs/>
          <w:sz w:val="24"/>
          <w:szCs w:val="24"/>
          <w:lang w:val="es-CR"/>
        </w:rPr>
        <w:t>R</w:t>
      </w:r>
      <w:r w:rsidR="00DF3F8B" w:rsidRPr="00FF37F8">
        <w:rPr>
          <w:rFonts w:ascii="Times New Roman" w:eastAsia="Calibri" w:hAnsi="Times New Roman" w:cs="Times New Roman"/>
          <w:i/>
          <w:iCs/>
          <w:sz w:val="24"/>
          <w:szCs w:val="24"/>
          <w:lang w:val="es-CR"/>
        </w:rPr>
        <w:t xml:space="preserve">eglamento sobre la apertura y funcionamiento de las entidades autorizadas y el funcionamiento de los fondos de pensiones, capitalización laboral y ahorro voluntario previstos en la </w:t>
      </w:r>
      <w:r w:rsidR="00E563CB" w:rsidRPr="00FF37F8">
        <w:rPr>
          <w:rFonts w:ascii="Times New Roman" w:eastAsia="Calibri" w:hAnsi="Times New Roman" w:cs="Times New Roman"/>
          <w:i/>
          <w:iCs/>
          <w:sz w:val="24"/>
          <w:szCs w:val="24"/>
          <w:lang w:val="es-CR"/>
        </w:rPr>
        <w:t>L</w:t>
      </w:r>
      <w:r w:rsidR="00DF3F8B" w:rsidRPr="00FF37F8">
        <w:rPr>
          <w:rFonts w:ascii="Times New Roman" w:eastAsia="Calibri" w:hAnsi="Times New Roman" w:cs="Times New Roman"/>
          <w:i/>
          <w:iCs/>
          <w:sz w:val="24"/>
          <w:szCs w:val="24"/>
          <w:lang w:val="es-CR"/>
        </w:rPr>
        <w:t xml:space="preserve">ey de </w:t>
      </w:r>
      <w:r w:rsidR="00E563CB" w:rsidRPr="00FF37F8">
        <w:rPr>
          <w:rFonts w:ascii="Times New Roman" w:eastAsia="Calibri" w:hAnsi="Times New Roman" w:cs="Times New Roman"/>
          <w:i/>
          <w:iCs/>
          <w:sz w:val="24"/>
          <w:szCs w:val="24"/>
          <w:lang w:val="es-CR"/>
        </w:rPr>
        <w:t>P</w:t>
      </w:r>
      <w:r w:rsidR="00DF3F8B" w:rsidRPr="00FF37F8">
        <w:rPr>
          <w:rFonts w:ascii="Times New Roman" w:eastAsia="Calibri" w:hAnsi="Times New Roman" w:cs="Times New Roman"/>
          <w:i/>
          <w:iCs/>
          <w:sz w:val="24"/>
          <w:szCs w:val="24"/>
          <w:lang w:val="es-CR"/>
        </w:rPr>
        <w:t xml:space="preserve">rotección al </w:t>
      </w:r>
      <w:r w:rsidR="00CC2F8C">
        <w:rPr>
          <w:rFonts w:ascii="Times New Roman" w:eastAsia="Calibri" w:hAnsi="Times New Roman" w:cs="Times New Roman"/>
          <w:i/>
          <w:iCs/>
          <w:sz w:val="24"/>
          <w:szCs w:val="24"/>
          <w:lang w:val="es-CR"/>
        </w:rPr>
        <w:t>T</w:t>
      </w:r>
      <w:r w:rsidR="00DF3F8B" w:rsidRPr="00FF37F8">
        <w:rPr>
          <w:rFonts w:ascii="Times New Roman" w:eastAsia="Calibri" w:hAnsi="Times New Roman" w:cs="Times New Roman"/>
          <w:i/>
          <w:iCs/>
          <w:sz w:val="24"/>
          <w:szCs w:val="24"/>
          <w:lang w:val="es-CR"/>
        </w:rPr>
        <w:t>rabajador</w:t>
      </w:r>
      <w:r w:rsidR="00E563CB" w:rsidRPr="00FF37F8">
        <w:rPr>
          <w:rFonts w:ascii="Times New Roman" w:eastAsia="Calibri" w:hAnsi="Times New Roman" w:cs="Times New Roman"/>
          <w:i/>
          <w:iCs/>
          <w:sz w:val="24"/>
          <w:szCs w:val="24"/>
          <w:lang w:val="es-CR"/>
        </w:rPr>
        <w:t xml:space="preserve"> </w:t>
      </w:r>
      <w:r w:rsidR="00E563CB" w:rsidRPr="00CC2F8C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establecen el deber </w:t>
      </w:r>
      <w:r w:rsidR="00B53417" w:rsidRPr="00CC2F8C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de las operadoras de pensiones de </w:t>
      </w:r>
      <w:r w:rsidRPr="00CC2F8C">
        <w:rPr>
          <w:rFonts w:ascii="Times New Roman" w:eastAsia="Calibri" w:hAnsi="Times New Roman" w:cs="Times New Roman"/>
          <w:sz w:val="24"/>
          <w:szCs w:val="24"/>
          <w:lang w:val="es-CR"/>
        </w:rPr>
        <w:t>instruir</w:t>
      </w:r>
      <w:r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 y capacitar en forma permanente a sus agentes promotores</w:t>
      </w:r>
      <w:r w:rsidR="00073D70"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>,</w:t>
      </w:r>
      <w:r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 en todos los aspectos relativos al Sistema Nacional de Pensiones</w:t>
      </w:r>
      <w:r w:rsidR="00374992"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>,</w:t>
      </w:r>
      <w:r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 con el fin de que puedan asesorar,</w:t>
      </w:r>
      <w:r w:rsidR="00663D44"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 en forma adecuada, completa y pertinente, a los trabajadores, afiliados y pensionados.</w:t>
      </w:r>
    </w:p>
    <w:p w14:paraId="6B6A0F63" w14:textId="77777777" w:rsidR="005F3D88" w:rsidRPr="00FF37F8" w:rsidRDefault="005F3D88" w:rsidP="005F3D88">
      <w:pPr>
        <w:pStyle w:val="Prrafodelista"/>
        <w:rPr>
          <w:rFonts w:ascii="Times New Roman" w:eastAsia="Calibri" w:hAnsi="Times New Roman" w:cs="Times New Roman"/>
          <w:sz w:val="24"/>
          <w:szCs w:val="24"/>
          <w:lang w:val="es-CR"/>
        </w:rPr>
      </w:pPr>
    </w:p>
    <w:p w14:paraId="5EDD3C21" w14:textId="77777777" w:rsidR="009237F5" w:rsidRPr="00FF37F8" w:rsidRDefault="00516837" w:rsidP="005F3D88">
      <w:pPr>
        <w:pStyle w:val="Prrafodelista"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  <w:r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>Mediante acuerdo, el</w:t>
      </w:r>
      <w:r w:rsidR="00A35AA9"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 Superintendente comunicará a las operadoras</w:t>
      </w:r>
      <w:r w:rsidR="00D5615D"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 de pensiones</w:t>
      </w:r>
      <w:r w:rsidR="009860B0"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>, en lo</w:t>
      </w:r>
      <w:r w:rsidR="00AE0E78"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 </w:t>
      </w:r>
      <w:r w:rsidR="009860B0"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que </w:t>
      </w:r>
      <w:r w:rsidR="003D45D1"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>interesa, los</w:t>
      </w:r>
      <w:r w:rsidR="00A35AA9"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 temas y condiciones generales de los exámenes</w:t>
      </w:r>
      <w:r w:rsidR="009860B0"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>.</w:t>
      </w:r>
    </w:p>
    <w:p w14:paraId="68589EDE" w14:textId="77777777" w:rsidR="00073D70" w:rsidRPr="00FF37F8" w:rsidRDefault="00073D70" w:rsidP="005F3D88">
      <w:pPr>
        <w:pStyle w:val="Prrafodelista"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</w:p>
    <w:p w14:paraId="2AD3A588" w14:textId="77777777" w:rsidR="00073D70" w:rsidRPr="00FF37F8" w:rsidRDefault="00E62D14" w:rsidP="002C43B3">
      <w:pPr>
        <w:pStyle w:val="Prrafodelista"/>
        <w:numPr>
          <w:ilvl w:val="0"/>
          <w:numId w:val="1"/>
        </w:num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  <w:r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A través del </w:t>
      </w:r>
      <w:r w:rsidR="003143F8" w:rsidRPr="00FF37F8">
        <w:rPr>
          <w:rFonts w:ascii="Times New Roman" w:eastAsia="Calibri" w:hAnsi="Times New Roman" w:cs="Times New Roman"/>
          <w:i/>
          <w:iCs/>
          <w:sz w:val="24"/>
          <w:szCs w:val="24"/>
          <w:lang w:val="es-CR"/>
        </w:rPr>
        <w:t>A</w:t>
      </w:r>
      <w:r w:rsidRPr="00FF37F8">
        <w:rPr>
          <w:rFonts w:ascii="Times New Roman" w:eastAsia="Calibri" w:hAnsi="Times New Roman" w:cs="Times New Roman"/>
          <w:i/>
          <w:iCs/>
          <w:sz w:val="24"/>
          <w:szCs w:val="24"/>
          <w:lang w:val="es-CR"/>
        </w:rPr>
        <w:t>cuerdo SP-A-240</w:t>
      </w:r>
      <w:r w:rsidR="00C91DA3" w:rsidRPr="00FF37F8">
        <w:rPr>
          <w:rFonts w:ascii="Times New Roman" w:hAnsi="Times New Roman" w:cs="Times New Roman"/>
          <w:i/>
          <w:iCs/>
        </w:rPr>
        <w:t xml:space="preserve"> </w:t>
      </w:r>
      <w:r w:rsidR="00C91DA3" w:rsidRPr="00FF37F8">
        <w:rPr>
          <w:rFonts w:ascii="Times New Roman" w:eastAsia="Calibri" w:hAnsi="Times New Roman" w:cs="Times New Roman"/>
          <w:i/>
          <w:iCs/>
          <w:sz w:val="24"/>
          <w:szCs w:val="24"/>
          <w:lang w:val="es-CR"/>
        </w:rPr>
        <w:t>de las quince horas del día veinticinco de marzo de</w:t>
      </w:r>
      <w:r w:rsidR="003143F8" w:rsidRPr="00FF37F8">
        <w:rPr>
          <w:rFonts w:ascii="Times New Roman" w:eastAsia="Calibri" w:hAnsi="Times New Roman" w:cs="Times New Roman"/>
          <w:i/>
          <w:iCs/>
          <w:sz w:val="24"/>
          <w:szCs w:val="24"/>
          <w:lang w:val="es-CR"/>
        </w:rPr>
        <w:t xml:space="preserve"> 2021</w:t>
      </w:r>
      <w:r w:rsidR="003143F8"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, la Superintendencia de Pensiones emitió </w:t>
      </w:r>
      <w:r w:rsidR="00506BD6"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la guía de </w:t>
      </w:r>
      <w:r w:rsidR="002C43B3"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>c</w:t>
      </w:r>
      <w:r w:rsidR="00506BD6"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>apacitación</w:t>
      </w:r>
      <w:r w:rsidR="002C43B3"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 que </w:t>
      </w:r>
      <w:r w:rsidR="00446458"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>debe ser</w:t>
      </w:r>
      <w:r w:rsidR="00506BD6"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 utilizada por las operadoras para </w:t>
      </w:r>
      <w:r w:rsidR="002C43B3"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la </w:t>
      </w:r>
      <w:r w:rsidR="00506BD6"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capacitación </w:t>
      </w:r>
      <w:r w:rsidR="002C43B3"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de los agentes promotores </w:t>
      </w:r>
      <w:r w:rsidR="00506BD6"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>y las evaluaciones que</w:t>
      </w:r>
      <w:r w:rsidR="00446458"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>, de los mismos,</w:t>
      </w:r>
      <w:r w:rsidR="00506BD6"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 </w:t>
      </w:r>
      <w:r w:rsidR="00AE6FCF"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>llegue a realizar</w:t>
      </w:r>
      <w:r w:rsidR="00506BD6"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 la Superintendencia de Pensiones</w:t>
      </w:r>
      <w:r w:rsidR="00446458"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>.</w:t>
      </w:r>
      <w:r w:rsidR="00AA1CE4"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 Dicho acuerdo establece una serie de </w:t>
      </w:r>
      <w:r w:rsidR="00932AFD"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temas y subtemas </w:t>
      </w:r>
      <w:r w:rsidR="00234365"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que constituirán el programa de capacitación y evaluación </w:t>
      </w:r>
      <w:r w:rsidR="000711EA"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de los agentes promotores de ventas a los efectos de que cuenten con los conocimientos básicos necesarios para realizar </w:t>
      </w:r>
      <w:r w:rsidR="00C61538"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adecuadamente </w:t>
      </w:r>
      <w:r w:rsidR="000711EA"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>sus funciones de promoción</w:t>
      </w:r>
      <w:r w:rsidR="007D0230"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, </w:t>
      </w:r>
      <w:r w:rsidR="000711EA"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>asesoría</w:t>
      </w:r>
      <w:r w:rsidR="00C61538"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 </w:t>
      </w:r>
      <w:r w:rsidR="007D0230"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y afiliación </w:t>
      </w:r>
      <w:r w:rsidR="00C61538"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>a los tra</w:t>
      </w:r>
      <w:r w:rsidR="005B20A4"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>bajadores,</w:t>
      </w:r>
      <w:r w:rsidR="007D0230"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 </w:t>
      </w:r>
      <w:r w:rsidR="005B20A4"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>pensionados</w:t>
      </w:r>
      <w:r w:rsidR="00BF0B37"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, afiliados, </w:t>
      </w:r>
      <w:r w:rsidR="007D0230"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>y público en general.</w:t>
      </w:r>
      <w:r w:rsidR="00490D9B"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 </w:t>
      </w:r>
    </w:p>
    <w:p w14:paraId="1482280D" w14:textId="77777777" w:rsidR="0065277B" w:rsidRPr="00FF37F8" w:rsidRDefault="0065277B" w:rsidP="0065277B">
      <w:pPr>
        <w:pStyle w:val="Prrafodelista"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</w:p>
    <w:p w14:paraId="604745CD" w14:textId="6A9C7829" w:rsidR="00C62D9C" w:rsidRDefault="00971E97" w:rsidP="003D45D1">
      <w:pPr>
        <w:pStyle w:val="Prrafodelista"/>
        <w:numPr>
          <w:ilvl w:val="0"/>
          <w:numId w:val="1"/>
        </w:num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  <w:r>
        <w:rPr>
          <w:rFonts w:ascii="Times New Roman" w:eastAsia="Calibri" w:hAnsi="Times New Roman" w:cs="Times New Roman"/>
          <w:sz w:val="24"/>
          <w:szCs w:val="24"/>
          <w:lang w:val="es-CR"/>
        </w:rPr>
        <w:t>E</w:t>
      </w:r>
      <w:r w:rsidR="009E4548">
        <w:rPr>
          <w:rFonts w:ascii="Times New Roman" w:eastAsia="Calibri" w:hAnsi="Times New Roman" w:cs="Times New Roman"/>
          <w:sz w:val="24"/>
          <w:szCs w:val="24"/>
          <w:lang w:val="es-CR"/>
        </w:rPr>
        <w:t>l</w:t>
      </w:r>
      <w:r w:rsidR="009E4548"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 programa </w:t>
      </w:r>
      <w:r w:rsidR="009E4548">
        <w:rPr>
          <w:rFonts w:ascii="Times New Roman" w:eastAsia="Calibri" w:hAnsi="Times New Roman" w:cs="Times New Roman"/>
          <w:sz w:val="24"/>
          <w:szCs w:val="24"/>
          <w:lang w:val="es-CR"/>
        </w:rPr>
        <w:t>para la capacitación de agentes promotores requiere</w:t>
      </w:r>
      <w:r w:rsidR="009E4548"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 ser</w:t>
      </w:r>
      <w:r w:rsidR="009E4548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 </w:t>
      </w:r>
      <w:r w:rsidR="009E4548"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ajustado </w:t>
      </w:r>
      <w:r w:rsidR="009E4548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con el </w:t>
      </w:r>
      <w:r w:rsidR="00C62D9C">
        <w:rPr>
          <w:rFonts w:ascii="Times New Roman" w:eastAsia="Calibri" w:hAnsi="Times New Roman" w:cs="Times New Roman"/>
          <w:sz w:val="24"/>
          <w:szCs w:val="24"/>
          <w:lang w:val="es-CR"/>
        </w:rPr>
        <w:t>propósito</w:t>
      </w:r>
      <w:r w:rsidR="009E4548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 de adecuar su contenido </w:t>
      </w:r>
      <w:r w:rsidR="009E4548"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>a los cambios</w:t>
      </w:r>
      <w:r w:rsidR="009E4548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 surgidos en</w:t>
      </w:r>
      <w:r w:rsidR="009E4548"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 el entorno del mercado y la regulación</w:t>
      </w:r>
      <w:r w:rsidR="009E4548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. Por ello, resulta </w:t>
      </w:r>
      <w:r w:rsidR="009E4548"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necesario </w:t>
      </w:r>
      <w:r w:rsidR="009E4548">
        <w:rPr>
          <w:rFonts w:ascii="Times New Roman" w:eastAsia="Calibri" w:hAnsi="Times New Roman" w:cs="Times New Roman"/>
          <w:sz w:val="24"/>
          <w:szCs w:val="24"/>
          <w:lang w:val="es-CR"/>
        </w:rPr>
        <w:t>modificar</w:t>
      </w:r>
      <w:r w:rsidR="009E4548"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 el </w:t>
      </w:r>
      <w:r w:rsidR="001B2DA2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citado </w:t>
      </w:r>
      <w:r w:rsidR="009E4548"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acuerdo SP-A-240, </w:t>
      </w:r>
      <w:r w:rsidR="009E4548">
        <w:rPr>
          <w:rFonts w:ascii="Times New Roman" w:eastAsia="Calibri" w:hAnsi="Times New Roman" w:cs="Times New Roman"/>
          <w:sz w:val="24"/>
          <w:szCs w:val="24"/>
          <w:lang w:val="es-CR"/>
        </w:rPr>
        <w:t>para</w:t>
      </w:r>
      <w:r w:rsidR="009E4548"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 reordenar, por claridad, algunos de los temas y subtemas, e incluir otros como parte del programa, entre </w:t>
      </w:r>
      <w:r w:rsidR="009E4548">
        <w:rPr>
          <w:rFonts w:ascii="Times New Roman" w:eastAsia="Calibri" w:hAnsi="Times New Roman" w:cs="Times New Roman"/>
          <w:sz w:val="24"/>
          <w:szCs w:val="24"/>
          <w:lang w:val="es-CR"/>
        </w:rPr>
        <w:t>los que destacan</w:t>
      </w:r>
      <w:r w:rsidR="009E4548"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>: los beneficiarios del Régimen Obligatorio y Voluntario de Pensiones y el Fondo de Capitalización Laboral</w:t>
      </w:r>
      <w:r w:rsidR="009E4548">
        <w:rPr>
          <w:rFonts w:ascii="Times New Roman" w:eastAsia="Calibri" w:hAnsi="Times New Roman" w:cs="Times New Roman"/>
          <w:sz w:val="24"/>
          <w:szCs w:val="24"/>
          <w:lang w:val="es-CR"/>
        </w:rPr>
        <w:t>,</w:t>
      </w:r>
      <w:r w:rsidR="009E4548"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 la prescripción y traslado de recursos hacia el Régimen </w:t>
      </w:r>
      <w:r w:rsidR="009E4548">
        <w:rPr>
          <w:rFonts w:ascii="Times New Roman" w:eastAsia="Calibri" w:hAnsi="Times New Roman" w:cs="Times New Roman"/>
          <w:sz w:val="24"/>
          <w:szCs w:val="24"/>
          <w:lang w:val="es-CR"/>
        </w:rPr>
        <w:t>N</w:t>
      </w:r>
      <w:r w:rsidR="009E4548"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o Contributivo de Pensiones administrado por la Caja Costarricense de Seguro Social; </w:t>
      </w:r>
      <w:r w:rsidR="009E4548">
        <w:rPr>
          <w:rFonts w:ascii="Times New Roman" w:eastAsia="Calibri" w:hAnsi="Times New Roman" w:cs="Times New Roman"/>
          <w:sz w:val="24"/>
          <w:szCs w:val="24"/>
          <w:lang w:val="es-CR"/>
        </w:rPr>
        <w:t>y</w:t>
      </w:r>
      <w:r w:rsidR="00053690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, </w:t>
      </w:r>
      <w:r w:rsidR="009E4548" w:rsidRPr="00C62D9C">
        <w:rPr>
          <w:rFonts w:ascii="Times New Roman" w:eastAsia="Calibri" w:hAnsi="Times New Roman" w:cs="Times New Roman"/>
          <w:sz w:val="24"/>
          <w:szCs w:val="24"/>
          <w:lang w:val="es-CR"/>
        </w:rPr>
        <w:t>los riesgos</w:t>
      </w:r>
      <w:r w:rsidR="00C62D9C" w:rsidRPr="00C62D9C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 </w:t>
      </w:r>
      <w:r w:rsidR="00C62D9C"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a los que se </w:t>
      </w:r>
      <w:r w:rsidR="00C62D9C">
        <w:rPr>
          <w:rFonts w:ascii="Times New Roman" w:eastAsia="Calibri" w:hAnsi="Times New Roman" w:cs="Times New Roman"/>
          <w:sz w:val="24"/>
          <w:szCs w:val="24"/>
          <w:lang w:val="es-CR"/>
        </w:rPr>
        <w:t>podrían</w:t>
      </w:r>
      <w:r w:rsidR="00C62D9C"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 exponer los fondos</w:t>
      </w:r>
      <w:r w:rsidR="00C62D9C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 de pensiones y capitalización laboral producto de su administración</w:t>
      </w:r>
      <w:r w:rsidR="009E4548"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>.</w:t>
      </w:r>
      <w:r w:rsidR="00C62D9C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 Asimismo, dentro del temario de </w:t>
      </w:r>
      <w:r w:rsidR="00C62D9C" w:rsidRPr="00C62D9C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planes de acumulación y beneficio se incorporarán </w:t>
      </w:r>
      <w:r w:rsidR="00C62D9C">
        <w:rPr>
          <w:rFonts w:ascii="Times New Roman" w:eastAsia="Calibri" w:hAnsi="Times New Roman" w:cs="Times New Roman"/>
          <w:sz w:val="24"/>
          <w:szCs w:val="24"/>
          <w:lang w:val="es-CR"/>
        </w:rPr>
        <w:t>como</w:t>
      </w:r>
      <w:r w:rsidR="00C62D9C" w:rsidRPr="00C62D9C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 subtemas</w:t>
      </w:r>
      <w:r w:rsidR="00053690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 los</w:t>
      </w:r>
      <w:r w:rsidR="00C62D9C" w:rsidRPr="00C62D9C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 traslados entre operadoras</w:t>
      </w:r>
      <w:r w:rsidR="00C62D9C">
        <w:rPr>
          <w:rFonts w:ascii="Times New Roman" w:eastAsia="Calibri" w:hAnsi="Times New Roman" w:cs="Times New Roman"/>
          <w:sz w:val="24"/>
          <w:szCs w:val="24"/>
          <w:lang w:val="es-CR"/>
        </w:rPr>
        <w:t>,</w:t>
      </w:r>
      <w:r w:rsidR="00C62D9C" w:rsidRPr="00C62D9C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 los multifondos y fondos generacionale</w:t>
      </w:r>
      <w:r w:rsidR="00C62D9C">
        <w:rPr>
          <w:rFonts w:ascii="Times New Roman" w:eastAsia="Calibri" w:hAnsi="Times New Roman" w:cs="Times New Roman"/>
          <w:sz w:val="24"/>
          <w:szCs w:val="24"/>
          <w:lang w:val="es-CR"/>
        </w:rPr>
        <w:t>s,</w:t>
      </w:r>
      <w:r w:rsidR="00C62D9C" w:rsidRPr="00C62D9C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 bonificación de comisiones en el Régimen Voluntario y Obligatorio de Pensiones; mientras que, </w:t>
      </w:r>
      <w:r w:rsidR="00C62D9C">
        <w:rPr>
          <w:rFonts w:ascii="Times New Roman" w:eastAsia="Calibri" w:hAnsi="Times New Roman" w:cs="Times New Roman"/>
          <w:sz w:val="24"/>
          <w:szCs w:val="24"/>
          <w:lang w:val="es-CR"/>
        </w:rPr>
        <w:t>en el tema</w:t>
      </w:r>
      <w:r w:rsidR="00C62D9C" w:rsidRPr="00C62D9C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 </w:t>
      </w:r>
      <w:r w:rsidR="00C62D9C">
        <w:rPr>
          <w:rFonts w:ascii="Times New Roman" w:eastAsia="Calibri" w:hAnsi="Times New Roman" w:cs="Times New Roman"/>
          <w:sz w:val="24"/>
          <w:szCs w:val="24"/>
          <w:lang w:val="es-CR"/>
        </w:rPr>
        <w:t>dedicado al</w:t>
      </w:r>
      <w:r w:rsidR="00C62D9C" w:rsidRPr="00C62D9C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 régimen sancionatorio</w:t>
      </w:r>
      <w:r w:rsidR="00D122B7">
        <w:rPr>
          <w:rFonts w:ascii="Times New Roman" w:eastAsia="Calibri" w:hAnsi="Times New Roman" w:cs="Times New Roman"/>
          <w:sz w:val="24"/>
          <w:szCs w:val="24"/>
          <w:lang w:val="es-CR"/>
        </w:rPr>
        <w:t>,</w:t>
      </w:r>
      <w:r w:rsidR="00C62D9C" w:rsidRPr="00C62D9C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 se introduc</w:t>
      </w:r>
      <w:r w:rsidR="00D122B7">
        <w:rPr>
          <w:rFonts w:ascii="Times New Roman" w:eastAsia="Calibri" w:hAnsi="Times New Roman" w:cs="Times New Roman"/>
          <w:sz w:val="24"/>
          <w:szCs w:val="24"/>
          <w:lang w:val="es-CR"/>
        </w:rPr>
        <w:t>en</w:t>
      </w:r>
      <w:r w:rsidR="00C62D9C" w:rsidRPr="00C62D9C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 aspectos relacionados con el deber de información y asesoría al afiliado y pensionado</w:t>
      </w:r>
      <w:r w:rsidR="00115EFE">
        <w:rPr>
          <w:rFonts w:ascii="Times New Roman" w:eastAsia="Calibri" w:hAnsi="Times New Roman" w:cs="Times New Roman"/>
          <w:sz w:val="24"/>
          <w:szCs w:val="24"/>
          <w:lang w:val="es-CR"/>
        </w:rPr>
        <w:t>.</w:t>
      </w:r>
    </w:p>
    <w:p w14:paraId="294DA377" w14:textId="77777777" w:rsidR="003D45D1" w:rsidRPr="003D45D1" w:rsidRDefault="003D45D1" w:rsidP="003D45D1">
      <w:pPr>
        <w:pStyle w:val="Prrafodelista"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</w:p>
    <w:p w14:paraId="07D31254" w14:textId="361DE700" w:rsidR="00115EFE" w:rsidRPr="00FF37F8" w:rsidRDefault="00DA2744" w:rsidP="00115EFE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s-CR"/>
        </w:rPr>
      </w:pPr>
      <w:r w:rsidRPr="00FF37F8">
        <w:rPr>
          <w:rFonts w:ascii="Times New Roman" w:eastAsia="Calibri" w:hAnsi="Times New Roman" w:cs="Times New Roman"/>
          <w:b/>
          <w:bCs/>
          <w:sz w:val="24"/>
          <w:szCs w:val="24"/>
          <w:lang w:val="es-CR"/>
        </w:rPr>
        <w:t>POR TANTO:</w:t>
      </w:r>
    </w:p>
    <w:p w14:paraId="5A98AA77" w14:textId="77777777" w:rsidR="00437EEF" w:rsidRDefault="00DA2744" w:rsidP="00FF37F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  <w:r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Se </w:t>
      </w:r>
      <w:r w:rsidR="000D2FEE"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reforma íntegramente el acuerdo </w:t>
      </w:r>
      <w:r w:rsidR="000D2FEE" w:rsidRPr="00FF37F8">
        <w:rPr>
          <w:rFonts w:ascii="Times New Roman" w:eastAsia="Calibri" w:hAnsi="Times New Roman" w:cs="Times New Roman"/>
          <w:i/>
          <w:iCs/>
          <w:sz w:val="24"/>
          <w:szCs w:val="24"/>
          <w:lang w:val="es-CR"/>
        </w:rPr>
        <w:t>SP-A-240</w:t>
      </w:r>
      <w:r w:rsidR="00B42A1A">
        <w:rPr>
          <w:rFonts w:ascii="Times New Roman" w:eastAsia="Calibri" w:hAnsi="Times New Roman" w:cs="Times New Roman"/>
          <w:i/>
          <w:iCs/>
          <w:sz w:val="24"/>
          <w:szCs w:val="24"/>
          <w:lang w:val="es-CR"/>
        </w:rPr>
        <w:t xml:space="preserve">-2021, </w:t>
      </w:r>
      <w:r w:rsidR="000D2FEE" w:rsidRPr="00FF37F8">
        <w:rPr>
          <w:rFonts w:ascii="Times New Roman" w:eastAsia="Calibri" w:hAnsi="Times New Roman" w:cs="Times New Roman"/>
          <w:i/>
          <w:iCs/>
          <w:sz w:val="24"/>
          <w:szCs w:val="24"/>
          <w:lang w:val="es-CR"/>
        </w:rPr>
        <w:t xml:space="preserve">de las quince horas del día veinticinco de marzo de </w:t>
      </w:r>
      <w:r w:rsidR="00A37949">
        <w:rPr>
          <w:rFonts w:ascii="Times New Roman" w:eastAsia="Calibri" w:hAnsi="Times New Roman" w:cs="Times New Roman"/>
          <w:i/>
          <w:iCs/>
          <w:sz w:val="24"/>
          <w:szCs w:val="24"/>
          <w:lang w:val="es-CR"/>
        </w:rPr>
        <w:t xml:space="preserve">dos mil </w:t>
      </w:r>
      <w:r w:rsidR="00B42A1A">
        <w:rPr>
          <w:rFonts w:ascii="Times New Roman" w:eastAsia="Calibri" w:hAnsi="Times New Roman" w:cs="Times New Roman"/>
          <w:i/>
          <w:iCs/>
          <w:sz w:val="24"/>
          <w:szCs w:val="24"/>
          <w:lang w:val="es-CR"/>
        </w:rPr>
        <w:t>veintiuno</w:t>
      </w:r>
      <w:r w:rsidR="000D2FEE"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>, para que, en lo sucesivo se lea de la siguiente forma</w:t>
      </w:r>
      <w:r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>:</w:t>
      </w:r>
    </w:p>
    <w:p w14:paraId="2DD08C92" w14:textId="77777777" w:rsidR="00FF37F8" w:rsidRPr="00FF37F8" w:rsidRDefault="00FF37F8" w:rsidP="00FF37F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</w:p>
    <w:p w14:paraId="34AD81C0" w14:textId="77777777" w:rsidR="00331BD1" w:rsidRDefault="00437EEF" w:rsidP="00FF37F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  <w:r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>“</w:t>
      </w:r>
      <w:r w:rsidR="00B107FF"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>Establézcase el programa para la capacitación de los agentes promotores que deberán utilizar las entidades autorizadas y la Superintendencia de Pensiones, para la evaluación de agentes promotores de ventas que se realice como parte del ejercicio de supervisión. Este programa deberá contener, al menos, los siguientes temas</w:t>
      </w:r>
      <w:r w:rsidR="00D013C1"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>,</w:t>
      </w:r>
      <w:r w:rsidR="00B107FF"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 subtemas</w:t>
      </w:r>
      <w:r w:rsidR="00D013C1"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 y contenidos</w:t>
      </w:r>
      <w:r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>:</w:t>
      </w:r>
    </w:p>
    <w:p w14:paraId="7F576BE0" w14:textId="77777777" w:rsidR="00CE0369" w:rsidRPr="00113DDA" w:rsidRDefault="00CE0369" w:rsidP="00FF37F8">
      <w:pPr>
        <w:spacing w:after="0"/>
        <w:jc w:val="both"/>
        <w:rPr>
          <w:rFonts w:eastAsia="Calibri" w:cstheme="minorHAnsi"/>
          <w:sz w:val="24"/>
          <w:szCs w:val="24"/>
          <w:lang w:val="es-CR"/>
        </w:rPr>
      </w:pPr>
    </w:p>
    <w:p w14:paraId="57D27B5E" w14:textId="77777777" w:rsidR="0036300D" w:rsidRPr="00113DDA" w:rsidRDefault="00801F6D" w:rsidP="0036300D">
      <w:pPr>
        <w:pStyle w:val="Prrafodelista"/>
        <w:numPr>
          <w:ilvl w:val="0"/>
          <w:numId w:val="3"/>
        </w:numPr>
        <w:spacing w:after="0"/>
        <w:jc w:val="both"/>
        <w:rPr>
          <w:rFonts w:eastAsia="Calibri" w:cstheme="minorHAnsi"/>
          <w:b/>
          <w:bCs/>
          <w:sz w:val="24"/>
          <w:szCs w:val="24"/>
          <w:lang w:val="es-CR"/>
        </w:rPr>
      </w:pPr>
      <w:r w:rsidRPr="00113DDA">
        <w:rPr>
          <w:rFonts w:eastAsia="Calibri" w:cstheme="minorHAnsi"/>
          <w:b/>
          <w:bCs/>
          <w:sz w:val="24"/>
          <w:szCs w:val="24"/>
          <w:lang w:val="es-CR"/>
        </w:rPr>
        <w:t>Evolución demográfica de Costa Rica</w:t>
      </w:r>
    </w:p>
    <w:p w14:paraId="40D39CE4" w14:textId="77777777" w:rsidR="004B4C1F" w:rsidRDefault="004B4C1F" w:rsidP="004B4C1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</w:p>
    <w:p w14:paraId="1136A535" w14:textId="77777777" w:rsidR="00801F6D" w:rsidRPr="004B4C1F" w:rsidRDefault="00801F6D" w:rsidP="004B4C1F">
      <w:pPr>
        <w:pStyle w:val="Prrafodelista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4B4C1F">
        <w:rPr>
          <w:rFonts w:ascii="Times New Roman" w:eastAsia="Calibri" w:hAnsi="Times New Roman" w:cs="Times New Roman"/>
          <w:sz w:val="24"/>
          <w:szCs w:val="24"/>
          <w:lang w:val="es-CR"/>
        </w:rPr>
        <w:t>Los riesgos de la enfermedad, invalidez, vejez y muerte.</w:t>
      </w:r>
    </w:p>
    <w:p w14:paraId="786C9594" w14:textId="77777777" w:rsidR="004B4C1F" w:rsidRPr="004B4C1F" w:rsidRDefault="00801F6D" w:rsidP="00FF37F8">
      <w:pPr>
        <w:pStyle w:val="Prrafodelista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4B4C1F">
        <w:rPr>
          <w:rFonts w:ascii="Times New Roman" w:eastAsia="Calibri" w:hAnsi="Times New Roman" w:cs="Times New Roman"/>
          <w:sz w:val="24"/>
          <w:szCs w:val="24"/>
          <w:lang w:val="es-CR"/>
        </w:rPr>
        <w:t>Estado actual y perspectivas demográficas.</w:t>
      </w:r>
    </w:p>
    <w:p w14:paraId="78B338DC" w14:textId="1A3AF3A9" w:rsidR="004B4C1F" w:rsidRPr="004B4C1F" w:rsidRDefault="00801F6D" w:rsidP="004B4C1F">
      <w:pPr>
        <w:pStyle w:val="Prrafodelista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4B4C1F">
        <w:rPr>
          <w:rFonts w:ascii="Times New Roman" w:eastAsia="Calibri" w:hAnsi="Times New Roman" w:cs="Times New Roman"/>
          <w:sz w:val="24"/>
          <w:szCs w:val="24"/>
          <w:lang w:val="es-CR"/>
        </w:rPr>
        <w:t>Los desafíos del envejecimiento de la población costarricense: Impactos económicos y sociales.</w:t>
      </w:r>
    </w:p>
    <w:p w14:paraId="0E9957EC" w14:textId="0B10EAB4" w:rsidR="00801F6D" w:rsidRPr="004B4C1F" w:rsidRDefault="00801F6D" w:rsidP="004B4C1F">
      <w:pPr>
        <w:pStyle w:val="Prrafodelista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4B4C1F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Importancia del ahorro y la cultura previsional frente a los riesgos de invalidez, vejez y muerte, </w:t>
      </w:r>
      <w:r w:rsidR="00A97CEF" w:rsidRPr="004B4C1F">
        <w:rPr>
          <w:rFonts w:ascii="Times New Roman" w:eastAsia="Calibri" w:hAnsi="Times New Roman" w:cs="Times New Roman"/>
          <w:sz w:val="24"/>
          <w:szCs w:val="24"/>
          <w:lang w:val="es-CR"/>
        </w:rPr>
        <w:t>así como,</w:t>
      </w:r>
      <w:r w:rsidRPr="004B4C1F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 los cambios demográficos</w:t>
      </w:r>
      <w:r w:rsidR="00A97CEF" w:rsidRPr="004B4C1F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 asociados</w:t>
      </w:r>
      <w:r w:rsidRPr="004B4C1F">
        <w:rPr>
          <w:rFonts w:ascii="Times New Roman" w:eastAsia="Calibri" w:hAnsi="Times New Roman" w:cs="Times New Roman"/>
          <w:sz w:val="24"/>
          <w:szCs w:val="24"/>
          <w:lang w:val="es-CR"/>
        </w:rPr>
        <w:t>.</w:t>
      </w:r>
    </w:p>
    <w:p w14:paraId="2BCE9FEC" w14:textId="77777777" w:rsidR="00FF37F8" w:rsidRPr="001B0C13" w:rsidRDefault="00FF37F8" w:rsidP="00FF37F8">
      <w:pPr>
        <w:spacing w:after="0" w:line="259" w:lineRule="auto"/>
        <w:jc w:val="both"/>
        <w:rPr>
          <w:rFonts w:eastAsia="Calibri" w:cstheme="minorHAnsi"/>
          <w:sz w:val="24"/>
          <w:szCs w:val="24"/>
          <w:lang w:val="es-CR"/>
        </w:rPr>
      </w:pPr>
    </w:p>
    <w:p w14:paraId="30D9FA80" w14:textId="77777777" w:rsidR="004B4C1F" w:rsidRPr="001B0C13" w:rsidRDefault="004B4C1F" w:rsidP="004B4C1F">
      <w:pPr>
        <w:pStyle w:val="Prrafodelista"/>
        <w:numPr>
          <w:ilvl w:val="0"/>
          <w:numId w:val="3"/>
        </w:numPr>
        <w:spacing w:after="0" w:line="259" w:lineRule="auto"/>
        <w:jc w:val="both"/>
        <w:rPr>
          <w:rFonts w:eastAsia="Calibri" w:cstheme="minorHAnsi"/>
          <w:b/>
          <w:bCs/>
          <w:sz w:val="24"/>
          <w:szCs w:val="24"/>
          <w:lang w:val="es-CR"/>
        </w:rPr>
      </w:pPr>
      <w:r w:rsidRPr="001B0C13">
        <w:rPr>
          <w:rFonts w:eastAsia="Calibri" w:cstheme="minorHAnsi"/>
          <w:b/>
          <w:bCs/>
          <w:sz w:val="24"/>
          <w:szCs w:val="24"/>
          <w:lang w:val="es-CR"/>
        </w:rPr>
        <w:t>La regulación y supervisión del sistema financiero en Costa Rica</w:t>
      </w:r>
    </w:p>
    <w:p w14:paraId="356BCB34" w14:textId="77777777" w:rsidR="004B4C1F" w:rsidRPr="00EC6740" w:rsidRDefault="004B4C1F" w:rsidP="004B4C1F">
      <w:pPr>
        <w:pStyle w:val="Prrafodelista"/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</w:p>
    <w:p w14:paraId="035F6768" w14:textId="0769CBE9" w:rsidR="004B4C1F" w:rsidRDefault="004B4C1F" w:rsidP="004B4C1F">
      <w:pPr>
        <w:pStyle w:val="Prrafodelista"/>
        <w:numPr>
          <w:ilvl w:val="0"/>
          <w:numId w:val="30"/>
        </w:num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  <w:r w:rsidRPr="004B4C1F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Funciones y competencias </w:t>
      </w:r>
      <w:r>
        <w:rPr>
          <w:rFonts w:ascii="Times New Roman" w:eastAsia="Calibri" w:hAnsi="Times New Roman" w:cs="Times New Roman"/>
          <w:sz w:val="24"/>
          <w:szCs w:val="24"/>
          <w:lang w:val="es-CR"/>
        </w:rPr>
        <w:t>del Consejo Nacional de Supervisión del Sistema Financiero como regulador del mercado.</w:t>
      </w:r>
    </w:p>
    <w:p w14:paraId="7E0EA844" w14:textId="1E50F93F" w:rsidR="004B4C1F" w:rsidRDefault="004B4C1F" w:rsidP="004B4C1F">
      <w:pPr>
        <w:pStyle w:val="Prrafodelista"/>
        <w:numPr>
          <w:ilvl w:val="0"/>
          <w:numId w:val="30"/>
        </w:num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  <w:r>
        <w:rPr>
          <w:rFonts w:ascii="Times New Roman" w:eastAsia="Calibri" w:hAnsi="Times New Roman" w:cs="Times New Roman"/>
          <w:sz w:val="24"/>
          <w:szCs w:val="24"/>
          <w:lang w:val="es-CR"/>
        </w:rPr>
        <w:t>Funciones y atribuciones de la Superintendencia de Pensiones</w:t>
      </w:r>
      <w:r w:rsidR="002076EC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: </w:t>
      </w:r>
      <w:r w:rsidR="002076EC" w:rsidRPr="002076EC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Ley de Protección al Trabajador y Ley </w:t>
      </w:r>
      <w:r w:rsidR="002076EC" w:rsidRPr="00A17B1F">
        <w:rPr>
          <w:rFonts w:ascii="Times New Roman" w:eastAsia="Calibri" w:hAnsi="Times New Roman" w:cs="Times New Roman"/>
          <w:sz w:val="24"/>
          <w:szCs w:val="24"/>
          <w:lang w:val="es-CR"/>
        </w:rPr>
        <w:t>Régimen Privado de Pensiones Complementarias</w:t>
      </w:r>
      <w:r w:rsidR="002076EC" w:rsidRPr="002076EC">
        <w:rPr>
          <w:rFonts w:ascii="Times New Roman" w:eastAsia="Calibri" w:hAnsi="Times New Roman" w:cs="Times New Roman"/>
          <w:sz w:val="24"/>
          <w:szCs w:val="24"/>
          <w:lang w:val="es-CR"/>
        </w:rPr>
        <w:t>.</w:t>
      </w:r>
    </w:p>
    <w:p w14:paraId="135A2E58" w14:textId="77777777" w:rsidR="004B4C1F" w:rsidRPr="001B0C13" w:rsidRDefault="004B4C1F" w:rsidP="004B4C1F">
      <w:pPr>
        <w:pStyle w:val="Prrafodelista"/>
        <w:spacing w:after="0" w:line="259" w:lineRule="auto"/>
        <w:jc w:val="both"/>
        <w:rPr>
          <w:rFonts w:eastAsia="Calibri" w:cstheme="minorHAnsi"/>
          <w:sz w:val="24"/>
          <w:szCs w:val="24"/>
          <w:lang w:val="es-CR"/>
        </w:rPr>
      </w:pPr>
    </w:p>
    <w:p w14:paraId="05B0A057" w14:textId="77777777" w:rsidR="00331BD1" w:rsidRPr="001B0C13" w:rsidRDefault="006E37F7" w:rsidP="0036300D">
      <w:pPr>
        <w:pStyle w:val="Prrafodelista"/>
        <w:numPr>
          <w:ilvl w:val="0"/>
          <w:numId w:val="3"/>
        </w:numPr>
        <w:spacing w:after="0" w:line="259" w:lineRule="auto"/>
        <w:jc w:val="both"/>
        <w:rPr>
          <w:rFonts w:eastAsia="Calibri" w:cstheme="minorHAnsi"/>
          <w:b/>
          <w:bCs/>
          <w:sz w:val="24"/>
          <w:szCs w:val="24"/>
          <w:lang w:val="es-CR"/>
        </w:rPr>
      </w:pPr>
      <w:r w:rsidRPr="001B0C13">
        <w:rPr>
          <w:rFonts w:eastAsia="Calibri" w:cstheme="minorHAnsi"/>
          <w:b/>
          <w:bCs/>
          <w:sz w:val="24"/>
          <w:szCs w:val="24"/>
          <w:lang w:val="es-CR"/>
        </w:rPr>
        <w:t>El sistema de pensiones costarricense</w:t>
      </w:r>
    </w:p>
    <w:p w14:paraId="6403F030" w14:textId="77777777" w:rsidR="0036300D" w:rsidRPr="00EC6740" w:rsidRDefault="0036300D" w:rsidP="0036300D">
      <w:pPr>
        <w:pStyle w:val="Prrafodelista"/>
        <w:spacing w:after="0" w:line="259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s-CR"/>
        </w:rPr>
      </w:pPr>
    </w:p>
    <w:p w14:paraId="06223F54" w14:textId="77777777" w:rsidR="0036300D" w:rsidRPr="004B4C1F" w:rsidRDefault="00435B4B" w:rsidP="004B4C1F">
      <w:pPr>
        <w:pStyle w:val="Prrafodelista"/>
        <w:numPr>
          <w:ilvl w:val="0"/>
          <w:numId w:val="31"/>
        </w:num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  <w:r w:rsidRPr="004B4C1F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El </w:t>
      </w:r>
      <w:r w:rsidR="006E37F7" w:rsidRPr="004B4C1F">
        <w:rPr>
          <w:rFonts w:ascii="Times New Roman" w:eastAsia="Calibri" w:hAnsi="Times New Roman" w:cs="Times New Roman"/>
          <w:sz w:val="24"/>
          <w:szCs w:val="24"/>
          <w:lang w:val="es-CR"/>
        </w:rPr>
        <w:t>Sistema Nacional de Pensiones: Características, importancia, conformación y funcionamiento del sistema multipilar:</w:t>
      </w:r>
    </w:p>
    <w:p w14:paraId="6AE41D7B" w14:textId="77777777" w:rsidR="00EC6740" w:rsidRPr="00EC6740" w:rsidRDefault="00EC6740" w:rsidP="00EC6740">
      <w:pPr>
        <w:pStyle w:val="Prrafodelista"/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</w:p>
    <w:p w14:paraId="4C4BD8B7" w14:textId="77777777" w:rsidR="004B4C1F" w:rsidRDefault="006E37F7" w:rsidP="004B4C1F">
      <w:pPr>
        <w:pStyle w:val="Prrafodelista"/>
        <w:numPr>
          <w:ilvl w:val="0"/>
          <w:numId w:val="28"/>
        </w:num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  <w:r w:rsidRPr="004B4C1F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Pilar I: Pensión Contributiva Básica. </w:t>
      </w:r>
    </w:p>
    <w:p w14:paraId="14C5C704" w14:textId="77777777" w:rsidR="004B4C1F" w:rsidRDefault="006E37F7" w:rsidP="004B4C1F">
      <w:pPr>
        <w:pStyle w:val="Prrafodelista"/>
        <w:numPr>
          <w:ilvl w:val="0"/>
          <w:numId w:val="28"/>
        </w:num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  <w:r w:rsidRPr="004B4C1F">
        <w:rPr>
          <w:rFonts w:ascii="Times New Roman" w:eastAsia="Calibri" w:hAnsi="Times New Roman" w:cs="Times New Roman"/>
          <w:sz w:val="24"/>
          <w:szCs w:val="24"/>
          <w:lang w:val="es-CR"/>
        </w:rPr>
        <w:t>Pilar II: Pensión Complementaria Obligatoria.</w:t>
      </w:r>
    </w:p>
    <w:p w14:paraId="02709277" w14:textId="77777777" w:rsidR="006E37F7" w:rsidRDefault="006E37F7" w:rsidP="004B4C1F">
      <w:pPr>
        <w:pStyle w:val="Prrafodelista"/>
        <w:numPr>
          <w:ilvl w:val="0"/>
          <w:numId w:val="28"/>
        </w:num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  <w:r w:rsidRPr="004B4C1F">
        <w:rPr>
          <w:rFonts w:ascii="Times New Roman" w:eastAsia="Calibri" w:hAnsi="Times New Roman" w:cs="Times New Roman"/>
          <w:sz w:val="24"/>
          <w:szCs w:val="24"/>
          <w:lang w:val="es-CR"/>
        </w:rPr>
        <w:t>Pilar III: Pensión Complementaria Voluntaria.</w:t>
      </w:r>
    </w:p>
    <w:p w14:paraId="33AF8093" w14:textId="77777777" w:rsidR="006E37F7" w:rsidRPr="004B4C1F" w:rsidRDefault="006E37F7" w:rsidP="004B4C1F">
      <w:pPr>
        <w:pStyle w:val="Prrafodelista"/>
        <w:numPr>
          <w:ilvl w:val="0"/>
          <w:numId w:val="28"/>
        </w:num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  <w:r w:rsidRPr="004B4C1F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Pilar IV: Pensión No Contributiva.   </w:t>
      </w:r>
    </w:p>
    <w:p w14:paraId="6EE45AB9" w14:textId="77777777" w:rsidR="006E37F7" w:rsidRPr="005616A8" w:rsidRDefault="006E37F7" w:rsidP="00FF37F8">
      <w:pPr>
        <w:spacing w:after="0"/>
        <w:jc w:val="both"/>
        <w:rPr>
          <w:rFonts w:ascii="Times New Roman" w:hAnsi="Times New Roman" w:cs="Times New Roman"/>
          <w:i/>
          <w:iCs/>
          <w:sz w:val="20"/>
          <w:szCs w:val="20"/>
          <w:lang w:val="es-CR"/>
        </w:rPr>
      </w:pPr>
    </w:p>
    <w:p w14:paraId="49795B73" w14:textId="77777777" w:rsidR="006E37F7" w:rsidRDefault="006E37F7" w:rsidP="004B4C1F">
      <w:pPr>
        <w:pStyle w:val="Prrafodelista"/>
        <w:numPr>
          <w:ilvl w:val="0"/>
          <w:numId w:val="3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  <w:r w:rsidRPr="00EC6740">
        <w:rPr>
          <w:rFonts w:ascii="Times New Roman" w:eastAsia="Calibri" w:hAnsi="Times New Roman" w:cs="Times New Roman"/>
          <w:sz w:val="24"/>
          <w:szCs w:val="24"/>
          <w:lang w:val="es-CR"/>
        </w:rPr>
        <w:t>Rol y función de las operadoras de pensiones complementarias y de capitalización laboral.</w:t>
      </w:r>
    </w:p>
    <w:p w14:paraId="4FB62883" w14:textId="77777777" w:rsidR="006E37F7" w:rsidRDefault="006E37F7" w:rsidP="004B4C1F">
      <w:pPr>
        <w:pStyle w:val="Prrafodelista"/>
        <w:numPr>
          <w:ilvl w:val="0"/>
          <w:numId w:val="3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  <w:r w:rsidRPr="00EC6740">
        <w:rPr>
          <w:rFonts w:ascii="Times New Roman" w:eastAsia="Calibri" w:hAnsi="Times New Roman" w:cs="Times New Roman"/>
          <w:sz w:val="24"/>
          <w:szCs w:val="24"/>
          <w:lang w:val="es-CR"/>
        </w:rPr>
        <w:t>La pensión complementaria ofrecida por las operadoras de pensiones:</w:t>
      </w:r>
    </w:p>
    <w:p w14:paraId="1A3D0C59" w14:textId="77777777" w:rsidR="00EC6740" w:rsidRPr="00EC6740" w:rsidRDefault="00EC6740" w:rsidP="00EC6740">
      <w:pPr>
        <w:pStyle w:val="Prrafodelista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</w:p>
    <w:p w14:paraId="330F753E" w14:textId="77777777" w:rsidR="004B4C1F" w:rsidRPr="004B4C1F" w:rsidRDefault="006E37F7" w:rsidP="004B4C1F">
      <w:pPr>
        <w:pStyle w:val="Prrafodelista"/>
        <w:numPr>
          <w:ilvl w:val="0"/>
          <w:numId w:val="33"/>
        </w:num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  <w:r w:rsidRPr="004B4C1F">
        <w:rPr>
          <w:rFonts w:ascii="Times New Roman" w:eastAsia="Calibri" w:hAnsi="Times New Roman" w:cs="Times New Roman"/>
          <w:sz w:val="24"/>
          <w:szCs w:val="24"/>
          <w:lang w:val="es-CR"/>
        </w:rPr>
        <w:t>Interrelación de las prestaciones o beneficios de los regímene</w:t>
      </w:r>
      <w:r w:rsidR="0036300D" w:rsidRPr="004B4C1F">
        <w:rPr>
          <w:rFonts w:ascii="Times New Roman" w:eastAsia="Calibri" w:hAnsi="Times New Roman" w:cs="Times New Roman"/>
          <w:sz w:val="24"/>
          <w:szCs w:val="24"/>
          <w:lang w:val="es-CR"/>
        </w:rPr>
        <w:t>s del Sistema Nacional de Pensiones.</w:t>
      </w:r>
    </w:p>
    <w:p w14:paraId="7311AD3A" w14:textId="5E8AD078" w:rsidR="0036300D" w:rsidRPr="004B4C1F" w:rsidRDefault="006E37F7" w:rsidP="004B4C1F">
      <w:pPr>
        <w:pStyle w:val="Prrafodelista"/>
        <w:numPr>
          <w:ilvl w:val="0"/>
          <w:numId w:val="33"/>
        </w:num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  <w:r w:rsidRPr="004B4C1F">
        <w:rPr>
          <w:rFonts w:ascii="Times New Roman" w:eastAsia="Calibri" w:hAnsi="Times New Roman" w:cs="Times New Roman"/>
          <w:sz w:val="24"/>
          <w:szCs w:val="24"/>
          <w:lang w:val="es-CR"/>
        </w:rPr>
        <w:lastRenderedPageBreak/>
        <w:t>Concepto de una sola pensión integrada por los regímenes de primer, segundo y tercer pilar</w:t>
      </w:r>
      <w:r w:rsidR="004B4C1F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 (jurisprudencia de la Sala Constitucional y la Procuraduría General de la República).</w:t>
      </w:r>
    </w:p>
    <w:p w14:paraId="082F84E2" w14:textId="77777777" w:rsidR="00FF37F8" w:rsidRPr="006A192D" w:rsidRDefault="00FF37F8" w:rsidP="004B4C1F">
      <w:pPr>
        <w:spacing w:after="0" w:line="259" w:lineRule="auto"/>
        <w:jc w:val="both"/>
        <w:rPr>
          <w:rFonts w:eastAsia="Calibri" w:cstheme="minorHAnsi"/>
          <w:i/>
          <w:iCs/>
          <w:sz w:val="24"/>
          <w:szCs w:val="24"/>
          <w:lang w:val="es-CR"/>
        </w:rPr>
      </w:pPr>
    </w:p>
    <w:p w14:paraId="22097A7D" w14:textId="77777777" w:rsidR="006A27C9" w:rsidRPr="006A192D" w:rsidRDefault="00217246" w:rsidP="004B4C1F">
      <w:pPr>
        <w:pStyle w:val="Prrafodelista"/>
        <w:numPr>
          <w:ilvl w:val="0"/>
          <w:numId w:val="3"/>
        </w:numPr>
        <w:spacing w:after="0" w:line="259" w:lineRule="auto"/>
        <w:jc w:val="both"/>
        <w:rPr>
          <w:rFonts w:eastAsia="Calibri" w:cstheme="minorHAnsi"/>
          <w:b/>
          <w:bCs/>
          <w:sz w:val="24"/>
          <w:szCs w:val="24"/>
          <w:lang w:val="es-CR"/>
        </w:rPr>
      </w:pPr>
      <w:r w:rsidRPr="006A192D">
        <w:rPr>
          <w:rFonts w:eastAsia="Calibri" w:cstheme="minorHAnsi"/>
          <w:b/>
          <w:bCs/>
          <w:sz w:val="24"/>
          <w:szCs w:val="24"/>
          <w:lang w:val="es-CR"/>
        </w:rPr>
        <w:t>El sistema de capitalización colectiva y de capitalización individual</w:t>
      </w:r>
    </w:p>
    <w:p w14:paraId="60ACE393" w14:textId="77777777" w:rsidR="00EC6740" w:rsidRDefault="00EC6740" w:rsidP="00EC674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</w:p>
    <w:p w14:paraId="63A37A42" w14:textId="77777777" w:rsidR="001A1F9E" w:rsidRPr="00EC6740" w:rsidRDefault="00217246" w:rsidP="00EC6740">
      <w:pPr>
        <w:pStyle w:val="Prrafodelista"/>
        <w:numPr>
          <w:ilvl w:val="0"/>
          <w:numId w:val="27"/>
        </w:numPr>
        <w:spacing w:after="0" w:line="259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s-CR"/>
        </w:rPr>
      </w:pPr>
      <w:r w:rsidRPr="00EC6740">
        <w:rPr>
          <w:rFonts w:ascii="Times New Roman" w:eastAsia="Calibri" w:hAnsi="Times New Roman" w:cs="Times New Roman"/>
          <w:sz w:val="24"/>
          <w:szCs w:val="24"/>
          <w:lang w:val="es-CR"/>
        </w:rPr>
        <w:t>Características</w:t>
      </w:r>
      <w:r w:rsidR="004B4C1F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 </w:t>
      </w:r>
      <w:r w:rsidRPr="00EC6740">
        <w:rPr>
          <w:rFonts w:ascii="Times New Roman" w:eastAsia="Calibri" w:hAnsi="Times New Roman" w:cs="Times New Roman"/>
          <w:sz w:val="24"/>
          <w:szCs w:val="24"/>
          <w:lang w:val="es-CR"/>
        </w:rPr>
        <w:t>y diferencias, según la naturaleza propia de cada sistema</w:t>
      </w:r>
      <w:r w:rsidR="006A27C9" w:rsidRPr="00EC6740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 de financiamiento de las pensiones.</w:t>
      </w:r>
    </w:p>
    <w:p w14:paraId="1196197C" w14:textId="77777777" w:rsidR="006A27C9" w:rsidRPr="00EC6740" w:rsidRDefault="00217246" w:rsidP="00EC6740">
      <w:pPr>
        <w:pStyle w:val="Prrafodelista"/>
        <w:numPr>
          <w:ilvl w:val="0"/>
          <w:numId w:val="27"/>
        </w:numPr>
        <w:spacing w:after="0" w:line="259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s-CR"/>
        </w:rPr>
      </w:pPr>
      <w:r w:rsidRPr="00EC6740">
        <w:rPr>
          <w:rFonts w:ascii="Times New Roman" w:eastAsia="Calibri" w:hAnsi="Times New Roman" w:cs="Times New Roman"/>
          <w:sz w:val="24"/>
          <w:szCs w:val="24"/>
          <w:lang w:val="es-CR"/>
        </w:rPr>
        <w:t>Fondos que administran las operadoras de pensiones</w:t>
      </w:r>
      <w:r w:rsidR="001A1F9E" w:rsidRPr="00EC6740">
        <w:rPr>
          <w:rFonts w:ascii="Times New Roman" w:eastAsia="Calibri" w:hAnsi="Times New Roman" w:cs="Times New Roman"/>
          <w:sz w:val="24"/>
          <w:szCs w:val="24"/>
          <w:lang w:val="es-CR"/>
        </w:rPr>
        <w:t>:</w:t>
      </w:r>
    </w:p>
    <w:p w14:paraId="465C65EA" w14:textId="77777777" w:rsidR="00EC6740" w:rsidRPr="00EC6740" w:rsidRDefault="00EC6740" w:rsidP="00EC6740">
      <w:pPr>
        <w:pStyle w:val="Prrafodelista"/>
        <w:spacing w:after="0" w:line="259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s-CR"/>
        </w:rPr>
      </w:pPr>
    </w:p>
    <w:p w14:paraId="61BEA0DE" w14:textId="77777777" w:rsidR="001A1F9E" w:rsidRPr="004B4C1F" w:rsidRDefault="001A1F9E" w:rsidP="004B4C1F">
      <w:pPr>
        <w:pStyle w:val="Prrafodelista"/>
        <w:numPr>
          <w:ilvl w:val="0"/>
          <w:numId w:val="7"/>
        </w:numPr>
        <w:spacing w:after="0" w:line="259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s-CR"/>
        </w:rPr>
      </w:pPr>
      <w:r w:rsidRPr="004B4C1F">
        <w:rPr>
          <w:rFonts w:ascii="Times New Roman" w:eastAsia="Calibri" w:hAnsi="Times New Roman" w:cs="Times New Roman"/>
          <w:sz w:val="24"/>
          <w:szCs w:val="24"/>
          <w:lang w:val="es-CR"/>
        </w:rPr>
        <w:t>El Régimen Obligatorio de Pensiones Complementarias.</w:t>
      </w:r>
    </w:p>
    <w:p w14:paraId="692E3CD6" w14:textId="77777777" w:rsidR="001A1F9E" w:rsidRPr="001A1F9E" w:rsidRDefault="001A1F9E" w:rsidP="001A1F9E">
      <w:pPr>
        <w:pStyle w:val="Prrafodelista"/>
        <w:numPr>
          <w:ilvl w:val="0"/>
          <w:numId w:val="7"/>
        </w:numPr>
        <w:rPr>
          <w:rFonts w:ascii="Times New Roman" w:eastAsia="Calibri" w:hAnsi="Times New Roman" w:cs="Times New Roman"/>
          <w:sz w:val="24"/>
          <w:szCs w:val="24"/>
          <w:lang w:val="es-CR"/>
        </w:rPr>
      </w:pPr>
      <w:r w:rsidRPr="001A1F9E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El Régimen </w:t>
      </w:r>
      <w:r>
        <w:rPr>
          <w:rFonts w:ascii="Times New Roman" w:eastAsia="Calibri" w:hAnsi="Times New Roman" w:cs="Times New Roman"/>
          <w:sz w:val="24"/>
          <w:szCs w:val="24"/>
          <w:lang w:val="es-CR"/>
        </w:rPr>
        <w:t>Voluntario</w:t>
      </w:r>
      <w:r w:rsidRPr="001A1F9E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 de Pensiones Complementarias.</w:t>
      </w:r>
    </w:p>
    <w:p w14:paraId="2DE0D5EE" w14:textId="77777777" w:rsidR="001A1F9E" w:rsidRDefault="001A1F9E" w:rsidP="001A1F9E">
      <w:pPr>
        <w:pStyle w:val="Prrafodelista"/>
        <w:numPr>
          <w:ilvl w:val="0"/>
          <w:numId w:val="7"/>
        </w:num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  <w:r w:rsidRPr="001A1F9E">
        <w:rPr>
          <w:rFonts w:ascii="Times New Roman" w:eastAsia="Calibri" w:hAnsi="Times New Roman" w:cs="Times New Roman"/>
          <w:sz w:val="24"/>
          <w:szCs w:val="24"/>
          <w:lang w:val="es-CR"/>
        </w:rPr>
        <w:t>El Fondo de Capitalización Individual.</w:t>
      </w:r>
    </w:p>
    <w:p w14:paraId="257BCC6D" w14:textId="77777777" w:rsidR="001A1F9E" w:rsidRDefault="001A1F9E" w:rsidP="001A1F9E">
      <w:pPr>
        <w:pStyle w:val="Prrafodelista"/>
        <w:numPr>
          <w:ilvl w:val="0"/>
          <w:numId w:val="7"/>
        </w:num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  <w:r>
        <w:rPr>
          <w:rFonts w:ascii="Times New Roman" w:eastAsia="Calibri" w:hAnsi="Times New Roman" w:cs="Times New Roman"/>
          <w:sz w:val="24"/>
          <w:szCs w:val="24"/>
          <w:lang w:val="es-CR"/>
        </w:rPr>
        <w:t>El ahorro voluntario.</w:t>
      </w:r>
    </w:p>
    <w:p w14:paraId="195E3795" w14:textId="77777777" w:rsidR="00EC6740" w:rsidRPr="001A1F9E" w:rsidRDefault="00EC6740" w:rsidP="00EC6740">
      <w:pPr>
        <w:pStyle w:val="Prrafodelista"/>
        <w:spacing w:after="0" w:line="259" w:lineRule="auto"/>
        <w:ind w:left="1440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</w:p>
    <w:p w14:paraId="4E871BA1" w14:textId="77777777" w:rsidR="00217246" w:rsidRPr="004B4C1F" w:rsidRDefault="00217246" w:rsidP="004B4C1F">
      <w:pPr>
        <w:pStyle w:val="Prrafodelista"/>
        <w:numPr>
          <w:ilvl w:val="0"/>
          <w:numId w:val="27"/>
        </w:num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  <w:r w:rsidRPr="004B4C1F">
        <w:rPr>
          <w:rFonts w:ascii="Times New Roman" w:eastAsia="Calibri" w:hAnsi="Times New Roman" w:cs="Times New Roman"/>
          <w:sz w:val="24"/>
          <w:szCs w:val="24"/>
          <w:lang w:val="es-CR"/>
        </w:rPr>
        <w:t>La separación contable y patrimonial de los fondos de pensión respecto de los recursos propios de las operadoras.</w:t>
      </w:r>
    </w:p>
    <w:p w14:paraId="303BDAC9" w14:textId="77777777" w:rsidR="00C22B3E" w:rsidRDefault="00C22B3E" w:rsidP="004B4C1F">
      <w:pPr>
        <w:pStyle w:val="Prrafodelista"/>
        <w:numPr>
          <w:ilvl w:val="0"/>
          <w:numId w:val="27"/>
        </w:num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  <w:r>
        <w:rPr>
          <w:rFonts w:ascii="Times New Roman" w:eastAsia="Calibri" w:hAnsi="Times New Roman" w:cs="Times New Roman"/>
          <w:sz w:val="24"/>
          <w:szCs w:val="24"/>
          <w:lang w:val="es-CR"/>
        </w:rPr>
        <w:t>La quiebra de las operadoras de pensiones y el traslado de los fondos.</w:t>
      </w:r>
    </w:p>
    <w:p w14:paraId="03452F0F" w14:textId="77777777" w:rsidR="00E11B61" w:rsidRDefault="00E11B61" w:rsidP="004B4C1F">
      <w:pPr>
        <w:pStyle w:val="Prrafodelista"/>
        <w:numPr>
          <w:ilvl w:val="0"/>
          <w:numId w:val="27"/>
        </w:num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  <w:r w:rsidRPr="00E11B61">
        <w:rPr>
          <w:rFonts w:ascii="Times New Roman" w:eastAsia="Calibri" w:hAnsi="Times New Roman" w:cs="Times New Roman"/>
          <w:sz w:val="24"/>
          <w:szCs w:val="24"/>
          <w:lang w:val="es-CR"/>
        </w:rPr>
        <w:t>Inembargabilidad de los fondos.</w:t>
      </w:r>
    </w:p>
    <w:p w14:paraId="102B045B" w14:textId="77777777" w:rsidR="00140A96" w:rsidRPr="00BE402D" w:rsidRDefault="00140A96" w:rsidP="00FF37F8">
      <w:pPr>
        <w:spacing w:after="0" w:line="259" w:lineRule="auto"/>
        <w:jc w:val="both"/>
        <w:rPr>
          <w:rFonts w:eastAsia="Calibri" w:cstheme="minorHAnsi"/>
          <w:sz w:val="24"/>
          <w:szCs w:val="24"/>
          <w:lang w:val="es-CR"/>
        </w:rPr>
      </w:pPr>
    </w:p>
    <w:p w14:paraId="5D52C97C" w14:textId="77777777" w:rsidR="003D45D1" w:rsidRPr="00BE402D" w:rsidRDefault="004214E5" w:rsidP="004B4C1F">
      <w:pPr>
        <w:pStyle w:val="Prrafodelista"/>
        <w:numPr>
          <w:ilvl w:val="0"/>
          <w:numId w:val="3"/>
        </w:numPr>
        <w:spacing w:after="0"/>
        <w:jc w:val="both"/>
        <w:rPr>
          <w:rFonts w:eastAsia="Calibri" w:cstheme="minorHAnsi"/>
          <w:b/>
          <w:bCs/>
          <w:sz w:val="24"/>
          <w:szCs w:val="24"/>
          <w:lang w:val="es-CR"/>
        </w:rPr>
      </w:pPr>
      <w:r w:rsidRPr="00BE402D">
        <w:rPr>
          <w:rFonts w:eastAsia="Calibri" w:cstheme="minorHAnsi"/>
          <w:b/>
          <w:bCs/>
          <w:sz w:val="24"/>
          <w:szCs w:val="24"/>
          <w:lang w:val="es-CR"/>
        </w:rPr>
        <w:t>Planes de acumulación y planes de beneficio</w:t>
      </w:r>
    </w:p>
    <w:p w14:paraId="4C089441" w14:textId="77777777" w:rsidR="001A1F9E" w:rsidRPr="00BE402D" w:rsidRDefault="001A1F9E" w:rsidP="001A1F9E">
      <w:pPr>
        <w:pStyle w:val="Prrafodelista"/>
        <w:spacing w:after="0"/>
        <w:jc w:val="both"/>
        <w:rPr>
          <w:rFonts w:eastAsia="Calibri" w:cstheme="minorHAnsi"/>
          <w:b/>
          <w:bCs/>
          <w:sz w:val="24"/>
          <w:szCs w:val="24"/>
          <w:lang w:val="es-CR"/>
        </w:rPr>
      </w:pPr>
    </w:p>
    <w:p w14:paraId="002C6546" w14:textId="77777777" w:rsidR="00C22B3E" w:rsidRPr="00BE402D" w:rsidRDefault="004214E5" w:rsidP="001A1F9E">
      <w:pPr>
        <w:pStyle w:val="Prrafodelista"/>
        <w:numPr>
          <w:ilvl w:val="0"/>
          <w:numId w:val="4"/>
        </w:numPr>
        <w:spacing w:after="0"/>
        <w:jc w:val="both"/>
        <w:rPr>
          <w:rFonts w:eastAsia="Calibri" w:cstheme="minorHAnsi"/>
          <w:b/>
          <w:bCs/>
          <w:sz w:val="24"/>
          <w:szCs w:val="24"/>
          <w:lang w:val="es-CR"/>
        </w:rPr>
      </w:pPr>
      <w:r w:rsidRPr="00BE402D">
        <w:rPr>
          <w:rFonts w:eastAsia="Calibri" w:cstheme="minorHAnsi"/>
          <w:b/>
          <w:bCs/>
          <w:sz w:val="24"/>
          <w:szCs w:val="24"/>
          <w:lang w:val="es-CR"/>
        </w:rPr>
        <w:t>Planes de Acumulación</w:t>
      </w:r>
    </w:p>
    <w:p w14:paraId="4235D1DF" w14:textId="77777777" w:rsidR="004214E5" w:rsidRPr="001A1F9E" w:rsidRDefault="004214E5" w:rsidP="00C22B3E">
      <w:pPr>
        <w:pStyle w:val="Prrafodelista"/>
        <w:spacing w:after="0"/>
        <w:ind w:left="108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s-CR"/>
        </w:rPr>
      </w:pPr>
      <w:r w:rsidRPr="001A1F9E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es-CR"/>
        </w:rPr>
        <w:t xml:space="preserve"> </w:t>
      </w:r>
    </w:p>
    <w:p w14:paraId="25C12EA2" w14:textId="77777777" w:rsidR="001A1F9E" w:rsidRPr="001A1F9E" w:rsidRDefault="001A1F9E" w:rsidP="001A1F9E">
      <w:pPr>
        <w:pStyle w:val="Prrafodelista"/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  <w:r w:rsidRPr="001A1F9E">
        <w:rPr>
          <w:rFonts w:ascii="Times New Roman" w:eastAsia="Calibri" w:hAnsi="Times New Roman" w:cs="Times New Roman"/>
          <w:sz w:val="24"/>
          <w:szCs w:val="24"/>
          <w:lang w:val="es-CR"/>
        </w:rPr>
        <w:t>La etapa de acumulación: objetivo.</w:t>
      </w:r>
    </w:p>
    <w:p w14:paraId="7F26BDD0" w14:textId="77777777" w:rsidR="001A1F9E" w:rsidRDefault="004214E5" w:rsidP="00FF37F8">
      <w:pPr>
        <w:pStyle w:val="Prrafodelista"/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  <w:r w:rsidRPr="001A1F9E">
        <w:rPr>
          <w:rFonts w:ascii="Times New Roman" w:eastAsia="Calibri" w:hAnsi="Times New Roman" w:cs="Times New Roman"/>
          <w:sz w:val="24"/>
          <w:szCs w:val="24"/>
          <w:lang w:val="es-CR"/>
        </w:rPr>
        <w:t>Diferencias entre los planes de acumulación en el Régimen Obligatorio y Voluntario de Pensiones Complementarias.</w:t>
      </w:r>
    </w:p>
    <w:p w14:paraId="0C4CC0EA" w14:textId="77777777" w:rsidR="001A1F9E" w:rsidRDefault="001A1F9E" w:rsidP="001A1F9E">
      <w:pPr>
        <w:pStyle w:val="Prrafodelista"/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  <w:r w:rsidRPr="001A1F9E">
        <w:rPr>
          <w:rFonts w:ascii="Times New Roman" w:eastAsia="Calibri" w:hAnsi="Times New Roman" w:cs="Times New Roman"/>
          <w:sz w:val="24"/>
          <w:szCs w:val="24"/>
          <w:lang w:val="es-CR"/>
        </w:rPr>
        <w:t>Tipología de planes de acumulación del régimen voluntario de pensiones complementarias.</w:t>
      </w:r>
    </w:p>
    <w:p w14:paraId="7791774B" w14:textId="77777777" w:rsidR="006902CF" w:rsidRPr="001A1F9E" w:rsidRDefault="006902CF" w:rsidP="006902CF">
      <w:pPr>
        <w:pStyle w:val="Prrafodelista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</w:p>
    <w:p w14:paraId="229A717B" w14:textId="77777777" w:rsidR="001A1F9E" w:rsidRPr="00CD7F43" w:rsidRDefault="006902CF" w:rsidP="00CD7F43">
      <w:pPr>
        <w:pStyle w:val="Prrafodelista"/>
        <w:numPr>
          <w:ilvl w:val="0"/>
          <w:numId w:val="8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  <w:r>
        <w:rPr>
          <w:rFonts w:ascii="Times New Roman" w:eastAsia="Calibri" w:hAnsi="Times New Roman" w:cs="Times New Roman"/>
          <w:sz w:val="24"/>
          <w:szCs w:val="24"/>
          <w:lang w:val="es-CR"/>
        </w:rPr>
        <w:t>Los p</w:t>
      </w:r>
      <w:r w:rsidR="001A1F9E" w:rsidRPr="00CD7F43">
        <w:rPr>
          <w:rFonts w:ascii="Times New Roman" w:eastAsia="Calibri" w:hAnsi="Times New Roman" w:cs="Times New Roman"/>
          <w:sz w:val="24"/>
          <w:szCs w:val="24"/>
          <w:lang w:val="es-CR"/>
        </w:rPr>
        <w:t>lanes individuales de pensión voluntaria.</w:t>
      </w:r>
    </w:p>
    <w:p w14:paraId="1A0051A1" w14:textId="64602F14" w:rsidR="001A1F9E" w:rsidRDefault="006902CF" w:rsidP="001A1F9E">
      <w:pPr>
        <w:pStyle w:val="Prrafodelista"/>
        <w:numPr>
          <w:ilvl w:val="0"/>
          <w:numId w:val="8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  <w:r>
        <w:rPr>
          <w:rFonts w:ascii="Times New Roman" w:eastAsia="Calibri" w:hAnsi="Times New Roman" w:cs="Times New Roman"/>
          <w:sz w:val="24"/>
          <w:szCs w:val="24"/>
          <w:lang w:val="es-CR"/>
        </w:rPr>
        <w:t>Los p</w:t>
      </w:r>
      <w:r w:rsidR="001A1F9E" w:rsidRPr="001A1F9E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lanes </w:t>
      </w:r>
      <w:r w:rsidR="00C822ED" w:rsidRPr="001A1F9E">
        <w:rPr>
          <w:rFonts w:ascii="Times New Roman" w:eastAsia="Calibri" w:hAnsi="Times New Roman" w:cs="Times New Roman"/>
          <w:sz w:val="24"/>
          <w:szCs w:val="24"/>
          <w:lang w:val="es-CR"/>
        </w:rPr>
        <w:t>colectivos de</w:t>
      </w:r>
      <w:r w:rsidR="001A1F9E" w:rsidRPr="001A1F9E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 pensión voluntaria.</w:t>
      </w:r>
    </w:p>
    <w:p w14:paraId="19484E14" w14:textId="77777777" w:rsidR="006902CF" w:rsidRDefault="006902CF" w:rsidP="006902CF">
      <w:pPr>
        <w:pStyle w:val="Prrafodelista"/>
        <w:spacing w:after="0"/>
        <w:ind w:left="1068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</w:p>
    <w:p w14:paraId="05E81EC6" w14:textId="6E32A2F7" w:rsidR="00C22B3E" w:rsidRPr="00C22B3E" w:rsidRDefault="00C22B3E" w:rsidP="00C22B3E">
      <w:pPr>
        <w:pStyle w:val="Prrafodelista"/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  <w:r w:rsidRPr="00C22B3E">
        <w:rPr>
          <w:rFonts w:ascii="Times New Roman" w:eastAsia="Calibri" w:hAnsi="Times New Roman" w:cs="Times New Roman"/>
          <w:sz w:val="24"/>
          <w:szCs w:val="24"/>
          <w:lang w:val="es-CR"/>
        </w:rPr>
        <w:t>Los convenios de aportación: Diferencias respecto de los planes colectivos.</w:t>
      </w:r>
    </w:p>
    <w:p w14:paraId="34F14CAD" w14:textId="27A2BEB1" w:rsidR="004214E5" w:rsidRDefault="001A1F9E" w:rsidP="00FF37F8">
      <w:pPr>
        <w:pStyle w:val="Prrafodelista"/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  <w:r>
        <w:rPr>
          <w:rFonts w:ascii="Times New Roman" w:eastAsia="Calibri" w:hAnsi="Times New Roman" w:cs="Times New Roman"/>
          <w:sz w:val="24"/>
          <w:szCs w:val="24"/>
          <w:lang w:val="es-CR"/>
        </w:rPr>
        <w:t>La afiliación al Régimen Voluntario y Obligatorio de Pensiones Complementarias.</w:t>
      </w:r>
    </w:p>
    <w:p w14:paraId="28174BE9" w14:textId="77777777" w:rsidR="001A1F9E" w:rsidRDefault="001A1F9E" w:rsidP="00FF37F8">
      <w:pPr>
        <w:pStyle w:val="Prrafodelista"/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  <w:r>
        <w:rPr>
          <w:rFonts w:ascii="Times New Roman" w:eastAsia="Calibri" w:hAnsi="Times New Roman" w:cs="Times New Roman"/>
          <w:sz w:val="24"/>
          <w:szCs w:val="24"/>
          <w:lang w:val="es-CR"/>
        </w:rPr>
        <w:t>Fuente de</w:t>
      </w:r>
      <w:r w:rsidR="004214E5" w:rsidRPr="001A1F9E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 </w:t>
      </w:r>
      <w:r w:rsidRPr="001A1F9E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los </w:t>
      </w:r>
      <w:r w:rsidR="004214E5" w:rsidRPr="001A1F9E">
        <w:rPr>
          <w:rFonts w:ascii="Times New Roman" w:eastAsia="Calibri" w:hAnsi="Times New Roman" w:cs="Times New Roman"/>
          <w:sz w:val="24"/>
          <w:szCs w:val="24"/>
          <w:lang w:val="es-CR"/>
        </w:rPr>
        <w:t>aportes</w:t>
      </w:r>
      <w:r w:rsidRPr="001A1F9E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 en los regímenes voluntarios y obligatorios de pensiones</w:t>
      </w:r>
      <w:r>
        <w:rPr>
          <w:rFonts w:ascii="Times New Roman" w:eastAsia="Calibri" w:hAnsi="Times New Roman" w:cs="Times New Roman"/>
          <w:sz w:val="24"/>
          <w:szCs w:val="24"/>
          <w:lang w:val="es-CR"/>
        </w:rPr>
        <w:t>. Los aportes en los planes colectivos.</w:t>
      </w:r>
    </w:p>
    <w:p w14:paraId="20C7F2ED" w14:textId="77777777" w:rsidR="001A1F9E" w:rsidRDefault="001A1F9E" w:rsidP="00FF37F8">
      <w:pPr>
        <w:pStyle w:val="Prrafodelista"/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  <w:r w:rsidRPr="001A1F9E">
        <w:rPr>
          <w:rFonts w:ascii="Times New Roman" w:eastAsia="Calibri" w:hAnsi="Times New Roman" w:cs="Times New Roman"/>
          <w:sz w:val="24"/>
          <w:szCs w:val="24"/>
          <w:lang w:val="es-CR"/>
        </w:rPr>
        <w:t>Aportes de los trabajadores con más de un empleador.</w:t>
      </w:r>
    </w:p>
    <w:p w14:paraId="31BF3A4D" w14:textId="77777777" w:rsidR="001A1F9E" w:rsidRDefault="001A1F9E" w:rsidP="00FF37F8">
      <w:pPr>
        <w:pStyle w:val="Prrafodelista"/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  <w:r w:rsidRPr="001A1F9E">
        <w:rPr>
          <w:rFonts w:ascii="Times New Roman" w:eastAsia="Calibri" w:hAnsi="Times New Roman" w:cs="Times New Roman"/>
          <w:sz w:val="24"/>
          <w:szCs w:val="24"/>
          <w:lang w:val="es-CR"/>
        </w:rPr>
        <w:t>Recaudación y distribución de los aportes en el régimen voluntario y obligatorio de pensiones.</w:t>
      </w:r>
    </w:p>
    <w:p w14:paraId="102C6B66" w14:textId="2C9488F2" w:rsidR="001A1F9E" w:rsidRDefault="001A1F9E" w:rsidP="001A1F9E">
      <w:pPr>
        <w:pStyle w:val="Prrafodelista"/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  <w:r w:rsidRPr="001A1F9E">
        <w:rPr>
          <w:rFonts w:ascii="Times New Roman" w:eastAsia="Calibri" w:hAnsi="Times New Roman" w:cs="Times New Roman"/>
          <w:sz w:val="24"/>
          <w:szCs w:val="24"/>
          <w:lang w:val="es-CR"/>
        </w:rPr>
        <w:lastRenderedPageBreak/>
        <w:t xml:space="preserve">El proceso de inversión </w:t>
      </w:r>
      <w:r w:rsidR="00CD7F43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y reinversión </w:t>
      </w:r>
      <w:r w:rsidRPr="001A1F9E">
        <w:rPr>
          <w:rFonts w:ascii="Times New Roman" w:eastAsia="Calibri" w:hAnsi="Times New Roman" w:cs="Times New Roman"/>
          <w:sz w:val="24"/>
          <w:szCs w:val="24"/>
          <w:lang w:val="es-CR"/>
        </w:rPr>
        <w:t>del capital, los aportes y los rendimientos</w:t>
      </w:r>
      <w:r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 durante la etapa de acumulación.</w:t>
      </w:r>
    </w:p>
    <w:p w14:paraId="1320F037" w14:textId="40B14FDB" w:rsidR="001A1F9E" w:rsidRDefault="001A1F9E" w:rsidP="001A1F9E">
      <w:pPr>
        <w:pStyle w:val="Prrafodelista"/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  <w:r w:rsidRPr="001A1F9E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Régimen </w:t>
      </w:r>
      <w:r w:rsidR="00C822ED" w:rsidRPr="001A1F9E">
        <w:rPr>
          <w:rFonts w:ascii="Times New Roman" w:eastAsia="Calibri" w:hAnsi="Times New Roman" w:cs="Times New Roman"/>
          <w:sz w:val="24"/>
          <w:szCs w:val="24"/>
          <w:lang w:val="es-CR"/>
        </w:rPr>
        <w:t>fiscal aplicable</w:t>
      </w:r>
      <w:r w:rsidRPr="001A1F9E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 al régimen voluntario y obligatorio de pensiones</w:t>
      </w:r>
      <w:r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 </w:t>
      </w:r>
      <w:r w:rsidRPr="001A1F9E">
        <w:rPr>
          <w:rFonts w:ascii="Times New Roman" w:eastAsia="Calibri" w:hAnsi="Times New Roman" w:cs="Times New Roman"/>
          <w:sz w:val="24"/>
          <w:szCs w:val="24"/>
          <w:lang w:val="es-CR"/>
        </w:rPr>
        <w:t>complementarias</w:t>
      </w:r>
      <w:r>
        <w:rPr>
          <w:rFonts w:ascii="Times New Roman" w:eastAsia="Calibri" w:hAnsi="Times New Roman" w:cs="Times New Roman"/>
          <w:sz w:val="24"/>
          <w:szCs w:val="24"/>
          <w:lang w:val="es-CR"/>
        </w:rPr>
        <w:t>.</w:t>
      </w:r>
    </w:p>
    <w:p w14:paraId="71AC1E62" w14:textId="77777777" w:rsidR="006902CF" w:rsidRDefault="006902CF" w:rsidP="006902CF">
      <w:pPr>
        <w:pStyle w:val="Prrafodelista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</w:p>
    <w:p w14:paraId="73167C7A" w14:textId="77777777" w:rsidR="001A1F9E" w:rsidRDefault="001A1F9E" w:rsidP="00CD7F43">
      <w:pPr>
        <w:pStyle w:val="Prrafodelista"/>
        <w:numPr>
          <w:ilvl w:val="0"/>
          <w:numId w:val="34"/>
        </w:numPr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  <w:r w:rsidRPr="00CD7F43">
        <w:rPr>
          <w:rFonts w:ascii="Times New Roman" w:eastAsia="Calibri" w:hAnsi="Times New Roman" w:cs="Times New Roman"/>
          <w:sz w:val="24"/>
          <w:szCs w:val="24"/>
          <w:lang w:val="es-CR"/>
        </w:rPr>
        <w:t>Disfrute de las exenciones fiscales.</w:t>
      </w:r>
    </w:p>
    <w:p w14:paraId="40B23D4C" w14:textId="77777777" w:rsidR="00C22B3E" w:rsidRPr="00BE402D" w:rsidRDefault="00CD7F43" w:rsidP="00CD7F43">
      <w:pPr>
        <w:pStyle w:val="Prrafodelista"/>
        <w:numPr>
          <w:ilvl w:val="0"/>
          <w:numId w:val="34"/>
        </w:numPr>
        <w:jc w:val="both"/>
        <w:rPr>
          <w:rFonts w:eastAsia="Calibri" w:cstheme="minorHAnsi"/>
          <w:sz w:val="24"/>
          <w:szCs w:val="24"/>
          <w:lang w:val="es-CR"/>
        </w:rPr>
      </w:pPr>
      <w:r>
        <w:rPr>
          <w:rFonts w:ascii="Times New Roman" w:eastAsia="Calibri" w:hAnsi="Times New Roman" w:cs="Times New Roman"/>
          <w:sz w:val="24"/>
          <w:szCs w:val="24"/>
          <w:lang w:val="es-CR"/>
        </w:rPr>
        <w:t>I</w:t>
      </w:r>
      <w:r w:rsidR="001A1F9E" w:rsidRPr="00CD7F43">
        <w:rPr>
          <w:rFonts w:ascii="Times New Roman" w:eastAsia="Calibri" w:hAnsi="Times New Roman" w:cs="Times New Roman"/>
          <w:sz w:val="24"/>
          <w:szCs w:val="24"/>
          <w:lang w:val="es-CR"/>
        </w:rPr>
        <w:t>ncentivos relativos a las cargas sociales.</w:t>
      </w:r>
    </w:p>
    <w:p w14:paraId="10E65285" w14:textId="77777777" w:rsidR="00C22B3E" w:rsidRPr="00BE402D" w:rsidRDefault="00C22B3E" w:rsidP="00C22B3E">
      <w:pPr>
        <w:pStyle w:val="Prrafodelista"/>
        <w:rPr>
          <w:rFonts w:eastAsia="Calibri" w:cstheme="minorHAnsi"/>
          <w:sz w:val="24"/>
          <w:szCs w:val="24"/>
          <w:lang w:val="es-CR"/>
        </w:rPr>
      </w:pPr>
    </w:p>
    <w:p w14:paraId="6EF87DD9" w14:textId="77777777" w:rsidR="00C22B3E" w:rsidRPr="00BE402D" w:rsidRDefault="00C22B3E" w:rsidP="00C22B3E">
      <w:pPr>
        <w:pStyle w:val="Prrafodelista"/>
        <w:numPr>
          <w:ilvl w:val="0"/>
          <w:numId w:val="4"/>
        </w:numPr>
        <w:rPr>
          <w:rFonts w:eastAsia="Calibri" w:cstheme="minorHAnsi"/>
          <w:b/>
          <w:bCs/>
          <w:sz w:val="24"/>
          <w:szCs w:val="24"/>
          <w:lang w:val="es-CR"/>
        </w:rPr>
      </w:pPr>
      <w:r w:rsidRPr="00BE402D">
        <w:rPr>
          <w:rFonts w:eastAsia="Calibri" w:cstheme="minorHAnsi"/>
          <w:b/>
          <w:bCs/>
          <w:sz w:val="24"/>
          <w:szCs w:val="24"/>
          <w:lang w:val="es-CR"/>
        </w:rPr>
        <w:t>La Cuenta de Capitalización Individual (CCI)</w:t>
      </w:r>
    </w:p>
    <w:p w14:paraId="4E00DD40" w14:textId="77777777" w:rsidR="00C22B3E" w:rsidRPr="00071568" w:rsidRDefault="00C22B3E" w:rsidP="00071568">
      <w:pPr>
        <w:pStyle w:val="Prrafodelista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</w:p>
    <w:p w14:paraId="0BE86D6B" w14:textId="6EBA5605" w:rsidR="00071568" w:rsidRPr="00071568" w:rsidRDefault="00C22B3E" w:rsidP="00071568">
      <w:pPr>
        <w:pStyle w:val="Prrafodelista"/>
        <w:numPr>
          <w:ilvl w:val="0"/>
          <w:numId w:val="35"/>
        </w:numPr>
        <w:rPr>
          <w:rFonts w:ascii="Times New Roman" w:eastAsia="Calibri" w:hAnsi="Times New Roman" w:cs="Times New Roman"/>
          <w:sz w:val="24"/>
          <w:szCs w:val="24"/>
          <w:lang w:val="es-CR"/>
        </w:rPr>
      </w:pPr>
      <w:r w:rsidRPr="00071568">
        <w:rPr>
          <w:rFonts w:ascii="Times New Roman" w:eastAsia="Calibri" w:hAnsi="Times New Roman" w:cs="Times New Roman"/>
          <w:sz w:val="24"/>
          <w:szCs w:val="24"/>
          <w:lang w:val="es-CR"/>
        </w:rPr>
        <w:t>Conformación de la Cuenta de Capitalización Individual.</w:t>
      </w:r>
    </w:p>
    <w:p w14:paraId="0C694F4E" w14:textId="489AB629" w:rsidR="00C22B3E" w:rsidRPr="00071568" w:rsidRDefault="00C22B3E" w:rsidP="00071568">
      <w:pPr>
        <w:pStyle w:val="Prrafodelista"/>
        <w:numPr>
          <w:ilvl w:val="0"/>
          <w:numId w:val="35"/>
        </w:numPr>
        <w:rPr>
          <w:rFonts w:ascii="Times New Roman" w:eastAsia="Calibri" w:hAnsi="Times New Roman" w:cs="Times New Roman"/>
          <w:sz w:val="24"/>
          <w:szCs w:val="24"/>
          <w:lang w:val="es-CR"/>
        </w:rPr>
      </w:pPr>
      <w:r w:rsidRPr="00071568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Acreditación de los aportes. </w:t>
      </w:r>
      <w:r w:rsidR="00BE402D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 </w:t>
      </w:r>
    </w:p>
    <w:p w14:paraId="3F14263F" w14:textId="77777777" w:rsidR="00CD7F43" w:rsidRPr="00BE402D" w:rsidRDefault="00CD7F43" w:rsidP="00CD7F43">
      <w:pPr>
        <w:pStyle w:val="Prrafodelista"/>
        <w:ind w:left="1080"/>
        <w:rPr>
          <w:rFonts w:eastAsia="Calibri" w:cstheme="minorHAnsi"/>
          <w:sz w:val="24"/>
          <w:szCs w:val="24"/>
          <w:lang w:val="es-CR"/>
        </w:rPr>
      </w:pPr>
    </w:p>
    <w:p w14:paraId="030C2099" w14:textId="77777777" w:rsidR="00C22B3E" w:rsidRPr="00BE402D" w:rsidRDefault="00C22B3E" w:rsidP="00C22B3E">
      <w:pPr>
        <w:pStyle w:val="Prrafodelista"/>
        <w:numPr>
          <w:ilvl w:val="0"/>
          <w:numId w:val="4"/>
        </w:numPr>
        <w:rPr>
          <w:rFonts w:eastAsia="Calibri" w:cstheme="minorHAnsi"/>
          <w:sz w:val="24"/>
          <w:szCs w:val="24"/>
          <w:lang w:val="es-CR"/>
        </w:rPr>
      </w:pPr>
      <w:r w:rsidRPr="00BE402D">
        <w:rPr>
          <w:rFonts w:eastAsia="Calibri" w:cstheme="minorHAnsi"/>
          <w:b/>
          <w:bCs/>
          <w:sz w:val="24"/>
          <w:szCs w:val="24"/>
          <w:lang w:val="es-CR"/>
        </w:rPr>
        <w:t>Fondos generacionales y multifondos</w:t>
      </w:r>
    </w:p>
    <w:p w14:paraId="034B3BAB" w14:textId="77777777" w:rsidR="00C22B3E" w:rsidRPr="00C22B3E" w:rsidRDefault="00C22B3E" w:rsidP="00C22B3E">
      <w:pPr>
        <w:pStyle w:val="Prrafodelista"/>
        <w:ind w:left="1080"/>
        <w:rPr>
          <w:rFonts w:ascii="Times New Roman" w:eastAsia="Calibri" w:hAnsi="Times New Roman" w:cs="Times New Roman"/>
          <w:sz w:val="24"/>
          <w:szCs w:val="24"/>
          <w:lang w:val="es-CR"/>
        </w:rPr>
      </w:pPr>
    </w:p>
    <w:p w14:paraId="783CB76F" w14:textId="77777777" w:rsidR="00C22B3E" w:rsidRDefault="00C22B3E" w:rsidP="00C22B3E">
      <w:pPr>
        <w:pStyle w:val="Prrafodelista"/>
        <w:numPr>
          <w:ilvl w:val="0"/>
          <w:numId w:val="1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  <w:r w:rsidRPr="00C22B3E">
        <w:rPr>
          <w:rFonts w:ascii="Times New Roman" w:eastAsia="Calibri" w:hAnsi="Times New Roman" w:cs="Times New Roman"/>
          <w:sz w:val="24"/>
          <w:szCs w:val="24"/>
          <w:lang w:val="es-CR"/>
        </w:rPr>
        <w:t>Diferencias.</w:t>
      </w:r>
    </w:p>
    <w:p w14:paraId="4C560385" w14:textId="77777777" w:rsidR="00C22B3E" w:rsidRDefault="00C22B3E" w:rsidP="00C22B3E">
      <w:pPr>
        <w:pStyle w:val="Prrafodelista"/>
        <w:numPr>
          <w:ilvl w:val="0"/>
          <w:numId w:val="1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  <w:r w:rsidRPr="00C22B3E">
        <w:rPr>
          <w:rFonts w:ascii="Times New Roman" w:eastAsia="Calibri" w:hAnsi="Times New Roman" w:cs="Times New Roman"/>
          <w:sz w:val="24"/>
          <w:szCs w:val="24"/>
          <w:lang w:val="es-CR"/>
        </w:rPr>
        <w:t>Funcionamiento.</w:t>
      </w:r>
    </w:p>
    <w:p w14:paraId="1AD1F4BD" w14:textId="77777777" w:rsidR="00C22B3E" w:rsidRDefault="00C22B3E" w:rsidP="00C22B3E">
      <w:pPr>
        <w:pStyle w:val="Prrafodelista"/>
        <w:numPr>
          <w:ilvl w:val="0"/>
          <w:numId w:val="1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  <w:r>
        <w:rPr>
          <w:rFonts w:ascii="Times New Roman" w:eastAsia="Calibri" w:hAnsi="Times New Roman" w:cs="Times New Roman"/>
          <w:sz w:val="24"/>
          <w:szCs w:val="24"/>
          <w:lang w:val="es-CR"/>
        </w:rPr>
        <w:t>La inversión y los riesgos en los Fondos generacionales y en los multifondos.</w:t>
      </w:r>
    </w:p>
    <w:p w14:paraId="03A6ADF6" w14:textId="325DC6C4" w:rsidR="001A1F9E" w:rsidRPr="00EB3E75" w:rsidRDefault="00C22B3E" w:rsidP="00C22B3E">
      <w:pPr>
        <w:pStyle w:val="Prrafodelista"/>
        <w:numPr>
          <w:ilvl w:val="0"/>
          <w:numId w:val="11"/>
        </w:numPr>
        <w:spacing w:after="0"/>
        <w:jc w:val="both"/>
        <w:rPr>
          <w:rFonts w:eastAsia="Calibri" w:cstheme="minorHAnsi"/>
          <w:i/>
          <w:iCs/>
          <w:sz w:val="24"/>
          <w:szCs w:val="24"/>
          <w:lang w:val="es-CR"/>
        </w:rPr>
      </w:pPr>
      <w:r w:rsidRPr="00C22B3E">
        <w:rPr>
          <w:rFonts w:ascii="Times New Roman" w:eastAsia="Calibri" w:hAnsi="Times New Roman" w:cs="Times New Roman"/>
          <w:sz w:val="24"/>
          <w:szCs w:val="24"/>
          <w:lang w:val="es-CR"/>
        </w:rPr>
        <w:t>Fines de est</w:t>
      </w:r>
      <w:r w:rsidR="001D3743">
        <w:rPr>
          <w:rFonts w:ascii="Times New Roman" w:eastAsia="Calibri" w:hAnsi="Times New Roman" w:cs="Times New Roman"/>
          <w:sz w:val="24"/>
          <w:szCs w:val="24"/>
          <w:lang w:val="es-CR"/>
        </w:rPr>
        <w:t>os</w:t>
      </w:r>
      <w:r w:rsidRPr="00C22B3E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 tipo</w:t>
      </w:r>
      <w:r w:rsidR="001D3743">
        <w:rPr>
          <w:rFonts w:ascii="Times New Roman" w:eastAsia="Calibri" w:hAnsi="Times New Roman" w:cs="Times New Roman"/>
          <w:sz w:val="24"/>
          <w:szCs w:val="24"/>
          <w:lang w:val="es-CR"/>
        </w:rPr>
        <w:t>s</w:t>
      </w:r>
      <w:r w:rsidRPr="00C22B3E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 de fondos.</w:t>
      </w:r>
    </w:p>
    <w:p w14:paraId="2C6C6BCB" w14:textId="77777777" w:rsidR="00C22B3E" w:rsidRPr="00EB3E75" w:rsidRDefault="00C22B3E" w:rsidP="00C22B3E">
      <w:pPr>
        <w:pStyle w:val="Prrafodelista"/>
        <w:spacing w:after="0"/>
        <w:jc w:val="both"/>
        <w:rPr>
          <w:rFonts w:eastAsia="Calibri" w:cstheme="minorHAnsi"/>
          <w:i/>
          <w:iCs/>
          <w:sz w:val="24"/>
          <w:szCs w:val="24"/>
          <w:lang w:val="es-CR"/>
        </w:rPr>
      </w:pPr>
    </w:p>
    <w:p w14:paraId="567011C7" w14:textId="77777777" w:rsidR="00723700" w:rsidRPr="00EB3E75" w:rsidRDefault="004214E5" w:rsidP="001A1F9E">
      <w:pPr>
        <w:pStyle w:val="Prrafodelista"/>
        <w:numPr>
          <w:ilvl w:val="0"/>
          <w:numId w:val="4"/>
        </w:numPr>
        <w:spacing w:after="0"/>
        <w:jc w:val="both"/>
        <w:rPr>
          <w:rFonts w:eastAsia="Calibri" w:cstheme="minorHAnsi"/>
          <w:b/>
          <w:bCs/>
          <w:sz w:val="24"/>
          <w:szCs w:val="24"/>
          <w:lang w:val="es-CR"/>
        </w:rPr>
      </w:pPr>
      <w:r w:rsidRPr="00EB3E75">
        <w:rPr>
          <w:rFonts w:eastAsia="Calibri" w:cstheme="minorHAnsi"/>
          <w:b/>
          <w:bCs/>
          <w:sz w:val="24"/>
          <w:szCs w:val="24"/>
          <w:lang w:val="es-CR"/>
        </w:rPr>
        <w:t>Planes de Beneficio</w:t>
      </w:r>
    </w:p>
    <w:p w14:paraId="2466E0A0" w14:textId="77777777" w:rsidR="001A1F9E" w:rsidRPr="001A1F9E" w:rsidRDefault="001A1F9E" w:rsidP="001A1F9E">
      <w:pPr>
        <w:pStyle w:val="Prrafodelista"/>
        <w:spacing w:after="0"/>
        <w:ind w:left="108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es-CR"/>
        </w:rPr>
      </w:pPr>
    </w:p>
    <w:p w14:paraId="19C43218" w14:textId="77777777" w:rsidR="004214E5" w:rsidRDefault="004214E5" w:rsidP="00C22B3E">
      <w:pPr>
        <w:pStyle w:val="Prrafodelista"/>
        <w:numPr>
          <w:ilvl w:val="0"/>
          <w:numId w:val="9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  <w:r w:rsidRPr="00C22B3E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Tipos de </w:t>
      </w:r>
      <w:r w:rsidR="00C22B3E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productos de acumulación o pensión del </w:t>
      </w:r>
      <w:r w:rsidRPr="00C22B3E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Régimen Obligatorio y </w:t>
      </w:r>
      <w:r w:rsidR="00C22B3E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del Régimen </w:t>
      </w:r>
      <w:r w:rsidRPr="00C22B3E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Voluntario de Pensiones </w:t>
      </w:r>
      <w:r w:rsidR="00C22B3E">
        <w:rPr>
          <w:rFonts w:ascii="Times New Roman" w:eastAsia="Calibri" w:hAnsi="Times New Roman" w:cs="Times New Roman"/>
          <w:sz w:val="24"/>
          <w:szCs w:val="24"/>
          <w:lang w:val="es-CR"/>
        </w:rPr>
        <w:t>C</w:t>
      </w:r>
      <w:r w:rsidRPr="00C22B3E">
        <w:rPr>
          <w:rFonts w:ascii="Times New Roman" w:eastAsia="Calibri" w:hAnsi="Times New Roman" w:cs="Times New Roman"/>
          <w:sz w:val="24"/>
          <w:szCs w:val="24"/>
          <w:lang w:val="es-CR"/>
        </w:rPr>
        <w:t>omplementarias.</w:t>
      </w:r>
      <w:r w:rsidR="00C22B3E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 Características y diferencias.</w:t>
      </w:r>
    </w:p>
    <w:p w14:paraId="16C27FA3" w14:textId="77777777" w:rsidR="00C22B3E" w:rsidRDefault="00C22B3E" w:rsidP="00C22B3E">
      <w:pPr>
        <w:pStyle w:val="Prrafodelista"/>
        <w:numPr>
          <w:ilvl w:val="0"/>
          <w:numId w:val="9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  <w:r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Requisitos para acceder a los beneficios del </w:t>
      </w:r>
      <w:r w:rsidRPr="00C22B3E">
        <w:rPr>
          <w:rFonts w:ascii="Times New Roman" w:eastAsia="Calibri" w:hAnsi="Times New Roman" w:cs="Times New Roman"/>
          <w:sz w:val="24"/>
          <w:szCs w:val="24"/>
          <w:lang w:val="es-CR"/>
        </w:rPr>
        <w:t>Régimen Obligatorio</w:t>
      </w:r>
      <w:r w:rsidRPr="00C22B3E">
        <w:t xml:space="preserve"> </w:t>
      </w:r>
      <w:r w:rsidRPr="00C22B3E">
        <w:rPr>
          <w:rFonts w:ascii="Times New Roman" w:eastAsia="Calibri" w:hAnsi="Times New Roman" w:cs="Times New Roman"/>
          <w:sz w:val="24"/>
          <w:szCs w:val="24"/>
          <w:lang w:val="es-CR"/>
        </w:rPr>
        <w:t>de Pensiones Complementarias</w:t>
      </w:r>
      <w:r>
        <w:rPr>
          <w:rFonts w:ascii="Times New Roman" w:eastAsia="Calibri" w:hAnsi="Times New Roman" w:cs="Times New Roman"/>
          <w:sz w:val="24"/>
          <w:szCs w:val="24"/>
          <w:lang w:val="es-CR"/>
        </w:rPr>
        <w:t>.</w:t>
      </w:r>
    </w:p>
    <w:p w14:paraId="3EA75D8B" w14:textId="77777777" w:rsidR="00C22B3E" w:rsidRDefault="00C22B3E" w:rsidP="00C22B3E">
      <w:pPr>
        <w:pStyle w:val="Prrafodelista"/>
        <w:numPr>
          <w:ilvl w:val="0"/>
          <w:numId w:val="9"/>
        </w:numPr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  <w:r w:rsidRPr="00C22B3E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Requisitos para acceder a los beneficios del Régimen </w:t>
      </w:r>
      <w:r>
        <w:rPr>
          <w:rFonts w:ascii="Times New Roman" w:eastAsia="Calibri" w:hAnsi="Times New Roman" w:cs="Times New Roman"/>
          <w:sz w:val="24"/>
          <w:szCs w:val="24"/>
          <w:lang w:val="es-CR"/>
        </w:rPr>
        <w:t>Voluntario</w:t>
      </w:r>
      <w:r w:rsidRPr="00C22B3E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 de Pensiones Complementarias.</w:t>
      </w:r>
    </w:p>
    <w:p w14:paraId="35BC625B" w14:textId="77777777" w:rsidR="00380463" w:rsidRPr="00380463" w:rsidRDefault="00380463" w:rsidP="00380463">
      <w:pPr>
        <w:pStyle w:val="Prrafodelista"/>
        <w:numPr>
          <w:ilvl w:val="0"/>
          <w:numId w:val="9"/>
        </w:numPr>
        <w:rPr>
          <w:rFonts w:ascii="Times New Roman" w:eastAsia="Calibri" w:hAnsi="Times New Roman" w:cs="Times New Roman"/>
          <w:sz w:val="24"/>
          <w:szCs w:val="24"/>
          <w:lang w:val="es-CR"/>
        </w:rPr>
      </w:pPr>
      <w:r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El monto de las pensiones: sistemas de pensiones de beneficio definido versus </w:t>
      </w:r>
      <w:r w:rsidRPr="00380463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sistemas de pensiones de </w:t>
      </w:r>
      <w:r>
        <w:rPr>
          <w:rFonts w:ascii="Times New Roman" w:eastAsia="Calibri" w:hAnsi="Times New Roman" w:cs="Times New Roman"/>
          <w:sz w:val="24"/>
          <w:szCs w:val="24"/>
          <w:lang w:val="es-CR"/>
        </w:rPr>
        <w:t>contribución definida.</w:t>
      </w:r>
    </w:p>
    <w:p w14:paraId="17161421" w14:textId="77777777" w:rsidR="00380463" w:rsidRPr="00380463" w:rsidRDefault="00380463" w:rsidP="00380463">
      <w:pPr>
        <w:pStyle w:val="Prrafodelista"/>
        <w:numPr>
          <w:ilvl w:val="0"/>
          <w:numId w:val="9"/>
        </w:numPr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  <w:r>
        <w:rPr>
          <w:rFonts w:ascii="Times New Roman" w:eastAsia="Calibri" w:hAnsi="Times New Roman" w:cs="Times New Roman"/>
          <w:sz w:val="24"/>
          <w:szCs w:val="24"/>
          <w:lang w:val="es-CR"/>
        </w:rPr>
        <w:t>L</w:t>
      </w:r>
      <w:r w:rsidRPr="00380463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a rentabilidad del fondo y el recálculo de las pensiones. </w:t>
      </w:r>
    </w:p>
    <w:p w14:paraId="450EEC03" w14:textId="77777777" w:rsidR="00B46CA5" w:rsidRDefault="00CD7F43" w:rsidP="00CD7F43">
      <w:pPr>
        <w:pStyle w:val="Prrafodelista"/>
        <w:numPr>
          <w:ilvl w:val="0"/>
          <w:numId w:val="9"/>
        </w:numPr>
        <w:rPr>
          <w:rFonts w:ascii="Times New Roman" w:eastAsia="Calibri" w:hAnsi="Times New Roman" w:cs="Times New Roman"/>
          <w:sz w:val="24"/>
          <w:szCs w:val="24"/>
          <w:lang w:val="es-CR"/>
        </w:rPr>
      </w:pPr>
      <w:r w:rsidRPr="00CD7F43">
        <w:rPr>
          <w:rFonts w:ascii="Times New Roman" w:eastAsia="Calibri" w:hAnsi="Times New Roman" w:cs="Times New Roman"/>
          <w:sz w:val="24"/>
          <w:szCs w:val="24"/>
          <w:lang w:val="es-CR"/>
        </w:rPr>
        <w:t>El retiro total en el Régimen Obligatorio y en el Régimen Voluntario de Pensiones Complementarias.</w:t>
      </w:r>
    </w:p>
    <w:p w14:paraId="3909C697" w14:textId="38AAC6F8" w:rsidR="00B46CA5" w:rsidRDefault="00B46CA5" w:rsidP="005D6981">
      <w:pPr>
        <w:pStyle w:val="Prrafodelista"/>
        <w:numPr>
          <w:ilvl w:val="0"/>
          <w:numId w:val="9"/>
        </w:numPr>
        <w:rPr>
          <w:rFonts w:ascii="Times New Roman" w:eastAsia="Calibri" w:hAnsi="Times New Roman" w:cs="Times New Roman"/>
          <w:sz w:val="24"/>
          <w:szCs w:val="24"/>
          <w:lang w:val="es-CR"/>
        </w:rPr>
      </w:pPr>
      <w:r w:rsidRPr="00B46CA5">
        <w:rPr>
          <w:rFonts w:ascii="Times New Roman" w:eastAsia="Calibri" w:hAnsi="Times New Roman" w:cs="Times New Roman"/>
          <w:sz w:val="24"/>
          <w:szCs w:val="24"/>
          <w:lang w:val="es-CR"/>
        </w:rPr>
        <w:t>El retiro anticipado en el Régimen Voluntario de Pensiones Complementarias: requisitos y condiciones.</w:t>
      </w:r>
    </w:p>
    <w:p w14:paraId="366CFFD9" w14:textId="77777777" w:rsidR="005D6981" w:rsidRDefault="005D6981" w:rsidP="005D6981">
      <w:pPr>
        <w:pStyle w:val="Prrafodelista"/>
        <w:rPr>
          <w:rFonts w:eastAsia="Calibri" w:cstheme="minorHAnsi"/>
          <w:sz w:val="24"/>
          <w:szCs w:val="24"/>
          <w:lang w:val="es-CR"/>
        </w:rPr>
      </w:pPr>
    </w:p>
    <w:p w14:paraId="48F230CD" w14:textId="77777777" w:rsidR="00AB126B" w:rsidRDefault="00AB126B" w:rsidP="005D6981">
      <w:pPr>
        <w:pStyle w:val="Prrafodelista"/>
        <w:rPr>
          <w:rFonts w:eastAsia="Calibri" w:cstheme="minorHAnsi"/>
          <w:sz w:val="24"/>
          <w:szCs w:val="24"/>
          <w:lang w:val="es-CR"/>
        </w:rPr>
      </w:pPr>
    </w:p>
    <w:p w14:paraId="5572A5C2" w14:textId="77777777" w:rsidR="00AB126B" w:rsidRPr="005D6981" w:rsidRDefault="00AB126B" w:rsidP="005D6981">
      <w:pPr>
        <w:pStyle w:val="Prrafodelista"/>
        <w:rPr>
          <w:rFonts w:eastAsia="Calibri" w:cstheme="minorHAnsi"/>
          <w:sz w:val="24"/>
          <w:szCs w:val="24"/>
          <w:lang w:val="es-CR"/>
        </w:rPr>
      </w:pPr>
    </w:p>
    <w:p w14:paraId="471469D1" w14:textId="77777777" w:rsidR="00C22B3E" w:rsidRPr="005D6981" w:rsidRDefault="00C22B3E" w:rsidP="004B4C1F">
      <w:pPr>
        <w:pStyle w:val="Prrafodelista"/>
        <w:numPr>
          <w:ilvl w:val="0"/>
          <w:numId w:val="3"/>
        </w:numPr>
        <w:spacing w:after="0"/>
        <w:jc w:val="both"/>
        <w:rPr>
          <w:rFonts w:eastAsia="Calibri" w:cstheme="minorHAnsi"/>
          <w:sz w:val="24"/>
          <w:szCs w:val="24"/>
          <w:lang w:val="es-CR"/>
        </w:rPr>
      </w:pPr>
      <w:r w:rsidRPr="005D6981">
        <w:rPr>
          <w:rFonts w:eastAsia="Calibri" w:cstheme="minorHAnsi"/>
          <w:b/>
          <w:bCs/>
          <w:sz w:val="24"/>
          <w:szCs w:val="24"/>
          <w:lang w:val="es-CR"/>
        </w:rPr>
        <w:lastRenderedPageBreak/>
        <w:t xml:space="preserve">El Fondo de Capitalización </w:t>
      </w:r>
      <w:r w:rsidR="00E11B61" w:rsidRPr="005D6981">
        <w:rPr>
          <w:rFonts w:eastAsia="Calibri" w:cstheme="minorHAnsi"/>
          <w:b/>
          <w:bCs/>
          <w:sz w:val="24"/>
          <w:szCs w:val="24"/>
          <w:lang w:val="es-CR"/>
        </w:rPr>
        <w:t>Laboral (FCL)</w:t>
      </w:r>
    </w:p>
    <w:p w14:paraId="752C6465" w14:textId="77777777" w:rsidR="00C22B3E" w:rsidRPr="00C22B3E" w:rsidRDefault="00C22B3E" w:rsidP="00C22B3E">
      <w:pPr>
        <w:pStyle w:val="Prrafodelista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</w:p>
    <w:p w14:paraId="43145EFE" w14:textId="77777777" w:rsidR="00C22B3E" w:rsidRPr="00C22B3E" w:rsidRDefault="00C22B3E" w:rsidP="00C22B3E">
      <w:pPr>
        <w:pStyle w:val="Prrafodelista"/>
        <w:numPr>
          <w:ilvl w:val="0"/>
          <w:numId w:val="12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  <w:r w:rsidRPr="00C22B3E">
        <w:rPr>
          <w:rFonts w:ascii="Times New Roman" w:eastAsia="Calibri" w:hAnsi="Times New Roman" w:cs="Times New Roman"/>
          <w:sz w:val="24"/>
          <w:szCs w:val="24"/>
          <w:lang w:val="es-CR"/>
        </w:rPr>
        <w:t>Los aportes: fuente, recaudación y distribución.</w:t>
      </w:r>
    </w:p>
    <w:p w14:paraId="7F8D0A1D" w14:textId="77777777" w:rsidR="00C22B3E" w:rsidRDefault="00C22B3E" w:rsidP="00C22B3E">
      <w:pPr>
        <w:pStyle w:val="Prrafodelista"/>
        <w:numPr>
          <w:ilvl w:val="0"/>
          <w:numId w:val="12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  <w:r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El Retiro del </w:t>
      </w:r>
      <w:r w:rsidRPr="00C22B3E">
        <w:rPr>
          <w:rFonts w:ascii="Times New Roman" w:eastAsia="Calibri" w:hAnsi="Times New Roman" w:cs="Times New Roman"/>
          <w:sz w:val="24"/>
          <w:szCs w:val="24"/>
          <w:lang w:val="es-CR"/>
        </w:rPr>
        <w:t>Fondo de Capitalización Individual</w:t>
      </w:r>
      <w:r>
        <w:rPr>
          <w:rFonts w:ascii="Times New Roman" w:eastAsia="Calibri" w:hAnsi="Times New Roman" w:cs="Times New Roman"/>
          <w:sz w:val="24"/>
          <w:szCs w:val="24"/>
          <w:lang w:val="es-CR"/>
        </w:rPr>
        <w:t>: causales y requisitos.</w:t>
      </w:r>
    </w:p>
    <w:p w14:paraId="60CA048D" w14:textId="77777777" w:rsidR="00C22B3E" w:rsidRPr="00544F01" w:rsidRDefault="00C22B3E" w:rsidP="00C22B3E">
      <w:pPr>
        <w:spacing w:after="0"/>
        <w:jc w:val="both"/>
        <w:rPr>
          <w:rFonts w:eastAsia="Calibri" w:cstheme="minorHAnsi"/>
          <w:sz w:val="24"/>
          <w:szCs w:val="24"/>
          <w:lang w:val="es-CR"/>
        </w:rPr>
      </w:pPr>
    </w:p>
    <w:p w14:paraId="411D858A" w14:textId="77777777" w:rsidR="00140A96" w:rsidRPr="00544F01" w:rsidRDefault="00C22B3E" w:rsidP="004B4C1F">
      <w:pPr>
        <w:pStyle w:val="Prrafodelista"/>
        <w:numPr>
          <w:ilvl w:val="0"/>
          <w:numId w:val="3"/>
        </w:numPr>
        <w:spacing w:after="0"/>
        <w:jc w:val="both"/>
        <w:rPr>
          <w:rFonts w:eastAsia="Calibri" w:cstheme="minorHAnsi"/>
          <w:b/>
          <w:bCs/>
          <w:sz w:val="24"/>
          <w:szCs w:val="24"/>
          <w:lang w:val="es-CR"/>
        </w:rPr>
      </w:pPr>
      <w:r w:rsidRPr="00544F01">
        <w:rPr>
          <w:rFonts w:eastAsia="Calibri" w:cstheme="minorHAnsi"/>
          <w:b/>
          <w:bCs/>
          <w:sz w:val="24"/>
          <w:szCs w:val="24"/>
          <w:lang w:val="es-CR"/>
        </w:rPr>
        <w:t>Las comisiones de administración</w:t>
      </w:r>
    </w:p>
    <w:p w14:paraId="2498E3B0" w14:textId="77777777" w:rsidR="00C22B3E" w:rsidRDefault="00C22B3E" w:rsidP="00C22B3E">
      <w:pPr>
        <w:pStyle w:val="Prrafodelista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s-CR"/>
        </w:rPr>
      </w:pPr>
    </w:p>
    <w:p w14:paraId="1863A7A3" w14:textId="77777777" w:rsidR="00C22B3E" w:rsidRDefault="00C22B3E" w:rsidP="00C22B3E">
      <w:pPr>
        <w:pStyle w:val="Prrafodelista"/>
        <w:numPr>
          <w:ilvl w:val="0"/>
          <w:numId w:val="13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  <w:r w:rsidRPr="00C22B3E">
        <w:rPr>
          <w:rFonts w:ascii="Times New Roman" w:eastAsia="Calibri" w:hAnsi="Times New Roman" w:cs="Times New Roman"/>
          <w:sz w:val="24"/>
          <w:szCs w:val="24"/>
          <w:lang w:val="es-CR"/>
        </w:rPr>
        <w:t>Las comisiones de administración en el Régimen Obligatorio de Pensiones Complementarias, el Régimen Voluntario de Pensiones Complementarias y el Fondo de Capitalización Laboral.</w:t>
      </w:r>
    </w:p>
    <w:p w14:paraId="4222E3BE" w14:textId="77777777" w:rsidR="00C22B3E" w:rsidRDefault="00C22B3E" w:rsidP="00447FBC">
      <w:pPr>
        <w:pStyle w:val="Prrafodelista"/>
        <w:numPr>
          <w:ilvl w:val="0"/>
          <w:numId w:val="13"/>
        </w:numPr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  <w:r w:rsidRPr="00C22B3E">
        <w:rPr>
          <w:rFonts w:ascii="Times New Roman" w:eastAsia="Calibri" w:hAnsi="Times New Roman" w:cs="Times New Roman"/>
          <w:sz w:val="24"/>
          <w:szCs w:val="24"/>
          <w:lang w:val="es-CR"/>
        </w:rPr>
        <w:t>La bonificación de comisiones de administración en el Régimen Obligatorio de Pensiones Complementarias, el Régimen Voluntario de Pensiones Complementarias y el Fondo de Capitalización Laboral</w:t>
      </w:r>
      <w:r>
        <w:rPr>
          <w:rFonts w:ascii="Times New Roman" w:eastAsia="Calibri" w:hAnsi="Times New Roman" w:cs="Times New Roman"/>
          <w:sz w:val="24"/>
          <w:szCs w:val="24"/>
          <w:lang w:val="es-CR"/>
        </w:rPr>
        <w:t>: tipos y condiciones que deben cumplirse para su disfrute.</w:t>
      </w:r>
    </w:p>
    <w:p w14:paraId="4F87CD75" w14:textId="77777777" w:rsidR="00447FBC" w:rsidRPr="00544F01" w:rsidRDefault="00447FBC" w:rsidP="00447FBC">
      <w:pPr>
        <w:pStyle w:val="Prrafodelista"/>
        <w:ind w:left="1080"/>
        <w:jc w:val="both"/>
        <w:rPr>
          <w:rFonts w:eastAsia="Calibri" w:cstheme="minorHAnsi"/>
          <w:sz w:val="24"/>
          <w:szCs w:val="24"/>
          <w:lang w:val="es-CR"/>
        </w:rPr>
      </w:pPr>
    </w:p>
    <w:p w14:paraId="27E1EEC0" w14:textId="77777777" w:rsidR="00C22B3E" w:rsidRPr="00544F01" w:rsidRDefault="002D6D33" w:rsidP="004B4C1F">
      <w:pPr>
        <w:pStyle w:val="Prrafodelista"/>
        <w:numPr>
          <w:ilvl w:val="0"/>
          <w:numId w:val="3"/>
        </w:numPr>
        <w:spacing w:after="0"/>
        <w:jc w:val="both"/>
        <w:rPr>
          <w:rFonts w:eastAsia="Calibri" w:cstheme="minorHAnsi"/>
          <w:sz w:val="24"/>
          <w:szCs w:val="24"/>
          <w:lang w:val="es-CR"/>
        </w:rPr>
      </w:pPr>
      <w:r w:rsidRPr="00544F01">
        <w:rPr>
          <w:rFonts w:eastAsia="Calibri" w:cstheme="minorHAnsi"/>
          <w:b/>
          <w:bCs/>
          <w:sz w:val="24"/>
          <w:szCs w:val="24"/>
          <w:lang w:val="es-CR"/>
        </w:rPr>
        <w:t>Inversión de los fondos de pensiones y de capitalización laboral en el mercado local e internacional</w:t>
      </w:r>
    </w:p>
    <w:p w14:paraId="21910F26" w14:textId="77777777" w:rsidR="00331BD1" w:rsidRPr="00C22B3E" w:rsidRDefault="002D6D33" w:rsidP="00C22B3E">
      <w:pPr>
        <w:pStyle w:val="Prrafodelista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  <w:r w:rsidRPr="00C22B3E">
        <w:rPr>
          <w:rFonts w:ascii="Times New Roman" w:eastAsia="Calibri" w:hAnsi="Times New Roman" w:cs="Times New Roman"/>
          <w:b/>
          <w:bCs/>
          <w:sz w:val="24"/>
          <w:szCs w:val="24"/>
          <w:lang w:val="es-CR"/>
        </w:rPr>
        <w:t xml:space="preserve"> </w:t>
      </w:r>
    </w:p>
    <w:p w14:paraId="54FEDEA6" w14:textId="77777777" w:rsidR="00C22B3E" w:rsidRDefault="002D6D33" w:rsidP="00FF37F8">
      <w:pPr>
        <w:pStyle w:val="Prrafodelista"/>
        <w:numPr>
          <w:ilvl w:val="0"/>
          <w:numId w:val="14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  <w:r w:rsidRPr="00C22B3E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Requisitos y condiciones para invertir en el mercado local y extranjero. </w:t>
      </w:r>
    </w:p>
    <w:p w14:paraId="50B068D6" w14:textId="77777777" w:rsidR="00C22B3E" w:rsidRDefault="002D6D33" w:rsidP="00FF37F8">
      <w:pPr>
        <w:pStyle w:val="Prrafodelista"/>
        <w:numPr>
          <w:ilvl w:val="0"/>
          <w:numId w:val="14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  <w:r w:rsidRPr="00C22B3E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Límites, prohibiciones, excesos e incumplimiento de límites de inversión.  </w:t>
      </w:r>
    </w:p>
    <w:p w14:paraId="1AB2AE1D" w14:textId="77777777" w:rsidR="00C22B3E" w:rsidRDefault="002D6D33" w:rsidP="00FF37F8">
      <w:pPr>
        <w:pStyle w:val="Prrafodelista"/>
        <w:numPr>
          <w:ilvl w:val="0"/>
          <w:numId w:val="14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  <w:r w:rsidRPr="00C22B3E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Custodia y depósito de valores. </w:t>
      </w:r>
    </w:p>
    <w:p w14:paraId="53CE563E" w14:textId="77777777" w:rsidR="00380463" w:rsidRDefault="002D6D33" w:rsidP="00FF37F8">
      <w:pPr>
        <w:pStyle w:val="Prrafodelista"/>
        <w:numPr>
          <w:ilvl w:val="0"/>
          <w:numId w:val="14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  <w:r w:rsidRPr="00C22B3E">
        <w:rPr>
          <w:rFonts w:ascii="Times New Roman" w:eastAsia="Calibri" w:hAnsi="Times New Roman" w:cs="Times New Roman"/>
          <w:sz w:val="24"/>
          <w:szCs w:val="24"/>
          <w:lang w:val="es-CR"/>
        </w:rPr>
        <w:t>Rentabilidad de los fondos.</w:t>
      </w:r>
    </w:p>
    <w:p w14:paraId="2DCF5BD8" w14:textId="77777777" w:rsidR="00480D81" w:rsidRDefault="00480D81" w:rsidP="00FF37F8">
      <w:pPr>
        <w:pStyle w:val="Prrafodelista"/>
        <w:numPr>
          <w:ilvl w:val="0"/>
          <w:numId w:val="14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  <w:r>
        <w:rPr>
          <w:rFonts w:ascii="Times New Roman" w:eastAsia="Calibri" w:hAnsi="Times New Roman" w:cs="Times New Roman"/>
          <w:sz w:val="24"/>
          <w:szCs w:val="24"/>
          <w:lang w:val="es-CR"/>
        </w:rPr>
        <w:t>El valor cuota.</w:t>
      </w:r>
    </w:p>
    <w:p w14:paraId="070346B6" w14:textId="77777777" w:rsidR="00380463" w:rsidRPr="00544F01" w:rsidRDefault="00380463" w:rsidP="00380463">
      <w:pPr>
        <w:spacing w:after="0"/>
        <w:jc w:val="both"/>
        <w:rPr>
          <w:rFonts w:eastAsia="Calibri" w:cstheme="minorHAnsi"/>
          <w:b/>
          <w:bCs/>
          <w:sz w:val="24"/>
          <w:szCs w:val="24"/>
          <w:lang w:val="es-CR"/>
        </w:rPr>
      </w:pPr>
    </w:p>
    <w:p w14:paraId="23BC7468" w14:textId="588CB34B" w:rsidR="006A1302" w:rsidRPr="00544F01" w:rsidRDefault="006A1302" w:rsidP="00420FB5">
      <w:pPr>
        <w:pStyle w:val="Prrafodelista"/>
        <w:numPr>
          <w:ilvl w:val="0"/>
          <w:numId w:val="3"/>
        </w:numPr>
        <w:spacing w:after="0"/>
        <w:jc w:val="both"/>
        <w:rPr>
          <w:rFonts w:eastAsia="Calibri" w:cstheme="minorHAnsi"/>
          <w:b/>
          <w:bCs/>
          <w:sz w:val="24"/>
          <w:szCs w:val="24"/>
          <w:lang w:val="es-CR"/>
        </w:rPr>
      </w:pPr>
      <w:r w:rsidRPr="00544F01">
        <w:rPr>
          <w:rFonts w:eastAsia="Calibri" w:cstheme="minorHAnsi"/>
          <w:b/>
          <w:bCs/>
          <w:sz w:val="24"/>
          <w:szCs w:val="24"/>
          <w:lang w:val="es-CR"/>
        </w:rPr>
        <w:t>Riesgos</w:t>
      </w:r>
    </w:p>
    <w:p w14:paraId="0FCA8DC7" w14:textId="77777777" w:rsidR="006A1302" w:rsidRPr="006A1302" w:rsidRDefault="006A1302" w:rsidP="006A1302">
      <w:pPr>
        <w:pStyle w:val="Prrafodelista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s-CR"/>
        </w:rPr>
      </w:pPr>
    </w:p>
    <w:p w14:paraId="68ADD685" w14:textId="77777777" w:rsidR="006A1302" w:rsidRDefault="006A1302" w:rsidP="006A1302">
      <w:pPr>
        <w:pStyle w:val="Prrafodelista"/>
        <w:numPr>
          <w:ilvl w:val="0"/>
          <w:numId w:val="19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  <w:r w:rsidRPr="006A1302">
        <w:rPr>
          <w:rFonts w:ascii="Times New Roman" w:eastAsia="Calibri" w:hAnsi="Times New Roman" w:cs="Times New Roman"/>
          <w:sz w:val="24"/>
          <w:szCs w:val="24"/>
          <w:lang w:val="es-CR"/>
        </w:rPr>
        <w:t>Tipos de riesgos a los que se pueden exponer los fondos de pensiones y de capitalización laboral producto de su inversión en mercados financieros locales e internacionales.</w:t>
      </w:r>
    </w:p>
    <w:p w14:paraId="700B943D" w14:textId="77777777" w:rsidR="006A1302" w:rsidRDefault="006A1302" w:rsidP="006A1302">
      <w:pPr>
        <w:pStyle w:val="Prrafodelista"/>
        <w:numPr>
          <w:ilvl w:val="0"/>
          <w:numId w:val="19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  <w:r w:rsidRPr="006A1302">
        <w:rPr>
          <w:rFonts w:ascii="Times New Roman" w:eastAsia="Calibri" w:hAnsi="Times New Roman" w:cs="Times New Roman"/>
          <w:sz w:val="24"/>
          <w:szCs w:val="24"/>
          <w:lang w:val="es-CR"/>
        </w:rPr>
        <w:t>Riesgos asociados a la administración de las cuentas individuales.</w:t>
      </w:r>
    </w:p>
    <w:p w14:paraId="0742E5E5" w14:textId="79DAE9DC" w:rsidR="006A1302" w:rsidRDefault="006A1302" w:rsidP="006A1302">
      <w:pPr>
        <w:pStyle w:val="Prrafodelista"/>
        <w:numPr>
          <w:ilvl w:val="0"/>
          <w:numId w:val="19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  <w:r w:rsidRPr="006A1302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Riesgos que asume el afiliado o el pensionado en un régimen de contribución definida y </w:t>
      </w:r>
      <w:r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en </w:t>
      </w:r>
      <w:r w:rsidRPr="006A1302">
        <w:rPr>
          <w:rFonts w:ascii="Times New Roman" w:eastAsia="Calibri" w:hAnsi="Times New Roman" w:cs="Times New Roman"/>
          <w:sz w:val="24"/>
          <w:szCs w:val="24"/>
          <w:lang w:val="es-CR"/>
        </w:rPr>
        <w:t>un régimen de beneficio definido</w:t>
      </w:r>
      <w:r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. </w:t>
      </w:r>
      <w:r w:rsidRPr="006A1302">
        <w:rPr>
          <w:rFonts w:ascii="Times New Roman" w:eastAsia="Calibri" w:hAnsi="Times New Roman" w:cs="Times New Roman"/>
          <w:sz w:val="24"/>
          <w:szCs w:val="24"/>
          <w:lang w:val="es-CR"/>
        </w:rPr>
        <w:t>Diferencias.</w:t>
      </w:r>
    </w:p>
    <w:p w14:paraId="2C7A2DE0" w14:textId="77777777" w:rsidR="006A1302" w:rsidRDefault="006A1302" w:rsidP="006A1302">
      <w:pPr>
        <w:pStyle w:val="Prrafodelista"/>
        <w:numPr>
          <w:ilvl w:val="0"/>
          <w:numId w:val="19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  <w:r w:rsidRPr="006A1302">
        <w:rPr>
          <w:rFonts w:ascii="Times New Roman" w:eastAsia="Calibri" w:hAnsi="Times New Roman" w:cs="Times New Roman"/>
          <w:sz w:val="24"/>
          <w:szCs w:val="24"/>
          <w:lang w:val="es-CR"/>
        </w:rPr>
        <w:t>Riesgos asociados a cada uno de los productos de desacumulación y cómo pueden afectar el monto de las prestaciones: Perfilamiento del pensionado y selección del producto.</w:t>
      </w:r>
    </w:p>
    <w:p w14:paraId="663EC03E" w14:textId="77777777" w:rsidR="006A1302" w:rsidRDefault="006A1302" w:rsidP="006A1302">
      <w:pPr>
        <w:pStyle w:val="Prrafodelista"/>
        <w:numPr>
          <w:ilvl w:val="0"/>
          <w:numId w:val="19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  <w:r w:rsidRPr="006A1302">
        <w:rPr>
          <w:rFonts w:ascii="Times New Roman" w:eastAsia="Calibri" w:hAnsi="Times New Roman" w:cs="Times New Roman"/>
          <w:sz w:val="24"/>
          <w:szCs w:val="24"/>
          <w:lang w:val="es-CR"/>
        </w:rPr>
        <w:t>Riesgos operativos asociados a la afiliación y la libre transferencia hacia otra operadora.</w:t>
      </w:r>
    </w:p>
    <w:p w14:paraId="1061EA83" w14:textId="77777777" w:rsidR="006A1302" w:rsidRDefault="006A1302" w:rsidP="002076EC">
      <w:pPr>
        <w:pStyle w:val="Prrafodelista"/>
        <w:numPr>
          <w:ilvl w:val="0"/>
          <w:numId w:val="19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  <w:r w:rsidRPr="002076EC">
        <w:rPr>
          <w:rFonts w:ascii="Times New Roman" w:eastAsia="Calibri" w:hAnsi="Times New Roman" w:cs="Times New Roman"/>
          <w:sz w:val="24"/>
          <w:szCs w:val="24"/>
          <w:lang w:val="es-CR"/>
        </w:rPr>
        <w:t>Valor de los fondos, valor cuota y riesgos asociados a:</w:t>
      </w:r>
    </w:p>
    <w:p w14:paraId="272A8FA1" w14:textId="77777777" w:rsidR="00544F01" w:rsidRPr="002076EC" w:rsidRDefault="00544F01" w:rsidP="00544F01">
      <w:pPr>
        <w:pStyle w:val="Prrafodelista"/>
        <w:spacing w:after="0"/>
        <w:ind w:left="1068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</w:p>
    <w:p w14:paraId="176E4ADB" w14:textId="77777777" w:rsidR="006A1302" w:rsidRDefault="006A1302" w:rsidP="006A1302">
      <w:pPr>
        <w:pStyle w:val="Prrafodelista"/>
        <w:numPr>
          <w:ilvl w:val="0"/>
          <w:numId w:val="20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  <w:r w:rsidRPr="006A1302">
        <w:rPr>
          <w:rFonts w:ascii="Times New Roman" w:eastAsia="Calibri" w:hAnsi="Times New Roman" w:cs="Times New Roman"/>
          <w:sz w:val="24"/>
          <w:szCs w:val="24"/>
          <w:lang w:val="es-CR"/>
        </w:rPr>
        <w:t>El ejercicio de la libre trasferencia de los afiliados y pensionados hacia otra operadora.</w:t>
      </w:r>
    </w:p>
    <w:p w14:paraId="7D3A6DED" w14:textId="77777777" w:rsidR="006A1302" w:rsidRDefault="006A1302" w:rsidP="006A1302">
      <w:pPr>
        <w:pStyle w:val="Prrafodelista"/>
        <w:numPr>
          <w:ilvl w:val="0"/>
          <w:numId w:val="20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  <w:r w:rsidRPr="006A1302">
        <w:rPr>
          <w:rFonts w:ascii="Times New Roman" w:eastAsia="Calibri" w:hAnsi="Times New Roman" w:cs="Times New Roman"/>
          <w:sz w:val="24"/>
          <w:szCs w:val="24"/>
          <w:lang w:val="es-CR"/>
        </w:rPr>
        <w:t>Los retiros.</w:t>
      </w:r>
    </w:p>
    <w:p w14:paraId="45980A0B" w14:textId="547C4D10" w:rsidR="006A1302" w:rsidRPr="006A1302" w:rsidRDefault="006A1302" w:rsidP="006A1302">
      <w:pPr>
        <w:pStyle w:val="Prrafodelista"/>
        <w:numPr>
          <w:ilvl w:val="0"/>
          <w:numId w:val="20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  <w:r w:rsidRPr="006A1302">
        <w:rPr>
          <w:rFonts w:ascii="Times New Roman" w:eastAsia="Calibri" w:hAnsi="Times New Roman" w:cs="Times New Roman"/>
          <w:sz w:val="24"/>
          <w:szCs w:val="24"/>
          <w:lang w:val="es-CR"/>
        </w:rPr>
        <w:t>La adquisición de un producto de beneficios</w:t>
      </w:r>
      <w:r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 en otra operadora de pensiones.</w:t>
      </w:r>
    </w:p>
    <w:p w14:paraId="74C62607" w14:textId="77777777" w:rsidR="006A1302" w:rsidRPr="00DB4C62" w:rsidRDefault="006A1302" w:rsidP="006A1302">
      <w:pPr>
        <w:spacing w:after="0"/>
        <w:jc w:val="both"/>
        <w:rPr>
          <w:rFonts w:eastAsia="Calibri" w:cstheme="minorHAnsi"/>
          <w:sz w:val="24"/>
          <w:szCs w:val="24"/>
          <w:lang w:val="es-CR"/>
        </w:rPr>
      </w:pPr>
    </w:p>
    <w:p w14:paraId="70ADD92B" w14:textId="77777777" w:rsidR="00380463" w:rsidRPr="00DB4C62" w:rsidRDefault="00066833" w:rsidP="004B4C1F">
      <w:pPr>
        <w:pStyle w:val="Prrafodelista"/>
        <w:numPr>
          <w:ilvl w:val="0"/>
          <w:numId w:val="3"/>
        </w:numPr>
        <w:spacing w:after="0"/>
        <w:jc w:val="both"/>
        <w:rPr>
          <w:rFonts w:eastAsia="Calibri" w:cstheme="minorHAnsi"/>
          <w:sz w:val="24"/>
          <w:szCs w:val="24"/>
          <w:lang w:val="es-CR"/>
        </w:rPr>
      </w:pPr>
      <w:r w:rsidRPr="00DB4C62">
        <w:rPr>
          <w:rFonts w:eastAsia="Calibri" w:cstheme="minorHAnsi"/>
          <w:b/>
          <w:bCs/>
          <w:sz w:val="24"/>
          <w:szCs w:val="24"/>
          <w:lang w:val="es-CR"/>
        </w:rPr>
        <w:t>Los beneficiarios en caso de fallecimiento del afiliado o pensionado</w:t>
      </w:r>
    </w:p>
    <w:p w14:paraId="587145EC" w14:textId="77777777" w:rsidR="00066833" w:rsidRPr="00DB4C62" w:rsidRDefault="00066833" w:rsidP="00FF37F8">
      <w:pPr>
        <w:spacing w:after="0"/>
        <w:jc w:val="both"/>
        <w:rPr>
          <w:rFonts w:eastAsia="Calibri" w:cstheme="minorHAnsi"/>
          <w:b/>
          <w:bCs/>
          <w:sz w:val="24"/>
          <w:szCs w:val="24"/>
          <w:lang w:val="es-CR"/>
        </w:rPr>
      </w:pPr>
    </w:p>
    <w:p w14:paraId="0C945FF4" w14:textId="77777777" w:rsidR="00066833" w:rsidRPr="00066833" w:rsidRDefault="00066833" w:rsidP="00066833">
      <w:pPr>
        <w:pStyle w:val="Prrafodelista"/>
        <w:numPr>
          <w:ilvl w:val="0"/>
          <w:numId w:val="15"/>
        </w:num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s-CR"/>
        </w:rPr>
      </w:pPr>
      <w:r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Los beneficiarios en caso de fallecimiento del afiliado y el pensionado en el </w:t>
      </w:r>
      <w:r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Régimen </w:t>
      </w:r>
      <w:r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Voluntario y Obligatorio </w:t>
      </w:r>
      <w:r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>de Pensiones Complementarias</w:t>
      </w:r>
      <w:r>
        <w:rPr>
          <w:rFonts w:ascii="Times New Roman" w:eastAsia="Calibri" w:hAnsi="Times New Roman" w:cs="Times New Roman"/>
          <w:sz w:val="24"/>
          <w:szCs w:val="24"/>
          <w:lang w:val="es-CR"/>
        </w:rPr>
        <w:t>.</w:t>
      </w:r>
    </w:p>
    <w:p w14:paraId="3331D8BA" w14:textId="77777777" w:rsidR="00066833" w:rsidRPr="00066833" w:rsidRDefault="00066833" w:rsidP="00066833">
      <w:pPr>
        <w:pStyle w:val="Prrafodelista"/>
        <w:numPr>
          <w:ilvl w:val="0"/>
          <w:numId w:val="15"/>
        </w:num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s-CR"/>
        </w:rPr>
      </w:pPr>
      <w:r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Procedimiento y determinación de los beneficiarios. </w:t>
      </w:r>
    </w:p>
    <w:p w14:paraId="1A541D2E" w14:textId="77777777" w:rsidR="00066833" w:rsidRPr="00DB4C62" w:rsidRDefault="00066833" w:rsidP="00FF37F8">
      <w:pPr>
        <w:spacing w:after="0"/>
        <w:jc w:val="both"/>
        <w:rPr>
          <w:rFonts w:eastAsia="Calibri" w:cstheme="minorHAnsi"/>
          <w:b/>
          <w:bCs/>
          <w:sz w:val="24"/>
          <w:szCs w:val="24"/>
          <w:lang w:val="es-CR"/>
        </w:rPr>
      </w:pPr>
    </w:p>
    <w:p w14:paraId="27F03DBC" w14:textId="2A3E060B" w:rsidR="00331BD1" w:rsidRPr="00DB4C62" w:rsidRDefault="00EB78CD" w:rsidP="00420FB5">
      <w:pPr>
        <w:pStyle w:val="Prrafodelista"/>
        <w:numPr>
          <w:ilvl w:val="0"/>
          <w:numId w:val="3"/>
        </w:numPr>
        <w:spacing w:after="0"/>
        <w:jc w:val="both"/>
        <w:rPr>
          <w:rFonts w:eastAsia="Calibri" w:cstheme="minorHAnsi"/>
          <w:b/>
          <w:bCs/>
          <w:sz w:val="24"/>
          <w:szCs w:val="24"/>
          <w:lang w:val="es-CR"/>
        </w:rPr>
      </w:pPr>
      <w:r w:rsidRPr="00DB4C62">
        <w:rPr>
          <w:rFonts w:eastAsia="Calibri" w:cstheme="minorHAnsi"/>
          <w:b/>
          <w:bCs/>
          <w:sz w:val="24"/>
          <w:szCs w:val="24"/>
          <w:lang w:val="es-CR"/>
        </w:rPr>
        <w:t>Libre transferencia y traslado de recursos</w:t>
      </w:r>
    </w:p>
    <w:p w14:paraId="467D2ED6" w14:textId="77777777" w:rsidR="00066833" w:rsidRPr="00066833" w:rsidRDefault="00066833" w:rsidP="00066833">
      <w:pPr>
        <w:pStyle w:val="Prrafodelista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s-CR"/>
        </w:rPr>
      </w:pPr>
    </w:p>
    <w:p w14:paraId="4B7AA3E7" w14:textId="78501AC6" w:rsidR="00EB78CD" w:rsidRDefault="00EB78CD" w:rsidP="00066833">
      <w:pPr>
        <w:pStyle w:val="Prrafodelista"/>
        <w:numPr>
          <w:ilvl w:val="0"/>
          <w:numId w:val="17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  <w:r w:rsidRPr="00066833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Traslado </w:t>
      </w:r>
      <w:r w:rsidR="00066833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de operadora </w:t>
      </w:r>
      <w:r w:rsidRPr="00066833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de </w:t>
      </w:r>
      <w:r w:rsidR="00066833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los </w:t>
      </w:r>
      <w:r w:rsidRPr="00066833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afiliados y pensionados del Régimen Obligatorio </w:t>
      </w:r>
      <w:r w:rsidR="00C822ED" w:rsidRPr="00066833">
        <w:rPr>
          <w:rFonts w:ascii="Times New Roman" w:eastAsia="Calibri" w:hAnsi="Times New Roman" w:cs="Times New Roman"/>
          <w:sz w:val="24"/>
          <w:szCs w:val="24"/>
          <w:lang w:val="es-CR"/>
        </w:rPr>
        <w:t>y</w:t>
      </w:r>
      <w:r w:rsidR="00C822ED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 </w:t>
      </w:r>
      <w:r w:rsidR="00C822ED" w:rsidRPr="00066833">
        <w:rPr>
          <w:rFonts w:ascii="Times New Roman" w:eastAsia="Calibri" w:hAnsi="Times New Roman" w:cs="Times New Roman"/>
          <w:sz w:val="24"/>
          <w:szCs w:val="24"/>
          <w:lang w:val="es-CR"/>
        </w:rPr>
        <w:t>Voluntario</w:t>
      </w:r>
      <w:r w:rsidRPr="00066833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 de Pensiones Complementarias</w:t>
      </w:r>
      <w:r w:rsidR="00395D14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 y de</w:t>
      </w:r>
      <w:r w:rsidR="0065064F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 los afiliados a</w:t>
      </w:r>
      <w:r w:rsidR="00395D14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l </w:t>
      </w:r>
      <w:r w:rsidR="00395D14" w:rsidRPr="00395D14">
        <w:rPr>
          <w:rFonts w:ascii="Times New Roman" w:eastAsia="Calibri" w:hAnsi="Times New Roman" w:cs="Times New Roman"/>
          <w:sz w:val="24"/>
          <w:szCs w:val="24"/>
          <w:lang w:val="es-CR"/>
        </w:rPr>
        <w:t>Fondo de Capitalización Laboral</w:t>
      </w:r>
      <w:r w:rsidR="009145CC">
        <w:rPr>
          <w:rFonts w:ascii="Times New Roman" w:eastAsia="Calibri" w:hAnsi="Times New Roman" w:cs="Times New Roman"/>
          <w:sz w:val="24"/>
          <w:szCs w:val="24"/>
          <w:lang w:val="es-CR"/>
        </w:rPr>
        <w:t>.</w:t>
      </w:r>
    </w:p>
    <w:p w14:paraId="3AEEBECB" w14:textId="77777777" w:rsidR="008B3A2E" w:rsidRPr="00066833" w:rsidRDefault="008B3A2E" w:rsidP="008B3A2E">
      <w:pPr>
        <w:pStyle w:val="Prrafodelista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</w:p>
    <w:p w14:paraId="741A3E78" w14:textId="77777777" w:rsidR="00EB78CD" w:rsidRPr="00066833" w:rsidRDefault="00EB78CD" w:rsidP="00FF37F8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  <w:r w:rsidRPr="00066833">
        <w:rPr>
          <w:rFonts w:ascii="Times New Roman" w:eastAsia="Calibri" w:hAnsi="Times New Roman" w:cs="Times New Roman"/>
          <w:sz w:val="24"/>
          <w:szCs w:val="24"/>
          <w:lang w:val="es-CR"/>
        </w:rPr>
        <w:t>i. Requisitos</w:t>
      </w:r>
      <w:r w:rsidR="00066833" w:rsidRPr="00066833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 </w:t>
      </w:r>
      <w:r w:rsidRPr="00066833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para ejercer el traslado. </w:t>
      </w:r>
    </w:p>
    <w:p w14:paraId="2DDB81CC" w14:textId="77777777" w:rsidR="00EB78CD" w:rsidRPr="00066833" w:rsidRDefault="00EB78CD" w:rsidP="00FF37F8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  <w:r w:rsidRPr="00066833">
        <w:rPr>
          <w:rFonts w:ascii="Times New Roman" w:eastAsia="Calibri" w:hAnsi="Times New Roman" w:cs="Times New Roman"/>
          <w:sz w:val="24"/>
          <w:szCs w:val="24"/>
          <w:lang w:val="es-CR"/>
        </w:rPr>
        <w:t>ii. Trámite y medios para ejercer el traslado.</w:t>
      </w:r>
    </w:p>
    <w:p w14:paraId="590F40DB" w14:textId="75F12D16" w:rsidR="00066833" w:rsidRDefault="00EB78CD" w:rsidP="00066833">
      <w:pPr>
        <w:spacing w:after="0"/>
        <w:ind w:left="708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  <w:r w:rsidRPr="00066833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iii. </w:t>
      </w:r>
      <w:r w:rsidR="006A1302">
        <w:rPr>
          <w:rFonts w:ascii="Times New Roman" w:eastAsia="Calibri" w:hAnsi="Times New Roman" w:cs="Times New Roman"/>
          <w:sz w:val="24"/>
          <w:szCs w:val="24"/>
          <w:lang w:val="es-CR"/>
        </w:rPr>
        <w:t>A</w:t>
      </w:r>
      <w:r w:rsidRPr="00066833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sesoría al afiliado y pensionado sobre las consecuencias patrimoniales que </w:t>
      </w:r>
      <w:r w:rsidR="00F66E16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se podrían </w:t>
      </w:r>
      <w:r w:rsidRPr="00066833">
        <w:rPr>
          <w:rFonts w:ascii="Times New Roman" w:eastAsia="Calibri" w:hAnsi="Times New Roman" w:cs="Times New Roman"/>
          <w:sz w:val="24"/>
          <w:szCs w:val="24"/>
          <w:lang w:val="es-CR"/>
        </w:rPr>
        <w:t>asum</w:t>
      </w:r>
      <w:r w:rsidR="00F66E16">
        <w:rPr>
          <w:rFonts w:ascii="Times New Roman" w:eastAsia="Calibri" w:hAnsi="Times New Roman" w:cs="Times New Roman"/>
          <w:sz w:val="24"/>
          <w:szCs w:val="24"/>
          <w:lang w:val="es-CR"/>
        </w:rPr>
        <w:t>ir</w:t>
      </w:r>
      <w:r w:rsidRPr="00066833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 al ejecutar la libre transferencia en eventos de mercados bajistas</w:t>
      </w:r>
      <w:r w:rsidR="00447FBC">
        <w:rPr>
          <w:rFonts w:ascii="Times New Roman" w:eastAsia="Calibri" w:hAnsi="Times New Roman" w:cs="Times New Roman"/>
          <w:sz w:val="24"/>
          <w:szCs w:val="24"/>
          <w:lang w:val="es-CR"/>
        </w:rPr>
        <w:t>.</w:t>
      </w:r>
      <w:r w:rsidRPr="00066833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 </w:t>
      </w:r>
    </w:p>
    <w:p w14:paraId="199732A6" w14:textId="3BE48CA1" w:rsidR="00EB78CD" w:rsidRPr="00FF37F8" w:rsidRDefault="00EB78CD" w:rsidP="00FF37F8">
      <w:pPr>
        <w:spacing w:after="0"/>
        <w:ind w:left="708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val="es-CR"/>
        </w:rPr>
      </w:pPr>
    </w:p>
    <w:p w14:paraId="587EBB15" w14:textId="48BB3E9A" w:rsidR="00EB78CD" w:rsidRPr="008B3A2E" w:rsidRDefault="00EB78CD" w:rsidP="008B3A2E">
      <w:pPr>
        <w:pStyle w:val="Prrafodelista"/>
        <w:numPr>
          <w:ilvl w:val="0"/>
          <w:numId w:val="17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  <w:r w:rsidRPr="008B3A2E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Traslado de planes colectivos </w:t>
      </w:r>
      <w:r w:rsidR="009145CC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del Régimen Voluntario de Pensiones Complementarias </w:t>
      </w:r>
      <w:r w:rsidRPr="008B3A2E">
        <w:rPr>
          <w:rFonts w:ascii="Times New Roman" w:eastAsia="Calibri" w:hAnsi="Times New Roman" w:cs="Times New Roman"/>
          <w:sz w:val="24"/>
          <w:szCs w:val="24"/>
          <w:lang w:val="es-CR"/>
        </w:rPr>
        <w:t>a otra operadora</w:t>
      </w:r>
      <w:r w:rsidR="008B3A2E" w:rsidRPr="008B3A2E">
        <w:rPr>
          <w:rFonts w:ascii="Times New Roman" w:eastAsia="Calibri" w:hAnsi="Times New Roman" w:cs="Times New Roman"/>
          <w:sz w:val="24"/>
          <w:szCs w:val="24"/>
          <w:lang w:val="es-CR"/>
        </w:rPr>
        <w:t>.</w:t>
      </w:r>
    </w:p>
    <w:p w14:paraId="10DBF7FD" w14:textId="77777777" w:rsidR="008B3A2E" w:rsidRPr="008B3A2E" w:rsidRDefault="008B3A2E" w:rsidP="008B3A2E">
      <w:pPr>
        <w:pStyle w:val="Prrafodelista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</w:p>
    <w:p w14:paraId="61C552D7" w14:textId="77777777" w:rsidR="00EB78CD" w:rsidRPr="008B3A2E" w:rsidRDefault="00EB78CD" w:rsidP="00FF37F8">
      <w:pPr>
        <w:spacing w:after="0"/>
        <w:ind w:left="708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  <w:r w:rsidRPr="008B3A2E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i. Condiciones para el traslado del colectivo. </w:t>
      </w:r>
    </w:p>
    <w:p w14:paraId="6A07E934" w14:textId="77777777" w:rsidR="00EB78CD" w:rsidRPr="008B3A2E" w:rsidRDefault="00EB78CD" w:rsidP="00FF37F8">
      <w:pPr>
        <w:spacing w:after="0"/>
        <w:ind w:left="708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  <w:r w:rsidRPr="008B3A2E">
        <w:rPr>
          <w:rFonts w:ascii="Times New Roman" w:eastAsia="Calibri" w:hAnsi="Times New Roman" w:cs="Times New Roman"/>
          <w:sz w:val="24"/>
          <w:szCs w:val="24"/>
          <w:lang w:val="es-CR"/>
        </w:rPr>
        <w:t>ii. Trámite para ejercer el traslado.</w:t>
      </w:r>
    </w:p>
    <w:p w14:paraId="4C8A6DB2" w14:textId="0974C68A" w:rsidR="00EB78CD" w:rsidRPr="008B3A2E" w:rsidRDefault="00EB78CD" w:rsidP="00FF37F8">
      <w:pPr>
        <w:spacing w:after="0"/>
        <w:ind w:left="708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  <w:r w:rsidRPr="008B3A2E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iii. Mecanismos de asesoría al afiliado sobre las consecuencias patrimoniales que </w:t>
      </w:r>
      <w:r w:rsidR="00B34428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se podrían </w:t>
      </w:r>
      <w:r w:rsidRPr="008B3A2E">
        <w:rPr>
          <w:rFonts w:ascii="Times New Roman" w:eastAsia="Calibri" w:hAnsi="Times New Roman" w:cs="Times New Roman"/>
          <w:sz w:val="24"/>
          <w:szCs w:val="24"/>
          <w:lang w:val="es-CR"/>
        </w:rPr>
        <w:t>asum</w:t>
      </w:r>
      <w:r w:rsidR="00B34428">
        <w:rPr>
          <w:rFonts w:ascii="Times New Roman" w:eastAsia="Calibri" w:hAnsi="Times New Roman" w:cs="Times New Roman"/>
          <w:sz w:val="24"/>
          <w:szCs w:val="24"/>
          <w:lang w:val="es-CR"/>
        </w:rPr>
        <w:t>ir</w:t>
      </w:r>
      <w:r w:rsidRPr="008B3A2E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 al ejecutar la libre transferencia en eventos de mercados bajistas</w:t>
      </w:r>
      <w:r w:rsidR="008B3A2E" w:rsidRPr="008B3A2E">
        <w:rPr>
          <w:rFonts w:ascii="Times New Roman" w:eastAsia="Calibri" w:hAnsi="Times New Roman" w:cs="Times New Roman"/>
          <w:sz w:val="24"/>
          <w:szCs w:val="24"/>
          <w:lang w:val="es-CR"/>
        </w:rPr>
        <w:t>.</w:t>
      </w:r>
    </w:p>
    <w:p w14:paraId="759F1E87" w14:textId="77777777" w:rsidR="008B3A2E" w:rsidRPr="00FF37F8" w:rsidRDefault="008B3A2E" w:rsidP="00FF37F8">
      <w:pPr>
        <w:spacing w:after="0"/>
        <w:ind w:left="708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val="es-CR"/>
        </w:rPr>
      </w:pPr>
    </w:p>
    <w:p w14:paraId="74630B37" w14:textId="77777777" w:rsidR="002076EC" w:rsidRPr="002076EC" w:rsidRDefault="00EB78CD" w:rsidP="002076EC">
      <w:pPr>
        <w:pStyle w:val="Prrafodelista"/>
        <w:numPr>
          <w:ilvl w:val="0"/>
          <w:numId w:val="17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  <w:r w:rsidRPr="002076EC">
        <w:rPr>
          <w:rFonts w:ascii="Times New Roman" w:eastAsia="Calibri" w:hAnsi="Times New Roman" w:cs="Times New Roman"/>
          <w:sz w:val="24"/>
          <w:szCs w:val="24"/>
          <w:lang w:val="es-CR"/>
        </w:rPr>
        <w:t>Traslados de recursos de beneficios o desacumulación</w:t>
      </w:r>
      <w:r w:rsidR="002076EC" w:rsidRPr="002076EC">
        <w:rPr>
          <w:rFonts w:ascii="Times New Roman" w:eastAsia="Calibri" w:hAnsi="Times New Roman" w:cs="Times New Roman"/>
          <w:sz w:val="24"/>
          <w:szCs w:val="24"/>
          <w:lang w:val="es-CR"/>
        </w:rPr>
        <w:t>.</w:t>
      </w:r>
    </w:p>
    <w:p w14:paraId="16B225A8" w14:textId="559E8C57" w:rsidR="00EB78CD" w:rsidRPr="002076EC" w:rsidRDefault="00EB78CD" w:rsidP="002076EC">
      <w:pPr>
        <w:pStyle w:val="Prrafodelista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  <w:r w:rsidRPr="002076EC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 </w:t>
      </w:r>
      <w:r w:rsidR="00CE3B4E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 </w:t>
      </w:r>
    </w:p>
    <w:p w14:paraId="5B9490C0" w14:textId="4EE5814F" w:rsidR="00CE3B4E" w:rsidRDefault="00EB78CD" w:rsidP="00CE3B4E">
      <w:pPr>
        <w:spacing w:after="0"/>
        <w:ind w:left="708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  <w:r w:rsidRPr="008F2B27">
        <w:rPr>
          <w:rFonts w:ascii="Times New Roman" w:eastAsia="Calibri" w:hAnsi="Times New Roman" w:cs="Times New Roman"/>
          <w:sz w:val="24"/>
          <w:szCs w:val="24"/>
          <w:lang w:val="es-CR"/>
        </w:rPr>
        <w:t>i. Requisitos y condiciones para ejecutar el traslado.</w:t>
      </w:r>
      <w:r w:rsidR="00CE3B4E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  </w:t>
      </w:r>
    </w:p>
    <w:p w14:paraId="0DA847FB" w14:textId="34ADABAA" w:rsidR="002076EC" w:rsidRPr="008F2B27" w:rsidRDefault="00CE3B4E" w:rsidP="00CE3B4E">
      <w:pPr>
        <w:spacing w:after="0"/>
        <w:ind w:left="708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  <w:r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ii. </w:t>
      </w:r>
      <w:r w:rsidR="00EB78CD" w:rsidRPr="008F2B27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Mecanismos de asesoría al pensionado sobre las consecuencias patrimoniales que </w:t>
      </w:r>
      <w:r w:rsidR="0039734A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se podrían </w:t>
      </w:r>
      <w:r w:rsidR="00EB78CD" w:rsidRPr="008F2B27">
        <w:rPr>
          <w:rFonts w:ascii="Times New Roman" w:eastAsia="Calibri" w:hAnsi="Times New Roman" w:cs="Times New Roman"/>
          <w:sz w:val="24"/>
          <w:szCs w:val="24"/>
          <w:lang w:val="es-CR"/>
        </w:rPr>
        <w:t>asum</w:t>
      </w:r>
      <w:r w:rsidR="0039734A">
        <w:rPr>
          <w:rFonts w:ascii="Times New Roman" w:eastAsia="Calibri" w:hAnsi="Times New Roman" w:cs="Times New Roman"/>
          <w:sz w:val="24"/>
          <w:szCs w:val="24"/>
          <w:lang w:val="es-CR"/>
        </w:rPr>
        <w:t>ir</w:t>
      </w:r>
      <w:r w:rsidR="00EB78CD" w:rsidRPr="008F2B27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 al ejecutar la libre transferencia en eventos de mercados bajistas.</w:t>
      </w:r>
    </w:p>
    <w:p w14:paraId="0BDE2FBE" w14:textId="77777777" w:rsidR="00EB78CD" w:rsidRPr="00FF37F8" w:rsidRDefault="00EB78CD" w:rsidP="002076EC">
      <w:pPr>
        <w:spacing w:after="0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val="es-CR"/>
        </w:rPr>
      </w:pPr>
      <w:r w:rsidRPr="00FF37F8">
        <w:rPr>
          <w:rFonts w:ascii="Times New Roman" w:eastAsia="Calibri" w:hAnsi="Times New Roman" w:cs="Times New Roman"/>
          <w:i/>
          <w:iCs/>
          <w:sz w:val="24"/>
          <w:szCs w:val="24"/>
          <w:lang w:val="es-CR"/>
        </w:rPr>
        <w:t xml:space="preserve"> </w:t>
      </w:r>
    </w:p>
    <w:p w14:paraId="65DA5168" w14:textId="77777777" w:rsidR="002076EC" w:rsidRPr="002076EC" w:rsidRDefault="00EB78CD" w:rsidP="002076EC">
      <w:pPr>
        <w:pStyle w:val="Prrafodelista"/>
        <w:numPr>
          <w:ilvl w:val="0"/>
          <w:numId w:val="17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  <w:r w:rsidRPr="002076EC">
        <w:rPr>
          <w:rFonts w:ascii="Times New Roman" w:eastAsia="Calibri" w:hAnsi="Times New Roman" w:cs="Times New Roman"/>
          <w:sz w:val="24"/>
          <w:szCs w:val="24"/>
          <w:lang w:val="es-CR"/>
        </w:rPr>
        <w:t>Traslado de los recursos acumulados en las cuentas individuales del Régimen Obligatorio y Voluntario de Pensiones Complementarias al Régimen No Contributivo de Pensiones administrado por la Caja Costarricense de Seguro Social</w:t>
      </w:r>
      <w:r w:rsidR="002076EC" w:rsidRPr="002076EC">
        <w:rPr>
          <w:rFonts w:ascii="Times New Roman" w:eastAsia="Calibri" w:hAnsi="Times New Roman" w:cs="Times New Roman"/>
          <w:sz w:val="24"/>
          <w:szCs w:val="24"/>
          <w:lang w:val="es-CR"/>
        </w:rPr>
        <w:t>.</w:t>
      </w:r>
    </w:p>
    <w:p w14:paraId="0371E444" w14:textId="77777777" w:rsidR="00EB78CD" w:rsidRPr="002076EC" w:rsidRDefault="00EB78CD" w:rsidP="002076EC">
      <w:pPr>
        <w:pStyle w:val="Prrafodelista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  <w:r w:rsidRPr="002076EC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 </w:t>
      </w:r>
    </w:p>
    <w:p w14:paraId="434EC43E" w14:textId="796D66E3" w:rsidR="00EB78CD" w:rsidRPr="008F2B27" w:rsidRDefault="00EB78CD" w:rsidP="00FF37F8">
      <w:pPr>
        <w:spacing w:after="0"/>
        <w:ind w:left="708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  <w:r w:rsidRPr="008F2B27">
        <w:rPr>
          <w:rFonts w:ascii="Times New Roman" w:eastAsia="Calibri" w:hAnsi="Times New Roman" w:cs="Times New Roman"/>
          <w:sz w:val="24"/>
          <w:szCs w:val="24"/>
          <w:lang w:val="es-CR"/>
        </w:rPr>
        <w:t>i</w:t>
      </w:r>
      <w:r w:rsidR="00ED5CB0">
        <w:rPr>
          <w:rFonts w:ascii="Times New Roman" w:eastAsia="Calibri" w:hAnsi="Times New Roman" w:cs="Times New Roman"/>
          <w:sz w:val="24"/>
          <w:szCs w:val="24"/>
          <w:lang w:val="es-CR"/>
        </w:rPr>
        <w:t>.</w:t>
      </w:r>
      <w:r w:rsidRPr="008F2B27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 Trámite.  </w:t>
      </w:r>
    </w:p>
    <w:p w14:paraId="3FCB5990" w14:textId="2734A7D7" w:rsidR="00EC39C5" w:rsidRPr="008F2B27" w:rsidRDefault="00EB78CD" w:rsidP="00FF37F8">
      <w:pPr>
        <w:spacing w:after="0"/>
        <w:ind w:left="708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  <w:r w:rsidRPr="008F2B27">
        <w:rPr>
          <w:rFonts w:ascii="Times New Roman" w:eastAsia="Calibri" w:hAnsi="Times New Roman" w:cs="Times New Roman"/>
          <w:sz w:val="24"/>
          <w:szCs w:val="24"/>
          <w:lang w:val="es-CR"/>
        </w:rPr>
        <w:t>ii</w:t>
      </w:r>
      <w:r w:rsidR="00ED5CB0">
        <w:rPr>
          <w:rFonts w:ascii="Times New Roman" w:eastAsia="Calibri" w:hAnsi="Times New Roman" w:cs="Times New Roman"/>
          <w:sz w:val="24"/>
          <w:szCs w:val="24"/>
          <w:lang w:val="es-CR"/>
        </w:rPr>
        <w:t>.</w:t>
      </w:r>
      <w:r w:rsidRPr="008F2B27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 Causales y condiciones para el traslado de los recursos (La prescripción decenal y la ausencia de beneficiarios). </w:t>
      </w:r>
    </w:p>
    <w:p w14:paraId="7737B762" w14:textId="77777777" w:rsidR="00FF37F8" w:rsidRPr="002B2782" w:rsidRDefault="00FF37F8" w:rsidP="00FF37F8">
      <w:pPr>
        <w:spacing w:after="0"/>
        <w:ind w:left="708"/>
        <w:jc w:val="both"/>
        <w:rPr>
          <w:rFonts w:eastAsia="Calibri" w:cstheme="minorHAnsi"/>
          <w:i/>
          <w:iCs/>
          <w:sz w:val="24"/>
          <w:szCs w:val="24"/>
          <w:lang w:val="es-CR"/>
        </w:rPr>
      </w:pPr>
    </w:p>
    <w:p w14:paraId="2F833525" w14:textId="29F21F8D" w:rsidR="00447FBC" w:rsidRPr="002B2782" w:rsidRDefault="00447FBC" w:rsidP="00420FB5">
      <w:pPr>
        <w:pStyle w:val="Prrafodelista"/>
        <w:numPr>
          <w:ilvl w:val="0"/>
          <w:numId w:val="3"/>
        </w:numPr>
        <w:spacing w:after="0"/>
        <w:jc w:val="both"/>
        <w:rPr>
          <w:rFonts w:eastAsia="Calibri" w:cstheme="minorHAnsi"/>
          <w:b/>
          <w:bCs/>
          <w:sz w:val="24"/>
          <w:szCs w:val="24"/>
          <w:lang w:val="es-CR"/>
        </w:rPr>
      </w:pPr>
      <w:r w:rsidRPr="002B2782">
        <w:rPr>
          <w:rFonts w:eastAsia="Calibri" w:cstheme="minorHAnsi"/>
          <w:b/>
          <w:bCs/>
          <w:sz w:val="24"/>
          <w:szCs w:val="24"/>
          <w:lang w:val="es-CR"/>
        </w:rPr>
        <w:t>Los estados de cuenta</w:t>
      </w:r>
    </w:p>
    <w:p w14:paraId="579AA0BC" w14:textId="77777777" w:rsidR="00447FBC" w:rsidRPr="00447FBC" w:rsidRDefault="00447FBC" w:rsidP="00447FBC">
      <w:pPr>
        <w:pStyle w:val="Prrafodelista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s-CR"/>
        </w:rPr>
      </w:pPr>
    </w:p>
    <w:p w14:paraId="62153365" w14:textId="77777777" w:rsidR="00447FBC" w:rsidRPr="00447FBC" w:rsidRDefault="00447FBC" w:rsidP="00447FBC">
      <w:pPr>
        <w:pStyle w:val="Prrafodelista"/>
        <w:numPr>
          <w:ilvl w:val="0"/>
          <w:numId w:val="21"/>
        </w:numPr>
        <w:rPr>
          <w:rFonts w:ascii="Times New Roman" w:eastAsia="Calibri" w:hAnsi="Times New Roman" w:cs="Times New Roman"/>
          <w:sz w:val="24"/>
          <w:szCs w:val="24"/>
          <w:lang w:val="es-CR"/>
        </w:rPr>
      </w:pPr>
      <w:r w:rsidRPr="00447FBC">
        <w:rPr>
          <w:rFonts w:ascii="Times New Roman" w:eastAsia="Calibri" w:hAnsi="Times New Roman" w:cs="Times New Roman"/>
          <w:sz w:val="24"/>
          <w:szCs w:val="24"/>
          <w:lang w:val="es-CR"/>
        </w:rPr>
        <w:t>Información que deben contener los estados de cuenta.</w:t>
      </w:r>
    </w:p>
    <w:p w14:paraId="6261A77F" w14:textId="1C0F37A8" w:rsidR="00447FBC" w:rsidRPr="00447FBC" w:rsidRDefault="00447FBC" w:rsidP="00447FBC">
      <w:pPr>
        <w:pStyle w:val="Prrafodelista"/>
        <w:numPr>
          <w:ilvl w:val="0"/>
          <w:numId w:val="21"/>
        </w:numPr>
        <w:rPr>
          <w:rFonts w:ascii="Times New Roman" w:eastAsia="Calibri" w:hAnsi="Times New Roman" w:cs="Times New Roman"/>
          <w:sz w:val="24"/>
          <w:szCs w:val="24"/>
          <w:lang w:val="es-CR"/>
        </w:rPr>
      </w:pPr>
      <w:r w:rsidRPr="00447FBC">
        <w:rPr>
          <w:rFonts w:ascii="Times New Roman" w:eastAsia="Calibri" w:hAnsi="Times New Roman" w:cs="Times New Roman"/>
          <w:sz w:val="24"/>
          <w:szCs w:val="24"/>
          <w:lang w:val="es-CR"/>
        </w:rPr>
        <w:t>Proyección de pensión y sus diversos escenarios.</w:t>
      </w:r>
    </w:p>
    <w:p w14:paraId="57638C00" w14:textId="0ED6F2E3" w:rsidR="00FF37F8" w:rsidRDefault="00447FBC" w:rsidP="00447FBC">
      <w:pPr>
        <w:pStyle w:val="Prrafodelista"/>
        <w:numPr>
          <w:ilvl w:val="0"/>
          <w:numId w:val="21"/>
        </w:numPr>
        <w:rPr>
          <w:rFonts w:ascii="Times New Roman" w:eastAsia="Calibri" w:hAnsi="Times New Roman" w:cs="Times New Roman"/>
          <w:sz w:val="24"/>
          <w:szCs w:val="24"/>
          <w:lang w:val="es-CR"/>
        </w:rPr>
      </w:pPr>
      <w:r w:rsidRPr="00447FBC">
        <w:rPr>
          <w:rFonts w:ascii="Times New Roman" w:eastAsia="Calibri" w:hAnsi="Times New Roman" w:cs="Times New Roman"/>
          <w:sz w:val="24"/>
          <w:szCs w:val="24"/>
          <w:lang w:val="es-CR"/>
        </w:rPr>
        <w:t>Frecuencia de remisión de los estados de cuenta</w:t>
      </w:r>
      <w:r w:rsidR="002076EC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 a los afiliados y pensionados.</w:t>
      </w:r>
    </w:p>
    <w:p w14:paraId="20FEC62D" w14:textId="77777777" w:rsidR="00447FBC" w:rsidRPr="002B2782" w:rsidRDefault="00447FBC" w:rsidP="00447FBC">
      <w:pPr>
        <w:pStyle w:val="Prrafodelista"/>
        <w:rPr>
          <w:rFonts w:eastAsia="Calibri" w:cstheme="minorHAnsi"/>
          <w:sz w:val="24"/>
          <w:szCs w:val="24"/>
          <w:lang w:val="es-CR"/>
        </w:rPr>
      </w:pPr>
    </w:p>
    <w:p w14:paraId="69056E95" w14:textId="7C0D3D9A" w:rsidR="00447FBC" w:rsidRPr="002B2782" w:rsidRDefault="006F2BA4" w:rsidP="00420FB5">
      <w:pPr>
        <w:pStyle w:val="Prrafodelista"/>
        <w:numPr>
          <w:ilvl w:val="0"/>
          <w:numId w:val="3"/>
        </w:numPr>
        <w:spacing w:after="0"/>
        <w:jc w:val="both"/>
        <w:rPr>
          <w:rFonts w:eastAsia="Calibri" w:cstheme="minorHAnsi"/>
          <w:b/>
          <w:bCs/>
          <w:sz w:val="24"/>
          <w:szCs w:val="24"/>
          <w:lang w:val="es-CR"/>
        </w:rPr>
      </w:pPr>
      <w:r w:rsidRPr="002B2782">
        <w:rPr>
          <w:rFonts w:eastAsia="Calibri" w:cstheme="minorHAnsi"/>
          <w:b/>
          <w:bCs/>
          <w:sz w:val="24"/>
          <w:szCs w:val="24"/>
          <w:lang w:val="es-CR"/>
        </w:rPr>
        <w:t>Régimen sancionatorio</w:t>
      </w:r>
    </w:p>
    <w:p w14:paraId="107039DA" w14:textId="77777777" w:rsidR="00331BD1" w:rsidRPr="00447FBC" w:rsidRDefault="006F2BA4" w:rsidP="00447FBC">
      <w:p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s-CR"/>
        </w:rPr>
      </w:pPr>
      <w:r w:rsidRPr="00447FBC">
        <w:rPr>
          <w:rFonts w:ascii="Times New Roman" w:eastAsia="Calibri" w:hAnsi="Times New Roman" w:cs="Times New Roman"/>
          <w:b/>
          <w:bCs/>
          <w:sz w:val="24"/>
          <w:szCs w:val="24"/>
          <w:lang w:val="es-CR"/>
        </w:rPr>
        <w:t xml:space="preserve"> </w:t>
      </w:r>
    </w:p>
    <w:p w14:paraId="3C680D01" w14:textId="77777777" w:rsidR="006F2BA4" w:rsidRPr="00447FBC" w:rsidRDefault="006F2BA4" w:rsidP="00447FBC">
      <w:pPr>
        <w:pStyle w:val="Prrafodelista"/>
        <w:numPr>
          <w:ilvl w:val="0"/>
          <w:numId w:val="23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  <w:r w:rsidRPr="00447FBC">
        <w:rPr>
          <w:rFonts w:ascii="Times New Roman" w:eastAsia="Calibri" w:hAnsi="Times New Roman" w:cs="Times New Roman"/>
          <w:sz w:val="24"/>
          <w:szCs w:val="24"/>
          <w:lang w:val="es-CR"/>
        </w:rPr>
        <w:t>Responsabilidad disciplinaria administrativa, penal y civil de los agentes promotores.</w:t>
      </w:r>
    </w:p>
    <w:p w14:paraId="7EC7AAAA" w14:textId="77777777" w:rsidR="006F2BA4" w:rsidRDefault="006F2BA4" w:rsidP="00FF37F8">
      <w:pPr>
        <w:pStyle w:val="Prrafodelista"/>
        <w:numPr>
          <w:ilvl w:val="0"/>
          <w:numId w:val="23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  <w:r w:rsidRPr="00447FBC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Responsabilidad disciplinaria administrativa, penal y civil de las </w:t>
      </w:r>
      <w:r w:rsidR="00646C58" w:rsidRPr="00447FBC">
        <w:rPr>
          <w:rFonts w:ascii="Times New Roman" w:eastAsia="Calibri" w:hAnsi="Times New Roman" w:cs="Times New Roman"/>
          <w:sz w:val="24"/>
          <w:szCs w:val="24"/>
          <w:lang w:val="es-CR"/>
        </w:rPr>
        <w:t>o</w:t>
      </w:r>
      <w:r w:rsidRPr="00447FBC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peradoras de </w:t>
      </w:r>
      <w:r w:rsidR="00646C58" w:rsidRPr="00447FBC">
        <w:rPr>
          <w:rFonts w:ascii="Times New Roman" w:eastAsia="Calibri" w:hAnsi="Times New Roman" w:cs="Times New Roman"/>
          <w:sz w:val="24"/>
          <w:szCs w:val="24"/>
          <w:lang w:val="es-CR"/>
        </w:rPr>
        <w:t>p</w:t>
      </w:r>
      <w:r w:rsidRPr="00447FBC">
        <w:rPr>
          <w:rFonts w:ascii="Times New Roman" w:eastAsia="Calibri" w:hAnsi="Times New Roman" w:cs="Times New Roman"/>
          <w:sz w:val="24"/>
          <w:szCs w:val="24"/>
          <w:lang w:val="es-CR"/>
        </w:rPr>
        <w:t>ensiones Complementarias: Responsabilidad solidaria por las actuaciones de los agentes promotores.</w:t>
      </w:r>
    </w:p>
    <w:p w14:paraId="4CEB2AA7" w14:textId="77777777" w:rsidR="00447FBC" w:rsidRDefault="00447FBC" w:rsidP="00FF37F8">
      <w:pPr>
        <w:pStyle w:val="Prrafodelista"/>
        <w:numPr>
          <w:ilvl w:val="0"/>
          <w:numId w:val="23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  <w:r>
        <w:rPr>
          <w:rFonts w:ascii="Times New Roman" w:eastAsia="Calibri" w:hAnsi="Times New Roman" w:cs="Times New Roman"/>
          <w:sz w:val="24"/>
          <w:szCs w:val="24"/>
          <w:lang w:val="es-CR"/>
        </w:rPr>
        <w:t>Consecuencias jurídicas para el agente promotor y la operadora derivada de la ausencia o indebida asesoría a los clientes que adquieren planes de acumulación y de beneficio en el</w:t>
      </w:r>
      <w:r w:rsidR="006F2BA4" w:rsidRPr="00447FBC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 Régimen </w:t>
      </w:r>
      <w:r w:rsidRPr="00447FBC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Voluntario </w:t>
      </w:r>
      <w:r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y </w:t>
      </w:r>
      <w:r w:rsidR="006F2BA4" w:rsidRPr="00447FBC">
        <w:rPr>
          <w:rFonts w:ascii="Times New Roman" w:eastAsia="Calibri" w:hAnsi="Times New Roman" w:cs="Times New Roman"/>
          <w:sz w:val="24"/>
          <w:szCs w:val="24"/>
          <w:lang w:val="es-CR"/>
        </w:rPr>
        <w:t>Obligatorio de Pensiones Complementarias.</w:t>
      </w:r>
    </w:p>
    <w:p w14:paraId="74D01BE9" w14:textId="2F85ABFD" w:rsidR="00FF37F8" w:rsidRDefault="00447FBC" w:rsidP="00447FBC">
      <w:pPr>
        <w:pStyle w:val="Prrafodelista"/>
        <w:numPr>
          <w:ilvl w:val="0"/>
          <w:numId w:val="23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  <w:r>
        <w:rPr>
          <w:rFonts w:ascii="Times New Roman" w:eastAsia="Calibri" w:hAnsi="Times New Roman" w:cs="Times New Roman"/>
          <w:sz w:val="24"/>
          <w:szCs w:val="24"/>
          <w:lang w:val="es-CR"/>
        </w:rPr>
        <w:t>Los deberes de</w:t>
      </w:r>
      <w:r w:rsidR="006F2BA4" w:rsidRPr="00447FBC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 información y asesoría al afiliado y pensionado con ocasión del ejercicio del derecho a la libre transferencia. </w:t>
      </w:r>
      <w:r w:rsidRPr="00447FBC">
        <w:rPr>
          <w:rFonts w:ascii="Times New Roman" w:eastAsia="Calibri" w:hAnsi="Times New Roman" w:cs="Times New Roman"/>
          <w:sz w:val="24"/>
          <w:szCs w:val="24"/>
          <w:lang w:val="es-CR"/>
        </w:rPr>
        <w:t>Consecuencias jurídicas para el agente promotor y la operadora derivada de la ausencia o indebida asesoría a los clientes</w:t>
      </w:r>
      <w:r>
        <w:rPr>
          <w:rFonts w:ascii="Times New Roman" w:eastAsia="Calibri" w:hAnsi="Times New Roman" w:cs="Times New Roman"/>
          <w:sz w:val="24"/>
          <w:szCs w:val="24"/>
          <w:lang w:val="es-CR"/>
        </w:rPr>
        <w:t>.</w:t>
      </w:r>
    </w:p>
    <w:p w14:paraId="6ECBB247" w14:textId="77777777" w:rsidR="00447FBC" w:rsidRPr="002B2782" w:rsidRDefault="00447FBC" w:rsidP="00447FBC">
      <w:pPr>
        <w:pStyle w:val="Prrafodelista"/>
        <w:spacing w:after="0"/>
        <w:jc w:val="both"/>
        <w:rPr>
          <w:rFonts w:eastAsia="Calibri" w:cstheme="minorHAnsi"/>
          <w:sz w:val="24"/>
          <w:szCs w:val="24"/>
          <w:lang w:val="es-CR"/>
        </w:rPr>
      </w:pPr>
    </w:p>
    <w:p w14:paraId="178338B8" w14:textId="14BEDE04" w:rsidR="00331BD1" w:rsidRPr="002B2782" w:rsidRDefault="009912B7" w:rsidP="00420FB5">
      <w:pPr>
        <w:pStyle w:val="Prrafodelista"/>
        <w:numPr>
          <w:ilvl w:val="0"/>
          <w:numId w:val="3"/>
        </w:numPr>
        <w:spacing w:after="0"/>
        <w:jc w:val="both"/>
        <w:rPr>
          <w:rFonts w:eastAsia="Calibri" w:cstheme="minorHAnsi"/>
          <w:sz w:val="24"/>
          <w:szCs w:val="24"/>
          <w:lang w:val="es-CR"/>
        </w:rPr>
      </w:pPr>
      <w:r w:rsidRPr="002B2782">
        <w:rPr>
          <w:rFonts w:eastAsia="Calibri" w:cstheme="minorHAnsi"/>
          <w:b/>
          <w:bCs/>
          <w:sz w:val="24"/>
          <w:szCs w:val="24"/>
          <w:lang w:val="es-CR"/>
        </w:rPr>
        <w:t>Atención al usuario y derechos del consumidor</w:t>
      </w:r>
      <w:r w:rsidRPr="002B2782">
        <w:rPr>
          <w:rFonts w:eastAsia="Calibri" w:cstheme="minorHAnsi"/>
          <w:sz w:val="24"/>
          <w:szCs w:val="24"/>
          <w:lang w:val="es-CR"/>
        </w:rPr>
        <w:t xml:space="preserve">. </w:t>
      </w:r>
    </w:p>
    <w:p w14:paraId="2023A61D" w14:textId="77777777" w:rsidR="00447FBC" w:rsidRPr="002B2782" w:rsidRDefault="00447FBC" w:rsidP="00FF37F8">
      <w:pPr>
        <w:spacing w:after="0"/>
        <w:jc w:val="both"/>
        <w:rPr>
          <w:rFonts w:eastAsia="Calibri" w:cstheme="minorHAnsi"/>
          <w:sz w:val="24"/>
          <w:szCs w:val="24"/>
          <w:lang w:val="es-CR"/>
        </w:rPr>
      </w:pPr>
    </w:p>
    <w:p w14:paraId="12A87404" w14:textId="77777777" w:rsidR="00447FBC" w:rsidRDefault="009912B7" w:rsidP="00447FBC">
      <w:pPr>
        <w:pStyle w:val="Prrafodelista"/>
        <w:numPr>
          <w:ilvl w:val="0"/>
          <w:numId w:val="25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  <w:r w:rsidRPr="00447FBC">
        <w:rPr>
          <w:rFonts w:ascii="Times New Roman" w:eastAsia="Calibri" w:hAnsi="Times New Roman" w:cs="Times New Roman"/>
          <w:sz w:val="24"/>
          <w:szCs w:val="24"/>
          <w:lang w:val="es-CR"/>
        </w:rPr>
        <w:t>Servicio al cliente.</w:t>
      </w:r>
    </w:p>
    <w:p w14:paraId="637769E2" w14:textId="5B579ACC" w:rsidR="00447FBC" w:rsidRDefault="009912B7" w:rsidP="00FF37F8">
      <w:pPr>
        <w:pStyle w:val="Prrafodelista"/>
        <w:numPr>
          <w:ilvl w:val="0"/>
          <w:numId w:val="25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  <w:r w:rsidRPr="00447FBC">
        <w:rPr>
          <w:rFonts w:ascii="Times New Roman" w:eastAsia="Calibri" w:hAnsi="Times New Roman" w:cs="Times New Roman"/>
          <w:sz w:val="24"/>
          <w:szCs w:val="24"/>
          <w:lang w:val="es-CR"/>
        </w:rPr>
        <w:t>Atención de consultas.</w:t>
      </w:r>
    </w:p>
    <w:p w14:paraId="7725F849" w14:textId="4ADA68F6" w:rsidR="009912B7" w:rsidRDefault="00447FBC" w:rsidP="00FF37F8">
      <w:pPr>
        <w:pStyle w:val="Prrafodelista"/>
        <w:numPr>
          <w:ilvl w:val="0"/>
          <w:numId w:val="25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  <w:r w:rsidRPr="00447FBC">
        <w:rPr>
          <w:rFonts w:ascii="Times New Roman" w:eastAsia="Calibri" w:hAnsi="Times New Roman" w:cs="Times New Roman"/>
          <w:sz w:val="24"/>
          <w:szCs w:val="24"/>
          <w:lang w:val="es-CR"/>
        </w:rPr>
        <w:t>Derechos del consumidor.</w:t>
      </w:r>
    </w:p>
    <w:p w14:paraId="06B30C06" w14:textId="77777777" w:rsidR="009912B7" w:rsidRPr="00447FBC" w:rsidRDefault="009912B7" w:rsidP="00FF37F8">
      <w:pPr>
        <w:pStyle w:val="Prrafodelista"/>
        <w:numPr>
          <w:ilvl w:val="0"/>
          <w:numId w:val="25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  <w:r w:rsidRPr="00447FBC">
        <w:rPr>
          <w:rFonts w:ascii="Times New Roman" w:eastAsia="Calibri" w:hAnsi="Times New Roman" w:cs="Times New Roman"/>
          <w:sz w:val="24"/>
          <w:szCs w:val="24"/>
          <w:lang w:val="es-CR"/>
        </w:rPr>
        <w:t>Resolución de quejas y controversias.</w:t>
      </w:r>
    </w:p>
    <w:p w14:paraId="1DE0ED44" w14:textId="77777777" w:rsidR="00FF37F8" w:rsidRPr="00FF37F8" w:rsidRDefault="00FF37F8" w:rsidP="00FF37F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</w:p>
    <w:p w14:paraId="3358AE38" w14:textId="2E7B52CF" w:rsidR="00C822ED" w:rsidRDefault="00C822ED" w:rsidP="00FF37F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  <w:r w:rsidRPr="00C822ED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Rige </w:t>
      </w:r>
      <w:r w:rsidR="001E458F">
        <w:rPr>
          <w:rFonts w:ascii="Times New Roman" w:eastAsia="Calibri" w:hAnsi="Times New Roman" w:cs="Times New Roman"/>
          <w:sz w:val="24"/>
          <w:szCs w:val="24"/>
          <w:lang w:val="es-CR"/>
        </w:rPr>
        <w:t>dos meses</w:t>
      </w:r>
      <w:r w:rsidRPr="00C822ED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 natural</w:t>
      </w:r>
      <w:r w:rsidR="001E458F">
        <w:rPr>
          <w:rFonts w:ascii="Times New Roman" w:eastAsia="Calibri" w:hAnsi="Times New Roman" w:cs="Times New Roman"/>
          <w:sz w:val="24"/>
          <w:szCs w:val="24"/>
          <w:lang w:val="es-CR"/>
        </w:rPr>
        <w:t>es</w:t>
      </w:r>
      <w:r w:rsidRPr="00C822ED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 </w:t>
      </w:r>
      <w:r w:rsidR="005B2CC6">
        <w:rPr>
          <w:rFonts w:ascii="Times New Roman" w:eastAsia="Calibri" w:hAnsi="Times New Roman" w:cs="Times New Roman"/>
          <w:sz w:val="24"/>
          <w:szCs w:val="24"/>
          <w:lang w:val="es-CR"/>
        </w:rPr>
        <w:t>contado</w:t>
      </w:r>
      <w:r w:rsidR="001E458F">
        <w:rPr>
          <w:rFonts w:ascii="Times New Roman" w:eastAsia="Calibri" w:hAnsi="Times New Roman" w:cs="Times New Roman"/>
          <w:sz w:val="24"/>
          <w:szCs w:val="24"/>
          <w:lang w:val="es-CR"/>
        </w:rPr>
        <w:t>s</w:t>
      </w:r>
      <w:r w:rsidR="005B2CC6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 </w:t>
      </w:r>
      <w:r w:rsidRPr="00C822ED">
        <w:rPr>
          <w:rFonts w:ascii="Times New Roman" w:eastAsia="Calibri" w:hAnsi="Times New Roman" w:cs="Times New Roman"/>
          <w:sz w:val="24"/>
          <w:szCs w:val="24"/>
          <w:lang w:val="es-CR"/>
        </w:rPr>
        <w:t>a partir del día de su comunicación</w:t>
      </w:r>
      <w:r>
        <w:rPr>
          <w:rFonts w:ascii="Times New Roman" w:eastAsia="Calibri" w:hAnsi="Times New Roman" w:cs="Times New Roman"/>
          <w:sz w:val="24"/>
          <w:szCs w:val="24"/>
          <w:lang w:val="es-CR"/>
        </w:rPr>
        <w:t>.</w:t>
      </w:r>
    </w:p>
    <w:p w14:paraId="3044ACB8" w14:textId="77777777" w:rsidR="00C822ED" w:rsidRDefault="00C822ED" w:rsidP="00FF37F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</w:p>
    <w:p w14:paraId="58FB0E30" w14:textId="7117A66E" w:rsidR="00D24847" w:rsidRDefault="00D24847" w:rsidP="00FF37F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  <w:r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>Comuníquese.</w:t>
      </w:r>
    </w:p>
    <w:p w14:paraId="325C2207" w14:textId="77777777" w:rsidR="00447FBC" w:rsidRDefault="00447FBC" w:rsidP="00FF37F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</w:p>
    <w:p w14:paraId="7C608597" w14:textId="77777777" w:rsidR="00054063" w:rsidRPr="00FF37F8" w:rsidRDefault="00054063" w:rsidP="00FF37F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</w:p>
    <w:p w14:paraId="1392312D" w14:textId="77777777" w:rsidR="00D24847" w:rsidRPr="00FF37F8" w:rsidRDefault="00D24847" w:rsidP="00FF37F8">
      <w:pPr>
        <w:spacing w:after="0"/>
        <w:rPr>
          <w:rFonts w:ascii="Times New Roman" w:eastAsia="Calibri" w:hAnsi="Times New Roman" w:cs="Times New Roman"/>
        </w:rPr>
      </w:pPr>
      <w:r w:rsidRPr="00FF37F8">
        <w:rPr>
          <w:rFonts w:ascii="Times New Roman" w:eastAsia="Calibri" w:hAnsi="Times New Roman" w:cs="Times New Roman"/>
          <w:noProof/>
          <w:lang w:eastAsia="es-CR"/>
        </w:rPr>
        <w:drawing>
          <wp:inline distT="0" distB="0" distL="0" distR="0" wp14:anchorId="03163FC5" wp14:editId="07991D78">
            <wp:extent cx="1244600" cy="48260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irmadig_centrada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4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753B86" w14:textId="08C4783D" w:rsidR="00D24847" w:rsidRPr="00FF37F8" w:rsidRDefault="00EA3A4B" w:rsidP="00FF37F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  <w:r>
        <w:rPr>
          <w:rFonts w:ascii="Times New Roman" w:eastAsia="Calibri" w:hAnsi="Times New Roman" w:cs="Times New Roman"/>
          <w:sz w:val="24"/>
          <w:szCs w:val="24"/>
          <w:lang w:val="es-CR"/>
        </w:rPr>
        <w:t>Adrián Pacheco Umaña</w:t>
      </w:r>
    </w:p>
    <w:p w14:paraId="2E797C04" w14:textId="79B309C8" w:rsidR="00D24847" w:rsidRPr="00FF37F8" w:rsidRDefault="00D24847" w:rsidP="00FF37F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es-CR"/>
        </w:rPr>
      </w:pPr>
      <w:r w:rsidRPr="00FF37F8">
        <w:rPr>
          <w:rFonts w:ascii="Times New Roman" w:eastAsia="Calibri" w:hAnsi="Times New Roman" w:cs="Times New Roman"/>
          <w:sz w:val="24"/>
          <w:szCs w:val="24"/>
          <w:lang w:val="es-CR"/>
        </w:rPr>
        <w:t>Superintendente de Pensiones</w:t>
      </w:r>
      <w:r w:rsidR="00EA3A4B">
        <w:rPr>
          <w:rFonts w:ascii="Times New Roman" w:eastAsia="Calibri" w:hAnsi="Times New Roman" w:cs="Times New Roman"/>
          <w:sz w:val="24"/>
          <w:szCs w:val="24"/>
          <w:lang w:val="es-CR"/>
        </w:rPr>
        <w:t xml:space="preserve"> a.i.</w:t>
      </w:r>
    </w:p>
    <w:p w14:paraId="0597745B" w14:textId="77777777" w:rsidR="00D1240C" w:rsidRDefault="00D1240C" w:rsidP="002344FF">
      <w:pPr>
        <w:tabs>
          <w:tab w:val="left" w:pos="1056"/>
        </w:tabs>
        <w:rPr>
          <w:rFonts w:ascii="Times New Roman" w:hAnsi="Times New Roman" w:cs="Times New Roman"/>
          <w:sz w:val="24"/>
        </w:rPr>
      </w:pPr>
    </w:p>
    <w:p w14:paraId="1E5784CD" w14:textId="4577A7C6" w:rsidR="00703D77" w:rsidRPr="00FF37F8" w:rsidRDefault="00703D77" w:rsidP="002344FF">
      <w:pPr>
        <w:tabs>
          <w:tab w:val="left" w:pos="1056"/>
        </w:tabs>
        <w:rPr>
          <w:rFonts w:ascii="Times New Roman" w:hAnsi="Times New Roman" w:cs="Times New Roman"/>
          <w:sz w:val="24"/>
        </w:rPr>
      </w:pPr>
    </w:p>
    <w:sectPr w:rsidR="00703D77" w:rsidRPr="00FF37F8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EDB511" w14:textId="77777777" w:rsidR="007C2F7F" w:rsidRDefault="007C2F7F" w:rsidP="00907FB5">
      <w:pPr>
        <w:spacing w:after="0" w:line="240" w:lineRule="auto"/>
      </w:pPr>
      <w:r>
        <w:separator/>
      </w:r>
    </w:p>
  </w:endnote>
  <w:endnote w:type="continuationSeparator" w:id="0">
    <w:p w14:paraId="0A422D5A" w14:textId="77777777" w:rsidR="007C2F7F" w:rsidRDefault="007C2F7F" w:rsidP="00907F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A7DE5" w14:textId="77777777" w:rsidR="00907FB5" w:rsidRDefault="002B47BE" w:rsidP="00907FB5">
    <w:pPr>
      <w:pStyle w:val="Piedepgina"/>
      <w:pBdr>
        <w:top w:val="single" w:sz="4" w:space="1" w:color="auto"/>
      </w:pBdr>
      <w:rPr>
        <w:i/>
        <w:szCs w:val="24"/>
      </w:rPr>
    </w:pPr>
    <w:r>
      <w:rPr>
        <w:i/>
        <w:noProof/>
        <w:szCs w:val="24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247A0CB8" wp14:editId="7946C096">
              <wp:simplePos x="0" y="0"/>
              <wp:positionH relativeFrom="page">
                <wp:posOffset>0</wp:posOffset>
              </wp:positionH>
              <wp:positionV relativeFrom="page">
                <wp:posOffset>9594215</wp:posOffset>
              </wp:positionV>
              <wp:extent cx="7772400" cy="273050"/>
              <wp:effectExtent l="0" t="0" r="0" b="12700"/>
              <wp:wrapNone/>
              <wp:docPr id="1" name="MSIPCMbd3e4457ba13f2f4e005a415" descr="{&quot;HashCode&quot;:1186230005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AC215E4" w14:textId="77777777" w:rsidR="002B47BE" w:rsidRPr="002B47BE" w:rsidRDefault="002B47BE" w:rsidP="002B47BE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2B47BE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7A0CB8" id="_x0000_t202" coordsize="21600,21600" o:spt="202" path="m,l,21600r21600,l21600,xe">
              <v:stroke joinstyle="miter"/>
              <v:path gradientshapeok="t" o:connecttype="rect"/>
            </v:shapetype>
            <v:shape id="MSIPCMbd3e4457ba13f2f4e005a415" o:spid="_x0000_s1026" type="#_x0000_t202" alt="{&quot;HashCode&quot;:1186230005,&quot;Height&quot;:792.0,&quot;Width&quot;:612.0,&quot;Placement&quot;:&quot;Footer&quot;,&quot;Index&quot;:&quot;Primary&quot;,&quot;Section&quot;:1,&quot;Top&quot;:0.0,&quot;Left&quot;:0.0}" style="position:absolute;margin-left:0;margin-top:755.45pt;width:612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" o:allowincell="f" filled="f" stroked="f" strokeweight=".5pt">
              <v:textbox inset=",0,,0">
                <w:txbxContent>
                  <w:p w14:paraId="5AC215E4" w14:textId="77777777" w:rsidR="002B47BE" w:rsidRPr="002B47BE" w:rsidRDefault="002B47BE" w:rsidP="002B47BE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2B47BE">
                      <w:rPr>
                        <w:rFonts w:ascii="Calibri" w:hAnsi="Calibri" w:cs="Calibri"/>
                        <w:color w:val="000000"/>
                        <w:sz w:val="20"/>
                      </w:rPr>
                      <w:t>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62CEC476" w14:textId="77777777" w:rsidR="00907FB5" w:rsidRPr="00E84B2D" w:rsidRDefault="00E84B2D" w:rsidP="00E84B2D">
    <w:pPr>
      <w:pStyle w:val="Piedepgina"/>
      <w:pBdr>
        <w:top w:val="single" w:sz="4" w:space="1" w:color="auto"/>
      </w:pBdr>
      <w:rPr>
        <w:szCs w:val="24"/>
      </w:rPr>
    </w:pPr>
    <w:r>
      <w:rPr>
        <w:i/>
        <w:szCs w:val="24"/>
      </w:rPr>
      <w:t>Teléfonos 2243-4400</w:t>
    </w:r>
    <w:r>
      <w:rPr>
        <w:i/>
        <w:szCs w:val="24"/>
      </w:rPr>
      <w:tab/>
      <w:t>Fax 2243-4444</w:t>
    </w:r>
    <w:r>
      <w:rPr>
        <w:i/>
        <w:szCs w:val="24"/>
      </w:rPr>
      <w:tab/>
    </w:r>
    <w:hyperlink r:id="rId1" w:history="1">
      <w:r>
        <w:rPr>
          <w:rStyle w:val="Hipervnculo"/>
          <w:i/>
          <w:szCs w:val="24"/>
        </w:rPr>
        <w:t>supen@supen.fi.cr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5FC49D" w14:textId="77777777" w:rsidR="007C2F7F" w:rsidRDefault="007C2F7F" w:rsidP="00907FB5">
      <w:pPr>
        <w:spacing w:after="0" w:line="240" w:lineRule="auto"/>
      </w:pPr>
      <w:r>
        <w:separator/>
      </w:r>
    </w:p>
  </w:footnote>
  <w:footnote w:type="continuationSeparator" w:id="0">
    <w:p w14:paraId="4424DD89" w14:textId="77777777" w:rsidR="007C2F7F" w:rsidRDefault="007C2F7F" w:rsidP="00907F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FB91A" w14:textId="77777777" w:rsidR="00907FB5" w:rsidRDefault="005D1970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E0EF3AB" wp14:editId="3EA6B3C6">
          <wp:simplePos x="0" y="0"/>
          <wp:positionH relativeFrom="margin">
            <wp:align>right</wp:align>
          </wp:positionH>
          <wp:positionV relativeFrom="paragraph">
            <wp:posOffset>-127389</wp:posOffset>
          </wp:positionV>
          <wp:extent cx="901700" cy="585470"/>
          <wp:effectExtent l="0" t="0" r="0" b="5080"/>
          <wp:wrapNone/>
          <wp:docPr id="11" name="Imagen 11" descr="Imagen de la pantalla de un celular con letras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n 11" descr="Imagen de la pantalla de un celular con letras&#10;&#10;Descripción generada automáticamente con confianza baj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585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07FB5">
      <w:rPr>
        <w:noProof/>
        <w:lang w:val="es-CR" w:eastAsia="es-CR"/>
      </w:rPr>
      <w:drawing>
        <wp:anchor distT="0" distB="0" distL="114300" distR="114300" simplePos="0" relativeHeight="251656192" behindDoc="1" locked="0" layoutInCell="1" allowOverlap="1" wp14:anchorId="1C4B85CE" wp14:editId="1858DF45">
          <wp:simplePos x="0" y="0"/>
          <wp:positionH relativeFrom="page">
            <wp:posOffset>812165</wp:posOffset>
          </wp:positionH>
          <wp:positionV relativeFrom="page">
            <wp:posOffset>184150</wp:posOffset>
          </wp:positionV>
          <wp:extent cx="1945005" cy="899795"/>
          <wp:effectExtent l="0" t="0" r="0" b="0"/>
          <wp:wrapTopAndBottom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5005" cy="899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B4761"/>
    <w:multiLevelType w:val="hybridMultilevel"/>
    <w:tmpl w:val="91D4ED5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C67D9"/>
    <w:multiLevelType w:val="hybridMultilevel"/>
    <w:tmpl w:val="50BA81B0"/>
    <w:lvl w:ilvl="0" w:tplc="958C8CFE">
      <w:start w:val="1"/>
      <w:numFmt w:val="lowerRoman"/>
      <w:lvlText w:val="%1."/>
      <w:lvlJc w:val="left"/>
      <w:pPr>
        <w:ind w:left="1428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788" w:hanging="360"/>
      </w:pPr>
    </w:lvl>
    <w:lvl w:ilvl="2" w:tplc="140A001B" w:tentative="1">
      <w:start w:val="1"/>
      <w:numFmt w:val="lowerRoman"/>
      <w:lvlText w:val="%3."/>
      <w:lvlJc w:val="right"/>
      <w:pPr>
        <w:ind w:left="2508" w:hanging="180"/>
      </w:pPr>
    </w:lvl>
    <w:lvl w:ilvl="3" w:tplc="140A000F" w:tentative="1">
      <w:start w:val="1"/>
      <w:numFmt w:val="decimal"/>
      <w:lvlText w:val="%4."/>
      <w:lvlJc w:val="left"/>
      <w:pPr>
        <w:ind w:left="3228" w:hanging="360"/>
      </w:pPr>
    </w:lvl>
    <w:lvl w:ilvl="4" w:tplc="140A0019" w:tentative="1">
      <w:start w:val="1"/>
      <w:numFmt w:val="lowerLetter"/>
      <w:lvlText w:val="%5."/>
      <w:lvlJc w:val="left"/>
      <w:pPr>
        <w:ind w:left="3948" w:hanging="360"/>
      </w:pPr>
    </w:lvl>
    <w:lvl w:ilvl="5" w:tplc="140A001B" w:tentative="1">
      <w:start w:val="1"/>
      <w:numFmt w:val="lowerRoman"/>
      <w:lvlText w:val="%6."/>
      <w:lvlJc w:val="right"/>
      <w:pPr>
        <w:ind w:left="4668" w:hanging="180"/>
      </w:pPr>
    </w:lvl>
    <w:lvl w:ilvl="6" w:tplc="140A000F" w:tentative="1">
      <w:start w:val="1"/>
      <w:numFmt w:val="decimal"/>
      <w:lvlText w:val="%7."/>
      <w:lvlJc w:val="left"/>
      <w:pPr>
        <w:ind w:left="5388" w:hanging="360"/>
      </w:pPr>
    </w:lvl>
    <w:lvl w:ilvl="7" w:tplc="140A0019" w:tentative="1">
      <w:start w:val="1"/>
      <w:numFmt w:val="lowerLetter"/>
      <w:lvlText w:val="%8."/>
      <w:lvlJc w:val="left"/>
      <w:pPr>
        <w:ind w:left="6108" w:hanging="360"/>
      </w:pPr>
    </w:lvl>
    <w:lvl w:ilvl="8" w:tplc="1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7131AEA"/>
    <w:multiLevelType w:val="hybridMultilevel"/>
    <w:tmpl w:val="93DCD1AA"/>
    <w:lvl w:ilvl="0" w:tplc="1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76276"/>
    <w:multiLevelType w:val="hybridMultilevel"/>
    <w:tmpl w:val="C6FE99A4"/>
    <w:lvl w:ilvl="0" w:tplc="B5FC016C">
      <w:start w:val="12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94BAE"/>
    <w:multiLevelType w:val="hybridMultilevel"/>
    <w:tmpl w:val="A94C5ACA"/>
    <w:lvl w:ilvl="0" w:tplc="63DEB95E">
      <w:start w:val="1"/>
      <w:numFmt w:val="low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E13121"/>
    <w:multiLevelType w:val="hybridMultilevel"/>
    <w:tmpl w:val="94C4C852"/>
    <w:lvl w:ilvl="0" w:tplc="140A0019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407648"/>
    <w:multiLevelType w:val="hybridMultilevel"/>
    <w:tmpl w:val="0798BBA0"/>
    <w:lvl w:ilvl="0" w:tplc="140A0019">
      <w:start w:val="1"/>
      <w:numFmt w:val="lowerLetter"/>
      <w:lvlText w:val="%1."/>
      <w:lvlJc w:val="left"/>
      <w:pPr>
        <w:ind w:left="1068" w:hanging="360"/>
      </w:pPr>
    </w:lvl>
    <w:lvl w:ilvl="1" w:tplc="140A0019" w:tentative="1">
      <w:start w:val="1"/>
      <w:numFmt w:val="lowerLetter"/>
      <w:lvlText w:val="%2."/>
      <w:lvlJc w:val="left"/>
      <w:pPr>
        <w:ind w:left="1788" w:hanging="360"/>
      </w:pPr>
    </w:lvl>
    <w:lvl w:ilvl="2" w:tplc="140A001B" w:tentative="1">
      <w:start w:val="1"/>
      <w:numFmt w:val="lowerRoman"/>
      <w:lvlText w:val="%3."/>
      <w:lvlJc w:val="right"/>
      <w:pPr>
        <w:ind w:left="2508" w:hanging="180"/>
      </w:pPr>
    </w:lvl>
    <w:lvl w:ilvl="3" w:tplc="140A000F" w:tentative="1">
      <w:start w:val="1"/>
      <w:numFmt w:val="decimal"/>
      <w:lvlText w:val="%4."/>
      <w:lvlJc w:val="left"/>
      <w:pPr>
        <w:ind w:left="3228" w:hanging="360"/>
      </w:pPr>
    </w:lvl>
    <w:lvl w:ilvl="4" w:tplc="140A0019" w:tentative="1">
      <w:start w:val="1"/>
      <w:numFmt w:val="lowerLetter"/>
      <w:lvlText w:val="%5."/>
      <w:lvlJc w:val="left"/>
      <w:pPr>
        <w:ind w:left="3948" w:hanging="360"/>
      </w:pPr>
    </w:lvl>
    <w:lvl w:ilvl="5" w:tplc="140A001B" w:tentative="1">
      <w:start w:val="1"/>
      <w:numFmt w:val="lowerRoman"/>
      <w:lvlText w:val="%6."/>
      <w:lvlJc w:val="right"/>
      <w:pPr>
        <w:ind w:left="4668" w:hanging="180"/>
      </w:pPr>
    </w:lvl>
    <w:lvl w:ilvl="6" w:tplc="140A000F" w:tentative="1">
      <w:start w:val="1"/>
      <w:numFmt w:val="decimal"/>
      <w:lvlText w:val="%7."/>
      <w:lvlJc w:val="left"/>
      <w:pPr>
        <w:ind w:left="5388" w:hanging="360"/>
      </w:pPr>
    </w:lvl>
    <w:lvl w:ilvl="7" w:tplc="140A0019" w:tentative="1">
      <w:start w:val="1"/>
      <w:numFmt w:val="lowerLetter"/>
      <w:lvlText w:val="%8."/>
      <w:lvlJc w:val="left"/>
      <w:pPr>
        <w:ind w:left="6108" w:hanging="360"/>
      </w:pPr>
    </w:lvl>
    <w:lvl w:ilvl="8" w:tplc="1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B485DA2"/>
    <w:multiLevelType w:val="hybridMultilevel"/>
    <w:tmpl w:val="2D742898"/>
    <w:lvl w:ilvl="0" w:tplc="CE9822EC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C579C8"/>
    <w:multiLevelType w:val="hybridMultilevel"/>
    <w:tmpl w:val="5ADE557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7B77EF"/>
    <w:multiLevelType w:val="hybridMultilevel"/>
    <w:tmpl w:val="68DAD8F2"/>
    <w:lvl w:ilvl="0" w:tplc="3D601DD0">
      <w:start w:val="1"/>
      <w:numFmt w:val="lowerLetter"/>
      <w:lvlText w:val="%1."/>
      <w:lvlJc w:val="left"/>
      <w:pPr>
        <w:ind w:left="720" w:hanging="360"/>
      </w:pPr>
      <w:rPr>
        <w:b w:val="0"/>
        <w:bCs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4E20BD"/>
    <w:multiLevelType w:val="hybridMultilevel"/>
    <w:tmpl w:val="47948F02"/>
    <w:lvl w:ilvl="0" w:tplc="140A0019">
      <w:start w:val="1"/>
      <w:numFmt w:val="lowerLetter"/>
      <w:lvlText w:val="%1."/>
      <w:lvlJc w:val="left"/>
      <w:pPr>
        <w:ind w:left="1068" w:hanging="360"/>
      </w:pPr>
    </w:lvl>
    <w:lvl w:ilvl="1" w:tplc="140A0019" w:tentative="1">
      <w:start w:val="1"/>
      <w:numFmt w:val="lowerLetter"/>
      <w:lvlText w:val="%2."/>
      <w:lvlJc w:val="left"/>
      <w:pPr>
        <w:ind w:left="1788" w:hanging="360"/>
      </w:pPr>
    </w:lvl>
    <w:lvl w:ilvl="2" w:tplc="140A001B" w:tentative="1">
      <w:start w:val="1"/>
      <w:numFmt w:val="lowerRoman"/>
      <w:lvlText w:val="%3."/>
      <w:lvlJc w:val="right"/>
      <w:pPr>
        <w:ind w:left="2508" w:hanging="180"/>
      </w:pPr>
    </w:lvl>
    <w:lvl w:ilvl="3" w:tplc="140A000F" w:tentative="1">
      <w:start w:val="1"/>
      <w:numFmt w:val="decimal"/>
      <w:lvlText w:val="%4."/>
      <w:lvlJc w:val="left"/>
      <w:pPr>
        <w:ind w:left="3228" w:hanging="360"/>
      </w:pPr>
    </w:lvl>
    <w:lvl w:ilvl="4" w:tplc="140A0019" w:tentative="1">
      <w:start w:val="1"/>
      <w:numFmt w:val="lowerLetter"/>
      <w:lvlText w:val="%5."/>
      <w:lvlJc w:val="left"/>
      <w:pPr>
        <w:ind w:left="3948" w:hanging="360"/>
      </w:pPr>
    </w:lvl>
    <w:lvl w:ilvl="5" w:tplc="140A001B" w:tentative="1">
      <w:start w:val="1"/>
      <w:numFmt w:val="lowerRoman"/>
      <w:lvlText w:val="%6."/>
      <w:lvlJc w:val="right"/>
      <w:pPr>
        <w:ind w:left="4668" w:hanging="180"/>
      </w:pPr>
    </w:lvl>
    <w:lvl w:ilvl="6" w:tplc="140A000F" w:tentative="1">
      <w:start w:val="1"/>
      <w:numFmt w:val="decimal"/>
      <w:lvlText w:val="%7."/>
      <w:lvlJc w:val="left"/>
      <w:pPr>
        <w:ind w:left="5388" w:hanging="360"/>
      </w:pPr>
    </w:lvl>
    <w:lvl w:ilvl="7" w:tplc="140A0019" w:tentative="1">
      <w:start w:val="1"/>
      <w:numFmt w:val="lowerLetter"/>
      <w:lvlText w:val="%8."/>
      <w:lvlJc w:val="left"/>
      <w:pPr>
        <w:ind w:left="6108" w:hanging="360"/>
      </w:pPr>
    </w:lvl>
    <w:lvl w:ilvl="8" w:tplc="1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99B4A57"/>
    <w:multiLevelType w:val="hybridMultilevel"/>
    <w:tmpl w:val="4CD4DB2C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6A4F6C"/>
    <w:multiLevelType w:val="hybridMultilevel"/>
    <w:tmpl w:val="53766010"/>
    <w:lvl w:ilvl="0" w:tplc="140A001B">
      <w:start w:val="1"/>
      <w:numFmt w:val="lowerRoman"/>
      <w:lvlText w:val="%1."/>
      <w:lvlJc w:val="righ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9A1927"/>
    <w:multiLevelType w:val="hybridMultilevel"/>
    <w:tmpl w:val="CCDEE8F2"/>
    <w:lvl w:ilvl="0" w:tplc="35902D4E">
      <w:start w:val="1"/>
      <w:numFmt w:val="lowerRoman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E233C7C"/>
    <w:multiLevelType w:val="hybridMultilevel"/>
    <w:tmpl w:val="84F2D3B4"/>
    <w:lvl w:ilvl="0" w:tplc="598819F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952F2C"/>
    <w:multiLevelType w:val="hybridMultilevel"/>
    <w:tmpl w:val="DF72B67A"/>
    <w:lvl w:ilvl="0" w:tplc="BDFC1584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EB28DD"/>
    <w:multiLevelType w:val="hybridMultilevel"/>
    <w:tmpl w:val="4BF44E4C"/>
    <w:lvl w:ilvl="0" w:tplc="2D8E258E">
      <w:start w:val="1"/>
      <w:numFmt w:val="lowerLetter"/>
      <w:lvlText w:val="%1."/>
      <w:lvlJc w:val="left"/>
      <w:pPr>
        <w:ind w:left="720" w:hanging="360"/>
      </w:pPr>
      <w:rPr>
        <w:i w:val="0"/>
        <w:iCs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3E525B"/>
    <w:multiLevelType w:val="hybridMultilevel"/>
    <w:tmpl w:val="FA924DF8"/>
    <w:lvl w:ilvl="0" w:tplc="7B34E20C">
      <w:start w:val="1"/>
      <w:numFmt w:val="lowerRoman"/>
      <w:lvlText w:val="%1."/>
      <w:lvlJc w:val="left"/>
      <w:pPr>
        <w:ind w:left="1440" w:hanging="720"/>
      </w:pPr>
      <w:rPr>
        <w:rFonts w:ascii="Times New Roman" w:eastAsia="Calibri" w:hAnsi="Times New Roman" w:cs="Times New Roman"/>
        <w:b w:val="0"/>
      </w:r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9400C7F"/>
    <w:multiLevelType w:val="hybridMultilevel"/>
    <w:tmpl w:val="1F8CC996"/>
    <w:lvl w:ilvl="0" w:tplc="1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B028B3"/>
    <w:multiLevelType w:val="hybridMultilevel"/>
    <w:tmpl w:val="A6083404"/>
    <w:lvl w:ilvl="0" w:tplc="0D5E30B4">
      <w:start w:val="1"/>
      <w:numFmt w:val="lowerLetter"/>
      <w:lvlText w:val="%1."/>
      <w:lvlJc w:val="left"/>
      <w:pPr>
        <w:ind w:left="720" w:hanging="360"/>
      </w:pPr>
      <w:rPr>
        <w:b w:val="0"/>
        <w:bCs w:val="0"/>
        <w:i w:val="0"/>
        <w:iCs w:val="0"/>
        <w:sz w:val="24"/>
        <w:szCs w:val="24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7D2DB3"/>
    <w:multiLevelType w:val="hybridMultilevel"/>
    <w:tmpl w:val="CA2ECE9E"/>
    <w:lvl w:ilvl="0" w:tplc="140A0019">
      <w:start w:val="1"/>
      <w:numFmt w:val="lowerLetter"/>
      <w:lvlText w:val="%1."/>
      <w:lvlJc w:val="left"/>
      <w:pPr>
        <w:ind w:left="1068" w:hanging="360"/>
      </w:pPr>
    </w:lvl>
    <w:lvl w:ilvl="1" w:tplc="140A0019" w:tentative="1">
      <w:start w:val="1"/>
      <w:numFmt w:val="lowerLetter"/>
      <w:lvlText w:val="%2."/>
      <w:lvlJc w:val="left"/>
      <w:pPr>
        <w:ind w:left="1788" w:hanging="360"/>
      </w:pPr>
    </w:lvl>
    <w:lvl w:ilvl="2" w:tplc="140A001B" w:tentative="1">
      <w:start w:val="1"/>
      <w:numFmt w:val="lowerRoman"/>
      <w:lvlText w:val="%3."/>
      <w:lvlJc w:val="right"/>
      <w:pPr>
        <w:ind w:left="2508" w:hanging="180"/>
      </w:pPr>
    </w:lvl>
    <w:lvl w:ilvl="3" w:tplc="140A000F" w:tentative="1">
      <w:start w:val="1"/>
      <w:numFmt w:val="decimal"/>
      <w:lvlText w:val="%4."/>
      <w:lvlJc w:val="left"/>
      <w:pPr>
        <w:ind w:left="3228" w:hanging="360"/>
      </w:pPr>
    </w:lvl>
    <w:lvl w:ilvl="4" w:tplc="140A0019" w:tentative="1">
      <w:start w:val="1"/>
      <w:numFmt w:val="lowerLetter"/>
      <w:lvlText w:val="%5."/>
      <w:lvlJc w:val="left"/>
      <w:pPr>
        <w:ind w:left="3948" w:hanging="360"/>
      </w:pPr>
    </w:lvl>
    <w:lvl w:ilvl="5" w:tplc="140A001B" w:tentative="1">
      <w:start w:val="1"/>
      <w:numFmt w:val="lowerRoman"/>
      <w:lvlText w:val="%6."/>
      <w:lvlJc w:val="right"/>
      <w:pPr>
        <w:ind w:left="4668" w:hanging="180"/>
      </w:pPr>
    </w:lvl>
    <w:lvl w:ilvl="6" w:tplc="140A000F" w:tentative="1">
      <w:start w:val="1"/>
      <w:numFmt w:val="decimal"/>
      <w:lvlText w:val="%7."/>
      <w:lvlJc w:val="left"/>
      <w:pPr>
        <w:ind w:left="5388" w:hanging="360"/>
      </w:pPr>
    </w:lvl>
    <w:lvl w:ilvl="7" w:tplc="140A0019" w:tentative="1">
      <w:start w:val="1"/>
      <w:numFmt w:val="lowerLetter"/>
      <w:lvlText w:val="%8."/>
      <w:lvlJc w:val="left"/>
      <w:pPr>
        <w:ind w:left="6108" w:hanging="360"/>
      </w:pPr>
    </w:lvl>
    <w:lvl w:ilvl="8" w:tplc="1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40B9435F"/>
    <w:multiLevelType w:val="hybridMultilevel"/>
    <w:tmpl w:val="4BD8EA5C"/>
    <w:lvl w:ilvl="0" w:tplc="8A0A3C80">
      <w:start w:val="1"/>
      <w:numFmt w:val="lowerRoman"/>
      <w:lvlText w:val="%1."/>
      <w:lvlJc w:val="right"/>
      <w:pPr>
        <w:ind w:left="1068" w:hanging="360"/>
      </w:pPr>
      <w:rPr>
        <w:rFonts w:ascii="Times New Roman" w:eastAsia="Calibri" w:hAnsi="Times New Roman" w:cs="Times New Roman"/>
      </w:rPr>
    </w:lvl>
    <w:lvl w:ilvl="1" w:tplc="140A0019" w:tentative="1">
      <w:start w:val="1"/>
      <w:numFmt w:val="lowerLetter"/>
      <w:lvlText w:val="%2."/>
      <w:lvlJc w:val="left"/>
      <w:pPr>
        <w:ind w:left="1788" w:hanging="360"/>
      </w:pPr>
    </w:lvl>
    <w:lvl w:ilvl="2" w:tplc="140A001B" w:tentative="1">
      <w:start w:val="1"/>
      <w:numFmt w:val="lowerRoman"/>
      <w:lvlText w:val="%3."/>
      <w:lvlJc w:val="right"/>
      <w:pPr>
        <w:ind w:left="2508" w:hanging="180"/>
      </w:pPr>
    </w:lvl>
    <w:lvl w:ilvl="3" w:tplc="140A000F" w:tentative="1">
      <w:start w:val="1"/>
      <w:numFmt w:val="decimal"/>
      <w:lvlText w:val="%4."/>
      <w:lvlJc w:val="left"/>
      <w:pPr>
        <w:ind w:left="3228" w:hanging="360"/>
      </w:pPr>
    </w:lvl>
    <w:lvl w:ilvl="4" w:tplc="140A0019" w:tentative="1">
      <w:start w:val="1"/>
      <w:numFmt w:val="lowerLetter"/>
      <w:lvlText w:val="%5."/>
      <w:lvlJc w:val="left"/>
      <w:pPr>
        <w:ind w:left="3948" w:hanging="360"/>
      </w:pPr>
    </w:lvl>
    <w:lvl w:ilvl="5" w:tplc="140A001B" w:tentative="1">
      <w:start w:val="1"/>
      <w:numFmt w:val="lowerRoman"/>
      <w:lvlText w:val="%6."/>
      <w:lvlJc w:val="right"/>
      <w:pPr>
        <w:ind w:left="4668" w:hanging="180"/>
      </w:pPr>
    </w:lvl>
    <w:lvl w:ilvl="6" w:tplc="140A000F" w:tentative="1">
      <w:start w:val="1"/>
      <w:numFmt w:val="decimal"/>
      <w:lvlText w:val="%7."/>
      <w:lvlJc w:val="left"/>
      <w:pPr>
        <w:ind w:left="5388" w:hanging="360"/>
      </w:pPr>
    </w:lvl>
    <w:lvl w:ilvl="7" w:tplc="140A0019" w:tentative="1">
      <w:start w:val="1"/>
      <w:numFmt w:val="lowerLetter"/>
      <w:lvlText w:val="%8."/>
      <w:lvlJc w:val="left"/>
      <w:pPr>
        <w:ind w:left="6108" w:hanging="360"/>
      </w:pPr>
    </w:lvl>
    <w:lvl w:ilvl="8" w:tplc="1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D003F7A"/>
    <w:multiLevelType w:val="hybridMultilevel"/>
    <w:tmpl w:val="1E40CA66"/>
    <w:lvl w:ilvl="0" w:tplc="140A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788" w:hanging="360"/>
      </w:pPr>
    </w:lvl>
    <w:lvl w:ilvl="2" w:tplc="140A001B" w:tentative="1">
      <w:start w:val="1"/>
      <w:numFmt w:val="lowerRoman"/>
      <w:lvlText w:val="%3."/>
      <w:lvlJc w:val="right"/>
      <w:pPr>
        <w:ind w:left="2508" w:hanging="180"/>
      </w:pPr>
    </w:lvl>
    <w:lvl w:ilvl="3" w:tplc="140A000F" w:tentative="1">
      <w:start w:val="1"/>
      <w:numFmt w:val="decimal"/>
      <w:lvlText w:val="%4."/>
      <w:lvlJc w:val="left"/>
      <w:pPr>
        <w:ind w:left="3228" w:hanging="360"/>
      </w:pPr>
    </w:lvl>
    <w:lvl w:ilvl="4" w:tplc="140A0019" w:tentative="1">
      <w:start w:val="1"/>
      <w:numFmt w:val="lowerLetter"/>
      <w:lvlText w:val="%5."/>
      <w:lvlJc w:val="left"/>
      <w:pPr>
        <w:ind w:left="3948" w:hanging="360"/>
      </w:pPr>
    </w:lvl>
    <w:lvl w:ilvl="5" w:tplc="140A001B" w:tentative="1">
      <w:start w:val="1"/>
      <w:numFmt w:val="lowerRoman"/>
      <w:lvlText w:val="%6."/>
      <w:lvlJc w:val="right"/>
      <w:pPr>
        <w:ind w:left="4668" w:hanging="180"/>
      </w:pPr>
    </w:lvl>
    <w:lvl w:ilvl="6" w:tplc="140A000F" w:tentative="1">
      <w:start w:val="1"/>
      <w:numFmt w:val="decimal"/>
      <w:lvlText w:val="%7."/>
      <w:lvlJc w:val="left"/>
      <w:pPr>
        <w:ind w:left="5388" w:hanging="360"/>
      </w:pPr>
    </w:lvl>
    <w:lvl w:ilvl="7" w:tplc="140A0019" w:tentative="1">
      <w:start w:val="1"/>
      <w:numFmt w:val="lowerLetter"/>
      <w:lvlText w:val="%8."/>
      <w:lvlJc w:val="left"/>
      <w:pPr>
        <w:ind w:left="6108" w:hanging="360"/>
      </w:pPr>
    </w:lvl>
    <w:lvl w:ilvl="8" w:tplc="1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DD94688"/>
    <w:multiLevelType w:val="hybridMultilevel"/>
    <w:tmpl w:val="7F8A53A8"/>
    <w:lvl w:ilvl="0" w:tplc="E256B4CC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91B0F"/>
    <w:multiLevelType w:val="hybridMultilevel"/>
    <w:tmpl w:val="6FF0EE7A"/>
    <w:lvl w:ilvl="0" w:tplc="140A001B">
      <w:start w:val="1"/>
      <w:numFmt w:val="lowerRoman"/>
      <w:lvlText w:val="%1."/>
      <w:lvlJc w:val="right"/>
      <w:pPr>
        <w:ind w:left="1428" w:hanging="360"/>
      </w:pPr>
    </w:lvl>
    <w:lvl w:ilvl="1" w:tplc="140A0019" w:tentative="1">
      <w:start w:val="1"/>
      <w:numFmt w:val="lowerLetter"/>
      <w:lvlText w:val="%2."/>
      <w:lvlJc w:val="left"/>
      <w:pPr>
        <w:ind w:left="2148" w:hanging="360"/>
      </w:pPr>
    </w:lvl>
    <w:lvl w:ilvl="2" w:tplc="140A001B" w:tentative="1">
      <w:start w:val="1"/>
      <w:numFmt w:val="lowerRoman"/>
      <w:lvlText w:val="%3."/>
      <w:lvlJc w:val="right"/>
      <w:pPr>
        <w:ind w:left="2868" w:hanging="180"/>
      </w:pPr>
    </w:lvl>
    <w:lvl w:ilvl="3" w:tplc="140A000F" w:tentative="1">
      <w:start w:val="1"/>
      <w:numFmt w:val="decimal"/>
      <w:lvlText w:val="%4."/>
      <w:lvlJc w:val="left"/>
      <w:pPr>
        <w:ind w:left="3588" w:hanging="360"/>
      </w:pPr>
    </w:lvl>
    <w:lvl w:ilvl="4" w:tplc="140A0019" w:tentative="1">
      <w:start w:val="1"/>
      <w:numFmt w:val="lowerLetter"/>
      <w:lvlText w:val="%5."/>
      <w:lvlJc w:val="left"/>
      <w:pPr>
        <w:ind w:left="4308" w:hanging="360"/>
      </w:pPr>
    </w:lvl>
    <w:lvl w:ilvl="5" w:tplc="140A001B" w:tentative="1">
      <w:start w:val="1"/>
      <w:numFmt w:val="lowerRoman"/>
      <w:lvlText w:val="%6."/>
      <w:lvlJc w:val="right"/>
      <w:pPr>
        <w:ind w:left="5028" w:hanging="180"/>
      </w:pPr>
    </w:lvl>
    <w:lvl w:ilvl="6" w:tplc="140A000F" w:tentative="1">
      <w:start w:val="1"/>
      <w:numFmt w:val="decimal"/>
      <w:lvlText w:val="%7."/>
      <w:lvlJc w:val="left"/>
      <w:pPr>
        <w:ind w:left="5748" w:hanging="360"/>
      </w:pPr>
    </w:lvl>
    <w:lvl w:ilvl="7" w:tplc="140A0019" w:tentative="1">
      <w:start w:val="1"/>
      <w:numFmt w:val="lowerLetter"/>
      <w:lvlText w:val="%8."/>
      <w:lvlJc w:val="left"/>
      <w:pPr>
        <w:ind w:left="6468" w:hanging="360"/>
      </w:pPr>
    </w:lvl>
    <w:lvl w:ilvl="8" w:tplc="14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572855C7"/>
    <w:multiLevelType w:val="hybridMultilevel"/>
    <w:tmpl w:val="4F9EB89A"/>
    <w:lvl w:ilvl="0" w:tplc="1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15434D"/>
    <w:multiLevelType w:val="hybridMultilevel"/>
    <w:tmpl w:val="0F06AE18"/>
    <w:lvl w:ilvl="0" w:tplc="1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A1519F"/>
    <w:multiLevelType w:val="hybridMultilevel"/>
    <w:tmpl w:val="0C72EE50"/>
    <w:lvl w:ilvl="0" w:tplc="6554D11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7894EAD"/>
    <w:multiLevelType w:val="hybridMultilevel"/>
    <w:tmpl w:val="937A5046"/>
    <w:lvl w:ilvl="0" w:tplc="12A243F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AD71327"/>
    <w:multiLevelType w:val="hybridMultilevel"/>
    <w:tmpl w:val="1374D03A"/>
    <w:lvl w:ilvl="0" w:tplc="F5A68892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6A29C1"/>
    <w:multiLevelType w:val="hybridMultilevel"/>
    <w:tmpl w:val="3764413A"/>
    <w:lvl w:ilvl="0" w:tplc="140A001B">
      <w:start w:val="1"/>
      <w:numFmt w:val="lowerRoman"/>
      <w:lvlText w:val="%1."/>
      <w:lvlJc w:val="right"/>
      <w:pPr>
        <w:ind w:left="1440" w:hanging="360"/>
      </w:pPr>
    </w:lvl>
    <w:lvl w:ilvl="1" w:tplc="140A0019" w:tentative="1">
      <w:start w:val="1"/>
      <w:numFmt w:val="lowerLetter"/>
      <w:lvlText w:val="%2."/>
      <w:lvlJc w:val="left"/>
      <w:pPr>
        <w:ind w:left="2160" w:hanging="360"/>
      </w:pPr>
    </w:lvl>
    <w:lvl w:ilvl="2" w:tplc="140A001B" w:tentative="1">
      <w:start w:val="1"/>
      <w:numFmt w:val="lowerRoman"/>
      <w:lvlText w:val="%3."/>
      <w:lvlJc w:val="right"/>
      <w:pPr>
        <w:ind w:left="2880" w:hanging="180"/>
      </w:pPr>
    </w:lvl>
    <w:lvl w:ilvl="3" w:tplc="140A000F" w:tentative="1">
      <w:start w:val="1"/>
      <w:numFmt w:val="decimal"/>
      <w:lvlText w:val="%4."/>
      <w:lvlJc w:val="left"/>
      <w:pPr>
        <w:ind w:left="3600" w:hanging="360"/>
      </w:pPr>
    </w:lvl>
    <w:lvl w:ilvl="4" w:tplc="140A0019" w:tentative="1">
      <w:start w:val="1"/>
      <w:numFmt w:val="lowerLetter"/>
      <w:lvlText w:val="%5."/>
      <w:lvlJc w:val="left"/>
      <w:pPr>
        <w:ind w:left="4320" w:hanging="360"/>
      </w:pPr>
    </w:lvl>
    <w:lvl w:ilvl="5" w:tplc="140A001B" w:tentative="1">
      <w:start w:val="1"/>
      <w:numFmt w:val="lowerRoman"/>
      <w:lvlText w:val="%6."/>
      <w:lvlJc w:val="right"/>
      <w:pPr>
        <w:ind w:left="5040" w:hanging="180"/>
      </w:pPr>
    </w:lvl>
    <w:lvl w:ilvl="6" w:tplc="140A000F" w:tentative="1">
      <w:start w:val="1"/>
      <w:numFmt w:val="decimal"/>
      <w:lvlText w:val="%7."/>
      <w:lvlJc w:val="left"/>
      <w:pPr>
        <w:ind w:left="5760" w:hanging="360"/>
      </w:pPr>
    </w:lvl>
    <w:lvl w:ilvl="7" w:tplc="140A0019" w:tentative="1">
      <w:start w:val="1"/>
      <w:numFmt w:val="lowerLetter"/>
      <w:lvlText w:val="%8."/>
      <w:lvlJc w:val="left"/>
      <w:pPr>
        <w:ind w:left="6480" w:hanging="360"/>
      </w:pPr>
    </w:lvl>
    <w:lvl w:ilvl="8" w:tplc="1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3710D87"/>
    <w:multiLevelType w:val="hybridMultilevel"/>
    <w:tmpl w:val="292A7EDC"/>
    <w:lvl w:ilvl="0" w:tplc="140A0019">
      <w:start w:val="1"/>
      <w:numFmt w:val="lowerLetter"/>
      <w:lvlText w:val="%1."/>
      <w:lvlJc w:val="left"/>
      <w:pPr>
        <w:ind w:left="1080" w:hanging="360"/>
      </w:p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A486305"/>
    <w:multiLevelType w:val="hybridMultilevel"/>
    <w:tmpl w:val="27960F08"/>
    <w:lvl w:ilvl="0" w:tplc="1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315CA8"/>
    <w:multiLevelType w:val="hybridMultilevel"/>
    <w:tmpl w:val="E36AF3B6"/>
    <w:lvl w:ilvl="0" w:tplc="D59E9850">
      <w:start w:val="1"/>
      <w:numFmt w:val="lowerRoman"/>
      <w:lvlText w:val="%1."/>
      <w:lvlJc w:val="left"/>
      <w:pPr>
        <w:ind w:left="1428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788" w:hanging="360"/>
      </w:pPr>
    </w:lvl>
    <w:lvl w:ilvl="2" w:tplc="140A001B" w:tentative="1">
      <w:start w:val="1"/>
      <w:numFmt w:val="lowerRoman"/>
      <w:lvlText w:val="%3."/>
      <w:lvlJc w:val="right"/>
      <w:pPr>
        <w:ind w:left="2508" w:hanging="180"/>
      </w:pPr>
    </w:lvl>
    <w:lvl w:ilvl="3" w:tplc="140A000F" w:tentative="1">
      <w:start w:val="1"/>
      <w:numFmt w:val="decimal"/>
      <w:lvlText w:val="%4."/>
      <w:lvlJc w:val="left"/>
      <w:pPr>
        <w:ind w:left="3228" w:hanging="360"/>
      </w:pPr>
    </w:lvl>
    <w:lvl w:ilvl="4" w:tplc="140A0019" w:tentative="1">
      <w:start w:val="1"/>
      <w:numFmt w:val="lowerLetter"/>
      <w:lvlText w:val="%5."/>
      <w:lvlJc w:val="left"/>
      <w:pPr>
        <w:ind w:left="3948" w:hanging="360"/>
      </w:pPr>
    </w:lvl>
    <w:lvl w:ilvl="5" w:tplc="140A001B" w:tentative="1">
      <w:start w:val="1"/>
      <w:numFmt w:val="lowerRoman"/>
      <w:lvlText w:val="%6."/>
      <w:lvlJc w:val="right"/>
      <w:pPr>
        <w:ind w:left="4668" w:hanging="180"/>
      </w:pPr>
    </w:lvl>
    <w:lvl w:ilvl="6" w:tplc="140A000F" w:tentative="1">
      <w:start w:val="1"/>
      <w:numFmt w:val="decimal"/>
      <w:lvlText w:val="%7."/>
      <w:lvlJc w:val="left"/>
      <w:pPr>
        <w:ind w:left="5388" w:hanging="360"/>
      </w:pPr>
    </w:lvl>
    <w:lvl w:ilvl="7" w:tplc="140A0019" w:tentative="1">
      <w:start w:val="1"/>
      <w:numFmt w:val="lowerLetter"/>
      <w:lvlText w:val="%8."/>
      <w:lvlJc w:val="left"/>
      <w:pPr>
        <w:ind w:left="6108" w:hanging="360"/>
      </w:pPr>
    </w:lvl>
    <w:lvl w:ilvl="8" w:tplc="1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BBB195A"/>
    <w:multiLevelType w:val="hybridMultilevel"/>
    <w:tmpl w:val="FD52D738"/>
    <w:lvl w:ilvl="0" w:tplc="16FC20F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4782510">
    <w:abstractNumId w:val="23"/>
  </w:num>
  <w:num w:numId="2" w16cid:durableId="1275674769">
    <w:abstractNumId w:val="32"/>
  </w:num>
  <w:num w:numId="3" w16cid:durableId="278799666">
    <w:abstractNumId w:val="34"/>
  </w:num>
  <w:num w:numId="4" w16cid:durableId="618683476">
    <w:abstractNumId w:val="4"/>
  </w:num>
  <w:num w:numId="5" w16cid:durableId="535628019">
    <w:abstractNumId w:val="18"/>
  </w:num>
  <w:num w:numId="6" w16cid:durableId="852649681">
    <w:abstractNumId w:val="9"/>
  </w:num>
  <w:num w:numId="7" w16cid:durableId="1095639077">
    <w:abstractNumId w:val="17"/>
  </w:num>
  <w:num w:numId="8" w16cid:durableId="371003881">
    <w:abstractNumId w:val="21"/>
  </w:num>
  <w:num w:numId="9" w16cid:durableId="510998754">
    <w:abstractNumId w:val="11"/>
  </w:num>
  <w:num w:numId="10" w16cid:durableId="229924398">
    <w:abstractNumId w:val="12"/>
  </w:num>
  <w:num w:numId="11" w16cid:durableId="1710060243">
    <w:abstractNumId w:val="16"/>
  </w:num>
  <w:num w:numId="12" w16cid:durableId="659966295">
    <w:abstractNumId w:val="28"/>
  </w:num>
  <w:num w:numId="13" w16cid:durableId="426850390">
    <w:abstractNumId w:val="27"/>
  </w:num>
  <w:num w:numId="14" w16cid:durableId="1468159702">
    <w:abstractNumId w:val="10"/>
  </w:num>
  <w:num w:numId="15" w16cid:durableId="837187772">
    <w:abstractNumId w:val="7"/>
  </w:num>
  <w:num w:numId="16" w16cid:durableId="1350989720">
    <w:abstractNumId w:val="8"/>
  </w:num>
  <w:num w:numId="17" w16cid:durableId="1571766658">
    <w:abstractNumId w:val="0"/>
  </w:num>
  <w:num w:numId="18" w16cid:durableId="1794666313">
    <w:abstractNumId w:val="15"/>
  </w:num>
  <w:num w:numId="19" w16cid:durableId="1504124207">
    <w:abstractNumId w:val="20"/>
  </w:num>
  <w:num w:numId="20" w16cid:durableId="462886252">
    <w:abstractNumId w:val="24"/>
  </w:num>
  <w:num w:numId="21" w16cid:durableId="354500925">
    <w:abstractNumId w:val="22"/>
  </w:num>
  <w:num w:numId="22" w16cid:durableId="698746391">
    <w:abstractNumId w:val="14"/>
  </w:num>
  <w:num w:numId="23" w16cid:durableId="317150142">
    <w:abstractNumId w:val="6"/>
  </w:num>
  <w:num w:numId="24" w16cid:durableId="1942031764">
    <w:abstractNumId w:val="3"/>
  </w:num>
  <w:num w:numId="25" w16cid:durableId="1559245875">
    <w:abstractNumId w:val="31"/>
  </w:num>
  <w:num w:numId="26" w16cid:durableId="936600083">
    <w:abstractNumId w:val="5"/>
  </w:num>
  <w:num w:numId="27" w16cid:durableId="926577721">
    <w:abstractNumId w:val="29"/>
  </w:num>
  <w:num w:numId="28" w16cid:durableId="279190218">
    <w:abstractNumId w:val="30"/>
  </w:num>
  <w:num w:numId="29" w16cid:durableId="1581404006">
    <w:abstractNumId w:val="19"/>
  </w:num>
  <w:num w:numId="30" w16cid:durableId="1717701738">
    <w:abstractNumId w:val="26"/>
  </w:num>
  <w:num w:numId="31" w16cid:durableId="489709185">
    <w:abstractNumId w:val="2"/>
  </w:num>
  <w:num w:numId="32" w16cid:durableId="36323294">
    <w:abstractNumId w:val="33"/>
  </w:num>
  <w:num w:numId="33" w16cid:durableId="1151556260">
    <w:abstractNumId w:val="13"/>
  </w:num>
  <w:num w:numId="34" w16cid:durableId="1707558254">
    <w:abstractNumId w:val="1"/>
  </w:num>
  <w:num w:numId="35" w16cid:durableId="19562609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hideSpellingErrors/>
  <w:hideGrammaticalErrors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970"/>
    <w:rsid w:val="00001C83"/>
    <w:rsid w:val="000032CA"/>
    <w:rsid w:val="00005DDC"/>
    <w:rsid w:val="000170B7"/>
    <w:rsid w:val="00035BF9"/>
    <w:rsid w:val="00037A29"/>
    <w:rsid w:val="00046171"/>
    <w:rsid w:val="0005189C"/>
    <w:rsid w:val="00053690"/>
    <w:rsid w:val="00053FE8"/>
    <w:rsid w:val="00054063"/>
    <w:rsid w:val="000574D5"/>
    <w:rsid w:val="0006373B"/>
    <w:rsid w:val="00063FD5"/>
    <w:rsid w:val="00066833"/>
    <w:rsid w:val="0007019B"/>
    <w:rsid w:val="000711EA"/>
    <w:rsid w:val="00071568"/>
    <w:rsid w:val="00073AA4"/>
    <w:rsid w:val="00073D70"/>
    <w:rsid w:val="00074BC5"/>
    <w:rsid w:val="000A1B88"/>
    <w:rsid w:val="000B36D8"/>
    <w:rsid w:val="000C7855"/>
    <w:rsid w:val="000D2FEE"/>
    <w:rsid w:val="000D5007"/>
    <w:rsid w:val="000E646E"/>
    <w:rsid w:val="000F450E"/>
    <w:rsid w:val="000F5C55"/>
    <w:rsid w:val="000F61B1"/>
    <w:rsid w:val="00105E90"/>
    <w:rsid w:val="001123E6"/>
    <w:rsid w:val="00113DDA"/>
    <w:rsid w:val="0011494D"/>
    <w:rsid w:val="001152FF"/>
    <w:rsid w:val="00115EFE"/>
    <w:rsid w:val="001268DE"/>
    <w:rsid w:val="00140A96"/>
    <w:rsid w:val="00164A7C"/>
    <w:rsid w:val="00182148"/>
    <w:rsid w:val="00190D85"/>
    <w:rsid w:val="00192782"/>
    <w:rsid w:val="00193C4F"/>
    <w:rsid w:val="001A1F9E"/>
    <w:rsid w:val="001A230A"/>
    <w:rsid w:val="001B0C13"/>
    <w:rsid w:val="001B2DA2"/>
    <w:rsid w:val="001B603F"/>
    <w:rsid w:val="001B776E"/>
    <w:rsid w:val="001B7828"/>
    <w:rsid w:val="001D0924"/>
    <w:rsid w:val="001D1B76"/>
    <w:rsid w:val="001D3743"/>
    <w:rsid w:val="001E308D"/>
    <w:rsid w:val="001E458F"/>
    <w:rsid w:val="001E5423"/>
    <w:rsid w:val="00201865"/>
    <w:rsid w:val="00201B05"/>
    <w:rsid w:val="002076EC"/>
    <w:rsid w:val="0021312B"/>
    <w:rsid w:val="00217246"/>
    <w:rsid w:val="00217A03"/>
    <w:rsid w:val="00234365"/>
    <w:rsid w:val="002344FF"/>
    <w:rsid w:val="00275B05"/>
    <w:rsid w:val="002764C1"/>
    <w:rsid w:val="0029676D"/>
    <w:rsid w:val="00297C96"/>
    <w:rsid w:val="002A30A2"/>
    <w:rsid w:val="002B2782"/>
    <w:rsid w:val="002B47BE"/>
    <w:rsid w:val="002B6F4D"/>
    <w:rsid w:val="002C43B3"/>
    <w:rsid w:val="002D049D"/>
    <w:rsid w:val="002D6D33"/>
    <w:rsid w:val="00301C5C"/>
    <w:rsid w:val="003143F8"/>
    <w:rsid w:val="003158C9"/>
    <w:rsid w:val="00325264"/>
    <w:rsid w:val="00331BD1"/>
    <w:rsid w:val="00333395"/>
    <w:rsid w:val="003447E7"/>
    <w:rsid w:val="003453CA"/>
    <w:rsid w:val="00354DB9"/>
    <w:rsid w:val="003566F2"/>
    <w:rsid w:val="00362792"/>
    <w:rsid w:val="0036300D"/>
    <w:rsid w:val="00364753"/>
    <w:rsid w:val="00372B62"/>
    <w:rsid w:val="00372CD2"/>
    <w:rsid w:val="0037488D"/>
    <w:rsid w:val="00374992"/>
    <w:rsid w:val="0037638D"/>
    <w:rsid w:val="00380463"/>
    <w:rsid w:val="00384444"/>
    <w:rsid w:val="003939A4"/>
    <w:rsid w:val="00395D14"/>
    <w:rsid w:val="0039734A"/>
    <w:rsid w:val="003C41D8"/>
    <w:rsid w:val="003C4E98"/>
    <w:rsid w:val="003D4367"/>
    <w:rsid w:val="003D45D1"/>
    <w:rsid w:val="003E57CB"/>
    <w:rsid w:val="003E6098"/>
    <w:rsid w:val="003F5795"/>
    <w:rsid w:val="003F7FD9"/>
    <w:rsid w:val="00407CC5"/>
    <w:rsid w:val="00410D07"/>
    <w:rsid w:val="00415698"/>
    <w:rsid w:val="00420FB5"/>
    <w:rsid w:val="004214E5"/>
    <w:rsid w:val="00424CA1"/>
    <w:rsid w:val="00427255"/>
    <w:rsid w:val="00433935"/>
    <w:rsid w:val="00435B4B"/>
    <w:rsid w:val="00437EEF"/>
    <w:rsid w:val="00441128"/>
    <w:rsid w:val="00446458"/>
    <w:rsid w:val="00447FBC"/>
    <w:rsid w:val="00460355"/>
    <w:rsid w:val="004756B0"/>
    <w:rsid w:val="00480D81"/>
    <w:rsid w:val="004841ED"/>
    <w:rsid w:val="00490D9B"/>
    <w:rsid w:val="004939B5"/>
    <w:rsid w:val="00497712"/>
    <w:rsid w:val="004A04B7"/>
    <w:rsid w:val="004A1486"/>
    <w:rsid w:val="004A4407"/>
    <w:rsid w:val="004A5207"/>
    <w:rsid w:val="004B4C1F"/>
    <w:rsid w:val="004D08D6"/>
    <w:rsid w:val="004D5917"/>
    <w:rsid w:val="00506BD6"/>
    <w:rsid w:val="005163A8"/>
    <w:rsid w:val="00516837"/>
    <w:rsid w:val="00544F01"/>
    <w:rsid w:val="00550CF8"/>
    <w:rsid w:val="00550FEF"/>
    <w:rsid w:val="00551643"/>
    <w:rsid w:val="005616A8"/>
    <w:rsid w:val="00562052"/>
    <w:rsid w:val="0057106A"/>
    <w:rsid w:val="005761C4"/>
    <w:rsid w:val="0059186B"/>
    <w:rsid w:val="00595CC0"/>
    <w:rsid w:val="005A02EF"/>
    <w:rsid w:val="005B20A4"/>
    <w:rsid w:val="005B2CC6"/>
    <w:rsid w:val="005B3BD3"/>
    <w:rsid w:val="005B4873"/>
    <w:rsid w:val="005B6084"/>
    <w:rsid w:val="005B6646"/>
    <w:rsid w:val="005B6A12"/>
    <w:rsid w:val="005C08F0"/>
    <w:rsid w:val="005C4413"/>
    <w:rsid w:val="005D1970"/>
    <w:rsid w:val="005D6981"/>
    <w:rsid w:val="005D76ED"/>
    <w:rsid w:val="005E6376"/>
    <w:rsid w:val="005F3D88"/>
    <w:rsid w:val="005F435E"/>
    <w:rsid w:val="00600D86"/>
    <w:rsid w:val="00611535"/>
    <w:rsid w:val="0061271E"/>
    <w:rsid w:val="00616706"/>
    <w:rsid w:val="00617A9E"/>
    <w:rsid w:val="00617F20"/>
    <w:rsid w:val="00622064"/>
    <w:rsid w:val="006220B1"/>
    <w:rsid w:val="00634BC6"/>
    <w:rsid w:val="006351FE"/>
    <w:rsid w:val="00637A92"/>
    <w:rsid w:val="00646C58"/>
    <w:rsid w:val="00647B5E"/>
    <w:rsid w:val="0065064F"/>
    <w:rsid w:val="0065277B"/>
    <w:rsid w:val="00663D44"/>
    <w:rsid w:val="006648B8"/>
    <w:rsid w:val="00666825"/>
    <w:rsid w:val="00681B22"/>
    <w:rsid w:val="006841B9"/>
    <w:rsid w:val="00685518"/>
    <w:rsid w:val="006902CF"/>
    <w:rsid w:val="006A0222"/>
    <w:rsid w:val="006A1302"/>
    <w:rsid w:val="006A192D"/>
    <w:rsid w:val="006A27C9"/>
    <w:rsid w:val="006A76A5"/>
    <w:rsid w:val="006B57B2"/>
    <w:rsid w:val="006C3BD1"/>
    <w:rsid w:val="006E2786"/>
    <w:rsid w:val="006E3735"/>
    <w:rsid w:val="006E37F7"/>
    <w:rsid w:val="006F2BA4"/>
    <w:rsid w:val="006F3DB6"/>
    <w:rsid w:val="00703D77"/>
    <w:rsid w:val="00711DCE"/>
    <w:rsid w:val="0071352D"/>
    <w:rsid w:val="00716D6C"/>
    <w:rsid w:val="00723700"/>
    <w:rsid w:val="00724909"/>
    <w:rsid w:val="00760410"/>
    <w:rsid w:val="0076365F"/>
    <w:rsid w:val="00770A94"/>
    <w:rsid w:val="007725FB"/>
    <w:rsid w:val="00781C2E"/>
    <w:rsid w:val="00783E19"/>
    <w:rsid w:val="0078412A"/>
    <w:rsid w:val="00784613"/>
    <w:rsid w:val="00784F17"/>
    <w:rsid w:val="00787661"/>
    <w:rsid w:val="007901D1"/>
    <w:rsid w:val="00790678"/>
    <w:rsid w:val="00791C09"/>
    <w:rsid w:val="007929A3"/>
    <w:rsid w:val="007949C1"/>
    <w:rsid w:val="007A4D42"/>
    <w:rsid w:val="007A7013"/>
    <w:rsid w:val="007C2F7F"/>
    <w:rsid w:val="007C3590"/>
    <w:rsid w:val="007C3F6B"/>
    <w:rsid w:val="007D0230"/>
    <w:rsid w:val="007E0504"/>
    <w:rsid w:val="007E1E25"/>
    <w:rsid w:val="007E37E7"/>
    <w:rsid w:val="007E4586"/>
    <w:rsid w:val="007F0FDE"/>
    <w:rsid w:val="007F233B"/>
    <w:rsid w:val="00801F6D"/>
    <w:rsid w:val="00806722"/>
    <w:rsid w:val="00821045"/>
    <w:rsid w:val="00843117"/>
    <w:rsid w:val="00843E8D"/>
    <w:rsid w:val="00846D60"/>
    <w:rsid w:val="00885218"/>
    <w:rsid w:val="008853EB"/>
    <w:rsid w:val="00890E23"/>
    <w:rsid w:val="00891DE3"/>
    <w:rsid w:val="008A221B"/>
    <w:rsid w:val="008A3CFB"/>
    <w:rsid w:val="008A4C97"/>
    <w:rsid w:val="008A4DC1"/>
    <w:rsid w:val="008B3A2E"/>
    <w:rsid w:val="008C23B5"/>
    <w:rsid w:val="008C6948"/>
    <w:rsid w:val="008C7973"/>
    <w:rsid w:val="008D0FA0"/>
    <w:rsid w:val="008D2CA4"/>
    <w:rsid w:val="008D5543"/>
    <w:rsid w:val="008E23D9"/>
    <w:rsid w:val="008E6D5E"/>
    <w:rsid w:val="008F162B"/>
    <w:rsid w:val="008F2B27"/>
    <w:rsid w:val="008F7406"/>
    <w:rsid w:val="009063C7"/>
    <w:rsid w:val="00907FB5"/>
    <w:rsid w:val="00910A79"/>
    <w:rsid w:val="009145CC"/>
    <w:rsid w:val="00914D86"/>
    <w:rsid w:val="009224DF"/>
    <w:rsid w:val="009237F5"/>
    <w:rsid w:val="00932AFD"/>
    <w:rsid w:val="00942262"/>
    <w:rsid w:val="009521C1"/>
    <w:rsid w:val="009660C2"/>
    <w:rsid w:val="00967558"/>
    <w:rsid w:val="00970E3F"/>
    <w:rsid w:val="00971E97"/>
    <w:rsid w:val="00972DAB"/>
    <w:rsid w:val="00976BBC"/>
    <w:rsid w:val="00983650"/>
    <w:rsid w:val="009860B0"/>
    <w:rsid w:val="00990E0C"/>
    <w:rsid w:val="009912B7"/>
    <w:rsid w:val="009957B0"/>
    <w:rsid w:val="009A5BBB"/>
    <w:rsid w:val="009C0902"/>
    <w:rsid w:val="009C219E"/>
    <w:rsid w:val="009D1523"/>
    <w:rsid w:val="009D44A8"/>
    <w:rsid w:val="009D56D4"/>
    <w:rsid w:val="009E4548"/>
    <w:rsid w:val="009F2E03"/>
    <w:rsid w:val="00A05F8B"/>
    <w:rsid w:val="00A07E8A"/>
    <w:rsid w:val="00A156EE"/>
    <w:rsid w:val="00A17B1F"/>
    <w:rsid w:val="00A22E7D"/>
    <w:rsid w:val="00A27E45"/>
    <w:rsid w:val="00A326C4"/>
    <w:rsid w:val="00A34CE4"/>
    <w:rsid w:val="00A35AA9"/>
    <w:rsid w:val="00A37949"/>
    <w:rsid w:val="00A52D60"/>
    <w:rsid w:val="00A64D84"/>
    <w:rsid w:val="00A65F7D"/>
    <w:rsid w:val="00A714C4"/>
    <w:rsid w:val="00A75108"/>
    <w:rsid w:val="00A75B85"/>
    <w:rsid w:val="00A80E7E"/>
    <w:rsid w:val="00A84756"/>
    <w:rsid w:val="00A849C9"/>
    <w:rsid w:val="00A87FDF"/>
    <w:rsid w:val="00A97CEF"/>
    <w:rsid w:val="00A97F96"/>
    <w:rsid w:val="00AA1CE4"/>
    <w:rsid w:val="00AB126B"/>
    <w:rsid w:val="00AC49ED"/>
    <w:rsid w:val="00AC5351"/>
    <w:rsid w:val="00AC7DC2"/>
    <w:rsid w:val="00AE0E78"/>
    <w:rsid w:val="00AE2DDF"/>
    <w:rsid w:val="00AE6FCF"/>
    <w:rsid w:val="00B05CF2"/>
    <w:rsid w:val="00B06605"/>
    <w:rsid w:val="00B107FF"/>
    <w:rsid w:val="00B13D85"/>
    <w:rsid w:val="00B24ECC"/>
    <w:rsid w:val="00B34428"/>
    <w:rsid w:val="00B34D64"/>
    <w:rsid w:val="00B41BAA"/>
    <w:rsid w:val="00B42A1A"/>
    <w:rsid w:val="00B46CA5"/>
    <w:rsid w:val="00B53417"/>
    <w:rsid w:val="00B655AB"/>
    <w:rsid w:val="00B74E5B"/>
    <w:rsid w:val="00B83254"/>
    <w:rsid w:val="00B845D2"/>
    <w:rsid w:val="00B941F2"/>
    <w:rsid w:val="00BA6D0D"/>
    <w:rsid w:val="00BB095C"/>
    <w:rsid w:val="00BB3473"/>
    <w:rsid w:val="00BB3D42"/>
    <w:rsid w:val="00BB3DCF"/>
    <w:rsid w:val="00BB4BBF"/>
    <w:rsid w:val="00BD7914"/>
    <w:rsid w:val="00BE3BED"/>
    <w:rsid w:val="00BE402D"/>
    <w:rsid w:val="00BF0B37"/>
    <w:rsid w:val="00BF45DE"/>
    <w:rsid w:val="00C03DB1"/>
    <w:rsid w:val="00C10F40"/>
    <w:rsid w:val="00C11A73"/>
    <w:rsid w:val="00C20B3B"/>
    <w:rsid w:val="00C22519"/>
    <w:rsid w:val="00C22B3E"/>
    <w:rsid w:val="00C322AB"/>
    <w:rsid w:val="00C419FC"/>
    <w:rsid w:val="00C519AC"/>
    <w:rsid w:val="00C54711"/>
    <w:rsid w:val="00C61538"/>
    <w:rsid w:val="00C62D9C"/>
    <w:rsid w:val="00C63845"/>
    <w:rsid w:val="00C76DFD"/>
    <w:rsid w:val="00C822ED"/>
    <w:rsid w:val="00C8641C"/>
    <w:rsid w:val="00C91DA3"/>
    <w:rsid w:val="00CA5C43"/>
    <w:rsid w:val="00CC2F8C"/>
    <w:rsid w:val="00CC5BE1"/>
    <w:rsid w:val="00CC5D2F"/>
    <w:rsid w:val="00CD7F43"/>
    <w:rsid w:val="00CE0369"/>
    <w:rsid w:val="00CE3B4E"/>
    <w:rsid w:val="00CE6F0D"/>
    <w:rsid w:val="00D013C1"/>
    <w:rsid w:val="00D0256C"/>
    <w:rsid w:val="00D122B7"/>
    <w:rsid w:val="00D1240C"/>
    <w:rsid w:val="00D159C5"/>
    <w:rsid w:val="00D17AAA"/>
    <w:rsid w:val="00D23448"/>
    <w:rsid w:val="00D24292"/>
    <w:rsid w:val="00D24847"/>
    <w:rsid w:val="00D34DAC"/>
    <w:rsid w:val="00D35239"/>
    <w:rsid w:val="00D42775"/>
    <w:rsid w:val="00D4626F"/>
    <w:rsid w:val="00D519EB"/>
    <w:rsid w:val="00D520B9"/>
    <w:rsid w:val="00D52E84"/>
    <w:rsid w:val="00D5615D"/>
    <w:rsid w:val="00D576B0"/>
    <w:rsid w:val="00D71E78"/>
    <w:rsid w:val="00D90A18"/>
    <w:rsid w:val="00DA2744"/>
    <w:rsid w:val="00DA2C49"/>
    <w:rsid w:val="00DA4BBD"/>
    <w:rsid w:val="00DA4EE4"/>
    <w:rsid w:val="00DA7252"/>
    <w:rsid w:val="00DB4C62"/>
    <w:rsid w:val="00DC08A2"/>
    <w:rsid w:val="00DC4FB0"/>
    <w:rsid w:val="00DD01B5"/>
    <w:rsid w:val="00DD5EE2"/>
    <w:rsid w:val="00DD73B1"/>
    <w:rsid w:val="00DE45AB"/>
    <w:rsid w:val="00DE5947"/>
    <w:rsid w:val="00DF3F8B"/>
    <w:rsid w:val="00DF6466"/>
    <w:rsid w:val="00DF72B9"/>
    <w:rsid w:val="00E00955"/>
    <w:rsid w:val="00E02017"/>
    <w:rsid w:val="00E04A32"/>
    <w:rsid w:val="00E112A2"/>
    <w:rsid w:val="00E11B61"/>
    <w:rsid w:val="00E16EF5"/>
    <w:rsid w:val="00E21572"/>
    <w:rsid w:val="00E274BE"/>
    <w:rsid w:val="00E321FD"/>
    <w:rsid w:val="00E363AC"/>
    <w:rsid w:val="00E435B0"/>
    <w:rsid w:val="00E47CCD"/>
    <w:rsid w:val="00E51EE7"/>
    <w:rsid w:val="00E54D71"/>
    <w:rsid w:val="00E55E91"/>
    <w:rsid w:val="00E563CB"/>
    <w:rsid w:val="00E6085D"/>
    <w:rsid w:val="00E62A82"/>
    <w:rsid w:val="00E62D14"/>
    <w:rsid w:val="00E659B2"/>
    <w:rsid w:val="00E73B8B"/>
    <w:rsid w:val="00E84B2D"/>
    <w:rsid w:val="00E874FE"/>
    <w:rsid w:val="00E91B17"/>
    <w:rsid w:val="00E94570"/>
    <w:rsid w:val="00EA0973"/>
    <w:rsid w:val="00EA0A58"/>
    <w:rsid w:val="00EA2488"/>
    <w:rsid w:val="00EA3A4B"/>
    <w:rsid w:val="00EA43F1"/>
    <w:rsid w:val="00EB3E75"/>
    <w:rsid w:val="00EB78CD"/>
    <w:rsid w:val="00EC39C5"/>
    <w:rsid w:val="00EC3E42"/>
    <w:rsid w:val="00EC44FF"/>
    <w:rsid w:val="00EC6740"/>
    <w:rsid w:val="00ED01FA"/>
    <w:rsid w:val="00ED5CB0"/>
    <w:rsid w:val="00EE148C"/>
    <w:rsid w:val="00EF1DFB"/>
    <w:rsid w:val="00EF23F0"/>
    <w:rsid w:val="00F16B6F"/>
    <w:rsid w:val="00F2401E"/>
    <w:rsid w:val="00F24917"/>
    <w:rsid w:val="00F2662F"/>
    <w:rsid w:val="00F3738D"/>
    <w:rsid w:val="00F40C65"/>
    <w:rsid w:val="00F429B7"/>
    <w:rsid w:val="00F435DB"/>
    <w:rsid w:val="00F46100"/>
    <w:rsid w:val="00F527B6"/>
    <w:rsid w:val="00F540A2"/>
    <w:rsid w:val="00F66E16"/>
    <w:rsid w:val="00F722CB"/>
    <w:rsid w:val="00F755AE"/>
    <w:rsid w:val="00F822E4"/>
    <w:rsid w:val="00F82EAF"/>
    <w:rsid w:val="00F90993"/>
    <w:rsid w:val="00F927C4"/>
    <w:rsid w:val="00F972F1"/>
    <w:rsid w:val="00FA2A4A"/>
    <w:rsid w:val="00FA3A09"/>
    <w:rsid w:val="00FC3541"/>
    <w:rsid w:val="00FC7946"/>
    <w:rsid w:val="00FD09AD"/>
    <w:rsid w:val="00FD2871"/>
    <w:rsid w:val="00FD2946"/>
    <w:rsid w:val="00FD4241"/>
    <w:rsid w:val="00FF37F8"/>
    <w:rsid w:val="00FF4F9A"/>
    <w:rsid w:val="00FF5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B06944"/>
  <w15:chartTrackingRefBased/>
  <w15:docId w15:val="{903E949A-AC49-4EB1-B067-734727C6A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907F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907FB5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07F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07FB5"/>
    <w:rPr>
      <w:lang w:val="es-ES"/>
    </w:rPr>
  </w:style>
  <w:style w:type="character" w:styleId="Hipervnculo">
    <w:name w:val="Hyperlink"/>
    <w:basedOn w:val="Fuentedeprrafopredeter"/>
    <w:rsid w:val="00907FB5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AE2DDF"/>
    <w:pPr>
      <w:ind w:left="720"/>
      <w:contextualSpacing/>
    </w:pPr>
  </w:style>
  <w:style w:type="table" w:customStyle="1" w:styleId="Tablaconcuadrculaclara1">
    <w:name w:val="Tabla con cuadrícula clara1"/>
    <w:basedOn w:val="Tablanormal"/>
    <w:uiPriority w:val="40"/>
    <w:rsid w:val="004214E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EE148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E148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E148C"/>
    <w:rPr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E148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E148C"/>
    <w:rPr>
      <w:b/>
      <w:bCs/>
      <w:sz w:val="20"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upen@supen.fi.c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tmp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os%20Usuarios\ariasgj\Desktop\Plantillas%20personalizadas%20de%20Office\Hoja%20SUPEN.dot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98F7ED7A8DC944786D775C5860668D9" ma:contentTypeVersion="7" ma:contentTypeDescription="Crear nuevo documento." ma:contentTypeScope="" ma:versionID="18b833d4a4568477dbe65e6381625d28">
  <xsd:schema xmlns:xsd="http://www.w3.org/2001/XMLSchema" xmlns:xs="http://www.w3.org/2001/XMLSchema" xmlns:p="http://schemas.microsoft.com/office/2006/metadata/properties" xmlns:ns2="6c2d2cf2-004b-47d1-b91d-f9a62dc21bae" targetNamespace="http://schemas.microsoft.com/office/2006/metadata/properties" ma:root="true" ma:fieldsID="fc25ecc9a4813553ccaeeae26d5c5c19" ns2:_="">
    <xsd:import namespace="6c2d2cf2-004b-47d1-b91d-f9a62dc21bae"/>
    <xsd:element name="properties">
      <xsd:complexType>
        <xsd:sequence>
          <xsd:element name="documentManagement">
            <xsd:complexType>
              <xsd:all>
                <xsd:element ref="ns2:Evento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2d2cf2-004b-47d1-b91d-f9a62dc21bae" elementFormDefault="qualified">
    <xsd:import namespace="http://schemas.microsoft.com/office/2006/documentManagement/types"/>
    <xsd:import namespace="http://schemas.microsoft.com/office/infopath/2007/PartnerControls"/>
    <xsd:element name="Evento" ma:index="8" nillable="true" ma:displayName="Evento" ma:format="Hyperlink" ma:internalName="Evento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vento xmlns="6c2d2cf2-004b-47d1-b91d-f9a62dc21bae">
      <Url>https://si.supen.fi.cr/Tramites/Tram_Detalle_Evento.aspx?evento=2023028276&amp;op=3</Url>
      <Description>2023028276</Description>
    </Evento>
  </documentManagement>
</p:properties>
</file>

<file path=customXml/itemProps1.xml><?xml version="1.0" encoding="utf-8"?>
<ds:datastoreItem xmlns:ds="http://schemas.openxmlformats.org/officeDocument/2006/customXml" ds:itemID="{BC341913-7780-409F-BD76-D0E2EF96ED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DDC6A9-3DAC-4814-A166-48F02425BC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2d2cf2-004b-47d1-b91d-f9a62dc21b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24CDF62-DE2C-475D-BE54-81B647443299}">
  <ds:schemaRefs>
    <ds:schemaRef ds:uri="http://purl.org/dc/terms/"/>
    <ds:schemaRef ds:uri="http://purl.org/dc/dcmitype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6c2d2cf2-004b-47d1-b91d-f9a62dc21bae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Hoja SUPEN.dotm</Template>
  <TotalTime>2</TotalTime>
  <Pages>9</Pages>
  <Words>2174</Words>
  <Characters>11961</Characters>
  <Application>Microsoft Office Word</Application>
  <DocSecurity>0</DocSecurity>
  <Lines>99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2023SPA264.docx</dc:title>
  <dc:subject/>
  <dc:creator>ARIAS GONZALEZ JOSE EZEQUIEL</dc:creator>
  <cp:keywords/>
  <dc:description/>
  <cp:lastModifiedBy>RODRIGUEZ BOVIERI GIANFRANCO</cp:lastModifiedBy>
  <cp:revision>2</cp:revision>
  <dcterms:created xsi:type="dcterms:W3CDTF">2023-07-28T19:36:00Z</dcterms:created>
  <dcterms:modified xsi:type="dcterms:W3CDTF">2023-07-28T19:36:00Z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0x010100598F7ED7A8DC944786D775C5860668D9</vt:lpwstr>
  </property>
  <property fmtid="{D5CDD505-2E9C-101B-9397-08002B2CF9AE}" pid="3" name="MediaServiceImageTags">
    <vt:lpwstr/>
  </property>
  <property fmtid="{D5CDD505-2E9C-101B-9397-08002B2CF9AE}" pid="4" name="MSIP_Label_b8b4be34-365a-4a68-b9fb-75c1b6874315_Enabled">
    <vt:lpwstr>true</vt:lpwstr>
  </property>
  <property fmtid="{D5CDD505-2E9C-101B-9397-08002B2CF9AE}" pid="5" name="MSIP_Label_b8b4be34-365a-4a68-b9fb-75c1b6874315_SetDate">
    <vt:lpwstr>2023-07-12T21:51:11Z</vt:lpwstr>
  </property>
  <property fmtid="{D5CDD505-2E9C-101B-9397-08002B2CF9AE}" pid="6" name="MSIP_Label_b8b4be34-365a-4a68-b9fb-75c1b6874315_Method">
    <vt:lpwstr>Standard</vt:lpwstr>
  </property>
  <property fmtid="{D5CDD505-2E9C-101B-9397-08002B2CF9AE}" pid="7" name="MSIP_Label_b8b4be34-365a-4a68-b9fb-75c1b6874315_Name">
    <vt:lpwstr>b8b4be34-365a-4a68-b9fb-75c1b6874315</vt:lpwstr>
  </property>
  <property fmtid="{D5CDD505-2E9C-101B-9397-08002B2CF9AE}" pid="8" name="MSIP_Label_b8b4be34-365a-4a68-b9fb-75c1b6874315_SiteId">
    <vt:lpwstr>618d0a45-25a6-4618-9f80-8f70a435ee52</vt:lpwstr>
  </property>
  <property fmtid="{D5CDD505-2E9C-101B-9397-08002B2CF9AE}" pid="9" name="MSIP_Label_b8b4be34-365a-4a68-b9fb-75c1b6874315_ActionId">
    <vt:lpwstr>92887c12-30c8-4f2b-9b2b-897b57363c0a</vt:lpwstr>
  </property>
  <property fmtid="{D5CDD505-2E9C-101B-9397-08002B2CF9AE}" pid="10" name="MSIP_Label_b8b4be34-365a-4a68-b9fb-75c1b6874315_ContentBits">
    <vt:lpwstr>2</vt:lpwstr>
  </property>
</Properties>
</file>