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19F8" w14:textId="49BA26FE" w:rsidR="00A4778B" w:rsidRPr="003E3B51" w:rsidRDefault="00000000" w:rsidP="00AF7580">
      <w:pPr>
        <w:pStyle w:val="SupenEncabezado"/>
        <w:spacing w:line="276" w:lineRule="auto"/>
        <w:rPr>
          <w:rStyle w:val="SupenEncabezadoCar"/>
          <w:b/>
          <w:bCs/>
        </w:rPr>
      </w:pPr>
      <w:sdt>
        <w:sdtPr>
          <w:rPr>
            <w:rStyle w:val="SupenEncabezadoCar"/>
            <w:b/>
            <w:bCs/>
          </w:rPr>
          <w:alias w:val="Código"/>
          <w:tag w:val="A"/>
          <w:id w:val="1991359848"/>
          <w:lock w:val="sdtLocked"/>
          <w:placeholder>
            <w:docPart w:val="C6AAD96637CD4F0EB08BD409F3431B4B"/>
          </w:placeholder>
          <w:text/>
        </w:sdtPr>
        <w:sdtContent>
          <w:r w:rsidR="003E3B51" w:rsidRPr="003E3B51">
            <w:rPr>
              <w:rStyle w:val="SupenEncabezadoCar"/>
              <w:b/>
              <w:bCs/>
            </w:rPr>
            <w:t>SP-A-243-2021</w:t>
          </w:r>
        </w:sdtContent>
      </w:sdt>
    </w:p>
    <w:p w14:paraId="5AE322BF" w14:textId="77777777" w:rsidR="003262D5" w:rsidRDefault="003262D5" w:rsidP="00AF7580">
      <w:pPr>
        <w:spacing w:after="160" w:line="276" w:lineRule="auto"/>
      </w:pPr>
    </w:p>
    <w:p w14:paraId="56B8E98E" w14:textId="457DBD89" w:rsidR="00291B81" w:rsidRDefault="00291B81" w:rsidP="00AF7580">
      <w:pPr>
        <w:spacing w:line="276" w:lineRule="auto"/>
        <w:jc w:val="both"/>
      </w:pPr>
      <w:r w:rsidRPr="00BD0C19">
        <w:t xml:space="preserve">Superintendencia de Pensiones, al ser las </w:t>
      </w:r>
      <w:r w:rsidR="00AD4874">
        <w:t>quince</w:t>
      </w:r>
      <w:r w:rsidRPr="00BD0C19">
        <w:t xml:space="preserve"> horas del día </w:t>
      </w:r>
      <w:r w:rsidR="00AD4874">
        <w:t>dieciocho</w:t>
      </w:r>
      <w:r w:rsidRPr="00BD0C19">
        <w:t xml:space="preserve"> de </w:t>
      </w:r>
      <w:r w:rsidR="00AD4874">
        <w:t>mayo</w:t>
      </w:r>
      <w:r w:rsidRPr="00BD0C19">
        <w:t xml:space="preserve"> de</w:t>
      </w:r>
      <w:r w:rsidR="00AD4874">
        <w:t>l año dos mil veintiuno</w:t>
      </w:r>
      <w:r w:rsidRPr="00BD0C19">
        <w:t>.</w:t>
      </w:r>
    </w:p>
    <w:p w14:paraId="0EE4C335" w14:textId="77777777" w:rsidR="00291B81" w:rsidRPr="00BD0C19" w:rsidRDefault="00291B81" w:rsidP="00AF7580">
      <w:pPr>
        <w:spacing w:line="276" w:lineRule="auto"/>
      </w:pPr>
    </w:p>
    <w:p w14:paraId="79217AD4" w14:textId="77777777" w:rsidR="00291B81" w:rsidRPr="00A04E73" w:rsidRDefault="00A04E73" w:rsidP="00A04E73">
      <w:pPr>
        <w:spacing w:line="276" w:lineRule="auto"/>
        <w:jc w:val="center"/>
        <w:rPr>
          <w:b/>
          <w:bCs/>
        </w:rPr>
      </w:pPr>
      <w:r w:rsidRPr="00A04E73">
        <w:rPr>
          <w:b/>
          <w:bCs/>
        </w:rPr>
        <w:t>CONSIDERANDO:</w:t>
      </w:r>
    </w:p>
    <w:p w14:paraId="14720829" w14:textId="77777777" w:rsidR="00A04E73" w:rsidRPr="00BD0C19" w:rsidRDefault="00A04E73" w:rsidP="00A04E73">
      <w:pPr>
        <w:spacing w:line="276" w:lineRule="auto"/>
        <w:jc w:val="center"/>
      </w:pPr>
    </w:p>
    <w:p w14:paraId="75AFCB28"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 xml:space="preserve">El artículo 38, inciso f), de la ley No. 7523, </w:t>
      </w:r>
      <w:r w:rsidRPr="00A04E73">
        <w:rPr>
          <w:rFonts w:eastAsia="Times New Roman" w:cs="Times New Roman"/>
          <w:i/>
          <w:iCs/>
          <w:color w:val="000000"/>
          <w:szCs w:val="24"/>
          <w:lang w:val="es-CR" w:eastAsia="es-CR"/>
        </w:rPr>
        <w:t>Régimen Privado de Pensiones Complementarias</w:t>
      </w:r>
      <w:r w:rsidRPr="00A04E73">
        <w:rPr>
          <w:rFonts w:eastAsia="Times New Roman" w:cs="Times New Roman"/>
          <w:color w:val="000000"/>
          <w:szCs w:val="24"/>
          <w:lang w:val="es-CR" w:eastAsia="es-CR"/>
        </w:rPr>
        <w:t xml:space="preserve">, establece que, corresponde al Superintendente de Pensiones, adoptar todas las acciones necesarias para el cumplimiento efectivo de las funciones de autorización, regulación, supervisión y fiscalización que le competen a la Superintendencia de Pensiones, según la ley y las normas emitidas por el Consejo Nacional de Supervisión del Sistema Financiero (CONASSIF). </w:t>
      </w:r>
    </w:p>
    <w:p w14:paraId="7411BB8F"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67554ADE" w14:textId="77777777" w:rsidR="00A04E73" w:rsidRPr="00A04E73" w:rsidRDefault="00A04E73" w:rsidP="00A04E73">
      <w:pPr>
        <w:autoSpaceDE w:val="0"/>
        <w:autoSpaceDN w:val="0"/>
        <w:adjustRightInd w:val="0"/>
        <w:spacing w:line="240" w:lineRule="auto"/>
        <w:ind w:left="720"/>
        <w:jc w:val="both"/>
        <w:rPr>
          <w:rFonts w:eastAsia="Times New Roman" w:cs="Times New Roman"/>
          <w:szCs w:val="24"/>
          <w:lang w:val="es-CR" w:eastAsia="es-CR"/>
        </w:rPr>
      </w:pPr>
      <w:r w:rsidRPr="00A04E73">
        <w:rPr>
          <w:rFonts w:eastAsia="Times New Roman" w:cs="Times New Roman"/>
          <w:szCs w:val="24"/>
          <w:lang w:val="es-CR" w:eastAsia="es-CR"/>
        </w:rPr>
        <w:t xml:space="preserve">En este sentido, el citado artículo 38, en su inciso a), señala, como una atribución del Superintendente, proponer al CONASSIF los reglamentos que resulten necesarios para cumplir las competencias y funciones de la Superintendencia de Pensiones. </w:t>
      </w:r>
    </w:p>
    <w:p w14:paraId="4E261278" w14:textId="77777777" w:rsidR="00A04E73" w:rsidRPr="00A04E73" w:rsidRDefault="00A04E73" w:rsidP="00A04E73">
      <w:pPr>
        <w:autoSpaceDE w:val="0"/>
        <w:autoSpaceDN w:val="0"/>
        <w:adjustRightInd w:val="0"/>
        <w:spacing w:line="240" w:lineRule="auto"/>
        <w:jc w:val="both"/>
        <w:rPr>
          <w:rFonts w:eastAsia="Times New Roman" w:cs="Times New Roman"/>
          <w:szCs w:val="24"/>
          <w:lang w:val="es-CR" w:eastAsia="es-CR"/>
        </w:rPr>
      </w:pPr>
    </w:p>
    <w:p w14:paraId="259F6E0C" w14:textId="77777777" w:rsidR="00A04E73" w:rsidRPr="00A04E73" w:rsidRDefault="00A04E73" w:rsidP="00A04E73">
      <w:pPr>
        <w:autoSpaceDE w:val="0"/>
        <w:autoSpaceDN w:val="0"/>
        <w:adjustRightInd w:val="0"/>
        <w:spacing w:line="240" w:lineRule="auto"/>
        <w:ind w:left="720"/>
        <w:jc w:val="both"/>
        <w:rPr>
          <w:rFonts w:eastAsia="Times New Roman" w:cs="Times New Roman"/>
          <w:szCs w:val="24"/>
          <w:lang w:val="es-CR" w:eastAsia="es-CR"/>
        </w:rPr>
      </w:pPr>
      <w:r w:rsidRPr="00A04E73">
        <w:rPr>
          <w:rFonts w:eastAsia="Times New Roman" w:cs="Times New Roman"/>
          <w:szCs w:val="24"/>
          <w:lang w:val="es-CR" w:eastAsia="es-CR"/>
        </w:rPr>
        <w:t xml:space="preserve">Colateralmente, la </w:t>
      </w:r>
      <w:r w:rsidRPr="00A04E73">
        <w:rPr>
          <w:rFonts w:eastAsia="Times New Roman" w:cs="Times New Roman"/>
          <w:i/>
          <w:iCs/>
          <w:szCs w:val="24"/>
          <w:lang w:val="es-CR" w:eastAsia="es-CR"/>
        </w:rPr>
        <w:t>Ley Reguladora del Mercado de Valores</w:t>
      </w:r>
      <w:r w:rsidRPr="00A04E73">
        <w:rPr>
          <w:rFonts w:eastAsia="Times New Roman" w:cs="Times New Roman"/>
          <w:szCs w:val="24"/>
          <w:lang w:val="es-CR" w:eastAsia="es-CR"/>
        </w:rPr>
        <w:t>, en el artículo 171, inciso b), indica que, corresponde al CONASSIF, aprobar las normas atinentes a la autorización, regulación, supervisión, fiscalización y vigilancia que, conforme a la ley, debe ejecutar la SUPEN.</w:t>
      </w:r>
    </w:p>
    <w:p w14:paraId="704D7DC6" w14:textId="77777777" w:rsidR="00A04E73" w:rsidRPr="00A04E73" w:rsidRDefault="00A04E73" w:rsidP="00026699">
      <w:pPr>
        <w:spacing w:after="160" w:line="256" w:lineRule="auto"/>
        <w:contextualSpacing/>
        <w:rPr>
          <w:rFonts w:eastAsia="Calibri" w:cs="Times New Roman"/>
          <w:szCs w:val="24"/>
        </w:rPr>
      </w:pPr>
    </w:p>
    <w:p w14:paraId="67DF16B4"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szCs w:val="24"/>
          <w:lang w:val="es-CR" w:eastAsia="es-CR"/>
        </w:rPr>
      </w:pPr>
      <w:r w:rsidRPr="00A04E73">
        <w:rPr>
          <w:rFonts w:eastAsia="Times New Roman" w:cs="Times New Roman"/>
          <w:szCs w:val="24"/>
          <w:lang w:val="es-CR" w:eastAsia="es-CR"/>
        </w:rPr>
        <w:t xml:space="preserve">El inciso a) del artículo 33 del </w:t>
      </w:r>
      <w:r w:rsidRPr="00A04E73">
        <w:rPr>
          <w:rFonts w:eastAsia="Times New Roman" w:cs="Times New Roman"/>
          <w:i/>
          <w:iCs/>
          <w:szCs w:val="24"/>
          <w:lang w:val="es-CR" w:eastAsia="es-CR"/>
        </w:rPr>
        <w:t xml:space="preserve">Reglamento sobre la apertura y funcionamiento de las entidades autorizadas y el funcionamiento de los fondos de pensiones, capitalización laboral y ahorro voluntario previstos en la Ley de Protección al Trabajado, </w:t>
      </w:r>
      <w:r w:rsidR="00026699" w:rsidRPr="00026699">
        <w:rPr>
          <w:rFonts w:eastAsia="Times New Roman" w:cs="Times New Roman"/>
          <w:szCs w:val="24"/>
          <w:lang w:val="es-CR" w:eastAsia="es-CR"/>
        </w:rPr>
        <w:t>publicado en el diario oficial La Gaceta N</w:t>
      </w:r>
      <w:r w:rsidR="00026699">
        <w:rPr>
          <w:rFonts w:eastAsia="Times New Roman" w:cs="Times New Roman"/>
          <w:szCs w:val="24"/>
          <w:lang w:val="es-CR" w:eastAsia="es-CR"/>
        </w:rPr>
        <w:t xml:space="preserve">o. </w:t>
      </w:r>
      <w:r w:rsidR="00026699" w:rsidRPr="00026699">
        <w:rPr>
          <w:rFonts w:eastAsia="Times New Roman" w:cs="Times New Roman"/>
          <w:szCs w:val="24"/>
          <w:lang w:val="es-CR" w:eastAsia="es-CR"/>
        </w:rPr>
        <w:t>78, Alcance N</w:t>
      </w:r>
      <w:r w:rsidR="00026699">
        <w:rPr>
          <w:rFonts w:eastAsia="Times New Roman" w:cs="Times New Roman"/>
          <w:szCs w:val="24"/>
          <w:lang w:val="es-CR" w:eastAsia="es-CR"/>
        </w:rPr>
        <w:t xml:space="preserve">o. </w:t>
      </w:r>
      <w:r w:rsidR="00026699" w:rsidRPr="00026699">
        <w:rPr>
          <w:rFonts w:eastAsia="Times New Roman" w:cs="Times New Roman"/>
          <w:szCs w:val="24"/>
          <w:lang w:val="es-CR" w:eastAsia="es-CR"/>
        </w:rPr>
        <w:t>30 del 24 de abril del 2001,</w:t>
      </w:r>
      <w:r w:rsidR="00026699">
        <w:rPr>
          <w:rFonts w:eastAsia="Times New Roman" w:cs="Times New Roman"/>
          <w:i/>
          <w:iCs/>
          <w:szCs w:val="24"/>
          <w:lang w:val="es-CR" w:eastAsia="es-CR"/>
        </w:rPr>
        <w:t xml:space="preserve"> </w:t>
      </w:r>
      <w:r w:rsidRPr="00A04E73">
        <w:rPr>
          <w:rFonts w:eastAsia="Times New Roman" w:cs="Times New Roman"/>
          <w:szCs w:val="24"/>
          <w:lang w:val="es-CR" w:eastAsia="es-CR"/>
        </w:rPr>
        <w:t>prohíbe a las entidades autorizadas realizar proyecciones de rentabilidad de los fondos autorizados para fines publicitarios, no así de información al afiliado proporcionada por su propia operadora de pensiones.</w:t>
      </w:r>
    </w:p>
    <w:p w14:paraId="7476E84E" w14:textId="77777777" w:rsidR="00A04E73" w:rsidRPr="00A04E73" w:rsidRDefault="00A04E73" w:rsidP="00A04E73">
      <w:pPr>
        <w:spacing w:after="160" w:line="256" w:lineRule="auto"/>
        <w:ind w:left="720"/>
        <w:contextualSpacing/>
        <w:rPr>
          <w:rFonts w:eastAsia="Calibri" w:cs="Times New Roman"/>
          <w:szCs w:val="24"/>
        </w:rPr>
      </w:pPr>
    </w:p>
    <w:p w14:paraId="10BAEE47"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color w:val="000000"/>
          <w:szCs w:val="24"/>
          <w:lang w:val="es-CR" w:eastAsia="es-CR"/>
        </w:rPr>
      </w:pPr>
      <w:r w:rsidRPr="00A04E73">
        <w:rPr>
          <w:rFonts w:eastAsia="Times New Roman" w:cs="Times New Roman"/>
          <w:szCs w:val="24"/>
          <w:lang w:val="es-CR" w:eastAsia="es-CR"/>
        </w:rPr>
        <w:t xml:space="preserve">Las proyecciones de los montos acumulados en las cuentas de los afiliados, destinados al pago de las futuras pensiones, representan un instrumento de educación financiera que puede coadyuvar a que los trabajadores modifiquen su comportamiento de ahorro a lo largo del tiempo, así como para formarse expectativas objetivas de las prestaciones a que tendrán derecho al momento de su jubilación. </w:t>
      </w:r>
    </w:p>
    <w:p w14:paraId="6E53C9AB" w14:textId="77777777" w:rsidR="00A04E73" w:rsidRPr="00A04E73" w:rsidRDefault="00A04E73" w:rsidP="00A04E73">
      <w:pPr>
        <w:autoSpaceDE w:val="0"/>
        <w:autoSpaceDN w:val="0"/>
        <w:adjustRightInd w:val="0"/>
        <w:spacing w:line="240" w:lineRule="auto"/>
        <w:ind w:left="708"/>
        <w:jc w:val="both"/>
        <w:rPr>
          <w:rFonts w:eastAsia="Times New Roman" w:cs="Times New Roman"/>
          <w:szCs w:val="24"/>
          <w:lang w:val="es-CR" w:eastAsia="es-CR"/>
        </w:rPr>
      </w:pPr>
    </w:p>
    <w:p w14:paraId="1F6CA7F3" w14:textId="5D73ABD6" w:rsidR="00A04E73" w:rsidRPr="00401176" w:rsidRDefault="00401176" w:rsidP="00401176">
      <w:pPr>
        <w:pStyle w:val="Prrafodelista"/>
        <w:numPr>
          <w:ilvl w:val="0"/>
          <w:numId w:val="1"/>
        </w:numPr>
        <w:autoSpaceDE w:val="0"/>
        <w:autoSpaceDN w:val="0"/>
        <w:adjustRightInd w:val="0"/>
        <w:spacing w:line="240" w:lineRule="auto"/>
        <w:jc w:val="both"/>
        <w:rPr>
          <w:rFonts w:eastAsia="Times New Roman" w:cs="Times New Roman"/>
          <w:szCs w:val="24"/>
          <w:lang w:val="es-CR" w:eastAsia="es-CR"/>
        </w:rPr>
      </w:pPr>
      <w:r w:rsidRPr="00401176">
        <w:rPr>
          <w:rFonts w:eastAsia="Times New Roman" w:cs="Times New Roman"/>
          <w:szCs w:val="24"/>
          <w:lang w:val="es-CR" w:eastAsia="es-CR"/>
        </w:rPr>
        <w:t>El Consejo Nacional de Supervisión del Sistema Financiero,</w:t>
      </w:r>
      <w:r>
        <w:rPr>
          <w:rFonts w:eastAsia="Times New Roman" w:cs="Times New Roman"/>
          <w:szCs w:val="24"/>
          <w:lang w:val="es-CR" w:eastAsia="es-CR"/>
        </w:rPr>
        <w:t xml:space="preserve"> </w:t>
      </w:r>
      <w:r w:rsidRPr="00401176">
        <w:rPr>
          <w:rFonts w:eastAsia="Times New Roman" w:cs="Times New Roman"/>
          <w:szCs w:val="24"/>
          <w:lang w:val="es-CR" w:eastAsia="es-CR"/>
        </w:rPr>
        <w:t>en el artículo 6, del acta de la sesión 1656-2021,</w:t>
      </w:r>
      <w:r w:rsidR="00A925DD">
        <w:rPr>
          <w:rFonts w:eastAsia="Times New Roman" w:cs="Times New Roman"/>
          <w:szCs w:val="24"/>
          <w:lang w:val="es-CR" w:eastAsia="es-CR"/>
        </w:rPr>
        <w:t xml:space="preserve"> </w:t>
      </w:r>
      <w:r w:rsidRPr="00401176">
        <w:rPr>
          <w:rFonts w:eastAsia="Times New Roman" w:cs="Times New Roman"/>
          <w:szCs w:val="24"/>
          <w:lang w:val="es-CR" w:eastAsia="es-CR"/>
        </w:rPr>
        <w:t>celebrada el 19 de</w:t>
      </w:r>
      <w:r>
        <w:rPr>
          <w:rFonts w:eastAsia="Times New Roman" w:cs="Times New Roman"/>
          <w:szCs w:val="24"/>
          <w:lang w:val="es-CR" w:eastAsia="es-CR"/>
        </w:rPr>
        <w:t xml:space="preserve"> </w:t>
      </w:r>
      <w:r w:rsidRPr="00401176">
        <w:rPr>
          <w:rFonts w:eastAsia="Times New Roman" w:cs="Times New Roman"/>
          <w:szCs w:val="24"/>
          <w:lang w:val="es-CR" w:eastAsia="es-CR"/>
        </w:rPr>
        <w:t>abril del 2021</w:t>
      </w:r>
      <w:r>
        <w:rPr>
          <w:rFonts w:eastAsia="Times New Roman" w:cs="Times New Roman"/>
          <w:szCs w:val="24"/>
          <w:lang w:val="es-CR" w:eastAsia="es-CR"/>
        </w:rPr>
        <w:t xml:space="preserve">, </w:t>
      </w:r>
      <w:r w:rsidR="00A04E73" w:rsidRPr="00401176">
        <w:rPr>
          <w:rFonts w:eastAsia="Times New Roman" w:cs="Times New Roman"/>
          <w:szCs w:val="24"/>
          <w:lang w:val="es-CR" w:eastAsia="es-CR"/>
        </w:rPr>
        <w:t xml:space="preserve">acordó modificar el artículo 143 del </w:t>
      </w:r>
      <w:r w:rsidR="00A04E73" w:rsidRPr="00401176">
        <w:rPr>
          <w:rFonts w:eastAsia="Times New Roman" w:cs="Times New Roman"/>
          <w:i/>
          <w:iCs/>
          <w:szCs w:val="24"/>
          <w:lang w:val="es-CR" w:eastAsia="es-CR"/>
        </w:rPr>
        <w:t xml:space="preserve">Reglamento sobre la apertura y funcionamiento de las entidades autorizadas y el funcionamiento de los fondos de pensiones, capitalización laboral y ahorro </w:t>
      </w:r>
      <w:r w:rsidR="00A04E73" w:rsidRPr="00401176">
        <w:rPr>
          <w:rFonts w:eastAsia="Times New Roman" w:cs="Times New Roman"/>
          <w:i/>
          <w:iCs/>
          <w:szCs w:val="24"/>
          <w:lang w:val="es-CR" w:eastAsia="es-CR"/>
        </w:rPr>
        <w:lastRenderedPageBreak/>
        <w:t xml:space="preserve">voluntario previstos en la Ley de Protección al Trabajador. </w:t>
      </w:r>
      <w:r w:rsidR="00A04E73" w:rsidRPr="00401176">
        <w:rPr>
          <w:rFonts w:eastAsia="Times New Roman" w:cs="Times New Roman"/>
          <w:szCs w:val="24"/>
          <w:lang w:val="es-CR" w:eastAsia="es-CR"/>
        </w:rPr>
        <w:t xml:space="preserve">Dicha reforma fue publicada en el diario oficial la Gaceta </w:t>
      </w:r>
      <w:r w:rsidRPr="00401176">
        <w:rPr>
          <w:rFonts w:eastAsia="Times New Roman" w:cs="Times New Roman"/>
          <w:szCs w:val="24"/>
          <w:lang w:val="es-CR" w:eastAsia="es-CR"/>
        </w:rPr>
        <w:t>N</w:t>
      </w:r>
      <w:r>
        <w:rPr>
          <w:rFonts w:eastAsia="Times New Roman" w:cs="Times New Roman"/>
          <w:szCs w:val="24"/>
          <w:lang w:val="es-CR" w:eastAsia="es-CR"/>
        </w:rPr>
        <w:t>o.</w:t>
      </w:r>
      <w:r w:rsidRPr="00401176">
        <w:rPr>
          <w:rFonts w:eastAsia="Times New Roman" w:cs="Times New Roman"/>
          <w:szCs w:val="24"/>
          <w:lang w:val="es-CR" w:eastAsia="es-CR"/>
        </w:rPr>
        <w:t xml:space="preserve"> 81</w:t>
      </w:r>
      <w:r>
        <w:rPr>
          <w:rFonts w:eastAsia="Times New Roman" w:cs="Times New Roman"/>
          <w:szCs w:val="24"/>
          <w:lang w:val="es-CR" w:eastAsia="es-CR"/>
        </w:rPr>
        <w:t xml:space="preserve"> del </w:t>
      </w:r>
      <w:r w:rsidRPr="00401176">
        <w:rPr>
          <w:rFonts w:eastAsia="Times New Roman" w:cs="Times New Roman"/>
          <w:szCs w:val="24"/>
          <w:lang w:val="es-CR" w:eastAsia="es-CR"/>
        </w:rPr>
        <w:t>28 de abril del 2021</w:t>
      </w:r>
      <w:r>
        <w:rPr>
          <w:rFonts w:eastAsia="Times New Roman" w:cs="Times New Roman"/>
          <w:szCs w:val="24"/>
          <w:lang w:val="es-CR" w:eastAsia="es-CR"/>
        </w:rPr>
        <w:t>.</w:t>
      </w:r>
    </w:p>
    <w:p w14:paraId="2673CE73" w14:textId="77777777" w:rsidR="00A04E73" w:rsidRPr="00A04E73" w:rsidRDefault="00A04E73" w:rsidP="00A04E73">
      <w:pPr>
        <w:pStyle w:val="Prrafodelista"/>
        <w:rPr>
          <w:rFonts w:eastAsia="Times New Roman" w:cs="Times New Roman"/>
          <w:szCs w:val="24"/>
          <w:lang w:val="es-CR" w:eastAsia="es-CR"/>
        </w:rPr>
      </w:pPr>
    </w:p>
    <w:p w14:paraId="0901BEC9" w14:textId="13F9B691" w:rsidR="00A04E73" w:rsidRPr="0069478A" w:rsidRDefault="00A04E73" w:rsidP="0069478A">
      <w:pPr>
        <w:pStyle w:val="Prrafodelista"/>
        <w:numPr>
          <w:ilvl w:val="0"/>
          <w:numId w:val="1"/>
        </w:numPr>
        <w:autoSpaceDE w:val="0"/>
        <w:autoSpaceDN w:val="0"/>
        <w:adjustRightInd w:val="0"/>
        <w:spacing w:line="240" w:lineRule="auto"/>
        <w:ind w:left="360"/>
        <w:jc w:val="both"/>
        <w:rPr>
          <w:rFonts w:eastAsia="Times New Roman" w:cs="Times New Roman"/>
          <w:szCs w:val="24"/>
          <w:lang w:val="es-CR" w:eastAsia="es-CR"/>
        </w:rPr>
      </w:pPr>
      <w:r w:rsidRPr="00C368A1">
        <w:rPr>
          <w:rFonts w:eastAsia="Times New Roman" w:cs="Times New Roman"/>
          <w:szCs w:val="24"/>
          <w:lang w:val="es-CR" w:eastAsia="es-CR"/>
        </w:rPr>
        <w:t xml:space="preserve">El artículo 143 del </w:t>
      </w:r>
      <w:r w:rsidRPr="00C368A1">
        <w:rPr>
          <w:rFonts w:eastAsia="Times New Roman" w:cs="Times New Roman"/>
          <w:i/>
          <w:iCs/>
          <w:szCs w:val="24"/>
          <w:lang w:val="es-CR" w:eastAsia="es-CR"/>
        </w:rPr>
        <w:t>Reglamento sobre la apertura y funcionamiento de las entidades autorizadas y el funcionamiento de los fondos de pensiones, capitalización laboral y ahorro voluntario previstos en la Ley de Protección al Trabajador</w:t>
      </w:r>
      <w:r w:rsidRPr="00C368A1">
        <w:rPr>
          <w:rFonts w:eastAsia="Times New Roman" w:cs="Times New Roman"/>
          <w:szCs w:val="24"/>
          <w:lang w:val="es-CR" w:eastAsia="es-CR"/>
        </w:rPr>
        <w:t>, reformado según se indicó anteriormente, señala qu</w:t>
      </w:r>
      <w:r w:rsidR="00C368A1" w:rsidRPr="00C368A1">
        <w:rPr>
          <w:rFonts w:eastAsia="Times New Roman" w:cs="Times New Roman"/>
          <w:szCs w:val="24"/>
          <w:lang w:val="es-CR" w:eastAsia="es-CR"/>
        </w:rPr>
        <w:t xml:space="preserve">e: </w:t>
      </w:r>
      <w:r w:rsidR="00C368A1" w:rsidRPr="0069478A">
        <w:rPr>
          <w:rFonts w:eastAsia="Times New Roman" w:cs="Times New Roman"/>
          <w:i/>
          <w:iCs/>
          <w:szCs w:val="24"/>
          <w:lang w:val="es-CR" w:eastAsia="es-CR"/>
        </w:rPr>
        <w:t>“</w:t>
      </w:r>
      <w:r w:rsidR="00C368A1" w:rsidRPr="0069478A">
        <w:rPr>
          <w:rFonts w:eastAsia="Times New Roman" w:cs="Times New Roman"/>
          <w:i/>
          <w:iCs/>
          <w:szCs w:val="24"/>
          <w:lang w:eastAsia="es-CR"/>
        </w:rPr>
        <w:t>Las entidades autorizadas deben enviar, al menos cada seis meses, un estado de cuenta a los afiliados que contendrá, como mínimo, el saldo a la fecha, los rendimientos obtenidos, las comisiones de administración cobradas y los aportes realizados. Independientemente del plazo antes mencionado, la información deberá estar disponible para el afiliado cuando éste la solicite, en cualquier momento. Los estados de cuenta deben cumplir los lineamientos establecidos mediante acuerdo del Superintendente de Pensiones. Sin perjuicio de lo dispuesto en el artículo 33 de este Reglamento, los estados de cuenta deben indicar la proyección de una pensión calculada según se establezca mediante acuerdo del Superintendente de Pensiones”.</w:t>
      </w:r>
    </w:p>
    <w:p w14:paraId="05C4D6C4" w14:textId="77777777" w:rsidR="003C5EFA" w:rsidRPr="0069478A" w:rsidRDefault="003C5EFA" w:rsidP="0069478A">
      <w:pPr>
        <w:pStyle w:val="Prrafodelista"/>
        <w:rPr>
          <w:rFonts w:eastAsia="Times New Roman" w:cs="Times New Roman"/>
          <w:szCs w:val="24"/>
          <w:lang w:val="es-CR" w:eastAsia="es-CR"/>
        </w:rPr>
      </w:pPr>
    </w:p>
    <w:p w14:paraId="2300CB4F" w14:textId="77777777" w:rsidR="00A04E73" w:rsidRPr="00A04E73" w:rsidRDefault="00A04E73" w:rsidP="00A04E73">
      <w:pPr>
        <w:autoSpaceDE w:val="0"/>
        <w:autoSpaceDN w:val="0"/>
        <w:adjustRightInd w:val="0"/>
        <w:spacing w:line="240" w:lineRule="auto"/>
        <w:ind w:left="360"/>
        <w:jc w:val="center"/>
        <w:rPr>
          <w:rFonts w:eastAsia="Times New Roman" w:cs="Times New Roman"/>
          <w:b/>
          <w:bCs/>
          <w:szCs w:val="24"/>
          <w:lang w:val="es-CR" w:eastAsia="es-CR"/>
        </w:rPr>
      </w:pPr>
      <w:r w:rsidRPr="00A04E73">
        <w:rPr>
          <w:rFonts w:eastAsia="Times New Roman" w:cs="Times New Roman"/>
          <w:b/>
          <w:bCs/>
          <w:szCs w:val="24"/>
          <w:lang w:val="es-CR" w:eastAsia="es-CR"/>
        </w:rPr>
        <w:t>POR TANTO:</w:t>
      </w:r>
    </w:p>
    <w:p w14:paraId="70846891" w14:textId="77777777" w:rsidR="00A04E73" w:rsidRPr="00A04E73" w:rsidRDefault="00A04E73" w:rsidP="00A04E73">
      <w:pPr>
        <w:autoSpaceDE w:val="0"/>
        <w:autoSpaceDN w:val="0"/>
        <w:adjustRightInd w:val="0"/>
        <w:spacing w:line="240" w:lineRule="auto"/>
        <w:ind w:left="360"/>
        <w:jc w:val="center"/>
        <w:rPr>
          <w:rFonts w:eastAsia="Times New Roman" w:cs="Times New Roman"/>
          <w:b/>
          <w:bCs/>
          <w:szCs w:val="24"/>
          <w:lang w:val="es-CR" w:eastAsia="es-CR"/>
        </w:rPr>
      </w:pPr>
    </w:p>
    <w:p w14:paraId="4E8A8A78" w14:textId="5A7C9610" w:rsidR="00A04E73" w:rsidRPr="00B86D58" w:rsidRDefault="00A04E73" w:rsidP="00670282">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sidRPr="00B86D58">
        <w:rPr>
          <w:rFonts w:eastAsia="Times New Roman" w:cs="Times New Roman"/>
          <w:color w:val="000000"/>
          <w:szCs w:val="24"/>
          <w:lang w:val="es-CR" w:eastAsia="es-CR"/>
        </w:rPr>
        <w:t>Disposiciones sobre el envío de estados de cuenta y su contenido mínimo</w:t>
      </w:r>
      <w:r w:rsidR="00E83918">
        <w:rPr>
          <w:rStyle w:val="Refdenotaalpie"/>
          <w:rFonts w:eastAsia="Times New Roman" w:cs="Times New Roman"/>
          <w:color w:val="000000"/>
          <w:szCs w:val="24"/>
          <w:lang w:val="es-CR" w:eastAsia="es-CR"/>
        </w:rPr>
        <w:footnoteReference w:id="2"/>
      </w:r>
    </w:p>
    <w:p w14:paraId="33EEF64F"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59D291AA" w14:textId="77777777" w:rsidR="00A04E73" w:rsidRPr="00670282"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670282">
        <w:rPr>
          <w:rFonts w:eastAsia="Times New Roman" w:cs="Times New Roman"/>
          <w:b/>
          <w:bCs/>
          <w:color w:val="000000"/>
          <w:szCs w:val="24"/>
          <w:lang w:val="es-CR" w:eastAsia="es-CR"/>
        </w:rPr>
        <w:t xml:space="preserve">Primero: </w:t>
      </w:r>
      <w:r w:rsidR="008C5995">
        <w:rPr>
          <w:rFonts w:eastAsia="Times New Roman" w:cs="Times New Roman"/>
          <w:b/>
          <w:bCs/>
          <w:color w:val="000000"/>
          <w:szCs w:val="24"/>
          <w:lang w:val="es-CR" w:eastAsia="es-CR"/>
        </w:rPr>
        <w:t>Estado de cuenta</w:t>
      </w:r>
    </w:p>
    <w:p w14:paraId="7E2B15DF" w14:textId="77777777" w:rsidR="00670282" w:rsidRPr="00A04E73" w:rsidRDefault="00670282" w:rsidP="00A04E73">
      <w:pPr>
        <w:autoSpaceDE w:val="0"/>
        <w:autoSpaceDN w:val="0"/>
        <w:adjustRightInd w:val="0"/>
        <w:spacing w:line="240" w:lineRule="auto"/>
        <w:jc w:val="both"/>
        <w:rPr>
          <w:rFonts w:eastAsia="Times New Roman" w:cs="Times New Roman"/>
          <w:color w:val="000000"/>
          <w:szCs w:val="24"/>
          <w:lang w:val="es-CR" w:eastAsia="es-CR"/>
        </w:rPr>
      </w:pPr>
    </w:p>
    <w:p w14:paraId="55F31A86" w14:textId="77777777" w:rsidR="00FD5D3B" w:rsidRDefault="00A04E73" w:rsidP="00A04E73">
      <w:pPr>
        <w:autoSpaceDE w:val="0"/>
        <w:autoSpaceDN w:val="0"/>
        <w:adjustRightInd w:val="0"/>
        <w:spacing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Las entidades autorizadas deberán remitir a los afiliados y pensionados un estado de cuenta acumulado con corte al 30 de junio y al 31 de diciembre de cada año</w:t>
      </w:r>
      <w:r w:rsidR="00EA049C">
        <w:rPr>
          <w:rFonts w:eastAsia="Times New Roman" w:cs="Times New Roman"/>
          <w:color w:val="000000"/>
          <w:szCs w:val="24"/>
          <w:lang w:val="es-CR" w:eastAsia="es-CR"/>
        </w:rPr>
        <w:t>.</w:t>
      </w:r>
    </w:p>
    <w:p w14:paraId="6A4D7319" w14:textId="77777777" w:rsidR="006B72D7" w:rsidRDefault="00EA049C" w:rsidP="00A04E73">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 </w:t>
      </w:r>
    </w:p>
    <w:p w14:paraId="38457FEB" w14:textId="41DEFC46" w:rsidR="008C5995" w:rsidRDefault="00D935F6" w:rsidP="00A04E73">
      <w:pPr>
        <w:autoSpaceDE w:val="0"/>
        <w:autoSpaceDN w:val="0"/>
        <w:adjustRightInd w:val="0"/>
        <w:spacing w:line="240" w:lineRule="auto"/>
        <w:jc w:val="both"/>
        <w:rPr>
          <w:rFonts w:eastAsia="Times New Roman" w:cs="Times New Roman"/>
          <w:color w:val="000000"/>
          <w:szCs w:val="24"/>
          <w:lang w:val="es-CR" w:eastAsia="es-CR"/>
        </w:rPr>
      </w:pPr>
      <w:r w:rsidRPr="003669C5">
        <w:rPr>
          <w:rFonts w:eastAsia="Times New Roman" w:cs="Times New Roman"/>
          <w:color w:val="000000"/>
          <w:szCs w:val="24"/>
          <w:lang w:val="es-CR" w:eastAsia="es-CR"/>
        </w:rPr>
        <w:t xml:space="preserve">El estado de cuenta </w:t>
      </w:r>
      <w:r w:rsidR="006B72D7" w:rsidRPr="003669C5">
        <w:rPr>
          <w:rFonts w:eastAsia="Times New Roman" w:cs="Times New Roman"/>
          <w:color w:val="000000"/>
          <w:szCs w:val="24"/>
          <w:lang w:val="es-CR" w:eastAsia="es-CR"/>
        </w:rPr>
        <w:t xml:space="preserve">deberá ser remitido </w:t>
      </w:r>
      <w:r w:rsidRPr="003669C5">
        <w:rPr>
          <w:rFonts w:eastAsia="Times New Roman" w:cs="Times New Roman"/>
          <w:color w:val="000000"/>
          <w:szCs w:val="24"/>
          <w:lang w:val="es-CR" w:eastAsia="es-CR"/>
        </w:rPr>
        <w:t>dentro de</w:t>
      </w:r>
      <w:r w:rsidR="006B72D7" w:rsidRPr="003669C5">
        <w:rPr>
          <w:rFonts w:eastAsia="Times New Roman" w:cs="Times New Roman"/>
          <w:color w:val="000000"/>
          <w:szCs w:val="24"/>
          <w:lang w:val="es-CR" w:eastAsia="es-CR"/>
        </w:rPr>
        <w:t>l plazo</w:t>
      </w:r>
      <w:r w:rsidR="00C4662C">
        <w:rPr>
          <w:rFonts w:eastAsia="Times New Roman" w:cs="Times New Roman"/>
          <w:color w:val="000000"/>
          <w:szCs w:val="24"/>
          <w:lang w:val="es-CR" w:eastAsia="es-CR"/>
        </w:rPr>
        <w:t xml:space="preserve"> máximo</w:t>
      </w:r>
      <w:r w:rsidR="006B72D7" w:rsidRPr="003669C5">
        <w:rPr>
          <w:rFonts w:eastAsia="Times New Roman" w:cs="Times New Roman"/>
          <w:color w:val="000000"/>
          <w:szCs w:val="24"/>
          <w:lang w:val="es-CR" w:eastAsia="es-CR"/>
        </w:rPr>
        <w:t xml:space="preserve"> de un</w:t>
      </w:r>
      <w:r w:rsidRPr="003669C5">
        <w:rPr>
          <w:rFonts w:eastAsia="Times New Roman" w:cs="Times New Roman"/>
          <w:color w:val="000000"/>
          <w:szCs w:val="24"/>
          <w:lang w:val="es-CR" w:eastAsia="es-CR"/>
        </w:rPr>
        <w:t xml:space="preserve"> mes natural</w:t>
      </w:r>
      <w:r w:rsidR="006B72D7" w:rsidRPr="003669C5">
        <w:rPr>
          <w:rFonts w:eastAsia="Times New Roman" w:cs="Times New Roman"/>
          <w:color w:val="000000"/>
          <w:szCs w:val="24"/>
          <w:lang w:val="es-CR" w:eastAsia="es-CR"/>
        </w:rPr>
        <w:t>,</w:t>
      </w:r>
      <w:r w:rsidRPr="003669C5">
        <w:rPr>
          <w:rFonts w:eastAsia="Times New Roman" w:cs="Times New Roman"/>
          <w:color w:val="000000"/>
          <w:szCs w:val="24"/>
          <w:lang w:val="es-CR" w:eastAsia="es-CR"/>
        </w:rPr>
        <w:t xml:space="preserve"> contado a partir de cada una de las </w:t>
      </w:r>
      <w:r w:rsidR="006B72D7" w:rsidRPr="003669C5">
        <w:rPr>
          <w:rFonts w:eastAsia="Times New Roman" w:cs="Times New Roman"/>
          <w:color w:val="000000"/>
          <w:szCs w:val="24"/>
          <w:lang w:val="es-CR" w:eastAsia="es-CR"/>
        </w:rPr>
        <w:t xml:space="preserve">indicadas </w:t>
      </w:r>
      <w:r w:rsidRPr="003669C5">
        <w:rPr>
          <w:rFonts w:eastAsia="Times New Roman" w:cs="Times New Roman"/>
          <w:color w:val="000000"/>
          <w:szCs w:val="24"/>
          <w:lang w:val="es-CR" w:eastAsia="es-CR"/>
        </w:rPr>
        <w:t>fechas</w:t>
      </w:r>
      <w:r w:rsidR="006B72D7" w:rsidRPr="003669C5">
        <w:rPr>
          <w:rFonts w:eastAsia="Times New Roman" w:cs="Times New Roman"/>
          <w:color w:val="000000"/>
          <w:szCs w:val="24"/>
          <w:lang w:val="es-CR" w:eastAsia="es-CR"/>
        </w:rPr>
        <w:t>, a través del</w:t>
      </w:r>
      <w:r w:rsidR="003669C5" w:rsidRPr="003669C5">
        <w:rPr>
          <w:rFonts w:eastAsia="Times New Roman" w:cs="Times New Roman"/>
          <w:color w:val="000000"/>
          <w:szCs w:val="24"/>
          <w:lang w:val="es-CR" w:eastAsia="es-CR"/>
        </w:rPr>
        <w:t xml:space="preserve"> </w:t>
      </w:r>
      <w:r w:rsidR="006B72D7" w:rsidRPr="003669C5">
        <w:rPr>
          <w:rFonts w:eastAsia="Times New Roman" w:cs="Times New Roman"/>
          <w:color w:val="000000"/>
          <w:szCs w:val="24"/>
          <w:lang w:val="es-CR" w:eastAsia="es-CR"/>
        </w:rPr>
        <w:t xml:space="preserve">medio elegido por el afiliado de entre aquellos disponibles por la </w:t>
      </w:r>
      <w:r w:rsidR="001E7F88" w:rsidRPr="003669C5">
        <w:rPr>
          <w:rFonts w:eastAsia="Times New Roman" w:cs="Times New Roman"/>
          <w:color w:val="000000"/>
          <w:szCs w:val="24"/>
          <w:lang w:val="es-CR" w:eastAsia="es-CR"/>
        </w:rPr>
        <w:t xml:space="preserve">correspondiente </w:t>
      </w:r>
      <w:r w:rsidR="006B72D7" w:rsidRPr="003669C5">
        <w:rPr>
          <w:rFonts w:eastAsia="Times New Roman" w:cs="Times New Roman"/>
          <w:color w:val="000000"/>
          <w:szCs w:val="24"/>
          <w:lang w:val="es-CR" w:eastAsia="es-CR"/>
        </w:rPr>
        <w:t>entidad autorizada</w:t>
      </w:r>
      <w:r w:rsidR="001E7F88" w:rsidRPr="003669C5">
        <w:rPr>
          <w:rFonts w:eastAsia="Times New Roman" w:cs="Times New Roman"/>
          <w:color w:val="000000"/>
          <w:szCs w:val="24"/>
          <w:lang w:val="es-CR" w:eastAsia="es-CR"/>
        </w:rPr>
        <w:t>.</w:t>
      </w:r>
    </w:p>
    <w:p w14:paraId="5D491B2F" w14:textId="77777777" w:rsidR="008C5995" w:rsidRDefault="008C5995" w:rsidP="00A04E73">
      <w:pPr>
        <w:autoSpaceDE w:val="0"/>
        <w:autoSpaceDN w:val="0"/>
        <w:adjustRightInd w:val="0"/>
        <w:spacing w:line="240" w:lineRule="auto"/>
        <w:jc w:val="both"/>
        <w:rPr>
          <w:rFonts w:eastAsia="Times New Roman" w:cs="Times New Roman"/>
          <w:color w:val="000000"/>
          <w:szCs w:val="24"/>
          <w:lang w:val="es-CR" w:eastAsia="es-CR"/>
        </w:rPr>
      </w:pPr>
    </w:p>
    <w:p w14:paraId="424641CA" w14:textId="77777777" w:rsidR="00A04E73"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670282">
        <w:rPr>
          <w:rFonts w:eastAsia="Times New Roman" w:cs="Times New Roman"/>
          <w:b/>
          <w:bCs/>
          <w:color w:val="000000"/>
          <w:szCs w:val="24"/>
          <w:lang w:val="es-CR" w:eastAsia="es-CR"/>
        </w:rPr>
        <w:t>Segundo: Requisitos generales</w:t>
      </w:r>
      <w:r w:rsidR="00670282">
        <w:rPr>
          <w:rFonts w:eastAsia="Times New Roman" w:cs="Times New Roman"/>
          <w:b/>
          <w:bCs/>
          <w:color w:val="000000"/>
          <w:szCs w:val="24"/>
          <w:lang w:val="es-CR" w:eastAsia="es-CR"/>
        </w:rPr>
        <w:t xml:space="preserve"> de los estados de cuenta</w:t>
      </w:r>
    </w:p>
    <w:p w14:paraId="1C56CCEF" w14:textId="77777777" w:rsidR="00670282" w:rsidRDefault="00670282" w:rsidP="00A04E73">
      <w:pPr>
        <w:autoSpaceDE w:val="0"/>
        <w:autoSpaceDN w:val="0"/>
        <w:adjustRightInd w:val="0"/>
        <w:spacing w:line="240" w:lineRule="auto"/>
        <w:jc w:val="both"/>
        <w:rPr>
          <w:rFonts w:eastAsia="Times New Roman" w:cs="Times New Roman"/>
          <w:b/>
          <w:bCs/>
          <w:color w:val="000000"/>
          <w:szCs w:val="24"/>
          <w:lang w:val="es-CR" w:eastAsia="es-CR"/>
        </w:rPr>
      </w:pPr>
    </w:p>
    <w:p w14:paraId="4900AB8A" w14:textId="77777777" w:rsidR="00670282" w:rsidRPr="00670282" w:rsidRDefault="00670282" w:rsidP="00A04E73">
      <w:pPr>
        <w:autoSpaceDE w:val="0"/>
        <w:autoSpaceDN w:val="0"/>
        <w:adjustRightInd w:val="0"/>
        <w:spacing w:line="240" w:lineRule="auto"/>
        <w:jc w:val="both"/>
        <w:rPr>
          <w:rFonts w:eastAsia="Times New Roman" w:cs="Times New Roman"/>
          <w:color w:val="000000"/>
          <w:szCs w:val="24"/>
          <w:lang w:val="es-CR" w:eastAsia="es-CR"/>
        </w:rPr>
      </w:pPr>
      <w:r w:rsidRPr="00670282">
        <w:rPr>
          <w:rFonts w:eastAsia="Times New Roman" w:cs="Times New Roman"/>
          <w:color w:val="000000"/>
          <w:szCs w:val="24"/>
          <w:lang w:val="es-CR" w:eastAsia="es-CR"/>
        </w:rPr>
        <w:t xml:space="preserve">Los estados de cuenta </w:t>
      </w:r>
      <w:r w:rsidR="001A05E8">
        <w:rPr>
          <w:rFonts w:eastAsia="Times New Roman" w:cs="Times New Roman"/>
          <w:color w:val="000000"/>
          <w:szCs w:val="24"/>
          <w:lang w:val="es-CR" w:eastAsia="es-CR"/>
        </w:rPr>
        <w:t xml:space="preserve">emitidos por las entidades autorizadas </w:t>
      </w:r>
      <w:r w:rsidRPr="00670282">
        <w:rPr>
          <w:rFonts w:eastAsia="Times New Roman" w:cs="Times New Roman"/>
          <w:color w:val="000000"/>
          <w:szCs w:val="24"/>
          <w:lang w:val="es-CR" w:eastAsia="es-CR"/>
        </w:rPr>
        <w:t>deberán cumplir con las siguientes disposiciones:</w:t>
      </w:r>
    </w:p>
    <w:p w14:paraId="39C1A83F" w14:textId="77777777" w:rsidR="00670282" w:rsidRPr="00670282" w:rsidRDefault="00670282" w:rsidP="00A04E73">
      <w:pPr>
        <w:autoSpaceDE w:val="0"/>
        <w:autoSpaceDN w:val="0"/>
        <w:adjustRightInd w:val="0"/>
        <w:spacing w:line="240" w:lineRule="auto"/>
        <w:jc w:val="both"/>
        <w:rPr>
          <w:rFonts w:eastAsia="Times New Roman" w:cs="Times New Roman"/>
          <w:b/>
          <w:bCs/>
          <w:color w:val="000000"/>
          <w:szCs w:val="24"/>
          <w:lang w:val="es-CR" w:eastAsia="es-CR"/>
        </w:rPr>
      </w:pPr>
    </w:p>
    <w:p w14:paraId="55604DEE" w14:textId="77777777" w:rsidR="00A04E73" w:rsidRPr="00CF7C6C" w:rsidRDefault="00670282"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Deberán contener</w:t>
      </w:r>
      <w:r w:rsidR="00A04E73" w:rsidRPr="00CF7C6C">
        <w:rPr>
          <w:rFonts w:eastAsia="Times New Roman" w:cs="Times New Roman"/>
          <w:color w:val="000000"/>
          <w:szCs w:val="24"/>
          <w:lang w:val="es-CR" w:eastAsia="es-CR"/>
        </w:rPr>
        <w:t xml:space="preserve"> un desglose de los aportes, retiros o pago de pensión según corresponda, traslados, correcciones de imputaciones</w:t>
      </w:r>
      <w:r w:rsidR="00FD5D3B">
        <w:rPr>
          <w:rFonts w:eastAsia="Times New Roman" w:cs="Times New Roman"/>
          <w:color w:val="000000"/>
          <w:szCs w:val="24"/>
          <w:lang w:val="es-CR" w:eastAsia="es-CR"/>
        </w:rPr>
        <w:t>, por producto.</w:t>
      </w:r>
    </w:p>
    <w:p w14:paraId="6A9A8384" w14:textId="77777777" w:rsidR="00670282" w:rsidRPr="00A04E73" w:rsidRDefault="00670282"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44B459E9" w14:textId="77777777" w:rsidR="00670282" w:rsidRPr="00CF7C6C" w:rsidRDefault="00A04E73"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En el caso del F</w:t>
      </w:r>
      <w:r w:rsidR="00670282" w:rsidRPr="00CF7C6C">
        <w:rPr>
          <w:rFonts w:eastAsia="Times New Roman" w:cs="Times New Roman"/>
          <w:color w:val="000000"/>
          <w:szCs w:val="24"/>
          <w:lang w:val="es-CR" w:eastAsia="es-CR"/>
        </w:rPr>
        <w:t>ondo de Capitalización Laboral, se deben</w:t>
      </w:r>
      <w:r w:rsidRPr="00CF7C6C">
        <w:rPr>
          <w:rFonts w:eastAsia="Times New Roman" w:cs="Times New Roman"/>
          <w:color w:val="000000"/>
          <w:szCs w:val="24"/>
          <w:lang w:val="es-CR" w:eastAsia="es-CR"/>
        </w:rPr>
        <w:t xml:space="preserve"> separar los aportes por nombre de patrono</w:t>
      </w:r>
    </w:p>
    <w:p w14:paraId="55EA1C41" w14:textId="77777777" w:rsidR="00A04E73" w:rsidRPr="00A04E73" w:rsidRDefault="00A04E73"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114AD6F0" w14:textId="77777777" w:rsidR="00A04E73" w:rsidRPr="00CF7C6C" w:rsidRDefault="00A04E73"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 xml:space="preserve">Para los fondos voluntarios </w:t>
      </w:r>
      <w:r w:rsidR="00B02068">
        <w:rPr>
          <w:rFonts w:eastAsia="Times New Roman" w:cs="Times New Roman"/>
          <w:color w:val="000000"/>
          <w:szCs w:val="24"/>
          <w:lang w:val="es-CR" w:eastAsia="es-CR"/>
        </w:rPr>
        <w:t xml:space="preserve">de pensiones o de ahorro voluntario, deberá incluirse, </w:t>
      </w:r>
      <w:r w:rsidR="00B630C8" w:rsidRPr="003669C5">
        <w:rPr>
          <w:rFonts w:eastAsia="Times New Roman" w:cs="Times New Roman"/>
          <w:color w:val="000000"/>
          <w:szCs w:val="24"/>
          <w:lang w:val="es-CR" w:eastAsia="es-CR"/>
        </w:rPr>
        <w:t>como mínimo</w:t>
      </w:r>
      <w:r w:rsidR="00B630C8">
        <w:rPr>
          <w:rFonts w:eastAsia="Times New Roman" w:cs="Times New Roman"/>
          <w:color w:val="000000"/>
          <w:szCs w:val="24"/>
          <w:lang w:val="es-CR" w:eastAsia="es-CR"/>
        </w:rPr>
        <w:t>,</w:t>
      </w:r>
      <w:r w:rsidRPr="00CF7C6C">
        <w:rPr>
          <w:rFonts w:eastAsia="Times New Roman" w:cs="Times New Roman"/>
          <w:color w:val="000000"/>
          <w:szCs w:val="24"/>
          <w:lang w:val="es-CR" w:eastAsia="es-CR"/>
        </w:rPr>
        <w:t xml:space="preserve"> la cantidad de aportes </w:t>
      </w:r>
      <w:r w:rsidR="00B630C8" w:rsidRPr="003669C5">
        <w:rPr>
          <w:rFonts w:eastAsia="Times New Roman" w:cs="Times New Roman"/>
          <w:color w:val="000000"/>
          <w:szCs w:val="24"/>
          <w:lang w:val="es-CR" w:eastAsia="es-CR"/>
        </w:rPr>
        <w:t>ordinarios</w:t>
      </w:r>
      <w:r w:rsidR="00B630C8">
        <w:rPr>
          <w:rFonts w:eastAsia="Times New Roman" w:cs="Times New Roman"/>
          <w:color w:val="000000"/>
          <w:szCs w:val="24"/>
          <w:lang w:val="es-CR" w:eastAsia="es-CR"/>
        </w:rPr>
        <w:t xml:space="preserve"> </w:t>
      </w:r>
      <w:r w:rsidRPr="00CF7C6C">
        <w:rPr>
          <w:rFonts w:eastAsia="Times New Roman" w:cs="Times New Roman"/>
          <w:color w:val="000000"/>
          <w:szCs w:val="24"/>
          <w:lang w:val="es-CR" w:eastAsia="es-CR"/>
        </w:rPr>
        <w:t>históricos hechos en el plan.</w:t>
      </w:r>
      <w:r w:rsidR="004E18C9">
        <w:rPr>
          <w:rFonts w:eastAsia="Times New Roman" w:cs="Times New Roman"/>
          <w:color w:val="000000"/>
          <w:szCs w:val="24"/>
          <w:lang w:val="es-CR" w:eastAsia="es-CR"/>
        </w:rPr>
        <w:t xml:space="preserve"> </w:t>
      </w:r>
    </w:p>
    <w:p w14:paraId="7F24692F" w14:textId="77777777" w:rsidR="008C5995" w:rsidRDefault="008C5995"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32E43287" w14:textId="77777777" w:rsidR="00670282" w:rsidRPr="00CF7C6C" w:rsidRDefault="008C5995"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 xml:space="preserve">Rendimiento y comisiones agregados del </w:t>
      </w:r>
      <w:r w:rsidR="009426FC">
        <w:rPr>
          <w:rFonts w:eastAsia="Times New Roman" w:cs="Times New Roman"/>
          <w:color w:val="000000"/>
          <w:szCs w:val="24"/>
          <w:lang w:val="es-CR" w:eastAsia="es-CR"/>
        </w:rPr>
        <w:t>último semestre</w:t>
      </w:r>
      <w:r w:rsidR="001A05E8">
        <w:rPr>
          <w:rFonts w:eastAsia="Times New Roman" w:cs="Times New Roman"/>
          <w:color w:val="000000"/>
          <w:szCs w:val="24"/>
          <w:lang w:val="es-CR" w:eastAsia="es-CR"/>
        </w:rPr>
        <w:t>, por producto.</w:t>
      </w:r>
    </w:p>
    <w:p w14:paraId="777321A8" w14:textId="77777777" w:rsidR="008C5995" w:rsidRPr="00A04E73" w:rsidRDefault="008C5995"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16DF2837" w14:textId="77777777" w:rsidR="004C561B" w:rsidRPr="004C561B" w:rsidRDefault="006B72D7" w:rsidP="004C561B">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El estado de cuenta deberá </w:t>
      </w:r>
      <w:r w:rsidR="00A04E73" w:rsidRPr="00CF7C6C">
        <w:rPr>
          <w:rFonts w:eastAsia="Times New Roman" w:cs="Times New Roman"/>
          <w:color w:val="000000"/>
          <w:szCs w:val="24"/>
          <w:lang w:val="es-CR" w:eastAsia="es-CR"/>
        </w:rPr>
        <w:t>in</w:t>
      </w:r>
      <w:r w:rsidR="00670282" w:rsidRPr="00CF7C6C">
        <w:rPr>
          <w:rFonts w:eastAsia="Times New Roman" w:cs="Times New Roman"/>
          <w:color w:val="000000"/>
          <w:szCs w:val="24"/>
          <w:lang w:val="es-CR" w:eastAsia="es-CR"/>
        </w:rPr>
        <w:t>cluir</w:t>
      </w:r>
      <w:r w:rsidR="00A04E73" w:rsidRPr="00CF7C6C">
        <w:rPr>
          <w:rFonts w:eastAsia="Times New Roman" w:cs="Times New Roman"/>
          <w:color w:val="000000"/>
          <w:szCs w:val="24"/>
          <w:lang w:val="es-CR" w:eastAsia="es-CR"/>
        </w:rPr>
        <w:t xml:space="preserve"> el enlace donde los afiliados puedan consultar la comparación de las rentabilidades y comisiones de la industria publicada por la Superintendencia de Pensiones</w:t>
      </w:r>
      <w:r>
        <w:rPr>
          <w:rFonts w:eastAsia="Times New Roman" w:cs="Times New Roman"/>
          <w:color w:val="000000"/>
          <w:szCs w:val="24"/>
          <w:lang w:val="es-CR" w:eastAsia="es-CR"/>
        </w:rPr>
        <w:t xml:space="preserve">. De igual forma, </w:t>
      </w:r>
      <w:r w:rsidR="00670282" w:rsidRPr="00CF7C6C">
        <w:rPr>
          <w:rFonts w:eastAsia="Times New Roman" w:cs="Times New Roman"/>
          <w:color w:val="000000"/>
          <w:szCs w:val="24"/>
          <w:lang w:val="es-CR" w:eastAsia="es-CR"/>
        </w:rPr>
        <w:t xml:space="preserve">el </w:t>
      </w:r>
      <w:r w:rsidR="00A04E73" w:rsidRPr="00CF7C6C">
        <w:rPr>
          <w:rFonts w:eastAsia="Times New Roman" w:cs="Times New Roman"/>
          <w:color w:val="000000"/>
          <w:szCs w:val="24"/>
          <w:lang w:val="es-CR" w:eastAsia="es-CR"/>
        </w:rPr>
        <w:t xml:space="preserve">enlace del folleto informativo a que se refiere el artículo 75 del </w:t>
      </w:r>
      <w:r w:rsidR="00A04E73" w:rsidRPr="009426FC">
        <w:rPr>
          <w:rFonts w:eastAsia="Times New Roman" w:cs="Times New Roman"/>
          <w:i/>
          <w:iCs/>
          <w:color w:val="000000"/>
          <w:szCs w:val="24"/>
          <w:lang w:val="es-CR" w:eastAsia="es-CR"/>
        </w:rPr>
        <w:t>Reglamento de Gestión de Activos</w:t>
      </w:r>
      <w:r w:rsidR="00670282" w:rsidRPr="004C561B">
        <w:rPr>
          <w:rFonts w:eastAsia="Times New Roman" w:cs="Times New Roman"/>
          <w:color w:val="000000"/>
          <w:szCs w:val="24"/>
          <w:lang w:val="es-CR" w:eastAsia="es-CR"/>
        </w:rPr>
        <w:t>.</w:t>
      </w:r>
    </w:p>
    <w:p w14:paraId="0A1674F7" w14:textId="77777777" w:rsidR="004C561B" w:rsidRPr="004C561B" w:rsidRDefault="004C561B" w:rsidP="004C561B">
      <w:pPr>
        <w:pStyle w:val="Prrafodelista"/>
        <w:autoSpaceDE w:val="0"/>
        <w:autoSpaceDN w:val="0"/>
        <w:adjustRightInd w:val="0"/>
        <w:spacing w:line="240" w:lineRule="auto"/>
        <w:ind w:left="709"/>
        <w:jc w:val="both"/>
        <w:rPr>
          <w:rFonts w:eastAsia="Times New Roman" w:cs="Times New Roman"/>
          <w:color w:val="000000"/>
          <w:szCs w:val="24"/>
          <w:lang w:val="es-CR" w:eastAsia="es-CR"/>
        </w:rPr>
      </w:pPr>
    </w:p>
    <w:p w14:paraId="1A91D6F0" w14:textId="77777777" w:rsidR="007B256C" w:rsidRPr="004C561B" w:rsidRDefault="007B256C" w:rsidP="003D3A73">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3D3A73">
        <w:rPr>
          <w:rFonts w:eastAsia="Times New Roman" w:cs="Times New Roman"/>
          <w:color w:val="000000"/>
          <w:szCs w:val="24"/>
          <w:lang w:val="es-CR" w:eastAsia="es-CR"/>
        </w:rPr>
        <w:t xml:space="preserve">La publicidad que se inserte en los estados de cuenta deberá cumplir con todas las disposiciones legales y reglamentarias aplicables. </w:t>
      </w:r>
    </w:p>
    <w:p w14:paraId="690D36B8" w14:textId="77777777" w:rsidR="00106D3A" w:rsidRDefault="00106D3A">
      <w:pPr>
        <w:spacing w:after="160" w:line="259" w:lineRule="auto"/>
        <w:rPr>
          <w:rFonts w:eastAsia="Times New Roman" w:cs="Times New Roman"/>
          <w:color w:val="000000"/>
          <w:szCs w:val="24"/>
          <w:lang w:val="es-CR" w:eastAsia="es-CR"/>
        </w:rPr>
      </w:pPr>
    </w:p>
    <w:p w14:paraId="3AF91014" w14:textId="77777777" w:rsidR="008C5995" w:rsidRDefault="008C5995" w:rsidP="008C5995">
      <w:pPr>
        <w:autoSpaceDE w:val="0"/>
        <w:autoSpaceDN w:val="0"/>
        <w:adjustRightInd w:val="0"/>
        <w:spacing w:line="240" w:lineRule="auto"/>
        <w:jc w:val="both"/>
        <w:rPr>
          <w:rFonts w:eastAsia="Times New Roman" w:cs="Times New Roman"/>
          <w:color w:val="000000"/>
          <w:szCs w:val="24"/>
          <w:lang w:val="es-CR" w:eastAsia="es-CR"/>
        </w:rPr>
      </w:pPr>
      <w:r w:rsidRPr="00CF7C6C">
        <w:rPr>
          <w:rFonts w:eastAsia="Times New Roman" w:cs="Times New Roman"/>
          <w:b/>
          <w:bCs/>
          <w:color w:val="000000"/>
          <w:szCs w:val="24"/>
          <w:lang w:val="es-CR" w:eastAsia="es-CR"/>
        </w:rPr>
        <w:t>Tercero: Información adicional</w:t>
      </w:r>
    </w:p>
    <w:p w14:paraId="7FEAA3EE" w14:textId="77777777" w:rsidR="00CF7C6C" w:rsidRDefault="00CF7C6C" w:rsidP="008C5995">
      <w:pPr>
        <w:autoSpaceDE w:val="0"/>
        <w:autoSpaceDN w:val="0"/>
        <w:adjustRightInd w:val="0"/>
        <w:spacing w:line="240" w:lineRule="auto"/>
        <w:jc w:val="both"/>
        <w:rPr>
          <w:rFonts w:eastAsia="Times New Roman" w:cs="Times New Roman"/>
          <w:color w:val="000000"/>
          <w:szCs w:val="24"/>
          <w:lang w:val="es-CR" w:eastAsia="es-CR"/>
        </w:rPr>
      </w:pPr>
    </w:p>
    <w:p w14:paraId="679FEB67" w14:textId="77777777" w:rsidR="008C5995" w:rsidRDefault="008C5995" w:rsidP="008C5995">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Cuando el afiliado lo solicite</w:t>
      </w:r>
      <w:r w:rsidR="006B72D7">
        <w:rPr>
          <w:rFonts w:eastAsia="Times New Roman" w:cs="Times New Roman"/>
          <w:color w:val="000000"/>
          <w:szCs w:val="24"/>
          <w:lang w:val="es-CR" w:eastAsia="es-CR"/>
        </w:rPr>
        <w:t>,</w:t>
      </w:r>
      <w:r>
        <w:rPr>
          <w:rFonts w:eastAsia="Times New Roman" w:cs="Times New Roman"/>
          <w:color w:val="000000"/>
          <w:szCs w:val="24"/>
          <w:lang w:val="es-CR" w:eastAsia="es-CR"/>
        </w:rPr>
        <w:t xml:space="preserve"> la</w:t>
      </w:r>
      <w:r w:rsidR="001A05E8">
        <w:rPr>
          <w:rFonts w:eastAsia="Times New Roman" w:cs="Times New Roman"/>
          <w:color w:val="000000"/>
          <w:szCs w:val="24"/>
          <w:lang w:val="es-CR" w:eastAsia="es-CR"/>
        </w:rPr>
        <w:t>s entidades autorizadas</w:t>
      </w:r>
      <w:r>
        <w:rPr>
          <w:rFonts w:eastAsia="Times New Roman" w:cs="Times New Roman"/>
          <w:color w:val="000000"/>
          <w:szCs w:val="24"/>
          <w:lang w:val="es-CR" w:eastAsia="es-CR"/>
        </w:rPr>
        <w:t xml:space="preserve"> estará</w:t>
      </w:r>
      <w:r w:rsidR="001A05E8">
        <w:rPr>
          <w:rFonts w:eastAsia="Times New Roman" w:cs="Times New Roman"/>
          <w:color w:val="000000"/>
          <w:szCs w:val="24"/>
          <w:lang w:val="es-CR" w:eastAsia="es-CR"/>
        </w:rPr>
        <w:t>n</w:t>
      </w:r>
      <w:r>
        <w:rPr>
          <w:rFonts w:eastAsia="Times New Roman" w:cs="Times New Roman"/>
          <w:color w:val="000000"/>
          <w:szCs w:val="24"/>
          <w:lang w:val="es-CR" w:eastAsia="es-CR"/>
        </w:rPr>
        <w:t xml:space="preserve"> obligada</w:t>
      </w:r>
      <w:r w:rsidR="001A05E8">
        <w:rPr>
          <w:rFonts w:eastAsia="Times New Roman" w:cs="Times New Roman"/>
          <w:color w:val="000000"/>
          <w:szCs w:val="24"/>
          <w:lang w:val="es-CR" w:eastAsia="es-CR"/>
        </w:rPr>
        <w:t>s</w:t>
      </w:r>
      <w:r>
        <w:rPr>
          <w:rFonts w:eastAsia="Times New Roman" w:cs="Times New Roman"/>
          <w:color w:val="000000"/>
          <w:szCs w:val="24"/>
          <w:lang w:val="es-CR" w:eastAsia="es-CR"/>
        </w:rPr>
        <w:t xml:space="preserve"> a suministrar el detalle con los movimientos periódicos de su cuenta individual, así como el saldo acumulado a </w:t>
      </w:r>
      <w:r w:rsidR="009426FC">
        <w:rPr>
          <w:rFonts w:eastAsia="Times New Roman" w:cs="Times New Roman"/>
          <w:color w:val="000000"/>
          <w:szCs w:val="24"/>
          <w:lang w:val="es-CR" w:eastAsia="es-CR"/>
        </w:rPr>
        <w:t xml:space="preserve">la </w:t>
      </w:r>
      <w:r>
        <w:rPr>
          <w:rFonts w:eastAsia="Times New Roman" w:cs="Times New Roman"/>
          <w:color w:val="000000"/>
          <w:szCs w:val="24"/>
          <w:lang w:val="es-CR" w:eastAsia="es-CR"/>
        </w:rPr>
        <w:t>fecha.</w:t>
      </w:r>
    </w:p>
    <w:p w14:paraId="7D16B7B0" w14:textId="77777777" w:rsidR="00940A01" w:rsidRDefault="00940A01" w:rsidP="008C5995">
      <w:pPr>
        <w:autoSpaceDE w:val="0"/>
        <w:autoSpaceDN w:val="0"/>
        <w:adjustRightInd w:val="0"/>
        <w:spacing w:line="240" w:lineRule="auto"/>
        <w:jc w:val="both"/>
        <w:rPr>
          <w:rFonts w:eastAsia="Times New Roman" w:cs="Times New Roman"/>
          <w:color w:val="000000"/>
          <w:szCs w:val="24"/>
          <w:lang w:val="es-CR" w:eastAsia="es-CR"/>
        </w:rPr>
      </w:pPr>
    </w:p>
    <w:p w14:paraId="68E09EBB" w14:textId="64DBADD1" w:rsidR="00A04E73" w:rsidRPr="00872989" w:rsidRDefault="00D935F6" w:rsidP="00872989">
      <w:pPr>
        <w:spacing w:line="240" w:lineRule="auto"/>
        <w:jc w:val="both"/>
        <w:rPr>
          <w:rFonts w:eastAsia="Times New Roman" w:cs="Times New Roman"/>
          <w:lang w:val="es-CR" w:eastAsia="es-CR"/>
        </w:rPr>
      </w:pPr>
      <w:r w:rsidRPr="000E0392">
        <w:rPr>
          <w:rFonts w:eastAsia="Times New Roman" w:cs="Times New Roman"/>
          <w:lang w:val="es-CR" w:eastAsia="es-CR"/>
        </w:rPr>
        <w:t>El detalle de aportes deberá indicar el monto, la fecha, concepto</w:t>
      </w:r>
      <w:r w:rsidRPr="003669C5">
        <w:rPr>
          <w:rFonts w:eastAsia="Times New Roman" w:cs="Times New Roman"/>
          <w:lang w:val="es-CR" w:eastAsia="es-CR"/>
        </w:rPr>
        <w:t xml:space="preserve"> y</w:t>
      </w:r>
      <w:r w:rsidR="001A05E8" w:rsidRPr="003669C5">
        <w:rPr>
          <w:rFonts w:eastAsia="Times New Roman" w:cs="Times New Roman"/>
          <w:lang w:val="es-CR" w:eastAsia="es-CR"/>
        </w:rPr>
        <w:t>,</w:t>
      </w:r>
      <w:r w:rsidRPr="003669C5">
        <w:rPr>
          <w:rFonts w:eastAsia="Times New Roman" w:cs="Times New Roman"/>
          <w:lang w:val="es-CR" w:eastAsia="es-CR"/>
        </w:rPr>
        <w:t xml:space="preserve"> en caso de corresponder,</w:t>
      </w:r>
      <w:r w:rsidR="00F7732D">
        <w:rPr>
          <w:rFonts w:eastAsia="Times New Roman" w:cs="Times New Roman"/>
          <w:lang w:val="es-CR" w:eastAsia="es-CR"/>
        </w:rPr>
        <w:t xml:space="preserve"> además,</w:t>
      </w:r>
      <w:r w:rsidRPr="003669C5">
        <w:rPr>
          <w:rFonts w:eastAsia="Times New Roman" w:cs="Times New Roman"/>
          <w:lang w:val="es-CR" w:eastAsia="es-CR"/>
        </w:rPr>
        <w:t xml:space="preserve"> </w:t>
      </w:r>
      <w:r w:rsidRPr="000E0392">
        <w:rPr>
          <w:rFonts w:eastAsia="Times New Roman" w:cs="Times New Roman"/>
          <w:lang w:val="es-CR" w:eastAsia="es-CR"/>
        </w:rPr>
        <w:t>el detalle del patrono.</w:t>
      </w:r>
    </w:p>
    <w:p w14:paraId="5CB21CF6" w14:textId="77777777" w:rsidR="0032101A" w:rsidRPr="00A04E73" w:rsidRDefault="0032101A" w:rsidP="00A04E73">
      <w:pPr>
        <w:autoSpaceDE w:val="0"/>
        <w:autoSpaceDN w:val="0"/>
        <w:adjustRightInd w:val="0"/>
        <w:spacing w:line="240" w:lineRule="auto"/>
        <w:jc w:val="both"/>
        <w:rPr>
          <w:rFonts w:eastAsia="Times New Roman" w:cs="Times New Roman"/>
          <w:color w:val="000000"/>
          <w:szCs w:val="24"/>
          <w:lang w:val="es-CR" w:eastAsia="es-CR"/>
        </w:rPr>
      </w:pPr>
    </w:p>
    <w:p w14:paraId="0C366878" w14:textId="77777777" w:rsidR="00A04E73" w:rsidRDefault="00DD6FA9" w:rsidP="00A04E73">
      <w:pPr>
        <w:autoSpaceDE w:val="0"/>
        <w:autoSpaceDN w:val="0"/>
        <w:adjustRightInd w:val="0"/>
        <w:spacing w:line="240" w:lineRule="auto"/>
        <w:jc w:val="both"/>
        <w:rPr>
          <w:rFonts w:eastAsia="Times New Roman" w:cs="Times New Roman"/>
          <w:b/>
          <w:bCs/>
          <w:color w:val="000000"/>
          <w:szCs w:val="24"/>
          <w:lang w:val="es-CR" w:eastAsia="es-CR"/>
        </w:rPr>
      </w:pPr>
      <w:r>
        <w:rPr>
          <w:rFonts w:eastAsia="Times New Roman" w:cs="Times New Roman"/>
          <w:b/>
          <w:bCs/>
          <w:color w:val="000000"/>
          <w:szCs w:val="24"/>
          <w:lang w:val="es-CR" w:eastAsia="es-CR"/>
        </w:rPr>
        <w:t>Cuarto</w:t>
      </w:r>
      <w:r w:rsidR="00A04E73" w:rsidRPr="00670282">
        <w:rPr>
          <w:rFonts w:eastAsia="Times New Roman" w:cs="Times New Roman"/>
          <w:b/>
          <w:bCs/>
          <w:color w:val="000000"/>
          <w:szCs w:val="24"/>
          <w:lang w:val="es-CR" w:eastAsia="es-CR"/>
        </w:rPr>
        <w:t>: Sobre las proyecciones</w:t>
      </w:r>
      <w:r w:rsidR="009426FC">
        <w:rPr>
          <w:rFonts w:eastAsia="Times New Roman" w:cs="Times New Roman"/>
          <w:b/>
          <w:bCs/>
          <w:color w:val="000000"/>
          <w:szCs w:val="24"/>
          <w:lang w:val="es-CR" w:eastAsia="es-CR"/>
        </w:rPr>
        <w:t xml:space="preserve"> que deben contener los estados de cuenta</w:t>
      </w:r>
    </w:p>
    <w:p w14:paraId="4A009D57" w14:textId="77777777" w:rsidR="0032101A" w:rsidRDefault="0032101A" w:rsidP="00DD6FA9">
      <w:pPr>
        <w:autoSpaceDE w:val="0"/>
        <w:autoSpaceDN w:val="0"/>
        <w:adjustRightInd w:val="0"/>
        <w:spacing w:line="240" w:lineRule="auto"/>
        <w:jc w:val="both"/>
        <w:rPr>
          <w:rFonts w:eastAsia="Times New Roman" w:cs="Times New Roman"/>
          <w:color w:val="000000"/>
          <w:szCs w:val="24"/>
          <w:lang w:val="es-CR" w:eastAsia="es-CR"/>
        </w:rPr>
      </w:pPr>
    </w:p>
    <w:p w14:paraId="5C0806B6" w14:textId="0BD877EC" w:rsidR="00670282" w:rsidRDefault="00DD6FA9" w:rsidP="00DD6FA9">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Para fines de apoy</w:t>
      </w:r>
      <w:r w:rsidR="00DE4B13">
        <w:rPr>
          <w:rFonts w:eastAsia="Times New Roman" w:cs="Times New Roman"/>
          <w:color w:val="000000"/>
          <w:szCs w:val="24"/>
          <w:lang w:val="es-CR" w:eastAsia="es-CR"/>
        </w:rPr>
        <w:t>o</w:t>
      </w:r>
      <w:r>
        <w:rPr>
          <w:rFonts w:eastAsia="Times New Roman" w:cs="Times New Roman"/>
          <w:color w:val="000000"/>
          <w:szCs w:val="24"/>
          <w:lang w:val="es-CR" w:eastAsia="es-CR"/>
        </w:rPr>
        <w:t xml:space="preserve"> en la toma de decisiones</w:t>
      </w:r>
      <w:r w:rsidR="009426FC">
        <w:rPr>
          <w:rFonts w:eastAsia="Times New Roman" w:cs="Times New Roman"/>
          <w:color w:val="000000"/>
          <w:szCs w:val="24"/>
          <w:lang w:val="es-CR" w:eastAsia="es-CR"/>
        </w:rPr>
        <w:t xml:space="preserve">, </w:t>
      </w:r>
      <w:r w:rsidR="00DE4B13">
        <w:rPr>
          <w:rFonts w:eastAsia="Times New Roman" w:cs="Times New Roman"/>
          <w:color w:val="000000"/>
          <w:szCs w:val="24"/>
          <w:lang w:val="es-CR" w:eastAsia="es-CR"/>
        </w:rPr>
        <w:t>a</w:t>
      </w:r>
      <w:r>
        <w:rPr>
          <w:rFonts w:eastAsia="Times New Roman" w:cs="Times New Roman"/>
          <w:color w:val="000000"/>
          <w:szCs w:val="24"/>
          <w:lang w:val="es-CR" w:eastAsia="es-CR"/>
        </w:rPr>
        <w:t>dicional al estado de cuenta</w:t>
      </w:r>
      <w:r w:rsidR="008B74E9">
        <w:rPr>
          <w:rFonts w:eastAsia="Times New Roman" w:cs="Times New Roman"/>
          <w:color w:val="000000"/>
          <w:szCs w:val="24"/>
          <w:lang w:val="es-CR" w:eastAsia="es-CR"/>
        </w:rPr>
        <w:t xml:space="preserve"> de diciembre de cada año</w:t>
      </w:r>
      <w:r>
        <w:rPr>
          <w:rFonts w:eastAsia="Times New Roman" w:cs="Times New Roman"/>
          <w:color w:val="000000"/>
          <w:szCs w:val="24"/>
          <w:lang w:val="es-CR" w:eastAsia="es-CR"/>
        </w:rPr>
        <w:t>,</w:t>
      </w:r>
      <w:r w:rsidR="00DE4B13">
        <w:rPr>
          <w:rFonts w:eastAsia="Times New Roman" w:cs="Times New Roman"/>
          <w:color w:val="000000"/>
          <w:szCs w:val="24"/>
          <w:lang w:val="es-CR" w:eastAsia="es-CR"/>
        </w:rPr>
        <w:t xml:space="preserve"> la</w:t>
      </w:r>
      <w:r w:rsidR="001A05E8">
        <w:rPr>
          <w:rFonts w:eastAsia="Times New Roman" w:cs="Times New Roman"/>
          <w:color w:val="000000"/>
          <w:szCs w:val="24"/>
          <w:lang w:val="es-CR" w:eastAsia="es-CR"/>
        </w:rPr>
        <w:t>s</w:t>
      </w:r>
      <w:r w:rsidR="00DE4B13">
        <w:rPr>
          <w:rFonts w:eastAsia="Times New Roman" w:cs="Times New Roman"/>
          <w:color w:val="000000"/>
          <w:szCs w:val="24"/>
          <w:lang w:val="es-CR" w:eastAsia="es-CR"/>
        </w:rPr>
        <w:t xml:space="preserve"> operadora</w:t>
      </w:r>
      <w:r w:rsidR="001A05E8">
        <w:rPr>
          <w:rFonts w:eastAsia="Times New Roman" w:cs="Times New Roman"/>
          <w:color w:val="000000"/>
          <w:szCs w:val="24"/>
          <w:lang w:val="es-CR" w:eastAsia="es-CR"/>
        </w:rPr>
        <w:t>s</w:t>
      </w:r>
      <w:r w:rsidR="00DE4B13">
        <w:rPr>
          <w:rFonts w:eastAsia="Times New Roman" w:cs="Times New Roman"/>
          <w:color w:val="000000"/>
          <w:szCs w:val="24"/>
          <w:lang w:val="es-CR" w:eastAsia="es-CR"/>
        </w:rPr>
        <w:t xml:space="preserve"> de pensiones</w:t>
      </w:r>
      <w:r>
        <w:rPr>
          <w:rFonts w:eastAsia="Times New Roman" w:cs="Times New Roman"/>
          <w:color w:val="000000"/>
          <w:szCs w:val="24"/>
          <w:lang w:val="es-CR" w:eastAsia="es-CR"/>
        </w:rPr>
        <w:t xml:space="preserve"> </w:t>
      </w:r>
      <w:r w:rsidR="00A04E73" w:rsidRPr="00A04E73">
        <w:rPr>
          <w:rFonts w:eastAsia="Times New Roman" w:cs="Times New Roman"/>
          <w:color w:val="000000"/>
          <w:szCs w:val="24"/>
          <w:lang w:val="es-CR" w:eastAsia="es-CR"/>
        </w:rPr>
        <w:t>deberá</w:t>
      </w:r>
      <w:r w:rsidR="001A05E8">
        <w:rPr>
          <w:rFonts w:eastAsia="Times New Roman" w:cs="Times New Roman"/>
          <w:color w:val="000000"/>
          <w:szCs w:val="24"/>
          <w:lang w:val="es-CR" w:eastAsia="es-CR"/>
        </w:rPr>
        <w:t>n</w:t>
      </w:r>
      <w:r w:rsidR="00A04E73" w:rsidRPr="00A04E73">
        <w:rPr>
          <w:rFonts w:eastAsia="Times New Roman" w:cs="Times New Roman"/>
          <w:color w:val="000000"/>
          <w:szCs w:val="24"/>
          <w:lang w:val="es-CR" w:eastAsia="es-CR"/>
        </w:rPr>
        <w:t xml:space="preserve"> </w:t>
      </w:r>
      <w:r w:rsidR="00DE4B13">
        <w:rPr>
          <w:rFonts w:eastAsia="Times New Roman" w:cs="Times New Roman"/>
          <w:color w:val="000000"/>
          <w:szCs w:val="24"/>
          <w:lang w:val="es-CR" w:eastAsia="es-CR"/>
        </w:rPr>
        <w:t>adjuntar</w:t>
      </w:r>
      <w:r w:rsidR="008B74E9">
        <w:rPr>
          <w:rFonts w:eastAsia="Times New Roman" w:cs="Times New Roman"/>
          <w:color w:val="000000"/>
          <w:szCs w:val="24"/>
          <w:lang w:val="es-CR" w:eastAsia="es-CR"/>
        </w:rPr>
        <w:t xml:space="preserve"> para los trabajadores del R</w:t>
      </w:r>
      <w:r w:rsidR="009426FC">
        <w:rPr>
          <w:rFonts w:eastAsia="Times New Roman" w:cs="Times New Roman"/>
          <w:color w:val="000000"/>
          <w:szCs w:val="24"/>
          <w:lang w:val="es-CR" w:eastAsia="es-CR"/>
        </w:rPr>
        <w:t>égimen Obligatorio de Pensiones Complementarias (R</w:t>
      </w:r>
      <w:r w:rsidR="008B74E9">
        <w:rPr>
          <w:rFonts w:eastAsia="Times New Roman" w:cs="Times New Roman"/>
          <w:color w:val="000000"/>
          <w:szCs w:val="24"/>
          <w:lang w:val="es-CR" w:eastAsia="es-CR"/>
        </w:rPr>
        <w:t>OP</w:t>
      </w:r>
      <w:r w:rsidR="009426FC">
        <w:rPr>
          <w:rFonts w:eastAsia="Times New Roman" w:cs="Times New Roman"/>
          <w:color w:val="000000"/>
          <w:szCs w:val="24"/>
          <w:lang w:val="es-CR" w:eastAsia="es-CR"/>
        </w:rPr>
        <w:t>),</w:t>
      </w:r>
      <w:r w:rsidR="00A04E73" w:rsidRPr="00A04E73">
        <w:rPr>
          <w:rFonts w:eastAsia="Times New Roman" w:cs="Times New Roman"/>
          <w:color w:val="000000"/>
          <w:szCs w:val="24"/>
          <w:lang w:val="es-CR" w:eastAsia="es-CR"/>
        </w:rPr>
        <w:t xml:space="preserve"> </w:t>
      </w:r>
      <w:r w:rsidR="00D935F6" w:rsidRPr="003669C5">
        <w:rPr>
          <w:rFonts w:eastAsia="Times New Roman" w:cs="Times New Roman"/>
          <w:color w:val="000000"/>
          <w:szCs w:val="24"/>
          <w:lang w:val="es-CR" w:eastAsia="es-CR"/>
        </w:rPr>
        <w:t>el monto proyectado de pensió</w:t>
      </w:r>
      <w:r w:rsidR="00371A90">
        <w:rPr>
          <w:rFonts w:eastAsia="Times New Roman" w:cs="Times New Roman"/>
          <w:color w:val="000000"/>
          <w:szCs w:val="24"/>
          <w:lang w:val="es-CR" w:eastAsia="es-CR"/>
        </w:rPr>
        <w:t>n</w:t>
      </w:r>
      <w:r w:rsidR="00B05C7F">
        <w:rPr>
          <w:rFonts w:eastAsia="Times New Roman" w:cs="Times New Roman"/>
          <w:color w:val="000000"/>
          <w:szCs w:val="24"/>
          <w:lang w:val="es-CR" w:eastAsia="es-CR"/>
        </w:rPr>
        <w:t>,</w:t>
      </w:r>
      <w:r w:rsidR="00371A90">
        <w:rPr>
          <w:rFonts w:eastAsia="Times New Roman" w:cs="Times New Roman"/>
          <w:color w:val="000000"/>
          <w:szCs w:val="24"/>
          <w:lang w:val="es-CR" w:eastAsia="es-CR"/>
        </w:rPr>
        <w:t xml:space="preserve"> </w:t>
      </w:r>
      <w:r w:rsidR="00D935F6" w:rsidRPr="003669C5">
        <w:rPr>
          <w:rFonts w:eastAsia="Times New Roman" w:cs="Times New Roman"/>
          <w:color w:val="000000"/>
          <w:szCs w:val="24"/>
          <w:lang w:val="es-CR" w:eastAsia="es-CR"/>
        </w:rPr>
        <w:t xml:space="preserve">al </w:t>
      </w:r>
      <w:r w:rsidR="00DE4B13">
        <w:rPr>
          <w:rFonts w:eastAsia="Times New Roman" w:cs="Times New Roman"/>
          <w:color w:val="000000"/>
          <w:szCs w:val="24"/>
          <w:lang w:val="es-CR" w:eastAsia="es-CR"/>
        </w:rPr>
        <w:t>que podría</w:t>
      </w:r>
      <w:r w:rsidR="008B74E9">
        <w:rPr>
          <w:rFonts w:eastAsia="Times New Roman" w:cs="Times New Roman"/>
          <w:color w:val="000000"/>
          <w:szCs w:val="24"/>
          <w:lang w:val="es-CR" w:eastAsia="es-CR"/>
        </w:rPr>
        <w:t>n</w:t>
      </w:r>
      <w:r w:rsidR="00DE4B13">
        <w:rPr>
          <w:rFonts w:eastAsia="Times New Roman" w:cs="Times New Roman"/>
          <w:color w:val="000000"/>
          <w:szCs w:val="24"/>
          <w:lang w:val="es-CR" w:eastAsia="es-CR"/>
        </w:rPr>
        <w:t xml:space="preserve"> aspirar a la </w:t>
      </w:r>
      <w:r w:rsidR="008B74E9">
        <w:rPr>
          <w:rFonts w:eastAsia="Times New Roman" w:cs="Times New Roman"/>
          <w:color w:val="000000"/>
          <w:szCs w:val="24"/>
          <w:lang w:val="es-CR" w:eastAsia="es-CR"/>
        </w:rPr>
        <w:t>edad de jubilación</w:t>
      </w:r>
      <w:r w:rsidR="009426FC">
        <w:rPr>
          <w:rFonts w:eastAsia="Times New Roman" w:cs="Times New Roman"/>
          <w:color w:val="000000"/>
          <w:szCs w:val="24"/>
          <w:lang w:val="es-CR" w:eastAsia="es-CR"/>
        </w:rPr>
        <w:t>,</w:t>
      </w:r>
      <w:r w:rsidR="00DE4B13">
        <w:rPr>
          <w:rFonts w:eastAsia="Times New Roman" w:cs="Times New Roman"/>
          <w:color w:val="000000"/>
          <w:szCs w:val="24"/>
          <w:lang w:val="es-CR" w:eastAsia="es-CR"/>
        </w:rPr>
        <w:t xml:space="preserve"> si se </w:t>
      </w:r>
      <w:r w:rsidR="009426FC">
        <w:rPr>
          <w:rFonts w:eastAsia="Times New Roman" w:cs="Times New Roman"/>
          <w:color w:val="000000"/>
          <w:szCs w:val="24"/>
          <w:lang w:val="es-CR" w:eastAsia="es-CR"/>
        </w:rPr>
        <w:t xml:space="preserve">llegan a </w:t>
      </w:r>
      <w:r w:rsidR="00DE4B13">
        <w:rPr>
          <w:rFonts w:eastAsia="Times New Roman" w:cs="Times New Roman"/>
          <w:color w:val="000000"/>
          <w:szCs w:val="24"/>
          <w:lang w:val="es-CR" w:eastAsia="es-CR"/>
        </w:rPr>
        <w:t>cumpl</w:t>
      </w:r>
      <w:r w:rsidR="009426FC">
        <w:rPr>
          <w:rFonts w:eastAsia="Times New Roman" w:cs="Times New Roman"/>
          <w:color w:val="000000"/>
          <w:szCs w:val="24"/>
          <w:lang w:val="es-CR" w:eastAsia="es-CR"/>
        </w:rPr>
        <w:t>ir</w:t>
      </w:r>
      <w:r w:rsidR="00DE4B13">
        <w:rPr>
          <w:rFonts w:eastAsia="Times New Roman" w:cs="Times New Roman"/>
          <w:color w:val="000000"/>
          <w:szCs w:val="24"/>
          <w:lang w:val="es-CR" w:eastAsia="es-CR"/>
        </w:rPr>
        <w:t xml:space="preserve"> los supuestos con los cuales se calcul</w:t>
      </w:r>
      <w:r w:rsidR="00BE4CB9">
        <w:rPr>
          <w:rFonts w:eastAsia="Times New Roman" w:cs="Times New Roman"/>
          <w:color w:val="000000"/>
          <w:szCs w:val="24"/>
          <w:lang w:val="es-CR" w:eastAsia="es-CR"/>
        </w:rPr>
        <w:t>aron</w:t>
      </w:r>
      <w:r w:rsidR="00C33142">
        <w:rPr>
          <w:rFonts w:eastAsia="Times New Roman" w:cs="Times New Roman"/>
          <w:color w:val="000000"/>
          <w:szCs w:val="24"/>
          <w:lang w:val="es-CR" w:eastAsia="es-CR"/>
        </w:rPr>
        <w:t xml:space="preserve">. El monto proyectado de pensión debe ser expresado </w:t>
      </w:r>
      <w:r w:rsidR="00757A08">
        <w:rPr>
          <w:rFonts w:eastAsia="Times New Roman" w:cs="Times New Roman"/>
          <w:color w:val="000000"/>
          <w:szCs w:val="24"/>
          <w:lang w:val="es-CR" w:eastAsia="es-CR"/>
        </w:rPr>
        <w:t>en colones de la fecha corte de</w:t>
      </w:r>
      <w:r w:rsidR="00D34079">
        <w:rPr>
          <w:rFonts w:eastAsia="Times New Roman" w:cs="Times New Roman"/>
          <w:color w:val="000000"/>
          <w:szCs w:val="24"/>
          <w:lang w:val="es-CR" w:eastAsia="es-CR"/>
        </w:rPr>
        <w:t>l estado de cuenta</w:t>
      </w:r>
      <w:r w:rsidR="00C937FD">
        <w:rPr>
          <w:rFonts w:eastAsia="Times New Roman" w:cs="Times New Roman"/>
          <w:color w:val="000000"/>
          <w:szCs w:val="24"/>
          <w:lang w:val="es-CR" w:eastAsia="es-CR"/>
        </w:rPr>
        <w:t>, es decir</w:t>
      </w:r>
      <w:r w:rsidR="00D34079">
        <w:rPr>
          <w:rFonts w:eastAsia="Times New Roman" w:cs="Times New Roman"/>
          <w:color w:val="000000"/>
          <w:szCs w:val="24"/>
          <w:lang w:val="es-CR" w:eastAsia="es-CR"/>
        </w:rPr>
        <w:t xml:space="preserve"> </w:t>
      </w:r>
      <w:r w:rsidR="00C33142">
        <w:rPr>
          <w:rFonts w:eastAsia="Times New Roman" w:cs="Times New Roman"/>
          <w:color w:val="000000"/>
          <w:szCs w:val="24"/>
          <w:lang w:val="es-CR" w:eastAsia="es-CR"/>
        </w:rPr>
        <w:t>descontado por la inflación</w:t>
      </w:r>
      <w:r w:rsidR="00D34079">
        <w:rPr>
          <w:rFonts w:eastAsia="Times New Roman" w:cs="Times New Roman"/>
          <w:color w:val="000000"/>
          <w:szCs w:val="24"/>
          <w:lang w:val="es-CR" w:eastAsia="es-CR"/>
        </w:rPr>
        <w:t>.</w:t>
      </w:r>
    </w:p>
    <w:p w14:paraId="3AF65659"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175B7332" w14:textId="77777777" w:rsidR="00A04E73" w:rsidRDefault="00A04E73" w:rsidP="229E2BF5">
      <w:pPr>
        <w:autoSpaceDE w:val="0"/>
        <w:autoSpaceDN w:val="0"/>
        <w:adjustRightInd w:val="0"/>
        <w:spacing w:line="240" w:lineRule="auto"/>
        <w:jc w:val="both"/>
        <w:rPr>
          <w:rFonts w:eastAsia="Times New Roman" w:cs="Times New Roman"/>
          <w:color w:val="000000"/>
          <w:lang w:val="es-CR" w:eastAsia="es-CR"/>
        </w:rPr>
      </w:pPr>
      <w:r w:rsidRPr="229E2BF5">
        <w:rPr>
          <w:rFonts w:eastAsia="Times New Roman" w:cs="Times New Roman"/>
          <w:color w:val="000000" w:themeColor="text1"/>
          <w:lang w:val="es-CR" w:eastAsia="es-CR"/>
        </w:rPr>
        <w:t xml:space="preserve">Para mejorar y facilitar la comprensión de los estados de cuenta y la comunicación con los afiliados y pensionados, se considera </w:t>
      </w:r>
      <w:r w:rsidR="64BCA6B1" w:rsidRPr="229E2BF5">
        <w:rPr>
          <w:rFonts w:eastAsia="Times New Roman" w:cs="Times New Roman"/>
          <w:color w:val="000000" w:themeColor="text1"/>
          <w:lang w:val="es-CR" w:eastAsia="es-CR"/>
        </w:rPr>
        <w:t>relevante el</w:t>
      </w:r>
      <w:r w:rsidRPr="229E2BF5">
        <w:rPr>
          <w:rFonts w:eastAsia="Times New Roman" w:cs="Times New Roman"/>
          <w:color w:val="000000" w:themeColor="text1"/>
          <w:lang w:val="es-CR" w:eastAsia="es-CR"/>
        </w:rPr>
        <w:t xml:space="preserve"> uso de infografía y </w:t>
      </w:r>
      <w:r w:rsidR="00DE4B13" w:rsidRPr="229E2BF5">
        <w:rPr>
          <w:rFonts w:eastAsia="Times New Roman" w:cs="Times New Roman"/>
          <w:color w:val="000000" w:themeColor="text1"/>
          <w:lang w:val="es-CR" w:eastAsia="es-CR"/>
        </w:rPr>
        <w:t>elementos que faciliten el proceso de comprensión.</w:t>
      </w:r>
    </w:p>
    <w:p w14:paraId="2A5EF6FE" w14:textId="77777777" w:rsidR="008A69A9" w:rsidRDefault="008A69A9" w:rsidP="00A04E73">
      <w:pPr>
        <w:autoSpaceDE w:val="0"/>
        <w:autoSpaceDN w:val="0"/>
        <w:adjustRightInd w:val="0"/>
        <w:spacing w:line="240" w:lineRule="auto"/>
        <w:jc w:val="both"/>
        <w:rPr>
          <w:rFonts w:eastAsia="Times New Roman" w:cs="Times New Roman"/>
          <w:color w:val="000000"/>
          <w:szCs w:val="24"/>
          <w:lang w:val="es-CR" w:eastAsia="es-CR"/>
        </w:rPr>
      </w:pPr>
    </w:p>
    <w:p w14:paraId="18364019" w14:textId="4D1980C2" w:rsidR="008A69A9" w:rsidRPr="00A04E73" w:rsidRDefault="009426FC" w:rsidP="00A04E73">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Las proyecciones correspondientes a</w:t>
      </w:r>
      <w:r w:rsidR="008A69A9" w:rsidRPr="00B87720">
        <w:rPr>
          <w:rFonts w:eastAsia="Times New Roman" w:cs="Times New Roman"/>
          <w:color w:val="000000"/>
          <w:szCs w:val="24"/>
          <w:lang w:val="es-CR" w:eastAsia="es-CR"/>
        </w:rPr>
        <w:t xml:space="preserve"> los fondos de acumulación</w:t>
      </w:r>
      <w:r w:rsidR="00DA19BF">
        <w:rPr>
          <w:rFonts w:eastAsia="Times New Roman" w:cs="Times New Roman"/>
          <w:color w:val="000000"/>
          <w:szCs w:val="24"/>
          <w:lang w:val="es-CR" w:eastAsia="es-CR"/>
        </w:rPr>
        <w:t xml:space="preserve"> </w:t>
      </w:r>
      <w:proofErr w:type="gramStart"/>
      <w:r w:rsidR="008A69A9" w:rsidRPr="00B87720">
        <w:rPr>
          <w:rFonts w:eastAsia="Times New Roman" w:cs="Times New Roman"/>
          <w:color w:val="000000"/>
          <w:szCs w:val="24"/>
          <w:lang w:val="es-CR" w:eastAsia="es-CR"/>
        </w:rPr>
        <w:t>voluntarios,</w:t>
      </w:r>
      <w:proofErr w:type="gramEnd"/>
      <w:r w:rsidR="008A69A9" w:rsidRPr="00B87720">
        <w:rPr>
          <w:rFonts w:eastAsia="Times New Roman" w:cs="Times New Roman"/>
          <w:color w:val="000000"/>
          <w:szCs w:val="24"/>
          <w:lang w:val="es-CR" w:eastAsia="es-CR"/>
        </w:rPr>
        <w:t xml:space="preserve"> </w:t>
      </w:r>
      <w:r>
        <w:rPr>
          <w:rFonts w:eastAsia="Times New Roman" w:cs="Times New Roman"/>
          <w:color w:val="000000"/>
          <w:szCs w:val="24"/>
          <w:lang w:val="es-CR" w:eastAsia="es-CR"/>
        </w:rPr>
        <w:t>deberá</w:t>
      </w:r>
      <w:r w:rsidR="00266C39">
        <w:rPr>
          <w:rFonts w:eastAsia="Times New Roman" w:cs="Times New Roman"/>
          <w:color w:val="000000"/>
          <w:szCs w:val="24"/>
          <w:lang w:val="es-CR" w:eastAsia="es-CR"/>
        </w:rPr>
        <w:t>n</w:t>
      </w:r>
      <w:r>
        <w:rPr>
          <w:rFonts w:eastAsia="Times New Roman" w:cs="Times New Roman"/>
          <w:color w:val="000000"/>
          <w:szCs w:val="24"/>
          <w:lang w:val="es-CR" w:eastAsia="es-CR"/>
        </w:rPr>
        <w:t xml:space="preserve"> </w:t>
      </w:r>
      <w:r w:rsidR="008A69A9">
        <w:rPr>
          <w:rFonts w:eastAsia="Times New Roman" w:cs="Times New Roman"/>
          <w:color w:val="000000"/>
          <w:szCs w:val="24"/>
          <w:lang w:val="es-CR" w:eastAsia="es-CR"/>
        </w:rPr>
        <w:t xml:space="preserve">corresponder a los saldos estimados expresados en </w:t>
      </w:r>
      <w:r w:rsidR="00762D12">
        <w:rPr>
          <w:rFonts w:eastAsia="Times New Roman" w:cs="Times New Roman"/>
          <w:color w:val="000000"/>
          <w:szCs w:val="24"/>
          <w:lang w:val="es-CR" w:eastAsia="es-CR"/>
        </w:rPr>
        <w:t>unidades monetarias de la fecha de corte, siguiendo la metodología indicada para el ROP</w:t>
      </w:r>
      <w:r w:rsidR="008A69A9">
        <w:rPr>
          <w:rFonts w:eastAsia="Times New Roman" w:cs="Times New Roman"/>
          <w:color w:val="000000"/>
          <w:szCs w:val="24"/>
          <w:lang w:val="es-CR" w:eastAsia="es-CR"/>
        </w:rPr>
        <w:t>.</w:t>
      </w:r>
    </w:p>
    <w:p w14:paraId="7445C00B" w14:textId="77777777" w:rsid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24061CF4" w14:textId="77777777" w:rsidR="00DA19BF" w:rsidRDefault="00DA19BF">
      <w:pPr>
        <w:spacing w:after="160" w:line="259" w:lineRule="auto"/>
        <w:rPr>
          <w:rFonts w:eastAsia="Times New Roman" w:cs="Times New Roman"/>
          <w:b/>
          <w:bCs/>
          <w:color w:val="000000"/>
          <w:szCs w:val="24"/>
          <w:lang w:val="es-CR" w:eastAsia="es-CR"/>
        </w:rPr>
      </w:pPr>
      <w:r>
        <w:rPr>
          <w:rFonts w:eastAsia="Times New Roman" w:cs="Times New Roman"/>
          <w:b/>
          <w:bCs/>
          <w:color w:val="000000"/>
          <w:szCs w:val="24"/>
          <w:lang w:val="es-CR" w:eastAsia="es-CR"/>
        </w:rPr>
        <w:br w:type="page"/>
      </w:r>
    </w:p>
    <w:p w14:paraId="2294C69F" w14:textId="57CE6504" w:rsidR="00DD6FA9" w:rsidRDefault="00DD6FA9" w:rsidP="00DD6FA9">
      <w:pPr>
        <w:autoSpaceDE w:val="0"/>
        <w:autoSpaceDN w:val="0"/>
        <w:adjustRightInd w:val="0"/>
        <w:spacing w:line="240" w:lineRule="auto"/>
        <w:jc w:val="both"/>
        <w:rPr>
          <w:rFonts w:eastAsia="Times New Roman" w:cs="Times New Roman"/>
          <w:b/>
          <w:bCs/>
          <w:color w:val="000000"/>
          <w:szCs w:val="24"/>
          <w:lang w:val="es-CR" w:eastAsia="es-CR"/>
        </w:rPr>
      </w:pPr>
      <w:r>
        <w:rPr>
          <w:rFonts w:eastAsia="Times New Roman" w:cs="Times New Roman"/>
          <w:b/>
          <w:bCs/>
          <w:color w:val="000000"/>
          <w:szCs w:val="24"/>
          <w:lang w:val="es-CR" w:eastAsia="es-CR"/>
        </w:rPr>
        <w:lastRenderedPageBreak/>
        <w:t>Quinto</w:t>
      </w:r>
      <w:r w:rsidRPr="00670282">
        <w:rPr>
          <w:rFonts w:eastAsia="Times New Roman" w:cs="Times New Roman"/>
          <w:b/>
          <w:bCs/>
          <w:color w:val="000000"/>
          <w:szCs w:val="24"/>
          <w:lang w:val="es-CR" w:eastAsia="es-CR"/>
        </w:rPr>
        <w:t xml:space="preserve">: Requisitos </w:t>
      </w:r>
      <w:r>
        <w:rPr>
          <w:rFonts w:eastAsia="Times New Roman" w:cs="Times New Roman"/>
          <w:b/>
          <w:bCs/>
          <w:color w:val="000000"/>
          <w:szCs w:val="24"/>
          <w:lang w:val="es-CR" w:eastAsia="es-CR"/>
        </w:rPr>
        <w:t xml:space="preserve">de </w:t>
      </w:r>
      <w:r w:rsidRPr="00670282">
        <w:rPr>
          <w:rFonts w:eastAsia="Times New Roman" w:cs="Times New Roman"/>
          <w:b/>
          <w:bCs/>
          <w:color w:val="000000"/>
          <w:szCs w:val="24"/>
          <w:lang w:val="es-CR" w:eastAsia="es-CR"/>
        </w:rPr>
        <w:t>las proyecciones</w:t>
      </w:r>
    </w:p>
    <w:p w14:paraId="409494A2" w14:textId="77777777" w:rsidR="00DD6FA9" w:rsidRPr="00670282" w:rsidRDefault="00DD6FA9" w:rsidP="00A04E73">
      <w:pPr>
        <w:autoSpaceDE w:val="0"/>
        <w:autoSpaceDN w:val="0"/>
        <w:adjustRightInd w:val="0"/>
        <w:spacing w:line="240" w:lineRule="auto"/>
        <w:jc w:val="both"/>
        <w:rPr>
          <w:rFonts w:eastAsia="Times New Roman" w:cs="Times New Roman"/>
          <w:b/>
          <w:bCs/>
          <w:color w:val="000000"/>
          <w:szCs w:val="24"/>
          <w:lang w:val="es-CR" w:eastAsia="es-CR"/>
        </w:rPr>
      </w:pPr>
    </w:p>
    <w:p w14:paraId="1F16E0A6" w14:textId="77777777" w:rsidR="00670282" w:rsidRDefault="008A69A9" w:rsidP="008A69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8A69A9">
        <w:rPr>
          <w:rFonts w:eastAsia="Times New Roman" w:cs="Times New Roman"/>
          <w:color w:val="000000"/>
          <w:szCs w:val="24"/>
          <w:lang w:val="es-CR" w:eastAsia="es-CR"/>
        </w:rPr>
        <w:t>Las entidad</w:t>
      </w:r>
      <w:r>
        <w:rPr>
          <w:rFonts w:eastAsia="Times New Roman" w:cs="Times New Roman"/>
          <w:color w:val="000000"/>
          <w:szCs w:val="24"/>
          <w:lang w:val="es-CR" w:eastAsia="es-CR"/>
        </w:rPr>
        <w:t>es</w:t>
      </w:r>
      <w:r w:rsidRPr="008A69A9">
        <w:rPr>
          <w:rFonts w:eastAsia="Times New Roman" w:cs="Times New Roman"/>
          <w:color w:val="000000"/>
          <w:szCs w:val="24"/>
          <w:lang w:val="es-CR" w:eastAsia="es-CR"/>
        </w:rPr>
        <w:t xml:space="preserve"> deberán documentar</w:t>
      </w:r>
      <w:r w:rsidR="00266C39">
        <w:rPr>
          <w:rFonts w:eastAsia="Times New Roman" w:cs="Times New Roman"/>
          <w:color w:val="000000"/>
          <w:szCs w:val="24"/>
          <w:lang w:val="es-CR" w:eastAsia="es-CR"/>
        </w:rPr>
        <w:t xml:space="preserve"> en forma completa y clara</w:t>
      </w:r>
      <w:r w:rsidRPr="008A69A9">
        <w:rPr>
          <w:rFonts w:eastAsia="Times New Roman" w:cs="Times New Roman"/>
          <w:color w:val="000000"/>
          <w:szCs w:val="24"/>
          <w:lang w:val="es-CR" w:eastAsia="es-CR"/>
        </w:rPr>
        <w:t xml:space="preserve"> la metodología empleada para las proyecciones </w:t>
      </w:r>
      <w:r w:rsidR="004F49D8">
        <w:rPr>
          <w:rFonts w:eastAsia="Times New Roman" w:cs="Times New Roman"/>
          <w:color w:val="000000"/>
          <w:szCs w:val="24"/>
          <w:lang w:val="es-CR" w:eastAsia="es-CR"/>
        </w:rPr>
        <w:t>y mantenerla</w:t>
      </w:r>
      <w:r w:rsidRPr="008A69A9">
        <w:rPr>
          <w:rFonts w:eastAsia="Times New Roman" w:cs="Times New Roman"/>
          <w:color w:val="000000"/>
          <w:szCs w:val="24"/>
          <w:lang w:val="es-CR" w:eastAsia="es-CR"/>
        </w:rPr>
        <w:t xml:space="preserve"> disponible</w:t>
      </w:r>
      <w:r w:rsidR="00266C39">
        <w:rPr>
          <w:rFonts w:eastAsia="Times New Roman" w:cs="Times New Roman"/>
          <w:color w:val="000000"/>
          <w:szCs w:val="24"/>
          <w:lang w:val="es-CR" w:eastAsia="es-CR"/>
        </w:rPr>
        <w:t xml:space="preserve"> para</w:t>
      </w:r>
      <w:r w:rsidRPr="008A69A9">
        <w:rPr>
          <w:rFonts w:eastAsia="Times New Roman" w:cs="Times New Roman"/>
          <w:color w:val="000000"/>
          <w:szCs w:val="24"/>
          <w:lang w:val="es-CR" w:eastAsia="es-CR"/>
        </w:rPr>
        <w:t xml:space="preserve"> sus afiliados</w:t>
      </w:r>
      <w:r w:rsidR="00D60718">
        <w:rPr>
          <w:rFonts w:eastAsia="Times New Roman" w:cs="Times New Roman"/>
          <w:color w:val="000000"/>
          <w:szCs w:val="24"/>
          <w:lang w:val="es-CR" w:eastAsia="es-CR"/>
        </w:rPr>
        <w:t xml:space="preserve"> y</w:t>
      </w:r>
      <w:r w:rsidR="001B458A">
        <w:rPr>
          <w:rFonts w:eastAsia="Times New Roman" w:cs="Times New Roman"/>
          <w:color w:val="000000"/>
          <w:szCs w:val="24"/>
          <w:lang w:val="es-CR" w:eastAsia="es-CR"/>
        </w:rPr>
        <w:t xml:space="preserve"> </w:t>
      </w:r>
      <w:r w:rsidR="00D60718">
        <w:rPr>
          <w:rFonts w:eastAsia="Times New Roman" w:cs="Times New Roman"/>
          <w:color w:val="000000"/>
          <w:szCs w:val="24"/>
          <w:lang w:val="es-CR" w:eastAsia="es-CR"/>
        </w:rPr>
        <w:t>la Superintendencia</w:t>
      </w:r>
      <w:r w:rsidR="00266C39">
        <w:rPr>
          <w:rFonts w:eastAsia="Times New Roman" w:cs="Times New Roman"/>
          <w:color w:val="000000"/>
          <w:szCs w:val="24"/>
          <w:lang w:val="es-CR" w:eastAsia="es-CR"/>
        </w:rPr>
        <w:t xml:space="preserve"> de Pensiones, en este último caso, </w:t>
      </w:r>
      <w:r w:rsidR="00D60718">
        <w:rPr>
          <w:rFonts w:eastAsia="Times New Roman" w:cs="Times New Roman"/>
          <w:color w:val="000000"/>
          <w:szCs w:val="24"/>
          <w:lang w:val="es-CR" w:eastAsia="es-CR"/>
        </w:rPr>
        <w:t>para propósitos de supervisión</w:t>
      </w:r>
      <w:r w:rsidRPr="008A69A9">
        <w:rPr>
          <w:rFonts w:eastAsia="Times New Roman" w:cs="Times New Roman"/>
          <w:color w:val="000000"/>
          <w:szCs w:val="24"/>
          <w:lang w:val="es-CR" w:eastAsia="es-CR"/>
        </w:rPr>
        <w:t>.</w:t>
      </w:r>
    </w:p>
    <w:p w14:paraId="4BB4F2F5" w14:textId="77777777" w:rsidR="006F6340" w:rsidRDefault="006F6340" w:rsidP="006F6340">
      <w:pPr>
        <w:pStyle w:val="Prrafodelista"/>
        <w:autoSpaceDE w:val="0"/>
        <w:autoSpaceDN w:val="0"/>
        <w:adjustRightInd w:val="0"/>
        <w:spacing w:line="240" w:lineRule="auto"/>
        <w:jc w:val="both"/>
        <w:rPr>
          <w:rFonts w:eastAsia="Times New Roman" w:cs="Times New Roman"/>
          <w:color w:val="000000"/>
          <w:szCs w:val="24"/>
          <w:lang w:val="es-CR" w:eastAsia="es-CR"/>
        </w:rPr>
      </w:pPr>
    </w:p>
    <w:p w14:paraId="77D972BF" w14:textId="77777777" w:rsidR="008A69A9" w:rsidRDefault="003E4C56" w:rsidP="008A69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L</w:t>
      </w:r>
      <w:r w:rsidR="006F6340">
        <w:rPr>
          <w:rFonts w:eastAsia="Times New Roman" w:cs="Times New Roman"/>
          <w:color w:val="000000"/>
          <w:szCs w:val="24"/>
          <w:lang w:val="es-CR" w:eastAsia="es-CR"/>
        </w:rPr>
        <w:t>as metodologías deberán utilizar los siguientes parámetros:</w:t>
      </w:r>
    </w:p>
    <w:p w14:paraId="6C14101B" w14:textId="77777777" w:rsidR="009426FC" w:rsidRPr="009426FC" w:rsidRDefault="009426FC" w:rsidP="009426FC">
      <w:pPr>
        <w:autoSpaceDE w:val="0"/>
        <w:autoSpaceDN w:val="0"/>
        <w:adjustRightInd w:val="0"/>
        <w:spacing w:line="240" w:lineRule="auto"/>
        <w:jc w:val="both"/>
        <w:rPr>
          <w:rFonts w:eastAsia="Times New Roman" w:cs="Times New Roman"/>
          <w:color w:val="000000"/>
          <w:szCs w:val="24"/>
          <w:lang w:val="es-CR" w:eastAsia="es-CR"/>
        </w:rPr>
      </w:pPr>
    </w:p>
    <w:p w14:paraId="58BACC6D"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Saldo de cada afiliado.</w:t>
      </w:r>
    </w:p>
    <w:p w14:paraId="11414BBD"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Densidades de cotización.</w:t>
      </w:r>
    </w:p>
    <w:p w14:paraId="110358D8"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Rendimientos.</w:t>
      </w:r>
    </w:p>
    <w:p w14:paraId="48741F60"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Crecimiento de salarios</w:t>
      </w:r>
    </w:p>
    <w:p w14:paraId="29E4759A" w14:textId="77777777" w:rsidR="004F49D8" w:rsidRDefault="006F6340" w:rsidP="00A04E73">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Edad de jubilación para el régimen básico</w:t>
      </w:r>
      <w:r w:rsidR="003E4C56">
        <w:rPr>
          <w:rFonts w:eastAsia="Times New Roman" w:cs="Times New Roman"/>
          <w:color w:val="000000"/>
          <w:szCs w:val="24"/>
          <w:lang w:val="es-CR" w:eastAsia="es-CR"/>
        </w:rPr>
        <w:t>,</w:t>
      </w:r>
      <w:r>
        <w:rPr>
          <w:rFonts w:eastAsia="Times New Roman" w:cs="Times New Roman"/>
          <w:color w:val="000000"/>
          <w:szCs w:val="24"/>
          <w:lang w:val="es-CR" w:eastAsia="es-CR"/>
        </w:rPr>
        <w:t xml:space="preserve"> sin anticipo</w:t>
      </w:r>
      <w:r w:rsidR="003E4C56">
        <w:rPr>
          <w:rFonts w:eastAsia="Times New Roman" w:cs="Times New Roman"/>
          <w:color w:val="000000"/>
          <w:szCs w:val="24"/>
          <w:lang w:val="es-CR" w:eastAsia="es-CR"/>
        </w:rPr>
        <w:t xml:space="preserve">, o bien, </w:t>
      </w:r>
      <w:r>
        <w:rPr>
          <w:rFonts w:eastAsia="Times New Roman" w:cs="Times New Roman"/>
          <w:color w:val="000000"/>
          <w:szCs w:val="24"/>
          <w:lang w:val="es-CR" w:eastAsia="es-CR"/>
        </w:rPr>
        <w:t xml:space="preserve">57 años </w:t>
      </w:r>
      <w:r w:rsidR="003E4C56">
        <w:rPr>
          <w:rFonts w:eastAsia="Times New Roman" w:cs="Times New Roman"/>
          <w:color w:val="000000"/>
          <w:szCs w:val="24"/>
          <w:lang w:val="es-CR" w:eastAsia="es-CR"/>
        </w:rPr>
        <w:t>tratándose del</w:t>
      </w:r>
      <w:r>
        <w:rPr>
          <w:rFonts w:eastAsia="Times New Roman" w:cs="Times New Roman"/>
          <w:color w:val="000000"/>
          <w:szCs w:val="24"/>
          <w:lang w:val="es-CR" w:eastAsia="es-CR"/>
        </w:rPr>
        <w:t xml:space="preserve"> régimen voluntario de pensiones complementarias.</w:t>
      </w:r>
    </w:p>
    <w:p w14:paraId="3C80529D" w14:textId="77777777" w:rsidR="004F49D8" w:rsidRDefault="004F49D8" w:rsidP="004F49D8">
      <w:pPr>
        <w:pStyle w:val="Prrafodelista"/>
        <w:autoSpaceDE w:val="0"/>
        <w:autoSpaceDN w:val="0"/>
        <w:adjustRightInd w:val="0"/>
        <w:spacing w:line="240" w:lineRule="auto"/>
        <w:ind w:left="1440"/>
        <w:jc w:val="both"/>
        <w:rPr>
          <w:rFonts w:eastAsia="Times New Roman" w:cs="Times New Roman"/>
          <w:color w:val="000000"/>
          <w:szCs w:val="24"/>
          <w:lang w:val="es-CR" w:eastAsia="es-CR"/>
        </w:rPr>
      </w:pPr>
    </w:p>
    <w:p w14:paraId="21EE1752" w14:textId="77777777" w:rsidR="004F49D8" w:rsidRDefault="001307E6" w:rsidP="00A04E73">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4F49D8">
        <w:rPr>
          <w:rFonts w:eastAsia="Times New Roman" w:cs="Times New Roman"/>
          <w:color w:val="000000"/>
          <w:szCs w:val="24"/>
          <w:lang w:val="es-CR" w:eastAsia="es-CR"/>
        </w:rPr>
        <w:t xml:space="preserve">Para las proyecciones </w:t>
      </w:r>
      <w:r w:rsidR="004F49D8">
        <w:rPr>
          <w:rFonts w:eastAsia="Times New Roman" w:cs="Times New Roman"/>
          <w:color w:val="000000"/>
          <w:szCs w:val="24"/>
          <w:lang w:val="es-CR" w:eastAsia="es-CR"/>
        </w:rPr>
        <w:t xml:space="preserve">en </w:t>
      </w:r>
      <w:r w:rsidR="001B458A">
        <w:rPr>
          <w:rFonts w:eastAsia="Times New Roman" w:cs="Times New Roman"/>
          <w:color w:val="000000"/>
          <w:szCs w:val="24"/>
          <w:lang w:val="es-CR" w:eastAsia="es-CR"/>
        </w:rPr>
        <w:t xml:space="preserve">el </w:t>
      </w:r>
      <w:r w:rsidR="004F49D8">
        <w:rPr>
          <w:rFonts w:eastAsia="Times New Roman" w:cs="Times New Roman"/>
          <w:color w:val="000000"/>
          <w:szCs w:val="24"/>
          <w:lang w:val="es-CR" w:eastAsia="es-CR"/>
        </w:rPr>
        <w:t xml:space="preserve">ROP </w:t>
      </w:r>
      <w:r w:rsidRPr="004F49D8">
        <w:rPr>
          <w:rFonts w:eastAsia="Times New Roman" w:cs="Times New Roman"/>
          <w:color w:val="000000"/>
          <w:szCs w:val="24"/>
          <w:lang w:val="es-CR" w:eastAsia="es-CR"/>
        </w:rPr>
        <w:t>deberá utilizarse</w:t>
      </w:r>
      <w:r w:rsidR="009426FC">
        <w:rPr>
          <w:rFonts w:eastAsia="Times New Roman" w:cs="Times New Roman"/>
          <w:color w:val="000000"/>
          <w:szCs w:val="24"/>
          <w:lang w:val="es-CR" w:eastAsia="es-CR"/>
        </w:rPr>
        <w:t>,</w:t>
      </w:r>
      <w:r w:rsidR="004F49D8">
        <w:rPr>
          <w:rFonts w:eastAsia="Times New Roman" w:cs="Times New Roman"/>
          <w:color w:val="000000"/>
          <w:szCs w:val="24"/>
          <w:lang w:val="es-CR" w:eastAsia="es-CR"/>
        </w:rPr>
        <w:t xml:space="preserve"> al menos</w:t>
      </w:r>
      <w:r w:rsidR="009426FC">
        <w:rPr>
          <w:rFonts w:eastAsia="Times New Roman" w:cs="Times New Roman"/>
          <w:color w:val="000000"/>
          <w:szCs w:val="24"/>
          <w:lang w:val="es-CR" w:eastAsia="es-CR"/>
        </w:rPr>
        <w:t>,</w:t>
      </w:r>
      <w:r w:rsidR="004F49D8">
        <w:rPr>
          <w:rFonts w:eastAsia="Times New Roman" w:cs="Times New Roman"/>
          <w:color w:val="000000"/>
          <w:szCs w:val="24"/>
          <w:lang w:val="es-CR" w:eastAsia="es-CR"/>
        </w:rPr>
        <w:t xml:space="preserve"> </w:t>
      </w:r>
      <w:r w:rsidRPr="004F49D8">
        <w:rPr>
          <w:rFonts w:eastAsia="Times New Roman" w:cs="Times New Roman"/>
          <w:color w:val="000000"/>
          <w:szCs w:val="24"/>
          <w:lang w:val="es-CR" w:eastAsia="es-CR"/>
        </w:rPr>
        <w:t>l</w:t>
      </w:r>
      <w:r w:rsidR="00A04E73" w:rsidRPr="004F49D8">
        <w:rPr>
          <w:rFonts w:eastAsia="Times New Roman" w:cs="Times New Roman"/>
          <w:color w:val="000000"/>
          <w:szCs w:val="24"/>
          <w:lang w:val="es-CR" w:eastAsia="es-CR"/>
        </w:rPr>
        <w:t>a modalidad de retiro programado</w:t>
      </w:r>
      <w:r w:rsidR="006F6340" w:rsidRPr="004F49D8">
        <w:rPr>
          <w:rFonts w:eastAsia="Times New Roman" w:cs="Times New Roman"/>
          <w:color w:val="000000"/>
          <w:szCs w:val="24"/>
          <w:lang w:val="es-CR" w:eastAsia="es-CR"/>
        </w:rPr>
        <w:t xml:space="preserve"> y </w:t>
      </w:r>
      <w:r w:rsidR="00BC686C" w:rsidRPr="003669C5">
        <w:rPr>
          <w:rFonts w:eastAsia="Times New Roman" w:cs="Times New Roman"/>
          <w:color w:val="000000"/>
          <w:szCs w:val="24"/>
          <w:lang w:val="es-CR" w:eastAsia="es-CR"/>
        </w:rPr>
        <w:t>mostrar el monto proyectado de pensión a valor presente</w:t>
      </w:r>
      <w:r w:rsidRPr="004F49D8">
        <w:rPr>
          <w:rFonts w:eastAsia="Times New Roman" w:cs="Times New Roman"/>
          <w:color w:val="000000"/>
          <w:szCs w:val="24"/>
          <w:lang w:val="es-CR" w:eastAsia="es-CR"/>
        </w:rPr>
        <w:t>.</w:t>
      </w:r>
    </w:p>
    <w:p w14:paraId="460166CD" w14:textId="77777777" w:rsidR="004F49D8" w:rsidRDefault="004F49D8" w:rsidP="004F49D8">
      <w:pPr>
        <w:pStyle w:val="Prrafodelista"/>
        <w:autoSpaceDE w:val="0"/>
        <w:autoSpaceDN w:val="0"/>
        <w:adjustRightInd w:val="0"/>
        <w:spacing w:line="240" w:lineRule="auto"/>
        <w:jc w:val="both"/>
        <w:rPr>
          <w:rFonts w:eastAsia="Times New Roman" w:cs="Times New Roman"/>
          <w:color w:val="000000"/>
          <w:szCs w:val="24"/>
          <w:lang w:val="es-CR" w:eastAsia="es-CR"/>
        </w:rPr>
      </w:pPr>
    </w:p>
    <w:p w14:paraId="3ED1A149" w14:textId="77777777" w:rsidR="00A04E73" w:rsidRDefault="004F49D8" w:rsidP="00B20F73">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Para cada afiliado las proyecciones deberán</w:t>
      </w:r>
      <w:r w:rsidR="00B20F73">
        <w:rPr>
          <w:rFonts w:eastAsia="Times New Roman" w:cs="Times New Roman"/>
          <w:color w:val="000000"/>
          <w:szCs w:val="24"/>
          <w:lang w:val="es-CR" w:eastAsia="es-CR"/>
        </w:rPr>
        <w:t xml:space="preserve"> incluir tres escenarios: pesimista, </w:t>
      </w:r>
      <w:r w:rsidR="00BC686C" w:rsidRPr="003669C5">
        <w:rPr>
          <w:rFonts w:eastAsia="Times New Roman" w:cs="Times New Roman"/>
          <w:color w:val="000000"/>
          <w:szCs w:val="24"/>
          <w:lang w:val="es-CR" w:eastAsia="es-CR"/>
        </w:rPr>
        <w:t>esperado</w:t>
      </w:r>
      <w:r w:rsidR="00B20F73">
        <w:rPr>
          <w:rFonts w:eastAsia="Times New Roman" w:cs="Times New Roman"/>
          <w:color w:val="000000"/>
          <w:szCs w:val="24"/>
          <w:lang w:val="es-CR" w:eastAsia="es-CR"/>
        </w:rPr>
        <w:t xml:space="preserve"> y optimista. Los supuestos deben ser razonables, sustentados</w:t>
      </w:r>
      <w:r w:rsidR="00BD5D13">
        <w:rPr>
          <w:rFonts w:eastAsia="Times New Roman" w:cs="Times New Roman"/>
          <w:color w:val="000000"/>
          <w:szCs w:val="24"/>
          <w:lang w:val="es-CR" w:eastAsia="es-CR"/>
        </w:rPr>
        <w:t>, declarados</w:t>
      </w:r>
      <w:r w:rsidR="00B20F73">
        <w:rPr>
          <w:rFonts w:eastAsia="Times New Roman" w:cs="Times New Roman"/>
          <w:color w:val="000000"/>
          <w:szCs w:val="24"/>
          <w:lang w:val="es-CR" w:eastAsia="es-CR"/>
        </w:rPr>
        <w:t xml:space="preserve"> y considerará </w:t>
      </w:r>
      <w:r w:rsidR="00BC686C" w:rsidRPr="003669C5">
        <w:rPr>
          <w:rFonts w:eastAsia="Times New Roman" w:cs="Times New Roman"/>
          <w:color w:val="000000"/>
          <w:szCs w:val="24"/>
          <w:lang w:val="es-CR" w:eastAsia="es-CR"/>
        </w:rPr>
        <w:t>como mínimo, la densidad de cotización, la tasa de interés y aportes adicionales</w:t>
      </w:r>
      <w:r w:rsidR="00B20F73">
        <w:rPr>
          <w:rFonts w:eastAsia="Times New Roman" w:cs="Times New Roman"/>
          <w:color w:val="000000"/>
          <w:szCs w:val="24"/>
          <w:lang w:val="es-CR" w:eastAsia="es-CR"/>
        </w:rPr>
        <w:t>.</w:t>
      </w:r>
    </w:p>
    <w:p w14:paraId="0B254D0F" w14:textId="77777777" w:rsidR="007B256C" w:rsidRPr="00371928" w:rsidRDefault="007B256C" w:rsidP="00371928">
      <w:pPr>
        <w:autoSpaceDE w:val="0"/>
        <w:autoSpaceDN w:val="0"/>
        <w:adjustRightInd w:val="0"/>
        <w:spacing w:line="240" w:lineRule="auto"/>
        <w:jc w:val="both"/>
        <w:rPr>
          <w:rFonts w:eastAsia="Times New Roman" w:cs="Times New Roman"/>
          <w:color w:val="000000"/>
          <w:szCs w:val="24"/>
          <w:lang w:val="es-CR" w:eastAsia="es-CR"/>
        </w:rPr>
      </w:pPr>
    </w:p>
    <w:p w14:paraId="3109DC44" w14:textId="77777777" w:rsidR="00B20F73" w:rsidRDefault="007B256C" w:rsidP="00DD6F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Las proyecciones serán obligatorias para los trabajadores que mantengan al menos cinco años de permanencia en la </w:t>
      </w:r>
      <w:r w:rsidR="00196508">
        <w:rPr>
          <w:rFonts w:eastAsia="Times New Roman" w:cs="Times New Roman"/>
          <w:color w:val="000000"/>
          <w:szCs w:val="24"/>
          <w:lang w:val="es-CR" w:eastAsia="es-CR"/>
        </w:rPr>
        <w:t>operadora</w:t>
      </w:r>
      <w:r>
        <w:rPr>
          <w:rFonts w:eastAsia="Times New Roman" w:cs="Times New Roman"/>
          <w:color w:val="000000"/>
          <w:szCs w:val="24"/>
          <w:lang w:val="es-CR" w:eastAsia="es-CR"/>
        </w:rPr>
        <w:t xml:space="preserve">. </w:t>
      </w:r>
      <w:r w:rsidR="000E0392">
        <w:rPr>
          <w:rFonts w:eastAsia="Times New Roman" w:cs="Times New Roman"/>
          <w:color w:val="000000"/>
          <w:szCs w:val="24"/>
          <w:lang w:val="es-CR" w:eastAsia="es-CR"/>
        </w:rPr>
        <w:t xml:space="preserve"> </w:t>
      </w:r>
      <w:r>
        <w:rPr>
          <w:rFonts w:eastAsia="Times New Roman" w:cs="Times New Roman"/>
          <w:color w:val="000000"/>
          <w:szCs w:val="24"/>
          <w:lang w:val="es-CR" w:eastAsia="es-CR"/>
        </w:rPr>
        <w:t xml:space="preserve">Sin embargo, </w:t>
      </w:r>
      <w:r w:rsidR="00196508">
        <w:rPr>
          <w:rFonts w:eastAsia="Times New Roman" w:cs="Times New Roman"/>
          <w:color w:val="000000"/>
          <w:szCs w:val="24"/>
          <w:lang w:val="es-CR" w:eastAsia="es-CR"/>
        </w:rPr>
        <w:t>éstas</w:t>
      </w:r>
      <w:r>
        <w:rPr>
          <w:rFonts w:eastAsia="Times New Roman" w:cs="Times New Roman"/>
          <w:color w:val="000000"/>
          <w:szCs w:val="24"/>
          <w:lang w:val="es-CR" w:eastAsia="es-CR"/>
        </w:rPr>
        <w:t xml:space="preserve"> podrán realizar proyecciones para afiliados </w:t>
      </w:r>
      <w:r w:rsidR="001B594E">
        <w:rPr>
          <w:rFonts w:eastAsia="Times New Roman" w:cs="Times New Roman"/>
          <w:color w:val="000000"/>
          <w:szCs w:val="24"/>
          <w:lang w:val="es-CR" w:eastAsia="es-CR"/>
        </w:rPr>
        <w:t xml:space="preserve">con </w:t>
      </w:r>
      <w:r>
        <w:rPr>
          <w:rFonts w:eastAsia="Times New Roman" w:cs="Times New Roman"/>
          <w:color w:val="000000"/>
          <w:szCs w:val="24"/>
          <w:lang w:val="es-CR" w:eastAsia="es-CR"/>
        </w:rPr>
        <w:t>menor plazo de permanencia con supuestos genéricos haciendo explícita la salvedad de los resultados.</w:t>
      </w:r>
    </w:p>
    <w:p w14:paraId="6253EFCC" w14:textId="77777777" w:rsidR="004C561B" w:rsidRDefault="004C561B" w:rsidP="004C561B">
      <w:pPr>
        <w:pStyle w:val="Prrafodelista"/>
        <w:autoSpaceDE w:val="0"/>
        <w:autoSpaceDN w:val="0"/>
        <w:adjustRightInd w:val="0"/>
        <w:spacing w:line="240" w:lineRule="auto"/>
        <w:jc w:val="both"/>
        <w:rPr>
          <w:rFonts w:eastAsia="Times New Roman" w:cs="Times New Roman"/>
          <w:color w:val="000000"/>
          <w:szCs w:val="24"/>
          <w:lang w:val="es-CR" w:eastAsia="es-CR"/>
        </w:rPr>
      </w:pPr>
    </w:p>
    <w:p w14:paraId="49234FCF" w14:textId="77777777" w:rsidR="004C561B" w:rsidRPr="004C561B" w:rsidRDefault="004C561B" w:rsidP="004C561B">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4C561B">
        <w:rPr>
          <w:rFonts w:eastAsia="Times New Roman" w:cs="Times New Roman"/>
          <w:color w:val="000000"/>
          <w:szCs w:val="24"/>
          <w:lang w:val="es-CR" w:eastAsia="es-CR"/>
        </w:rPr>
        <w:t>Las proyecciones de la pensión s</w:t>
      </w:r>
      <w:r>
        <w:rPr>
          <w:rFonts w:eastAsia="Times New Roman" w:cs="Times New Roman"/>
          <w:color w:val="000000"/>
          <w:szCs w:val="24"/>
          <w:lang w:val="es-CR" w:eastAsia="es-CR"/>
        </w:rPr>
        <w:t>ó</w:t>
      </w:r>
      <w:r w:rsidRPr="004C561B">
        <w:rPr>
          <w:rFonts w:eastAsia="Times New Roman" w:cs="Times New Roman"/>
          <w:color w:val="000000"/>
          <w:szCs w:val="24"/>
          <w:lang w:val="es-CR" w:eastAsia="es-CR"/>
        </w:rPr>
        <w:t xml:space="preserve">lo podrán ser utilizadas con fines </w:t>
      </w:r>
      <w:r w:rsidR="00D60718">
        <w:rPr>
          <w:rFonts w:eastAsia="Times New Roman" w:cs="Times New Roman"/>
          <w:color w:val="000000"/>
          <w:szCs w:val="24"/>
          <w:lang w:val="es-CR" w:eastAsia="es-CR"/>
        </w:rPr>
        <w:t xml:space="preserve">de </w:t>
      </w:r>
      <w:r w:rsidRPr="004C561B">
        <w:rPr>
          <w:rFonts w:eastAsia="Times New Roman" w:cs="Times New Roman"/>
          <w:color w:val="000000"/>
          <w:szCs w:val="24"/>
          <w:lang w:val="es-CR" w:eastAsia="es-CR"/>
        </w:rPr>
        <w:t>asesoría</w:t>
      </w:r>
      <w:r>
        <w:rPr>
          <w:rFonts w:eastAsia="Times New Roman" w:cs="Times New Roman"/>
          <w:color w:val="000000"/>
          <w:szCs w:val="24"/>
          <w:lang w:val="es-CR" w:eastAsia="es-CR"/>
        </w:rPr>
        <w:t xml:space="preserve"> y</w:t>
      </w:r>
      <w:r w:rsidRPr="004C561B">
        <w:rPr>
          <w:rFonts w:eastAsia="Times New Roman" w:cs="Times New Roman"/>
          <w:color w:val="000000"/>
          <w:szCs w:val="24"/>
          <w:lang w:val="es-CR" w:eastAsia="es-CR"/>
        </w:rPr>
        <w:t xml:space="preserve"> educación previsional</w:t>
      </w:r>
      <w:r w:rsidR="009426FC">
        <w:rPr>
          <w:rFonts w:eastAsia="Times New Roman" w:cs="Times New Roman"/>
          <w:color w:val="000000"/>
          <w:szCs w:val="24"/>
          <w:lang w:val="es-CR" w:eastAsia="es-CR"/>
        </w:rPr>
        <w:t>, sin que, de forma alguna, pueda ser utilizada para fines de publicidad.</w:t>
      </w:r>
    </w:p>
    <w:p w14:paraId="6AB984D9" w14:textId="77777777" w:rsidR="007B256C" w:rsidRDefault="007B256C" w:rsidP="007B256C">
      <w:pPr>
        <w:pStyle w:val="Prrafodelista"/>
        <w:autoSpaceDE w:val="0"/>
        <w:autoSpaceDN w:val="0"/>
        <w:adjustRightInd w:val="0"/>
        <w:spacing w:line="240" w:lineRule="auto"/>
        <w:jc w:val="both"/>
        <w:rPr>
          <w:rFonts w:eastAsia="Times New Roman" w:cs="Times New Roman"/>
          <w:color w:val="000000"/>
          <w:szCs w:val="24"/>
          <w:lang w:val="es-CR" w:eastAsia="es-CR"/>
        </w:rPr>
      </w:pPr>
    </w:p>
    <w:p w14:paraId="6A2A7210" w14:textId="77777777" w:rsidR="00DD6FA9" w:rsidRPr="00B20F73" w:rsidRDefault="007B256C" w:rsidP="00DD6F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 Cada proyección incluirá</w:t>
      </w:r>
      <w:r w:rsidR="00DD6FA9" w:rsidRPr="00B20F73">
        <w:rPr>
          <w:rFonts w:eastAsia="Times New Roman" w:cs="Times New Roman"/>
          <w:color w:val="000000"/>
          <w:szCs w:val="24"/>
          <w:lang w:val="es-CR" w:eastAsia="es-CR"/>
        </w:rPr>
        <w:t xml:space="preserve"> la siguiente leyenda:</w:t>
      </w:r>
    </w:p>
    <w:p w14:paraId="7966CBF7" w14:textId="77777777" w:rsidR="00DD6FA9" w:rsidRPr="00A04E73" w:rsidRDefault="00DD6FA9" w:rsidP="00DD6FA9">
      <w:pPr>
        <w:autoSpaceDE w:val="0"/>
        <w:autoSpaceDN w:val="0"/>
        <w:adjustRightInd w:val="0"/>
        <w:spacing w:line="240" w:lineRule="auto"/>
        <w:jc w:val="both"/>
        <w:rPr>
          <w:rFonts w:eastAsia="Times New Roman" w:cs="Times New Roman"/>
          <w:color w:val="000000"/>
          <w:szCs w:val="24"/>
          <w:lang w:val="es-CR" w:eastAsia="es-CR"/>
        </w:rPr>
      </w:pPr>
    </w:p>
    <w:p w14:paraId="77ABC21B" w14:textId="77777777" w:rsidR="00DD6FA9" w:rsidRPr="00670282" w:rsidRDefault="00DD6FA9" w:rsidP="007B256C">
      <w:pPr>
        <w:autoSpaceDE w:val="0"/>
        <w:autoSpaceDN w:val="0"/>
        <w:adjustRightInd w:val="0"/>
        <w:spacing w:line="240" w:lineRule="auto"/>
        <w:ind w:left="851"/>
        <w:jc w:val="both"/>
        <w:rPr>
          <w:rFonts w:eastAsia="Times New Roman" w:cs="Times New Roman"/>
          <w:i/>
          <w:iCs/>
          <w:color w:val="000000"/>
          <w:szCs w:val="24"/>
          <w:lang w:val="es-CR" w:eastAsia="es-CR"/>
        </w:rPr>
      </w:pPr>
      <w:r w:rsidRPr="00670282">
        <w:rPr>
          <w:rFonts w:eastAsia="Times New Roman" w:cs="Times New Roman"/>
          <w:i/>
          <w:iCs/>
          <w:color w:val="000000"/>
          <w:szCs w:val="24"/>
          <w:lang w:val="es-CR" w:eastAsia="es-CR"/>
        </w:rPr>
        <w:t>“La siguiente proyección es una estimación realizada bajo supuestos que podrían variar a futuro, mejorando o desmejorando la pensión que el afiliado efectivamente obtendrá. Tiene, exclusivamente, fines informativos o ilustrativos, sin que, de ninguna forma, constituya la promesa o compromiso, a cargo de la operadora, de pagar el monto estimado de pensión resultante. El monto de la pensión que el afiliado obtendrá dependerá del saldo que el afiliado logre acumular, los rendimientos obtenidos y las comisiones de administración cobradas por la operadora.”</w:t>
      </w:r>
    </w:p>
    <w:p w14:paraId="13427DEC"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78E580CD" w14:textId="77777777" w:rsidR="00A04E73"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1307E6">
        <w:rPr>
          <w:rFonts w:eastAsia="Times New Roman" w:cs="Times New Roman"/>
          <w:b/>
          <w:bCs/>
          <w:color w:val="000000"/>
          <w:szCs w:val="24"/>
          <w:lang w:val="es-CR" w:eastAsia="es-CR"/>
        </w:rPr>
        <w:t>Sexto: Inclusión de información para la atención de los afiliados</w:t>
      </w:r>
    </w:p>
    <w:p w14:paraId="51B9C5CD" w14:textId="77777777" w:rsid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Los estados de cuenta</w:t>
      </w:r>
      <w:r w:rsidR="004C561B">
        <w:rPr>
          <w:rFonts w:eastAsia="Times New Roman" w:cs="Times New Roman"/>
          <w:color w:val="000000"/>
          <w:szCs w:val="24"/>
          <w:lang w:val="es-CR" w:eastAsia="es-CR"/>
        </w:rPr>
        <w:t>, el detalle de información adicional y las proyecciones</w:t>
      </w:r>
      <w:r w:rsidRPr="00A04E73">
        <w:rPr>
          <w:rFonts w:eastAsia="Times New Roman" w:cs="Times New Roman"/>
          <w:color w:val="000000"/>
          <w:szCs w:val="24"/>
          <w:lang w:val="es-CR" w:eastAsia="es-CR"/>
        </w:rPr>
        <w:t xml:space="preserve"> que se remit</w:t>
      </w:r>
      <w:r w:rsidR="009426FC">
        <w:rPr>
          <w:rFonts w:eastAsia="Times New Roman" w:cs="Times New Roman"/>
          <w:color w:val="000000"/>
          <w:szCs w:val="24"/>
          <w:lang w:val="es-CR" w:eastAsia="es-CR"/>
        </w:rPr>
        <w:t>a</w:t>
      </w:r>
      <w:r w:rsidRPr="00A04E73">
        <w:rPr>
          <w:rFonts w:eastAsia="Times New Roman" w:cs="Times New Roman"/>
          <w:color w:val="000000"/>
          <w:szCs w:val="24"/>
          <w:lang w:val="es-CR" w:eastAsia="es-CR"/>
        </w:rPr>
        <w:t>n a los afiliados deben incluir la información necesaria para contactar al personal especializado de la entidad que tenga la responsabilidad de atender las consultas relacionadas con la administración de los recursos de pensión y de capitalización laboral. Además, debe</w:t>
      </w:r>
      <w:r w:rsidR="004C561B">
        <w:rPr>
          <w:rFonts w:eastAsia="Times New Roman" w:cs="Times New Roman"/>
          <w:color w:val="000000"/>
          <w:szCs w:val="24"/>
          <w:lang w:val="es-CR" w:eastAsia="es-CR"/>
        </w:rPr>
        <w:t>rá</w:t>
      </w:r>
      <w:r w:rsidRPr="00A04E73">
        <w:rPr>
          <w:rFonts w:eastAsia="Times New Roman" w:cs="Times New Roman"/>
          <w:color w:val="000000"/>
          <w:szCs w:val="24"/>
          <w:lang w:val="es-CR" w:eastAsia="es-CR"/>
        </w:rPr>
        <w:t xml:space="preserve"> incluir la información de oficinas</w:t>
      </w:r>
      <w:r w:rsidR="004C561B">
        <w:rPr>
          <w:rFonts w:eastAsia="Times New Roman" w:cs="Times New Roman"/>
          <w:color w:val="000000"/>
          <w:szCs w:val="24"/>
          <w:lang w:val="es-CR" w:eastAsia="es-CR"/>
        </w:rPr>
        <w:t xml:space="preserve">, </w:t>
      </w:r>
      <w:r w:rsidRPr="00A04E73">
        <w:rPr>
          <w:rFonts w:eastAsia="Times New Roman" w:cs="Times New Roman"/>
          <w:color w:val="000000"/>
          <w:szCs w:val="24"/>
          <w:lang w:val="es-CR" w:eastAsia="es-CR"/>
        </w:rPr>
        <w:t>sucursales</w:t>
      </w:r>
      <w:r w:rsidR="004C561B">
        <w:rPr>
          <w:rFonts w:eastAsia="Times New Roman" w:cs="Times New Roman"/>
          <w:color w:val="000000"/>
          <w:szCs w:val="24"/>
          <w:lang w:val="es-CR" w:eastAsia="es-CR"/>
        </w:rPr>
        <w:t xml:space="preserve"> o medios electrónicos</w:t>
      </w:r>
      <w:r w:rsidRPr="00A04E73">
        <w:rPr>
          <w:rFonts w:eastAsia="Times New Roman" w:cs="Times New Roman"/>
          <w:color w:val="000000"/>
          <w:szCs w:val="24"/>
          <w:lang w:val="es-CR" w:eastAsia="es-CR"/>
        </w:rPr>
        <w:t xml:space="preserve"> en las que los afiliados pueden </w:t>
      </w:r>
      <w:r w:rsidR="004C561B">
        <w:rPr>
          <w:rFonts w:eastAsia="Times New Roman" w:cs="Times New Roman"/>
          <w:color w:val="000000"/>
          <w:szCs w:val="24"/>
          <w:lang w:val="es-CR" w:eastAsia="es-CR"/>
        </w:rPr>
        <w:t>presentar</w:t>
      </w:r>
      <w:r w:rsidRPr="00A04E73">
        <w:rPr>
          <w:rFonts w:eastAsia="Times New Roman" w:cs="Times New Roman"/>
          <w:color w:val="000000"/>
          <w:szCs w:val="24"/>
          <w:lang w:val="es-CR" w:eastAsia="es-CR"/>
        </w:rPr>
        <w:t xml:space="preserve"> sus dudas o consultas</w:t>
      </w:r>
      <w:r w:rsidR="009426FC">
        <w:rPr>
          <w:rFonts w:eastAsia="Times New Roman" w:cs="Times New Roman"/>
          <w:color w:val="000000"/>
          <w:szCs w:val="24"/>
          <w:lang w:val="es-CR" w:eastAsia="es-CR"/>
        </w:rPr>
        <w:t xml:space="preserve"> para que sean atendidas</w:t>
      </w:r>
      <w:r w:rsidR="001307E6">
        <w:rPr>
          <w:rFonts w:eastAsia="Times New Roman" w:cs="Times New Roman"/>
          <w:color w:val="000000"/>
          <w:szCs w:val="24"/>
          <w:lang w:val="es-CR" w:eastAsia="es-CR"/>
        </w:rPr>
        <w:t>. D</w:t>
      </w:r>
      <w:r w:rsidRPr="00A04E73">
        <w:rPr>
          <w:rFonts w:eastAsia="Times New Roman" w:cs="Times New Roman"/>
          <w:color w:val="000000"/>
          <w:szCs w:val="24"/>
          <w:lang w:val="es-CR" w:eastAsia="es-CR"/>
        </w:rPr>
        <w:t>icha información podrá incorporarse con un vínculo de referencia a la página web del ente autorizado.</w:t>
      </w:r>
    </w:p>
    <w:p w14:paraId="5EE6203D" w14:textId="77777777" w:rsidR="00AD7497" w:rsidRDefault="00AD7497" w:rsidP="00AD7497">
      <w:pPr>
        <w:autoSpaceDE w:val="0"/>
        <w:autoSpaceDN w:val="0"/>
        <w:adjustRightInd w:val="0"/>
        <w:spacing w:line="240" w:lineRule="auto"/>
        <w:jc w:val="both"/>
        <w:rPr>
          <w:rFonts w:eastAsia="Times New Roman" w:cs="Times New Roman"/>
          <w:color w:val="000000"/>
          <w:szCs w:val="24"/>
          <w:lang w:val="es-CR" w:eastAsia="es-CR"/>
        </w:rPr>
      </w:pPr>
    </w:p>
    <w:p w14:paraId="3D6FAB0A" w14:textId="063B27D9" w:rsidR="00AD7497" w:rsidRDefault="00AD7497" w:rsidP="00AD7497">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Se deja sin efecto el acápite “</w:t>
      </w:r>
      <w:r w:rsidRPr="00AD7497">
        <w:rPr>
          <w:rFonts w:eastAsia="Times New Roman" w:cs="Times New Roman"/>
          <w:i/>
          <w:iCs/>
          <w:color w:val="000000"/>
          <w:szCs w:val="24"/>
          <w:lang w:val="es-CR" w:eastAsia="es-CR"/>
        </w:rPr>
        <w:t xml:space="preserve">II. Disposiciones sobre los estados de cuenta de los afiliados y pensionados” </w:t>
      </w:r>
      <w:r>
        <w:rPr>
          <w:rFonts w:eastAsia="Times New Roman" w:cs="Times New Roman"/>
          <w:color w:val="000000"/>
          <w:szCs w:val="24"/>
          <w:lang w:val="es-CR" w:eastAsia="es-CR"/>
        </w:rPr>
        <w:t xml:space="preserve">del Acuerdo </w:t>
      </w:r>
      <w:r w:rsidRPr="00AD7497">
        <w:rPr>
          <w:rFonts w:eastAsia="Times New Roman" w:cs="Times New Roman"/>
          <w:color w:val="000000"/>
          <w:szCs w:val="24"/>
          <w:lang w:val="es-CR" w:eastAsia="es-CR"/>
        </w:rPr>
        <w:t>SP-A-191-2017</w:t>
      </w:r>
      <w:r>
        <w:rPr>
          <w:rFonts w:eastAsia="Times New Roman" w:cs="Times New Roman"/>
          <w:color w:val="000000"/>
          <w:szCs w:val="24"/>
          <w:lang w:val="es-CR" w:eastAsia="es-CR"/>
        </w:rPr>
        <w:t xml:space="preserve">de </w:t>
      </w:r>
      <w:r w:rsidRPr="00AD7497">
        <w:rPr>
          <w:rFonts w:eastAsia="Times New Roman" w:cs="Times New Roman"/>
          <w:color w:val="000000"/>
          <w:szCs w:val="24"/>
          <w:lang w:val="es-CR" w:eastAsia="es-CR"/>
        </w:rPr>
        <w:t>las quince horas del siete de diciembre del dos mil diecisiete</w:t>
      </w:r>
      <w:r>
        <w:rPr>
          <w:rFonts w:eastAsia="Times New Roman" w:cs="Times New Roman"/>
          <w:color w:val="000000"/>
          <w:szCs w:val="24"/>
          <w:lang w:val="es-CR" w:eastAsia="es-CR"/>
        </w:rPr>
        <w:t xml:space="preserve">, </w:t>
      </w:r>
      <w:r w:rsidRPr="003669C5">
        <w:rPr>
          <w:rFonts w:eastAsia="Times New Roman" w:cs="Times New Roman"/>
          <w:color w:val="000000"/>
          <w:szCs w:val="24"/>
          <w:lang w:val="es-CR" w:eastAsia="es-CR"/>
        </w:rPr>
        <w:t>artículos del 4 al 8, inclusive.</w:t>
      </w:r>
    </w:p>
    <w:p w14:paraId="310F8B48" w14:textId="77777777" w:rsidR="00B86D58" w:rsidRDefault="00B86D58" w:rsidP="00B86D58">
      <w:pPr>
        <w:pStyle w:val="Prrafodelista"/>
        <w:autoSpaceDE w:val="0"/>
        <w:autoSpaceDN w:val="0"/>
        <w:adjustRightInd w:val="0"/>
        <w:spacing w:line="240" w:lineRule="auto"/>
        <w:ind w:left="1080"/>
        <w:jc w:val="both"/>
        <w:rPr>
          <w:rFonts w:eastAsia="Times New Roman" w:cs="Times New Roman"/>
          <w:color w:val="000000"/>
          <w:szCs w:val="24"/>
          <w:lang w:val="es-CR" w:eastAsia="es-CR"/>
        </w:rPr>
      </w:pPr>
    </w:p>
    <w:p w14:paraId="6404194B" w14:textId="4D336260" w:rsidR="00B86D58" w:rsidRDefault="00B86D58" w:rsidP="00AD7497">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sidRPr="00B86D58">
        <w:rPr>
          <w:rFonts w:eastAsia="Times New Roman" w:cs="Times New Roman"/>
          <w:color w:val="000000"/>
          <w:szCs w:val="24"/>
          <w:lang w:val="es-CR" w:eastAsia="es-CR"/>
        </w:rPr>
        <w:t>III. Requisitos que debe cumplir la información en general que remitan las entidades reguladas a los afiliados y pensionados</w:t>
      </w:r>
      <w:r w:rsidR="00560132">
        <w:rPr>
          <w:rFonts w:eastAsia="Times New Roman" w:cs="Times New Roman"/>
          <w:color w:val="000000"/>
          <w:szCs w:val="24"/>
          <w:lang w:val="es-CR" w:eastAsia="es-CR"/>
        </w:rPr>
        <w:t>.</w:t>
      </w:r>
      <w:r w:rsidR="0011030F">
        <w:rPr>
          <w:rStyle w:val="Refdenotaalpie"/>
          <w:rFonts w:eastAsia="Times New Roman" w:cs="Times New Roman"/>
          <w:color w:val="000000"/>
          <w:szCs w:val="24"/>
          <w:lang w:val="es-CR" w:eastAsia="es-CR"/>
        </w:rPr>
        <w:footnoteReference w:id="3"/>
      </w:r>
    </w:p>
    <w:p w14:paraId="781DA97A" w14:textId="77777777" w:rsidR="00560132" w:rsidRPr="00560132" w:rsidRDefault="00560132" w:rsidP="00560132">
      <w:pPr>
        <w:pStyle w:val="Prrafodelista"/>
        <w:rPr>
          <w:rFonts w:eastAsia="Times New Roman" w:cs="Times New Roman"/>
          <w:color w:val="000000"/>
          <w:szCs w:val="24"/>
          <w:lang w:val="es-CR" w:eastAsia="es-CR"/>
        </w:rPr>
      </w:pPr>
    </w:p>
    <w:p w14:paraId="7AE916EC" w14:textId="6D82414E" w:rsidR="00560132" w:rsidRPr="00560132" w:rsidRDefault="00560132" w:rsidP="00560132">
      <w:pPr>
        <w:autoSpaceDE w:val="0"/>
        <w:autoSpaceDN w:val="0"/>
        <w:adjustRightInd w:val="0"/>
        <w:spacing w:line="240" w:lineRule="auto"/>
        <w:jc w:val="both"/>
        <w:rPr>
          <w:rFonts w:eastAsia="Times New Roman" w:cs="Times New Roman"/>
          <w:b/>
          <w:bCs/>
          <w:color w:val="000000"/>
          <w:szCs w:val="24"/>
          <w:lang w:val="es-CR" w:eastAsia="es-CR"/>
        </w:rPr>
      </w:pPr>
      <w:r w:rsidRPr="00560132">
        <w:rPr>
          <w:rFonts w:eastAsia="Times New Roman" w:cs="Times New Roman"/>
          <w:b/>
          <w:bCs/>
          <w:color w:val="000000"/>
          <w:szCs w:val="24"/>
          <w:lang w:val="es-CR" w:eastAsia="es-CR"/>
        </w:rPr>
        <w:t>Sétimo: Requisitos que debe cumplir la información en general que remitan las entidades reguladas a los afiliados y pensionados</w:t>
      </w:r>
    </w:p>
    <w:p w14:paraId="03A8B2BF" w14:textId="77777777" w:rsidR="00560132" w:rsidRDefault="00560132" w:rsidP="00560132">
      <w:pPr>
        <w:autoSpaceDE w:val="0"/>
        <w:autoSpaceDN w:val="0"/>
        <w:adjustRightInd w:val="0"/>
        <w:spacing w:line="240" w:lineRule="auto"/>
        <w:jc w:val="both"/>
        <w:rPr>
          <w:rFonts w:eastAsia="Times New Roman" w:cs="Times New Roman"/>
          <w:color w:val="000000"/>
          <w:szCs w:val="24"/>
          <w:lang w:val="es-CR" w:eastAsia="es-CR"/>
        </w:rPr>
      </w:pPr>
    </w:p>
    <w:p w14:paraId="7EBBA1F0" w14:textId="2827465B" w:rsidR="00E62886" w:rsidRDefault="001345A4" w:rsidP="00560132">
      <w:pPr>
        <w:autoSpaceDE w:val="0"/>
        <w:autoSpaceDN w:val="0"/>
        <w:adjustRightInd w:val="0"/>
        <w:spacing w:line="240" w:lineRule="auto"/>
        <w:jc w:val="both"/>
        <w:rPr>
          <w:rFonts w:eastAsia="Times New Roman" w:cs="Times New Roman"/>
          <w:color w:val="000000"/>
          <w:szCs w:val="24"/>
          <w:lang w:val="es-CR" w:eastAsia="es-CR"/>
        </w:rPr>
      </w:pPr>
      <w:r w:rsidRPr="001345A4">
        <w:rPr>
          <w:rFonts w:eastAsia="Times New Roman" w:cs="Times New Roman"/>
          <w:color w:val="000000"/>
          <w:szCs w:val="24"/>
          <w:lang w:val="es-CR" w:eastAsia="es-CR"/>
        </w:rPr>
        <w:t>Toda información que se remita a los afiliados o pensionados por parte de las entidades reguladas deberá ser expresada en forma clara, sencilla y de fácil comprensión, procurándose el uso de infografía.</w:t>
      </w:r>
    </w:p>
    <w:p w14:paraId="0E51515D" w14:textId="77777777" w:rsidR="00E62886" w:rsidRPr="00560132" w:rsidRDefault="00E62886" w:rsidP="00560132">
      <w:pPr>
        <w:autoSpaceDE w:val="0"/>
        <w:autoSpaceDN w:val="0"/>
        <w:adjustRightInd w:val="0"/>
        <w:spacing w:line="240" w:lineRule="auto"/>
        <w:jc w:val="both"/>
        <w:rPr>
          <w:rFonts w:eastAsia="Times New Roman" w:cs="Times New Roman"/>
          <w:color w:val="000000"/>
          <w:szCs w:val="24"/>
          <w:lang w:val="es-CR" w:eastAsia="es-CR"/>
        </w:rPr>
      </w:pPr>
    </w:p>
    <w:p w14:paraId="26745719" w14:textId="77777777" w:rsidR="00C368A1" w:rsidRPr="00AD7497" w:rsidRDefault="00C368A1" w:rsidP="00C368A1">
      <w:pPr>
        <w:pStyle w:val="Prrafodelista"/>
        <w:autoSpaceDE w:val="0"/>
        <w:autoSpaceDN w:val="0"/>
        <w:adjustRightInd w:val="0"/>
        <w:spacing w:line="240" w:lineRule="auto"/>
        <w:ind w:left="1080"/>
        <w:jc w:val="both"/>
        <w:rPr>
          <w:rFonts w:eastAsia="Times New Roman" w:cs="Times New Roman"/>
          <w:color w:val="000000"/>
          <w:szCs w:val="24"/>
          <w:lang w:val="es-CR" w:eastAsia="es-CR"/>
        </w:rPr>
      </w:pPr>
    </w:p>
    <w:p w14:paraId="4FF993D9" w14:textId="73F2189C" w:rsidR="001307E6" w:rsidRPr="00F6463B" w:rsidRDefault="00C368A1" w:rsidP="229E2BF5">
      <w:pPr>
        <w:autoSpaceDE w:val="0"/>
        <w:autoSpaceDN w:val="0"/>
        <w:adjustRightInd w:val="0"/>
        <w:spacing w:line="240" w:lineRule="auto"/>
        <w:jc w:val="both"/>
        <w:rPr>
          <w:rFonts w:eastAsia="Times New Roman" w:cs="Times New Roman"/>
          <w:lang w:val="es-CR" w:eastAsia="es-CR"/>
        </w:rPr>
      </w:pPr>
      <w:r w:rsidRPr="00F6463B">
        <w:rPr>
          <w:rFonts w:eastAsia="Times New Roman" w:cs="Times New Roman"/>
          <w:lang w:val="es-CR" w:eastAsia="es-CR"/>
        </w:rPr>
        <w:t>Rige para los estados de cuenta del segundo semestre del 2021 y sucesivos.</w:t>
      </w:r>
    </w:p>
    <w:p w14:paraId="28DA2E19" w14:textId="77777777" w:rsidR="003C5EFA" w:rsidRDefault="003C5EFA" w:rsidP="00224C8D">
      <w:pPr>
        <w:spacing w:line="240" w:lineRule="auto"/>
        <w:jc w:val="both"/>
      </w:pPr>
    </w:p>
    <w:p w14:paraId="1152A3A0" w14:textId="4D3C48F3" w:rsidR="00DB1A25" w:rsidRDefault="00DB1A25" w:rsidP="00224C8D">
      <w:pPr>
        <w:spacing w:line="240" w:lineRule="auto"/>
        <w:jc w:val="both"/>
      </w:pPr>
      <w:r w:rsidRPr="00DA7622">
        <w:t>Comuníquese.</w:t>
      </w:r>
    </w:p>
    <w:p w14:paraId="1CC7800D" w14:textId="77777777" w:rsidR="00224C8D" w:rsidRPr="00DA7622" w:rsidRDefault="00224C8D" w:rsidP="00224C8D">
      <w:pPr>
        <w:spacing w:line="240" w:lineRule="auto"/>
        <w:jc w:val="both"/>
      </w:pPr>
    </w:p>
    <w:p w14:paraId="2A5BE307" w14:textId="77777777" w:rsidR="00DB1A25" w:rsidRPr="006873F5" w:rsidRDefault="00DB1A25" w:rsidP="00DB1A25">
      <w:pPr>
        <w:spacing w:line="276" w:lineRule="auto"/>
        <w:rPr>
          <w:rFonts w:eastAsia="Calibri"/>
        </w:rPr>
      </w:pPr>
      <w:r w:rsidRPr="006873F5">
        <w:rPr>
          <w:rFonts w:eastAsia="Calibri"/>
          <w:noProof/>
          <w:lang w:eastAsia="es-CR"/>
        </w:rPr>
        <w:drawing>
          <wp:inline distT="0" distB="0" distL="0" distR="0" wp14:anchorId="010E549A" wp14:editId="1DD04AAD">
            <wp:extent cx="1244600" cy="48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22215C56" w14:textId="77777777" w:rsidR="00DB1A25" w:rsidRDefault="00DB1A25" w:rsidP="00DB1A25">
      <w:pPr>
        <w:tabs>
          <w:tab w:val="center" w:pos="4252"/>
          <w:tab w:val="right" w:pos="8504"/>
        </w:tabs>
        <w:spacing w:line="240" w:lineRule="auto"/>
        <w:rPr>
          <w:rFonts w:eastAsia="Calibri"/>
        </w:rPr>
      </w:pPr>
      <w:r w:rsidRPr="00652CAD">
        <w:rPr>
          <w:rFonts w:eastAsia="Calibri"/>
        </w:rPr>
        <w:t>Rocío Aguilar M.</w:t>
      </w:r>
    </w:p>
    <w:p w14:paraId="74E00C15" w14:textId="77777777" w:rsidR="00DB1A25" w:rsidRPr="009B2AF4" w:rsidRDefault="00DB1A25" w:rsidP="00DB1A25">
      <w:pPr>
        <w:tabs>
          <w:tab w:val="center" w:pos="4252"/>
          <w:tab w:val="right" w:pos="8504"/>
        </w:tabs>
        <w:spacing w:line="240" w:lineRule="auto"/>
        <w:rPr>
          <w:rFonts w:eastAsia="Calibri"/>
        </w:rPr>
      </w:pPr>
      <w:r w:rsidRPr="00276186">
        <w:rPr>
          <w:rFonts w:eastAsia="Calibri"/>
        </w:rPr>
        <w:t>Superintendente de Pensiones</w:t>
      </w:r>
    </w:p>
    <w:p w14:paraId="73623BBF" w14:textId="60787A03" w:rsidR="00DB1A25" w:rsidRDefault="00DB1A25" w:rsidP="00DB1A25">
      <w:pPr>
        <w:spacing w:line="240" w:lineRule="auto"/>
        <w:rPr>
          <w:rFonts w:eastAsia="Calibri"/>
        </w:rPr>
      </w:pPr>
    </w:p>
    <w:p w14:paraId="08EDA9FC" w14:textId="77777777" w:rsidR="003C5EFA" w:rsidRDefault="003C5EFA" w:rsidP="00DB1A25">
      <w:pPr>
        <w:spacing w:line="240" w:lineRule="auto"/>
        <w:rPr>
          <w:rFonts w:eastAsia="Calibri"/>
        </w:rPr>
      </w:pPr>
    </w:p>
    <w:p w14:paraId="1A9B126A" w14:textId="77777777" w:rsidR="00DB1A25" w:rsidRPr="006873F5" w:rsidRDefault="00DB1A25" w:rsidP="00DB1A25">
      <w:pPr>
        <w:spacing w:line="240" w:lineRule="auto"/>
        <w:rPr>
          <w:rFonts w:eastAsia="Calibri"/>
        </w:rPr>
      </w:pPr>
      <w:r>
        <w:rPr>
          <w:rFonts w:eastAsia="Calibri"/>
        </w:rPr>
        <w:t>Aprobado: PRF</w:t>
      </w:r>
    </w:p>
    <w:p w14:paraId="33E232BB" w14:textId="77777777" w:rsidR="00DB1A25" w:rsidRPr="003669C5" w:rsidRDefault="00DB1A25" w:rsidP="229E2BF5">
      <w:pPr>
        <w:autoSpaceDE w:val="0"/>
        <w:autoSpaceDN w:val="0"/>
        <w:adjustRightInd w:val="0"/>
        <w:spacing w:line="240" w:lineRule="auto"/>
        <w:jc w:val="both"/>
        <w:rPr>
          <w:rFonts w:eastAsia="Times New Roman" w:cs="Times New Roman"/>
          <w:color w:val="000000" w:themeColor="text1"/>
          <w:lang w:val="es-CR" w:eastAsia="es-CR"/>
        </w:rPr>
      </w:pPr>
    </w:p>
    <w:sectPr w:rsidR="00DB1A25" w:rsidRPr="003669C5"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1FBA" w14:textId="77777777" w:rsidR="00A90FBD" w:rsidRDefault="00A90FBD" w:rsidP="00011FAB">
      <w:pPr>
        <w:spacing w:line="240" w:lineRule="auto"/>
      </w:pPr>
      <w:r>
        <w:separator/>
      </w:r>
    </w:p>
  </w:endnote>
  <w:endnote w:type="continuationSeparator" w:id="0">
    <w:p w14:paraId="75219C9B" w14:textId="77777777" w:rsidR="00A90FBD" w:rsidRDefault="00A90FBD" w:rsidP="00011FAB">
      <w:pPr>
        <w:spacing w:line="240" w:lineRule="auto"/>
      </w:pPr>
      <w:r>
        <w:continuationSeparator/>
      </w:r>
    </w:p>
  </w:endnote>
  <w:endnote w:type="continuationNotice" w:id="1">
    <w:p w14:paraId="0344239D" w14:textId="77777777" w:rsidR="00A90FBD" w:rsidRDefault="00A90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DC5" w14:textId="37C1F47B" w:rsidR="00C4662C" w:rsidRDefault="005166AA">
    <w:pPr>
      <w:pStyle w:val="Piedepgina"/>
    </w:pPr>
    <w:r>
      <w:rPr>
        <w:noProof/>
      </w:rPr>
      <mc:AlternateContent>
        <mc:Choice Requires="wps">
          <w:drawing>
            <wp:anchor distT="0" distB="0" distL="0" distR="0" simplePos="0" relativeHeight="251660291" behindDoc="0" locked="0" layoutInCell="1" allowOverlap="1" wp14:anchorId="26CCE82E" wp14:editId="6426B31D">
              <wp:simplePos x="635" y="635"/>
              <wp:positionH relativeFrom="page">
                <wp:align>center</wp:align>
              </wp:positionH>
              <wp:positionV relativeFrom="page">
                <wp:align>bottom</wp:align>
              </wp:positionV>
              <wp:extent cx="443865" cy="443865"/>
              <wp:effectExtent l="0" t="0" r="0" b="0"/>
              <wp:wrapNone/>
              <wp:docPr id="4"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E5E75" w14:textId="241A86B2"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CE82E" id="_x0000_t202" coordsize="21600,21600" o:spt="202" path="m,l,21600r21600,l21600,xe">
              <v:stroke joinstyle="miter"/>
              <v:path gradientshapeok="t" o:connecttype="rect"/>
            </v:shapetype>
            <v:shape id="Cuadro de texto 4" o:spid="_x0000_s1026" type="#_x0000_t202" alt="Uso Interno" style="position:absolute;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1E5E75" w14:textId="241A86B2"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09E3" w14:textId="41555245" w:rsidR="006F6340" w:rsidRDefault="005166A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61315" behindDoc="0" locked="0" layoutInCell="1" allowOverlap="1" wp14:anchorId="0141ED93" wp14:editId="3308E941">
              <wp:simplePos x="1080770" y="9239885"/>
              <wp:positionH relativeFrom="page">
                <wp:align>center</wp:align>
              </wp:positionH>
              <wp:positionV relativeFrom="page">
                <wp:align>bottom</wp:align>
              </wp:positionV>
              <wp:extent cx="443865" cy="443865"/>
              <wp:effectExtent l="0" t="0" r="0" b="0"/>
              <wp:wrapNone/>
              <wp:docPr id="8" name="Cuadro de texto 8"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4A981" w14:textId="2A078AA3"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1ED93" id="_x0000_t202" coordsize="21600,21600" o:spt="202" path="m,l,21600r21600,l21600,xe">
              <v:stroke joinstyle="miter"/>
              <v:path gradientshapeok="t" o:connecttype="rect"/>
            </v:shapetype>
            <v:shape id="Cuadro de texto 8" o:spid="_x0000_s1027" type="#_x0000_t202" alt="Uso Interno" style="position:absolute;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AA4A981" w14:textId="2A078AA3"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p w14:paraId="2A5B2B3F" w14:textId="3836572D" w:rsidR="006F6340" w:rsidRPr="00BE078A" w:rsidRDefault="006F6340"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05F" w14:textId="15579825" w:rsidR="006F6340" w:rsidRDefault="005166A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9267" behindDoc="0" locked="0" layoutInCell="1" allowOverlap="1" wp14:anchorId="5C748C58" wp14:editId="652F760F">
              <wp:simplePos x="1076325" y="923925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DC041" w14:textId="39D56D08"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48C58" id="_x0000_t202" coordsize="21600,21600" o:spt="202" path="m,l,21600r21600,l21600,xe">
              <v:stroke joinstyle="miter"/>
              <v:path gradientshapeok="t" o:connecttype="rect"/>
            </v:shapetype>
            <v:shape id="Cuadro de texto 3" o:spid="_x0000_s1028" type="#_x0000_t202" alt="Uso Interno" style="position:absolute;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4DC041" w14:textId="39D56D08"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p w14:paraId="51894B2E" w14:textId="77777777" w:rsidR="006F6340" w:rsidRPr="00BE078A" w:rsidRDefault="006F6340"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8C46" w14:textId="77777777" w:rsidR="00A90FBD" w:rsidRDefault="00A90FBD" w:rsidP="00011FAB">
      <w:pPr>
        <w:spacing w:line="240" w:lineRule="auto"/>
      </w:pPr>
      <w:r>
        <w:separator/>
      </w:r>
    </w:p>
  </w:footnote>
  <w:footnote w:type="continuationSeparator" w:id="0">
    <w:p w14:paraId="4587E4AC" w14:textId="77777777" w:rsidR="00A90FBD" w:rsidRDefault="00A90FBD" w:rsidP="00011FAB">
      <w:pPr>
        <w:spacing w:line="240" w:lineRule="auto"/>
      </w:pPr>
      <w:r>
        <w:continuationSeparator/>
      </w:r>
    </w:p>
  </w:footnote>
  <w:footnote w:type="continuationNotice" w:id="1">
    <w:p w14:paraId="3C267778" w14:textId="77777777" w:rsidR="00A90FBD" w:rsidRDefault="00A90FBD">
      <w:pPr>
        <w:spacing w:line="240" w:lineRule="auto"/>
      </w:pPr>
    </w:p>
  </w:footnote>
  <w:footnote w:id="2">
    <w:p w14:paraId="7895CD75" w14:textId="0A8B1BF1" w:rsidR="00E83918" w:rsidRPr="00E83918" w:rsidRDefault="00E83918">
      <w:pPr>
        <w:pStyle w:val="Textonotapie"/>
        <w:rPr>
          <w:lang w:val="es-CR"/>
        </w:rPr>
      </w:pPr>
      <w:r>
        <w:rPr>
          <w:rStyle w:val="Refdenotaalpie"/>
        </w:rPr>
        <w:footnoteRef/>
      </w:r>
      <w:r>
        <w:t xml:space="preserve"> </w:t>
      </w:r>
      <w:r>
        <w:rPr>
          <w:lang w:val="es-CR"/>
        </w:rPr>
        <w:t>Reformado mediante acuerdo</w:t>
      </w:r>
      <w:r w:rsidR="00105656">
        <w:rPr>
          <w:lang w:val="es-CR"/>
        </w:rPr>
        <w:t xml:space="preserve"> </w:t>
      </w:r>
      <w:r w:rsidR="00105656" w:rsidRPr="00105656">
        <w:rPr>
          <w:lang w:val="es-CR"/>
        </w:rPr>
        <w:t>SP-A-270-2024</w:t>
      </w:r>
      <w:r w:rsidR="00105656">
        <w:rPr>
          <w:lang w:val="es-CR"/>
        </w:rPr>
        <w:t xml:space="preserve"> de las </w:t>
      </w:r>
      <w:r w:rsidR="00910416" w:rsidRPr="00910416">
        <w:rPr>
          <w:lang w:val="es-CR"/>
        </w:rPr>
        <w:t>once horas del día 25 de junio 2024</w:t>
      </w:r>
      <w:r w:rsidR="0011030F">
        <w:rPr>
          <w:lang w:val="es-CR"/>
        </w:rPr>
        <w:t>.</w:t>
      </w:r>
    </w:p>
  </w:footnote>
  <w:footnote w:id="3">
    <w:p w14:paraId="05E8AA6D" w14:textId="405481BF" w:rsidR="0011030F" w:rsidRPr="00E83918" w:rsidRDefault="0011030F" w:rsidP="0011030F">
      <w:pPr>
        <w:pStyle w:val="Textonotapie"/>
        <w:rPr>
          <w:lang w:val="es-CR"/>
        </w:rPr>
      </w:pPr>
      <w:r>
        <w:rPr>
          <w:rStyle w:val="Refdenotaalpie"/>
        </w:rPr>
        <w:footnoteRef/>
      </w:r>
      <w:r>
        <w:t xml:space="preserve"> </w:t>
      </w:r>
      <w:r>
        <w:rPr>
          <w:lang w:val="es-CR"/>
        </w:rPr>
        <w:t>Adicionado</w:t>
      </w:r>
      <w:r>
        <w:rPr>
          <w:lang w:val="es-CR"/>
        </w:rPr>
        <w:t xml:space="preserve"> mediante acuerdo </w:t>
      </w:r>
      <w:r w:rsidRPr="00105656">
        <w:rPr>
          <w:lang w:val="es-CR"/>
        </w:rPr>
        <w:t>SP-A-270-2024</w:t>
      </w:r>
      <w:r>
        <w:rPr>
          <w:lang w:val="es-CR"/>
        </w:rPr>
        <w:t xml:space="preserve"> de las </w:t>
      </w:r>
      <w:r w:rsidRPr="00910416">
        <w:rPr>
          <w:lang w:val="es-CR"/>
        </w:rPr>
        <w:t>once horas del día 25 de junio 2024</w:t>
      </w:r>
      <w:r>
        <w:rPr>
          <w:lang w:val="es-CR"/>
        </w:rPr>
        <w:t>.</w:t>
      </w:r>
    </w:p>
    <w:p w14:paraId="4751E6E6" w14:textId="49DEC767" w:rsidR="0011030F" w:rsidRPr="0011030F" w:rsidRDefault="0011030F">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5F17" w14:textId="77777777" w:rsidR="00C4662C" w:rsidRDefault="00C466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60BA" w14:textId="2514E2D2" w:rsidR="006F6340" w:rsidRDefault="003C5EFA" w:rsidP="00D766AB">
    <w:pPr>
      <w:pStyle w:val="Encabezado"/>
    </w:pPr>
    <w:r>
      <w:rPr>
        <w:noProof/>
        <w:lang w:val="es-CR" w:eastAsia="es-CR"/>
      </w:rPr>
      <w:drawing>
        <wp:anchor distT="0" distB="0" distL="114300" distR="114300" simplePos="0" relativeHeight="251658240" behindDoc="0" locked="0" layoutInCell="1" allowOverlap="1" wp14:anchorId="07860652" wp14:editId="768C85CD">
          <wp:simplePos x="0" y="0"/>
          <wp:positionH relativeFrom="margin">
            <wp:posOffset>4740635</wp:posOffset>
          </wp:positionH>
          <wp:positionV relativeFrom="paragraph">
            <wp:posOffset>-265334</wp:posOffset>
          </wp:positionV>
          <wp:extent cx="905716" cy="812042"/>
          <wp:effectExtent l="0" t="0" r="889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31" cy="813580"/>
                  </a:xfrm>
                  <a:prstGeom prst="rect">
                    <a:avLst/>
                  </a:prstGeom>
                  <a:noFill/>
                </pic:spPr>
              </pic:pic>
            </a:graphicData>
          </a:graphic>
          <wp14:sizeRelH relativeFrom="margin">
            <wp14:pctWidth>0</wp14:pctWidth>
          </wp14:sizeRelH>
          <wp14:sizeRelV relativeFrom="margin">
            <wp14:pctHeight>0</wp14:pctHeight>
          </wp14:sizeRelV>
        </wp:anchor>
      </w:drawing>
    </w:r>
    <w:r w:rsidR="006F6340">
      <w:rPr>
        <w:noProof/>
        <w:lang w:val="es-CR" w:eastAsia="es-CR"/>
      </w:rPr>
      <w:drawing>
        <wp:anchor distT="0" distB="0" distL="114300" distR="114300" simplePos="0" relativeHeight="251658242" behindDoc="1" locked="0" layoutInCell="1" allowOverlap="1" wp14:anchorId="395EB3BA" wp14:editId="7C38B8CB">
          <wp:simplePos x="0" y="0"/>
          <wp:positionH relativeFrom="page">
            <wp:posOffset>812043</wp:posOffset>
          </wp:positionH>
          <wp:positionV relativeFrom="page">
            <wp:posOffset>184246</wp:posOffset>
          </wp:positionV>
          <wp:extent cx="1821976" cy="84288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5805" cy="844651"/>
                  </a:xfrm>
                  <a:prstGeom prst="rect">
                    <a:avLst/>
                  </a:prstGeom>
                  <a:noFill/>
                </pic:spPr>
              </pic:pic>
            </a:graphicData>
          </a:graphic>
          <wp14:sizeRelH relativeFrom="margin">
            <wp14:pctWidth>0</wp14:pctWidth>
          </wp14:sizeRelH>
          <wp14:sizeRelV relativeFrom="margin">
            <wp14:pctHeight>0</wp14:pctHeight>
          </wp14:sizeRelV>
        </wp:anchor>
      </w:drawing>
    </w:r>
    <w:r w:rsidR="006F6340">
      <w:tab/>
    </w:r>
    <w:r w:rsidR="006F6340">
      <w:tab/>
    </w:r>
  </w:p>
  <w:p w14:paraId="622C35B8" w14:textId="48D4E61A" w:rsidR="006F6340" w:rsidRPr="00092B79" w:rsidRDefault="006F6340"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11030F">
      <w:rPr>
        <w:b/>
        <w:i/>
        <w:noProof/>
        <w:szCs w:val="24"/>
      </w:rPr>
      <w:t>SP-A-243-2021</w:t>
    </w:r>
    <w:r w:rsidRPr="00092B79">
      <w:rPr>
        <w:b/>
        <w:i/>
        <w:noProof/>
        <w:szCs w:val="24"/>
      </w:rPr>
      <w:fldChar w:fldCharType="end"/>
    </w:r>
  </w:p>
  <w:p w14:paraId="5515AC2F" w14:textId="77777777" w:rsidR="006F6340" w:rsidRDefault="006F6340"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3B7B66D5" w14:textId="77777777" w:rsidR="006F6340" w:rsidRPr="00DC38D9" w:rsidRDefault="006F6340"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B386" w14:textId="1077A972" w:rsidR="006F6340" w:rsidRDefault="003C5EFA" w:rsidP="00310D45">
    <w:pPr>
      <w:pStyle w:val="Encabezado"/>
    </w:pPr>
    <w:r>
      <w:rPr>
        <w:noProof/>
        <w:lang w:val="es-CR" w:eastAsia="es-CR"/>
      </w:rPr>
      <w:drawing>
        <wp:anchor distT="0" distB="0" distL="114300" distR="114300" simplePos="0" relativeHeight="251658241" behindDoc="0" locked="0" layoutInCell="1" allowOverlap="1" wp14:anchorId="29A86912" wp14:editId="0B1AA130">
          <wp:simplePos x="0" y="0"/>
          <wp:positionH relativeFrom="margin">
            <wp:posOffset>4733812</wp:posOffset>
          </wp:positionH>
          <wp:positionV relativeFrom="paragraph">
            <wp:posOffset>-265335</wp:posOffset>
          </wp:positionV>
          <wp:extent cx="791550" cy="709683"/>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36" cy="714512"/>
                  </a:xfrm>
                  <a:prstGeom prst="rect">
                    <a:avLst/>
                  </a:prstGeom>
                  <a:noFill/>
                </pic:spPr>
              </pic:pic>
            </a:graphicData>
          </a:graphic>
          <wp14:sizeRelH relativeFrom="margin">
            <wp14:pctWidth>0</wp14:pctWidth>
          </wp14:sizeRelH>
          <wp14:sizeRelV relativeFrom="margin">
            <wp14:pctHeight>0</wp14:pctHeight>
          </wp14:sizeRelV>
        </wp:anchor>
      </w:drawing>
    </w:r>
    <w:r w:rsidR="006F6340">
      <w:rPr>
        <w:noProof/>
        <w:lang w:val="es-CR" w:eastAsia="es-CR"/>
      </w:rPr>
      <w:drawing>
        <wp:anchor distT="0" distB="0" distL="114300" distR="114300" simplePos="0" relativeHeight="251658243" behindDoc="1" locked="0" layoutInCell="1" allowOverlap="1" wp14:anchorId="7BFD3CE9" wp14:editId="3C2BDCFB">
          <wp:simplePos x="0" y="0"/>
          <wp:positionH relativeFrom="page">
            <wp:posOffset>812042</wp:posOffset>
          </wp:positionH>
          <wp:positionV relativeFrom="page">
            <wp:posOffset>184246</wp:posOffset>
          </wp:positionV>
          <wp:extent cx="1746913" cy="808154"/>
          <wp:effectExtent l="0" t="0" r="571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031" cy="812372"/>
                  </a:xfrm>
                  <a:prstGeom prst="rect">
                    <a:avLst/>
                  </a:prstGeom>
                  <a:noFill/>
                </pic:spPr>
              </pic:pic>
            </a:graphicData>
          </a:graphic>
          <wp14:sizeRelH relativeFrom="margin">
            <wp14:pctWidth>0</wp14:pctWidth>
          </wp14:sizeRelH>
          <wp14:sizeRelV relativeFrom="margin">
            <wp14:pctHeight>0</wp14:pctHeight>
          </wp14:sizeRelV>
        </wp:anchor>
      </w:drawing>
    </w:r>
    <w:r w:rsidR="006F6340">
      <w:tab/>
    </w:r>
    <w:r w:rsidR="006F6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67D"/>
    <w:multiLevelType w:val="hybridMultilevel"/>
    <w:tmpl w:val="DBC0DE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88704FD"/>
    <w:multiLevelType w:val="hybridMultilevel"/>
    <w:tmpl w:val="343654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0BE2C3D"/>
    <w:multiLevelType w:val="hybridMultilevel"/>
    <w:tmpl w:val="E056BD9E"/>
    <w:lvl w:ilvl="0" w:tplc="4EF211F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8DA47EB"/>
    <w:multiLevelType w:val="hybridMultilevel"/>
    <w:tmpl w:val="343654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54803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778629">
    <w:abstractNumId w:val="2"/>
  </w:num>
  <w:num w:numId="3" w16cid:durableId="825515421">
    <w:abstractNumId w:val="0"/>
  </w:num>
  <w:num w:numId="4" w16cid:durableId="560676909">
    <w:abstractNumId w:val="1"/>
  </w:num>
  <w:num w:numId="5" w16cid:durableId="65353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3"/>
    <w:rsid w:val="00004C53"/>
    <w:rsid w:val="00011624"/>
    <w:rsid w:val="00011FAB"/>
    <w:rsid w:val="000201A7"/>
    <w:rsid w:val="00021ADD"/>
    <w:rsid w:val="00026699"/>
    <w:rsid w:val="000317F9"/>
    <w:rsid w:val="000421CB"/>
    <w:rsid w:val="00051370"/>
    <w:rsid w:val="0006650E"/>
    <w:rsid w:val="0007504B"/>
    <w:rsid w:val="00081CC2"/>
    <w:rsid w:val="00092B79"/>
    <w:rsid w:val="00095A2B"/>
    <w:rsid w:val="000A2D66"/>
    <w:rsid w:val="000D4708"/>
    <w:rsid w:val="000E0392"/>
    <w:rsid w:val="000F20BC"/>
    <w:rsid w:val="00102002"/>
    <w:rsid w:val="00105656"/>
    <w:rsid w:val="00106D3A"/>
    <w:rsid w:val="00107ED5"/>
    <w:rsid w:val="0011030F"/>
    <w:rsid w:val="0011622C"/>
    <w:rsid w:val="001307E6"/>
    <w:rsid w:val="001345A4"/>
    <w:rsid w:val="0015643A"/>
    <w:rsid w:val="001749EC"/>
    <w:rsid w:val="001772A7"/>
    <w:rsid w:val="001932BE"/>
    <w:rsid w:val="00196508"/>
    <w:rsid w:val="001A05E8"/>
    <w:rsid w:val="001B458A"/>
    <w:rsid w:val="001B594E"/>
    <w:rsid w:val="001B67E6"/>
    <w:rsid w:val="001D18BF"/>
    <w:rsid w:val="001D3394"/>
    <w:rsid w:val="001D3465"/>
    <w:rsid w:val="001E7F88"/>
    <w:rsid w:val="00201DC2"/>
    <w:rsid w:val="002073B7"/>
    <w:rsid w:val="00213B9A"/>
    <w:rsid w:val="00224C8D"/>
    <w:rsid w:val="002257D1"/>
    <w:rsid w:val="0022653F"/>
    <w:rsid w:val="002403E7"/>
    <w:rsid w:val="00245F23"/>
    <w:rsid w:val="0026087A"/>
    <w:rsid w:val="00260FC6"/>
    <w:rsid w:val="00261F6E"/>
    <w:rsid w:val="00262893"/>
    <w:rsid w:val="00262F5C"/>
    <w:rsid w:val="00266C39"/>
    <w:rsid w:val="0026796D"/>
    <w:rsid w:val="0027086F"/>
    <w:rsid w:val="00277C51"/>
    <w:rsid w:val="00291B81"/>
    <w:rsid w:val="00295482"/>
    <w:rsid w:val="002972DC"/>
    <w:rsid w:val="002C2994"/>
    <w:rsid w:val="002C4C8C"/>
    <w:rsid w:val="002D768E"/>
    <w:rsid w:val="002D7EB2"/>
    <w:rsid w:val="002F0201"/>
    <w:rsid w:val="002F0CD8"/>
    <w:rsid w:val="002F40BE"/>
    <w:rsid w:val="002F7FA0"/>
    <w:rsid w:val="003014D4"/>
    <w:rsid w:val="00303B4A"/>
    <w:rsid w:val="00305EDC"/>
    <w:rsid w:val="00310D45"/>
    <w:rsid w:val="003155C5"/>
    <w:rsid w:val="00317C45"/>
    <w:rsid w:val="0032101A"/>
    <w:rsid w:val="003262D5"/>
    <w:rsid w:val="00347408"/>
    <w:rsid w:val="00347829"/>
    <w:rsid w:val="003621B6"/>
    <w:rsid w:val="003669C5"/>
    <w:rsid w:val="00371928"/>
    <w:rsid w:val="00371A90"/>
    <w:rsid w:val="00377CEE"/>
    <w:rsid w:val="00387CD6"/>
    <w:rsid w:val="003A06F4"/>
    <w:rsid w:val="003A7372"/>
    <w:rsid w:val="003B667F"/>
    <w:rsid w:val="003B7283"/>
    <w:rsid w:val="003C5EFA"/>
    <w:rsid w:val="003D35CA"/>
    <w:rsid w:val="003D3A73"/>
    <w:rsid w:val="003E3B51"/>
    <w:rsid w:val="003E4C56"/>
    <w:rsid w:val="00401176"/>
    <w:rsid w:val="00404338"/>
    <w:rsid w:val="0041227B"/>
    <w:rsid w:val="00413B95"/>
    <w:rsid w:val="0042790D"/>
    <w:rsid w:val="00432490"/>
    <w:rsid w:val="0045287A"/>
    <w:rsid w:val="004565B1"/>
    <w:rsid w:val="0046293F"/>
    <w:rsid w:val="00463C8D"/>
    <w:rsid w:val="00464393"/>
    <w:rsid w:val="00477218"/>
    <w:rsid w:val="00484927"/>
    <w:rsid w:val="004914F6"/>
    <w:rsid w:val="00493053"/>
    <w:rsid w:val="004A2C15"/>
    <w:rsid w:val="004B3D1D"/>
    <w:rsid w:val="004B6CB2"/>
    <w:rsid w:val="004B6F2D"/>
    <w:rsid w:val="004C561B"/>
    <w:rsid w:val="004D1617"/>
    <w:rsid w:val="004E18C9"/>
    <w:rsid w:val="004F21B2"/>
    <w:rsid w:val="004F49D8"/>
    <w:rsid w:val="005024C7"/>
    <w:rsid w:val="0050511E"/>
    <w:rsid w:val="00507921"/>
    <w:rsid w:val="00510B84"/>
    <w:rsid w:val="005166AA"/>
    <w:rsid w:val="005231E4"/>
    <w:rsid w:val="0053689B"/>
    <w:rsid w:val="005429B7"/>
    <w:rsid w:val="00560132"/>
    <w:rsid w:val="00570DFB"/>
    <w:rsid w:val="00584BC3"/>
    <w:rsid w:val="0058753F"/>
    <w:rsid w:val="0059081B"/>
    <w:rsid w:val="00594A6E"/>
    <w:rsid w:val="005A393F"/>
    <w:rsid w:val="005A55A4"/>
    <w:rsid w:val="005C18F6"/>
    <w:rsid w:val="005E4A8B"/>
    <w:rsid w:val="00606F82"/>
    <w:rsid w:val="00621251"/>
    <w:rsid w:val="00630614"/>
    <w:rsid w:val="00666E24"/>
    <w:rsid w:val="00670282"/>
    <w:rsid w:val="006803D3"/>
    <w:rsid w:val="0069478A"/>
    <w:rsid w:val="006B6689"/>
    <w:rsid w:val="006B72D7"/>
    <w:rsid w:val="006C5791"/>
    <w:rsid w:val="006D5B49"/>
    <w:rsid w:val="006E7843"/>
    <w:rsid w:val="006F5308"/>
    <w:rsid w:val="006F6340"/>
    <w:rsid w:val="006F787D"/>
    <w:rsid w:val="00716DA2"/>
    <w:rsid w:val="00722522"/>
    <w:rsid w:val="00732D8B"/>
    <w:rsid w:val="00757A08"/>
    <w:rsid w:val="00762D12"/>
    <w:rsid w:val="00763296"/>
    <w:rsid w:val="0076656D"/>
    <w:rsid w:val="007677AE"/>
    <w:rsid w:val="0079478E"/>
    <w:rsid w:val="007B253B"/>
    <w:rsid w:val="007B256C"/>
    <w:rsid w:val="007C5D6E"/>
    <w:rsid w:val="007D711F"/>
    <w:rsid w:val="007E7168"/>
    <w:rsid w:val="008051AB"/>
    <w:rsid w:val="00823118"/>
    <w:rsid w:val="00826547"/>
    <w:rsid w:val="00826EC1"/>
    <w:rsid w:val="008308B4"/>
    <w:rsid w:val="00832178"/>
    <w:rsid w:val="00832382"/>
    <w:rsid w:val="00841E75"/>
    <w:rsid w:val="00851CCD"/>
    <w:rsid w:val="00872989"/>
    <w:rsid w:val="008A098B"/>
    <w:rsid w:val="008A69A9"/>
    <w:rsid w:val="008B2B68"/>
    <w:rsid w:val="008B74E9"/>
    <w:rsid w:val="008B7D33"/>
    <w:rsid w:val="008C08AC"/>
    <w:rsid w:val="008C5995"/>
    <w:rsid w:val="008E076A"/>
    <w:rsid w:val="008F06D6"/>
    <w:rsid w:val="008F0F34"/>
    <w:rsid w:val="008F2CE6"/>
    <w:rsid w:val="008F445F"/>
    <w:rsid w:val="0091025F"/>
    <w:rsid w:val="00910416"/>
    <w:rsid w:val="00920DB1"/>
    <w:rsid w:val="009332DB"/>
    <w:rsid w:val="009371A8"/>
    <w:rsid w:val="00940A01"/>
    <w:rsid w:val="009426FC"/>
    <w:rsid w:val="00952852"/>
    <w:rsid w:val="009536A5"/>
    <w:rsid w:val="00962DA2"/>
    <w:rsid w:val="00967B19"/>
    <w:rsid w:val="009913CA"/>
    <w:rsid w:val="009A0486"/>
    <w:rsid w:val="009B3671"/>
    <w:rsid w:val="009B475A"/>
    <w:rsid w:val="009C6DFB"/>
    <w:rsid w:val="009E6DB2"/>
    <w:rsid w:val="009F767B"/>
    <w:rsid w:val="009F7C79"/>
    <w:rsid w:val="00A0168D"/>
    <w:rsid w:val="00A04E73"/>
    <w:rsid w:val="00A241E6"/>
    <w:rsid w:val="00A31F63"/>
    <w:rsid w:val="00A37868"/>
    <w:rsid w:val="00A46585"/>
    <w:rsid w:val="00A47569"/>
    <w:rsid w:val="00A4778B"/>
    <w:rsid w:val="00A60740"/>
    <w:rsid w:val="00A60911"/>
    <w:rsid w:val="00A63AF3"/>
    <w:rsid w:val="00A65E62"/>
    <w:rsid w:val="00A90FBD"/>
    <w:rsid w:val="00A925DD"/>
    <w:rsid w:val="00AB116C"/>
    <w:rsid w:val="00AD10D3"/>
    <w:rsid w:val="00AD4874"/>
    <w:rsid w:val="00AD7497"/>
    <w:rsid w:val="00AF213E"/>
    <w:rsid w:val="00AF3B9B"/>
    <w:rsid w:val="00AF7580"/>
    <w:rsid w:val="00B02068"/>
    <w:rsid w:val="00B05C7F"/>
    <w:rsid w:val="00B20060"/>
    <w:rsid w:val="00B20F73"/>
    <w:rsid w:val="00B630C8"/>
    <w:rsid w:val="00B65E0E"/>
    <w:rsid w:val="00B7573C"/>
    <w:rsid w:val="00B86D58"/>
    <w:rsid w:val="00B87720"/>
    <w:rsid w:val="00BB1CCA"/>
    <w:rsid w:val="00BC686C"/>
    <w:rsid w:val="00BD5D13"/>
    <w:rsid w:val="00BD5F5A"/>
    <w:rsid w:val="00BE078A"/>
    <w:rsid w:val="00BE43C2"/>
    <w:rsid w:val="00BE4CB9"/>
    <w:rsid w:val="00BE635D"/>
    <w:rsid w:val="00C015B1"/>
    <w:rsid w:val="00C14DC5"/>
    <w:rsid w:val="00C2122C"/>
    <w:rsid w:val="00C33142"/>
    <w:rsid w:val="00C368A1"/>
    <w:rsid w:val="00C36EC4"/>
    <w:rsid w:val="00C410B8"/>
    <w:rsid w:val="00C4662C"/>
    <w:rsid w:val="00C56BFC"/>
    <w:rsid w:val="00C72EE5"/>
    <w:rsid w:val="00C763C1"/>
    <w:rsid w:val="00C83B0F"/>
    <w:rsid w:val="00C90A71"/>
    <w:rsid w:val="00C937FD"/>
    <w:rsid w:val="00CA16C2"/>
    <w:rsid w:val="00CC0335"/>
    <w:rsid w:val="00CC24BF"/>
    <w:rsid w:val="00CD5928"/>
    <w:rsid w:val="00CF7C6C"/>
    <w:rsid w:val="00D029E6"/>
    <w:rsid w:val="00D0661A"/>
    <w:rsid w:val="00D31BF3"/>
    <w:rsid w:val="00D34079"/>
    <w:rsid w:val="00D350B3"/>
    <w:rsid w:val="00D440C1"/>
    <w:rsid w:val="00D60718"/>
    <w:rsid w:val="00D61945"/>
    <w:rsid w:val="00D766AB"/>
    <w:rsid w:val="00D80206"/>
    <w:rsid w:val="00D86CC1"/>
    <w:rsid w:val="00D935F6"/>
    <w:rsid w:val="00D964A7"/>
    <w:rsid w:val="00DA19BF"/>
    <w:rsid w:val="00DA5F5C"/>
    <w:rsid w:val="00DB1A25"/>
    <w:rsid w:val="00DC38D9"/>
    <w:rsid w:val="00DD6FA9"/>
    <w:rsid w:val="00DD729A"/>
    <w:rsid w:val="00DE4B13"/>
    <w:rsid w:val="00E22F6F"/>
    <w:rsid w:val="00E27559"/>
    <w:rsid w:val="00E35595"/>
    <w:rsid w:val="00E42EFF"/>
    <w:rsid w:val="00E450AF"/>
    <w:rsid w:val="00E53523"/>
    <w:rsid w:val="00E5548C"/>
    <w:rsid w:val="00E62886"/>
    <w:rsid w:val="00E73998"/>
    <w:rsid w:val="00E83918"/>
    <w:rsid w:val="00E95D96"/>
    <w:rsid w:val="00EA049C"/>
    <w:rsid w:val="00EA0753"/>
    <w:rsid w:val="00EA1A49"/>
    <w:rsid w:val="00EC1B04"/>
    <w:rsid w:val="00ED10A5"/>
    <w:rsid w:val="00ED78DE"/>
    <w:rsid w:val="00EE58B8"/>
    <w:rsid w:val="00EF04B3"/>
    <w:rsid w:val="00EF273B"/>
    <w:rsid w:val="00EF2F18"/>
    <w:rsid w:val="00EF4296"/>
    <w:rsid w:val="00F051D2"/>
    <w:rsid w:val="00F432E8"/>
    <w:rsid w:val="00F44087"/>
    <w:rsid w:val="00F45755"/>
    <w:rsid w:val="00F47DFE"/>
    <w:rsid w:val="00F51952"/>
    <w:rsid w:val="00F560CF"/>
    <w:rsid w:val="00F57041"/>
    <w:rsid w:val="00F6463B"/>
    <w:rsid w:val="00F7732D"/>
    <w:rsid w:val="00F7760F"/>
    <w:rsid w:val="00F80FC5"/>
    <w:rsid w:val="00FC1BC1"/>
    <w:rsid w:val="00FD5D3B"/>
    <w:rsid w:val="00FF149C"/>
    <w:rsid w:val="00FF7142"/>
    <w:rsid w:val="229E2BF5"/>
    <w:rsid w:val="4479C46F"/>
    <w:rsid w:val="64BCA6B1"/>
    <w:rsid w:val="7DD04A1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2B2131"/>
  <w15:docId w15:val="{19BB3E0C-2291-44F5-951E-7EC316EF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4E73"/>
    <w:pPr>
      <w:ind w:left="720"/>
      <w:contextualSpacing/>
    </w:pPr>
  </w:style>
  <w:style w:type="character" w:styleId="Refdecomentario">
    <w:name w:val="annotation reference"/>
    <w:basedOn w:val="Fuentedeprrafopredeter"/>
    <w:uiPriority w:val="99"/>
    <w:semiHidden/>
    <w:unhideWhenUsed/>
    <w:rsid w:val="001307E6"/>
    <w:rPr>
      <w:sz w:val="16"/>
      <w:szCs w:val="16"/>
    </w:rPr>
  </w:style>
  <w:style w:type="paragraph" w:styleId="Textocomentario">
    <w:name w:val="annotation text"/>
    <w:basedOn w:val="Normal"/>
    <w:link w:val="TextocomentarioCar"/>
    <w:uiPriority w:val="99"/>
    <w:semiHidden/>
    <w:unhideWhenUsed/>
    <w:rsid w:val="00130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07E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307E6"/>
    <w:rPr>
      <w:b/>
      <w:bCs/>
    </w:rPr>
  </w:style>
  <w:style w:type="character" w:customStyle="1" w:styleId="AsuntodelcomentarioCar">
    <w:name w:val="Asunto del comentario Car"/>
    <w:basedOn w:val="TextocomentarioCar"/>
    <w:link w:val="Asuntodelcomentario"/>
    <w:uiPriority w:val="99"/>
    <w:semiHidden/>
    <w:rsid w:val="001307E6"/>
    <w:rPr>
      <w:rFonts w:ascii="Times New Roman" w:hAnsi="Times New Roman"/>
      <w:b/>
      <w:bCs/>
      <w:sz w:val="20"/>
      <w:szCs w:val="20"/>
    </w:rPr>
  </w:style>
  <w:style w:type="paragraph" w:styleId="Textonotapie">
    <w:name w:val="footnote text"/>
    <w:basedOn w:val="Normal"/>
    <w:link w:val="TextonotapieCar"/>
    <w:uiPriority w:val="99"/>
    <w:semiHidden/>
    <w:unhideWhenUsed/>
    <w:rsid w:val="00E83918"/>
    <w:pPr>
      <w:spacing w:line="240" w:lineRule="auto"/>
    </w:pPr>
    <w:rPr>
      <w:sz w:val="20"/>
      <w:szCs w:val="20"/>
    </w:rPr>
  </w:style>
  <w:style w:type="character" w:customStyle="1" w:styleId="TextonotapieCar">
    <w:name w:val="Texto nota pie Car"/>
    <w:basedOn w:val="Fuentedeprrafopredeter"/>
    <w:link w:val="Textonotapie"/>
    <w:uiPriority w:val="99"/>
    <w:semiHidden/>
    <w:rsid w:val="00E83918"/>
    <w:rPr>
      <w:rFonts w:ascii="Times New Roman" w:hAnsi="Times New Roman"/>
      <w:sz w:val="20"/>
      <w:szCs w:val="20"/>
    </w:rPr>
  </w:style>
  <w:style w:type="character" w:styleId="Refdenotaalpie">
    <w:name w:val="footnote reference"/>
    <w:basedOn w:val="Fuentedeprrafopredeter"/>
    <w:uiPriority w:val="99"/>
    <w:semiHidden/>
    <w:unhideWhenUsed/>
    <w:rsid w:val="00E83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84014895">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D96637CD4F0EB08BD409F3431B4B"/>
        <w:category>
          <w:name w:val="General"/>
          <w:gallery w:val="placeholder"/>
        </w:category>
        <w:types>
          <w:type w:val="bbPlcHdr"/>
        </w:types>
        <w:behaviors>
          <w:behavior w:val="content"/>
        </w:behaviors>
        <w:guid w:val="{76D3BD49-EE55-43FF-94FB-63471773BF82}"/>
      </w:docPartPr>
      <w:docPartBody>
        <w:p w:rsidR="00AB4D54" w:rsidRDefault="00C83B0F">
          <w:pPr>
            <w:pStyle w:val="C6AAD96637CD4F0EB08BD409F3431B4B"/>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F"/>
    <w:rsid w:val="00107EBD"/>
    <w:rsid w:val="001355C0"/>
    <w:rsid w:val="001919FA"/>
    <w:rsid w:val="001B0237"/>
    <w:rsid w:val="00212F09"/>
    <w:rsid w:val="00345DE5"/>
    <w:rsid w:val="003763CA"/>
    <w:rsid w:val="0038133B"/>
    <w:rsid w:val="003B1DE0"/>
    <w:rsid w:val="003B3B76"/>
    <w:rsid w:val="003B731B"/>
    <w:rsid w:val="004609BD"/>
    <w:rsid w:val="00487A84"/>
    <w:rsid w:val="00535F32"/>
    <w:rsid w:val="005F794F"/>
    <w:rsid w:val="00725813"/>
    <w:rsid w:val="00784ADC"/>
    <w:rsid w:val="007F5C37"/>
    <w:rsid w:val="008D5937"/>
    <w:rsid w:val="00937365"/>
    <w:rsid w:val="00AB4D54"/>
    <w:rsid w:val="00AF585D"/>
    <w:rsid w:val="00C83B0F"/>
    <w:rsid w:val="00CB0C50"/>
    <w:rsid w:val="00CD3879"/>
    <w:rsid w:val="00E446AC"/>
    <w:rsid w:val="00E4539B"/>
    <w:rsid w:val="00E92DD9"/>
    <w:rsid w:val="00F87D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6AAD96637CD4F0EB08BD409F3431B4B">
    <w:name w:val="C6AAD96637CD4F0EB08BD409F3431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https://si.supen.fi.cr/Tramites/Tram_Detalle_Evento.aspx?evento=2021036752&amp;op=3</Url>
      <Description>2021036752</Description>
    </Evento>
  </documentManagement>
</p:properties>
</file>

<file path=customXml/itemProps1.xml><?xml version="1.0" encoding="utf-8"?>
<ds:datastoreItem xmlns:ds="http://schemas.openxmlformats.org/officeDocument/2006/customXml" ds:itemID="{ED459F18-F55C-4DDF-AD41-DA13F755195F}">
  <ds:schemaRefs>
    <ds:schemaRef ds:uri="http://schemas.openxmlformats.org/officeDocument/2006/bibliography"/>
  </ds:schemaRefs>
</ds:datastoreItem>
</file>

<file path=customXml/itemProps2.xml><?xml version="1.0" encoding="utf-8"?>
<ds:datastoreItem xmlns:ds="http://schemas.openxmlformats.org/officeDocument/2006/customXml" ds:itemID="{D9D6CE60-2380-43F5-9A1C-9C5BB66555C0}">
  <ds:schemaRefs>
    <ds:schemaRef ds:uri="http://schemas.microsoft.com/sharepoint/v3/contenttype/forms"/>
  </ds:schemaRefs>
</ds:datastoreItem>
</file>

<file path=customXml/itemProps3.xml><?xml version="1.0" encoding="utf-8"?>
<ds:datastoreItem xmlns:ds="http://schemas.openxmlformats.org/officeDocument/2006/customXml" ds:itemID="{A8814EC6-956D-421C-B00D-5DFE7CEF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AB62A-8777-4999-8A9E-EC9B05B318C8}">
  <ds:schemaRefs>
    <ds:schemaRef ds:uri="http://schemas.microsoft.com/office/2006/metadata/properties"/>
    <ds:schemaRef ds:uri="http://schemas.microsoft.com/office/infopath/2007/PartnerControl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47</TotalTime>
  <Pages>5</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2021SPA243.docx</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2021SPA243.docx</dc:title>
  <dc:subject/>
  <dc:creator>STERLOFF CHARALAMPIDU YANNI</dc:creator>
  <cp:keywords/>
  <dc:description/>
  <cp:lastModifiedBy>RODRIGUEZ BOVIERI GIANFRANCO</cp:lastModifiedBy>
  <cp:revision>11</cp:revision>
  <cp:lastPrinted>2021-09-06T21:00:00Z</cp:lastPrinted>
  <dcterms:created xsi:type="dcterms:W3CDTF">2024-06-28T15:19:00Z</dcterms:created>
  <dcterms:modified xsi:type="dcterms:W3CDTF">2024-06-28T16:05:00Z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ClassificationContentMarkingFooterShapeIds">
    <vt:lpwstr>3,4,8</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2024-06-28T15:19:10Z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244be20b-91db-4eee-9009-2d5d5ad477b4</vt:lpwstr>
  </property>
  <property fmtid="{D5CDD505-2E9C-101B-9397-08002B2CF9AE}" pid="12" name="MSIP_Label_b8b4be34-365a-4a68-b9fb-75c1b6874315_ContentBits">
    <vt:lpwstr>2</vt:lpwstr>
  </property>
</Properties>
</file>