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CA66" w14:textId="6E09F6FF" w:rsidR="000978B3" w:rsidRDefault="001D5792" w:rsidP="006233EE">
      <w:pPr>
        <w:spacing w:after="286"/>
        <w:ind w:left="10"/>
      </w:pPr>
      <w:r>
        <w:rPr>
          <w:rFonts w:ascii="Cambria" w:eastAsia="Cambria" w:hAnsi="Cambria" w:cs="Cambria"/>
        </w:rPr>
        <w:t xml:space="preserve"> </w:t>
      </w:r>
      <w:r>
        <w:t xml:space="preserve"> </w:t>
      </w: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 </w:t>
      </w:r>
      <w:r>
        <w:rPr>
          <w:rFonts w:ascii="Cambria" w:eastAsia="Cambria" w:hAnsi="Cambria" w:cs="Cambria"/>
        </w:rPr>
        <w:t xml:space="preserve"> </w:t>
      </w:r>
      <w:r>
        <w:rPr>
          <w:rFonts w:ascii="Times New Roman" w:eastAsia="Times New Roman" w:hAnsi="Times New Roman" w:cs="Times New Roman"/>
        </w:rPr>
        <w:t xml:space="preserve"> </w:t>
      </w:r>
      <w:r>
        <w:rPr>
          <w:rFonts w:ascii="Cambria" w:eastAsia="Cambria" w:hAnsi="Cambria" w:cs="Cambria"/>
        </w:rPr>
        <w:t xml:space="preserve"> </w:t>
      </w:r>
    </w:p>
    <w:p w14:paraId="72F68318" w14:textId="77777777" w:rsidR="000978B3" w:rsidRDefault="001D5792">
      <w:pPr>
        <w:spacing w:after="0"/>
        <w:ind w:left="425"/>
      </w:pPr>
      <w:r>
        <w:rPr>
          <w:rFonts w:ascii="Cambria" w:eastAsia="Cambria" w:hAnsi="Cambria" w:cs="Cambria"/>
        </w:rPr>
        <w:t xml:space="preserve"> </w:t>
      </w:r>
    </w:p>
    <w:p w14:paraId="761019F7" w14:textId="1C8CE66C" w:rsidR="000978B3" w:rsidRDefault="001D5792" w:rsidP="00605CB8">
      <w:pPr>
        <w:spacing w:after="12"/>
        <w:ind w:left="348"/>
        <w:jc w:val="center"/>
      </w:pPr>
      <w:r>
        <w:rPr>
          <w:rFonts w:ascii="Cambria" w:eastAsia="Cambria" w:hAnsi="Cambria" w:cs="Cambria"/>
          <w:b/>
          <w:i/>
        </w:rPr>
        <w:t>SP-A-133</w:t>
      </w:r>
      <w:r>
        <w:rPr>
          <w:rFonts w:ascii="Cambria" w:eastAsia="Cambria" w:hAnsi="Cambria" w:cs="Cambria"/>
        </w:rPr>
        <w:t xml:space="preserve"> </w:t>
      </w:r>
      <w:r>
        <w:rPr>
          <w:rFonts w:ascii="Cambria" w:eastAsia="Cambria" w:hAnsi="Cambria" w:cs="Cambria"/>
          <w:vertAlign w:val="superscript"/>
        </w:rPr>
        <w:footnoteReference w:id="1"/>
      </w:r>
    </w:p>
    <w:p w14:paraId="62C10872" w14:textId="77777777" w:rsidR="000978B3" w:rsidRDefault="001D5792">
      <w:pPr>
        <w:spacing w:after="0"/>
        <w:ind w:left="425"/>
      </w:pPr>
      <w:r>
        <w:rPr>
          <w:rFonts w:ascii="Cambria" w:eastAsia="Cambria" w:hAnsi="Cambria" w:cs="Cambria"/>
        </w:rPr>
        <w:t xml:space="preserve">  </w:t>
      </w:r>
    </w:p>
    <w:p w14:paraId="226DF706" w14:textId="77777777" w:rsidR="000978B3" w:rsidRDefault="001D5792">
      <w:pPr>
        <w:spacing w:after="23" w:line="252" w:lineRule="auto"/>
        <w:ind w:left="420" w:right="64" w:hanging="10"/>
        <w:jc w:val="both"/>
      </w:pPr>
      <w:r>
        <w:rPr>
          <w:rFonts w:ascii="Cambria" w:eastAsia="Cambria" w:hAnsi="Cambria" w:cs="Cambria"/>
        </w:rPr>
        <w:t xml:space="preserve">Superintendencia de Pensiones, al ser las quince horas del día 11 de setiembre del 2009.  </w:t>
      </w:r>
    </w:p>
    <w:p w14:paraId="6FAA7373" w14:textId="77777777" w:rsidR="000978B3" w:rsidRDefault="001D5792">
      <w:pPr>
        <w:spacing w:after="0"/>
        <w:ind w:left="425"/>
      </w:pPr>
      <w:r>
        <w:rPr>
          <w:rFonts w:ascii="Cambria" w:eastAsia="Cambria" w:hAnsi="Cambria" w:cs="Cambria"/>
        </w:rPr>
        <w:t xml:space="preserve">  </w:t>
      </w:r>
    </w:p>
    <w:p w14:paraId="791BED8C" w14:textId="77777777" w:rsidR="000978B3" w:rsidRDefault="001D5792">
      <w:pPr>
        <w:spacing w:after="3" w:line="267" w:lineRule="auto"/>
        <w:ind w:left="452" w:right="100" w:hanging="10"/>
        <w:jc w:val="center"/>
      </w:pPr>
      <w:r>
        <w:rPr>
          <w:rFonts w:ascii="Cambria" w:eastAsia="Cambria" w:hAnsi="Cambria" w:cs="Cambria"/>
          <w:b/>
        </w:rPr>
        <w:t xml:space="preserve">Considerando que, </w:t>
      </w:r>
      <w:r>
        <w:rPr>
          <w:rFonts w:ascii="Cambria" w:eastAsia="Cambria" w:hAnsi="Cambria" w:cs="Cambria"/>
        </w:rPr>
        <w:t xml:space="preserve"> </w:t>
      </w:r>
    </w:p>
    <w:p w14:paraId="3F750DEB" w14:textId="77777777" w:rsidR="000978B3" w:rsidRDefault="001D5792">
      <w:pPr>
        <w:spacing w:after="27"/>
        <w:ind w:left="492"/>
        <w:jc w:val="center"/>
      </w:pPr>
      <w:r>
        <w:rPr>
          <w:rFonts w:ascii="Cambria" w:eastAsia="Cambria" w:hAnsi="Cambria" w:cs="Cambria"/>
        </w:rPr>
        <w:t xml:space="preserve">  </w:t>
      </w:r>
    </w:p>
    <w:p w14:paraId="08A3C62B" w14:textId="77777777" w:rsidR="000978B3" w:rsidRDefault="001D5792">
      <w:pPr>
        <w:numPr>
          <w:ilvl w:val="0"/>
          <w:numId w:val="1"/>
        </w:numPr>
        <w:spacing w:after="2" w:line="236" w:lineRule="auto"/>
        <w:ind w:right="64" w:hanging="348"/>
        <w:jc w:val="both"/>
      </w:pPr>
      <w:r>
        <w:rPr>
          <w:rFonts w:ascii="Cambria" w:eastAsia="Cambria" w:hAnsi="Cambria" w:cs="Cambria"/>
        </w:rPr>
        <w:t xml:space="preserve">El artículo 180 de la </w:t>
      </w:r>
      <w:r>
        <w:rPr>
          <w:rFonts w:ascii="Cambria" w:eastAsia="Cambria" w:hAnsi="Cambria" w:cs="Cambria"/>
          <w:i/>
        </w:rPr>
        <w:t>Ley Reguladora del Mercado de Valores</w:t>
      </w:r>
      <w:r>
        <w:rPr>
          <w:rFonts w:ascii="Cambria" w:eastAsia="Cambria" w:hAnsi="Cambria" w:cs="Cambria"/>
        </w:rPr>
        <w:t xml:space="preserve">, establece que: </w:t>
      </w:r>
      <w:r>
        <w:rPr>
          <w:rFonts w:ascii="Cambria" w:eastAsia="Cambria" w:hAnsi="Cambria" w:cs="Cambria"/>
          <w:i/>
        </w:rPr>
        <w:t>“La Superintendencia General de Entidades Financieras, la Superintendencia General de Valores y la Superintendencia de Pensiones podrán utilizar medios electrónicos o magnéticos de transmisión y almacenamiento de datos, para solicitar información a las entidades fiscalizadas y para mantener sus archivos, actas y demás documentos.  La información así mantenida tendrá valor probatorio equivalente al de los documentos para todos los efectos legales”.</w:t>
      </w:r>
      <w:r>
        <w:rPr>
          <w:rFonts w:ascii="Cambria" w:eastAsia="Cambria" w:hAnsi="Cambria" w:cs="Cambria"/>
        </w:rPr>
        <w:t xml:space="preserve">  </w:t>
      </w:r>
    </w:p>
    <w:p w14:paraId="0DF61247" w14:textId="77777777" w:rsidR="000978B3" w:rsidRDefault="001D5792">
      <w:pPr>
        <w:spacing w:after="25"/>
        <w:ind w:left="773"/>
      </w:pPr>
      <w:r>
        <w:rPr>
          <w:rFonts w:ascii="Cambria" w:eastAsia="Cambria" w:hAnsi="Cambria" w:cs="Cambria"/>
        </w:rPr>
        <w:t xml:space="preserve">  </w:t>
      </w:r>
    </w:p>
    <w:p w14:paraId="3427D92D" w14:textId="77777777" w:rsidR="000978B3" w:rsidRDefault="001D5792">
      <w:pPr>
        <w:numPr>
          <w:ilvl w:val="0"/>
          <w:numId w:val="1"/>
        </w:numPr>
        <w:spacing w:after="0" w:line="252" w:lineRule="auto"/>
        <w:ind w:right="64" w:hanging="348"/>
        <w:jc w:val="both"/>
      </w:pPr>
      <w:r>
        <w:rPr>
          <w:rFonts w:ascii="Cambria" w:eastAsia="Cambria" w:hAnsi="Cambria" w:cs="Cambria"/>
        </w:rPr>
        <w:t xml:space="preserve">El artículo 38 inciso f) de la ley </w:t>
      </w:r>
      <w:r>
        <w:rPr>
          <w:rFonts w:ascii="Cambria" w:eastAsia="Cambria" w:hAnsi="Cambria" w:cs="Cambria"/>
          <w:i/>
        </w:rPr>
        <w:t>N° 7523, Régimen Privado de Pensiones Complementarias</w:t>
      </w:r>
      <w:r>
        <w:rPr>
          <w:rFonts w:ascii="Cambria" w:eastAsia="Cambria" w:hAnsi="Cambria" w:cs="Cambria"/>
        </w:rPr>
        <w:t xml:space="preserve">, atribuye al Superintendente la facultad de adoptar las acciones necesarias para el cumplimiento efectivo de las funciones de autorización, regulación y supervisión que le competen a la Superintendencia.  </w:t>
      </w:r>
    </w:p>
    <w:p w14:paraId="77C373B4" w14:textId="77777777" w:rsidR="000978B3" w:rsidRDefault="001D5792">
      <w:pPr>
        <w:spacing w:after="30"/>
        <w:ind w:left="776"/>
      </w:pPr>
      <w:r>
        <w:rPr>
          <w:rFonts w:ascii="Cambria" w:eastAsia="Cambria" w:hAnsi="Cambria" w:cs="Cambria"/>
        </w:rPr>
        <w:t xml:space="preserve">  </w:t>
      </w:r>
    </w:p>
    <w:p w14:paraId="203AB0DC" w14:textId="77777777" w:rsidR="000978B3" w:rsidRDefault="001D5792">
      <w:pPr>
        <w:numPr>
          <w:ilvl w:val="0"/>
          <w:numId w:val="1"/>
        </w:numPr>
        <w:spacing w:after="0" w:line="252" w:lineRule="auto"/>
        <w:ind w:right="64" w:hanging="348"/>
        <w:jc w:val="both"/>
      </w:pPr>
      <w:r>
        <w:rPr>
          <w:rFonts w:ascii="Cambria" w:eastAsia="Cambria" w:hAnsi="Cambria" w:cs="Cambria"/>
        </w:rPr>
        <w:t xml:space="preserve">El inciso b) del artículo 37 de la ley 7523, </w:t>
      </w:r>
      <w:r>
        <w:rPr>
          <w:rFonts w:ascii="Cambria" w:eastAsia="Cambria" w:hAnsi="Cambria" w:cs="Cambria"/>
          <w:i/>
        </w:rPr>
        <w:t>Régimen Privado de Pensiones Complementarias</w:t>
      </w:r>
      <w:r>
        <w:rPr>
          <w:rFonts w:ascii="Cambria" w:eastAsia="Cambria" w:hAnsi="Cambria" w:cs="Cambria"/>
        </w:rPr>
        <w:t xml:space="preserve">, señala, como una atribución del Superintendente de Pensiones, supervisar que la inversión de los recursos y la valoración de la cartera de inversiones correspondientes al Régimen de Invalidez, Vejez y Muerte  administrado por la </w:t>
      </w:r>
      <w:r>
        <w:rPr>
          <w:rFonts w:ascii="Cambria" w:eastAsia="Cambria" w:hAnsi="Cambria" w:cs="Cambria"/>
          <w:i/>
        </w:rPr>
        <w:t>Caja Costarricense de Seguro Social</w:t>
      </w:r>
      <w:r>
        <w:rPr>
          <w:rFonts w:ascii="Cambria" w:eastAsia="Cambria" w:hAnsi="Cambria" w:cs="Cambria"/>
        </w:rPr>
        <w:t xml:space="preserve">, se realice de conformidad con la ley.  </w:t>
      </w:r>
    </w:p>
    <w:p w14:paraId="069FB421" w14:textId="77777777" w:rsidR="000978B3" w:rsidRDefault="001D5792">
      <w:pPr>
        <w:spacing w:after="30"/>
        <w:ind w:left="773"/>
      </w:pPr>
      <w:r>
        <w:rPr>
          <w:rFonts w:ascii="Cambria" w:eastAsia="Cambria" w:hAnsi="Cambria" w:cs="Cambria"/>
        </w:rPr>
        <w:t xml:space="preserve">  </w:t>
      </w:r>
    </w:p>
    <w:p w14:paraId="37CDFF0D" w14:textId="77777777" w:rsidR="000978B3" w:rsidRDefault="001D5792">
      <w:pPr>
        <w:numPr>
          <w:ilvl w:val="0"/>
          <w:numId w:val="1"/>
        </w:numPr>
        <w:spacing w:after="0" w:line="252" w:lineRule="auto"/>
        <w:ind w:right="64" w:hanging="348"/>
        <w:jc w:val="both"/>
      </w:pPr>
      <w:r>
        <w:rPr>
          <w:rFonts w:ascii="Cambria" w:eastAsia="Cambria" w:hAnsi="Cambria" w:cs="Cambria"/>
        </w:rPr>
        <w:t xml:space="preserve">La Caja Costarricense de Seguro Social, en cuanto al Régimen de Invalidez, Vejez y Muerte (IVM), es una entidad supervisada por la Superintendencia de Pensiones, según lo dispuesto en el inciso g) del artículo 2 de la </w:t>
      </w:r>
      <w:r>
        <w:rPr>
          <w:rFonts w:ascii="Cambria" w:eastAsia="Cambria" w:hAnsi="Cambria" w:cs="Cambria"/>
          <w:i/>
        </w:rPr>
        <w:t>Ley de Protección al Trabajador.</w:t>
      </w:r>
      <w:r>
        <w:rPr>
          <w:rFonts w:ascii="Cambria" w:eastAsia="Cambria" w:hAnsi="Cambria" w:cs="Cambria"/>
        </w:rPr>
        <w:t xml:space="preserve">  </w:t>
      </w:r>
    </w:p>
    <w:p w14:paraId="74BE5DE0" w14:textId="77777777" w:rsidR="000978B3" w:rsidRDefault="001D5792">
      <w:pPr>
        <w:spacing w:after="30"/>
        <w:ind w:left="773"/>
      </w:pPr>
      <w:r>
        <w:rPr>
          <w:rFonts w:ascii="Cambria" w:eastAsia="Cambria" w:hAnsi="Cambria" w:cs="Cambria"/>
        </w:rPr>
        <w:t xml:space="preserve">  </w:t>
      </w:r>
    </w:p>
    <w:p w14:paraId="18762A9C" w14:textId="1B02B510" w:rsidR="0024703F" w:rsidRPr="0024703F" w:rsidRDefault="001D5792" w:rsidP="0024703F">
      <w:pPr>
        <w:numPr>
          <w:ilvl w:val="0"/>
          <w:numId w:val="1"/>
        </w:numPr>
        <w:spacing w:after="0" w:line="252" w:lineRule="auto"/>
        <w:ind w:right="64" w:hanging="348"/>
        <w:jc w:val="both"/>
        <w:rPr>
          <w:rFonts w:ascii="Cambria" w:eastAsia="Cambria" w:hAnsi="Cambria" w:cs="Cambria"/>
          <w:i/>
        </w:rPr>
      </w:pPr>
      <w:r w:rsidRPr="0024703F">
        <w:rPr>
          <w:rFonts w:ascii="Cambria" w:eastAsia="Cambria" w:hAnsi="Cambria" w:cs="Cambria"/>
        </w:rPr>
        <w:t xml:space="preserve">Las facultades de supervisión, taxativamente dispuestas en el artículo 37, atrás comentado, deben interpretarse sistemáticamente de manera que se vean complementadas con otras normas legales y reglamentarias que las instrumentalizan, particularmente, el inciso r) del artículo 38 de la ley 7523, </w:t>
      </w:r>
      <w:r w:rsidRPr="0024703F">
        <w:rPr>
          <w:rFonts w:ascii="Cambria" w:eastAsia="Cambria" w:hAnsi="Cambria" w:cs="Cambria"/>
          <w:i/>
        </w:rPr>
        <w:t xml:space="preserve">Régimen Privado de Pensiones Complementarias, </w:t>
      </w:r>
      <w:r w:rsidRPr="0024703F">
        <w:rPr>
          <w:rFonts w:ascii="Cambria" w:eastAsia="Cambria" w:hAnsi="Cambria" w:cs="Cambria"/>
        </w:rPr>
        <w:t>el cual</w:t>
      </w:r>
      <w:r w:rsidRPr="0024703F">
        <w:rPr>
          <w:rFonts w:ascii="Cambria" w:eastAsia="Cambria" w:hAnsi="Cambria" w:cs="Cambria"/>
          <w:i/>
        </w:rPr>
        <w:t xml:space="preserve"> </w:t>
      </w:r>
      <w:r w:rsidRPr="0024703F">
        <w:rPr>
          <w:rFonts w:ascii="Cambria" w:eastAsia="Cambria" w:hAnsi="Cambria" w:cs="Cambria"/>
        </w:rPr>
        <w:t xml:space="preserve">establece, como una atribución del Superintendente, dictar normas específicas sobre el contenido, la forma o la periodicidad con que las entidades supervisadas deben proporcionar a la </w:t>
      </w:r>
      <w:r w:rsidRPr="0024703F">
        <w:rPr>
          <w:rFonts w:ascii="Cambria" w:eastAsia="Cambria" w:hAnsi="Cambria" w:cs="Cambria"/>
        </w:rPr>
        <w:lastRenderedPageBreak/>
        <w:t xml:space="preserve">Superintendencia </w:t>
      </w:r>
      <w:r w:rsidRPr="0024703F">
        <w:rPr>
          <w:rFonts w:ascii="Cambria" w:eastAsia="Cambria" w:hAnsi="Cambria" w:cs="Cambria"/>
          <w:i/>
        </w:rPr>
        <w:t>“…información sobre su situación jurídica, económica y financiera,…las operaciones activas y pasivas y cualquier otra información que considere de importancia…con el</w:t>
      </w:r>
      <w:r w:rsidR="0024703F" w:rsidRPr="0024703F">
        <w:t xml:space="preserve"> </w:t>
      </w:r>
      <w:r w:rsidR="0024703F" w:rsidRPr="0024703F">
        <w:rPr>
          <w:rFonts w:ascii="Cambria" w:eastAsia="Cambria" w:hAnsi="Cambria" w:cs="Cambria"/>
          <w:i/>
        </w:rPr>
        <w:t xml:space="preserve">fin de que exista información suficiente y confiable sobre la situación de las entidades supervisadas.”   </w:t>
      </w:r>
    </w:p>
    <w:p w14:paraId="7B3DD6E3" w14:textId="26A2AFBA" w:rsidR="000978B3" w:rsidRDefault="000978B3" w:rsidP="00163AF9">
      <w:pPr>
        <w:spacing w:after="0" w:line="252" w:lineRule="auto"/>
        <w:ind w:left="425" w:right="64"/>
        <w:jc w:val="both"/>
      </w:pPr>
    </w:p>
    <w:p w14:paraId="1C571FD4" w14:textId="06B94608" w:rsidR="006975F6" w:rsidRPr="006975F6" w:rsidRDefault="001D5792" w:rsidP="00E46A59">
      <w:pPr>
        <w:spacing w:after="30"/>
        <w:ind w:left="425"/>
      </w:pPr>
      <w:r>
        <w:rPr>
          <w:rFonts w:ascii="Cambria" w:eastAsia="Cambria" w:hAnsi="Cambria" w:cs="Cambria"/>
        </w:rPr>
        <w:t xml:space="preserve">  </w:t>
      </w:r>
    </w:p>
    <w:p w14:paraId="4ECAA4B1" w14:textId="7CD1EBFC" w:rsidR="000978B3" w:rsidRDefault="001D5792">
      <w:pPr>
        <w:numPr>
          <w:ilvl w:val="0"/>
          <w:numId w:val="2"/>
        </w:numPr>
        <w:spacing w:after="0" w:line="252" w:lineRule="auto"/>
        <w:ind w:right="64" w:hanging="348"/>
        <w:jc w:val="both"/>
      </w:pPr>
      <w:r>
        <w:rPr>
          <w:rFonts w:ascii="Cambria" w:eastAsia="Cambria" w:hAnsi="Cambria" w:cs="Cambria"/>
        </w:rPr>
        <w:t xml:space="preserve">Como parte de las labores de supervisión legalmente establecidas a cargo de la Superintendencia de Pensiones, el Consejo Nacional de Supervisión del Sistema Financiero y la SUPEN dispusieron, a través de los artículos 6 y 9 del </w:t>
      </w:r>
      <w:r>
        <w:rPr>
          <w:rFonts w:ascii="Cambria" w:eastAsia="Cambria" w:hAnsi="Cambria" w:cs="Cambria"/>
          <w:i/>
        </w:rPr>
        <w:t>Reglamento de Inversiones de las Entidades Reguladas</w:t>
      </w:r>
      <w:r>
        <w:rPr>
          <w:rFonts w:ascii="Cambria" w:eastAsia="Cambria" w:hAnsi="Cambria" w:cs="Cambria"/>
        </w:rPr>
        <w:t xml:space="preserve">, así como por el Acuerdo SP‐A‐21, comunicado por oficio SP‐635, del 20 de marzo de 2003, respectivamente, un sistema electrónico de actas para que los comités de inversiones y riesgos de las entidades reguladas asienten, de forma preceptiva,  las actas de las sesiones.  </w:t>
      </w:r>
    </w:p>
    <w:p w14:paraId="4F1CF749" w14:textId="77777777" w:rsidR="000978B3" w:rsidRDefault="001D5792">
      <w:pPr>
        <w:spacing w:after="27"/>
        <w:ind w:left="773"/>
      </w:pPr>
      <w:r>
        <w:rPr>
          <w:rFonts w:ascii="Cambria" w:eastAsia="Cambria" w:hAnsi="Cambria" w:cs="Cambria"/>
        </w:rPr>
        <w:t xml:space="preserve">  </w:t>
      </w:r>
    </w:p>
    <w:p w14:paraId="25479552" w14:textId="77777777" w:rsidR="000978B3" w:rsidRDefault="001D5792">
      <w:pPr>
        <w:numPr>
          <w:ilvl w:val="0"/>
          <w:numId w:val="2"/>
        </w:numPr>
        <w:spacing w:after="0" w:line="252" w:lineRule="auto"/>
        <w:ind w:right="64" w:hanging="348"/>
        <w:jc w:val="both"/>
      </w:pPr>
      <w:r>
        <w:rPr>
          <w:rFonts w:ascii="Cambria" w:eastAsia="Cambria" w:hAnsi="Cambria" w:cs="Cambria"/>
        </w:rPr>
        <w:t xml:space="preserve">Es necesario actualizar las disposiciones vigentes para atender las necesidades de los usuarios, particularmente lo que se refiere a la sustitución de participantes en los Comités, y los requerimientos de las nuevas aplicaciones, actualmente utilizadas por parte de las entidades, tales como en la Ventanilla Electrónica de Servicios (VES), el Sistema de Información Cualitativa (SIC) y el Servicio de Administración de Seguridad (SAS).  </w:t>
      </w:r>
    </w:p>
    <w:p w14:paraId="4638308C" w14:textId="77777777" w:rsidR="000978B3" w:rsidRDefault="001D5792">
      <w:pPr>
        <w:spacing w:after="7"/>
        <w:ind w:left="425"/>
      </w:pPr>
      <w:r>
        <w:rPr>
          <w:rFonts w:ascii="Cambria" w:eastAsia="Cambria" w:hAnsi="Cambria" w:cs="Cambria"/>
        </w:rPr>
        <w:t xml:space="preserve">  </w:t>
      </w:r>
    </w:p>
    <w:p w14:paraId="74AB48D1" w14:textId="77777777" w:rsidR="000978B3" w:rsidRDefault="001D5792">
      <w:pPr>
        <w:pStyle w:val="Ttulo1"/>
        <w:spacing w:after="0"/>
        <w:ind w:left="345"/>
        <w:jc w:val="center"/>
      </w:pPr>
      <w:r>
        <w:rPr>
          <w:rFonts w:ascii="Cambria" w:eastAsia="Cambria" w:hAnsi="Cambria" w:cs="Cambria"/>
          <w:sz w:val="23"/>
        </w:rPr>
        <w:t xml:space="preserve">Por tanto, </w:t>
      </w:r>
      <w:r>
        <w:t xml:space="preserve"> </w:t>
      </w:r>
    </w:p>
    <w:p w14:paraId="6A157196" w14:textId="77777777" w:rsidR="000978B3" w:rsidRDefault="001D5792">
      <w:pPr>
        <w:spacing w:after="25"/>
        <w:ind w:left="425"/>
      </w:pPr>
      <w:r>
        <w:rPr>
          <w:rFonts w:ascii="Cambria" w:eastAsia="Cambria" w:hAnsi="Cambria" w:cs="Cambria"/>
          <w:b/>
        </w:rPr>
        <w:t xml:space="preserve"> </w:t>
      </w:r>
      <w:r>
        <w:rPr>
          <w:rFonts w:ascii="Cambria" w:eastAsia="Cambria" w:hAnsi="Cambria" w:cs="Cambria"/>
        </w:rPr>
        <w:t xml:space="preserve"> </w:t>
      </w:r>
    </w:p>
    <w:p w14:paraId="53B3647A" w14:textId="69E4E846" w:rsidR="000978B3" w:rsidRDefault="00E46A59">
      <w:pPr>
        <w:numPr>
          <w:ilvl w:val="0"/>
          <w:numId w:val="3"/>
        </w:numPr>
        <w:spacing w:after="2" w:line="236" w:lineRule="auto"/>
        <w:ind w:right="61" w:hanging="701"/>
        <w:jc w:val="both"/>
      </w:pPr>
      <w:r>
        <w:rPr>
          <w:rFonts w:ascii="Cambria" w:eastAsia="Cambria" w:hAnsi="Cambria" w:cs="Cambria"/>
        </w:rPr>
        <w:t>Se deroga</w:t>
      </w:r>
      <w:r w:rsidR="001D5792">
        <w:rPr>
          <w:rFonts w:ascii="Cambria" w:eastAsia="Cambria" w:hAnsi="Cambria" w:cs="Cambria"/>
        </w:rPr>
        <w:t xml:space="preserve"> el acuerdo </w:t>
      </w:r>
      <w:r w:rsidR="001D5792">
        <w:rPr>
          <w:rFonts w:ascii="Cambria" w:eastAsia="Cambria" w:hAnsi="Cambria" w:cs="Cambria"/>
          <w:i/>
        </w:rPr>
        <w:t>SP-A-046 del 31 de marzo de 2004</w:t>
      </w:r>
      <w:r w:rsidR="001D5792">
        <w:rPr>
          <w:rFonts w:ascii="Cambria" w:eastAsia="Cambria" w:hAnsi="Cambria" w:cs="Cambria"/>
        </w:rPr>
        <w:t xml:space="preserve">, reformado por los acuerdos </w:t>
      </w:r>
      <w:r w:rsidR="001D5792">
        <w:rPr>
          <w:rFonts w:ascii="Cambria" w:eastAsia="Cambria" w:hAnsi="Cambria" w:cs="Cambria"/>
          <w:i/>
        </w:rPr>
        <w:t>SP­A­077 de las quince horas del 26 de junio de 2006, “Disposiciones para la utilización del Libro de actas electrónico del Comité de Inversiones y de Riesgos de las entidades reguladas”</w:t>
      </w:r>
      <w:r w:rsidR="001D5792">
        <w:rPr>
          <w:rFonts w:ascii="Cambria" w:eastAsia="Cambria" w:hAnsi="Cambria" w:cs="Cambria"/>
        </w:rPr>
        <w:t xml:space="preserve"> y </w:t>
      </w:r>
      <w:r w:rsidR="001D5792">
        <w:rPr>
          <w:rFonts w:ascii="Cambria" w:eastAsia="Cambria" w:hAnsi="Cambria" w:cs="Cambria"/>
          <w:i/>
        </w:rPr>
        <w:t>SP-A-091 de las 15 horas del 24 de mayo de 2007</w:t>
      </w:r>
      <w:r w:rsidR="001D5792">
        <w:rPr>
          <w:rFonts w:ascii="Cambria" w:eastAsia="Cambria" w:hAnsi="Cambria" w:cs="Cambria"/>
        </w:rPr>
        <w:t xml:space="preserve">, así como el  acápite I, punto 1, inciso a), del </w:t>
      </w:r>
      <w:r w:rsidR="001D5792">
        <w:rPr>
          <w:rFonts w:ascii="Cambria" w:eastAsia="Cambria" w:hAnsi="Cambria" w:cs="Cambria"/>
          <w:i/>
        </w:rPr>
        <w:t>Acuerdo SP­A­102, “Disposiciones para el fondo de pensiones del Benemérito Cuerpo de Bomberos</w:t>
      </w:r>
      <w:r w:rsidR="001D5792">
        <w:rPr>
          <w:rFonts w:ascii="Cambria" w:eastAsia="Cambria" w:hAnsi="Cambria" w:cs="Cambria"/>
        </w:rPr>
        <w:t xml:space="preserve">.”  </w:t>
      </w:r>
    </w:p>
    <w:p w14:paraId="2422861F" w14:textId="77777777" w:rsidR="000978B3" w:rsidRDefault="001D5792">
      <w:pPr>
        <w:spacing w:after="30"/>
        <w:ind w:left="1474"/>
      </w:pPr>
      <w:r>
        <w:rPr>
          <w:rFonts w:ascii="Cambria" w:eastAsia="Cambria" w:hAnsi="Cambria" w:cs="Cambria"/>
        </w:rPr>
        <w:t xml:space="preserve">  </w:t>
      </w:r>
    </w:p>
    <w:p w14:paraId="5B801905" w14:textId="77777777" w:rsidR="000978B3" w:rsidRDefault="001D5792">
      <w:pPr>
        <w:numPr>
          <w:ilvl w:val="0"/>
          <w:numId w:val="3"/>
        </w:numPr>
        <w:spacing w:after="0" w:line="252" w:lineRule="auto"/>
        <w:ind w:right="61" w:hanging="701"/>
        <w:jc w:val="both"/>
      </w:pPr>
      <w:r>
        <w:rPr>
          <w:rFonts w:ascii="Cambria" w:eastAsia="Cambria" w:hAnsi="Cambria" w:cs="Cambria"/>
        </w:rPr>
        <w:t xml:space="preserve">Se dictan las siguientes disposiciones para regular el servicio de actas electrónicas de los comités de inversiones y de riesgo de las entidades supervisadas, incluyendo la Caja Costarricense de Seguro Social, en lo que se refiere al Régimen de Invalidez, Vejez y Muerte.  </w:t>
      </w:r>
    </w:p>
    <w:p w14:paraId="5C4CB2C6" w14:textId="77777777" w:rsidR="000978B3" w:rsidRDefault="001D5792">
      <w:pPr>
        <w:spacing w:after="0"/>
        <w:ind w:left="425"/>
      </w:pPr>
      <w:r>
        <w:rPr>
          <w:rFonts w:ascii="Cambria" w:eastAsia="Cambria" w:hAnsi="Cambria" w:cs="Cambria"/>
        </w:rPr>
        <w:t xml:space="preserve">  </w:t>
      </w:r>
    </w:p>
    <w:p w14:paraId="23A6A68E" w14:textId="4B50507B" w:rsidR="001B7E3A" w:rsidRDefault="001D5792" w:rsidP="001B7E3A">
      <w:pPr>
        <w:pStyle w:val="Ttulo2"/>
        <w:ind w:left="570"/>
        <w:jc w:val="center"/>
      </w:pPr>
      <w:r>
        <w:t>“ACUERDO SP-A-133.</w:t>
      </w:r>
    </w:p>
    <w:p w14:paraId="15FD2009" w14:textId="3690D710" w:rsidR="000978B3" w:rsidRDefault="00A71F9B" w:rsidP="00A71F9B">
      <w:pPr>
        <w:spacing w:after="16"/>
        <w:ind w:left="425"/>
        <w:jc w:val="center"/>
        <w:rPr>
          <w:rFonts w:ascii="Cambria" w:eastAsia="Cambria" w:hAnsi="Cambria" w:cs="Cambria"/>
          <w:b/>
        </w:rPr>
      </w:pPr>
      <w:r w:rsidRPr="00A71F9B">
        <w:rPr>
          <w:rFonts w:ascii="Cambria" w:eastAsia="Cambria" w:hAnsi="Cambria" w:cs="Cambria"/>
          <w:b/>
        </w:rPr>
        <w:t>Disposiciones aplicables a las actas que deben llevar los órganos de dirección y los comités de riesgo y de inversiones de las entidades reguladas y al registro de información relacionada sujeta a conocimiento de la SUPEN</w:t>
      </w:r>
      <w:r>
        <w:rPr>
          <w:rStyle w:val="Refdenotaalpie"/>
          <w:rFonts w:ascii="Cambria" w:eastAsia="Cambria" w:hAnsi="Cambria" w:cs="Cambria"/>
          <w:b/>
        </w:rPr>
        <w:footnoteReference w:id="2"/>
      </w:r>
    </w:p>
    <w:p w14:paraId="4E65E862" w14:textId="77777777" w:rsidR="00A71F9B" w:rsidRDefault="00A71F9B" w:rsidP="00A71F9B">
      <w:pPr>
        <w:spacing w:after="16"/>
        <w:ind w:left="425"/>
        <w:jc w:val="center"/>
      </w:pPr>
    </w:p>
    <w:p w14:paraId="2AC2C327" w14:textId="77777777" w:rsidR="000978B3" w:rsidRDefault="001D5792">
      <w:pPr>
        <w:pStyle w:val="Ttulo2"/>
        <w:ind w:left="420"/>
      </w:pPr>
      <w:r>
        <w:t xml:space="preserve">Artículo 1.   Alcance </w:t>
      </w:r>
    </w:p>
    <w:p w14:paraId="0CC56665" w14:textId="77777777" w:rsidR="000978B3" w:rsidRDefault="001D5792">
      <w:pPr>
        <w:spacing w:after="16"/>
        <w:ind w:left="425"/>
      </w:pPr>
      <w:r>
        <w:rPr>
          <w:rFonts w:ascii="Cambria" w:eastAsia="Cambria" w:hAnsi="Cambria" w:cs="Cambria"/>
          <w:b/>
        </w:rPr>
        <w:t xml:space="preserve"> </w:t>
      </w:r>
    </w:p>
    <w:p w14:paraId="0BF5DF27" w14:textId="77777777" w:rsidR="000978B3" w:rsidRDefault="001D5792">
      <w:pPr>
        <w:spacing w:after="23" w:line="252" w:lineRule="auto"/>
        <w:ind w:left="420" w:right="64" w:hanging="10"/>
        <w:jc w:val="both"/>
      </w:pPr>
      <w:r>
        <w:rPr>
          <w:rFonts w:ascii="Cambria" w:eastAsia="Cambria" w:hAnsi="Cambria" w:cs="Cambria"/>
        </w:rPr>
        <w:t xml:space="preserve">Este acuerdo regula lo relativo a las actas que deberán llevar los órganos de dirección, comités de riesgo e inversiones de las entidades reguladas, sin perjuicio de lo dispuesto en las disposiciones legales o reglamentarias que les sean aplicables. </w:t>
      </w:r>
    </w:p>
    <w:p w14:paraId="727E7FF4" w14:textId="77777777" w:rsidR="000978B3" w:rsidRDefault="001D5792">
      <w:pPr>
        <w:spacing w:after="14"/>
        <w:ind w:left="425"/>
      </w:pPr>
      <w:r>
        <w:rPr>
          <w:rFonts w:ascii="Cambria" w:eastAsia="Cambria" w:hAnsi="Cambria" w:cs="Cambria"/>
          <w:b/>
        </w:rPr>
        <w:t xml:space="preserve"> </w:t>
      </w:r>
    </w:p>
    <w:p w14:paraId="79FFBAF5" w14:textId="77777777" w:rsidR="000978B3" w:rsidRDefault="001D5792">
      <w:pPr>
        <w:pStyle w:val="Ttulo2"/>
        <w:spacing w:after="74"/>
        <w:ind w:left="420"/>
      </w:pPr>
      <w:r>
        <w:lastRenderedPageBreak/>
        <w:t xml:space="preserve">Artículo 2. Requisitos que deben cumplir las actas </w:t>
      </w:r>
    </w:p>
    <w:p w14:paraId="18049633" w14:textId="5B78AB32" w:rsidR="000978B3" w:rsidRDefault="001D5792" w:rsidP="001C3E54">
      <w:pPr>
        <w:spacing w:after="14"/>
        <w:ind w:left="425"/>
      </w:pPr>
      <w:r>
        <w:rPr>
          <w:rFonts w:ascii="Cambria" w:eastAsia="Cambria" w:hAnsi="Cambria" w:cs="Cambria"/>
          <w:b/>
        </w:rPr>
        <w:t xml:space="preserve"> </w:t>
      </w:r>
      <w:r>
        <w:rPr>
          <w:rFonts w:ascii="Cambria" w:eastAsia="Cambria" w:hAnsi="Cambria" w:cs="Cambria"/>
        </w:rPr>
        <w:t xml:space="preserve">Las actas deberán asentarse y llevarse en formato digital y cumplir con los siguientes requisitos: </w:t>
      </w:r>
    </w:p>
    <w:p w14:paraId="0302DFAC" w14:textId="77777777" w:rsidR="000978B3" w:rsidRDefault="001D5792">
      <w:pPr>
        <w:spacing w:after="12"/>
        <w:ind w:left="425"/>
      </w:pPr>
      <w:r>
        <w:rPr>
          <w:rFonts w:ascii="Cambria" w:eastAsia="Cambria" w:hAnsi="Cambria" w:cs="Cambria"/>
        </w:rPr>
        <w:t xml:space="preserve"> </w:t>
      </w:r>
    </w:p>
    <w:p w14:paraId="204B855B" w14:textId="77777777" w:rsidR="000978B3" w:rsidRDefault="001D5792">
      <w:pPr>
        <w:numPr>
          <w:ilvl w:val="0"/>
          <w:numId w:val="4"/>
        </w:numPr>
        <w:spacing w:after="12" w:line="265" w:lineRule="auto"/>
        <w:ind w:hanging="370"/>
        <w:jc w:val="both"/>
      </w:pPr>
      <w:r>
        <w:rPr>
          <w:rFonts w:ascii="Times New Roman" w:eastAsia="Times New Roman" w:hAnsi="Times New Roman" w:cs="Times New Roman"/>
        </w:rPr>
        <w:t xml:space="preserve">Identificar el órgano de dirección o comité a quien correspondan. </w:t>
      </w:r>
    </w:p>
    <w:p w14:paraId="0C47AC8F" w14:textId="77777777" w:rsidR="000978B3" w:rsidRDefault="001D5792">
      <w:pPr>
        <w:numPr>
          <w:ilvl w:val="0"/>
          <w:numId w:val="4"/>
        </w:numPr>
        <w:spacing w:after="12" w:line="265" w:lineRule="auto"/>
        <w:ind w:hanging="370"/>
        <w:jc w:val="both"/>
      </w:pPr>
      <w:r>
        <w:rPr>
          <w:rFonts w:ascii="Times New Roman" w:eastAsia="Times New Roman" w:hAnsi="Times New Roman" w:cs="Times New Roman"/>
        </w:rPr>
        <w:t xml:space="preserve">Identificar quiénes participaron, indicando su cargo, ya sea en calidad de miembros propietarios, suplentes, o terceros invitados, en las discusiones y acuerdos tomados. Adicionalmente, indicar los miembros ausentes y las razones de su ausencia. Para los comités que aplique, deberá indicarse quiénes participan en calidad de miembro externo. </w:t>
      </w:r>
    </w:p>
    <w:p w14:paraId="34B3B2C8" w14:textId="77777777" w:rsidR="000978B3" w:rsidRDefault="001D5792">
      <w:pPr>
        <w:numPr>
          <w:ilvl w:val="0"/>
          <w:numId w:val="4"/>
        </w:numPr>
        <w:spacing w:after="12" w:line="265" w:lineRule="auto"/>
        <w:ind w:hanging="370"/>
        <w:jc w:val="both"/>
      </w:pPr>
      <w:r>
        <w:rPr>
          <w:rFonts w:ascii="Times New Roman" w:eastAsia="Times New Roman" w:hAnsi="Times New Roman" w:cs="Times New Roman"/>
        </w:rPr>
        <w:t xml:space="preserve">Incluir, en forma clara y explícita, todos los asuntos tratados, así como la totalidad de los acuerdos tomados, identificando aquellos tomados en firme. </w:t>
      </w:r>
    </w:p>
    <w:p w14:paraId="6CDE6B69" w14:textId="77777777" w:rsidR="000978B3" w:rsidRDefault="001D5792">
      <w:pPr>
        <w:numPr>
          <w:ilvl w:val="0"/>
          <w:numId w:val="4"/>
        </w:numPr>
        <w:spacing w:after="12" w:line="265" w:lineRule="auto"/>
        <w:ind w:hanging="370"/>
        <w:jc w:val="both"/>
      </w:pPr>
      <w:r>
        <w:rPr>
          <w:rFonts w:ascii="Times New Roman" w:eastAsia="Times New Roman" w:hAnsi="Times New Roman" w:cs="Times New Roman"/>
        </w:rPr>
        <w:t xml:space="preserve">Lo consignado en las actas deberá guardar congruencia, identidad esencial e integridad con todo lo discutido y acordado en la correspondiente sesión. </w:t>
      </w:r>
    </w:p>
    <w:p w14:paraId="2BCB834C" w14:textId="77777777" w:rsidR="000978B3" w:rsidRDefault="001D5792">
      <w:pPr>
        <w:numPr>
          <w:ilvl w:val="0"/>
          <w:numId w:val="4"/>
        </w:numPr>
        <w:spacing w:after="12" w:line="265" w:lineRule="auto"/>
        <w:ind w:hanging="370"/>
        <w:jc w:val="both"/>
      </w:pPr>
      <w:r>
        <w:rPr>
          <w:rFonts w:ascii="Times New Roman" w:eastAsia="Times New Roman" w:hAnsi="Times New Roman" w:cs="Times New Roman"/>
        </w:rPr>
        <w:t xml:space="preserve">Indicación de cuáles miembros de los comités respectivos votaron, la forma en que votaron, así como los motivos o razones, cuando alguno vote en forma negativa o salve su voto. </w:t>
      </w:r>
    </w:p>
    <w:p w14:paraId="3978C0AB" w14:textId="77777777" w:rsidR="000978B3" w:rsidRDefault="001D5792">
      <w:pPr>
        <w:numPr>
          <w:ilvl w:val="0"/>
          <w:numId w:val="4"/>
        </w:numPr>
        <w:spacing w:after="12" w:line="265" w:lineRule="auto"/>
        <w:ind w:hanging="370"/>
        <w:jc w:val="both"/>
      </w:pPr>
      <w:r>
        <w:rPr>
          <w:rFonts w:ascii="Times New Roman" w:eastAsia="Times New Roman" w:hAnsi="Times New Roman" w:cs="Times New Roman"/>
        </w:rPr>
        <w:t xml:space="preserve">Las observaciones que realicen a los asuntos tratados o los acuerdos tomados, cuando así lo solicite cualquiera de los participantes. </w:t>
      </w:r>
    </w:p>
    <w:p w14:paraId="68843397" w14:textId="77777777" w:rsidR="000978B3" w:rsidRDefault="001D5792">
      <w:pPr>
        <w:numPr>
          <w:ilvl w:val="0"/>
          <w:numId w:val="4"/>
        </w:numPr>
        <w:spacing w:after="12" w:line="265" w:lineRule="auto"/>
        <w:ind w:hanging="370"/>
        <w:jc w:val="both"/>
      </w:pPr>
      <w:r>
        <w:rPr>
          <w:rFonts w:ascii="Times New Roman" w:eastAsia="Times New Roman" w:hAnsi="Times New Roman" w:cs="Times New Roman"/>
        </w:rPr>
        <w:t xml:space="preserve">Identificar, de forma concreta y clara, los documentos o informes conocidos o discutidos en las sesiones. Estos documentos forman parte integral del acta y deberán custodiarse junto con ella. </w:t>
      </w:r>
    </w:p>
    <w:p w14:paraId="32BC0F08" w14:textId="09FB980B" w:rsidR="000978B3" w:rsidRDefault="001D5792">
      <w:pPr>
        <w:numPr>
          <w:ilvl w:val="0"/>
          <w:numId w:val="4"/>
        </w:numPr>
        <w:spacing w:after="12" w:line="265" w:lineRule="auto"/>
        <w:ind w:hanging="370"/>
        <w:jc w:val="both"/>
      </w:pPr>
      <w:r>
        <w:rPr>
          <w:rFonts w:ascii="Times New Roman" w:eastAsia="Times New Roman" w:hAnsi="Times New Roman" w:cs="Times New Roman"/>
        </w:rPr>
        <w:t>Las actas deberán ser firmadas por el presidente y secretario debidamente facultados o designados para tales efectos, mediante el uso de un certificado de firma digital, según lo dispuesto en la legislación vigente.</w:t>
      </w:r>
      <w:r w:rsidR="00AF2258">
        <w:rPr>
          <w:rStyle w:val="Refdenotaalpie"/>
          <w:rFonts w:ascii="Times New Roman" w:eastAsia="Times New Roman" w:hAnsi="Times New Roman" w:cs="Times New Roman"/>
        </w:rPr>
        <w:footnoteReference w:id="3"/>
      </w:r>
    </w:p>
    <w:p w14:paraId="73998450" w14:textId="77777777" w:rsidR="000978B3" w:rsidRPr="0070576A" w:rsidRDefault="001D5792">
      <w:pPr>
        <w:numPr>
          <w:ilvl w:val="0"/>
          <w:numId w:val="4"/>
        </w:numPr>
        <w:spacing w:after="12" w:line="265" w:lineRule="auto"/>
        <w:ind w:hanging="370"/>
        <w:jc w:val="both"/>
      </w:pPr>
      <w:r>
        <w:rPr>
          <w:rFonts w:ascii="Times New Roman" w:eastAsia="Times New Roman" w:hAnsi="Times New Roman" w:cs="Times New Roman"/>
        </w:rPr>
        <w:t xml:space="preserve">Indicar la fecha y hora en que inició y se levantó la sesión. </w:t>
      </w:r>
    </w:p>
    <w:p w14:paraId="4713C27C" w14:textId="3BD318F8" w:rsidR="0070576A" w:rsidRPr="0070576A" w:rsidRDefault="0070576A">
      <w:pPr>
        <w:numPr>
          <w:ilvl w:val="0"/>
          <w:numId w:val="4"/>
        </w:numPr>
        <w:spacing w:after="12" w:line="265" w:lineRule="auto"/>
        <w:ind w:hanging="370"/>
        <w:jc w:val="both"/>
        <w:rPr>
          <w:rFonts w:ascii="Times New Roman" w:eastAsia="Times New Roman" w:hAnsi="Times New Roman" w:cs="Times New Roman"/>
        </w:rPr>
      </w:pPr>
      <w:r w:rsidRPr="0070576A">
        <w:rPr>
          <w:rFonts w:ascii="Times New Roman" w:eastAsia="Times New Roman" w:hAnsi="Times New Roman" w:cs="Times New Roman"/>
        </w:rPr>
        <w:t>El acta debe ser almacenada en el repositorio o carpeta que para tales efectos se sirva indicar el secretario del órgano de dirección de conformidad con lo dispuesto en el inciso f) del artículo 4 del presente acuerdo en archivo formato PDF. Su contenido debe ser en formato texto, con excepción a información gráfica, la cual puede ser en formato imagen.</w:t>
      </w:r>
      <w:r>
        <w:rPr>
          <w:rStyle w:val="Refdenotaalpie"/>
          <w:rFonts w:ascii="Times New Roman" w:eastAsia="Times New Roman" w:hAnsi="Times New Roman" w:cs="Times New Roman"/>
        </w:rPr>
        <w:footnoteReference w:id="4"/>
      </w:r>
    </w:p>
    <w:p w14:paraId="6375EC2B" w14:textId="77777777" w:rsidR="000978B3" w:rsidRDefault="001D5792">
      <w:pPr>
        <w:spacing w:after="14"/>
        <w:ind w:left="425"/>
      </w:pPr>
      <w:r>
        <w:rPr>
          <w:rFonts w:ascii="Cambria" w:eastAsia="Cambria" w:hAnsi="Cambria" w:cs="Cambria"/>
          <w:b/>
        </w:rPr>
        <w:t xml:space="preserve"> </w:t>
      </w:r>
    </w:p>
    <w:p w14:paraId="0B98EE93" w14:textId="4915612B" w:rsidR="000978B3" w:rsidRDefault="001D5792" w:rsidP="0047261D">
      <w:pPr>
        <w:pStyle w:val="Ttulo2"/>
        <w:spacing w:after="74"/>
        <w:ind w:left="420"/>
      </w:pPr>
      <w:r>
        <w:t xml:space="preserve"> Artículo 3. Modificación de las actas </w:t>
      </w:r>
    </w:p>
    <w:p w14:paraId="05052E09" w14:textId="77777777" w:rsidR="000978B3" w:rsidRDefault="001D5792" w:rsidP="0047261D">
      <w:pPr>
        <w:pStyle w:val="Ttulo2"/>
        <w:spacing w:after="74"/>
        <w:ind w:left="420"/>
      </w:pPr>
      <w:r>
        <w:t xml:space="preserve"> </w:t>
      </w:r>
    </w:p>
    <w:p w14:paraId="32C3BE53" w14:textId="77777777" w:rsidR="000978B3" w:rsidRDefault="001D5792">
      <w:pPr>
        <w:spacing w:after="23" w:line="252" w:lineRule="auto"/>
        <w:ind w:left="420" w:right="64" w:hanging="10"/>
        <w:jc w:val="both"/>
      </w:pPr>
      <w:r>
        <w:rPr>
          <w:rFonts w:ascii="Cambria" w:eastAsia="Cambria" w:hAnsi="Cambria" w:cs="Cambria"/>
        </w:rPr>
        <w:t xml:space="preserve">Las actas, una vez firmadas, no podrán ser modificadas, total o parcialmente, sino por un acuerdo de una sesión posterior que deberá cumplir con los mismos requisitos que, para ser tomado válidamente, debió cumplir el acuerdo modificado. </w:t>
      </w:r>
    </w:p>
    <w:p w14:paraId="1A6952B1" w14:textId="77777777" w:rsidR="000978B3" w:rsidRDefault="001D5792">
      <w:pPr>
        <w:spacing w:after="14"/>
        <w:ind w:left="425"/>
      </w:pPr>
      <w:r>
        <w:rPr>
          <w:rFonts w:ascii="Cambria" w:eastAsia="Cambria" w:hAnsi="Cambria" w:cs="Cambria"/>
        </w:rPr>
        <w:t xml:space="preserve"> </w:t>
      </w:r>
    </w:p>
    <w:p w14:paraId="5596104A" w14:textId="77777777" w:rsidR="000978B3" w:rsidRDefault="001D5792">
      <w:pPr>
        <w:spacing w:after="23" w:line="252" w:lineRule="auto"/>
        <w:ind w:left="420" w:right="64" w:hanging="10"/>
        <w:jc w:val="both"/>
      </w:pPr>
      <w:r>
        <w:rPr>
          <w:rFonts w:ascii="Cambria" w:eastAsia="Cambria" w:hAnsi="Cambria" w:cs="Cambria"/>
        </w:rPr>
        <w:t xml:space="preserve">Toda modificación deberá fundamentarse. Los motivos deberán quedar claramente consignados en el acta correspondiente. </w:t>
      </w:r>
    </w:p>
    <w:p w14:paraId="78FBC55D" w14:textId="77777777" w:rsidR="000978B3" w:rsidRDefault="001D5792">
      <w:pPr>
        <w:spacing w:after="16"/>
        <w:ind w:left="425"/>
      </w:pPr>
      <w:r>
        <w:rPr>
          <w:rFonts w:ascii="Cambria" w:eastAsia="Cambria" w:hAnsi="Cambria" w:cs="Cambria"/>
        </w:rPr>
        <w:t xml:space="preserve"> </w:t>
      </w:r>
    </w:p>
    <w:p w14:paraId="6DCF82DC" w14:textId="77777777" w:rsidR="000978B3" w:rsidRDefault="001D5792">
      <w:pPr>
        <w:pStyle w:val="Ttulo2"/>
        <w:ind w:left="420"/>
      </w:pPr>
      <w:r>
        <w:lastRenderedPageBreak/>
        <w:t xml:space="preserve">Artículo 4. Obligaciones del secretario del órgano de dirección o comités </w:t>
      </w:r>
    </w:p>
    <w:p w14:paraId="4CDC1859" w14:textId="77777777" w:rsidR="000978B3" w:rsidRDefault="001D5792">
      <w:pPr>
        <w:spacing w:after="14"/>
        <w:ind w:left="425"/>
      </w:pPr>
      <w:r>
        <w:rPr>
          <w:rFonts w:ascii="Cambria" w:eastAsia="Cambria" w:hAnsi="Cambria" w:cs="Cambria"/>
          <w:b/>
        </w:rPr>
        <w:t xml:space="preserve"> </w:t>
      </w:r>
    </w:p>
    <w:p w14:paraId="329EF3DC" w14:textId="77777777" w:rsidR="000978B3" w:rsidRDefault="001D5792">
      <w:pPr>
        <w:spacing w:after="23" w:line="252" w:lineRule="auto"/>
        <w:ind w:left="420" w:right="64" w:hanging="10"/>
        <w:jc w:val="both"/>
      </w:pPr>
      <w:r>
        <w:rPr>
          <w:rFonts w:ascii="Cambria" w:eastAsia="Cambria" w:hAnsi="Cambria" w:cs="Cambria"/>
        </w:rPr>
        <w:t xml:space="preserve">Además de las que legal, reglamentaria o estatutariamente le correspondan, son obligaciones mínimas de quien funja como secretario del correspondiente órgano de dirección o comité: </w:t>
      </w:r>
    </w:p>
    <w:p w14:paraId="16FE1D7C" w14:textId="77777777" w:rsidR="000978B3" w:rsidRDefault="001D5792">
      <w:pPr>
        <w:spacing w:after="14"/>
        <w:ind w:left="425"/>
      </w:pPr>
      <w:r>
        <w:rPr>
          <w:rFonts w:ascii="Cambria" w:eastAsia="Cambria" w:hAnsi="Cambria" w:cs="Cambria"/>
        </w:rPr>
        <w:t xml:space="preserve"> </w:t>
      </w:r>
    </w:p>
    <w:p w14:paraId="2DBDDA5E" w14:textId="77777777" w:rsidR="000978B3" w:rsidRDefault="001D5792">
      <w:pPr>
        <w:numPr>
          <w:ilvl w:val="0"/>
          <w:numId w:val="5"/>
        </w:numPr>
        <w:spacing w:after="150" w:line="265" w:lineRule="auto"/>
        <w:ind w:hanging="360"/>
        <w:jc w:val="both"/>
      </w:pPr>
      <w:r>
        <w:rPr>
          <w:rFonts w:ascii="Times New Roman" w:eastAsia="Times New Roman" w:hAnsi="Times New Roman" w:cs="Times New Roman"/>
        </w:rPr>
        <w:t xml:space="preserve">Asegurarse de que las actas cumplan con lo indicado en este acuerdo. </w:t>
      </w:r>
    </w:p>
    <w:p w14:paraId="279C85D8" w14:textId="77777777" w:rsidR="000978B3" w:rsidRDefault="001D5792">
      <w:pPr>
        <w:numPr>
          <w:ilvl w:val="0"/>
          <w:numId w:val="5"/>
        </w:numPr>
        <w:spacing w:after="12" w:line="265" w:lineRule="auto"/>
        <w:ind w:hanging="360"/>
        <w:jc w:val="both"/>
      </w:pPr>
      <w:r>
        <w:rPr>
          <w:rFonts w:ascii="Times New Roman" w:eastAsia="Times New Roman" w:hAnsi="Times New Roman" w:cs="Times New Roman"/>
        </w:rPr>
        <w:t xml:space="preserve">Verificar y asegurarse de que la sesión sea grabada en forma íntegra, clara y a través de los medios que permitan la adecuada reproducción y conservación de la grabación. </w:t>
      </w:r>
    </w:p>
    <w:p w14:paraId="3AC77335" w14:textId="77777777" w:rsidR="000978B3" w:rsidRDefault="001D5792">
      <w:pPr>
        <w:numPr>
          <w:ilvl w:val="0"/>
          <w:numId w:val="5"/>
        </w:numPr>
        <w:spacing w:after="12" w:line="265" w:lineRule="auto"/>
        <w:ind w:hanging="360"/>
        <w:jc w:val="both"/>
      </w:pPr>
      <w:r>
        <w:rPr>
          <w:rFonts w:ascii="Times New Roman" w:eastAsia="Times New Roman" w:hAnsi="Times New Roman" w:cs="Times New Roman"/>
        </w:rPr>
        <w:t xml:space="preserve">Cerciorarse de que se firme el acta dentro de los plazos establecidos en este acuerdo. </w:t>
      </w:r>
    </w:p>
    <w:p w14:paraId="109B81E9" w14:textId="77777777" w:rsidR="000978B3" w:rsidRDefault="001D5792">
      <w:pPr>
        <w:numPr>
          <w:ilvl w:val="0"/>
          <w:numId w:val="5"/>
        </w:numPr>
        <w:spacing w:after="12" w:line="265" w:lineRule="auto"/>
        <w:ind w:hanging="360"/>
        <w:jc w:val="both"/>
      </w:pPr>
      <w:r>
        <w:rPr>
          <w:rFonts w:ascii="Times New Roman" w:eastAsia="Times New Roman" w:hAnsi="Times New Roman" w:cs="Times New Roman"/>
        </w:rPr>
        <w:t xml:space="preserve">Garantizar que las actas, las grabaciones y los documentos conocidos y discutidos en la correspondiente sesión, se almacenen y conserven en un repositorio o carpeta digital que le permita a la Superintendencia de Pensiones el acceso remoto para consultas y descargas dentro del proceso de supervisión, tanto del acta como de los documentos o informes discutidos en esta y la grabación de la sesión. El repositorio o carpeta digital deberá contar con los mecanismos y estándares de seguridad y registro de bitácoras que aseguren que su contenido, así como el contenido de los documentos, no pueda ser modificado o suprimido después de haberse incluido. </w:t>
      </w:r>
    </w:p>
    <w:p w14:paraId="38D39053" w14:textId="77777777" w:rsidR="000978B3" w:rsidRDefault="001D5792">
      <w:pPr>
        <w:numPr>
          <w:ilvl w:val="0"/>
          <w:numId w:val="5"/>
        </w:numPr>
        <w:spacing w:after="12" w:line="265" w:lineRule="auto"/>
        <w:ind w:hanging="360"/>
        <w:jc w:val="both"/>
      </w:pPr>
      <w:r>
        <w:rPr>
          <w:rFonts w:ascii="Times New Roman" w:eastAsia="Times New Roman" w:hAnsi="Times New Roman" w:cs="Times New Roman"/>
        </w:rPr>
        <w:t xml:space="preserve">Suministrar los accesos y claves necesarios para que el acta, así como todos los documentos e informes que fueron conocidos o discutidos, puedan ser leídos por quienes participaron en la sesión y que, además, las actas puedan ser firmadas por el Presidente y Secretario.  </w:t>
      </w:r>
    </w:p>
    <w:p w14:paraId="2754A156" w14:textId="77777777" w:rsidR="000978B3" w:rsidRDefault="001D5792">
      <w:pPr>
        <w:numPr>
          <w:ilvl w:val="0"/>
          <w:numId w:val="5"/>
        </w:numPr>
        <w:spacing w:after="12" w:line="265" w:lineRule="auto"/>
        <w:ind w:hanging="360"/>
        <w:jc w:val="both"/>
      </w:pPr>
      <w:r>
        <w:rPr>
          <w:rFonts w:ascii="Times New Roman" w:eastAsia="Times New Roman" w:hAnsi="Times New Roman" w:cs="Times New Roman"/>
        </w:rPr>
        <w:t xml:space="preserve">Informar a la Superintendencia de Pensiones la forma y lugar en que puede acceder remotamente, en cualquier tiempo, al repositorio o carpeta, las actas, grabaciones y los documentos o informes conocidos o discutidos en la correspondiente sesión, para su consulta o descarga, así como brindar los accesos, usuarios o claves necesarios para ello, cuando esto no pueda realizarse mediante el uso de un certificado de firma digital. Cuando se hayan discutido informes o documentos, éstos deberán poder consultarse juntamente con el acta en donde fueron conocidos o discutidos. </w:t>
      </w:r>
    </w:p>
    <w:p w14:paraId="74BE2A45" w14:textId="77777777" w:rsidR="000978B3" w:rsidRDefault="001D5792">
      <w:pPr>
        <w:numPr>
          <w:ilvl w:val="0"/>
          <w:numId w:val="5"/>
        </w:numPr>
        <w:spacing w:after="12" w:line="265" w:lineRule="auto"/>
        <w:ind w:hanging="360"/>
        <w:jc w:val="both"/>
      </w:pPr>
      <w:r>
        <w:rPr>
          <w:rFonts w:ascii="Times New Roman" w:eastAsia="Times New Roman" w:hAnsi="Times New Roman" w:cs="Times New Roman"/>
        </w:rPr>
        <w:t xml:space="preserve">Asegurarse que la notificación a la Superintendencia de Pensiones se realice a través del Buzón de la Ventanilla Electrónica de Servicios (VES). </w:t>
      </w:r>
    </w:p>
    <w:p w14:paraId="3E688497" w14:textId="77777777" w:rsidR="000978B3" w:rsidRDefault="001D5792">
      <w:pPr>
        <w:spacing w:after="16"/>
      </w:pPr>
      <w:r>
        <w:rPr>
          <w:rFonts w:ascii="Cambria" w:eastAsia="Cambria" w:hAnsi="Cambria" w:cs="Cambria"/>
        </w:rPr>
        <w:t xml:space="preserve"> </w:t>
      </w:r>
    </w:p>
    <w:p w14:paraId="4AB36182" w14:textId="77777777" w:rsidR="000978B3" w:rsidRDefault="001D5792">
      <w:pPr>
        <w:spacing w:after="14"/>
        <w:ind w:left="416"/>
      </w:pPr>
      <w:r>
        <w:rPr>
          <w:rFonts w:ascii="Cambria" w:eastAsia="Cambria" w:hAnsi="Cambria" w:cs="Cambria"/>
        </w:rPr>
        <w:t xml:space="preserve"> </w:t>
      </w:r>
    </w:p>
    <w:p w14:paraId="5EB08B19" w14:textId="77777777" w:rsidR="000978B3" w:rsidRDefault="001D5792">
      <w:pPr>
        <w:pStyle w:val="Ttulo2"/>
        <w:ind w:left="420"/>
      </w:pPr>
      <w:r>
        <w:t xml:space="preserve">Artículo 5. Plazo </w:t>
      </w:r>
    </w:p>
    <w:p w14:paraId="35D513E0" w14:textId="77777777" w:rsidR="000978B3" w:rsidRDefault="001D5792">
      <w:pPr>
        <w:spacing w:after="16"/>
        <w:ind w:left="416"/>
      </w:pPr>
      <w:r>
        <w:rPr>
          <w:rFonts w:ascii="Cambria" w:eastAsia="Cambria" w:hAnsi="Cambria" w:cs="Cambria"/>
          <w:b/>
        </w:rPr>
        <w:t xml:space="preserve"> </w:t>
      </w:r>
    </w:p>
    <w:p w14:paraId="4A685164" w14:textId="562C6184" w:rsidR="000978B3" w:rsidRDefault="001D5792">
      <w:pPr>
        <w:spacing w:after="56" w:line="236" w:lineRule="auto"/>
        <w:ind w:left="420" w:right="57" w:hanging="10"/>
        <w:jc w:val="both"/>
      </w:pPr>
      <w:r>
        <w:rPr>
          <w:rFonts w:ascii="Cambria" w:eastAsia="Cambria" w:hAnsi="Cambria" w:cs="Cambria"/>
        </w:rPr>
        <w:t xml:space="preserve">El secretario deberá cumplir con el siguiente flujo temporal para la (i) redacción, (ii) </w:t>
      </w:r>
      <w:r>
        <w:rPr>
          <w:rFonts w:ascii="Cambria" w:eastAsia="Cambria" w:hAnsi="Cambria" w:cs="Cambria"/>
          <w:i/>
        </w:rPr>
        <w:t>circulación de borradores, (iii) redacción del acta definitiva, (iv) firma del presidente y secretario, (v) la colocación de las actas y documentos en el repositorio o carpeta indicada en el inciso f) del artículo anterior, y la comunicación a la Superintendencia de Pensiones sobre esto último. El cumplimiento de todas estas etapas, desde la redacción del borrador del acta hasta la comunicación a la Superintendencia de Pensiones sobre la colocación definitiva del acta y los documentos conocidos o discutidos en la respectiva sesión en la carpeta o repositorio, no podrá exceder de diez días hábiles (10) días hábiles, a partir del día siguiente al de la celebración de la correspondiente sesión del Comité de Inversiones y el Comité de Riesgos. Tratándose de los Órganos de Dirección, este plazo será de quince (15) días hábiles.</w:t>
      </w:r>
      <w:r w:rsidR="005B338F">
        <w:rPr>
          <w:rStyle w:val="Refdenotaalpie"/>
          <w:rFonts w:ascii="Cambria" w:eastAsia="Cambria" w:hAnsi="Cambria" w:cs="Cambria"/>
          <w:i/>
        </w:rPr>
        <w:footnoteReference w:id="5"/>
      </w:r>
    </w:p>
    <w:p w14:paraId="1F073B14" w14:textId="77777777" w:rsidR="000978B3" w:rsidRDefault="001D5792">
      <w:pPr>
        <w:spacing w:after="16"/>
        <w:ind w:left="416"/>
      </w:pPr>
      <w:r>
        <w:rPr>
          <w:rFonts w:ascii="Cambria" w:eastAsia="Cambria" w:hAnsi="Cambria" w:cs="Cambria"/>
        </w:rPr>
        <w:t xml:space="preserve"> </w:t>
      </w:r>
    </w:p>
    <w:p w14:paraId="73722842" w14:textId="77777777" w:rsidR="000978B3" w:rsidRDefault="001D5792">
      <w:pPr>
        <w:pStyle w:val="Ttulo2"/>
        <w:ind w:left="420"/>
      </w:pPr>
      <w:r>
        <w:t xml:space="preserve">Artículo 6. Sustituciones </w:t>
      </w:r>
    </w:p>
    <w:p w14:paraId="7D7F5C71" w14:textId="77777777" w:rsidR="000978B3" w:rsidRDefault="001D5792">
      <w:pPr>
        <w:spacing w:after="14"/>
        <w:ind w:left="416"/>
      </w:pPr>
      <w:r>
        <w:rPr>
          <w:rFonts w:ascii="Cambria" w:eastAsia="Cambria" w:hAnsi="Cambria" w:cs="Cambria"/>
          <w:b/>
        </w:rPr>
        <w:t xml:space="preserve"> </w:t>
      </w:r>
    </w:p>
    <w:p w14:paraId="0B70B7EA" w14:textId="77777777" w:rsidR="000978B3" w:rsidRDefault="001D5792">
      <w:pPr>
        <w:spacing w:after="23" w:line="252" w:lineRule="auto"/>
        <w:ind w:left="420" w:right="1" w:hanging="10"/>
        <w:jc w:val="both"/>
      </w:pPr>
      <w:r>
        <w:rPr>
          <w:rFonts w:ascii="Cambria" w:eastAsia="Cambria" w:hAnsi="Cambria" w:cs="Cambria"/>
        </w:rPr>
        <w:lastRenderedPageBreak/>
        <w:t xml:space="preserve">La ausencia, temporal o definitiva, del secretario y presidente titulares a las sesiones deberá estar debidamente justificada en el acta correspondiente. Las ausencias deberán ser suplidas por el nombramiento ad-hoc de uno de los miembros del órgano de dirección o el comité de que se trate. </w:t>
      </w:r>
    </w:p>
    <w:p w14:paraId="7E4C52E3" w14:textId="77777777" w:rsidR="000978B3" w:rsidRDefault="001D5792">
      <w:pPr>
        <w:spacing w:after="16"/>
        <w:ind w:left="416"/>
      </w:pPr>
      <w:r>
        <w:rPr>
          <w:rFonts w:ascii="Cambria" w:eastAsia="Cambria" w:hAnsi="Cambria" w:cs="Cambria"/>
        </w:rPr>
        <w:t xml:space="preserve"> </w:t>
      </w:r>
    </w:p>
    <w:p w14:paraId="5114C839" w14:textId="77777777" w:rsidR="000978B3" w:rsidRDefault="001D5792">
      <w:pPr>
        <w:spacing w:after="23" w:line="252" w:lineRule="auto"/>
        <w:ind w:left="420" w:hanging="10"/>
        <w:jc w:val="both"/>
      </w:pPr>
      <w:r>
        <w:rPr>
          <w:rFonts w:ascii="Cambria" w:eastAsia="Cambria" w:hAnsi="Cambria" w:cs="Cambria"/>
        </w:rPr>
        <w:t xml:space="preserve">El Presidente o el Secretario ad-hoc deberán quedar debidamente identificados en el acta, firmarla en tal condición, y cumplir con todas las obligaciones que correspondan al titular. </w:t>
      </w:r>
    </w:p>
    <w:p w14:paraId="255212FE" w14:textId="77777777" w:rsidR="000978B3" w:rsidRDefault="001D5792">
      <w:pPr>
        <w:spacing w:after="17"/>
        <w:ind w:left="416"/>
      </w:pPr>
      <w:r>
        <w:rPr>
          <w:rFonts w:ascii="Cambria" w:eastAsia="Cambria" w:hAnsi="Cambria" w:cs="Cambria"/>
        </w:rPr>
        <w:t xml:space="preserve"> </w:t>
      </w:r>
    </w:p>
    <w:p w14:paraId="58AF5D68" w14:textId="77777777" w:rsidR="000978B3" w:rsidRDefault="001D5792">
      <w:pPr>
        <w:pStyle w:val="Ttulo2"/>
        <w:ind w:left="420"/>
      </w:pPr>
      <w:r>
        <w:t xml:space="preserve">Artículo 7. Obligaciones de las entidades reguladas </w:t>
      </w:r>
    </w:p>
    <w:p w14:paraId="5A9F5564" w14:textId="77777777" w:rsidR="000978B3" w:rsidRDefault="001D5792">
      <w:pPr>
        <w:spacing w:after="16"/>
        <w:ind w:left="416"/>
      </w:pPr>
      <w:r>
        <w:rPr>
          <w:rFonts w:ascii="Cambria" w:eastAsia="Cambria" w:hAnsi="Cambria" w:cs="Cambria"/>
          <w:b/>
        </w:rPr>
        <w:t xml:space="preserve"> </w:t>
      </w:r>
    </w:p>
    <w:p w14:paraId="2D9BCBC6" w14:textId="77777777" w:rsidR="000978B3" w:rsidRDefault="001D5792">
      <w:pPr>
        <w:spacing w:after="23" w:line="252" w:lineRule="auto"/>
        <w:ind w:left="420" w:right="64" w:hanging="10"/>
        <w:jc w:val="both"/>
      </w:pPr>
      <w:r>
        <w:rPr>
          <w:rFonts w:ascii="Cambria" w:eastAsia="Cambria" w:hAnsi="Cambria" w:cs="Cambria"/>
        </w:rPr>
        <w:t xml:space="preserve">Son obligaciones de las entidades reguladas: </w:t>
      </w:r>
    </w:p>
    <w:p w14:paraId="4CE53ABA" w14:textId="77777777" w:rsidR="000978B3" w:rsidRDefault="001D5792">
      <w:pPr>
        <w:spacing w:after="12"/>
        <w:ind w:left="416"/>
      </w:pPr>
      <w:r>
        <w:rPr>
          <w:rFonts w:ascii="Cambria" w:eastAsia="Cambria" w:hAnsi="Cambria" w:cs="Cambria"/>
        </w:rPr>
        <w:t xml:space="preserve"> </w:t>
      </w:r>
    </w:p>
    <w:p w14:paraId="110ADC92" w14:textId="77777777" w:rsidR="000978B3" w:rsidRDefault="001D5792">
      <w:pPr>
        <w:numPr>
          <w:ilvl w:val="0"/>
          <w:numId w:val="6"/>
        </w:numPr>
        <w:spacing w:after="12" w:line="265" w:lineRule="auto"/>
        <w:ind w:hanging="360"/>
        <w:jc w:val="both"/>
      </w:pPr>
      <w:r>
        <w:rPr>
          <w:rFonts w:ascii="Times New Roman" w:eastAsia="Times New Roman" w:hAnsi="Times New Roman" w:cs="Times New Roman"/>
        </w:rPr>
        <w:t xml:space="preserve">Asegurarse que los comités y los participantes en las sesiones cumplan con las disposiciones establecidas en este acuerdo. </w:t>
      </w:r>
    </w:p>
    <w:p w14:paraId="68BC8F33" w14:textId="77777777" w:rsidR="000978B3" w:rsidRDefault="001D5792">
      <w:pPr>
        <w:numPr>
          <w:ilvl w:val="0"/>
          <w:numId w:val="6"/>
        </w:numPr>
        <w:spacing w:after="12" w:line="265" w:lineRule="auto"/>
        <w:ind w:hanging="360"/>
        <w:jc w:val="both"/>
      </w:pPr>
      <w:r>
        <w:rPr>
          <w:rFonts w:ascii="Times New Roman" w:eastAsia="Times New Roman" w:hAnsi="Times New Roman" w:cs="Times New Roman"/>
        </w:rPr>
        <w:t xml:space="preserve">Adoptar las medidas de seguridad necesarias para evitar que terceros puedan acceder a la información contenida en las actas y los documentos e informes conocidos o discutidos en las correspondientes sesiones o que, una vez firmadas, puedan ser suprimidas, dañadas o modificadas, de cualquier forma, por cualquier persona. </w:t>
      </w:r>
    </w:p>
    <w:p w14:paraId="24CE8047" w14:textId="77777777" w:rsidR="000978B3" w:rsidRDefault="001D5792">
      <w:pPr>
        <w:numPr>
          <w:ilvl w:val="0"/>
          <w:numId w:val="6"/>
        </w:numPr>
        <w:spacing w:after="12" w:line="265" w:lineRule="auto"/>
        <w:ind w:hanging="360"/>
        <w:jc w:val="both"/>
      </w:pPr>
      <w:r>
        <w:rPr>
          <w:rFonts w:ascii="Times New Roman" w:eastAsia="Times New Roman" w:hAnsi="Times New Roman" w:cs="Times New Roman"/>
        </w:rPr>
        <w:t xml:space="preserve">Implementar bitácoras que permitan establecer la fecha y hora, la identidad, y las acciones realizadas por quienes accedieron a las actas, los documentos o los informes conocidos. </w:t>
      </w:r>
    </w:p>
    <w:p w14:paraId="211BFB16" w14:textId="77777777" w:rsidR="000978B3" w:rsidRDefault="001D5792">
      <w:pPr>
        <w:numPr>
          <w:ilvl w:val="0"/>
          <w:numId w:val="6"/>
        </w:numPr>
        <w:spacing w:after="12" w:line="265" w:lineRule="auto"/>
        <w:ind w:hanging="360"/>
        <w:jc w:val="both"/>
      </w:pPr>
      <w:r>
        <w:rPr>
          <w:rFonts w:ascii="Times New Roman" w:eastAsia="Times New Roman" w:hAnsi="Times New Roman" w:cs="Times New Roman"/>
        </w:rPr>
        <w:t xml:space="preserve">Velar por la autenticidad e integridad de todos los documentos registrados en la carpeta o repositorio previstos este Acuerdo. </w:t>
      </w:r>
    </w:p>
    <w:p w14:paraId="497C45EC" w14:textId="2D30374C" w:rsidR="000978B3" w:rsidRDefault="001D5792">
      <w:pPr>
        <w:numPr>
          <w:ilvl w:val="0"/>
          <w:numId w:val="6"/>
        </w:numPr>
        <w:spacing w:after="36" w:line="265" w:lineRule="auto"/>
        <w:ind w:hanging="360"/>
        <w:jc w:val="both"/>
      </w:pPr>
      <w:r>
        <w:rPr>
          <w:rFonts w:ascii="Times New Roman" w:eastAsia="Times New Roman" w:hAnsi="Times New Roman" w:cs="Times New Roman"/>
        </w:rPr>
        <w:t>Conservar las grabaciones de las sesiones, las actas, y los documentos e informes conocidos y discutidos por los órganos de dirección y los comités, durante el plazo establecido en este acuerdo.</w:t>
      </w:r>
      <w:r w:rsidR="0073081A">
        <w:rPr>
          <w:rStyle w:val="Refdenotaalpie"/>
          <w:rFonts w:ascii="Times New Roman" w:eastAsia="Times New Roman" w:hAnsi="Times New Roman" w:cs="Times New Roman"/>
        </w:rPr>
        <w:footnoteReference w:id="6"/>
      </w:r>
    </w:p>
    <w:p w14:paraId="3F933AC9" w14:textId="77777777" w:rsidR="000978B3" w:rsidRDefault="001D5792">
      <w:pPr>
        <w:spacing w:after="19"/>
        <w:ind w:left="720"/>
      </w:pPr>
      <w:r>
        <w:rPr>
          <w:rFonts w:ascii="Times New Roman" w:eastAsia="Times New Roman" w:hAnsi="Times New Roman" w:cs="Times New Roman"/>
        </w:rPr>
        <w:t xml:space="preserve"> </w:t>
      </w:r>
    </w:p>
    <w:p w14:paraId="0E4318E0" w14:textId="77777777" w:rsidR="000978B3" w:rsidRDefault="001D5792">
      <w:pPr>
        <w:pStyle w:val="Ttulo2"/>
        <w:ind w:left="420"/>
      </w:pPr>
      <w:r>
        <w:t xml:space="preserve">Artículo 8. Confidencialidad de la información </w:t>
      </w:r>
    </w:p>
    <w:p w14:paraId="3F1DF369" w14:textId="77777777" w:rsidR="000978B3" w:rsidRDefault="001D5792">
      <w:pPr>
        <w:spacing w:after="14"/>
        <w:ind w:left="416"/>
      </w:pPr>
      <w:r>
        <w:rPr>
          <w:rFonts w:ascii="Cambria" w:eastAsia="Cambria" w:hAnsi="Cambria" w:cs="Cambria"/>
          <w:b/>
        </w:rPr>
        <w:t xml:space="preserve"> </w:t>
      </w:r>
    </w:p>
    <w:p w14:paraId="7B0FD929" w14:textId="77777777" w:rsidR="000978B3" w:rsidRDefault="001D5792">
      <w:pPr>
        <w:spacing w:after="23" w:line="252" w:lineRule="auto"/>
        <w:ind w:left="420" w:hanging="10"/>
        <w:jc w:val="both"/>
      </w:pPr>
      <w:r>
        <w:rPr>
          <w:rFonts w:ascii="Cambria" w:eastAsia="Cambria" w:hAnsi="Cambria" w:cs="Cambria"/>
        </w:rPr>
        <w:t xml:space="preserve">Los funcionarios de la Superintendencia de Pensiones que, en razón de las labores de supervisión, accedan a la información antes dicha, deberán guardar el deber de no divulgación previsto en el artículo 24 de la Constitución Política, el artículo 67 de la Ley de Protección al Trabajador, N°7983, y 166 de la Ley Reguladora del Mercado de Valores, N°7732. </w:t>
      </w:r>
    </w:p>
    <w:p w14:paraId="2A0AE7D1" w14:textId="77777777" w:rsidR="000978B3" w:rsidRDefault="001D5792">
      <w:pPr>
        <w:spacing w:after="16"/>
        <w:ind w:left="416"/>
      </w:pPr>
      <w:r>
        <w:rPr>
          <w:rFonts w:ascii="Cambria" w:eastAsia="Cambria" w:hAnsi="Cambria" w:cs="Cambria"/>
        </w:rPr>
        <w:t xml:space="preserve"> </w:t>
      </w:r>
    </w:p>
    <w:p w14:paraId="7F6C0261" w14:textId="77777777" w:rsidR="000978B3" w:rsidRDefault="001D5792">
      <w:pPr>
        <w:pStyle w:val="Ttulo2"/>
        <w:ind w:left="420"/>
      </w:pPr>
      <w:r>
        <w:t xml:space="preserve">Artículo 9. Plazo de conservación de las actas </w:t>
      </w:r>
    </w:p>
    <w:p w14:paraId="6DA4520D" w14:textId="77777777" w:rsidR="000978B3" w:rsidRDefault="001D5792">
      <w:pPr>
        <w:spacing w:after="11"/>
        <w:ind w:left="416"/>
      </w:pPr>
      <w:r>
        <w:rPr>
          <w:rFonts w:ascii="Cambria" w:eastAsia="Cambria" w:hAnsi="Cambria" w:cs="Cambria"/>
          <w:b/>
        </w:rPr>
        <w:t xml:space="preserve"> </w:t>
      </w:r>
    </w:p>
    <w:p w14:paraId="53EC9EA7" w14:textId="43D0A62E" w:rsidR="000978B3" w:rsidRDefault="001D5792">
      <w:pPr>
        <w:spacing w:after="23" w:line="252" w:lineRule="auto"/>
        <w:ind w:left="420" w:right="64" w:hanging="10"/>
        <w:jc w:val="both"/>
        <w:rPr>
          <w:rFonts w:ascii="Cambria" w:eastAsia="Cambria" w:hAnsi="Cambria" w:cs="Cambria"/>
        </w:rPr>
      </w:pPr>
      <w:r>
        <w:rPr>
          <w:rFonts w:ascii="Cambria" w:eastAsia="Cambria" w:hAnsi="Cambria" w:cs="Cambria"/>
        </w:rPr>
        <w:t>Deberán conservarse por un plazo no menor a diez años las actas electrónicas anteriores a la fecha de entrada en vigencia de este acuerdo; las que se lleven de conformidad con estas disposiciones; y los documentos e informes conocidos y discutidos por los órganos de dirección y los comités. Las grabaciones de las sesiones deberán conservarse por un plazo no menor a cinco años.</w:t>
      </w:r>
      <w:r w:rsidR="00B61EDE">
        <w:rPr>
          <w:rStyle w:val="Refdenotaalpie"/>
          <w:rFonts w:ascii="Cambria" w:eastAsia="Cambria" w:hAnsi="Cambria" w:cs="Cambria"/>
        </w:rPr>
        <w:footnoteReference w:id="7"/>
      </w:r>
      <w:r>
        <w:rPr>
          <w:rFonts w:ascii="Cambria" w:eastAsia="Cambria" w:hAnsi="Cambria" w:cs="Cambria"/>
        </w:rPr>
        <w:t xml:space="preserve"> </w:t>
      </w:r>
    </w:p>
    <w:p w14:paraId="2BAC7243" w14:textId="77777777" w:rsidR="006A7E3F" w:rsidRDefault="006A7E3F">
      <w:pPr>
        <w:spacing w:after="23" w:line="252" w:lineRule="auto"/>
        <w:ind w:left="420" w:right="64" w:hanging="10"/>
        <w:jc w:val="both"/>
        <w:rPr>
          <w:rFonts w:ascii="Cambria" w:eastAsia="Cambria" w:hAnsi="Cambria" w:cs="Cambria"/>
        </w:rPr>
      </w:pPr>
    </w:p>
    <w:p w14:paraId="7D81D246" w14:textId="77777777" w:rsidR="006A7E3F" w:rsidRDefault="006A7E3F">
      <w:pPr>
        <w:spacing w:after="23" w:line="252" w:lineRule="auto"/>
        <w:ind w:left="420" w:right="64" w:hanging="10"/>
        <w:jc w:val="both"/>
      </w:pPr>
    </w:p>
    <w:p w14:paraId="463A0FE5" w14:textId="0594D97C" w:rsidR="000978B3" w:rsidRDefault="001D5792" w:rsidP="00E40F41">
      <w:pPr>
        <w:spacing w:after="249"/>
        <w:ind w:left="416"/>
      </w:pPr>
      <w:r>
        <w:rPr>
          <w:rFonts w:ascii="Cambria" w:eastAsia="Cambria" w:hAnsi="Cambria" w:cs="Cambria"/>
        </w:rPr>
        <w:lastRenderedPageBreak/>
        <w:t xml:space="preserve"> </w:t>
      </w:r>
    </w:p>
    <w:p w14:paraId="3C80AB12" w14:textId="77777777" w:rsidR="000978B3" w:rsidRDefault="001D5792">
      <w:pPr>
        <w:pStyle w:val="Ttulo2"/>
        <w:ind w:left="420"/>
      </w:pPr>
      <w:r>
        <w:t>Artículo 10.</w:t>
      </w:r>
      <w:r>
        <w:rPr>
          <w:b w:val="0"/>
        </w:rPr>
        <w:t xml:space="preserve"> </w:t>
      </w:r>
      <w:r>
        <w:t xml:space="preserve">Actas de otros comités </w:t>
      </w:r>
    </w:p>
    <w:p w14:paraId="2F2F9414" w14:textId="77777777" w:rsidR="000978B3" w:rsidRDefault="001D5792">
      <w:pPr>
        <w:spacing w:after="0"/>
        <w:ind w:left="699"/>
      </w:pPr>
      <w:r>
        <w:rPr>
          <w:rFonts w:ascii="Cambria" w:eastAsia="Cambria" w:hAnsi="Cambria" w:cs="Cambria"/>
        </w:rPr>
        <w:t xml:space="preserve"> </w:t>
      </w:r>
    </w:p>
    <w:p w14:paraId="4F508221" w14:textId="1A81ED31" w:rsidR="000978B3" w:rsidRDefault="001D5792">
      <w:pPr>
        <w:spacing w:after="23" w:line="252" w:lineRule="auto"/>
        <w:ind w:left="420" w:right="64" w:hanging="10"/>
        <w:jc w:val="both"/>
      </w:pPr>
      <w:r>
        <w:rPr>
          <w:rFonts w:ascii="Cambria" w:eastAsia="Cambria" w:hAnsi="Cambria" w:cs="Cambria"/>
        </w:rPr>
        <w:t>Las entidades reguladas, de forma potestativa, podrán aplicar estas disposiciones a las sesiones y actas de los Comités de Auditoría y demás comités que la entidad estime pertinentes.</w:t>
      </w:r>
      <w:r w:rsidR="00B628F3">
        <w:rPr>
          <w:rStyle w:val="Refdenotaalpie"/>
          <w:rFonts w:ascii="Cambria" w:eastAsia="Cambria" w:hAnsi="Cambria" w:cs="Cambria"/>
        </w:rPr>
        <w:footnoteReference w:id="8"/>
      </w:r>
    </w:p>
    <w:p w14:paraId="5E9D1509" w14:textId="77777777" w:rsidR="000978B3" w:rsidRDefault="001D5792">
      <w:pPr>
        <w:spacing w:after="0"/>
        <w:ind w:left="416"/>
        <w:rPr>
          <w:rFonts w:ascii="Cambria" w:eastAsia="Cambria" w:hAnsi="Cambria" w:cs="Cambria"/>
        </w:rPr>
      </w:pPr>
      <w:r>
        <w:rPr>
          <w:rFonts w:ascii="Cambria" w:eastAsia="Cambria" w:hAnsi="Cambria" w:cs="Cambria"/>
        </w:rPr>
        <w:t xml:space="preserve"> </w:t>
      </w:r>
    </w:p>
    <w:p w14:paraId="0D41F9DE" w14:textId="2F4EB27C" w:rsidR="009A181C" w:rsidRDefault="009A181C" w:rsidP="009A181C">
      <w:pPr>
        <w:pStyle w:val="Ttulo2"/>
        <w:ind w:left="420"/>
      </w:pPr>
      <w:r>
        <w:t>Artículo 11. Carpeta “Gobierno”</w:t>
      </w:r>
      <w:r>
        <w:rPr>
          <w:rStyle w:val="Refdenotaalpie"/>
        </w:rPr>
        <w:footnoteReference w:id="9"/>
      </w:r>
    </w:p>
    <w:p w14:paraId="44DF06FF" w14:textId="77777777" w:rsidR="009A181C" w:rsidRPr="009A181C" w:rsidRDefault="009A181C" w:rsidP="009A181C"/>
    <w:p w14:paraId="371B5F43"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En el repositorio que para los efectos del inciso f) del artículo 4 anterior, se designe por parte del órgano de dirección, la entidad supervisada debe incluir una carpeta con el nombre “Gobierno” que incluya (al menos) la versión vigente de los siguientes documentos, cuando corresponda:</w:t>
      </w:r>
    </w:p>
    <w:p w14:paraId="30226E39" w14:textId="77777777" w:rsidR="009A181C" w:rsidRPr="009A181C" w:rsidRDefault="009A181C" w:rsidP="009A181C">
      <w:pPr>
        <w:spacing w:after="0"/>
        <w:ind w:left="416"/>
        <w:rPr>
          <w:rFonts w:ascii="Cambria" w:eastAsia="Cambria" w:hAnsi="Cambria" w:cs="Cambria"/>
        </w:rPr>
      </w:pPr>
    </w:p>
    <w:p w14:paraId="33EB553A"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Reglamento del fondo colectivo o fondo especial</w:t>
      </w:r>
    </w:p>
    <w:p w14:paraId="663167B6"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Plan estratégico institucional y la asignación estratégica de activos</w:t>
      </w:r>
    </w:p>
    <w:p w14:paraId="1064A290"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Plan operativo</w:t>
      </w:r>
    </w:p>
    <w:p w14:paraId="7FBD21EF"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Plan de tecnologías de información</w:t>
      </w:r>
    </w:p>
    <w:p w14:paraId="15CBD3CD"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Plan de continuidad del negocio</w:t>
      </w:r>
    </w:p>
    <w:p w14:paraId="47890A42"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Plan de contingencia</w:t>
      </w:r>
    </w:p>
    <w:p w14:paraId="6F5B54F3"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Política de inversión y de liquidez</w:t>
      </w:r>
    </w:p>
    <w:p w14:paraId="1DD6D95A"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Política de revalorización de pensiones (fondos colectivos)</w:t>
      </w:r>
    </w:p>
    <w:p w14:paraId="565D1AE6"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Política de solvencia (fondos colectivos)</w:t>
      </w:r>
    </w:p>
    <w:p w14:paraId="4CDDD527"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Política de conflictos de interés</w:t>
      </w:r>
    </w:p>
    <w:p w14:paraId="75470CB6"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Política de idoneidad</w:t>
      </w:r>
    </w:p>
    <w:p w14:paraId="41BF9043"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Política de evaluación del desempeño</w:t>
      </w:r>
    </w:p>
    <w:p w14:paraId="6D0E34C7"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Manual de políticas y procedimientos de cumplimiento (Ley 7786)</w:t>
      </w:r>
    </w:p>
    <w:p w14:paraId="550B9959"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Marco de gestión de riesgo y la declaración de apetito de riesgo</w:t>
      </w:r>
    </w:p>
    <w:p w14:paraId="3906CA44"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Código de gobierno corporativo</w:t>
      </w:r>
    </w:p>
    <w:p w14:paraId="548A71DC"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Código de ética</w:t>
      </w:r>
    </w:p>
    <w:p w14:paraId="5E3EF8FC"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Acuerdos del Órgano de dirección sobre los modelos de negocios (NIIF 9) aprobados</w:t>
      </w:r>
    </w:p>
    <w:p w14:paraId="30E2C340"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Metodologías asociadas a la cuantificación del riesgo de crédito (pérdidas esperadas y evaluación de emisores), riesgo de mercado, riesgo de liquidez y riesgo operativo</w:t>
      </w:r>
    </w:p>
    <w:p w14:paraId="066930B7"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Plan de capacitación anual</w:t>
      </w:r>
    </w:p>
    <w:p w14:paraId="0C7E9461"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w:t>
      </w:r>
      <w:r w:rsidRPr="009A181C">
        <w:rPr>
          <w:rFonts w:ascii="Cambria" w:eastAsia="Cambria" w:hAnsi="Cambria" w:cs="Cambria"/>
        </w:rPr>
        <w:tab/>
        <w:t>Contratos y acuerdos de servicios vigentes, así como el documento que consigne el acto de aprobación externa cuando corresponda.</w:t>
      </w:r>
    </w:p>
    <w:p w14:paraId="6F0F140B" w14:textId="77777777" w:rsidR="009A181C" w:rsidRPr="009A181C" w:rsidRDefault="009A181C" w:rsidP="009A181C">
      <w:pPr>
        <w:spacing w:after="0"/>
        <w:ind w:left="416"/>
        <w:rPr>
          <w:rFonts w:ascii="Cambria" w:eastAsia="Cambria" w:hAnsi="Cambria" w:cs="Cambria"/>
        </w:rPr>
      </w:pPr>
    </w:p>
    <w:p w14:paraId="3080DCCA"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Es deber de cada entidad supervisada la actualización oportuna de esta documentación de manera que en ese repositorio se mantendrá únicamente la versión vigente de esos documentos. Por tanto, se presume que la información consignada es la vigente en ese momento, sin perjuicio del ejercicio de las potestades de supervisión que corresponden a la Superintendencia para su verificación.</w:t>
      </w:r>
    </w:p>
    <w:p w14:paraId="5AA2EF59" w14:textId="77777777" w:rsidR="009A181C" w:rsidRPr="009A181C" w:rsidRDefault="009A181C" w:rsidP="009A181C">
      <w:pPr>
        <w:spacing w:after="0"/>
        <w:ind w:left="416"/>
        <w:rPr>
          <w:rFonts w:ascii="Cambria" w:eastAsia="Cambria" w:hAnsi="Cambria" w:cs="Cambria"/>
        </w:rPr>
      </w:pPr>
    </w:p>
    <w:p w14:paraId="37C50B7D"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lastRenderedPageBreak/>
        <w:t>El formato de estos documentos debe ser el mismo señalado para las actas en el inciso j del artículo 2.</w:t>
      </w:r>
    </w:p>
    <w:p w14:paraId="1D56924E" w14:textId="77777777" w:rsidR="009A181C" w:rsidRPr="009A181C" w:rsidRDefault="009A181C" w:rsidP="009A181C">
      <w:pPr>
        <w:spacing w:after="0"/>
        <w:ind w:left="416"/>
        <w:rPr>
          <w:rFonts w:ascii="Cambria" w:eastAsia="Cambria" w:hAnsi="Cambria" w:cs="Cambria"/>
        </w:rPr>
      </w:pPr>
    </w:p>
    <w:p w14:paraId="1D377049"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Cada vez que la entidad actualice o sustituya algún documento, debe remitir a la Superintendencia de Pensiones mediante los canales formales de comunicación el detalle y naturaleza del cambio; indicando el número de acta, fecha y el número de acuerdo, o en su defecto, el mecanismo de oficialización del cambio.</w:t>
      </w:r>
    </w:p>
    <w:p w14:paraId="72DB71F7" w14:textId="77777777" w:rsidR="009A181C" w:rsidRPr="009A181C" w:rsidRDefault="009A181C" w:rsidP="009A181C">
      <w:pPr>
        <w:spacing w:after="0"/>
        <w:ind w:left="416"/>
        <w:rPr>
          <w:rFonts w:ascii="Cambria" w:eastAsia="Cambria" w:hAnsi="Cambria" w:cs="Cambria"/>
        </w:rPr>
      </w:pPr>
    </w:p>
    <w:p w14:paraId="67AFFB93" w14:textId="77777777" w:rsidR="009A181C" w:rsidRPr="009A181C" w:rsidRDefault="009A181C" w:rsidP="009A181C">
      <w:pPr>
        <w:spacing w:after="0"/>
        <w:ind w:left="416"/>
        <w:rPr>
          <w:rFonts w:ascii="Cambria" w:eastAsia="Cambria" w:hAnsi="Cambria" w:cs="Cambria"/>
        </w:rPr>
      </w:pPr>
      <w:r w:rsidRPr="009A181C">
        <w:rPr>
          <w:rFonts w:ascii="Cambria" w:eastAsia="Cambria" w:hAnsi="Cambria" w:cs="Cambria"/>
        </w:rPr>
        <w:t>En caso de que en un mismo documento institucional concurran varios de los documentos indicados, complementariamente la entidad supervisada deberá informar cuál de los documentos ha sido ajustado.</w:t>
      </w:r>
    </w:p>
    <w:p w14:paraId="65533780" w14:textId="77777777" w:rsidR="009A181C" w:rsidRPr="009A181C" w:rsidRDefault="009A181C" w:rsidP="009A181C">
      <w:pPr>
        <w:spacing w:after="0"/>
        <w:ind w:left="416"/>
        <w:rPr>
          <w:rFonts w:ascii="Cambria" w:eastAsia="Cambria" w:hAnsi="Cambria" w:cs="Cambria"/>
        </w:rPr>
      </w:pPr>
    </w:p>
    <w:p w14:paraId="7D1CE716" w14:textId="4485286E" w:rsidR="006A7E3F" w:rsidRPr="009A181C" w:rsidRDefault="009A181C" w:rsidP="009A181C">
      <w:pPr>
        <w:spacing w:after="0"/>
        <w:ind w:left="416"/>
        <w:rPr>
          <w:rFonts w:ascii="Cambria" w:eastAsia="Cambria" w:hAnsi="Cambria" w:cs="Cambria"/>
        </w:rPr>
      </w:pPr>
      <w:r w:rsidRPr="009A181C">
        <w:rPr>
          <w:rFonts w:ascii="Cambria" w:eastAsia="Cambria" w:hAnsi="Cambria" w:cs="Cambria"/>
        </w:rPr>
        <w:t>Mediante un acto debidamente motivado, SUPEN comunicará la inclusión de nuevos documentos requeridos en este repositorio, o la eliminación de alguno de ellos.</w:t>
      </w:r>
    </w:p>
    <w:p w14:paraId="4B3CED6F" w14:textId="77777777" w:rsidR="000978B3" w:rsidRDefault="001D5792">
      <w:pPr>
        <w:spacing w:after="0"/>
        <w:ind w:left="416"/>
      </w:pPr>
      <w:r>
        <w:rPr>
          <w:rFonts w:ascii="Cambria" w:eastAsia="Cambria" w:hAnsi="Cambria" w:cs="Cambria"/>
          <w:i/>
        </w:rPr>
        <w:t xml:space="preserve"> </w:t>
      </w:r>
    </w:p>
    <w:p w14:paraId="7B6D9C21" w14:textId="1C98BA1C" w:rsidR="000978B3" w:rsidRDefault="001D5792">
      <w:pPr>
        <w:spacing w:after="23" w:line="252" w:lineRule="auto"/>
        <w:ind w:left="420" w:right="4" w:hanging="10"/>
        <w:jc w:val="both"/>
      </w:pPr>
      <w:r>
        <w:rPr>
          <w:rFonts w:ascii="Cambria" w:eastAsia="Cambria" w:hAnsi="Cambria" w:cs="Cambria"/>
          <w:b/>
        </w:rPr>
        <w:t>Transitorio</w:t>
      </w:r>
      <w:r w:rsidR="00700838">
        <w:rPr>
          <w:rFonts w:ascii="Cambria" w:eastAsia="Cambria" w:hAnsi="Cambria" w:cs="Cambria"/>
          <w:b/>
        </w:rPr>
        <w:t xml:space="preserve"> I:</w:t>
      </w:r>
      <w:r>
        <w:rPr>
          <w:rFonts w:ascii="Cambria" w:eastAsia="Cambria" w:hAnsi="Cambria" w:cs="Cambria"/>
        </w:rPr>
        <w:t xml:space="preserve"> Las actas y las correspondientes sesiones de los Órganos de dirección y de los Comités de riesgo y de inversiones de las entidades reguladas, se regirán de acuerdo a la regulación vigente a la fecha en que se hayan celebrado.</w:t>
      </w:r>
      <w:r w:rsidR="00477141">
        <w:rPr>
          <w:rStyle w:val="Refdenotaalpie"/>
          <w:rFonts w:ascii="Cambria" w:eastAsia="Cambria" w:hAnsi="Cambria" w:cs="Cambria"/>
        </w:rPr>
        <w:footnoteReference w:id="10"/>
      </w:r>
      <w:r>
        <w:rPr>
          <w:rFonts w:ascii="Cambria" w:eastAsia="Cambria" w:hAnsi="Cambria" w:cs="Cambria"/>
        </w:rPr>
        <w:t xml:space="preserve"> </w:t>
      </w:r>
    </w:p>
    <w:p w14:paraId="370B91E7" w14:textId="77777777" w:rsidR="000978B3" w:rsidRDefault="001D5792">
      <w:pPr>
        <w:spacing w:after="0"/>
        <w:ind w:left="416"/>
      </w:pPr>
      <w:r>
        <w:rPr>
          <w:rFonts w:ascii="Cambria" w:eastAsia="Cambria" w:hAnsi="Cambria" w:cs="Cambria"/>
        </w:rPr>
        <w:t xml:space="preserve"> </w:t>
      </w:r>
    </w:p>
    <w:p w14:paraId="51E924C2" w14:textId="2381097F" w:rsidR="000978B3" w:rsidRDefault="001D5792">
      <w:pPr>
        <w:spacing w:after="0"/>
        <w:ind w:left="416"/>
      </w:pPr>
      <w:r w:rsidRPr="00005404">
        <w:rPr>
          <w:rFonts w:ascii="Cambria" w:eastAsia="Cambria" w:hAnsi="Cambria" w:cs="Cambria"/>
          <w:b/>
          <w:bCs/>
        </w:rPr>
        <w:t xml:space="preserve"> </w:t>
      </w:r>
      <w:r w:rsidR="00005404" w:rsidRPr="00005404">
        <w:rPr>
          <w:rFonts w:ascii="Cambria" w:eastAsia="Cambria" w:hAnsi="Cambria" w:cs="Cambria"/>
          <w:b/>
          <w:bCs/>
        </w:rPr>
        <w:t>Transitorio II:</w:t>
      </w:r>
      <w:r w:rsidR="00005404" w:rsidRPr="00005404">
        <w:rPr>
          <w:rFonts w:ascii="Cambria" w:eastAsia="Cambria" w:hAnsi="Cambria" w:cs="Cambria"/>
        </w:rPr>
        <w:t xml:space="preserve">  Las entidades supervisadas disponen de 30 días naturales luego de la entrada en vigor de la reforma a este acuerdo para completar los documentos indicados en el artículo 11.</w:t>
      </w:r>
      <w:r w:rsidR="00005404">
        <w:rPr>
          <w:rStyle w:val="Refdenotaalpie"/>
          <w:rFonts w:ascii="Cambria" w:eastAsia="Cambria" w:hAnsi="Cambria" w:cs="Cambria"/>
        </w:rPr>
        <w:footnoteReference w:id="11"/>
      </w:r>
    </w:p>
    <w:p w14:paraId="7833F825" w14:textId="77777777" w:rsidR="000978B3" w:rsidRDefault="001D5792">
      <w:pPr>
        <w:spacing w:after="0"/>
        <w:ind w:left="416"/>
      </w:pPr>
      <w:r>
        <w:rPr>
          <w:rFonts w:ascii="Cambria" w:eastAsia="Cambria" w:hAnsi="Cambria" w:cs="Cambria"/>
          <w:b/>
        </w:rPr>
        <w:t xml:space="preserve"> </w:t>
      </w:r>
    </w:p>
    <w:p w14:paraId="7CC3A331" w14:textId="4D467847" w:rsidR="000978B3" w:rsidRDefault="001D5792">
      <w:pPr>
        <w:pStyle w:val="Ttulo2"/>
        <w:ind w:left="420"/>
      </w:pPr>
      <w:r>
        <w:t>II</w:t>
      </w:r>
      <w:r w:rsidR="00005404">
        <w:t>I</w:t>
      </w:r>
      <w:r>
        <w:t xml:space="preserve">. Vigencia </w:t>
      </w:r>
    </w:p>
    <w:p w14:paraId="78588376" w14:textId="77777777" w:rsidR="000978B3" w:rsidRDefault="001D5792">
      <w:pPr>
        <w:spacing w:after="0"/>
        <w:ind w:left="416"/>
      </w:pPr>
      <w:r>
        <w:rPr>
          <w:rFonts w:ascii="Cambria" w:eastAsia="Cambria" w:hAnsi="Cambria" w:cs="Cambria"/>
          <w:b/>
        </w:rPr>
        <w:t xml:space="preserve"> </w:t>
      </w:r>
    </w:p>
    <w:p w14:paraId="76B83F06" w14:textId="77777777" w:rsidR="000978B3" w:rsidRDefault="001D5792">
      <w:pPr>
        <w:spacing w:after="0"/>
        <w:ind w:left="416"/>
      </w:pPr>
      <w:r>
        <w:rPr>
          <w:rFonts w:ascii="Cambria" w:eastAsia="Cambria" w:hAnsi="Cambria" w:cs="Cambria"/>
          <w:b/>
        </w:rPr>
        <w:t xml:space="preserve"> </w:t>
      </w:r>
    </w:p>
    <w:p w14:paraId="1556BE72" w14:textId="3C85908B" w:rsidR="000978B3" w:rsidRDefault="001D5792">
      <w:pPr>
        <w:spacing w:after="23" w:line="252" w:lineRule="auto"/>
        <w:ind w:left="420" w:right="64" w:hanging="10"/>
        <w:jc w:val="both"/>
      </w:pPr>
      <w:r>
        <w:rPr>
          <w:rFonts w:ascii="Cambria" w:eastAsia="Cambria" w:hAnsi="Cambria" w:cs="Cambria"/>
        </w:rPr>
        <w:t>Rige a partir del 04 de enero de 2021.</w:t>
      </w:r>
      <w:r w:rsidR="00434BFE">
        <w:rPr>
          <w:rStyle w:val="Refdenotaalpie"/>
          <w:rFonts w:ascii="Cambria" w:eastAsia="Cambria" w:hAnsi="Cambria" w:cs="Cambria"/>
        </w:rPr>
        <w:footnoteReference w:id="12"/>
      </w:r>
    </w:p>
    <w:p w14:paraId="3BD4D93B" w14:textId="77777777" w:rsidR="000978B3" w:rsidRDefault="001D5792">
      <w:pPr>
        <w:spacing w:after="14"/>
        <w:ind w:left="416"/>
      </w:pPr>
      <w:r>
        <w:rPr>
          <w:rFonts w:ascii="Cambria" w:eastAsia="Cambria" w:hAnsi="Cambria" w:cs="Cambria"/>
        </w:rPr>
        <w:t xml:space="preserve"> </w:t>
      </w:r>
    </w:p>
    <w:p w14:paraId="6F9E80A7" w14:textId="77777777" w:rsidR="000978B3" w:rsidRDefault="001D5792">
      <w:pPr>
        <w:spacing w:after="16"/>
        <w:ind w:left="416"/>
      </w:pPr>
      <w:r>
        <w:rPr>
          <w:rFonts w:ascii="Cambria" w:eastAsia="Cambria" w:hAnsi="Cambria" w:cs="Cambria"/>
        </w:rPr>
        <w:t xml:space="preserve"> </w:t>
      </w:r>
    </w:p>
    <w:p w14:paraId="2EBA66CD" w14:textId="77777777" w:rsidR="000978B3" w:rsidRDefault="001D5792">
      <w:pPr>
        <w:spacing w:after="23" w:line="252" w:lineRule="auto"/>
        <w:ind w:left="420" w:right="64" w:hanging="10"/>
        <w:jc w:val="both"/>
      </w:pPr>
      <w:r>
        <w:rPr>
          <w:rFonts w:ascii="Cambria" w:eastAsia="Cambria" w:hAnsi="Cambria" w:cs="Cambria"/>
        </w:rPr>
        <w:t xml:space="preserve">Comuníquese. </w:t>
      </w:r>
    </w:p>
    <w:p w14:paraId="4006A21C" w14:textId="77777777" w:rsidR="000978B3" w:rsidRDefault="001D5792">
      <w:pPr>
        <w:spacing w:after="5858"/>
        <w:ind w:left="416"/>
      </w:pPr>
      <w:r>
        <w:rPr>
          <w:rFonts w:ascii="Cambria" w:eastAsia="Cambria" w:hAnsi="Cambria" w:cs="Cambria"/>
        </w:rPr>
        <w:lastRenderedPageBreak/>
        <w:t xml:space="preserve"> </w:t>
      </w:r>
    </w:p>
    <w:p w14:paraId="5985EBA1" w14:textId="77777777" w:rsidR="000978B3" w:rsidRDefault="001D5792">
      <w:pPr>
        <w:spacing w:after="0"/>
        <w:ind w:left="416"/>
      </w:pPr>
      <w:r>
        <w:rPr>
          <w:noProof/>
        </w:rPr>
        <mc:AlternateContent>
          <mc:Choice Requires="wpg">
            <w:drawing>
              <wp:inline distT="0" distB="0" distL="0" distR="0" wp14:anchorId="3AFB5D40" wp14:editId="58352735">
                <wp:extent cx="1829054" cy="7620"/>
                <wp:effectExtent l="0" t="0" r="0" b="0"/>
                <wp:docPr id="9518" name="Group 951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1020" name="Shape 1102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8" style="width:144.02pt;height:0.599976pt;mso-position-horizontal-relative:char;mso-position-vertical-relative:line" coordsize="18290,76">
                <v:shape id="Shape 1102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mbria" w:eastAsia="Cambria" w:hAnsi="Cambria" w:cs="Cambria"/>
        </w:rPr>
        <w:t xml:space="preserve"> </w:t>
      </w:r>
    </w:p>
    <w:sectPr w:rsidR="000978B3">
      <w:headerReference w:type="even" r:id="rId8"/>
      <w:headerReference w:type="default" r:id="rId9"/>
      <w:footerReference w:type="default" r:id="rId10"/>
      <w:headerReference w:type="first" r:id="rId11"/>
      <w:footerReference w:type="first" r:id="rId12"/>
      <w:pgSz w:w="11904" w:h="16841"/>
      <w:pgMar w:top="1035" w:right="1373" w:bottom="2354" w:left="965" w:header="741"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3DB7" w14:textId="77777777" w:rsidR="001D5792" w:rsidRDefault="001D5792">
      <w:pPr>
        <w:spacing w:after="0" w:line="240" w:lineRule="auto"/>
      </w:pPr>
      <w:r>
        <w:separator/>
      </w:r>
    </w:p>
  </w:endnote>
  <w:endnote w:type="continuationSeparator" w:id="0">
    <w:p w14:paraId="2CA1539E" w14:textId="77777777" w:rsidR="001D5792" w:rsidRDefault="001D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B308" w14:textId="77777777" w:rsidR="000978B3" w:rsidRDefault="001D5792">
    <w:pPr>
      <w:spacing w:after="0"/>
      <w:ind w:left="416"/>
    </w:pPr>
    <w:r>
      <w:rPr>
        <w:rFonts w:ascii="Times New Roman" w:eastAsia="Times New Roman" w:hAnsi="Times New Roman" w:cs="Times New Roman"/>
        <w:sz w:val="23"/>
      </w:rPr>
      <w:t xml:space="preserve"> </w:t>
    </w: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EBA3" w14:textId="7F176E9B" w:rsidR="000978B3" w:rsidRDefault="001D5792">
    <w:pPr>
      <w:spacing w:after="769"/>
      <w:ind w:left="241"/>
      <w:jc w:val="center"/>
    </w:pPr>
    <w:r>
      <w:rPr>
        <w:noProof/>
      </w:rPr>
      <mc:AlternateContent>
        <mc:Choice Requires="wps">
          <w:drawing>
            <wp:anchor distT="0" distB="0" distL="0" distR="0" simplePos="0" relativeHeight="251671552" behindDoc="0" locked="0" layoutInCell="1" allowOverlap="1" wp14:anchorId="40FB23C6" wp14:editId="07E21260">
              <wp:simplePos x="635" y="635"/>
              <wp:positionH relativeFrom="page">
                <wp:align>center</wp:align>
              </wp:positionH>
              <wp:positionV relativeFrom="page">
                <wp:align>bottom</wp:align>
              </wp:positionV>
              <wp:extent cx="607060" cy="357505"/>
              <wp:effectExtent l="0" t="0" r="2540" b="0"/>
              <wp:wrapNone/>
              <wp:docPr id="549793837" name="Cuadro de texto 4"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7060" cy="357505"/>
                      </a:xfrm>
                      <a:prstGeom prst="rect">
                        <a:avLst/>
                      </a:prstGeom>
                      <a:noFill/>
                      <a:ln>
                        <a:noFill/>
                      </a:ln>
                    </wps:spPr>
                    <wps:txbx>
                      <w:txbxContent>
                        <w:p w14:paraId="368DAD94" w14:textId="7448EA1E" w:rsidR="001D5792" w:rsidRPr="001D5792" w:rsidRDefault="001D5792" w:rsidP="001D5792">
                          <w:pPr>
                            <w:spacing w:after="0"/>
                            <w:rPr>
                              <w:noProof/>
                              <w:sz w:val="20"/>
                              <w:szCs w:val="20"/>
                            </w:rPr>
                          </w:pPr>
                          <w:r w:rsidRPr="001D5792">
                            <w:rPr>
                              <w:noProof/>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B23C6" id="_x0000_t202" coordsize="21600,21600" o:spt="202" path="m,l,21600r21600,l21600,xe">
              <v:stroke joinstyle="miter"/>
              <v:path gradientshapeok="t" o:connecttype="rect"/>
            </v:shapetype>
            <v:shape id="Cuadro de texto 4" o:spid="_x0000_s1026" type="#_x0000_t202" alt="Uso Interno" style="position:absolute;left:0;text-align:left;margin-left:0;margin-top:0;width:47.8pt;height:28.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GqDAIAABwEAAAOAAAAZHJzL2Uyb0RvYy54bWysU8Fu2zAMvQ/YPwi6L3Y6JN2MOEXWIsOA&#10;oC2QDj3LshwbkESBUmJnXz9KiZOt22nYRaZJ6pF8fFrcDUazg0LfgS35dJJzpqyEurO7kn9/WX/4&#10;xJkPwtZCg1UlPyrP75bv3y16V6gbaEHXChmBWF/0ruRtCK7IMi9bZYSfgFOWgg2gEYF+cZfVKHpC&#10;Nzq7yfN51gPWDkEq78n7cAryZcJvGiXDU9N4FZguOfUW0onprOKZLRei2KFwbSfPbYh/6MKIzlLR&#10;C9SDCILtsfsDynQSwUMTJhJMBk3TSZVmoGmm+Ztptq1wKs1C5Hh3ocn/P1j5eNi6Z2Rh+AIDLTAS&#10;0jtfeHLGeYYGTfxSp4ziROHxQpsaApPknOe3+ZwikkIfZ7ezfBZRsutlhz58VWBYNEqOtJVEljhs&#10;fDiljimxloV1p3XajLa/OQgzerJrh9EKQzWwri55qhs9FdRHGgrhtG/v5Lqj0hvhw7NAWjB1S6IN&#10;T3Q0GvqSw9nirAX88Td/zCfeKcpZT4IpuSVFc6a/WdpH1NZo4GhUyZh+zmc5xe3e3APJcEovwslk&#10;kheDHs0GwbySnFexEIWElVSu5NVo3oeTcuk5SLVapSSSkRNhY7dORuhIV+TyZXgV6M6EB9rUI4xq&#10;EsUb3k+58aZ3q30g9tNSrkSeGScJprWen0vU+K//Kev6qJc/AQAA//8DAFBLAwQUAAYACAAAACEA&#10;DkTQxdoAAAADAQAADwAAAGRycy9kb3ducmV2LnhtbEyPwWrCQBCG74W+wzJCb3WjwdCm2UgRelIK&#10;ai+9rbtjkjY7G7IbjW/v1Iu9DAz/zzffFMvRteKEfWg8KZhNExBIxtuGKgVf+4/nFxAharK69YQK&#10;LhhgWT4+FDq3/kxbPO1iJRhCIdcK6hi7XMpganQ6TH2HxNnR905HXvtK2l6fGe5aOU+STDrdEF+o&#10;dYerGs3vbnAKFtu4GT5pn36P88vPuluZ9Lg2Sj1Nxvc3EBHHeC/Dnz6rQ8lOBz+QDaJVwI/E2+Ts&#10;dZGBODA3S0GWhfzvXl4BAAD//wMAUEsBAi0AFAAGAAgAAAAhALaDOJL+AAAA4QEAABMAAAAAAAAA&#10;AAAAAAAAAAAAAFtDb250ZW50X1R5cGVzXS54bWxQSwECLQAUAAYACAAAACEAOP0h/9YAAACUAQAA&#10;CwAAAAAAAAAAAAAAAAAvAQAAX3JlbHMvLnJlbHNQSwECLQAUAAYACAAAACEAw03RqgwCAAAcBAAA&#10;DgAAAAAAAAAAAAAAAAAuAgAAZHJzL2Uyb0RvYy54bWxQSwECLQAUAAYACAAAACEADkTQxdoAAAAD&#10;AQAADwAAAAAAAAAAAAAAAABmBAAAZHJzL2Rvd25yZXYueG1sUEsFBgAAAAAEAAQA8wAAAG0FAAAA&#10;AA==&#10;" filled="f" stroked="f">
              <v:textbox style="mso-fit-shape-to-text:t" inset="0,0,0,15pt">
                <w:txbxContent>
                  <w:p w14:paraId="368DAD94" w14:textId="7448EA1E" w:rsidR="001D5792" w:rsidRPr="001D5792" w:rsidRDefault="001D5792" w:rsidP="001D5792">
                    <w:pPr>
                      <w:spacing w:after="0"/>
                      <w:rPr>
                        <w:noProof/>
                        <w:sz w:val="20"/>
                        <w:szCs w:val="20"/>
                      </w:rPr>
                    </w:pPr>
                    <w:r w:rsidRPr="001D5792">
                      <w:rPr>
                        <w:noProof/>
                        <w:sz w:val="20"/>
                        <w:szCs w:val="20"/>
                      </w:rPr>
                      <w:t>Uso Interno</w:t>
                    </w:r>
                  </w:p>
                </w:txbxContent>
              </v:textbox>
              <w10:wrap anchorx="page" anchory="page"/>
            </v:shape>
          </w:pict>
        </mc:Fallback>
      </mc:AlternateContent>
    </w:r>
    <w:r>
      <w:rPr>
        <w:noProof/>
      </w:rPr>
      <mc:AlternateContent>
        <mc:Choice Requires="wpg">
          <w:drawing>
            <wp:anchor distT="0" distB="0" distL="114300" distR="114300" simplePos="0" relativeHeight="251667456" behindDoc="0" locked="0" layoutInCell="1" allowOverlap="1" wp14:anchorId="6BFD5A64" wp14:editId="718194C1">
              <wp:simplePos x="0" y="0"/>
              <wp:positionH relativeFrom="page">
                <wp:posOffset>857250</wp:posOffset>
              </wp:positionH>
              <wp:positionV relativeFrom="page">
                <wp:posOffset>9239885</wp:posOffset>
              </wp:positionV>
              <wp:extent cx="5844540" cy="8636"/>
              <wp:effectExtent l="0" t="0" r="0" b="0"/>
              <wp:wrapSquare wrapText="bothSides"/>
              <wp:docPr id="10462" name="Group 10462"/>
              <wp:cNvGraphicFramePr/>
              <a:graphic xmlns:a="http://schemas.openxmlformats.org/drawingml/2006/main">
                <a:graphicData uri="http://schemas.microsoft.com/office/word/2010/wordprocessingGroup">
                  <wpg:wgp>
                    <wpg:cNvGrpSpPr/>
                    <wpg:grpSpPr>
                      <a:xfrm>
                        <a:off x="0" y="0"/>
                        <a:ext cx="5844540" cy="8636"/>
                        <a:chOff x="0" y="0"/>
                        <a:chExt cx="5844540" cy="8636"/>
                      </a:xfrm>
                    </wpg:grpSpPr>
                    <wps:wsp>
                      <wps:cNvPr id="11026" name="Shape 11026"/>
                      <wps:cNvSpPr/>
                      <wps:spPr>
                        <a:xfrm>
                          <a:off x="0" y="0"/>
                          <a:ext cx="5844540" cy="9144"/>
                        </a:xfrm>
                        <a:custGeom>
                          <a:avLst/>
                          <a:gdLst/>
                          <a:ahLst/>
                          <a:cxnLst/>
                          <a:rect l="0" t="0" r="0" b="0"/>
                          <a:pathLst>
                            <a:path w="5844540" h="9144">
                              <a:moveTo>
                                <a:pt x="0" y="0"/>
                              </a:moveTo>
                              <a:lnTo>
                                <a:pt x="5844540" y="0"/>
                              </a:lnTo>
                              <a:lnTo>
                                <a:pt x="5844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462" style="width:460.2pt;height:0.679993pt;position:absolute;mso-position-horizontal-relative:page;mso-position-horizontal:absolute;margin-left:67.5pt;mso-position-vertical-relative:page;margin-top:727.55pt;" coordsize="58445,86">
              <v:shape id="Shape 11027" style="position:absolute;width:58445;height:91;left:0;top:0;" coordsize="5844540,9144" path="m0,0l5844540,0l5844540,9144l0,9144l0,0">
                <v:stroke weight="0pt" endcap="flat" joinstyle="miter" miterlimit="10" on="false" color="#000000" opacity="0"/>
                <v:fill on="true" color="#000000"/>
              </v:shape>
              <w10:wrap type="square"/>
            </v:group>
          </w:pict>
        </mc:Fallback>
      </mc:AlternateContent>
    </w:r>
    <w:r>
      <w:rPr>
        <w:rFonts w:ascii="Cambria" w:eastAsia="Cambria" w:hAnsi="Cambria" w:cs="Cambria"/>
        <w:sz w:val="20"/>
      </w:rPr>
      <w:t xml:space="preserve"> Así reformado mediante resolución SP-R-2009-2020 de las diez horas del día cinco de octubre de 2020. </w:t>
    </w:r>
  </w:p>
  <w:p w14:paraId="6202CAB1" w14:textId="77777777" w:rsidR="000978B3" w:rsidRDefault="001D5792">
    <w:pPr>
      <w:spacing w:after="0"/>
      <w:ind w:right="5"/>
      <w:jc w:val="center"/>
    </w:pPr>
    <w:r>
      <w:rPr>
        <w:rFonts w:ascii="Times New Roman" w:eastAsia="Times New Roman" w:hAnsi="Times New Roman" w:cs="Times New Roman"/>
        <w:b/>
        <w:sz w:val="19"/>
      </w:rPr>
      <w:t>SUPEN</w:t>
    </w:r>
    <w:r>
      <w:rPr>
        <w:rFonts w:ascii="Cambria" w:eastAsia="Cambria" w:hAnsi="Cambria" w:cs="Cambria"/>
      </w:rPr>
      <w:t xml:space="preserve"> </w:t>
    </w:r>
  </w:p>
  <w:p w14:paraId="2026D985" w14:textId="77777777" w:rsidR="000978B3" w:rsidRDefault="001D5792">
    <w:pPr>
      <w:tabs>
        <w:tab w:val="center" w:pos="1575"/>
        <w:tab w:val="center" w:pos="4999"/>
        <w:tab w:val="center" w:pos="8570"/>
      </w:tabs>
      <w:spacing w:after="32"/>
    </w:pPr>
    <w:r>
      <w:tab/>
    </w:r>
    <w:r>
      <w:rPr>
        <w:rFonts w:ascii="Times New Roman" w:eastAsia="Times New Roman" w:hAnsi="Times New Roman" w:cs="Times New Roman"/>
        <w:i/>
        <w:sz w:val="19"/>
      </w:rPr>
      <w:t xml:space="preserve">Teléfono 2243-44-46  2243-44-45  </w:t>
    </w:r>
    <w:r>
      <w:rPr>
        <w:rFonts w:ascii="Times New Roman" w:eastAsia="Times New Roman" w:hAnsi="Times New Roman" w:cs="Times New Roman"/>
        <w:i/>
        <w:sz w:val="19"/>
      </w:rPr>
      <w:tab/>
      <w:t xml:space="preserve"> Fax 2243-44-44  </w:t>
    </w:r>
    <w:r>
      <w:rPr>
        <w:rFonts w:ascii="Times New Roman" w:eastAsia="Times New Roman" w:hAnsi="Times New Roman" w:cs="Times New Roman"/>
        <w:i/>
        <w:sz w:val="19"/>
      </w:rPr>
      <w:tab/>
      <w:t>supen@supen.fi.cr</w:t>
    </w:r>
    <w:r>
      <w:rPr>
        <w:rFonts w:ascii="Cambria" w:eastAsia="Cambria" w:hAnsi="Cambria" w:cs="Cambria"/>
      </w:rPr>
      <w:t xml:space="preserve"> </w:t>
    </w:r>
  </w:p>
  <w:p w14:paraId="0D738867" w14:textId="77777777" w:rsidR="000978B3" w:rsidRDefault="001D5792">
    <w:pPr>
      <w:spacing w:after="0"/>
      <w:ind w:left="416"/>
    </w:pPr>
    <w:r>
      <w:rPr>
        <w:rFonts w:ascii="Times New Roman" w:eastAsia="Times New Roman" w:hAnsi="Times New Roman" w:cs="Times New Roman"/>
        <w:sz w:val="23"/>
      </w:rPr>
      <w:t xml:space="preserve"> </w:t>
    </w: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E77D" w14:textId="77777777" w:rsidR="000978B3" w:rsidRDefault="001D5792">
      <w:pPr>
        <w:spacing w:after="0" w:line="274" w:lineRule="auto"/>
        <w:ind w:left="10" w:right="73" w:hanging="10"/>
        <w:jc w:val="both"/>
      </w:pPr>
      <w:r>
        <w:separator/>
      </w:r>
    </w:p>
  </w:footnote>
  <w:footnote w:type="continuationSeparator" w:id="0">
    <w:p w14:paraId="7E33FB7C" w14:textId="77777777" w:rsidR="000978B3" w:rsidRDefault="001D5792">
      <w:pPr>
        <w:spacing w:after="0" w:line="274" w:lineRule="auto"/>
        <w:ind w:left="10" w:right="73" w:hanging="10"/>
        <w:jc w:val="both"/>
      </w:pPr>
      <w:r>
        <w:continuationSeparator/>
      </w:r>
    </w:p>
  </w:footnote>
  <w:footnote w:id="1">
    <w:p w14:paraId="133495A5" w14:textId="77777777" w:rsidR="000978B3" w:rsidRPr="006233EE" w:rsidRDefault="001D5792">
      <w:pPr>
        <w:pStyle w:val="footnotedescription"/>
        <w:spacing w:line="274" w:lineRule="auto"/>
        <w:ind w:left="10" w:right="73" w:hanging="10"/>
        <w:jc w:val="both"/>
        <w:rPr>
          <w:sz w:val="20"/>
          <w:szCs w:val="20"/>
        </w:rPr>
      </w:pPr>
      <w:r w:rsidRPr="006233EE">
        <w:rPr>
          <w:rStyle w:val="footnotemark"/>
          <w:szCs w:val="20"/>
        </w:rPr>
        <w:footnoteRef/>
      </w:r>
      <w:r w:rsidRPr="006233EE">
        <w:rPr>
          <w:sz w:val="20"/>
          <w:szCs w:val="20"/>
        </w:rPr>
        <w:t xml:space="preserve"> Modificado íntegramente mediante acuerdo SP-A</w:t>
      </w:r>
      <w:hyperlink r:id="rId1">
        <w:r w:rsidRPr="006233EE">
          <w:rPr>
            <w:sz w:val="20"/>
            <w:szCs w:val="20"/>
          </w:rPr>
          <w:t>-</w:t>
        </w:r>
      </w:hyperlink>
      <w:hyperlink r:id="rId2">
        <w:r w:rsidRPr="006233EE">
          <w:rPr>
            <w:color w:val="0563C1"/>
            <w:sz w:val="20"/>
            <w:szCs w:val="20"/>
            <w:u w:val="single" w:color="0563C1"/>
          </w:rPr>
          <w:t>228</w:t>
        </w:r>
      </w:hyperlink>
      <w:hyperlink r:id="rId3">
        <w:r w:rsidRPr="006233EE">
          <w:rPr>
            <w:sz w:val="20"/>
            <w:szCs w:val="20"/>
          </w:rPr>
          <w:t>-</w:t>
        </w:r>
      </w:hyperlink>
      <w:r w:rsidRPr="006233EE">
        <w:rPr>
          <w:sz w:val="20"/>
          <w:szCs w:val="20"/>
        </w:rPr>
        <w:t>2020 de las diez horas del día dieciocho de setiembre de 2020, que a su vez fue modificado por la resolución SP-R</w:t>
      </w:r>
      <w:hyperlink r:id="rId4">
        <w:r w:rsidRPr="006233EE">
          <w:rPr>
            <w:sz w:val="20"/>
            <w:szCs w:val="20"/>
          </w:rPr>
          <w:t>-</w:t>
        </w:r>
      </w:hyperlink>
      <w:hyperlink r:id="rId5">
        <w:r w:rsidRPr="006233EE">
          <w:rPr>
            <w:color w:val="0563C1"/>
            <w:sz w:val="20"/>
            <w:szCs w:val="20"/>
            <w:u w:val="single" w:color="0563C1"/>
          </w:rPr>
          <w:t>2009</w:t>
        </w:r>
      </w:hyperlink>
      <w:hyperlink r:id="rId6">
        <w:r w:rsidRPr="006233EE">
          <w:rPr>
            <w:sz w:val="20"/>
            <w:szCs w:val="20"/>
          </w:rPr>
          <w:t>-</w:t>
        </w:r>
      </w:hyperlink>
      <w:r w:rsidRPr="006233EE">
        <w:rPr>
          <w:sz w:val="20"/>
          <w:szCs w:val="20"/>
        </w:rPr>
        <w:t xml:space="preserve">2020 de las diez horas del día cinco de octubre de 2020.  </w:t>
      </w:r>
    </w:p>
    <w:p w14:paraId="17E56845" w14:textId="2FEEAC44" w:rsidR="000978B3" w:rsidRDefault="001D5792" w:rsidP="00605CB8">
      <w:pPr>
        <w:pStyle w:val="footnotedescription"/>
        <w:spacing w:after="396"/>
        <w:ind w:left="425"/>
      </w:pPr>
      <w:r>
        <w:rPr>
          <w:sz w:val="20"/>
        </w:rPr>
        <w:t xml:space="preserve"> </w:t>
      </w:r>
    </w:p>
  </w:footnote>
  <w:footnote w:id="2">
    <w:p w14:paraId="6D974405" w14:textId="54AB7699" w:rsidR="00A71F9B" w:rsidRDefault="00A71F9B">
      <w:pPr>
        <w:pStyle w:val="Textonotapie"/>
      </w:pPr>
      <w:r>
        <w:rPr>
          <w:rStyle w:val="Refdenotaalpie"/>
        </w:rPr>
        <w:footnoteRef/>
      </w:r>
      <w:r>
        <w:t xml:space="preserve"> </w:t>
      </w:r>
      <w:r w:rsidR="00310455">
        <w:t xml:space="preserve">Mediante acuerdo </w:t>
      </w:r>
      <w:r w:rsidR="002758AE" w:rsidRPr="002758AE">
        <w:t>SP-A-276-2025</w:t>
      </w:r>
      <w:r w:rsidR="002758AE">
        <w:t xml:space="preserve"> de las </w:t>
      </w:r>
      <w:r w:rsidR="00B6330B" w:rsidRPr="00B6330B">
        <w:t>diez horas del día 1° de abril de dos mil veinticinco</w:t>
      </w:r>
      <w:r w:rsidR="00B6330B">
        <w:t>, se reforma el título del presente acuerdo</w:t>
      </w:r>
      <w:r w:rsidR="008D6FB4">
        <w:t xml:space="preserve">. Reforma vigente a partir del </w:t>
      </w:r>
      <w:r w:rsidR="001D4A5F">
        <w:t>4 de julio de dos mil veinticinco</w:t>
      </w:r>
      <w:r w:rsidR="00B6330B">
        <w:t>.</w:t>
      </w:r>
    </w:p>
  </w:footnote>
  <w:footnote w:id="3">
    <w:p w14:paraId="14049E5D" w14:textId="15EB7DD8" w:rsidR="00AF2258" w:rsidRDefault="00AF2258">
      <w:pPr>
        <w:pStyle w:val="Textonotapie"/>
      </w:pPr>
      <w:r>
        <w:rPr>
          <w:rStyle w:val="Refdenotaalpie"/>
        </w:rPr>
        <w:footnoteRef/>
      </w:r>
      <w:r>
        <w:t xml:space="preserve"> </w:t>
      </w:r>
      <w:r w:rsidRPr="00C94703">
        <w:rPr>
          <w:rFonts w:ascii="Cambria" w:eastAsia="Cambria" w:hAnsi="Cambria" w:cs="Cambria"/>
        </w:rPr>
        <w:t>Así reformado mediante resolución SP-R-2009-2020 de las diez horas del día cinco de octubre de 2020.</w:t>
      </w:r>
    </w:p>
  </w:footnote>
  <w:footnote w:id="4">
    <w:p w14:paraId="2C71AB9A" w14:textId="340200C9" w:rsidR="0070576A" w:rsidRDefault="0070576A">
      <w:pPr>
        <w:pStyle w:val="Textonotapie"/>
      </w:pPr>
      <w:r>
        <w:rPr>
          <w:rStyle w:val="Refdenotaalpie"/>
        </w:rPr>
        <w:footnoteRef/>
      </w:r>
      <w:r>
        <w:t xml:space="preserve"> </w:t>
      </w:r>
      <w:r w:rsidR="006A7E3F">
        <w:t xml:space="preserve">Adicionado mediante acuerdo </w:t>
      </w:r>
      <w:r w:rsidR="006A7E3F" w:rsidRPr="006A7E3F">
        <w:t>SP-A-276-2025 de las diez horas del día 1° de abril de dos mil veinticinco</w:t>
      </w:r>
      <w:r w:rsidR="006A7E3F">
        <w:t>.</w:t>
      </w:r>
      <w:r w:rsidR="007422C2">
        <w:t xml:space="preserve"> </w:t>
      </w:r>
      <w:r w:rsidR="007422C2" w:rsidRPr="007422C2">
        <w:t>Reforma vigente a partir del 4 de julio de dos mil veinticinco.</w:t>
      </w:r>
    </w:p>
  </w:footnote>
  <w:footnote w:id="5">
    <w:p w14:paraId="7FA5EF7F" w14:textId="33288A13" w:rsidR="005B338F" w:rsidRPr="00FD5389" w:rsidRDefault="005B338F">
      <w:pPr>
        <w:pStyle w:val="Textonotapie"/>
        <w:rPr>
          <w:rFonts w:ascii="Cambria" w:eastAsia="Cambria" w:hAnsi="Cambria" w:cs="Cambria"/>
        </w:rPr>
      </w:pPr>
      <w:r w:rsidRPr="00FD5389">
        <w:rPr>
          <w:rFonts w:ascii="Cambria" w:eastAsia="Cambria" w:hAnsi="Cambria" w:cs="Cambria"/>
        </w:rPr>
        <w:footnoteRef/>
      </w:r>
      <w:r w:rsidRPr="00FD5389">
        <w:rPr>
          <w:rFonts w:ascii="Cambria" w:eastAsia="Cambria" w:hAnsi="Cambria" w:cs="Cambria"/>
        </w:rPr>
        <w:t xml:space="preserve"> Así reformado mediante resolución SP-R-2009-2020 de las diez horas del día cinco de octubre de 2020.</w:t>
      </w:r>
    </w:p>
  </w:footnote>
  <w:footnote w:id="6">
    <w:p w14:paraId="2DC61F6C" w14:textId="3BDA6828" w:rsidR="0073081A" w:rsidRDefault="0073081A">
      <w:pPr>
        <w:pStyle w:val="Textonotapie"/>
      </w:pPr>
      <w:r>
        <w:rPr>
          <w:rStyle w:val="Refdenotaalpie"/>
        </w:rPr>
        <w:footnoteRef/>
      </w:r>
      <w:r>
        <w:t xml:space="preserve"> </w:t>
      </w:r>
      <w:bookmarkStart w:id="0" w:name="_Hlk199932134"/>
      <w:r w:rsidRPr="0073081A">
        <w:t>Así reformado mediante resolución SP-R-2009-2020 de las diez horas del día cinco de octubre de 2020.</w:t>
      </w:r>
    </w:p>
    <w:bookmarkEnd w:id="0"/>
  </w:footnote>
  <w:footnote w:id="7">
    <w:p w14:paraId="3683FCBE" w14:textId="2D239543" w:rsidR="00B61EDE" w:rsidRDefault="00B61EDE">
      <w:pPr>
        <w:pStyle w:val="Textonotapie"/>
      </w:pPr>
      <w:r>
        <w:rPr>
          <w:rStyle w:val="Refdenotaalpie"/>
        </w:rPr>
        <w:footnoteRef/>
      </w:r>
      <w:r>
        <w:t xml:space="preserve"> </w:t>
      </w:r>
      <w:r w:rsidRPr="00B61EDE">
        <w:t>Adicionado mediante resolución SP-R-2009-2020 de las diez horas del día cinco de octubre de 2020.</w:t>
      </w:r>
    </w:p>
  </w:footnote>
  <w:footnote w:id="8">
    <w:p w14:paraId="057542A1" w14:textId="7A11B1B1" w:rsidR="00B628F3" w:rsidRDefault="00B628F3">
      <w:pPr>
        <w:pStyle w:val="Textonotapie"/>
      </w:pPr>
      <w:r>
        <w:rPr>
          <w:rStyle w:val="Refdenotaalpie"/>
        </w:rPr>
        <w:footnoteRef/>
      </w:r>
      <w:r>
        <w:t xml:space="preserve"> </w:t>
      </w:r>
      <w:r w:rsidRPr="00B628F3">
        <w:t>Así reformado mediante resolución SP-R-2009-2020 de las diez horas del día cinco de octubre de 2020.</w:t>
      </w:r>
    </w:p>
  </w:footnote>
  <w:footnote w:id="9">
    <w:p w14:paraId="792202EE" w14:textId="7AE90F60" w:rsidR="009A181C" w:rsidRDefault="009A181C">
      <w:pPr>
        <w:pStyle w:val="Textonotapie"/>
      </w:pPr>
      <w:r>
        <w:rPr>
          <w:rStyle w:val="Refdenotaalpie"/>
        </w:rPr>
        <w:footnoteRef/>
      </w:r>
      <w:r>
        <w:t xml:space="preserve"> </w:t>
      </w:r>
      <w:r w:rsidRPr="009A181C">
        <w:t>Adicionado mediante acuerdo SP-A-276-2025 de las diez horas del día 1° de abril de dos mil veinticinco</w:t>
      </w:r>
      <w:r w:rsidR="00D52234">
        <w:t>.</w:t>
      </w:r>
      <w:r w:rsidR="00BB42E1">
        <w:t xml:space="preserve"> </w:t>
      </w:r>
      <w:r w:rsidR="00BB42E1" w:rsidRPr="00BB42E1">
        <w:t>Reforma vigente a partir del 4 de julio de dos mil veinticinco.</w:t>
      </w:r>
    </w:p>
  </w:footnote>
  <w:footnote w:id="10">
    <w:p w14:paraId="4364E2DB" w14:textId="4BAE3BCA" w:rsidR="00477141" w:rsidRDefault="00477141">
      <w:pPr>
        <w:pStyle w:val="Textonotapie"/>
      </w:pPr>
      <w:r>
        <w:rPr>
          <w:rStyle w:val="Refdenotaalpie"/>
        </w:rPr>
        <w:footnoteRef/>
      </w:r>
      <w:r>
        <w:t xml:space="preserve"> </w:t>
      </w:r>
      <w:r w:rsidRPr="00477141">
        <w:t>Así reformado mediante resolución SP-R-2009-2020 de las diez horas del día cinco de octubre de 2020.</w:t>
      </w:r>
    </w:p>
  </w:footnote>
  <w:footnote w:id="11">
    <w:p w14:paraId="28560E7A" w14:textId="234AF5D3" w:rsidR="00005404" w:rsidRDefault="00005404">
      <w:pPr>
        <w:pStyle w:val="Textonotapie"/>
      </w:pPr>
      <w:r>
        <w:rPr>
          <w:rStyle w:val="Refdenotaalpie"/>
        </w:rPr>
        <w:footnoteRef/>
      </w:r>
      <w:r>
        <w:t xml:space="preserve"> </w:t>
      </w:r>
      <w:r w:rsidR="00445C33" w:rsidRPr="00445C33">
        <w:t>Adicionado mediante acuerdo SP-A-276-2025 de las diez horas del día 1° de abril de dos mil veinticinco.</w:t>
      </w:r>
      <w:r w:rsidR="00BB42E1">
        <w:t xml:space="preserve"> </w:t>
      </w:r>
      <w:r w:rsidR="00BB42E1" w:rsidRPr="00BB42E1">
        <w:t>Reforma vigente a partir del 4 de julio de dos mil veinticinco.</w:t>
      </w:r>
    </w:p>
  </w:footnote>
  <w:footnote w:id="12">
    <w:p w14:paraId="6B070274" w14:textId="3FBA9CC8" w:rsidR="00434BFE" w:rsidRDefault="00434BFE">
      <w:pPr>
        <w:pStyle w:val="Textonotapie"/>
      </w:pPr>
      <w:r>
        <w:rPr>
          <w:rStyle w:val="Refdenotaalpie"/>
        </w:rPr>
        <w:footnoteRef/>
      </w:r>
      <w:r>
        <w:t xml:space="preserve"> </w:t>
      </w:r>
      <w:r w:rsidRPr="00434BFE">
        <w:t>Así reformado mediante resolución SP-R-2009-2020 de las diez horas del día cinco de octubre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27F1" w14:textId="0B45B15D" w:rsidR="000978B3" w:rsidRDefault="001D5792">
    <w:pPr>
      <w:spacing w:after="0"/>
      <w:ind w:left="416"/>
    </w:pPr>
    <w:r>
      <w:rPr>
        <w:rFonts w:ascii="Times New Roman" w:eastAsia="Times New Roman" w:hAnsi="Times New Roman" w:cs="Times New Roman"/>
        <w:i/>
        <w:sz w:val="21"/>
      </w:rPr>
      <w:t xml:space="preserve"> </w:t>
    </w:r>
    <w:r>
      <w:rPr>
        <w:rFonts w:ascii="Cambria" w:eastAsia="Cambria" w:hAnsi="Cambria" w:cs="Cambr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9E1D" w14:textId="45A0AB51" w:rsidR="000978B3" w:rsidRDefault="00134A2A">
    <w:pPr>
      <w:spacing w:after="0"/>
      <w:ind w:left="416"/>
    </w:pPr>
    <w:r>
      <w:rPr>
        <w:noProof/>
      </w:rPr>
      <w:drawing>
        <wp:inline distT="0" distB="0" distL="0" distR="0" wp14:anchorId="5B85B0E9" wp14:editId="32E0CABD">
          <wp:extent cx="1769110" cy="704748"/>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
                  <a:stretch>
                    <a:fillRect/>
                  </a:stretch>
                </pic:blipFill>
                <pic:spPr>
                  <a:xfrm>
                    <a:off x="0" y="0"/>
                    <a:ext cx="1769110" cy="704748"/>
                  </a:xfrm>
                  <a:prstGeom prst="rect">
                    <a:avLst/>
                  </a:prstGeom>
                </pic:spPr>
              </pic:pic>
            </a:graphicData>
          </a:graphic>
        </wp:inline>
      </w:drawing>
    </w:r>
    <w:r w:rsidR="002B16AB">
      <w:rPr>
        <w:rFonts w:ascii="Times New Roman" w:eastAsia="Times New Roman" w:hAnsi="Times New Roman" w:cs="Times New Roman"/>
        <w:i/>
        <w:sz w:val="21"/>
      </w:rPr>
      <w:t xml:space="preserve">                                                                                                       </w:t>
    </w:r>
    <w:r w:rsidR="001D5792">
      <w:rPr>
        <w:rFonts w:ascii="Cambria" w:eastAsia="Cambria" w:hAnsi="Cambria" w:cs="Cambria"/>
      </w:rPr>
      <w:t xml:space="preserve"> </w:t>
    </w:r>
    <w:r w:rsidR="002B16AB">
      <w:rPr>
        <w:rFonts w:ascii="Cambria" w:eastAsia="Cambria" w:hAnsi="Cambria" w:cs="Cambria"/>
        <w:noProof/>
      </w:rPr>
      <w:drawing>
        <wp:inline distT="0" distB="0" distL="0" distR="0" wp14:anchorId="1A8BC40F" wp14:editId="178432E1">
          <wp:extent cx="554990" cy="1000125"/>
          <wp:effectExtent l="0" t="0" r="0" b="9525"/>
          <wp:docPr id="7788605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4990" cy="10001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6B9C" w14:textId="77777777" w:rsidR="000978B3" w:rsidRDefault="001D5792">
    <w:pPr>
      <w:spacing w:after="0"/>
      <w:ind w:left="416"/>
    </w:pPr>
    <w:r>
      <w:rPr>
        <w:noProof/>
      </w:rPr>
      <w:drawing>
        <wp:anchor distT="0" distB="0" distL="114300" distR="114300" simplePos="0" relativeHeight="251664384" behindDoc="0" locked="0" layoutInCell="1" allowOverlap="0" wp14:anchorId="57C24F92" wp14:editId="54737286">
          <wp:simplePos x="0" y="0"/>
          <wp:positionH relativeFrom="page">
            <wp:posOffset>894080</wp:posOffset>
          </wp:positionH>
          <wp:positionV relativeFrom="page">
            <wp:posOffset>786130</wp:posOffset>
          </wp:positionV>
          <wp:extent cx="1664970" cy="662940"/>
          <wp:effectExtent l="0" t="0" r="0" b="0"/>
          <wp:wrapSquare wrapText="bothSides"/>
          <wp:docPr id="2087310201"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a:stretch>
                    <a:fillRect/>
                  </a:stretch>
                </pic:blipFill>
                <pic:spPr>
                  <a:xfrm>
                    <a:off x="0" y="0"/>
                    <a:ext cx="1664970" cy="662940"/>
                  </a:xfrm>
                  <a:prstGeom prst="rect">
                    <a:avLst/>
                  </a:prstGeom>
                </pic:spPr>
              </pic:pic>
            </a:graphicData>
          </a:graphic>
        </wp:anchor>
      </w:drawing>
    </w:r>
    <w:r>
      <w:rPr>
        <w:rFonts w:ascii="Times New Roman" w:eastAsia="Times New Roman" w:hAnsi="Times New Roman" w:cs="Times New Roman"/>
        <w:i/>
        <w:sz w:val="21"/>
      </w:rPr>
      <w:t xml:space="preserve"> </w:t>
    </w:r>
    <w:r>
      <w:rPr>
        <w:rFonts w:ascii="Cambria" w:eastAsia="Cambria" w:hAnsi="Cambria" w:cs="Cambr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4F0F"/>
    <w:multiLevelType w:val="hybridMultilevel"/>
    <w:tmpl w:val="563A7B18"/>
    <w:lvl w:ilvl="0" w:tplc="CD2CC064">
      <w:start w:val="1"/>
      <w:numFmt w:val="lowerLetter"/>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B095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FAB9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56F7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D4EC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5625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9C7E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6C2F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F015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AE267A"/>
    <w:multiLevelType w:val="hybridMultilevel"/>
    <w:tmpl w:val="96F834A2"/>
    <w:lvl w:ilvl="0" w:tplc="A5342EA0">
      <w:start w:val="1"/>
      <w:numFmt w:val="lowerLetter"/>
      <w:lvlText w:val="%1."/>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DA63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E0D1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9C02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F435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A2DD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8C3C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22F1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F83C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E63A76"/>
    <w:multiLevelType w:val="hybridMultilevel"/>
    <w:tmpl w:val="F08A7004"/>
    <w:lvl w:ilvl="0" w:tplc="CE1EE92A">
      <w:start w:val="1"/>
      <w:numFmt w:val="decimal"/>
      <w:lvlText w:val="%1."/>
      <w:lvlJc w:val="left"/>
      <w:pPr>
        <w:ind w:left="7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0A8FA18">
      <w:start w:val="1"/>
      <w:numFmt w:val="lowerLetter"/>
      <w:lvlText w:val="%2"/>
      <w:lvlJc w:val="left"/>
      <w:pPr>
        <w:ind w:left="15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A444448">
      <w:start w:val="1"/>
      <w:numFmt w:val="lowerRoman"/>
      <w:lvlText w:val="%3"/>
      <w:lvlJc w:val="left"/>
      <w:pPr>
        <w:ind w:left="2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89C2770">
      <w:start w:val="1"/>
      <w:numFmt w:val="decimal"/>
      <w:lvlText w:val="%4"/>
      <w:lvlJc w:val="left"/>
      <w:pPr>
        <w:ind w:left="2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0124494">
      <w:start w:val="1"/>
      <w:numFmt w:val="lowerLetter"/>
      <w:lvlText w:val="%5"/>
      <w:lvlJc w:val="left"/>
      <w:pPr>
        <w:ind w:left="36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398FF02">
      <w:start w:val="1"/>
      <w:numFmt w:val="lowerRoman"/>
      <w:lvlText w:val="%6"/>
      <w:lvlJc w:val="left"/>
      <w:pPr>
        <w:ind w:left="43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62C2A86">
      <w:start w:val="1"/>
      <w:numFmt w:val="decimal"/>
      <w:lvlText w:val="%7"/>
      <w:lvlJc w:val="left"/>
      <w:pPr>
        <w:ind w:left="51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71E45D6">
      <w:start w:val="1"/>
      <w:numFmt w:val="lowerLetter"/>
      <w:lvlText w:val="%8"/>
      <w:lvlJc w:val="left"/>
      <w:pPr>
        <w:ind w:left="58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E8E9656">
      <w:start w:val="1"/>
      <w:numFmt w:val="lowerRoman"/>
      <w:lvlText w:val="%9"/>
      <w:lvlJc w:val="left"/>
      <w:pPr>
        <w:ind w:left="6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1A6232"/>
    <w:multiLevelType w:val="hybridMultilevel"/>
    <w:tmpl w:val="E9DC5CEC"/>
    <w:lvl w:ilvl="0" w:tplc="66C03A22">
      <w:start w:val="6"/>
      <w:numFmt w:val="decimal"/>
      <w:lvlText w:val="%1."/>
      <w:lvlJc w:val="left"/>
      <w:pPr>
        <w:ind w:left="7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C6E7164">
      <w:start w:val="1"/>
      <w:numFmt w:val="lowerLetter"/>
      <w:lvlText w:val="%2"/>
      <w:lvlJc w:val="left"/>
      <w:pPr>
        <w:ind w:left="14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9262D42">
      <w:start w:val="1"/>
      <w:numFmt w:val="lowerRoman"/>
      <w:lvlText w:val="%3"/>
      <w:lvlJc w:val="left"/>
      <w:pPr>
        <w:ind w:left="22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ECEE6EA">
      <w:start w:val="1"/>
      <w:numFmt w:val="decimal"/>
      <w:lvlText w:val="%4"/>
      <w:lvlJc w:val="left"/>
      <w:pPr>
        <w:ind w:left="29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4BEF9FC">
      <w:start w:val="1"/>
      <w:numFmt w:val="lowerLetter"/>
      <w:lvlText w:val="%5"/>
      <w:lvlJc w:val="left"/>
      <w:pPr>
        <w:ind w:left="36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30CEFAA">
      <w:start w:val="1"/>
      <w:numFmt w:val="lowerRoman"/>
      <w:lvlText w:val="%6"/>
      <w:lvlJc w:val="left"/>
      <w:pPr>
        <w:ind w:left="437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DBE34A4">
      <w:start w:val="1"/>
      <w:numFmt w:val="decimal"/>
      <w:lvlText w:val="%7"/>
      <w:lvlJc w:val="left"/>
      <w:pPr>
        <w:ind w:left="50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09C86D8">
      <w:start w:val="1"/>
      <w:numFmt w:val="lowerLetter"/>
      <w:lvlText w:val="%8"/>
      <w:lvlJc w:val="left"/>
      <w:pPr>
        <w:ind w:left="581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7AE1404">
      <w:start w:val="1"/>
      <w:numFmt w:val="lowerRoman"/>
      <w:lvlText w:val="%9"/>
      <w:lvlJc w:val="left"/>
      <w:pPr>
        <w:ind w:left="65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2671A5"/>
    <w:multiLevelType w:val="hybridMultilevel"/>
    <w:tmpl w:val="2242BAE8"/>
    <w:lvl w:ilvl="0" w:tplc="D40EA9A4">
      <w:start w:val="1"/>
      <w:numFmt w:val="lowerLetter"/>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5078E0">
      <w:start w:val="1"/>
      <w:numFmt w:val="lowerLetter"/>
      <w:lvlText w:val="%2"/>
      <w:lvlJc w:val="left"/>
      <w:pPr>
        <w:ind w:left="1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D89476">
      <w:start w:val="1"/>
      <w:numFmt w:val="lowerRoman"/>
      <w:lvlText w:val="%3"/>
      <w:lvlJc w:val="left"/>
      <w:pPr>
        <w:ind w:left="2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63350">
      <w:start w:val="1"/>
      <w:numFmt w:val="decimal"/>
      <w:lvlText w:val="%4"/>
      <w:lvlJc w:val="left"/>
      <w:pPr>
        <w:ind w:left="2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54F7DA">
      <w:start w:val="1"/>
      <w:numFmt w:val="lowerLetter"/>
      <w:lvlText w:val="%5"/>
      <w:lvlJc w:val="left"/>
      <w:pPr>
        <w:ind w:left="3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44D770">
      <w:start w:val="1"/>
      <w:numFmt w:val="lowerRoman"/>
      <w:lvlText w:val="%6"/>
      <w:lvlJc w:val="left"/>
      <w:pPr>
        <w:ind w:left="4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C4BD54">
      <w:start w:val="1"/>
      <w:numFmt w:val="decimal"/>
      <w:lvlText w:val="%7"/>
      <w:lvlJc w:val="left"/>
      <w:pPr>
        <w:ind w:left="4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60FD90">
      <w:start w:val="1"/>
      <w:numFmt w:val="lowerLetter"/>
      <w:lvlText w:val="%8"/>
      <w:lvlJc w:val="left"/>
      <w:pPr>
        <w:ind w:left="5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B45B1C">
      <w:start w:val="1"/>
      <w:numFmt w:val="lowerRoman"/>
      <w:lvlText w:val="%9"/>
      <w:lvlJc w:val="left"/>
      <w:pPr>
        <w:ind w:left="6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341088"/>
    <w:multiLevelType w:val="hybridMultilevel"/>
    <w:tmpl w:val="D03ADBF4"/>
    <w:lvl w:ilvl="0" w:tplc="B9604D16">
      <w:start w:val="1"/>
      <w:numFmt w:val="upperRoman"/>
      <w:lvlText w:val="%1."/>
      <w:lvlJc w:val="left"/>
      <w:pPr>
        <w:ind w:left="147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BF049D44">
      <w:start w:val="1"/>
      <w:numFmt w:val="lowerLetter"/>
      <w:lvlText w:val="%2"/>
      <w:lvlJc w:val="left"/>
      <w:pPr>
        <w:ind w:left="18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D24E7F38">
      <w:start w:val="1"/>
      <w:numFmt w:val="lowerRoman"/>
      <w:lvlText w:val="%3"/>
      <w:lvlJc w:val="left"/>
      <w:pPr>
        <w:ind w:left="25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131C758E">
      <w:start w:val="1"/>
      <w:numFmt w:val="decimal"/>
      <w:lvlText w:val="%4"/>
      <w:lvlJc w:val="left"/>
      <w:pPr>
        <w:ind w:left="32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2BCC9E84">
      <w:start w:val="1"/>
      <w:numFmt w:val="lowerLetter"/>
      <w:lvlText w:val="%5"/>
      <w:lvlJc w:val="left"/>
      <w:pPr>
        <w:ind w:left="400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DE8A134C">
      <w:start w:val="1"/>
      <w:numFmt w:val="lowerRoman"/>
      <w:lvlText w:val="%6"/>
      <w:lvlJc w:val="left"/>
      <w:pPr>
        <w:ind w:left="472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93E2E076">
      <w:start w:val="1"/>
      <w:numFmt w:val="decimal"/>
      <w:lvlText w:val="%7"/>
      <w:lvlJc w:val="left"/>
      <w:pPr>
        <w:ind w:left="544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A448DE8C">
      <w:start w:val="1"/>
      <w:numFmt w:val="lowerLetter"/>
      <w:lvlText w:val="%8"/>
      <w:lvlJc w:val="left"/>
      <w:pPr>
        <w:ind w:left="616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27707B56">
      <w:start w:val="1"/>
      <w:numFmt w:val="lowerRoman"/>
      <w:lvlText w:val="%9"/>
      <w:lvlJc w:val="left"/>
      <w:pPr>
        <w:ind w:left="6884"/>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num w:numId="1" w16cid:durableId="452330898">
    <w:abstractNumId w:val="2"/>
  </w:num>
  <w:num w:numId="2" w16cid:durableId="72245230">
    <w:abstractNumId w:val="3"/>
  </w:num>
  <w:num w:numId="3" w16cid:durableId="1566452887">
    <w:abstractNumId w:val="5"/>
  </w:num>
  <w:num w:numId="4" w16cid:durableId="1632519036">
    <w:abstractNumId w:val="1"/>
  </w:num>
  <w:num w:numId="5" w16cid:durableId="462969181">
    <w:abstractNumId w:val="4"/>
  </w:num>
  <w:num w:numId="6" w16cid:durableId="115448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B3"/>
    <w:rsid w:val="00005404"/>
    <w:rsid w:val="00014E8F"/>
    <w:rsid w:val="000978B3"/>
    <w:rsid w:val="00110A58"/>
    <w:rsid w:val="00134A2A"/>
    <w:rsid w:val="00163AF9"/>
    <w:rsid w:val="001B7E3A"/>
    <w:rsid w:val="001C3E54"/>
    <w:rsid w:val="001D4A5F"/>
    <w:rsid w:val="001D5792"/>
    <w:rsid w:val="001E710F"/>
    <w:rsid w:val="00232F28"/>
    <w:rsid w:val="0024703F"/>
    <w:rsid w:val="002758AE"/>
    <w:rsid w:val="002B16AB"/>
    <w:rsid w:val="00310455"/>
    <w:rsid w:val="003C0EFF"/>
    <w:rsid w:val="00434BFE"/>
    <w:rsid w:val="00445C33"/>
    <w:rsid w:val="00451204"/>
    <w:rsid w:val="0047261D"/>
    <w:rsid w:val="00477141"/>
    <w:rsid w:val="0056167A"/>
    <w:rsid w:val="00593128"/>
    <w:rsid w:val="005B338F"/>
    <w:rsid w:val="00605CB8"/>
    <w:rsid w:val="006233EE"/>
    <w:rsid w:val="006975F6"/>
    <w:rsid w:val="006A7E3F"/>
    <w:rsid w:val="00700838"/>
    <w:rsid w:val="0070576A"/>
    <w:rsid w:val="00725541"/>
    <w:rsid w:val="0073081A"/>
    <w:rsid w:val="007422C2"/>
    <w:rsid w:val="0077544C"/>
    <w:rsid w:val="00780CC3"/>
    <w:rsid w:val="008833D7"/>
    <w:rsid w:val="008D6FB4"/>
    <w:rsid w:val="008F3390"/>
    <w:rsid w:val="009A181C"/>
    <w:rsid w:val="009E000C"/>
    <w:rsid w:val="00A71F9B"/>
    <w:rsid w:val="00AA27CB"/>
    <w:rsid w:val="00AF2258"/>
    <w:rsid w:val="00B61EDE"/>
    <w:rsid w:val="00B628F3"/>
    <w:rsid w:val="00B6330B"/>
    <w:rsid w:val="00BB42E1"/>
    <w:rsid w:val="00C83FAF"/>
    <w:rsid w:val="00C94703"/>
    <w:rsid w:val="00D52234"/>
    <w:rsid w:val="00DC7650"/>
    <w:rsid w:val="00E40F41"/>
    <w:rsid w:val="00E46A59"/>
    <w:rsid w:val="00FD5389"/>
    <w:rsid w:val="00FE590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810C7"/>
  <w15:docId w15:val="{3F2A70E7-DA7B-49C2-A212-F60C11FB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7" w:line="259" w:lineRule="auto"/>
      <w:ind w:left="10"/>
      <w:outlineLvl w:val="0"/>
    </w:pPr>
    <w:rPr>
      <w:rFonts w:ascii="Times New Roman" w:eastAsia="Times New Roman" w:hAnsi="Times New Roman" w:cs="Times New Roman"/>
      <w:b/>
      <w:color w:val="000000"/>
      <w:sz w:val="19"/>
    </w:rPr>
  </w:style>
  <w:style w:type="paragraph" w:styleId="Ttulo2">
    <w:name w:val="heading 2"/>
    <w:next w:val="Normal"/>
    <w:link w:val="Ttulo2Car"/>
    <w:uiPriority w:val="9"/>
    <w:unhideWhenUsed/>
    <w:qFormat/>
    <w:pPr>
      <w:keepNext/>
      <w:keepLines/>
      <w:spacing w:after="15" w:line="259" w:lineRule="auto"/>
      <w:ind w:left="352" w:hanging="10"/>
      <w:outlineLvl w:val="1"/>
    </w:pPr>
    <w:rPr>
      <w:rFonts w:ascii="Cambria" w:eastAsia="Cambria" w:hAnsi="Cambria" w:cs="Cambria"/>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19"/>
    </w:rPr>
  </w:style>
  <w:style w:type="character" w:customStyle="1" w:styleId="Ttulo2Car">
    <w:name w:val="Título 2 Car"/>
    <w:link w:val="Ttulo2"/>
    <w:rPr>
      <w:rFonts w:ascii="Cambria" w:eastAsia="Cambria" w:hAnsi="Cambria" w:cs="Cambria"/>
      <w:b/>
      <w:color w:val="000000"/>
      <w:sz w:val="22"/>
    </w:rPr>
  </w:style>
  <w:style w:type="paragraph" w:customStyle="1" w:styleId="footnotedescription">
    <w:name w:val="footnote description"/>
    <w:next w:val="Normal"/>
    <w:link w:val="footnotedescriptionChar"/>
    <w:hidden/>
    <w:pPr>
      <w:spacing w:after="0" w:line="259" w:lineRule="auto"/>
      <w:ind w:left="416"/>
    </w:pPr>
    <w:rPr>
      <w:rFonts w:ascii="Cambria" w:eastAsia="Cambria" w:hAnsi="Cambria" w:cs="Cambria"/>
      <w:color w:val="000000"/>
      <w:sz w:val="13"/>
    </w:rPr>
  </w:style>
  <w:style w:type="character" w:customStyle="1" w:styleId="footnotedescriptionChar">
    <w:name w:val="footnote description Char"/>
    <w:link w:val="footnotedescription"/>
    <w:rPr>
      <w:rFonts w:ascii="Cambria" w:eastAsia="Cambria" w:hAnsi="Cambria" w:cs="Cambria"/>
      <w:color w:val="000000"/>
      <w:sz w:val="13"/>
    </w:rPr>
  </w:style>
  <w:style w:type="character" w:customStyle="1" w:styleId="footnotemark">
    <w:name w:val="footnote mark"/>
    <w:hidden/>
    <w:rPr>
      <w:rFonts w:ascii="Cambria" w:eastAsia="Cambria" w:hAnsi="Cambria" w:cs="Cambria"/>
      <w:color w:val="000000"/>
      <w:sz w:val="20"/>
      <w:vertAlign w:val="superscript"/>
    </w:rPr>
  </w:style>
  <w:style w:type="paragraph" w:styleId="Prrafodelista">
    <w:name w:val="List Paragraph"/>
    <w:basedOn w:val="Normal"/>
    <w:uiPriority w:val="34"/>
    <w:qFormat/>
    <w:rsid w:val="00605CB8"/>
    <w:pPr>
      <w:ind w:left="720"/>
      <w:contextualSpacing/>
    </w:pPr>
  </w:style>
  <w:style w:type="paragraph" w:styleId="Encabezado">
    <w:name w:val="header"/>
    <w:basedOn w:val="Normal"/>
    <w:link w:val="EncabezadoCar"/>
    <w:uiPriority w:val="99"/>
    <w:unhideWhenUsed/>
    <w:rsid w:val="006233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33EE"/>
    <w:rPr>
      <w:rFonts w:ascii="Calibri" w:eastAsia="Calibri" w:hAnsi="Calibri" w:cs="Calibri"/>
      <w:color w:val="000000"/>
      <w:sz w:val="22"/>
    </w:rPr>
  </w:style>
  <w:style w:type="paragraph" w:styleId="Piedepgina">
    <w:name w:val="footer"/>
    <w:basedOn w:val="Normal"/>
    <w:link w:val="PiedepginaCar"/>
    <w:uiPriority w:val="99"/>
    <w:unhideWhenUsed/>
    <w:rsid w:val="009E00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000C"/>
    <w:rPr>
      <w:rFonts w:ascii="Calibri" w:eastAsia="Calibri" w:hAnsi="Calibri" w:cs="Calibri"/>
      <w:color w:val="000000"/>
      <w:sz w:val="22"/>
    </w:rPr>
  </w:style>
  <w:style w:type="paragraph" w:styleId="Textonotapie">
    <w:name w:val="footnote text"/>
    <w:basedOn w:val="Normal"/>
    <w:link w:val="TextonotapieCar"/>
    <w:uiPriority w:val="99"/>
    <w:semiHidden/>
    <w:unhideWhenUsed/>
    <w:rsid w:val="00AF22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F2258"/>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AF2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upen.fi.cr/PortalSUPEN-TemaPrincipal-theme/visor/web/viewer.html?file=/documents/10179/310613/20200918+SP-A-228-2020" TargetMode="External"/><Relationship Id="rId2" Type="http://schemas.openxmlformats.org/officeDocument/2006/relationships/hyperlink" Target="https://www.supen.fi.cr/PortalSUPEN-TemaPrincipal-theme/visor/web/viewer.html?file=/documents/10179/310613/20200918+SP-A-228-2020" TargetMode="External"/><Relationship Id="rId1" Type="http://schemas.openxmlformats.org/officeDocument/2006/relationships/hyperlink" Target="https://www.supen.fi.cr/PortalSUPEN-TemaPrincipal-theme/visor/web/viewer.html?file=/documents/10179/310613/20200918+SP-A-228-2020" TargetMode="External"/><Relationship Id="rId6" Type="http://schemas.openxmlformats.org/officeDocument/2006/relationships/hyperlink" Target="https://www.supen.fi.cr/PortalSUPEN-TemaPrincipal-theme/visor/web/viewer.html?file=/documents/10179/310613/20201005SP-R-2009" TargetMode="External"/><Relationship Id="rId5" Type="http://schemas.openxmlformats.org/officeDocument/2006/relationships/hyperlink" Target="https://www.supen.fi.cr/PortalSUPEN-TemaPrincipal-theme/visor/web/viewer.html?file=/documents/10179/310613/20201005SP-R-2009" TargetMode="External"/><Relationship Id="rId4" Type="http://schemas.openxmlformats.org/officeDocument/2006/relationships/hyperlink" Target="https://www.supen.fi.cr/PortalSUPEN-TemaPrincipal-theme/visor/web/viewer.html?file=/documents/10179/310613/20201005SP-R-200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0251-A41A-4C33-AA1A-3B7C6104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2472</Words>
  <Characters>13599</Characters>
  <Application>Microsoft Office Word</Application>
  <DocSecurity>0</DocSecurity>
  <Lines>113</Lines>
  <Paragraphs>32</Paragraphs>
  <ScaleCrop>false</ScaleCrop>
  <Company>Banco Central de Costa Rica</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SP-A-133</dc:title>
  <dc:subject/>
  <dc:creator>rodriguezbg</dc:creator>
  <cp:keywords/>
  <cp:lastModifiedBy>RODRIGUEZ BOVIERI GIANFRANCO</cp:lastModifiedBy>
  <cp:revision>53</cp:revision>
  <dcterms:created xsi:type="dcterms:W3CDTF">2025-06-04T16:45:00Z</dcterms:created>
  <dcterms:modified xsi:type="dcterms:W3CDTF">2025-06-04T19:06:00Z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4dd63053,71e377a7,5efcb62,20c5302d,6ba70c96,783c8c31</vt:lpwstr>
  </property>
  <property fmtid="{D5CDD505-2E9C-101B-9397-08002B2CF9AE}" pid="3" name="ClassificationContentMarkingFooterFontProps">
    <vt:lpwstr>#000000,10,Calibri</vt:lpwstr>
  </property>
  <property fmtid="{D5CDD505-2E9C-101B-9397-08002B2CF9AE}" pid="4" name="ClassificationContentMarkingFooterText">
    <vt:lpwstr>Uso Interno</vt:lpwstr>
  </property>
  <property fmtid="{D5CDD505-2E9C-101B-9397-08002B2CF9AE}" pid="5" name="MSIP_Label_b8b4be34-365a-4a68-b9fb-75c1b6874315_Enabled">
    <vt:lpwstr>true</vt:lpwstr>
  </property>
  <property fmtid="{D5CDD505-2E9C-101B-9397-08002B2CF9AE}" pid="6" name="MSIP_Label_b8b4be34-365a-4a68-b9fb-75c1b6874315_SetDate">
    <vt:lpwstr>2025-06-04T16:45:37Z</vt:lpwstr>
  </property>
  <property fmtid="{D5CDD505-2E9C-101B-9397-08002B2CF9AE}" pid="7" name="MSIP_Label_b8b4be34-365a-4a68-b9fb-75c1b6874315_Method">
    <vt:lpwstr>Standard</vt:lpwstr>
  </property>
  <property fmtid="{D5CDD505-2E9C-101B-9397-08002B2CF9AE}" pid="8" name="MSIP_Label_b8b4be34-365a-4a68-b9fb-75c1b6874315_Name">
    <vt:lpwstr>b8b4be34-365a-4a68-b9fb-75c1b6874315</vt:lpwstr>
  </property>
  <property fmtid="{D5CDD505-2E9C-101B-9397-08002B2CF9AE}" pid="9" name="MSIP_Label_b8b4be34-365a-4a68-b9fb-75c1b6874315_SiteId">
    <vt:lpwstr>618d0a45-25a6-4618-9f80-8f70a435ee52</vt:lpwstr>
  </property>
  <property fmtid="{D5CDD505-2E9C-101B-9397-08002B2CF9AE}" pid="10" name="MSIP_Label_b8b4be34-365a-4a68-b9fb-75c1b6874315_ActionId">
    <vt:lpwstr>1452bfea-bdc8-478b-a370-676812ee6d94</vt:lpwstr>
  </property>
  <property fmtid="{D5CDD505-2E9C-101B-9397-08002B2CF9AE}" pid="11" name="MSIP_Label_b8b4be34-365a-4a68-b9fb-75c1b6874315_ContentBits">
    <vt:lpwstr>2</vt:lpwstr>
  </property>
  <property fmtid="{D5CDD505-2E9C-101B-9397-08002B2CF9AE}" pid="12" name="MSIP_Label_b8b4be34-365a-4a68-b9fb-75c1b6874315_Tag">
    <vt:lpwstr>10, 3, 0, 1</vt:lpwstr>
  </property>
</Properties>
</file>