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tmp" ContentType="image/png"/>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1317" w14:textId="77777777" w:rsidR="00B47A67" w:rsidRDefault="005E6D85" w:rsidP="00B47A67">
      <w:pPr>
        <w:spacing w:after="0" w:line="240" w:lineRule="auto"/>
        <w:contextualSpacing/>
        <w:jc w:val="center"/>
      </w:pPr>
      <w:r>
        <w:rPr>
          <w:noProof/>
        </w:rPr>
        <w:drawing>
          <wp:inline distT="0" distB="0" distL="0" distR="0" wp14:anchorId="0B4FF585" wp14:editId="2F0BFEFE">
            <wp:extent cx="1767036" cy="531675"/>
            <wp:effectExtent l="0" t="0" r="5080" b="1905"/>
            <wp:docPr id="1" name="Picture 1" descr="Imagen que contiene señal,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señal, dibujo, reloj&#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1260" cy="541972"/>
                    </a:xfrm>
                    <a:prstGeom prst="rect">
                      <a:avLst/>
                    </a:prstGeom>
                  </pic:spPr>
                </pic:pic>
              </a:graphicData>
            </a:graphic>
          </wp:inline>
        </w:drawing>
      </w:r>
    </w:p>
    <w:p w14:paraId="6B3C17FE" w14:textId="77777777" w:rsidR="00B47A67" w:rsidRDefault="00B47A67" w:rsidP="00B47A67">
      <w:pPr>
        <w:spacing w:after="0" w:line="240" w:lineRule="auto"/>
        <w:contextualSpacing/>
        <w:jc w:val="center"/>
      </w:pPr>
    </w:p>
    <w:p w14:paraId="7B7165C7" w14:textId="77777777" w:rsidR="00B47A67" w:rsidRDefault="00B47A67" w:rsidP="00B47A67">
      <w:pPr>
        <w:spacing w:after="0" w:line="240" w:lineRule="auto"/>
        <w:contextualSpacing/>
        <w:jc w:val="center"/>
        <w:rPr>
          <w:sz w:val="48"/>
          <w:szCs w:val="48"/>
        </w:rPr>
      </w:pPr>
    </w:p>
    <w:p w14:paraId="485A82E5" w14:textId="77777777" w:rsidR="00B47A67" w:rsidRPr="00280660" w:rsidRDefault="00B47A67" w:rsidP="00B47A67">
      <w:pPr>
        <w:spacing w:after="0" w:line="240" w:lineRule="auto"/>
        <w:contextualSpacing/>
        <w:jc w:val="center"/>
        <w:rPr>
          <w:sz w:val="44"/>
          <w:szCs w:val="44"/>
        </w:rPr>
      </w:pPr>
      <w:r w:rsidRPr="00280660">
        <w:rPr>
          <w:sz w:val="44"/>
          <w:szCs w:val="44"/>
        </w:rPr>
        <w:t>División de Planificación y Normativa</w:t>
      </w:r>
    </w:p>
    <w:p w14:paraId="535C71EB" w14:textId="77777777" w:rsidR="00B47A67" w:rsidRDefault="00427480" w:rsidP="00B47A67">
      <w:pPr>
        <w:spacing w:after="0" w:line="240" w:lineRule="auto"/>
        <w:contextualSpacing/>
        <w:jc w:val="center"/>
        <w:rPr>
          <w:sz w:val="36"/>
          <w:szCs w:val="36"/>
        </w:rPr>
      </w:pPr>
      <w:r>
        <w:rPr>
          <w:sz w:val="36"/>
          <w:szCs w:val="36"/>
        </w:rPr>
        <w:t xml:space="preserve"> </w:t>
      </w:r>
      <w:r w:rsidR="00391DC2">
        <w:rPr>
          <w:sz w:val="36"/>
          <w:szCs w:val="36"/>
        </w:rPr>
        <w:t xml:space="preserve"> </w:t>
      </w:r>
    </w:p>
    <w:p w14:paraId="1C8B1F56" w14:textId="77777777" w:rsidR="00B47A67" w:rsidRPr="00A87A20" w:rsidRDefault="00B47A67" w:rsidP="00B47A67">
      <w:pPr>
        <w:spacing w:after="0" w:line="240" w:lineRule="auto"/>
        <w:contextualSpacing/>
        <w:jc w:val="center"/>
        <w:rPr>
          <w:sz w:val="36"/>
          <w:szCs w:val="36"/>
        </w:rPr>
      </w:pPr>
      <w:r w:rsidRPr="00A87A20">
        <w:rPr>
          <w:sz w:val="36"/>
          <w:szCs w:val="36"/>
        </w:rPr>
        <w:t>Estudio Técnico</w:t>
      </w:r>
      <w:r w:rsidRPr="00A87A20">
        <w:rPr>
          <w:rStyle w:val="Refdenotaalpie"/>
          <w:sz w:val="36"/>
          <w:szCs w:val="36"/>
        </w:rPr>
        <w:footnoteReference w:id="2"/>
      </w:r>
    </w:p>
    <w:p w14:paraId="3479B5B3" w14:textId="77777777" w:rsidR="00B47A67" w:rsidRDefault="00A37BB8" w:rsidP="00B47A67">
      <w:pPr>
        <w:spacing w:after="0" w:line="240" w:lineRule="auto"/>
        <w:contextualSpacing/>
        <w:jc w:val="center"/>
        <w:rPr>
          <w:smallCaps/>
          <w:sz w:val="40"/>
          <w:szCs w:val="40"/>
        </w:rPr>
      </w:pPr>
      <w:r>
        <w:rPr>
          <w:smallCaps/>
          <w:sz w:val="40"/>
          <w:szCs w:val="40"/>
        </w:rPr>
        <w:t xml:space="preserve"> </w:t>
      </w:r>
      <w:r w:rsidR="007C0C69">
        <w:rPr>
          <w:smallCaps/>
          <w:sz w:val="40"/>
          <w:szCs w:val="40"/>
        </w:rPr>
        <w:t xml:space="preserve"> </w:t>
      </w:r>
    </w:p>
    <w:p w14:paraId="3C3C5152" w14:textId="77777777" w:rsidR="00B47A67" w:rsidRPr="00A87A20" w:rsidRDefault="00B47A67" w:rsidP="00B47A67">
      <w:pPr>
        <w:spacing w:after="0" w:line="240" w:lineRule="auto"/>
        <w:contextualSpacing/>
        <w:jc w:val="center"/>
        <w:rPr>
          <w:smallCaps/>
          <w:sz w:val="40"/>
          <w:szCs w:val="40"/>
        </w:rPr>
      </w:pPr>
      <w:r w:rsidRPr="00A87A20">
        <w:rPr>
          <w:smallCaps/>
          <w:sz w:val="40"/>
          <w:szCs w:val="40"/>
        </w:rPr>
        <w:t>Fondos Generacionales</w:t>
      </w:r>
    </w:p>
    <w:p w14:paraId="71089798" w14:textId="77777777" w:rsidR="00B47A67" w:rsidRDefault="00B47A67" w:rsidP="00B47A67">
      <w:pPr>
        <w:spacing w:after="0" w:line="240" w:lineRule="auto"/>
        <w:contextualSpacing/>
        <w:jc w:val="center"/>
      </w:pPr>
    </w:p>
    <w:p w14:paraId="71AC9621" w14:textId="77777777" w:rsidR="00B47A67" w:rsidRDefault="00B47A67" w:rsidP="00B47A67">
      <w:pPr>
        <w:spacing w:after="0" w:line="240" w:lineRule="auto"/>
        <w:contextualSpacing/>
        <w:jc w:val="center"/>
      </w:pPr>
    </w:p>
    <w:p w14:paraId="05087032" w14:textId="77777777" w:rsidR="00B47A67" w:rsidRDefault="00B47A67" w:rsidP="00B47A67">
      <w:pPr>
        <w:spacing w:after="0" w:line="240" w:lineRule="auto"/>
        <w:contextualSpacing/>
        <w:jc w:val="center"/>
      </w:pPr>
      <w:r>
        <w:t>Resumen</w:t>
      </w:r>
    </w:p>
    <w:p w14:paraId="2FC4D98D" w14:textId="77777777" w:rsidR="00B47A67" w:rsidRDefault="00B47A67" w:rsidP="00B47A67">
      <w:pPr>
        <w:spacing w:after="0" w:line="240" w:lineRule="auto"/>
        <w:contextualSpacing/>
        <w:jc w:val="center"/>
      </w:pPr>
    </w:p>
    <w:p w14:paraId="2DDAB038" w14:textId="77777777" w:rsidR="00B47A67" w:rsidRDefault="00B47A67" w:rsidP="00B47A67">
      <w:pPr>
        <w:spacing w:after="0" w:line="240" w:lineRule="auto"/>
        <w:contextualSpacing/>
        <w:jc w:val="center"/>
      </w:pPr>
    </w:p>
    <w:p w14:paraId="39A71E73" w14:textId="77777777" w:rsidR="00B47A67" w:rsidRDefault="00B47A67" w:rsidP="00B47A67">
      <w:pPr>
        <w:spacing w:after="0" w:line="240" w:lineRule="auto"/>
        <w:ind w:left="567" w:right="804"/>
        <w:contextualSpacing/>
        <w:jc w:val="both"/>
      </w:pPr>
      <w:r>
        <w:t>Este documento presenta las consideraciones técnicas que la Superintendencia de Pensiones ha analizado para la formulación de la propuesta de reforma a la administración del Régimen Obligatorio de Pensiones (ROP), con el propósito de que su esquema de gestión se ordene por la edad de la población afiliada, buscando obtener para los afilia</w:t>
      </w:r>
      <w:r w:rsidRPr="00E162FB">
        <w:t>dos y pensionados mejores rendimientos y por ende tasas de remplazo superiores</w:t>
      </w:r>
      <w:r w:rsidR="009E44C6" w:rsidRPr="00E162FB">
        <w:t xml:space="preserve">, además de mayor protección </w:t>
      </w:r>
      <w:r w:rsidR="0095102C" w:rsidRPr="00E162FB">
        <w:t>a los saldos en la vejez</w:t>
      </w:r>
      <w:r w:rsidRPr="00E162FB">
        <w:t>.</w:t>
      </w:r>
    </w:p>
    <w:p w14:paraId="5B47EDE7" w14:textId="77777777" w:rsidR="00B47A67" w:rsidRDefault="00B47A67" w:rsidP="00B47A67">
      <w:pPr>
        <w:spacing w:after="0" w:line="240" w:lineRule="auto"/>
        <w:contextualSpacing/>
        <w:jc w:val="both"/>
      </w:pPr>
    </w:p>
    <w:p w14:paraId="717EA5BC" w14:textId="77777777" w:rsidR="00B47A67" w:rsidRDefault="00B47A67" w:rsidP="00B47A67">
      <w:pPr>
        <w:spacing w:after="0" w:line="240" w:lineRule="auto"/>
        <w:contextualSpacing/>
        <w:jc w:val="both"/>
      </w:pPr>
    </w:p>
    <w:p w14:paraId="22A90FF0" w14:textId="77777777" w:rsidR="00B47A67" w:rsidRDefault="00B47A67" w:rsidP="00B47A67">
      <w:pPr>
        <w:spacing w:after="0" w:line="240" w:lineRule="auto"/>
        <w:contextualSpacing/>
        <w:jc w:val="both"/>
      </w:pPr>
    </w:p>
    <w:p w14:paraId="4AD540BB" w14:textId="77777777" w:rsidR="00B47A67" w:rsidRDefault="00B47A67" w:rsidP="00B47A67">
      <w:pPr>
        <w:spacing w:after="0" w:line="240" w:lineRule="auto"/>
        <w:contextualSpacing/>
      </w:pPr>
      <w:r>
        <w:br w:type="page"/>
      </w:r>
    </w:p>
    <w:sdt>
      <w:sdtPr>
        <w:rPr>
          <w:rFonts w:asciiTheme="minorHAnsi" w:eastAsiaTheme="minorHAnsi" w:hAnsiTheme="minorHAnsi" w:cstheme="minorBidi"/>
          <w:color w:val="auto"/>
          <w:sz w:val="22"/>
          <w:szCs w:val="22"/>
          <w:lang w:val="es-ES" w:eastAsia="en-US"/>
        </w:rPr>
        <w:id w:val="-1268001644"/>
        <w:docPartObj>
          <w:docPartGallery w:val="Table of Contents"/>
          <w:docPartUnique/>
        </w:docPartObj>
      </w:sdtPr>
      <w:sdtEndPr>
        <w:rPr>
          <w:b/>
          <w:bCs/>
        </w:rPr>
      </w:sdtEndPr>
      <w:sdtContent>
        <w:p w14:paraId="722117E7" w14:textId="77777777" w:rsidR="005E6D85" w:rsidRDefault="005E6D85" w:rsidP="005E6D85">
          <w:pPr>
            <w:pStyle w:val="TtuloTDC"/>
            <w:rPr>
              <w:lang w:val="es-ES"/>
            </w:rPr>
          </w:pPr>
          <w:r>
            <w:rPr>
              <w:lang w:val="es-ES"/>
            </w:rPr>
            <w:t>Contenido</w:t>
          </w:r>
        </w:p>
        <w:p w14:paraId="7A9EEE2D" w14:textId="77777777" w:rsidR="005E6D85" w:rsidRPr="001724E4" w:rsidRDefault="005E6D85" w:rsidP="005E6D85">
          <w:pPr>
            <w:rPr>
              <w:lang w:eastAsia="es-CR"/>
            </w:rPr>
          </w:pPr>
        </w:p>
        <w:p w14:paraId="3E243EE4" w14:textId="77777777" w:rsidR="00FE4384" w:rsidRDefault="005E6D85">
          <w:pPr>
            <w:pStyle w:val="TDC1"/>
            <w:tabs>
              <w:tab w:val="right" w:leader="dot" w:pos="8494"/>
            </w:tabs>
            <w:rPr>
              <w:rFonts w:eastAsiaTheme="minorEastAsia"/>
              <w:noProof/>
              <w:lang w:val="es-CR" w:eastAsia="es-CR"/>
            </w:rPr>
          </w:pPr>
          <w:r>
            <w:fldChar w:fldCharType="begin"/>
          </w:r>
          <w:r>
            <w:instrText xml:space="preserve"> TOC \o "1-3" \h \z \u </w:instrText>
          </w:r>
          <w:r>
            <w:fldChar w:fldCharType="separate"/>
          </w:r>
          <w:hyperlink w:anchor="_Toc144396516" w:history="1">
            <w:r w:rsidR="00FE4384" w:rsidRPr="00B232C5">
              <w:rPr>
                <w:rStyle w:val="Hipervnculo"/>
                <w:noProof/>
              </w:rPr>
              <w:t>Definiciones</w:t>
            </w:r>
            <w:r w:rsidR="00FE4384">
              <w:rPr>
                <w:noProof/>
                <w:webHidden/>
              </w:rPr>
              <w:tab/>
            </w:r>
            <w:r w:rsidR="00FE4384">
              <w:rPr>
                <w:noProof/>
                <w:webHidden/>
              </w:rPr>
              <w:fldChar w:fldCharType="begin"/>
            </w:r>
            <w:r w:rsidR="00FE4384">
              <w:rPr>
                <w:noProof/>
                <w:webHidden/>
              </w:rPr>
              <w:instrText xml:space="preserve"> PAGEREF _Toc144396516 \h </w:instrText>
            </w:r>
            <w:r w:rsidR="00FE4384">
              <w:rPr>
                <w:noProof/>
                <w:webHidden/>
              </w:rPr>
            </w:r>
            <w:r w:rsidR="00FE4384">
              <w:rPr>
                <w:noProof/>
                <w:webHidden/>
              </w:rPr>
              <w:fldChar w:fldCharType="separate"/>
            </w:r>
            <w:r w:rsidR="00CC66E5">
              <w:rPr>
                <w:noProof/>
                <w:webHidden/>
              </w:rPr>
              <w:t>4</w:t>
            </w:r>
            <w:r w:rsidR="00FE4384">
              <w:rPr>
                <w:noProof/>
                <w:webHidden/>
              </w:rPr>
              <w:fldChar w:fldCharType="end"/>
            </w:r>
          </w:hyperlink>
        </w:p>
        <w:p w14:paraId="0F8D8520" w14:textId="77777777" w:rsidR="00FE4384" w:rsidRDefault="0042356F">
          <w:pPr>
            <w:pStyle w:val="TDC1"/>
            <w:tabs>
              <w:tab w:val="right" w:leader="dot" w:pos="8494"/>
            </w:tabs>
            <w:rPr>
              <w:rFonts w:eastAsiaTheme="minorEastAsia"/>
              <w:noProof/>
              <w:lang w:val="es-CR" w:eastAsia="es-CR"/>
            </w:rPr>
          </w:pPr>
          <w:hyperlink w:anchor="_Toc144396517" w:history="1">
            <w:r w:rsidR="00FE4384" w:rsidRPr="00B232C5">
              <w:rPr>
                <w:rStyle w:val="Hipervnculo"/>
                <w:noProof/>
              </w:rPr>
              <w:t>Introducción</w:t>
            </w:r>
            <w:r w:rsidR="00FE4384">
              <w:rPr>
                <w:noProof/>
                <w:webHidden/>
              </w:rPr>
              <w:tab/>
            </w:r>
            <w:r w:rsidR="00FE4384">
              <w:rPr>
                <w:noProof/>
                <w:webHidden/>
              </w:rPr>
              <w:fldChar w:fldCharType="begin"/>
            </w:r>
            <w:r w:rsidR="00FE4384">
              <w:rPr>
                <w:noProof/>
                <w:webHidden/>
              </w:rPr>
              <w:instrText xml:space="preserve"> PAGEREF _Toc144396517 \h </w:instrText>
            </w:r>
            <w:r w:rsidR="00FE4384">
              <w:rPr>
                <w:noProof/>
                <w:webHidden/>
              </w:rPr>
            </w:r>
            <w:r w:rsidR="00FE4384">
              <w:rPr>
                <w:noProof/>
                <w:webHidden/>
              </w:rPr>
              <w:fldChar w:fldCharType="separate"/>
            </w:r>
            <w:r w:rsidR="00CC66E5">
              <w:rPr>
                <w:noProof/>
                <w:webHidden/>
              </w:rPr>
              <w:t>5</w:t>
            </w:r>
            <w:r w:rsidR="00FE4384">
              <w:rPr>
                <w:noProof/>
                <w:webHidden/>
              </w:rPr>
              <w:fldChar w:fldCharType="end"/>
            </w:r>
          </w:hyperlink>
        </w:p>
        <w:p w14:paraId="4338DD5D" w14:textId="77777777" w:rsidR="00FE4384" w:rsidRDefault="0042356F">
          <w:pPr>
            <w:pStyle w:val="TDC1"/>
            <w:tabs>
              <w:tab w:val="right" w:leader="dot" w:pos="8494"/>
            </w:tabs>
            <w:rPr>
              <w:rFonts w:eastAsiaTheme="minorEastAsia"/>
              <w:noProof/>
              <w:lang w:val="es-CR" w:eastAsia="es-CR"/>
            </w:rPr>
          </w:pPr>
          <w:hyperlink w:anchor="_Toc144396518" w:history="1">
            <w:r w:rsidR="00FE4384" w:rsidRPr="00B232C5">
              <w:rPr>
                <w:rStyle w:val="Hipervnculo"/>
                <w:noProof/>
              </w:rPr>
              <w:t>Capítulo 1: Antecedentes generales y experiencias similares en otros países</w:t>
            </w:r>
            <w:r w:rsidR="00FE4384">
              <w:rPr>
                <w:noProof/>
                <w:webHidden/>
              </w:rPr>
              <w:tab/>
            </w:r>
            <w:r w:rsidR="00FE4384">
              <w:rPr>
                <w:noProof/>
                <w:webHidden/>
              </w:rPr>
              <w:fldChar w:fldCharType="begin"/>
            </w:r>
            <w:r w:rsidR="00FE4384">
              <w:rPr>
                <w:noProof/>
                <w:webHidden/>
              </w:rPr>
              <w:instrText xml:space="preserve"> PAGEREF _Toc144396518 \h </w:instrText>
            </w:r>
            <w:r w:rsidR="00FE4384">
              <w:rPr>
                <w:noProof/>
                <w:webHidden/>
              </w:rPr>
            </w:r>
            <w:r w:rsidR="00FE4384">
              <w:rPr>
                <w:noProof/>
                <w:webHidden/>
              </w:rPr>
              <w:fldChar w:fldCharType="separate"/>
            </w:r>
            <w:r w:rsidR="00CC66E5">
              <w:rPr>
                <w:noProof/>
                <w:webHidden/>
              </w:rPr>
              <w:t>7</w:t>
            </w:r>
            <w:r w:rsidR="00FE4384">
              <w:rPr>
                <w:noProof/>
                <w:webHidden/>
              </w:rPr>
              <w:fldChar w:fldCharType="end"/>
            </w:r>
          </w:hyperlink>
        </w:p>
        <w:p w14:paraId="77911039" w14:textId="77777777" w:rsidR="00FE4384" w:rsidRDefault="0042356F">
          <w:pPr>
            <w:pStyle w:val="TDC2"/>
            <w:tabs>
              <w:tab w:val="left" w:pos="880"/>
              <w:tab w:val="right" w:leader="dot" w:pos="8494"/>
            </w:tabs>
            <w:rPr>
              <w:rFonts w:eastAsiaTheme="minorEastAsia"/>
              <w:noProof/>
              <w:lang w:val="es-CR" w:eastAsia="es-CR"/>
            </w:rPr>
          </w:pPr>
          <w:hyperlink w:anchor="_Toc144396519" w:history="1">
            <w:r w:rsidR="00FE4384" w:rsidRPr="00B232C5">
              <w:rPr>
                <w:rStyle w:val="Hipervnculo"/>
                <w:noProof/>
              </w:rPr>
              <w:t>1.1.</w:t>
            </w:r>
            <w:r w:rsidR="00FE4384">
              <w:rPr>
                <w:rFonts w:eastAsiaTheme="minorEastAsia"/>
                <w:noProof/>
                <w:lang w:val="es-CR" w:eastAsia="es-CR"/>
              </w:rPr>
              <w:tab/>
            </w:r>
            <w:r w:rsidR="00FE4384" w:rsidRPr="00B232C5">
              <w:rPr>
                <w:rStyle w:val="Hipervnculo"/>
                <w:noProof/>
              </w:rPr>
              <w:t>¿Qué son multifondos?</w:t>
            </w:r>
            <w:r w:rsidR="00FE4384">
              <w:rPr>
                <w:noProof/>
                <w:webHidden/>
              </w:rPr>
              <w:tab/>
            </w:r>
            <w:r w:rsidR="00FE4384">
              <w:rPr>
                <w:noProof/>
                <w:webHidden/>
              </w:rPr>
              <w:fldChar w:fldCharType="begin"/>
            </w:r>
            <w:r w:rsidR="00FE4384">
              <w:rPr>
                <w:noProof/>
                <w:webHidden/>
              </w:rPr>
              <w:instrText xml:space="preserve"> PAGEREF _Toc144396519 \h </w:instrText>
            </w:r>
            <w:r w:rsidR="00FE4384">
              <w:rPr>
                <w:noProof/>
                <w:webHidden/>
              </w:rPr>
            </w:r>
            <w:r w:rsidR="00FE4384">
              <w:rPr>
                <w:noProof/>
                <w:webHidden/>
              </w:rPr>
              <w:fldChar w:fldCharType="separate"/>
            </w:r>
            <w:r w:rsidR="00CC66E5">
              <w:rPr>
                <w:noProof/>
                <w:webHidden/>
              </w:rPr>
              <w:t>7</w:t>
            </w:r>
            <w:r w:rsidR="00FE4384">
              <w:rPr>
                <w:noProof/>
                <w:webHidden/>
              </w:rPr>
              <w:fldChar w:fldCharType="end"/>
            </w:r>
          </w:hyperlink>
        </w:p>
        <w:p w14:paraId="132859F0" w14:textId="77777777" w:rsidR="00FE4384" w:rsidRDefault="0042356F">
          <w:pPr>
            <w:pStyle w:val="TDC2"/>
            <w:tabs>
              <w:tab w:val="left" w:pos="880"/>
              <w:tab w:val="right" w:leader="dot" w:pos="8494"/>
            </w:tabs>
            <w:rPr>
              <w:rFonts w:eastAsiaTheme="minorEastAsia"/>
              <w:noProof/>
              <w:lang w:val="es-CR" w:eastAsia="es-CR"/>
            </w:rPr>
          </w:pPr>
          <w:hyperlink w:anchor="_Toc144396520" w:history="1">
            <w:r w:rsidR="00FE4384" w:rsidRPr="00B232C5">
              <w:rPr>
                <w:rStyle w:val="Hipervnculo"/>
                <w:noProof/>
              </w:rPr>
              <w:t>1.2.</w:t>
            </w:r>
            <w:r w:rsidR="00FE4384">
              <w:rPr>
                <w:rFonts w:eastAsiaTheme="minorEastAsia"/>
                <w:noProof/>
                <w:lang w:val="es-CR" w:eastAsia="es-CR"/>
              </w:rPr>
              <w:tab/>
            </w:r>
            <w:r w:rsidR="00FE4384" w:rsidRPr="00B232C5">
              <w:rPr>
                <w:rStyle w:val="Hipervnculo"/>
                <w:noProof/>
              </w:rPr>
              <w:t>¿Qué son fondos de fecha objetivo (TDF)?</w:t>
            </w:r>
            <w:r w:rsidR="00FE4384">
              <w:rPr>
                <w:noProof/>
                <w:webHidden/>
              </w:rPr>
              <w:tab/>
            </w:r>
            <w:r w:rsidR="00FE4384">
              <w:rPr>
                <w:noProof/>
                <w:webHidden/>
              </w:rPr>
              <w:fldChar w:fldCharType="begin"/>
            </w:r>
            <w:r w:rsidR="00FE4384">
              <w:rPr>
                <w:noProof/>
                <w:webHidden/>
              </w:rPr>
              <w:instrText xml:space="preserve"> PAGEREF _Toc144396520 \h </w:instrText>
            </w:r>
            <w:r w:rsidR="00FE4384">
              <w:rPr>
                <w:noProof/>
                <w:webHidden/>
              </w:rPr>
            </w:r>
            <w:r w:rsidR="00FE4384">
              <w:rPr>
                <w:noProof/>
                <w:webHidden/>
              </w:rPr>
              <w:fldChar w:fldCharType="separate"/>
            </w:r>
            <w:r w:rsidR="00CC66E5">
              <w:rPr>
                <w:noProof/>
                <w:webHidden/>
              </w:rPr>
              <w:t>7</w:t>
            </w:r>
            <w:r w:rsidR="00FE4384">
              <w:rPr>
                <w:noProof/>
                <w:webHidden/>
              </w:rPr>
              <w:fldChar w:fldCharType="end"/>
            </w:r>
          </w:hyperlink>
        </w:p>
        <w:p w14:paraId="0E0F1027" w14:textId="77777777" w:rsidR="00FE4384" w:rsidRDefault="0042356F">
          <w:pPr>
            <w:pStyle w:val="TDC2"/>
            <w:tabs>
              <w:tab w:val="left" w:pos="880"/>
              <w:tab w:val="right" w:leader="dot" w:pos="8494"/>
            </w:tabs>
            <w:rPr>
              <w:rFonts w:eastAsiaTheme="minorEastAsia"/>
              <w:noProof/>
              <w:lang w:val="es-CR" w:eastAsia="es-CR"/>
            </w:rPr>
          </w:pPr>
          <w:hyperlink w:anchor="_Toc144396521" w:history="1">
            <w:r w:rsidR="00FE4384" w:rsidRPr="00B232C5">
              <w:rPr>
                <w:rStyle w:val="Hipervnculo"/>
                <w:noProof/>
              </w:rPr>
              <w:t>1.3.</w:t>
            </w:r>
            <w:r w:rsidR="00FE4384">
              <w:rPr>
                <w:rFonts w:eastAsiaTheme="minorEastAsia"/>
                <w:noProof/>
                <w:lang w:val="es-CR" w:eastAsia="es-CR"/>
              </w:rPr>
              <w:tab/>
            </w:r>
            <w:r w:rsidR="00FE4384" w:rsidRPr="00B232C5">
              <w:rPr>
                <w:rStyle w:val="Hipervnculo"/>
                <w:noProof/>
              </w:rPr>
              <w:t>¿Cuál es la diferencia entre multifondos y TDF?</w:t>
            </w:r>
            <w:r w:rsidR="00FE4384">
              <w:rPr>
                <w:noProof/>
                <w:webHidden/>
              </w:rPr>
              <w:tab/>
            </w:r>
            <w:r w:rsidR="00FE4384">
              <w:rPr>
                <w:noProof/>
                <w:webHidden/>
              </w:rPr>
              <w:fldChar w:fldCharType="begin"/>
            </w:r>
            <w:r w:rsidR="00FE4384">
              <w:rPr>
                <w:noProof/>
                <w:webHidden/>
              </w:rPr>
              <w:instrText xml:space="preserve"> PAGEREF _Toc144396521 \h </w:instrText>
            </w:r>
            <w:r w:rsidR="00FE4384">
              <w:rPr>
                <w:noProof/>
                <w:webHidden/>
              </w:rPr>
            </w:r>
            <w:r w:rsidR="00FE4384">
              <w:rPr>
                <w:noProof/>
                <w:webHidden/>
              </w:rPr>
              <w:fldChar w:fldCharType="separate"/>
            </w:r>
            <w:r w:rsidR="00CC66E5">
              <w:rPr>
                <w:noProof/>
                <w:webHidden/>
              </w:rPr>
              <w:t>7</w:t>
            </w:r>
            <w:r w:rsidR="00FE4384">
              <w:rPr>
                <w:noProof/>
                <w:webHidden/>
              </w:rPr>
              <w:fldChar w:fldCharType="end"/>
            </w:r>
          </w:hyperlink>
        </w:p>
        <w:p w14:paraId="72EB51FA" w14:textId="77777777" w:rsidR="00FE4384" w:rsidRDefault="0042356F">
          <w:pPr>
            <w:pStyle w:val="TDC2"/>
            <w:tabs>
              <w:tab w:val="left" w:pos="880"/>
              <w:tab w:val="right" w:leader="dot" w:pos="8494"/>
            </w:tabs>
            <w:rPr>
              <w:rFonts w:eastAsiaTheme="minorEastAsia"/>
              <w:noProof/>
              <w:lang w:val="es-CR" w:eastAsia="es-CR"/>
            </w:rPr>
          </w:pPr>
          <w:hyperlink w:anchor="_Toc144396522" w:history="1">
            <w:r w:rsidR="00FE4384" w:rsidRPr="00B232C5">
              <w:rPr>
                <w:rStyle w:val="Hipervnculo"/>
                <w:noProof/>
              </w:rPr>
              <w:t>1.4.</w:t>
            </w:r>
            <w:r w:rsidR="00FE4384">
              <w:rPr>
                <w:rFonts w:eastAsiaTheme="minorEastAsia"/>
                <w:noProof/>
                <w:lang w:val="es-CR" w:eastAsia="es-CR"/>
              </w:rPr>
              <w:tab/>
            </w:r>
            <w:r w:rsidR="00FE4384" w:rsidRPr="00B232C5">
              <w:rPr>
                <w:rStyle w:val="Hipervnculo"/>
                <w:noProof/>
              </w:rPr>
              <w:t>¿Cuál ha sido la experiencia internacional?</w:t>
            </w:r>
            <w:r w:rsidR="00FE4384">
              <w:rPr>
                <w:noProof/>
                <w:webHidden/>
              </w:rPr>
              <w:tab/>
            </w:r>
            <w:r w:rsidR="00FE4384">
              <w:rPr>
                <w:noProof/>
                <w:webHidden/>
              </w:rPr>
              <w:fldChar w:fldCharType="begin"/>
            </w:r>
            <w:r w:rsidR="00FE4384">
              <w:rPr>
                <w:noProof/>
                <w:webHidden/>
              </w:rPr>
              <w:instrText xml:space="preserve"> PAGEREF _Toc144396522 \h </w:instrText>
            </w:r>
            <w:r w:rsidR="00FE4384">
              <w:rPr>
                <w:noProof/>
                <w:webHidden/>
              </w:rPr>
            </w:r>
            <w:r w:rsidR="00FE4384">
              <w:rPr>
                <w:noProof/>
                <w:webHidden/>
              </w:rPr>
              <w:fldChar w:fldCharType="separate"/>
            </w:r>
            <w:r w:rsidR="00CC66E5">
              <w:rPr>
                <w:noProof/>
                <w:webHidden/>
              </w:rPr>
              <w:t>9</w:t>
            </w:r>
            <w:r w:rsidR="00FE4384">
              <w:rPr>
                <w:noProof/>
                <w:webHidden/>
              </w:rPr>
              <w:fldChar w:fldCharType="end"/>
            </w:r>
          </w:hyperlink>
        </w:p>
        <w:p w14:paraId="48B4CB4C" w14:textId="77777777" w:rsidR="00FE4384" w:rsidRDefault="0042356F">
          <w:pPr>
            <w:pStyle w:val="TDC3"/>
            <w:tabs>
              <w:tab w:val="left" w:pos="1320"/>
              <w:tab w:val="right" w:leader="dot" w:pos="8494"/>
            </w:tabs>
            <w:rPr>
              <w:rFonts w:eastAsiaTheme="minorEastAsia"/>
              <w:noProof/>
              <w:lang w:val="es-CR" w:eastAsia="es-CR"/>
            </w:rPr>
          </w:pPr>
          <w:hyperlink w:anchor="_Toc144396523" w:history="1">
            <w:r w:rsidR="00FE4384" w:rsidRPr="00B232C5">
              <w:rPr>
                <w:rStyle w:val="Hipervnculo"/>
                <w:noProof/>
              </w:rPr>
              <w:t>1.4.1.</w:t>
            </w:r>
            <w:r w:rsidR="00FE4384">
              <w:rPr>
                <w:rFonts w:eastAsiaTheme="minorEastAsia"/>
                <w:noProof/>
                <w:lang w:val="es-CR" w:eastAsia="es-CR"/>
              </w:rPr>
              <w:tab/>
            </w:r>
            <w:r w:rsidR="00FE4384" w:rsidRPr="00B232C5">
              <w:rPr>
                <w:rStyle w:val="Hipervnculo"/>
                <w:noProof/>
              </w:rPr>
              <w:t>Chile</w:t>
            </w:r>
            <w:r w:rsidR="00FE4384">
              <w:rPr>
                <w:noProof/>
                <w:webHidden/>
              </w:rPr>
              <w:tab/>
            </w:r>
            <w:r w:rsidR="00FE4384">
              <w:rPr>
                <w:noProof/>
                <w:webHidden/>
              </w:rPr>
              <w:fldChar w:fldCharType="begin"/>
            </w:r>
            <w:r w:rsidR="00FE4384">
              <w:rPr>
                <w:noProof/>
                <w:webHidden/>
              </w:rPr>
              <w:instrText xml:space="preserve"> PAGEREF _Toc144396523 \h </w:instrText>
            </w:r>
            <w:r w:rsidR="00FE4384">
              <w:rPr>
                <w:noProof/>
                <w:webHidden/>
              </w:rPr>
            </w:r>
            <w:r w:rsidR="00FE4384">
              <w:rPr>
                <w:noProof/>
                <w:webHidden/>
              </w:rPr>
              <w:fldChar w:fldCharType="separate"/>
            </w:r>
            <w:r w:rsidR="00CC66E5">
              <w:rPr>
                <w:noProof/>
                <w:webHidden/>
              </w:rPr>
              <w:t>9</w:t>
            </w:r>
            <w:r w:rsidR="00FE4384">
              <w:rPr>
                <w:noProof/>
                <w:webHidden/>
              </w:rPr>
              <w:fldChar w:fldCharType="end"/>
            </w:r>
          </w:hyperlink>
        </w:p>
        <w:p w14:paraId="5AE7F69A" w14:textId="77777777" w:rsidR="00FE4384" w:rsidRDefault="0042356F">
          <w:pPr>
            <w:pStyle w:val="TDC3"/>
            <w:tabs>
              <w:tab w:val="left" w:pos="1320"/>
              <w:tab w:val="right" w:leader="dot" w:pos="8494"/>
            </w:tabs>
            <w:rPr>
              <w:rFonts w:eastAsiaTheme="minorEastAsia"/>
              <w:noProof/>
              <w:lang w:val="es-CR" w:eastAsia="es-CR"/>
            </w:rPr>
          </w:pPr>
          <w:hyperlink w:anchor="_Toc144396524" w:history="1">
            <w:r w:rsidR="00FE4384" w:rsidRPr="00B232C5">
              <w:rPr>
                <w:rStyle w:val="Hipervnculo"/>
                <w:noProof/>
              </w:rPr>
              <w:t>1.4.2.</w:t>
            </w:r>
            <w:r w:rsidR="00FE4384">
              <w:rPr>
                <w:rFonts w:eastAsiaTheme="minorEastAsia"/>
                <w:noProof/>
                <w:lang w:val="es-CR" w:eastAsia="es-CR"/>
              </w:rPr>
              <w:tab/>
            </w:r>
            <w:r w:rsidR="00FE4384" w:rsidRPr="00B232C5">
              <w:rPr>
                <w:rStyle w:val="Hipervnculo"/>
                <w:noProof/>
              </w:rPr>
              <w:t>Colombia</w:t>
            </w:r>
            <w:r w:rsidR="00FE4384">
              <w:rPr>
                <w:noProof/>
                <w:webHidden/>
              </w:rPr>
              <w:tab/>
            </w:r>
            <w:r w:rsidR="00FE4384">
              <w:rPr>
                <w:noProof/>
                <w:webHidden/>
              </w:rPr>
              <w:fldChar w:fldCharType="begin"/>
            </w:r>
            <w:r w:rsidR="00FE4384">
              <w:rPr>
                <w:noProof/>
                <w:webHidden/>
              </w:rPr>
              <w:instrText xml:space="preserve"> PAGEREF _Toc144396524 \h </w:instrText>
            </w:r>
            <w:r w:rsidR="00FE4384">
              <w:rPr>
                <w:noProof/>
                <w:webHidden/>
              </w:rPr>
            </w:r>
            <w:r w:rsidR="00FE4384">
              <w:rPr>
                <w:noProof/>
                <w:webHidden/>
              </w:rPr>
              <w:fldChar w:fldCharType="separate"/>
            </w:r>
            <w:r w:rsidR="00CC66E5">
              <w:rPr>
                <w:noProof/>
                <w:webHidden/>
              </w:rPr>
              <w:t>9</w:t>
            </w:r>
            <w:r w:rsidR="00FE4384">
              <w:rPr>
                <w:noProof/>
                <w:webHidden/>
              </w:rPr>
              <w:fldChar w:fldCharType="end"/>
            </w:r>
          </w:hyperlink>
        </w:p>
        <w:p w14:paraId="0FEC638A" w14:textId="77777777" w:rsidR="00FE4384" w:rsidRDefault="0042356F">
          <w:pPr>
            <w:pStyle w:val="TDC3"/>
            <w:tabs>
              <w:tab w:val="left" w:pos="1320"/>
              <w:tab w:val="right" w:leader="dot" w:pos="8494"/>
            </w:tabs>
            <w:rPr>
              <w:rFonts w:eastAsiaTheme="minorEastAsia"/>
              <w:noProof/>
              <w:lang w:val="es-CR" w:eastAsia="es-CR"/>
            </w:rPr>
          </w:pPr>
          <w:hyperlink w:anchor="_Toc144396525" w:history="1">
            <w:r w:rsidR="00FE4384" w:rsidRPr="00B232C5">
              <w:rPr>
                <w:rStyle w:val="Hipervnculo"/>
                <w:noProof/>
              </w:rPr>
              <w:t>1.4.3.</w:t>
            </w:r>
            <w:r w:rsidR="00FE4384">
              <w:rPr>
                <w:rFonts w:eastAsiaTheme="minorEastAsia"/>
                <w:noProof/>
                <w:lang w:val="es-CR" w:eastAsia="es-CR"/>
              </w:rPr>
              <w:tab/>
            </w:r>
            <w:r w:rsidR="00FE4384" w:rsidRPr="00B232C5">
              <w:rPr>
                <w:rStyle w:val="Hipervnculo"/>
                <w:noProof/>
              </w:rPr>
              <w:t>México</w:t>
            </w:r>
            <w:r w:rsidR="00FE4384">
              <w:rPr>
                <w:noProof/>
                <w:webHidden/>
              </w:rPr>
              <w:tab/>
            </w:r>
            <w:r w:rsidR="00FE4384">
              <w:rPr>
                <w:noProof/>
                <w:webHidden/>
              </w:rPr>
              <w:fldChar w:fldCharType="begin"/>
            </w:r>
            <w:r w:rsidR="00FE4384">
              <w:rPr>
                <w:noProof/>
                <w:webHidden/>
              </w:rPr>
              <w:instrText xml:space="preserve"> PAGEREF _Toc144396525 \h </w:instrText>
            </w:r>
            <w:r w:rsidR="00FE4384">
              <w:rPr>
                <w:noProof/>
                <w:webHidden/>
              </w:rPr>
            </w:r>
            <w:r w:rsidR="00FE4384">
              <w:rPr>
                <w:noProof/>
                <w:webHidden/>
              </w:rPr>
              <w:fldChar w:fldCharType="separate"/>
            </w:r>
            <w:r w:rsidR="00CC66E5">
              <w:rPr>
                <w:noProof/>
                <w:webHidden/>
              </w:rPr>
              <w:t>10</w:t>
            </w:r>
            <w:r w:rsidR="00FE4384">
              <w:rPr>
                <w:noProof/>
                <w:webHidden/>
              </w:rPr>
              <w:fldChar w:fldCharType="end"/>
            </w:r>
          </w:hyperlink>
        </w:p>
        <w:p w14:paraId="7AB366B1" w14:textId="77777777" w:rsidR="00FE4384" w:rsidRDefault="0042356F">
          <w:pPr>
            <w:pStyle w:val="TDC3"/>
            <w:tabs>
              <w:tab w:val="left" w:pos="1320"/>
              <w:tab w:val="right" w:leader="dot" w:pos="8494"/>
            </w:tabs>
            <w:rPr>
              <w:rFonts w:eastAsiaTheme="minorEastAsia"/>
              <w:noProof/>
              <w:lang w:val="es-CR" w:eastAsia="es-CR"/>
            </w:rPr>
          </w:pPr>
          <w:hyperlink w:anchor="_Toc144396526" w:history="1">
            <w:r w:rsidR="00FE4384" w:rsidRPr="00B232C5">
              <w:rPr>
                <w:rStyle w:val="Hipervnculo"/>
                <w:noProof/>
              </w:rPr>
              <w:t>1.4.4.</w:t>
            </w:r>
            <w:r w:rsidR="00FE4384">
              <w:rPr>
                <w:rFonts w:eastAsiaTheme="minorEastAsia"/>
                <w:noProof/>
                <w:lang w:val="es-CR" w:eastAsia="es-CR"/>
              </w:rPr>
              <w:tab/>
            </w:r>
            <w:r w:rsidR="00FE4384" w:rsidRPr="00B232C5">
              <w:rPr>
                <w:rStyle w:val="Hipervnculo"/>
                <w:noProof/>
              </w:rPr>
              <w:t>Estados Unidos</w:t>
            </w:r>
            <w:r w:rsidR="00FE4384">
              <w:rPr>
                <w:noProof/>
                <w:webHidden/>
              </w:rPr>
              <w:tab/>
            </w:r>
            <w:r w:rsidR="00FE4384">
              <w:rPr>
                <w:noProof/>
                <w:webHidden/>
              </w:rPr>
              <w:fldChar w:fldCharType="begin"/>
            </w:r>
            <w:r w:rsidR="00FE4384">
              <w:rPr>
                <w:noProof/>
                <w:webHidden/>
              </w:rPr>
              <w:instrText xml:space="preserve"> PAGEREF _Toc144396526 \h </w:instrText>
            </w:r>
            <w:r w:rsidR="00FE4384">
              <w:rPr>
                <w:noProof/>
                <w:webHidden/>
              </w:rPr>
            </w:r>
            <w:r w:rsidR="00FE4384">
              <w:rPr>
                <w:noProof/>
                <w:webHidden/>
              </w:rPr>
              <w:fldChar w:fldCharType="separate"/>
            </w:r>
            <w:r w:rsidR="00CC66E5">
              <w:rPr>
                <w:noProof/>
                <w:webHidden/>
              </w:rPr>
              <w:t>10</w:t>
            </w:r>
            <w:r w:rsidR="00FE4384">
              <w:rPr>
                <w:noProof/>
                <w:webHidden/>
              </w:rPr>
              <w:fldChar w:fldCharType="end"/>
            </w:r>
          </w:hyperlink>
        </w:p>
        <w:p w14:paraId="4F779208" w14:textId="77777777" w:rsidR="00FE4384" w:rsidRDefault="0042356F">
          <w:pPr>
            <w:pStyle w:val="TDC3"/>
            <w:tabs>
              <w:tab w:val="left" w:pos="1320"/>
              <w:tab w:val="right" w:leader="dot" w:pos="8494"/>
            </w:tabs>
            <w:rPr>
              <w:rFonts w:eastAsiaTheme="minorEastAsia"/>
              <w:noProof/>
              <w:lang w:val="es-CR" w:eastAsia="es-CR"/>
            </w:rPr>
          </w:pPr>
          <w:hyperlink w:anchor="_Toc144396527" w:history="1">
            <w:r w:rsidR="00FE4384" w:rsidRPr="00B232C5">
              <w:rPr>
                <w:rStyle w:val="Hipervnculo"/>
                <w:noProof/>
              </w:rPr>
              <w:t>1.4.5.</w:t>
            </w:r>
            <w:r w:rsidR="00FE4384">
              <w:rPr>
                <w:rFonts w:eastAsiaTheme="minorEastAsia"/>
                <w:noProof/>
                <w:lang w:val="es-CR" w:eastAsia="es-CR"/>
              </w:rPr>
              <w:tab/>
            </w:r>
            <w:r w:rsidR="00FE4384" w:rsidRPr="00B232C5">
              <w:rPr>
                <w:rStyle w:val="Hipervnculo"/>
                <w:noProof/>
              </w:rPr>
              <w:t>Reino Unido</w:t>
            </w:r>
            <w:r w:rsidR="00FE4384">
              <w:rPr>
                <w:noProof/>
                <w:webHidden/>
              </w:rPr>
              <w:tab/>
            </w:r>
            <w:r w:rsidR="00FE4384">
              <w:rPr>
                <w:noProof/>
                <w:webHidden/>
              </w:rPr>
              <w:fldChar w:fldCharType="begin"/>
            </w:r>
            <w:r w:rsidR="00FE4384">
              <w:rPr>
                <w:noProof/>
                <w:webHidden/>
              </w:rPr>
              <w:instrText xml:space="preserve"> PAGEREF _Toc144396527 \h </w:instrText>
            </w:r>
            <w:r w:rsidR="00FE4384">
              <w:rPr>
                <w:noProof/>
                <w:webHidden/>
              </w:rPr>
            </w:r>
            <w:r w:rsidR="00FE4384">
              <w:rPr>
                <w:noProof/>
                <w:webHidden/>
              </w:rPr>
              <w:fldChar w:fldCharType="separate"/>
            </w:r>
            <w:r w:rsidR="00CC66E5">
              <w:rPr>
                <w:noProof/>
                <w:webHidden/>
              </w:rPr>
              <w:t>11</w:t>
            </w:r>
            <w:r w:rsidR="00FE4384">
              <w:rPr>
                <w:noProof/>
                <w:webHidden/>
              </w:rPr>
              <w:fldChar w:fldCharType="end"/>
            </w:r>
          </w:hyperlink>
        </w:p>
        <w:p w14:paraId="392A0EF4" w14:textId="77777777" w:rsidR="00FE4384" w:rsidRDefault="0042356F">
          <w:pPr>
            <w:pStyle w:val="TDC3"/>
            <w:tabs>
              <w:tab w:val="left" w:pos="1320"/>
              <w:tab w:val="right" w:leader="dot" w:pos="8494"/>
            </w:tabs>
            <w:rPr>
              <w:rFonts w:eastAsiaTheme="minorEastAsia"/>
              <w:noProof/>
              <w:lang w:val="es-CR" w:eastAsia="es-CR"/>
            </w:rPr>
          </w:pPr>
          <w:hyperlink w:anchor="_Toc144396528" w:history="1">
            <w:r w:rsidR="00FE4384" w:rsidRPr="00B232C5">
              <w:rPr>
                <w:rStyle w:val="Hipervnculo"/>
                <w:noProof/>
              </w:rPr>
              <w:t>1.4.6.</w:t>
            </w:r>
            <w:r w:rsidR="00FE4384">
              <w:rPr>
                <w:rFonts w:eastAsiaTheme="minorEastAsia"/>
                <w:noProof/>
                <w:lang w:val="es-CR" w:eastAsia="es-CR"/>
              </w:rPr>
              <w:tab/>
            </w:r>
            <w:r w:rsidR="00FE4384" w:rsidRPr="00B232C5">
              <w:rPr>
                <w:rStyle w:val="Hipervnculo"/>
                <w:noProof/>
              </w:rPr>
              <w:t>Tendencias en la región</w:t>
            </w:r>
            <w:r w:rsidR="00FE4384">
              <w:rPr>
                <w:noProof/>
                <w:webHidden/>
              </w:rPr>
              <w:tab/>
            </w:r>
            <w:r w:rsidR="00FE4384">
              <w:rPr>
                <w:noProof/>
                <w:webHidden/>
              </w:rPr>
              <w:fldChar w:fldCharType="begin"/>
            </w:r>
            <w:r w:rsidR="00FE4384">
              <w:rPr>
                <w:noProof/>
                <w:webHidden/>
              </w:rPr>
              <w:instrText xml:space="preserve"> PAGEREF _Toc144396528 \h </w:instrText>
            </w:r>
            <w:r w:rsidR="00FE4384">
              <w:rPr>
                <w:noProof/>
                <w:webHidden/>
              </w:rPr>
            </w:r>
            <w:r w:rsidR="00FE4384">
              <w:rPr>
                <w:noProof/>
                <w:webHidden/>
              </w:rPr>
              <w:fldChar w:fldCharType="separate"/>
            </w:r>
            <w:r w:rsidR="00CC66E5">
              <w:rPr>
                <w:noProof/>
                <w:webHidden/>
              </w:rPr>
              <w:t>11</w:t>
            </w:r>
            <w:r w:rsidR="00FE4384">
              <w:rPr>
                <w:noProof/>
                <w:webHidden/>
              </w:rPr>
              <w:fldChar w:fldCharType="end"/>
            </w:r>
          </w:hyperlink>
        </w:p>
        <w:p w14:paraId="1D8C7C83" w14:textId="77777777" w:rsidR="00FE4384" w:rsidRDefault="0042356F">
          <w:pPr>
            <w:pStyle w:val="TDC1"/>
            <w:tabs>
              <w:tab w:val="right" w:leader="dot" w:pos="8494"/>
            </w:tabs>
            <w:rPr>
              <w:rFonts w:eastAsiaTheme="minorEastAsia"/>
              <w:noProof/>
              <w:lang w:val="es-CR" w:eastAsia="es-CR"/>
            </w:rPr>
          </w:pPr>
          <w:hyperlink w:anchor="_Toc144396529" w:history="1">
            <w:r w:rsidR="00FE4384" w:rsidRPr="00B232C5">
              <w:rPr>
                <w:rStyle w:val="Hipervnculo"/>
                <w:noProof/>
              </w:rPr>
              <w:t>Capítulo 2: El ROP y el objetivo del proyecto</w:t>
            </w:r>
            <w:r w:rsidR="00FE4384">
              <w:rPr>
                <w:noProof/>
                <w:webHidden/>
              </w:rPr>
              <w:tab/>
            </w:r>
            <w:r w:rsidR="00FE4384">
              <w:rPr>
                <w:noProof/>
                <w:webHidden/>
              </w:rPr>
              <w:fldChar w:fldCharType="begin"/>
            </w:r>
            <w:r w:rsidR="00FE4384">
              <w:rPr>
                <w:noProof/>
                <w:webHidden/>
              </w:rPr>
              <w:instrText xml:space="preserve"> PAGEREF _Toc144396529 \h </w:instrText>
            </w:r>
            <w:r w:rsidR="00FE4384">
              <w:rPr>
                <w:noProof/>
                <w:webHidden/>
              </w:rPr>
            </w:r>
            <w:r w:rsidR="00FE4384">
              <w:rPr>
                <w:noProof/>
                <w:webHidden/>
              </w:rPr>
              <w:fldChar w:fldCharType="separate"/>
            </w:r>
            <w:r w:rsidR="00CC66E5">
              <w:rPr>
                <w:noProof/>
                <w:webHidden/>
              </w:rPr>
              <w:t>12</w:t>
            </w:r>
            <w:r w:rsidR="00FE4384">
              <w:rPr>
                <w:noProof/>
                <w:webHidden/>
              </w:rPr>
              <w:fldChar w:fldCharType="end"/>
            </w:r>
          </w:hyperlink>
        </w:p>
        <w:p w14:paraId="31916736" w14:textId="77777777" w:rsidR="00FE4384" w:rsidRDefault="0042356F">
          <w:pPr>
            <w:pStyle w:val="TDC2"/>
            <w:tabs>
              <w:tab w:val="right" w:leader="dot" w:pos="8494"/>
            </w:tabs>
            <w:rPr>
              <w:rFonts w:eastAsiaTheme="minorEastAsia"/>
              <w:noProof/>
              <w:lang w:val="es-CR" w:eastAsia="es-CR"/>
            </w:rPr>
          </w:pPr>
          <w:hyperlink w:anchor="_Toc144396530" w:history="1">
            <w:r w:rsidR="00FE4384" w:rsidRPr="00B232C5">
              <w:rPr>
                <w:rStyle w:val="Hipervnculo"/>
                <w:noProof/>
              </w:rPr>
              <w:t>2.1. Objetivo del proyecto</w:t>
            </w:r>
            <w:r w:rsidR="00FE4384">
              <w:rPr>
                <w:noProof/>
                <w:webHidden/>
              </w:rPr>
              <w:tab/>
            </w:r>
            <w:r w:rsidR="00FE4384">
              <w:rPr>
                <w:noProof/>
                <w:webHidden/>
              </w:rPr>
              <w:fldChar w:fldCharType="begin"/>
            </w:r>
            <w:r w:rsidR="00FE4384">
              <w:rPr>
                <w:noProof/>
                <w:webHidden/>
              </w:rPr>
              <w:instrText xml:space="preserve"> PAGEREF _Toc144396530 \h </w:instrText>
            </w:r>
            <w:r w:rsidR="00FE4384">
              <w:rPr>
                <w:noProof/>
                <w:webHidden/>
              </w:rPr>
            </w:r>
            <w:r w:rsidR="00FE4384">
              <w:rPr>
                <w:noProof/>
                <w:webHidden/>
              </w:rPr>
              <w:fldChar w:fldCharType="separate"/>
            </w:r>
            <w:r w:rsidR="00CC66E5">
              <w:rPr>
                <w:noProof/>
                <w:webHidden/>
              </w:rPr>
              <w:t>12</w:t>
            </w:r>
            <w:r w:rsidR="00FE4384">
              <w:rPr>
                <w:noProof/>
                <w:webHidden/>
              </w:rPr>
              <w:fldChar w:fldCharType="end"/>
            </w:r>
          </w:hyperlink>
        </w:p>
        <w:p w14:paraId="3231503E" w14:textId="77777777" w:rsidR="00FE4384" w:rsidRDefault="0042356F">
          <w:pPr>
            <w:pStyle w:val="TDC2"/>
            <w:tabs>
              <w:tab w:val="right" w:leader="dot" w:pos="8494"/>
            </w:tabs>
            <w:rPr>
              <w:rFonts w:eastAsiaTheme="minorEastAsia"/>
              <w:noProof/>
              <w:lang w:val="es-CR" w:eastAsia="es-CR"/>
            </w:rPr>
          </w:pPr>
          <w:hyperlink w:anchor="_Toc144396531" w:history="1">
            <w:r w:rsidR="00FE4384" w:rsidRPr="00B232C5">
              <w:rPr>
                <w:rStyle w:val="Hipervnculo"/>
                <w:noProof/>
              </w:rPr>
              <w:t>2.2. Objetivos específicos</w:t>
            </w:r>
            <w:r w:rsidR="00FE4384">
              <w:rPr>
                <w:noProof/>
                <w:webHidden/>
              </w:rPr>
              <w:tab/>
            </w:r>
            <w:r w:rsidR="00FE4384">
              <w:rPr>
                <w:noProof/>
                <w:webHidden/>
              </w:rPr>
              <w:fldChar w:fldCharType="begin"/>
            </w:r>
            <w:r w:rsidR="00FE4384">
              <w:rPr>
                <w:noProof/>
                <w:webHidden/>
              </w:rPr>
              <w:instrText xml:space="preserve"> PAGEREF _Toc144396531 \h </w:instrText>
            </w:r>
            <w:r w:rsidR="00FE4384">
              <w:rPr>
                <w:noProof/>
                <w:webHidden/>
              </w:rPr>
            </w:r>
            <w:r w:rsidR="00FE4384">
              <w:rPr>
                <w:noProof/>
                <w:webHidden/>
              </w:rPr>
              <w:fldChar w:fldCharType="separate"/>
            </w:r>
            <w:r w:rsidR="00CC66E5">
              <w:rPr>
                <w:noProof/>
                <w:webHidden/>
              </w:rPr>
              <w:t>13</w:t>
            </w:r>
            <w:r w:rsidR="00FE4384">
              <w:rPr>
                <w:noProof/>
                <w:webHidden/>
              </w:rPr>
              <w:fldChar w:fldCharType="end"/>
            </w:r>
          </w:hyperlink>
        </w:p>
        <w:p w14:paraId="28E03B42" w14:textId="77777777" w:rsidR="00FE4384" w:rsidRDefault="0042356F">
          <w:pPr>
            <w:pStyle w:val="TDC2"/>
            <w:tabs>
              <w:tab w:val="right" w:leader="dot" w:pos="8494"/>
            </w:tabs>
            <w:rPr>
              <w:rFonts w:eastAsiaTheme="minorEastAsia"/>
              <w:noProof/>
              <w:lang w:val="es-CR" w:eastAsia="es-CR"/>
            </w:rPr>
          </w:pPr>
          <w:hyperlink w:anchor="_Toc144396532" w:history="1">
            <w:r w:rsidR="00FE4384" w:rsidRPr="00B232C5">
              <w:rPr>
                <w:rStyle w:val="Hipervnculo"/>
                <w:noProof/>
              </w:rPr>
              <w:t>2.3. Principios orientadores del proyecto</w:t>
            </w:r>
            <w:r w:rsidR="00FE4384">
              <w:rPr>
                <w:noProof/>
                <w:webHidden/>
              </w:rPr>
              <w:tab/>
            </w:r>
            <w:r w:rsidR="00FE4384">
              <w:rPr>
                <w:noProof/>
                <w:webHidden/>
              </w:rPr>
              <w:fldChar w:fldCharType="begin"/>
            </w:r>
            <w:r w:rsidR="00FE4384">
              <w:rPr>
                <w:noProof/>
                <w:webHidden/>
              </w:rPr>
              <w:instrText xml:space="preserve"> PAGEREF _Toc144396532 \h </w:instrText>
            </w:r>
            <w:r w:rsidR="00FE4384">
              <w:rPr>
                <w:noProof/>
                <w:webHidden/>
              </w:rPr>
            </w:r>
            <w:r w:rsidR="00FE4384">
              <w:rPr>
                <w:noProof/>
                <w:webHidden/>
              </w:rPr>
              <w:fldChar w:fldCharType="separate"/>
            </w:r>
            <w:r w:rsidR="00CC66E5">
              <w:rPr>
                <w:noProof/>
                <w:webHidden/>
              </w:rPr>
              <w:t>13</w:t>
            </w:r>
            <w:r w:rsidR="00FE4384">
              <w:rPr>
                <w:noProof/>
                <w:webHidden/>
              </w:rPr>
              <w:fldChar w:fldCharType="end"/>
            </w:r>
          </w:hyperlink>
        </w:p>
        <w:p w14:paraId="3D4E198F" w14:textId="77777777" w:rsidR="00FE4384" w:rsidRDefault="0042356F">
          <w:pPr>
            <w:pStyle w:val="TDC2"/>
            <w:tabs>
              <w:tab w:val="right" w:leader="dot" w:pos="8494"/>
            </w:tabs>
            <w:rPr>
              <w:rFonts w:eastAsiaTheme="minorEastAsia"/>
              <w:noProof/>
              <w:lang w:val="es-CR" w:eastAsia="es-CR"/>
            </w:rPr>
          </w:pPr>
          <w:hyperlink w:anchor="_Toc144396533" w:history="1">
            <w:r w:rsidR="00FE4384" w:rsidRPr="00B232C5">
              <w:rPr>
                <w:rStyle w:val="Hipervnculo"/>
                <w:noProof/>
              </w:rPr>
              <w:t>2.4. Consideración adicional</w:t>
            </w:r>
            <w:r w:rsidR="00FE4384">
              <w:rPr>
                <w:noProof/>
                <w:webHidden/>
              </w:rPr>
              <w:tab/>
            </w:r>
            <w:r w:rsidR="00FE4384">
              <w:rPr>
                <w:noProof/>
                <w:webHidden/>
              </w:rPr>
              <w:fldChar w:fldCharType="begin"/>
            </w:r>
            <w:r w:rsidR="00FE4384">
              <w:rPr>
                <w:noProof/>
                <w:webHidden/>
              </w:rPr>
              <w:instrText xml:space="preserve"> PAGEREF _Toc144396533 \h </w:instrText>
            </w:r>
            <w:r w:rsidR="00FE4384">
              <w:rPr>
                <w:noProof/>
                <w:webHidden/>
              </w:rPr>
            </w:r>
            <w:r w:rsidR="00FE4384">
              <w:rPr>
                <w:noProof/>
                <w:webHidden/>
              </w:rPr>
              <w:fldChar w:fldCharType="separate"/>
            </w:r>
            <w:r w:rsidR="00CC66E5">
              <w:rPr>
                <w:noProof/>
                <w:webHidden/>
              </w:rPr>
              <w:t>14</w:t>
            </w:r>
            <w:r w:rsidR="00FE4384">
              <w:rPr>
                <w:noProof/>
                <w:webHidden/>
              </w:rPr>
              <w:fldChar w:fldCharType="end"/>
            </w:r>
          </w:hyperlink>
        </w:p>
        <w:p w14:paraId="783760D5" w14:textId="77777777" w:rsidR="00FE4384" w:rsidRDefault="0042356F">
          <w:pPr>
            <w:pStyle w:val="TDC1"/>
            <w:tabs>
              <w:tab w:val="right" w:leader="dot" w:pos="8494"/>
            </w:tabs>
            <w:rPr>
              <w:rFonts w:eastAsiaTheme="minorEastAsia"/>
              <w:noProof/>
              <w:lang w:val="es-CR" w:eastAsia="es-CR"/>
            </w:rPr>
          </w:pPr>
          <w:hyperlink w:anchor="_Toc144396534" w:history="1">
            <w:r w:rsidR="00FE4384" w:rsidRPr="00B232C5">
              <w:rPr>
                <w:rStyle w:val="Hipervnculo"/>
                <w:noProof/>
              </w:rPr>
              <w:t>Capítulo 3: Proceso de selección de la propuesta para el proyecto</w:t>
            </w:r>
            <w:r w:rsidR="00FE4384">
              <w:rPr>
                <w:noProof/>
                <w:webHidden/>
              </w:rPr>
              <w:tab/>
            </w:r>
            <w:r w:rsidR="00FE4384">
              <w:rPr>
                <w:noProof/>
                <w:webHidden/>
              </w:rPr>
              <w:fldChar w:fldCharType="begin"/>
            </w:r>
            <w:r w:rsidR="00FE4384">
              <w:rPr>
                <w:noProof/>
                <w:webHidden/>
              </w:rPr>
              <w:instrText xml:space="preserve"> PAGEREF _Toc144396534 \h </w:instrText>
            </w:r>
            <w:r w:rsidR="00FE4384">
              <w:rPr>
                <w:noProof/>
                <w:webHidden/>
              </w:rPr>
            </w:r>
            <w:r w:rsidR="00FE4384">
              <w:rPr>
                <w:noProof/>
                <w:webHidden/>
              </w:rPr>
              <w:fldChar w:fldCharType="separate"/>
            </w:r>
            <w:r w:rsidR="00CC66E5">
              <w:rPr>
                <w:noProof/>
                <w:webHidden/>
              </w:rPr>
              <w:t>15</w:t>
            </w:r>
            <w:r w:rsidR="00FE4384">
              <w:rPr>
                <w:noProof/>
                <w:webHidden/>
              </w:rPr>
              <w:fldChar w:fldCharType="end"/>
            </w:r>
          </w:hyperlink>
        </w:p>
        <w:p w14:paraId="7F8ABC11" w14:textId="77777777" w:rsidR="00FE4384" w:rsidRDefault="0042356F">
          <w:pPr>
            <w:pStyle w:val="TDC1"/>
            <w:tabs>
              <w:tab w:val="right" w:leader="dot" w:pos="8494"/>
            </w:tabs>
            <w:rPr>
              <w:rFonts w:eastAsiaTheme="minorEastAsia"/>
              <w:noProof/>
              <w:lang w:val="es-CR" w:eastAsia="es-CR"/>
            </w:rPr>
          </w:pPr>
          <w:hyperlink w:anchor="_Toc144396535" w:history="1">
            <w:r w:rsidR="00FE4384" w:rsidRPr="00B232C5">
              <w:rPr>
                <w:rStyle w:val="Hipervnculo"/>
                <w:noProof/>
              </w:rPr>
              <w:t>Capítulo 4: Propuesta de diseño de fondos generacionales</w:t>
            </w:r>
            <w:r w:rsidR="00FE4384">
              <w:rPr>
                <w:noProof/>
                <w:webHidden/>
              </w:rPr>
              <w:tab/>
            </w:r>
            <w:r w:rsidR="00FE4384">
              <w:rPr>
                <w:noProof/>
                <w:webHidden/>
              </w:rPr>
              <w:fldChar w:fldCharType="begin"/>
            </w:r>
            <w:r w:rsidR="00FE4384">
              <w:rPr>
                <w:noProof/>
                <w:webHidden/>
              </w:rPr>
              <w:instrText xml:space="preserve"> PAGEREF _Toc144396535 \h </w:instrText>
            </w:r>
            <w:r w:rsidR="00FE4384">
              <w:rPr>
                <w:noProof/>
                <w:webHidden/>
              </w:rPr>
            </w:r>
            <w:r w:rsidR="00FE4384">
              <w:rPr>
                <w:noProof/>
                <w:webHidden/>
              </w:rPr>
              <w:fldChar w:fldCharType="separate"/>
            </w:r>
            <w:r w:rsidR="00CC66E5">
              <w:rPr>
                <w:noProof/>
                <w:webHidden/>
              </w:rPr>
              <w:t>18</w:t>
            </w:r>
            <w:r w:rsidR="00FE4384">
              <w:rPr>
                <w:noProof/>
                <w:webHidden/>
              </w:rPr>
              <w:fldChar w:fldCharType="end"/>
            </w:r>
          </w:hyperlink>
        </w:p>
        <w:p w14:paraId="085DDF93" w14:textId="77777777" w:rsidR="00FE4384" w:rsidRDefault="0042356F">
          <w:pPr>
            <w:pStyle w:val="TDC2"/>
            <w:tabs>
              <w:tab w:val="right" w:leader="dot" w:pos="8494"/>
            </w:tabs>
            <w:rPr>
              <w:rFonts w:eastAsiaTheme="minorEastAsia"/>
              <w:noProof/>
              <w:lang w:val="es-CR" w:eastAsia="es-CR"/>
            </w:rPr>
          </w:pPr>
          <w:hyperlink w:anchor="_Toc144396536" w:history="1">
            <w:r w:rsidR="00FE4384" w:rsidRPr="00B232C5">
              <w:rPr>
                <w:rStyle w:val="Hipervnculo"/>
                <w:noProof/>
              </w:rPr>
              <w:t>4.1. Segmentación de las generaciones</w:t>
            </w:r>
            <w:r w:rsidR="00FE4384">
              <w:rPr>
                <w:noProof/>
                <w:webHidden/>
              </w:rPr>
              <w:tab/>
            </w:r>
            <w:r w:rsidR="00FE4384">
              <w:rPr>
                <w:noProof/>
                <w:webHidden/>
              </w:rPr>
              <w:fldChar w:fldCharType="begin"/>
            </w:r>
            <w:r w:rsidR="00FE4384">
              <w:rPr>
                <w:noProof/>
                <w:webHidden/>
              </w:rPr>
              <w:instrText xml:space="preserve"> PAGEREF _Toc144396536 \h </w:instrText>
            </w:r>
            <w:r w:rsidR="00FE4384">
              <w:rPr>
                <w:noProof/>
                <w:webHidden/>
              </w:rPr>
            </w:r>
            <w:r w:rsidR="00FE4384">
              <w:rPr>
                <w:noProof/>
                <w:webHidden/>
              </w:rPr>
              <w:fldChar w:fldCharType="separate"/>
            </w:r>
            <w:r w:rsidR="00CC66E5">
              <w:rPr>
                <w:noProof/>
                <w:webHidden/>
              </w:rPr>
              <w:t>18</w:t>
            </w:r>
            <w:r w:rsidR="00FE4384">
              <w:rPr>
                <w:noProof/>
                <w:webHidden/>
              </w:rPr>
              <w:fldChar w:fldCharType="end"/>
            </w:r>
          </w:hyperlink>
        </w:p>
        <w:p w14:paraId="1456C693" w14:textId="77777777" w:rsidR="00FE4384" w:rsidRDefault="0042356F">
          <w:pPr>
            <w:pStyle w:val="TDC2"/>
            <w:tabs>
              <w:tab w:val="right" w:leader="dot" w:pos="8494"/>
            </w:tabs>
            <w:rPr>
              <w:rFonts w:eastAsiaTheme="minorEastAsia"/>
              <w:noProof/>
              <w:lang w:val="es-CR" w:eastAsia="es-CR"/>
            </w:rPr>
          </w:pPr>
          <w:hyperlink w:anchor="_Toc144396537" w:history="1">
            <w:r w:rsidR="00FE4384" w:rsidRPr="00B232C5">
              <w:rPr>
                <w:rStyle w:val="Hipervnculo"/>
                <w:noProof/>
              </w:rPr>
              <w:t>4.2. Transición a lo largo del tiempo</w:t>
            </w:r>
            <w:r w:rsidR="00FE4384">
              <w:rPr>
                <w:noProof/>
                <w:webHidden/>
              </w:rPr>
              <w:tab/>
            </w:r>
            <w:r w:rsidR="00FE4384">
              <w:rPr>
                <w:noProof/>
                <w:webHidden/>
              </w:rPr>
              <w:fldChar w:fldCharType="begin"/>
            </w:r>
            <w:r w:rsidR="00FE4384">
              <w:rPr>
                <w:noProof/>
                <w:webHidden/>
              </w:rPr>
              <w:instrText xml:space="preserve"> PAGEREF _Toc144396537 \h </w:instrText>
            </w:r>
            <w:r w:rsidR="00FE4384">
              <w:rPr>
                <w:noProof/>
                <w:webHidden/>
              </w:rPr>
            </w:r>
            <w:r w:rsidR="00FE4384">
              <w:rPr>
                <w:noProof/>
                <w:webHidden/>
              </w:rPr>
              <w:fldChar w:fldCharType="separate"/>
            </w:r>
            <w:r w:rsidR="00CC66E5">
              <w:rPr>
                <w:noProof/>
                <w:webHidden/>
              </w:rPr>
              <w:t>20</w:t>
            </w:r>
            <w:r w:rsidR="00FE4384">
              <w:rPr>
                <w:noProof/>
                <w:webHidden/>
              </w:rPr>
              <w:fldChar w:fldCharType="end"/>
            </w:r>
          </w:hyperlink>
        </w:p>
        <w:p w14:paraId="600CA368" w14:textId="77777777" w:rsidR="00FE4384" w:rsidRDefault="0042356F">
          <w:pPr>
            <w:pStyle w:val="TDC2"/>
            <w:tabs>
              <w:tab w:val="right" w:leader="dot" w:pos="8494"/>
            </w:tabs>
            <w:rPr>
              <w:rFonts w:eastAsiaTheme="minorEastAsia"/>
              <w:noProof/>
              <w:lang w:val="es-CR" w:eastAsia="es-CR"/>
            </w:rPr>
          </w:pPr>
          <w:hyperlink w:anchor="_Toc144396538" w:history="1">
            <w:r w:rsidR="00FE4384" w:rsidRPr="00B232C5">
              <w:rPr>
                <w:rStyle w:val="Hipervnculo"/>
                <w:noProof/>
              </w:rPr>
              <w:t>4.3.  Posibilidad de cambio de generación por parte del afiliado</w:t>
            </w:r>
            <w:r w:rsidR="00FE4384">
              <w:rPr>
                <w:noProof/>
                <w:webHidden/>
              </w:rPr>
              <w:tab/>
            </w:r>
            <w:r w:rsidR="00FE4384">
              <w:rPr>
                <w:noProof/>
                <w:webHidden/>
              </w:rPr>
              <w:fldChar w:fldCharType="begin"/>
            </w:r>
            <w:r w:rsidR="00FE4384">
              <w:rPr>
                <w:noProof/>
                <w:webHidden/>
              </w:rPr>
              <w:instrText xml:space="preserve"> PAGEREF _Toc144396538 \h </w:instrText>
            </w:r>
            <w:r w:rsidR="00FE4384">
              <w:rPr>
                <w:noProof/>
                <w:webHidden/>
              </w:rPr>
            </w:r>
            <w:r w:rsidR="00FE4384">
              <w:rPr>
                <w:noProof/>
                <w:webHidden/>
              </w:rPr>
              <w:fldChar w:fldCharType="separate"/>
            </w:r>
            <w:r w:rsidR="00CC66E5">
              <w:rPr>
                <w:noProof/>
                <w:webHidden/>
              </w:rPr>
              <w:t>21</w:t>
            </w:r>
            <w:r w:rsidR="00FE4384">
              <w:rPr>
                <w:noProof/>
                <w:webHidden/>
              </w:rPr>
              <w:fldChar w:fldCharType="end"/>
            </w:r>
          </w:hyperlink>
        </w:p>
        <w:p w14:paraId="5FE5BAD9" w14:textId="77777777" w:rsidR="00FE4384" w:rsidRDefault="0042356F">
          <w:pPr>
            <w:pStyle w:val="TDC2"/>
            <w:tabs>
              <w:tab w:val="right" w:leader="dot" w:pos="8494"/>
            </w:tabs>
            <w:rPr>
              <w:rFonts w:eastAsiaTheme="minorEastAsia"/>
              <w:noProof/>
              <w:lang w:val="es-CR" w:eastAsia="es-CR"/>
            </w:rPr>
          </w:pPr>
          <w:hyperlink w:anchor="_Toc144396539" w:history="1">
            <w:r w:rsidR="00FE4384" w:rsidRPr="00B232C5">
              <w:rPr>
                <w:rStyle w:val="Hipervnculo"/>
                <w:noProof/>
              </w:rPr>
              <w:t>4.4. Manejo operativo y contable</w:t>
            </w:r>
            <w:r w:rsidR="00FE4384">
              <w:rPr>
                <w:noProof/>
                <w:webHidden/>
              </w:rPr>
              <w:tab/>
            </w:r>
            <w:r w:rsidR="00FE4384">
              <w:rPr>
                <w:noProof/>
                <w:webHidden/>
              </w:rPr>
              <w:fldChar w:fldCharType="begin"/>
            </w:r>
            <w:r w:rsidR="00FE4384">
              <w:rPr>
                <w:noProof/>
                <w:webHidden/>
              </w:rPr>
              <w:instrText xml:space="preserve"> PAGEREF _Toc144396539 \h </w:instrText>
            </w:r>
            <w:r w:rsidR="00FE4384">
              <w:rPr>
                <w:noProof/>
                <w:webHidden/>
              </w:rPr>
            </w:r>
            <w:r w:rsidR="00FE4384">
              <w:rPr>
                <w:noProof/>
                <w:webHidden/>
              </w:rPr>
              <w:fldChar w:fldCharType="separate"/>
            </w:r>
            <w:r w:rsidR="00CC66E5">
              <w:rPr>
                <w:noProof/>
                <w:webHidden/>
              </w:rPr>
              <w:t>23</w:t>
            </w:r>
            <w:r w:rsidR="00FE4384">
              <w:rPr>
                <w:noProof/>
                <w:webHidden/>
              </w:rPr>
              <w:fldChar w:fldCharType="end"/>
            </w:r>
          </w:hyperlink>
        </w:p>
        <w:p w14:paraId="0B3E1085" w14:textId="77777777" w:rsidR="00FE4384" w:rsidRDefault="0042356F">
          <w:pPr>
            <w:pStyle w:val="TDC2"/>
            <w:tabs>
              <w:tab w:val="right" w:leader="dot" w:pos="8494"/>
            </w:tabs>
            <w:rPr>
              <w:rFonts w:eastAsiaTheme="minorEastAsia"/>
              <w:noProof/>
              <w:lang w:val="es-CR" w:eastAsia="es-CR"/>
            </w:rPr>
          </w:pPr>
          <w:hyperlink w:anchor="_Toc144396540" w:history="1">
            <w:r w:rsidR="00FE4384" w:rsidRPr="00B232C5">
              <w:rPr>
                <w:rStyle w:val="Hipervnculo"/>
                <w:noProof/>
              </w:rPr>
              <w:t>4.5. Manejo de la liquidez</w:t>
            </w:r>
            <w:r w:rsidR="00FE4384">
              <w:rPr>
                <w:noProof/>
                <w:webHidden/>
              </w:rPr>
              <w:tab/>
            </w:r>
            <w:r w:rsidR="00FE4384">
              <w:rPr>
                <w:noProof/>
                <w:webHidden/>
              </w:rPr>
              <w:fldChar w:fldCharType="begin"/>
            </w:r>
            <w:r w:rsidR="00FE4384">
              <w:rPr>
                <w:noProof/>
                <w:webHidden/>
              </w:rPr>
              <w:instrText xml:space="preserve"> PAGEREF _Toc144396540 \h </w:instrText>
            </w:r>
            <w:r w:rsidR="00FE4384">
              <w:rPr>
                <w:noProof/>
                <w:webHidden/>
              </w:rPr>
            </w:r>
            <w:r w:rsidR="00FE4384">
              <w:rPr>
                <w:noProof/>
                <w:webHidden/>
              </w:rPr>
              <w:fldChar w:fldCharType="separate"/>
            </w:r>
            <w:r w:rsidR="00CC66E5">
              <w:rPr>
                <w:noProof/>
                <w:webHidden/>
              </w:rPr>
              <w:t>24</w:t>
            </w:r>
            <w:r w:rsidR="00FE4384">
              <w:rPr>
                <w:noProof/>
                <w:webHidden/>
              </w:rPr>
              <w:fldChar w:fldCharType="end"/>
            </w:r>
          </w:hyperlink>
        </w:p>
        <w:p w14:paraId="670C7131" w14:textId="77777777" w:rsidR="00FE4384" w:rsidRDefault="0042356F">
          <w:pPr>
            <w:pStyle w:val="TDC2"/>
            <w:tabs>
              <w:tab w:val="right" w:leader="dot" w:pos="8494"/>
            </w:tabs>
            <w:rPr>
              <w:rFonts w:eastAsiaTheme="minorEastAsia"/>
              <w:noProof/>
              <w:lang w:val="es-CR" w:eastAsia="es-CR"/>
            </w:rPr>
          </w:pPr>
          <w:hyperlink w:anchor="_Toc144396541" w:history="1">
            <w:r w:rsidR="00FE4384" w:rsidRPr="00B232C5">
              <w:rPr>
                <w:rStyle w:val="Hipervnculo"/>
                <w:noProof/>
              </w:rPr>
              <w:t>4.6. Implementación progresiva</w:t>
            </w:r>
            <w:r w:rsidR="00FE4384">
              <w:rPr>
                <w:noProof/>
                <w:webHidden/>
              </w:rPr>
              <w:tab/>
            </w:r>
            <w:r w:rsidR="00FE4384">
              <w:rPr>
                <w:noProof/>
                <w:webHidden/>
              </w:rPr>
              <w:fldChar w:fldCharType="begin"/>
            </w:r>
            <w:r w:rsidR="00FE4384">
              <w:rPr>
                <w:noProof/>
                <w:webHidden/>
              </w:rPr>
              <w:instrText xml:space="preserve"> PAGEREF _Toc144396541 \h </w:instrText>
            </w:r>
            <w:r w:rsidR="00FE4384">
              <w:rPr>
                <w:noProof/>
                <w:webHidden/>
              </w:rPr>
            </w:r>
            <w:r w:rsidR="00FE4384">
              <w:rPr>
                <w:noProof/>
                <w:webHidden/>
              </w:rPr>
              <w:fldChar w:fldCharType="separate"/>
            </w:r>
            <w:r w:rsidR="00CC66E5">
              <w:rPr>
                <w:noProof/>
                <w:webHidden/>
              </w:rPr>
              <w:t>24</w:t>
            </w:r>
            <w:r w:rsidR="00FE4384">
              <w:rPr>
                <w:noProof/>
                <w:webHidden/>
              </w:rPr>
              <w:fldChar w:fldCharType="end"/>
            </w:r>
          </w:hyperlink>
        </w:p>
        <w:p w14:paraId="635F4B73" w14:textId="77777777" w:rsidR="00FE4384" w:rsidRDefault="0042356F">
          <w:pPr>
            <w:pStyle w:val="TDC2"/>
            <w:tabs>
              <w:tab w:val="right" w:leader="dot" w:pos="8494"/>
            </w:tabs>
            <w:rPr>
              <w:rFonts w:eastAsiaTheme="minorEastAsia"/>
              <w:noProof/>
              <w:lang w:val="es-CR" w:eastAsia="es-CR"/>
            </w:rPr>
          </w:pPr>
          <w:hyperlink w:anchor="_Toc144396542" w:history="1">
            <w:r w:rsidR="00FE4384" w:rsidRPr="00B232C5">
              <w:rPr>
                <w:rStyle w:val="Hipervnculo"/>
                <w:noProof/>
              </w:rPr>
              <w:t>4.7. Trabajo de coordinación con el medio</w:t>
            </w:r>
            <w:r w:rsidR="00FE4384">
              <w:rPr>
                <w:noProof/>
                <w:webHidden/>
              </w:rPr>
              <w:tab/>
            </w:r>
            <w:r w:rsidR="00FE4384">
              <w:rPr>
                <w:noProof/>
                <w:webHidden/>
              </w:rPr>
              <w:fldChar w:fldCharType="begin"/>
            </w:r>
            <w:r w:rsidR="00FE4384">
              <w:rPr>
                <w:noProof/>
                <w:webHidden/>
              </w:rPr>
              <w:instrText xml:space="preserve"> PAGEREF _Toc144396542 \h </w:instrText>
            </w:r>
            <w:r w:rsidR="00FE4384">
              <w:rPr>
                <w:noProof/>
                <w:webHidden/>
              </w:rPr>
            </w:r>
            <w:r w:rsidR="00FE4384">
              <w:rPr>
                <w:noProof/>
                <w:webHidden/>
              </w:rPr>
              <w:fldChar w:fldCharType="separate"/>
            </w:r>
            <w:r w:rsidR="00CC66E5">
              <w:rPr>
                <w:noProof/>
                <w:webHidden/>
              </w:rPr>
              <w:t>25</w:t>
            </w:r>
            <w:r w:rsidR="00FE4384">
              <w:rPr>
                <w:noProof/>
                <w:webHidden/>
              </w:rPr>
              <w:fldChar w:fldCharType="end"/>
            </w:r>
          </w:hyperlink>
        </w:p>
        <w:p w14:paraId="59DE7522" w14:textId="77777777" w:rsidR="00FE4384" w:rsidRDefault="0042356F">
          <w:pPr>
            <w:pStyle w:val="TDC2"/>
            <w:tabs>
              <w:tab w:val="right" w:leader="dot" w:pos="8494"/>
            </w:tabs>
            <w:rPr>
              <w:rFonts w:eastAsiaTheme="minorEastAsia"/>
              <w:noProof/>
              <w:lang w:val="es-CR" w:eastAsia="es-CR"/>
            </w:rPr>
          </w:pPr>
          <w:hyperlink w:anchor="_Toc144396543" w:history="1">
            <w:r w:rsidR="00FE4384" w:rsidRPr="00B232C5">
              <w:rPr>
                <w:rStyle w:val="Hipervnculo"/>
                <w:noProof/>
              </w:rPr>
              <w:t>4.8. Separación en la custodia</w:t>
            </w:r>
            <w:r w:rsidR="00FE4384">
              <w:rPr>
                <w:noProof/>
                <w:webHidden/>
              </w:rPr>
              <w:tab/>
            </w:r>
            <w:r w:rsidR="00FE4384">
              <w:rPr>
                <w:noProof/>
                <w:webHidden/>
              </w:rPr>
              <w:fldChar w:fldCharType="begin"/>
            </w:r>
            <w:r w:rsidR="00FE4384">
              <w:rPr>
                <w:noProof/>
                <w:webHidden/>
              </w:rPr>
              <w:instrText xml:space="preserve"> PAGEREF _Toc144396543 \h </w:instrText>
            </w:r>
            <w:r w:rsidR="00FE4384">
              <w:rPr>
                <w:noProof/>
                <w:webHidden/>
              </w:rPr>
            </w:r>
            <w:r w:rsidR="00FE4384">
              <w:rPr>
                <w:noProof/>
                <w:webHidden/>
              </w:rPr>
              <w:fldChar w:fldCharType="separate"/>
            </w:r>
            <w:r w:rsidR="00CC66E5">
              <w:rPr>
                <w:noProof/>
                <w:webHidden/>
              </w:rPr>
              <w:t>25</w:t>
            </w:r>
            <w:r w:rsidR="00FE4384">
              <w:rPr>
                <w:noProof/>
                <w:webHidden/>
              </w:rPr>
              <w:fldChar w:fldCharType="end"/>
            </w:r>
          </w:hyperlink>
        </w:p>
        <w:p w14:paraId="46408AF1" w14:textId="77777777" w:rsidR="00FE4384" w:rsidRDefault="0042356F">
          <w:pPr>
            <w:pStyle w:val="TDC1"/>
            <w:tabs>
              <w:tab w:val="right" w:leader="dot" w:pos="8494"/>
            </w:tabs>
            <w:rPr>
              <w:rFonts w:eastAsiaTheme="minorEastAsia"/>
              <w:noProof/>
              <w:lang w:val="es-CR" w:eastAsia="es-CR"/>
            </w:rPr>
          </w:pPr>
          <w:hyperlink w:anchor="_Toc144396544" w:history="1">
            <w:r w:rsidR="00FE4384" w:rsidRPr="00B232C5">
              <w:rPr>
                <w:rStyle w:val="Hipervnculo"/>
                <w:noProof/>
              </w:rPr>
              <w:t>Capítulo 5: Inversiones por etapa de vida</w:t>
            </w:r>
            <w:r w:rsidR="00FE4384">
              <w:rPr>
                <w:noProof/>
                <w:webHidden/>
              </w:rPr>
              <w:tab/>
            </w:r>
            <w:r w:rsidR="00FE4384">
              <w:rPr>
                <w:noProof/>
                <w:webHidden/>
              </w:rPr>
              <w:fldChar w:fldCharType="begin"/>
            </w:r>
            <w:r w:rsidR="00FE4384">
              <w:rPr>
                <w:noProof/>
                <w:webHidden/>
              </w:rPr>
              <w:instrText xml:space="preserve"> PAGEREF _Toc144396544 \h </w:instrText>
            </w:r>
            <w:r w:rsidR="00FE4384">
              <w:rPr>
                <w:noProof/>
                <w:webHidden/>
              </w:rPr>
            </w:r>
            <w:r w:rsidR="00FE4384">
              <w:rPr>
                <w:noProof/>
                <w:webHidden/>
              </w:rPr>
              <w:fldChar w:fldCharType="separate"/>
            </w:r>
            <w:r w:rsidR="00CC66E5">
              <w:rPr>
                <w:noProof/>
                <w:webHidden/>
              </w:rPr>
              <w:t>25</w:t>
            </w:r>
            <w:r w:rsidR="00FE4384">
              <w:rPr>
                <w:noProof/>
                <w:webHidden/>
              </w:rPr>
              <w:fldChar w:fldCharType="end"/>
            </w:r>
          </w:hyperlink>
        </w:p>
        <w:p w14:paraId="351F277A" w14:textId="77777777" w:rsidR="00FE4384" w:rsidRDefault="0042356F">
          <w:pPr>
            <w:pStyle w:val="TDC2"/>
            <w:tabs>
              <w:tab w:val="right" w:leader="dot" w:pos="8494"/>
            </w:tabs>
            <w:rPr>
              <w:rFonts w:eastAsiaTheme="minorEastAsia"/>
              <w:noProof/>
              <w:lang w:val="es-CR" w:eastAsia="es-CR"/>
            </w:rPr>
          </w:pPr>
          <w:hyperlink w:anchor="_Toc144396545" w:history="1">
            <w:r w:rsidR="00FE4384" w:rsidRPr="00B232C5">
              <w:rPr>
                <w:rStyle w:val="Hipervnculo"/>
                <w:noProof/>
              </w:rPr>
              <w:t>5.1. Tipos de activos permitidos</w:t>
            </w:r>
            <w:r w:rsidR="00FE4384">
              <w:rPr>
                <w:noProof/>
                <w:webHidden/>
              </w:rPr>
              <w:tab/>
            </w:r>
            <w:r w:rsidR="00FE4384">
              <w:rPr>
                <w:noProof/>
                <w:webHidden/>
              </w:rPr>
              <w:fldChar w:fldCharType="begin"/>
            </w:r>
            <w:r w:rsidR="00FE4384">
              <w:rPr>
                <w:noProof/>
                <w:webHidden/>
              </w:rPr>
              <w:instrText xml:space="preserve"> PAGEREF _Toc144396545 \h </w:instrText>
            </w:r>
            <w:r w:rsidR="00FE4384">
              <w:rPr>
                <w:noProof/>
                <w:webHidden/>
              </w:rPr>
            </w:r>
            <w:r w:rsidR="00FE4384">
              <w:rPr>
                <w:noProof/>
                <w:webHidden/>
              </w:rPr>
              <w:fldChar w:fldCharType="separate"/>
            </w:r>
            <w:r w:rsidR="00CC66E5">
              <w:rPr>
                <w:noProof/>
                <w:webHidden/>
              </w:rPr>
              <w:t>25</w:t>
            </w:r>
            <w:r w:rsidR="00FE4384">
              <w:rPr>
                <w:noProof/>
                <w:webHidden/>
              </w:rPr>
              <w:fldChar w:fldCharType="end"/>
            </w:r>
          </w:hyperlink>
        </w:p>
        <w:p w14:paraId="073A4AB1" w14:textId="77777777" w:rsidR="00FE4384" w:rsidRDefault="0042356F">
          <w:pPr>
            <w:pStyle w:val="TDC2"/>
            <w:tabs>
              <w:tab w:val="right" w:leader="dot" w:pos="8494"/>
            </w:tabs>
            <w:rPr>
              <w:rFonts w:eastAsiaTheme="minorEastAsia"/>
              <w:noProof/>
              <w:lang w:val="es-CR" w:eastAsia="es-CR"/>
            </w:rPr>
          </w:pPr>
          <w:hyperlink w:anchor="_Toc144396546" w:history="1">
            <w:r w:rsidR="00FE4384" w:rsidRPr="00B232C5">
              <w:rPr>
                <w:rStyle w:val="Hipervnculo"/>
                <w:noProof/>
              </w:rPr>
              <w:t>5.2. Experiencia internacional en las inversiones</w:t>
            </w:r>
            <w:r w:rsidR="00FE4384">
              <w:rPr>
                <w:noProof/>
                <w:webHidden/>
              </w:rPr>
              <w:tab/>
            </w:r>
            <w:r w:rsidR="00FE4384">
              <w:rPr>
                <w:noProof/>
                <w:webHidden/>
              </w:rPr>
              <w:fldChar w:fldCharType="begin"/>
            </w:r>
            <w:r w:rsidR="00FE4384">
              <w:rPr>
                <w:noProof/>
                <w:webHidden/>
              </w:rPr>
              <w:instrText xml:space="preserve"> PAGEREF _Toc144396546 \h </w:instrText>
            </w:r>
            <w:r w:rsidR="00FE4384">
              <w:rPr>
                <w:noProof/>
                <w:webHidden/>
              </w:rPr>
            </w:r>
            <w:r w:rsidR="00FE4384">
              <w:rPr>
                <w:noProof/>
                <w:webHidden/>
              </w:rPr>
              <w:fldChar w:fldCharType="separate"/>
            </w:r>
            <w:r w:rsidR="00CC66E5">
              <w:rPr>
                <w:noProof/>
                <w:webHidden/>
              </w:rPr>
              <w:t>26</w:t>
            </w:r>
            <w:r w:rsidR="00FE4384">
              <w:rPr>
                <w:noProof/>
                <w:webHidden/>
              </w:rPr>
              <w:fldChar w:fldCharType="end"/>
            </w:r>
          </w:hyperlink>
        </w:p>
        <w:p w14:paraId="625013D5" w14:textId="77777777" w:rsidR="00FE4384" w:rsidRDefault="0042356F">
          <w:pPr>
            <w:pStyle w:val="TDC2"/>
            <w:tabs>
              <w:tab w:val="right" w:leader="dot" w:pos="8494"/>
            </w:tabs>
            <w:rPr>
              <w:rFonts w:eastAsiaTheme="minorEastAsia"/>
              <w:noProof/>
              <w:lang w:val="es-CR" w:eastAsia="es-CR"/>
            </w:rPr>
          </w:pPr>
          <w:hyperlink w:anchor="_Toc144396547" w:history="1">
            <w:r w:rsidR="00FE4384" w:rsidRPr="00B232C5">
              <w:rPr>
                <w:rStyle w:val="Hipervnculo"/>
                <w:noProof/>
                <w:lang w:val="es-CR"/>
              </w:rPr>
              <w:t>5.3. Funcionamiento de los límites de los fondos generacionales</w:t>
            </w:r>
            <w:r w:rsidR="00FE4384">
              <w:rPr>
                <w:noProof/>
                <w:webHidden/>
              </w:rPr>
              <w:tab/>
            </w:r>
            <w:r w:rsidR="00FE4384">
              <w:rPr>
                <w:noProof/>
                <w:webHidden/>
              </w:rPr>
              <w:fldChar w:fldCharType="begin"/>
            </w:r>
            <w:r w:rsidR="00FE4384">
              <w:rPr>
                <w:noProof/>
                <w:webHidden/>
              </w:rPr>
              <w:instrText xml:space="preserve"> PAGEREF _Toc144396547 \h </w:instrText>
            </w:r>
            <w:r w:rsidR="00FE4384">
              <w:rPr>
                <w:noProof/>
                <w:webHidden/>
              </w:rPr>
            </w:r>
            <w:r w:rsidR="00FE4384">
              <w:rPr>
                <w:noProof/>
                <w:webHidden/>
              </w:rPr>
              <w:fldChar w:fldCharType="separate"/>
            </w:r>
            <w:r w:rsidR="00CC66E5">
              <w:rPr>
                <w:noProof/>
                <w:webHidden/>
              </w:rPr>
              <w:t>28</w:t>
            </w:r>
            <w:r w:rsidR="00FE4384">
              <w:rPr>
                <w:noProof/>
                <w:webHidden/>
              </w:rPr>
              <w:fldChar w:fldCharType="end"/>
            </w:r>
          </w:hyperlink>
        </w:p>
        <w:p w14:paraId="3515C0AD" w14:textId="77777777" w:rsidR="00FE4384" w:rsidRDefault="0042356F">
          <w:pPr>
            <w:pStyle w:val="TDC2"/>
            <w:tabs>
              <w:tab w:val="right" w:leader="dot" w:pos="8494"/>
            </w:tabs>
            <w:rPr>
              <w:rFonts w:eastAsiaTheme="minorEastAsia"/>
              <w:noProof/>
              <w:lang w:val="es-CR" w:eastAsia="es-CR"/>
            </w:rPr>
          </w:pPr>
          <w:hyperlink w:anchor="_Toc144396548" w:history="1">
            <w:r w:rsidR="00FE4384" w:rsidRPr="00B232C5">
              <w:rPr>
                <w:rStyle w:val="Hipervnculo"/>
                <w:noProof/>
                <w:lang w:val="es-CR"/>
              </w:rPr>
              <w:t>5.5. Trayectoria de inversión en fondos generacionales</w:t>
            </w:r>
            <w:r w:rsidR="00FE4384">
              <w:rPr>
                <w:noProof/>
                <w:webHidden/>
              </w:rPr>
              <w:tab/>
            </w:r>
            <w:r w:rsidR="00FE4384">
              <w:rPr>
                <w:noProof/>
                <w:webHidden/>
              </w:rPr>
              <w:fldChar w:fldCharType="begin"/>
            </w:r>
            <w:r w:rsidR="00FE4384">
              <w:rPr>
                <w:noProof/>
                <w:webHidden/>
              </w:rPr>
              <w:instrText xml:space="preserve"> PAGEREF _Toc144396548 \h </w:instrText>
            </w:r>
            <w:r w:rsidR="00FE4384">
              <w:rPr>
                <w:noProof/>
                <w:webHidden/>
              </w:rPr>
            </w:r>
            <w:r w:rsidR="00FE4384">
              <w:rPr>
                <w:noProof/>
                <w:webHidden/>
              </w:rPr>
              <w:fldChar w:fldCharType="separate"/>
            </w:r>
            <w:r w:rsidR="00CC66E5">
              <w:rPr>
                <w:noProof/>
                <w:webHidden/>
              </w:rPr>
              <w:t>29</w:t>
            </w:r>
            <w:r w:rsidR="00FE4384">
              <w:rPr>
                <w:noProof/>
                <w:webHidden/>
              </w:rPr>
              <w:fldChar w:fldCharType="end"/>
            </w:r>
          </w:hyperlink>
        </w:p>
        <w:p w14:paraId="1E8D6EB6" w14:textId="77777777" w:rsidR="00FE4384" w:rsidRDefault="0042356F">
          <w:pPr>
            <w:pStyle w:val="TDC2"/>
            <w:tabs>
              <w:tab w:val="right" w:leader="dot" w:pos="8494"/>
            </w:tabs>
            <w:rPr>
              <w:rFonts w:eastAsiaTheme="minorEastAsia"/>
              <w:noProof/>
              <w:lang w:val="es-CR" w:eastAsia="es-CR"/>
            </w:rPr>
          </w:pPr>
          <w:hyperlink w:anchor="_Toc144396549" w:history="1">
            <w:r w:rsidR="00FE4384" w:rsidRPr="00B232C5">
              <w:rPr>
                <w:rStyle w:val="Hipervnculo"/>
                <w:noProof/>
              </w:rPr>
              <w:t>5.6. Límites de inversión propuestos</w:t>
            </w:r>
            <w:r w:rsidR="00FE4384">
              <w:rPr>
                <w:noProof/>
                <w:webHidden/>
              </w:rPr>
              <w:tab/>
            </w:r>
            <w:r w:rsidR="00FE4384">
              <w:rPr>
                <w:noProof/>
                <w:webHidden/>
              </w:rPr>
              <w:fldChar w:fldCharType="begin"/>
            </w:r>
            <w:r w:rsidR="00FE4384">
              <w:rPr>
                <w:noProof/>
                <w:webHidden/>
              </w:rPr>
              <w:instrText xml:space="preserve"> PAGEREF _Toc144396549 \h </w:instrText>
            </w:r>
            <w:r w:rsidR="00FE4384">
              <w:rPr>
                <w:noProof/>
                <w:webHidden/>
              </w:rPr>
            </w:r>
            <w:r w:rsidR="00FE4384">
              <w:rPr>
                <w:noProof/>
                <w:webHidden/>
              </w:rPr>
              <w:fldChar w:fldCharType="separate"/>
            </w:r>
            <w:r w:rsidR="00CC66E5">
              <w:rPr>
                <w:noProof/>
                <w:webHidden/>
              </w:rPr>
              <w:t>31</w:t>
            </w:r>
            <w:r w:rsidR="00FE4384">
              <w:rPr>
                <w:noProof/>
                <w:webHidden/>
              </w:rPr>
              <w:fldChar w:fldCharType="end"/>
            </w:r>
          </w:hyperlink>
        </w:p>
        <w:p w14:paraId="32DD08FF" w14:textId="77777777" w:rsidR="00FE4384" w:rsidRDefault="0042356F">
          <w:pPr>
            <w:pStyle w:val="TDC2"/>
            <w:tabs>
              <w:tab w:val="right" w:leader="dot" w:pos="8494"/>
            </w:tabs>
            <w:rPr>
              <w:rFonts w:eastAsiaTheme="minorEastAsia"/>
              <w:noProof/>
              <w:lang w:val="es-CR" w:eastAsia="es-CR"/>
            </w:rPr>
          </w:pPr>
          <w:hyperlink w:anchor="_Toc144396550" w:history="1">
            <w:r w:rsidR="00FE4384" w:rsidRPr="00B232C5">
              <w:rPr>
                <w:rStyle w:val="Hipervnculo"/>
                <w:noProof/>
              </w:rPr>
              <w:t>5.7. Gestión de riesgos financieros</w:t>
            </w:r>
            <w:r w:rsidR="00FE4384">
              <w:rPr>
                <w:noProof/>
                <w:webHidden/>
              </w:rPr>
              <w:tab/>
            </w:r>
            <w:r w:rsidR="00FE4384">
              <w:rPr>
                <w:noProof/>
                <w:webHidden/>
              </w:rPr>
              <w:fldChar w:fldCharType="begin"/>
            </w:r>
            <w:r w:rsidR="00FE4384">
              <w:rPr>
                <w:noProof/>
                <w:webHidden/>
              </w:rPr>
              <w:instrText xml:space="preserve"> PAGEREF _Toc144396550 \h </w:instrText>
            </w:r>
            <w:r w:rsidR="00FE4384">
              <w:rPr>
                <w:noProof/>
                <w:webHidden/>
              </w:rPr>
            </w:r>
            <w:r w:rsidR="00FE4384">
              <w:rPr>
                <w:noProof/>
                <w:webHidden/>
              </w:rPr>
              <w:fldChar w:fldCharType="separate"/>
            </w:r>
            <w:r w:rsidR="00CC66E5">
              <w:rPr>
                <w:noProof/>
                <w:webHidden/>
              </w:rPr>
              <w:t>32</w:t>
            </w:r>
            <w:r w:rsidR="00FE4384">
              <w:rPr>
                <w:noProof/>
                <w:webHidden/>
              </w:rPr>
              <w:fldChar w:fldCharType="end"/>
            </w:r>
          </w:hyperlink>
        </w:p>
        <w:p w14:paraId="64AEE00C" w14:textId="77777777" w:rsidR="00FE4384" w:rsidRDefault="0042356F">
          <w:pPr>
            <w:pStyle w:val="TDC1"/>
            <w:tabs>
              <w:tab w:val="right" w:leader="dot" w:pos="8494"/>
            </w:tabs>
            <w:rPr>
              <w:rFonts w:eastAsiaTheme="minorEastAsia"/>
              <w:noProof/>
              <w:lang w:val="es-CR" w:eastAsia="es-CR"/>
            </w:rPr>
          </w:pPr>
          <w:hyperlink w:anchor="_Toc144396551" w:history="1">
            <w:r w:rsidR="00FE4384" w:rsidRPr="00B232C5">
              <w:rPr>
                <w:rStyle w:val="Hipervnculo"/>
                <w:noProof/>
              </w:rPr>
              <w:t>Capítulo 6: Beneficios y costos asociados a la propuesta</w:t>
            </w:r>
            <w:r w:rsidR="00FE4384">
              <w:rPr>
                <w:noProof/>
                <w:webHidden/>
              </w:rPr>
              <w:tab/>
            </w:r>
            <w:r w:rsidR="00FE4384">
              <w:rPr>
                <w:noProof/>
                <w:webHidden/>
              </w:rPr>
              <w:fldChar w:fldCharType="begin"/>
            </w:r>
            <w:r w:rsidR="00FE4384">
              <w:rPr>
                <w:noProof/>
                <w:webHidden/>
              </w:rPr>
              <w:instrText xml:space="preserve"> PAGEREF _Toc144396551 \h </w:instrText>
            </w:r>
            <w:r w:rsidR="00FE4384">
              <w:rPr>
                <w:noProof/>
                <w:webHidden/>
              </w:rPr>
            </w:r>
            <w:r w:rsidR="00FE4384">
              <w:rPr>
                <w:noProof/>
                <w:webHidden/>
              </w:rPr>
              <w:fldChar w:fldCharType="separate"/>
            </w:r>
            <w:r w:rsidR="00CC66E5">
              <w:rPr>
                <w:noProof/>
                <w:webHidden/>
              </w:rPr>
              <w:t>34</w:t>
            </w:r>
            <w:r w:rsidR="00FE4384">
              <w:rPr>
                <w:noProof/>
                <w:webHidden/>
              </w:rPr>
              <w:fldChar w:fldCharType="end"/>
            </w:r>
          </w:hyperlink>
        </w:p>
        <w:p w14:paraId="23D61C28" w14:textId="77777777" w:rsidR="00FE4384" w:rsidRDefault="0042356F">
          <w:pPr>
            <w:pStyle w:val="TDC2"/>
            <w:tabs>
              <w:tab w:val="right" w:leader="dot" w:pos="8494"/>
            </w:tabs>
            <w:rPr>
              <w:rFonts w:eastAsiaTheme="minorEastAsia"/>
              <w:noProof/>
              <w:lang w:val="es-CR" w:eastAsia="es-CR"/>
            </w:rPr>
          </w:pPr>
          <w:hyperlink w:anchor="_Toc144396552" w:history="1">
            <w:r w:rsidR="00FE4384" w:rsidRPr="00B232C5">
              <w:rPr>
                <w:rStyle w:val="Hipervnculo"/>
                <w:noProof/>
              </w:rPr>
              <w:t>6.1. Beneficios</w:t>
            </w:r>
            <w:r w:rsidR="00FE4384">
              <w:rPr>
                <w:noProof/>
                <w:webHidden/>
              </w:rPr>
              <w:tab/>
            </w:r>
            <w:r w:rsidR="00FE4384">
              <w:rPr>
                <w:noProof/>
                <w:webHidden/>
              </w:rPr>
              <w:fldChar w:fldCharType="begin"/>
            </w:r>
            <w:r w:rsidR="00FE4384">
              <w:rPr>
                <w:noProof/>
                <w:webHidden/>
              </w:rPr>
              <w:instrText xml:space="preserve"> PAGEREF _Toc144396552 \h </w:instrText>
            </w:r>
            <w:r w:rsidR="00FE4384">
              <w:rPr>
                <w:noProof/>
                <w:webHidden/>
              </w:rPr>
            </w:r>
            <w:r w:rsidR="00FE4384">
              <w:rPr>
                <w:noProof/>
                <w:webHidden/>
              </w:rPr>
              <w:fldChar w:fldCharType="separate"/>
            </w:r>
            <w:r w:rsidR="00CC66E5">
              <w:rPr>
                <w:noProof/>
                <w:webHidden/>
              </w:rPr>
              <w:t>34</w:t>
            </w:r>
            <w:r w:rsidR="00FE4384">
              <w:rPr>
                <w:noProof/>
                <w:webHidden/>
              </w:rPr>
              <w:fldChar w:fldCharType="end"/>
            </w:r>
          </w:hyperlink>
        </w:p>
        <w:p w14:paraId="6802DE4E" w14:textId="77777777" w:rsidR="00FE4384" w:rsidRDefault="0042356F">
          <w:pPr>
            <w:pStyle w:val="TDC3"/>
            <w:tabs>
              <w:tab w:val="right" w:leader="dot" w:pos="8494"/>
            </w:tabs>
            <w:rPr>
              <w:rFonts w:eastAsiaTheme="minorEastAsia"/>
              <w:noProof/>
              <w:lang w:val="es-CR" w:eastAsia="es-CR"/>
            </w:rPr>
          </w:pPr>
          <w:hyperlink w:anchor="_Toc144396553" w:history="1">
            <w:r w:rsidR="00FE4384" w:rsidRPr="00B232C5">
              <w:rPr>
                <w:rStyle w:val="Hipervnculo"/>
                <w:noProof/>
              </w:rPr>
              <w:t>6.1.1 Aumento en la tasa de remplazo</w:t>
            </w:r>
            <w:r w:rsidR="00FE4384">
              <w:rPr>
                <w:noProof/>
                <w:webHidden/>
              </w:rPr>
              <w:tab/>
            </w:r>
            <w:r w:rsidR="00FE4384">
              <w:rPr>
                <w:noProof/>
                <w:webHidden/>
              </w:rPr>
              <w:fldChar w:fldCharType="begin"/>
            </w:r>
            <w:r w:rsidR="00FE4384">
              <w:rPr>
                <w:noProof/>
                <w:webHidden/>
              </w:rPr>
              <w:instrText xml:space="preserve"> PAGEREF _Toc144396553 \h </w:instrText>
            </w:r>
            <w:r w:rsidR="00FE4384">
              <w:rPr>
                <w:noProof/>
                <w:webHidden/>
              </w:rPr>
            </w:r>
            <w:r w:rsidR="00FE4384">
              <w:rPr>
                <w:noProof/>
                <w:webHidden/>
              </w:rPr>
              <w:fldChar w:fldCharType="separate"/>
            </w:r>
            <w:r w:rsidR="00CC66E5">
              <w:rPr>
                <w:noProof/>
                <w:webHidden/>
              </w:rPr>
              <w:t>34</w:t>
            </w:r>
            <w:r w:rsidR="00FE4384">
              <w:rPr>
                <w:noProof/>
                <w:webHidden/>
              </w:rPr>
              <w:fldChar w:fldCharType="end"/>
            </w:r>
          </w:hyperlink>
        </w:p>
        <w:p w14:paraId="511743E1" w14:textId="77777777" w:rsidR="00FE4384" w:rsidRDefault="0042356F">
          <w:pPr>
            <w:pStyle w:val="TDC3"/>
            <w:tabs>
              <w:tab w:val="right" w:leader="dot" w:pos="8494"/>
            </w:tabs>
            <w:rPr>
              <w:rFonts w:eastAsiaTheme="minorEastAsia"/>
              <w:noProof/>
              <w:lang w:val="es-CR" w:eastAsia="es-CR"/>
            </w:rPr>
          </w:pPr>
          <w:hyperlink w:anchor="_Toc144396554" w:history="1">
            <w:r w:rsidR="00FE4384" w:rsidRPr="00B232C5">
              <w:rPr>
                <w:rStyle w:val="Hipervnculo"/>
                <w:noProof/>
              </w:rPr>
              <w:t>6.1.2. Simplificación de la regulación de inversiones</w:t>
            </w:r>
            <w:r w:rsidR="00FE4384">
              <w:rPr>
                <w:noProof/>
                <w:webHidden/>
              </w:rPr>
              <w:tab/>
            </w:r>
            <w:r w:rsidR="00FE4384">
              <w:rPr>
                <w:noProof/>
                <w:webHidden/>
              </w:rPr>
              <w:fldChar w:fldCharType="begin"/>
            </w:r>
            <w:r w:rsidR="00FE4384">
              <w:rPr>
                <w:noProof/>
                <w:webHidden/>
              </w:rPr>
              <w:instrText xml:space="preserve"> PAGEREF _Toc144396554 \h </w:instrText>
            </w:r>
            <w:r w:rsidR="00FE4384">
              <w:rPr>
                <w:noProof/>
                <w:webHidden/>
              </w:rPr>
            </w:r>
            <w:r w:rsidR="00FE4384">
              <w:rPr>
                <w:noProof/>
                <w:webHidden/>
              </w:rPr>
              <w:fldChar w:fldCharType="separate"/>
            </w:r>
            <w:r w:rsidR="00CC66E5">
              <w:rPr>
                <w:noProof/>
                <w:webHidden/>
              </w:rPr>
              <w:t>35</w:t>
            </w:r>
            <w:r w:rsidR="00FE4384">
              <w:rPr>
                <w:noProof/>
                <w:webHidden/>
              </w:rPr>
              <w:fldChar w:fldCharType="end"/>
            </w:r>
          </w:hyperlink>
        </w:p>
        <w:p w14:paraId="0493FE03" w14:textId="77777777" w:rsidR="00FE4384" w:rsidRDefault="0042356F">
          <w:pPr>
            <w:pStyle w:val="TDC3"/>
            <w:tabs>
              <w:tab w:val="right" w:leader="dot" w:pos="8494"/>
            </w:tabs>
            <w:rPr>
              <w:rFonts w:eastAsiaTheme="minorEastAsia"/>
              <w:noProof/>
              <w:lang w:val="es-CR" w:eastAsia="es-CR"/>
            </w:rPr>
          </w:pPr>
          <w:hyperlink w:anchor="_Toc144396555" w:history="1">
            <w:r w:rsidR="00FE4384" w:rsidRPr="00B232C5">
              <w:rPr>
                <w:rStyle w:val="Hipervnculo"/>
                <w:noProof/>
              </w:rPr>
              <w:t>6.1.3. Selección de la alternativa de implementación</w:t>
            </w:r>
            <w:r w:rsidR="00FE4384">
              <w:rPr>
                <w:noProof/>
                <w:webHidden/>
              </w:rPr>
              <w:tab/>
            </w:r>
            <w:r w:rsidR="00FE4384">
              <w:rPr>
                <w:noProof/>
                <w:webHidden/>
              </w:rPr>
              <w:fldChar w:fldCharType="begin"/>
            </w:r>
            <w:r w:rsidR="00FE4384">
              <w:rPr>
                <w:noProof/>
                <w:webHidden/>
              </w:rPr>
              <w:instrText xml:space="preserve"> PAGEREF _Toc144396555 \h </w:instrText>
            </w:r>
            <w:r w:rsidR="00FE4384">
              <w:rPr>
                <w:noProof/>
                <w:webHidden/>
              </w:rPr>
            </w:r>
            <w:r w:rsidR="00FE4384">
              <w:rPr>
                <w:noProof/>
                <w:webHidden/>
              </w:rPr>
              <w:fldChar w:fldCharType="separate"/>
            </w:r>
            <w:r w:rsidR="00CC66E5">
              <w:rPr>
                <w:noProof/>
                <w:webHidden/>
              </w:rPr>
              <w:t>35</w:t>
            </w:r>
            <w:r w:rsidR="00FE4384">
              <w:rPr>
                <w:noProof/>
                <w:webHidden/>
              </w:rPr>
              <w:fldChar w:fldCharType="end"/>
            </w:r>
          </w:hyperlink>
        </w:p>
        <w:p w14:paraId="3C846273" w14:textId="77777777" w:rsidR="00FE4384" w:rsidRDefault="0042356F">
          <w:pPr>
            <w:pStyle w:val="TDC3"/>
            <w:tabs>
              <w:tab w:val="right" w:leader="dot" w:pos="8494"/>
            </w:tabs>
            <w:rPr>
              <w:rFonts w:eastAsiaTheme="minorEastAsia"/>
              <w:noProof/>
              <w:lang w:val="es-CR" w:eastAsia="es-CR"/>
            </w:rPr>
          </w:pPr>
          <w:hyperlink w:anchor="_Toc144396556" w:history="1">
            <w:r w:rsidR="00FE4384" w:rsidRPr="00B232C5">
              <w:rPr>
                <w:rStyle w:val="Hipervnculo"/>
                <w:noProof/>
              </w:rPr>
              <w:t>6.1.4. Libre transferencia</w:t>
            </w:r>
            <w:r w:rsidR="00FE4384">
              <w:rPr>
                <w:noProof/>
                <w:webHidden/>
              </w:rPr>
              <w:tab/>
            </w:r>
            <w:r w:rsidR="00FE4384">
              <w:rPr>
                <w:noProof/>
                <w:webHidden/>
              </w:rPr>
              <w:fldChar w:fldCharType="begin"/>
            </w:r>
            <w:r w:rsidR="00FE4384">
              <w:rPr>
                <w:noProof/>
                <w:webHidden/>
              </w:rPr>
              <w:instrText xml:space="preserve"> PAGEREF _Toc144396556 \h </w:instrText>
            </w:r>
            <w:r w:rsidR="00FE4384">
              <w:rPr>
                <w:noProof/>
                <w:webHidden/>
              </w:rPr>
            </w:r>
            <w:r w:rsidR="00FE4384">
              <w:rPr>
                <w:noProof/>
                <w:webHidden/>
              </w:rPr>
              <w:fldChar w:fldCharType="separate"/>
            </w:r>
            <w:r w:rsidR="00CC66E5">
              <w:rPr>
                <w:noProof/>
                <w:webHidden/>
              </w:rPr>
              <w:t>35</w:t>
            </w:r>
            <w:r w:rsidR="00FE4384">
              <w:rPr>
                <w:noProof/>
                <w:webHidden/>
              </w:rPr>
              <w:fldChar w:fldCharType="end"/>
            </w:r>
          </w:hyperlink>
        </w:p>
        <w:p w14:paraId="3DC1B9CF" w14:textId="77777777" w:rsidR="00FE4384" w:rsidRDefault="0042356F">
          <w:pPr>
            <w:pStyle w:val="TDC2"/>
            <w:tabs>
              <w:tab w:val="right" w:leader="dot" w:pos="8494"/>
            </w:tabs>
            <w:rPr>
              <w:rFonts w:eastAsiaTheme="minorEastAsia"/>
              <w:noProof/>
              <w:lang w:val="es-CR" w:eastAsia="es-CR"/>
            </w:rPr>
          </w:pPr>
          <w:hyperlink w:anchor="_Toc144396557" w:history="1">
            <w:r w:rsidR="00FE4384" w:rsidRPr="00B232C5">
              <w:rPr>
                <w:rStyle w:val="Hipervnculo"/>
                <w:noProof/>
              </w:rPr>
              <w:t>6.2. Costos</w:t>
            </w:r>
            <w:r w:rsidR="00FE4384">
              <w:rPr>
                <w:noProof/>
                <w:webHidden/>
              </w:rPr>
              <w:tab/>
            </w:r>
            <w:r w:rsidR="00FE4384">
              <w:rPr>
                <w:noProof/>
                <w:webHidden/>
              </w:rPr>
              <w:fldChar w:fldCharType="begin"/>
            </w:r>
            <w:r w:rsidR="00FE4384">
              <w:rPr>
                <w:noProof/>
                <w:webHidden/>
              </w:rPr>
              <w:instrText xml:space="preserve"> PAGEREF _Toc144396557 \h </w:instrText>
            </w:r>
            <w:r w:rsidR="00FE4384">
              <w:rPr>
                <w:noProof/>
                <w:webHidden/>
              </w:rPr>
            </w:r>
            <w:r w:rsidR="00FE4384">
              <w:rPr>
                <w:noProof/>
                <w:webHidden/>
              </w:rPr>
              <w:fldChar w:fldCharType="separate"/>
            </w:r>
            <w:r w:rsidR="00CC66E5">
              <w:rPr>
                <w:noProof/>
                <w:webHidden/>
              </w:rPr>
              <w:t>37</w:t>
            </w:r>
            <w:r w:rsidR="00FE4384">
              <w:rPr>
                <w:noProof/>
                <w:webHidden/>
              </w:rPr>
              <w:fldChar w:fldCharType="end"/>
            </w:r>
          </w:hyperlink>
        </w:p>
        <w:p w14:paraId="4C02007B" w14:textId="77777777" w:rsidR="00FE4384" w:rsidRDefault="0042356F">
          <w:pPr>
            <w:pStyle w:val="TDC3"/>
            <w:tabs>
              <w:tab w:val="right" w:leader="dot" w:pos="8494"/>
            </w:tabs>
            <w:rPr>
              <w:rFonts w:eastAsiaTheme="minorEastAsia"/>
              <w:noProof/>
              <w:lang w:val="es-CR" w:eastAsia="es-CR"/>
            </w:rPr>
          </w:pPr>
          <w:hyperlink w:anchor="_Toc144396558" w:history="1">
            <w:r w:rsidR="00FE4384" w:rsidRPr="00B232C5">
              <w:rPr>
                <w:rStyle w:val="Hipervnculo"/>
                <w:noProof/>
              </w:rPr>
              <w:t>6.2.1. Costo para los afiliados (comisiones)</w:t>
            </w:r>
            <w:r w:rsidR="00FE4384">
              <w:rPr>
                <w:noProof/>
                <w:webHidden/>
              </w:rPr>
              <w:tab/>
            </w:r>
            <w:r w:rsidR="00FE4384">
              <w:rPr>
                <w:noProof/>
                <w:webHidden/>
              </w:rPr>
              <w:fldChar w:fldCharType="begin"/>
            </w:r>
            <w:r w:rsidR="00FE4384">
              <w:rPr>
                <w:noProof/>
                <w:webHidden/>
              </w:rPr>
              <w:instrText xml:space="preserve"> PAGEREF _Toc144396558 \h </w:instrText>
            </w:r>
            <w:r w:rsidR="00FE4384">
              <w:rPr>
                <w:noProof/>
                <w:webHidden/>
              </w:rPr>
            </w:r>
            <w:r w:rsidR="00FE4384">
              <w:rPr>
                <w:noProof/>
                <w:webHidden/>
              </w:rPr>
              <w:fldChar w:fldCharType="separate"/>
            </w:r>
            <w:r w:rsidR="00CC66E5">
              <w:rPr>
                <w:noProof/>
                <w:webHidden/>
              </w:rPr>
              <w:t>37</w:t>
            </w:r>
            <w:r w:rsidR="00FE4384">
              <w:rPr>
                <w:noProof/>
                <w:webHidden/>
              </w:rPr>
              <w:fldChar w:fldCharType="end"/>
            </w:r>
          </w:hyperlink>
        </w:p>
        <w:p w14:paraId="03D95710" w14:textId="77777777" w:rsidR="00FE4384" w:rsidRDefault="0042356F">
          <w:pPr>
            <w:pStyle w:val="TDC3"/>
            <w:tabs>
              <w:tab w:val="right" w:leader="dot" w:pos="8494"/>
            </w:tabs>
            <w:rPr>
              <w:rFonts w:eastAsiaTheme="minorEastAsia"/>
              <w:noProof/>
              <w:lang w:val="es-CR" w:eastAsia="es-CR"/>
            </w:rPr>
          </w:pPr>
          <w:hyperlink w:anchor="_Toc144396559" w:history="1">
            <w:r w:rsidR="00FE4384" w:rsidRPr="00B232C5">
              <w:rPr>
                <w:rStyle w:val="Hipervnculo"/>
                <w:noProof/>
              </w:rPr>
              <w:t>6.2.2. Efecto sobre los resultados operativos en las entidades administradoras</w:t>
            </w:r>
            <w:r w:rsidR="00FE4384">
              <w:rPr>
                <w:noProof/>
                <w:webHidden/>
              </w:rPr>
              <w:tab/>
            </w:r>
            <w:r w:rsidR="00FE4384">
              <w:rPr>
                <w:noProof/>
                <w:webHidden/>
              </w:rPr>
              <w:fldChar w:fldCharType="begin"/>
            </w:r>
            <w:r w:rsidR="00FE4384">
              <w:rPr>
                <w:noProof/>
                <w:webHidden/>
              </w:rPr>
              <w:instrText xml:space="preserve"> PAGEREF _Toc144396559 \h </w:instrText>
            </w:r>
            <w:r w:rsidR="00FE4384">
              <w:rPr>
                <w:noProof/>
                <w:webHidden/>
              </w:rPr>
            </w:r>
            <w:r w:rsidR="00FE4384">
              <w:rPr>
                <w:noProof/>
                <w:webHidden/>
              </w:rPr>
              <w:fldChar w:fldCharType="separate"/>
            </w:r>
            <w:r w:rsidR="00CC66E5">
              <w:rPr>
                <w:noProof/>
                <w:webHidden/>
              </w:rPr>
              <w:t>38</w:t>
            </w:r>
            <w:r w:rsidR="00FE4384">
              <w:rPr>
                <w:noProof/>
                <w:webHidden/>
              </w:rPr>
              <w:fldChar w:fldCharType="end"/>
            </w:r>
          </w:hyperlink>
        </w:p>
        <w:p w14:paraId="43EDB543" w14:textId="77777777" w:rsidR="00FE4384" w:rsidRDefault="0042356F">
          <w:pPr>
            <w:pStyle w:val="TDC1"/>
            <w:tabs>
              <w:tab w:val="right" w:leader="dot" w:pos="8494"/>
            </w:tabs>
            <w:rPr>
              <w:rFonts w:eastAsiaTheme="minorEastAsia"/>
              <w:noProof/>
              <w:lang w:val="es-CR" w:eastAsia="es-CR"/>
            </w:rPr>
          </w:pPr>
          <w:hyperlink w:anchor="_Toc144396560" w:history="1">
            <w:r w:rsidR="00FE4384" w:rsidRPr="00B232C5">
              <w:rPr>
                <w:rStyle w:val="Hipervnculo"/>
                <w:noProof/>
              </w:rPr>
              <w:t>Capítulo 7: Riesgos asociados a la propuesta</w:t>
            </w:r>
            <w:r w:rsidR="00FE4384">
              <w:rPr>
                <w:noProof/>
                <w:webHidden/>
              </w:rPr>
              <w:tab/>
            </w:r>
            <w:r w:rsidR="00FE4384">
              <w:rPr>
                <w:noProof/>
                <w:webHidden/>
              </w:rPr>
              <w:fldChar w:fldCharType="begin"/>
            </w:r>
            <w:r w:rsidR="00FE4384">
              <w:rPr>
                <w:noProof/>
                <w:webHidden/>
              </w:rPr>
              <w:instrText xml:space="preserve"> PAGEREF _Toc144396560 \h </w:instrText>
            </w:r>
            <w:r w:rsidR="00FE4384">
              <w:rPr>
                <w:noProof/>
                <w:webHidden/>
              </w:rPr>
            </w:r>
            <w:r w:rsidR="00FE4384">
              <w:rPr>
                <w:noProof/>
                <w:webHidden/>
              </w:rPr>
              <w:fldChar w:fldCharType="separate"/>
            </w:r>
            <w:r w:rsidR="00CC66E5">
              <w:rPr>
                <w:noProof/>
                <w:webHidden/>
              </w:rPr>
              <w:t>41</w:t>
            </w:r>
            <w:r w:rsidR="00FE4384">
              <w:rPr>
                <w:noProof/>
                <w:webHidden/>
              </w:rPr>
              <w:fldChar w:fldCharType="end"/>
            </w:r>
          </w:hyperlink>
        </w:p>
        <w:p w14:paraId="114FAAE0" w14:textId="77777777" w:rsidR="00FE4384" w:rsidRDefault="0042356F">
          <w:pPr>
            <w:pStyle w:val="TDC2"/>
            <w:tabs>
              <w:tab w:val="right" w:leader="dot" w:pos="8494"/>
            </w:tabs>
            <w:rPr>
              <w:rFonts w:eastAsiaTheme="minorEastAsia"/>
              <w:noProof/>
              <w:lang w:val="es-CR" w:eastAsia="es-CR"/>
            </w:rPr>
          </w:pPr>
          <w:hyperlink w:anchor="_Toc144396561" w:history="1">
            <w:r w:rsidR="00FE4384" w:rsidRPr="00B232C5">
              <w:rPr>
                <w:rStyle w:val="Hipervnculo"/>
                <w:noProof/>
              </w:rPr>
              <w:t>7.1. Transición demográfica que afecte la apertura de nuevos fondos por década</w:t>
            </w:r>
            <w:r w:rsidR="00FE4384">
              <w:rPr>
                <w:noProof/>
                <w:webHidden/>
              </w:rPr>
              <w:tab/>
            </w:r>
            <w:r w:rsidR="00FE4384">
              <w:rPr>
                <w:noProof/>
                <w:webHidden/>
              </w:rPr>
              <w:fldChar w:fldCharType="begin"/>
            </w:r>
            <w:r w:rsidR="00FE4384">
              <w:rPr>
                <w:noProof/>
                <w:webHidden/>
              </w:rPr>
              <w:instrText xml:space="preserve"> PAGEREF _Toc144396561 \h </w:instrText>
            </w:r>
            <w:r w:rsidR="00FE4384">
              <w:rPr>
                <w:noProof/>
                <w:webHidden/>
              </w:rPr>
            </w:r>
            <w:r w:rsidR="00FE4384">
              <w:rPr>
                <w:noProof/>
                <w:webHidden/>
              </w:rPr>
              <w:fldChar w:fldCharType="separate"/>
            </w:r>
            <w:r w:rsidR="00CC66E5">
              <w:rPr>
                <w:noProof/>
                <w:webHidden/>
              </w:rPr>
              <w:t>41</w:t>
            </w:r>
            <w:r w:rsidR="00FE4384">
              <w:rPr>
                <w:noProof/>
                <w:webHidden/>
              </w:rPr>
              <w:fldChar w:fldCharType="end"/>
            </w:r>
          </w:hyperlink>
        </w:p>
        <w:p w14:paraId="385B1D8E" w14:textId="77777777" w:rsidR="00FE4384" w:rsidRDefault="0042356F">
          <w:pPr>
            <w:pStyle w:val="TDC2"/>
            <w:tabs>
              <w:tab w:val="right" w:leader="dot" w:pos="8494"/>
            </w:tabs>
            <w:rPr>
              <w:rFonts w:eastAsiaTheme="minorEastAsia"/>
              <w:noProof/>
              <w:lang w:val="es-CR" w:eastAsia="es-CR"/>
            </w:rPr>
          </w:pPr>
          <w:hyperlink w:anchor="_Toc144396562" w:history="1">
            <w:r w:rsidR="00FE4384" w:rsidRPr="00B232C5">
              <w:rPr>
                <w:rStyle w:val="Hipervnculo"/>
                <w:noProof/>
              </w:rPr>
              <w:t>7.2. Nuevas crisis financieras</w:t>
            </w:r>
            <w:r w:rsidR="00FE4384">
              <w:rPr>
                <w:noProof/>
                <w:webHidden/>
              </w:rPr>
              <w:tab/>
            </w:r>
            <w:r w:rsidR="00FE4384">
              <w:rPr>
                <w:noProof/>
                <w:webHidden/>
              </w:rPr>
              <w:fldChar w:fldCharType="begin"/>
            </w:r>
            <w:r w:rsidR="00FE4384">
              <w:rPr>
                <w:noProof/>
                <w:webHidden/>
              </w:rPr>
              <w:instrText xml:space="preserve"> PAGEREF _Toc144396562 \h </w:instrText>
            </w:r>
            <w:r w:rsidR="00FE4384">
              <w:rPr>
                <w:noProof/>
                <w:webHidden/>
              </w:rPr>
            </w:r>
            <w:r w:rsidR="00FE4384">
              <w:rPr>
                <w:noProof/>
                <w:webHidden/>
              </w:rPr>
              <w:fldChar w:fldCharType="separate"/>
            </w:r>
            <w:r w:rsidR="00CC66E5">
              <w:rPr>
                <w:noProof/>
                <w:webHidden/>
              </w:rPr>
              <w:t>41</w:t>
            </w:r>
            <w:r w:rsidR="00FE4384">
              <w:rPr>
                <w:noProof/>
                <w:webHidden/>
              </w:rPr>
              <w:fldChar w:fldCharType="end"/>
            </w:r>
          </w:hyperlink>
        </w:p>
        <w:p w14:paraId="1A89A3AF" w14:textId="77777777" w:rsidR="00FE4384" w:rsidRDefault="0042356F">
          <w:pPr>
            <w:pStyle w:val="TDC1"/>
            <w:tabs>
              <w:tab w:val="right" w:leader="dot" w:pos="8494"/>
            </w:tabs>
            <w:rPr>
              <w:rFonts w:eastAsiaTheme="minorEastAsia"/>
              <w:noProof/>
              <w:lang w:val="es-CR" w:eastAsia="es-CR"/>
            </w:rPr>
          </w:pPr>
          <w:hyperlink w:anchor="_Toc144396563" w:history="1">
            <w:r w:rsidR="00FE4384" w:rsidRPr="00B232C5">
              <w:rPr>
                <w:rStyle w:val="Hipervnculo"/>
                <w:noProof/>
              </w:rPr>
              <w:t>Bibliografía</w:t>
            </w:r>
            <w:r w:rsidR="00FE4384">
              <w:rPr>
                <w:noProof/>
                <w:webHidden/>
              </w:rPr>
              <w:tab/>
            </w:r>
            <w:r w:rsidR="00FE4384">
              <w:rPr>
                <w:noProof/>
                <w:webHidden/>
              </w:rPr>
              <w:fldChar w:fldCharType="begin"/>
            </w:r>
            <w:r w:rsidR="00FE4384">
              <w:rPr>
                <w:noProof/>
                <w:webHidden/>
              </w:rPr>
              <w:instrText xml:space="preserve"> PAGEREF _Toc144396563 \h </w:instrText>
            </w:r>
            <w:r w:rsidR="00FE4384">
              <w:rPr>
                <w:noProof/>
                <w:webHidden/>
              </w:rPr>
            </w:r>
            <w:r w:rsidR="00FE4384">
              <w:rPr>
                <w:noProof/>
                <w:webHidden/>
              </w:rPr>
              <w:fldChar w:fldCharType="separate"/>
            </w:r>
            <w:r w:rsidR="00CC66E5">
              <w:rPr>
                <w:noProof/>
                <w:webHidden/>
              </w:rPr>
              <w:t>42</w:t>
            </w:r>
            <w:r w:rsidR="00FE4384">
              <w:rPr>
                <w:noProof/>
                <w:webHidden/>
              </w:rPr>
              <w:fldChar w:fldCharType="end"/>
            </w:r>
          </w:hyperlink>
        </w:p>
        <w:p w14:paraId="2D5934E9" w14:textId="77777777" w:rsidR="00FE4384" w:rsidRDefault="0042356F">
          <w:pPr>
            <w:pStyle w:val="TDC1"/>
            <w:tabs>
              <w:tab w:val="right" w:leader="dot" w:pos="8494"/>
            </w:tabs>
            <w:rPr>
              <w:rFonts w:eastAsiaTheme="minorEastAsia"/>
              <w:noProof/>
              <w:lang w:val="es-CR" w:eastAsia="es-CR"/>
            </w:rPr>
          </w:pPr>
          <w:hyperlink w:anchor="_Toc144396564" w:history="1">
            <w:r w:rsidR="00FE4384" w:rsidRPr="00B232C5">
              <w:rPr>
                <w:rStyle w:val="Hipervnculo"/>
                <w:noProof/>
              </w:rPr>
              <w:t>Anexos</w:t>
            </w:r>
            <w:r w:rsidR="00FE4384">
              <w:rPr>
                <w:noProof/>
                <w:webHidden/>
              </w:rPr>
              <w:tab/>
            </w:r>
            <w:r w:rsidR="00FE4384">
              <w:rPr>
                <w:noProof/>
                <w:webHidden/>
              </w:rPr>
              <w:fldChar w:fldCharType="begin"/>
            </w:r>
            <w:r w:rsidR="00FE4384">
              <w:rPr>
                <w:noProof/>
                <w:webHidden/>
              </w:rPr>
              <w:instrText xml:space="preserve"> PAGEREF _Toc144396564 \h </w:instrText>
            </w:r>
            <w:r w:rsidR="00FE4384">
              <w:rPr>
                <w:noProof/>
                <w:webHidden/>
              </w:rPr>
            </w:r>
            <w:r w:rsidR="00FE4384">
              <w:rPr>
                <w:noProof/>
                <w:webHidden/>
              </w:rPr>
              <w:fldChar w:fldCharType="separate"/>
            </w:r>
            <w:r w:rsidR="00CC66E5">
              <w:rPr>
                <w:noProof/>
                <w:webHidden/>
              </w:rPr>
              <w:t>43</w:t>
            </w:r>
            <w:r w:rsidR="00FE4384">
              <w:rPr>
                <w:noProof/>
                <w:webHidden/>
              </w:rPr>
              <w:fldChar w:fldCharType="end"/>
            </w:r>
          </w:hyperlink>
        </w:p>
        <w:p w14:paraId="524F9B4C" w14:textId="77777777" w:rsidR="005E6D85" w:rsidRDefault="005E6D85" w:rsidP="005E6D85">
          <w:r>
            <w:rPr>
              <w:b/>
              <w:bCs/>
            </w:rPr>
            <w:fldChar w:fldCharType="end"/>
          </w:r>
        </w:p>
      </w:sdtContent>
    </w:sdt>
    <w:p w14:paraId="5305857B" w14:textId="77777777" w:rsidR="00B47A67" w:rsidRDefault="00B47A67" w:rsidP="00B47A67">
      <w:pPr>
        <w:spacing w:after="0" w:line="240" w:lineRule="auto"/>
        <w:contextualSpacing/>
        <w:jc w:val="both"/>
        <w:rPr>
          <w:color w:val="4472C4" w:themeColor="accent1"/>
          <w:sz w:val="32"/>
          <w:szCs w:val="32"/>
        </w:rPr>
      </w:pPr>
    </w:p>
    <w:p w14:paraId="15DE957B" w14:textId="77777777" w:rsidR="00B47A67" w:rsidRDefault="00B47A67" w:rsidP="00B47A67">
      <w:pPr>
        <w:spacing w:after="0" w:line="240" w:lineRule="auto"/>
        <w:contextualSpacing/>
      </w:pPr>
      <w:r>
        <w:br w:type="page"/>
      </w:r>
    </w:p>
    <w:p w14:paraId="17194257" w14:textId="77777777" w:rsidR="00B47A67" w:rsidRDefault="00B47A67" w:rsidP="00B47A67">
      <w:pPr>
        <w:pStyle w:val="Ttulo1"/>
      </w:pPr>
      <w:bookmarkStart w:id="0" w:name="_Toc144396516"/>
      <w:bookmarkStart w:id="1" w:name="_Toc132962525"/>
      <w:r>
        <w:lastRenderedPageBreak/>
        <w:t>Definiciones</w:t>
      </w:r>
      <w:bookmarkEnd w:id="0"/>
    </w:p>
    <w:p w14:paraId="3F12AEFD" w14:textId="77777777" w:rsidR="00B47A67" w:rsidRDefault="00B47A67" w:rsidP="00B47A67"/>
    <w:p w14:paraId="4AD00045" w14:textId="77777777" w:rsidR="00B47A67" w:rsidRDefault="7374ACF3" w:rsidP="647B9A85">
      <w:pPr>
        <w:rPr>
          <w:rFonts w:eastAsiaTheme="minorEastAsia"/>
        </w:rPr>
      </w:pPr>
      <w:r w:rsidRPr="647B9A85">
        <w:rPr>
          <w:rFonts w:eastAsiaTheme="minorEastAsia"/>
        </w:rPr>
        <w:t>AFP:</w:t>
      </w:r>
      <w:r w:rsidR="00B47A67">
        <w:tab/>
      </w:r>
      <w:r w:rsidR="00B47A67">
        <w:tab/>
      </w:r>
      <w:r w:rsidRPr="647B9A85">
        <w:rPr>
          <w:rFonts w:eastAsiaTheme="minorEastAsia"/>
        </w:rPr>
        <w:t>Administradora de Fondos de Pensiones (término internacional para OPC)</w:t>
      </w:r>
      <w:r w:rsidR="00534577">
        <w:rPr>
          <w:rFonts w:eastAsiaTheme="minorEastAsia"/>
        </w:rPr>
        <w:t>.</w:t>
      </w:r>
    </w:p>
    <w:p w14:paraId="28A7212C" w14:textId="77777777" w:rsidR="00B47A67" w:rsidRDefault="7374ACF3" w:rsidP="647B9A85">
      <w:pPr>
        <w:rPr>
          <w:rFonts w:eastAsiaTheme="minorEastAsia"/>
        </w:rPr>
      </w:pPr>
      <w:r w:rsidRPr="647B9A85">
        <w:rPr>
          <w:rFonts w:eastAsiaTheme="minorEastAsia"/>
        </w:rPr>
        <w:t>AIOS:</w:t>
      </w:r>
      <w:r w:rsidR="00B47A67">
        <w:tab/>
      </w:r>
      <w:r w:rsidR="00B47A67">
        <w:tab/>
      </w:r>
      <w:r w:rsidRPr="647B9A85">
        <w:rPr>
          <w:rFonts w:eastAsiaTheme="minorEastAsia"/>
        </w:rPr>
        <w:t>Asociación Internacional de Organismos Supervisores de Fondos de Pensiones</w:t>
      </w:r>
      <w:r w:rsidR="00534577">
        <w:rPr>
          <w:rFonts w:eastAsiaTheme="minorEastAsia"/>
        </w:rPr>
        <w:t>.</w:t>
      </w:r>
      <w:r w:rsidRPr="647B9A85">
        <w:rPr>
          <w:rFonts w:eastAsiaTheme="minorEastAsia"/>
        </w:rPr>
        <w:t xml:space="preserve"> </w:t>
      </w:r>
    </w:p>
    <w:p w14:paraId="2EB0611D" w14:textId="77777777" w:rsidR="00B47A67" w:rsidRDefault="005E6D85" w:rsidP="00B47A67">
      <w:r w:rsidRPr="00BC5F93">
        <w:t>LPT</w:t>
      </w:r>
      <w:r>
        <w:t>:</w:t>
      </w:r>
      <w:r w:rsidRPr="00BC5F93">
        <w:t xml:space="preserve"> </w:t>
      </w:r>
      <w:r>
        <w:tab/>
      </w:r>
      <w:r>
        <w:tab/>
      </w:r>
      <w:r w:rsidR="00B47A67" w:rsidRPr="00BC5F93">
        <w:t>Ley de Protección al Trabajador</w:t>
      </w:r>
      <w:r w:rsidR="00534577">
        <w:t>.</w:t>
      </w:r>
      <w:r w:rsidR="00B47A67" w:rsidRPr="00BC5F93">
        <w:t xml:space="preserve"> </w:t>
      </w:r>
    </w:p>
    <w:p w14:paraId="3F8A5DFE" w14:textId="77777777" w:rsidR="00B47A67" w:rsidRDefault="00B47A67" w:rsidP="00B47A67">
      <w:r>
        <w:t xml:space="preserve">SUPEN: </w:t>
      </w:r>
      <w:r>
        <w:tab/>
        <w:t>Superintendencia de Pensiones</w:t>
      </w:r>
      <w:r w:rsidR="00534577">
        <w:t>.</w:t>
      </w:r>
    </w:p>
    <w:p w14:paraId="3A44A58D" w14:textId="77777777" w:rsidR="00B47A67" w:rsidRDefault="00B47A67" w:rsidP="00B47A67">
      <w:r>
        <w:t xml:space="preserve">ROP: </w:t>
      </w:r>
      <w:r>
        <w:tab/>
      </w:r>
      <w:r>
        <w:tab/>
        <w:t>Régimen Obligatorio de Pensiones Complementarias</w:t>
      </w:r>
      <w:r w:rsidR="00E162FB">
        <w:t>.</w:t>
      </w:r>
    </w:p>
    <w:p w14:paraId="768FE89D" w14:textId="77777777" w:rsidR="00B47A67" w:rsidRDefault="00B47A67" w:rsidP="00B47A67">
      <w:pPr>
        <w:ind w:left="1416" w:hanging="1416"/>
      </w:pPr>
      <w:r>
        <w:t xml:space="preserve">OECD: </w:t>
      </w:r>
      <w:r>
        <w:tab/>
      </w:r>
      <w:r w:rsidRPr="00633BD0">
        <w:t>Organización para la Cooperación y el Desarrollo Económico</w:t>
      </w:r>
      <w:r w:rsidR="005E6D85">
        <w:t>,</w:t>
      </w:r>
      <w:r>
        <w:t xml:space="preserve"> por sus siglas en ingles</w:t>
      </w:r>
      <w:r w:rsidR="00534577">
        <w:t>.</w:t>
      </w:r>
    </w:p>
    <w:p w14:paraId="09DBB970" w14:textId="77777777" w:rsidR="00B47A67" w:rsidRDefault="7374ACF3" w:rsidP="00B47A67">
      <w:r>
        <w:t>OPC:</w:t>
      </w:r>
      <w:r w:rsidR="00B47A67">
        <w:tab/>
      </w:r>
      <w:r w:rsidR="00B47A67">
        <w:tab/>
      </w:r>
      <w:r>
        <w:t>Operadora de Pensiones Complementaria</w:t>
      </w:r>
      <w:r w:rsidR="00554FFF">
        <w:t>.</w:t>
      </w:r>
    </w:p>
    <w:p w14:paraId="4D65AE77" w14:textId="77777777" w:rsidR="00B47A67" w:rsidRDefault="7374ACF3" w:rsidP="00B47A67">
      <w:r>
        <w:t>RGA:</w:t>
      </w:r>
      <w:r w:rsidR="00B47A67">
        <w:tab/>
      </w:r>
      <w:r w:rsidR="00B47A67">
        <w:tab/>
      </w:r>
      <w:r>
        <w:t>Reglamento de Gestión de Activos</w:t>
      </w:r>
      <w:r w:rsidR="00534577">
        <w:t>.</w:t>
      </w:r>
    </w:p>
    <w:p w14:paraId="50E2EE96" w14:textId="77777777" w:rsidR="00B47A67" w:rsidRDefault="7374ACF3" w:rsidP="00B47A67">
      <w:r>
        <w:t>ROE:</w:t>
      </w:r>
      <w:r w:rsidR="00B47A67">
        <w:tab/>
      </w:r>
      <w:r w:rsidR="00B47A67">
        <w:tab/>
      </w:r>
      <w:r>
        <w:t xml:space="preserve">Retorno sobre </w:t>
      </w:r>
      <w:r w:rsidR="005E6D85">
        <w:t>Patrimonio</w:t>
      </w:r>
      <w:r>
        <w:t>, por sus siglas en inglés</w:t>
      </w:r>
      <w:r w:rsidR="00534577">
        <w:t>.</w:t>
      </w:r>
    </w:p>
    <w:p w14:paraId="2CE7C4CA" w14:textId="77777777" w:rsidR="00B47A67" w:rsidRDefault="7374ACF3" w:rsidP="00B47A67">
      <w:r>
        <w:t>SICERE:</w:t>
      </w:r>
      <w:r w:rsidR="00B47A67">
        <w:tab/>
      </w:r>
      <w:r w:rsidR="00B47A67">
        <w:tab/>
      </w:r>
      <w:r>
        <w:t>Sistema Centralizado de Recaudación</w:t>
      </w:r>
      <w:r w:rsidR="00534577">
        <w:t>.</w:t>
      </w:r>
    </w:p>
    <w:p w14:paraId="52753A1F" w14:textId="77777777" w:rsidR="005E6D85" w:rsidRDefault="005E6D85" w:rsidP="005E6D85">
      <w:r>
        <w:t>TDF:</w:t>
      </w:r>
      <w:r>
        <w:tab/>
      </w:r>
      <w:r>
        <w:tab/>
        <w:t>Fondos de Fecha Objetivo, por sus siglas en inglés.</w:t>
      </w:r>
    </w:p>
    <w:p w14:paraId="76438EB3" w14:textId="77777777" w:rsidR="005E6D85" w:rsidRPr="00931375" w:rsidRDefault="005E6D85" w:rsidP="005E6D85">
      <w:pPr>
        <w:rPr>
          <w:lang w:val="es-CR"/>
        </w:rPr>
      </w:pPr>
      <w:r w:rsidRPr="00931375">
        <w:rPr>
          <w:lang w:val="es-CR"/>
        </w:rPr>
        <w:t>TSP:</w:t>
      </w:r>
      <w:r w:rsidRPr="00931375">
        <w:rPr>
          <w:lang w:val="es-CR"/>
        </w:rPr>
        <w:tab/>
      </w:r>
      <w:r w:rsidRPr="00931375">
        <w:rPr>
          <w:lang w:val="es-CR"/>
        </w:rPr>
        <w:tab/>
      </w:r>
      <w:proofErr w:type="spellStart"/>
      <w:r w:rsidRPr="00931375">
        <w:rPr>
          <w:lang w:val="es-CR"/>
        </w:rPr>
        <w:t>Thrift</w:t>
      </w:r>
      <w:proofErr w:type="spellEnd"/>
      <w:r w:rsidRPr="00931375">
        <w:rPr>
          <w:lang w:val="es-CR"/>
        </w:rPr>
        <w:t xml:space="preserve"> </w:t>
      </w:r>
      <w:proofErr w:type="spellStart"/>
      <w:r w:rsidRPr="00931375">
        <w:rPr>
          <w:lang w:val="es-CR"/>
        </w:rPr>
        <w:t>Savings</w:t>
      </w:r>
      <w:proofErr w:type="spellEnd"/>
      <w:r w:rsidRPr="00931375">
        <w:rPr>
          <w:lang w:val="es-CR"/>
        </w:rPr>
        <w:t xml:space="preserve"> Plan (Fondo de pensiones de servicio civil en </w:t>
      </w:r>
      <w:r>
        <w:rPr>
          <w:lang w:val="es-CR"/>
        </w:rPr>
        <w:t>Estados Unidos</w:t>
      </w:r>
      <w:r w:rsidRPr="00931375">
        <w:rPr>
          <w:lang w:val="es-CR"/>
        </w:rPr>
        <w:t>)</w:t>
      </w:r>
      <w:r>
        <w:rPr>
          <w:lang w:val="es-CR"/>
        </w:rPr>
        <w:t>.</w:t>
      </w:r>
    </w:p>
    <w:p w14:paraId="18C66842" w14:textId="77777777" w:rsidR="00B47A67" w:rsidRPr="00931375" w:rsidRDefault="00B47A67" w:rsidP="00B47A67">
      <w:pPr>
        <w:rPr>
          <w:lang w:val="es-CR"/>
        </w:rPr>
      </w:pPr>
      <w:r w:rsidRPr="00931375">
        <w:rPr>
          <w:lang w:val="es-CR"/>
        </w:rPr>
        <w:br w:type="page"/>
      </w:r>
    </w:p>
    <w:p w14:paraId="0E9A6FF1" w14:textId="77777777" w:rsidR="00B47A67" w:rsidRDefault="00B47A67" w:rsidP="00B47A67">
      <w:pPr>
        <w:pStyle w:val="Ttulo1"/>
        <w:spacing w:before="0" w:line="240" w:lineRule="auto"/>
        <w:contextualSpacing/>
      </w:pPr>
      <w:bookmarkStart w:id="2" w:name="_Toc144396517"/>
      <w:r>
        <w:lastRenderedPageBreak/>
        <w:t>Introducción</w:t>
      </w:r>
      <w:bookmarkEnd w:id="1"/>
      <w:bookmarkEnd w:id="2"/>
    </w:p>
    <w:p w14:paraId="55C51A5C" w14:textId="77777777" w:rsidR="00B47A67" w:rsidRDefault="00B47A67" w:rsidP="00B47A67">
      <w:pPr>
        <w:spacing w:after="0" w:line="240" w:lineRule="auto"/>
        <w:contextualSpacing/>
      </w:pPr>
    </w:p>
    <w:p w14:paraId="059122E7" w14:textId="77777777" w:rsidR="00386C6F" w:rsidRPr="006710AC" w:rsidRDefault="00386C6F" w:rsidP="00386C6F">
      <w:pPr>
        <w:spacing w:after="0" w:line="240" w:lineRule="auto"/>
        <w:contextualSpacing/>
        <w:jc w:val="both"/>
      </w:pPr>
      <w:r w:rsidRPr="006710AC">
        <w:t xml:space="preserve">La Superintendencia de Pensiones (SUPEN) presenta </w:t>
      </w:r>
      <w:r w:rsidR="00E162FB">
        <w:t>el</w:t>
      </w:r>
      <w:r w:rsidRPr="006710AC">
        <w:t xml:space="preserve"> proyecto de fondos generacionales como propuesta de mejora al </w:t>
      </w:r>
      <w:r>
        <w:t>R</w:t>
      </w:r>
      <w:r w:rsidRPr="006710AC">
        <w:t xml:space="preserve">égimen </w:t>
      </w:r>
      <w:r>
        <w:t>O</w:t>
      </w:r>
      <w:r w:rsidRPr="006710AC">
        <w:t xml:space="preserve">bligatorio de </w:t>
      </w:r>
      <w:r>
        <w:t>P</w:t>
      </w:r>
      <w:r w:rsidRPr="006710AC">
        <w:t xml:space="preserve">ensiones </w:t>
      </w:r>
      <w:r w:rsidR="00534577">
        <w:t>C</w:t>
      </w:r>
      <w:r w:rsidR="00534577" w:rsidRPr="006710AC">
        <w:t>omplementari</w:t>
      </w:r>
      <w:r w:rsidR="00534577">
        <w:t xml:space="preserve">as </w:t>
      </w:r>
      <w:r w:rsidRPr="006710AC">
        <w:t>(ROP).</w:t>
      </w:r>
    </w:p>
    <w:p w14:paraId="2BF4A57A" w14:textId="77777777" w:rsidR="00386C6F" w:rsidRPr="006710AC" w:rsidRDefault="00386C6F" w:rsidP="00386C6F">
      <w:pPr>
        <w:spacing w:after="0" w:line="240" w:lineRule="auto"/>
        <w:contextualSpacing/>
        <w:jc w:val="both"/>
      </w:pPr>
    </w:p>
    <w:p w14:paraId="637CFD94" w14:textId="77777777" w:rsidR="00386C6F" w:rsidRPr="004B7885" w:rsidRDefault="00386C6F" w:rsidP="00386C6F">
      <w:pPr>
        <w:spacing w:after="0" w:line="240" w:lineRule="auto"/>
        <w:contextualSpacing/>
        <w:jc w:val="both"/>
        <w:rPr>
          <w:color w:val="2F5496" w:themeColor="accent1" w:themeShade="BF"/>
        </w:rPr>
      </w:pPr>
      <w:r w:rsidRPr="006710AC">
        <w:t>El objetivo que persigue el supervisor con esta propuesta es proponer los ajustes regulatorios para transformar la administración</w:t>
      </w:r>
      <w:r>
        <w:t xml:space="preserve"> del ROP</w:t>
      </w:r>
      <w:r w:rsidR="00C21468">
        <w:rPr>
          <w:rStyle w:val="Refdenotaalpie"/>
        </w:rPr>
        <w:footnoteReference w:id="3"/>
      </w:r>
      <w:r w:rsidR="0070368D">
        <w:t>,</w:t>
      </w:r>
      <w:r>
        <w:t xml:space="preserve"> con el fin de</w:t>
      </w:r>
      <w:r w:rsidRPr="006710AC">
        <w:t xml:space="preserve"> obtener una </w:t>
      </w:r>
      <w:r w:rsidR="0070368D">
        <w:t>mayor pensión</w:t>
      </w:r>
      <w:r>
        <w:t>,</w:t>
      </w:r>
      <w:r w:rsidRPr="006710AC">
        <w:t xml:space="preserve"> mediante </w:t>
      </w:r>
      <w:r>
        <w:t>la separación del fondo según la edad de los afiliados y pensionados, ajustando</w:t>
      </w:r>
      <w:r w:rsidRPr="006710AC">
        <w:t xml:space="preserve"> gradual</w:t>
      </w:r>
      <w:r>
        <w:t>mente</w:t>
      </w:r>
      <w:r w:rsidRPr="006710AC">
        <w:t xml:space="preserve"> la asignación estratégica de activos</w:t>
      </w:r>
      <w:r w:rsidRPr="006710AC">
        <w:rPr>
          <w:rStyle w:val="Refdenotaalpie"/>
        </w:rPr>
        <w:footnoteReference w:id="4"/>
      </w:r>
      <w:r w:rsidRPr="006710AC">
        <w:t>.</w:t>
      </w:r>
      <w:r>
        <w:t xml:space="preserve"> Esta separación es llamada fondos generacionales.</w:t>
      </w:r>
      <w:r w:rsidR="004B7885">
        <w:rPr>
          <w:color w:val="2F5496" w:themeColor="accent1" w:themeShade="BF"/>
        </w:rPr>
        <w:t xml:space="preserve"> </w:t>
      </w:r>
    </w:p>
    <w:p w14:paraId="7F876900" w14:textId="77777777" w:rsidR="00386C6F" w:rsidRPr="006710AC" w:rsidRDefault="00386C6F" w:rsidP="00386C6F">
      <w:pPr>
        <w:spacing w:after="0" w:line="240" w:lineRule="auto"/>
        <w:contextualSpacing/>
        <w:jc w:val="both"/>
      </w:pPr>
    </w:p>
    <w:p w14:paraId="08D427E7" w14:textId="77777777" w:rsidR="00386C6F" w:rsidRPr="00E162FB" w:rsidRDefault="006136C7" w:rsidP="00386C6F">
      <w:pPr>
        <w:spacing w:after="0" w:line="240" w:lineRule="auto"/>
        <w:contextualSpacing/>
        <w:jc w:val="both"/>
      </w:pPr>
      <w:r w:rsidRPr="00E162FB">
        <w:t xml:space="preserve">Se pretende </w:t>
      </w:r>
      <w:r w:rsidR="00F76CCC" w:rsidRPr="00E162FB">
        <w:t>con</w:t>
      </w:r>
      <w:r w:rsidRPr="00E162FB">
        <w:t xml:space="preserve"> l</w:t>
      </w:r>
      <w:r w:rsidR="00386C6F" w:rsidRPr="00E162FB">
        <w:t xml:space="preserve">os fondos generacionales </w:t>
      </w:r>
      <w:r w:rsidR="00F76CCC" w:rsidRPr="00E162FB">
        <w:t>posibilitar</w:t>
      </w:r>
      <w:r w:rsidR="00386C6F" w:rsidRPr="00E162FB">
        <w:t xml:space="preserve"> </w:t>
      </w:r>
      <w:r w:rsidR="00F76CCC" w:rsidRPr="00E162FB">
        <w:t>el</w:t>
      </w:r>
      <w:r w:rsidR="00386C6F" w:rsidRPr="00E162FB">
        <w:t xml:space="preserve"> aument</w:t>
      </w:r>
      <w:r w:rsidR="00F76CCC" w:rsidRPr="00E162FB">
        <w:t>o</w:t>
      </w:r>
      <w:r w:rsidR="00386C6F" w:rsidRPr="00E162FB">
        <w:t xml:space="preserve"> </w:t>
      </w:r>
      <w:r w:rsidR="00F76CCC" w:rsidRPr="00E162FB">
        <w:t>de</w:t>
      </w:r>
      <w:r w:rsidR="00386C6F" w:rsidRPr="00E162FB">
        <w:t xml:space="preserve"> la tasa de remplazo</w:t>
      </w:r>
      <w:r w:rsidR="00386C6F" w:rsidRPr="00E162FB">
        <w:rPr>
          <w:rStyle w:val="Refdenotaalpie"/>
        </w:rPr>
        <w:footnoteReference w:id="5"/>
      </w:r>
      <w:r w:rsidR="00386C6F" w:rsidRPr="00E162FB">
        <w:t xml:space="preserve"> a que tendrán acceso</w:t>
      </w:r>
      <w:r w:rsidR="00EB3850" w:rsidRPr="00E162FB">
        <w:t xml:space="preserve"> los afiliados</w:t>
      </w:r>
      <w:r w:rsidR="00386C6F" w:rsidRPr="00E162FB">
        <w:t xml:space="preserve">, mediante estrategias de inversión que consideren su tiempo de permanencia en el fondo de pensiones, procurando maximizar los rendimientos de los portafolios, </w:t>
      </w:r>
      <w:r w:rsidR="00EF1E5A" w:rsidRPr="00E162FB">
        <w:t>teniendo como norte</w:t>
      </w:r>
      <w:r w:rsidR="00386C6F" w:rsidRPr="00E162FB">
        <w:t xml:space="preserve"> la seguridad económica de los afiliados</w:t>
      </w:r>
      <w:r w:rsidR="00386C6F" w:rsidRPr="00E162FB">
        <w:rPr>
          <w:rStyle w:val="Refdenotaalpie"/>
        </w:rPr>
        <w:footnoteReference w:id="6"/>
      </w:r>
      <w:r w:rsidR="00386C6F" w:rsidRPr="00E162FB">
        <w:t xml:space="preserve">. </w:t>
      </w:r>
    </w:p>
    <w:p w14:paraId="3E4046CE" w14:textId="77777777" w:rsidR="00386C6F" w:rsidRPr="00E162FB" w:rsidRDefault="00386C6F" w:rsidP="00386C6F">
      <w:pPr>
        <w:spacing w:after="0" w:line="240" w:lineRule="auto"/>
        <w:contextualSpacing/>
        <w:jc w:val="both"/>
      </w:pPr>
    </w:p>
    <w:p w14:paraId="42E933A3" w14:textId="77777777" w:rsidR="00386C6F" w:rsidRPr="006710AC" w:rsidRDefault="00DB329A" w:rsidP="00386C6F">
      <w:pPr>
        <w:spacing w:after="0" w:line="240" w:lineRule="auto"/>
        <w:contextualSpacing/>
        <w:jc w:val="both"/>
      </w:pPr>
      <w:r w:rsidRPr="00E162FB">
        <w:t>L</w:t>
      </w:r>
      <w:r w:rsidR="00386C6F" w:rsidRPr="00E162FB">
        <w:t xml:space="preserve">os fondos generacionales </w:t>
      </w:r>
      <w:r w:rsidRPr="00E162FB">
        <w:t>aquí propuestos</w:t>
      </w:r>
      <w:r w:rsidR="00386C6F" w:rsidRPr="00E162FB">
        <w:t xml:space="preserve"> son una adaptación de los fondos de </w:t>
      </w:r>
      <w:r w:rsidR="00386C6F" w:rsidRPr="00E162FB">
        <w:rPr>
          <w:i/>
        </w:rPr>
        <w:t>fecha objetivo</w:t>
      </w:r>
      <w:r w:rsidR="00386C6F" w:rsidRPr="00E162FB">
        <w:t xml:space="preserve"> (</w:t>
      </w:r>
      <w:r w:rsidR="00386C6F" w:rsidRPr="00E162FB">
        <w:rPr>
          <w:i/>
          <w:iCs/>
        </w:rPr>
        <w:t xml:space="preserve">target date </w:t>
      </w:r>
      <w:proofErr w:type="spellStart"/>
      <w:r w:rsidR="00386C6F" w:rsidRPr="00E162FB">
        <w:rPr>
          <w:i/>
          <w:iCs/>
        </w:rPr>
        <w:t>funds</w:t>
      </w:r>
      <w:proofErr w:type="spellEnd"/>
      <w:r w:rsidR="00386C6F" w:rsidRPr="00E162FB">
        <w:rPr>
          <w:i/>
          <w:iCs/>
        </w:rPr>
        <w:t xml:space="preserve"> -TDF-</w:t>
      </w:r>
      <w:r w:rsidR="00386C6F" w:rsidRPr="00E162FB">
        <w:t xml:space="preserve"> por </w:t>
      </w:r>
      <w:r w:rsidR="00386C6F" w:rsidRPr="006710AC">
        <w:t>su</w:t>
      </w:r>
      <w:r w:rsidR="00386C6F">
        <w:t xml:space="preserve"> nombre</w:t>
      </w:r>
      <w:r w:rsidR="00386C6F" w:rsidRPr="006710AC">
        <w:t xml:space="preserve"> en ingl</w:t>
      </w:r>
      <w:r w:rsidR="00386C6F">
        <w:t>é</w:t>
      </w:r>
      <w:r w:rsidR="00386C6F" w:rsidRPr="006710AC">
        <w:t>s)</w:t>
      </w:r>
      <w:r w:rsidR="00386C6F">
        <w:t xml:space="preserve">, </w:t>
      </w:r>
      <w:r w:rsidR="0046427A">
        <w:t xml:space="preserve">los cuales </w:t>
      </w:r>
      <w:r w:rsidR="00575043">
        <w:t>pretenden tener “</w:t>
      </w:r>
      <w:r w:rsidR="00386C6F" w:rsidRPr="003F5D08">
        <w:rPr>
          <w:i/>
          <w:iCs/>
        </w:rPr>
        <w:t>al final de la vida una estrategia que se ha ajustado a lo largo de los años, con el objetivo de maximizar los saldos de los trabajadores en función del momento de pensión</w:t>
      </w:r>
      <w:r w:rsidR="00885180">
        <w:rPr>
          <w:i/>
          <w:iCs/>
        </w:rPr>
        <w:t>”</w:t>
      </w:r>
      <w:r w:rsidR="00386C6F">
        <w:t xml:space="preserve"> </w:t>
      </w:r>
      <w:sdt>
        <w:sdtPr>
          <w:id w:val="1514029638"/>
          <w:citation/>
        </w:sdtPr>
        <w:sdtEndPr/>
        <w:sdtContent>
          <w:r w:rsidR="00386C6F" w:rsidRPr="006710AC">
            <w:fldChar w:fldCharType="begin"/>
          </w:r>
          <w:r w:rsidR="00386C6F" w:rsidRPr="006710AC">
            <w:rPr>
              <w:lang w:val="es-CR"/>
            </w:rPr>
            <w:instrText xml:space="preserve"> CITATION Vereckey \l 5130 </w:instrText>
          </w:r>
          <w:r w:rsidR="00386C6F" w:rsidRPr="006710AC">
            <w:fldChar w:fldCharType="separate"/>
          </w:r>
          <w:r w:rsidR="0091728B" w:rsidRPr="0091728B">
            <w:rPr>
              <w:noProof/>
              <w:lang w:val="es-CR"/>
            </w:rPr>
            <w:t>(Vereckey, 2022)</w:t>
          </w:r>
          <w:r w:rsidR="00386C6F" w:rsidRPr="006710AC">
            <w:fldChar w:fldCharType="end"/>
          </w:r>
        </w:sdtContent>
      </w:sdt>
      <w:r w:rsidR="006478ED">
        <w:t>, es decir, l</w:t>
      </w:r>
      <w:r w:rsidR="1C379B29">
        <w:t xml:space="preserve">os </w:t>
      </w:r>
      <w:r w:rsidR="68A7A62F">
        <w:t>TDF</w:t>
      </w:r>
      <w:r w:rsidR="00386C6F" w:rsidRPr="006710AC">
        <w:t xml:space="preserve"> concentran la atención </w:t>
      </w:r>
      <w:r w:rsidR="00386C6F">
        <w:t xml:space="preserve">en </w:t>
      </w:r>
      <w:r w:rsidR="00386C6F" w:rsidRPr="006710AC">
        <w:t>e</w:t>
      </w:r>
      <w:r w:rsidR="00386C6F">
        <w:t>l desempeño de</w:t>
      </w:r>
      <w:r w:rsidR="00386C6F" w:rsidRPr="006710AC">
        <w:t xml:space="preserve"> las inversiones </w:t>
      </w:r>
      <w:r w:rsidR="00386C6F">
        <w:t>a</w:t>
      </w:r>
      <w:r w:rsidR="00386C6F" w:rsidRPr="006710AC">
        <w:t xml:space="preserve"> una fecha focal futura, procurando que las generaciones jóvenes</w:t>
      </w:r>
      <w:r w:rsidR="005E6D85">
        <w:t xml:space="preserve">, puedan disfrutar de estrategias de inversión cuyos instrumentos generen mayores rendimientos, con una mayor volatilidad, y que, por su plazo a pensionarse, les sea posible recuperar eventuales caídas en los rendimientos. </w:t>
      </w:r>
      <w:r w:rsidR="00386C6F" w:rsidRPr="006710AC">
        <w:t xml:space="preserve">Por su parte, para las generaciones </w:t>
      </w:r>
      <w:r w:rsidR="00386C6F">
        <w:t>próximas</w:t>
      </w:r>
      <w:r w:rsidR="00386C6F" w:rsidRPr="006710AC">
        <w:t xml:space="preserve"> a la fecha de pensión, se tendrán otras estrategias de inversión, donde el objetivo será reducir paulatinamente </w:t>
      </w:r>
      <w:r w:rsidR="00386C6F">
        <w:t>la relación</w:t>
      </w:r>
      <w:r w:rsidR="00386C6F" w:rsidRPr="006710AC">
        <w:t xml:space="preserve"> riesgo-rendimiento, </w:t>
      </w:r>
      <w:r w:rsidR="00386C6F">
        <w:t xml:space="preserve">reduciendo las </w:t>
      </w:r>
      <w:r w:rsidR="00386C6F" w:rsidRPr="006710AC">
        <w:t xml:space="preserve">oscilaciones que puedan afectar </w:t>
      </w:r>
      <w:r w:rsidR="00386C6F">
        <w:t>el monto de</w:t>
      </w:r>
      <w:r w:rsidR="00386C6F" w:rsidRPr="006710AC">
        <w:t xml:space="preserve"> las prestaciones </w:t>
      </w:r>
      <w:r w:rsidR="00386C6F">
        <w:t>por pensión.</w:t>
      </w:r>
      <w:r w:rsidR="00386C6F" w:rsidRPr="006710AC">
        <w:t xml:space="preserve"> </w:t>
      </w:r>
    </w:p>
    <w:p w14:paraId="076ED626" w14:textId="77777777" w:rsidR="00386C6F" w:rsidRPr="006710AC" w:rsidRDefault="00386C6F" w:rsidP="00386C6F">
      <w:pPr>
        <w:spacing w:after="0" w:line="240" w:lineRule="auto"/>
        <w:contextualSpacing/>
        <w:jc w:val="both"/>
      </w:pPr>
    </w:p>
    <w:p w14:paraId="421A32CA" w14:textId="77777777" w:rsidR="00386C6F" w:rsidRPr="006710AC" w:rsidRDefault="00386C6F" w:rsidP="00386C6F">
      <w:pPr>
        <w:spacing w:after="0" w:line="240" w:lineRule="auto"/>
        <w:contextualSpacing/>
        <w:jc w:val="both"/>
      </w:pPr>
      <w:r w:rsidRPr="00E162FB">
        <w:t xml:space="preserve">Hoy en día </w:t>
      </w:r>
      <w:r w:rsidR="009E3A7E" w:rsidRPr="00E162FB">
        <w:t xml:space="preserve">las </w:t>
      </w:r>
      <w:r w:rsidR="00D0064F" w:rsidRPr="00E162FB">
        <w:t xml:space="preserve">operadoras tienen </w:t>
      </w:r>
      <w:r w:rsidRPr="00E162FB">
        <w:t xml:space="preserve">una sola estrategia de inversión en el ROP para </w:t>
      </w:r>
      <w:r w:rsidR="007866C8" w:rsidRPr="00E162FB">
        <w:t>todos sus afiliados</w:t>
      </w:r>
      <w:r w:rsidRPr="00E162FB">
        <w:rPr>
          <w:rStyle w:val="Refdenotaalpie"/>
        </w:rPr>
        <w:footnoteReference w:id="7"/>
      </w:r>
      <w:r w:rsidRPr="00E162FB">
        <w:t xml:space="preserve">, sin distingo de sus condiciones, sean ellos jóvenes o cercanos a pensionarse. Actualmente, </w:t>
      </w:r>
      <w:r>
        <w:t xml:space="preserve">existe </w:t>
      </w:r>
      <w:r w:rsidRPr="006710AC">
        <w:t>un único portafolio de inversiones</w:t>
      </w:r>
      <w:r>
        <w:t xml:space="preserve">, </w:t>
      </w:r>
      <w:r w:rsidRPr="006710AC">
        <w:t>situación</w:t>
      </w:r>
      <w:r>
        <w:t xml:space="preserve"> que</w:t>
      </w:r>
      <w:r w:rsidRPr="006710AC">
        <w:t xml:space="preserve"> pone a los gestores de pensiones en un dilema: por un lado, procurar que los saldos crezcan y, por otra, que no se tengan variaciones en los saldos que pongan en riesgo los intereses de los trabajadores de mayor edad. </w:t>
      </w:r>
      <w:r>
        <w:t>P</w:t>
      </w:r>
      <w:r w:rsidRPr="006710AC">
        <w:t xml:space="preserve">or tanto, se requiere </w:t>
      </w:r>
      <w:r>
        <w:t>rediseñar el</w:t>
      </w:r>
      <w:r w:rsidRPr="006710AC">
        <w:t xml:space="preserve"> marco de gestión </w:t>
      </w:r>
      <w:r w:rsidR="00272215">
        <w:t xml:space="preserve">actual </w:t>
      </w:r>
      <w:r w:rsidRPr="006710AC">
        <w:t>de l</w:t>
      </w:r>
      <w:r w:rsidR="003116C8">
        <w:t>a</w:t>
      </w:r>
      <w:r w:rsidRPr="006710AC">
        <w:t xml:space="preserve">s </w:t>
      </w:r>
      <w:r w:rsidR="003116C8">
        <w:t>inversiones</w:t>
      </w:r>
      <w:r w:rsidRPr="006710AC">
        <w:t xml:space="preserve"> del ROP.</w:t>
      </w:r>
    </w:p>
    <w:p w14:paraId="6E0E07C5" w14:textId="77777777" w:rsidR="00386C6F" w:rsidRPr="006710AC" w:rsidRDefault="00386C6F" w:rsidP="00386C6F">
      <w:pPr>
        <w:spacing w:after="0" w:line="240" w:lineRule="auto"/>
        <w:contextualSpacing/>
        <w:jc w:val="both"/>
      </w:pPr>
    </w:p>
    <w:p w14:paraId="2B4D05FC" w14:textId="77777777" w:rsidR="00386C6F" w:rsidRPr="006710AC" w:rsidRDefault="00386C6F" w:rsidP="00386C6F">
      <w:pPr>
        <w:spacing w:after="0" w:line="240" w:lineRule="auto"/>
        <w:contextualSpacing/>
        <w:jc w:val="both"/>
      </w:pPr>
      <w:r w:rsidRPr="006710AC">
        <w:t>La transformación del ROP aquí propuesta es el resultado de un proceso de investigación por parte del supervisor</w:t>
      </w:r>
      <w:r w:rsidR="00E162FB">
        <w:t xml:space="preserve"> y coordinado con el sector de operadoras de pensiones</w:t>
      </w:r>
      <w:r w:rsidRPr="006710AC">
        <w:t>, que da como resultado una serie de ajustes al diseño del régimen complementario de pensiones costarricense</w:t>
      </w:r>
      <w:r>
        <w:t xml:space="preserve">, </w:t>
      </w:r>
      <w:r w:rsidRPr="006710AC">
        <w:t>que ha tenido como base los siguientes criterios orientadores: maximización de beneficios para los afiliados con estrategias diferenciadas</w:t>
      </w:r>
      <w:r>
        <w:t>;</w:t>
      </w:r>
      <w:r w:rsidRPr="006710AC">
        <w:t xml:space="preserve"> búsqueda del menor tiempo de </w:t>
      </w:r>
      <w:r w:rsidRPr="006710AC">
        <w:lastRenderedPageBreak/>
        <w:t xml:space="preserve">implementación de la propuesta, </w:t>
      </w:r>
      <w:r w:rsidR="005E6D85" w:rsidRPr="006710AC">
        <w:t>selecci</w:t>
      </w:r>
      <w:r w:rsidR="005E6D85">
        <w:t>ón de</w:t>
      </w:r>
      <w:r w:rsidR="005E6D85" w:rsidRPr="006710AC">
        <w:t xml:space="preserve"> la alternativa con el menor impacto en las operaciones de las entidades</w:t>
      </w:r>
      <w:r w:rsidR="005E6D85">
        <w:t>;</w:t>
      </w:r>
      <w:r w:rsidR="005E6D85" w:rsidRPr="006710AC">
        <w:t xml:space="preserve"> mayor control en la gestión de los portafolios en función de instrumentos que se adapten al desempeño de los mercados financieros</w:t>
      </w:r>
      <w:r w:rsidR="005E6D85">
        <w:t>; y un</w:t>
      </w:r>
      <w:r w:rsidR="005E6D85" w:rsidRPr="006710AC">
        <w:t xml:space="preserve"> análisis de los plazos de implementación en función de la recuperación posterior a la crisis</w:t>
      </w:r>
      <w:r w:rsidR="005E6D85">
        <w:t xml:space="preserve"> financiera</w:t>
      </w:r>
      <w:r w:rsidR="005E6D85" w:rsidRPr="006710AC">
        <w:t xml:space="preserve"> recientemente </w:t>
      </w:r>
      <w:r w:rsidR="005E6D85">
        <w:t>experimentada</w:t>
      </w:r>
      <w:r w:rsidRPr="006710AC">
        <w:t>.</w:t>
      </w:r>
    </w:p>
    <w:p w14:paraId="44EB50DD" w14:textId="77777777" w:rsidR="00386C6F" w:rsidRPr="006710AC" w:rsidRDefault="00386C6F" w:rsidP="00386C6F">
      <w:pPr>
        <w:spacing w:after="0" w:line="240" w:lineRule="auto"/>
        <w:contextualSpacing/>
        <w:jc w:val="both"/>
      </w:pPr>
    </w:p>
    <w:p w14:paraId="128A1098" w14:textId="77777777" w:rsidR="00B47A67" w:rsidRDefault="00386C6F" w:rsidP="00386C6F">
      <w:pPr>
        <w:spacing w:after="0" w:line="240" w:lineRule="auto"/>
        <w:contextualSpacing/>
        <w:jc w:val="both"/>
        <w:rPr>
          <w:sz w:val="24"/>
          <w:szCs w:val="24"/>
        </w:rPr>
      </w:pPr>
      <w:r w:rsidRPr="006710AC">
        <w:t xml:space="preserve">Este documento </w:t>
      </w:r>
      <w:r>
        <w:t>expone</w:t>
      </w:r>
      <w:r w:rsidRPr="006710AC">
        <w:t xml:space="preserve"> los resultados </w:t>
      </w:r>
      <w:r>
        <w:t xml:space="preserve">de </w:t>
      </w:r>
      <w:r w:rsidRPr="006710AC">
        <w:t>las consideraciones técnicas que justifican</w:t>
      </w:r>
      <w:r>
        <w:t xml:space="preserve"> la reforma aquí presentada</w:t>
      </w:r>
      <w:r w:rsidRPr="006710AC">
        <w:t xml:space="preserve">. </w:t>
      </w:r>
      <w:r>
        <w:t>E</w:t>
      </w:r>
      <w:r w:rsidRPr="00372154">
        <w:t xml:space="preserve">l capítulo 1 </w:t>
      </w:r>
      <w:r>
        <w:t>presenta</w:t>
      </w:r>
      <w:r w:rsidRPr="00372154">
        <w:t xml:space="preserve"> los antecede</w:t>
      </w:r>
      <w:r>
        <w:t>nte</w:t>
      </w:r>
      <w:r w:rsidRPr="00372154">
        <w:t>s sobre los que se formuló esta iniciativa. El capítulo 2 detalla el objetivo del proyecto, así como los principios rectores con los que se ha construido. En el capítulo 3 se encuentra el marco general con el que se construyó e</w:t>
      </w:r>
      <w:r>
        <w:t>l proyecto</w:t>
      </w:r>
      <w:r w:rsidRPr="00372154">
        <w:t xml:space="preserve">. </w:t>
      </w:r>
      <w:r w:rsidR="005E6D85" w:rsidRPr="00372154">
        <w:t>En el capítulo 4 se detalla la propuesta</w:t>
      </w:r>
      <w:r w:rsidRPr="00372154">
        <w:t xml:space="preserve"> de transformación del ROP hacia fondos generacionales, poniendo énfasis en los cambios que deben implementarse. El capítulo 5</w:t>
      </w:r>
      <w:r>
        <w:t xml:space="preserve"> analiza</w:t>
      </w:r>
      <w:r w:rsidRPr="00372154">
        <w:t xml:space="preserve"> el diseño del proceso de inversiones que debe</w:t>
      </w:r>
      <w:r>
        <w:t xml:space="preserve">n </w:t>
      </w:r>
      <w:r w:rsidRPr="00372154">
        <w:t>seguir</w:t>
      </w:r>
      <w:r>
        <w:t xml:space="preserve"> los gestores de fondos de pensión</w:t>
      </w:r>
      <w:r w:rsidRPr="00372154">
        <w:t xml:space="preserve"> para la adecuada implementación de los fondos generacionales. En el capítulo 6 se analizan los beneficios esperados de la propuesta</w:t>
      </w:r>
      <w:r w:rsidR="00365350">
        <w:rPr>
          <w:rStyle w:val="Refdenotaalpie"/>
        </w:rPr>
        <w:footnoteReference w:id="8"/>
      </w:r>
      <w:r w:rsidRPr="00372154">
        <w:t xml:space="preserve">, así como sus costos asociados, de tal manera que pueda hacerse un balance que perfile el valor agregado </w:t>
      </w:r>
      <w:r w:rsidR="005E6D85" w:rsidRPr="00372154">
        <w:t>de</w:t>
      </w:r>
      <w:r w:rsidR="005E6D85">
        <w:t>l</w:t>
      </w:r>
      <w:r w:rsidR="005E6D85" w:rsidRPr="00372154">
        <w:t xml:space="preserve"> proyecto y la necesidad de su pronta implementación.</w:t>
      </w:r>
      <w:r w:rsidRPr="00372154">
        <w:t xml:space="preserve"> Finalmente, en el capítulo 7 se analizan los principales riesgos que esta propuesta enfrenta para lograr </w:t>
      </w:r>
      <w:r>
        <w:t>el</w:t>
      </w:r>
      <w:r w:rsidRPr="00372154">
        <w:t xml:space="preserve"> éxito previsto.</w:t>
      </w:r>
    </w:p>
    <w:p w14:paraId="29294BA5" w14:textId="77777777" w:rsidR="00B47A67" w:rsidRDefault="00B47A67" w:rsidP="00B47A67">
      <w:pPr>
        <w:spacing w:after="0" w:line="240" w:lineRule="auto"/>
        <w:contextualSpacing/>
        <w:jc w:val="both"/>
        <w:rPr>
          <w:sz w:val="24"/>
          <w:szCs w:val="24"/>
        </w:rPr>
      </w:pPr>
    </w:p>
    <w:p w14:paraId="3047CB24" w14:textId="77777777" w:rsidR="00B47A67" w:rsidRDefault="00B47A67" w:rsidP="00B47A67">
      <w:pPr>
        <w:rPr>
          <w:sz w:val="24"/>
          <w:szCs w:val="24"/>
        </w:rPr>
      </w:pPr>
      <w:r>
        <w:rPr>
          <w:sz w:val="24"/>
          <w:szCs w:val="24"/>
        </w:rPr>
        <w:br w:type="page"/>
      </w:r>
    </w:p>
    <w:p w14:paraId="4D48E185" w14:textId="77777777" w:rsidR="00B47A67" w:rsidRDefault="00B47A67" w:rsidP="00B47A67">
      <w:pPr>
        <w:pStyle w:val="Ttulo1"/>
        <w:spacing w:before="0" w:line="240" w:lineRule="auto"/>
        <w:contextualSpacing/>
      </w:pPr>
      <w:bookmarkStart w:id="3" w:name="_Toc144396518"/>
      <w:r>
        <w:lastRenderedPageBreak/>
        <w:t>Capítulo 1: Antecedentes</w:t>
      </w:r>
      <w:r w:rsidR="002D6CEB">
        <w:t xml:space="preserve"> generales </w:t>
      </w:r>
      <w:r w:rsidR="00BB66CE">
        <w:t>y experiencias similares en otros países</w:t>
      </w:r>
      <w:bookmarkEnd w:id="3"/>
    </w:p>
    <w:p w14:paraId="00008310" w14:textId="77777777" w:rsidR="00B47A67" w:rsidRDefault="00B47A67" w:rsidP="00B47A67"/>
    <w:p w14:paraId="2EB0A4D3" w14:textId="77777777" w:rsidR="00B47A67" w:rsidRPr="00E162FB" w:rsidRDefault="008A7ABD" w:rsidP="00B47A67">
      <w:pPr>
        <w:jc w:val="both"/>
      </w:pPr>
      <w:r>
        <w:t>Esta sección</w:t>
      </w:r>
      <w:r w:rsidR="00B47A67">
        <w:t xml:space="preserve"> </w:t>
      </w:r>
      <w:r w:rsidR="00B47A67" w:rsidRPr="00E162FB">
        <w:t xml:space="preserve">cubre los conceptos clave </w:t>
      </w:r>
      <w:r w:rsidRPr="00E162FB">
        <w:t>necesarios para lograr una</w:t>
      </w:r>
      <w:r w:rsidR="00B47A67" w:rsidRPr="00E162FB">
        <w:t xml:space="preserve"> mejor comprensión de la propuesta de reforma</w:t>
      </w:r>
      <w:r w:rsidR="00481C35" w:rsidRPr="00E162FB">
        <w:t>, así como referencias a algunos países que han implementado</w:t>
      </w:r>
      <w:r w:rsidR="005253EA" w:rsidRPr="00E162FB">
        <w:t xml:space="preserve"> fondos similares al propuesto</w:t>
      </w:r>
      <w:r w:rsidR="00B47A67" w:rsidRPr="00E162FB">
        <w:t>.</w:t>
      </w:r>
    </w:p>
    <w:p w14:paraId="49B00C58" w14:textId="77777777" w:rsidR="00FD4464" w:rsidRPr="001A1044" w:rsidRDefault="00FD4464" w:rsidP="00B47A67">
      <w:pPr>
        <w:jc w:val="both"/>
      </w:pPr>
    </w:p>
    <w:p w14:paraId="01D65D7F" w14:textId="77777777" w:rsidR="00B47A67" w:rsidRDefault="00FD4464" w:rsidP="0070233D">
      <w:pPr>
        <w:pStyle w:val="Ttulo2"/>
        <w:numPr>
          <w:ilvl w:val="1"/>
          <w:numId w:val="3"/>
        </w:numPr>
        <w:ind w:left="426" w:hanging="360"/>
      </w:pPr>
      <w:bookmarkStart w:id="4" w:name="_Ref139377535"/>
      <w:bookmarkStart w:id="5" w:name="_Toc144396519"/>
      <w:bookmarkStart w:id="6" w:name="_Toc132962527"/>
      <w:r>
        <w:t>¿</w:t>
      </w:r>
      <w:r w:rsidR="00B47A67">
        <w:t xml:space="preserve">Qué son </w:t>
      </w:r>
      <w:proofErr w:type="spellStart"/>
      <w:r w:rsidR="00B47A67">
        <w:t>multifondos</w:t>
      </w:r>
      <w:proofErr w:type="spellEnd"/>
      <w:r>
        <w:t>?</w:t>
      </w:r>
      <w:bookmarkEnd w:id="4"/>
      <w:bookmarkEnd w:id="5"/>
    </w:p>
    <w:p w14:paraId="17CD763B" w14:textId="77777777" w:rsidR="00B47A67" w:rsidRDefault="00B47A67" w:rsidP="00B47A67"/>
    <w:p w14:paraId="403D658A" w14:textId="77777777" w:rsidR="00B47A67" w:rsidRDefault="0008423C" w:rsidP="00B47A67">
      <w:pPr>
        <w:jc w:val="both"/>
      </w:pPr>
      <w:r w:rsidRPr="00E162FB">
        <w:t>En Perú, por ejemplo, este modelo se implementó y</w:t>
      </w:r>
      <w:r w:rsidR="008A38B8" w:rsidRPr="00E162FB">
        <w:t xml:space="preserve"> es definido por</w:t>
      </w:r>
      <w:r w:rsidR="00B47A67" w:rsidRPr="00E162FB">
        <w:t xml:space="preserve"> la Superintendencia de Pensiones de Perú </w:t>
      </w:r>
      <w:r w:rsidR="008A38B8" w:rsidRPr="00E162FB">
        <w:t>como</w:t>
      </w:r>
      <w:r w:rsidR="00B47A67" w:rsidRPr="00E162FB">
        <w:t xml:space="preserve"> “un esquema que ofrece el Sistema Privado de Pensiones (SPP) a sus afiliados, a través del cual éstos pueden escoger uno de los tipos de administración de fondos de pensiones que ofrece una </w:t>
      </w:r>
      <w:r w:rsidR="00B47A67" w:rsidRPr="00F41C49">
        <w:t>misma Administradora Privada de Fondos de Pensiones (AFP). De esta manera, un afiliado podrá canalizar los recursos de su cuenta individual al fondo que cumpla con su</w:t>
      </w:r>
      <w:r w:rsidR="00B47A67">
        <w:t>s</w:t>
      </w:r>
      <w:r w:rsidR="00B47A67" w:rsidRPr="00F41C49">
        <w:t xml:space="preserve"> </w:t>
      </w:r>
      <w:r w:rsidR="00B47A67">
        <w:t>requisitos</w:t>
      </w:r>
      <w:r w:rsidR="00B47A67" w:rsidRPr="00F41C49">
        <w:t xml:space="preserve"> y expectativas de rentabilidad y de preferencia por el riesgo</w:t>
      </w:r>
      <w:r w:rsidR="00B47A67">
        <w:t xml:space="preserve">” </w:t>
      </w:r>
      <w:sdt>
        <w:sdtPr>
          <w:id w:val="1439867800"/>
          <w:citation/>
        </w:sdtPr>
        <w:sdtEndPr/>
        <w:sdtContent>
          <w:r w:rsidR="00B47A67">
            <w:fldChar w:fldCharType="begin"/>
          </w:r>
          <w:r w:rsidR="00B47A67">
            <w:rPr>
              <w:lang w:val="es-CR"/>
            </w:rPr>
            <w:instrText xml:space="preserve"> CITATION Per \l 5130 </w:instrText>
          </w:r>
          <w:r w:rsidR="00B47A67">
            <w:fldChar w:fldCharType="separate"/>
          </w:r>
          <w:r w:rsidR="0091728B" w:rsidRPr="0091728B">
            <w:rPr>
              <w:noProof/>
              <w:lang w:val="es-CR"/>
            </w:rPr>
            <w:t>(Perú, s.f.)</w:t>
          </w:r>
          <w:r w:rsidR="00B47A67">
            <w:fldChar w:fldCharType="end"/>
          </w:r>
        </w:sdtContent>
      </w:sdt>
      <w:r w:rsidR="00B47A67">
        <w:t>.</w:t>
      </w:r>
    </w:p>
    <w:p w14:paraId="0E6D4124" w14:textId="77777777" w:rsidR="00B47A67" w:rsidRPr="00F41C49" w:rsidRDefault="00B47A67" w:rsidP="00B47A67">
      <w:pPr>
        <w:jc w:val="both"/>
      </w:pPr>
    </w:p>
    <w:p w14:paraId="1068CC09" w14:textId="77777777" w:rsidR="00B47A67" w:rsidRDefault="0095176F" w:rsidP="0070233D">
      <w:pPr>
        <w:pStyle w:val="Ttulo2"/>
        <w:numPr>
          <w:ilvl w:val="1"/>
          <w:numId w:val="3"/>
        </w:numPr>
        <w:ind w:left="426" w:hanging="360"/>
      </w:pPr>
      <w:bookmarkStart w:id="7" w:name="_Toc144396520"/>
      <w:r>
        <w:t>¿</w:t>
      </w:r>
      <w:r w:rsidR="00B47A67">
        <w:t>Qué son fondos de fecha objetivo (TDF)</w:t>
      </w:r>
      <w:r>
        <w:t>?</w:t>
      </w:r>
      <w:bookmarkEnd w:id="7"/>
    </w:p>
    <w:p w14:paraId="1F683376" w14:textId="77777777" w:rsidR="00B47A67" w:rsidRDefault="00B47A67" w:rsidP="00B47A67">
      <w:pPr>
        <w:jc w:val="both"/>
      </w:pPr>
    </w:p>
    <w:p w14:paraId="7B8B0690" w14:textId="77777777" w:rsidR="003D2890" w:rsidRDefault="00B47A67" w:rsidP="00B47A67">
      <w:pPr>
        <w:jc w:val="both"/>
      </w:pPr>
      <w:r>
        <w:t>Los TDF son fondos que</w:t>
      </w:r>
    </w:p>
    <w:p w14:paraId="1F87B435" w14:textId="77777777" w:rsidR="00B47A67" w:rsidRPr="003D2890" w:rsidRDefault="00B47A67" w:rsidP="003D2890">
      <w:pPr>
        <w:ind w:left="708"/>
        <w:jc w:val="both"/>
        <w:rPr>
          <w:i/>
        </w:rPr>
      </w:pPr>
      <w:r w:rsidRPr="003D2890">
        <w:rPr>
          <w:i/>
        </w:rPr>
        <w:t>están estructurados para maximizar la rentabilidad del inversor en una fecha determinada. Por lo general, los fondos están diseñados para generar ganancias en los primeros años, centrándose en valores de crecimiento más arriesgados, y luego tratan de mantener esas ganancias ponderando hacia opciones más seguras y conservadoras a medida que se acerca la fecha objetivo.</w:t>
      </w:r>
    </w:p>
    <w:p w14:paraId="34190C54" w14:textId="77777777" w:rsidR="00B47A67" w:rsidRDefault="00B47A67" w:rsidP="003D2890">
      <w:pPr>
        <w:ind w:left="708"/>
        <w:jc w:val="both"/>
      </w:pPr>
      <w:r w:rsidRPr="003D2890">
        <w:rPr>
          <w:i/>
        </w:rPr>
        <w:t>(…) es una clase de fondos de inversión que reequilibra periódicamente las ponderaciones de las clases de activos para optimizar el riesgo y la rentabilidad en un plazo predeterminado, (…) suelen estar diseñados para cambiar gradualmente a un perfil más conservador con el fin de minimizar el riesgo cuando se acerque la fecha objetivo</w:t>
      </w:r>
      <w:r w:rsidR="005E6D85" w:rsidRPr="003D2890">
        <w:rPr>
          <w:i/>
          <w:iCs/>
        </w:rPr>
        <w:t>.</w:t>
      </w:r>
      <w:r w:rsidRPr="003D2890">
        <w:rPr>
          <w:i/>
        </w:rPr>
        <w:t xml:space="preserve">  </w:t>
      </w:r>
      <w:sdt>
        <w:sdtPr>
          <w:rPr>
            <w:i/>
          </w:rPr>
          <w:id w:val="-2083209295"/>
          <w:citation/>
        </w:sdtPr>
        <w:sdtEndPr/>
        <w:sdtContent>
          <w:r w:rsidRPr="003D2890">
            <w:rPr>
              <w:i/>
            </w:rPr>
            <w:fldChar w:fldCharType="begin"/>
          </w:r>
          <w:r w:rsidRPr="003D2890">
            <w:rPr>
              <w:i/>
              <w:lang w:val="es-CR"/>
            </w:rPr>
            <w:instrText xml:space="preserve"> CITATION Inv \l 5130 </w:instrText>
          </w:r>
          <w:r w:rsidRPr="003D2890">
            <w:rPr>
              <w:i/>
            </w:rPr>
            <w:fldChar w:fldCharType="separate"/>
          </w:r>
          <w:r w:rsidR="0091728B" w:rsidRPr="0091728B">
            <w:rPr>
              <w:noProof/>
              <w:lang w:val="es-CR"/>
            </w:rPr>
            <w:t>(Investopedia, s.f.)</w:t>
          </w:r>
          <w:r w:rsidRPr="003D2890">
            <w:rPr>
              <w:i/>
            </w:rPr>
            <w:fldChar w:fldCharType="end"/>
          </w:r>
        </w:sdtContent>
      </w:sdt>
      <w:r w:rsidRPr="003D2890">
        <w:rPr>
          <w:i/>
        </w:rPr>
        <w:t>.</w:t>
      </w:r>
    </w:p>
    <w:p w14:paraId="3FFAB966" w14:textId="77777777" w:rsidR="00B47A67" w:rsidRDefault="00B47A67" w:rsidP="00E162FB">
      <w:pPr>
        <w:jc w:val="both"/>
      </w:pPr>
      <w:r w:rsidRPr="00BC5F93">
        <w:t xml:space="preserve">Los países que cuentan con el modelo de TDF tienen una estrategia de inversión que ajusta el perfil de riesgo y porcentajes de inversión por tipos de activo, así, de manera general, conforme se acerca la fecha de jubilación del trabajador, </w:t>
      </w:r>
      <w:r w:rsidR="006C1B46">
        <w:t>el portafolio reduce la</w:t>
      </w:r>
      <w:r w:rsidRPr="00BC5F93">
        <w:t xml:space="preserve"> exposición a renta variable </w:t>
      </w:r>
      <w:r w:rsidR="00E162FB">
        <w:t xml:space="preserve">(en esta propuesta, títulos representativos de propiedad) </w:t>
      </w:r>
      <w:r w:rsidRPr="00BC5F93">
        <w:t>y aumenta la renta fija</w:t>
      </w:r>
      <w:r w:rsidR="00E162FB">
        <w:t xml:space="preserve"> (de igual forma, deuda, en esta propuesta)</w:t>
      </w:r>
      <w:r w:rsidRPr="00BC5F93">
        <w:t>.</w:t>
      </w:r>
    </w:p>
    <w:p w14:paraId="10A75174" w14:textId="77777777" w:rsidR="00B47A67" w:rsidRDefault="00B47A67" w:rsidP="00B47A67">
      <w:pPr>
        <w:jc w:val="both"/>
      </w:pPr>
    </w:p>
    <w:p w14:paraId="7DEC88FB" w14:textId="77777777" w:rsidR="00B47A67" w:rsidRDefault="006C1B46" w:rsidP="0070233D">
      <w:pPr>
        <w:pStyle w:val="Ttulo2"/>
        <w:numPr>
          <w:ilvl w:val="1"/>
          <w:numId w:val="3"/>
        </w:numPr>
        <w:ind w:left="426" w:hanging="360"/>
      </w:pPr>
      <w:bookmarkStart w:id="8" w:name="_Toc144396521"/>
      <w:r>
        <w:t>¿</w:t>
      </w:r>
      <w:r w:rsidR="00B47A67">
        <w:t xml:space="preserve">Cuál es la diferencia entre </w:t>
      </w:r>
      <w:proofErr w:type="spellStart"/>
      <w:r w:rsidR="00B47A67">
        <w:t>multifondos</w:t>
      </w:r>
      <w:proofErr w:type="spellEnd"/>
      <w:r w:rsidR="00B47A67">
        <w:t xml:space="preserve"> y TDF</w:t>
      </w:r>
      <w:r>
        <w:t>?</w:t>
      </w:r>
      <w:bookmarkEnd w:id="8"/>
    </w:p>
    <w:p w14:paraId="76500E13" w14:textId="77777777" w:rsidR="00B47A67" w:rsidRDefault="00B47A67" w:rsidP="00B47A67"/>
    <w:p w14:paraId="7838E9B5" w14:textId="77777777" w:rsidR="00B47A67" w:rsidRDefault="00204A82" w:rsidP="00603CE0">
      <w:pPr>
        <w:pStyle w:val="Descripcin"/>
        <w:jc w:val="both"/>
      </w:pPr>
      <w:r>
        <w:t xml:space="preserve">El </w:t>
      </w:r>
      <w:r>
        <w:fldChar w:fldCharType="begin"/>
      </w:r>
      <w:r>
        <w:instrText xml:space="preserve"> REF _Ref135759843 \h </w:instrText>
      </w:r>
      <w:r>
        <w:fldChar w:fldCharType="separate"/>
      </w:r>
      <w:r w:rsidR="00A637C2" w:rsidRPr="009F762B">
        <w:t xml:space="preserve">Gráfico </w:t>
      </w:r>
      <w:r w:rsidR="00A637C2">
        <w:rPr>
          <w:noProof/>
        </w:rPr>
        <w:t>1</w:t>
      </w:r>
      <w:r>
        <w:fldChar w:fldCharType="end"/>
      </w:r>
      <w:r>
        <w:t xml:space="preserve"> </w:t>
      </w:r>
      <w:r w:rsidR="00F2645E">
        <w:t>vi</w:t>
      </w:r>
      <w:r w:rsidR="006B032F">
        <w:t xml:space="preserve">sualiza </w:t>
      </w:r>
      <w:r w:rsidR="7374ACF3">
        <w:t xml:space="preserve">funcionalmente la diferencia entre </w:t>
      </w:r>
      <w:proofErr w:type="spellStart"/>
      <w:r w:rsidR="7374ACF3">
        <w:t>multifondos</w:t>
      </w:r>
      <w:proofErr w:type="spellEnd"/>
      <w:r w:rsidR="7374ACF3">
        <w:t xml:space="preserve"> y los fondos de fecha objetivo (TDF). El primer panel del gráfico representa a los </w:t>
      </w:r>
      <w:proofErr w:type="spellStart"/>
      <w:r w:rsidR="7374ACF3">
        <w:t>multifondos</w:t>
      </w:r>
      <w:proofErr w:type="spellEnd"/>
      <w:r w:rsidR="7374ACF3">
        <w:t xml:space="preserve">: fondos independientes que se diferencian en cuanto a la selección de activos que lo componen, donde el afiliado debe </w:t>
      </w:r>
      <w:r w:rsidR="7374ACF3" w:rsidRPr="00E162FB">
        <w:lastRenderedPageBreak/>
        <w:t xml:space="preserve">seleccionar en función de su perfil de riesgo, el que mejor se adapte a sus necesidades. Estos fondos tienen estrategias </w:t>
      </w:r>
      <w:r w:rsidR="008D21EC" w:rsidRPr="00E162FB">
        <w:t>establecidas</w:t>
      </w:r>
      <w:r w:rsidR="7374ACF3" w:rsidRPr="00E162FB">
        <w:t xml:space="preserve"> a lo largo del tiempo, es decir</w:t>
      </w:r>
      <w:r w:rsidR="0057468B" w:rsidRPr="00E162FB">
        <w:t>,</w:t>
      </w:r>
      <w:r w:rsidR="7374ACF3" w:rsidRPr="00E162FB">
        <w:t xml:space="preserve"> el fondo no </w:t>
      </w:r>
      <w:r w:rsidR="00973602" w:rsidRPr="00E162FB">
        <w:t>pretende que est</w:t>
      </w:r>
      <w:r w:rsidR="00FA1B93">
        <w:t>a</w:t>
      </w:r>
      <w:r w:rsidR="00973602" w:rsidRPr="00E162FB">
        <w:t>s se ajuste</w:t>
      </w:r>
      <w:r w:rsidR="00FA1B93">
        <w:t>n</w:t>
      </w:r>
      <w:r w:rsidR="00973602" w:rsidRPr="00E162FB">
        <w:t xml:space="preserve"> en función de la edad,</w:t>
      </w:r>
      <w:r w:rsidR="7374ACF3" w:rsidRPr="00E162FB">
        <w:t xml:space="preserve"> sino que</w:t>
      </w:r>
      <w:r w:rsidR="00E162FB" w:rsidRPr="00E162FB">
        <w:t>, de manera general,</w:t>
      </w:r>
      <w:r w:rsidR="7374ACF3" w:rsidRPr="00E162FB">
        <w:t xml:space="preserve"> of</w:t>
      </w:r>
      <w:r w:rsidR="00E162FB" w:rsidRPr="00E162FB">
        <w:t xml:space="preserve">recen </w:t>
      </w:r>
      <w:r w:rsidR="7374ACF3" w:rsidRPr="00E162FB">
        <w:t xml:space="preserve">a sus afiliados </w:t>
      </w:r>
      <w:r w:rsidR="00745AEE" w:rsidRPr="00E162FB">
        <w:t xml:space="preserve">(en cada fondo) </w:t>
      </w:r>
      <w:r w:rsidR="7374ACF3" w:rsidRPr="00E162FB">
        <w:t>una única estrategia.</w:t>
      </w:r>
    </w:p>
    <w:p w14:paraId="3A6AB9DE" w14:textId="77777777" w:rsidR="005E6D85" w:rsidRPr="0044495A" w:rsidRDefault="005E6D85" w:rsidP="005E6D85"/>
    <w:p w14:paraId="2B694FE4" w14:textId="77777777" w:rsidR="00B47A67" w:rsidRDefault="00B47A67" w:rsidP="00B47A67">
      <w:pPr>
        <w:jc w:val="both"/>
      </w:pPr>
      <w:r>
        <w:t xml:space="preserve">Por su parte, en el segundo panel del </w:t>
      </w:r>
      <w:r w:rsidR="0057468B">
        <w:fldChar w:fldCharType="begin"/>
      </w:r>
      <w:r w:rsidR="0057468B">
        <w:instrText xml:space="preserve"> REF _Ref135759843 \h </w:instrText>
      </w:r>
      <w:r w:rsidR="0057468B">
        <w:fldChar w:fldCharType="separate"/>
      </w:r>
      <w:r w:rsidR="00A637C2" w:rsidRPr="009F762B">
        <w:t xml:space="preserve">Gráfico </w:t>
      </w:r>
      <w:r w:rsidR="00A637C2">
        <w:rPr>
          <w:noProof/>
        </w:rPr>
        <w:t>1</w:t>
      </w:r>
      <w:r w:rsidR="0057468B">
        <w:fldChar w:fldCharType="end"/>
      </w:r>
      <w:r w:rsidR="0057468B">
        <w:t xml:space="preserve"> </w:t>
      </w:r>
      <w:r>
        <w:t>se muestra</w:t>
      </w:r>
      <w:r w:rsidR="001D69CF">
        <w:t>n</w:t>
      </w:r>
      <w:r>
        <w:t xml:space="preserve"> los TDF. En este tipo de fondos la estrategia cambia a lo largo del tiempo. A diferencia de los </w:t>
      </w:r>
      <w:proofErr w:type="spellStart"/>
      <w:r>
        <w:t>multifondos</w:t>
      </w:r>
      <w:proofErr w:type="spellEnd"/>
      <w:r w:rsidR="00356471">
        <w:t>,</w:t>
      </w:r>
      <w:r>
        <w:t xml:space="preserve"> este es un único fondo que ajusta la composición de los instrumentos año con año, hasta alcanzar una fecha focal. Los porcentajes de activos son optimizados para cada año, buscando</w:t>
      </w:r>
      <w:r w:rsidR="00D35AC7">
        <w:t xml:space="preserve"> el mayor crecimiento posible del saldo acumulado a </w:t>
      </w:r>
      <w:r w:rsidR="00112086">
        <w:t xml:space="preserve">una </w:t>
      </w:r>
      <w:r>
        <w:t>fecha determinada.</w:t>
      </w:r>
    </w:p>
    <w:p w14:paraId="022ABA4B" w14:textId="77777777" w:rsidR="00B47A67" w:rsidRDefault="00B47A67" w:rsidP="00B47A67">
      <w:pPr>
        <w:jc w:val="both"/>
      </w:pPr>
    </w:p>
    <w:p w14:paraId="3C398844" w14:textId="77777777" w:rsidR="00B47A67" w:rsidRDefault="00B47A67" w:rsidP="00B47A67">
      <w:pPr>
        <w:pStyle w:val="Descripcin"/>
      </w:pPr>
      <w:bookmarkStart w:id="9" w:name="_Ref135759843"/>
      <w:bookmarkStart w:id="10" w:name="_Ref135759834"/>
      <w:r w:rsidRPr="009F762B">
        <w:t xml:space="preserve">Gráfico </w:t>
      </w:r>
      <w:r w:rsidR="0042356F">
        <w:fldChar w:fldCharType="begin"/>
      </w:r>
      <w:r w:rsidR="0042356F">
        <w:instrText xml:space="preserve"> SEQ Gráfico \* ARABIC </w:instrText>
      </w:r>
      <w:r w:rsidR="0042356F">
        <w:fldChar w:fldCharType="separate"/>
      </w:r>
      <w:r w:rsidR="00A637C2">
        <w:rPr>
          <w:noProof/>
        </w:rPr>
        <w:t>1</w:t>
      </w:r>
      <w:r w:rsidR="0042356F">
        <w:rPr>
          <w:noProof/>
        </w:rPr>
        <w:fldChar w:fldCharType="end"/>
      </w:r>
      <w:bookmarkEnd w:id="9"/>
      <w:r w:rsidRPr="009F762B">
        <w:t>:</w:t>
      </w:r>
      <w:r>
        <w:t xml:space="preserve"> </w:t>
      </w:r>
      <w:r w:rsidRPr="00CB07D4">
        <w:t xml:space="preserve">Diferencia entre </w:t>
      </w:r>
      <w:proofErr w:type="spellStart"/>
      <w:r>
        <w:t>m</w:t>
      </w:r>
      <w:r w:rsidRPr="00CB07D4">
        <w:t>ultifondos</w:t>
      </w:r>
      <w:proofErr w:type="spellEnd"/>
      <w:r w:rsidRPr="00CB07D4">
        <w:t xml:space="preserve"> </w:t>
      </w:r>
      <w:r>
        <w:t xml:space="preserve">y </w:t>
      </w:r>
      <w:bookmarkEnd w:id="10"/>
      <w:r>
        <w:t>Fondos de Fecha Objetivo</w:t>
      </w:r>
    </w:p>
    <w:p w14:paraId="062D7B51" w14:textId="77777777" w:rsidR="00B47A67" w:rsidRPr="00CB07D4" w:rsidRDefault="00B47A67" w:rsidP="00B47A67">
      <w:pPr>
        <w:spacing w:after="0" w:line="240" w:lineRule="auto"/>
        <w:contextualSpacing/>
      </w:pPr>
    </w:p>
    <w:tbl>
      <w:tblPr>
        <w:tblStyle w:val="Tablaconcuadrcula"/>
        <w:tblW w:w="1028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947"/>
        <w:gridCol w:w="5338"/>
      </w:tblGrid>
      <w:tr w:rsidR="005E6D85" w14:paraId="236FB479" w14:textId="77777777">
        <w:tc>
          <w:tcPr>
            <w:tcW w:w="4947" w:type="dxa"/>
          </w:tcPr>
          <w:p w14:paraId="19E0780B" w14:textId="77777777" w:rsidR="005E6D85" w:rsidRDefault="005E6D85">
            <w:pPr>
              <w:contextualSpacing/>
            </w:pPr>
            <w:r>
              <w:rPr>
                <w:noProof/>
              </w:rPr>
              <w:drawing>
                <wp:inline distT="0" distB="0" distL="0" distR="0" wp14:anchorId="03CA8974" wp14:editId="0C07E975">
                  <wp:extent cx="3052689" cy="1689376"/>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6500" cy="1702553"/>
                          </a:xfrm>
                          <a:prstGeom prst="rect">
                            <a:avLst/>
                          </a:prstGeom>
                          <a:noFill/>
                        </pic:spPr>
                      </pic:pic>
                    </a:graphicData>
                  </a:graphic>
                </wp:inline>
              </w:drawing>
            </w:r>
          </w:p>
        </w:tc>
        <w:tc>
          <w:tcPr>
            <w:tcW w:w="5338" w:type="dxa"/>
          </w:tcPr>
          <w:p w14:paraId="5369F884" w14:textId="77777777" w:rsidR="005E6D85" w:rsidRDefault="005E6D85">
            <w:pPr>
              <w:contextualSpacing/>
            </w:pPr>
            <w:r>
              <w:rPr>
                <w:noProof/>
              </w:rPr>
              <w:drawing>
                <wp:inline distT="0" distB="0" distL="0" distR="0" wp14:anchorId="2693D777" wp14:editId="10BDBF48">
                  <wp:extent cx="3088836" cy="1707117"/>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9093" cy="1712786"/>
                          </a:xfrm>
                          <a:prstGeom prst="rect">
                            <a:avLst/>
                          </a:prstGeom>
                          <a:noFill/>
                        </pic:spPr>
                      </pic:pic>
                    </a:graphicData>
                  </a:graphic>
                </wp:inline>
              </w:drawing>
            </w:r>
          </w:p>
        </w:tc>
      </w:tr>
    </w:tbl>
    <w:p w14:paraId="0F6B5B9A" w14:textId="77777777" w:rsidR="00B47A67" w:rsidRPr="00687C5C" w:rsidRDefault="00B47A67" w:rsidP="00B47A67">
      <w:pPr>
        <w:spacing w:after="0" w:line="240" w:lineRule="auto"/>
        <w:contextualSpacing/>
        <w:jc w:val="both"/>
        <w:rPr>
          <w:rFonts w:eastAsiaTheme="minorEastAsia"/>
          <w:sz w:val="18"/>
          <w:szCs w:val="18"/>
        </w:rPr>
      </w:pPr>
      <w:r w:rsidRPr="00687C5C">
        <w:rPr>
          <w:rFonts w:eastAsiaTheme="minorEastAsia"/>
          <w:sz w:val="18"/>
          <w:szCs w:val="18"/>
        </w:rPr>
        <w:t>Fuente: SUPEN</w:t>
      </w:r>
    </w:p>
    <w:p w14:paraId="24A5EE07" w14:textId="77777777" w:rsidR="00B47A67" w:rsidRDefault="00B47A67" w:rsidP="00B47A67"/>
    <w:p w14:paraId="0CA9362C" w14:textId="77777777" w:rsidR="00B47A67" w:rsidRDefault="00B47A67" w:rsidP="002E713B">
      <w:pPr>
        <w:pStyle w:val="Descripcin"/>
        <w:jc w:val="both"/>
      </w:pPr>
      <w:r>
        <w:t xml:space="preserve">En el </w:t>
      </w:r>
      <w:r>
        <w:fldChar w:fldCharType="begin"/>
      </w:r>
      <w:r>
        <w:instrText xml:space="preserve"> REF _Ref135830494 \h </w:instrText>
      </w:r>
      <w:r>
        <w:fldChar w:fldCharType="separate"/>
      </w:r>
      <w:r w:rsidR="00A637C2">
        <w:t xml:space="preserve">Cuadro </w:t>
      </w:r>
      <w:r w:rsidR="00A637C2">
        <w:rPr>
          <w:noProof/>
        </w:rPr>
        <w:t>1</w:t>
      </w:r>
      <w:r>
        <w:fldChar w:fldCharType="end"/>
      </w:r>
      <w:r>
        <w:t xml:space="preserve"> se presenta un resumen de las diferencias entre ambos esquemas de gestión de las pensione</w:t>
      </w:r>
      <w:r w:rsidR="002D5D2E">
        <w:t xml:space="preserve">s. </w:t>
      </w:r>
    </w:p>
    <w:p w14:paraId="528FEF3B" w14:textId="77777777" w:rsidR="00B47A67" w:rsidRPr="001B7871" w:rsidRDefault="00B47A67" w:rsidP="00B47A67"/>
    <w:p w14:paraId="76D97B94" w14:textId="77777777" w:rsidR="00B47A67" w:rsidRDefault="00B47A67" w:rsidP="00B47A67">
      <w:pPr>
        <w:pStyle w:val="Descripcin"/>
      </w:pPr>
      <w:bookmarkStart w:id="11" w:name="_Ref135830494"/>
      <w:r>
        <w:t xml:space="preserve">Cuadro </w:t>
      </w:r>
      <w:r w:rsidR="0042356F">
        <w:fldChar w:fldCharType="begin"/>
      </w:r>
      <w:r w:rsidR="0042356F">
        <w:instrText xml:space="preserve"> SEQ Cuadro \* ARABIC </w:instrText>
      </w:r>
      <w:r w:rsidR="0042356F">
        <w:fldChar w:fldCharType="separate"/>
      </w:r>
      <w:r w:rsidR="00A637C2">
        <w:rPr>
          <w:noProof/>
        </w:rPr>
        <w:t>1</w:t>
      </w:r>
      <w:r w:rsidR="0042356F">
        <w:rPr>
          <w:noProof/>
        </w:rPr>
        <w:fldChar w:fldCharType="end"/>
      </w:r>
      <w:bookmarkEnd w:id="11"/>
      <w:r>
        <w:t xml:space="preserve">: Diferencias entre </w:t>
      </w:r>
      <w:proofErr w:type="spellStart"/>
      <w:r>
        <w:t>multifondos</w:t>
      </w:r>
      <w:proofErr w:type="spellEnd"/>
      <w:r>
        <w:t xml:space="preserve"> y fondos de fecha objetivo</w:t>
      </w:r>
    </w:p>
    <w:tbl>
      <w:tblPr>
        <w:tblStyle w:val="Tablaconcuadrcula4-nfasis1"/>
        <w:tblW w:w="10065" w:type="dxa"/>
        <w:tblInd w:w="-856" w:type="dxa"/>
        <w:tblLook w:val="0420" w:firstRow="1" w:lastRow="0" w:firstColumn="0" w:lastColumn="0" w:noHBand="0" w:noVBand="1"/>
      </w:tblPr>
      <w:tblGrid>
        <w:gridCol w:w="1985"/>
        <w:gridCol w:w="3578"/>
        <w:gridCol w:w="4502"/>
      </w:tblGrid>
      <w:tr w:rsidR="00454881" w:rsidRPr="00B31DBC" w14:paraId="438CB2D3" w14:textId="77777777" w:rsidTr="00454881">
        <w:trPr>
          <w:cnfStyle w:val="100000000000" w:firstRow="1" w:lastRow="0" w:firstColumn="0" w:lastColumn="0" w:oddVBand="0" w:evenVBand="0" w:oddHBand="0" w:evenHBand="0" w:firstRowFirstColumn="0" w:firstRowLastColumn="0" w:lastRowFirstColumn="0" w:lastRowLastColumn="0"/>
          <w:trHeight w:val="203"/>
        </w:trPr>
        <w:tc>
          <w:tcPr>
            <w:tcW w:w="1985" w:type="dxa"/>
          </w:tcPr>
          <w:p w14:paraId="1066D21B" w14:textId="77777777" w:rsidR="00454881" w:rsidRDefault="00454881">
            <w:pPr>
              <w:jc w:val="center"/>
              <w:rPr>
                <w:rFonts w:eastAsiaTheme="minorEastAsia"/>
              </w:rPr>
            </w:pPr>
          </w:p>
        </w:tc>
        <w:tc>
          <w:tcPr>
            <w:tcW w:w="3578" w:type="dxa"/>
            <w:hideMark/>
          </w:tcPr>
          <w:p w14:paraId="53971AAB" w14:textId="77777777" w:rsidR="00454881" w:rsidRPr="001B7871" w:rsidRDefault="00454881">
            <w:pPr>
              <w:jc w:val="center"/>
              <w:rPr>
                <w:rFonts w:eastAsiaTheme="minorEastAsia"/>
              </w:rPr>
            </w:pPr>
            <w:proofErr w:type="spellStart"/>
            <w:r>
              <w:rPr>
                <w:rFonts w:eastAsiaTheme="minorEastAsia"/>
              </w:rPr>
              <w:t>M</w:t>
            </w:r>
            <w:r w:rsidRPr="001B7871">
              <w:rPr>
                <w:rFonts w:eastAsiaTheme="minorEastAsia"/>
              </w:rPr>
              <w:t>ultifondos</w:t>
            </w:r>
            <w:proofErr w:type="spellEnd"/>
          </w:p>
        </w:tc>
        <w:tc>
          <w:tcPr>
            <w:tcW w:w="4502" w:type="dxa"/>
            <w:hideMark/>
          </w:tcPr>
          <w:p w14:paraId="66E6E930" w14:textId="77777777" w:rsidR="00454881" w:rsidRPr="001B7871" w:rsidRDefault="00454881">
            <w:pPr>
              <w:jc w:val="center"/>
              <w:rPr>
                <w:rFonts w:eastAsiaTheme="minorEastAsia"/>
              </w:rPr>
            </w:pPr>
            <w:r>
              <w:rPr>
                <w:rFonts w:eastAsiaTheme="minorEastAsia"/>
              </w:rPr>
              <w:t xml:space="preserve">Fondos de </w:t>
            </w:r>
            <w:r w:rsidR="008218EF">
              <w:rPr>
                <w:rFonts w:eastAsiaTheme="minorEastAsia"/>
              </w:rPr>
              <w:t>f</w:t>
            </w:r>
            <w:r>
              <w:rPr>
                <w:rFonts w:eastAsiaTheme="minorEastAsia"/>
              </w:rPr>
              <w:t xml:space="preserve">echa </w:t>
            </w:r>
            <w:r w:rsidR="008218EF">
              <w:rPr>
                <w:rFonts w:eastAsiaTheme="minorEastAsia"/>
              </w:rPr>
              <w:t>o</w:t>
            </w:r>
            <w:r>
              <w:rPr>
                <w:rFonts w:eastAsiaTheme="minorEastAsia"/>
              </w:rPr>
              <w:t>bjetivo</w:t>
            </w:r>
          </w:p>
        </w:tc>
      </w:tr>
      <w:tr w:rsidR="00454881" w:rsidRPr="00B31DBC" w14:paraId="16D96436" w14:textId="77777777" w:rsidTr="00454881">
        <w:trPr>
          <w:cnfStyle w:val="000000100000" w:firstRow="0" w:lastRow="0" w:firstColumn="0" w:lastColumn="0" w:oddVBand="0" w:evenVBand="0" w:oddHBand="1" w:evenHBand="0" w:firstRowFirstColumn="0" w:firstRowLastColumn="0" w:lastRowFirstColumn="0" w:lastRowLastColumn="0"/>
          <w:trHeight w:val="203"/>
        </w:trPr>
        <w:tc>
          <w:tcPr>
            <w:tcW w:w="1985" w:type="dxa"/>
          </w:tcPr>
          <w:p w14:paraId="07B52112" w14:textId="77777777" w:rsidR="00454881" w:rsidRPr="00E162FB" w:rsidRDefault="00454881" w:rsidP="007F7D34">
            <w:pPr>
              <w:jc w:val="both"/>
              <w:rPr>
                <w:rFonts w:eastAsiaTheme="minorEastAsia"/>
              </w:rPr>
            </w:pPr>
            <w:r w:rsidRPr="00E162FB">
              <w:rPr>
                <w:rFonts w:eastAsiaTheme="minorEastAsia"/>
              </w:rPr>
              <w:t>Objetivo</w:t>
            </w:r>
          </w:p>
        </w:tc>
        <w:tc>
          <w:tcPr>
            <w:tcW w:w="3578" w:type="dxa"/>
          </w:tcPr>
          <w:p w14:paraId="4AC26FE7" w14:textId="77777777" w:rsidR="00454881" w:rsidRPr="00E162FB" w:rsidRDefault="007E7143" w:rsidP="007F7D34">
            <w:pPr>
              <w:jc w:val="both"/>
              <w:rPr>
                <w:rFonts w:eastAsiaTheme="minorEastAsia"/>
              </w:rPr>
            </w:pPr>
            <w:r w:rsidRPr="00E162FB">
              <w:rPr>
                <w:rFonts w:eastAsiaTheme="minorEastAsia"/>
              </w:rPr>
              <w:t>Ofrecer estrategias de inversión en función de perfiles de riesgo</w:t>
            </w:r>
            <w:r w:rsidR="005057B4" w:rsidRPr="00E162FB">
              <w:rPr>
                <w:rFonts w:eastAsiaTheme="minorEastAsia"/>
              </w:rPr>
              <w:t xml:space="preserve"> del afiliado.</w:t>
            </w:r>
          </w:p>
        </w:tc>
        <w:tc>
          <w:tcPr>
            <w:tcW w:w="4502" w:type="dxa"/>
          </w:tcPr>
          <w:p w14:paraId="204BCBE2" w14:textId="77777777" w:rsidR="00454881" w:rsidRPr="00E162FB" w:rsidRDefault="003F5DA5" w:rsidP="007F7D34">
            <w:pPr>
              <w:jc w:val="both"/>
              <w:rPr>
                <w:rFonts w:eastAsiaTheme="minorEastAsia"/>
              </w:rPr>
            </w:pPr>
            <w:r w:rsidRPr="00E162FB">
              <w:rPr>
                <w:rFonts w:eastAsiaTheme="minorEastAsia"/>
              </w:rPr>
              <w:t xml:space="preserve">Maximizar la pensión esperada de los afiliados en función de </w:t>
            </w:r>
            <w:r w:rsidR="00D9151A" w:rsidRPr="00E162FB">
              <w:rPr>
                <w:rFonts w:eastAsiaTheme="minorEastAsia"/>
              </w:rPr>
              <w:t>estrategias de inversión que tomen en cuenta la edad de la persona.</w:t>
            </w:r>
          </w:p>
        </w:tc>
      </w:tr>
      <w:tr w:rsidR="00454881" w:rsidRPr="00B31DBC" w14:paraId="0CF8B783" w14:textId="77777777" w:rsidTr="00454881">
        <w:trPr>
          <w:trHeight w:val="203"/>
        </w:trPr>
        <w:tc>
          <w:tcPr>
            <w:tcW w:w="1985" w:type="dxa"/>
          </w:tcPr>
          <w:p w14:paraId="2CE62D8E" w14:textId="77777777" w:rsidR="00454881" w:rsidRPr="00E162FB" w:rsidRDefault="00454881" w:rsidP="007F7D34">
            <w:pPr>
              <w:jc w:val="both"/>
              <w:rPr>
                <w:rFonts w:eastAsiaTheme="minorEastAsia"/>
              </w:rPr>
            </w:pPr>
            <w:r w:rsidRPr="00E162FB">
              <w:rPr>
                <w:rFonts w:eastAsiaTheme="minorEastAsia"/>
              </w:rPr>
              <w:t>Estrategia de Inversión</w:t>
            </w:r>
          </w:p>
        </w:tc>
        <w:tc>
          <w:tcPr>
            <w:tcW w:w="3578" w:type="dxa"/>
            <w:hideMark/>
          </w:tcPr>
          <w:p w14:paraId="156E746F" w14:textId="77777777" w:rsidR="00454881" w:rsidRPr="00E162FB" w:rsidRDefault="00454881" w:rsidP="007F7D34">
            <w:pPr>
              <w:jc w:val="both"/>
              <w:rPr>
                <w:rFonts w:eastAsiaTheme="minorEastAsia"/>
              </w:rPr>
            </w:pPr>
            <w:r w:rsidRPr="00E162FB">
              <w:rPr>
                <w:rFonts w:eastAsiaTheme="minorEastAsia"/>
              </w:rPr>
              <w:t>Estrategia de inversión constante en el tiempo dentro de cada fondo.</w:t>
            </w:r>
          </w:p>
          <w:p w14:paraId="4975839E" w14:textId="77777777" w:rsidR="00454881" w:rsidRPr="00E162FB" w:rsidRDefault="00454881" w:rsidP="007F7D34">
            <w:pPr>
              <w:jc w:val="both"/>
              <w:rPr>
                <w:rFonts w:eastAsiaTheme="minorEastAsia"/>
              </w:rPr>
            </w:pPr>
          </w:p>
        </w:tc>
        <w:tc>
          <w:tcPr>
            <w:tcW w:w="4502" w:type="dxa"/>
            <w:hideMark/>
          </w:tcPr>
          <w:p w14:paraId="3C470E34" w14:textId="77777777" w:rsidR="00454881" w:rsidRPr="00E162FB" w:rsidRDefault="00454881" w:rsidP="007F7D34">
            <w:pPr>
              <w:jc w:val="both"/>
              <w:rPr>
                <w:rFonts w:eastAsiaTheme="minorEastAsia"/>
              </w:rPr>
            </w:pPr>
            <w:r w:rsidRPr="00E162FB">
              <w:rPr>
                <w:rFonts w:eastAsiaTheme="minorEastAsia"/>
              </w:rPr>
              <w:t>Estrategia de inversión que se transforma en el tiempo, en función del envejecimiento de los miembros</w:t>
            </w:r>
            <w:r w:rsidR="00115B2D" w:rsidRPr="00E162FB">
              <w:rPr>
                <w:rFonts w:eastAsiaTheme="minorEastAsia"/>
              </w:rPr>
              <w:t>.</w:t>
            </w:r>
          </w:p>
        </w:tc>
      </w:tr>
      <w:tr w:rsidR="00454881" w:rsidRPr="00B31DBC" w14:paraId="6A61D17F" w14:textId="77777777" w:rsidTr="00454881">
        <w:trPr>
          <w:cnfStyle w:val="000000100000" w:firstRow="0" w:lastRow="0" w:firstColumn="0" w:lastColumn="0" w:oddVBand="0" w:evenVBand="0" w:oddHBand="1" w:evenHBand="0" w:firstRowFirstColumn="0" w:firstRowLastColumn="0" w:lastRowFirstColumn="0" w:lastRowLastColumn="0"/>
          <w:trHeight w:val="203"/>
        </w:trPr>
        <w:tc>
          <w:tcPr>
            <w:tcW w:w="1985" w:type="dxa"/>
          </w:tcPr>
          <w:p w14:paraId="3CA4CF2B" w14:textId="77777777" w:rsidR="00454881" w:rsidRPr="00E162FB" w:rsidRDefault="000848BC">
            <w:pPr>
              <w:jc w:val="both"/>
              <w:rPr>
                <w:rFonts w:eastAsiaTheme="minorEastAsia"/>
              </w:rPr>
            </w:pPr>
            <w:r w:rsidRPr="00E162FB">
              <w:rPr>
                <w:rFonts w:eastAsiaTheme="minorEastAsia"/>
              </w:rPr>
              <w:t>Tasa de remplazo</w:t>
            </w:r>
          </w:p>
        </w:tc>
        <w:tc>
          <w:tcPr>
            <w:tcW w:w="3578" w:type="dxa"/>
            <w:hideMark/>
          </w:tcPr>
          <w:p w14:paraId="19AC6F67" w14:textId="77777777" w:rsidR="00454881" w:rsidRPr="00E162FB" w:rsidRDefault="00454881">
            <w:pPr>
              <w:jc w:val="both"/>
              <w:rPr>
                <w:rFonts w:eastAsiaTheme="minorEastAsia"/>
              </w:rPr>
            </w:pPr>
            <w:r w:rsidRPr="00E162FB">
              <w:rPr>
                <w:rFonts w:eastAsiaTheme="minorEastAsia"/>
              </w:rPr>
              <w:t>No se enfoca en la tasa de reemplazo.</w:t>
            </w:r>
          </w:p>
        </w:tc>
        <w:tc>
          <w:tcPr>
            <w:tcW w:w="4502" w:type="dxa"/>
            <w:hideMark/>
          </w:tcPr>
          <w:p w14:paraId="073A808A" w14:textId="77777777" w:rsidR="00454881" w:rsidRPr="00E162FB" w:rsidRDefault="00454881">
            <w:pPr>
              <w:jc w:val="both"/>
              <w:rPr>
                <w:rFonts w:eastAsiaTheme="minorEastAsia"/>
              </w:rPr>
            </w:pPr>
            <w:r w:rsidRPr="00E162FB">
              <w:rPr>
                <w:rFonts w:eastAsiaTheme="minorEastAsia"/>
              </w:rPr>
              <w:t>Tiene como objetivo maximizar la pensión esperada de la generación.</w:t>
            </w:r>
          </w:p>
        </w:tc>
      </w:tr>
      <w:tr w:rsidR="00454881" w:rsidRPr="00B31DBC" w14:paraId="6C6E62B9" w14:textId="77777777" w:rsidTr="00454881">
        <w:trPr>
          <w:trHeight w:val="203"/>
        </w:trPr>
        <w:tc>
          <w:tcPr>
            <w:tcW w:w="1985" w:type="dxa"/>
          </w:tcPr>
          <w:p w14:paraId="45AEEB26" w14:textId="77777777" w:rsidR="00454881" w:rsidRPr="00E162FB" w:rsidRDefault="006015FC">
            <w:pPr>
              <w:jc w:val="both"/>
              <w:rPr>
                <w:rFonts w:eastAsiaTheme="minorEastAsia"/>
              </w:rPr>
            </w:pPr>
            <w:r w:rsidRPr="00E162FB">
              <w:rPr>
                <w:rFonts w:eastAsiaTheme="minorEastAsia"/>
              </w:rPr>
              <w:t>Transiciones</w:t>
            </w:r>
          </w:p>
        </w:tc>
        <w:tc>
          <w:tcPr>
            <w:tcW w:w="3578" w:type="dxa"/>
            <w:hideMark/>
          </w:tcPr>
          <w:p w14:paraId="627FEDDD" w14:textId="77777777" w:rsidR="00454881" w:rsidRPr="00E162FB" w:rsidRDefault="00454881">
            <w:pPr>
              <w:jc w:val="both"/>
              <w:rPr>
                <w:rFonts w:eastAsiaTheme="minorEastAsia"/>
              </w:rPr>
            </w:pPr>
            <w:r w:rsidRPr="00E162FB">
              <w:rPr>
                <w:rFonts w:eastAsiaTheme="minorEastAsia"/>
              </w:rPr>
              <w:t>Pueden tener cambios abruptos en las estrategias de un fondo a otro.</w:t>
            </w:r>
          </w:p>
        </w:tc>
        <w:tc>
          <w:tcPr>
            <w:tcW w:w="4502" w:type="dxa"/>
            <w:hideMark/>
          </w:tcPr>
          <w:p w14:paraId="60D5280D" w14:textId="77777777" w:rsidR="00454881" w:rsidRPr="00E162FB" w:rsidRDefault="00454881">
            <w:pPr>
              <w:jc w:val="both"/>
              <w:rPr>
                <w:rFonts w:eastAsiaTheme="minorEastAsia"/>
              </w:rPr>
            </w:pPr>
            <w:r w:rsidRPr="00E162FB">
              <w:rPr>
                <w:rFonts w:eastAsiaTheme="minorEastAsia"/>
              </w:rPr>
              <w:t>Suaviza la transición de la estrategia de inversión.</w:t>
            </w:r>
          </w:p>
        </w:tc>
      </w:tr>
      <w:tr w:rsidR="00454881" w:rsidRPr="00B31DBC" w14:paraId="3772B2E4" w14:textId="77777777" w:rsidTr="00454881">
        <w:trPr>
          <w:cnfStyle w:val="000000100000" w:firstRow="0" w:lastRow="0" w:firstColumn="0" w:lastColumn="0" w:oddVBand="0" w:evenVBand="0" w:oddHBand="1" w:evenHBand="0" w:firstRowFirstColumn="0" w:firstRowLastColumn="0" w:lastRowFirstColumn="0" w:lastRowLastColumn="0"/>
          <w:trHeight w:val="203"/>
        </w:trPr>
        <w:tc>
          <w:tcPr>
            <w:tcW w:w="1985" w:type="dxa"/>
          </w:tcPr>
          <w:p w14:paraId="61CE318A" w14:textId="77777777" w:rsidR="00454881" w:rsidRPr="00E162FB" w:rsidRDefault="00F55E66">
            <w:pPr>
              <w:jc w:val="both"/>
              <w:rPr>
                <w:rFonts w:eastAsiaTheme="minorEastAsia"/>
              </w:rPr>
            </w:pPr>
            <w:r w:rsidRPr="00E162FB">
              <w:rPr>
                <w:rFonts w:eastAsiaTheme="minorEastAsia"/>
              </w:rPr>
              <w:t>Selección del fondo</w:t>
            </w:r>
          </w:p>
        </w:tc>
        <w:tc>
          <w:tcPr>
            <w:tcW w:w="3578" w:type="dxa"/>
            <w:hideMark/>
          </w:tcPr>
          <w:p w14:paraId="3E4F6F59" w14:textId="77777777" w:rsidR="00454881" w:rsidRPr="00E162FB" w:rsidRDefault="00454881">
            <w:pPr>
              <w:jc w:val="both"/>
              <w:rPr>
                <w:rFonts w:eastAsiaTheme="minorEastAsia"/>
              </w:rPr>
            </w:pPr>
            <w:r w:rsidRPr="00E162FB">
              <w:rPr>
                <w:rFonts w:eastAsiaTheme="minorEastAsia"/>
              </w:rPr>
              <w:t>El trabajador debe seleccionar el fondo que más le favorezca.</w:t>
            </w:r>
          </w:p>
        </w:tc>
        <w:tc>
          <w:tcPr>
            <w:tcW w:w="4502" w:type="dxa"/>
            <w:hideMark/>
          </w:tcPr>
          <w:p w14:paraId="086F789C" w14:textId="77777777" w:rsidR="00454881" w:rsidRPr="00E162FB" w:rsidRDefault="00454881">
            <w:pPr>
              <w:jc w:val="both"/>
              <w:rPr>
                <w:rFonts w:eastAsiaTheme="minorEastAsia"/>
              </w:rPr>
            </w:pPr>
            <w:r w:rsidRPr="00E162FB">
              <w:rPr>
                <w:rFonts w:eastAsiaTheme="minorEastAsia"/>
              </w:rPr>
              <w:t xml:space="preserve">El gestor confecciona estrategias que favorezcan al afiliado tomando en cuenta su </w:t>
            </w:r>
            <w:r w:rsidR="00094EC5" w:rsidRPr="00E162FB">
              <w:rPr>
                <w:rFonts w:eastAsiaTheme="minorEastAsia"/>
              </w:rPr>
              <w:t>expectativa</w:t>
            </w:r>
            <w:r w:rsidRPr="00E162FB">
              <w:rPr>
                <w:rFonts w:eastAsiaTheme="minorEastAsia"/>
              </w:rPr>
              <w:t xml:space="preserve"> de permanencia.</w:t>
            </w:r>
            <w:r w:rsidR="00F55E66" w:rsidRPr="00E162FB">
              <w:rPr>
                <w:rFonts w:eastAsiaTheme="minorEastAsia"/>
              </w:rPr>
              <w:t xml:space="preserve"> El afiliado es asignado al fondo, según edad.</w:t>
            </w:r>
          </w:p>
        </w:tc>
      </w:tr>
    </w:tbl>
    <w:p w14:paraId="4645B3D6" w14:textId="77777777" w:rsidR="005E6D85" w:rsidRDefault="005E6D85" w:rsidP="005E6D85">
      <w:r>
        <w:t>Fuente: SUPEN</w:t>
      </w:r>
    </w:p>
    <w:p w14:paraId="7B10FEDE" w14:textId="77777777" w:rsidR="00577AEB" w:rsidRDefault="00577AEB">
      <w:r>
        <w:br w:type="page"/>
      </w:r>
    </w:p>
    <w:p w14:paraId="560E7A97" w14:textId="77777777" w:rsidR="00B47A67" w:rsidRDefault="00B47A67" w:rsidP="00B47A67"/>
    <w:p w14:paraId="0481DB16" w14:textId="77777777" w:rsidR="00B47A67" w:rsidRDefault="001D4130" w:rsidP="0070233D">
      <w:pPr>
        <w:pStyle w:val="Ttulo2"/>
        <w:numPr>
          <w:ilvl w:val="1"/>
          <w:numId w:val="3"/>
        </w:numPr>
        <w:ind w:left="426" w:hanging="360"/>
      </w:pPr>
      <w:bookmarkStart w:id="12" w:name="_Toc144396522"/>
      <w:r>
        <w:t>¿Cuál ha sido la e</w:t>
      </w:r>
      <w:r w:rsidR="00B47A67">
        <w:t>xperiencia internacional</w:t>
      </w:r>
      <w:r>
        <w:t>?</w:t>
      </w:r>
      <w:bookmarkEnd w:id="12"/>
    </w:p>
    <w:p w14:paraId="04BE8182" w14:textId="77777777" w:rsidR="00B47A67" w:rsidRDefault="00B47A67" w:rsidP="00B47A67"/>
    <w:p w14:paraId="1B7B19A4" w14:textId="77777777" w:rsidR="00B47A67" w:rsidRPr="00E162FB" w:rsidRDefault="00982662" w:rsidP="00B47A67">
      <w:pPr>
        <w:tabs>
          <w:tab w:val="left" w:pos="921"/>
        </w:tabs>
        <w:spacing w:after="0" w:line="240" w:lineRule="auto"/>
        <w:contextualSpacing/>
        <w:jc w:val="both"/>
        <w:rPr>
          <w:rFonts w:eastAsiaTheme="minorEastAsia"/>
        </w:rPr>
      </w:pPr>
      <w:r w:rsidRPr="00E162FB">
        <w:rPr>
          <w:rFonts w:eastAsiaTheme="minorEastAsia"/>
        </w:rPr>
        <w:t>S</w:t>
      </w:r>
      <w:r w:rsidR="00CD6B19" w:rsidRPr="00E162FB">
        <w:rPr>
          <w:rFonts w:eastAsiaTheme="minorEastAsia"/>
        </w:rPr>
        <w:t>e</w:t>
      </w:r>
      <w:r w:rsidRPr="00E162FB">
        <w:rPr>
          <w:rFonts w:eastAsiaTheme="minorEastAsia"/>
        </w:rPr>
        <w:t xml:space="preserve"> tom</w:t>
      </w:r>
      <w:r w:rsidR="00714F90">
        <w:rPr>
          <w:rFonts w:eastAsiaTheme="minorEastAsia"/>
        </w:rPr>
        <w:t>ó</w:t>
      </w:r>
      <w:r w:rsidRPr="00E162FB">
        <w:rPr>
          <w:rFonts w:eastAsiaTheme="minorEastAsia"/>
        </w:rPr>
        <w:t xml:space="preserve"> como ejemplo a Chile, México, Perú, Colombia, Estados Unidos y el Reino Unido</w:t>
      </w:r>
      <w:r w:rsidR="00952AC5" w:rsidRPr="00E162FB">
        <w:rPr>
          <w:rFonts w:eastAsiaTheme="minorEastAsia"/>
        </w:rPr>
        <w:t>,</w:t>
      </w:r>
      <w:r w:rsidR="00B47A67" w:rsidRPr="00E162FB">
        <w:rPr>
          <w:rFonts w:eastAsiaTheme="minorEastAsia"/>
        </w:rPr>
        <w:t xml:space="preserve"> </w:t>
      </w:r>
      <w:r w:rsidR="00515211" w:rsidRPr="00E162FB">
        <w:rPr>
          <w:rFonts w:eastAsiaTheme="minorEastAsia"/>
        </w:rPr>
        <w:t>países que</w:t>
      </w:r>
      <w:r w:rsidR="007F34C9" w:rsidRPr="00E162FB">
        <w:rPr>
          <w:rFonts w:eastAsiaTheme="minorEastAsia"/>
        </w:rPr>
        <w:t>,</w:t>
      </w:r>
      <w:r w:rsidR="00515211" w:rsidRPr="00E162FB">
        <w:rPr>
          <w:rFonts w:eastAsiaTheme="minorEastAsia"/>
        </w:rPr>
        <w:t xml:space="preserve"> </w:t>
      </w:r>
      <w:r w:rsidR="00B47A67" w:rsidRPr="00E162FB">
        <w:rPr>
          <w:rFonts w:eastAsiaTheme="minorEastAsia"/>
        </w:rPr>
        <w:t xml:space="preserve">desde ya hace algunos años, </w:t>
      </w:r>
      <w:r w:rsidR="00CD4DF0" w:rsidRPr="00E162FB">
        <w:rPr>
          <w:rFonts w:eastAsiaTheme="minorEastAsia"/>
        </w:rPr>
        <w:t>ofrecen</w:t>
      </w:r>
      <w:r w:rsidR="00B47A67" w:rsidRPr="00E162FB">
        <w:rPr>
          <w:rFonts w:eastAsiaTheme="minorEastAsia"/>
        </w:rPr>
        <w:t xml:space="preserve"> a sus afiliados distintas alternativas de inversión</w:t>
      </w:r>
      <w:r w:rsidR="009916F5" w:rsidRPr="00E162FB">
        <w:rPr>
          <w:rFonts w:eastAsiaTheme="minorEastAsia"/>
        </w:rPr>
        <w:t xml:space="preserve"> (fondos separados)</w:t>
      </w:r>
      <w:r w:rsidR="00B47A67" w:rsidRPr="00E162FB">
        <w:rPr>
          <w:rFonts w:eastAsiaTheme="minorEastAsia"/>
        </w:rPr>
        <w:t xml:space="preserve"> para sus fondos de pensiones</w:t>
      </w:r>
      <w:r w:rsidR="00723DB0" w:rsidRPr="00E162FB">
        <w:rPr>
          <w:rFonts w:eastAsiaTheme="minorEastAsia"/>
        </w:rPr>
        <w:t xml:space="preserve"> obligatorios</w:t>
      </w:r>
      <w:r w:rsidR="00B47A67" w:rsidRPr="00E162FB">
        <w:rPr>
          <w:rFonts w:eastAsiaTheme="minorEastAsia"/>
        </w:rPr>
        <w:t>. A continuación, se presenta un resumen de sus experiencias:</w:t>
      </w:r>
    </w:p>
    <w:p w14:paraId="5C937202" w14:textId="77777777" w:rsidR="005E6D85" w:rsidRDefault="005E6D85" w:rsidP="005E6D85">
      <w:pPr>
        <w:rPr>
          <w:rFonts w:eastAsiaTheme="minorEastAsia"/>
        </w:rPr>
      </w:pPr>
    </w:p>
    <w:p w14:paraId="1F8990DE" w14:textId="77777777" w:rsidR="00B47A67" w:rsidRDefault="00B47A67" w:rsidP="0070233D">
      <w:pPr>
        <w:pStyle w:val="Ttulo3"/>
        <w:numPr>
          <w:ilvl w:val="2"/>
          <w:numId w:val="3"/>
        </w:numPr>
        <w:ind w:left="284" w:hanging="180"/>
      </w:pPr>
      <w:bookmarkStart w:id="13" w:name="_Toc144396523"/>
      <w:r>
        <w:t>Chile</w:t>
      </w:r>
      <w:bookmarkEnd w:id="13"/>
    </w:p>
    <w:p w14:paraId="7B875BD4" w14:textId="77777777" w:rsidR="00B47A67" w:rsidRDefault="00B47A67" w:rsidP="00B47A67"/>
    <w:p w14:paraId="12DAC34A" w14:textId="77777777" w:rsidR="00B47A67" w:rsidRDefault="00B47A67" w:rsidP="00B47A67">
      <w:pPr>
        <w:tabs>
          <w:tab w:val="left" w:pos="921"/>
        </w:tabs>
        <w:spacing w:after="0" w:line="240" w:lineRule="auto"/>
        <w:contextualSpacing/>
        <w:jc w:val="both"/>
        <w:rPr>
          <w:rFonts w:eastAsiaTheme="minorEastAsia"/>
        </w:rPr>
      </w:pPr>
      <w:r>
        <w:rPr>
          <w:rFonts w:eastAsiaTheme="minorEastAsia"/>
        </w:rPr>
        <w:t>Chile</w:t>
      </w:r>
      <w:r w:rsidR="00521B3C">
        <w:rPr>
          <w:rFonts w:eastAsiaTheme="minorEastAsia"/>
        </w:rPr>
        <w:t>,</w:t>
      </w:r>
      <w:r w:rsidRPr="001A1044">
        <w:rPr>
          <w:rFonts w:eastAsiaTheme="minorEastAsia"/>
        </w:rPr>
        <w:t xml:space="preserve"> desde el año 2002</w:t>
      </w:r>
      <w:r w:rsidR="00521B3C">
        <w:rPr>
          <w:rFonts w:eastAsiaTheme="minorEastAsia"/>
        </w:rPr>
        <w:t>,</w:t>
      </w:r>
      <w:r w:rsidRPr="001A1044">
        <w:rPr>
          <w:rFonts w:eastAsiaTheme="minorEastAsia"/>
        </w:rPr>
        <w:t xml:space="preserve"> administra el ahorro obligatorio </w:t>
      </w:r>
      <w:r>
        <w:rPr>
          <w:rFonts w:eastAsiaTheme="minorEastAsia"/>
        </w:rPr>
        <w:t xml:space="preserve">de pensiones </w:t>
      </w:r>
      <w:r w:rsidRPr="001A1044">
        <w:rPr>
          <w:rFonts w:eastAsiaTheme="minorEastAsia"/>
        </w:rPr>
        <w:t xml:space="preserve">bajo el esquema de </w:t>
      </w:r>
      <w:proofErr w:type="spellStart"/>
      <w:r w:rsidRPr="009901D2">
        <w:rPr>
          <w:rFonts w:eastAsiaTheme="minorEastAsia"/>
          <w:b/>
        </w:rPr>
        <w:t>multifondos</w:t>
      </w:r>
      <w:proofErr w:type="spellEnd"/>
      <w:r w:rsidRPr="009901D2">
        <w:rPr>
          <w:rFonts w:eastAsiaTheme="minorEastAsia"/>
          <w:b/>
        </w:rPr>
        <w:t>.</w:t>
      </w:r>
      <w:r>
        <w:rPr>
          <w:rFonts w:eastAsiaTheme="minorEastAsia"/>
        </w:rPr>
        <w:t xml:space="preserve"> El modelo chileno busca </w:t>
      </w:r>
      <w:r w:rsidRPr="001A1044">
        <w:rPr>
          <w:rFonts w:eastAsiaTheme="minorEastAsia"/>
        </w:rPr>
        <w:t xml:space="preserve">que los afiliados puedan invertir los recursos en aquel tipo de fondo que más se acomoda a su actual horizonte de inversión y perfil de tolerancia al riesgo.  </w:t>
      </w:r>
      <w:sdt>
        <w:sdtPr>
          <w:rPr>
            <w:rFonts w:eastAsiaTheme="minorEastAsia"/>
          </w:rPr>
          <w:id w:val="-1087761957"/>
          <w:citation/>
        </w:sdtPr>
        <w:sdtEndPr/>
        <w:sdtContent>
          <w:r>
            <w:rPr>
              <w:rFonts w:eastAsiaTheme="minorEastAsia"/>
            </w:rPr>
            <w:fldChar w:fldCharType="begin"/>
          </w:r>
          <w:r>
            <w:rPr>
              <w:rFonts w:eastAsiaTheme="minorEastAsia"/>
              <w:lang w:val="es-CR"/>
            </w:rPr>
            <w:instrText xml:space="preserve"> CITATION Chi \l 5130 </w:instrText>
          </w:r>
          <w:r>
            <w:rPr>
              <w:rFonts w:eastAsiaTheme="minorEastAsia"/>
            </w:rPr>
            <w:fldChar w:fldCharType="separate"/>
          </w:r>
          <w:r w:rsidR="0091728B" w:rsidRPr="0091728B">
            <w:rPr>
              <w:rFonts w:eastAsiaTheme="minorEastAsia"/>
              <w:noProof/>
              <w:lang w:val="es-CR"/>
            </w:rPr>
            <w:t>(Chile, s.f.)</w:t>
          </w:r>
          <w:r>
            <w:rPr>
              <w:rFonts w:eastAsiaTheme="minorEastAsia"/>
            </w:rPr>
            <w:fldChar w:fldCharType="end"/>
          </w:r>
        </w:sdtContent>
      </w:sdt>
    </w:p>
    <w:p w14:paraId="6D829751" w14:textId="77777777" w:rsidR="00B47A67" w:rsidRDefault="00B47A67" w:rsidP="00B47A67">
      <w:pPr>
        <w:tabs>
          <w:tab w:val="left" w:pos="921"/>
        </w:tabs>
        <w:spacing w:after="0" w:line="240" w:lineRule="auto"/>
        <w:contextualSpacing/>
        <w:jc w:val="both"/>
        <w:rPr>
          <w:rFonts w:eastAsiaTheme="minorEastAsia"/>
        </w:rPr>
      </w:pPr>
    </w:p>
    <w:p w14:paraId="45F3E96C" w14:textId="77777777" w:rsidR="00B47A67" w:rsidRPr="00E162FB" w:rsidRDefault="00B47A67" w:rsidP="00B47A67">
      <w:pPr>
        <w:tabs>
          <w:tab w:val="left" w:pos="921"/>
        </w:tabs>
        <w:spacing w:after="0" w:line="240" w:lineRule="auto"/>
        <w:contextualSpacing/>
        <w:jc w:val="both"/>
        <w:rPr>
          <w:rFonts w:eastAsiaTheme="minorEastAsia"/>
        </w:rPr>
      </w:pPr>
      <w:r w:rsidRPr="00E162FB">
        <w:rPr>
          <w:rFonts w:eastAsiaTheme="minorEastAsia"/>
        </w:rPr>
        <w:t xml:space="preserve">La regulación de Chile </w:t>
      </w:r>
      <w:r w:rsidR="0048526E" w:rsidRPr="00E162FB">
        <w:rPr>
          <w:rFonts w:eastAsiaTheme="minorEastAsia"/>
        </w:rPr>
        <w:t>contiene</w:t>
      </w:r>
      <w:r w:rsidRPr="00E162FB">
        <w:rPr>
          <w:rFonts w:eastAsiaTheme="minorEastAsia"/>
        </w:rPr>
        <w:t xml:space="preserve"> cinco fondos que se diferencian en la proporción de su portafolio según el supuesto de que a mayor renta variable mayor es el retorno y riesgo esperado. Los fondos se denominan </w:t>
      </w:r>
      <w:r w:rsidR="00F33017" w:rsidRPr="00E162FB">
        <w:rPr>
          <w:rFonts w:eastAsiaTheme="minorEastAsia"/>
        </w:rPr>
        <w:t xml:space="preserve">con letras </w:t>
      </w:r>
      <w:r w:rsidRPr="00E162FB">
        <w:rPr>
          <w:rFonts w:eastAsiaTheme="minorEastAsia"/>
        </w:rPr>
        <w:t xml:space="preserve">desde </w:t>
      </w:r>
      <w:r w:rsidR="009F553E" w:rsidRPr="00E162FB">
        <w:rPr>
          <w:rFonts w:eastAsiaTheme="minorEastAsia"/>
        </w:rPr>
        <w:t>la</w:t>
      </w:r>
      <w:r w:rsidRPr="00E162FB">
        <w:rPr>
          <w:rFonts w:eastAsiaTheme="minorEastAsia"/>
        </w:rPr>
        <w:t xml:space="preserve"> A hasta l</w:t>
      </w:r>
      <w:r w:rsidR="009F553E" w:rsidRPr="00E162FB">
        <w:rPr>
          <w:rFonts w:eastAsiaTheme="minorEastAsia"/>
        </w:rPr>
        <w:t>a</w:t>
      </w:r>
      <w:r w:rsidRPr="00E162FB">
        <w:rPr>
          <w:rFonts w:eastAsiaTheme="minorEastAsia"/>
        </w:rPr>
        <w:t xml:space="preserve"> E, siendo A el fondo con mayor exposición a renta variable (80% máximo) y E </w:t>
      </w:r>
      <w:r w:rsidR="009F553E" w:rsidRPr="00E162FB">
        <w:rPr>
          <w:rFonts w:eastAsiaTheme="minorEastAsia"/>
        </w:rPr>
        <w:t>el de</w:t>
      </w:r>
      <w:r w:rsidRPr="00E162FB">
        <w:rPr>
          <w:rFonts w:eastAsiaTheme="minorEastAsia"/>
        </w:rPr>
        <w:t xml:space="preserve"> menor exposición a este tipo de instrumentos (5% máximo). La creación de los fondos B - C - D </w:t>
      </w:r>
      <w:r w:rsidR="00FE17CC" w:rsidRPr="00E162FB">
        <w:rPr>
          <w:rFonts w:eastAsiaTheme="minorEastAsia"/>
        </w:rPr>
        <w:t>-</w:t>
      </w:r>
      <w:r w:rsidRPr="00E162FB">
        <w:rPr>
          <w:rFonts w:eastAsiaTheme="minorEastAsia"/>
        </w:rPr>
        <w:t xml:space="preserve"> E es obligatoria</w:t>
      </w:r>
      <w:r w:rsidR="002B3179" w:rsidRPr="00E162FB">
        <w:rPr>
          <w:rFonts w:eastAsiaTheme="minorEastAsia"/>
        </w:rPr>
        <w:t xml:space="preserve"> para cada AFP.</w:t>
      </w:r>
      <w:r w:rsidRPr="00E162FB">
        <w:rPr>
          <w:rFonts w:eastAsiaTheme="minorEastAsia"/>
        </w:rPr>
        <w:t xml:space="preserve"> </w:t>
      </w:r>
      <w:r w:rsidR="005E6D85" w:rsidRPr="00E162FB">
        <w:rPr>
          <w:rFonts w:eastAsiaTheme="minorEastAsia"/>
        </w:rPr>
        <w:t>Los fondos tipo A son</w:t>
      </w:r>
      <w:r w:rsidRPr="00E162FB">
        <w:rPr>
          <w:rFonts w:eastAsiaTheme="minorEastAsia"/>
        </w:rPr>
        <w:t xml:space="preserve"> de carácter voluntario</w:t>
      </w:r>
      <w:r w:rsidR="00E5246A" w:rsidRPr="00E162FB">
        <w:rPr>
          <w:rFonts w:eastAsiaTheme="minorEastAsia"/>
        </w:rPr>
        <w:t xml:space="preserve"> para las AFP</w:t>
      </w:r>
      <w:r w:rsidRPr="00E162FB">
        <w:rPr>
          <w:rFonts w:eastAsiaTheme="minorEastAsia"/>
        </w:rPr>
        <w:t>, sin embargo, todas las administradoras existentes lo ofrecen. Cuando el afiliado no elij</w:t>
      </w:r>
      <w:r w:rsidR="00FD18F5" w:rsidRPr="00E162FB">
        <w:rPr>
          <w:rFonts w:eastAsiaTheme="minorEastAsia"/>
        </w:rPr>
        <w:t>a</w:t>
      </w:r>
      <w:r w:rsidRPr="00E162FB">
        <w:rPr>
          <w:rFonts w:eastAsiaTheme="minorEastAsia"/>
        </w:rPr>
        <w:t xml:space="preserve"> un fondo, se procede </w:t>
      </w:r>
      <w:r w:rsidR="00E5246A" w:rsidRPr="00E162FB">
        <w:rPr>
          <w:rFonts w:eastAsiaTheme="minorEastAsia"/>
        </w:rPr>
        <w:t>a</w:t>
      </w:r>
      <w:r w:rsidRPr="00E162FB">
        <w:rPr>
          <w:rFonts w:eastAsiaTheme="minorEastAsia"/>
        </w:rPr>
        <w:t xml:space="preserve"> la asignación predeterminada en función de la edad (menores de 35 años fondo B, menores de 55 fondo C, mayores de 55 al fondo D). Los pensionados solo pueden optar por alguno de los tres fondos de menor riesgo (C, D y E). </w:t>
      </w:r>
    </w:p>
    <w:p w14:paraId="394EBCC3" w14:textId="77777777" w:rsidR="00B47A67" w:rsidRDefault="00B47A67" w:rsidP="005E6D85">
      <w:pPr>
        <w:tabs>
          <w:tab w:val="left" w:pos="921"/>
        </w:tabs>
        <w:spacing w:after="0" w:line="240" w:lineRule="auto"/>
        <w:contextualSpacing/>
        <w:jc w:val="both"/>
        <w:rPr>
          <w:rFonts w:eastAsiaTheme="minorEastAsia"/>
        </w:rPr>
      </w:pPr>
    </w:p>
    <w:p w14:paraId="1CAC473B" w14:textId="77777777" w:rsidR="005E6D85" w:rsidRDefault="005E6D85" w:rsidP="00812F87">
      <w:pPr>
        <w:tabs>
          <w:tab w:val="left" w:pos="921"/>
        </w:tabs>
        <w:spacing w:after="0" w:line="240" w:lineRule="auto"/>
        <w:contextualSpacing/>
        <w:jc w:val="both"/>
        <w:rPr>
          <w:rFonts w:eastAsiaTheme="minorEastAsia"/>
        </w:rPr>
      </w:pPr>
      <w:r w:rsidRPr="00812F87">
        <w:rPr>
          <w:rFonts w:eastAsiaTheme="minorEastAsia"/>
        </w:rPr>
        <w:t xml:space="preserve">La Superintendencia de Pensiones de Chile se encuentra trabajando en </w:t>
      </w:r>
      <w:r w:rsidR="00CC6AEE" w:rsidRPr="00812F87">
        <w:rPr>
          <w:rFonts w:eastAsiaTheme="minorEastAsia"/>
        </w:rPr>
        <w:t xml:space="preserve">una </w:t>
      </w:r>
      <w:r w:rsidRPr="00812F87">
        <w:rPr>
          <w:rFonts w:eastAsiaTheme="minorEastAsia"/>
        </w:rPr>
        <w:t>reforma país (de orden legislativo) para temas de pensiones, que incluye el desarrollo de fondos generacionales</w:t>
      </w:r>
      <w:r w:rsidR="00812F87">
        <w:rPr>
          <w:rFonts w:eastAsiaTheme="minorEastAsia"/>
        </w:rPr>
        <w:t>, específicamente el r</w:t>
      </w:r>
      <w:r w:rsidR="00812F87" w:rsidRPr="00812F87">
        <w:rPr>
          <w:rFonts w:eastAsiaTheme="minorEastAsia"/>
        </w:rPr>
        <w:t xml:space="preserve">eemplazo de </w:t>
      </w:r>
      <w:proofErr w:type="spellStart"/>
      <w:r w:rsidR="00812F87" w:rsidRPr="00812F87">
        <w:rPr>
          <w:rFonts w:eastAsiaTheme="minorEastAsia"/>
        </w:rPr>
        <w:t>multifondos</w:t>
      </w:r>
      <w:proofErr w:type="spellEnd"/>
      <w:r w:rsidR="00812F87" w:rsidRPr="00812F87">
        <w:rPr>
          <w:rFonts w:eastAsiaTheme="minorEastAsia"/>
        </w:rPr>
        <w:t xml:space="preserve"> por fondos generacionales</w:t>
      </w:r>
      <w:r w:rsidR="00812F87">
        <w:rPr>
          <w:rFonts w:eastAsiaTheme="minorEastAsia"/>
        </w:rPr>
        <w:t>, dado que l</w:t>
      </w:r>
      <w:r w:rsidR="00812F87" w:rsidRPr="00812F87">
        <w:rPr>
          <w:rFonts w:eastAsiaTheme="minorEastAsia"/>
        </w:rPr>
        <w:t>os fondos generacionales sacan el foco del corto plazo (rentabilidad) y</w:t>
      </w:r>
      <w:r w:rsidR="00812F87">
        <w:rPr>
          <w:rFonts w:eastAsiaTheme="minorEastAsia"/>
        </w:rPr>
        <w:t xml:space="preserve"> </w:t>
      </w:r>
      <w:r w:rsidR="00812F87" w:rsidRPr="00812F87">
        <w:rPr>
          <w:rFonts w:eastAsiaTheme="minorEastAsia"/>
        </w:rPr>
        <w:t>se centran en el objetivo de pensión, en línea con el enfoque de</w:t>
      </w:r>
      <w:r w:rsidR="00812F87">
        <w:rPr>
          <w:rFonts w:eastAsiaTheme="minorEastAsia"/>
        </w:rPr>
        <w:t xml:space="preserve"> </w:t>
      </w:r>
      <w:r w:rsidR="00812F87" w:rsidRPr="00812F87">
        <w:rPr>
          <w:rFonts w:eastAsiaTheme="minorEastAsia"/>
        </w:rPr>
        <w:t>seguridad social</w:t>
      </w:r>
      <w:r w:rsidR="00812F87">
        <w:rPr>
          <w:rStyle w:val="Refdenotaalpie"/>
          <w:rFonts w:eastAsiaTheme="minorEastAsia"/>
        </w:rPr>
        <w:footnoteReference w:id="9"/>
      </w:r>
      <w:r w:rsidR="00812F87" w:rsidRPr="00812F87">
        <w:rPr>
          <w:rFonts w:eastAsiaTheme="minorEastAsia"/>
        </w:rPr>
        <w:t>.</w:t>
      </w:r>
      <w:r w:rsidR="00812F87">
        <w:rPr>
          <w:rFonts w:eastAsiaTheme="minorEastAsia"/>
        </w:rPr>
        <w:t xml:space="preserve"> </w:t>
      </w:r>
    </w:p>
    <w:p w14:paraId="50CBE1B6" w14:textId="77777777" w:rsidR="005E6D85" w:rsidRPr="00F41C49" w:rsidRDefault="005E6D85" w:rsidP="005E6D85"/>
    <w:p w14:paraId="389EF589" w14:textId="77777777" w:rsidR="005E6D85" w:rsidRDefault="005E6D85" w:rsidP="005E6D85">
      <w:pPr>
        <w:pStyle w:val="Ttulo3"/>
        <w:numPr>
          <w:ilvl w:val="2"/>
          <w:numId w:val="3"/>
        </w:numPr>
        <w:ind w:left="284" w:hanging="180"/>
      </w:pPr>
      <w:bookmarkStart w:id="14" w:name="_Toc144396524"/>
      <w:r>
        <w:t>Colombia</w:t>
      </w:r>
      <w:bookmarkEnd w:id="14"/>
    </w:p>
    <w:p w14:paraId="453E4A42" w14:textId="77777777" w:rsidR="005E6D85" w:rsidRDefault="005E6D85" w:rsidP="005E6D85">
      <w:pPr>
        <w:tabs>
          <w:tab w:val="left" w:pos="921"/>
        </w:tabs>
        <w:spacing w:after="0" w:line="240" w:lineRule="auto"/>
        <w:contextualSpacing/>
        <w:jc w:val="both"/>
        <w:rPr>
          <w:rFonts w:eastAsiaTheme="minorEastAsia"/>
        </w:rPr>
      </w:pPr>
    </w:p>
    <w:p w14:paraId="01B39661" w14:textId="77777777" w:rsidR="00B47A67" w:rsidRDefault="005E6D85" w:rsidP="00B47A67">
      <w:pPr>
        <w:tabs>
          <w:tab w:val="left" w:pos="921"/>
        </w:tabs>
        <w:spacing w:after="0" w:line="240" w:lineRule="auto"/>
        <w:contextualSpacing/>
        <w:jc w:val="both"/>
        <w:rPr>
          <w:rFonts w:eastAsiaTheme="minorEastAsia"/>
        </w:rPr>
      </w:pPr>
      <w:r>
        <w:rPr>
          <w:rFonts w:eastAsiaTheme="minorEastAsia"/>
        </w:rPr>
        <w:t xml:space="preserve">Colombia posee al igual que Chile </w:t>
      </w:r>
      <w:proofErr w:type="spellStart"/>
      <w:r w:rsidRPr="009901D2">
        <w:rPr>
          <w:rFonts w:eastAsiaTheme="minorEastAsia"/>
          <w:b/>
        </w:rPr>
        <w:t>multifondos</w:t>
      </w:r>
      <w:proofErr w:type="spellEnd"/>
      <w:r>
        <w:rPr>
          <w:rFonts w:eastAsiaTheme="minorEastAsia"/>
        </w:rPr>
        <w:t>.</w:t>
      </w:r>
      <w:r w:rsidR="00B47A67" w:rsidRPr="001A1044">
        <w:rPr>
          <w:rFonts w:eastAsiaTheme="minorEastAsia"/>
        </w:rPr>
        <w:t xml:space="preserve"> </w:t>
      </w:r>
      <w:r w:rsidR="00B47A67">
        <w:rPr>
          <w:rFonts w:eastAsiaTheme="minorEastAsia"/>
        </w:rPr>
        <w:t xml:space="preserve">Las AFP </w:t>
      </w:r>
      <w:r w:rsidR="00B47A67" w:rsidRPr="001A1044">
        <w:rPr>
          <w:rFonts w:eastAsiaTheme="minorEastAsia"/>
        </w:rPr>
        <w:t xml:space="preserve">deben ofrecer </w:t>
      </w:r>
      <w:r w:rsidR="00B47A67">
        <w:rPr>
          <w:rFonts w:eastAsiaTheme="minorEastAsia"/>
        </w:rPr>
        <w:t>3</w:t>
      </w:r>
      <w:r w:rsidR="00B47A67" w:rsidRPr="001A1044">
        <w:rPr>
          <w:rFonts w:eastAsiaTheme="minorEastAsia"/>
        </w:rPr>
        <w:t xml:space="preserve"> fondos para afiliados que estén en la etapa de acumulación y un fondo para los pensionados</w:t>
      </w:r>
      <w:r w:rsidR="00B47A67">
        <w:rPr>
          <w:rFonts w:eastAsiaTheme="minorEastAsia"/>
        </w:rPr>
        <w:t xml:space="preserve"> </w:t>
      </w:r>
      <w:sdt>
        <w:sdtPr>
          <w:rPr>
            <w:rFonts w:eastAsiaTheme="minorEastAsia"/>
          </w:rPr>
          <w:id w:val="-1535338817"/>
          <w:citation/>
        </w:sdtPr>
        <w:sdtEndPr/>
        <w:sdtContent>
          <w:r w:rsidR="00B47A67">
            <w:rPr>
              <w:rFonts w:eastAsiaTheme="minorEastAsia"/>
            </w:rPr>
            <w:fldChar w:fldCharType="begin"/>
          </w:r>
          <w:r w:rsidR="00B47A67">
            <w:rPr>
              <w:rFonts w:eastAsiaTheme="minorEastAsia"/>
              <w:lang w:val="es-CR"/>
            </w:rPr>
            <w:instrText xml:space="preserve"> CITATION Col \l 5130 </w:instrText>
          </w:r>
          <w:r w:rsidR="00B47A67">
            <w:rPr>
              <w:rFonts w:eastAsiaTheme="minorEastAsia"/>
            </w:rPr>
            <w:fldChar w:fldCharType="separate"/>
          </w:r>
          <w:r w:rsidR="0091728B" w:rsidRPr="0091728B">
            <w:rPr>
              <w:rFonts w:eastAsiaTheme="minorEastAsia"/>
              <w:noProof/>
              <w:lang w:val="es-CR"/>
            </w:rPr>
            <w:t>(Colombia, s.f.)</w:t>
          </w:r>
          <w:r w:rsidR="00B47A67">
            <w:rPr>
              <w:rFonts w:eastAsiaTheme="minorEastAsia"/>
            </w:rPr>
            <w:fldChar w:fldCharType="end"/>
          </w:r>
        </w:sdtContent>
      </w:sdt>
      <w:r w:rsidR="00B47A67">
        <w:rPr>
          <w:rFonts w:eastAsiaTheme="minorEastAsia"/>
        </w:rPr>
        <w:t>:</w:t>
      </w:r>
    </w:p>
    <w:p w14:paraId="619CB6E4" w14:textId="77777777" w:rsidR="00B47A67" w:rsidRDefault="00B47A67" w:rsidP="00B47A67">
      <w:pPr>
        <w:tabs>
          <w:tab w:val="left" w:pos="921"/>
        </w:tabs>
        <w:spacing w:after="0" w:line="240" w:lineRule="auto"/>
        <w:contextualSpacing/>
        <w:jc w:val="both"/>
        <w:rPr>
          <w:rFonts w:eastAsiaTheme="minorEastAsia"/>
        </w:rPr>
      </w:pPr>
    </w:p>
    <w:p w14:paraId="542136C0" w14:textId="77777777" w:rsidR="00B47A67" w:rsidRDefault="00B47A67" w:rsidP="00B47A67">
      <w:pPr>
        <w:pStyle w:val="Prrafodelista"/>
        <w:numPr>
          <w:ilvl w:val="0"/>
          <w:numId w:val="4"/>
        </w:numPr>
        <w:tabs>
          <w:tab w:val="left" w:pos="921"/>
        </w:tabs>
        <w:spacing w:after="0" w:line="240" w:lineRule="auto"/>
        <w:jc w:val="both"/>
        <w:rPr>
          <w:rFonts w:eastAsiaTheme="minorEastAsia"/>
        </w:rPr>
      </w:pPr>
      <w:r w:rsidRPr="00F41C49">
        <w:rPr>
          <w:rFonts w:eastAsiaTheme="minorEastAsia"/>
        </w:rPr>
        <w:t>Fondo de Mayor Riesgo</w:t>
      </w:r>
      <w:r w:rsidR="000B7393">
        <w:rPr>
          <w:rFonts w:eastAsiaTheme="minorEastAsia"/>
        </w:rPr>
        <w:t>:</w:t>
      </w:r>
      <w:r w:rsidRPr="00F41C49">
        <w:rPr>
          <w:rFonts w:eastAsiaTheme="minorEastAsia"/>
        </w:rPr>
        <w:t xml:space="preserve"> es recomendado para las personas que están comenzando su vida laboral, porque en el largo plazo pueden obtener mayores rendimientos y equilibrar la volatilidad de sus inversiones</w:t>
      </w:r>
      <w:r>
        <w:rPr>
          <w:rFonts w:eastAsiaTheme="minorEastAsia"/>
        </w:rPr>
        <w:t>.</w:t>
      </w:r>
      <w:r w:rsidRPr="00F41C49">
        <w:rPr>
          <w:rFonts w:eastAsiaTheme="minorEastAsia"/>
        </w:rPr>
        <w:t xml:space="preserve"> </w:t>
      </w:r>
      <w:r>
        <w:rPr>
          <w:rFonts w:eastAsiaTheme="minorEastAsia"/>
        </w:rPr>
        <w:t>T</w:t>
      </w:r>
      <w:r w:rsidRPr="00F41C49">
        <w:rPr>
          <w:rFonts w:eastAsiaTheme="minorEastAsia"/>
        </w:rPr>
        <w:t>ambién se recomienda para afiliados con un perfil</w:t>
      </w:r>
      <w:r w:rsidR="000A30BC">
        <w:rPr>
          <w:rFonts w:eastAsiaTheme="minorEastAsia"/>
        </w:rPr>
        <w:t xml:space="preserve"> de </w:t>
      </w:r>
      <w:r w:rsidRPr="00F41C49">
        <w:rPr>
          <w:rFonts w:eastAsiaTheme="minorEastAsia"/>
        </w:rPr>
        <w:t>riesgo alto. Este tipo de fondo principalmente invierte en activos de renta variable.</w:t>
      </w:r>
    </w:p>
    <w:p w14:paraId="193E4024" w14:textId="77777777" w:rsidR="00B47A67" w:rsidRDefault="00B47A67" w:rsidP="00B47A67">
      <w:pPr>
        <w:pStyle w:val="Prrafodelista"/>
        <w:numPr>
          <w:ilvl w:val="0"/>
          <w:numId w:val="4"/>
        </w:numPr>
        <w:tabs>
          <w:tab w:val="left" w:pos="921"/>
        </w:tabs>
        <w:spacing w:after="0" w:line="240" w:lineRule="auto"/>
        <w:jc w:val="both"/>
        <w:rPr>
          <w:rFonts w:eastAsiaTheme="minorEastAsia"/>
        </w:rPr>
      </w:pPr>
      <w:r w:rsidRPr="00F41C49">
        <w:rPr>
          <w:rFonts w:eastAsiaTheme="minorEastAsia"/>
        </w:rPr>
        <w:t>Fondo Moderado</w:t>
      </w:r>
      <w:r w:rsidR="00023209">
        <w:rPr>
          <w:rFonts w:eastAsiaTheme="minorEastAsia"/>
        </w:rPr>
        <w:t>:</w:t>
      </w:r>
      <w:r w:rsidRPr="00F41C49">
        <w:rPr>
          <w:rFonts w:eastAsiaTheme="minorEastAsia"/>
        </w:rPr>
        <w:t xml:space="preserve"> está dirigido a personas con perfil de riesgo medio o que se encuentran en la parte intermedia de su vida laboral. </w:t>
      </w:r>
      <w:r w:rsidR="005E6D85">
        <w:rPr>
          <w:rFonts w:eastAsiaTheme="minorEastAsia"/>
        </w:rPr>
        <w:t>En este fondo,</w:t>
      </w:r>
      <w:r>
        <w:rPr>
          <w:rFonts w:eastAsiaTheme="minorEastAsia"/>
        </w:rPr>
        <w:t xml:space="preserve"> el gestor p</w:t>
      </w:r>
      <w:r w:rsidRPr="00F41C49">
        <w:rPr>
          <w:rFonts w:eastAsiaTheme="minorEastAsia"/>
        </w:rPr>
        <w:t xml:space="preserve">rocura el mejor retorno posible con moderada exposición al riesgo y con políticas de inversión en activos con riesgo y retorno moderado, como deuda corporativa o deuda pública. </w:t>
      </w:r>
    </w:p>
    <w:p w14:paraId="042F5722" w14:textId="77777777" w:rsidR="00B47A67" w:rsidRDefault="00B47A67" w:rsidP="00B47A67">
      <w:pPr>
        <w:pStyle w:val="Prrafodelista"/>
        <w:numPr>
          <w:ilvl w:val="0"/>
          <w:numId w:val="4"/>
        </w:numPr>
        <w:tabs>
          <w:tab w:val="left" w:pos="921"/>
        </w:tabs>
        <w:spacing w:after="0" w:line="240" w:lineRule="auto"/>
        <w:jc w:val="both"/>
        <w:rPr>
          <w:rFonts w:eastAsiaTheme="minorEastAsia"/>
        </w:rPr>
      </w:pPr>
      <w:r w:rsidRPr="00F41C49">
        <w:rPr>
          <w:rFonts w:eastAsiaTheme="minorEastAsia"/>
        </w:rPr>
        <w:lastRenderedPageBreak/>
        <w:t>Fondo Conservador</w:t>
      </w:r>
      <w:r w:rsidR="00023209">
        <w:rPr>
          <w:rFonts w:eastAsiaTheme="minorEastAsia"/>
        </w:rPr>
        <w:t>:</w:t>
      </w:r>
      <w:r w:rsidRPr="00F41C49">
        <w:rPr>
          <w:rFonts w:eastAsiaTheme="minorEastAsia"/>
        </w:rPr>
        <w:t xml:space="preserve"> está dirigido a las personas próximas a pensionarse o que tienen un perfil de riesgo bajo</w:t>
      </w:r>
      <w:r w:rsidR="00023209">
        <w:rPr>
          <w:rFonts w:eastAsiaTheme="minorEastAsia"/>
        </w:rPr>
        <w:t>;</w:t>
      </w:r>
      <w:r w:rsidRPr="00F41C49">
        <w:rPr>
          <w:rFonts w:eastAsiaTheme="minorEastAsia"/>
        </w:rPr>
        <w:t xml:space="preserve"> este tipo de fondo procura el mejor retorno posible con baja exposición al riesgo realizando inversiones en activos como certificados de depósito a plazo o cuentas de ahorro. Su objetivo es preservar el ahorro construido durante la vida laboral. </w:t>
      </w:r>
    </w:p>
    <w:p w14:paraId="272E73B8" w14:textId="77777777" w:rsidR="00C40E98" w:rsidRDefault="00B47A67" w:rsidP="00B47A67">
      <w:pPr>
        <w:pStyle w:val="Prrafodelista"/>
        <w:numPr>
          <w:ilvl w:val="0"/>
          <w:numId w:val="4"/>
        </w:numPr>
        <w:tabs>
          <w:tab w:val="left" w:pos="921"/>
        </w:tabs>
        <w:spacing w:after="0" w:line="240" w:lineRule="auto"/>
        <w:jc w:val="both"/>
        <w:rPr>
          <w:rFonts w:eastAsiaTheme="minorEastAsia"/>
        </w:rPr>
      </w:pPr>
      <w:r w:rsidRPr="00F41C49">
        <w:rPr>
          <w:rFonts w:eastAsiaTheme="minorEastAsia"/>
        </w:rPr>
        <w:t>Fondo de Retiro Programado</w:t>
      </w:r>
      <w:r w:rsidR="00FE17CC">
        <w:rPr>
          <w:rStyle w:val="Refdenotaalpie"/>
          <w:rFonts w:eastAsiaTheme="minorEastAsia"/>
        </w:rPr>
        <w:footnoteReference w:id="10"/>
      </w:r>
      <w:r w:rsidR="00DA0848">
        <w:rPr>
          <w:rFonts w:eastAsiaTheme="minorEastAsia"/>
        </w:rPr>
        <w:t>:</w:t>
      </w:r>
      <w:r w:rsidRPr="00F41C49">
        <w:rPr>
          <w:rFonts w:eastAsiaTheme="minorEastAsia"/>
        </w:rPr>
        <w:t xml:space="preserve"> está dirigido a los pensionados que seleccionaron esta modalidad de retiro</w:t>
      </w:r>
      <w:r w:rsidR="00DA0848">
        <w:rPr>
          <w:rFonts w:eastAsiaTheme="minorEastAsia"/>
        </w:rPr>
        <w:t>.</w:t>
      </w:r>
      <w:r w:rsidRPr="00F41C49">
        <w:rPr>
          <w:rFonts w:eastAsiaTheme="minorEastAsia"/>
        </w:rPr>
        <w:t xml:space="preserve"> </w:t>
      </w:r>
      <w:r w:rsidR="00DA0848">
        <w:rPr>
          <w:rFonts w:eastAsiaTheme="minorEastAsia"/>
        </w:rPr>
        <w:t>Procura</w:t>
      </w:r>
      <w:r w:rsidRPr="00F41C49">
        <w:rPr>
          <w:rFonts w:eastAsiaTheme="minorEastAsia"/>
        </w:rPr>
        <w:t xml:space="preserve"> el mejor retorno posible con baja exposición al riesgo realizando inversiones en activos como certificados de depósito a plazo o cuentas de ahorro. Su objetivo es preservar el ahorro construido.</w:t>
      </w:r>
    </w:p>
    <w:p w14:paraId="4EA8F285" w14:textId="77777777" w:rsidR="00C40E98" w:rsidRDefault="00C40E98" w:rsidP="00C40E98">
      <w:pPr>
        <w:tabs>
          <w:tab w:val="left" w:pos="921"/>
        </w:tabs>
        <w:spacing w:after="0" w:line="240" w:lineRule="auto"/>
        <w:jc w:val="both"/>
        <w:rPr>
          <w:rFonts w:eastAsiaTheme="minorEastAsia"/>
        </w:rPr>
      </w:pPr>
    </w:p>
    <w:p w14:paraId="426CC09E" w14:textId="77777777" w:rsidR="00B47A67" w:rsidRDefault="00B47A67" w:rsidP="00B47A67">
      <w:pPr>
        <w:tabs>
          <w:tab w:val="left" w:pos="921"/>
        </w:tabs>
        <w:spacing w:after="0" w:line="240" w:lineRule="auto"/>
        <w:jc w:val="both"/>
        <w:rPr>
          <w:rFonts w:eastAsiaTheme="minorEastAsia"/>
        </w:rPr>
      </w:pPr>
      <w:r w:rsidRPr="00F41C49">
        <w:rPr>
          <w:rFonts w:eastAsiaTheme="minorEastAsia"/>
        </w:rPr>
        <w:t xml:space="preserve">La asignación predeterminada en Colombia establece que, si un afiliado no selecciona </w:t>
      </w:r>
      <w:r>
        <w:rPr>
          <w:rFonts w:eastAsiaTheme="minorEastAsia"/>
        </w:rPr>
        <w:t xml:space="preserve">un </w:t>
      </w:r>
      <w:r w:rsidRPr="00F41C49">
        <w:rPr>
          <w:rFonts w:eastAsiaTheme="minorEastAsia"/>
        </w:rPr>
        <w:t xml:space="preserve">fondo, sus recursos serán administrados en el fondo moderado. </w:t>
      </w:r>
      <w:r>
        <w:rPr>
          <w:rFonts w:eastAsiaTheme="minorEastAsia"/>
        </w:rPr>
        <w:t xml:space="preserve">En el caso de los trabajadores próximos a pensionarse (cinco años de antelación), </w:t>
      </w:r>
      <w:r w:rsidRPr="00F41C49">
        <w:rPr>
          <w:rFonts w:eastAsiaTheme="minorEastAsia"/>
        </w:rPr>
        <w:t>a medida que ese afiliado se acerque a la edad prevista para pensión mínima (57 años mujeres y 62 años hombres a partir del año 2014),</w:t>
      </w:r>
      <w:r>
        <w:rPr>
          <w:rFonts w:eastAsiaTheme="minorEastAsia"/>
        </w:rPr>
        <w:t xml:space="preserve"> </w:t>
      </w:r>
      <w:r w:rsidRPr="00F41C49">
        <w:rPr>
          <w:rFonts w:eastAsiaTheme="minorEastAsia"/>
        </w:rPr>
        <w:t>una parte de sus recursos se trasladara automáticamente de manera anual al fondo conservador</w:t>
      </w:r>
      <w:r>
        <w:rPr>
          <w:rFonts w:eastAsiaTheme="minorEastAsia"/>
        </w:rPr>
        <w:t xml:space="preserve"> (20% del saldo por año).</w:t>
      </w:r>
    </w:p>
    <w:p w14:paraId="6126413E" w14:textId="77777777" w:rsidR="00B47A67" w:rsidRDefault="00B47A67" w:rsidP="00B47A67">
      <w:pPr>
        <w:rPr>
          <w:rFonts w:eastAsiaTheme="minorEastAsia"/>
        </w:rPr>
      </w:pPr>
    </w:p>
    <w:p w14:paraId="13A1CB2E" w14:textId="77777777" w:rsidR="00B47A67" w:rsidRDefault="00B47A67" w:rsidP="0070233D">
      <w:pPr>
        <w:pStyle w:val="Ttulo3"/>
        <w:numPr>
          <w:ilvl w:val="2"/>
          <w:numId w:val="3"/>
        </w:numPr>
        <w:ind w:left="284" w:hanging="180"/>
      </w:pPr>
      <w:bookmarkStart w:id="15" w:name="_Toc144396525"/>
      <w:r>
        <w:t>México</w:t>
      </w:r>
      <w:bookmarkEnd w:id="15"/>
    </w:p>
    <w:p w14:paraId="40FC6D84" w14:textId="77777777" w:rsidR="00B47A67" w:rsidRDefault="00B47A67" w:rsidP="00B47A67">
      <w:pPr>
        <w:tabs>
          <w:tab w:val="left" w:pos="921"/>
        </w:tabs>
        <w:spacing w:after="0" w:line="240" w:lineRule="auto"/>
        <w:contextualSpacing/>
        <w:jc w:val="both"/>
        <w:rPr>
          <w:rFonts w:eastAsiaTheme="minorEastAsia"/>
        </w:rPr>
      </w:pPr>
    </w:p>
    <w:p w14:paraId="2F023792" w14:textId="77777777" w:rsidR="00B47A67" w:rsidRDefault="00B47A67" w:rsidP="00B47A67">
      <w:pPr>
        <w:tabs>
          <w:tab w:val="left" w:pos="921"/>
        </w:tabs>
        <w:spacing w:after="0" w:line="240" w:lineRule="auto"/>
        <w:contextualSpacing/>
        <w:jc w:val="both"/>
        <w:rPr>
          <w:rFonts w:eastAsiaTheme="minorEastAsia"/>
        </w:rPr>
      </w:pPr>
      <w:r>
        <w:rPr>
          <w:rFonts w:eastAsiaTheme="minorEastAsia"/>
        </w:rPr>
        <w:t xml:space="preserve">México inició con </w:t>
      </w:r>
      <w:proofErr w:type="spellStart"/>
      <w:r w:rsidRPr="001B7871">
        <w:rPr>
          <w:rFonts w:eastAsiaTheme="minorEastAsia"/>
        </w:rPr>
        <w:t>multifondos</w:t>
      </w:r>
      <w:proofErr w:type="spellEnd"/>
      <w:r w:rsidRPr="001B7871">
        <w:rPr>
          <w:rFonts w:eastAsiaTheme="minorEastAsia"/>
        </w:rPr>
        <w:t xml:space="preserve"> en el 2005, </w:t>
      </w:r>
      <w:r>
        <w:rPr>
          <w:rFonts w:eastAsiaTheme="minorEastAsia"/>
        </w:rPr>
        <w:t xml:space="preserve">sin embargo, en el 2019 migró al esquema de </w:t>
      </w:r>
      <w:r w:rsidRPr="00D24CDB">
        <w:rPr>
          <w:rFonts w:eastAsiaTheme="minorEastAsia"/>
          <w:b/>
        </w:rPr>
        <w:t>fondos generacionales</w:t>
      </w:r>
      <w:r>
        <w:rPr>
          <w:rFonts w:eastAsiaTheme="minorEastAsia"/>
        </w:rPr>
        <w:t>.</w:t>
      </w:r>
    </w:p>
    <w:p w14:paraId="031AB4FC" w14:textId="77777777" w:rsidR="00B47A67" w:rsidRDefault="00B47A67" w:rsidP="00B47A67">
      <w:pPr>
        <w:tabs>
          <w:tab w:val="left" w:pos="921"/>
        </w:tabs>
        <w:spacing w:after="0" w:line="240" w:lineRule="auto"/>
        <w:contextualSpacing/>
        <w:jc w:val="both"/>
        <w:rPr>
          <w:rFonts w:eastAsiaTheme="minorEastAsia"/>
        </w:rPr>
      </w:pPr>
    </w:p>
    <w:p w14:paraId="329DCBF7" w14:textId="77777777" w:rsidR="00B47A67" w:rsidRDefault="00B47A67" w:rsidP="00B47A67">
      <w:pPr>
        <w:tabs>
          <w:tab w:val="left" w:pos="921"/>
        </w:tabs>
        <w:spacing w:after="0" w:line="240" w:lineRule="auto"/>
        <w:contextualSpacing/>
        <w:jc w:val="both"/>
        <w:rPr>
          <w:rFonts w:eastAsiaTheme="minorEastAsia"/>
        </w:rPr>
      </w:pPr>
      <w:r>
        <w:rPr>
          <w:rFonts w:eastAsiaTheme="minorEastAsia"/>
        </w:rPr>
        <w:t xml:space="preserve">Los </w:t>
      </w:r>
      <w:proofErr w:type="spellStart"/>
      <w:r>
        <w:rPr>
          <w:rFonts w:eastAsiaTheme="minorEastAsia"/>
        </w:rPr>
        <w:t>multifondos</w:t>
      </w:r>
      <w:proofErr w:type="spellEnd"/>
      <w:r>
        <w:rPr>
          <w:rFonts w:eastAsiaTheme="minorEastAsia"/>
        </w:rPr>
        <w:t xml:space="preserve"> iniciaron con dos fondos denominados </w:t>
      </w:r>
      <w:proofErr w:type="spellStart"/>
      <w:r>
        <w:rPr>
          <w:rFonts w:eastAsiaTheme="minorEastAsia"/>
        </w:rPr>
        <w:t>Siefore</w:t>
      </w:r>
      <w:proofErr w:type="spellEnd"/>
      <w:r>
        <w:rPr>
          <w:rStyle w:val="Refdenotaalpie"/>
          <w:rFonts w:eastAsiaTheme="minorEastAsia"/>
        </w:rPr>
        <w:footnoteReference w:id="11"/>
      </w:r>
      <w:r>
        <w:rPr>
          <w:rFonts w:eastAsiaTheme="minorEastAsia"/>
        </w:rPr>
        <w:t xml:space="preserve"> B</w:t>
      </w:r>
      <w:r w:rsidRPr="001B7871">
        <w:rPr>
          <w:rFonts w:eastAsiaTheme="minorEastAsia"/>
        </w:rPr>
        <w:t xml:space="preserve">ásica 1 y </w:t>
      </w:r>
      <w:proofErr w:type="spellStart"/>
      <w:r>
        <w:rPr>
          <w:rFonts w:eastAsiaTheme="minorEastAsia"/>
        </w:rPr>
        <w:t>Siefore</w:t>
      </w:r>
      <w:proofErr w:type="spellEnd"/>
      <w:r>
        <w:rPr>
          <w:rFonts w:eastAsiaTheme="minorEastAsia"/>
        </w:rPr>
        <w:t xml:space="preserve"> B</w:t>
      </w:r>
      <w:r w:rsidRPr="001B7871">
        <w:rPr>
          <w:rFonts w:eastAsiaTheme="minorEastAsia"/>
        </w:rPr>
        <w:t>ásica 2</w:t>
      </w:r>
      <w:r>
        <w:rPr>
          <w:rFonts w:eastAsiaTheme="minorEastAsia"/>
        </w:rPr>
        <w:t>, las cuales</w:t>
      </w:r>
      <w:r w:rsidRPr="001B7871">
        <w:rPr>
          <w:rFonts w:eastAsiaTheme="minorEastAsia"/>
        </w:rPr>
        <w:t xml:space="preserve"> </w:t>
      </w:r>
      <w:r>
        <w:rPr>
          <w:rFonts w:eastAsiaTheme="minorEastAsia"/>
        </w:rPr>
        <w:t>eran</w:t>
      </w:r>
      <w:r w:rsidRPr="001B7871">
        <w:rPr>
          <w:rFonts w:eastAsiaTheme="minorEastAsia"/>
        </w:rPr>
        <w:t xml:space="preserve"> obligatorias</w:t>
      </w:r>
      <w:r>
        <w:rPr>
          <w:rFonts w:eastAsiaTheme="minorEastAsia"/>
        </w:rPr>
        <w:t>. A</w:t>
      </w:r>
      <w:r w:rsidRPr="001B7871">
        <w:rPr>
          <w:rFonts w:eastAsiaTheme="minorEastAsia"/>
        </w:rPr>
        <w:t xml:space="preserve"> partir del año 2008 se incorporaron tres nuevos fondos</w:t>
      </w:r>
      <w:r w:rsidR="009858D9">
        <w:rPr>
          <w:rFonts w:eastAsiaTheme="minorEastAsia"/>
        </w:rPr>
        <w:t xml:space="preserve">: </w:t>
      </w:r>
      <w:proofErr w:type="spellStart"/>
      <w:r w:rsidR="009858D9">
        <w:rPr>
          <w:rFonts w:eastAsiaTheme="minorEastAsia"/>
        </w:rPr>
        <w:t>Siefore</w:t>
      </w:r>
      <w:proofErr w:type="spellEnd"/>
      <w:r w:rsidRPr="001B7871">
        <w:rPr>
          <w:rFonts w:eastAsiaTheme="minorEastAsia"/>
        </w:rPr>
        <w:t xml:space="preserve"> </w:t>
      </w:r>
      <w:r w:rsidR="009858D9">
        <w:rPr>
          <w:rFonts w:eastAsiaTheme="minorEastAsia"/>
        </w:rPr>
        <w:t>B</w:t>
      </w:r>
      <w:r w:rsidRPr="001B7871">
        <w:rPr>
          <w:rFonts w:eastAsiaTheme="minorEastAsia"/>
        </w:rPr>
        <w:t xml:space="preserve">ásica 3, </w:t>
      </w:r>
      <w:proofErr w:type="spellStart"/>
      <w:r w:rsidR="009858D9">
        <w:rPr>
          <w:rFonts w:eastAsiaTheme="minorEastAsia"/>
        </w:rPr>
        <w:t>Siefore</w:t>
      </w:r>
      <w:proofErr w:type="spellEnd"/>
      <w:r w:rsidR="009858D9" w:rsidRPr="001B7871">
        <w:rPr>
          <w:rFonts w:eastAsiaTheme="minorEastAsia"/>
        </w:rPr>
        <w:t xml:space="preserve"> </w:t>
      </w:r>
      <w:r w:rsidR="009858D9">
        <w:rPr>
          <w:rFonts w:eastAsiaTheme="minorEastAsia"/>
        </w:rPr>
        <w:t>B</w:t>
      </w:r>
      <w:r w:rsidR="009858D9" w:rsidRPr="001B7871">
        <w:rPr>
          <w:rFonts w:eastAsiaTheme="minorEastAsia"/>
        </w:rPr>
        <w:t xml:space="preserve">ásica </w:t>
      </w:r>
      <w:r w:rsidRPr="001B7871">
        <w:rPr>
          <w:rFonts w:eastAsiaTheme="minorEastAsia"/>
        </w:rPr>
        <w:t xml:space="preserve">4 y </w:t>
      </w:r>
      <w:proofErr w:type="spellStart"/>
      <w:r w:rsidR="009858D9">
        <w:rPr>
          <w:rFonts w:eastAsiaTheme="minorEastAsia"/>
        </w:rPr>
        <w:t>Siefore</w:t>
      </w:r>
      <w:proofErr w:type="spellEnd"/>
      <w:r w:rsidR="009858D9" w:rsidRPr="001B7871">
        <w:rPr>
          <w:rFonts w:eastAsiaTheme="minorEastAsia"/>
        </w:rPr>
        <w:t xml:space="preserve"> </w:t>
      </w:r>
      <w:r w:rsidR="009858D9">
        <w:rPr>
          <w:rFonts w:eastAsiaTheme="minorEastAsia"/>
        </w:rPr>
        <w:t>B</w:t>
      </w:r>
      <w:r w:rsidR="009858D9" w:rsidRPr="001B7871">
        <w:rPr>
          <w:rFonts w:eastAsiaTheme="minorEastAsia"/>
        </w:rPr>
        <w:t xml:space="preserve">ásica </w:t>
      </w:r>
      <w:r w:rsidRPr="001B7871">
        <w:rPr>
          <w:rFonts w:eastAsiaTheme="minorEastAsia"/>
        </w:rPr>
        <w:t>5</w:t>
      </w:r>
      <w:r>
        <w:rPr>
          <w:rFonts w:eastAsiaTheme="minorEastAsia"/>
        </w:rPr>
        <w:t xml:space="preserve">. Desde ese momento los </w:t>
      </w:r>
      <w:proofErr w:type="spellStart"/>
      <w:r>
        <w:rPr>
          <w:rFonts w:eastAsiaTheme="minorEastAsia"/>
        </w:rPr>
        <w:t>multifondos</w:t>
      </w:r>
      <w:proofErr w:type="spellEnd"/>
      <w:r>
        <w:rPr>
          <w:rFonts w:eastAsiaTheme="minorEastAsia"/>
        </w:rPr>
        <w:t xml:space="preserve"> se orientaron en </w:t>
      </w:r>
      <w:r w:rsidRPr="001B7871">
        <w:rPr>
          <w:rFonts w:eastAsiaTheme="minorEastAsia"/>
        </w:rPr>
        <w:t>función de la edad de los trabajadores</w:t>
      </w:r>
      <w:r>
        <w:rPr>
          <w:rFonts w:eastAsiaTheme="minorEastAsia"/>
        </w:rPr>
        <w:t>. Básica 1 para mayores de 56 años, Básica 2 para personas entre 46 y 55 años, Básica 3 para personas entre 37 y 45 años, Básica 4 para personas entre 27 y 36 años y finalmente Básica 5 para menores de 26 años.</w:t>
      </w:r>
    </w:p>
    <w:p w14:paraId="10A9E591" w14:textId="77777777" w:rsidR="00B47A67" w:rsidRDefault="00B47A67" w:rsidP="00B47A67">
      <w:pPr>
        <w:tabs>
          <w:tab w:val="left" w:pos="921"/>
        </w:tabs>
        <w:spacing w:after="0" w:line="240" w:lineRule="auto"/>
        <w:contextualSpacing/>
        <w:jc w:val="both"/>
        <w:rPr>
          <w:rFonts w:eastAsiaTheme="minorEastAsia"/>
        </w:rPr>
      </w:pPr>
    </w:p>
    <w:p w14:paraId="60D8B242" w14:textId="77777777" w:rsidR="00B47A67" w:rsidRDefault="00B47A67" w:rsidP="00B47A67">
      <w:pPr>
        <w:tabs>
          <w:tab w:val="left" w:pos="921"/>
        </w:tabs>
        <w:spacing w:after="0" w:line="240" w:lineRule="auto"/>
        <w:contextualSpacing/>
        <w:jc w:val="both"/>
        <w:rPr>
          <w:rFonts w:eastAsiaTheme="minorEastAsia"/>
        </w:rPr>
      </w:pPr>
      <w:r w:rsidRPr="00CB07D4">
        <w:rPr>
          <w:rFonts w:eastAsiaTheme="minorEastAsia"/>
        </w:rPr>
        <w:t xml:space="preserve">México ha sido el pionero en </w:t>
      </w:r>
      <w:r>
        <w:rPr>
          <w:rFonts w:eastAsiaTheme="minorEastAsia"/>
        </w:rPr>
        <w:t xml:space="preserve">la región en el establecimiento de </w:t>
      </w:r>
      <w:r w:rsidRPr="00CB07D4">
        <w:rPr>
          <w:rFonts w:eastAsiaTheme="minorEastAsia"/>
        </w:rPr>
        <w:t xml:space="preserve">los </w:t>
      </w:r>
      <w:r>
        <w:rPr>
          <w:rFonts w:eastAsiaTheme="minorEastAsia"/>
        </w:rPr>
        <w:t>fondos generacionales</w:t>
      </w:r>
      <w:r w:rsidRPr="00CB07D4">
        <w:rPr>
          <w:rFonts w:eastAsiaTheme="minorEastAsia"/>
        </w:rPr>
        <w:t xml:space="preserve">, iniciando </w:t>
      </w:r>
      <w:r>
        <w:rPr>
          <w:rFonts w:eastAsiaTheme="minorEastAsia"/>
        </w:rPr>
        <w:t xml:space="preserve">con ellos </w:t>
      </w:r>
      <w:r w:rsidRPr="00CB07D4">
        <w:rPr>
          <w:rFonts w:eastAsiaTheme="minorEastAsia"/>
        </w:rPr>
        <w:t xml:space="preserve">en 2019. </w:t>
      </w:r>
      <w:r>
        <w:rPr>
          <w:rFonts w:eastAsiaTheme="minorEastAsia"/>
        </w:rPr>
        <w:t>C</w:t>
      </w:r>
      <w:r w:rsidRPr="00CB07D4">
        <w:rPr>
          <w:rFonts w:eastAsiaTheme="minorEastAsia"/>
        </w:rPr>
        <w:t xml:space="preserve">on la reforma, los trabajadores </w:t>
      </w:r>
      <w:r>
        <w:rPr>
          <w:rFonts w:eastAsiaTheme="minorEastAsia"/>
        </w:rPr>
        <w:t xml:space="preserve">afiliados al sistema de pensiones mexicano ya no deben migrar de fondo al cumplir años, sino que </w:t>
      </w:r>
      <w:r w:rsidRPr="00CB07D4">
        <w:rPr>
          <w:rFonts w:eastAsiaTheme="minorEastAsia"/>
        </w:rPr>
        <w:t>permanecen en el mismo fond</w:t>
      </w:r>
      <w:r>
        <w:rPr>
          <w:rFonts w:eastAsiaTheme="minorEastAsia"/>
        </w:rPr>
        <w:t>o</w:t>
      </w:r>
      <w:r w:rsidRPr="00CB07D4">
        <w:rPr>
          <w:rFonts w:eastAsiaTheme="minorEastAsia"/>
        </w:rPr>
        <w:t>. En su diseño, México trabaja con generaciones de cinco años, 10 en total por cada gestor</w:t>
      </w:r>
      <w:r w:rsidR="009B09CD">
        <w:rPr>
          <w:rFonts w:eastAsiaTheme="minorEastAsia"/>
        </w:rPr>
        <w:t xml:space="preserve"> con un fondo particular para cada una</w:t>
      </w:r>
      <w:r>
        <w:rPr>
          <w:rFonts w:eastAsiaTheme="minorEastAsia"/>
        </w:rPr>
        <w:t>, lo cual le permite d</w:t>
      </w:r>
      <w:r w:rsidR="00930719">
        <w:rPr>
          <w:rFonts w:eastAsiaTheme="minorEastAsia"/>
        </w:rPr>
        <w:t>i</w:t>
      </w:r>
      <w:r>
        <w:rPr>
          <w:rFonts w:eastAsiaTheme="minorEastAsia"/>
        </w:rPr>
        <w:t xml:space="preserve">señar estrategias enfocadas en maximizar los saldos de los trabajadores en función de un lustro focal </w:t>
      </w:r>
      <w:sdt>
        <w:sdtPr>
          <w:rPr>
            <w:rFonts w:eastAsiaTheme="minorEastAsia"/>
          </w:rPr>
          <w:id w:val="1248613239"/>
          <w:citation/>
        </w:sdtPr>
        <w:sdtEndPr/>
        <w:sdtContent>
          <w:r>
            <w:rPr>
              <w:rFonts w:eastAsiaTheme="minorEastAsia"/>
            </w:rPr>
            <w:fldChar w:fldCharType="begin"/>
          </w:r>
          <w:r>
            <w:rPr>
              <w:rFonts w:eastAsiaTheme="minorEastAsia"/>
              <w:lang w:val="es-CR"/>
            </w:rPr>
            <w:instrText xml:space="preserve"> CITATION Méx \l 5130 </w:instrText>
          </w:r>
          <w:r>
            <w:rPr>
              <w:rFonts w:eastAsiaTheme="minorEastAsia"/>
            </w:rPr>
            <w:fldChar w:fldCharType="separate"/>
          </w:r>
          <w:r w:rsidR="0091728B" w:rsidRPr="0091728B">
            <w:rPr>
              <w:rFonts w:eastAsiaTheme="minorEastAsia"/>
              <w:noProof/>
              <w:lang w:val="es-CR"/>
            </w:rPr>
            <w:t>(México, s.f.)</w:t>
          </w:r>
          <w:r>
            <w:rPr>
              <w:rFonts w:eastAsiaTheme="minorEastAsia"/>
            </w:rPr>
            <w:fldChar w:fldCharType="end"/>
          </w:r>
        </w:sdtContent>
      </w:sdt>
      <w:r>
        <w:rPr>
          <w:rFonts w:eastAsiaTheme="minorEastAsia"/>
        </w:rPr>
        <w:t>.</w:t>
      </w:r>
    </w:p>
    <w:p w14:paraId="743B6BDC" w14:textId="77777777" w:rsidR="00B47A67" w:rsidRDefault="00B47A67" w:rsidP="00B47A67">
      <w:pPr>
        <w:tabs>
          <w:tab w:val="left" w:pos="921"/>
        </w:tabs>
        <w:spacing w:after="0" w:line="240" w:lineRule="auto"/>
        <w:contextualSpacing/>
        <w:jc w:val="both"/>
        <w:rPr>
          <w:rFonts w:eastAsiaTheme="minorEastAsia"/>
        </w:rPr>
      </w:pPr>
    </w:p>
    <w:p w14:paraId="26A5C79E" w14:textId="77777777" w:rsidR="00B47A67" w:rsidRDefault="00B47A67" w:rsidP="00B47A67">
      <w:pPr>
        <w:tabs>
          <w:tab w:val="left" w:pos="921"/>
        </w:tabs>
        <w:spacing w:after="0" w:line="240" w:lineRule="auto"/>
        <w:contextualSpacing/>
        <w:jc w:val="both"/>
        <w:rPr>
          <w:rFonts w:eastAsiaTheme="minorEastAsia"/>
        </w:rPr>
      </w:pPr>
    </w:p>
    <w:p w14:paraId="40E7B311" w14:textId="77777777" w:rsidR="00B47A67" w:rsidRDefault="00B47A67" w:rsidP="002A48EB">
      <w:pPr>
        <w:pStyle w:val="Ttulo3"/>
        <w:numPr>
          <w:ilvl w:val="2"/>
          <w:numId w:val="3"/>
        </w:numPr>
        <w:ind w:left="284" w:hanging="180"/>
      </w:pPr>
      <w:bookmarkStart w:id="16" w:name="_Toc144396526"/>
      <w:r>
        <w:t>Estados Unidos</w:t>
      </w:r>
      <w:bookmarkEnd w:id="16"/>
    </w:p>
    <w:p w14:paraId="13CD75A2" w14:textId="77777777" w:rsidR="00B47A67" w:rsidRDefault="00B47A67" w:rsidP="00B47A67">
      <w:pPr>
        <w:tabs>
          <w:tab w:val="left" w:pos="921"/>
        </w:tabs>
        <w:spacing w:after="0" w:line="240" w:lineRule="auto"/>
        <w:contextualSpacing/>
        <w:jc w:val="both"/>
        <w:rPr>
          <w:rFonts w:eastAsiaTheme="minorEastAsia"/>
        </w:rPr>
      </w:pPr>
    </w:p>
    <w:p w14:paraId="4C269541" w14:textId="77777777" w:rsidR="00B47A67" w:rsidRDefault="00B47A67" w:rsidP="00B47A67">
      <w:pPr>
        <w:spacing w:before="120" w:after="120" w:line="240" w:lineRule="auto"/>
        <w:jc w:val="both"/>
        <w:rPr>
          <w:rFonts w:eastAsiaTheme="minorEastAsia"/>
        </w:rPr>
      </w:pPr>
      <w:r w:rsidRPr="001B7871">
        <w:rPr>
          <w:rFonts w:eastAsiaTheme="minorEastAsia"/>
        </w:rPr>
        <w:t>El régimen de pensiones en Estados Unidos es de dos pilares</w:t>
      </w:r>
      <w:r w:rsidR="000A13C8">
        <w:rPr>
          <w:rFonts w:eastAsiaTheme="minorEastAsia"/>
        </w:rPr>
        <w:t>:</w:t>
      </w:r>
      <w:r w:rsidRPr="001B7871">
        <w:rPr>
          <w:rFonts w:eastAsiaTheme="minorEastAsia"/>
        </w:rPr>
        <w:t xml:space="preserve"> uno financiado por impuestos OASDI que es el acrónimo en inglés para Seguro de Vejez, Sobrevivientes e Incapacidad (Old Age, </w:t>
      </w:r>
      <w:proofErr w:type="spellStart"/>
      <w:r w:rsidRPr="001B7871">
        <w:rPr>
          <w:rFonts w:eastAsiaTheme="minorEastAsia"/>
        </w:rPr>
        <w:t>Survivors</w:t>
      </w:r>
      <w:proofErr w:type="spellEnd"/>
      <w:r w:rsidRPr="001B7871">
        <w:rPr>
          <w:rFonts w:eastAsiaTheme="minorEastAsia"/>
        </w:rPr>
        <w:t xml:space="preserve"> and </w:t>
      </w:r>
      <w:proofErr w:type="spellStart"/>
      <w:r w:rsidRPr="001B7871">
        <w:rPr>
          <w:rFonts w:eastAsiaTheme="minorEastAsia"/>
        </w:rPr>
        <w:t>Disability</w:t>
      </w:r>
      <w:proofErr w:type="spellEnd"/>
      <w:r w:rsidRPr="001B7871">
        <w:rPr>
          <w:rFonts w:eastAsiaTheme="minorEastAsia"/>
        </w:rPr>
        <w:t xml:space="preserve"> </w:t>
      </w:r>
      <w:proofErr w:type="spellStart"/>
      <w:r w:rsidRPr="001B7871">
        <w:rPr>
          <w:rFonts w:eastAsiaTheme="minorEastAsia"/>
        </w:rPr>
        <w:t>Insurance</w:t>
      </w:r>
      <w:proofErr w:type="spellEnd"/>
      <w:r w:rsidRPr="001B7871">
        <w:rPr>
          <w:rFonts w:eastAsiaTheme="minorEastAsia"/>
        </w:rPr>
        <w:t>) que financian los programas de Seguridad Social</w:t>
      </w:r>
      <w:r w:rsidR="000A13C8">
        <w:rPr>
          <w:rFonts w:eastAsiaTheme="minorEastAsia"/>
        </w:rPr>
        <w:t>;</w:t>
      </w:r>
      <w:r w:rsidR="00930719">
        <w:rPr>
          <w:rFonts w:eastAsiaTheme="minorEastAsia"/>
        </w:rPr>
        <w:t xml:space="preserve"> </w:t>
      </w:r>
      <w:r w:rsidRPr="001B7871">
        <w:rPr>
          <w:rFonts w:eastAsiaTheme="minorEastAsia"/>
        </w:rPr>
        <w:t>y un sistema de retiro patrocinado por patronos tanto del sector privado conocidos como 401</w:t>
      </w:r>
      <w:r>
        <w:rPr>
          <w:rFonts w:eastAsiaTheme="minorEastAsia"/>
        </w:rPr>
        <w:t>(</w:t>
      </w:r>
      <w:r w:rsidRPr="001B7871">
        <w:rPr>
          <w:rFonts w:eastAsiaTheme="minorEastAsia"/>
        </w:rPr>
        <w:t xml:space="preserve">k) y sector público que cuentan con un incentivo fiscal, los </w:t>
      </w:r>
      <w:proofErr w:type="spellStart"/>
      <w:r w:rsidRPr="001B7871">
        <w:rPr>
          <w:rFonts w:eastAsiaTheme="minorEastAsia"/>
        </w:rPr>
        <w:t>Thrift</w:t>
      </w:r>
      <w:proofErr w:type="spellEnd"/>
      <w:r w:rsidRPr="001B7871">
        <w:rPr>
          <w:rFonts w:eastAsiaTheme="minorEastAsia"/>
        </w:rPr>
        <w:t xml:space="preserve"> </w:t>
      </w:r>
      <w:proofErr w:type="spellStart"/>
      <w:r w:rsidRPr="001B7871">
        <w:rPr>
          <w:rFonts w:eastAsiaTheme="minorEastAsia"/>
        </w:rPr>
        <w:t>Savings</w:t>
      </w:r>
      <w:proofErr w:type="spellEnd"/>
      <w:r w:rsidRPr="001B7871">
        <w:rPr>
          <w:rFonts w:eastAsiaTheme="minorEastAsia"/>
        </w:rPr>
        <w:t xml:space="preserve"> Plan (TSP).</w:t>
      </w:r>
      <w:r>
        <w:rPr>
          <w:rFonts w:eastAsiaTheme="minorEastAsia"/>
        </w:rPr>
        <w:t xml:space="preserve"> </w:t>
      </w:r>
    </w:p>
    <w:p w14:paraId="7F38AA70" w14:textId="77777777" w:rsidR="00B47A67" w:rsidRDefault="00B47A67" w:rsidP="00B47A67">
      <w:pPr>
        <w:spacing w:before="120" w:after="120" w:line="240" w:lineRule="auto"/>
        <w:jc w:val="both"/>
        <w:rPr>
          <w:rFonts w:eastAsiaTheme="minorEastAsia"/>
        </w:rPr>
      </w:pPr>
      <w:r>
        <w:rPr>
          <w:rFonts w:eastAsiaTheme="minorEastAsia"/>
        </w:rPr>
        <w:lastRenderedPageBreak/>
        <w:t xml:space="preserve">En el marco de estos pilares nacieron los TDF </w:t>
      </w:r>
      <w:r w:rsidRPr="00CB07D4">
        <w:rPr>
          <w:rFonts w:eastAsiaTheme="minorEastAsia"/>
        </w:rPr>
        <w:t>en 2006, con el propósito de ampliar la cobertura pre</w:t>
      </w:r>
      <w:r>
        <w:rPr>
          <w:rFonts w:eastAsiaTheme="minorEastAsia"/>
        </w:rPr>
        <w:t>vi</w:t>
      </w:r>
      <w:r w:rsidRPr="00CB07D4">
        <w:rPr>
          <w:rFonts w:eastAsiaTheme="minorEastAsia"/>
        </w:rPr>
        <w:t xml:space="preserve">sional de la población, ya que un tercio de los trabajadores no participaban en los planes de pensiones que ofrecían sus empleadores a través de los fondos 401(k). </w:t>
      </w:r>
    </w:p>
    <w:p w14:paraId="3BEF83FF" w14:textId="77777777" w:rsidR="00B47A67" w:rsidRDefault="00462772" w:rsidP="00B47A67">
      <w:pPr>
        <w:spacing w:before="120" w:after="120" w:line="240" w:lineRule="auto"/>
        <w:jc w:val="both"/>
        <w:rPr>
          <w:rFonts w:eastAsiaTheme="minorEastAsia"/>
        </w:rPr>
      </w:pPr>
      <w:r>
        <w:rPr>
          <w:rFonts w:eastAsiaTheme="minorEastAsia"/>
        </w:rPr>
        <w:t>Recientemente</w:t>
      </w:r>
      <w:r w:rsidR="00B47A67" w:rsidRPr="00CB07D4">
        <w:rPr>
          <w:rFonts w:eastAsiaTheme="minorEastAsia"/>
        </w:rPr>
        <w:t>, los TDF abarcan el 99% de los planes de ahorro para el retiro que se ofrecen en ese país. En esta jurisdicción los fondos tienen costos y estrategias de inversión diferentes y queda a criterio de cada trabajador su selección.</w:t>
      </w:r>
      <w:sdt>
        <w:sdtPr>
          <w:rPr>
            <w:rFonts w:eastAsiaTheme="minorEastAsia"/>
          </w:rPr>
          <w:id w:val="-505052607"/>
          <w:citation/>
        </w:sdtPr>
        <w:sdtEndPr/>
        <w:sdtContent>
          <w:r w:rsidR="00B47A67">
            <w:rPr>
              <w:rFonts w:eastAsiaTheme="minorEastAsia"/>
            </w:rPr>
            <w:fldChar w:fldCharType="begin"/>
          </w:r>
          <w:r w:rsidR="00B47A67">
            <w:rPr>
              <w:rFonts w:eastAsiaTheme="minorEastAsia"/>
              <w:lang w:val="es-CR"/>
            </w:rPr>
            <w:instrText xml:space="preserve"> CITATION Cie \l 5130 </w:instrText>
          </w:r>
          <w:r w:rsidR="00B47A67">
            <w:rPr>
              <w:rFonts w:eastAsiaTheme="minorEastAsia"/>
            </w:rPr>
            <w:fldChar w:fldCharType="separate"/>
          </w:r>
          <w:r w:rsidR="0091728B">
            <w:rPr>
              <w:rFonts w:eastAsiaTheme="minorEastAsia"/>
              <w:noProof/>
              <w:lang w:val="es-CR"/>
            </w:rPr>
            <w:t xml:space="preserve"> </w:t>
          </w:r>
          <w:r w:rsidR="0091728B" w:rsidRPr="0091728B">
            <w:rPr>
              <w:rFonts w:eastAsiaTheme="minorEastAsia"/>
              <w:noProof/>
              <w:lang w:val="es-CR"/>
            </w:rPr>
            <w:t>(Ciedess, s.f.)</w:t>
          </w:r>
          <w:r w:rsidR="00B47A67">
            <w:rPr>
              <w:rFonts w:eastAsiaTheme="minorEastAsia"/>
            </w:rPr>
            <w:fldChar w:fldCharType="end"/>
          </w:r>
        </w:sdtContent>
      </w:sdt>
    </w:p>
    <w:p w14:paraId="6EA7AA78" w14:textId="77777777" w:rsidR="00B47A67" w:rsidRDefault="00B47A67" w:rsidP="00B47A67">
      <w:pPr>
        <w:tabs>
          <w:tab w:val="left" w:pos="921"/>
        </w:tabs>
        <w:spacing w:after="0" w:line="240" w:lineRule="auto"/>
        <w:contextualSpacing/>
        <w:jc w:val="both"/>
        <w:rPr>
          <w:rFonts w:eastAsiaTheme="minorEastAsia"/>
        </w:rPr>
      </w:pPr>
    </w:p>
    <w:p w14:paraId="3143BFD2" w14:textId="77777777" w:rsidR="00B47A67" w:rsidRDefault="00B47A67" w:rsidP="002A48EB">
      <w:pPr>
        <w:pStyle w:val="Ttulo3"/>
        <w:numPr>
          <w:ilvl w:val="2"/>
          <w:numId w:val="3"/>
        </w:numPr>
        <w:ind w:left="284" w:hanging="180"/>
      </w:pPr>
      <w:bookmarkStart w:id="17" w:name="_Toc144396527"/>
      <w:r>
        <w:t>Reino Unido</w:t>
      </w:r>
      <w:bookmarkEnd w:id="17"/>
    </w:p>
    <w:p w14:paraId="0F22A971" w14:textId="77777777" w:rsidR="00B47A67" w:rsidRPr="00CB07D4" w:rsidRDefault="00B47A67" w:rsidP="00B47A67">
      <w:pPr>
        <w:tabs>
          <w:tab w:val="left" w:pos="921"/>
        </w:tabs>
        <w:spacing w:after="0" w:line="240" w:lineRule="auto"/>
        <w:contextualSpacing/>
        <w:jc w:val="both"/>
        <w:rPr>
          <w:rFonts w:eastAsiaTheme="minorEastAsia"/>
        </w:rPr>
      </w:pPr>
    </w:p>
    <w:p w14:paraId="3FCB18D6" w14:textId="77777777" w:rsidR="005E6D85" w:rsidRDefault="00B47A67" w:rsidP="00380474">
      <w:pPr>
        <w:tabs>
          <w:tab w:val="left" w:pos="921"/>
        </w:tabs>
        <w:spacing w:after="0" w:line="240" w:lineRule="auto"/>
        <w:contextualSpacing/>
        <w:jc w:val="both"/>
        <w:rPr>
          <w:rFonts w:eastAsiaTheme="minorEastAsia"/>
        </w:rPr>
      </w:pPr>
      <w:r w:rsidRPr="00CB07D4">
        <w:rPr>
          <w:rFonts w:eastAsiaTheme="minorEastAsia"/>
        </w:rPr>
        <w:t xml:space="preserve">En busca de aumentar la cobertura de los planes de pensiones ocupacionales como complemento de la pensión pública, nace en Reino Unido (2008) el llamado </w:t>
      </w:r>
      <w:proofErr w:type="spellStart"/>
      <w:r w:rsidRPr="00CB07D4">
        <w:rPr>
          <w:rFonts w:eastAsiaTheme="minorEastAsia"/>
          <w:i/>
          <w:iCs/>
        </w:rPr>
        <w:t>Retirement</w:t>
      </w:r>
      <w:proofErr w:type="spellEnd"/>
      <w:r w:rsidRPr="00CB07D4">
        <w:rPr>
          <w:rFonts w:eastAsiaTheme="minorEastAsia"/>
          <w:i/>
          <w:iCs/>
        </w:rPr>
        <w:t xml:space="preserve"> Date </w:t>
      </w:r>
      <w:proofErr w:type="spellStart"/>
      <w:r w:rsidRPr="00CB07D4">
        <w:rPr>
          <w:rFonts w:eastAsiaTheme="minorEastAsia"/>
          <w:i/>
          <w:iCs/>
        </w:rPr>
        <w:t>Funds</w:t>
      </w:r>
      <w:proofErr w:type="spellEnd"/>
      <w:r w:rsidRPr="00CB07D4">
        <w:rPr>
          <w:rFonts w:eastAsiaTheme="minorEastAsia"/>
        </w:rPr>
        <w:t xml:space="preserve">, el que invierte los ahorros previsionales en un conjunto de fondos que son seleccionados vía oferta pública y tras el cumplimiento de un detallado proceso de inscripción. Existen </w:t>
      </w:r>
      <w:r>
        <w:rPr>
          <w:rFonts w:eastAsiaTheme="minorEastAsia"/>
        </w:rPr>
        <w:t>en el Reino Unido</w:t>
      </w:r>
      <w:r w:rsidRPr="00CB07D4">
        <w:rPr>
          <w:rFonts w:eastAsiaTheme="minorEastAsia"/>
        </w:rPr>
        <w:t xml:space="preserve"> alrededor de 50 fondos con fechas seriadas de retiro.</w:t>
      </w:r>
      <w:r>
        <w:rPr>
          <w:rFonts w:eastAsiaTheme="minorEastAsia"/>
        </w:rPr>
        <w:t xml:space="preserve"> En este país </w:t>
      </w:r>
      <w:r w:rsidRPr="00CB07D4">
        <w:rPr>
          <w:rFonts w:eastAsiaTheme="minorEastAsia"/>
        </w:rPr>
        <w:t>el trabajador se inscribe</w:t>
      </w:r>
      <w:r>
        <w:rPr>
          <w:rFonts w:eastAsiaTheme="minorEastAsia"/>
        </w:rPr>
        <w:t xml:space="preserve"> como afiliado al fondo </w:t>
      </w:r>
      <w:r w:rsidRPr="00CB07D4">
        <w:rPr>
          <w:rFonts w:eastAsiaTheme="minorEastAsia"/>
        </w:rPr>
        <w:t xml:space="preserve">que </w:t>
      </w:r>
      <w:r>
        <w:rPr>
          <w:rFonts w:eastAsiaTheme="minorEastAsia"/>
        </w:rPr>
        <w:t>tiene como fecha objetivo su fecha de pensión, es decir, si el trabajador cumple el derecho a su jubilación en el año 2045 por ejemplo, basta con seleccionar de la oferta de productos previsionales el fondo cuya fecha focal sea 2045</w:t>
      </w:r>
      <w:r>
        <w:rPr>
          <w:rStyle w:val="Refdenotaalpie"/>
          <w:rFonts w:eastAsiaTheme="minorEastAsia"/>
        </w:rPr>
        <w:footnoteReference w:id="12"/>
      </w:r>
      <w:r>
        <w:rPr>
          <w:rFonts w:eastAsiaTheme="minorEastAsia"/>
        </w:rPr>
        <w:t xml:space="preserve"> </w:t>
      </w:r>
      <w:sdt>
        <w:sdtPr>
          <w:rPr>
            <w:rFonts w:eastAsiaTheme="minorEastAsia"/>
          </w:rPr>
          <w:id w:val="815910835"/>
          <w:citation/>
        </w:sdtPr>
        <w:sdtEndPr/>
        <w:sdtContent>
          <w:r>
            <w:rPr>
              <w:rFonts w:eastAsiaTheme="minorEastAsia"/>
            </w:rPr>
            <w:fldChar w:fldCharType="begin"/>
          </w:r>
          <w:r>
            <w:rPr>
              <w:rFonts w:eastAsiaTheme="minorEastAsia"/>
              <w:lang w:val="es-CR"/>
            </w:rPr>
            <w:instrText xml:space="preserve"> CITATION Cie \l 5130 </w:instrText>
          </w:r>
          <w:r>
            <w:rPr>
              <w:rFonts w:eastAsiaTheme="minorEastAsia"/>
            </w:rPr>
            <w:fldChar w:fldCharType="separate"/>
          </w:r>
          <w:r w:rsidR="0091728B" w:rsidRPr="0091728B">
            <w:rPr>
              <w:rFonts w:eastAsiaTheme="minorEastAsia"/>
              <w:noProof/>
              <w:lang w:val="es-CR"/>
            </w:rPr>
            <w:t>(Ciedess, s.f.)</w:t>
          </w:r>
          <w:r>
            <w:rPr>
              <w:rFonts w:eastAsiaTheme="minorEastAsia"/>
            </w:rPr>
            <w:fldChar w:fldCharType="end"/>
          </w:r>
        </w:sdtContent>
      </w:sdt>
      <w:r>
        <w:rPr>
          <w:rFonts w:eastAsiaTheme="minorEastAsia"/>
        </w:rPr>
        <w:t>.</w:t>
      </w:r>
    </w:p>
    <w:p w14:paraId="130EAD9E" w14:textId="77777777" w:rsidR="00380474" w:rsidRDefault="00380474" w:rsidP="00380474">
      <w:pPr>
        <w:tabs>
          <w:tab w:val="left" w:pos="921"/>
        </w:tabs>
        <w:spacing w:after="0" w:line="240" w:lineRule="auto"/>
        <w:contextualSpacing/>
        <w:jc w:val="both"/>
        <w:rPr>
          <w:rFonts w:eastAsiaTheme="minorEastAsia"/>
        </w:rPr>
      </w:pPr>
    </w:p>
    <w:p w14:paraId="35273814" w14:textId="77777777" w:rsidR="00B47A67" w:rsidRDefault="00B47A67" w:rsidP="002A48EB">
      <w:pPr>
        <w:pStyle w:val="Ttulo3"/>
        <w:numPr>
          <w:ilvl w:val="2"/>
          <w:numId w:val="3"/>
        </w:numPr>
        <w:ind w:left="284" w:hanging="180"/>
      </w:pPr>
      <w:bookmarkStart w:id="18" w:name="_Toc144396528"/>
      <w:r>
        <w:t>Tendencias en la región</w:t>
      </w:r>
      <w:bookmarkEnd w:id="18"/>
    </w:p>
    <w:p w14:paraId="3C9F1B27" w14:textId="77777777" w:rsidR="00B47A67" w:rsidRDefault="00B47A67" w:rsidP="00B47A67">
      <w:pPr>
        <w:tabs>
          <w:tab w:val="left" w:pos="921"/>
        </w:tabs>
        <w:spacing w:after="0" w:line="240" w:lineRule="auto"/>
        <w:contextualSpacing/>
        <w:jc w:val="both"/>
        <w:rPr>
          <w:rFonts w:eastAsiaTheme="minorEastAsia"/>
        </w:rPr>
      </w:pPr>
    </w:p>
    <w:p w14:paraId="3EE17060" w14:textId="77777777" w:rsidR="00B47A67" w:rsidRPr="000B4EE1" w:rsidRDefault="00B47A67" w:rsidP="00D8485B">
      <w:pPr>
        <w:tabs>
          <w:tab w:val="left" w:pos="921"/>
        </w:tabs>
        <w:spacing w:after="0" w:line="240" w:lineRule="auto"/>
        <w:contextualSpacing/>
        <w:jc w:val="both"/>
        <w:rPr>
          <w:rFonts w:eastAsiaTheme="minorEastAsia"/>
        </w:rPr>
      </w:pPr>
      <w:r w:rsidRPr="00CB07D4">
        <w:rPr>
          <w:rFonts w:eastAsiaTheme="minorEastAsia"/>
        </w:rPr>
        <w:t>Actualmente, la Asociación Internacional de Organismos Supervisores de Fondos de Pensiones (AIOS)</w:t>
      </w:r>
      <w:r>
        <w:rPr>
          <w:rFonts w:eastAsiaTheme="minorEastAsia"/>
        </w:rPr>
        <w:t>, de la que Costa Rica forma parte</w:t>
      </w:r>
      <w:r w:rsidRPr="00CB07D4">
        <w:rPr>
          <w:rFonts w:eastAsiaTheme="minorEastAsia"/>
        </w:rPr>
        <w:t>,</w:t>
      </w:r>
      <w:r w:rsidR="00826605">
        <w:rPr>
          <w:rFonts w:eastAsiaTheme="minorEastAsia"/>
        </w:rPr>
        <w:t xml:space="preserve"> </w:t>
      </w:r>
      <w:r>
        <w:rPr>
          <w:rFonts w:eastAsiaTheme="minorEastAsia"/>
        </w:rPr>
        <w:t xml:space="preserve">ha </w:t>
      </w:r>
      <w:r w:rsidR="000B4EE1" w:rsidRPr="000B4EE1">
        <w:rPr>
          <w:rFonts w:eastAsiaTheme="minorEastAsia"/>
        </w:rPr>
        <w:t>acordado</w:t>
      </w:r>
      <w:r w:rsidR="006A612E" w:rsidRPr="000B4EE1">
        <w:rPr>
          <w:rFonts w:eastAsiaTheme="minorEastAsia"/>
        </w:rPr>
        <w:t xml:space="preserve"> </w:t>
      </w:r>
      <w:r w:rsidR="003F11FE">
        <w:rPr>
          <w:rFonts w:eastAsiaTheme="minorEastAsia"/>
        </w:rPr>
        <w:t xml:space="preserve">(primer semestre de 2023) </w:t>
      </w:r>
      <w:r w:rsidR="006A612E" w:rsidRPr="000B4EE1">
        <w:rPr>
          <w:rFonts w:eastAsiaTheme="minorEastAsia"/>
        </w:rPr>
        <w:t xml:space="preserve">iniciar </w:t>
      </w:r>
      <w:r w:rsidRPr="000B4EE1">
        <w:rPr>
          <w:rFonts w:eastAsiaTheme="minorEastAsia"/>
        </w:rPr>
        <w:t>un proyecto regional con el propósito de generar el conocimiento</w:t>
      </w:r>
      <w:r w:rsidR="00401BBF">
        <w:rPr>
          <w:rFonts w:eastAsiaTheme="minorEastAsia"/>
        </w:rPr>
        <w:t xml:space="preserve"> general</w:t>
      </w:r>
      <w:r w:rsidRPr="000B4EE1">
        <w:rPr>
          <w:rFonts w:eastAsiaTheme="minorEastAsia"/>
        </w:rPr>
        <w:t xml:space="preserve"> para </w:t>
      </w:r>
      <w:r w:rsidR="00296BFA" w:rsidRPr="000B4EE1">
        <w:rPr>
          <w:rFonts w:eastAsiaTheme="minorEastAsia"/>
        </w:rPr>
        <w:t>la</w:t>
      </w:r>
      <w:r w:rsidRPr="000B4EE1">
        <w:rPr>
          <w:rFonts w:eastAsiaTheme="minorEastAsia"/>
        </w:rPr>
        <w:t xml:space="preserve"> implementación de un esquema de </w:t>
      </w:r>
      <w:r w:rsidR="00F47A94" w:rsidRPr="000B4EE1">
        <w:rPr>
          <w:rFonts w:eastAsiaTheme="minorEastAsia"/>
        </w:rPr>
        <w:t>f</w:t>
      </w:r>
      <w:r w:rsidRPr="000B4EE1">
        <w:rPr>
          <w:rFonts w:eastAsiaTheme="minorEastAsia"/>
        </w:rPr>
        <w:t xml:space="preserve">ondos </w:t>
      </w:r>
      <w:r w:rsidR="00F47A94" w:rsidRPr="000B4EE1">
        <w:rPr>
          <w:rFonts w:eastAsiaTheme="minorEastAsia"/>
        </w:rPr>
        <w:t>g</w:t>
      </w:r>
      <w:r w:rsidRPr="000B4EE1">
        <w:rPr>
          <w:rFonts w:eastAsiaTheme="minorEastAsia"/>
        </w:rPr>
        <w:t xml:space="preserve">eneracionales </w:t>
      </w:r>
      <w:r w:rsidR="00296BFA" w:rsidRPr="000B4EE1">
        <w:rPr>
          <w:rFonts w:eastAsiaTheme="minorEastAsia"/>
        </w:rPr>
        <w:t>en cada uno de los países</w:t>
      </w:r>
      <w:r w:rsidR="000B4EE1" w:rsidRPr="000B4EE1">
        <w:rPr>
          <w:rFonts w:eastAsiaTheme="minorEastAsia"/>
        </w:rPr>
        <w:t xml:space="preserve"> miembros</w:t>
      </w:r>
      <w:r w:rsidR="00D8485B" w:rsidRPr="000B4EE1">
        <w:rPr>
          <w:rFonts w:eastAsiaTheme="minorEastAsia"/>
        </w:rPr>
        <w:t xml:space="preserve">. </w:t>
      </w:r>
    </w:p>
    <w:p w14:paraId="69A0D81B" w14:textId="77777777" w:rsidR="00B47A67" w:rsidRDefault="00B47A67" w:rsidP="00B47A67">
      <w:pPr>
        <w:tabs>
          <w:tab w:val="left" w:pos="921"/>
        </w:tabs>
        <w:spacing w:after="0" w:line="240" w:lineRule="auto"/>
        <w:contextualSpacing/>
        <w:jc w:val="both"/>
        <w:rPr>
          <w:rFonts w:eastAsiaTheme="minorEastAsia"/>
        </w:rPr>
      </w:pPr>
    </w:p>
    <w:p w14:paraId="5A8F7DB7" w14:textId="77777777" w:rsidR="00B47A67" w:rsidRDefault="00B47A67" w:rsidP="00B47A67">
      <w:pPr>
        <w:tabs>
          <w:tab w:val="left" w:pos="921"/>
        </w:tabs>
        <w:spacing w:after="0" w:line="240" w:lineRule="auto"/>
        <w:contextualSpacing/>
        <w:jc w:val="both"/>
        <w:rPr>
          <w:rFonts w:eastAsiaTheme="minorEastAsia"/>
        </w:rPr>
      </w:pPr>
    </w:p>
    <w:p w14:paraId="4DD6C3A0" w14:textId="77777777" w:rsidR="00B47A67" w:rsidRDefault="00B47A67" w:rsidP="00B47A67">
      <w:pPr>
        <w:spacing w:after="0" w:line="240" w:lineRule="auto"/>
        <w:contextualSpacing/>
        <w:jc w:val="both"/>
        <w:rPr>
          <w:rFonts w:eastAsiaTheme="minorEastAsia"/>
        </w:rPr>
      </w:pPr>
    </w:p>
    <w:p w14:paraId="431BAB6A" w14:textId="77777777" w:rsidR="00B47A67" w:rsidRDefault="00B47A67" w:rsidP="00B47A67"/>
    <w:p w14:paraId="178BD6A1" w14:textId="77777777" w:rsidR="00B47A67" w:rsidRPr="00207C9A" w:rsidRDefault="00B47A67" w:rsidP="00B47A67"/>
    <w:bookmarkEnd w:id="6"/>
    <w:p w14:paraId="6AB59F26" w14:textId="77777777" w:rsidR="00B47A67" w:rsidRDefault="00B47A67" w:rsidP="00B47A67"/>
    <w:p w14:paraId="54A76BA4" w14:textId="77777777" w:rsidR="00B47A67" w:rsidRDefault="00B47A67" w:rsidP="00B47A67">
      <w:pPr>
        <w:rPr>
          <w:rFonts w:asciiTheme="majorHAnsi" w:eastAsiaTheme="majorEastAsia" w:hAnsiTheme="majorHAnsi" w:cstheme="majorBidi"/>
          <w:smallCaps/>
          <w:color w:val="2F5496" w:themeColor="accent1" w:themeShade="BF"/>
          <w:sz w:val="32"/>
          <w:szCs w:val="32"/>
        </w:rPr>
      </w:pPr>
      <w:r>
        <w:br w:type="page"/>
      </w:r>
    </w:p>
    <w:p w14:paraId="35D94F91" w14:textId="77777777" w:rsidR="00B47A67" w:rsidRDefault="00B47A67" w:rsidP="00B47A67">
      <w:pPr>
        <w:pStyle w:val="Ttulo1"/>
      </w:pPr>
      <w:bookmarkStart w:id="19" w:name="_Toc144396529"/>
      <w:r>
        <w:lastRenderedPageBreak/>
        <w:t>Capítulo 2: El ROP y el objetivo del proyecto</w:t>
      </w:r>
      <w:bookmarkEnd w:id="19"/>
    </w:p>
    <w:p w14:paraId="6CCE311C" w14:textId="77777777" w:rsidR="00B47A67" w:rsidRDefault="00B47A67" w:rsidP="00B47A67">
      <w:pPr>
        <w:spacing w:after="0" w:line="240" w:lineRule="auto"/>
        <w:contextualSpacing/>
      </w:pPr>
    </w:p>
    <w:p w14:paraId="3D3EEB4B" w14:textId="77777777" w:rsidR="00B47A67" w:rsidRDefault="00B47A67" w:rsidP="00B47A67">
      <w:pPr>
        <w:spacing w:after="0" w:line="240" w:lineRule="auto"/>
        <w:contextualSpacing/>
        <w:jc w:val="both"/>
      </w:pPr>
      <w:r w:rsidRPr="00BC5F93">
        <w:t>La LPT</w:t>
      </w:r>
      <w:r w:rsidR="007F711D">
        <w:t xml:space="preserve"> (Ley de Protección al Trabajador)</w:t>
      </w:r>
      <w:r w:rsidRPr="00BC5F93">
        <w:t xml:space="preserve"> establece como objetivo del Régimen Obligatorio de Pensiones (ROP) complementar los beneficios establecidos en el Régimen de Invalidez, Vejez y Muerte (IVM), o sus sustitutos, para todos los trabajadores dependientes o asalariados (artículos 2, inciso d, y </w:t>
      </w:r>
      <w:r w:rsidR="00775E0E">
        <w:t xml:space="preserve">artículo </w:t>
      </w:r>
      <w:r w:rsidRPr="00BC5F93">
        <w:t>9</w:t>
      </w:r>
      <w:r w:rsidR="00775E0E">
        <w:t xml:space="preserve"> de la</w:t>
      </w:r>
      <w:r w:rsidRPr="00BC5F93">
        <w:t xml:space="preserve"> LPT).  </w:t>
      </w:r>
    </w:p>
    <w:p w14:paraId="31D57A48" w14:textId="77777777" w:rsidR="00B47A67" w:rsidRDefault="00B47A67" w:rsidP="00B47A67">
      <w:pPr>
        <w:spacing w:after="0" w:line="240" w:lineRule="auto"/>
        <w:contextualSpacing/>
        <w:jc w:val="both"/>
      </w:pPr>
    </w:p>
    <w:p w14:paraId="65C0F46B" w14:textId="77777777" w:rsidR="00B47A67" w:rsidRDefault="00B47A67" w:rsidP="00B47A67">
      <w:pPr>
        <w:spacing w:after="0" w:line="240" w:lineRule="auto"/>
        <w:contextualSpacing/>
        <w:jc w:val="both"/>
      </w:pPr>
      <w:r>
        <w:t>Para poder cumplir con ese objetivo esta ley dispone que</w:t>
      </w:r>
      <w:r w:rsidRPr="00CB07D4">
        <w:t xml:space="preserve">: </w:t>
      </w:r>
    </w:p>
    <w:p w14:paraId="366DAC06" w14:textId="77777777" w:rsidR="00B47A67" w:rsidRPr="00BC5F93" w:rsidRDefault="00B47A67" w:rsidP="00B47A67">
      <w:pPr>
        <w:spacing w:after="0" w:line="240" w:lineRule="auto"/>
        <w:contextualSpacing/>
        <w:jc w:val="both"/>
      </w:pPr>
    </w:p>
    <w:p w14:paraId="286D4563" w14:textId="77777777" w:rsidR="00B47A67" w:rsidRPr="00CB07D4" w:rsidRDefault="00B47A67" w:rsidP="00B47A67">
      <w:pPr>
        <w:pStyle w:val="Prrafodelista"/>
        <w:numPr>
          <w:ilvl w:val="0"/>
          <w:numId w:val="6"/>
        </w:numPr>
        <w:spacing w:after="0" w:line="240" w:lineRule="auto"/>
        <w:jc w:val="both"/>
      </w:pPr>
      <w:r w:rsidRPr="00CB07D4">
        <w:t xml:space="preserve">Los aportes del sistema de capitalización individual deben ser registrados y controlados por medio del Sistema Centralizado de Recaudación (SICERE) de la Caja Costarricense de Seguro Social (CCSS) (artículo 2, inciso d, LPT).  </w:t>
      </w:r>
    </w:p>
    <w:p w14:paraId="030BAD54" w14:textId="77777777" w:rsidR="00B47A67" w:rsidRPr="00CB07D4" w:rsidRDefault="00B47A67" w:rsidP="00B47A67">
      <w:pPr>
        <w:pStyle w:val="Prrafodelista"/>
        <w:numPr>
          <w:ilvl w:val="0"/>
          <w:numId w:val="6"/>
        </w:numPr>
        <w:spacing w:after="0" w:line="240" w:lineRule="auto"/>
        <w:jc w:val="both"/>
      </w:pPr>
      <w:r w:rsidRPr="00CB07D4">
        <w:t>El régimen obligatorio de pensiones debe ser administrado por medio de operadoras de pensiones complementarias</w:t>
      </w:r>
      <w:r>
        <w:t xml:space="preserve"> (artículo 9 LPT)</w:t>
      </w:r>
      <w:r w:rsidR="006D7221">
        <w:t>.</w:t>
      </w:r>
    </w:p>
    <w:p w14:paraId="72051221" w14:textId="77777777" w:rsidR="00B47A67" w:rsidRPr="003F11FE" w:rsidRDefault="00B47A67" w:rsidP="00B47A67">
      <w:pPr>
        <w:pStyle w:val="Prrafodelista"/>
        <w:numPr>
          <w:ilvl w:val="0"/>
          <w:numId w:val="6"/>
        </w:numPr>
        <w:spacing w:after="0" w:line="240" w:lineRule="auto"/>
        <w:jc w:val="both"/>
      </w:pPr>
      <w:r w:rsidRPr="00CB07D4">
        <w:t xml:space="preserve">Los trabajadores deben seleccionar una única operadora que administrará sus recursos del ROP. Para ello, la entidad deberá abrir y mantener para cada trabajador afiliado una cuenta individual de pensiones a su nombre, en la cual se acreditarán los aportes y los rendimientos que generen las inversiones, una vez deducida la comisión de administración (artículos </w:t>
      </w:r>
      <w:r w:rsidRPr="003F11FE">
        <w:t xml:space="preserve">12 y 52 LPT). </w:t>
      </w:r>
    </w:p>
    <w:p w14:paraId="4795790C" w14:textId="77777777" w:rsidR="00B47A67" w:rsidRPr="003F11FE" w:rsidRDefault="00B47A67" w:rsidP="00B47A67">
      <w:pPr>
        <w:pStyle w:val="Prrafodelista"/>
        <w:numPr>
          <w:ilvl w:val="0"/>
          <w:numId w:val="6"/>
        </w:numPr>
        <w:spacing w:after="0" w:line="240" w:lineRule="auto"/>
        <w:jc w:val="both"/>
      </w:pPr>
      <w:r w:rsidRPr="003F11FE">
        <w:t xml:space="preserve">Los recursos </w:t>
      </w:r>
      <w:r w:rsidR="00131D37" w:rsidRPr="003F11FE">
        <w:t>se administran en un</w:t>
      </w:r>
      <w:r w:rsidRPr="003F11FE">
        <w:t xml:space="preserve"> fondo de pensión. Los fondos están integrados por cuentas individuales. Cada afiliado es copropietario del fondo al que pertenece según su parte alícuota (artículo 52 LPT).</w:t>
      </w:r>
    </w:p>
    <w:p w14:paraId="4C5191E8" w14:textId="77777777" w:rsidR="00B47A67" w:rsidRDefault="00B47A67" w:rsidP="00B47A67">
      <w:pPr>
        <w:pStyle w:val="Prrafodelista"/>
        <w:numPr>
          <w:ilvl w:val="0"/>
          <w:numId w:val="6"/>
        </w:numPr>
        <w:spacing w:after="0" w:line="240" w:lineRule="auto"/>
        <w:jc w:val="both"/>
      </w:pPr>
      <w:r w:rsidRPr="00CB07D4">
        <w:t>Los recursos de los fondos solo pueden destinarse a la adquisición de valores en favor del mismo fondo, el pago de los beneficios a los afiliados, la transferencia entre operadoras y al pago de las sumas por comisiones ordenadas en la Ley (artículo 56 LPT).</w:t>
      </w:r>
    </w:p>
    <w:p w14:paraId="7057553C" w14:textId="77777777" w:rsidR="00B47A67" w:rsidRDefault="00B47A67" w:rsidP="00B47A67">
      <w:pPr>
        <w:pStyle w:val="Prrafodelista"/>
        <w:numPr>
          <w:ilvl w:val="0"/>
          <w:numId w:val="6"/>
        </w:numPr>
        <w:spacing w:after="0" w:line="240" w:lineRule="auto"/>
        <w:jc w:val="both"/>
      </w:pPr>
      <w:r>
        <w:t>Los recursos de los afiliados d</w:t>
      </w:r>
      <w:r w:rsidRPr="007215DB">
        <w:t xml:space="preserve">eberán ser invertidos para </w:t>
      </w:r>
      <w:r w:rsidR="00541F75">
        <w:t>su</w:t>
      </w:r>
      <w:r w:rsidRPr="007215DB">
        <w:t xml:space="preserve"> provecho, procurando el equilibrio necesario entre seguridad, rentabilidad y liquidez, de acuerdo con su finalidad y respetando los límites fijados por la ley y las normas reglamentarias que </w:t>
      </w:r>
      <w:r w:rsidR="009A25FF">
        <w:t>el Con</w:t>
      </w:r>
      <w:r w:rsidR="009212A5">
        <w:t>sejo Nacional de Supervisión del Sistema Financiero (Conassif)</w:t>
      </w:r>
      <w:r w:rsidR="009A25FF">
        <w:t xml:space="preserve"> </w:t>
      </w:r>
      <w:r w:rsidRPr="007215DB">
        <w:t>dicte sobre el particular</w:t>
      </w:r>
      <w:r>
        <w:t xml:space="preserve"> (artículo 60, inciso b, LPT).</w:t>
      </w:r>
    </w:p>
    <w:p w14:paraId="616DC479" w14:textId="77777777" w:rsidR="00B47A67" w:rsidRDefault="00B47A67" w:rsidP="00B47A67"/>
    <w:p w14:paraId="4B174287" w14:textId="77777777" w:rsidR="00B47A67" w:rsidRDefault="00B47A67" w:rsidP="00B47A67">
      <w:pPr>
        <w:jc w:val="both"/>
      </w:pPr>
      <w:r>
        <w:t xml:space="preserve">El proyecto de </w:t>
      </w:r>
      <w:r w:rsidR="009212A5">
        <w:t>f</w:t>
      </w:r>
      <w:r>
        <w:t xml:space="preserve">ondos </w:t>
      </w:r>
      <w:r w:rsidR="009212A5">
        <w:t>g</w:t>
      </w:r>
      <w:r>
        <w:t>eneracionales busca</w:t>
      </w:r>
      <w:r w:rsidR="005408FC">
        <w:t>,</w:t>
      </w:r>
      <w:r>
        <w:t xml:space="preserve"> en este marco</w:t>
      </w:r>
      <w:r w:rsidR="005408FC">
        <w:t>,</w:t>
      </w:r>
      <w:r>
        <w:t xml:space="preserve"> aumentar mediante inversiones planificadas por ciclo de vida, </w:t>
      </w:r>
      <w:r w:rsidR="00541F75">
        <w:t>mejores</w:t>
      </w:r>
      <w:r>
        <w:t xml:space="preserve"> rendimientos y maximizar el saldo acumulado de los trabajadores. </w:t>
      </w:r>
    </w:p>
    <w:p w14:paraId="56601673" w14:textId="77777777" w:rsidR="00B47A67" w:rsidRDefault="00B47A67" w:rsidP="00B47A67"/>
    <w:p w14:paraId="3F4A18B6" w14:textId="77777777" w:rsidR="00B47A67" w:rsidRDefault="00B47A67" w:rsidP="00B47A67">
      <w:pPr>
        <w:pStyle w:val="Ttulo2"/>
      </w:pPr>
      <w:bookmarkStart w:id="20" w:name="_Toc144396530"/>
      <w:r>
        <w:t xml:space="preserve">2.1. Objetivo del </w:t>
      </w:r>
      <w:r w:rsidR="0044186B">
        <w:t>p</w:t>
      </w:r>
      <w:r>
        <w:t>royecto</w:t>
      </w:r>
      <w:bookmarkEnd w:id="20"/>
    </w:p>
    <w:p w14:paraId="18A2DD47" w14:textId="77777777" w:rsidR="00B47A67" w:rsidRDefault="00B47A67" w:rsidP="00B47A67"/>
    <w:p w14:paraId="3B0FBA7F" w14:textId="77777777" w:rsidR="00B47A67" w:rsidRPr="003F11FE" w:rsidRDefault="00D46506" w:rsidP="00B47A67">
      <w:pPr>
        <w:jc w:val="both"/>
      </w:pPr>
      <w:r w:rsidRPr="003F11FE">
        <w:t xml:space="preserve">Establecer estrategias de inversión ligadas al ciclo de vida en procura </w:t>
      </w:r>
      <w:r w:rsidR="003F11FE">
        <w:t xml:space="preserve">de </w:t>
      </w:r>
      <w:r w:rsidRPr="003F11FE">
        <w:t>mejorar las tasas de remplazo</w:t>
      </w:r>
      <w:r w:rsidR="00873834" w:rsidRPr="003F11FE">
        <w:t xml:space="preserve"> a que tenga acceso </w:t>
      </w:r>
      <w:r w:rsidRPr="003F11FE">
        <w:t>el afiliad</w:t>
      </w:r>
      <w:r w:rsidR="002E01EA" w:rsidRPr="003F11FE">
        <w:t xml:space="preserve">o </w:t>
      </w:r>
      <w:r w:rsidR="00FA0244" w:rsidRPr="003F11FE">
        <w:t xml:space="preserve">mediante esquemas de fondos generacionales. </w:t>
      </w:r>
    </w:p>
    <w:p w14:paraId="65725B79" w14:textId="77777777" w:rsidR="00B47A67" w:rsidRDefault="00B47A67" w:rsidP="00B47A67">
      <w:r>
        <w:br w:type="page"/>
      </w:r>
    </w:p>
    <w:p w14:paraId="6F2C19C7" w14:textId="77777777" w:rsidR="00B47A67" w:rsidRDefault="00B47A67" w:rsidP="00B47A67">
      <w:pPr>
        <w:pStyle w:val="Ttulo2"/>
      </w:pPr>
      <w:bookmarkStart w:id="21" w:name="_Toc144396531"/>
      <w:r>
        <w:lastRenderedPageBreak/>
        <w:t>2.2. Objetivos específicos</w:t>
      </w:r>
      <w:bookmarkEnd w:id="21"/>
    </w:p>
    <w:p w14:paraId="09E5EBEB" w14:textId="77777777" w:rsidR="00B47A67" w:rsidRDefault="00B47A67" w:rsidP="003F11FE">
      <w:pPr>
        <w:jc w:val="both"/>
      </w:pPr>
    </w:p>
    <w:p w14:paraId="54985D54" w14:textId="77777777" w:rsidR="00133CCB" w:rsidRDefault="00A63B15" w:rsidP="003F11FE">
      <w:pPr>
        <w:pStyle w:val="Prrafodelista"/>
        <w:numPr>
          <w:ilvl w:val="0"/>
          <w:numId w:val="8"/>
        </w:numPr>
        <w:spacing w:after="0" w:line="240" w:lineRule="auto"/>
        <w:ind w:left="714" w:hanging="357"/>
        <w:jc w:val="both"/>
      </w:pPr>
      <w:r>
        <w:t xml:space="preserve">Establecer </w:t>
      </w:r>
      <w:r w:rsidR="00C34645">
        <w:t>el marco regulatorio para la implementación y operación del ROP</w:t>
      </w:r>
      <w:r w:rsidR="00AF68B9">
        <w:t xml:space="preserve"> mediante fondos generacionales.</w:t>
      </w:r>
    </w:p>
    <w:p w14:paraId="744139E0" w14:textId="77777777" w:rsidR="00133CCB" w:rsidRDefault="00133CCB" w:rsidP="003F11FE">
      <w:pPr>
        <w:pStyle w:val="Prrafodelista"/>
        <w:spacing w:after="0" w:line="240" w:lineRule="auto"/>
        <w:ind w:left="714"/>
        <w:jc w:val="both"/>
      </w:pPr>
    </w:p>
    <w:p w14:paraId="055648D4" w14:textId="77777777" w:rsidR="00133CCB" w:rsidRDefault="00B6586F" w:rsidP="003F11FE">
      <w:pPr>
        <w:pStyle w:val="Prrafodelista"/>
        <w:numPr>
          <w:ilvl w:val="0"/>
          <w:numId w:val="8"/>
        </w:numPr>
        <w:spacing w:after="0" w:line="240" w:lineRule="auto"/>
        <w:ind w:left="714" w:hanging="357"/>
        <w:jc w:val="both"/>
      </w:pPr>
      <w:r>
        <w:t>Establecer la regulación de la gestión de las</w:t>
      </w:r>
      <w:r w:rsidR="00B47A67">
        <w:t xml:space="preserve"> inversi</w:t>
      </w:r>
      <w:r>
        <w:t>o</w:t>
      </w:r>
      <w:r w:rsidR="00B47A67">
        <w:t>n</w:t>
      </w:r>
      <w:r>
        <w:t>es</w:t>
      </w:r>
      <w:r w:rsidR="00B47A67">
        <w:t xml:space="preserve"> </w:t>
      </w:r>
      <w:r>
        <w:t>para que esta</w:t>
      </w:r>
      <w:r w:rsidR="00CB30BB">
        <w:t xml:space="preserve">s se </w:t>
      </w:r>
      <w:r w:rsidR="00B47A67">
        <w:t>adecúe</w:t>
      </w:r>
      <w:r w:rsidR="00CB30BB">
        <w:t>n</w:t>
      </w:r>
      <w:r w:rsidR="00B47A67">
        <w:t xml:space="preserve"> a la evolución del perfil de riesgo-rendimiento de los trabajadores durante su vida laboral.</w:t>
      </w:r>
    </w:p>
    <w:p w14:paraId="5A34A9A2" w14:textId="77777777" w:rsidR="00133CCB" w:rsidRDefault="00133CCB" w:rsidP="003F11FE">
      <w:pPr>
        <w:spacing w:after="0" w:line="240" w:lineRule="auto"/>
        <w:jc w:val="both"/>
      </w:pPr>
    </w:p>
    <w:p w14:paraId="315C83AB" w14:textId="77777777" w:rsidR="00B47A67" w:rsidRDefault="00B47A67" w:rsidP="003F11FE">
      <w:pPr>
        <w:pStyle w:val="Prrafodelista"/>
        <w:numPr>
          <w:ilvl w:val="0"/>
          <w:numId w:val="8"/>
        </w:numPr>
        <w:spacing w:after="0" w:line="240" w:lineRule="auto"/>
        <w:ind w:left="714" w:hanging="357"/>
        <w:jc w:val="both"/>
      </w:pPr>
      <w:r>
        <w:t>Otorgar mejores herramientas de defensa ante ciclos de volatilidad en los mercados.</w:t>
      </w:r>
    </w:p>
    <w:p w14:paraId="45340C77" w14:textId="77777777" w:rsidR="00133CCB" w:rsidRDefault="00133CCB" w:rsidP="003F11FE">
      <w:pPr>
        <w:spacing w:after="0" w:line="240" w:lineRule="auto"/>
        <w:jc w:val="both"/>
      </w:pPr>
    </w:p>
    <w:p w14:paraId="78CF06CC" w14:textId="77777777" w:rsidR="00696FC5" w:rsidRPr="003F11FE" w:rsidRDefault="00696FC5" w:rsidP="003F11FE">
      <w:pPr>
        <w:pStyle w:val="Prrafodelista"/>
        <w:numPr>
          <w:ilvl w:val="0"/>
          <w:numId w:val="8"/>
        </w:numPr>
        <w:spacing w:after="0" w:line="240" w:lineRule="auto"/>
        <w:ind w:left="714" w:hanging="357"/>
        <w:jc w:val="both"/>
      </w:pPr>
      <w:r>
        <w:t xml:space="preserve">Impulsar </w:t>
      </w:r>
      <w:r w:rsidRPr="003F11FE">
        <w:t xml:space="preserve">el uso de </w:t>
      </w:r>
      <w:r w:rsidR="00AC1819" w:rsidRPr="003F11FE">
        <w:t>títulos representativos de propiedad</w:t>
      </w:r>
      <w:r w:rsidRPr="003F11FE">
        <w:t xml:space="preserve"> en búsqueda de mayores rendimientos y, por ende, mejores pensiones para los trabajadores (mayor tasa de reemplazo).</w:t>
      </w:r>
    </w:p>
    <w:p w14:paraId="3944AA95" w14:textId="77777777" w:rsidR="00B47A67" w:rsidRDefault="00B47A67" w:rsidP="003F11FE">
      <w:pPr>
        <w:jc w:val="both"/>
      </w:pPr>
    </w:p>
    <w:p w14:paraId="1A50F451" w14:textId="77777777" w:rsidR="00B47A67" w:rsidRDefault="00B47A67" w:rsidP="00B47A67">
      <w:pPr>
        <w:pStyle w:val="Ttulo2"/>
      </w:pPr>
      <w:bookmarkStart w:id="22" w:name="_Toc144396532"/>
      <w:r>
        <w:t>2.3. Principios orientadores del proyecto</w:t>
      </w:r>
      <w:bookmarkEnd w:id="22"/>
    </w:p>
    <w:p w14:paraId="2EB98744" w14:textId="77777777" w:rsidR="00B47A67" w:rsidRDefault="00B47A67" w:rsidP="00B47A67"/>
    <w:p w14:paraId="1E870C41" w14:textId="77777777" w:rsidR="00B47A67" w:rsidRDefault="00B47A67" w:rsidP="00B47A67">
      <w:pPr>
        <w:pStyle w:val="Prrafodelista"/>
        <w:numPr>
          <w:ilvl w:val="0"/>
          <w:numId w:val="7"/>
        </w:numPr>
        <w:jc w:val="both"/>
      </w:pPr>
      <w:r w:rsidRPr="00BC2F66">
        <w:t>Protección de afiliados y pensionados</w:t>
      </w:r>
      <w:r>
        <w:t>:</w:t>
      </w:r>
      <w:r w:rsidRPr="000D5E96">
        <w:t xml:space="preserve"> Consiste en garantizar</w:t>
      </w:r>
      <w:r w:rsidR="008E39DD">
        <w:t xml:space="preserve"> el respeto de </w:t>
      </w:r>
      <w:r w:rsidRPr="000D5E96">
        <w:t>los derechos y beneficios</w:t>
      </w:r>
      <w:r w:rsidR="008E39DD">
        <w:t xml:space="preserve"> jubilatorios</w:t>
      </w:r>
      <w:r w:rsidRPr="000D5E96">
        <w:t xml:space="preserve"> de los afiliados y pensionados </w:t>
      </w:r>
      <w:r w:rsidR="00241530">
        <w:t>en la</w:t>
      </w:r>
      <w:r>
        <w:t>s trasformaciones del régimen que se llevarán a cabo.</w:t>
      </w:r>
    </w:p>
    <w:p w14:paraId="3DEDD734" w14:textId="77777777" w:rsidR="00B47A67" w:rsidRDefault="00B47A67" w:rsidP="00B47A67">
      <w:pPr>
        <w:pStyle w:val="Prrafodelista"/>
        <w:jc w:val="both"/>
      </w:pPr>
    </w:p>
    <w:p w14:paraId="6865CB91" w14:textId="77777777" w:rsidR="00B47A67" w:rsidRDefault="00B47A67" w:rsidP="00B47A67">
      <w:pPr>
        <w:pStyle w:val="Prrafodelista"/>
        <w:numPr>
          <w:ilvl w:val="0"/>
          <w:numId w:val="7"/>
        </w:numPr>
        <w:jc w:val="both"/>
      </w:pPr>
      <w:r w:rsidRPr="00BC2F66">
        <w:t>Mejora a la gestión de las inversiones</w:t>
      </w:r>
      <w:r>
        <w:t xml:space="preserve">: </w:t>
      </w:r>
      <w:r w:rsidRPr="000D5E96">
        <w:t>Consiste en optimizar el rendimiento y la seguridad de los fondos de pensiones, mediante la aplicación de criterios técnicos, financieros y regulatorios</w:t>
      </w:r>
      <w:r w:rsidR="000333B1">
        <w:t xml:space="preserve"> que respondan a</w:t>
      </w:r>
      <w:r w:rsidR="009B2ADB">
        <w:t>l ciclo de vida del afiliado o pensionado</w:t>
      </w:r>
      <w:r w:rsidRPr="000D5E96">
        <w:t>.</w:t>
      </w:r>
    </w:p>
    <w:p w14:paraId="243F662D" w14:textId="77777777" w:rsidR="00B47A67" w:rsidRDefault="00B47A67" w:rsidP="00B47A67">
      <w:pPr>
        <w:pStyle w:val="Prrafodelista"/>
        <w:jc w:val="both"/>
      </w:pPr>
    </w:p>
    <w:p w14:paraId="2F3F806D" w14:textId="77777777" w:rsidR="00B47A67" w:rsidRDefault="00B47A67" w:rsidP="00B47A67">
      <w:pPr>
        <w:pStyle w:val="Prrafodelista"/>
        <w:numPr>
          <w:ilvl w:val="0"/>
          <w:numId w:val="7"/>
        </w:numPr>
        <w:jc w:val="both"/>
      </w:pPr>
      <w:r w:rsidRPr="00BC2F66">
        <w:t>Menor afectación operativa (costos)</w:t>
      </w:r>
      <w:r>
        <w:t xml:space="preserve">: </w:t>
      </w:r>
      <w:r w:rsidRPr="000D5E96">
        <w:t xml:space="preserve">Consiste en minimizar el impacto de las actividades </w:t>
      </w:r>
      <w:r w:rsidR="009B2ADB">
        <w:t>operativas</w:t>
      </w:r>
      <w:r>
        <w:t xml:space="preserve"> de las entidades, </w:t>
      </w:r>
      <w:r w:rsidRPr="000D5E96">
        <w:t>evitando generar costos innecesarios o excesivos</w:t>
      </w:r>
      <w:r w:rsidR="009B2ADB">
        <w:t xml:space="preserve">, </w:t>
      </w:r>
      <w:r w:rsidR="007224F4">
        <w:t>que pudieran trasladarse a los afiliados y pensionados</w:t>
      </w:r>
      <w:r>
        <w:t>.</w:t>
      </w:r>
    </w:p>
    <w:p w14:paraId="322E924A" w14:textId="77777777" w:rsidR="00B47A67" w:rsidRDefault="00B47A67" w:rsidP="00B47A67">
      <w:pPr>
        <w:pStyle w:val="Prrafodelista"/>
        <w:jc w:val="both"/>
      </w:pPr>
    </w:p>
    <w:p w14:paraId="3FAEFFAB" w14:textId="77777777" w:rsidR="003F11FE" w:rsidRPr="003F11FE" w:rsidRDefault="00B47A67" w:rsidP="003F11FE">
      <w:pPr>
        <w:pStyle w:val="Prrafodelista"/>
        <w:numPr>
          <w:ilvl w:val="0"/>
          <w:numId w:val="7"/>
        </w:numPr>
        <w:jc w:val="both"/>
      </w:pPr>
      <w:r w:rsidRPr="00BC2F66">
        <w:t>Aplicación clara y ordenada</w:t>
      </w:r>
      <w:r>
        <w:t xml:space="preserve">: </w:t>
      </w:r>
      <w:r w:rsidRPr="00E71C25">
        <w:t xml:space="preserve">Consiste en establecer y comunicar </w:t>
      </w:r>
      <w:r w:rsidR="00A24176">
        <w:t>las actividades del proyecto</w:t>
      </w:r>
      <w:r w:rsidRPr="00E71C25">
        <w:t xml:space="preserve">, </w:t>
      </w:r>
      <w:r>
        <w:t xml:space="preserve">las decisiones, </w:t>
      </w:r>
      <w:r w:rsidRPr="00E71C25">
        <w:t>proce</w:t>
      </w:r>
      <w:r>
        <w:t>sos</w:t>
      </w:r>
      <w:r w:rsidRPr="00E71C25">
        <w:t xml:space="preserve"> y </w:t>
      </w:r>
      <w:r w:rsidRPr="003F11FE">
        <w:t>normas que se generen</w:t>
      </w:r>
      <w:r w:rsidR="007E1132" w:rsidRPr="003F11FE">
        <w:t>,</w:t>
      </w:r>
      <w:r w:rsidRPr="003F11FE">
        <w:t xml:space="preserve"> de manera transparente, coherente y oportuna.</w:t>
      </w:r>
    </w:p>
    <w:p w14:paraId="37931458" w14:textId="77777777" w:rsidR="003F11FE" w:rsidRPr="003F11FE" w:rsidRDefault="003F11FE" w:rsidP="003F11FE">
      <w:pPr>
        <w:pStyle w:val="Prrafodelista"/>
        <w:jc w:val="both"/>
      </w:pPr>
    </w:p>
    <w:p w14:paraId="208049EA" w14:textId="77777777" w:rsidR="00B47A67" w:rsidRPr="003F11FE" w:rsidRDefault="00B47A67" w:rsidP="00B47A67">
      <w:pPr>
        <w:pStyle w:val="Prrafodelista"/>
        <w:numPr>
          <w:ilvl w:val="0"/>
          <w:numId w:val="7"/>
        </w:numPr>
        <w:jc w:val="both"/>
      </w:pPr>
      <w:r w:rsidRPr="003F11FE">
        <w:t xml:space="preserve">Comunicación y coordinación con el sector: Consiste en asegurar una estrecha colaboración </w:t>
      </w:r>
      <w:r w:rsidR="005628C4" w:rsidRPr="003F11FE">
        <w:t>con los</w:t>
      </w:r>
      <w:r w:rsidRPr="003F11FE">
        <w:t xml:space="preserve"> gestores para desarrollar marcos normativos sólidos y actualizados, que favorezcan los objetivos del proyecto.</w:t>
      </w:r>
    </w:p>
    <w:p w14:paraId="74A05698" w14:textId="77777777" w:rsidR="00B47A67" w:rsidRDefault="00B47A67" w:rsidP="00B47A67">
      <w:pPr>
        <w:pStyle w:val="Prrafodelista"/>
      </w:pPr>
    </w:p>
    <w:p w14:paraId="4626F516" w14:textId="77777777" w:rsidR="00B47A67" w:rsidRDefault="00B47A67" w:rsidP="00B47A67">
      <w:r>
        <w:br w:type="page"/>
      </w:r>
    </w:p>
    <w:p w14:paraId="5F952E2C" w14:textId="77777777" w:rsidR="00B47A67" w:rsidRPr="00E71C25" w:rsidRDefault="00B47A67" w:rsidP="00B47A67">
      <w:pPr>
        <w:pStyle w:val="Ttulo2"/>
      </w:pPr>
      <w:bookmarkStart w:id="23" w:name="_Toc144396533"/>
      <w:r>
        <w:lastRenderedPageBreak/>
        <w:t>2.4. Consideración adicional</w:t>
      </w:r>
      <w:bookmarkEnd w:id="23"/>
    </w:p>
    <w:p w14:paraId="79193E60" w14:textId="77777777" w:rsidR="00B47A67" w:rsidRPr="00E71C25" w:rsidRDefault="00B47A67" w:rsidP="00B47A67"/>
    <w:p w14:paraId="587AD465" w14:textId="77777777" w:rsidR="00836874" w:rsidRPr="002019C5" w:rsidRDefault="00F771F8" w:rsidP="00B47A67">
      <w:pPr>
        <w:jc w:val="both"/>
      </w:pPr>
      <w:r w:rsidRPr="002019C5">
        <w:t>S</w:t>
      </w:r>
      <w:r w:rsidR="00B47A67" w:rsidRPr="002019C5">
        <w:t>egún el transitorio I del Reglamento de Beneficios del Régimen de Capitalización Individual</w:t>
      </w:r>
      <w:r w:rsidR="00A87CF1" w:rsidRPr="002019C5">
        <w:t>,</w:t>
      </w:r>
      <w:r w:rsidR="00B47A67" w:rsidRPr="002019C5">
        <w:t xml:space="preserve"> hasta el 31 diciembre del 2024</w:t>
      </w:r>
      <w:r w:rsidR="00ED5B04" w:rsidRPr="002019C5">
        <w:t xml:space="preserve"> </w:t>
      </w:r>
      <w:sdt>
        <w:sdtPr>
          <w:id w:val="959777002"/>
          <w:citation/>
        </w:sdtPr>
        <w:sdtEndPr/>
        <w:sdtContent>
          <w:r w:rsidR="00ED5B04" w:rsidRPr="002019C5">
            <w:fldChar w:fldCharType="begin"/>
          </w:r>
          <w:r w:rsidR="00ED5B04" w:rsidRPr="002019C5">
            <w:rPr>
              <w:lang w:val="es-CR"/>
            </w:rPr>
            <w:instrText xml:space="preserve"> CITATION CON \l 5130 </w:instrText>
          </w:r>
          <w:r w:rsidR="00ED5B04" w:rsidRPr="002019C5">
            <w:fldChar w:fldCharType="separate"/>
          </w:r>
          <w:r w:rsidR="0091728B" w:rsidRPr="002019C5">
            <w:rPr>
              <w:noProof/>
              <w:lang w:val="es-CR"/>
            </w:rPr>
            <w:t>(CONASSIF, s.f.)</w:t>
          </w:r>
          <w:r w:rsidR="00ED5B04" w:rsidRPr="002019C5">
            <w:fldChar w:fldCharType="end"/>
          </w:r>
        </w:sdtContent>
      </w:sdt>
      <w:r w:rsidR="00B47A67" w:rsidRPr="002019C5">
        <w:t xml:space="preserve"> los recursos correspondientes a las distintas modalidades de pensión complementaria se administrarán dentro del fondo correspondiente al ROP de cada entidad. Posterior a esta fecha, el ROP deberá separarse en dos fondos: uno de acumulación en el que permanecerán los trabajadores asalariados y uno para gestionar los productos de beneficios de los trabajadores pensionados. </w:t>
      </w:r>
    </w:p>
    <w:p w14:paraId="7B3319B4" w14:textId="77777777" w:rsidR="00B47A67" w:rsidRPr="002019C5" w:rsidRDefault="00B47A67" w:rsidP="00B47A67">
      <w:pPr>
        <w:jc w:val="both"/>
      </w:pPr>
      <w:r w:rsidRPr="002019C5">
        <w:t>De lo anterior se desprenden dos situaciones</w:t>
      </w:r>
      <w:r w:rsidR="00BB06B3" w:rsidRPr="002019C5">
        <w:t>:</w:t>
      </w:r>
    </w:p>
    <w:p w14:paraId="726E079F" w14:textId="77777777" w:rsidR="00B47A67" w:rsidRPr="002019C5" w:rsidRDefault="00D371DF" w:rsidP="00D371DF">
      <w:pPr>
        <w:ind w:left="708"/>
        <w:jc w:val="both"/>
      </w:pPr>
      <w:r w:rsidRPr="002019C5">
        <w:t>1.</w:t>
      </w:r>
      <w:r w:rsidR="00B47A67" w:rsidRPr="002019C5">
        <w:t xml:space="preserve"> </w:t>
      </w:r>
      <w:r w:rsidR="00D341E8" w:rsidRPr="002019C5">
        <w:t>Durante la vigencia del transitorio</w:t>
      </w:r>
      <w:r w:rsidR="00B47A67" w:rsidRPr="002019C5">
        <w:t xml:space="preserve"> los productos de beneficio y acumulación </w:t>
      </w:r>
      <w:r w:rsidR="006B2BAC" w:rsidRPr="002019C5">
        <w:t>tienen</w:t>
      </w:r>
      <w:r w:rsidR="00B47A67" w:rsidRPr="002019C5">
        <w:t xml:space="preserve"> una única estrategia de inversión. </w:t>
      </w:r>
    </w:p>
    <w:p w14:paraId="02275B12" w14:textId="77777777" w:rsidR="00B47A67" w:rsidRPr="002019C5" w:rsidRDefault="00D371DF" w:rsidP="00D371DF">
      <w:pPr>
        <w:ind w:left="708"/>
        <w:jc w:val="both"/>
      </w:pPr>
      <w:r w:rsidRPr="002019C5">
        <w:t>2.</w:t>
      </w:r>
      <w:r w:rsidR="00B47A67" w:rsidRPr="002019C5">
        <w:t xml:space="preserve"> </w:t>
      </w:r>
      <w:r w:rsidR="001F18C9" w:rsidRPr="002019C5">
        <w:t xml:space="preserve">Una vez vencido </w:t>
      </w:r>
      <w:r w:rsidR="008F781E" w:rsidRPr="002019C5">
        <w:t>el período de transitoriedad</w:t>
      </w:r>
      <w:r w:rsidR="0059169F" w:rsidRPr="002019C5">
        <w:t xml:space="preserve">, </w:t>
      </w:r>
      <w:r w:rsidR="00ED5B04" w:rsidRPr="002019C5">
        <w:t xml:space="preserve">la separación del ROP en dos fondos (acumulación y </w:t>
      </w:r>
      <w:proofErr w:type="spellStart"/>
      <w:r w:rsidR="00ED5B04" w:rsidRPr="002019C5">
        <w:t>desacumulación</w:t>
      </w:r>
      <w:proofErr w:type="spellEnd"/>
      <w:r w:rsidR="00ED5B04" w:rsidRPr="002019C5">
        <w:t>)</w:t>
      </w:r>
      <w:r w:rsidR="00B47A67" w:rsidRPr="002019C5">
        <w:t xml:space="preserve">, no </w:t>
      </w:r>
      <w:r w:rsidR="00ED5B04" w:rsidRPr="002019C5">
        <w:t>es la</w:t>
      </w:r>
      <w:r w:rsidR="00B47A67" w:rsidRPr="002019C5">
        <w:t xml:space="preserve"> óptima</w:t>
      </w:r>
      <w:r w:rsidR="001834D0" w:rsidRPr="002019C5">
        <w:t xml:space="preserve">, </w:t>
      </w:r>
      <w:r w:rsidR="002019C5" w:rsidRPr="002019C5">
        <w:t xml:space="preserve">como se verá más adelante, </w:t>
      </w:r>
      <w:r w:rsidR="00614AC1" w:rsidRPr="002019C5">
        <w:t xml:space="preserve">por eso se propone una </w:t>
      </w:r>
      <w:r w:rsidR="0005438C" w:rsidRPr="002019C5">
        <w:t xml:space="preserve">mayor segregación en </w:t>
      </w:r>
      <w:r w:rsidR="00614AC1" w:rsidRPr="002019C5">
        <w:t xml:space="preserve">varios </w:t>
      </w:r>
      <w:r w:rsidR="0005438C" w:rsidRPr="002019C5">
        <w:t>fondos</w:t>
      </w:r>
      <w:r w:rsidR="00DE1D74" w:rsidRPr="002019C5">
        <w:t xml:space="preserve"> por grupos etarios</w:t>
      </w:r>
      <w:r w:rsidR="00FE7ACD" w:rsidRPr="002019C5">
        <w:t>.</w:t>
      </w:r>
    </w:p>
    <w:p w14:paraId="3ADD8234" w14:textId="77777777" w:rsidR="00FE7ACD" w:rsidRPr="002019C5" w:rsidRDefault="00FE7ACD" w:rsidP="00B47A67">
      <w:pPr>
        <w:jc w:val="both"/>
      </w:pPr>
      <w:r w:rsidRPr="002019C5">
        <w:t>Por lo tanto, este proyecto propone la sustitución de este transitorio por una reforma de alcance mayor.</w:t>
      </w:r>
    </w:p>
    <w:p w14:paraId="5ED8D55D" w14:textId="77777777" w:rsidR="00FE7ACD" w:rsidRPr="0005438C" w:rsidRDefault="00FE7ACD" w:rsidP="00B47A67">
      <w:pPr>
        <w:jc w:val="both"/>
        <w:rPr>
          <w:color w:val="FF0000"/>
        </w:rPr>
      </w:pPr>
    </w:p>
    <w:p w14:paraId="3F7E44C6" w14:textId="77777777" w:rsidR="00B47A67" w:rsidRDefault="00B47A67" w:rsidP="00B47A67">
      <w:r>
        <w:br w:type="page"/>
      </w:r>
    </w:p>
    <w:p w14:paraId="6A2140A9" w14:textId="77777777" w:rsidR="00B47A67" w:rsidRDefault="00B47A67" w:rsidP="00B47A67">
      <w:pPr>
        <w:pStyle w:val="Ttulo1"/>
      </w:pPr>
      <w:bookmarkStart w:id="24" w:name="_Toc144396534"/>
      <w:r>
        <w:lastRenderedPageBreak/>
        <w:t xml:space="preserve">Capítulo 3: Proceso de </w:t>
      </w:r>
      <w:r w:rsidR="003B5F5A">
        <w:t>selección de la p</w:t>
      </w:r>
      <w:r w:rsidR="00E77F89">
        <w:t>ropuesta para el proyecto</w:t>
      </w:r>
      <w:bookmarkEnd w:id="24"/>
    </w:p>
    <w:p w14:paraId="18BA8058" w14:textId="77777777" w:rsidR="00B47A67" w:rsidRDefault="00B47A67" w:rsidP="00B47A67"/>
    <w:p w14:paraId="45DA677E" w14:textId="77777777" w:rsidR="00B47A67" w:rsidRDefault="00B47A67" w:rsidP="00B47A67">
      <w:pPr>
        <w:spacing w:after="0" w:line="240" w:lineRule="auto"/>
        <w:contextualSpacing/>
        <w:jc w:val="both"/>
      </w:pPr>
      <w:r w:rsidRPr="00CB07D4">
        <w:t xml:space="preserve">La </w:t>
      </w:r>
      <w:r w:rsidRPr="001839C2">
        <w:t>Superintendencia de Pensiones estudi</w:t>
      </w:r>
      <w:r w:rsidR="00D371DF" w:rsidRPr="001839C2">
        <w:t>ó</w:t>
      </w:r>
      <w:r w:rsidRPr="001839C2">
        <w:t xml:space="preserve"> y comparti</w:t>
      </w:r>
      <w:r w:rsidR="00FA62BD" w:rsidRPr="001839C2">
        <w:t>ó</w:t>
      </w:r>
      <w:r w:rsidRPr="001839C2">
        <w:t xml:space="preserve"> con expertos internacionales una serie de valoraciones, </w:t>
      </w:r>
      <w:r w:rsidR="007416F1" w:rsidRPr="001839C2">
        <w:t>para</w:t>
      </w:r>
      <w:r w:rsidRPr="001839C2">
        <w:t xml:space="preserve"> plantear la hoja de ruta de la nueva regulación</w:t>
      </w:r>
      <w:r w:rsidR="008C6174" w:rsidRPr="001839C2">
        <w:rPr>
          <w:rStyle w:val="Refdenotaalpie"/>
        </w:rPr>
        <w:footnoteReference w:id="13"/>
      </w:r>
      <w:r w:rsidRPr="001839C2">
        <w:t xml:space="preserve"> (</w:t>
      </w:r>
      <w:r w:rsidRPr="001839C2">
        <w:fldChar w:fldCharType="begin"/>
      </w:r>
      <w:r w:rsidRPr="001839C2">
        <w:instrText xml:space="preserve"> REF _Ref136243490 \h </w:instrText>
      </w:r>
      <w:r w:rsidRPr="001839C2">
        <w:fldChar w:fldCharType="separate"/>
      </w:r>
      <w:r w:rsidR="00A637C2">
        <w:t xml:space="preserve">Gráfico </w:t>
      </w:r>
      <w:r w:rsidR="00A637C2">
        <w:rPr>
          <w:noProof/>
        </w:rPr>
        <w:t>2</w:t>
      </w:r>
      <w:r w:rsidRPr="001839C2">
        <w:fldChar w:fldCharType="end"/>
      </w:r>
      <w:r w:rsidRPr="001839C2">
        <w:t xml:space="preserve">) </w:t>
      </w:r>
      <w:r w:rsidR="00B441E5" w:rsidRPr="001839C2">
        <w:t>tomando en consideración</w:t>
      </w:r>
      <w:r w:rsidRPr="001839C2">
        <w:t xml:space="preserve"> la experiencia de países latinoamericanos con sistemas de pensiones similares al costarricense. Gracias a este proceso se tomó la decisión </w:t>
      </w:r>
      <w:r w:rsidR="00C41338" w:rsidRPr="001839C2">
        <w:t>de</w:t>
      </w:r>
      <w:r w:rsidRPr="001839C2">
        <w:t xml:space="preserve"> enfocar esfuerzos en </w:t>
      </w:r>
      <w:r w:rsidR="00D26B7E" w:rsidRPr="001839C2">
        <w:t>la comprensión de los</w:t>
      </w:r>
      <w:r w:rsidRPr="001839C2">
        <w:t xml:space="preserve"> fondos generacionales </w:t>
      </w:r>
      <w:r w:rsidR="00D26B7E" w:rsidRPr="001839C2">
        <w:t>con el fin</w:t>
      </w:r>
      <w:r w:rsidR="009B2B5E" w:rsidRPr="001839C2">
        <w:t xml:space="preserve"> de mejorar las estrategias de inversión que se ofrecen a los trabajadores en función de su edad, </w:t>
      </w:r>
      <w:r w:rsidRPr="001839C2">
        <w:t xml:space="preserve">según se explicó en </w:t>
      </w:r>
      <w:r w:rsidR="001839C2">
        <w:t xml:space="preserve">una </w:t>
      </w:r>
      <w:r w:rsidRPr="001839C2">
        <w:t>sección</w:t>
      </w:r>
      <w:r w:rsidR="001839C2">
        <w:t xml:space="preserve"> anterior</w:t>
      </w:r>
      <w:r w:rsidRPr="001839C2">
        <w:t>.</w:t>
      </w:r>
    </w:p>
    <w:p w14:paraId="18A0217B" w14:textId="77777777" w:rsidR="004F0E63" w:rsidRDefault="004F0E63" w:rsidP="00B47A67">
      <w:pPr>
        <w:spacing w:after="0" w:line="240" w:lineRule="auto"/>
        <w:contextualSpacing/>
        <w:jc w:val="both"/>
      </w:pPr>
    </w:p>
    <w:p w14:paraId="523127C6" w14:textId="77777777" w:rsidR="00B47A67" w:rsidRDefault="00B47A67" w:rsidP="00B47A67">
      <w:pPr>
        <w:pStyle w:val="Descripcin"/>
      </w:pPr>
      <w:bookmarkStart w:id="25" w:name="_Ref136243490"/>
      <w:r>
        <w:t xml:space="preserve">Gráfico </w:t>
      </w:r>
      <w:r w:rsidR="0042356F">
        <w:fldChar w:fldCharType="begin"/>
      </w:r>
      <w:r w:rsidR="0042356F">
        <w:instrText xml:space="preserve"> SEQ Gráfico \* ARABIC </w:instrText>
      </w:r>
      <w:r w:rsidR="0042356F">
        <w:fldChar w:fldCharType="separate"/>
      </w:r>
      <w:r w:rsidR="00A637C2">
        <w:rPr>
          <w:noProof/>
        </w:rPr>
        <w:t>2</w:t>
      </w:r>
      <w:r w:rsidR="0042356F">
        <w:rPr>
          <w:noProof/>
        </w:rPr>
        <w:fldChar w:fldCharType="end"/>
      </w:r>
      <w:bookmarkEnd w:id="25"/>
      <w:r>
        <w:t>: Etapas del proyecto fondos generacionales</w:t>
      </w:r>
    </w:p>
    <w:p w14:paraId="42CFCAB2" w14:textId="77777777" w:rsidR="00B47A67" w:rsidRDefault="00B47A67" w:rsidP="00B47A67">
      <w:pPr>
        <w:spacing w:after="0" w:line="240" w:lineRule="auto"/>
        <w:contextualSpacing/>
        <w:jc w:val="both"/>
      </w:pPr>
    </w:p>
    <w:p w14:paraId="389FDA7E" w14:textId="77777777" w:rsidR="00B47A67" w:rsidRDefault="005E6D85" w:rsidP="00B47A67">
      <w:pPr>
        <w:spacing w:after="0" w:line="240" w:lineRule="auto"/>
        <w:contextualSpacing/>
        <w:jc w:val="center"/>
      </w:pPr>
      <w:r>
        <w:rPr>
          <w:noProof/>
        </w:rPr>
        <w:drawing>
          <wp:inline distT="0" distB="0" distL="0" distR="0" wp14:anchorId="5A5FF8D5" wp14:editId="2ED9EEC1">
            <wp:extent cx="5372100" cy="82361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29670" cy="863102"/>
                    </a:xfrm>
                    <a:prstGeom prst="rect">
                      <a:avLst/>
                    </a:prstGeom>
                    <a:noFill/>
                  </pic:spPr>
                </pic:pic>
              </a:graphicData>
            </a:graphic>
          </wp:inline>
        </w:drawing>
      </w:r>
    </w:p>
    <w:p w14:paraId="678DE6B8" w14:textId="77777777" w:rsidR="00B47A67" w:rsidRPr="00BF6C64" w:rsidRDefault="00B47A67" w:rsidP="00B47A67">
      <w:pPr>
        <w:spacing w:after="0" w:line="240" w:lineRule="auto"/>
        <w:contextualSpacing/>
        <w:rPr>
          <w:sz w:val="18"/>
          <w:szCs w:val="18"/>
        </w:rPr>
      </w:pPr>
      <w:r w:rsidRPr="00BF6C64">
        <w:rPr>
          <w:sz w:val="18"/>
          <w:szCs w:val="18"/>
        </w:rPr>
        <w:t xml:space="preserve">Fuente: </w:t>
      </w:r>
      <w:r w:rsidR="5D8236F7" w:rsidRPr="00BF6C64">
        <w:rPr>
          <w:sz w:val="18"/>
          <w:szCs w:val="18"/>
        </w:rPr>
        <w:t xml:space="preserve">SUPEN </w:t>
      </w:r>
    </w:p>
    <w:p w14:paraId="49D8FD9B" w14:textId="77777777" w:rsidR="00B47A67" w:rsidRPr="00CB07D4" w:rsidRDefault="00B47A67" w:rsidP="00B47A67">
      <w:pPr>
        <w:spacing w:after="0" w:line="240" w:lineRule="auto"/>
        <w:contextualSpacing/>
        <w:jc w:val="both"/>
      </w:pPr>
    </w:p>
    <w:p w14:paraId="2485F834" w14:textId="77777777" w:rsidR="00E52112" w:rsidRPr="001839C2" w:rsidRDefault="008247EE" w:rsidP="008247EE">
      <w:pPr>
        <w:spacing w:after="0" w:line="240" w:lineRule="auto"/>
        <w:contextualSpacing/>
        <w:jc w:val="both"/>
      </w:pPr>
      <w:r>
        <w:t>En l</w:t>
      </w:r>
      <w:r w:rsidRPr="00CB07D4">
        <w:t xml:space="preserve">a primera etapa del proyecto </w:t>
      </w:r>
      <w:r>
        <w:t>(estudio) SUPEN compartió su experiencia</w:t>
      </w:r>
      <w:r w:rsidRPr="00CB07D4">
        <w:t xml:space="preserve"> con expertos de la Comisión Nacional del Sistema Nacional de Ahorro para el Retiro de México (CONSAR), quienes han sido los pioneros en la región en la </w:t>
      </w:r>
      <w:r w:rsidRPr="001839C2">
        <w:t xml:space="preserve">propuesta de fondos generacionales. </w:t>
      </w:r>
      <w:r w:rsidR="009B5DFE" w:rsidRPr="001839C2">
        <w:t>Como resultado</w:t>
      </w:r>
      <w:r w:rsidRPr="001839C2">
        <w:t xml:space="preserve"> de estos intercambios</w:t>
      </w:r>
      <w:r w:rsidR="003B3504" w:rsidRPr="001839C2">
        <w:t xml:space="preserve">, </w:t>
      </w:r>
      <w:r w:rsidR="003E548A" w:rsidRPr="001839C2">
        <w:t>la SUPEN</w:t>
      </w:r>
      <w:r w:rsidR="003B3504" w:rsidRPr="001839C2">
        <w:t xml:space="preserve"> logró identificar </w:t>
      </w:r>
      <w:r w:rsidR="00734A54" w:rsidRPr="001839C2">
        <w:t xml:space="preserve">varias alternativas </w:t>
      </w:r>
      <w:r w:rsidR="00F571CA" w:rsidRPr="001839C2">
        <w:t>en procura de mejorar la administración de los recursos de los afiliados y pensionados.</w:t>
      </w:r>
    </w:p>
    <w:p w14:paraId="428FB503" w14:textId="77777777" w:rsidR="008247EE" w:rsidRPr="001839C2" w:rsidRDefault="003B3504" w:rsidP="008247EE">
      <w:pPr>
        <w:spacing w:after="0" w:line="240" w:lineRule="auto"/>
        <w:contextualSpacing/>
        <w:jc w:val="both"/>
      </w:pPr>
      <w:r w:rsidRPr="001839C2">
        <w:t xml:space="preserve"> </w:t>
      </w:r>
    </w:p>
    <w:p w14:paraId="1E2010EE" w14:textId="77777777" w:rsidR="00B47A67" w:rsidRDefault="00B47A67" w:rsidP="00B47A67">
      <w:pPr>
        <w:spacing w:after="0" w:line="240" w:lineRule="auto"/>
        <w:contextualSpacing/>
        <w:jc w:val="both"/>
      </w:pPr>
      <w:r w:rsidRPr="00CB07D4">
        <w:t>La segunda etapa del proyecto</w:t>
      </w:r>
      <w:r w:rsidR="00E52112">
        <w:t xml:space="preserve"> (propuestas)</w:t>
      </w:r>
      <w:r w:rsidRPr="00CB07D4">
        <w:t xml:space="preserve"> se </w:t>
      </w:r>
      <w:r w:rsidRPr="00E71C25">
        <w:t xml:space="preserve">concentró en analizar </w:t>
      </w:r>
      <w:r w:rsidR="00E52112">
        <w:t>esas</w:t>
      </w:r>
      <w:r w:rsidRPr="00E71C25">
        <w:t xml:space="preserve"> </w:t>
      </w:r>
      <w:r w:rsidR="001A3C69">
        <w:t>alternativas</w:t>
      </w:r>
      <w:r w:rsidR="00F02ED8">
        <w:t xml:space="preserve"> (</w:t>
      </w:r>
      <w:r w:rsidR="004F5D76">
        <w:t>las indicadas en l</w:t>
      </w:r>
      <w:r w:rsidR="00B8197D">
        <w:t>a</w:t>
      </w:r>
      <w:r w:rsidR="004F5D76">
        <w:t xml:space="preserve"> sección </w:t>
      </w:r>
      <w:r w:rsidR="00B8197D">
        <w:t>1.4 de este documento</w:t>
      </w:r>
      <w:r w:rsidR="00F02ED8">
        <w:t>)</w:t>
      </w:r>
      <w:r w:rsidR="00D1242B">
        <w:t>.</w:t>
      </w:r>
      <w:r w:rsidRPr="00E71C25">
        <w:t xml:space="preserve"> </w:t>
      </w:r>
      <w:r w:rsidR="00D1242B">
        <w:t>Esto per</w:t>
      </w:r>
      <w:r w:rsidRPr="00E71C25">
        <w:t>miti</w:t>
      </w:r>
      <w:r w:rsidR="001B30A5">
        <w:t>ó</w:t>
      </w:r>
      <w:r w:rsidRPr="00E71C25">
        <w:t xml:space="preserve"> </w:t>
      </w:r>
      <w:r w:rsidR="00F57ACE">
        <w:t xml:space="preserve">dar a conocer </w:t>
      </w:r>
      <w:r w:rsidRPr="00E71C25">
        <w:t xml:space="preserve">a los gestores de pensiones </w:t>
      </w:r>
      <w:r w:rsidRPr="00CB07D4">
        <w:t>las diferentes vías que pudieran seguirse para alcanzar los objetivos del proyecto</w:t>
      </w:r>
      <w:r w:rsidR="00E3577D">
        <w:t xml:space="preserve">. Estas </w:t>
      </w:r>
      <w:r w:rsidR="003E548A">
        <w:t xml:space="preserve">alternativas </w:t>
      </w:r>
      <w:r w:rsidR="00E3577D">
        <w:t>fueron:</w:t>
      </w:r>
      <w:r w:rsidRPr="00CB07D4">
        <w:t xml:space="preserve"> </w:t>
      </w:r>
    </w:p>
    <w:p w14:paraId="4F362FF6" w14:textId="77777777" w:rsidR="00B47A67" w:rsidRDefault="00B47A67" w:rsidP="00B47A67">
      <w:pPr>
        <w:spacing w:after="0" w:line="240" w:lineRule="auto"/>
        <w:contextualSpacing/>
        <w:jc w:val="both"/>
      </w:pPr>
    </w:p>
    <w:p w14:paraId="6CDABE5D" w14:textId="77777777" w:rsidR="00E3577D" w:rsidRDefault="00E3577D" w:rsidP="00E3577D">
      <w:pPr>
        <w:spacing w:after="0" w:line="240" w:lineRule="auto"/>
        <w:ind w:left="708"/>
        <w:contextualSpacing/>
        <w:jc w:val="both"/>
      </w:pPr>
      <w:r w:rsidRPr="00CB07D4">
        <w:rPr>
          <w:b/>
          <w:bCs/>
        </w:rPr>
        <w:t>Alternativa 1</w:t>
      </w:r>
      <w:r>
        <w:rPr>
          <w:b/>
          <w:bCs/>
        </w:rPr>
        <w:t xml:space="preserve"> </w:t>
      </w:r>
      <w:proofErr w:type="spellStart"/>
      <w:r>
        <w:rPr>
          <w:b/>
          <w:bCs/>
        </w:rPr>
        <w:t>Multifondos</w:t>
      </w:r>
      <w:proofErr w:type="spellEnd"/>
      <w:r w:rsidRPr="00CB07D4">
        <w:rPr>
          <w:b/>
          <w:bCs/>
        </w:rPr>
        <w:t>:</w:t>
      </w:r>
      <w:r w:rsidRPr="00CB07D4">
        <w:t xml:space="preserve"> </w:t>
      </w:r>
      <w:r>
        <w:t>f</w:t>
      </w:r>
      <w:r w:rsidRPr="00CB07D4">
        <w:t>ondos independientes, con separación contable</w:t>
      </w:r>
      <w:r>
        <w:t xml:space="preserve"> y patrimonial</w:t>
      </w:r>
      <w:r w:rsidRPr="00CB07D4">
        <w:t xml:space="preserve">, </w:t>
      </w:r>
      <w:r>
        <w:t xml:space="preserve">con una única </w:t>
      </w:r>
      <w:r w:rsidRPr="00CB07D4">
        <w:t>estrategia</w:t>
      </w:r>
      <w:r>
        <w:t xml:space="preserve"> de inversión</w:t>
      </w:r>
      <w:r w:rsidRPr="00CB07D4">
        <w:t xml:space="preserve"> a lo largo del tiempo, </w:t>
      </w:r>
      <w:r>
        <w:t xml:space="preserve">semejante a los </w:t>
      </w:r>
      <w:proofErr w:type="spellStart"/>
      <w:r>
        <w:t>multifondos</w:t>
      </w:r>
      <w:proofErr w:type="spellEnd"/>
      <w:r>
        <w:t xml:space="preserve"> en Chile o Perú. </w:t>
      </w:r>
    </w:p>
    <w:p w14:paraId="1EC5F95D" w14:textId="77777777" w:rsidR="00E3577D" w:rsidRDefault="00E3577D" w:rsidP="00E3577D">
      <w:pPr>
        <w:spacing w:after="0" w:line="240" w:lineRule="auto"/>
        <w:ind w:left="708"/>
        <w:contextualSpacing/>
        <w:jc w:val="both"/>
      </w:pPr>
    </w:p>
    <w:p w14:paraId="2BFC16C4" w14:textId="77777777" w:rsidR="00E3577D" w:rsidRDefault="00E3577D" w:rsidP="00E3577D">
      <w:pPr>
        <w:spacing w:after="0" w:line="240" w:lineRule="auto"/>
        <w:ind w:left="708"/>
        <w:contextualSpacing/>
        <w:jc w:val="both"/>
      </w:pPr>
      <w:r w:rsidRPr="00CB07D4">
        <w:rPr>
          <w:b/>
          <w:bCs/>
        </w:rPr>
        <w:t>Alternativa 2</w:t>
      </w:r>
      <w:r>
        <w:rPr>
          <w:b/>
          <w:bCs/>
        </w:rPr>
        <w:t xml:space="preserve"> Fondo sombrilla</w:t>
      </w:r>
      <w:r w:rsidRPr="00CB07D4">
        <w:rPr>
          <w:b/>
          <w:bCs/>
        </w:rPr>
        <w:t>:</w:t>
      </w:r>
      <w:r w:rsidRPr="00CB07D4">
        <w:t xml:space="preserve"> </w:t>
      </w:r>
      <w:r>
        <w:t>u</w:t>
      </w:r>
      <w:r w:rsidRPr="00CB07D4">
        <w:t xml:space="preserve">n fondo ROP único </w:t>
      </w:r>
      <w:r>
        <w:t xml:space="preserve">con una separación contable del patrimonio de acuerdo con la generación a la que pertenece el afiliado. El ROP no se separa patrimonialmente en varios fondos. La separación contable permite identificar los </w:t>
      </w:r>
      <w:r w:rsidRPr="00CB07D4">
        <w:t>instrumentos</w:t>
      </w:r>
      <w:r>
        <w:t xml:space="preserve"> financieros que forman parte del activo de cada generación</w:t>
      </w:r>
      <w:r>
        <w:rPr>
          <w:rStyle w:val="Refdenotaalpie"/>
          <w:i/>
          <w:iCs/>
        </w:rPr>
        <w:footnoteReference w:id="14"/>
      </w:r>
      <w:r>
        <w:t>.</w:t>
      </w:r>
      <w:r w:rsidRPr="00CB07D4">
        <w:t xml:space="preserve"> </w:t>
      </w:r>
    </w:p>
    <w:p w14:paraId="4829CAAA" w14:textId="77777777" w:rsidR="00E3577D" w:rsidRDefault="00E3577D" w:rsidP="00E3577D">
      <w:pPr>
        <w:spacing w:after="0" w:line="240" w:lineRule="auto"/>
        <w:ind w:left="708"/>
        <w:contextualSpacing/>
        <w:jc w:val="both"/>
      </w:pPr>
    </w:p>
    <w:p w14:paraId="0650C8DC" w14:textId="77777777" w:rsidR="00E3577D" w:rsidRDefault="00E3577D" w:rsidP="00E3577D">
      <w:pPr>
        <w:spacing w:after="0" w:line="240" w:lineRule="auto"/>
        <w:ind w:left="708"/>
        <w:contextualSpacing/>
        <w:jc w:val="both"/>
      </w:pPr>
      <w:r w:rsidRPr="00E71C25">
        <w:rPr>
          <w:b/>
          <w:bCs/>
        </w:rPr>
        <w:t>Alternativa 3</w:t>
      </w:r>
      <w:r>
        <w:rPr>
          <w:b/>
          <w:bCs/>
        </w:rPr>
        <w:t xml:space="preserve"> Fondos generacionales</w:t>
      </w:r>
      <w:r w:rsidRPr="00E71C25">
        <w:rPr>
          <w:b/>
          <w:bCs/>
        </w:rPr>
        <w:t>:</w:t>
      </w:r>
      <w:r>
        <w:t xml:space="preserve"> fondos independientes para cada grupo de trabajadores según su edad. Estos fondos cuentan con estrategias de inversión que evolucionan conforme sus afiliados envejecen. Son similares a los TDF presentados en la sección 1.2. </w:t>
      </w:r>
    </w:p>
    <w:p w14:paraId="64364A7B" w14:textId="77777777" w:rsidR="00E3577D" w:rsidRDefault="00E3577D" w:rsidP="00B47A67">
      <w:pPr>
        <w:spacing w:after="0" w:line="240" w:lineRule="auto"/>
        <w:contextualSpacing/>
        <w:jc w:val="both"/>
      </w:pPr>
    </w:p>
    <w:p w14:paraId="11D4311F" w14:textId="77777777" w:rsidR="00B47A67" w:rsidRPr="001839C2" w:rsidRDefault="00B47A67" w:rsidP="00E3577D">
      <w:pPr>
        <w:spacing w:after="0" w:line="240" w:lineRule="auto"/>
        <w:contextualSpacing/>
        <w:jc w:val="both"/>
      </w:pPr>
      <w:r>
        <w:t xml:space="preserve">En </w:t>
      </w:r>
      <w:r w:rsidRPr="001839C2">
        <w:t>la tercera etapa</w:t>
      </w:r>
      <w:r w:rsidR="006A7B1A">
        <w:t>,</w:t>
      </w:r>
      <w:r w:rsidR="00E52112" w:rsidRPr="001839C2">
        <w:t xml:space="preserve"> </w:t>
      </w:r>
      <w:r w:rsidR="0077404E" w:rsidRPr="001839C2">
        <w:t xml:space="preserve">se </w:t>
      </w:r>
      <w:r w:rsidR="00E52112" w:rsidRPr="001839C2">
        <w:t xml:space="preserve">evaluaron </w:t>
      </w:r>
      <w:r w:rsidR="00E3577D" w:rsidRPr="001839C2">
        <w:t xml:space="preserve">las alternativas antes mencionadas. </w:t>
      </w:r>
      <w:r w:rsidR="005E6D85" w:rsidRPr="001839C2">
        <w:t>El</w:t>
      </w:r>
      <w:r w:rsidR="00A21955" w:rsidRPr="001839C2">
        <w:t xml:space="preserve"> siguiente cuadro</w:t>
      </w:r>
      <w:r w:rsidRPr="001839C2">
        <w:t xml:space="preserve"> resume </w:t>
      </w:r>
      <w:r w:rsidR="00F66D5C" w:rsidRPr="001839C2">
        <w:t xml:space="preserve">los principales </w:t>
      </w:r>
      <w:r w:rsidR="00BE5AFE" w:rsidRPr="001839C2">
        <w:t xml:space="preserve">puntos a favor y en contra de </w:t>
      </w:r>
      <w:r w:rsidR="00E911E7" w:rsidRPr="001839C2">
        <w:t>cada una de ellas</w:t>
      </w:r>
      <w:r w:rsidR="008131BC" w:rsidRPr="001839C2">
        <w:t>.</w:t>
      </w:r>
      <w:bookmarkStart w:id="26" w:name="_Ref136245471"/>
    </w:p>
    <w:p w14:paraId="146D1CF9" w14:textId="77777777" w:rsidR="00B47A67" w:rsidRPr="00E71C25" w:rsidRDefault="00B47A67" w:rsidP="00B47A67"/>
    <w:p w14:paraId="38FD4477" w14:textId="77777777" w:rsidR="00B47A67" w:rsidRDefault="00B47A67" w:rsidP="00B47A67">
      <w:pPr>
        <w:pStyle w:val="Descripcin"/>
      </w:pPr>
      <w:r>
        <w:lastRenderedPageBreak/>
        <w:t xml:space="preserve">Cuadro </w:t>
      </w:r>
      <w:r w:rsidR="0042356F">
        <w:fldChar w:fldCharType="begin"/>
      </w:r>
      <w:r w:rsidR="0042356F">
        <w:instrText xml:space="preserve"> SEQ Cuadro \* ARABIC </w:instrText>
      </w:r>
      <w:r w:rsidR="0042356F">
        <w:fldChar w:fldCharType="separate"/>
      </w:r>
      <w:r w:rsidR="00A637C2">
        <w:rPr>
          <w:noProof/>
        </w:rPr>
        <w:t>2</w:t>
      </w:r>
      <w:r w:rsidR="0042356F">
        <w:rPr>
          <w:noProof/>
        </w:rPr>
        <w:fldChar w:fldCharType="end"/>
      </w:r>
      <w:bookmarkEnd w:id="26"/>
      <w:r>
        <w:t>: Alternativas evaluadas para la propuesta</w:t>
      </w:r>
    </w:p>
    <w:tbl>
      <w:tblPr>
        <w:tblStyle w:val="Tablaconcuadrcula4-nfasis1"/>
        <w:tblW w:w="9356" w:type="dxa"/>
        <w:tblInd w:w="-289" w:type="dxa"/>
        <w:tblLook w:val="04A0" w:firstRow="1" w:lastRow="0" w:firstColumn="1" w:lastColumn="0" w:noHBand="0" w:noVBand="1"/>
      </w:tblPr>
      <w:tblGrid>
        <w:gridCol w:w="1702"/>
        <w:gridCol w:w="7654"/>
      </w:tblGrid>
      <w:tr w:rsidR="005E6D85" w14:paraId="7E3CBAD3" w14:textId="77777777" w:rsidTr="00A601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738520F" w14:textId="77777777" w:rsidR="005E6D85" w:rsidRDefault="005E6D85">
            <w:pPr>
              <w:contextualSpacing/>
              <w:jc w:val="both"/>
            </w:pPr>
            <w:r>
              <w:t>Alternativas</w:t>
            </w:r>
          </w:p>
        </w:tc>
        <w:tc>
          <w:tcPr>
            <w:tcW w:w="7654" w:type="dxa"/>
          </w:tcPr>
          <w:p w14:paraId="76B0F891" w14:textId="77777777" w:rsidR="005E6D85" w:rsidRDefault="005E6D85">
            <w:pPr>
              <w:contextualSpacing/>
              <w:jc w:val="both"/>
              <w:cnfStyle w:val="100000000000" w:firstRow="1" w:lastRow="0" w:firstColumn="0" w:lastColumn="0" w:oddVBand="0" w:evenVBand="0" w:oddHBand="0" w:evenHBand="0" w:firstRowFirstColumn="0" w:firstRowLastColumn="0" w:lastRowFirstColumn="0" w:lastRowLastColumn="0"/>
            </w:pPr>
            <w:r>
              <w:t>Evaluación</w:t>
            </w:r>
          </w:p>
        </w:tc>
      </w:tr>
      <w:tr w:rsidR="005E6D85" w14:paraId="701AECD2" w14:textId="77777777" w:rsidTr="00A60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7AD81D12" w14:textId="77777777" w:rsidR="005E6D85" w:rsidRDefault="005E6D85">
            <w:pPr>
              <w:contextualSpacing/>
              <w:jc w:val="both"/>
            </w:pPr>
            <w:proofErr w:type="spellStart"/>
            <w:r>
              <w:t>Multifondos</w:t>
            </w:r>
            <w:proofErr w:type="spellEnd"/>
          </w:p>
        </w:tc>
        <w:tc>
          <w:tcPr>
            <w:tcW w:w="7654" w:type="dxa"/>
          </w:tcPr>
          <w:p w14:paraId="4FE03572" w14:textId="77777777" w:rsidR="005E6D85" w:rsidRPr="007A36E1" w:rsidRDefault="005E6D85">
            <w:pPr>
              <w:contextualSpacing/>
              <w:jc w:val="both"/>
              <w:cnfStyle w:val="000000100000" w:firstRow="0" w:lastRow="0" w:firstColumn="0" w:lastColumn="0" w:oddVBand="0" w:evenVBand="0" w:oddHBand="1" w:evenHBand="0" w:firstRowFirstColumn="0" w:firstRowLastColumn="0" w:lastRowFirstColumn="0" w:lastRowLastColumn="0"/>
              <w:rPr>
                <w:b/>
                <w:bCs/>
              </w:rPr>
            </w:pPr>
            <w:r w:rsidRPr="007A36E1">
              <w:rPr>
                <w:b/>
                <w:bCs/>
              </w:rPr>
              <w:t>Pros:</w:t>
            </w:r>
          </w:p>
          <w:p w14:paraId="676F44A2" w14:textId="77777777" w:rsidR="005E6D85" w:rsidRDefault="005E6D85" w:rsidP="00081729">
            <w:pPr>
              <w:pStyle w:val="Prrafodelista"/>
              <w:numPr>
                <w:ilvl w:val="0"/>
                <w:numId w:val="20"/>
              </w:numPr>
              <w:jc w:val="both"/>
              <w:cnfStyle w:val="000000100000" w:firstRow="0" w:lastRow="0" w:firstColumn="0" w:lastColumn="0" w:oddVBand="0" w:evenVBand="0" w:oddHBand="1" w:evenHBand="0" w:firstRowFirstColumn="0" w:firstRowLastColumn="0" w:lastRowFirstColumn="0" w:lastRowLastColumn="0"/>
            </w:pPr>
            <w:r>
              <w:t>Permite a los afiliados la comparación de fondos.</w:t>
            </w:r>
          </w:p>
          <w:p w14:paraId="32A8DC1C" w14:textId="77777777" w:rsidR="005E6D85" w:rsidRPr="001839C2" w:rsidRDefault="005E6D85" w:rsidP="00081729">
            <w:pPr>
              <w:pStyle w:val="Prrafodelista"/>
              <w:numPr>
                <w:ilvl w:val="0"/>
                <w:numId w:val="20"/>
              </w:numPr>
              <w:jc w:val="both"/>
              <w:cnfStyle w:val="000000100000" w:firstRow="0" w:lastRow="0" w:firstColumn="0" w:lastColumn="0" w:oddVBand="0" w:evenVBand="0" w:oddHBand="1" w:evenHBand="0" w:firstRowFirstColumn="0" w:firstRowLastColumn="0" w:lastRowFirstColumn="0" w:lastRowLastColumn="0"/>
            </w:pPr>
            <w:r>
              <w:t xml:space="preserve">Hay experiencia </w:t>
            </w:r>
            <w:r w:rsidRPr="001839C2">
              <w:t>internacional para su implementación.</w:t>
            </w:r>
          </w:p>
          <w:p w14:paraId="1310EF2C" w14:textId="77777777" w:rsidR="0012613A" w:rsidRPr="001839C2" w:rsidRDefault="0012613A" w:rsidP="00081729">
            <w:pPr>
              <w:pStyle w:val="Prrafodelista"/>
              <w:numPr>
                <w:ilvl w:val="0"/>
                <w:numId w:val="20"/>
              </w:numPr>
              <w:jc w:val="both"/>
              <w:cnfStyle w:val="000000100000" w:firstRow="0" w:lastRow="0" w:firstColumn="0" w:lastColumn="0" w:oddVBand="0" w:evenVBand="0" w:oddHBand="1" w:evenHBand="0" w:firstRowFirstColumn="0" w:firstRowLastColumn="0" w:lastRowFirstColumn="0" w:lastRowLastColumn="0"/>
            </w:pPr>
            <w:r w:rsidRPr="001839C2">
              <w:t xml:space="preserve">Tiene </w:t>
            </w:r>
            <w:r w:rsidR="005A2232" w:rsidRPr="001839C2">
              <w:t>poca dificultad operativa para implementarse</w:t>
            </w:r>
            <w:r w:rsidR="008E2415" w:rsidRPr="001839C2">
              <w:t>.</w:t>
            </w:r>
          </w:p>
          <w:p w14:paraId="0BB42C07" w14:textId="77777777" w:rsidR="005E6D85" w:rsidRPr="001839C2" w:rsidRDefault="005E6D85">
            <w:pPr>
              <w:contextualSpacing/>
              <w:jc w:val="both"/>
              <w:cnfStyle w:val="000000100000" w:firstRow="0" w:lastRow="0" w:firstColumn="0" w:lastColumn="0" w:oddVBand="0" w:evenVBand="0" w:oddHBand="1" w:evenHBand="0" w:firstRowFirstColumn="0" w:firstRowLastColumn="0" w:lastRowFirstColumn="0" w:lastRowLastColumn="0"/>
              <w:rPr>
                <w:b/>
                <w:bCs/>
              </w:rPr>
            </w:pPr>
            <w:r w:rsidRPr="007A36E1">
              <w:rPr>
                <w:b/>
                <w:bCs/>
              </w:rPr>
              <w:t>Contras:</w:t>
            </w:r>
          </w:p>
          <w:p w14:paraId="1A09AF22" w14:textId="77777777" w:rsidR="005E6D85" w:rsidRPr="001839C2" w:rsidRDefault="005E6D85" w:rsidP="000D2021">
            <w:pPr>
              <w:pStyle w:val="Prrafodelista"/>
              <w:numPr>
                <w:ilvl w:val="0"/>
                <w:numId w:val="30"/>
              </w:numPr>
              <w:jc w:val="both"/>
              <w:cnfStyle w:val="000000100000" w:firstRow="0" w:lastRow="0" w:firstColumn="0" w:lastColumn="0" w:oddVBand="0" w:evenVBand="0" w:oddHBand="1" w:evenHBand="0" w:firstRowFirstColumn="0" w:firstRowLastColumn="0" w:lastRowFirstColumn="0" w:lastRowLastColumn="0"/>
            </w:pPr>
            <w:r w:rsidRPr="001839C2">
              <w:t>No favorece la optimización de los portafolios a lo largo del tiempo</w:t>
            </w:r>
            <w:r w:rsidR="00CA05DC" w:rsidRPr="001839C2">
              <w:t xml:space="preserve">, </w:t>
            </w:r>
            <w:r w:rsidR="00F02D9C" w:rsidRPr="001839C2">
              <w:t>dado que no considera el cambio en el perfil de los clientes que forman parte de su cartera.</w:t>
            </w:r>
          </w:p>
          <w:p w14:paraId="009073BD" w14:textId="77777777" w:rsidR="00081729" w:rsidRPr="001839C2" w:rsidRDefault="00DD6179" w:rsidP="000D2021">
            <w:pPr>
              <w:pStyle w:val="Prrafodelista"/>
              <w:numPr>
                <w:ilvl w:val="0"/>
                <w:numId w:val="30"/>
              </w:numPr>
              <w:jc w:val="both"/>
              <w:cnfStyle w:val="000000100000" w:firstRow="0" w:lastRow="0" w:firstColumn="0" w:lastColumn="0" w:oddVBand="0" w:evenVBand="0" w:oddHBand="1" w:evenHBand="0" w:firstRowFirstColumn="0" w:firstRowLastColumn="0" w:lastRowFirstColumn="0" w:lastRowLastColumn="0"/>
              <w:rPr>
                <w:b/>
                <w:bCs/>
              </w:rPr>
            </w:pPr>
            <w:r w:rsidRPr="001839C2">
              <w:t xml:space="preserve">El cambio en las estrategias de inversión es abrupto, se pasa de un fondo con estrategia </w:t>
            </w:r>
            <w:r w:rsidR="007B30FD" w:rsidRPr="001839C2">
              <w:t>“</w:t>
            </w:r>
            <w:r w:rsidRPr="001839C2">
              <w:t>A</w:t>
            </w:r>
            <w:r w:rsidR="007B30FD" w:rsidRPr="001839C2">
              <w:t>”</w:t>
            </w:r>
            <w:r w:rsidRPr="001839C2">
              <w:t xml:space="preserve"> a </w:t>
            </w:r>
            <w:r w:rsidR="007B30FD" w:rsidRPr="001839C2">
              <w:t>“</w:t>
            </w:r>
            <w:r w:rsidRPr="001839C2">
              <w:t>B</w:t>
            </w:r>
            <w:r w:rsidR="007B30FD" w:rsidRPr="001839C2">
              <w:t>”</w:t>
            </w:r>
            <w:r w:rsidRPr="001839C2">
              <w:t xml:space="preserve">, sin </w:t>
            </w:r>
            <w:r w:rsidR="007B30FD" w:rsidRPr="001839C2">
              <w:t xml:space="preserve">cambios </w:t>
            </w:r>
            <w:r w:rsidR="00AF0A71" w:rsidRPr="001839C2">
              <w:t>paulatinos</w:t>
            </w:r>
            <w:r w:rsidR="001839C2" w:rsidRPr="001839C2">
              <w:t>, que puede generar pérdidas para afiliados y pensionados.</w:t>
            </w:r>
          </w:p>
          <w:p w14:paraId="40B4B89B" w14:textId="77777777" w:rsidR="005E6D85" w:rsidRDefault="005E6D85" w:rsidP="000D2021">
            <w:pPr>
              <w:pStyle w:val="Prrafodelista"/>
              <w:numPr>
                <w:ilvl w:val="0"/>
                <w:numId w:val="30"/>
              </w:numPr>
              <w:jc w:val="both"/>
              <w:cnfStyle w:val="000000100000" w:firstRow="0" w:lastRow="0" w:firstColumn="0" w:lastColumn="0" w:oddVBand="0" w:evenVBand="0" w:oddHBand="1" w:evenHBand="0" w:firstRowFirstColumn="0" w:firstRowLastColumn="0" w:lastRowFirstColumn="0" w:lastRowLastColumn="0"/>
            </w:pPr>
            <w:r w:rsidRPr="001839C2">
              <w:t>Requiere alta formación financiera y previsional del afiliado a la hora de elegir el fondo.</w:t>
            </w:r>
          </w:p>
        </w:tc>
      </w:tr>
      <w:tr w:rsidR="005E6D85" w14:paraId="58BBE2C0" w14:textId="77777777" w:rsidTr="00A6014C">
        <w:tc>
          <w:tcPr>
            <w:cnfStyle w:val="001000000000" w:firstRow="0" w:lastRow="0" w:firstColumn="1" w:lastColumn="0" w:oddVBand="0" w:evenVBand="0" w:oddHBand="0" w:evenHBand="0" w:firstRowFirstColumn="0" w:firstRowLastColumn="0" w:lastRowFirstColumn="0" w:lastRowLastColumn="0"/>
            <w:tcW w:w="1702" w:type="dxa"/>
          </w:tcPr>
          <w:p w14:paraId="53FC29C7" w14:textId="77777777" w:rsidR="005E6D85" w:rsidRPr="001839C2" w:rsidRDefault="005E6D85">
            <w:pPr>
              <w:contextualSpacing/>
              <w:jc w:val="both"/>
            </w:pPr>
            <w:r w:rsidRPr="001839C2">
              <w:t>Fondos sombrilla</w:t>
            </w:r>
          </w:p>
        </w:tc>
        <w:tc>
          <w:tcPr>
            <w:tcW w:w="7654" w:type="dxa"/>
          </w:tcPr>
          <w:p w14:paraId="0BDB89F1" w14:textId="77777777" w:rsidR="005E6D85" w:rsidRPr="001839C2" w:rsidRDefault="005E6D85">
            <w:pPr>
              <w:contextualSpacing/>
              <w:jc w:val="both"/>
              <w:cnfStyle w:val="000000000000" w:firstRow="0" w:lastRow="0" w:firstColumn="0" w:lastColumn="0" w:oddVBand="0" w:evenVBand="0" w:oddHBand="0" w:evenHBand="0" w:firstRowFirstColumn="0" w:firstRowLastColumn="0" w:lastRowFirstColumn="0" w:lastRowLastColumn="0"/>
              <w:rPr>
                <w:b/>
                <w:bCs/>
              </w:rPr>
            </w:pPr>
            <w:r w:rsidRPr="001839C2">
              <w:rPr>
                <w:b/>
                <w:bCs/>
              </w:rPr>
              <w:t>Pros:</w:t>
            </w:r>
          </w:p>
          <w:p w14:paraId="0047A371" w14:textId="77777777" w:rsidR="005E6D85" w:rsidRPr="001839C2" w:rsidRDefault="005E6D85">
            <w:pPr>
              <w:pStyle w:val="Prrafodelista"/>
              <w:numPr>
                <w:ilvl w:val="0"/>
                <w:numId w:val="21"/>
              </w:numPr>
              <w:jc w:val="both"/>
              <w:cnfStyle w:val="000000000000" w:firstRow="0" w:lastRow="0" w:firstColumn="0" w:lastColumn="0" w:oddVBand="0" w:evenVBand="0" w:oddHBand="0" w:evenHBand="0" w:firstRowFirstColumn="0" w:firstRowLastColumn="0" w:lastRowFirstColumn="0" w:lastRowLastColumn="0"/>
            </w:pPr>
            <w:r w:rsidRPr="001839C2">
              <w:t xml:space="preserve">No requiere traslados </w:t>
            </w:r>
            <w:r w:rsidR="00254F2F" w:rsidRPr="001839C2">
              <w:t xml:space="preserve">de afiliados </w:t>
            </w:r>
            <w:r w:rsidRPr="001839C2">
              <w:t>entre fondos.</w:t>
            </w:r>
          </w:p>
          <w:p w14:paraId="5755E510" w14:textId="77777777" w:rsidR="005E6D85" w:rsidRPr="001839C2" w:rsidRDefault="005E6D85">
            <w:pPr>
              <w:pStyle w:val="Prrafodelista"/>
              <w:numPr>
                <w:ilvl w:val="0"/>
                <w:numId w:val="21"/>
              </w:numPr>
              <w:jc w:val="both"/>
              <w:cnfStyle w:val="000000000000" w:firstRow="0" w:lastRow="0" w:firstColumn="0" w:lastColumn="0" w:oddVBand="0" w:evenVBand="0" w:oddHBand="0" w:evenHBand="0" w:firstRowFirstColumn="0" w:firstRowLastColumn="0" w:lastRowFirstColumn="0" w:lastRowLastColumn="0"/>
            </w:pPr>
            <w:r w:rsidRPr="001839C2">
              <w:t>Facilita de reasignación de porcentajes de activos según lo requiera</w:t>
            </w:r>
            <w:r w:rsidR="008C352C">
              <w:t>n</w:t>
            </w:r>
            <w:r w:rsidRPr="001839C2">
              <w:t xml:space="preserve"> las generaciones del fondo.</w:t>
            </w:r>
          </w:p>
          <w:p w14:paraId="15418DCE" w14:textId="77777777" w:rsidR="005E6D85" w:rsidRPr="001839C2" w:rsidRDefault="005E6D85">
            <w:pPr>
              <w:contextualSpacing/>
              <w:jc w:val="both"/>
              <w:cnfStyle w:val="000000000000" w:firstRow="0" w:lastRow="0" w:firstColumn="0" w:lastColumn="0" w:oddVBand="0" w:evenVBand="0" w:oddHBand="0" w:evenHBand="0" w:firstRowFirstColumn="0" w:firstRowLastColumn="0" w:lastRowFirstColumn="0" w:lastRowLastColumn="0"/>
              <w:rPr>
                <w:b/>
                <w:bCs/>
              </w:rPr>
            </w:pPr>
            <w:r w:rsidRPr="001839C2">
              <w:rPr>
                <w:b/>
                <w:bCs/>
              </w:rPr>
              <w:t>Contras:</w:t>
            </w:r>
          </w:p>
          <w:p w14:paraId="0EE9C46C" w14:textId="77777777" w:rsidR="005E6D85" w:rsidRPr="001839C2" w:rsidRDefault="005E6D85">
            <w:pPr>
              <w:pStyle w:val="Prrafodelista"/>
              <w:numPr>
                <w:ilvl w:val="0"/>
                <w:numId w:val="22"/>
              </w:numPr>
              <w:jc w:val="both"/>
              <w:cnfStyle w:val="000000000000" w:firstRow="0" w:lastRow="0" w:firstColumn="0" w:lastColumn="0" w:oddVBand="0" w:evenVBand="0" w:oddHBand="0" w:evenHBand="0" w:firstRowFirstColumn="0" w:firstRowLastColumn="0" w:lastRowFirstColumn="0" w:lastRowLastColumn="0"/>
            </w:pPr>
            <w:r w:rsidRPr="001839C2">
              <w:t xml:space="preserve">Incrementa el esfuerzo para el control de </w:t>
            </w:r>
            <w:r w:rsidR="00333456" w:rsidRPr="001839C2">
              <w:t xml:space="preserve">instrumentos en </w:t>
            </w:r>
            <w:r w:rsidRPr="001839C2">
              <w:t>cada generación.</w:t>
            </w:r>
          </w:p>
          <w:p w14:paraId="392119A2" w14:textId="77777777" w:rsidR="001839C2" w:rsidRPr="001839C2" w:rsidRDefault="001839C2">
            <w:pPr>
              <w:pStyle w:val="Prrafodelista"/>
              <w:numPr>
                <w:ilvl w:val="0"/>
                <w:numId w:val="22"/>
              </w:numPr>
              <w:jc w:val="both"/>
              <w:cnfStyle w:val="000000000000" w:firstRow="0" w:lastRow="0" w:firstColumn="0" w:lastColumn="0" w:oddVBand="0" w:evenVBand="0" w:oddHBand="0" w:evenHBand="0" w:firstRowFirstColumn="0" w:firstRowLastColumn="0" w:lastRowFirstColumn="0" w:lastRowLastColumn="0"/>
            </w:pPr>
            <w:r w:rsidRPr="001839C2">
              <w:t>No hay experiencia internacional en el sector de pensiones.</w:t>
            </w:r>
          </w:p>
          <w:p w14:paraId="45E130BF" w14:textId="77777777" w:rsidR="005E6D85" w:rsidRPr="001839C2" w:rsidRDefault="005E6D85">
            <w:pPr>
              <w:pStyle w:val="Prrafodelista"/>
              <w:numPr>
                <w:ilvl w:val="0"/>
                <w:numId w:val="22"/>
              </w:numPr>
              <w:jc w:val="both"/>
              <w:cnfStyle w:val="000000000000" w:firstRow="0" w:lastRow="0" w:firstColumn="0" w:lastColumn="0" w:oddVBand="0" w:evenVBand="0" w:oddHBand="0" w:evenHBand="0" w:firstRowFirstColumn="0" w:firstRowLastColumn="0" w:lastRowFirstColumn="0" w:lastRowLastColumn="0"/>
            </w:pPr>
            <w:r w:rsidRPr="001839C2">
              <w:t>Podría</w:t>
            </w:r>
            <w:r w:rsidR="001839C2" w:rsidRPr="001839C2">
              <w:t>n</w:t>
            </w:r>
            <w:r w:rsidRPr="001839C2">
              <w:t xml:space="preserve"> redistribuirse títulos con mal desempeño entre generaciones.</w:t>
            </w:r>
          </w:p>
          <w:p w14:paraId="6B17E181" w14:textId="77777777" w:rsidR="00C93096" w:rsidRPr="001839C2" w:rsidRDefault="00C93096">
            <w:pPr>
              <w:pStyle w:val="Prrafodelista"/>
              <w:numPr>
                <w:ilvl w:val="0"/>
                <w:numId w:val="22"/>
              </w:numPr>
              <w:jc w:val="both"/>
              <w:cnfStyle w:val="000000000000" w:firstRow="0" w:lastRow="0" w:firstColumn="0" w:lastColumn="0" w:oddVBand="0" w:evenVBand="0" w:oddHBand="0" w:evenHBand="0" w:firstRowFirstColumn="0" w:firstRowLastColumn="0" w:lastRowFirstColumn="0" w:lastRowLastColumn="0"/>
            </w:pPr>
            <w:r w:rsidRPr="001839C2">
              <w:t>Tiene altos requerimientos de control y procesamiento</w:t>
            </w:r>
            <w:r w:rsidR="009538F5" w:rsidRPr="001839C2">
              <w:t xml:space="preserve"> dada la asignación de instrumentos a personas.</w:t>
            </w:r>
          </w:p>
          <w:p w14:paraId="0E331511" w14:textId="77777777" w:rsidR="00726267" w:rsidRPr="001839C2" w:rsidRDefault="00C57205">
            <w:pPr>
              <w:pStyle w:val="Prrafodelista"/>
              <w:numPr>
                <w:ilvl w:val="0"/>
                <w:numId w:val="22"/>
              </w:numPr>
              <w:jc w:val="both"/>
              <w:cnfStyle w:val="000000000000" w:firstRow="0" w:lastRow="0" w:firstColumn="0" w:lastColumn="0" w:oddVBand="0" w:evenVBand="0" w:oddHBand="0" w:evenHBand="0" w:firstRowFirstColumn="0" w:firstRowLastColumn="0" w:lastRowFirstColumn="0" w:lastRowLastColumn="0"/>
            </w:pPr>
            <w:r w:rsidRPr="001839C2">
              <w:t>Podría ser</w:t>
            </w:r>
            <w:r w:rsidR="00726267" w:rsidRPr="001839C2">
              <w:t xml:space="preserve"> confuso para el afiliado</w:t>
            </w:r>
            <w:r w:rsidR="001839C2" w:rsidRPr="001839C2">
              <w:t xml:space="preserve"> y el pensionado</w:t>
            </w:r>
            <w:r w:rsidR="008E2415" w:rsidRPr="001839C2">
              <w:t>.</w:t>
            </w:r>
          </w:p>
        </w:tc>
      </w:tr>
      <w:tr w:rsidR="005E6D85" w14:paraId="2EA07679" w14:textId="77777777" w:rsidTr="00A60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AF6B4B8" w14:textId="77777777" w:rsidR="005E6D85" w:rsidRDefault="005E6D85">
            <w:pPr>
              <w:contextualSpacing/>
              <w:jc w:val="both"/>
            </w:pPr>
            <w:r>
              <w:t>Fondos generacionales</w:t>
            </w:r>
          </w:p>
        </w:tc>
        <w:tc>
          <w:tcPr>
            <w:tcW w:w="7654" w:type="dxa"/>
          </w:tcPr>
          <w:p w14:paraId="257FCFEF" w14:textId="77777777" w:rsidR="005E6D85" w:rsidRPr="00805B38" w:rsidRDefault="005E6D85">
            <w:pPr>
              <w:contextualSpacing/>
              <w:jc w:val="both"/>
              <w:cnfStyle w:val="000000100000" w:firstRow="0" w:lastRow="0" w:firstColumn="0" w:lastColumn="0" w:oddVBand="0" w:evenVBand="0" w:oddHBand="1" w:evenHBand="0" w:firstRowFirstColumn="0" w:firstRowLastColumn="0" w:lastRowFirstColumn="0" w:lastRowLastColumn="0"/>
              <w:rPr>
                <w:b/>
                <w:bCs/>
              </w:rPr>
            </w:pPr>
            <w:r w:rsidRPr="00805B38">
              <w:rPr>
                <w:b/>
                <w:bCs/>
              </w:rPr>
              <w:t>Pros:</w:t>
            </w:r>
          </w:p>
          <w:p w14:paraId="3358DC8A" w14:textId="77777777" w:rsidR="005E6D85" w:rsidRDefault="005E6D85" w:rsidP="001839C2">
            <w:pPr>
              <w:pStyle w:val="Prrafodelista"/>
              <w:numPr>
                <w:ilvl w:val="0"/>
                <w:numId w:val="23"/>
              </w:numPr>
              <w:jc w:val="both"/>
              <w:cnfStyle w:val="000000100000" w:firstRow="0" w:lastRow="0" w:firstColumn="0" w:lastColumn="0" w:oddVBand="0" w:evenVBand="0" w:oddHBand="1" w:evenHBand="0" w:firstRowFirstColumn="0" w:firstRowLastColumn="0" w:lastRowFirstColumn="0" w:lastRowLastColumn="0"/>
            </w:pPr>
            <w:r>
              <w:t>Presenta los beneficios de los TDF antes señalados</w:t>
            </w:r>
            <w:r w:rsidR="008F33E3">
              <w:t>.</w:t>
            </w:r>
          </w:p>
          <w:p w14:paraId="7311765E" w14:textId="77777777" w:rsidR="001839C2" w:rsidRDefault="001839C2" w:rsidP="001839C2">
            <w:pPr>
              <w:pStyle w:val="Prrafodelista"/>
              <w:numPr>
                <w:ilvl w:val="0"/>
                <w:numId w:val="23"/>
              </w:numPr>
              <w:jc w:val="both"/>
              <w:cnfStyle w:val="000000100000" w:firstRow="0" w:lastRow="0" w:firstColumn="0" w:lastColumn="0" w:oddVBand="0" w:evenVBand="0" w:oddHBand="1" w:evenHBand="0" w:firstRowFirstColumn="0" w:firstRowLastColumn="0" w:lastRowFirstColumn="0" w:lastRowLastColumn="0"/>
            </w:pPr>
            <w:r>
              <w:t>Hay experiencia internacional para su implementación.</w:t>
            </w:r>
          </w:p>
          <w:p w14:paraId="7FF6E4FD" w14:textId="77777777" w:rsidR="005E6D85" w:rsidRPr="00916759" w:rsidRDefault="005E6D85" w:rsidP="001839C2">
            <w:pPr>
              <w:pStyle w:val="Prrafodelista"/>
              <w:numPr>
                <w:ilvl w:val="0"/>
                <w:numId w:val="23"/>
              </w:numPr>
              <w:jc w:val="both"/>
              <w:cnfStyle w:val="000000100000" w:firstRow="0" w:lastRow="0" w:firstColumn="0" w:lastColumn="0" w:oddVBand="0" w:evenVBand="0" w:oddHBand="1" w:evenHBand="0" w:firstRowFirstColumn="0" w:firstRowLastColumn="0" w:lastRowFirstColumn="0" w:lastRowLastColumn="0"/>
            </w:pPr>
            <w:r>
              <w:t>La selección de la generación la establece la regulación y no el afiliado, lo que no</w:t>
            </w:r>
            <w:r w:rsidR="00916759">
              <w:t xml:space="preserve"> pone el peso </w:t>
            </w:r>
            <w:r w:rsidR="009C5E24">
              <w:t xml:space="preserve">necesario </w:t>
            </w:r>
            <w:r w:rsidR="00916759">
              <w:t xml:space="preserve">de contar con </w:t>
            </w:r>
            <w:r>
              <w:t>conocimientos financieros o previsionales</w:t>
            </w:r>
            <w:r w:rsidR="00916759">
              <w:t xml:space="preserve"> para la elección de </w:t>
            </w:r>
            <w:r w:rsidR="00916759" w:rsidRPr="00916759">
              <w:t>un fondo de pensión</w:t>
            </w:r>
            <w:r w:rsidRPr="00916759">
              <w:t>.</w:t>
            </w:r>
          </w:p>
          <w:p w14:paraId="3DBBAD07" w14:textId="77777777" w:rsidR="00916759" w:rsidRPr="00916759" w:rsidRDefault="00916759" w:rsidP="001839C2">
            <w:pPr>
              <w:pStyle w:val="Prrafodelista"/>
              <w:numPr>
                <w:ilvl w:val="0"/>
                <w:numId w:val="23"/>
              </w:numPr>
              <w:jc w:val="both"/>
              <w:cnfStyle w:val="000000100000" w:firstRow="0" w:lastRow="0" w:firstColumn="0" w:lastColumn="0" w:oddVBand="0" w:evenVBand="0" w:oddHBand="1" w:evenHBand="0" w:firstRowFirstColumn="0" w:firstRowLastColumn="0" w:lastRowFirstColumn="0" w:lastRowLastColumn="0"/>
            </w:pPr>
            <w:r w:rsidRPr="00916759">
              <w:t>La región está, de manera general, migrando a este esquema pensional.</w:t>
            </w:r>
          </w:p>
          <w:p w14:paraId="63E9CDC4" w14:textId="77777777" w:rsidR="0012613A" w:rsidRPr="00916759" w:rsidRDefault="0012613A" w:rsidP="001839C2">
            <w:pPr>
              <w:pStyle w:val="Prrafodelista"/>
              <w:numPr>
                <w:ilvl w:val="0"/>
                <w:numId w:val="23"/>
              </w:numPr>
              <w:jc w:val="both"/>
              <w:cnfStyle w:val="000000100000" w:firstRow="0" w:lastRow="0" w:firstColumn="0" w:lastColumn="0" w:oddVBand="0" w:evenVBand="0" w:oddHBand="1" w:evenHBand="0" w:firstRowFirstColumn="0" w:firstRowLastColumn="0" w:lastRowFirstColumn="0" w:lastRowLastColumn="0"/>
            </w:pPr>
            <w:r w:rsidRPr="00916759">
              <w:t>Tiene poca dificultad operativa para implementarse</w:t>
            </w:r>
            <w:r w:rsidR="008E2415" w:rsidRPr="00916759">
              <w:t>.</w:t>
            </w:r>
          </w:p>
          <w:p w14:paraId="1B87CB72" w14:textId="77777777" w:rsidR="000F498D" w:rsidRPr="00916759" w:rsidRDefault="000F498D" w:rsidP="001839C2">
            <w:pPr>
              <w:pStyle w:val="Prrafodelista"/>
              <w:numPr>
                <w:ilvl w:val="0"/>
                <w:numId w:val="23"/>
              </w:numPr>
              <w:jc w:val="both"/>
              <w:cnfStyle w:val="000000100000" w:firstRow="0" w:lastRow="0" w:firstColumn="0" w:lastColumn="0" w:oddVBand="0" w:evenVBand="0" w:oddHBand="1" w:evenHBand="0" w:firstRowFirstColumn="0" w:firstRowLastColumn="0" w:lastRowFirstColumn="0" w:lastRowLastColumn="0"/>
            </w:pPr>
            <w:r w:rsidRPr="00916759">
              <w:t>Co</w:t>
            </w:r>
            <w:r w:rsidR="002F0FC5" w:rsidRPr="00916759">
              <w:t>n</w:t>
            </w:r>
            <w:r w:rsidR="00E83F0E" w:rsidRPr="00916759">
              <w:t>ce</w:t>
            </w:r>
            <w:r w:rsidRPr="00916759">
              <w:t>ntra la atención del gestor en el largo plazo</w:t>
            </w:r>
            <w:r w:rsidR="00F27A59" w:rsidRPr="00916759">
              <w:t xml:space="preserve"> y en su planificación estratégica, no en los movimientos coyunturales de </w:t>
            </w:r>
            <w:r w:rsidR="00E83F0E" w:rsidRPr="00916759">
              <w:t>mercado</w:t>
            </w:r>
            <w:r w:rsidR="00F27A59" w:rsidRPr="00916759">
              <w:t>.</w:t>
            </w:r>
          </w:p>
          <w:p w14:paraId="439495D4" w14:textId="77777777" w:rsidR="005E6D85" w:rsidRPr="00805B38" w:rsidRDefault="005E6D85">
            <w:pPr>
              <w:contextualSpacing/>
              <w:jc w:val="both"/>
              <w:cnfStyle w:val="000000100000" w:firstRow="0" w:lastRow="0" w:firstColumn="0" w:lastColumn="0" w:oddVBand="0" w:evenVBand="0" w:oddHBand="1" w:evenHBand="0" w:firstRowFirstColumn="0" w:firstRowLastColumn="0" w:lastRowFirstColumn="0" w:lastRowLastColumn="0"/>
              <w:rPr>
                <w:b/>
                <w:bCs/>
              </w:rPr>
            </w:pPr>
            <w:r w:rsidRPr="00805B38">
              <w:rPr>
                <w:b/>
                <w:bCs/>
              </w:rPr>
              <w:t>Contras:</w:t>
            </w:r>
          </w:p>
          <w:p w14:paraId="3644AF72" w14:textId="77777777" w:rsidR="005E6D85" w:rsidRDefault="005E6D85" w:rsidP="00916759">
            <w:pPr>
              <w:pStyle w:val="Prrafodelista"/>
              <w:numPr>
                <w:ilvl w:val="0"/>
                <w:numId w:val="39"/>
              </w:numPr>
              <w:jc w:val="both"/>
              <w:cnfStyle w:val="000000100000" w:firstRow="0" w:lastRow="0" w:firstColumn="0" w:lastColumn="0" w:oddVBand="0" w:evenVBand="0" w:oddHBand="1" w:evenHBand="0" w:firstRowFirstColumn="0" w:firstRowLastColumn="0" w:lastRowFirstColumn="0" w:lastRowLastColumn="0"/>
            </w:pPr>
            <w:r>
              <w:t>Aumenta la cantidad de fondos que deben ser supervisados.</w:t>
            </w:r>
          </w:p>
          <w:p w14:paraId="040B828F" w14:textId="77777777" w:rsidR="005E6D85" w:rsidRPr="00916759" w:rsidRDefault="005E6D85" w:rsidP="00916759">
            <w:pPr>
              <w:pStyle w:val="Prrafodelista"/>
              <w:numPr>
                <w:ilvl w:val="0"/>
                <w:numId w:val="39"/>
              </w:numPr>
              <w:jc w:val="both"/>
              <w:cnfStyle w:val="000000100000" w:firstRow="0" w:lastRow="0" w:firstColumn="0" w:lastColumn="0" w:oddVBand="0" w:evenVBand="0" w:oddHBand="1" w:evenHBand="0" w:firstRowFirstColumn="0" w:firstRowLastColumn="0" w:lastRowFirstColumn="0" w:lastRowLastColumn="0"/>
            </w:pPr>
            <w:r>
              <w:t xml:space="preserve">Al inicio, las entidades gestoras pueden incurrir en nuevos gastos de </w:t>
            </w:r>
            <w:r w:rsidRPr="00916759">
              <w:t>implementación.</w:t>
            </w:r>
          </w:p>
          <w:p w14:paraId="489C48C5" w14:textId="77777777" w:rsidR="006023EB" w:rsidRDefault="0097302A" w:rsidP="00916759">
            <w:pPr>
              <w:pStyle w:val="Prrafodelista"/>
              <w:numPr>
                <w:ilvl w:val="0"/>
                <w:numId w:val="39"/>
              </w:numPr>
              <w:jc w:val="both"/>
              <w:cnfStyle w:val="000000100000" w:firstRow="0" w:lastRow="0" w:firstColumn="0" w:lastColumn="0" w:oddVBand="0" w:evenVBand="0" w:oddHBand="1" w:evenHBand="0" w:firstRowFirstColumn="0" w:firstRowLastColumn="0" w:lastRowFirstColumn="0" w:lastRowLastColumn="0"/>
            </w:pPr>
            <w:r w:rsidRPr="00916759">
              <w:t xml:space="preserve">Los rendimientos de generaciones </w:t>
            </w:r>
            <w:r w:rsidR="008A4BBF" w:rsidRPr="00916759">
              <w:t>con mayor</w:t>
            </w:r>
            <w:r w:rsidR="00B50866" w:rsidRPr="00916759">
              <w:t xml:space="preserve"> </w:t>
            </w:r>
            <w:r w:rsidR="0090198F" w:rsidRPr="00916759">
              <w:t>riesgo</w:t>
            </w:r>
            <w:r w:rsidRPr="00916759">
              <w:t xml:space="preserve"> </w:t>
            </w:r>
            <w:r w:rsidR="00916759" w:rsidRPr="00916759">
              <w:t>pueden incentivar</w:t>
            </w:r>
            <w:r w:rsidRPr="00916759">
              <w:t xml:space="preserve"> los </w:t>
            </w:r>
            <w:r w:rsidR="00FE0346" w:rsidRPr="00916759">
              <w:t xml:space="preserve">traslados entre OPC y generaciones. </w:t>
            </w:r>
            <w:r w:rsidR="00916759">
              <w:t xml:space="preserve"> </w:t>
            </w:r>
          </w:p>
        </w:tc>
      </w:tr>
    </w:tbl>
    <w:p w14:paraId="5CEDCFAE" w14:textId="77777777" w:rsidR="00B47A67" w:rsidRDefault="00B47A67" w:rsidP="00B47A67">
      <w:pPr>
        <w:spacing w:after="0" w:line="240" w:lineRule="auto"/>
        <w:contextualSpacing/>
        <w:jc w:val="both"/>
      </w:pPr>
      <w:r>
        <w:t>Fuente: SUPEN</w:t>
      </w:r>
    </w:p>
    <w:p w14:paraId="2A452A3E" w14:textId="77777777" w:rsidR="00B47A67" w:rsidRDefault="00B47A67" w:rsidP="00B47A67">
      <w:pPr>
        <w:spacing w:after="0" w:line="240" w:lineRule="auto"/>
        <w:contextualSpacing/>
        <w:jc w:val="both"/>
      </w:pPr>
    </w:p>
    <w:p w14:paraId="3A7252CF" w14:textId="77777777" w:rsidR="00826E96" w:rsidRPr="00916759" w:rsidRDefault="008F3AC2" w:rsidP="005E6D85">
      <w:pPr>
        <w:spacing w:after="0" w:line="240" w:lineRule="auto"/>
        <w:contextualSpacing/>
        <w:jc w:val="both"/>
      </w:pPr>
      <w:r w:rsidRPr="00916759">
        <w:t>L</w:t>
      </w:r>
      <w:r w:rsidR="00771314" w:rsidRPr="00916759">
        <w:t xml:space="preserve">uego de analizadas las condiciones descritas, </w:t>
      </w:r>
      <w:r w:rsidR="00473A8C" w:rsidRPr="00916759">
        <w:t>y habie</w:t>
      </w:r>
      <w:r w:rsidR="00FC5902" w:rsidRPr="00916759">
        <w:t xml:space="preserve">ndo hecho un </w:t>
      </w:r>
      <w:r w:rsidR="005E6D85" w:rsidRPr="00916759">
        <w:t xml:space="preserve">intercambio de opiniones en el proceso de </w:t>
      </w:r>
      <w:r w:rsidR="00916759" w:rsidRPr="00916759">
        <w:t>coordinación con la industria</w:t>
      </w:r>
      <w:r w:rsidR="005E6D85" w:rsidRPr="00916759">
        <w:t xml:space="preserve"> y el análisis interno de la Superintendencia, se consideró que la opción de fondos generacionales tiene </w:t>
      </w:r>
      <w:r w:rsidR="00DA7164" w:rsidRPr="00916759">
        <w:t>varias ventajas que inclinan la balanza</w:t>
      </w:r>
      <w:r w:rsidR="008A186A" w:rsidRPr="00916759">
        <w:t xml:space="preserve"> hacia </w:t>
      </w:r>
      <w:r w:rsidR="00365C5F">
        <w:t>esta modalidad</w:t>
      </w:r>
      <w:r w:rsidR="008A186A" w:rsidRPr="00916759">
        <w:t xml:space="preserve"> por las siguientes razones</w:t>
      </w:r>
      <w:r w:rsidR="00826E96" w:rsidRPr="00916759">
        <w:t xml:space="preserve">: </w:t>
      </w:r>
    </w:p>
    <w:p w14:paraId="4EDF9136" w14:textId="77777777" w:rsidR="00E60C0E" w:rsidRDefault="00E60C0E" w:rsidP="005E6D85">
      <w:pPr>
        <w:spacing w:after="0" w:line="240" w:lineRule="auto"/>
        <w:contextualSpacing/>
        <w:jc w:val="both"/>
      </w:pPr>
    </w:p>
    <w:p w14:paraId="71D29F6D" w14:textId="77777777" w:rsidR="00510A33" w:rsidRPr="00402C15" w:rsidRDefault="00510A33" w:rsidP="00826E96">
      <w:pPr>
        <w:pStyle w:val="Prrafodelista"/>
        <w:numPr>
          <w:ilvl w:val="0"/>
          <w:numId w:val="34"/>
        </w:numPr>
        <w:spacing w:after="0" w:line="240" w:lineRule="auto"/>
        <w:jc w:val="both"/>
      </w:pPr>
      <w:r w:rsidRPr="00402C15">
        <w:t xml:space="preserve">La alternativa uno, </w:t>
      </w:r>
      <w:r w:rsidR="005B2227">
        <w:t xml:space="preserve">en general, </w:t>
      </w:r>
      <w:r w:rsidRPr="00402C15">
        <w:t>está siendo abandonada en la región por los problemas de selección del fondo para cada afiliado. La regulación</w:t>
      </w:r>
      <w:r w:rsidR="002169C7">
        <w:t>, en general,</w:t>
      </w:r>
      <w:r w:rsidRPr="00402C15">
        <w:t xml:space="preserve"> se mueve a </w:t>
      </w:r>
      <w:r w:rsidRPr="00402C15">
        <w:lastRenderedPageBreak/>
        <w:t xml:space="preserve">asignación </w:t>
      </w:r>
      <w:r w:rsidR="00B50EF5" w:rsidRPr="00402C15">
        <w:t xml:space="preserve">de afiliados </w:t>
      </w:r>
      <w:r w:rsidRPr="00402C15">
        <w:t>v</w:t>
      </w:r>
      <w:r w:rsidR="00D4298E" w:rsidRPr="00402C15">
        <w:t>í</w:t>
      </w:r>
      <w:r w:rsidRPr="00402C15">
        <w:t>a regulatoria con estrategias que evolucionen con las personas en el fondo.</w:t>
      </w:r>
    </w:p>
    <w:p w14:paraId="383B1E7F" w14:textId="77777777" w:rsidR="00826E96" w:rsidRPr="00402C15" w:rsidRDefault="000C2F25" w:rsidP="00826E96">
      <w:pPr>
        <w:pStyle w:val="Prrafodelista"/>
        <w:numPr>
          <w:ilvl w:val="0"/>
          <w:numId w:val="34"/>
        </w:numPr>
        <w:spacing w:after="0" w:line="240" w:lineRule="auto"/>
        <w:jc w:val="both"/>
      </w:pPr>
      <w:r w:rsidRPr="00402C15">
        <w:t xml:space="preserve">La alternativa 3 tiene la ventaja </w:t>
      </w:r>
      <w:r w:rsidR="005E6D85" w:rsidRPr="00402C15">
        <w:t>de la separación patrimonial, lo que reduce los riesgos operativos y financieros</w:t>
      </w:r>
      <w:r w:rsidRPr="00402C15">
        <w:t>.</w:t>
      </w:r>
    </w:p>
    <w:p w14:paraId="4F0DB864" w14:textId="77777777" w:rsidR="00826E96" w:rsidRPr="00402C15" w:rsidRDefault="000C2F25" w:rsidP="00826E96">
      <w:pPr>
        <w:pStyle w:val="Prrafodelista"/>
        <w:numPr>
          <w:ilvl w:val="0"/>
          <w:numId w:val="34"/>
        </w:numPr>
        <w:spacing w:after="0" w:line="240" w:lineRule="auto"/>
        <w:jc w:val="both"/>
      </w:pPr>
      <w:r w:rsidRPr="00402C15">
        <w:t xml:space="preserve">La </w:t>
      </w:r>
      <w:r w:rsidR="00650072" w:rsidRPr="00402C15">
        <w:t>alternativa</w:t>
      </w:r>
      <w:r w:rsidRPr="00402C15">
        <w:t xml:space="preserve"> </w:t>
      </w:r>
      <w:r w:rsidR="00C8662A" w:rsidRPr="00402C15">
        <w:t>2</w:t>
      </w:r>
      <w:r w:rsidRPr="00402C15">
        <w:t xml:space="preserve"> tiene el problema de </w:t>
      </w:r>
      <w:r w:rsidR="005E6D85" w:rsidRPr="00402C15">
        <w:t xml:space="preserve">la asignación de títulos de mal desempeño a ciertas </w:t>
      </w:r>
      <w:r w:rsidR="00F15D1F" w:rsidRPr="00402C15">
        <w:t>generaciones</w:t>
      </w:r>
      <w:r w:rsidR="00826E96" w:rsidRPr="00402C15">
        <w:t xml:space="preserve">, </w:t>
      </w:r>
      <w:r w:rsidR="00E3702B" w:rsidRPr="00402C15">
        <w:t xml:space="preserve">esto </w:t>
      </w:r>
      <w:r w:rsidR="00826E96" w:rsidRPr="00402C15">
        <w:t xml:space="preserve">se </w:t>
      </w:r>
      <w:r w:rsidR="00E3702B" w:rsidRPr="00402C15">
        <w:t xml:space="preserve">puede </w:t>
      </w:r>
      <w:r w:rsidR="00826E96" w:rsidRPr="00402C15">
        <w:t>evita</w:t>
      </w:r>
      <w:r w:rsidR="00E3702B" w:rsidRPr="00402C15">
        <w:t>r</w:t>
      </w:r>
      <w:r w:rsidR="00826E96" w:rsidRPr="00402C15">
        <w:t xml:space="preserve"> con la separación patrimonial</w:t>
      </w:r>
      <w:r w:rsidRPr="00402C15">
        <w:t>.</w:t>
      </w:r>
    </w:p>
    <w:p w14:paraId="5C67AE64" w14:textId="77777777" w:rsidR="00E3702B" w:rsidRPr="00402C15" w:rsidRDefault="000C2F25" w:rsidP="00826E96">
      <w:pPr>
        <w:pStyle w:val="Prrafodelista"/>
        <w:numPr>
          <w:ilvl w:val="0"/>
          <w:numId w:val="34"/>
        </w:numPr>
        <w:spacing w:after="0" w:line="240" w:lineRule="auto"/>
        <w:jc w:val="both"/>
      </w:pPr>
      <w:r w:rsidRPr="00402C15">
        <w:t>La alternativa 2</w:t>
      </w:r>
      <w:r w:rsidR="00E3702B" w:rsidRPr="00402C15">
        <w:t xml:space="preserve"> </w:t>
      </w:r>
      <w:r w:rsidR="00F15D1F" w:rsidRPr="00402C15">
        <w:t>crea la necesidad de</w:t>
      </w:r>
      <w:r w:rsidR="005E6D85" w:rsidRPr="00402C15">
        <w:t xml:space="preserve"> controles operativos, </w:t>
      </w:r>
      <w:r w:rsidR="00F15D1F" w:rsidRPr="00402C15">
        <w:t>y</w:t>
      </w:r>
      <w:r w:rsidR="005E6D85" w:rsidRPr="00402C15">
        <w:t xml:space="preserve"> aumenta la probabilidad de errores</w:t>
      </w:r>
      <w:r w:rsidR="00E3702B" w:rsidRPr="00402C15">
        <w:t xml:space="preserve"> por el control adicional de asignación de instrumentos a generaciones</w:t>
      </w:r>
      <w:r w:rsidR="008C6062" w:rsidRPr="00402C15">
        <w:t xml:space="preserve">, </w:t>
      </w:r>
    </w:p>
    <w:p w14:paraId="109A18E8" w14:textId="77777777" w:rsidR="002C51B3" w:rsidRPr="00402C15" w:rsidRDefault="00E3702B" w:rsidP="00826E96">
      <w:pPr>
        <w:pStyle w:val="Prrafodelista"/>
        <w:numPr>
          <w:ilvl w:val="0"/>
          <w:numId w:val="34"/>
        </w:numPr>
        <w:spacing w:after="0" w:line="240" w:lineRule="auto"/>
        <w:jc w:val="both"/>
      </w:pPr>
      <w:r w:rsidRPr="00402C15">
        <w:t xml:space="preserve">La alternativa 2 </w:t>
      </w:r>
      <w:r w:rsidR="00660688" w:rsidRPr="00402C15">
        <w:t>podría ser</w:t>
      </w:r>
      <w:r w:rsidR="002C51B3" w:rsidRPr="00402C15">
        <w:t xml:space="preserve"> de</w:t>
      </w:r>
      <w:r w:rsidR="008C6062" w:rsidRPr="00402C15">
        <w:t xml:space="preserve"> </w:t>
      </w:r>
      <w:r w:rsidR="00510A33" w:rsidRPr="00402C15">
        <w:t>difícil</w:t>
      </w:r>
      <w:r w:rsidR="005E6D85" w:rsidRPr="00402C15">
        <w:t xml:space="preserve"> entendimiento para los afiliados</w:t>
      </w:r>
      <w:r w:rsidR="00402C15" w:rsidRPr="00402C15">
        <w:t>, además de no tener ejemplos de implementación para el caso de pensiones</w:t>
      </w:r>
      <w:r w:rsidR="005E6D85" w:rsidRPr="00402C15">
        <w:t xml:space="preserve">. </w:t>
      </w:r>
    </w:p>
    <w:p w14:paraId="02BA4950" w14:textId="77777777" w:rsidR="002C51B3" w:rsidRPr="00402C15" w:rsidRDefault="002C51B3" w:rsidP="002C51B3">
      <w:pPr>
        <w:spacing w:after="0" w:line="240" w:lineRule="auto"/>
        <w:jc w:val="both"/>
      </w:pPr>
    </w:p>
    <w:p w14:paraId="3F9B2B0C" w14:textId="77777777" w:rsidR="005E6D85" w:rsidRPr="007B30FD" w:rsidRDefault="005E6D85" w:rsidP="002C51B3">
      <w:pPr>
        <w:spacing w:after="0" w:line="240" w:lineRule="auto"/>
        <w:jc w:val="both"/>
        <w:rPr>
          <w:strike/>
          <w:color w:val="FF0000"/>
        </w:rPr>
      </w:pPr>
      <w:r>
        <w:t xml:space="preserve">Con esto definido, el equipo de trabajo del proyecto continuó con la redacción de la propuesta normativa para fondos generacionales con los cambios regulatorios </w:t>
      </w:r>
      <w:r w:rsidR="00B95A52">
        <w:t>y</w:t>
      </w:r>
      <w:r>
        <w:t xml:space="preserve"> operativos aquí presentados</w:t>
      </w:r>
      <w:r w:rsidR="00E60C0E">
        <w:t>.</w:t>
      </w:r>
    </w:p>
    <w:p w14:paraId="3ECF52EA" w14:textId="77777777" w:rsidR="00B47A67" w:rsidRDefault="00B47A67" w:rsidP="00B47A67">
      <w:r>
        <w:br w:type="page"/>
      </w:r>
    </w:p>
    <w:p w14:paraId="32ACA689" w14:textId="77777777" w:rsidR="00B47A67" w:rsidRPr="00243373" w:rsidRDefault="00B47A67" w:rsidP="00B47A67">
      <w:pPr>
        <w:pStyle w:val="Ttulo1"/>
      </w:pPr>
      <w:bookmarkStart w:id="27" w:name="_Toc144396535"/>
      <w:r>
        <w:lastRenderedPageBreak/>
        <w:t>Capítulo 4: Propuesta de</w:t>
      </w:r>
      <w:r w:rsidR="003A4FEF">
        <w:t xml:space="preserve"> diseño de</w:t>
      </w:r>
      <w:r>
        <w:t xml:space="preserve"> </w:t>
      </w:r>
      <w:r w:rsidR="003A4FEF">
        <w:t>f</w:t>
      </w:r>
      <w:r>
        <w:t xml:space="preserve">ondos </w:t>
      </w:r>
      <w:r w:rsidR="003A4FEF">
        <w:t>g</w:t>
      </w:r>
      <w:r>
        <w:t>eneracionales</w:t>
      </w:r>
      <w:bookmarkEnd w:id="27"/>
    </w:p>
    <w:p w14:paraId="247DB335" w14:textId="77777777" w:rsidR="00B47A67" w:rsidRDefault="00B47A67" w:rsidP="00B47A67"/>
    <w:p w14:paraId="0550BF24" w14:textId="77777777" w:rsidR="00B47A67" w:rsidRDefault="00291F4D" w:rsidP="00B47A67">
      <w:pPr>
        <w:jc w:val="both"/>
      </w:pPr>
      <w:r>
        <w:t xml:space="preserve">Este capítulo </w:t>
      </w:r>
      <w:r w:rsidR="005E6D85">
        <w:t>aborda</w:t>
      </w:r>
      <w:r>
        <w:t xml:space="preserve"> </w:t>
      </w:r>
      <w:r w:rsidR="00CC393D">
        <w:t>el diseño de los fondos generacionales en el ROP</w:t>
      </w:r>
      <w:r w:rsidR="00A71DDE">
        <w:t xml:space="preserve">, tomando como base </w:t>
      </w:r>
      <w:r w:rsidR="002B6721">
        <w:t>las condiciones de la población</w:t>
      </w:r>
      <w:r w:rsidR="007C1319">
        <w:t xml:space="preserve"> vigentes</w:t>
      </w:r>
      <w:r w:rsidR="009345EF">
        <w:t xml:space="preserve"> en el 2023</w:t>
      </w:r>
      <w:r w:rsidR="009345EF" w:rsidRPr="00E60C0E">
        <w:t>, en procu</w:t>
      </w:r>
      <w:r w:rsidR="00662229" w:rsidRPr="00E60C0E">
        <w:t>ra de la reducción de los costos operativos de la propuesta</w:t>
      </w:r>
      <w:r w:rsidR="00660ACC" w:rsidRPr="00E60C0E">
        <w:t xml:space="preserve"> y </w:t>
      </w:r>
      <w:r w:rsidR="001E117D" w:rsidRPr="00E60C0E">
        <w:t>buscando su</w:t>
      </w:r>
      <w:r w:rsidR="00662229" w:rsidRPr="00E60C0E">
        <w:t xml:space="preserve"> </w:t>
      </w:r>
      <w:r w:rsidR="001E117D" w:rsidRPr="00E60C0E">
        <w:t xml:space="preserve">pronta </w:t>
      </w:r>
      <w:r w:rsidR="00662229" w:rsidRPr="00E60C0E">
        <w:t>implementación</w:t>
      </w:r>
      <w:r w:rsidR="001E117D" w:rsidRPr="00E60C0E">
        <w:t xml:space="preserve"> para</w:t>
      </w:r>
      <w:r w:rsidR="00662229" w:rsidRPr="00E60C0E">
        <w:t xml:space="preserve"> </w:t>
      </w:r>
      <w:r w:rsidR="0088488A" w:rsidRPr="00E60C0E">
        <w:t>posibilitar que los afiliados se vean beneficiados de manera inmediata</w:t>
      </w:r>
      <w:r w:rsidR="000878AC">
        <w:rPr>
          <w:rStyle w:val="Refdenotaalpie"/>
        </w:rPr>
        <w:footnoteReference w:id="15"/>
      </w:r>
      <w:r w:rsidR="00E47B33">
        <w:t>.</w:t>
      </w:r>
    </w:p>
    <w:p w14:paraId="69B69361" w14:textId="77777777" w:rsidR="0098306E" w:rsidRDefault="0098306E" w:rsidP="00B47A67">
      <w:pPr>
        <w:jc w:val="both"/>
      </w:pPr>
    </w:p>
    <w:p w14:paraId="1C40D2C6" w14:textId="77777777" w:rsidR="00B47A67" w:rsidRDefault="00B47A67" w:rsidP="00B47A67">
      <w:pPr>
        <w:pStyle w:val="Ttulo2"/>
      </w:pPr>
      <w:bookmarkStart w:id="28" w:name="_Toc144396536"/>
      <w:r>
        <w:t>4.1. Segmentación de las generaciones</w:t>
      </w:r>
      <w:bookmarkEnd w:id="28"/>
      <w:r>
        <w:t xml:space="preserve"> </w:t>
      </w:r>
    </w:p>
    <w:p w14:paraId="7DE2A3EF" w14:textId="77777777" w:rsidR="00B47A67" w:rsidRDefault="00B47A67" w:rsidP="00B47A67">
      <w:pPr>
        <w:spacing w:after="0" w:line="240" w:lineRule="auto"/>
        <w:contextualSpacing/>
        <w:jc w:val="both"/>
      </w:pPr>
    </w:p>
    <w:p w14:paraId="7AB7F5E4" w14:textId="77777777" w:rsidR="005E6D85" w:rsidRDefault="005E6D85" w:rsidP="005E6D85">
      <w:pPr>
        <w:jc w:val="both"/>
      </w:pPr>
      <w:r>
        <w:t>Mediante el estudio técnico para la conformación de grupos etarios</w:t>
      </w:r>
      <w:r w:rsidR="00886433">
        <w:rPr>
          <w:rStyle w:val="Refdenotaalpie"/>
        </w:rPr>
        <w:footnoteReference w:id="16"/>
      </w:r>
      <w:r>
        <w:t xml:space="preserve">, la SUPEN concluye que la segmentación idónea para la administración del ROP es de cuatro generaciones o cohortes; estas son: personas nacidas antes de 1970, personas nacidas entre 1970 y 1979, personas nacidas entre 1980 y 1989, y finalmente las personas nacidas a partir de 1990. </w:t>
      </w:r>
      <w:r w:rsidR="00B6577F">
        <w:t xml:space="preserve">El </w:t>
      </w:r>
      <w:r w:rsidR="00B16A05">
        <w:fldChar w:fldCharType="begin"/>
      </w:r>
      <w:r w:rsidR="00B16A05">
        <w:instrText xml:space="preserve"> REF _Ref143161417 \h </w:instrText>
      </w:r>
      <w:r w:rsidR="00B16A05">
        <w:fldChar w:fldCharType="separate"/>
      </w:r>
      <w:r w:rsidR="00A637C2">
        <w:t xml:space="preserve">Gráfico </w:t>
      </w:r>
      <w:r w:rsidR="00A637C2">
        <w:rPr>
          <w:noProof/>
        </w:rPr>
        <w:t>3</w:t>
      </w:r>
      <w:r w:rsidR="00B16A05">
        <w:fldChar w:fldCharType="end"/>
      </w:r>
      <w:r w:rsidR="00B16A05">
        <w:t xml:space="preserve"> y </w:t>
      </w:r>
      <w:r w:rsidR="00B6577F">
        <w:t>el cuadro 3</w:t>
      </w:r>
      <w:r w:rsidR="00B16A05">
        <w:t xml:space="preserve"> </w:t>
      </w:r>
      <w:r>
        <w:t>muestran el saldo del ROP según las generaciones antes mencionadas a marzo 2023, en los que se observa que la generación de menor edad es a la que se le ha asignado la menor cantidad de activos.</w:t>
      </w:r>
    </w:p>
    <w:p w14:paraId="6FEBCBC6" w14:textId="77777777" w:rsidR="009B4DD1" w:rsidRPr="00B6577F" w:rsidRDefault="009B4DD1" w:rsidP="009B4DD1">
      <w:pPr>
        <w:pStyle w:val="Textonotapie"/>
        <w:jc w:val="both"/>
        <w:rPr>
          <w:sz w:val="22"/>
          <w:szCs w:val="22"/>
        </w:rPr>
      </w:pPr>
      <w:r w:rsidRPr="00B6577F">
        <w:rPr>
          <w:sz w:val="22"/>
          <w:szCs w:val="22"/>
        </w:rPr>
        <w:t xml:space="preserve">Si bien una mayor cantidad de generaciones es deseable para poder definir estrategias diferenciadas de las inversiones y poder establecer con mayor claridad las fechas de pensión objetivo, esta mayor </w:t>
      </w:r>
      <w:r w:rsidR="000524E8" w:rsidRPr="00B6577F">
        <w:rPr>
          <w:sz w:val="22"/>
          <w:szCs w:val="22"/>
        </w:rPr>
        <w:t>fragmentación</w:t>
      </w:r>
      <w:r w:rsidRPr="00B6577F">
        <w:rPr>
          <w:sz w:val="22"/>
          <w:szCs w:val="22"/>
        </w:rPr>
        <w:t xml:space="preserve"> ocasionaría un mayor manejo operativo, con el posible consecuente costo asociado. Así, si bien la experiencia internacional </w:t>
      </w:r>
      <w:r w:rsidR="00245C7C">
        <w:rPr>
          <w:sz w:val="22"/>
          <w:szCs w:val="22"/>
        </w:rPr>
        <w:t xml:space="preserve">(generalmente en plazas con mayor población que Costa Rica) </w:t>
      </w:r>
      <w:r w:rsidRPr="00B6577F">
        <w:rPr>
          <w:sz w:val="22"/>
          <w:szCs w:val="22"/>
        </w:rPr>
        <w:t>apunta a separar las generaciones con mayor periodicidad que la propuesta, este volumen de fondos afectaría la viabilidad del proyecto al encarecer los costos operativos. Un balance entre la cantidad de fondos, los saldos acumulados y los costos operativos, además de un estudio específico preparado por la Superintendencia</w:t>
      </w:r>
      <w:r w:rsidR="00D106F9">
        <w:rPr>
          <w:rStyle w:val="Refdenotaalpie"/>
          <w:sz w:val="22"/>
          <w:szCs w:val="22"/>
        </w:rPr>
        <w:footnoteReference w:id="17"/>
      </w:r>
      <w:r w:rsidRPr="00B6577F">
        <w:rPr>
          <w:sz w:val="22"/>
          <w:szCs w:val="22"/>
        </w:rPr>
        <w:t xml:space="preserve"> inclinan la propuesta a trabajar con décadas para la conformación de las generaciones.</w:t>
      </w:r>
    </w:p>
    <w:p w14:paraId="35B7B028" w14:textId="77777777" w:rsidR="005E6D85" w:rsidRDefault="005E6D85" w:rsidP="005E6D85">
      <w:pPr>
        <w:spacing w:after="0" w:line="240" w:lineRule="auto"/>
        <w:jc w:val="both"/>
      </w:pPr>
    </w:p>
    <w:p w14:paraId="62EDB975" w14:textId="77777777" w:rsidR="0003136C" w:rsidRDefault="0003136C" w:rsidP="005E6D85">
      <w:pPr>
        <w:spacing w:after="0" w:line="240" w:lineRule="auto"/>
        <w:jc w:val="both"/>
      </w:pPr>
    </w:p>
    <w:p w14:paraId="54F0AFEB" w14:textId="77777777" w:rsidR="0003136C" w:rsidRDefault="0003136C" w:rsidP="005E6D85">
      <w:pPr>
        <w:spacing w:after="0" w:line="240" w:lineRule="auto"/>
        <w:jc w:val="both"/>
      </w:pPr>
    </w:p>
    <w:p w14:paraId="3099B239" w14:textId="77777777" w:rsidR="0003136C" w:rsidRDefault="0003136C" w:rsidP="005E6D85">
      <w:pPr>
        <w:spacing w:after="0" w:line="240" w:lineRule="auto"/>
        <w:jc w:val="both"/>
      </w:pPr>
    </w:p>
    <w:p w14:paraId="1357051C" w14:textId="77777777" w:rsidR="0003136C" w:rsidRDefault="0003136C" w:rsidP="005E6D85">
      <w:pPr>
        <w:spacing w:after="0" w:line="240" w:lineRule="auto"/>
        <w:jc w:val="both"/>
      </w:pPr>
    </w:p>
    <w:p w14:paraId="0C6BB2D4" w14:textId="77777777" w:rsidR="0003136C" w:rsidRDefault="0003136C" w:rsidP="005E6D85">
      <w:pPr>
        <w:spacing w:after="0" w:line="240" w:lineRule="auto"/>
        <w:jc w:val="both"/>
      </w:pPr>
    </w:p>
    <w:p w14:paraId="1AB83693" w14:textId="77777777" w:rsidR="0003136C" w:rsidRDefault="0003136C" w:rsidP="005E6D85">
      <w:pPr>
        <w:spacing w:after="0" w:line="240" w:lineRule="auto"/>
        <w:jc w:val="both"/>
      </w:pPr>
    </w:p>
    <w:p w14:paraId="28126ACA" w14:textId="77777777" w:rsidR="0003136C" w:rsidRDefault="0003136C" w:rsidP="005E6D85">
      <w:pPr>
        <w:spacing w:after="0" w:line="240" w:lineRule="auto"/>
        <w:jc w:val="both"/>
      </w:pPr>
    </w:p>
    <w:p w14:paraId="65978280" w14:textId="77777777" w:rsidR="0003136C" w:rsidRDefault="0003136C" w:rsidP="005E6D85">
      <w:pPr>
        <w:spacing w:after="0" w:line="240" w:lineRule="auto"/>
        <w:jc w:val="both"/>
      </w:pPr>
    </w:p>
    <w:p w14:paraId="00764E68" w14:textId="77777777" w:rsidR="009A3FAB" w:rsidRDefault="009A3FAB" w:rsidP="005E6D85">
      <w:pPr>
        <w:spacing w:after="0" w:line="240" w:lineRule="auto"/>
        <w:jc w:val="both"/>
      </w:pPr>
    </w:p>
    <w:p w14:paraId="55AAA074" w14:textId="77777777" w:rsidR="0003136C" w:rsidRDefault="0003136C" w:rsidP="005E6D85">
      <w:pPr>
        <w:spacing w:after="0" w:line="240" w:lineRule="auto"/>
        <w:jc w:val="both"/>
      </w:pPr>
    </w:p>
    <w:p w14:paraId="0DDA7695" w14:textId="77777777" w:rsidR="0003136C" w:rsidRDefault="0003136C" w:rsidP="005E6D85">
      <w:pPr>
        <w:spacing w:after="0" w:line="240" w:lineRule="auto"/>
        <w:jc w:val="both"/>
      </w:pPr>
    </w:p>
    <w:p w14:paraId="1103FB69" w14:textId="77777777" w:rsidR="005E6D85" w:rsidRDefault="005E6D85" w:rsidP="005E6D85">
      <w:pPr>
        <w:pStyle w:val="Descripcin"/>
      </w:pPr>
      <w:bookmarkStart w:id="29" w:name="_Ref143161417"/>
      <w:r>
        <w:lastRenderedPageBreak/>
        <w:t xml:space="preserve">Gráfico </w:t>
      </w:r>
      <w:r w:rsidR="0042356F">
        <w:fldChar w:fldCharType="begin"/>
      </w:r>
      <w:r w:rsidR="0042356F">
        <w:instrText xml:space="preserve"> SEQ Gráfico \* ARABIC </w:instrText>
      </w:r>
      <w:r w:rsidR="0042356F">
        <w:fldChar w:fldCharType="separate"/>
      </w:r>
      <w:r w:rsidR="00A637C2">
        <w:rPr>
          <w:noProof/>
        </w:rPr>
        <w:t>3</w:t>
      </w:r>
      <w:r w:rsidR="0042356F">
        <w:rPr>
          <w:noProof/>
        </w:rPr>
        <w:fldChar w:fldCharType="end"/>
      </w:r>
      <w:bookmarkEnd w:id="29"/>
      <w:r>
        <w:t>: Saldos por década de nacimiento, marzo, 2023</w:t>
      </w:r>
    </w:p>
    <w:p w14:paraId="60D0B758" w14:textId="77777777" w:rsidR="005E6D85" w:rsidRDefault="005E6D85" w:rsidP="00AF6EFB">
      <w:pPr>
        <w:spacing w:after="0" w:line="240" w:lineRule="auto"/>
        <w:contextualSpacing/>
        <w:jc w:val="center"/>
      </w:pPr>
      <w:r>
        <w:rPr>
          <w:noProof/>
        </w:rPr>
        <w:drawing>
          <wp:inline distT="0" distB="0" distL="0" distR="0" wp14:anchorId="79A920C0" wp14:editId="786771D5">
            <wp:extent cx="3930650" cy="2294626"/>
            <wp:effectExtent l="0" t="0" r="0" b="0"/>
            <wp:docPr id="10" name="Gráfico 10">
              <a:extLst xmlns:a="http://schemas.openxmlformats.org/drawingml/2006/main">
                <a:ext uri="{FF2B5EF4-FFF2-40B4-BE49-F238E27FC236}">
                  <a16:creationId xmlns:a16="http://schemas.microsoft.com/office/drawing/2014/main" id="{A544D2C9-F7CD-1C3A-5377-D8CBD0546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16A0C2" w14:textId="77777777" w:rsidR="005E6D85" w:rsidRPr="001D474E" w:rsidRDefault="005E6D85" w:rsidP="005E6D85">
      <w:pPr>
        <w:rPr>
          <w:sz w:val="18"/>
          <w:szCs w:val="18"/>
        </w:rPr>
      </w:pPr>
      <w:r w:rsidRPr="001D474E">
        <w:rPr>
          <w:sz w:val="18"/>
          <w:szCs w:val="18"/>
        </w:rPr>
        <w:t>Fuente: SUPEN</w:t>
      </w:r>
    </w:p>
    <w:p w14:paraId="7921FAA1" w14:textId="77777777" w:rsidR="00B16A05" w:rsidRDefault="00B16A05" w:rsidP="005E6D85"/>
    <w:p w14:paraId="2798EF9F" w14:textId="77777777" w:rsidR="005E6D85" w:rsidRDefault="00B6577F" w:rsidP="005E6D85">
      <w:bookmarkStart w:id="30" w:name="_Ref136254660"/>
      <w:r>
        <w:t>Cuadro 3</w:t>
      </w:r>
      <w:bookmarkEnd w:id="30"/>
      <w:r w:rsidR="005E6D85">
        <w:t>: Activos por año de nacimiento, según OPC, marzo 2023</w:t>
      </w:r>
    </w:p>
    <w:tbl>
      <w:tblPr>
        <w:tblW w:w="8640" w:type="dxa"/>
        <w:tblCellMar>
          <w:left w:w="70" w:type="dxa"/>
          <w:right w:w="70" w:type="dxa"/>
        </w:tblCellMar>
        <w:tblLook w:val="04A0" w:firstRow="1" w:lastRow="0" w:firstColumn="1" w:lastColumn="0" w:noHBand="0" w:noVBand="1"/>
      </w:tblPr>
      <w:tblGrid>
        <w:gridCol w:w="1640"/>
        <w:gridCol w:w="1480"/>
        <w:gridCol w:w="1080"/>
        <w:gridCol w:w="1080"/>
        <w:gridCol w:w="1080"/>
        <w:gridCol w:w="1220"/>
        <w:gridCol w:w="1060"/>
      </w:tblGrid>
      <w:tr w:rsidR="009E4ED7" w:rsidRPr="00742081" w14:paraId="5FC849E0" w14:textId="77777777" w:rsidTr="009E4ED7">
        <w:trPr>
          <w:trHeight w:val="290"/>
        </w:trPr>
        <w:tc>
          <w:tcPr>
            <w:tcW w:w="1640" w:type="dxa"/>
            <w:tcBorders>
              <w:top w:val="single" w:sz="4" w:space="0" w:color="8EA9DB"/>
              <w:left w:val="single" w:sz="4" w:space="0" w:color="8EA9DB"/>
              <w:bottom w:val="single" w:sz="4" w:space="0" w:color="8EA9DB"/>
              <w:right w:val="nil"/>
            </w:tcBorders>
            <w:shd w:val="clear" w:color="4472C4" w:fill="4472C4"/>
            <w:noWrap/>
            <w:vAlign w:val="bottom"/>
            <w:hideMark/>
          </w:tcPr>
          <w:p w14:paraId="312D676D" w14:textId="77777777" w:rsidR="009E4ED7" w:rsidRPr="00742081" w:rsidRDefault="009E4ED7" w:rsidP="009E4ED7">
            <w:pPr>
              <w:spacing w:after="0" w:line="240" w:lineRule="auto"/>
              <w:jc w:val="center"/>
              <w:rPr>
                <w:rFonts w:ascii="Calibri" w:eastAsia="Times New Roman" w:hAnsi="Calibri" w:cs="Calibri"/>
                <w:b/>
                <w:bCs/>
                <w:color w:val="FFFFFF"/>
                <w:lang w:val="es-CR" w:eastAsia="es-CR"/>
              </w:rPr>
            </w:pPr>
            <w:r w:rsidRPr="00742081">
              <w:rPr>
                <w:rFonts w:ascii="Calibri" w:eastAsia="Times New Roman" w:hAnsi="Calibri" w:cs="Calibri"/>
                <w:b/>
                <w:bCs/>
                <w:color w:val="FFFFFF"/>
                <w:lang w:val="es-CR" w:eastAsia="es-CR"/>
              </w:rPr>
              <w:t>Generación</w:t>
            </w:r>
          </w:p>
        </w:tc>
        <w:tc>
          <w:tcPr>
            <w:tcW w:w="1480" w:type="dxa"/>
            <w:tcBorders>
              <w:top w:val="single" w:sz="4" w:space="0" w:color="8EA9DB"/>
              <w:left w:val="nil"/>
              <w:bottom w:val="single" w:sz="4" w:space="0" w:color="8EA9DB"/>
              <w:right w:val="nil"/>
            </w:tcBorders>
            <w:shd w:val="clear" w:color="4472C4" w:fill="4472C4"/>
            <w:noWrap/>
            <w:vAlign w:val="bottom"/>
            <w:hideMark/>
          </w:tcPr>
          <w:p w14:paraId="35E59112" w14:textId="77777777" w:rsidR="009E4ED7" w:rsidRPr="00742081" w:rsidRDefault="009E4ED7" w:rsidP="00792212">
            <w:pPr>
              <w:spacing w:after="0" w:line="240" w:lineRule="auto"/>
              <w:jc w:val="center"/>
              <w:rPr>
                <w:rFonts w:ascii="Calibri" w:eastAsia="Times New Roman" w:hAnsi="Calibri" w:cs="Calibri"/>
                <w:b/>
                <w:bCs/>
                <w:color w:val="FFFFFF"/>
                <w:lang w:val="es-CR" w:eastAsia="es-CR"/>
              </w:rPr>
            </w:pPr>
            <w:r>
              <w:rPr>
                <w:rFonts w:ascii="Calibri" w:eastAsia="Times New Roman" w:hAnsi="Calibri" w:cs="Calibri"/>
                <w:b/>
                <w:bCs/>
                <w:color w:val="FFFFFF"/>
                <w:lang w:val="es-CR" w:eastAsia="es-CR"/>
              </w:rPr>
              <w:t>OPC1</w:t>
            </w:r>
          </w:p>
        </w:tc>
        <w:tc>
          <w:tcPr>
            <w:tcW w:w="1080" w:type="dxa"/>
            <w:tcBorders>
              <w:top w:val="single" w:sz="4" w:space="0" w:color="8EA9DB"/>
              <w:left w:val="nil"/>
              <w:bottom w:val="single" w:sz="4" w:space="0" w:color="8EA9DB"/>
              <w:right w:val="nil"/>
            </w:tcBorders>
            <w:shd w:val="clear" w:color="4472C4" w:fill="4472C4"/>
            <w:vAlign w:val="bottom"/>
          </w:tcPr>
          <w:p w14:paraId="42FB3C86" w14:textId="77777777" w:rsidR="009E4ED7" w:rsidRDefault="009E4ED7" w:rsidP="00792212">
            <w:pPr>
              <w:spacing w:after="0" w:line="240" w:lineRule="auto"/>
              <w:jc w:val="center"/>
              <w:rPr>
                <w:rFonts w:ascii="Calibri" w:eastAsia="Times New Roman" w:hAnsi="Calibri" w:cs="Calibri"/>
                <w:b/>
                <w:bCs/>
                <w:color w:val="FFFFFF"/>
                <w:lang w:val="es-CR" w:eastAsia="es-CR"/>
              </w:rPr>
            </w:pPr>
            <w:r>
              <w:rPr>
                <w:rFonts w:ascii="Calibri" w:eastAsia="Times New Roman" w:hAnsi="Calibri" w:cs="Calibri"/>
                <w:b/>
                <w:bCs/>
                <w:color w:val="FFFFFF"/>
                <w:lang w:val="es-CR" w:eastAsia="es-CR"/>
              </w:rPr>
              <w:t>OPC2</w:t>
            </w:r>
          </w:p>
        </w:tc>
        <w:tc>
          <w:tcPr>
            <w:tcW w:w="1080" w:type="dxa"/>
            <w:tcBorders>
              <w:top w:val="single" w:sz="4" w:space="0" w:color="8EA9DB"/>
              <w:left w:val="nil"/>
              <w:bottom w:val="single" w:sz="4" w:space="0" w:color="8EA9DB"/>
              <w:right w:val="nil"/>
            </w:tcBorders>
            <w:shd w:val="clear" w:color="4472C4" w:fill="4472C4"/>
            <w:vAlign w:val="bottom"/>
          </w:tcPr>
          <w:p w14:paraId="3B4DCA7B" w14:textId="77777777" w:rsidR="009E4ED7" w:rsidRDefault="009E4ED7" w:rsidP="00792212">
            <w:pPr>
              <w:spacing w:after="0" w:line="240" w:lineRule="auto"/>
              <w:jc w:val="center"/>
              <w:rPr>
                <w:rFonts w:ascii="Calibri" w:eastAsia="Times New Roman" w:hAnsi="Calibri" w:cs="Calibri"/>
                <w:b/>
                <w:bCs/>
                <w:color w:val="FFFFFF"/>
                <w:lang w:val="es-CR" w:eastAsia="es-CR"/>
              </w:rPr>
            </w:pPr>
            <w:r>
              <w:rPr>
                <w:rFonts w:ascii="Calibri" w:eastAsia="Times New Roman" w:hAnsi="Calibri" w:cs="Calibri"/>
                <w:b/>
                <w:bCs/>
                <w:color w:val="FFFFFF"/>
                <w:lang w:val="es-CR" w:eastAsia="es-CR"/>
              </w:rPr>
              <w:t>OPC3</w:t>
            </w:r>
          </w:p>
        </w:tc>
        <w:tc>
          <w:tcPr>
            <w:tcW w:w="1080" w:type="dxa"/>
            <w:tcBorders>
              <w:top w:val="single" w:sz="4" w:space="0" w:color="8EA9DB"/>
              <w:left w:val="nil"/>
              <w:bottom w:val="single" w:sz="4" w:space="0" w:color="8EA9DB"/>
              <w:right w:val="nil"/>
            </w:tcBorders>
            <w:shd w:val="clear" w:color="4472C4" w:fill="4472C4"/>
            <w:noWrap/>
            <w:vAlign w:val="bottom"/>
            <w:hideMark/>
          </w:tcPr>
          <w:p w14:paraId="325D9671" w14:textId="77777777" w:rsidR="009E4ED7" w:rsidRPr="00742081" w:rsidRDefault="009E4ED7" w:rsidP="00792212">
            <w:pPr>
              <w:spacing w:after="0" w:line="240" w:lineRule="auto"/>
              <w:jc w:val="center"/>
              <w:rPr>
                <w:rFonts w:ascii="Calibri" w:eastAsia="Times New Roman" w:hAnsi="Calibri" w:cs="Calibri"/>
                <w:b/>
                <w:bCs/>
                <w:color w:val="FFFFFF"/>
                <w:lang w:val="es-CR" w:eastAsia="es-CR"/>
              </w:rPr>
            </w:pPr>
            <w:r>
              <w:rPr>
                <w:rFonts w:ascii="Calibri" w:eastAsia="Times New Roman" w:hAnsi="Calibri" w:cs="Calibri"/>
                <w:b/>
                <w:bCs/>
                <w:color w:val="FFFFFF"/>
                <w:lang w:val="es-CR" w:eastAsia="es-CR"/>
              </w:rPr>
              <w:t>OPC4</w:t>
            </w:r>
          </w:p>
        </w:tc>
        <w:tc>
          <w:tcPr>
            <w:tcW w:w="1220" w:type="dxa"/>
            <w:tcBorders>
              <w:top w:val="single" w:sz="4" w:space="0" w:color="8EA9DB"/>
              <w:left w:val="nil"/>
              <w:bottom w:val="single" w:sz="4" w:space="0" w:color="8EA9DB"/>
              <w:right w:val="nil"/>
            </w:tcBorders>
            <w:shd w:val="clear" w:color="4472C4" w:fill="4472C4"/>
            <w:noWrap/>
            <w:vAlign w:val="bottom"/>
            <w:hideMark/>
          </w:tcPr>
          <w:p w14:paraId="4B614B03" w14:textId="77777777" w:rsidR="009E4ED7" w:rsidRPr="00742081" w:rsidRDefault="009E4ED7" w:rsidP="00792212">
            <w:pPr>
              <w:spacing w:after="0" w:line="240" w:lineRule="auto"/>
              <w:jc w:val="center"/>
              <w:rPr>
                <w:rFonts w:ascii="Calibri" w:eastAsia="Times New Roman" w:hAnsi="Calibri" w:cs="Calibri"/>
                <w:b/>
                <w:bCs/>
                <w:color w:val="FFFFFF"/>
                <w:lang w:val="es-CR" w:eastAsia="es-CR"/>
              </w:rPr>
            </w:pPr>
            <w:r>
              <w:rPr>
                <w:rFonts w:ascii="Calibri" w:eastAsia="Times New Roman" w:hAnsi="Calibri" w:cs="Calibri"/>
                <w:b/>
                <w:bCs/>
                <w:color w:val="FFFFFF"/>
                <w:lang w:val="es-CR" w:eastAsia="es-CR"/>
              </w:rPr>
              <w:t>OPC5</w:t>
            </w:r>
          </w:p>
        </w:tc>
        <w:tc>
          <w:tcPr>
            <w:tcW w:w="1060" w:type="dxa"/>
            <w:tcBorders>
              <w:top w:val="single" w:sz="4" w:space="0" w:color="8EA9DB"/>
              <w:left w:val="nil"/>
              <w:bottom w:val="single" w:sz="4" w:space="0" w:color="8EA9DB"/>
              <w:right w:val="nil"/>
            </w:tcBorders>
            <w:shd w:val="clear" w:color="4472C4" w:fill="4472C4"/>
            <w:noWrap/>
            <w:vAlign w:val="bottom"/>
            <w:hideMark/>
          </w:tcPr>
          <w:p w14:paraId="6E878362" w14:textId="77777777" w:rsidR="009E4ED7" w:rsidRPr="00742081" w:rsidRDefault="009E4ED7" w:rsidP="00792212">
            <w:pPr>
              <w:spacing w:after="0" w:line="240" w:lineRule="auto"/>
              <w:jc w:val="center"/>
              <w:rPr>
                <w:rFonts w:ascii="Calibri" w:eastAsia="Times New Roman" w:hAnsi="Calibri" w:cs="Calibri"/>
                <w:b/>
                <w:bCs/>
                <w:color w:val="FFFFFF"/>
                <w:lang w:val="es-CR" w:eastAsia="es-CR"/>
              </w:rPr>
            </w:pPr>
            <w:r>
              <w:rPr>
                <w:rFonts w:ascii="Calibri" w:eastAsia="Times New Roman" w:hAnsi="Calibri" w:cs="Calibri"/>
                <w:b/>
                <w:bCs/>
                <w:color w:val="FFFFFF"/>
                <w:lang w:val="es-CR" w:eastAsia="es-CR"/>
              </w:rPr>
              <w:t>OPC6</w:t>
            </w:r>
          </w:p>
        </w:tc>
      </w:tr>
      <w:tr w:rsidR="009E4ED7" w:rsidRPr="00742081" w14:paraId="1D3BE9B1" w14:textId="77777777" w:rsidTr="009E4ED7">
        <w:trPr>
          <w:trHeight w:val="290"/>
        </w:trPr>
        <w:tc>
          <w:tcPr>
            <w:tcW w:w="1640" w:type="dxa"/>
            <w:tcBorders>
              <w:top w:val="single" w:sz="4" w:space="0" w:color="8EA9DB"/>
              <w:left w:val="single" w:sz="4" w:space="0" w:color="8EA9DB"/>
              <w:bottom w:val="single" w:sz="4" w:space="0" w:color="8EA9DB"/>
              <w:right w:val="nil"/>
            </w:tcBorders>
            <w:shd w:val="clear" w:color="D9E1F2" w:fill="D9E1F2"/>
            <w:noWrap/>
            <w:vAlign w:val="bottom"/>
            <w:hideMark/>
          </w:tcPr>
          <w:p w14:paraId="21C6F935" w14:textId="77777777" w:rsidR="009E4ED7" w:rsidRPr="00742081" w:rsidRDefault="009E4ED7" w:rsidP="009E4ED7">
            <w:pPr>
              <w:spacing w:after="0" w:line="240" w:lineRule="auto"/>
              <w:jc w:val="center"/>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&lt;1970</w:t>
            </w:r>
          </w:p>
        </w:tc>
        <w:tc>
          <w:tcPr>
            <w:tcW w:w="1480" w:type="dxa"/>
            <w:tcBorders>
              <w:top w:val="single" w:sz="4" w:space="0" w:color="8EA9DB"/>
              <w:left w:val="nil"/>
              <w:bottom w:val="single" w:sz="4" w:space="0" w:color="8EA9DB"/>
              <w:right w:val="nil"/>
            </w:tcBorders>
            <w:shd w:val="clear" w:color="D9E1F2" w:fill="D9E1F2"/>
            <w:noWrap/>
            <w:vAlign w:val="bottom"/>
            <w:hideMark/>
          </w:tcPr>
          <w:p w14:paraId="69533022"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27,4%</w:t>
            </w:r>
          </w:p>
        </w:tc>
        <w:tc>
          <w:tcPr>
            <w:tcW w:w="1080" w:type="dxa"/>
            <w:tcBorders>
              <w:top w:val="single" w:sz="4" w:space="0" w:color="8EA9DB"/>
              <w:left w:val="nil"/>
              <w:bottom w:val="single" w:sz="4" w:space="0" w:color="8EA9DB"/>
              <w:right w:val="nil"/>
            </w:tcBorders>
            <w:shd w:val="clear" w:color="D9E1F2" w:fill="D9E1F2"/>
            <w:vAlign w:val="bottom"/>
          </w:tcPr>
          <w:p w14:paraId="376A65F0"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33,5%</w:t>
            </w:r>
          </w:p>
        </w:tc>
        <w:tc>
          <w:tcPr>
            <w:tcW w:w="1080" w:type="dxa"/>
            <w:tcBorders>
              <w:top w:val="single" w:sz="4" w:space="0" w:color="8EA9DB"/>
              <w:left w:val="nil"/>
              <w:bottom w:val="single" w:sz="4" w:space="0" w:color="8EA9DB"/>
              <w:right w:val="nil"/>
            </w:tcBorders>
            <w:shd w:val="clear" w:color="D9E1F2" w:fill="D9E1F2"/>
            <w:vAlign w:val="bottom"/>
          </w:tcPr>
          <w:p w14:paraId="07D57D03"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17,4%</w:t>
            </w:r>
          </w:p>
        </w:tc>
        <w:tc>
          <w:tcPr>
            <w:tcW w:w="1080" w:type="dxa"/>
            <w:tcBorders>
              <w:top w:val="single" w:sz="4" w:space="0" w:color="8EA9DB"/>
              <w:left w:val="nil"/>
              <w:bottom w:val="single" w:sz="4" w:space="0" w:color="8EA9DB"/>
              <w:right w:val="nil"/>
            </w:tcBorders>
            <w:shd w:val="clear" w:color="D9E1F2" w:fill="D9E1F2"/>
            <w:noWrap/>
            <w:vAlign w:val="bottom"/>
            <w:hideMark/>
          </w:tcPr>
          <w:p w14:paraId="242980E2"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32,7%</w:t>
            </w:r>
          </w:p>
        </w:tc>
        <w:tc>
          <w:tcPr>
            <w:tcW w:w="1220" w:type="dxa"/>
            <w:tcBorders>
              <w:top w:val="single" w:sz="4" w:space="0" w:color="8EA9DB"/>
              <w:left w:val="nil"/>
              <w:bottom w:val="single" w:sz="4" w:space="0" w:color="8EA9DB"/>
              <w:right w:val="nil"/>
            </w:tcBorders>
            <w:shd w:val="clear" w:color="D9E1F2" w:fill="D9E1F2"/>
            <w:noWrap/>
            <w:vAlign w:val="bottom"/>
            <w:hideMark/>
          </w:tcPr>
          <w:p w14:paraId="674218B2"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26,5%</w:t>
            </w:r>
          </w:p>
        </w:tc>
        <w:tc>
          <w:tcPr>
            <w:tcW w:w="1060" w:type="dxa"/>
            <w:tcBorders>
              <w:top w:val="single" w:sz="4" w:space="0" w:color="8EA9DB"/>
              <w:left w:val="nil"/>
              <w:bottom w:val="single" w:sz="4" w:space="0" w:color="8EA9DB"/>
              <w:right w:val="nil"/>
            </w:tcBorders>
            <w:shd w:val="clear" w:color="D9E1F2" w:fill="D9E1F2"/>
            <w:noWrap/>
            <w:vAlign w:val="bottom"/>
            <w:hideMark/>
          </w:tcPr>
          <w:p w14:paraId="6DBA4026"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30,6%</w:t>
            </w:r>
          </w:p>
        </w:tc>
      </w:tr>
      <w:tr w:rsidR="009E4ED7" w:rsidRPr="00742081" w14:paraId="355A0420" w14:textId="77777777" w:rsidTr="009E4ED7">
        <w:trPr>
          <w:trHeight w:val="290"/>
        </w:trPr>
        <w:tc>
          <w:tcPr>
            <w:tcW w:w="1640" w:type="dxa"/>
            <w:tcBorders>
              <w:top w:val="single" w:sz="4" w:space="0" w:color="8EA9DB"/>
              <w:left w:val="single" w:sz="4" w:space="0" w:color="8EA9DB"/>
              <w:bottom w:val="single" w:sz="4" w:space="0" w:color="8EA9DB"/>
              <w:right w:val="nil"/>
            </w:tcBorders>
            <w:shd w:val="clear" w:color="auto" w:fill="auto"/>
            <w:noWrap/>
            <w:vAlign w:val="bottom"/>
            <w:hideMark/>
          </w:tcPr>
          <w:p w14:paraId="1E80F6C2" w14:textId="77777777" w:rsidR="009E4ED7" w:rsidRPr="00742081" w:rsidRDefault="009E4ED7" w:rsidP="009E4ED7">
            <w:pPr>
              <w:spacing w:after="0" w:line="240" w:lineRule="auto"/>
              <w:jc w:val="center"/>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70s</w:t>
            </w:r>
          </w:p>
        </w:tc>
        <w:tc>
          <w:tcPr>
            <w:tcW w:w="1480" w:type="dxa"/>
            <w:tcBorders>
              <w:top w:val="single" w:sz="4" w:space="0" w:color="8EA9DB"/>
              <w:left w:val="nil"/>
              <w:bottom w:val="single" w:sz="4" w:space="0" w:color="8EA9DB"/>
              <w:right w:val="nil"/>
            </w:tcBorders>
            <w:shd w:val="clear" w:color="auto" w:fill="auto"/>
            <w:noWrap/>
            <w:vAlign w:val="bottom"/>
            <w:hideMark/>
          </w:tcPr>
          <w:p w14:paraId="54872094"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33,4%</w:t>
            </w:r>
          </w:p>
        </w:tc>
        <w:tc>
          <w:tcPr>
            <w:tcW w:w="1080" w:type="dxa"/>
            <w:tcBorders>
              <w:top w:val="single" w:sz="4" w:space="0" w:color="8EA9DB"/>
              <w:left w:val="nil"/>
              <w:bottom w:val="single" w:sz="4" w:space="0" w:color="8EA9DB"/>
              <w:right w:val="nil"/>
            </w:tcBorders>
            <w:vAlign w:val="bottom"/>
          </w:tcPr>
          <w:p w14:paraId="5EF9BF21"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36,2%</w:t>
            </w:r>
          </w:p>
        </w:tc>
        <w:tc>
          <w:tcPr>
            <w:tcW w:w="1080" w:type="dxa"/>
            <w:tcBorders>
              <w:top w:val="single" w:sz="4" w:space="0" w:color="8EA9DB"/>
              <w:left w:val="nil"/>
              <w:bottom w:val="single" w:sz="4" w:space="0" w:color="8EA9DB"/>
              <w:right w:val="nil"/>
            </w:tcBorders>
            <w:vAlign w:val="bottom"/>
          </w:tcPr>
          <w:p w14:paraId="2E264E60"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33,9%</w:t>
            </w:r>
          </w:p>
        </w:tc>
        <w:tc>
          <w:tcPr>
            <w:tcW w:w="1080" w:type="dxa"/>
            <w:tcBorders>
              <w:top w:val="single" w:sz="4" w:space="0" w:color="8EA9DB"/>
              <w:left w:val="nil"/>
              <w:bottom w:val="single" w:sz="4" w:space="0" w:color="8EA9DB"/>
              <w:right w:val="nil"/>
            </w:tcBorders>
            <w:shd w:val="clear" w:color="auto" w:fill="auto"/>
            <w:noWrap/>
            <w:vAlign w:val="bottom"/>
            <w:hideMark/>
          </w:tcPr>
          <w:p w14:paraId="0E99763F"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36,0%</w:t>
            </w:r>
          </w:p>
        </w:tc>
        <w:tc>
          <w:tcPr>
            <w:tcW w:w="1220" w:type="dxa"/>
            <w:tcBorders>
              <w:top w:val="single" w:sz="4" w:space="0" w:color="8EA9DB"/>
              <w:left w:val="nil"/>
              <w:bottom w:val="single" w:sz="4" w:space="0" w:color="8EA9DB"/>
              <w:right w:val="nil"/>
            </w:tcBorders>
            <w:shd w:val="clear" w:color="auto" w:fill="auto"/>
            <w:noWrap/>
            <w:vAlign w:val="bottom"/>
            <w:hideMark/>
          </w:tcPr>
          <w:p w14:paraId="3059F94C"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28,3%</w:t>
            </w:r>
          </w:p>
        </w:tc>
        <w:tc>
          <w:tcPr>
            <w:tcW w:w="1060" w:type="dxa"/>
            <w:tcBorders>
              <w:top w:val="single" w:sz="4" w:space="0" w:color="8EA9DB"/>
              <w:left w:val="nil"/>
              <w:bottom w:val="single" w:sz="4" w:space="0" w:color="8EA9DB"/>
              <w:right w:val="nil"/>
            </w:tcBorders>
            <w:shd w:val="clear" w:color="auto" w:fill="auto"/>
            <w:noWrap/>
            <w:vAlign w:val="bottom"/>
            <w:hideMark/>
          </w:tcPr>
          <w:p w14:paraId="06BDAB1C"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29,6%</w:t>
            </w:r>
          </w:p>
        </w:tc>
      </w:tr>
      <w:tr w:rsidR="009E4ED7" w:rsidRPr="00742081" w14:paraId="7CBF783C" w14:textId="77777777" w:rsidTr="009E4ED7">
        <w:trPr>
          <w:trHeight w:val="290"/>
        </w:trPr>
        <w:tc>
          <w:tcPr>
            <w:tcW w:w="1640" w:type="dxa"/>
            <w:tcBorders>
              <w:top w:val="single" w:sz="4" w:space="0" w:color="8EA9DB"/>
              <w:left w:val="single" w:sz="4" w:space="0" w:color="8EA9DB"/>
              <w:bottom w:val="single" w:sz="4" w:space="0" w:color="8EA9DB"/>
              <w:right w:val="nil"/>
            </w:tcBorders>
            <w:shd w:val="clear" w:color="D9E1F2" w:fill="D9E1F2"/>
            <w:noWrap/>
            <w:vAlign w:val="bottom"/>
            <w:hideMark/>
          </w:tcPr>
          <w:p w14:paraId="595D06E1" w14:textId="77777777" w:rsidR="009E4ED7" w:rsidRPr="00742081" w:rsidRDefault="009E4ED7" w:rsidP="009E4ED7">
            <w:pPr>
              <w:spacing w:after="0" w:line="240" w:lineRule="auto"/>
              <w:jc w:val="center"/>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80s</w:t>
            </w:r>
          </w:p>
        </w:tc>
        <w:tc>
          <w:tcPr>
            <w:tcW w:w="1480" w:type="dxa"/>
            <w:tcBorders>
              <w:top w:val="single" w:sz="4" w:space="0" w:color="8EA9DB"/>
              <w:left w:val="nil"/>
              <w:bottom w:val="single" w:sz="4" w:space="0" w:color="8EA9DB"/>
              <w:right w:val="nil"/>
            </w:tcBorders>
            <w:shd w:val="clear" w:color="D9E1F2" w:fill="D9E1F2"/>
            <w:noWrap/>
            <w:vAlign w:val="bottom"/>
            <w:hideMark/>
          </w:tcPr>
          <w:p w14:paraId="60DDDBF9"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32,4%</w:t>
            </w:r>
          </w:p>
        </w:tc>
        <w:tc>
          <w:tcPr>
            <w:tcW w:w="1080" w:type="dxa"/>
            <w:tcBorders>
              <w:top w:val="single" w:sz="4" w:space="0" w:color="8EA9DB"/>
              <w:left w:val="nil"/>
              <w:bottom w:val="single" w:sz="4" w:space="0" w:color="8EA9DB"/>
              <w:right w:val="nil"/>
            </w:tcBorders>
            <w:shd w:val="clear" w:color="D9E1F2" w:fill="D9E1F2"/>
            <w:vAlign w:val="bottom"/>
          </w:tcPr>
          <w:p w14:paraId="3A4CD16C"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27,5%</w:t>
            </w:r>
          </w:p>
        </w:tc>
        <w:tc>
          <w:tcPr>
            <w:tcW w:w="1080" w:type="dxa"/>
            <w:tcBorders>
              <w:top w:val="single" w:sz="4" w:space="0" w:color="8EA9DB"/>
              <w:left w:val="nil"/>
              <w:bottom w:val="single" w:sz="4" w:space="0" w:color="8EA9DB"/>
              <w:right w:val="nil"/>
            </w:tcBorders>
            <w:shd w:val="clear" w:color="D9E1F2" w:fill="D9E1F2"/>
            <w:vAlign w:val="bottom"/>
          </w:tcPr>
          <w:p w14:paraId="300B00A4"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37,1%</w:t>
            </w:r>
          </w:p>
        </w:tc>
        <w:tc>
          <w:tcPr>
            <w:tcW w:w="1080" w:type="dxa"/>
            <w:tcBorders>
              <w:top w:val="single" w:sz="4" w:space="0" w:color="8EA9DB"/>
              <w:left w:val="nil"/>
              <w:bottom w:val="single" w:sz="4" w:space="0" w:color="8EA9DB"/>
              <w:right w:val="nil"/>
            </w:tcBorders>
            <w:shd w:val="clear" w:color="D9E1F2" w:fill="D9E1F2"/>
            <w:noWrap/>
            <w:vAlign w:val="bottom"/>
            <w:hideMark/>
          </w:tcPr>
          <w:p w14:paraId="31245657"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25,9%</w:t>
            </w:r>
          </w:p>
        </w:tc>
        <w:tc>
          <w:tcPr>
            <w:tcW w:w="1220" w:type="dxa"/>
            <w:tcBorders>
              <w:top w:val="single" w:sz="4" w:space="0" w:color="8EA9DB"/>
              <w:left w:val="nil"/>
              <w:bottom w:val="single" w:sz="4" w:space="0" w:color="8EA9DB"/>
              <w:right w:val="nil"/>
            </w:tcBorders>
            <w:shd w:val="clear" w:color="D9E1F2" w:fill="D9E1F2"/>
            <w:noWrap/>
            <w:vAlign w:val="bottom"/>
            <w:hideMark/>
          </w:tcPr>
          <w:p w14:paraId="5A111B60"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36,2%</w:t>
            </w:r>
          </w:p>
        </w:tc>
        <w:tc>
          <w:tcPr>
            <w:tcW w:w="1060" w:type="dxa"/>
            <w:tcBorders>
              <w:top w:val="single" w:sz="4" w:space="0" w:color="8EA9DB"/>
              <w:left w:val="nil"/>
              <w:bottom w:val="single" w:sz="4" w:space="0" w:color="8EA9DB"/>
              <w:right w:val="nil"/>
            </w:tcBorders>
            <w:shd w:val="clear" w:color="D9E1F2" w:fill="D9E1F2"/>
            <w:noWrap/>
            <w:vAlign w:val="bottom"/>
            <w:hideMark/>
          </w:tcPr>
          <w:p w14:paraId="5D540E8F"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27,7%</w:t>
            </w:r>
          </w:p>
        </w:tc>
      </w:tr>
      <w:tr w:rsidR="009E4ED7" w:rsidRPr="00742081" w14:paraId="7DEECF3F" w14:textId="77777777" w:rsidTr="009E4ED7">
        <w:trPr>
          <w:trHeight w:val="290"/>
        </w:trPr>
        <w:tc>
          <w:tcPr>
            <w:tcW w:w="1640" w:type="dxa"/>
            <w:tcBorders>
              <w:top w:val="single" w:sz="4" w:space="0" w:color="8EA9DB"/>
              <w:left w:val="single" w:sz="4" w:space="0" w:color="8EA9DB"/>
              <w:bottom w:val="single" w:sz="4" w:space="0" w:color="8EA9DB"/>
              <w:right w:val="nil"/>
            </w:tcBorders>
            <w:shd w:val="clear" w:color="auto" w:fill="auto"/>
            <w:noWrap/>
            <w:vAlign w:val="bottom"/>
            <w:hideMark/>
          </w:tcPr>
          <w:p w14:paraId="58749267" w14:textId="77777777" w:rsidR="009E4ED7" w:rsidRPr="00742081" w:rsidRDefault="009E4ED7" w:rsidP="009E4ED7">
            <w:pPr>
              <w:spacing w:after="0" w:line="240" w:lineRule="auto"/>
              <w:jc w:val="center"/>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&gt;1990</w:t>
            </w:r>
          </w:p>
        </w:tc>
        <w:tc>
          <w:tcPr>
            <w:tcW w:w="1480" w:type="dxa"/>
            <w:tcBorders>
              <w:top w:val="single" w:sz="4" w:space="0" w:color="8EA9DB"/>
              <w:left w:val="nil"/>
              <w:bottom w:val="single" w:sz="4" w:space="0" w:color="8EA9DB"/>
              <w:right w:val="nil"/>
            </w:tcBorders>
            <w:shd w:val="clear" w:color="auto" w:fill="auto"/>
            <w:noWrap/>
            <w:vAlign w:val="bottom"/>
            <w:hideMark/>
          </w:tcPr>
          <w:p w14:paraId="0B2155F5"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6,8%</w:t>
            </w:r>
          </w:p>
        </w:tc>
        <w:tc>
          <w:tcPr>
            <w:tcW w:w="1080" w:type="dxa"/>
            <w:tcBorders>
              <w:top w:val="single" w:sz="4" w:space="0" w:color="8EA9DB"/>
              <w:left w:val="nil"/>
              <w:bottom w:val="single" w:sz="4" w:space="0" w:color="8EA9DB"/>
              <w:right w:val="nil"/>
            </w:tcBorders>
            <w:vAlign w:val="bottom"/>
          </w:tcPr>
          <w:p w14:paraId="18EB57FF"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2,8%</w:t>
            </w:r>
          </w:p>
        </w:tc>
        <w:tc>
          <w:tcPr>
            <w:tcW w:w="1080" w:type="dxa"/>
            <w:tcBorders>
              <w:top w:val="single" w:sz="4" w:space="0" w:color="8EA9DB"/>
              <w:left w:val="nil"/>
              <w:bottom w:val="single" w:sz="4" w:space="0" w:color="8EA9DB"/>
              <w:right w:val="nil"/>
            </w:tcBorders>
            <w:vAlign w:val="bottom"/>
          </w:tcPr>
          <w:p w14:paraId="179B89C3"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11,5%</w:t>
            </w:r>
          </w:p>
        </w:tc>
        <w:tc>
          <w:tcPr>
            <w:tcW w:w="1080" w:type="dxa"/>
            <w:tcBorders>
              <w:top w:val="single" w:sz="4" w:space="0" w:color="8EA9DB"/>
              <w:left w:val="nil"/>
              <w:bottom w:val="single" w:sz="4" w:space="0" w:color="8EA9DB"/>
              <w:right w:val="nil"/>
            </w:tcBorders>
            <w:shd w:val="clear" w:color="auto" w:fill="auto"/>
            <w:noWrap/>
            <w:vAlign w:val="bottom"/>
            <w:hideMark/>
          </w:tcPr>
          <w:p w14:paraId="4500B330"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5,3%</w:t>
            </w:r>
          </w:p>
        </w:tc>
        <w:tc>
          <w:tcPr>
            <w:tcW w:w="1220" w:type="dxa"/>
            <w:tcBorders>
              <w:top w:val="single" w:sz="4" w:space="0" w:color="8EA9DB"/>
              <w:left w:val="nil"/>
              <w:bottom w:val="single" w:sz="4" w:space="0" w:color="8EA9DB"/>
              <w:right w:val="nil"/>
            </w:tcBorders>
            <w:shd w:val="clear" w:color="auto" w:fill="auto"/>
            <w:noWrap/>
            <w:vAlign w:val="bottom"/>
            <w:hideMark/>
          </w:tcPr>
          <w:p w14:paraId="46E71EDD"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8,9%</w:t>
            </w:r>
          </w:p>
        </w:tc>
        <w:tc>
          <w:tcPr>
            <w:tcW w:w="1060" w:type="dxa"/>
            <w:tcBorders>
              <w:top w:val="single" w:sz="4" w:space="0" w:color="8EA9DB"/>
              <w:left w:val="nil"/>
              <w:bottom w:val="single" w:sz="4" w:space="0" w:color="8EA9DB"/>
              <w:right w:val="nil"/>
            </w:tcBorders>
            <w:shd w:val="clear" w:color="auto" w:fill="auto"/>
            <w:noWrap/>
            <w:vAlign w:val="bottom"/>
            <w:hideMark/>
          </w:tcPr>
          <w:p w14:paraId="2B97E9BD"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12,1%</w:t>
            </w:r>
          </w:p>
        </w:tc>
      </w:tr>
      <w:tr w:rsidR="009E4ED7" w:rsidRPr="00742081" w14:paraId="1C9D9824" w14:textId="77777777" w:rsidTr="009E4ED7">
        <w:trPr>
          <w:trHeight w:val="290"/>
        </w:trPr>
        <w:tc>
          <w:tcPr>
            <w:tcW w:w="1640" w:type="dxa"/>
            <w:tcBorders>
              <w:top w:val="single" w:sz="4" w:space="0" w:color="8EA9DB"/>
              <w:left w:val="single" w:sz="4" w:space="0" w:color="8EA9DB"/>
              <w:bottom w:val="single" w:sz="4" w:space="0" w:color="8EA9DB"/>
              <w:right w:val="nil"/>
            </w:tcBorders>
            <w:shd w:val="clear" w:color="D9E1F2" w:fill="D9E1F2"/>
            <w:noWrap/>
            <w:vAlign w:val="bottom"/>
            <w:hideMark/>
          </w:tcPr>
          <w:p w14:paraId="4D91B10D" w14:textId="77777777" w:rsidR="009E4ED7" w:rsidRPr="00742081" w:rsidRDefault="009E4ED7" w:rsidP="009E4ED7">
            <w:pPr>
              <w:spacing w:after="0" w:line="240" w:lineRule="auto"/>
              <w:jc w:val="center"/>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Total</w:t>
            </w:r>
          </w:p>
        </w:tc>
        <w:tc>
          <w:tcPr>
            <w:tcW w:w="1480" w:type="dxa"/>
            <w:tcBorders>
              <w:top w:val="single" w:sz="4" w:space="0" w:color="8EA9DB"/>
              <w:left w:val="nil"/>
              <w:bottom w:val="single" w:sz="4" w:space="0" w:color="8EA9DB"/>
              <w:right w:val="nil"/>
            </w:tcBorders>
            <w:shd w:val="clear" w:color="D9E1F2" w:fill="D9E1F2"/>
            <w:noWrap/>
            <w:vAlign w:val="bottom"/>
            <w:hideMark/>
          </w:tcPr>
          <w:p w14:paraId="694221A7"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100,0%</w:t>
            </w:r>
          </w:p>
        </w:tc>
        <w:tc>
          <w:tcPr>
            <w:tcW w:w="1080" w:type="dxa"/>
            <w:tcBorders>
              <w:top w:val="single" w:sz="4" w:space="0" w:color="8EA9DB"/>
              <w:left w:val="nil"/>
              <w:bottom w:val="single" w:sz="4" w:space="0" w:color="8EA9DB"/>
              <w:right w:val="nil"/>
            </w:tcBorders>
            <w:shd w:val="clear" w:color="D9E1F2" w:fill="D9E1F2"/>
            <w:vAlign w:val="bottom"/>
          </w:tcPr>
          <w:p w14:paraId="2911ED05"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100,0%</w:t>
            </w:r>
          </w:p>
        </w:tc>
        <w:tc>
          <w:tcPr>
            <w:tcW w:w="1080" w:type="dxa"/>
            <w:tcBorders>
              <w:top w:val="single" w:sz="4" w:space="0" w:color="8EA9DB"/>
              <w:left w:val="nil"/>
              <w:bottom w:val="single" w:sz="4" w:space="0" w:color="8EA9DB"/>
              <w:right w:val="nil"/>
            </w:tcBorders>
            <w:shd w:val="clear" w:color="D9E1F2" w:fill="D9E1F2"/>
            <w:vAlign w:val="bottom"/>
          </w:tcPr>
          <w:p w14:paraId="2FBE9B21"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100,0%</w:t>
            </w:r>
          </w:p>
        </w:tc>
        <w:tc>
          <w:tcPr>
            <w:tcW w:w="1080" w:type="dxa"/>
            <w:tcBorders>
              <w:top w:val="single" w:sz="4" w:space="0" w:color="8EA9DB"/>
              <w:left w:val="nil"/>
              <w:bottom w:val="single" w:sz="4" w:space="0" w:color="8EA9DB"/>
              <w:right w:val="nil"/>
            </w:tcBorders>
            <w:shd w:val="clear" w:color="D9E1F2" w:fill="D9E1F2"/>
            <w:noWrap/>
            <w:vAlign w:val="bottom"/>
            <w:hideMark/>
          </w:tcPr>
          <w:p w14:paraId="3E521150"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100,0%</w:t>
            </w:r>
          </w:p>
        </w:tc>
        <w:tc>
          <w:tcPr>
            <w:tcW w:w="1220" w:type="dxa"/>
            <w:tcBorders>
              <w:top w:val="single" w:sz="4" w:space="0" w:color="8EA9DB"/>
              <w:left w:val="nil"/>
              <w:bottom w:val="single" w:sz="4" w:space="0" w:color="8EA9DB"/>
              <w:right w:val="nil"/>
            </w:tcBorders>
            <w:shd w:val="clear" w:color="D9E1F2" w:fill="D9E1F2"/>
            <w:noWrap/>
            <w:vAlign w:val="bottom"/>
            <w:hideMark/>
          </w:tcPr>
          <w:p w14:paraId="6D6EF91C"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100,0%</w:t>
            </w:r>
          </w:p>
        </w:tc>
        <w:tc>
          <w:tcPr>
            <w:tcW w:w="1060" w:type="dxa"/>
            <w:tcBorders>
              <w:top w:val="single" w:sz="4" w:space="0" w:color="8EA9DB"/>
              <w:left w:val="nil"/>
              <w:bottom w:val="single" w:sz="4" w:space="0" w:color="8EA9DB"/>
              <w:right w:val="nil"/>
            </w:tcBorders>
            <w:shd w:val="clear" w:color="D9E1F2" w:fill="D9E1F2"/>
            <w:noWrap/>
            <w:vAlign w:val="bottom"/>
            <w:hideMark/>
          </w:tcPr>
          <w:p w14:paraId="55579936" w14:textId="77777777" w:rsidR="009E4ED7" w:rsidRPr="00742081" w:rsidRDefault="009E4ED7" w:rsidP="009E4ED7">
            <w:pPr>
              <w:spacing w:after="0" w:line="240" w:lineRule="auto"/>
              <w:jc w:val="right"/>
              <w:rPr>
                <w:rFonts w:ascii="Calibri" w:eastAsia="Times New Roman" w:hAnsi="Calibri" w:cs="Calibri"/>
                <w:color w:val="000000"/>
                <w:lang w:val="es-CR" w:eastAsia="es-CR"/>
              </w:rPr>
            </w:pPr>
            <w:r w:rsidRPr="00742081">
              <w:rPr>
                <w:rFonts w:ascii="Calibri" w:eastAsia="Times New Roman" w:hAnsi="Calibri" w:cs="Calibri"/>
                <w:color w:val="000000"/>
                <w:lang w:val="es-CR" w:eastAsia="es-CR"/>
              </w:rPr>
              <w:t>100,0%</w:t>
            </w:r>
          </w:p>
        </w:tc>
      </w:tr>
    </w:tbl>
    <w:p w14:paraId="64E269A7" w14:textId="77777777" w:rsidR="005E6D85" w:rsidRDefault="005E6D85" w:rsidP="005E6D85">
      <w:pPr>
        <w:spacing w:after="0" w:line="240" w:lineRule="auto"/>
        <w:contextualSpacing/>
      </w:pPr>
    </w:p>
    <w:p w14:paraId="5CFC1DEF" w14:textId="77777777" w:rsidR="007C152B" w:rsidRDefault="007C152B" w:rsidP="007C152B">
      <w:pPr>
        <w:spacing w:after="0" w:line="240" w:lineRule="auto"/>
        <w:contextualSpacing/>
      </w:pPr>
      <w:r>
        <w:t>Fuente: SUPEN</w:t>
      </w:r>
      <w:r w:rsidR="00B6577F">
        <w:t>,</w:t>
      </w:r>
      <w:r>
        <w:t xml:space="preserve"> con datos de las entidades supervisadas</w:t>
      </w:r>
    </w:p>
    <w:p w14:paraId="4F1533BD" w14:textId="77777777" w:rsidR="007C152B" w:rsidRDefault="007C152B" w:rsidP="00B47A67">
      <w:pPr>
        <w:spacing w:after="0" w:line="240" w:lineRule="auto"/>
        <w:jc w:val="both"/>
      </w:pPr>
    </w:p>
    <w:p w14:paraId="7B6EB24C" w14:textId="77777777" w:rsidR="007C152B" w:rsidRDefault="007C152B" w:rsidP="00B47A67">
      <w:pPr>
        <w:spacing w:after="0" w:line="240" w:lineRule="auto"/>
        <w:jc w:val="both"/>
      </w:pPr>
    </w:p>
    <w:p w14:paraId="60BB093D" w14:textId="77777777" w:rsidR="00B36BF8" w:rsidRDefault="00B36BF8" w:rsidP="00B36BF8">
      <w:pPr>
        <w:spacing w:after="0" w:line="240" w:lineRule="auto"/>
        <w:jc w:val="both"/>
      </w:pPr>
      <w:r>
        <w:t xml:space="preserve">Por otra parte, pudo observarse que, a partir de la segmentación del ROP en cuatro distintos fondos, la composición por edad entre operadoras resultó ser semejante, con lo que las operadoras contarán con una generación joven que represente alrededor de un 10% de los activos del fondo, tomando en cuenta que el mercado local cuenta con poca oferta de  instrumentos de renta variable y que, únicamente, a través de las inversiones en los mercados internacionales, podrán, en el mediano plazo, atenderse los requerimientos de títulos de propiedad de esta generación.  </w:t>
      </w:r>
    </w:p>
    <w:p w14:paraId="025E5E47" w14:textId="77777777" w:rsidR="00B36BF8" w:rsidRDefault="00B36BF8" w:rsidP="00B36BF8">
      <w:pPr>
        <w:spacing w:after="0" w:line="240" w:lineRule="auto"/>
        <w:jc w:val="both"/>
      </w:pPr>
    </w:p>
    <w:p w14:paraId="79537998" w14:textId="77777777" w:rsidR="00B36BF8" w:rsidRDefault="00B36BF8" w:rsidP="00B36BF8">
      <w:pPr>
        <w:spacing w:after="0" w:line="240" w:lineRule="auto"/>
        <w:jc w:val="both"/>
      </w:pPr>
      <w:r>
        <w:t>Los restantes tres fondos generacionales estarán conformados con alrededor de un 30% del activo, cada uno, todo lo cual permitirá que no se produzcan cambios abruptos en la composición actual de las carteras, utilizándose los instrumentos ya disponibles en los portafolios administrados.</w:t>
      </w:r>
    </w:p>
    <w:p w14:paraId="126CB815" w14:textId="77777777" w:rsidR="00B36BF8" w:rsidRDefault="00B36BF8" w:rsidP="00B47A67">
      <w:pPr>
        <w:spacing w:after="0" w:line="240" w:lineRule="auto"/>
        <w:jc w:val="both"/>
      </w:pPr>
    </w:p>
    <w:p w14:paraId="6FDEAB68" w14:textId="77777777" w:rsidR="005E6D85" w:rsidRPr="00B6577F" w:rsidRDefault="0001282D" w:rsidP="005E6D85">
      <w:pPr>
        <w:spacing w:after="0" w:line="240" w:lineRule="auto"/>
        <w:jc w:val="both"/>
      </w:pPr>
      <w:r w:rsidRPr="00B6577F">
        <w:t xml:space="preserve">Empezar </w:t>
      </w:r>
      <w:r w:rsidR="000B262B" w:rsidRPr="00B6577F">
        <w:t>la implementación de fondos generacionales con u</w:t>
      </w:r>
      <w:r w:rsidR="005E6D85" w:rsidRPr="00B6577F">
        <w:t xml:space="preserve">na generación joven de relativamente poco nivel de activos permite a los gestores disponer de tiempo suficiente </w:t>
      </w:r>
      <w:r w:rsidR="000B262B" w:rsidRPr="00B6577F">
        <w:t>(</w:t>
      </w:r>
      <w:r w:rsidR="00F621B4" w:rsidRPr="00B6577F">
        <w:t>varios años de transición</w:t>
      </w:r>
      <w:r w:rsidR="000B262B" w:rsidRPr="00B6577F">
        <w:t xml:space="preserve">) </w:t>
      </w:r>
      <w:r w:rsidR="005E6D85" w:rsidRPr="00B6577F">
        <w:t>para adquirir, por ejemplo, renta variable, en los mercados internacionales,</w:t>
      </w:r>
      <w:r w:rsidR="00F621B4" w:rsidRPr="00B6577F">
        <w:t xml:space="preserve"> o en los mercados locales, </w:t>
      </w:r>
      <w:r w:rsidR="002968CB" w:rsidRPr="00B6577F">
        <w:t>promoviendo desde la demanda, que surja en los emisores una</w:t>
      </w:r>
      <w:r w:rsidR="005E6D85" w:rsidRPr="00B6577F">
        <w:t xml:space="preserve"> oferta</w:t>
      </w:r>
      <w:r w:rsidR="002968CB" w:rsidRPr="00B6577F">
        <w:t xml:space="preserve"> más robusta </w:t>
      </w:r>
      <w:r w:rsidR="001B4ECA" w:rsidRPr="00B6577F">
        <w:t xml:space="preserve">(cantidad de instrumentos y variedad de sectores) </w:t>
      </w:r>
      <w:r w:rsidR="002968CB" w:rsidRPr="00B6577F">
        <w:t>a la existente,</w:t>
      </w:r>
      <w:r w:rsidR="005E6D85" w:rsidRPr="00B6577F">
        <w:t xml:space="preserve"> de estos instrumentos en el mercado local. </w:t>
      </w:r>
    </w:p>
    <w:p w14:paraId="4C62B44F" w14:textId="77777777" w:rsidR="002D4014" w:rsidRPr="00B6577F" w:rsidRDefault="002D4014" w:rsidP="005E6D85">
      <w:pPr>
        <w:spacing w:after="0" w:line="240" w:lineRule="auto"/>
        <w:jc w:val="both"/>
      </w:pPr>
    </w:p>
    <w:p w14:paraId="01AC1A89" w14:textId="77777777" w:rsidR="002D4014" w:rsidRPr="00B6577F" w:rsidRDefault="002D4014" w:rsidP="002D4014">
      <w:pPr>
        <w:spacing w:after="0" w:line="240" w:lineRule="auto"/>
        <w:jc w:val="both"/>
      </w:pPr>
      <w:r w:rsidRPr="00B6577F">
        <w:t xml:space="preserve">En síntesis, la división etaria </w:t>
      </w:r>
      <w:r w:rsidR="0042539D" w:rsidRPr="00B6577F">
        <w:t xml:space="preserve">propuesta </w:t>
      </w:r>
      <w:r w:rsidRPr="00B6577F">
        <w:t xml:space="preserve">tiene fundamento en </w:t>
      </w:r>
      <w:r w:rsidR="00A52C88" w:rsidRPr="00B6577F">
        <w:t>los siguientes aspectos</w:t>
      </w:r>
      <w:r w:rsidRPr="00B6577F">
        <w:t xml:space="preserve">: </w:t>
      </w:r>
    </w:p>
    <w:p w14:paraId="4282B975" w14:textId="77777777" w:rsidR="005316D6" w:rsidRPr="00B6577F" w:rsidRDefault="005316D6" w:rsidP="002D4014">
      <w:pPr>
        <w:spacing w:after="0" w:line="240" w:lineRule="auto"/>
        <w:jc w:val="both"/>
      </w:pPr>
    </w:p>
    <w:p w14:paraId="2C11A67B" w14:textId="77777777" w:rsidR="002D4014" w:rsidRPr="00B6577F" w:rsidRDefault="00B6577F" w:rsidP="002D4014">
      <w:pPr>
        <w:pStyle w:val="Prrafodelista"/>
        <w:numPr>
          <w:ilvl w:val="0"/>
          <w:numId w:val="35"/>
        </w:numPr>
        <w:spacing w:after="0" w:line="240" w:lineRule="auto"/>
        <w:jc w:val="both"/>
      </w:pPr>
      <w:r w:rsidRPr="00B6577F">
        <w:lastRenderedPageBreak/>
        <w:t>E</w:t>
      </w:r>
      <w:r w:rsidR="002D4014" w:rsidRPr="00B6577F">
        <w:t>xiste una concentración homogénea de afiliados y sus respectivas edades en las operadoras de pensiones</w:t>
      </w:r>
      <w:r w:rsidRPr="00B6577F">
        <w:t>.</w:t>
      </w:r>
    </w:p>
    <w:p w14:paraId="3C2C9985" w14:textId="77777777" w:rsidR="002D4014" w:rsidRPr="00B6577F" w:rsidRDefault="00B6577F" w:rsidP="002D4014">
      <w:pPr>
        <w:pStyle w:val="Prrafodelista"/>
        <w:numPr>
          <w:ilvl w:val="0"/>
          <w:numId w:val="35"/>
        </w:numPr>
        <w:spacing w:after="0" w:line="240" w:lineRule="auto"/>
        <w:jc w:val="both"/>
      </w:pPr>
      <w:r w:rsidRPr="00B6577F">
        <w:t>L</w:t>
      </w:r>
      <w:r w:rsidR="002D4014" w:rsidRPr="00B6577F">
        <w:t xml:space="preserve">a cantidad de afiliados al ROP y sus saldos acumulados son dos </w:t>
      </w:r>
      <w:r w:rsidR="001A0A4B" w:rsidRPr="00B6577F">
        <w:t>elementos</w:t>
      </w:r>
      <w:r w:rsidR="002D4014" w:rsidRPr="00B6577F">
        <w:t xml:space="preserve"> que no son equivalentes en los ejercicios de asignación debido a que existen operadoras con mayor cantidad de afiliados, sin que estos necesariamente cuenten con mayores saldos en sus cuentas. Por </w:t>
      </w:r>
      <w:r w:rsidR="008144EF">
        <w:t>esto</w:t>
      </w:r>
      <w:r w:rsidR="002D4014" w:rsidRPr="00B6577F">
        <w:t>, se optó por utilizar únicamente el saldo como elemento de selección para la definición de los grupos de generaciones, considerando que un mayor nivel de activos implicará una mayor posibilidad de diferenciación de los portafolios</w:t>
      </w:r>
      <w:r w:rsidRPr="00B6577F">
        <w:t>.</w:t>
      </w:r>
      <w:r w:rsidR="002D4014" w:rsidRPr="00B6577F">
        <w:t xml:space="preserve"> </w:t>
      </w:r>
    </w:p>
    <w:p w14:paraId="160A5F2E" w14:textId="77777777" w:rsidR="002D4014" w:rsidRPr="00B6577F" w:rsidRDefault="00B6577F" w:rsidP="002D4014">
      <w:pPr>
        <w:pStyle w:val="Prrafodelista"/>
        <w:numPr>
          <w:ilvl w:val="0"/>
          <w:numId w:val="35"/>
        </w:numPr>
        <w:spacing w:after="0" w:line="240" w:lineRule="auto"/>
        <w:jc w:val="both"/>
      </w:pPr>
      <w:r w:rsidRPr="00B6577F">
        <w:t>L</w:t>
      </w:r>
      <w:r w:rsidR="002D4014" w:rsidRPr="00B6577F">
        <w:t xml:space="preserve">a cantidad de afiliados con edades inferiores a los 30 años, cuentan con un nivel </w:t>
      </w:r>
      <w:r w:rsidRPr="00B6577F">
        <w:t xml:space="preserve">relativamente </w:t>
      </w:r>
      <w:r w:rsidR="002D4014" w:rsidRPr="00B6577F">
        <w:t>bajo de acumulación, reflejo natural del modelo de capitalización individual o contribución definida del ROP</w:t>
      </w:r>
      <w:r w:rsidRPr="00B6577F">
        <w:t>.</w:t>
      </w:r>
    </w:p>
    <w:p w14:paraId="26F235B7" w14:textId="77777777" w:rsidR="002D4014" w:rsidRPr="00B6577F" w:rsidRDefault="00B6577F" w:rsidP="002D4014">
      <w:pPr>
        <w:pStyle w:val="Prrafodelista"/>
        <w:numPr>
          <w:ilvl w:val="0"/>
          <w:numId w:val="35"/>
        </w:numPr>
        <w:spacing w:after="0" w:line="240" w:lineRule="auto"/>
        <w:jc w:val="both"/>
      </w:pPr>
      <w:r w:rsidRPr="00B6577F">
        <w:t>L</w:t>
      </w:r>
      <w:r w:rsidR="002D4014" w:rsidRPr="00B6577F">
        <w:t>a generación de pensionados se encontrará presente en el fondo por un período de al menos 20 años, dada la esperanza de vida promedio de la población costarricense</w:t>
      </w:r>
      <w:r w:rsidRPr="00B6577F">
        <w:t>.</w:t>
      </w:r>
      <w:r w:rsidR="002D4014" w:rsidRPr="00B6577F">
        <w:t xml:space="preserve"> </w:t>
      </w:r>
    </w:p>
    <w:p w14:paraId="35036454" w14:textId="77777777" w:rsidR="002D4014" w:rsidRPr="00B6577F" w:rsidRDefault="00B6577F" w:rsidP="002D4014">
      <w:pPr>
        <w:pStyle w:val="Prrafodelista"/>
        <w:numPr>
          <w:ilvl w:val="0"/>
          <w:numId w:val="35"/>
        </w:numPr>
        <w:spacing w:after="0" w:line="240" w:lineRule="auto"/>
        <w:jc w:val="both"/>
      </w:pPr>
      <w:r w:rsidRPr="00B6577F">
        <w:t>S</w:t>
      </w:r>
      <w:r w:rsidR="002D4014" w:rsidRPr="00B6577F">
        <w:t>i bien una mayor cantidad de generaciones podría ser deseable, el manejo operativo lleva asociado un costo que hace que la reforma pueda resultar inviable</w:t>
      </w:r>
      <w:r w:rsidRPr="00B6577F">
        <w:t>.</w:t>
      </w:r>
      <w:r w:rsidR="002D4014" w:rsidRPr="00B6577F">
        <w:t xml:space="preserve"> </w:t>
      </w:r>
    </w:p>
    <w:p w14:paraId="5E2CC2DB" w14:textId="77777777" w:rsidR="002D4014" w:rsidRPr="00B6577F" w:rsidRDefault="00B6577F" w:rsidP="005E6D85">
      <w:pPr>
        <w:pStyle w:val="Prrafodelista"/>
        <w:numPr>
          <w:ilvl w:val="0"/>
          <w:numId w:val="35"/>
        </w:numPr>
        <w:spacing w:after="0" w:line="240" w:lineRule="auto"/>
        <w:jc w:val="both"/>
      </w:pPr>
      <w:r w:rsidRPr="00B6577F">
        <w:t>E</w:t>
      </w:r>
      <w:r w:rsidR="002D4014" w:rsidRPr="00B6577F">
        <w:t>l agrupamiento por décadas, según las fechas de nacimiento antes indicadas, resulta ser la mejor opción desde el punto de vista de la asignación de los trabajadores y pensionados a las correspondientes cohortes y del proceso de información y educación de los afiliados y pensionados.</w:t>
      </w:r>
    </w:p>
    <w:p w14:paraId="763C2B50" w14:textId="77777777" w:rsidR="00B47A67" w:rsidRDefault="00B47A67" w:rsidP="00B47A67">
      <w:pPr>
        <w:pStyle w:val="Prrafodelista"/>
        <w:spacing w:after="0" w:line="240" w:lineRule="auto"/>
        <w:jc w:val="both"/>
      </w:pPr>
    </w:p>
    <w:p w14:paraId="7D56A182" w14:textId="77777777" w:rsidR="00B47A67" w:rsidRDefault="00B47A67" w:rsidP="00DA75D7">
      <w:pPr>
        <w:spacing w:after="0" w:line="240" w:lineRule="auto"/>
        <w:jc w:val="both"/>
      </w:pPr>
    </w:p>
    <w:p w14:paraId="7F7EE565" w14:textId="77777777" w:rsidR="00B47A67" w:rsidRDefault="00B47A67" w:rsidP="00B47A67">
      <w:pPr>
        <w:pStyle w:val="Ttulo2"/>
      </w:pPr>
      <w:bookmarkStart w:id="31" w:name="_Toc144396537"/>
      <w:r>
        <w:t>4.2.</w:t>
      </w:r>
      <w:bookmarkStart w:id="32" w:name="_Toc132962532"/>
      <w:r>
        <w:t xml:space="preserve"> Transición a lo largo del tiempo</w:t>
      </w:r>
      <w:bookmarkEnd w:id="31"/>
      <w:bookmarkEnd w:id="32"/>
    </w:p>
    <w:p w14:paraId="4233468F" w14:textId="77777777" w:rsidR="00B47A67" w:rsidRDefault="00B47A67" w:rsidP="00B47A67">
      <w:pPr>
        <w:spacing w:after="0" w:line="240" w:lineRule="auto"/>
        <w:contextualSpacing/>
        <w:jc w:val="both"/>
      </w:pPr>
    </w:p>
    <w:p w14:paraId="4426A0F5" w14:textId="77777777" w:rsidR="00C42A5B" w:rsidRPr="00B6577F" w:rsidRDefault="005E6D85" w:rsidP="00C42A5B">
      <w:pPr>
        <w:spacing w:after="0" w:line="240" w:lineRule="auto"/>
        <w:contextualSpacing/>
        <w:jc w:val="both"/>
      </w:pPr>
      <w:r w:rsidRPr="00B6577F">
        <w:t>El</w:t>
      </w:r>
      <w:r w:rsidR="00391C07" w:rsidRPr="00B6577F">
        <w:t xml:space="preserve"> proyecto </w:t>
      </w:r>
      <w:r w:rsidR="00123C30" w:rsidRPr="00B6577F">
        <w:t>inicia con cuatro generaciones</w:t>
      </w:r>
      <w:r w:rsidR="00DE4E27" w:rsidRPr="00B6577F">
        <w:t xml:space="preserve">. </w:t>
      </w:r>
      <w:r w:rsidR="00423217" w:rsidRPr="00B6577F">
        <w:t>Sin embargo, p</w:t>
      </w:r>
      <w:r w:rsidR="00F3606E" w:rsidRPr="00B6577F">
        <w:t xml:space="preserve">ara el 2030, </w:t>
      </w:r>
      <w:r w:rsidR="00574081" w:rsidRPr="00B6577F">
        <w:t xml:space="preserve">el ROP </w:t>
      </w:r>
      <w:r w:rsidR="00994DDC">
        <w:t xml:space="preserve">probablemente </w:t>
      </w:r>
      <w:r w:rsidR="007F4C78" w:rsidRPr="00B6577F">
        <w:t xml:space="preserve">contará con </w:t>
      </w:r>
      <w:r w:rsidR="00574081" w:rsidRPr="00B6577F">
        <w:t>una nueva generación</w:t>
      </w:r>
      <w:r w:rsidR="007F4C78" w:rsidRPr="00B6577F">
        <w:t xml:space="preserve">: las personas nacidas </w:t>
      </w:r>
      <w:r w:rsidR="005D7FD6" w:rsidRPr="00B6577F">
        <w:t>a partir de</w:t>
      </w:r>
      <w:r w:rsidR="004B546A" w:rsidRPr="00B6577F">
        <w:t>l 2000</w:t>
      </w:r>
      <w:r w:rsidRPr="00B6577F">
        <w:t xml:space="preserve"> y limitará la generación de nacidos desde 1990 hasta 1999.</w:t>
      </w:r>
      <w:r w:rsidR="00CE170A" w:rsidRPr="00B6577F">
        <w:t xml:space="preserve"> Para el 2040, </w:t>
      </w:r>
      <w:r w:rsidR="00894392" w:rsidRPr="00B6577F">
        <w:t xml:space="preserve">la administración del ROP </w:t>
      </w:r>
      <w:r w:rsidR="00C43E93" w:rsidRPr="00B6577F">
        <w:t xml:space="preserve">replicará lo </w:t>
      </w:r>
      <w:r w:rsidR="000A59EB" w:rsidRPr="00B6577F">
        <w:t>realizado en 2030</w:t>
      </w:r>
      <w:r w:rsidR="00F60914" w:rsidRPr="00B6577F">
        <w:t>:</w:t>
      </w:r>
      <w:r w:rsidR="00336B4E" w:rsidRPr="00B6577F">
        <w:t xml:space="preserve"> agrega una nueva generación</w:t>
      </w:r>
      <w:r w:rsidR="00686498" w:rsidRPr="00B6577F">
        <w:t>, los nacidos antes del 2010, limita</w:t>
      </w:r>
      <w:r w:rsidR="00F60914" w:rsidRPr="00B6577F">
        <w:t xml:space="preserve"> la generación creada en 2030</w:t>
      </w:r>
      <w:r w:rsidR="002F0CFC" w:rsidRPr="00B6577F">
        <w:t xml:space="preserve"> </w:t>
      </w:r>
      <w:r w:rsidR="00F51498" w:rsidRPr="00B6577F">
        <w:t xml:space="preserve">para personas nacidas entre </w:t>
      </w:r>
      <w:r w:rsidR="000F5ED3" w:rsidRPr="00B6577F">
        <w:t>el 2000 y 2009,</w:t>
      </w:r>
      <w:r w:rsidR="00E3434D" w:rsidRPr="00B6577F">
        <w:t xml:space="preserve"> y</w:t>
      </w:r>
      <w:r w:rsidR="00AE1032" w:rsidRPr="00B6577F">
        <w:t xml:space="preserve"> </w:t>
      </w:r>
      <w:r w:rsidR="00CC73C0" w:rsidRPr="00B6577F">
        <w:t>convierte</w:t>
      </w:r>
      <w:r w:rsidR="00FD2196" w:rsidRPr="00B6577F">
        <w:t xml:space="preserve"> </w:t>
      </w:r>
      <w:r w:rsidR="00B11985" w:rsidRPr="00B6577F">
        <w:t xml:space="preserve">la </w:t>
      </w:r>
      <w:r w:rsidR="00C822BA" w:rsidRPr="00B6577F">
        <w:t>generación más longeva pa</w:t>
      </w:r>
      <w:r w:rsidR="00146624" w:rsidRPr="00B6577F">
        <w:t xml:space="preserve">ra </w:t>
      </w:r>
      <w:r w:rsidR="00391E4C" w:rsidRPr="00B6577F">
        <w:t>las personas nacidas antes del 1979.</w:t>
      </w:r>
      <w:r w:rsidR="00B47A67" w:rsidRPr="00B6577F">
        <w:t xml:space="preserve"> </w:t>
      </w:r>
      <w:r w:rsidR="00C42A5B" w:rsidRPr="00B6577F">
        <w:t xml:space="preserve">A medida en que avance el tiempo, </w:t>
      </w:r>
      <w:r w:rsidR="005C2BF8">
        <w:t>la regulación</w:t>
      </w:r>
      <w:r w:rsidR="00C42A5B" w:rsidRPr="00B6577F">
        <w:t xml:space="preserve"> </w:t>
      </w:r>
      <w:r w:rsidR="00CC73C0" w:rsidRPr="00B6577F">
        <w:t xml:space="preserve">deberá </w:t>
      </w:r>
      <w:r w:rsidR="00C42A5B" w:rsidRPr="00B6577F">
        <w:t xml:space="preserve">valorar la necesidad de separar la generación más joven, esto en función del crecimiento del saldo administrado de este grupo de afiliados, así como otros cambios que se </w:t>
      </w:r>
      <w:r w:rsidR="00686751" w:rsidRPr="00B6577F">
        <w:t>explican</w:t>
      </w:r>
      <w:r w:rsidR="00C42A5B" w:rsidRPr="00B6577F">
        <w:t xml:space="preserve"> en el siguiente apartado.</w:t>
      </w:r>
    </w:p>
    <w:p w14:paraId="18F9BC03" w14:textId="77777777" w:rsidR="00C42A5B" w:rsidRDefault="00C42A5B" w:rsidP="00C42A5B">
      <w:pPr>
        <w:pStyle w:val="Descripcin"/>
      </w:pPr>
      <w:bookmarkStart w:id="33" w:name="_Ref136254772"/>
    </w:p>
    <w:bookmarkEnd w:id="33"/>
    <w:p w14:paraId="3FAE6CDF" w14:textId="77777777" w:rsidR="00B47A67" w:rsidRDefault="00C42A5B" w:rsidP="001F00DC">
      <w:pPr>
        <w:spacing w:after="0" w:line="240" w:lineRule="auto"/>
        <w:jc w:val="both"/>
      </w:pPr>
      <w:r w:rsidRPr="00E71C25">
        <w:t xml:space="preserve">La generación de </w:t>
      </w:r>
      <w:r w:rsidR="004601C7">
        <w:t>personas más longevas se junta</w:t>
      </w:r>
      <w:r w:rsidR="00AD0F96">
        <w:t>ría</w:t>
      </w:r>
      <w:r w:rsidR="000E6229">
        <w:t xml:space="preserve"> en el año 2040</w:t>
      </w:r>
      <w:r w:rsidR="00DA1935">
        <w:t xml:space="preserve"> con su antecesora</w:t>
      </w:r>
      <w:r w:rsidR="00C522DE">
        <w:t xml:space="preserve"> para </w:t>
      </w:r>
      <w:r w:rsidR="009F4F22">
        <w:t>que reciban</w:t>
      </w:r>
      <w:r>
        <w:t xml:space="preserve"> aportes</w:t>
      </w:r>
      <w:r w:rsidRPr="00E71C25">
        <w:t xml:space="preserve"> de trabajadores próximos a pensionarse</w:t>
      </w:r>
      <w:r>
        <w:t xml:space="preserve">. </w:t>
      </w:r>
      <w:r w:rsidRPr="00E71C25">
        <w:t xml:space="preserve">Esto permite balancear </w:t>
      </w:r>
      <w:r>
        <w:t>las salidas del fondo por el pago de pensiones con los nuevos aportes</w:t>
      </w:r>
      <w:r w:rsidRPr="00E71C25">
        <w:t xml:space="preserve">, </w:t>
      </w:r>
      <w:r>
        <w:t>lo que</w:t>
      </w:r>
      <w:r w:rsidRPr="00E71C25">
        <w:t xml:space="preserve"> favorece</w:t>
      </w:r>
      <w:r>
        <w:t xml:space="preserve"> la búsqueda de oportunidades de inversión</w:t>
      </w:r>
      <w:r w:rsidRPr="00E71C25">
        <w:t>.</w:t>
      </w:r>
      <w:r w:rsidR="00FD78A2">
        <w:t xml:space="preserve"> </w:t>
      </w:r>
      <w:r w:rsidR="000A0050">
        <w:t xml:space="preserve">De no hacerse esta </w:t>
      </w:r>
      <w:r w:rsidR="002F5A20">
        <w:t xml:space="preserve">unión, el fondo de pensionados </w:t>
      </w:r>
      <w:r w:rsidR="00C53D3E">
        <w:t>iría perdiendo afiliados a lo largo del tiempo</w:t>
      </w:r>
      <w:r w:rsidR="008C0A16">
        <w:t xml:space="preserve"> (por </w:t>
      </w:r>
      <w:r w:rsidR="009A3C07">
        <w:t>deceso</w:t>
      </w:r>
      <w:r w:rsidR="008C0A16">
        <w:t>)</w:t>
      </w:r>
      <w:r w:rsidR="00C53D3E">
        <w:t xml:space="preserve">, </w:t>
      </w:r>
      <w:r w:rsidR="004319E7">
        <w:t xml:space="preserve">disminuyendo su </w:t>
      </w:r>
      <w:r w:rsidR="005C6FBD">
        <w:t>s</w:t>
      </w:r>
      <w:r w:rsidR="004319E7">
        <w:t>aldo administrado</w:t>
      </w:r>
      <w:r w:rsidR="00CA6365">
        <w:t xml:space="preserve"> y encareciendo su gestión</w:t>
      </w:r>
      <w:r w:rsidR="004319E7">
        <w:t xml:space="preserve">. </w:t>
      </w:r>
      <w:r w:rsidR="00391E4C">
        <w:t>E</w:t>
      </w:r>
      <w:r w:rsidR="00B47A67">
        <w:t xml:space="preserve">l </w:t>
      </w:r>
      <w:r w:rsidR="00B47A67">
        <w:fldChar w:fldCharType="begin"/>
      </w:r>
      <w:r w:rsidR="00B47A67">
        <w:instrText xml:space="preserve"> REF _Ref136255189 \h </w:instrText>
      </w:r>
      <w:r w:rsidR="00B47A67">
        <w:fldChar w:fldCharType="separate"/>
      </w:r>
      <w:r w:rsidR="00A637C2">
        <w:t xml:space="preserve">Gráfico </w:t>
      </w:r>
      <w:r w:rsidR="00B47A67">
        <w:fldChar w:fldCharType="end"/>
      </w:r>
      <w:r w:rsidR="00391E4C">
        <w:t xml:space="preserve"> ilustra </w:t>
      </w:r>
      <w:r w:rsidR="00A111A4">
        <w:t xml:space="preserve">lo descrito en </w:t>
      </w:r>
      <w:r w:rsidR="001F00DC">
        <w:t>líneas anteriores</w:t>
      </w:r>
      <w:r w:rsidR="00086B51">
        <w:t>.</w:t>
      </w:r>
      <w:r w:rsidR="00B47A67">
        <w:t xml:space="preserve"> </w:t>
      </w:r>
    </w:p>
    <w:p w14:paraId="2193802E" w14:textId="77777777" w:rsidR="00B47A67" w:rsidRDefault="00B47A67" w:rsidP="00B47A67">
      <w:pPr>
        <w:spacing w:after="0" w:line="240" w:lineRule="auto"/>
        <w:contextualSpacing/>
        <w:jc w:val="both"/>
      </w:pPr>
    </w:p>
    <w:p w14:paraId="32A91E08" w14:textId="77777777" w:rsidR="0003136C" w:rsidRDefault="0003136C" w:rsidP="00B47A67">
      <w:pPr>
        <w:spacing w:after="0" w:line="240" w:lineRule="auto"/>
        <w:contextualSpacing/>
        <w:jc w:val="both"/>
      </w:pPr>
    </w:p>
    <w:p w14:paraId="1CF1F106" w14:textId="77777777" w:rsidR="0003136C" w:rsidRDefault="0003136C" w:rsidP="00B47A67">
      <w:pPr>
        <w:spacing w:after="0" w:line="240" w:lineRule="auto"/>
        <w:contextualSpacing/>
        <w:jc w:val="both"/>
      </w:pPr>
    </w:p>
    <w:p w14:paraId="08B83E09" w14:textId="77777777" w:rsidR="0003136C" w:rsidRDefault="0003136C" w:rsidP="00B47A67">
      <w:pPr>
        <w:spacing w:after="0" w:line="240" w:lineRule="auto"/>
        <w:contextualSpacing/>
        <w:jc w:val="both"/>
      </w:pPr>
    </w:p>
    <w:p w14:paraId="1F30A45B" w14:textId="77777777" w:rsidR="0003136C" w:rsidRDefault="0003136C" w:rsidP="00B47A67">
      <w:pPr>
        <w:spacing w:after="0" w:line="240" w:lineRule="auto"/>
        <w:contextualSpacing/>
        <w:jc w:val="both"/>
      </w:pPr>
    </w:p>
    <w:p w14:paraId="281DFCAB" w14:textId="77777777" w:rsidR="0003136C" w:rsidRDefault="0003136C" w:rsidP="00B47A67">
      <w:pPr>
        <w:spacing w:after="0" w:line="240" w:lineRule="auto"/>
        <w:contextualSpacing/>
        <w:jc w:val="both"/>
      </w:pPr>
    </w:p>
    <w:p w14:paraId="2172FC26" w14:textId="77777777" w:rsidR="0003136C" w:rsidRDefault="0003136C" w:rsidP="00B47A67">
      <w:pPr>
        <w:spacing w:after="0" w:line="240" w:lineRule="auto"/>
        <w:contextualSpacing/>
        <w:jc w:val="both"/>
      </w:pPr>
    </w:p>
    <w:p w14:paraId="533FF0FB" w14:textId="77777777" w:rsidR="0003136C" w:rsidRDefault="0003136C" w:rsidP="00B47A67">
      <w:pPr>
        <w:spacing w:after="0" w:line="240" w:lineRule="auto"/>
        <w:contextualSpacing/>
        <w:jc w:val="both"/>
      </w:pPr>
    </w:p>
    <w:p w14:paraId="570CA958" w14:textId="77777777" w:rsidR="0003136C" w:rsidRDefault="0003136C" w:rsidP="00B47A67">
      <w:pPr>
        <w:spacing w:after="0" w:line="240" w:lineRule="auto"/>
        <w:contextualSpacing/>
        <w:jc w:val="both"/>
      </w:pPr>
    </w:p>
    <w:p w14:paraId="1BC97ED8" w14:textId="77777777" w:rsidR="0003136C" w:rsidRDefault="0003136C" w:rsidP="00B47A67">
      <w:pPr>
        <w:spacing w:after="0" w:line="240" w:lineRule="auto"/>
        <w:contextualSpacing/>
        <w:jc w:val="both"/>
      </w:pPr>
    </w:p>
    <w:p w14:paraId="1C13F133" w14:textId="77777777" w:rsidR="0003136C" w:rsidRDefault="0003136C" w:rsidP="00B47A67">
      <w:pPr>
        <w:spacing w:after="0" w:line="240" w:lineRule="auto"/>
        <w:contextualSpacing/>
        <w:jc w:val="both"/>
      </w:pPr>
    </w:p>
    <w:p w14:paraId="4418E501" w14:textId="77777777" w:rsidR="0003136C" w:rsidRDefault="0003136C" w:rsidP="00B47A67">
      <w:pPr>
        <w:spacing w:after="0" w:line="240" w:lineRule="auto"/>
        <w:contextualSpacing/>
        <w:jc w:val="both"/>
      </w:pPr>
    </w:p>
    <w:p w14:paraId="0A16290A" w14:textId="77777777" w:rsidR="00207095" w:rsidRDefault="00207095" w:rsidP="00207095">
      <w:pPr>
        <w:pStyle w:val="Descripcin"/>
      </w:pPr>
      <w:bookmarkStart w:id="34" w:name="_Ref136255189"/>
      <w:r>
        <w:lastRenderedPageBreak/>
        <w:t xml:space="preserve">Gráfico </w:t>
      </w:r>
      <w:bookmarkEnd w:id="34"/>
      <w:r w:rsidR="00C90D5B">
        <w:t>4</w:t>
      </w:r>
      <w:r>
        <w:t>: Transición de las generaciones por edad según año calendario</w:t>
      </w:r>
    </w:p>
    <w:p w14:paraId="0F3117AA" w14:textId="77777777" w:rsidR="00524C94" w:rsidRPr="00524C94" w:rsidRDefault="00524C94" w:rsidP="00524C94"/>
    <w:p w14:paraId="69657C9E" w14:textId="77777777" w:rsidR="00207095" w:rsidRDefault="005E6D85" w:rsidP="00207095">
      <w:pPr>
        <w:spacing w:after="0" w:line="240" w:lineRule="auto"/>
        <w:contextualSpacing/>
        <w:jc w:val="both"/>
      </w:pPr>
      <w:r w:rsidRPr="00764E35">
        <w:rPr>
          <w:noProof/>
        </w:rPr>
        <w:drawing>
          <wp:inline distT="0" distB="0" distL="0" distR="0" wp14:anchorId="6B5273FE" wp14:editId="5538D6CD">
            <wp:extent cx="5400040" cy="22066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040" cy="2206625"/>
                    </a:xfrm>
                    <a:prstGeom prst="rect">
                      <a:avLst/>
                    </a:prstGeom>
                  </pic:spPr>
                </pic:pic>
              </a:graphicData>
            </a:graphic>
          </wp:inline>
        </w:drawing>
      </w:r>
    </w:p>
    <w:p w14:paraId="756AAB83" w14:textId="77777777" w:rsidR="00207095" w:rsidRDefault="00207095" w:rsidP="00207095">
      <w:pPr>
        <w:spacing w:after="0" w:line="240" w:lineRule="auto"/>
        <w:contextualSpacing/>
        <w:jc w:val="both"/>
      </w:pPr>
    </w:p>
    <w:p w14:paraId="1842B2EF" w14:textId="77777777" w:rsidR="00207095" w:rsidRPr="00B10EC7" w:rsidRDefault="00207095" w:rsidP="00207095">
      <w:pPr>
        <w:spacing w:after="0" w:line="240" w:lineRule="auto"/>
        <w:contextualSpacing/>
        <w:jc w:val="both"/>
        <w:rPr>
          <w:sz w:val="18"/>
          <w:szCs w:val="18"/>
        </w:rPr>
      </w:pPr>
      <w:r w:rsidRPr="00B10EC7">
        <w:rPr>
          <w:sz w:val="18"/>
          <w:szCs w:val="18"/>
        </w:rPr>
        <w:t>Fuente: SUPEN</w:t>
      </w:r>
    </w:p>
    <w:p w14:paraId="51D7357E" w14:textId="77777777" w:rsidR="00207095" w:rsidRDefault="00207095" w:rsidP="00B47A67">
      <w:pPr>
        <w:spacing w:after="0" w:line="240" w:lineRule="auto"/>
        <w:contextualSpacing/>
        <w:jc w:val="both"/>
      </w:pPr>
    </w:p>
    <w:p w14:paraId="482C053B" w14:textId="77777777" w:rsidR="00207095" w:rsidRDefault="00207095" w:rsidP="00B47A67">
      <w:pPr>
        <w:spacing w:after="0" w:line="240" w:lineRule="auto"/>
        <w:contextualSpacing/>
        <w:jc w:val="both"/>
      </w:pPr>
    </w:p>
    <w:p w14:paraId="5BD175D5" w14:textId="77777777" w:rsidR="005E6D85" w:rsidRPr="00B6577F" w:rsidRDefault="005E6D85" w:rsidP="005E6D85">
      <w:pPr>
        <w:spacing w:after="0" w:line="240" w:lineRule="auto"/>
        <w:contextualSpacing/>
        <w:jc w:val="both"/>
      </w:pPr>
      <w:r w:rsidRPr="00A9102D">
        <w:rPr>
          <w:color w:val="000000" w:themeColor="text1"/>
        </w:rPr>
        <w:t xml:space="preserve">Este modelo, con entradas y </w:t>
      </w:r>
      <w:r>
        <w:rPr>
          <w:color w:val="000000" w:themeColor="text1"/>
        </w:rPr>
        <w:t xml:space="preserve">fusiones </w:t>
      </w:r>
      <w:r w:rsidRPr="00A9102D">
        <w:rPr>
          <w:color w:val="000000" w:themeColor="text1"/>
        </w:rPr>
        <w:t xml:space="preserve">de generaciones, </w:t>
      </w:r>
      <w:r>
        <w:rPr>
          <w:color w:val="000000" w:themeColor="text1"/>
        </w:rPr>
        <w:t>da continuidad a las</w:t>
      </w:r>
      <w:r w:rsidRPr="00A9102D">
        <w:rPr>
          <w:color w:val="000000" w:themeColor="text1"/>
        </w:rPr>
        <w:t xml:space="preserve"> estrategias de inversión</w:t>
      </w:r>
      <w:r>
        <w:rPr>
          <w:color w:val="000000" w:themeColor="text1"/>
        </w:rPr>
        <w:t>, producto de la necesidad de que cada una de las generaciones tenga una base de aportantes relativamente predecible para el gestor, para facilitar la adquisición de nuevos instrumentos y atender los requerimientos por libre transferencia. En el inicio de la nueva modalidad, para el grupo de personas más longevas, el modelo permite, por construcción, mitigar</w:t>
      </w:r>
      <w:r w:rsidRPr="00A9102D">
        <w:rPr>
          <w:color w:val="000000" w:themeColor="text1"/>
        </w:rPr>
        <w:t xml:space="preserve"> el riesgo de liquidez asociado a un fondo </w:t>
      </w:r>
      <w:r>
        <w:rPr>
          <w:color w:val="000000" w:themeColor="text1"/>
        </w:rPr>
        <w:t>que requiere más efectivo (por el pago de</w:t>
      </w:r>
      <w:r w:rsidRPr="00A9102D">
        <w:rPr>
          <w:color w:val="000000" w:themeColor="text1"/>
        </w:rPr>
        <w:t xml:space="preserve"> </w:t>
      </w:r>
      <w:r w:rsidRPr="00B6577F">
        <w:t xml:space="preserve">pensiones) y eventuales </w:t>
      </w:r>
      <w:r w:rsidR="00E102A4" w:rsidRPr="00B6577F">
        <w:t>requerimientos</w:t>
      </w:r>
      <w:r w:rsidRPr="00B6577F">
        <w:t xml:space="preserve"> por traslados de afiliados entre operadoras, puntualmente, al considerar tanto aportantes (trabajadores activos) como pensionados.</w:t>
      </w:r>
    </w:p>
    <w:p w14:paraId="0DA25E93" w14:textId="77777777" w:rsidR="005E6D85" w:rsidRPr="00B6577F" w:rsidRDefault="005E6D85" w:rsidP="005E6D85">
      <w:pPr>
        <w:spacing w:after="0" w:line="240" w:lineRule="auto"/>
        <w:contextualSpacing/>
        <w:jc w:val="both"/>
      </w:pPr>
    </w:p>
    <w:p w14:paraId="2912D9FD" w14:textId="77777777" w:rsidR="005E6D85" w:rsidRDefault="005E6D85" w:rsidP="005E6D85">
      <w:pPr>
        <w:spacing w:after="0" w:line="240" w:lineRule="auto"/>
        <w:contextualSpacing/>
        <w:jc w:val="both"/>
      </w:pPr>
      <w:r w:rsidRPr="00B6577F">
        <w:t xml:space="preserve">SUPEN reconoce que la demografía del país pudiera cambiar, especialmente por temas de natalidad, migración </w:t>
      </w:r>
      <w:r>
        <w:t>y composición de la fuerza laboral (ver sección 7.1). Por esta razón, la propuesta de fondos generacionales antes descrita, como la mayoría de las iniciativas regulatorias, debe ser revisada y ajustada periódicamente a efecto de que los beneficios buscados se mantengan pese a los cambios mencionados.</w:t>
      </w:r>
    </w:p>
    <w:p w14:paraId="5341754F" w14:textId="77777777" w:rsidR="005E6D85" w:rsidRDefault="005E6D85" w:rsidP="005E6D85">
      <w:pPr>
        <w:spacing w:after="0" w:line="240" w:lineRule="auto"/>
        <w:contextualSpacing/>
        <w:jc w:val="both"/>
      </w:pPr>
    </w:p>
    <w:p w14:paraId="113E2C99" w14:textId="77777777" w:rsidR="005E6D85" w:rsidRDefault="005E6D85" w:rsidP="005E6D85">
      <w:pPr>
        <w:pStyle w:val="Ttulo2"/>
      </w:pPr>
      <w:bookmarkStart w:id="35" w:name="_Toc144396538"/>
      <w:r>
        <w:t>4.3.  Posibilidad de cambio de generación por parte del afiliado</w:t>
      </w:r>
      <w:bookmarkEnd w:id="35"/>
    </w:p>
    <w:p w14:paraId="19419558" w14:textId="77777777" w:rsidR="005E6D85" w:rsidRPr="006A644D" w:rsidRDefault="005E6D85" w:rsidP="005E6D85">
      <w:pPr>
        <w:spacing w:after="0" w:line="240" w:lineRule="auto"/>
        <w:contextualSpacing/>
        <w:jc w:val="both"/>
      </w:pPr>
    </w:p>
    <w:p w14:paraId="040B0772" w14:textId="77777777" w:rsidR="005E6D85" w:rsidRPr="00B6577F" w:rsidRDefault="004B728F" w:rsidP="00C32AD1">
      <w:pPr>
        <w:pStyle w:val="Textocomentario"/>
        <w:spacing w:before="240" w:line="276" w:lineRule="auto"/>
        <w:jc w:val="both"/>
        <w:rPr>
          <w:sz w:val="22"/>
          <w:szCs w:val="22"/>
          <w:lang w:val="es-CR"/>
        </w:rPr>
      </w:pPr>
      <w:r w:rsidRPr="00B6577F">
        <w:rPr>
          <w:sz w:val="22"/>
          <w:szCs w:val="22"/>
          <w:lang w:val="es-CR"/>
        </w:rPr>
        <w:t>El</w:t>
      </w:r>
      <w:r w:rsidR="005E6D85" w:rsidRPr="00B6577F">
        <w:rPr>
          <w:sz w:val="22"/>
          <w:szCs w:val="22"/>
          <w:lang w:val="es-CR"/>
        </w:rPr>
        <w:t xml:space="preserve"> modelo de fondos generacionales </w:t>
      </w:r>
      <w:r w:rsidR="0069509A" w:rsidRPr="00B6577F">
        <w:rPr>
          <w:sz w:val="22"/>
          <w:szCs w:val="22"/>
          <w:lang w:val="es-CR"/>
        </w:rPr>
        <w:t>también toma en consideración</w:t>
      </w:r>
      <w:r w:rsidR="005E6D85" w:rsidRPr="00B6577F">
        <w:rPr>
          <w:sz w:val="22"/>
          <w:szCs w:val="22"/>
          <w:lang w:val="es-CR"/>
        </w:rPr>
        <w:t xml:space="preserve"> el </w:t>
      </w:r>
      <w:r w:rsidR="004801A7" w:rsidRPr="00B6577F">
        <w:rPr>
          <w:sz w:val="22"/>
          <w:szCs w:val="22"/>
          <w:lang w:val="es-CR"/>
        </w:rPr>
        <w:t>derecho de</w:t>
      </w:r>
      <w:r w:rsidR="005E6D85" w:rsidRPr="00B6577F">
        <w:rPr>
          <w:sz w:val="22"/>
          <w:szCs w:val="22"/>
          <w:lang w:val="es-CR"/>
        </w:rPr>
        <w:t xml:space="preserve"> traslado de </w:t>
      </w:r>
      <w:r w:rsidR="00B24160" w:rsidRPr="00B6577F">
        <w:rPr>
          <w:sz w:val="22"/>
          <w:szCs w:val="22"/>
          <w:lang w:val="es-CR"/>
        </w:rPr>
        <w:t>afiliados</w:t>
      </w:r>
      <w:r w:rsidR="008B4D80" w:rsidRPr="00B6577F">
        <w:rPr>
          <w:sz w:val="22"/>
          <w:szCs w:val="22"/>
          <w:lang w:val="es-CR"/>
        </w:rPr>
        <w:t xml:space="preserve"> (</w:t>
      </w:r>
      <w:proofErr w:type="gramStart"/>
      <w:r w:rsidR="008B4D80" w:rsidRPr="00B6577F">
        <w:rPr>
          <w:sz w:val="22"/>
          <w:szCs w:val="22"/>
          <w:lang w:val="es-CR"/>
        </w:rPr>
        <w:t>y</w:t>
      </w:r>
      <w:proofErr w:type="gramEnd"/>
      <w:r w:rsidR="008B4D80" w:rsidRPr="00B6577F">
        <w:rPr>
          <w:sz w:val="22"/>
          <w:szCs w:val="22"/>
          <w:lang w:val="es-CR"/>
        </w:rPr>
        <w:t xml:space="preserve"> por ende, sus</w:t>
      </w:r>
      <w:r w:rsidR="005E6D85" w:rsidRPr="00B6577F">
        <w:rPr>
          <w:sz w:val="22"/>
          <w:szCs w:val="22"/>
          <w:lang w:val="es-CR"/>
        </w:rPr>
        <w:t xml:space="preserve"> recursos</w:t>
      </w:r>
      <w:r w:rsidR="008B4D80" w:rsidRPr="00B6577F">
        <w:rPr>
          <w:sz w:val="22"/>
          <w:szCs w:val="22"/>
          <w:lang w:val="es-CR"/>
        </w:rPr>
        <w:t>)</w:t>
      </w:r>
      <w:r w:rsidR="005E6D85" w:rsidRPr="00B6577F">
        <w:rPr>
          <w:sz w:val="22"/>
          <w:szCs w:val="22"/>
          <w:lang w:val="es-CR"/>
        </w:rPr>
        <w:t xml:space="preserve"> de una generación a otra. Por ejemplo, una persona que pertenezca a una generación de edad avanzada desea que sus recursos sean administrados en </w:t>
      </w:r>
      <w:r w:rsidR="004D06C7" w:rsidRPr="00B6577F">
        <w:rPr>
          <w:sz w:val="22"/>
          <w:szCs w:val="22"/>
          <w:lang w:val="es-CR"/>
        </w:rPr>
        <w:t>el fondo que corresponde a otra</w:t>
      </w:r>
      <w:r w:rsidR="005E6D85" w:rsidRPr="00B6577F">
        <w:rPr>
          <w:sz w:val="22"/>
          <w:szCs w:val="22"/>
          <w:lang w:val="es-CR"/>
        </w:rPr>
        <w:t xml:space="preserve"> generación.</w:t>
      </w:r>
    </w:p>
    <w:p w14:paraId="362955EA" w14:textId="77777777" w:rsidR="005E6D85" w:rsidRPr="00B6577F" w:rsidRDefault="0094737F" w:rsidP="00C32AD1">
      <w:pPr>
        <w:pStyle w:val="Textocomentario"/>
        <w:spacing w:before="240" w:line="276" w:lineRule="auto"/>
        <w:jc w:val="both"/>
        <w:rPr>
          <w:sz w:val="22"/>
          <w:szCs w:val="22"/>
          <w:lang w:val="es-CR"/>
        </w:rPr>
      </w:pPr>
      <w:r>
        <w:rPr>
          <w:sz w:val="22"/>
          <w:szCs w:val="22"/>
          <w:lang w:val="es-CR"/>
        </w:rPr>
        <w:t xml:space="preserve">El </w:t>
      </w:r>
      <w:r w:rsidR="005E6D85">
        <w:rPr>
          <w:sz w:val="22"/>
          <w:szCs w:val="22"/>
          <w:lang w:val="es-CR"/>
        </w:rPr>
        <w:t xml:space="preserve">traslado </w:t>
      </w:r>
      <w:r w:rsidR="005E6D85" w:rsidRPr="00B6577F">
        <w:rPr>
          <w:sz w:val="22"/>
          <w:szCs w:val="22"/>
          <w:lang w:val="es-CR"/>
        </w:rPr>
        <w:t xml:space="preserve">de </w:t>
      </w:r>
      <w:r w:rsidRPr="00B6577F">
        <w:rPr>
          <w:sz w:val="22"/>
          <w:szCs w:val="22"/>
          <w:lang w:val="es-CR"/>
        </w:rPr>
        <w:t>afiliados</w:t>
      </w:r>
      <w:r w:rsidR="005E6D85" w:rsidRPr="00B6577F">
        <w:rPr>
          <w:sz w:val="22"/>
          <w:szCs w:val="22"/>
          <w:lang w:val="es-CR"/>
        </w:rPr>
        <w:t xml:space="preserve"> entre generaciones </w:t>
      </w:r>
      <w:r w:rsidR="000D3B4D">
        <w:rPr>
          <w:sz w:val="22"/>
          <w:szCs w:val="22"/>
          <w:lang w:val="es-CR"/>
        </w:rPr>
        <w:t xml:space="preserve">puede </w:t>
      </w:r>
      <w:r w:rsidR="00264AFC" w:rsidRPr="00B6577F">
        <w:rPr>
          <w:sz w:val="22"/>
          <w:szCs w:val="22"/>
          <w:lang w:val="es-CR"/>
        </w:rPr>
        <w:t>afecta</w:t>
      </w:r>
      <w:r w:rsidR="000D3B4D">
        <w:rPr>
          <w:sz w:val="22"/>
          <w:szCs w:val="22"/>
          <w:lang w:val="es-CR"/>
        </w:rPr>
        <w:t>r</w:t>
      </w:r>
      <w:r w:rsidR="00661E0F" w:rsidRPr="00B6577F">
        <w:rPr>
          <w:sz w:val="22"/>
          <w:szCs w:val="22"/>
          <w:lang w:val="es-CR"/>
        </w:rPr>
        <w:t xml:space="preserve"> </w:t>
      </w:r>
      <w:r w:rsidR="0030279D" w:rsidRPr="00B6577F">
        <w:rPr>
          <w:sz w:val="22"/>
          <w:szCs w:val="22"/>
          <w:lang w:val="es-CR"/>
        </w:rPr>
        <w:t>el logro</w:t>
      </w:r>
      <w:r w:rsidR="005E6D85" w:rsidRPr="00B6577F">
        <w:rPr>
          <w:sz w:val="22"/>
          <w:szCs w:val="22"/>
          <w:lang w:val="es-CR"/>
        </w:rPr>
        <w:t xml:space="preserve"> de los objetivos </w:t>
      </w:r>
      <w:r w:rsidR="001B6DEB" w:rsidRPr="00B6577F">
        <w:rPr>
          <w:sz w:val="22"/>
          <w:szCs w:val="22"/>
          <w:lang w:val="es-CR"/>
        </w:rPr>
        <w:t>d</w:t>
      </w:r>
      <w:r w:rsidR="002054A7" w:rsidRPr="00B6577F">
        <w:rPr>
          <w:sz w:val="22"/>
          <w:szCs w:val="22"/>
          <w:lang w:val="es-CR"/>
        </w:rPr>
        <w:t>e rentabilidad de cada generación</w:t>
      </w:r>
      <w:r w:rsidR="003C3696" w:rsidRPr="00B6577F">
        <w:rPr>
          <w:sz w:val="22"/>
          <w:szCs w:val="22"/>
          <w:lang w:val="es-CR"/>
        </w:rPr>
        <w:t>,</w:t>
      </w:r>
      <w:r w:rsidR="005E6D85" w:rsidRPr="00B6577F">
        <w:rPr>
          <w:sz w:val="22"/>
          <w:szCs w:val="22"/>
          <w:lang w:val="es-CR"/>
        </w:rPr>
        <w:t xml:space="preserve"> </w:t>
      </w:r>
      <w:r w:rsidR="00B6577F" w:rsidRPr="00B6577F">
        <w:rPr>
          <w:sz w:val="22"/>
          <w:szCs w:val="22"/>
          <w:lang w:val="es-CR"/>
        </w:rPr>
        <w:t xml:space="preserve">al menos </w:t>
      </w:r>
      <w:r w:rsidR="005E6D85" w:rsidRPr="00B6577F">
        <w:rPr>
          <w:sz w:val="22"/>
          <w:szCs w:val="22"/>
          <w:lang w:val="es-CR"/>
        </w:rPr>
        <w:t>por las siguientes razones:</w:t>
      </w:r>
    </w:p>
    <w:p w14:paraId="6AD1C002" w14:textId="77777777" w:rsidR="00E93620" w:rsidRPr="00B6577F" w:rsidRDefault="00E93620" w:rsidP="009832FB">
      <w:pPr>
        <w:pStyle w:val="Prrafodelista"/>
        <w:numPr>
          <w:ilvl w:val="0"/>
          <w:numId w:val="13"/>
        </w:numPr>
        <w:spacing w:before="240" w:line="276" w:lineRule="auto"/>
        <w:jc w:val="both"/>
        <w:rPr>
          <w:lang w:val="es-CR"/>
        </w:rPr>
      </w:pPr>
      <w:bookmarkStart w:id="36" w:name="_Toc115797329"/>
      <w:r w:rsidRPr="00B6577F">
        <w:rPr>
          <w:lang w:val="es-CR"/>
        </w:rPr>
        <w:t xml:space="preserve">La propuesta regulatoria toma un rol prudencial para </w:t>
      </w:r>
      <w:r w:rsidR="000F5F4C">
        <w:rPr>
          <w:lang w:val="es-CR"/>
        </w:rPr>
        <w:t>buscar</w:t>
      </w:r>
      <w:r w:rsidRPr="00B6577F">
        <w:rPr>
          <w:lang w:val="es-CR"/>
        </w:rPr>
        <w:t xml:space="preserve"> que las generaciones no expongan su saldo a una volatilidad mayor a la que su edad </w:t>
      </w:r>
      <w:r w:rsidR="00B6577F">
        <w:rPr>
          <w:lang w:val="es-CR"/>
        </w:rPr>
        <w:t>sugiere</w:t>
      </w:r>
      <w:r w:rsidR="001234C5" w:rsidRPr="00B6577F">
        <w:rPr>
          <w:lang w:val="es-CR"/>
        </w:rPr>
        <w:t>,</w:t>
      </w:r>
      <w:r w:rsidRPr="00B6577F">
        <w:rPr>
          <w:lang w:val="es-CR"/>
        </w:rPr>
        <w:t xml:space="preserve"> </w:t>
      </w:r>
      <w:r w:rsidR="00F905C5" w:rsidRPr="00B6577F">
        <w:rPr>
          <w:lang w:val="es-CR"/>
        </w:rPr>
        <w:t>de acuerdo con el</w:t>
      </w:r>
      <w:r w:rsidR="001234C5" w:rsidRPr="00B6577F">
        <w:rPr>
          <w:lang w:val="es-CR"/>
        </w:rPr>
        <w:t xml:space="preserve"> horizonte temporal </w:t>
      </w:r>
      <w:r w:rsidR="00897F12" w:rsidRPr="00B6577F">
        <w:rPr>
          <w:lang w:val="es-CR"/>
        </w:rPr>
        <w:t>para alcanzar la edad de pensión</w:t>
      </w:r>
      <w:r w:rsidR="00B0007D">
        <w:rPr>
          <w:lang w:val="es-CR"/>
        </w:rPr>
        <w:t xml:space="preserve"> y el perfil de riesgo</w:t>
      </w:r>
      <w:r w:rsidR="00897F12" w:rsidRPr="00B6577F">
        <w:rPr>
          <w:lang w:val="es-CR"/>
        </w:rPr>
        <w:t>.</w:t>
      </w:r>
    </w:p>
    <w:p w14:paraId="0BBFE9F1" w14:textId="77777777" w:rsidR="003C5EFE" w:rsidRPr="00B6577F" w:rsidRDefault="0034753C" w:rsidP="009832FB">
      <w:pPr>
        <w:pStyle w:val="Prrafodelista"/>
        <w:numPr>
          <w:ilvl w:val="0"/>
          <w:numId w:val="13"/>
        </w:numPr>
        <w:spacing w:before="240" w:line="276" w:lineRule="auto"/>
        <w:jc w:val="both"/>
        <w:rPr>
          <w:lang w:val="es-CR"/>
        </w:rPr>
      </w:pPr>
      <w:r w:rsidRPr="00B6577F">
        <w:rPr>
          <w:lang w:val="es-CR"/>
        </w:rPr>
        <w:t xml:space="preserve">El derecho a cambiar de generación </w:t>
      </w:r>
      <w:r w:rsidR="00554F5F" w:rsidRPr="00B6577F">
        <w:rPr>
          <w:lang w:val="es-CR"/>
        </w:rPr>
        <w:t xml:space="preserve">puede </w:t>
      </w:r>
      <w:r w:rsidR="005E653A" w:rsidRPr="00B6577F">
        <w:rPr>
          <w:lang w:val="es-CR"/>
        </w:rPr>
        <w:t xml:space="preserve">aumentar el </w:t>
      </w:r>
      <w:r w:rsidRPr="00B6577F">
        <w:rPr>
          <w:lang w:val="es-CR"/>
        </w:rPr>
        <w:t>nivel de liquidez</w:t>
      </w:r>
      <w:r w:rsidR="005E653A" w:rsidRPr="00B6577F">
        <w:rPr>
          <w:lang w:val="es-CR"/>
        </w:rPr>
        <w:t xml:space="preserve"> requerido por el fondo</w:t>
      </w:r>
      <w:r w:rsidR="006A7FAD" w:rsidRPr="00B6577F">
        <w:rPr>
          <w:lang w:val="es-CR"/>
        </w:rPr>
        <w:t xml:space="preserve"> (</w:t>
      </w:r>
      <w:r w:rsidR="0024683A" w:rsidRPr="00B6577F">
        <w:rPr>
          <w:lang w:val="es-CR"/>
        </w:rPr>
        <w:t xml:space="preserve">por ejemplo, cuando personas de mayor edad ingresan a un fondo dirigido a </w:t>
      </w:r>
      <w:r w:rsidR="0024683A" w:rsidRPr="00B6577F">
        <w:rPr>
          <w:lang w:val="es-CR"/>
        </w:rPr>
        <w:lastRenderedPageBreak/>
        <w:t xml:space="preserve">personas </w:t>
      </w:r>
      <w:r w:rsidR="005B0CCC" w:rsidRPr="00B6577F">
        <w:rPr>
          <w:lang w:val="es-CR"/>
        </w:rPr>
        <w:t xml:space="preserve">jóvenes); </w:t>
      </w:r>
      <w:r w:rsidR="00B6577F">
        <w:rPr>
          <w:lang w:val="es-CR"/>
        </w:rPr>
        <w:t xml:space="preserve">por lo que </w:t>
      </w:r>
      <w:r w:rsidR="00252229" w:rsidRPr="00B6577F">
        <w:rPr>
          <w:lang w:val="es-CR"/>
        </w:rPr>
        <w:t xml:space="preserve">los fondos generacionales </w:t>
      </w:r>
      <w:r w:rsidR="005C2107" w:rsidRPr="00B6577F">
        <w:rPr>
          <w:lang w:val="es-CR"/>
        </w:rPr>
        <w:t>tendrán necesidades adicionales de liquidez</w:t>
      </w:r>
      <w:r w:rsidRPr="00B6577F">
        <w:rPr>
          <w:lang w:val="es-CR"/>
        </w:rPr>
        <w:t xml:space="preserve"> para </w:t>
      </w:r>
      <w:r w:rsidR="005C2107" w:rsidRPr="00B6577F">
        <w:rPr>
          <w:lang w:val="es-CR"/>
        </w:rPr>
        <w:t xml:space="preserve">atender </w:t>
      </w:r>
      <w:r w:rsidRPr="00B6577F">
        <w:rPr>
          <w:lang w:val="es-CR"/>
        </w:rPr>
        <w:t>l</w:t>
      </w:r>
      <w:r w:rsidR="003B406D" w:rsidRPr="00B6577F">
        <w:rPr>
          <w:lang w:val="es-CR"/>
        </w:rPr>
        <w:t xml:space="preserve">as solicitudes de </w:t>
      </w:r>
      <w:r w:rsidR="005C2107" w:rsidRPr="00B6577F">
        <w:rPr>
          <w:lang w:val="es-CR"/>
        </w:rPr>
        <w:t>traslado</w:t>
      </w:r>
      <w:r w:rsidRPr="00B6577F">
        <w:rPr>
          <w:lang w:val="es-CR"/>
        </w:rPr>
        <w:t xml:space="preserve">.  </w:t>
      </w:r>
    </w:p>
    <w:p w14:paraId="5C7E7487" w14:textId="77777777" w:rsidR="0034753C" w:rsidRPr="00B6577F" w:rsidRDefault="0046076D" w:rsidP="009832FB">
      <w:pPr>
        <w:pStyle w:val="Prrafodelista"/>
        <w:numPr>
          <w:ilvl w:val="0"/>
          <w:numId w:val="13"/>
        </w:numPr>
        <w:spacing w:before="240" w:line="276" w:lineRule="auto"/>
        <w:jc w:val="both"/>
        <w:rPr>
          <w:lang w:val="es-CR"/>
        </w:rPr>
      </w:pPr>
      <w:r w:rsidRPr="00B6577F">
        <w:rPr>
          <w:lang w:val="es-CR"/>
        </w:rPr>
        <w:t>Existe el riesgo de que</w:t>
      </w:r>
      <w:r w:rsidR="005E6D85" w:rsidRPr="00B6577F">
        <w:rPr>
          <w:lang w:val="es-CR"/>
        </w:rPr>
        <w:t xml:space="preserve"> personas </w:t>
      </w:r>
      <w:r w:rsidRPr="00B6577F">
        <w:rPr>
          <w:lang w:val="es-CR"/>
        </w:rPr>
        <w:t>cercanas</w:t>
      </w:r>
      <w:r w:rsidR="005E6D85" w:rsidRPr="00B6577F">
        <w:rPr>
          <w:lang w:val="es-CR"/>
        </w:rPr>
        <w:t xml:space="preserve"> a </w:t>
      </w:r>
      <w:r w:rsidRPr="00B6577F">
        <w:rPr>
          <w:lang w:val="es-CR"/>
        </w:rPr>
        <w:t xml:space="preserve">su </w:t>
      </w:r>
      <w:r w:rsidR="005E6D85" w:rsidRPr="00B6577F">
        <w:rPr>
          <w:lang w:val="es-CR"/>
        </w:rPr>
        <w:t>pensión</w:t>
      </w:r>
      <w:r w:rsidR="006C7E7B" w:rsidRPr="00B6577F">
        <w:rPr>
          <w:lang w:val="es-CR"/>
        </w:rPr>
        <w:t xml:space="preserve"> elijan fondos diseñados para personas de menor edad. Esto expone</w:t>
      </w:r>
      <w:r w:rsidR="005E6D85" w:rsidRPr="00B6577F">
        <w:rPr>
          <w:lang w:val="es-CR"/>
        </w:rPr>
        <w:t xml:space="preserve"> el saldo a volatilidades de difícil recuperación en escenarios tendientes a la baja, dado el poco tiempo restante antes de la pensión.</w:t>
      </w:r>
    </w:p>
    <w:p w14:paraId="7A493ECC" w14:textId="77777777" w:rsidR="0034753C" w:rsidRPr="00B6577F" w:rsidRDefault="008166F3" w:rsidP="009832FB">
      <w:pPr>
        <w:pStyle w:val="Prrafodelista"/>
        <w:numPr>
          <w:ilvl w:val="0"/>
          <w:numId w:val="13"/>
        </w:numPr>
        <w:spacing w:before="240" w:line="276" w:lineRule="auto"/>
        <w:jc w:val="both"/>
        <w:rPr>
          <w:lang w:val="es-CR"/>
        </w:rPr>
      </w:pPr>
      <w:r w:rsidRPr="00B6577F">
        <w:rPr>
          <w:lang w:val="es-CR"/>
        </w:rPr>
        <w:t>La limitada</w:t>
      </w:r>
      <w:r w:rsidR="0034753C" w:rsidRPr="00B6577F">
        <w:rPr>
          <w:lang w:val="es-CR"/>
        </w:rPr>
        <w:t xml:space="preserve"> educación financiera y </w:t>
      </w:r>
      <w:r w:rsidR="00A141CA" w:rsidRPr="00B6577F">
        <w:rPr>
          <w:lang w:val="es-CR"/>
        </w:rPr>
        <w:t>previsional</w:t>
      </w:r>
      <w:r w:rsidRPr="00B6577F">
        <w:rPr>
          <w:lang w:val="es-CR"/>
        </w:rPr>
        <w:t xml:space="preserve"> de la población en general</w:t>
      </w:r>
      <w:r w:rsidR="00340EFA" w:rsidRPr="00B6577F">
        <w:rPr>
          <w:lang w:val="es-CR"/>
        </w:rPr>
        <w:t xml:space="preserve"> </w:t>
      </w:r>
      <w:r w:rsidR="00861B48">
        <w:rPr>
          <w:lang w:val="es-CR"/>
        </w:rPr>
        <w:t xml:space="preserve">puede </w:t>
      </w:r>
      <w:r w:rsidR="00340EFA" w:rsidRPr="00B6577F">
        <w:rPr>
          <w:lang w:val="es-CR"/>
        </w:rPr>
        <w:t>conduc</w:t>
      </w:r>
      <w:r w:rsidR="00861B48">
        <w:rPr>
          <w:lang w:val="es-CR"/>
        </w:rPr>
        <w:t>ir</w:t>
      </w:r>
      <w:r w:rsidR="00340EFA" w:rsidRPr="00B6577F">
        <w:rPr>
          <w:lang w:val="es-CR"/>
        </w:rPr>
        <w:t xml:space="preserve"> a </w:t>
      </w:r>
      <w:r w:rsidR="00194195" w:rsidRPr="00B6577F">
        <w:rPr>
          <w:lang w:val="es-CR"/>
        </w:rPr>
        <w:t>decisiones</w:t>
      </w:r>
      <w:r w:rsidR="00BB79E5" w:rsidRPr="00B6577F">
        <w:rPr>
          <w:lang w:val="es-CR"/>
        </w:rPr>
        <w:t xml:space="preserve"> basadas en </w:t>
      </w:r>
      <w:r w:rsidR="0034753C" w:rsidRPr="00B6577F">
        <w:rPr>
          <w:lang w:val="es-CR"/>
        </w:rPr>
        <w:t>indicadores de corto plazo</w:t>
      </w:r>
      <w:r w:rsidR="00F4105C" w:rsidRPr="00B6577F">
        <w:rPr>
          <w:lang w:val="es-CR"/>
        </w:rPr>
        <w:t xml:space="preserve">, </w:t>
      </w:r>
      <w:r w:rsidR="00710A9D" w:rsidRPr="00B6577F">
        <w:rPr>
          <w:lang w:val="es-CR"/>
        </w:rPr>
        <w:t>por ejemplo,</w:t>
      </w:r>
      <w:r w:rsidR="005F5E1A" w:rsidRPr="00B6577F">
        <w:rPr>
          <w:lang w:val="es-CR"/>
        </w:rPr>
        <w:t xml:space="preserve"> </w:t>
      </w:r>
      <w:r w:rsidR="00F4105C" w:rsidRPr="00B6577F">
        <w:rPr>
          <w:lang w:val="es-CR"/>
        </w:rPr>
        <w:t xml:space="preserve">la rentabilidad anual, </w:t>
      </w:r>
      <w:r w:rsidR="00BB79E5" w:rsidRPr="00B6577F">
        <w:rPr>
          <w:lang w:val="es-CR"/>
        </w:rPr>
        <w:t>lo</w:t>
      </w:r>
      <w:r w:rsidR="00504692" w:rsidRPr="00B6577F">
        <w:rPr>
          <w:lang w:val="es-CR"/>
        </w:rPr>
        <w:t xml:space="preserve"> cual podría no ser </w:t>
      </w:r>
      <w:r w:rsidR="00D71248" w:rsidRPr="00B6577F">
        <w:rPr>
          <w:lang w:val="es-CR"/>
        </w:rPr>
        <w:t>consecuente con</w:t>
      </w:r>
      <w:r w:rsidR="00AA6A14" w:rsidRPr="00B6577F">
        <w:rPr>
          <w:lang w:val="es-CR"/>
        </w:rPr>
        <w:t xml:space="preserve"> </w:t>
      </w:r>
      <w:r w:rsidR="00CE34CC" w:rsidRPr="00B6577F">
        <w:rPr>
          <w:lang w:val="es-CR"/>
        </w:rPr>
        <w:t>el perfil de riesgo del afiliado (volatilidad</w:t>
      </w:r>
      <w:r w:rsidR="00310F9B" w:rsidRPr="00B6577F">
        <w:rPr>
          <w:lang w:val="es-CR"/>
        </w:rPr>
        <w:t xml:space="preserve"> y pérdidas esperadas, </w:t>
      </w:r>
      <w:r w:rsidR="000047D8" w:rsidRPr="00B6577F">
        <w:rPr>
          <w:lang w:val="es-CR"/>
        </w:rPr>
        <w:t>entre otros</w:t>
      </w:r>
      <w:r w:rsidR="00310F9B" w:rsidRPr="00B6577F">
        <w:rPr>
          <w:lang w:val="es-CR"/>
        </w:rPr>
        <w:t>)</w:t>
      </w:r>
      <w:r w:rsidR="0034753C" w:rsidRPr="00B6577F">
        <w:rPr>
          <w:lang w:val="es-CR"/>
        </w:rPr>
        <w:t>.</w:t>
      </w:r>
    </w:p>
    <w:p w14:paraId="66FB1D8E" w14:textId="77777777" w:rsidR="00B6577F" w:rsidRDefault="008D6291" w:rsidP="00594CE1">
      <w:pPr>
        <w:pStyle w:val="Prrafodelista"/>
        <w:numPr>
          <w:ilvl w:val="0"/>
          <w:numId w:val="13"/>
        </w:numPr>
        <w:spacing w:before="240" w:line="276" w:lineRule="auto"/>
        <w:jc w:val="both"/>
      </w:pPr>
      <w:r w:rsidRPr="00B6577F">
        <w:t>Reduc</w:t>
      </w:r>
      <w:r w:rsidR="00594AC9" w:rsidRPr="00B6577F">
        <w:t>e</w:t>
      </w:r>
      <w:r w:rsidRPr="00B6577F">
        <w:t xml:space="preserve"> las inversiones </w:t>
      </w:r>
      <w:r w:rsidR="00146E5F" w:rsidRPr="00B6577F">
        <w:t>de más largo plazo en función de los requerimientos de liquidez</w:t>
      </w:r>
      <w:r w:rsidRPr="00B6577F">
        <w:t>, afectando los rendimientos.</w:t>
      </w:r>
      <w:r w:rsidR="00F9608A" w:rsidRPr="00B6577F">
        <w:t xml:space="preserve"> A modo de ejemplo se muestra en </w:t>
      </w:r>
      <w:r w:rsidR="00C80BA5" w:rsidRPr="00B6577F">
        <w:t xml:space="preserve">el </w:t>
      </w:r>
      <w:r w:rsidR="00B6577F">
        <w:t>cuadro 4</w:t>
      </w:r>
      <w:r w:rsidR="00EA7A9A" w:rsidRPr="00B6577F">
        <w:t>, los horizontes de planificación de las inversiones de las entidades supervisadas, donde se muestra que los plazos rondan entre los tres y cinco años, es decir,</w:t>
      </w:r>
      <w:r w:rsidR="00C3504D" w:rsidRPr="00B6577F">
        <w:t xml:space="preserve"> los plazos que pudieran afectar esta planificación debieran</w:t>
      </w:r>
      <w:r w:rsidR="009571F6">
        <w:t xml:space="preserve"> </w:t>
      </w:r>
      <w:r w:rsidR="00C3504D" w:rsidRPr="00B6577F">
        <w:t xml:space="preserve">considerar estos horizontes de tiempo al momento de su definición. </w:t>
      </w:r>
      <w:r w:rsidR="00B6577F">
        <w:t>Es por</w:t>
      </w:r>
      <w:r w:rsidR="00C3504D" w:rsidRPr="00B6577F">
        <w:t xml:space="preserve"> lo anterior </w:t>
      </w:r>
      <w:r w:rsidR="00B6577F">
        <w:t xml:space="preserve">que </w:t>
      </w:r>
      <w:r w:rsidR="00C3504D" w:rsidRPr="00B6577F">
        <w:t>los tiempo</w:t>
      </w:r>
      <w:r w:rsidR="00263135" w:rsidRPr="00B6577F">
        <w:t>s</w:t>
      </w:r>
      <w:r w:rsidR="00C3504D" w:rsidRPr="00B6577F">
        <w:t xml:space="preserve"> de permanencia sugeridos, de previo a valorar un cambio para el afiliado que pudiera afectar al resto, se proponen en cinco años.</w:t>
      </w:r>
    </w:p>
    <w:p w14:paraId="4AA9BDC2" w14:textId="77777777" w:rsidR="00594CE1" w:rsidRPr="00594CE1" w:rsidRDefault="00594CE1" w:rsidP="00594CE1">
      <w:pPr>
        <w:pStyle w:val="Prrafodelista"/>
        <w:spacing w:before="240" w:line="276" w:lineRule="auto"/>
        <w:jc w:val="both"/>
      </w:pPr>
    </w:p>
    <w:p w14:paraId="6CE187E7" w14:textId="77777777" w:rsidR="00F9608A" w:rsidRPr="00B6577F" w:rsidRDefault="00C80BA5" w:rsidP="00C80BA5">
      <w:pPr>
        <w:pStyle w:val="Descripcin"/>
      </w:pPr>
      <w:bookmarkStart w:id="37" w:name="_Ref143519403"/>
      <w:r w:rsidRPr="00B6577F">
        <w:t xml:space="preserve">Cuadro </w:t>
      </w:r>
      <w:r w:rsidR="00B6577F" w:rsidRPr="00B6577F">
        <w:t>4</w:t>
      </w:r>
      <w:bookmarkEnd w:id="37"/>
      <w:r w:rsidRPr="00B6577F">
        <w:t xml:space="preserve">: </w:t>
      </w:r>
      <w:r w:rsidR="00D932BC" w:rsidRPr="00B6577F">
        <w:t xml:space="preserve">Planeación </w:t>
      </w:r>
      <w:r w:rsidR="003248CC">
        <w:t>e</w:t>
      </w:r>
      <w:r w:rsidR="009E6C74" w:rsidRPr="00B6577F">
        <w:t>stratégica de las inversiones</w:t>
      </w:r>
    </w:p>
    <w:p w14:paraId="23278D40" w14:textId="77777777" w:rsidR="00A34978" w:rsidRPr="00594CE1" w:rsidRDefault="00B3517D" w:rsidP="009832FB">
      <w:pPr>
        <w:spacing w:before="240" w:line="276" w:lineRule="auto"/>
        <w:contextualSpacing/>
        <w:jc w:val="both"/>
      </w:pPr>
      <w:r w:rsidRPr="00172C71">
        <w:rPr>
          <w:i/>
          <w:iCs/>
        </w:rPr>
        <w:t>Se suprime la información de carácter privado de las operadoras, según el artículo 24 de la Constitución Política, el artículo 166 de la Ley reguladora del mercado de Valores, y  la  sentencia No. 2120-2003 de las 13:30 horas del 14 de marzo del 2003 de la Sala Constitucional de la Corte Suprema de Justicia, reiterada por la resolución de ese mismo órgano jurisdiccional</w:t>
      </w:r>
      <w:r w:rsidR="00594CE1" w:rsidRPr="00172C71">
        <w:rPr>
          <w:i/>
          <w:iCs/>
        </w:rPr>
        <w:t xml:space="preserve"> </w:t>
      </w:r>
      <w:proofErr w:type="spellStart"/>
      <w:r w:rsidRPr="00172C71">
        <w:rPr>
          <w:i/>
          <w:iCs/>
        </w:rPr>
        <w:t>Nº</w:t>
      </w:r>
      <w:proofErr w:type="spellEnd"/>
      <w:r w:rsidRPr="00172C71">
        <w:rPr>
          <w:i/>
          <w:iCs/>
        </w:rPr>
        <w:t xml:space="preserve"> 2023006926 de las nueve horas treinta minutos del veinticuatro de marzo de dos mil veintitrés, jurisprudencia de acatamiento obligatorio, según señala el artículo 13 de la Ley de la jurisdicción constitucional</w:t>
      </w:r>
      <w:r w:rsidR="00594CE1" w:rsidRPr="00594CE1">
        <w:t>.</w:t>
      </w:r>
    </w:p>
    <w:p w14:paraId="3F628C1E" w14:textId="77777777" w:rsidR="00594CE1" w:rsidRDefault="00594CE1" w:rsidP="009832FB">
      <w:pPr>
        <w:spacing w:before="240" w:line="276" w:lineRule="auto"/>
        <w:contextualSpacing/>
        <w:jc w:val="both"/>
        <w:rPr>
          <w:color w:val="FF0000"/>
        </w:rPr>
      </w:pPr>
    </w:p>
    <w:p w14:paraId="42A639C2" w14:textId="77777777" w:rsidR="00594CE1" w:rsidRDefault="00594CE1" w:rsidP="009832FB">
      <w:pPr>
        <w:spacing w:before="240" w:line="276" w:lineRule="auto"/>
        <w:contextualSpacing/>
        <w:jc w:val="both"/>
        <w:rPr>
          <w:color w:val="FF0000"/>
        </w:rPr>
      </w:pPr>
    </w:p>
    <w:p w14:paraId="7E029FAA" w14:textId="77777777" w:rsidR="00B845BB" w:rsidRPr="00B6577F" w:rsidRDefault="00A53264" w:rsidP="009832FB">
      <w:pPr>
        <w:spacing w:before="240" w:line="276" w:lineRule="auto"/>
        <w:contextualSpacing/>
        <w:jc w:val="both"/>
      </w:pPr>
      <w:r w:rsidRPr="00B6577F">
        <w:t>El cambio entre generaciones presenta una dificultad técnica adicional</w:t>
      </w:r>
      <w:r w:rsidR="00CC1D02" w:rsidRPr="00B6577F">
        <w:t>: l</w:t>
      </w:r>
      <w:r w:rsidR="00B845BB" w:rsidRPr="00B6577F">
        <w:t xml:space="preserve">a libre transferencia se realiza </w:t>
      </w:r>
      <w:r w:rsidR="00CC1D02" w:rsidRPr="00B6577F">
        <w:t>mediante</w:t>
      </w:r>
      <w:r w:rsidR="00B845BB" w:rsidRPr="00B6577F">
        <w:t xml:space="preserve"> el Sistema Centralizado de Recaudación</w:t>
      </w:r>
      <w:r w:rsidR="00B6577F" w:rsidRPr="00B6577F">
        <w:t>,</w:t>
      </w:r>
      <w:r w:rsidR="00B845BB" w:rsidRPr="00B6577F">
        <w:t xml:space="preserve"> </w:t>
      </w:r>
      <w:r w:rsidR="00E30E84" w:rsidRPr="00B6577F">
        <w:t>cuya</w:t>
      </w:r>
      <w:r w:rsidR="00B845BB" w:rsidRPr="00B6577F">
        <w:t xml:space="preserve"> infraestructura tecnol</w:t>
      </w:r>
      <w:r w:rsidR="002D6031" w:rsidRPr="00B6577F">
        <w:t>ó</w:t>
      </w:r>
      <w:r w:rsidR="00B845BB" w:rsidRPr="00B6577F">
        <w:t>g</w:t>
      </w:r>
      <w:r w:rsidR="002D6031" w:rsidRPr="00B6577F">
        <w:t>ica</w:t>
      </w:r>
      <w:r w:rsidR="00D718F8" w:rsidRPr="00B6577F">
        <w:t xml:space="preserve"> </w:t>
      </w:r>
      <w:r w:rsidR="00B845BB" w:rsidRPr="00B6577F">
        <w:t>no está diseñad</w:t>
      </w:r>
      <w:r w:rsidR="002D6031" w:rsidRPr="00B6577F">
        <w:t>a</w:t>
      </w:r>
      <w:r w:rsidR="00B845BB" w:rsidRPr="00B6577F">
        <w:t xml:space="preserve"> para controlar los cambios de generación. </w:t>
      </w:r>
      <w:r w:rsidR="003059C8" w:rsidRPr="00B6577F">
        <w:t xml:space="preserve">Para este proyecto, </w:t>
      </w:r>
      <w:r w:rsidR="00F92927" w:rsidRPr="00B6577F">
        <w:t>SICERE</w:t>
      </w:r>
      <w:r w:rsidR="001A54AC" w:rsidRPr="00B6577F">
        <w:t xml:space="preserve"> tiene programado</w:t>
      </w:r>
      <w:r w:rsidR="00ED018C" w:rsidRPr="00B6577F">
        <w:t xml:space="preserve"> l</w:t>
      </w:r>
      <w:r w:rsidR="00B845BB" w:rsidRPr="00B6577F">
        <w:t>a implementación</w:t>
      </w:r>
      <w:r w:rsidR="00ED018C" w:rsidRPr="00B6577F">
        <w:t xml:space="preserve"> en</w:t>
      </w:r>
      <w:r w:rsidR="00B845BB" w:rsidRPr="00B6577F">
        <w:t xml:space="preserve"> sus sistemas para cambio de entidad</w:t>
      </w:r>
      <w:r w:rsidR="00ED018C" w:rsidRPr="00B6577F">
        <w:t>, y no necesariamente para cambio de entidad y generación</w:t>
      </w:r>
      <w:r w:rsidR="00B845BB" w:rsidRPr="00B6577F">
        <w:t>.</w:t>
      </w:r>
      <w:r w:rsidR="0051706E" w:rsidRPr="00B6577F">
        <w:t xml:space="preserve"> </w:t>
      </w:r>
    </w:p>
    <w:p w14:paraId="45B434F1" w14:textId="77777777" w:rsidR="009272CF" w:rsidRPr="00B6577F" w:rsidRDefault="007C3985" w:rsidP="00DB23AF">
      <w:pPr>
        <w:spacing w:before="240" w:line="276" w:lineRule="auto"/>
        <w:jc w:val="both"/>
      </w:pPr>
      <w:r w:rsidRPr="00B6577F">
        <w:t xml:space="preserve">No obstante, </w:t>
      </w:r>
      <w:r w:rsidR="00B6577F" w:rsidRPr="00B6577F">
        <w:t>la propuesta considera la opción que</w:t>
      </w:r>
      <w:r w:rsidR="00DB23AF" w:rsidRPr="00B6577F">
        <w:t xml:space="preserve"> tiene el afiliado </w:t>
      </w:r>
      <w:r w:rsidR="00FF1B3A" w:rsidRPr="00B6577F">
        <w:t xml:space="preserve">de elegir </w:t>
      </w:r>
      <w:r w:rsidR="00A81EF5" w:rsidRPr="00B6577F">
        <w:t>entidad y fondo</w:t>
      </w:r>
      <w:r w:rsidR="00B6577F" w:rsidRPr="00B6577F">
        <w:t xml:space="preserve"> generacional.</w:t>
      </w:r>
    </w:p>
    <w:p w14:paraId="2D5FE8E1" w14:textId="77777777" w:rsidR="004627D5" w:rsidRPr="00B6577F" w:rsidRDefault="00AA460F" w:rsidP="00D54F7E">
      <w:pPr>
        <w:spacing w:before="240" w:line="276" w:lineRule="auto"/>
        <w:jc w:val="both"/>
      </w:pPr>
      <w:r w:rsidRPr="00B6577F">
        <w:t xml:space="preserve">En este sentido, la propuesta del supervisor hace un balance entre </w:t>
      </w:r>
      <w:r w:rsidR="003D6E86" w:rsidRPr="00B6577F">
        <w:t>los aspectos</w:t>
      </w:r>
      <w:r w:rsidRPr="00B6577F">
        <w:t xml:space="preserve"> técnic</w:t>
      </w:r>
      <w:r w:rsidR="003D6E86" w:rsidRPr="00B6577F">
        <w:t>os</w:t>
      </w:r>
      <w:r w:rsidRPr="00B6577F">
        <w:t xml:space="preserve"> </w:t>
      </w:r>
      <w:r w:rsidR="00F71E98" w:rsidRPr="00B6577F">
        <w:t>(expuest</w:t>
      </w:r>
      <w:r w:rsidR="001350D6">
        <w:t>o</w:t>
      </w:r>
      <w:r w:rsidR="00F71E98" w:rsidRPr="00B6577F">
        <w:t xml:space="preserve"> en los párrafos anteriores) </w:t>
      </w:r>
      <w:r w:rsidRPr="00B6577F">
        <w:t xml:space="preserve">y el derecho </w:t>
      </w:r>
      <w:r w:rsidR="00CD7115" w:rsidRPr="00B6577F">
        <w:t>de libre transferencia</w:t>
      </w:r>
      <w:r w:rsidRPr="00B6577F">
        <w:t xml:space="preserve">, </w:t>
      </w:r>
      <w:r w:rsidR="00C12F42" w:rsidRPr="00B6577F">
        <w:t>buscando, pese a los inconvenientes descritos, acotar los efectos negativos</w:t>
      </w:r>
      <w:r w:rsidR="004A7505" w:rsidRPr="00B6577F">
        <w:t xml:space="preserve">, </w:t>
      </w:r>
      <w:r w:rsidR="004627D5" w:rsidRPr="00B6577F">
        <w:t>en función de las siguientes necesidades:</w:t>
      </w:r>
    </w:p>
    <w:p w14:paraId="5375C5B8" w14:textId="77777777" w:rsidR="004627D5" w:rsidRPr="00B6577F" w:rsidRDefault="00491C5C" w:rsidP="009832FB">
      <w:pPr>
        <w:pStyle w:val="Prrafodelista"/>
        <w:numPr>
          <w:ilvl w:val="0"/>
          <w:numId w:val="33"/>
        </w:numPr>
        <w:spacing w:before="240" w:line="276" w:lineRule="auto"/>
        <w:jc w:val="both"/>
      </w:pPr>
      <w:r>
        <w:t>P</w:t>
      </w:r>
      <w:r w:rsidR="00FA5C76" w:rsidRPr="00B6577F">
        <w:t>rocu</w:t>
      </w:r>
      <w:r w:rsidR="00312966" w:rsidRPr="00B6577F">
        <w:t>r</w:t>
      </w:r>
      <w:r w:rsidR="0057149E" w:rsidRPr="00B6577F">
        <w:t>ar</w:t>
      </w:r>
      <w:r w:rsidR="004627D5" w:rsidRPr="00B6577F">
        <w:t xml:space="preserve"> que el cambio de generación sea una decisión </w:t>
      </w:r>
      <w:r w:rsidR="00A61D67">
        <w:t>valorada</w:t>
      </w:r>
      <w:r w:rsidR="00CE072C" w:rsidRPr="00B6577F">
        <w:t xml:space="preserve"> por </w:t>
      </w:r>
      <w:r w:rsidR="0005257B" w:rsidRPr="00B6577F">
        <w:t>los afili</w:t>
      </w:r>
      <w:r w:rsidR="000654E3" w:rsidRPr="00B6577F">
        <w:t>a</w:t>
      </w:r>
      <w:r w:rsidR="0005257B" w:rsidRPr="00B6577F">
        <w:t>dos</w:t>
      </w:r>
      <w:r w:rsidR="004627D5" w:rsidRPr="00B6577F">
        <w:t xml:space="preserve">, por lo tanto, debe </w:t>
      </w:r>
      <w:r w:rsidR="00B6577F">
        <w:t xml:space="preserve">contarse con </w:t>
      </w:r>
      <w:r w:rsidR="004627D5" w:rsidRPr="00B6577F">
        <w:t>la suficiente asesoría para que la decisión sea tomada con conocimiento de los riesgos que conlleva</w:t>
      </w:r>
      <w:r w:rsidR="00C86133">
        <w:t xml:space="preserve"> y considerando horizontes de información de </w:t>
      </w:r>
      <w:r w:rsidR="00C86133">
        <w:lastRenderedPageBreak/>
        <w:t>más largo plazo</w:t>
      </w:r>
      <w:r w:rsidR="00CE47C5">
        <w:t>, que no tomen en cuenta las volatilidades naturales de l</w:t>
      </w:r>
      <w:r w:rsidR="00497D4B">
        <w:t>as generaciones jóvenes.</w:t>
      </w:r>
    </w:p>
    <w:p w14:paraId="682F16B5" w14:textId="77777777" w:rsidR="004627D5" w:rsidRPr="00B6577F" w:rsidRDefault="00175F7B" w:rsidP="009832FB">
      <w:pPr>
        <w:pStyle w:val="Prrafodelista"/>
        <w:numPr>
          <w:ilvl w:val="0"/>
          <w:numId w:val="33"/>
        </w:numPr>
        <w:spacing w:before="240" w:line="276" w:lineRule="auto"/>
        <w:jc w:val="both"/>
      </w:pPr>
      <w:r w:rsidRPr="00B6577F">
        <w:t xml:space="preserve">La regulación debe </w:t>
      </w:r>
      <w:r w:rsidR="00B6577F">
        <w:t>velar por el beneficio de</w:t>
      </w:r>
      <w:r w:rsidR="004627D5" w:rsidRPr="00B6577F">
        <w:t xml:space="preserve"> los afiliados que permanecen en el fondo</w:t>
      </w:r>
      <w:r w:rsidR="004848C1" w:rsidRPr="00B6577F">
        <w:t xml:space="preserve"> al que pertenecen por </w:t>
      </w:r>
      <w:r w:rsidR="00176D78" w:rsidRPr="00B6577F">
        <w:t>grupo etario</w:t>
      </w:r>
      <w:r w:rsidR="004627D5" w:rsidRPr="00B6577F">
        <w:t xml:space="preserve">, </w:t>
      </w:r>
      <w:r w:rsidR="003B14E0" w:rsidRPr="00B6577F">
        <w:t xml:space="preserve">de tal forma que los gestores de fondos de pensión puedan ejecutar </w:t>
      </w:r>
      <w:r w:rsidR="00B6577F">
        <w:t xml:space="preserve">una </w:t>
      </w:r>
      <w:r w:rsidR="004627D5" w:rsidRPr="00B6577F">
        <w:t xml:space="preserve">planificación </w:t>
      </w:r>
      <w:r w:rsidR="00B65B4A" w:rsidRPr="00B6577F">
        <w:t xml:space="preserve">estratégica de </w:t>
      </w:r>
      <w:r w:rsidR="004627D5" w:rsidRPr="00B6577F">
        <w:t>las inversiones</w:t>
      </w:r>
      <w:r w:rsidR="00B6577F">
        <w:t xml:space="preserve"> al menos de mediano plazo</w:t>
      </w:r>
      <w:r w:rsidR="004627D5" w:rsidRPr="00B6577F">
        <w:t>.</w:t>
      </w:r>
    </w:p>
    <w:p w14:paraId="7187090C" w14:textId="77777777" w:rsidR="004627D5" w:rsidRPr="00B6577F" w:rsidRDefault="008F65F9" w:rsidP="009832FB">
      <w:pPr>
        <w:spacing w:before="240" w:line="276" w:lineRule="auto"/>
        <w:jc w:val="both"/>
      </w:pPr>
      <w:r w:rsidRPr="00B6577F">
        <w:t>Para minimizar los efectos adversos antes descritos</w:t>
      </w:r>
      <w:r w:rsidR="00575566" w:rsidRPr="00B6577F">
        <w:t>, l</w:t>
      </w:r>
      <w:r w:rsidR="00A31E9B" w:rsidRPr="00B6577F">
        <w:t xml:space="preserve">a propuesta </w:t>
      </w:r>
      <w:r w:rsidR="00575566" w:rsidRPr="00B6577F">
        <w:t xml:space="preserve">de fondos generacionales permite </w:t>
      </w:r>
      <w:r w:rsidR="00A31E9B" w:rsidRPr="00B6577F">
        <w:t xml:space="preserve">únicamente al cambio de generación a la generación </w:t>
      </w:r>
      <w:r w:rsidR="007F5DE2" w:rsidRPr="00B6577F">
        <w:t>anterior o siguiente</w:t>
      </w:r>
      <w:r w:rsidR="00A31E9B" w:rsidRPr="00B6577F">
        <w:t xml:space="preserve">, ya sea la más conservadora o la de mayor nivel de riesgo en sus inversiones. </w:t>
      </w:r>
      <w:r w:rsidR="003E03A3" w:rsidRPr="00B6577F">
        <w:t xml:space="preserve">Por ejemplo, una </w:t>
      </w:r>
      <w:r w:rsidR="00A31E9B" w:rsidRPr="00B6577F">
        <w:t xml:space="preserve">persona nacida en la década de los 80 </w:t>
      </w:r>
      <w:r w:rsidR="00240C1A" w:rsidRPr="00B6577F">
        <w:t>podría</w:t>
      </w:r>
      <w:r w:rsidR="00A31E9B" w:rsidRPr="00B6577F">
        <w:t xml:space="preserve"> formar parte de la generación nacida en la década de los 70 o la década de los 90</w:t>
      </w:r>
      <w:r w:rsidR="00384087" w:rsidRPr="00B6577F">
        <w:t xml:space="preserve">. </w:t>
      </w:r>
      <w:r w:rsidR="00851ECF" w:rsidRPr="00B6577F">
        <w:t>E</w:t>
      </w:r>
      <w:r w:rsidR="00384087" w:rsidRPr="00B6577F">
        <w:t xml:space="preserve">ste derecho </w:t>
      </w:r>
      <w:r w:rsidR="001E44ED" w:rsidRPr="00B6577F">
        <w:t xml:space="preserve">se </w:t>
      </w:r>
      <w:r w:rsidR="00384087" w:rsidRPr="00B6577F">
        <w:t>puede eje</w:t>
      </w:r>
      <w:r w:rsidR="001E44ED" w:rsidRPr="00B6577F">
        <w:t>rcer</w:t>
      </w:r>
      <w:r w:rsidR="00384087" w:rsidRPr="00B6577F">
        <w:t xml:space="preserve"> una vez </w:t>
      </w:r>
      <w:r w:rsidR="00851ECF" w:rsidRPr="00B6577F">
        <w:rPr>
          <w:b/>
        </w:rPr>
        <w:t>cada</w:t>
      </w:r>
      <w:r w:rsidR="00384087" w:rsidRPr="00B6577F">
        <w:rPr>
          <w:b/>
        </w:rPr>
        <w:t xml:space="preserve"> cinco años</w:t>
      </w:r>
      <w:r w:rsidR="00384087" w:rsidRPr="00B6577F">
        <w:t xml:space="preserve"> </w:t>
      </w:r>
      <w:r w:rsidR="00565554" w:rsidRPr="00B6577F">
        <w:t xml:space="preserve">de permanencia </w:t>
      </w:r>
      <w:r w:rsidR="00B6577F">
        <w:t xml:space="preserve">(considerar el cuadro anterior, con mira conservadora hacia los cinco años) </w:t>
      </w:r>
      <w:r w:rsidR="00384087" w:rsidRPr="00B6577F">
        <w:t xml:space="preserve">en la operadora </w:t>
      </w:r>
      <w:r w:rsidR="00E43557" w:rsidRPr="00B6577F">
        <w:t>que gestiona los recursos.</w:t>
      </w:r>
      <w:r w:rsidR="00784128" w:rsidRPr="00B6577F">
        <w:t xml:space="preserve"> </w:t>
      </w:r>
      <w:r w:rsidR="004627D5" w:rsidRPr="00B6577F">
        <w:t xml:space="preserve">Con esto el afiliado </w:t>
      </w:r>
      <w:r w:rsidR="00784128" w:rsidRPr="00B6577F">
        <w:t xml:space="preserve">tendrá un </w:t>
      </w:r>
      <w:r w:rsidR="004627D5" w:rsidRPr="00B6577F">
        <w:t>tiempo de permanencia</w:t>
      </w:r>
      <w:r w:rsidR="00784128" w:rsidRPr="00B6577F">
        <w:t xml:space="preserve"> mínimo</w:t>
      </w:r>
      <w:r w:rsidR="004627D5" w:rsidRPr="00B6577F">
        <w:t xml:space="preserve"> que le </w:t>
      </w:r>
      <w:r w:rsidR="00F7049C" w:rsidRPr="00B6577F">
        <w:t>permitirá</w:t>
      </w:r>
      <w:r w:rsidR="004627D5" w:rsidRPr="00B6577F">
        <w:t xml:space="preserve"> disfrutar los beneficios de </w:t>
      </w:r>
      <w:r w:rsidR="00BA04DB" w:rsidRPr="00B6577F">
        <w:t xml:space="preserve">su grupo etario. </w:t>
      </w:r>
    </w:p>
    <w:p w14:paraId="647315C1" w14:textId="77777777" w:rsidR="004627D5" w:rsidRPr="00B6577F" w:rsidRDefault="004627D5" w:rsidP="009832FB">
      <w:pPr>
        <w:spacing w:before="240" w:line="276" w:lineRule="auto"/>
        <w:jc w:val="both"/>
      </w:pPr>
      <w:r w:rsidRPr="00B6577F">
        <w:t>Adicionalmente la propuesta considera</w:t>
      </w:r>
      <w:r w:rsidR="00B6577F" w:rsidRPr="00B6577F">
        <w:t>, prudencialmente,</w:t>
      </w:r>
      <w:r w:rsidRPr="00B6577F">
        <w:t xml:space="preserve"> que el tiempo de permanencia para adquirir el derecho al cambio de generación debe alcanzarse en la misma gestora</w:t>
      </w:r>
      <w:r w:rsidR="004B6E93">
        <w:t>, la propuesta plantea cinco años como mínimo para adquirir este derecho</w:t>
      </w:r>
      <w:r w:rsidR="00EF5D2E">
        <w:t>, es decir, en el momento en que se haga libre transferencia el afiliado deberá ser trasladado a la generación correspondiente a su edad y el plazo de permanencia</w:t>
      </w:r>
      <w:r w:rsidR="00226316">
        <w:t xml:space="preserve">, con el consecuente </w:t>
      </w:r>
      <w:r w:rsidR="00B3517D">
        <w:t>reinicio</w:t>
      </w:r>
      <w:r w:rsidR="00226316">
        <w:t xml:space="preserve"> del plazo de permanencia</w:t>
      </w:r>
      <w:r w:rsidRPr="00B6577F">
        <w:t>. Esto</w:t>
      </w:r>
      <w:r w:rsidR="00C569DE">
        <w:t>, entre otros aspectos,</w:t>
      </w:r>
      <w:r w:rsidRPr="00B6577F">
        <w:t xml:space="preserve"> a efecto de que el diseño de los fondos generacionales tenga una continuidad estratégica.</w:t>
      </w:r>
    </w:p>
    <w:p w14:paraId="2E168BD2" w14:textId="77777777" w:rsidR="0043306C" w:rsidRPr="00B6577F" w:rsidRDefault="0043306C" w:rsidP="009832FB">
      <w:pPr>
        <w:spacing w:before="240" w:line="276" w:lineRule="auto"/>
        <w:jc w:val="both"/>
      </w:pPr>
      <w:r w:rsidRPr="00B6577F">
        <w:t>Finalmente</w:t>
      </w:r>
      <w:r w:rsidR="009E29B7" w:rsidRPr="00B6577F">
        <w:t>,</w:t>
      </w:r>
      <w:r w:rsidRPr="00B6577F">
        <w:t xml:space="preserve"> la propuesta establece que los trabajadores en etapa de pensión </w:t>
      </w:r>
      <w:r w:rsidR="00C520C7">
        <w:t xml:space="preserve">(o próximos) </w:t>
      </w:r>
      <w:r w:rsidRPr="00B6577F">
        <w:t xml:space="preserve">no debieran </w:t>
      </w:r>
      <w:r w:rsidR="00F138C9" w:rsidRPr="00B6577F">
        <w:t xml:space="preserve">agregar riesgos </w:t>
      </w:r>
      <w:r w:rsidR="00BC2425" w:rsidRPr="00B6577F">
        <w:t xml:space="preserve">al </w:t>
      </w:r>
      <w:r w:rsidRPr="00B6577F">
        <w:t>saldo</w:t>
      </w:r>
      <w:r w:rsidR="00BC2425" w:rsidRPr="00B6577F">
        <w:t xml:space="preserve"> de su cuenta individual</w:t>
      </w:r>
      <w:r w:rsidRPr="00B6577F">
        <w:t>, por lo tanto</w:t>
      </w:r>
      <w:r w:rsidR="009E29B7" w:rsidRPr="00B6577F">
        <w:t>,</w:t>
      </w:r>
      <w:r w:rsidRPr="00B6577F">
        <w:t xml:space="preserve"> no debieran</w:t>
      </w:r>
      <w:r w:rsidR="00B36A98" w:rsidRPr="00B6577F">
        <w:t xml:space="preserve"> </w:t>
      </w:r>
      <w:r w:rsidRPr="00B6577F">
        <w:t>prudencialmente</w:t>
      </w:r>
      <w:r w:rsidR="00B36A98" w:rsidRPr="00B6577F">
        <w:t xml:space="preserve"> cambiar la estrategia diseñada para la</w:t>
      </w:r>
      <w:r w:rsidR="009E29B7" w:rsidRPr="00B6577F">
        <w:t xml:space="preserve"> estabilidad del saldo acumulado. Así la propuesta para este grupo de la población es que no existe cambio de </w:t>
      </w:r>
      <w:r w:rsidR="00F358CD" w:rsidRPr="00B6577F">
        <w:t>generación, únicamente de gestor</w:t>
      </w:r>
      <w:r w:rsidR="009E29B7" w:rsidRPr="00B6577F">
        <w:t>.</w:t>
      </w:r>
    </w:p>
    <w:p w14:paraId="31FEB0AF" w14:textId="77777777" w:rsidR="00BF560C" w:rsidRDefault="00BF560C" w:rsidP="00B47A67">
      <w:pPr>
        <w:spacing w:after="0" w:line="240" w:lineRule="auto"/>
        <w:jc w:val="both"/>
      </w:pPr>
    </w:p>
    <w:p w14:paraId="12CD08A9" w14:textId="77777777" w:rsidR="00BF560C" w:rsidRDefault="00BF560C" w:rsidP="00B47A67">
      <w:pPr>
        <w:spacing w:after="0" w:line="240" w:lineRule="auto"/>
        <w:jc w:val="both"/>
      </w:pPr>
    </w:p>
    <w:p w14:paraId="5ED20220" w14:textId="77777777" w:rsidR="00B47A67" w:rsidRDefault="00B47A67" w:rsidP="00B47A67">
      <w:pPr>
        <w:pStyle w:val="Ttulo2"/>
      </w:pPr>
      <w:bookmarkStart w:id="38" w:name="_Toc144396539"/>
      <w:bookmarkStart w:id="39" w:name="_Toc132962542"/>
      <w:r>
        <w:t>4.4. Manejo operativo y contable</w:t>
      </w:r>
      <w:bookmarkEnd w:id="38"/>
      <w:r>
        <w:t xml:space="preserve"> </w:t>
      </w:r>
      <w:bookmarkEnd w:id="39"/>
    </w:p>
    <w:p w14:paraId="39A87173" w14:textId="77777777" w:rsidR="00B47A67" w:rsidRDefault="00B47A67" w:rsidP="00B47A67">
      <w:pPr>
        <w:pStyle w:val="Prrafodelista"/>
        <w:spacing w:after="0" w:line="240" w:lineRule="auto"/>
        <w:jc w:val="both"/>
      </w:pPr>
    </w:p>
    <w:p w14:paraId="0E150ADE" w14:textId="77777777" w:rsidR="00B47A67" w:rsidRPr="009F0950" w:rsidRDefault="00B47A67" w:rsidP="00B47A67">
      <w:pPr>
        <w:spacing w:after="0" w:line="240" w:lineRule="auto"/>
        <w:contextualSpacing/>
        <w:jc w:val="both"/>
      </w:pPr>
      <w:r w:rsidRPr="009F0950">
        <w:t xml:space="preserve">Cada uno de los nuevos fondos </w:t>
      </w:r>
      <w:r w:rsidR="00836DE1" w:rsidRPr="009F0950">
        <w:t xml:space="preserve">generacionales </w:t>
      </w:r>
      <w:r w:rsidRPr="009F0950">
        <w:t xml:space="preserve">tendrá una contabilidad separada, </w:t>
      </w:r>
      <w:r w:rsidR="00290498" w:rsidRPr="009F0950">
        <w:t>para</w:t>
      </w:r>
      <w:r w:rsidRPr="009F0950">
        <w:t xml:space="preserve"> generar el cálculo </w:t>
      </w:r>
      <w:r w:rsidR="00222436" w:rsidRPr="009F0950">
        <w:t xml:space="preserve">diario </w:t>
      </w:r>
      <w:r w:rsidRPr="009F0950">
        <w:t>d</w:t>
      </w:r>
      <w:r w:rsidR="00660175" w:rsidRPr="009F0950">
        <w:t>e</w:t>
      </w:r>
      <w:r w:rsidR="00222436" w:rsidRPr="009F0950">
        <w:t>l</w:t>
      </w:r>
      <w:r w:rsidRPr="009F0950">
        <w:t xml:space="preserve"> valor cuota </w:t>
      </w:r>
      <w:r w:rsidR="00222436" w:rsidRPr="009F0950">
        <w:t>de cada fondo</w:t>
      </w:r>
      <w:r w:rsidRPr="009F0950">
        <w:t xml:space="preserve">. </w:t>
      </w:r>
    </w:p>
    <w:p w14:paraId="584EA211" w14:textId="77777777" w:rsidR="00B47A67" w:rsidRPr="009F0950" w:rsidRDefault="00B47A67" w:rsidP="00B47A67">
      <w:pPr>
        <w:spacing w:after="0" w:line="240" w:lineRule="auto"/>
        <w:contextualSpacing/>
        <w:jc w:val="both"/>
      </w:pPr>
    </w:p>
    <w:p w14:paraId="5BAC4196" w14:textId="77777777" w:rsidR="00F562B3" w:rsidRPr="009F0950" w:rsidRDefault="00F562B3" w:rsidP="00F562B3">
      <w:pPr>
        <w:spacing w:after="0" w:line="240" w:lineRule="auto"/>
        <w:contextualSpacing/>
        <w:jc w:val="both"/>
      </w:pPr>
      <w:r w:rsidRPr="009F0950">
        <w:t>Como sucede actualmente con los fondos existentes</w:t>
      </w:r>
      <w:r w:rsidR="009F0950" w:rsidRPr="009F0950">
        <w:t>,</w:t>
      </w:r>
      <w:r w:rsidRPr="009F0950">
        <w:t xml:space="preserve"> cada uno de los fondos generacionales tendrá </w:t>
      </w:r>
      <w:r w:rsidR="00A64384" w:rsidRPr="009F0950">
        <w:t>el número identificador</w:t>
      </w:r>
      <w:r w:rsidRPr="009F0950">
        <w:t xml:space="preserve"> que otorga el Registro Nacional, de tal manera que puedan operar a nivel del sistema financiero con un identificador único para sus transacciones.</w:t>
      </w:r>
    </w:p>
    <w:p w14:paraId="7A5D0868" w14:textId="77777777" w:rsidR="00B47A67" w:rsidRPr="009F0950" w:rsidRDefault="00B47A67" w:rsidP="00B47A67">
      <w:pPr>
        <w:spacing w:after="0" w:line="240" w:lineRule="auto"/>
        <w:contextualSpacing/>
        <w:jc w:val="both"/>
      </w:pPr>
    </w:p>
    <w:p w14:paraId="5E1873B8" w14:textId="77777777" w:rsidR="005E6D85" w:rsidRDefault="005E6D85" w:rsidP="005E6D85">
      <w:pPr>
        <w:spacing w:after="0" w:line="240" w:lineRule="auto"/>
        <w:contextualSpacing/>
        <w:jc w:val="both"/>
      </w:pPr>
      <w:r w:rsidRPr="009F0950">
        <w:t xml:space="preserve">SUPEN identificará a cada generación con un código único en sus sistemas de información, vinculado a los reportes que los gestores deben remitir periódicamente </w:t>
      </w:r>
      <w:r>
        <w:t xml:space="preserve">(contabilidad, inversiones y cuenta individual). La codificación propuesta se ilustra en el </w:t>
      </w:r>
      <w:r w:rsidR="009F0950">
        <w:t>cuadro siguiente</w:t>
      </w:r>
      <w:r>
        <w:t>, donde se reservan las letras subsiguientes (E, F, G, etc.) para los espacios en el tiempo para las nuevas generaciones que ingresarán. A nivel histórico, el código para el ROP ha sido el 07, con lo cual se busca dar continuidad a la práctica utilizada desde la creación del régimen.</w:t>
      </w:r>
    </w:p>
    <w:p w14:paraId="6B1C3015" w14:textId="77777777" w:rsidR="00B47A67" w:rsidRDefault="00B47A67" w:rsidP="005E6D85">
      <w:pPr>
        <w:spacing w:after="0" w:line="240" w:lineRule="auto"/>
        <w:contextualSpacing/>
        <w:jc w:val="both"/>
      </w:pPr>
    </w:p>
    <w:p w14:paraId="336D9874" w14:textId="77777777" w:rsidR="00AA44DD" w:rsidRDefault="00AA44DD" w:rsidP="005E6D85">
      <w:pPr>
        <w:spacing w:after="0" w:line="240" w:lineRule="auto"/>
        <w:contextualSpacing/>
        <w:jc w:val="both"/>
      </w:pPr>
    </w:p>
    <w:p w14:paraId="0E7E79AD" w14:textId="77777777" w:rsidR="00AA44DD" w:rsidRDefault="00AA44DD" w:rsidP="005E6D85">
      <w:pPr>
        <w:spacing w:after="0" w:line="240" w:lineRule="auto"/>
        <w:contextualSpacing/>
        <w:jc w:val="both"/>
      </w:pPr>
    </w:p>
    <w:p w14:paraId="250EAC07" w14:textId="77777777" w:rsidR="00AA44DD" w:rsidRDefault="00AA44DD" w:rsidP="005E6D85">
      <w:pPr>
        <w:spacing w:after="0" w:line="240" w:lineRule="auto"/>
        <w:contextualSpacing/>
        <w:jc w:val="both"/>
      </w:pPr>
    </w:p>
    <w:p w14:paraId="3EEA5BA4" w14:textId="77777777" w:rsidR="00B47A67" w:rsidRDefault="00B47A67" w:rsidP="00B47A67">
      <w:pPr>
        <w:pStyle w:val="Descripcin"/>
      </w:pPr>
      <w:bookmarkStart w:id="40" w:name="_Ref136604571"/>
      <w:r>
        <w:t xml:space="preserve">Cuadro </w:t>
      </w:r>
      <w:bookmarkEnd w:id="40"/>
      <w:r w:rsidR="009F0950">
        <w:t>5</w:t>
      </w:r>
      <w:r>
        <w:t>: Códigos para las generaciones</w:t>
      </w:r>
    </w:p>
    <w:p w14:paraId="3FCA66EA" w14:textId="77777777" w:rsidR="00CA7433" w:rsidRPr="00CA7433" w:rsidRDefault="00CA7433" w:rsidP="00CA7433"/>
    <w:tbl>
      <w:tblPr>
        <w:tblStyle w:val="Tablaconcuadrcula4-nfasis1"/>
        <w:tblW w:w="0" w:type="auto"/>
        <w:tblLook w:val="04A0" w:firstRow="1" w:lastRow="0" w:firstColumn="1" w:lastColumn="0" w:noHBand="0" w:noVBand="1"/>
      </w:tblPr>
      <w:tblGrid>
        <w:gridCol w:w="1555"/>
        <w:gridCol w:w="6662"/>
      </w:tblGrid>
      <w:tr w:rsidR="00B47A67" w14:paraId="23F85780" w14:textId="77777777" w:rsidTr="004E2E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2DAEBA9" w14:textId="77777777" w:rsidR="00B47A67" w:rsidRDefault="00B47A67" w:rsidP="004E2EB3">
            <w:pPr>
              <w:contextualSpacing/>
              <w:jc w:val="both"/>
            </w:pPr>
            <w:r>
              <w:t>Código</w:t>
            </w:r>
          </w:p>
        </w:tc>
        <w:tc>
          <w:tcPr>
            <w:tcW w:w="6662" w:type="dxa"/>
          </w:tcPr>
          <w:p w14:paraId="338F8544" w14:textId="77777777" w:rsidR="00B47A67" w:rsidRDefault="00B47A67" w:rsidP="004E2EB3">
            <w:pPr>
              <w:contextualSpacing/>
              <w:jc w:val="both"/>
              <w:cnfStyle w:val="100000000000" w:firstRow="1" w:lastRow="0" w:firstColumn="0" w:lastColumn="0" w:oddVBand="0" w:evenVBand="0" w:oddHBand="0" w:evenHBand="0" w:firstRowFirstColumn="0" w:firstRowLastColumn="0" w:lastRowFirstColumn="0" w:lastRowLastColumn="0"/>
            </w:pPr>
            <w:r>
              <w:t>Generación</w:t>
            </w:r>
          </w:p>
        </w:tc>
      </w:tr>
      <w:tr w:rsidR="00B47A67" w14:paraId="5703B25D" w14:textId="77777777" w:rsidTr="004E2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9417C28" w14:textId="77777777" w:rsidR="00B47A67" w:rsidRPr="00770504" w:rsidRDefault="00B47A67" w:rsidP="004E2EB3">
            <w:pPr>
              <w:contextualSpacing/>
              <w:jc w:val="both"/>
              <w:rPr>
                <w:b w:val="0"/>
                <w:bCs w:val="0"/>
              </w:rPr>
            </w:pPr>
            <w:r w:rsidRPr="00770504">
              <w:rPr>
                <w:b w:val="0"/>
                <w:bCs w:val="0"/>
              </w:rPr>
              <w:t>07</w:t>
            </w:r>
            <w:r w:rsidR="004E388D">
              <w:rPr>
                <w:b w:val="0"/>
                <w:bCs w:val="0"/>
              </w:rPr>
              <w:t>A</w:t>
            </w:r>
          </w:p>
        </w:tc>
        <w:tc>
          <w:tcPr>
            <w:tcW w:w="6662" w:type="dxa"/>
          </w:tcPr>
          <w:p w14:paraId="3044B5EB" w14:textId="77777777" w:rsidR="00B47A67" w:rsidRDefault="00B47A67" w:rsidP="004E2EB3">
            <w:pPr>
              <w:contextualSpacing/>
              <w:jc w:val="both"/>
              <w:cnfStyle w:val="000000100000" w:firstRow="0" w:lastRow="0" w:firstColumn="0" w:lastColumn="0" w:oddVBand="0" w:evenVBand="0" w:oddHBand="1" w:evenHBand="0" w:firstRowFirstColumn="0" w:firstRowLastColumn="0" w:lastRowFirstColumn="0" w:lastRowLastColumn="0"/>
            </w:pPr>
            <w:r>
              <w:t>Nacidos antes del 1 de enero de 1970</w:t>
            </w:r>
          </w:p>
        </w:tc>
      </w:tr>
      <w:tr w:rsidR="00B47A67" w14:paraId="564B607A" w14:textId="77777777" w:rsidTr="004E2EB3">
        <w:tc>
          <w:tcPr>
            <w:cnfStyle w:val="001000000000" w:firstRow="0" w:lastRow="0" w:firstColumn="1" w:lastColumn="0" w:oddVBand="0" w:evenVBand="0" w:oddHBand="0" w:evenHBand="0" w:firstRowFirstColumn="0" w:firstRowLastColumn="0" w:lastRowFirstColumn="0" w:lastRowLastColumn="0"/>
            <w:tcW w:w="1555" w:type="dxa"/>
          </w:tcPr>
          <w:p w14:paraId="43DE8A41" w14:textId="77777777" w:rsidR="00B47A67" w:rsidRPr="00770504" w:rsidRDefault="00B47A67" w:rsidP="004E2EB3">
            <w:pPr>
              <w:contextualSpacing/>
              <w:jc w:val="both"/>
              <w:rPr>
                <w:b w:val="0"/>
                <w:bCs w:val="0"/>
              </w:rPr>
            </w:pPr>
            <w:r w:rsidRPr="00770504">
              <w:rPr>
                <w:b w:val="0"/>
                <w:bCs w:val="0"/>
              </w:rPr>
              <w:t>07B</w:t>
            </w:r>
          </w:p>
        </w:tc>
        <w:tc>
          <w:tcPr>
            <w:tcW w:w="6662" w:type="dxa"/>
          </w:tcPr>
          <w:p w14:paraId="4B6AABBD" w14:textId="77777777" w:rsidR="00B47A67" w:rsidRDefault="00B47A67" w:rsidP="004E2EB3">
            <w:pPr>
              <w:contextualSpacing/>
              <w:jc w:val="both"/>
              <w:cnfStyle w:val="000000000000" w:firstRow="0" w:lastRow="0" w:firstColumn="0" w:lastColumn="0" w:oddVBand="0" w:evenVBand="0" w:oddHBand="0" w:evenHBand="0" w:firstRowFirstColumn="0" w:firstRowLastColumn="0" w:lastRowFirstColumn="0" w:lastRowLastColumn="0"/>
            </w:pPr>
            <w:r>
              <w:t>Nacidos entre el 1 de enero de 1970</w:t>
            </w:r>
            <w:r w:rsidR="006D7F71">
              <w:t xml:space="preserve"> </w:t>
            </w:r>
            <w:r>
              <w:t>y el 31 de diciembre de 1979</w:t>
            </w:r>
          </w:p>
        </w:tc>
      </w:tr>
      <w:tr w:rsidR="00B47A67" w14:paraId="2E996DE0" w14:textId="77777777" w:rsidTr="004E2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4C11AF6" w14:textId="77777777" w:rsidR="00B47A67" w:rsidRPr="00770504" w:rsidRDefault="00B47A67" w:rsidP="004E2EB3">
            <w:pPr>
              <w:contextualSpacing/>
              <w:jc w:val="both"/>
              <w:rPr>
                <w:b w:val="0"/>
                <w:bCs w:val="0"/>
              </w:rPr>
            </w:pPr>
            <w:r w:rsidRPr="00770504">
              <w:rPr>
                <w:b w:val="0"/>
                <w:bCs w:val="0"/>
              </w:rPr>
              <w:t>07C</w:t>
            </w:r>
          </w:p>
        </w:tc>
        <w:tc>
          <w:tcPr>
            <w:tcW w:w="6662" w:type="dxa"/>
          </w:tcPr>
          <w:p w14:paraId="1F3425C3" w14:textId="77777777" w:rsidR="00B47A67" w:rsidRDefault="00B47A67" w:rsidP="004E2EB3">
            <w:pPr>
              <w:contextualSpacing/>
              <w:jc w:val="both"/>
              <w:cnfStyle w:val="000000100000" w:firstRow="0" w:lastRow="0" w:firstColumn="0" w:lastColumn="0" w:oddVBand="0" w:evenVBand="0" w:oddHBand="1" w:evenHBand="0" w:firstRowFirstColumn="0" w:firstRowLastColumn="0" w:lastRowFirstColumn="0" w:lastRowLastColumn="0"/>
            </w:pPr>
            <w:r>
              <w:t>Nacidos entre el 1 de enero de 1980</w:t>
            </w:r>
            <w:r w:rsidR="00990C48" w:rsidRPr="006D7F71">
              <w:rPr>
                <w:color w:val="FF0000"/>
              </w:rPr>
              <w:t xml:space="preserve"> </w:t>
            </w:r>
            <w:r>
              <w:t>y el 31 de diciembre de 1989</w:t>
            </w:r>
            <w:r w:rsidR="00990C48">
              <w:t xml:space="preserve"> </w:t>
            </w:r>
          </w:p>
        </w:tc>
      </w:tr>
      <w:tr w:rsidR="00B47A67" w14:paraId="1EB792FF" w14:textId="77777777" w:rsidTr="004E2EB3">
        <w:tc>
          <w:tcPr>
            <w:cnfStyle w:val="001000000000" w:firstRow="0" w:lastRow="0" w:firstColumn="1" w:lastColumn="0" w:oddVBand="0" w:evenVBand="0" w:oddHBand="0" w:evenHBand="0" w:firstRowFirstColumn="0" w:firstRowLastColumn="0" w:lastRowFirstColumn="0" w:lastRowLastColumn="0"/>
            <w:tcW w:w="1555" w:type="dxa"/>
          </w:tcPr>
          <w:p w14:paraId="4F190184" w14:textId="77777777" w:rsidR="00B47A67" w:rsidRPr="00770504" w:rsidRDefault="00B47A67" w:rsidP="004E2EB3">
            <w:pPr>
              <w:contextualSpacing/>
              <w:jc w:val="both"/>
              <w:rPr>
                <w:b w:val="0"/>
                <w:bCs w:val="0"/>
              </w:rPr>
            </w:pPr>
            <w:r w:rsidRPr="00770504">
              <w:rPr>
                <w:b w:val="0"/>
                <w:bCs w:val="0"/>
              </w:rPr>
              <w:t>07D</w:t>
            </w:r>
          </w:p>
        </w:tc>
        <w:tc>
          <w:tcPr>
            <w:tcW w:w="6662" w:type="dxa"/>
          </w:tcPr>
          <w:p w14:paraId="0D5C0850" w14:textId="77777777" w:rsidR="00B47A67" w:rsidRDefault="00B47A67" w:rsidP="004E2EB3">
            <w:pPr>
              <w:contextualSpacing/>
              <w:jc w:val="both"/>
              <w:cnfStyle w:val="000000000000" w:firstRow="0" w:lastRow="0" w:firstColumn="0" w:lastColumn="0" w:oddVBand="0" w:evenVBand="0" w:oddHBand="0" w:evenHBand="0" w:firstRowFirstColumn="0" w:firstRowLastColumn="0" w:lastRowFirstColumn="0" w:lastRowLastColumn="0"/>
            </w:pPr>
            <w:r>
              <w:t>Nacidos el 1 de enero de 1990</w:t>
            </w:r>
            <w:r w:rsidR="00136164" w:rsidRPr="006D7F71">
              <w:rPr>
                <w:color w:val="FF0000"/>
              </w:rPr>
              <w:t xml:space="preserve"> </w:t>
            </w:r>
            <w:r>
              <w:t>o posterior</w:t>
            </w:r>
          </w:p>
        </w:tc>
      </w:tr>
    </w:tbl>
    <w:p w14:paraId="038F0161" w14:textId="77777777" w:rsidR="00B47A67" w:rsidRPr="00CA7433" w:rsidRDefault="00B47A67" w:rsidP="00B47A67">
      <w:pPr>
        <w:spacing w:after="0" w:line="240" w:lineRule="auto"/>
        <w:contextualSpacing/>
        <w:jc w:val="both"/>
        <w:rPr>
          <w:sz w:val="18"/>
          <w:szCs w:val="18"/>
        </w:rPr>
      </w:pPr>
      <w:r w:rsidRPr="00CA7433">
        <w:rPr>
          <w:sz w:val="18"/>
          <w:szCs w:val="18"/>
        </w:rPr>
        <w:t>Fuente: SUPEN</w:t>
      </w:r>
    </w:p>
    <w:p w14:paraId="20349752" w14:textId="77777777" w:rsidR="00B47A67" w:rsidRDefault="00B47A67" w:rsidP="00B47A67">
      <w:pPr>
        <w:spacing w:after="0" w:line="240" w:lineRule="auto"/>
        <w:contextualSpacing/>
        <w:jc w:val="both"/>
      </w:pPr>
    </w:p>
    <w:p w14:paraId="1C9DD74B" w14:textId="77777777" w:rsidR="00CC2729" w:rsidRDefault="00CC2729" w:rsidP="00B47A67">
      <w:pPr>
        <w:spacing w:after="0" w:line="240" w:lineRule="auto"/>
        <w:contextualSpacing/>
        <w:jc w:val="both"/>
      </w:pPr>
    </w:p>
    <w:p w14:paraId="6E591C0E" w14:textId="77777777" w:rsidR="00B47A67" w:rsidRDefault="00B47A67" w:rsidP="00B47A67">
      <w:pPr>
        <w:pStyle w:val="Ttulo2"/>
      </w:pPr>
      <w:bookmarkStart w:id="41" w:name="_Toc144396540"/>
      <w:r>
        <w:t>4.5. Manejo de la liquidez</w:t>
      </w:r>
      <w:bookmarkEnd w:id="41"/>
    </w:p>
    <w:p w14:paraId="6B962DAF" w14:textId="77777777" w:rsidR="00B47A67" w:rsidRDefault="00B47A67" w:rsidP="00B47A67">
      <w:pPr>
        <w:spacing w:after="0" w:line="240" w:lineRule="auto"/>
        <w:contextualSpacing/>
        <w:jc w:val="both"/>
      </w:pPr>
    </w:p>
    <w:p w14:paraId="7B63824A" w14:textId="77777777" w:rsidR="005E6D85" w:rsidRDefault="005E6D85" w:rsidP="005E6D85">
      <w:pPr>
        <w:spacing w:after="0" w:line="240" w:lineRule="auto"/>
        <w:contextualSpacing/>
        <w:jc w:val="both"/>
      </w:pPr>
      <w:r>
        <w:t>En el esquema de un único ROP, los gestores de pensiones pueden utilizar las nuevas aportaciones para el pago de las prestaciones y la libre transferencia. En el modelo propuesto, las generaciones no pueden tener un uso compartido de las aportaciones y el efectivo, sino que cada uno de los fondos deberá realizar su planificación de la liquidez y de calce de plazos, es decir, una gestión de los recursos especializada en beneficio de los afiliados y pensionados.</w:t>
      </w:r>
    </w:p>
    <w:p w14:paraId="338A4A7E" w14:textId="77777777" w:rsidR="00B47A67" w:rsidRDefault="00B47A67" w:rsidP="00B47A67">
      <w:pPr>
        <w:spacing w:after="0" w:line="240" w:lineRule="auto"/>
        <w:contextualSpacing/>
        <w:jc w:val="both"/>
      </w:pPr>
    </w:p>
    <w:p w14:paraId="5B58961E" w14:textId="77777777" w:rsidR="00B47A67" w:rsidRDefault="00B47A67" w:rsidP="00B47A67">
      <w:pPr>
        <w:spacing w:after="0" w:line="240" w:lineRule="auto"/>
        <w:contextualSpacing/>
        <w:jc w:val="both"/>
      </w:pPr>
      <w:r w:rsidRPr="00C71F38">
        <w:t>La liquidez de los fondos generacionales estará sujeta a las siguientes disposiciones:</w:t>
      </w:r>
    </w:p>
    <w:p w14:paraId="7083EEA3" w14:textId="77777777" w:rsidR="0087509D" w:rsidRPr="00C71F38" w:rsidRDefault="0087509D" w:rsidP="00B47A67">
      <w:pPr>
        <w:spacing w:after="0" w:line="240" w:lineRule="auto"/>
        <w:contextualSpacing/>
        <w:jc w:val="both"/>
      </w:pPr>
    </w:p>
    <w:p w14:paraId="1066D915" w14:textId="77777777" w:rsidR="00B47A67" w:rsidRPr="00C71F38" w:rsidRDefault="00B47A67" w:rsidP="0087509D">
      <w:pPr>
        <w:pStyle w:val="Prrafodelista"/>
        <w:numPr>
          <w:ilvl w:val="0"/>
          <w:numId w:val="25"/>
        </w:numPr>
        <w:spacing w:after="0" w:line="240" w:lineRule="auto"/>
        <w:jc w:val="both"/>
      </w:pPr>
      <w:r w:rsidRPr="00C71F38">
        <w:t xml:space="preserve">No se permite el </w:t>
      </w:r>
      <w:r w:rsidR="00A552E3">
        <w:t>traslado</w:t>
      </w:r>
      <w:r w:rsidRPr="00C71F38">
        <w:t xml:space="preserve"> de liquidez entre fondos generacionales.</w:t>
      </w:r>
    </w:p>
    <w:p w14:paraId="54A2A377" w14:textId="77777777" w:rsidR="00B47A67" w:rsidRPr="00C71F38" w:rsidRDefault="005E6D85" w:rsidP="0087509D">
      <w:pPr>
        <w:pStyle w:val="Prrafodelista"/>
        <w:numPr>
          <w:ilvl w:val="0"/>
          <w:numId w:val="25"/>
        </w:numPr>
        <w:spacing w:after="0" w:line="240" w:lineRule="auto"/>
        <w:jc w:val="both"/>
      </w:pPr>
      <w:r w:rsidRPr="00C71F38">
        <w:t xml:space="preserve">La recaudación </w:t>
      </w:r>
      <w:r w:rsidRPr="00972180">
        <w:t>patronal que acredita el SICERE semanalmente será registrada temporalmente (plazo menor a un día</w:t>
      </w:r>
      <w:r>
        <w:t xml:space="preserve"> hábil</w:t>
      </w:r>
      <w:r w:rsidRPr="00972180">
        <w:t>)</w:t>
      </w:r>
      <w:r w:rsidR="00B47A67" w:rsidRPr="00C71F38">
        <w:t xml:space="preserve"> en la cuenta bancaria de </w:t>
      </w:r>
      <w:r w:rsidR="004551B3">
        <w:t>uno</w:t>
      </w:r>
      <w:r w:rsidR="00B47A67" w:rsidRPr="00C71F38">
        <w:t xml:space="preserve"> de los fondos generacionales para que posteriormente sean redistribuidos hacia el fondo generacional del trabajador. La Superintendencia, mediante acuerdo, definirá el fondo al que se acreditar</w:t>
      </w:r>
      <w:r w:rsidR="00CA4DEE">
        <w:t>á</w:t>
      </w:r>
      <w:r w:rsidR="00B47A67" w:rsidRPr="00C71F38">
        <w:t>n los recursos</w:t>
      </w:r>
      <w:r w:rsidR="000E2B3A">
        <w:t xml:space="preserve"> y el plazo </w:t>
      </w:r>
      <w:r w:rsidR="00855C66">
        <w:t>para su distribución.</w:t>
      </w:r>
    </w:p>
    <w:p w14:paraId="7E65E5D7" w14:textId="77777777" w:rsidR="00B47A67" w:rsidRPr="004551B3" w:rsidRDefault="00B47A67" w:rsidP="0087509D">
      <w:pPr>
        <w:pStyle w:val="Prrafodelista"/>
        <w:numPr>
          <w:ilvl w:val="0"/>
          <w:numId w:val="25"/>
        </w:numPr>
        <w:spacing w:after="0" w:line="240" w:lineRule="auto"/>
        <w:jc w:val="both"/>
      </w:pPr>
      <w:r w:rsidRPr="004551B3">
        <w:t>Todos los fondos generacionales deben estar inscritos ante el B</w:t>
      </w:r>
      <w:r w:rsidR="007E2638" w:rsidRPr="004551B3">
        <w:t>anco Central de Costa Rica</w:t>
      </w:r>
      <w:r w:rsidRPr="004551B3">
        <w:t xml:space="preserve"> a fin de participar en l</w:t>
      </w:r>
      <w:r w:rsidR="005C5D56" w:rsidRPr="004551B3">
        <w:t xml:space="preserve">as transacciones que se requieran en </w:t>
      </w:r>
      <w:r w:rsidRPr="004551B3">
        <w:t>el Sistema Nacional de Pagos</w:t>
      </w:r>
      <w:r w:rsidR="004F217E">
        <w:t xml:space="preserve"> o en otros mercados</w:t>
      </w:r>
      <w:r w:rsidRPr="004551B3">
        <w:t>.</w:t>
      </w:r>
    </w:p>
    <w:p w14:paraId="262F729A" w14:textId="77777777" w:rsidR="00B47A67" w:rsidRPr="004551B3" w:rsidRDefault="00B47A67" w:rsidP="0087509D">
      <w:pPr>
        <w:pStyle w:val="Prrafodelista"/>
        <w:numPr>
          <w:ilvl w:val="0"/>
          <w:numId w:val="25"/>
        </w:numPr>
        <w:spacing w:after="0" w:line="240" w:lineRule="auto"/>
        <w:jc w:val="both"/>
      </w:pPr>
      <w:r w:rsidRPr="004551B3">
        <w:t>Para la libre transferencia, los fondos generacionales deberán trasladar la liquidez hacia una única cuenta liquidadora, a efecto de mantener los procedimientos de traslado, tal y como se realiza actualmente</w:t>
      </w:r>
      <w:r w:rsidR="00A373CA" w:rsidRPr="004551B3">
        <w:t xml:space="preserve"> </w:t>
      </w:r>
      <w:r w:rsidR="00396A43" w:rsidRPr="004551B3">
        <w:t>(</w:t>
      </w:r>
      <w:r w:rsidR="007F5DD8" w:rsidRPr="004551B3">
        <w:t>ver SP-A-13</w:t>
      </w:r>
      <w:r w:rsidR="00142F21" w:rsidRPr="004551B3">
        <w:t>7-20</w:t>
      </w:r>
      <w:r w:rsidR="007A5BF8" w:rsidRPr="004551B3">
        <w:t>10)</w:t>
      </w:r>
      <w:r w:rsidRPr="004551B3">
        <w:t>.</w:t>
      </w:r>
    </w:p>
    <w:p w14:paraId="054C3D6A" w14:textId="77777777" w:rsidR="00B47A67" w:rsidRDefault="00B47A67" w:rsidP="00B47A67">
      <w:pPr>
        <w:spacing w:after="0" w:line="240" w:lineRule="auto"/>
        <w:contextualSpacing/>
        <w:jc w:val="both"/>
      </w:pPr>
    </w:p>
    <w:p w14:paraId="58DCB936" w14:textId="77777777" w:rsidR="006C4684" w:rsidRPr="006C4684" w:rsidRDefault="006C4684" w:rsidP="006C4684">
      <w:pPr>
        <w:pStyle w:val="Ttulo2"/>
      </w:pPr>
      <w:bookmarkStart w:id="42" w:name="_Toc144396541"/>
      <w:r w:rsidRPr="006C4684">
        <w:t>4.6. Implementación progresiva</w:t>
      </w:r>
      <w:bookmarkEnd w:id="42"/>
    </w:p>
    <w:p w14:paraId="26BA452E" w14:textId="77777777" w:rsidR="006C4684" w:rsidRDefault="006C4684" w:rsidP="006C4684">
      <w:pPr>
        <w:spacing w:after="0" w:line="240" w:lineRule="auto"/>
        <w:contextualSpacing/>
        <w:jc w:val="both"/>
      </w:pPr>
    </w:p>
    <w:p w14:paraId="52FCB327" w14:textId="77777777" w:rsidR="00B24E70" w:rsidRPr="004551B3" w:rsidRDefault="00B24E70" w:rsidP="00B24E70">
      <w:pPr>
        <w:spacing w:after="0" w:line="240" w:lineRule="auto"/>
        <w:contextualSpacing/>
        <w:jc w:val="both"/>
      </w:pPr>
      <w:r w:rsidRPr="004551B3">
        <w:t>La propuesta técnica busca el uso de los instrumentos ya disponibles en los portafolios y no forzar la venta de instrumentos, a efecto de sustituirlos. Para implementar los fondos generacionales, primero</w:t>
      </w:r>
      <w:r w:rsidR="00CE4CF5">
        <w:t>,</w:t>
      </w:r>
      <w:r w:rsidRPr="004551B3">
        <w:t xml:space="preserve"> debe consolidarse la normativa y reglas operativas de este modelo de administración de recursos. De ahí que sea necesario otorgar a los administradores de fondos de pensiones </w:t>
      </w:r>
      <w:r w:rsidR="000C542D" w:rsidRPr="004551B3">
        <w:t>un período transitorio</w:t>
      </w:r>
      <w:r w:rsidRPr="004551B3">
        <w:t xml:space="preserve"> para el inicio de operación con las nuevas reglas, específicamente se propone </w:t>
      </w:r>
      <w:r w:rsidR="004551B3" w:rsidRPr="004551B3">
        <w:t>el 01 de octubre</w:t>
      </w:r>
      <w:r w:rsidRPr="004551B3">
        <w:t xml:space="preserve"> de 2024. Este espacio se considera suficiente para la adecuación de los procesos internos, así como la selección de instrumentos, desde ahora hasta dicha fecha, para la entrega en vigor de</w:t>
      </w:r>
      <w:r w:rsidR="004551B3" w:rsidRPr="004551B3">
        <w:t xml:space="preserve"> la iniciativa</w:t>
      </w:r>
      <w:r w:rsidRPr="004551B3">
        <w:t>, además</w:t>
      </w:r>
      <w:r w:rsidR="00541CAE" w:rsidRPr="004551B3">
        <w:t>,</w:t>
      </w:r>
      <w:r w:rsidRPr="004551B3">
        <w:t xml:space="preserve"> de los necesarios esfuerzos de preparación y comunicación, interna y externa a las entidades financieras.</w:t>
      </w:r>
    </w:p>
    <w:p w14:paraId="4371B6E9" w14:textId="77777777" w:rsidR="006C4684" w:rsidRDefault="006C4684" w:rsidP="006C4684">
      <w:pPr>
        <w:spacing w:after="0" w:line="240" w:lineRule="auto"/>
        <w:contextualSpacing/>
        <w:jc w:val="both"/>
      </w:pPr>
    </w:p>
    <w:p w14:paraId="7C82D704" w14:textId="77777777" w:rsidR="00172C71" w:rsidRDefault="00172C71" w:rsidP="006C4684">
      <w:pPr>
        <w:spacing w:after="0" w:line="240" w:lineRule="auto"/>
        <w:contextualSpacing/>
        <w:jc w:val="both"/>
      </w:pPr>
    </w:p>
    <w:p w14:paraId="427FB481" w14:textId="77777777" w:rsidR="00B606A7" w:rsidRPr="00CC4D5B" w:rsidRDefault="00B606A7" w:rsidP="00B606A7">
      <w:pPr>
        <w:pStyle w:val="Ttulo2"/>
      </w:pPr>
      <w:bookmarkStart w:id="43" w:name="_Toc144396542"/>
      <w:r>
        <w:lastRenderedPageBreak/>
        <w:t xml:space="preserve">4.7. </w:t>
      </w:r>
      <w:r w:rsidRPr="00CC4D5B">
        <w:t>Trabajo de coordinación con el medio</w:t>
      </w:r>
      <w:bookmarkEnd w:id="43"/>
    </w:p>
    <w:p w14:paraId="383CA30A" w14:textId="77777777" w:rsidR="00B606A7" w:rsidRDefault="00B606A7" w:rsidP="00B606A7">
      <w:pPr>
        <w:tabs>
          <w:tab w:val="left" w:pos="921"/>
        </w:tabs>
        <w:spacing w:after="0" w:line="240" w:lineRule="auto"/>
        <w:jc w:val="both"/>
        <w:rPr>
          <w:rFonts w:eastAsiaTheme="minorEastAsia"/>
          <w:sz w:val="24"/>
          <w:szCs w:val="24"/>
        </w:rPr>
      </w:pPr>
    </w:p>
    <w:p w14:paraId="094778E0" w14:textId="77777777" w:rsidR="00D47862" w:rsidRPr="004551B3" w:rsidRDefault="00D47862" w:rsidP="00D47862">
      <w:pPr>
        <w:tabs>
          <w:tab w:val="left" w:pos="921"/>
        </w:tabs>
        <w:spacing w:after="0" w:line="240" w:lineRule="auto"/>
        <w:jc w:val="both"/>
      </w:pPr>
      <w:r w:rsidRPr="004551B3">
        <w:t xml:space="preserve">La SUPEN </w:t>
      </w:r>
      <w:r w:rsidR="004551B3" w:rsidRPr="004551B3">
        <w:t>ha realizado</w:t>
      </w:r>
      <w:r w:rsidRPr="004551B3">
        <w:t xml:space="preserve"> varias sesiones de trabajo con los gestores de pensiones para la explicación conceptual</w:t>
      </w:r>
      <w:r w:rsidR="004551B3" w:rsidRPr="004551B3">
        <w:t>, construcción de propuestas</w:t>
      </w:r>
      <w:r w:rsidRPr="004551B3">
        <w:t xml:space="preserve"> y aclaración de </w:t>
      </w:r>
      <w:r w:rsidR="004551B3" w:rsidRPr="004551B3">
        <w:t>consultas</w:t>
      </w:r>
      <w:r w:rsidRPr="004551B3">
        <w:t xml:space="preserve">. Varias propuestas de implementación fueron compartidas con los gestores, en procura de evaluar los tiempos y costos asociados, entre otros aspectos. La propuesta planteada ha tomado en cuenta </w:t>
      </w:r>
      <w:r w:rsidR="004551B3" w:rsidRPr="004551B3">
        <w:t>varias</w:t>
      </w:r>
      <w:r w:rsidR="002E4B9B" w:rsidRPr="004551B3">
        <w:t xml:space="preserve"> de </w:t>
      </w:r>
      <w:r w:rsidRPr="004551B3">
        <w:t xml:space="preserve">las sugerencias del </w:t>
      </w:r>
      <w:r w:rsidR="002E4B9B" w:rsidRPr="004551B3">
        <w:t>sector</w:t>
      </w:r>
      <w:r w:rsidRPr="004551B3">
        <w:t>, de previo a su remisión en consulta, de tal manera que se disponga de un contexto conocido</w:t>
      </w:r>
      <w:r w:rsidR="0008763C">
        <w:t xml:space="preserve">, en general, </w:t>
      </w:r>
      <w:r w:rsidRPr="004551B3">
        <w:t>al momento de evaluar la propuesta regulatoria</w:t>
      </w:r>
      <w:r w:rsidR="00112CB8">
        <w:t xml:space="preserve">. </w:t>
      </w:r>
    </w:p>
    <w:p w14:paraId="15F4CC5F" w14:textId="77777777" w:rsidR="00AA781B" w:rsidRDefault="00AA781B" w:rsidP="005E6D85">
      <w:pPr>
        <w:tabs>
          <w:tab w:val="left" w:pos="921"/>
        </w:tabs>
        <w:spacing w:after="0" w:line="240" w:lineRule="auto"/>
        <w:jc w:val="both"/>
      </w:pPr>
    </w:p>
    <w:p w14:paraId="6B510551" w14:textId="77777777" w:rsidR="00B47A67" w:rsidRDefault="00B47A67" w:rsidP="00B47A67">
      <w:pPr>
        <w:spacing w:after="0" w:line="240" w:lineRule="auto"/>
        <w:contextualSpacing/>
        <w:jc w:val="both"/>
      </w:pPr>
    </w:p>
    <w:p w14:paraId="1E45E618" w14:textId="77777777" w:rsidR="007F2E19" w:rsidRDefault="007F2E19" w:rsidP="007F2E19">
      <w:pPr>
        <w:pStyle w:val="Ttulo2"/>
      </w:pPr>
      <w:bookmarkStart w:id="44" w:name="_Toc144396543"/>
      <w:r>
        <w:t>4.8. Separación en la custodia</w:t>
      </w:r>
      <w:bookmarkEnd w:id="44"/>
    </w:p>
    <w:p w14:paraId="7A98EF52" w14:textId="77777777" w:rsidR="007F2E19" w:rsidRDefault="007F2E19" w:rsidP="007F2E19">
      <w:pPr>
        <w:spacing w:after="0" w:line="240" w:lineRule="auto"/>
        <w:contextualSpacing/>
        <w:rPr>
          <w:sz w:val="24"/>
          <w:szCs w:val="24"/>
        </w:rPr>
      </w:pPr>
    </w:p>
    <w:p w14:paraId="58221D5D" w14:textId="77777777" w:rsidR="007F2E19" w:rsidRDefault="007F2E19" w:rsidP="007F2E19">
      <w:pPr>
        <w:spacing w:after="0" w:line="240" w:lineRule="auto"/>
        <w:contextualSpacing/>
        <w:jc w:val="both"/>
      </w:pPr>
      <w:r>
        <w:t>La distribución inicial de los instrumentos para la creación de fondos generacionales implica un traslado no oneroso autorizado por la Superintendencia</w:t>
      </w:r>
      <w:r w:rsidR="005E6D85">
        <w:t xml:space="preserve"> (lo cual está contemplado en el marco normativo</w:t>
      </w:r>
      <w:r w:rsidR="004207DE">
        <w:t xml:space="preserve"> dictado para el manejo de las inversiones</w:t>
      </w:r>
      <w:r w:rsidR="000E667B">
        <w:rPr>
          <w:rStyle w:val="Refdenotaalpie"/>
        </w:rPr>
        <w:footnoteReference w:id="18"/>
      </w:r>
      <w:r w:rsidR="005E6D85">
        <w:t>). Se trata de un trámite expedito,</w:t>
      </w:r>
      <w:r>
        <w:t xml:space="preserve"> mediante el cual el supervisor autoriza que, a nivel de la custodia de valores, el gestor traslade del fondo actual del ROP la totalidad de los instrumentos a los nuevos fondos creados para cada generación, no mediando una compra y venta de instrumentos, únicamente un traslado.</w:t>
      </w:r>
    </w:p>
    <w:p w14:paraId="76E6E7C1" w14:textId="77777777" w:rsidR="007F2E19" w:rsidRDefault="007F2E19" w:rsidP="007F2E19">
      <w:pPr>
        <w:spacing w:after="0" w:line="240" w:lineRule="auto"/>
        <w:contextualSpacing/>
        <w:jc w:val="both"/>
      </w:pPr>
    </w:p>
    <w:p w14:paraId="1355CD94" w14:textId="77777777" w:rsidR="005E6D85" w:rsidRDefault="005E6D85" w:rsidP="005E6D85">
      <w:pPr>
        <w:spacing w:after="0" w:line="240" w:lineRule="auto"/>
        <w:contextualSpacing/>
        <w:jc w:val="both"/>
      </w:pPr>
      <w:r>
        <w:t xml:space="preserve">A nivel operativo se ha previsto que, dado que hay instrumentos que no son divisibles (por ejemplo, la deuda individual), </w:t>
      </w:r>
      <w:r w:rsidR="00812F87">
        <w:t xml:space="preserve">se disponga de un plazo de planificación de compras de instrumentos, mediante la cual se puedan seleccionar desde ya a cuál de los </w:t>
      </w:r>
      <w:r>
        <w:t>cuatro fondos</w:t>
      </w:r>
      <w:r w:rsidR="00812F87">
        <w:t xml:space="preserve"> serán asignados. Se dispone además de las </w:t>
      </w:r>
      <w:r>
        <w:t>disponibilidades</w:t>
      </w:r>
      <w:r w:rsidR="00812F87">
        <w:t xml:space="preserve">, dada su posibilidad de subdividirse, para asegurarse que la distribución </w:t>
      </w:r>
      <w:r w:rsidR="002D5CBD">
        <w:t xml:space="preserve">total </w:t>
      </w:r>
      <w:r w:rsidR="00812F87">
        <w:t>de los recursos no tenga inconveniente</w:t>
      </w:r>
      <w:r>
        <w:t>.</w:t>
      </w:r>
    </w:p>
    <w:p w14:paraId="5DBC60FC" w14:textId="77777777" w:rsidR="005E6D85" w:rsidRDefault="005E6D85" w:rsidP="005E6D85">
      <w:pPr>
        <w:spacing w:after="0" w:line="240" w:lineRule="auto"/>
        <w:contextualSpacing/>
        <w:jc w:val="both"/>
      </w:pPr>
    </w:p>
    <w:p w14:paraId="1EE1828F" w14:textId="77777777" w:rsidR="00B47A67" w:rsidRDefault="005E6D85" w:rsidP="004551B3">
      <w:pPr>
        <w:spacing w:after="0" w:line="240" w:lineRule="auto"/>
        <w:contextualSpacing/>
        <w:jc w:val="both"/>
      </w:pPr>
      <w:r>
        <w:t xml:space="preserve">Es importante indicar que, producto de la separación del ROP en varios fondos generacionales, ya no le será posible a las entidades supervisadas tomar los recursos de las nuevas aportaciones para la cancelación de los pagos regulares. En este caso, los aportes le corresponderán de manera íntegra a cada una de las generaciones, hecho que le requerirá a las entidades una mayor planificación </w:t>
      </w:r>
      <w:r w:rsidR="004551B3">
        <w:t xml:space="preserve">y profesionalización </w:t>
      </w:r>
      <w:r>
        <w:t>de calce de plazos y manejo de liquidez.</w:t>
      </w:r>
    </w:p>
    <w:p w14:paraId="4C5A67B6" w14:textId="77777777" w:rsidR="00B47A67" w:rsidRPr="00065DA0" w:rsidRDefault="00B47A67" w:rsidP="00B47A67">
      <w:pPr>
        <w:pStyle w:val="Ttulo1"/>
      </w:pPr>
      <w:bookmarkStart w:id="45" w:name="_Toc144396544"/>
      <w:r>
        <w:t xml:space="preserve">Capítulo 5: </w:t>
      </w:r>
      <w:bookmarkStart w:id="46" w:name="_Toc132962533"/>
      <w:r w:rsidRPr="00065DA0">
        <w:t>Inversiones por etapa de vida</w:t>
      </w:r>
      <w:bookmarkEnd w:id="45"/>
      <w:r w:rsidRPr="00065DA0">
        <w:t xml:space="preserve"> </w:t>
      </w:r>
      <w:bookmarkEnd w:id="36"/>
      <w:bookmarkEnd w:id="46"/>
    </w:p>
    <w:p w14:paraId="4349A10F" w14:textId="77777777" w:rsidR="00B47A67" w:rsidRPr="000B50E1" w:rsidRDefault="00B47A67" w:rsidP="00B47A67">
      <w:pPr>
        <w:spacing w:after="0" w:line="240" w:lineRule="auto"/>
        <w:contextualSpacing/>
      </w:pPr>
    </w:p>
    <w:p w14:paraId="7AB4A485" w14:textId="77777777" w:rsidR="00B47A67" w:rsidRPr="00ED1536" w:rsidRDefault="00B47A67" w:rsidP="00B47A67">
      <w:pPr>
        <w:spacing w:after="0" w:line="240" w:lineRule="auto"/>
        <w:contextualSpacing/>
        <w:jc w:val="both"/>
        <w:rPr>
          <w:rFonts w:eastAsiaTheme="minorEastAsia"/>
        </w:rPr>
      </w:pPr>
      <w:r w:rsidRPr="00ED1536">
        <w:rPr>
          <w:rFonts w:eastAsiaTheme="minorEastAsia"/>
        </w:rPr>
        <w:t>La regulación propuesta pretende dar a los gestores la posibilidad de analizar l</w:t>
      </w:r>
      <w:r w:rsidR="00E302C5" w:rsidRPr="00ED1536">
        <w:rPr>
          <w:rFonts w:eastAsiaTheme="minorEastAsia"/>
        </w:rPr>
        <w:t xml:space="preserve">as condiciones demográficas y laborales </w:t>
      </w:r>
      <w:r w:rsidRPr="00ED1536">
        <w:rPr>
          <w:rFonts w:eastAsiaTheme="minorEastAsia"/>
        </w:rPr>
        <w:t>de clientes que actualmente disponen</w:t>
      </w:r>
      <w:r w:rsidR="00A551F7" w:rsidRPr="00ED1536">
        <w:rPr>
          <w:rFonts w:eastAsiaTheme="minorEastAsia"/>
        </w:rPr>
        <w:t xml:space="preserve"> (edad, densidades de cotización, salarios</w:t>
      </w:r>
      <w:r w:rsidR="00090DD8" w:rsidRPr="00ED1536">
        <w:rPr>
          <w:rFonts w:eastAsiaTheme="minorEastAsia"/>
        </w:rPr>
        <w:t>, entre otros</w:t>
      </w:r>
      <w:r w:rsidR="00A551F7" w:rsidRPr="00ED1536">
        <w:rPr>
          <w:rFonts w:eastAsiaTheme="minorEastAsia"/>
        </w:rPr>
        <w:t>)</w:t>
      </w:r>
      <w:r w:rsidR="005E6D85" w:rsidRPr="00ED1536">
        <w:rPr>
          <w:rFonts w:eastAsiaTheme="minorEastAsia"/>
        </w:rPr>
        <w:t xml:space="preserve"> y,</w:t>
      </w:r>
      <w:r w:rsidRPr="00ED1536">
        <w:rPr>
          <w:rFonts w:eastAsiaTheme="minorEastAsia"/>
        </w:rPr>
        <w:t xml:space="preserve"> a partir de sus características</w:t>
      </w:r>
      <w:r w:rsidR="005E6D85" w:rsidRPr="00ED1536">
        <w:rPr>
          <w:rFonts w:eastAsiaTheme="minorEastAsia"/>
        </w:rPr>
        <w:t>,</w:t>
      </w:r>
      <w:r w:rsidRPr="00ED1536">
        <w:rPr>
          <w:rFonts w:eastAsiaTheme="minorEastAsia"/>
        </w:rPr>
        <w:t xml:space="preserve"> diseñar estrategias de inversión a la medida de cada </w:t>
      </w:r>
      <w:r w:rsidR="00577D28" w:rsidRPr="00ED1536">
        <w:rPr>
          <w:rFonts w:eastAsiaTheme="minorEastAsia"/>
        </w:rPr>
        <w:t>fondo generacional</w:t>
      </w:r>
      <w:r w:rsidRPr="00ED1536">
        <w:rPr>
          <w:rFonts w:eastAsiaTheme="minorEastAsia"/>
        </w:rPr>
        <w:t xml:space="preserve">.  </w:t>
      </w:r>
      <w:r w:rsidR="005E6D85" w:rsidRPr="00ED1536">
        <w:rPr>
          <w:rFonts w:eastAsiaTheme="minorEastAsia"/>
        </w:rPr>
        <w:t xml:space="preserve">No se busca </w:t>
      </w:r>
      <w:r w:rsidRPr="00ED1536">
        <w:rPr>
          <w:rFonts w:eastAsiaTheme="minorEastAsia"/>
        </w:rPr>
        <w:t>una estandarización en los productos</w:t>
      </w:r>
      <w:r w:rsidR="005E6D85" w:rsidRPr="00ED1536">
        <w:rPr>
          <w:rFonts w:eastAsiaTheme="minorEastAsia"/>
        </w:rPr>
        <w:t>,</w:t>
      </w:r>
      <w:r w:rsidRPr="00ED1536">
        <w:rPr>
          <w:rFonts w:eastAsiaTheme="minorEastAsia"/>
        </w:rPr>
        <w:t xml:space="preserve"> por el contrario, se pretende que cada gestor sea capaz de diseñar los portafolios que mejor respondan a las necesidades de sus clientes, en el marco de los fondos </w:t>
      </w:r>
      <w:r w:rsidR="006E18B9" w:rsidRPr="00ED1536">
        <w:rPr>
          <w:rFonts w:eastAsiaTheme="minorEastAsia"/>
        </w:rPr>
        <w:t>generacionales</w:t>
      </w:r>
      <w:r w:rsidRPr="00ED1536">
        <w:rPr>
          <w:rFonts w:eastAsiaTheme="minorEastAsia"/>
        </w:rPr>
        <w:t>.</w:t>
      </w:r>
    </w:p>
    <w:p w14:paraId="7F188DFB" w14:textId="77777777" w:rsidR="00B47A67" w:rsidRDefault="00B47A67" w:rsidP="00B47A67">
      <w:pPr>
        <w:spacing w:after="0" w:line="240" w:lineRule="auto"/>
        <w:contextualSpacing/>
        <w:jc w:val="both"/>
        <w:rPr>
          <w:rFonts w:eastAsiaTheme="minorEastAsia"/>
        </w:rPr>
      </w:pPr>
    </w:p>
    <w:p w14:paraId="6C0BC633" w14:textId="77777777" w:rsidR="00B47A67" w:rsidRDefault="00B47A67" w:rsidP="00B47A67">
      <w:pPr>
        <w:pStyle w:val="Ttulo2"/>
      </w:pPr>
      <w:bookmarkStart w:id="47" w:name="_Toc144396545"/>
      <w:r>
        <w:t>5.1. Tipos de activos permitidos</w:t>
      </w:r>
      <w:bookmarkEnd w:id="47"/>
    </w:p>
    <w:p w14:paraId="1ABF81A6" w14:textId="77777777" w:rsidR="00B47A67" w:rsidRDefault="00B47A67" w:rsidP="00B47A67">
      <w:pPr>
        <w:spacing w:after="0" w:line="240" w:lineRule="auto"/>
        <w:contextualSpacing/>
      </w:pPr>
    </w:p>
    <w:p w14:paraId="3FDD7F2B" w14:textId="77777777" w:rsidR="00B47A67" w:rsidRDefault="00B47A67" w:rsidP="00B47A67">
      <w:pPr>
        <w:spacing w:after="0" w:line="240" w:lineRule="auto"/>
        <w:contextualSpacing/>
        <w:jc w:val="both"/>
        <w:rPr>
          <w:rFonts w:eastAsiaTheme="minorEastAsia"/>
        </w:rPr>
      </w:pPr>
      <w:r w:rsidRPr="00CB07D4">
        <w:rPr>
          <w:rFonts w:eastAsiaTheme="minorEastAsia"/>
        </w:rPr>
        <w:t xml:space="preserve">A efecto de definir los límites de inversión a que debieran someterse los fondos de pensiones </w:t>
      </w:r>
      <w:r>
        <w:rPr>
          <w:rFonts w:eastAsiaTheme="minorEastAsia"/>
        </w:rPr>
        <w:t xml:space="preserve">y </w:t>
      </w:r>
      <w:r w:rsidRPr="00CB07D4">
        <w:rPr>
          <w:rFonts w:eastAsiaTheme="minorEastAsia"/>
        </w:rPr>
        <w:t xml:space="preserve">con el propósito de diferenciar la selección de instrumentos para las generaciones de afiliados en diferentes momentos en el tiempo, se han seleccionado </w:t>
      </w:r>
      <w:r w:rsidR="00801368">
        <w:rPr>
          <w:rFonts w:eastAsiaTheme="minorEastAsia"/>
        </w:rPr>
        <w:t xml:space="preserve">dos </w:t>
      </w:r>
      <w:r w:rsidRPr="00CB07D4">
        <w:rPr>
          <w:rFonts w:eastAsiaTheme="minorEastAsia"/>
        </w:rPr>
        <w:t>categorías de instrumentos</w:t>
      </w:r>
      <w:r w:rsidR="00BE46FF">
        <w:rPr>
          <w:rFonts w:eastAsiaTheme="minorEastAsia"/>
        </w:rPr>
        <w:t xml:space="preserve">, </w:t>
      </w:r>
      <w:r w:rsidR="00346A3F">
        <w:rPr>
          <w:rFonts w:eastAsiaTheme="minorEastAsia"/>
        </w:rPr>
        <w:t xml:space="preserve">los cuales </w:t>
      </w:r>
      <w:r w:rsidR="002D668D">
        <w:rPr>
          <w:rFonts w:eastAsiaTheme="minorEastAsia"/>
        </w:rPr>
        <w:t xml:space="preserve">han sido homologados a las categorías </w:t>
      </w:r>
      <w:r w:rsidR="00F13BCA">
        <w:rPr>
          <w:rFonts w:eastAsiaTheme="minorEastAsia"/>
        </w:rPr>
        <w:t>del actual Reglamento de Gesti</w:t>
      </w:r>
      <w:r w:rsidR="00AB7B48">
        <w:rPr>
          <w:rFonts w:eastAsiaTheme="minorEastAsia"/>
        </w:rPr>
        <w:t>ón de Activos</w:t>
      </w:r>
      <w:r w:rsidR="00DE52D0">
        <w:rPr>
          <w:rFonts w:eastAsiaTheme="minorEastAsia"/>
        </w:rPr>
        <w:t xml:space="preserve"> (</w:t>
      </w:r>
      <w:r w:rsidR="00554B34">
        <w:rPr>
          <w:rFonts w:eastAsiaTheme="minorEastAsia"/>
        </w:rPr>
        <w:t xml:space="preserve">ver </w:t>
      </w:r>
      <w:r w:rsidR="00554B34">
        <w:rPr>
          <w:rFonts w:eastAsiaTheme="minorEastAsia"/>
        </w:rPr>
        <w:fldChar w:fldCharType="begin"/>
      </w:r>
      <w:r w:rsidR="00554B34">
        <w:rPr>
          <w:rFonts w:eastAsiaTheme="minorEastAsia"/>
        </w:rPr>
        <w:instrText xml:space="preserve"> REF _Ref137192046 \h </w:instrText>
      </w:r>
      <w:r w:rsidR="00554B34">
        <w:rPr>
          <w:rFonts w:eastAsiaTheme="minorEastAsia"/>
        </w:rPr>
      </w:r>
      <w:r w:rsidR="00554B34">
        <w:rPr>
          <w:rFonts w:eastAsiaTheme="minorEastAsia"/>
        </w:rPr>
        <w:fldChar w:fldCharType="separate"/>
      </w:r>
      <w:r w:rsidR="00A637C2">
        <w:t>Cuadro</w:t>
      </w:r>
      <w:r w:rsidR="00554B34">
        <w:rPr>
          <w:rFonts w:eastAsiaTheme="minorEastAsia"/>
        </w:rPr>
        <w:fldChar w:fldCharType="end"/>
      </w:r>
      <w:r w:rsidR="00554B34">
        <w:rPr>
          <w:rFonts w:eastAsiaTheme="minorEastAsia"/>
        </w:rPr>
        <w:t>)</w:t>
      </w:r>
      <w:r>
        <w:rPr>
          <w:rFonts w:eastAsiaTheme="minorEastAsia"/>
        </w:rPr>
        <w:t>.</w:t>
      </w:r>
      <w:r w:rsidR="00762E2D">
        <w:rPr>
          <w:rFonts w:eastAsiaTheme="minorEastAsia"/>
        </w:rPr>
        <w:t xml:space="preserve"> Las categorías de instrumentos </w:t>
      </w:r>
      <w:r w:rsidR="00D717E0">
        <w:rPr>
          <w:rFonts w:eastAsiaTheme="minorEastAsia"/>
        </w:rPr>
        <w:t>a utilizar son:</w:t>
      </w:r>
    </w:p>
    <w:p w14:paraId="2F646180" w14:textId="77777777" w:rsidR="00B47A67" w:rsidRDefault="00B47A67" w:rsidP="00B47A67">
      <w:pPr>
        <w:spacing w:after="0" w:line="240" w:lineRule="auto"/>
        <w:contextualSpacing/>
        <w:jc w:val="both"/>
        <w:rPr>
          <w:rFonts w:eastAsiaTheme="minorEastAsia"/>
        </w:rPr>
      </w:pPr>
    </w:p>
    <w:p w14:paraId="38FD2CEA" w14:textId="77777777" w:rsidR="005E6D85" w:rsidRDefault="005E6D85" w:rsidP="005E6D85">
      <w:pPr>
        <w:spacing w:after="0" w:line="240" w:lineRule="auto"/>
        <w:contextualSpacing/>
        <w:jc w:val="both"/>
        <w:rPr>
          <w:rFonts w:eastAsiaTheme="minorEastAsia"/>
        </w:rPr>
      </w:pPr>
      <w:bookmarkStart w:id="48" w:name="_Hlk136268351"/>
      <w:r w:rsidRPr="007904DC">
        <w:rPr>
          <w:rFonts w:eastAsiaTheme="minorEastAsia"/>
          <w:b/>
          <w:bCs/>
        </w:rPr>
        <w:lastRenderedPageBreak/>
        <w:t>Títulos de deuda (D)</w:t>
      </w:r>
      <w:r w:rsidRPr="00CB07D4">
        <w:rPr>
          <w:rFonts w:eastAsiaTheme="minorEastAsia"/>
        </w:rPr>
        <w:t xml:space="preserve">: </w:t>
      </w:r>
      <w:r>
        <w:rPr>
          <w:rFonts w:eastAsiaTheme="minorEastAsia"/>
        </w:rPr>
        <w:t>i</w:t>
      </w:r>
      <w:r w:rsidRPr="00E06D36">
        <w:rPr>
          <w:rFonts w:eastAsiaTheme="minorEastAsia"/>
        </w:rPr>
        <w:t>nstrumentos financieros en los que su emisor está obligado al pago del principal de la inversión en un plazo y condiciones definidas, según lo establecido en las características de la emisión del valor.</w:t>
      </w:r>
    </w:p>
    <w:p w14:paraId="63B0D670" w14:textId="77777777" w:rsidR="005E6D85" w:rsidRPr="00CB07D4" w:rsidRDefault="005E6D85" w:rsidP="005E6D85">
      <w:pPr>
        <w:spacing w:after="0" w:line="240" w:lineRule="auto"/>
        <w:contextualSpacing/>
        <w:jc w:val="both"/>
        <w:rPr>
          <w:rFonts w:eastAsiaTheme="minorEastAsia"/>
        </w:rPr>
      </w:pPr>
    </w:p>
    <w:p w14:paraId="121F60D4" w14:textId="77777777" w:rsidR="00B47A67" w:rsidRDefault="00B47A67" w:rsidP="00B47A67">
      <w:pPr>
        <w:spacing w:after="0" w:line="240" w:lineRule="auto"/>
        <w:contextualSpacing/>
        <w:jc w:val="both"/>
        <w:rPr>
          <w:rFonts w:eastAsiaTheme="minorEastAsia"/>
        </w:rPr>
      </w:pPr>
      <w:r w:rsidRPr="007904DC">
        <w:rPr>
          <w:rFonts w:eastAsiaTheme="minorEastAsia"/>
          <w:b/>
          <w:bCs/>
        </w:rPr>
        <w:t>Títulos representativos de propiedad (TRP)</w:t>
      </w:r>
      <w:r w:rsidRPr="00CB07D4">
        <w:rPr>
          <w:rFonts w:eastAsiaTheme="minorEastAsia"/>
        </w:rPr>
        <w:t>: activos financieros que representan una porción de la propiedad del capital de</w:t>
      </w:r>
      <w:r>
        <w:rPr>
          <w:rFonts w:eastAsiaTheme="minorEastAsia"/>
        </w:rPr>
        <w:t>l emisor (</w:t>
      </w:r>
      <w:r w:rsidR="005E6D85">
        <w:rPr>
          <w:rFonts w:eastAsiaTheme="minorEastAsia"/>
        </w:rPr>
        <w:t>por ejemplo,</w:t>
      </w:r>
      <w:r>
        <w:rPr>
          <w:rFonts w:eastAsiaTheme="minorEastAsia"/>
        </w:rPr>
        <w:t xml:space="preserve"> acciones)</w:t>
      </w:r>
      <w:r w:rsidRPr="00CB07D4">
        <w:rPr>
          <w:rFonts w:eastAsiaTheme="minorEastAsia"/>
        </w:rPr>
        <w:t>,</w:t>
      </w:r>
      <w:r w:rsidR="001E7FAF">
        <w:rPr>
          <w:rFonts w:eastAsiaTheme="minorEastAsia"/>
        </w:rPr>
        <w:t xml:space="preserve"> del</w:t>
      </w:r>
      <w:r w:rsidRPr="00CB07D4">
        <w:rPr>
          <w:rFonts w:eastAsiaTheme="minorEastAsia"/>
        </w:rPr>
        <w:t xml:space="preserve"> fondo de inversión o </w:t>
      </w:r>
      <w:r w:rsidR="001E7FAF">
        <w:rPr>
          <w:rFonts w:eastAsiaTheme="minorEastAsia"/>
        </w:rPr>
        <w:t xml:space="preserve">del </w:t>
      </w:r>
      <w:r w:rsidRPr="00CB07D4">
        <w:rPr>
          <w:rFonts w:eastAsiaTheme="minorEastAsia"/>
        </w:rPr>
        <w:t xml:space="preserve">vehículo de propósito especial. </w:t>
      </w:r>
      <w:r w:rsidR="00BE26D6">
        <w:rPr>
          <w:rFonts w:eastAsiaTheme="minorEastAsia"/>
        </w:rPr>
        <w:t>La</w:t>
      </w:r>
      <w:r w:rsidRPr="00CB07D4">
        <w:rPr>
          <w:rFonts w:eastAsiaTheme="minorEastAsia"/>
        </w:rPr>
        <w:t xml:space="preserve"> rentabilidad se determina por el cambio en su valor, producto del desempeño económico obtenido. </w:t>
      </w:r>
    </w:p>
    <w:p w14:paraId="58D26C32" w14:textId="77777777" w:rsidR="00B47A67" w:rsidRPr="00CB07D4" w:rsidRDefault="00B47A67" w:rsidP="00B47A67">
      <w:pPr>
        <w:spacing w:after="0" w:line="240" w:lineRule="auto"/>
        <w:contextualSpacing/>
        <w:jc w:val="both"/>
        <w:rPr>
          <w:rFonts w:eastAsiaTheme="minorEastAsia"/>
        </w:rPr>
      </w:pPr>
    </w:p>
    <w:p w14:paraId="1B8DA96F" w14:textId="77777777" w:rsidR="00B47A67" w:rsidRDefault="00B47A67" w:rsidP="00B47A67">
      <w:pPr>
        <w:pStyle w:val="Descripcin"/>
      </w:pPr>
      <w:bookmarkStart w:id="49" w:name="_Ref137192046"/>
      <w:r>
        <w:t>Cuadro</w:t>
      </w:r>
      <w:bookmarkEnd w:id="49"/>
      <w:r w:rsidR="00ED1536">
        <w:t xml:space="preserve"> 6</w:t>
      </w:r>
      <w:r>
        <w:t xml:space="preserve">: Correspondencia de clases de activos a categorías en </w:t>
      </w:r>
      <w:r w:rsidR="00A03E84">
        <w:t>fondos generacionales</w:t>
      </w:r>
    </w:p>
    <w:bookmarkEnd w:id="48"/>
    <w:p w14:paraId="24A9D70D" w14:textId="77777777" w:rsidR="00C30813" w:rsidRPr="00C30813" w:rsidRDefault="00C30813" w:rsidP="00C30813"/>
    <w:tbl>
      <w:tblPr>
        <w:tblStyle w:val="Tablaconcuadrcula4-nfasis1"/>
        <w:tblW w:w="4957" w:type="dxa"/>
        <w:jc w:val="center"/>
        <w:tblLook w:val="04A0" w:firstRow="1" w:lastRow="0" w:firstColumn="1" w:lastColumn="0" w:noHBand="0" w:noVBand="1"/>
      </w:tblPr>
      <w:tblGrid>
        <w:gridCol w:w="3681"/>
        <w:gridCol w:w="1276"/>
      </w:tblGrid>
      <w:tr w:rsidR="00B47A67" w:rsidRPr="00696C5E" w14:paraId="15C7260D" w14:textId="77777777" w:rsidTr="00AF6EFB">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681" w:type="dxa"/>
            <w:noWrap/>
            <w:hideMark/>
          </w:tcPr>
          <w:p w14:paraId="22ABCB64" w14:textId="77777777" w:rsidR="00B47A67" w:rsidRPr="00696C5E" w:rsidRDefault="00B47A67" w:rsidP="004E2EB3">
            <w:pPr>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Clases de activos</w:t>
            </w:r>
          </w:p>
        </w:tc>
        <w:tc>
          <w:tcPr>
            <w:tcW w:w="1276" w:type="dxa"/>
            <w:noWrap/>
            <w:hideMark/>
          </w:tcPr>
          <w:p w14:paraId="33A6819D" w14:textId="77777777" w:rsidR="00B47A67" w:rsidRPr="00696C5E" w:rsidRDefault="00B47A67" w:rsidP="004E2EB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 xml:space="preserve">Categorías </w:t>
            </w:r>
          </w:p>
        </w:tc>
      </w:tr>
      <w:tr w:rsidR="00B47A67" w:rsidRPr="00696C5E" w14:paraId="523CD07F" w14:textId="77777777" w:rsidTr="00AF6EF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681" w:type="dxa"/>
            <w:noWrap/>
            <w:hideMark/>
          </w:tcPr>
          <w:p w14:paraId="140B752D" w14:textId="77777777" w:rsidR="00B47A67" w:rsidRPr="00696C5E" w:rsidRDefault="00B47A67" w:rsidP="004E2EB3">
            <w:pPr>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Acciones</w:t>
            </w:r>
          </w:p>
        </w:tc>
        <w:tc>
          <w:tcPr>
            <w:tcW w:w="1276" w:type="dxa"/>
            <w:noWrap/>
            <w:hideMark/>
          </w:tcPr>
          <w:p w14:paraId="169AF885" w14:textId="77777777" w:rsidR="00B47A67" w:rsidRPr="00696C5E" w:rsidRDefault="00B47A67" w:rsidP="004E2E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TRP</w:t>
            </w:r>
          </w:p>
        </w:tc>
      </w:tr>
      <w:tr w:rsidR="00B47A67" w:rsidRPr="00696C5E" w14:paraId="70276201" w14:textId="77777777" w:rsidTr="00AF6EFB">
        <w:trPr>
          <w:trHeight w:val="290"/>
          <w:jc w:val="center"/>
        </w:trPr>
        <w:tc>
          <w:tcPr>
            <w:cnfStyle w:val="001000000000" w:firstRow="0" w:lastRow="0" w:firstColumn="1" w:lastColumn="0" w:oddVBand="0" w:evenVBand="0" w:oddHBand="0" w:evenHBand="0" w:firstRowFirstColumn="0" w:firstRowLastColumn="0" w:lastRowFirstColumn="0" w:lastRowLastColumn="0"/>
            <w:tcW w:w="3681" w:type="dxa"/>
            <w:noWrap/>
            <w:hideMark/>
          </w:tcPr>
          <w:p w14:paraId="02176B3C" w14:textId="77777777" w:rsidR="00B47A67" w:rsidRPr="00696C5E" w:rsidRDefault="00B47A67" w:rsidP="004E2EB3">
            <w:pPr>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Deuda estandarizada nivel I</w:t>
            </w:r>
          </w:p>
        </w:tc>
        <w:tc>
          <w:tcPr>
            <w:tcW w:w="1276" w:type="dxa"/>
            <w:noWrap/>
            <w:hideMark/>
          </w:tcPr>
          <w:p w14:paraId="5779A121" w14:textId="77777777" w:rsidR="00B47A67" w:rsidRPr="00696C5E" w:rsidRDefault="00B47A67" w:rsidP="004E2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D</w:t>
            </w:r>
          </w:p>
        </w:tc>
      </w:tr>
      <w:tr w:rsidR="00B47A67" w:rsidRPr="00696C5E" w14:paraId="4130682D" w14:textId="77777777" w:rsidTr="00AF6EF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681" w:type="dxa"/>
            <w:noWrap/>
            <w:hideMark/>
          </w:tcPr>
          <w:p w14:paraId="31E7AA3D" w14:textId="77777777" w:rsidR="00B47A67" w:rsidRPr="00696C5E" w:rsidRDefault="00B47A67" w:rsidP="004E2EB3">
            <w:pPr>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Deuda estandarizada nivel II</w:t>
            </w:r>
          </w:p>
        </w:tc>
        <w:tc>
          <w:tcPr>
            <w:tcW w:w="1276" w:type="dxa"/>
            <w:noWrap/>
            <w:hideMark/>
          </w:tcPr>
          <w:p w14:paraId="1F7AB2F7" w14:textId="77777777" w:rsidR="00B47A67" w:rsidRPr="00696C5E" w:rsidRDefault="00B47A67" w:rsidP="004E2E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D</w:t>
            </w:r>
          </w:p>
        </w:tc>
      </w:tr>
      <w:tr w:rsidR="00B47A67" w:rsidRPr="00696C5E" w14:paraId="3578ACA5" w14:textId="77777777" w:rsidTr="00AF6EFB">
        <w:trPr>
          <w:trHeight w:val="290"/>
          <w:jc w:val="center"/>
        </w:trPr>
        <w:tc>
          <w:tcPr>
            <w:cnfStyle w:val="001000000000" w:firstRow="0" w:lastRow="0" w:firstColumn="1" w:lastColumn="0" w:oddVBand="0" w:evenVBand="0" w:oddHBand="0" w:evenHBand="0" w:firstRowFirstColumn="0" w:firstRowLastColumn="0" w:lastRowFirstColumn="0" w:lastRowLastColumn="0"/>
            <w:tcW w:w="3681" w:type="dxa"/>
            <w:noWrap/>
            <w:hideMark/>
          </w:tcPr>
          <w:p w14:paraId="791953E5" w14:textId="77777777" w:rsidR="00B47A67" w:rsidRPr="00696C5E" w:rsidRDefault="00B47A67" w:rsidP="004E2EB3">
            <w:pPr>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Deuda estandarizada nivel III</w:t>
            </w:r>
          </w:p>
        </w:tc>
        <w:tc>
          <w:tcPr>
            <w:tcW w:w="1276" w:type="dxa"/>
            <w:noWrap/>
            <w:hideMark/>
          </w:tcPr>
          <w:p w14:paraId="5BB47851" w14:textId="77777777" w:rsidR="00B47A67" w:rsidRPr="00696C5E" w:rsidRDefault="00B47A67" w:rsidP="004E2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D</w:t>
            </w:r>
          </w:p>
        </w:tc>
      </w:tr>
      <w:tr w:rsidR="00B47A67" w:rsidRPr="00696C5E" w14:paraId="52330544" w14:textId="77777777" w:rsidTr="00AF6EF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681" w:type="dxa"/>
            <w:noWrap/>
            <w:hideMark/>
          </w:tcPr>
          <w:p w14:paraId="7183FB06" w14:textId="77777777" w:rsidR="00B47A67" w:rsidRPr="00696C5E" w:rsidRDefault="00B47A67" w:rsidP="004E2EB3">
            <w:pPr>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Deuda individual</w:t>
            </w:r>
          </w:p>
        </w:tc>
        <w:tc>
          <w:tcPr>
            <w:tcW w:w="1276" w:type="dxa"/>
            <w:noWrap/>
            <w:hideMark/>
          </w:tcPr>
          <w:p w14:paraId="6F420126" w14:textId="77777777" w:rsidR="00B47A67" w:rsidRPr="00696C5E" w:rsidRDefault="00B47A67" w:rsidP="004E2E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D</w:t>
            </w:r>
          </w:p>
        </w:tc>
      </w:tr>
      <w:tr w:rsidR="00B47A67" w:rsidRPr="00696C5E" w14:paraId="0D11C62C" w14:textId="77777777" w:rsidTr="00AF6EFB">
        <w:trPr>
          <w:trHeight w:val="290"/>
          <w:jc w:val="center"/>
        </w:trPr>
        <w:tc>
          <w:tcPr>
            <w:cnfStyle w:val="001000000000" w:firstRow="0" w:lastRow="0" w:firstColumn="1" w:lastColumn="0" w:oddVBand="0" w:evenVBand="0" w:oddHBand="0" w:evenHBand="0" w:firstRowFirstColumn="0" w:firstRowLastColumn="0" w:lastRowFirstColumn="0" w:lastRowLastColumn="0"/>
            <w:tcW w:w="3681" w:type="dxa"/>
            <w:noWrap/>
            <w:hideMark/>
          </w:tcPr>
          <w:p w14:paraId="0A5DE24A" w14:textId="77777777" w:rsidR="00B47A67" w:rsidRPr="00696C5E" w:rsidRDefault="00B47A67" w:rsidP="004E2EB3">
            <w:pPr>
              <w:rPr>
                <w:rFonts w:ascii="Calibri" w:eastAsia="Times New Roman" w:hAnsi="Calibri" w:cs="Calibri"/>
                <w:color w:val="000000"/>
                <w:lang w:val="en-US" w:eastAsia="es-CR"/>
              </w:rPr>
            </w:pPr>
            <w:r w:rsidRPr="00696C5E">
              <w:rPr>
                <w:rFonts w:ascii="Calibri" w:eastAsia="Times New Roman" w:hAnsi="Calibri" w:cs="Calibri"/>
                <w:color w:val="000000"/>
                <w:lang w:val="en-US" w:eastAsia="es-CR"/>
              </w:rPr>
              <w:t xml:space="preserve">Exchange Traded Funds </w:t>
            </w:r>
            <w:proofErr w:type="spellStart"/>
            <w:r w:rsidRPr="00696C5E">
              <w:rPr>
                <w:rFonts w:ascii="Calibri" w:eastAsia="Times New Roman" w:hAnsi="Calibri" w:cs="Calibri"/>
                <w:color w:val="000000"/>
                <w:lang w:val="en-US" w:eastAsia="es-CR"/>
              </w:rPr>
              <w:t>nivel</w:t>
            </w:r>
            <w:proofErr w:type="spellEnd"/>
            <w:r w:rsidRPr="00696C5E">
              <w:rPr>
                <w:rFonts w:ascii="Calibri" w:eastAsia="Times New Roman" w:hAnsi="Calibri" w:cs="Calibri"/>
                <w:color w:val="000000"/>
                <w:lang w:val="en-US" w:eastAsia="es-CR"/>
              </w:rPr>
              <w:t xml:space="preserve"> I</w:t>
            </w:r>
          </w:p>
        </w:tc>
        <w:tc>
          <w:tcPr>
            <w:tcW w:w="1276" w:type="dxa"/>
            <w:noWrap/>
            <w:hideMark/>
          </w:tcPr>
          <w:p w14:paraId="4EBEE987" w14:textId="77777777" w:rsidR="00B47A67" w:rsidRPr="00696C5E" w:rsidRDefault="00B47A67" w:rsidP="004E2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TRP</w:t>
            </w:r>
          </w:p>
        </w:tc>
      </w:tr>
      <w:tr w:rsidR="00B47A67" w:rsidRPr="00696C5E" w14:paraId="5AE7CE57" w14:textId="77777777" w:rsidTr="00AF6EF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681" w:type="dxa"/>
            <w:noWrap/>
            <w:hideMark/>
          </w:tcPr>
          <w:p w14:paraId="7DEC4F8F" w14:textId="77777777" w:rsidR="00B47A67" w:rsidRPr="00696C5E" w:rsidRDefault="00B47A67" w:rsidP="004E2EB3">
            <w:pPr>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Participaciones de fondos nivel I</w:t>
            </w:r>
          </w:p>
        </w:tc>
        <w:tc>
          <w:tcPr>
            <w:tcW w:w="1276" w:type="dxa"/>
            <w:noWrap/>
            <w:hideMark/>
          </w:tcPr>
          <w:p w14:paraId="6DB52F63" w14:textId="77777777" w:rsidR="00B47A67" w:rsidRPr="00696C5E" w:rsidRDefault="00B47A67" w:rsidP="004E2E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TRP</w:t>
            </w:r>
          </w:p>
        </w:tc>
      </w:tr>
      <w:tr w:rsidR="00B47A67" w:rsidRPr="00696C5E" w14:paraId="4EDDA2BD" w14:textId="77777777" w:rsidTr="00AF6EFB">
        <w:trPr>
          <w:trHeight w:val="290"/>
          <w:jc w:val="center"/>
        </w:trPr>
        <w:tc>
          <w:tcPr>
            <w:cnfStyle w:val="001000000000" w:firstRow="0" w:lastRow="0" w:firstColumn="1" w:lastColumn="0" w:oddVBand="0" w:evenVBand="0" w:oddHBand="0" w:evenHBand="0" w:firstRowFirstColumn="0" w:firstRowLastColumn="0" w:lastRowFirstColumn="0" w:lastRowLastColumn="0"/>
            <w:tcW w:w="3681" w:type="dxa"/>
            <w:noWrap/>
            <w:hideMark/>
          </w:tcPr>
          <w:p w14:paraId="09E3D6AC" w14:textId="77777777" w:rsidR="00B47A67" w:rsidRPr="00696C5E" w:rsidRDefault="00B47A67" w:rsidP="004E2EB3">
            <w:pPr>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Participaciones de fondos nivel II</w:t>
            </w:r>
          </w:p>
        </w:tc>
        <w:tc>
          <w:tcPr>
            <w:tcW w:w="1276" w:type="dxa"/>
            <w:noWrap/>
            <w:hideMark/>
          </w:tcPr>
          <w:p w14:paraId="04AF29A7" w14:textId="77777777" w:rsidR="00B47A67" w:rsidRPr="00696C5E" w:rsidRDefault="00B47A67" w:rsidP="004E2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TRP</w:t>
            </w:r>
          </w:p>
        </w:tc>
      </w:tr>
      <w:tr w:rsidR="00B47A67" w:rsidRPr="00696C5E" w14:paraId="0AA4490F" w14:textId="77777777" w:rsidTr="00AF6EF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681" w:type="dxa"/>
            <w:noWrap/>
            <w:hideMark/>
          </w:tcPr>
          <w:p w14:paraId="27B919E8" w14:textId="77777777" w:rsidR="00B47A67" w:rsidRPr="00696C5E" w:rsidRDefault="00B47A67" w:rsidP="004E2EB3">
            <w:pPr>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Participaciones de fondos nivel III</w:t>
            </w:r>
          </w:p>
        </w:tc>
        <w:tc>
          <w:tcPr>
            <w:tcW w:w="1276" w:type="dxa"/>
            <w:noWrap/>
            <w:hideMark/>
          </w:tcPr>
          <w:p w14:paraId="0323ACAE" w14:textId="77777777" w:rsidR="00B47A67" w:rsidRPr="00696C5E" w:rsidRDefault="00B47A67" w:rsidP="004E2E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s-CR" w:eastAsia="es-CR"/>
              </w:rPr>
            </w:pPr>
            <w:r w:rsidRPr="00696C5E">
              <w:rPr>
                <w:rFonts w:ascii="Calibri" w:eastAsia="Times New Roman" w:hAnsi="Calibri" w:cs="Calibri"/>
                <w:color w:val="000000"/>
                <w:lang w:val="es-CR" w:eastAsia="es-CR"/>
              </w:rPr>
              <w:t>TRP</w:t>
            </w:r>
          </w:p>
        </w:tc>
      </w:tr>
    </w:tbl>
    <w:p w14:paraId="5B93809E" w14:textId="77777777" w:rsidR="00C30813" w:rsidRDefault="00C30813" w:rsidP="00B47A67">
      <w:pPr>
        <w:spacing w:after="0" w:line="240" w:lineRule="auto"/>
        <w:contextualSpacing/>
        <w:jc w:val="both"/>
        <w:rPr>
          <w:rFonts w:eastAsiaTheme="minorEastAsia"/>
          <w:sz w:val="18"/>
          <w:szCs w:val="18"/>
        </w:rPr>
      </w:pPr>
    </w:p>
    <w:p w14:paraId="44BA18C3" w14:textId="77777777" w:rsidR="00B47A67" w:rsidRPr="00C30813" w:rsidRDefault="00B47A67" w:rsidP="00B47A67">
      <w:pPr>
        <w:spacing w:after="0" w:line="240" w:lineRule="auto"/>
        <w:contextualSpacing/>
        <w:jc w:val="both"/>
        <w:rPr>
          <w:rFonts w:eastAsiaTheme="minorEastAsia"/>
          <w:sz w:val="18"/>
          <w:szCs w:val="18"/>
        </w:rPr>
      </w:pPr>
      <w:r w:rsidRPr="00C30813">
        <w:rPr>
          <w:rFonts w:eastAsiaTheme="minorEastAsia"/>
          <w:sz w:val="18"/>
          <w:szCs w:val="18"/>
        </w:rPr>
        <w:t>Fuente: SUPEN</w:t>
      </w:r>
    </w:p>
    <w:p w14:paraId="3254C68F" w14:textId="77777777" w:rsidR="00B47A67" w:rsidRDefault="00B47A67" w:rsidP="00B47A67">
      <w:pPr>
        <w:spacing w:after="0" w:line="240" w:lineRule="auto"/>
        <w:contextualSpacing/>
        <w:jc w:val="both"/>
        <w:rPr>
          <w:rFonts w:eastAsiaTheme="minorEastAsia"/>
        </w:rPr>
      </w:pPr>
    </w:p>
    <w:p w14:paraId="79522DFE" w14:textId="77777777" w:rsidR="00B47A67" w:rsidRPr="00CB07D4" w:rsidRDefault="00B47A67" w:rsidP="00B47A67">
      <w:pPr>
        <w:spacing w:after="0" w:line="240" w:lineRule="auto"/>
        <w:contextualSpacing/>
        <w:jc w:val="both"/>
        <w:rPr>
          <w:rFonts w:eastAsiaTheme="minorEastAsia"/>
        </w:rPr>
      </w:pPr>
    </w:p>
    <w:p w14:paraId="60BB6581" w14:textId="77777777" w:rsidR="005E6D85" w:rsidRPr="00CB07D4" w:rsidRDefault="005E6D85" w:rsidP="005E6D85">
      <w:pPr>
        <w:spacing w:after="0" w:line="240" w:lineRule="auto"/>
        <w:contextualSpacing/>
        <w:jc w:val="both"/>
        <w:rPr>
          <w:rFonts w:eastAsiaTheme="minorEastAsia"/>
        </w:rPr>
      </w:pPr>
      <w:r w:rsidRPr="00CB07D4">
        <w:rPr>
          <w:rFonts w:eastAsiaTheme="minorEastAsia"/>
        </w:rPr>
        <w:t>La selección de est</w:t>
      </w:r>
      <w:r>
        <w:rPr>
          <w:rFonts w:eastAsiaTheme="minorEastAsia"/>
        </w:rPr>
        <w:t>a</w:t>
      </w:r>
      <w:r w:rsidRPr="00CB07D4">
        <w:rPr>
          <w:rFonts w:eastAsiaTheme="minorEastAsia"/>
        </w:rPr>
        <w:t>s categorías para los l</w:t>
      </w:r>
      <w:r>
        <w:rPr>
          <w:rFonts w:eastAsiaTheme="minorEastAsia"/>
        </w:rPr>
        <w:t>í</w:t>
      </w:r>
      <w:r w:rsidRPr="00CB07D4">
        <w:rPr>
          <w:rFonts w:eastAsiaTheme="minorEastAsia"/>
        </w:rPr>
        <w:t>mites obedece a las siguientes razones:</w:t>
      </w:r>
    </w:p>
    <w:p w14:paraId="1031E600" w14:textId="77777777" w:rsidR="005E6D85" w:rsidRDefault="005E6D85" w:rsidP="005E6D85">
      <w:pPr>
        <w:pStyle w:val="Prrafodelista"/>
        <w:numPr>
          <w:ilvl w:val="0"/>
          <w:numId w:val="10"/>
        </w:numPr>
        <w:spacing w:after="0" w:line="240" w:lineRule="auto"/>
        <w:jc w:val="both"/>
        <w:rPr>
          <w:rFonts w:eastAsiaTheme="minorEastAsia"/>
        </w:rPr>
      </w:pPr>
      <w:r w:rsidRPr="00CB07D4">
        <w:rPr>
          <w:rFonts w:eastAsiaTheme="minorEastAsia"/>
        </w:rPr>
        <w:t>Son ampliamente conocid</w:t>
      </w:r>
      <w:r>
        <w:rPr>
          <w:rFonts w:eastAsiaTheme="minorEastAsia"/>
        </w:rPr>
        <w:t>a</w:t>
      </w:r>
      <w:r w:rsidRPr="00CB07D4">
        <w:rPr>
          <w:rFonts w:eastAsiaTheme="minorEastAsia"/>
        </w:rPr>
        <w:t>s en el ámbito financiero</w:t>
      </w:r>
      <w:r>
        <w:rPr>
          <w:rFonts w:eastAsiaTheme="minorEastAsia"/>
        </w:rPr>
        <w:t>.</w:t>
      </w:r>
    </w:p>
    <w:p w14:paraId="65514332" w14:textId="77777777" w:rsidR="00B47A67" w:rsidRPr="00ED1536" w:rsidRDefault="004255F1" w:rsidP="00B47A67">
      <w:pPr>
        <w:pStyle w:val="Prrafodelista"/>
        <w:numPr>
          <w:ilvl w:val="0"/>
          <w:numId w:val="10"/>
        </w:numPr>
        <w:spacing w:after="0" w:line="240" w:lineRule="auto"/>
        <w:jc w:val="both"/>
        <w:rPr>
          <w:rFonts w:eastAsiaTheme="minorEastAsia"/>
        </w:rPr>
      </w:pPr>
      <w:r>
        <w:rPr>
          <w:rFonts w:eastAsiaTheme="minorEastAsia"/>
        </w:rPr>
        <w:t>C</w:t>
      </w:r>
      <w:r w:rsidR="00B47A67" w:rsidRPr="00CB07D4">
        <w:rPr>
          <w:rFonts w:eastAsiaTheme="minorEastAsia"/>
        </w:rPr>
        <w:t xml:space="preserve">ualquier </w:t>
      </w:r>
      <w:r w:rsidR="00B47A67" w:rsidRPr="00ED1536">
        <w:rPr>
          <w:rFonts w:eastAsiaTheme="minorEastAsia"/>
        </w:rPr>
        <w:t>instrumento en un portafolio de gestor de pensiones puede ser</w:t>
      </w:r>
      <w:r w:rsidRPr="00ED1536">
        <w:rPr>
          <w:rFonts w:eastAsiaTheme="minorEastAsia"/>
        </w:rPr>
        <w:t xml:space="preserve"> </w:t>
      </w:r>
      <w:r w:rsidR="00947AF7" w:rsidRPr="00ED1536">
        <w:rPr>
          <w:rFonts w:eastAsiaTheme="minorEastAsia"/>
        </w:rPr>
        <w:t>clasificado en</w:t>
      </w:r>
      <w:r w:rsidR="00B47A67" w:rsidRPr="00ED1536">
        <w:rPr>
          <w:rFonts w:eastAsiaTheme="minorEastAsia"/>
        </w:rPr>
        <w:t xml:space="preserve"> alguna de estas categorías.</w:t>
      </w:r>
    </w:p>
    <w:p w14:paraId="798BD404" w14:textId="77777777" w:rsidR="00B47A67" w:rsidRPr="00CB07D4" w:rsidRDefault="00B47A67" w:rsidP="00B47A67">
      <w:pPr>
        <w:pStyle w:val="Prrafodelista"/>
        <w:numPr>
          <w:ilvl w:val="0"/>
          <w:numId w:val="10"/>
        </w:numPr>
        <w:spacing w:after="0" w:line="240" w:lineRule="auto"/>
        <w:jc w:val="both"/>
        <w:rPr>
          <w:rFonts w:eastAsiaTheme="minorEastAsia"/>
        </w:rPr>
      </w:pPr>
      <w:r w:rsidRPr="00ED1536">
        <w:rPr>
          <w:rFonts w:eastAsiaTheme="minorEastAsia"/>
        </w:rPr>
        <w:t xml:space="preserve">Corresponden a la </w:t>
      </w:r>
      <w:r w:rsidR="001964F4" w:rsidRPr="00ED1536">
        <w:rPr>
          <w:rFonts w:eastAsiaTheme="minorEastAsia"/>
        </w:rPr>
        <w:t>práctica</w:t>
      </w:r>
      <w:r w:rsidRPr="00ED1536">
        <w:rPr>
          <w:rFonts w:eastAsiaTheme="minorEastAsia"/>
        </w:rPr>
        <w:t xml:space="preserve"> internacional </w:t>
      </w:r>
      <w:r w:rsidRPr="00CB07D4">
        <w:rPr>
          <w:rFonts w:eastAsiaTheme="minorEastAsia"/>
        </w:rPr>
        <w:t xml:space="preserve">empleada para la definición de estrategias en </w:t>
      </w:r>
      <w:proofErr w:type="spellStart"/>
      <w:r w:rsidRPr="00CB07D4">
        <w:rPr>
          <w:rFonts w:eastAsiaTheme="minorEastAsia"/>
        </w:rPr>
        <w:t>multifondos</w:t>
      </w:r>
      <w:proofErr w:type="spellEnd"/>
      <w:r w:rsidRPr="00CB07D4">
        <w:rPr>
          <w:rFonts w:eastAsiaTheme="minorEastAsia"/>
        </w:rPr>
        <w:t xml:space="preserve"> y fondos generacionales en varios países del mundo.</w:t>
      </w:r>
    </w:p>
    <w:p w14:paraId="04518B27" w14:textId="77777777" w:rsidR="00051D35" w:rsidRDefault="00051D35" w:rsidP="00B47A67">
      <w:pPr>
        <w:spacing w:after="0" w:line="240" w:lineRule="auto"/>
        <w:jc w:val="both"/>
        <w:rPr>
          <w:rFonts w:eastAsiaTheme="minorEastAsia"/>
        </w:rPr>
      </w:pPr>
    </w:p>
    <w:p w14:paraId="475407A5" w14:textId="77777777" w:rsidR="00B47A67" w:rsidRDefault="00B47A67" w:rsidP="00B47A67">
      <w:pPr>
        <w:spacing w:after="0" w:line="240" w:lineRule="auto"/>
        <w:contextualSpacing/>
        <w:jc w:val="both"/>
        <w:rPr>
          <w:rFonts w:eastAsiaTheme="minorEastAsia"/>
        </w:rPr>
      </w:pPr>
    </w:p>
    <w:p w14:paraId="7DB632C8" w14:textId="77777777" w:rsidR="00964E01" w:rsidRDefault="00964E01" w:rsidP="00964E01">
      <w:pPr>
        <w:pStyle w:val="Ttulo2"/>
      </w:pPr>
      <w:bookmarkStart w:id="50" w:name="_Toc144396546"/>
      <w:r>
        <w:rPr>
          <w:rFonts w:eastAsiaTheme="minorEastAsia"/>
        </w:rPr>
        <w:t xml:space="preserve">5.2. </w:t>
      </w:r>
      <w:bookmarkStart w:id="51" w:name="_Toc132962534"/>
      <w:r>
        <w:t xml:space="preserve">Experiencia </w:t>
      </w:r>
      <w:r w:rsidRPr="00ED1536">
        <w:t xml:space="preserve">internacional </w:t>
      </w:r>
      <w:r w:rsidR="00BF05FA" w:rsidRPr="00ED1536">
        <w:t>en las</w:t>
      </w:r>
      <w:r w:rsidRPr="00ED1536">
        <w:t xml:space="preserve"> inversi</w:t>
      </w:r>
      <w:bookmarkEnd w:id="51"/>
      <w:r w:rsidR="00BF05FA" w:rsidRPr="00ED1536">
        <w:t>ones</w:t>
      </w:r>
      <w:bookmarkEnd w:id="50"/>
    </w:p>
    <w:p w14:paraId="51C72DCC" w14:textId="77777777" w:rsidR="00964E01" w:rsidRDefault="00964E01" w:rsidP="00964E01">
      <w:pPr>
        <w:spacing w:after="0" w:line="240" w:lineRule="auto"/>
        <w:contextualSpacing/>
        <w:rPr>
          <w:color w:val="FF0000"/>
        </w:rPr>
      </w:pPr>
    </w:p>
    <w:p w14:paraId="6134D0C9" w14:textId="77777777" w:rsidR="005E6D85" w:rsidRDefault="00964E01" w:rsidP="005E6D85">
      <w:pPr>
        <w:spacing w:after="0" w:line="240" w:lineRule="auto"/>
        <w:contextualSpacing/>
        <w:jc w:val="both"/>
      </w:pPr>
      <w:r w:rsidRPr="00633BD0">
        <w:t xml:space="preserve">La experiencia internacional es amplia en el manejo de </w:t>
      </w:r>
      <w:r w:rsidR="00BF05FA">
        <w:t>las</w:t>
      </w:r>
      <w:r w:rsidRPr="00633BD0">
        <w:t xml:space="preserve"> inversiones de los fondos de pensiones</w:t>
      </w:r>
      <w:r>
        <w:t xml:space="preserve">. El </w:t>
      </w:r>
      <w:r w:rsidR="00C65F7E">
        <w:t>cuadro siguiente</w:t>
      </w:r>
      <w:r w:rsidR="005E6D85">
        <w:t xml:space="preserve"> muestra la distribución de inversiones en fondos de pensiones en países seleccionados de la OCDE. Es importante aclarar que estas categorías corresponden a inversiones directas en esos tipos de activos o a los subyacentes de instrumentos, que a su vez están compuestos por otros activos, por ejemplo, </w:t>
      </w:r>
      <w:proofErr w:type="spellStart"/>
      <w:r w:rsidR="005E6D85">
        <w:t>ETFs</w:t>
      </w:r>
      <w:proofErr w:type="spellEnd"/>
      <w:r w:rsidR="005E6D85">
        <w:t xml:space="preserve"> y fondos mutuos.</w:t>
      </w:r>
    </w:p>
    <w:p w14:paraId="423A9B84" w14:textId="77777777" w:rsidR="00964E01" w:rsidRDefault="00964E01" w:rsidP="00964E01">
      <w:pPr>
        <w:spacing w:after="0" w:line="240" w:lineRule="auto"/>
        <w:contextualSpacing/>
      </w:pPr>
    </w:p>
    <w:p w14:paraId="5D6CF164" w14:textId="77777777" w:rsidR="00172C71" w:rsidRDefault="00172C71" w:rsidP="00964E01">
      <w:pPr>
        <w:spacing w:after="0" w:line="240" w:lineRule="auto"/>
        <w:contextualSpacing/>
      </w:pPr>
    </w:p>
    <w:p w14:paraId="37756C62" w14:textId="77777777" w:rsidR="00172C71" w:rsidRDefault="00172C71" w:rsidP="00964E01">
      <w:pPr>
        <w:spacing w:after="0" w:line="240" w:lineRule="auto"/>
        <w:contextualSpacing/>
      </w:pPr>
    </w:p>
    <w:p w14:paraId="2ECBCA63" w14:textId="77777777" w:rsidR="00172C71" w:rsidRDefault="00172C71" w:rsidP="00964E01">
      <w:pPr>
        <w:spacing w:after="0" w:line="240" w:lineRule="auto"/>
        <w:contextualSpacing/>
      </w:pPr>
    </w:p>
    <w:p w14:paraId="5B200930" w14:textId="77777777" w:rsidR="00172C71" w:rsidRDefault="00172C71" w:rsidP="00964E01">
      <w:pPr>
        <w:spacing w:after="0" w:line="240" w:lineRule="auto"/>
        <w:contextualSpacing/>
      </w:pPr>
    </w:p>
    <w:p w14:paraId="770D4C61" w14:textId="77777777" w:rsidR="00172C71" w:rsidRDefault="00172C71" w:rsidP="00964E01">
      <w:pPr>
        <w:spacing w:after="0" w:line="240" w:lineRule="auto"/>
        <w:contextualSpacing/>
      </w:pPr>
    </w:p>
    <w:p w14:paraId="54380C30" w14:textId="77777777" w:rsidR="00172C71" w:rsidRDefault="00172C71" w:rsidP="00964E01">
      <w:pPr>
        <w:spacing w:after="0" w:line="240" w:lineRule="auto"/>
        <w:contextualSpacing/>
      </w:pPr>
    </w:p>
    <w:p w14:paraId="05387D76" w14:textId="77777777" w:rsidR="00172C71" w:rsidRDefault="00172C71" w:rsidP="00964E01">
      <w:pPr>
        <w:spacing w:after="0" w:line="240" w:lineRule="auto"/>
        <w:contextualSpacing/>
      </w:pPr>
    </w:p>
    <w:p w14:paraId="6331BA2F" w14:textId="77777777" w:rsidR="00172C71" w:rsidRDefault="00172C71" w:rsidP="00964E01">
      <w:pPr>
        <w:spacing w:after="0" w:line="240" w:lineRule="auto"/>
        <w:contextualSpacing/>
      </w:pPr>
    </w:p>
    <w:p w14:paraId="05C07E43" w14:textId="77777777" w:rsidR="00172C71" w:rsidRDefault="00172C71" w:rsidP="00964E01">
      <w:pPr>
        <w:spacing w:after="0" w:line="240" w:lineRule="auto"/>
        <w:contextualSpacing/>
      </w:pPr>
    </w:p>
    <w:p w14:paraId="44B87401" w14:textId="77777777" w:rsidR="00964E01" w:rsidRDefault="00964E01" w:rsidP="00964E01">
      <w:pPr>
        <w:pStyle w:val="Descripcin"/>
      </w:pPr>
      <w:bookmarkStart w:id="52" w:name="_Ref136368227"/>
      <w:r>
        <w:lastRenderedPageBreak/>
        <w:t xml:space="preserve">Cuadro </w:t>
      </w:r>
      <w:bookmarkEnd w:id="52"/>
      <w:r w:rsidR="00C65F7E">
        <w:rPr>
          <w:noProof/>
        </w:rPr>
        <w:t>7</w:t>
      </w:r>
      <w:r>
        <w:t>: OECD composición de las inversiones de países seleccionados, 2021</w:t>
      </w:r>
    </w:p>
    <w:p w14:paraId="734735E2" w14:textId="77777777" w:rsidR="00F05403" w:rsidRPr="00F05403" w:rsidRDefault="00F05403" w:rsidP="00F05403"/>
    <w:tbl>
      <w:tblPr>
        <w:tblStyle w:val="Tablaconcuadrcula4-nfasis1"/>
        <w:tblW w:w="6496" w:type="dxa"/>
        <w:jc w:val="center"/>
        <w:tblLook w:val="04A0" w:firstRow="1" w:lastRow="0" w:firstColumn="1" w:lastColumn="0" w:noHBand="0" w:noVBand="1"/>
      </w:tblPr>
      <w:tblGrid>
        <w:gridCol w:w="1696"/>
        <w:gridCol w:w="1200"/>
        <w:gridCol w:w="1200"/>
        <w:gridCol w:w="1200"/>
        <w:gridCol w:w="1200"/>
      </w:tblGrid>
      <w:tr w:rsidR="00964E01" w:rsidRPr="00F5054B" w14:paraId="7E998461" w14:textId="77777777" w:rsidTr="00AF6EFB">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696" w:type="dxa"/>
            <w:hideMark/>
          </w:tcPr>
          <w:p w14:paraId="0DEB120C" w14:textId="77777777" w:rsidR="00964E01" w:rsidRPr="00F5054B" w:rsidRDefault="00964E01">
            <w:pPr>
              <w:rPr>
                <w:rFonts w:ascii="Arial" w:eastAsia="Times New Roman" w:hAnsi="Arial" w:cs="Arial"/>
                <w:color w:val="000000"/>
                <w:sz w:val="20"/>
                <w:szCs w:val="20"/>
                <w:lang w:val="es-CR" w:eastAsia="es-CR"/>
              </w:rPr>
            </w:pPr>
            <w:r w:rsidRPr="00F5054B">
              <w:rPr>
                <w:rFonts w:ascii="Arial" w:eastAsia="Times New Roman" w:hAnsi="Arial" w:cs="Arial"/>
                <w:color w:val="000000"/>
                <w:sz w:val="20"/>
                <w:szCs w:val="20"/>
                <w:lang w:val="es-CR" w:eastAsia="es-CR"/>
              </w:rPr>
              <w:t>Países</w:t>
            </w:r>
          </w:p>
        </w:tc>
        <w:tc>
          <w:tcPr>
            <w:tcW w:w="1200" w:type="dxa"/>
            <w:hideMark/>
          </w:tcPr>
          <w:p w14:paraId="0E1FFC0D" w14:textId="77777777" w:rsidR="00964E01" w:rsidRPr="00F5054B" w:rsidRDefault="00964E0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CR" w:eastAsia="es-CR"/>
              </w:rPr>
            </w:pPr>
            <w:r w:rsidRPr="00F5054B">
              <w:rPr>
                <w:rFonts w:ascii="Arial" w:eastAsia="Times New Roman" w:hAnsi="Arial" w:cs="Arial"/>
                <w:color w:val="000000"/>
                <w:sz w:val="20"/>
                <w:szCs w:val="20"/>
                <w:lang w:val="es-CR" w:eastAsia="es-CR"/>
              </w:rPr>
              <w:t>Acciones</w:t>
            </w:r>
          </w:p>
        </w:tc>
        <w:tc>
          <w:tcPr>
            <w:tcW w:w="1200" w:type="dxa"/>
            <w:hideMark/>
          </w:tcPr>
          <w:p w14:paraId="7C154035" w14:textId="77777777" w:rsidR="00964E01" w:rsidRPr="00F5054B" w:rsidRDefault="00964E0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CR" w:eastAsia="es-CR"/>
              </w:rPr>
            </w:pPr>
            <w:r w:rsidRPr="00F5054B">
              <w:rPr>
                <w:rFonts w:ascii="Arial" w:eastAsia="Times New Roman" w:hAnsi="Arial" w:cs="Arial"/>
                <w:color w:val="000000"/>
                <w:sz w:val="20"/>
                <w:szCs w:val="20"/>
                <w:lang w:val="es-CR" w:eastAsia="es-CR"/>
              </w:rPr>
              <w:t>Bonos</w:t>
            </w:r>
          </w:p>
        </w:tc>
        <w:tc>
          <w:tcPr>
            <w:tcW w:w="1200" w:type="dxa"/>
            <w:hideMark/>
          </w:tcPr>
          <w:p w14:paraId="564D2804" w14:textId="77777777" w:rsidR="00964E01" w:rsidRPr="00F5054B" w:rsidRDefault="00964E0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CR" w:eastAsia="es-CR"/>
              </w:rPr>
            </w:pPr>
            <w:r w:rsidRPr="00F5054B">
              <w:rPr>
                <w:rFonts w:ascii="Arial" w:eastAsia="Times New Roman" w:hAnsi="Arial" w:cs="Arial"/>
                <w:color w:val="000000"/>
                <w:sz w:val="20"/>
                <w:szCs w:val="20"/>
                <w:lang w:val="es-CR" w:eastAsia="es-CR"/>
              </w:rPr>
              <w:t>Liquidez</w:t>
            </w:r>
          </w:p>
        </w:tc>
        <w:tc>
          <w:tcPr>
            <w:tcW w:w="1200" w:type="dxa"/>
            <w:hideMark/>
          </w:tcPr>
          <w:p w14:paraId="6904F78B" w14:textId="77777777" w:rsidR="00964E01" w:rsidRPr="00F5054B" w:rsidRDefault="00964E0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CR" w:eastAsia="es-CR"/>
              </w:rPr>
            </w:pPr>
            <w:r w:rsidRPr="00F5054B">
              <w:rPr>
                <w:rFonts w:ascii="Arial" w:eastAsia="Times New Roman" w:hAnsi="Arial" w:cs="Arial"/>
                <w:color w:val="000000"/>
                <w:sz w:val="20"/>
                <w:szCs w:val="20"/>
                <w:lang w:val="es-CR" w:eastAsia="es-CR"/>
              </w:rPr>
              <w:t>Otros</w:t>
            </w:r>
          </w:p>
        </w:tc>
      </w:tr>
      <w:tr w:rsidR="00964E01" w:rsidRPr="00F5054B" w14:paraId="06F600C7" w14:textId="77777777" w:rsidTr="00AF6EF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2788B3A" w14:textId="77777777" w:rsidR="00964E01" w:rsidRPr="00F5054B" w:rsidRDefault="00964E01">
            <w:pPr>
              <w:rPr>
                <w:b w:val="0"/>
                <w:bCs w:val="0"/>
              </w:rPr>
            </w:pPr>
            <w:r w:rsidRPr="00F5054B">
              <w:rPr>
                <w:b w:val="0"/>
                <w:bCs w:val="0"/>
              </w:rPr>
              <w:t>Chile</w:t>
            </w:r>
          </w:p>
        </w:tc>
        <w:tc>
          <w:tcPr>
            <w:tcW w:w="1200" w:type="dxa"/>
            <w:noWrap/>
            <w:hideMark/>
          </w:tcPr>
          <w:p w14:paraId="45821200" w14:textId="77777777" w:rsidR="00964E01" w:rsidRPr="00F5054B" w:rsidRDefault="00964E01">
            <w:pPr>
              <w:jc w:val="right"/>
              <w:cnfStyle w:val="000000100000" w:firstRow="0" w:lastRow="0" w:firstColumn="0" w:lastColumn="0" w:oddVBand="0" w:evenVBand="0" w:oddHBand="1" w:evenHBand="0" w:firstRowFirstColumn="0" w:firstRowLastColumn="0" w:lastRowFirstColumn="0" w:lastRowLastColumn="0"/>
            </w:pPr>
            <w:r w:rsidRPr="00F5054B">
              <w:t>43,9</w:t>
            </w:r>
          </w:p>
        </w:tc>
        <w:tc>
          <w:tcPr>
            <w:tcW w:w="1200" w:type="dxa"/>
            <w:noWrap/>
            <w:hideMark/>
          </w:tcPr>
          <w:p w14:paraId="29F9735A" w14:textId="77777777" w:rsidR="00964E01" w:rsidRPr="00F5054B" w:rsidRDefault="00964E01">
            <w:pPr>
              <w:jc w:val="right"/>
              <w:cnfStyle w:val="000000100000" w:firstRow="0" w:lastRow="0" w:firstColumn="0" w:lastColumn="0" w:oddVBand="0" w:evenVBand="0" w:oddHBand="1" w:evenHBand="0" w:firstRowFirstColumn="0" w:firstRowLastColumn="0" w:lastRowFirstColumn="0" w:lastRowLastColumn="0"/>
            </w:pPr>
            <w:r w:rsidRPr="00F5054B">
              <w:t>54,3</w:t>
            </w:r>
          </w:p>
        </w:tc>
        <w:tc>
          <w:tcPr>
            <w:tcW w:w="1200" w:type="dxa"/>
            <w:noWrap/>
            <w:hideMark/>
          </w:tcPr>
          <w:p w14:paraId="61CB0601" w14:textId="77777777" w:rsidR="00964E01" w:rsidRPr="00F5054B" w:rsidRDefault="00964E01">
            <w:pPr>
              <w:jc w:val="right"/>
              <w:cnfStyle w:val="000000100000" w:firstRow="0" w:lastRow="0" w:firstColumn="0" w:lastColumn="0" w:oddVBand="0" w:evenVBand="0" w:oddHBand="1" w:evenHBand="0" w:firstRowFirstColumn="0" w:firstRowLastColumn="0" w:lastRowFirstColumn="0" w:lastRowLastColumn="0"/>
            </w:pPr>
            <w:r w:rsidRPr="00F5054B">
              <w:t>1,7</w:t>
            </w:r>
          </w:p>
        </w:tc>
        <w:tc>
          <w:tcPr>
            <w:tcW w:w="1200" w:type="dxa"/>
            <w:noWrap/>
            <w:hideMark/>
          </w:tcPr>
          <w:p w14:paraId="44B24B0D" w14:textId="77777777" w:rsidR="00964E01" w:rsidRPr="00F5054B" w:rsidRDefault="00964E01">
            <w:pPr>
              <w:jc w:val="right"/>
              <w:cnfStyle w:val="000000100000" w:firstRow="0" w:lastRow="0" w:firstColumn="0" w:lastColumn="0" w:oddVBand="0" w:evenVBand="0" w:oddHBand="1" w:evenHBand="0" w:firstRowFirstColumn="0" w:firstRowLastColumn="0" w:lastRowFirstColumn="0" w:lastRowLastColumn="0"/>
            </w:pPr>
            <w:r w:rsidRPr="00F5054B">
              <w:t>0,1</w:t>
            </w:r>
          </w:p>
        </w:tc>
      </w:tr>
      <w:tr w:rsidR="00964E01" w:rsidRPr="00F5054B" w14:paraId="49631311" w14:textId="77777777" w:rsidTr="00AF6EFB">
        <w:trPr>
          <w:trHeight w:val="290"/>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688779C" w14:textId="77777777" w:rsidR="00964E01" w:rsidRPr="00F5054B" w:rsidRDefault="00964E01">
            <w:pPr>
              <w:rPr>
                <w:b w:val="0"/>
                <w:bCs w:val="0"/>
              </w:rPr>
            </w:pPr>
            <w:r w:rsidRPr="00F5054B">
              <w:rPr>
                <w:b w:val="0"/>
                <w:bCs w:val="0"/>
              </w:rPr>
              <w:t>Colombia</w:t>
            </w:r>
          </w:p>
        </w:tc>
        <w:tc>
          <w:tcPr>
            <w:tcW w:w="1200" w:type="dxa"/>
            <w:noWrap/>
            <w:hideMark/>
          </w:tcPr>
          <w:p w14:paraId="5C6160AE" w14:textId="77777777" w:rsidR="00964E01" w:rsidRPr="00F5054B" w:rsidRDefault="00964E01">
            <w:pPr>
              <w:jc w:val="right"/>
              <w:cnfStyle w:val="000000000000" w:firstRow="0" w:lastRow="0" w:firstColumn="0" w:lastColumn="0" w:oddVBand="0" w:evenVBand="0" w:oddHBand="0" w:evenHBand="0" w:firstRowFirstColumn="0" w:firstRowLastColumn="0" w:lastRowFirstColumn="0" w:lastRowLastColumn="0"/>
            </w:pPr>
            <w:r w:rsidRPr="00F5054B">
              <w:t>41,1</w:t>
            </w:r>
          </w:p>
        </w:tc>
        <w:tc>
          <w:tcPr>
            <w:tcW w:w="1200" w:type="dxa"/>
            <w:noWrap/>
            <w:hideMark/>
          </w:tcPr>
          <w:p w14:paraId="1EC6D837" w14:textId="77777777" w:rsidR="00964E01" w:rsidRPr="00F5054B" w:rsidRDefault="00964E01">
            <w:pPr>
              <w:jc w:val="right"/>
              <w:cnfStyle w:val="000000000000" w:firstRow="0" w:lastRow="0" w:firstColumn="0" w:lastColumn="0" w:oddVBand="0" w:evenVBand="0" w:oddHBand="0" w:evenHBand="0" w:firstRowFirstColumn="0" w:firstRowLastColumn="0" w:lastRowFirstColumn="0" w:lastRowLastColumn="0"/>
            </w:pPr>
            <w:r w:rsidRPr="00F5054B">
              <w:t>39,4</w:t>
            </w:r>
          </w:p>
        </w:tc>
        <w:tc>
          <w:tcPr>
            <w:tcW w:w="1200" w:type="dxa"/>
            <w:noWrap/>
            <w:hideMark/>
          </w:tcPr>
          <w:p w14:paraId="4D618A20" w14:textId="77777777" w:rsidR="00964E01" w:rsidRPr="00F5054B" w:rsidRDefault="00964E01">
            <w:pPr>
              <w:jc w:val="right"/>
              <w:cnfStyle w:val="000000000000" w:firstRow="0" w:lastRow="0" w:firstColumn="0" w:lastColumn="0" w:oddVBand="0" w:evenVBand="0" w:oddHBand="0" w:evenHBand="0" w:firstRowFirstColumn="0" w:firstRowLastColumn="0" w:lastRowFirstColumn="0" w:lastRowLastColumn="0"/>
            </w:pPr>
            <w:r w:rsidRPr="00F5054B">
              <w:t>1,8</w:t>
            </w:r>
          </w:p>
        </w:tc>
        <w:tc>
          <w:tcPr>
            <w:tcW w:w="1200" w:type="dxa"/>
            <w:noWrap/>
            <w:hideMark/>
          </w:tcPr>
          <w:p w14:paraId="31FCC6CA" w14:textId="77777777" w:rsidR="00964E01" w:rsidRPr="00F5054B" w:rsidRDefault="00964E01">
            <w:pPr>
              <w:jc w:val="right"/>
              <w:cnfStyle w:val="000000000000" w:firstRow="0" w:lastRow="0" w:firstColumn="0" w:lastColumn="0" w:oddVBand="0" w:evenVBand="0" w:oddHBand="0" w:evenHBand="0" w:firstRowFirstColumn="0" w:firstRowLastColumn="0" w:lastRowFirstColumn="0" w:lastRowLastColumn="0"/>
            </w:pPr>
            <w:r w:rsidRPr="00F5054B">
              <w:t>17,8</w:t>
            </w:r>
          </w:p>
        </w:tc>
      </w:tr>
      <w:tr w:rsidR="00964E01" w:rsidRPr="00F5054B" w14:paraId="1F797F11" w14:textId="77777777" w:rsidTr="00AF6EF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8DF4B4A" w14:textId="77777777" w:rsidR="00964E01" w:rsidRPr="00F5054B" w:rsidRDefault="00964E01">
            <w:pPr>
              <w:rPr>
                <w:b w:val="0"/>
                <w:bCs w:val="0"/>
              </w:rPr>
            </w:pPr>
            <w:r w:rsidRPr="00F5054B">
              <w:rPr>
                <w:b w:val="0"/>
                <w:bCs w:val="0"/>
              </w:rPr>
              <w:t>España</w:t>
            </w:r>
          </w:p>
        </w:tc>
        <w:tc>
          <w:tcPr>
            <w:tcW w:w="1200" w:type="dxa"/>
            <w:noWrap/>
            <w:hideMark/>
          </w:tcPr>
          <w:p w14:paraId="2958471A" w14:textId="77777777" w:rsidR="00964E01" w:rsidRPr="00F5054B" w:rsidRDefault="00964E01">
            <w:pPr>
              <w:jc w:val="right"/>
              <w:cnfStyle w:val="000000100000" w:firstRow="0" w:lastRow="0" w:firstColumn="0" w:lastColumn="0" w:oddVBand="0" w:evenVBand="0" w:oddHBand="1" w:evenHBand="0" w:firstRowFirstColumn="0" w:firstRowLastColumn="0" w:lastRowFirstColumn="0" w:lastRowLastColumn="0"/>
            </w:pPr>
            <w:r w:rsidRPr="00F5054B">
              <w:t>31,9</w:t>
            </w:r>
          </w:p>
        </w:tc>
        <w:tc>
          <w:tcPr>
            <w:tcW w:w="1200" w:type="dxa"/>
            <w:noWrap/>
            <w:hideMark/>
          </w:tcPr>
          <w:p w14:paraId="3AAC759B" w14:textId="77777777" w:rsidR="00964E01" w:rsidRPr="00F5054B" w:rsidRDefault="00964E01">
            <w:pPr>
              <w:jc w:val="right"/>
              <w:cnfStyle w:val="000000100000" w:firstRow="0" w:lastRow="0" w:firstColumn="0" w:lastColumn="0" w:oddVBand="0" w:evenVBand="0" w:oddHBand="1" w:evenHBand="0" w:firstRowFirstColumn="0" w:firstRowLastColumn="0" w:lastRowFirstColumn="0" w:lastRowLastColumn="0"/>
            </w:pPr>
            <w:r w:rsidRPr="00F5054B">
              <w:t>48,4</w:t>
            </w:r>
          </w:p>
        </w:tc>
        <w:tc>
          <w:tcPr>
            <w:tcW w:w="1200" w:type="dxa"/>
            <w:noWrap/>
            <w:hideMark/>
          </w:tcPr>
          <w:p w14:paraId="052887E4" w14:textId="77777777" w:rsidR="00964E01" w:rsidRPr="00F5054B" w:rsidRDefault="00964E01">
            <w:pPr>
              <w:jc w:val="right"/>
              <w:cnfStyle w:val="000000100000" w:firstRow="0" w:lastRow="0" w:firstColumn="0" w:lastColumn="0" w:oddVBand="0" w:evenVBand="0" w:oddHBand="1" w:evenHBand="0" w:firstRowFirstColumn="0" w:firstRowLastColumn="0" w:lastRowFirstColumn="0" w:lastRowLastColumn="0"/>
            </w:pPr>
            <w:r w:rsidRPr="00F5054B">
              <w:t>7,5</w:t>
            </w:r>
          </w:p>
        </w:tc>
        <w:tc>
          <w:tcPr>
            <w:tcW w:w="1200" w:type="dxa"/>
            <w:noWrap/>
            <w:hideMark/>
          </w:tcPr>
          <w:p w14:paraId="7EF1DB5D" w14:textId="77777777" w:rsidR="00964E01" w:rsidRPr="00F5054B" w:rsidRDefault="00964E01">
            <w:pPr>
              <w:jc w:val="right"/>
              <w:cnfStyle w:val="000000100000" w:firstRow="0" w:lastRow="0" w:firstColumn="0" w:lastColumn="0" w:oddVBand="0" w:evenVBand="0" w:oddHBand="1" w:evenHBand="0" w:firstRowFirstColumn="0" w:firstRowLastColumn="0" w:lastRowFirstColumn="0" w:lastRowLastColumn="0"/>
            </w:pPr>
            <w:r w:rsidRPr="00F5054B">
              <w:t>12,2</w:t>
            </w:r>
          </w:p>
        </w:tc>
      </w:tr>
      <w:tr w:rsidR="00964E01" w:rsidRPr="00F5054B" w14:paraId="0663BF1C" w14:textId="77777777" w:rsidTr="00AF6EFB">
        <w:trPr>
          <w:trHeight w:val="290"/>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30C6175" w14:textId="77777777" w:rsidR="00964E01" w:rsidRPr="00F5054B" w:rsidRDefault="00964E01">
            <w:pPr>
              <w:rPr>
                <w:b w:val="0"/>
                <w:bCs w:val="0"/>
              </w:rPr>
            </w:pPr>
            <w:r w:rsidRPr="00F5054B">
              <w:rPr>
                <w:b w:val="0"/>
                <w:bCs w:val="0"/>
              </w:rPr>
              <w:t>Países Bajos</w:t>
            </w:r>
          </w:p>
        </w:tc>
        <w:tc>
          <w:tcPr>
            <w:tcW w:w="1200" w:type="dxa"/>
            <w:noWrap/>
            <w:hideMark/>
          </w:tcPr>
          <w:p w14:paraId="5D037468" w14:textId="77777777" w:rsidR="00964E01" w:rsidRPr="00F5054B" w:rsidRDefault="00964E01">
            <w:pPr>
              <w:jc w:val="right"/>
              <w:cnfStyle w:val="000000000000" w:firstRow="0" w:lastRow="0" w:firstColumn="0" w:lastColumn="0" w:oddVBand="0" w:evenVBand="0" w:oddHBand="0" w:evenHBand="0" w:firstRowFirstColumn="0" w:firstRowLastColumn="0" w:lastRowFirstColumn="0" w:lastRowLastColumn="0"/>
            </w:pPr>
            <w:r w:rsidRPr="00F5054B">
              <w:t>30,9</w:t>
            </w:r>
          </w:p>
        </w:tc>
        <w:tc>
          <w:tcPr>
            <w:tcW w:w="1200" w:type="dxa"/>
            <w:noWrap/>
            <w:hideMark/>
          </w:tcPr>
          <w:p w14:paraId="6895AEBE" w14:textId="77777777" w:rsidR="00964E01" w:rsidRPr="00F5054B" w:rsidRDefault="00964E01">
            <w:pPr>
              <w:jc w:val="right"/>
              <w:cnfStyle w:val="000000000000" w:firstRow="0" w:lastRow="0" w:firstColumn="0" w:lastColumn="0" w:oddVBand="0" w:evenVBand="0" w:oddHBand="0" w:evenHBand="0" w:firstRowFirstColumn="0" w:firstRowLastColumn="0" w:lastRowFirstColumn="0" w:lastRowLastColumn="0"/>
            </w:pPr>
            <w:r w:rsidRPr="00F5054B">
              <w:t>42,9</w:t>
            </w:r>
          </w:p>
        </w:tc>
        <w:tc>
          <w:tcPr>
            <w:tcW w:w="1200" w:type="dxa"/>
            <w:noWrap/>
            <w:hideMark/>
          </w:tcPr>
          <w:p w14:paraId="515D9D9E" w14:textId="77777777" w:rsidR="00964E01" w:rsidRPr="00F5054B" w:rsidRDefault="00964E01">
            <w:pPr>
              <w:jc w:val="right"/>
              <w:cnfStyle w:val="000000000000" w:firstRow="0" w:lastRow="0" w:firstColumn="0" w:lastColumn="0" w:oddVBand="0" w:evenVBand="0" w:oddHBand="0" w:evenHBand="0" w:firstRowFirstColumn="0" w:firstRowLastColumn="0" w:lastRowFirstColumn="0" w:lastRowLastColumn="0"/>
            </w:pPr>
            <w:r w:rsidRPr="00F5054B">
              <w:t>2,0</w:t>
            </w:r>
          </w:p>
        </w:tc>
        <w:tc>
          <w:tcPr>
            <w:tcW w:w="1200" w:type="dxa"/>
            <w:noWrap/>
            <w:hideMark/>
          </w:tcPr>
          <w:p w14:paraId="0F749423" w14:textId="77777777" w:rsidR="00964E01" w:rsidRPr="00F5054B" w:rsidRDefault="00964E01">
            <w:pPr>
              <w:jc w:val="right"/>
              <w:cnfStyle w:val="000000000000" w:firstRow="0" w:lastRow="0" w:firstColumn="0" w:lastColumn="0" w:oddVBand="0" w:evenVBand="0" w:oddHBand="0" w:evenHBand="0" w:firstRowFirstColumn="0" w:firstRowLastColumn="0" w:lastRowFirstColumn="0" w:lastRowLastColumn="0"/>
            </w:pPr>
            <w:r w:rsidRPr="00F5054B">
              <w:t>24,2</w:t>
            </w:r>
          </w:p>
        </w:tc>
      </w:tr>
      <w:tr w:rsidR="00964E01" w:rsidRPr="00F5054B" w14:paraId="39B1F56A" w14:textId="77777777" w:rsidTr="00AF6EF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BA75815" w14:textId="77777777" w:rsidR="00964E01" w:rsidRPr="00F5054B" w:rsidRDefault="00964E01">
            <w:pPr>
              <w:rPr>
                <w:b w:val="0"/>
                <w:bCs w:val="0"/>
              </w:rPr>
            </w:pPr>
            <w:r w:rsidRPr="00F5054B">
              <w:rPr>
                <w:b w:val="0"/>
                <w:bCs w:val="0"/>
              </w:rPr>
              <w:t>Reino Unido</w:t>
            </w:r>
          </w:p>
        </w:tc>
        <w:tc>
          <w:tcPr>
            <w:tcW w:w="1200" w:type="dxa"/>
            <w:noWrap/>
            <w:hideMark/>
          </w:tcPr>
          <w:p w14:paraId="1DEAFF56" w14:textId="77777777" w:rsidR="00964E01" w:rsidRPr="00F5054B" w:rsidRDefault="00964E01">
            <w:pPr>
              <w:jc w:val="right"/>
              <w:cnfStyle w:val="000000100000" w:firstRow="0" w:lastRow="0" w:firstColumn="0" w:lastColumn="0" w:oddVBand="0" w:evenVBand="0" w:oddHBand="1" w:evenHBand="0" w:firstRowFirstColumn="0" w:firstRowLastColumn="0" w:lastRowFirstColumn="0" w:lastRowLastColumn="0"/>
            </w:pPr>
            <w:r w:rsidRPr="00F5054B">
              <w:t>26,4</w:t>
            </w:r>
          </w:p>
        </w:tc>
        <w:tc>
          <w:tcPr>
            <w:tcW w:w="1200" w:type="dxa"/>
            <w:noWrap/>
            <w:hideMark/>
          </w:tcPr>
          <w:p w14:paraId="5B525AAF" w14:textId="77777777" w:rsidR="00964E01" w:rsidRPr="00F5054B" w:rsidRDefault="00964E01">
            <w:pPr>
              <w:jc w:val="right"/>
              <w:cnfStyle w:val="000000100000" w:firstRow="0" w:lastRow="0" w:firstColumn="0" w:lastColumn="0" w:oddVBand="0" w:evenVBand="0" w:oddHBand="1" w:evenHBand="0" w:firstRowFirstColumn="0" w:firstRowLastColumn="0" w:lastRowFirstColumn="0" w:lastRowLastColumn="0"/>
            </w:pPr>
            <w:r w:rsidRPr="00F5054B">
              <w:t>40,9</w:t>
            </w:r>
          </w:p>
        </w:tc>
        <w:tc>
          <w:tcPr>
            <w:tcW w:w="1200" w:type="dxa"/>
            <w:noWrap/>
            <w:hideMark/>
          </w:tcPr>
          <w:p w14:paraId="016DE09E" w14:textId="77777777" w:rsidR="00964E01" w:rsidRPr="00F5054B" w:rsidRDefault="00964E01">
            <w:pPr>
              <w:jc w:val="right"/>
              <w:cnfStyle w:val="000000100000" w:firstRow="0" w:lastRow="0" w:firstColumn="0" w:lastColumn="0" w:oddVBand="0" w:evenVBand="0" w:oddHBand="1" w:evenHBand="0" w:firstRowFirstColumn="0" w:firstRowLastColumn="0" w:lastRowFirstColumn="0" w:lastRowLastColumn="0"/>
            </w:pPr>
            <w:r w:rsidRPr="00F5054B">
              <w:t>1,8</w:t>
            </w:r>
          </w:p>
        </w:tc>
        <w:tc>
          <w:tcPr>
            <w:tcW w:w="1200" w:type="dxa"/>
            <w:noWrap/>
            <w:hideMark/>
          </w:tcPr>
          <w:p w14:paraId="6F4EB63B" w14:textId="77777777" w:rsidR="00964E01" w:rsidRPr="00F5054B" w:rsidRDefault="00964E01">
            <w:pPr>
              <w:jc w:val="right"/>
              <w:cnfStyle w:val="000000100000" w:firstRow="0" w:lastRow="0" w:firstColumn="0" w:lastColumn="0" w:oddVBand="0" w:evenVBand="0" w:oddHBand="1" w:evenHBand="0" w:firstRowFirstColumn="0" w:firstRowLastColumn="0" w:lastRowFirstColumn="0" w:lastRowLastColumn="0"/>
            </w:pPr>
            <w:r w:rsidRPr="00F5054B">
              <w:t>30,9</w:t>
            </w:r>
          </w:p>
        </w:tc>
      </w:tr>
      <w:tr w:rsidR="00964E01" w:rsidRPr="00F5054B" w14:paraId="03BD744C" w14:textId="77777777" w:rsidTr="00AF6EFB">
        <w:trPr>
          <w:trHeight w:val="290"/>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B20ABCF" w14:textId="77777777" w:rsidR="00964E01" w:rsidRPr="00F5054B" w:rsidRDefault="00964E01">
            <w:pPr>
              <w:rPr>
                <w:b w:val="0"/>
                <w:bCs w:val="0"/>
              </w:rPr>
            </w:pPr>
            <w:r w:rsidRPr="00F5054B">
              <w:rPr>
                <w:b w:val="0"/>
                <w:bCs w:val="0"/>
              </w:rPr>
              <w:t>México</w:t>
            </w:r>
          </w:p>
        </w:tc>
        <w:tc>
          <w:tcPr>
            <w:tcW w:w="1200" w:type="dxa"/>
            <w:noWrap/>
            <w:hideMark/>
          </w:tcPr>
          <w:p w14:paraId="2F6C2F44" w14:textId="77777777" w:rsidR="00964E01" w:rsidRPr="00F5054B" w:rsidRDefault="00964E01">
            <w:pPr>
              <w:jc w:val="right"/>
              <w:cnfStyle w:val="000000000000" w:firstRow="0" w:lastRow="0" w:firstColumn="0" w:lastColumn="0" w:oddVBand="0" w:evenVBand="0" w:oddHBand="0" w:evenHBand="0" w:firstRowFirstColumn="0" w:firstRowLastColumn="0" w:lastRowFirstColumn="0" w:lastRowLastColumn="0"/>
            </w:pPr>
            <w:r w:rsidRPr="00F5054B">
              <w:t>23,1</w:t>
            </w:r>
          </w:p>
        </w:tc>
        <w:tc>
          <w:tcPr>
            <w:tcW w:w="1200" w:type="dxa"/>
            <w:noWrap/>
            <w:hideMark/>
          </w:tcPr>
          <w:p w14:paraId="645E2256" w14:textId="77777777" w:rsidR="00964E01" w:rsidRPr="00F5054B" w:rsidRDefault="00964E01">
            <w:pPr>
              <w:jc w:val="right"/>
              <w:cnfStyle w:val="000000000000" w:firstRow="0" w:lastRow="0" w:firstColumn="0" w:lastColumn="0" w:oddVBand="0" w:evenVBand="0" w:oddHBand="0" w:evenHBand="0" w:firstRowFirstColumn="0" w:firstRowLastColumn="0" w:lastRowFirstColumn="0" w:lastRowLastColumn="0"/>
            </w:pPr>
            <w:r w:rsidRPr="00F5054B">
              <w:t>72,9</w:t>
            </w:r>
          </w:p>
        </w:tc>
        <w:tc>
          <w:tcPr>
            <w:tcW w:w="1200" w:type="dxa"/>
            <w:noWrap/>
            <w:hideMark/>
          </w:tcPr>
          <w:p w14:paraId="0A5826E5" w14:textId="77777777" w:rsidR="00964E01" w:rsidRPr="00F5054B" w:rsidRDefault="00964E01">
            <w:pPr>
              <w:jc w:val="right"/>
              <w:cnfStyle w:val="000000000000" w:firstRow="0" w:lastRow="0" w:firstColumn="0" w:lastColumn="0" w:oddVBand="0" w:evenVBand="0" w:oddHBand="0" w:evenHBand="0" w:firstRowFirstColumn="0" w:firstRowLastColumn="0" w:lastRowFirstColumn="0" w:lastRowLastColumn="0"/>
            </w:pPr>
            <w:r w:rsidRPr="00F5054B">
              <w:t>1,3</w:t>
            </w:r>
          </w:p>
        </w:tc>
        <w:tc>
          <w:tcPr>
            <w:tcW w:w="1200" w:type="dxa"/>
            <w:noWrap/>
            <w:hideMark/>
          </w:tcPr>
          <w:p w14:paraId="72D8D703" w14:textId="77777777" w:rsidR="00964E01" w:rsidRPr="00F5054B" w:rsidRDefault="00964E01">
            <w:pPr>
              <w:jc w:val="right"/>
              <w:cnfStyle w:val="000000000000" w:firstRow="0" w:lastRow="0" w:firstColumn="0" w:lastColumn="0" w:oddVBand="0" w:evenVBand="0" w:oddHBand="0" w:evenHBand="0" w:firstRowFirstColumn="0" w:firstRowLastColumn="0" w:lastRowFirstColumn="0" w:lastRowLastColumn="0"/>
            </w:pPr>
            <w:r w:rsidRPr="00F5054B">
              <w:t>2,7</w:t>
            </w:r>
          </w:p>
        </w:tc>
      </w:tr>
      <w:tr w:rsidR="00964E01" w:rsidRPr="00F5054B" w14:paraId="68C9680C" w14:textId="77777777" w:rsidTr="00AF6EF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62331CC" w14:textId="77777777" w:rsidR="00964E01" w:rsidRPr="00F5054B" w:rsidRDefault="00964E01">
            <w:pPr>
              <w:rPr>
                <w:b w:val="0"/>
                <w:bCs w:val="0"/>
              </w:rPr>
            </w:pPr>
            <w:r w:rsidRPr="00F5054B">
              <w:rPr>
                <w:b w:val="0"/>
                <w:bCs w:val="0"/>
              </w:rPr>
              <w:t>Japón</w:t>
            </w:r>
          </w:p>
        </w:tc>
        <w:tc>
          <w:tcPr>
            <w:tcW w:w="1200" w:type="dxa"/>
            <w:noWrap/>
            <w:hideMark/>
          </w:tcPr>
          <w:p w14:paraId="5F3A1CB3" w14:textId="77777777" w:rsidR="00964E01" w:rsidRPr="00F5054B" w:rsidRDefault="00964E01">
            <w:pPr>
              <w:jc w:val="right"/>
              <w:cnfStyle w:val="000000100000" w:firstRow="0" w:lastRow="0" w:firstColumn="0" w:lastColumn="0" w:oddVBand="0" w:evenVBand="0" w:oddHBand="1" w:evenHBand="0" w:firstRowFirstColumn="0" w:firstRowLastColumn="0" w:lastRowFirstColumn="0" w:lastRowLastColumn="0"/>
            </w:pPr>
            <w:r w:rsidRPr="00F5054B">
              <w:t>10,0</w:t>
            </w:r>
          </w:p>
        </w:tc>
        <w:tc>
          <w:tcPr>
            <w:tcW w:w="1200" w:type="dxa"/>
            <w:noWrap/>
            <w:hideMark/>
          </w:tcPr>
          <w:p w14:paraId="536BE4B4" w14:textId="77777777" w:rsidR="00964E01" w:rsidRPr="00F5054B" w:rsidRDefault="00964E01">
            <w:pPr>
              <w:jc w:val="right"/>
              <w:cnfStyle w:val="000000100000" w:firstRow="0" w:lastRow="0" w:firstColumn="0" w:lastColumn="0" w:oddVBand="0" w:evenVBand="0" w:oddHBand="1" w:evenHBand="0" w:firstRowFirstColumn="0" w:firstRowLastColumn="0" w:lastRowFirstColumn="0" w:lastRowLastColumn="0"/>
            </w:pPr>
            <w:r w:rsidRPr="00F5054B">
              <w:t>26,0</w:t>
            </w:r>
          </w:p>
        </w:tc>
        <w:tc>
          <w:tcPr>
            <w:tcW w:w="1200" w:type="dxa"/>
            <w:noWrap/>
            <w:hideMark/>
          </w:tcPr>
          <w:p w14:paraId="6D31B9E2" w14:textId="77777777" w:rsidR="00964E01" w:rsidRPr="00F5054B" w:rsidRDefault="00964E01">
            <w:pPr>
              <w:jc w:val="right"/>
              <w:cnfStyle w:val="000000100000" w:firstRow="0" w:lastRow="0" w:firstColumn="0" w:lastColumn="0" w:oddVBand="0" w:evenVBand="0" w:oddHBand="1" w:evenHBand="0" w:firstRowFirstColumn="0" w:firstRowLastColumn="0" w:lastRowFirstColumn="0" w:lastRowLastColumn="0"/>
            </w:pPr>
            <w:r w:rsidRPr="00F5054B">
              <w:t>7,7</w:t>
            </w:r>
          </w:p>
        </w:tc>
        <w:tc>
          <w:tcPr>
            <w:tcW w:w="1200" w:type="dxa"/>
            <w:noWrap/>
            <w:hideMark/>
          </w:tcPr>
          <w:p w14:paraId="27B513E8" w14:textId="77777777" w:rsidR="00964E01" w:rsidRPr="00F5054B" w:rsidRDefault="00964E01">
            <w:pPr>
              <w:jc w:val="right"/>
              <w:cnfStyle w:val="000000100000" w:firstRow="0" w:lastRow="0" w:firstColumn="0" w:lastColumn="0" w:oddVBand="0" w:evenVBand="0" w:oddHBand="1" w:evenHBand="0" w:firstRowFirstColumn="0" w:firstRowLastColumn="0" w:lastRowFirstColumn="0" w:lastRowLastColumn="0"/>
            </w:pPr>
            <w:r w:rsidRPr="00F5054B">
              <w:t>56,4</w:t>
            </w:r>
          </w:p>
        </w:tc>
      </w:tr>
      <w:tr w:rsidR="00964E01" w:rsidRPr="00F5054B" w14:paraId="7554DC36" w14:textId="77777777" w:rsidTr="00AF6EFB">
        <w:trPr>
          <w:trHeight w:val="290"/>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1A97A1D" w14:textId="77777777" w:rsidR="00964E01" w:rsidRPr="00F5054B" w:rsidRDefault="00964E01">
            <w:pPr>
              <w:rPr>
                <w:b w:val="0"/>
                <w:bCs w:val="0"/>
              </w:rPr>
            </w:pPr>
            <w:r w:rsidRPr="00F5054B">
              <w:rPr>
                <w:b w:val="0"/>
                <w:bCs w:val="0"/>
              </w:rPr>
              <w:t>Alemania</w:t>
            </w:r>
          </w:p>
        </w:tc>
        <w:tc>
          <w:tcPr>
            <w:tcW w:w="1200" w:type="dxa"/>
            <w:noWrap/>
            <w:hideMark/>
          </w:tcPr>
          <w:p w14:paraId="2DBE77A3" w14:textId="77777777" w:rsidR="00964E01" w:rsidRPr="00F5054B" w:rsidRDefault="00964E01">
            <w:pPr>
              <w:jc w:val="right"/>
              <w:cnfStyle w:val="000000000000" w:firstRow="0" w:lastRow="0" w:firstColumn="0" w:lastColumn="0" w:oddVBand="0" w:evenVBand="0" w:oddHBand="0" w:evenHBand="0" w:firstRowFirstColumn="0" w:firstRowLastColumn="0" w:lastRowFirstColumn="0" w:lastRowLastColumn="0"/>
            </w:pPr>
            <w:r w:rsidRPr="00F5054B">
              <w:t>7,6</w:t>
            </w:r>
          </w:p>
        </w:tc>
        <w:tc>
          <w:tcPr>
            <w:tcW w:w="1200" w:type="dxa"/>
            <w:noWrap/>
            <w:hideMark/>
          </w:tcPr>
          <w:p w14:paraId="7F007E87" w14:textId="77777777" w:rsidR="00964E01" w:rsidRPr="00F5054B" w:rsidRDefault="00964E01">
            <w:pPr>
              <w:jc w:val="right"/>
              <w:cnfStyle w:val="000000000000" w:firstRow="0" w:lastRow="0" w:firstColumn="0" w:lastColumn="0" w:oddVBand="0" w:evenVBand="0" w:oddHBand="0" w:evenHBand="0" w:firstRowFirstColumn="0" w:firstRowLastColumn="0" w:lastRowFirstColumn="0" w:lastRowLastColumn="0"/>
            </w:pPr>
            <w:r w:rsidRPr="00F5054B">
              <w:t>43,5</w:t>
            </w:r>
          </w:p>
        </w:tc>
        <w:tc>
          <w:tcPr>
            <w:tcW w:w="1200" w:type="dxa"/>
            <w:noWrap/>
            <w:hideMark/>
          </w:tcPr>
          <w:p w14:paraId="51030AD6" w14:textId="77777777" w:rsidR="00964E01" w:rsidRPr="00F5054B" w:rsidRDefault="00964E01">
            <w:pPr>
              <w:jc w:val="right"/>
              <w:cnfStyle w:val="000000000000" w:firstRow="0" w:lastRow="0" w:firstColumn="0" w:lastColumn="0" w:oddVBand="0" w:evenVBand="0" w:oddHBand="0" w:evenHBand="0" w:firstRowFirstColumn="0" w:firstRowLastColumn="0" w:lastRowFirstColumn="0" w:lastRowLastColumn="0"/>
            </w:pPr>
            <w:r w:rsidRPr="00F5054B">
              <w:t>2,7</w:t>
            </w:r>
          </w:p>
        </w:tc>
        <w:tc>
          <w:tcPr>
            <w:tcW w:w="1200" w:type="dxa"/>
            <w:noWrap/>
            <w:hideMark/>
          </w:tcPr>
          <w:p w14:paraId="7CC38F14" w14:textId="77777777" w:rsidR="00964E01" w:rsidRPr="00F5054B" w:rsidRDefault="00964E01">
            <w:pPr>
              <w:jc w:val="right"/>
              <w:cnfStyle w:val="000000000000" w:firstRow="0" w:lastRow="0" w:firstColumn="0" w:lastColumn="0" w:oddVBand="0" w:evenVBand="0" w:oddHBand="0" w:evenHBand="0" w:firstRowFirstColumn="0" w:firstRowLastColumn="0" w:lastRowFirstColumn="0" w:lastRowLastColumn="0"/>
            </w:pPr>
            <w:r w:rsidRPr="00F5054B">
              <w:t>46,2</w:t>
            </w:r>
          </w:p>
        </w:tc>
      </w:tr>
    </w:tbl>
    <w:p w14:paraId="5390FDD3" w14:textId="77777777" w:rsidR="00AF6EFB" w:rsidRDefault="00AF6EFB" w:rsidP="00964E01">
      <w:pPr>
        <w:spacing w:after="0" w:line="240" w:lineRule="auto"/>
        <w:contextualSpacing/>
        <w:rPr>
          <w:sz w:val="18"/>
          <w:szCs w:val="18"/>
          <w:lang w:val="en-US"/>
        </w:rPr>
      </w:pPr>
    </w:p>
    <w:p w14:paraId="7C666B61" w14:textId="77777777" w:rsidR="00964E01" w:rsidRPr="00F05403" w:rsidRDefault="00964E01" w:rsidP="00964E01">
      <w:pPr>
        <w:spacing w:after="0" w:line="240" w:lineRule="auto"/>
        <w:contextualSpacing/>
        <w:rPr>
          <w:sz w:val="18"/>
          <w:szCs w:val="18"/>
          <w:lang w:val="en-US"/>
        </w:rPr>
      </w:pPr>
      <w:r w:rsidRPr="00F05403">
        <w:rPr>
          <w:sz w:val="18"/>
          <w:szCs w:val="18"/>
          <w:lang w:val="en-US"/>
        </w:rPr>
        <w:t>Fuente: OECD, Pension Markets in Focus No.19, 2022</w:t>
      </w:r>
      <w:r w:rsidRPr="00F05403">
        <w:rPr>
          <w:sz w:val="18"/>
          <w:szCs w:val="18"/>
          <w:lang w:val="en-US"/>
        </w:rPr>
        <w:tab/>
      </w:r>
      <w:r w:rsidRPr="00F05403">
        <w:rPr>
          <w:sz w:val="18"/>
          <w:szCs w:val="18"/>
          <w:lang w:val="en-US"/>
        </w:rPr>
        <w:tab/>
      </w:r>
      <w:r w:rsidRPr="00F05403">
        <w:rPr>
          <w:sz w:val="18"/>
          <w:szCs w:val="18"/>
          <w:lang w:val="en-US"/>
        </w:rPr>
        <w:tab/>
      </w:r>
      <w:r w:rsidRPr="00F05403">
        <w:rPr>
          <w:sz w:val="18"/>
          <w:szCs w:val="18"/>
          <w:lang w:val="en-US"/>
        </w:rPr>
        <w:tab/>
      </w:r>
      <w:r w:rsidRPr="00F05403">
        <w:rPr>
          <w:sz w:val="18"/>
          <w:szCs w:val="18"/>
          <w:lang w:val="en-US"/>
        </w:rPr>
        <w:tab/>
      </w:r>
    </w:p>
    <w:p w14:paraId="00325F61" w14:textId="77777777" w:rsidR="00964E01" w:rsidRPr="00F05403" w:rsidRDefault="00964E01" w:rsidP="00964E01">
      <w:pPr>
        <w:spacing w:after="0" w:line="240" w:lineRule="auto"/>
        <w:contextualSpacing/>
        <w:jc w:val="both"/>
        <w:rPr>
          <w:sz w:val="18"/>
          <w:szCs w:val="18"/>
        </w:rPr>
      </w:pPr>
      <w:r w:rsidRPr="00F05403">
        <w:rPr>
          <w:sz w:val="18"/>
          <w:szCs w:val="18"/>
        </w:rPr>
        <w:t>Nota: La categoría "Otros" incluye préstamos, terrenos y edificios, contratos de seguros no asignados, fondos de cobertura, fondos de capital riesgo/inversión, productos estructurados, otros fondos de inversión (es decir, no invertidos en acciones, letras y obligaciones o efectivo y depósitos) y otras inversiones</w:t>
      </w:r>
      <w:r w:rsidR="005E6D85" w:rsidRPr="00F05403">
        <w:rPr>
          <w:sz w:val="18"/>
          <w:szCs w:val="18"/>
        </w:rPr>
        <w:t>.</w:t>
      </w:r>
    </w:p>
    <w:p w14:paraId="2781B886" w14:textId="77777777" w:rsidR="00964E01" w:rsidRDefault="00964E01" w:rsidP="00964E01">
      <w:pPr>
        <w:spacing w:after="0" w:line="240" w:lineRule="auto"/>
        <w:contextualSpacing/>
        <w:rPr>
          <w:color w:val="FF0000"/>
        </w:rPr>
      </w:pPr>
    </w:p>
    <w:p w14:paraId="3690AD92" w14:textId="77777777" w:rsidR="00964E01" w:rsidRDefault="00964E01" w:rsidP="00964E01">
      <w:pPr>
        <w:spacing w:after="0" w:line="240" w:lineRule="auto"/>
        <w:contextualSpacing/>
        <w:jc w:val="both"/>
      </w:pPr>
      <w:r>
        <w:t>En México se tienen límites globales amplios, por ejemplo, el límite de inversión en el exterior es de 20% de los activos del fondo</w:t>
      </w:r>
      <w:r>
        <w:rPr>
          <w:rStyle w:val="Refdenotaalpie"/>
        </w:rPr>
        <w:footnoteReference w:id="19"/>
      </w:r>
      <w:r>
        <w:t xml:space="preserve">, a su vez, cualquier generación puede tener hasta un 100% de sus inversiones en deuda gubernamental soberana. La diferenciación de los portafolios se da básicamente en dos tipos de instrumentos: renta </w:t>
      </w:r>
      <w:r w:rsidR="005E6D85">
        <w:t xml:space="preserve">fija y renta </w:t>
      </w:r>
      <w:r>
        <w:t xml:space="preserve">variable (acciones y títulos representativos de propiedad), </w:t>
      </w:r>
      <w:r w:rsidR="005E6D85">
        <w:t xml:space="preserve">y en esta última </w:t>
      </w:r>
      <w:r>
        <w:t xml:space="preserve">se permite en la generación más joven (Básica </w:t>
      </w:r>
      <w:r w:rsidR="005E6D85">
        <w:t>inicial</w:t>
      </w:r>
      <w:r>
        <w:t xml:space="preserve">) hasta un 60%, límite que gradualmente desciende hasta la generación de mayor edad (Básica </w:t>
      </w:r>
      <w:r w:rsidR="005E6D85">
        <w:t>pensiones</w:t>
      </w:r>
      <w:r>
        <w:t xml:space="preserve">), a la cual se le </w:t>
      </w:r>
      <w:r w:rsidR="005E6D85">
        <w:t>admite</w:t>
      </w:r>
      <w:r>
        <w:t xml:space="preserve"> como máximo un 15% de los activos del fondo</w:t>
      </w:r>
      <w:r w:rsidR="005E6D85">
        <w:t>.</w:t>
      </w:r>
      <w:r>
        <w:t xml:space="preserve"> Además, la regulación incluye límites para lo que ese país llama instrumentos </w:t>
      </w:r>
      <w:proofErr w:type="spellStart"/>
      <w:r w:rsidRPr="00E357E2">
        <w:rPr>
          <w:i/>
        </w:rPr>
        <w:t>bursatilizados</w:t>
      </w:r>
      <w:proofErr w:type="spellEnd"/>
      <w:r>
        <w:t xml:space="preserve">, en donde se incluyen acciones individuales, que pueden adquirirse en la generación más joven hasta un 40%, </w:t>
      </w:r>
      <w:r w:rsidR="005E6D85">
        <w:t xml:space="preserve">y, por su parte, a la generación de mayor edad se le permite ese tipo de instrumentos hasta un 20% de los activos administrados. </w:t>
      </w:r>
      <w:r>
        <w:t>Es decir, la práctica de México en cuanto a l</w:t>
      </w:r>
      <w:r w:rsidR="009E4B44">
        <w:t>í</w:t>
      </w:r>
      <w:r>
        <w:t>mites es crear categorías de instrumentos con límites máximos que paulatinamente se van reduciendo con el propósito de inducir a una me</w:t>
      </w:r>
      <w:r w:rsidR="00CE4E90">
        <w:t>n</w:t>
      </w:r>
      <w:r>
        <w:t>or volatilidad de los portafolios.</w:t>
      </w:r>
    </w:p>
    <w:p w14:paraId="56DBC5E1" w14:textId="77777777" w:rsidR="00964E01" w:rsidRDefault="00964E01" w:rsidP="00964E01">
      <w:pPr>
        <w:spacing w:after="0" w:line="240" w:lineRule="auto"/>
        <w:contextualSpacing/>
        <w:jc w:val="both"/>
      </w:pPr>
    </w:p>
    <w:p w14:paraId="48431BAF" w14:textId="77777777" w:rsidR="002205A4" w:rsidRPr="002205A4" w:rsidRDefault="00964E01" w:rsidP="002205A4">
      <w:pPr>
        <w:spacing w:after="0" w:line="240" w:lineRule="auto"/>
        <w:contextualSpacing/>
        <w:jc w:val="both"/>
      </w:pPr>
      <w:r w:rsidRPr="007B1E6F">
        <w:t xml:space="preserve">En el caso de los Estados Unidos, </w:t>
      </w:r>
      <w:r>
        <w:t>no existe una regulación que establezca límites. Es decir, este país ejemplifica una posición de autorregulación de una industria que define los l</w:t>
      </w:r>
      <w:r w:rsidR="00C46020">
        <w:t>í</w:t>
      </w:r>
      <w:r>
        <w:t>mites asociados a los fondos de fecha objetivo.</w:t>
      </w:r>
      <w:r w:rsidR="002205A4">
        <w:t xml:space="preserve"> </w:t>
      </w:r>
      <w:r w:rsidR="005E6D85">
        <w:rPr>
          <w:lang w:val="es-CR"/>
        </w:rPr>
        <w:t>Los datos en este caso muestran, similar al caso mexicano, un menor uso de instrumentos de deuda en las generaciones jóvenes, potenciando el uso de la renta variable para un mayor crecimiento de los activos</w:t>
      </w:r>
      <w:r w:rsidR="002205A4">
        <w:rPr>
          <w:lang w:val="es-CR"/>
        </w:rPr>
        <w:t>.</w:t>
      </w:r>
    </w:p>
    <w:p w14:paraId="5189E556" w14:textId="77777777" w:rsidR="00964E01" w:rsidRPr="002205A4" w:rsidRDefault="00964E01" w:rsidP="00964E01">
      <w:pPr>
        <w:spacing w:after="0" w:line="240" w:lineRule="auto"/>
        <w:contextualSpacing/>
        <w:jc w:val="both"/>
        <w:rPr>
          <w:lang w:val="es-CR"/>
        </w:rPr>
      </w:pPr>
    </w:p>
    <w:p w14:paraId="322FE923" w14:textId="77777777" w:rsidR="00964E01" w:rsidRPr="007B1E6F" w:rsidRDefault="00964E01" w:rsidP="00964E01">
      <w:pPr>
        <w:spacing w:after="0" w:line="240" w:lineRule="auto"/>
        <w:contextualSpacing/>
        <w:jc w:val="both"/>
      </w:pPr>
      <w:r>
        <w:t xml:space="preserve">Otro ejemplo son </w:t>
      </w:r>
      <w:r w:rsidRPr="00C65F7E">
        <w:t xml:space="preserve">los TDF gestionados por </w:t>
      </w:r>
      <w:proofErr w:type="spellStart"/>
      <w:r w:rsidRPr="00C65F7E">
        <w:t>Vanguard</w:t>
      </w:r>
      <w:proofErr w:type="spellEnd"/>
      <w:r w:rsidRPr="00C65F7E">
        <w:t xml:space="preserve">. En el </w:t>
      </w:r>
      <w:r w:rsidR="00C65F7E">
        <w:t xml:space="preserve">cuadro siguiente </w:t>
      </w:r>
      <w:r w:rsidRPr="00C65F7E">
        <w:t xml:space="preserve">se presenta la distribución de instrumentos para tres momentos en el tiempo, con fecha focal 2030, 2040 y 2060. </w:t>
      </w:r>
      <w:r w:rsidR="005E6D85" w:rsidRPr="00C65F7E">
        <w:t>En este caso,</w:t>
      </w:r>
      <w:r w:rsidRPr="00C65F7E">
        <w:t xml:space="preserve"> la prudencia del gestor a la hora de perfilar a sus clientes determina la </w:t>
      </w:r>
      <w:r w:rsidR="00761158" w:rsidRPr="00C65F7E">
        <w:t>estrategia de inversión con la consecuente selección de instrumentos en</w:t>
      </w:r>
      <w:r w:rsidRPr="00C65F7E">
        <w:t xml:space="preserve"> estos productos. </w:t>
      </w:r>
      <w:r w:rsidR="00761158" w:rsidRPr="00C65F7E">
        <w:t>Nótese c</w:t>
      </w:r>
      <w:r w:rsidR="00C65F7E">
        <w:t>ó</w:t>
      </w:r>
      <w:r w:rsidR="00761158" w:rsidRPr="00C65F7E">
        <w:t xml:space="preserve">mo a medida que la fecha de pensión </w:t>
      </w:r>
      <w:r w:rsidR="00036A86" w:rsidRPr="00C65F7E">
        <w:t>se</w:t>
      </w:r>
      <w:r w:rsidR="00761158" w:rsidRPr="00C65F7E">
        <w:t xml:space="preserve"> </w:t>
      </w:r>
      <w:r w:rsidR="001027B1" w:rsidRPr="00C65F7E">
        <w:t>a</w:t>
      </w:r>
      <w:r w:rsidR="00761158" w:rsidRPr="00C65F7E">
        <w:t>pr</w:t>
      </w:r>
      <w:r w:rsidR="001027B1" w:rsidRPr="00C65F7E">
        <w:t>o</w:t>
      </w:r>
      <w:r w:rsidR="00761158" w:rsidRPr="00C65F7E">
        <w:t xml:space="preserve">xima, los </w:t>
      </w:r>
      <w:r w:rsidR="00761158">
        <w:t>niveles de instrumentos con menor volatilidad son mayores porcentualmente en el portafolio.</w:t>
      </w:r>
    </w:p>
    <w:p w14:paraId="730FB5D5" w14:textId="77777777" w:rsidR="00964E01" w:rsidRDefault="00964E01" w:rsidP="00964E01">
      <w:pPr>
        <w:spacing w:after="0" w:line="240" w:lineRule="auto"/>
        <w:contextualSpacing/>
        <w:jc w:val="both"/>
      </w:pPr>
    </w:p>
    <w:p w14:paraId="3CBFAF94" w14:textId="77777777" w:rsidR="00172C71" w:rsidRDefault="00172C71" w:rsidP="00964E01">
      <w:pPr>
        <w:spacing w:after="0" w:line="240" w:lineRule="auto"/>
        <w:contextualSpacing/>
        <w:jc w:val="both"/>
      </w:pPr>
    </w:p>
    <w:p w14:paraId="20BF9CB4" w14:textId="77777777" w:rsidR="00172C71" w:rsidRDefault="00172C71" w:rsidP="00964E01">
      <w:pPr>
        <w:spacing w:after="0" w:line="240" w:lineRule="auto"/>
        <w:contextualSpacing/>
        <w:jc w:val="both"/>
      </w:pPr>
    </w:p>
    <w:p w14:paraId="71EB7A5B" w14:textId="77777777" w:rsidR="00172C71" w:rsidRDefault="00172C71" w:rsidP="00964E01">
      <w:pPr>
        <w:spacing w:after="0" w:line="240" w:lineRule="auto"/>
        <w:contextualSpacing/>
        <w:jc w:val="both"/>
      </w:pPr>
    </w:p>
    <w:p w14:paraId="71C1F482" w14:textId="77777777" w:rsidR="00964E01" w:rsidRDefault="00964E01" w:rsidP="00964E01">
      <w:pPr>
        <w:pStyle w:val="Descripcin"/>
        <w:rPr>
          <w:lang w:val="es-CR"/>
        </w:rPr>
      </w:pPr>
      <w:bookmarkStart w:id="53" w:name="_Ref136370167"/>
      <w:r>
        <w:t xml:space="preserve">Cuadro </w:t>
      </w:r>
      <w:bookmarkEnd w:id="53"/>
      <w:r w:rsidR="00C65F7E">
        <w:t>8</w:t>
      </w:r>
      <w:r>
        <w:t xml:space="preserve">: </w:t>
      </w:r>
      <w:r w:rsidRPr="008633DF">
        <w:rPr>
          <w:lang w:val="es-CR"/>
        </w:rPr>
        <w:t xml:space="preserve">Target Date </w:t>
      </w:r>
      <w:proofErr w:type="spellStart"/>
      <w:r w:rsidRPr="008633DF">
        <w:rPr>
          <w:lang w:val="es-CR"/>
        </w:rPr>
        <w:t>Funds</w:t>
      </w:r>
      <w:proofErr w:type="spellEnd"/>
      <w:r w:rsidRPr="008633DF">
        <w:rPr>
          <w:lang w:val="es-CR"/>
        </w:rPr>
        <w:t xml:space="preserve"> de </w:t>
      </w:r>
      <w:proofErr w:type="spellStart"/>
      <w:r w:rsidRPr="008633DF">
        <w:rPr>
          <w:lang w:val="es-CR"/>
        </w:rPr>
        <w:t>Vanguard</w:t>
      </w:r>
      <w:proofErr w:type="spellEnd"/>
    </w:p>
    <w:p w14:paraId="38CE1E61" w14:textId="77777777" w:rsidR="00D93F43" w:rsidRPr="00D93F43" w:rsidRDefault="00D93F43" w:rsidP="00D93F43">
      <w:pPr>
        <w:rPr>
          <w:lang w:val="es-CR"/>
        </w:rPr>
      </w:pPr>
    </w:p>
    <w:tbl>
      <w:tblPr>
        <w:tblStyle w:val="Tablaconcuadrcula4-nfasis1"/>
        <w:tblW w:w="9205" w:type="dxa"/>
        <w:tblLook w:val="04A0" w:firstRow="1" w:lastRow="0" w:firstColumn="1" w:lastColumn="0" w:noHBand="0" w:noVBand="1"/>
      </w:tblPr>
      <w:tblGrid>
        <w:gridCol w:w="4673"/>
        <w:gridCol w:w="1333"/>
        <w:gridCol w:w="1546"/>
        <w:gridCol w:w="1653"/>
      </w:tblGrid>
      <w:tr w:rsidR="00964E01" w:rsidRPr="00225BB2" w14:paraId="476A74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6705284" w14:textId="77777777" w:rsidR="00964E01" w:rsidRPr="008633DF" w:rsidRDefault="00964E01">
            <w:pPr>
              <w:contextualSpacing/>
              <w:jc w:val="center"/>
              <w:rPr>
                <w:lang w:val="es-CR"/>
              </w:rPr>
            </w:pPr>
            <w:r>
              <w:rPr>
                <w:lang w:val="es-CR"/>
              </w:rPr>
              <w:t>Instrumentos</w:t>
            </w:r>
          </w:p>
        </w:tc>
        <w:tc>
          <w:tcPr>
            <w:tcW w:w="1333" w:type="dxa"/>
          </w:tcPr>
          <w:p w14:paraId="2E1A85A5" w14:textId="77777777" w:rsidR="00964E01" w:rsidRDefault="00964E01">
            <w:pPr>
              <w:contextualSpacing/>
              <w:jc w:val="center"/>
              <w:cnfStyle w:val="100000000000" w:firstRow="1" w:lastRow="0" w:firstColumn="0" w:lastColumn="0" w:oddVBand="0" w:evenVBand="0" w:oddHBand="0" w:evenHBand="0" w:firstRowFirstColumn="0" w:firstRowLastColumn="0" w:lastRowFirstColumn="0" w:lastRowLastColumn="0"/>
            </w:pPr>
            <w:proofErr w:type="spellStart"/>
            <w:r w:rsidRPr="00734DAC">
              <w:t>Vanguard</w:t>
            </w:r>
            <w:proofErr w:type="spellEnd"/>
          </w:p>
          <w:p w14:paraId="4A85CFCD" w14:textId="77777777" w:rsidR="00964E01" w:rsidRPr="00734DAC" w:rsidRDefault="00964E01">
            <w:pPr>
              <w:contextualSpacing/>
              <w:jc w:val="center"/>
              <w:cnfStyle w:val="100000000000" w:firstRow="1" w:lastRow="0" w:firstColumn="0" w:lastColumn="0" w:oddVBand="0" w:evenVBand="0" w:oddHBand="0" w:evenHBand="0" w:firstRowFirstColumn="0" w:firstRowLastColumn="0" w:lastRowFirstColumn="0" w:lastRowLastColumn="0"/>
            </w:pPr>
            <w:r>
              <w:t>2030</w:t>
            </w:r>
          </w:p>
        </w:tc>
        <w:tc>
          <w:tcPr>
            <w:tcW w:w="1546" w:type="dxa"/>
          </w:tcPr>
          <w:p w14:paraId="0A81C28B" w14:textId="77777777" w:rsidR="00964E01" w:rsidRDefault="00964E01">
            <w:pPr>
              <w:contextualSpacing/>
              <w:jc w:val="center"/>
              <w:cnfStyle w:val="100000000000" w:firstRow="1" w:lastRow="0" w:firstColumn="0" w:lastColumn="0" w:oddVBand="0" w:evenVBand="0" w:oddHBand="0" w:evenHBand="0" w:firstRowFirstColumn="0" w:firstRowLastColumn="0" w:lastRowFirstColumn="0" w:lastRowLastColumn="0"/>
            </w:pPr>
            <w:proofErr w:type="spellStart"/>
            <w:r w:rsidRPr="00734DAC">
              <w:t>Vanguard</w:t>
            </w:r>
            <w:proofErr w:type="spellEnd"/>
          </w:p>
          <w:p w14:paraId="2F110485" w14:textId="77777777" w:rsidR="00964E01" w:rsidRPr="00225BB2" w:rsidRDefault="00964E01">
            <w:pPr>
              <w:contextualSpacing/>
              <w:jc w:val="center"/>
              <w:cnfStyle w:val="100000000000" w:firstRow="1" w:lastRow="0" w:firstColumn="0" w:lastColumn="0" w:oddVBand="0" w:evenVBand="0" w:oddHBand="0" w:evenHBand="0" w:firstRowFirstColumn="0" w:firstRowLastColumn="0" w:lastRowFirstColumn="0" w:lastRowLastColumn="0"/>
              <w:rPr>
                <w:lang w:val="en-US"/>
              </w:rPr>
            </w:pPr>
            <w:r>
              <w:t>2040</w:t>
            </w:r>
          </w:p>
        </w:tc>
        <w:tc>
          <w:tcPr>
            <w:tcW w:w="1653" w:type="dxa"/>
          </w:tcPr>
          <w:p w14:paraId="3AE73ABC" w14:textId="77777777" w:rsidR="00964E01" w:rsidRDefault="00964E01">
            <w:pPr>
              <w:contextualSpacing/>
              <w:jc w:val="center"/>
              <w:cnfStyle w:val="100000000000" w:firstRow="1" w:lastRow="0" w:firstColumn="0" w:lastColumn="0" w:oddVBand="0" w:evenVBand="0" w:oddHBand="0" w:evenHBand="0" w:firstRowFirstColumn="0" w:firstRowLastColumn="0" w:lastRowFirstColumn="0" w:lastRowLastColumn="0"/>
            </w:pPr>
            <w:proofErr w:type="spellStart"/>
            <w:r w:rsidRPr="00734DAC">
              <w:t>Vanguard</w:t>
            </w:r>
            <w:proofErr w:type="spellEnd"/>
          </w:p>
          <w:p w14:paraId="53C4FEA9" w14:textId="77777777" w:rsidR="00964E01" w:rsidRPr="00225BB2" w:rsidRDefault="00964E01">
            <w:pPr>
              <w:contextualSpacing/>
              <w:jc w:val="center"/>
              <w:cnfStyle w:val="100000000000" w:firstRow="1" w:lastRow="0" w:firstColumn="0" w:lastColumn="0" w:oddVBand="0" w:evenVBand="0" w:oddHBand="0" w:evenHBand="0" w:firstRowFirstColumn="0" w:firstRowLastColumn="0" w:lastRowFirstColumn="0" w:lastRowLastColumn="0"/>
              <w:rPr>
                <w:lang w:val="en-US"/>
              </w:rPr>
            </w:pPr>
            <w:r>
              <w:t>2060</w:t>
            </w:r>
          </w:p>
        </w:tc>
      </w:tr>
      <w:tr w:rsidR="00964E01" w:rsidRPr="001C7475" w14:paraId="744E9F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9FEB487" w14:textId="77777777" w:rsidR="00964E01" w:rsidRPr="006C5A84" w:rsidRDefault="00964E01">
            <w:pPr>
              <w:contextualSpacing/>
              <w:rPr>
                <w:b w:val="0"/>
                <w:bCs w:val="0"/>
                <w:lang w:val="en-US"/>
              </w:rPr>
            </w:pPr>
            <w:r w:rsidRPr="006C5A84">
              <w:rPr>
                <w:b w:val="0"/>
                <w:bCs w:val="0"/>
                <w:lang w:val="en-US"/>
              </w:rPr>
              <w:t>Stock Market Index Fund Institutional Plus Shares</w:t>
            </w:r>
          </w:p>
        </w:tc>
        <w:tc>
          <w:tcPr>
            <w:tcW w:w="1333" w:type="dxa"/>
          </w:tcPr>
          <w:p w14:paraId="1B608759" w14:textId="77777777" w:rsidR="00964E01" w:rsidRPr="00CB24CB" w:rsidRDefault="00964E01">
            <w:pPr>
              <w:contextualSpacing/>
              <w:jc w:val="center"/>
              <w:cnfStyle w:val="000000100000" w:firstRow="0" w:lastRow="0" w:firstColumn="0" w:lastColumn="0" w:oddVBand="0" w:evenVBand="0" w:oddHBand="1" w:evenHBand="0" w:firstRowFirstColumn="0" w:firstRowLastColumn="0" w:lastRowFirstColumn="0" w:lastRowLastColumn="0"/>
            </w:pPr>
            <w:r w:rsidRPr="00CB24CB">
              <w:t>38,10%</w:t>
            </w:r>
          </w:p>
        </w:tc>
        <w:tc>
          <w:tcPr>
            <w:tcW w:w="1546" w:type="dxa"/>
          </w:tcPr>
          <w:p w14:paraId="61350ED0" w14:textId="77777777" w:rsidR="00964E01" w:rsidRPr="00CB24CB" w:rsidRDefault="00964E01">
            <w:pPr>
              <w:contextualSpacing/>
              <w:jc w:val="center"/>
              <w:cnfStyle w:val="000000100000" w:firstRow="0" w:lastRow="0" w:firstColumn="0" w:lastColumn="0" w:oddVBand="0" w:evenVBand="0" w:oddHBand="1" w:evenHBand="0" w:firstRowFirstColumn="0" w:firstRowLastColumn="0" w:lastRowFirstColumn="0" w:lastRowLastColumn="0"/>
            </w:pPr>
            <w:r w:rsidRPr="00CB24CB">
              <w:t>46,9%</w:t>
            </w:r>
          </w:p>
        </w:tc>
        <w:tc>
          <w:tcPr>
            <w:tcW w:w="1653" w:type="dxa"/>
          </w:tcPr>
          <w:p w14:paraId="4B862537" w14:textId="77777777" w:rsidR="00964E01" w:rsidRPr="00CB24CB" w:rsidRDefault="00964E01">
            <w:pPr>
              <w:contextualSpacing/>
              <w:jc w:val="center"/>
              <w:cnfStyle w:val="000000100000" w:firstRow="0" w:lastRow="0" w:firstColumn="0" w:lastColumn="0" w:oddVBand="0" w:evenVBand="0" w:oddHBand="1" w:evenHBand="0" w:firstRowFirstColumn="0" w:firstRowLastColumn="0" w:lastRowFirstColumn="0" w:lastRowLastColumn="0"/>
            </w:pPr>
            <w:r w:rsidRPr="00CB24CB">
              <w:t>53,9%</w:t>
            </w:r>
          </w:p>
        </w:tc>
      </w:tr>
      <w:tr w:rsidR="00964E01" w:rsidRPr="00986F6D" w14:paraId="4E50B98A" w14:textId="77777777">
        <w:tc>
          <w:tcPr>
            <w:cnfStyle w:val="001000000000" w:firstRow="0" w:lastRow="0" w:firstColumn="1" w:lastColumn="0" w:oddVBand="0" w:evenVBand="0" w:oddHBand="0" w:evenHBand="0" w:firstRowFirstColumn="0" w:firstRowLastColumn="0" w:lastRowFirstColumn="0" w:lastRowLastColumn="0"/>
            <w:tcW w:w="4673" w:type="dxa"/>
          </w:tcPr>
          <w:p w14:paraId="073C4B6D" w14:textId="77777777" w:rsidR="00964E01" w:rsidRPr="006C5A84" w:rsidRDefault="00964E01">
            <w:pPr>
              <w:contextualSpacing/>
              <w:rPr>
                <w:b w:val="0"/>
                <w:bCs w:val="0"/>
                <w:lang w:val="en-US"/>
              </w:rPr>
            </w:pPr>
            <w:r w:rsidRPr="006C5A84">
              <w:rPr>
                <w:b w:val="0"/>
                <w:bCs w:val="0"/>
                <w:lang w:val="en-US"/>
              </w:rPr>
              <w:t>International Stock Index Fund Investor Shares</w:t>
            </w:r>
          </w:p>
        </w:tc>
        <w:tc>
          <w:tcPr>
            <w:tcW w:w="1333" w:type="dxa"/>
          </w:tcPr>
          <w:p w14:paraId="2F26472D" w14:textId="77777777" w:rsidR="00964E01" w:rsidRPr="00CB24CB" w:rsidRDefault="00964E01">
            <w:pPr>
              <w:contextualSpacing/>
              <w:jc w:val="center"/>
              <w:cnfStyle w:val="000000000000" w:firstRow="0" w:lastRow="0" w:firstColumn="0" w:lastColumn="0" w:oddVBand="0" w:evenVBand="0" w:oddHBand="0" w:evenHBand="0" w:firstRowFirstColumn="0" w:firstRowLastColumn="0" w:lastRowFirstColumn="0" w:lastRowLastColumn="0"/>
            </w:pPr>
            <w:r w:rsidRPr="00CB24CB">
              <w:t>26,3%</w:t>
            </w:r>
          </w:p>
        </w:tc>
        <w:tc>
          <w:tcPr>
            <w:tcW w:w="1546" w:type="dxa"/>
          </w:tcPr>
          <w:p w14:paraId="6A855420" w14:textId="77777777" w:rsidR="00964E01" w:rsidRPr="00CB24CB" w:rsidRDefault="00964E01">
            <w:pPr>
              <w:contextualSpacing/>
              <w:jc w:val="center"/>
              <w:cnfStyle w:val="000000000000" w:firstRow="0" w:lastRow="0" w:firstColumn="0" w:lastColumn="0" w:oddVBand="0" w:evenVBand="0" w:oddHBand="0" w:evenHBand="0" w:firstRowFirstColumn="0" w:firstRowLastColumn="0" w:lastRowFirstColumn="0" w:lastRowLastColumn="0"/>
            </w:pPr>
            <w:r w:rsidRPr="00CB24CB">
              <w:t>32,0%</w:t>
            </w:r>
          </w:p>
        </w:tc>
        <w:tc>
          <w:tcPr>
            <w:tcW w:w="1653" w:type="dxa"/>
          </w:tcPr>
          <w:p w14:paraId="17F9341B" w14:textId="77777777" w:rsidR="00964E01" w:rsidRPr="00CB24CB" w:rsidRDefault="00964E01">
            <w:pPr>
              <w:contextualSpacing/>
              <w:jc w:val="center"/>
              <w:cnfStyle w:val="000000000000" w:firstRow="0" w:lastRow="0" w:firstColumn="0" w:lastColumn="0" w:oddVBand="0" w:evenVBand="0" w:oddHBand="0" w:evenHBand="0" w:firstRowFirstColumn="0" w:firstRowLastColumn="0" w:lastRowFirstColumn="0" w:lastRowLastColumn="0"/>
            </w:pPr>
            <w:r w:rsidRPr="00CB24CB">
              <w:t>36,5%</w:t>
            </w:r>
          </w:p>
        </w:tc>
      </w:tr>
      <w:tr w:rsidR="00964E01" w:rsidRPr="00986F6D" w14:paraId="192E5A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9EAB2C9" w14:textId="77777777" w:rsidR="00964E01" w:rsidRPr="006C5A84" w:rsidRDefault="00964E01">
            <w:pPr>
              <w:contextualSpacing/>
              <w:rPr>
                <w:b w:val="0"/>
                <w:bCs w:val="0"/>
                <w:lang w:val="en-US"/>
              </w:rPr>
            </w:pPr>
            <w:r w:rsidRPr="006C5A84">
              <w:rPr>
                <w:b w:val="0"/>
                <w:bCs w:val="0"/>
                <w:lang w:val="en-US"/>
              </w:rPr>
              <w:t>Bond Market II Index Fund</w:t>
            </w:r>
          </w:p>
        </w:tc>
        <w:tc>
          <w:tcPr>
            <w:tcW w:w="1333" w:type="dxa"/>
          </w:tcPr>
          <w:p w14:paraId="0BD97FB8" w14:textId="77777777" w:rsidR="00964E01" w:rsidRPr="00CB24CB" w:rsidRDefault="00964E01">
            <w:pPr>
              <w:contextualSpacing/>
              <w:jc w:val="center"/>
              <w:cnfStyle w:val="000000100000" w:firstRow="0" w:lastRow="0" w:firstColumn="0" w:lastColumn="0" w:oddVBand="0" w:evenVBand="0" w:oddHBand="1" w:evenHBand="0" w:firstRowFirstColumn="0" w:firstRowLastColumn="0" w:lastRowFirstColumn="0" w:lastRowLastColumn="0"/>
            </w:pPr>
            <w:r w:rsidRPr="00CB24CB">
              <w:t>24,9%</w:t>
            </w:r>
          </w:p>
        </w:tc>
        <w:tc>
          <w:tcPr>
            <w:tcW w:w="1546" w:type="dxa"/>
          </w:tcPr>
          <w:p w14:paraId="32058040" w14:textId="77777777" w:rsidR="00964E01" w:rsidRPr="00CB24CB" w:rsidRDefault="00964E01">
            <w:pPr>
              <w:contextualSpacing/>
              <w:jc w:val="center"/>
              <w:cnfStyle w:val="000000100000" w:firstRow="0" w:lastRow="0" w:firstColumn="0" w:lastColumn="0" w:oddVBand="0" w:evenVBand="0" w:oddHBand="1" w:evenHBand="0" w:firstRowFirstColumn="0" w:firstRowLastColumn="0" w:lastRowFirstColumn="0" w:lastRowLastColumn="0"/>
            </w:pPr>
            <w:r w:rsidRPr="00CB24CB">
              <w:t>14,9%</w:t>
            </w:r>
          </w:p>
        </w:tc>
        <w:tc>
          <w:tcPr>
            <w:tcW w:w="1653" w:type="dxa"/>
          </w:tcPr>
          <w:p w14:paraId="1815D8E4" w14:textId="77777777" w:rsidR="00964E01" w:rsidRPr="00CB24CB" w:rsidRDefault="00964E01">
            <w:pPr>
              <w:contextualSpacing/>
              <w:jc w:val="center"/>
              <w:cnfStyle w:val="000000100000" w:firstRow="0" w:lastRow="0" w:firstColumn="0" w:lastColumn="0" w:oddVBand="0" w:evenVBand="0" w:oddHBand="1" w:evenHBand="0" w:firstRowFirstColumn="0" w:firstRowLastColumn="0" w:lastRowFirstColumn="0" w:lastRowLastColumn="0"/>
            </w:pPr>
            <w:r w:rsidRPr="00CB24CB">
              <w:t>6,9%</w:t>
            </w:r>
          </w:p>
        </w:tc>
      </w:tr>
      <w:tr w:rsidR="00964E01" w:rsidRPr="00986F6D" w14:paraId="239ED19B" w14:textId="77777777">
        <w:tc>
          <w:tcPr>
            <w:cnfStyle w:val="001000000000" w:firstRow="0" w:lastRow="0" w:firstColumn="1" w:lastColumn="0" w:oddVBand="0" w:evenVBand="0" w:oddHBand="0" w:evenHBand="0" w:firstRowFirstColumn="0" w:firstRowLastColumn="0" w:lastRowFirstColumn="0" w:lastRowLastColumn="0"/>
            <w:tcW w:w="4673" w:type="dxa"/>
          </w:tcPr>
          <w:p w14:paraId="225E3840" w14:textId="77777777" w:rsidR="00964E01" w:rsidRPr="00CB24CB" w:rsidRDefault="00964E01">
            <w:pPr>
              <w:contextualSpacing/>
              <w:rPr>
                <w:b w:val="0"/>
                <w:bCs w:val="0"/>
              </w:rPr>
            </w:pPr>
            <w:r w:rsidRPr="00CB24CB">
              <w:rPr>
                <w:b w:val="0"/>
                <w:bCs w:val="0"/>
              </w:rPr>
              <w:t>International Bond</w:t>
            </w:r>
          </w:p>
        </w:tc>
        <w:tc>
          <w:tcPr>
            <w:tcW w:w="1333" w:type="dxa"/>
          </w:tcPr>
          <w:p w14:paraId="13A0B78F" w14:textId="77777777" w:rsidR="00964E01" w:rsidRPr="00CB24CB" w:rsidRDefault="00964E01">
            <w:pPr>
              <w:contextualSpacing/>
              <w:jc w:val="center"/>
              <w:cnfStyle w:val="000000000000" w:firstRow="0" w:lastRow="0" w:firstColumn="0" w:lastColumn="0" w:oddVBand="0" w:evenVBand="0" w:oddHBand="0" w:evenHBand="0" w:firstRowFirstColumn="0" w:firstRowLastColumn="0" w:lastRowFirstColumn="0" w:lastRowLastColumn="0"/>
            </w:pPr>
            <w:r w:rsidRPr="00CB24CB">
              <w:t>10,7%</w:t>
            </w:r>
          </w:p>
        </w:tc>
        <w:tc>
          <w:tcPr>
            <w:tcW w:w="1546" w:type="dxa"/>
          </w:tcPr>
          <w:p w14:paraId="17AEA74B" w14:textId="77777777" w:rsidR="00964E01" w:rsidRPr="00CB24CB" w:rsidRDefault="00964E01">
            <w:pPr>
              <w:contextualSpacing/>
              <w:jc w:val="center"/>
              <w:cnfStyle w:val="000000000000" w:firstRow="0" w:lastRow="0" w:firstColumn="0" w:lastColumn="0" w:oddVBand="0" w:evenVBand="0" w:oddHBand="0" w:evenHBand="0" w:firstRowFirstColumn="0" w:firstRowLastColumn="0" w:lastRowFirstColumn="0" w:lastRowLastColumn="0"/>
            </w:pPr>
            <w:r w:rsidRPr="00CB24CB">
              <w:t>6,2%</w:t>
            </w:r>
          </w:p>
        </w:tc>
        <w:tc>
          <w:tcPr>
            <w:tcW w:w="1653" w:type="dxa"/>
          </w:tcPr>
          <w:p w14:paraId="2254A085" w14:textId="77777777" w:rsidR="00964E01" w:rsidRPr="00CB24CB" w:rsidRDefault="00964E01">
            <w:pPr>
              <w:contextualSpacing/>
              <w:jc w:val="center"/>
              <w:cnfStyle w:val="000000000000" w:firstRow="0" w:lastRow="0" w:firstColumn="0" w:lastColumn="0" w:oddVBand="0" w:evenVBand="0" w:oddHBand="0" w:evenHBand="0" w:firstRowFirstColumn="0" w:firstRowLastColumn="0" w:lastRowFirstColumn="0" w:lastRowLastColumn="0"/>
            </w:pPr>
            <w:r w:rsidRPr="00CB24CB">
              <w:t>2,7%</w:t>
            </w:r>
          </w:p>
        </w:tc>
      </w:tr>
    </w:tbl>
    <w:p w14:paraId="1EDBDF22" w14:textId="77777777" w:rsidR="00D93F43" w:rsidRDefault="00D93F43" w:rsidP="00964E01">
      <w:pPr>
        <w:spacing w:after="0" w:line="240" w:lineRule="auto"/>
        <w:contextualSpacing/>
        <w:rPr>
          <w:lang w:val="es-CR"/>
        </w:rPr>
      </w:pPr>
    </w:p>
    <w:p w14:paraId="740BDB30" w14:textId="77777777" w:rsidR="00964E01" w:rsidRPr="00434BFB" w:rsidRDefault="00964E01" w:rsidP="00964E01">
      <w:pPr>
        <w:spacing w:after="0" w:line="240" w:lineRule="auto"/>
        <w:contextualSpacing/>
        <w:rPr>
          <w:lang w:val="es-CR"/>
        </w:rPr>
      </w:pPr>
      <w:r w:rsidRPr="00434BFB">
        <w:rPr>
          <w:lang w:val="es-CR"/>
        </w:rPr>
        <w:t>Fuente: https://investor.vanguard.com/</w:t>
      </w:r>
    </w:p>
    <w:p w14:paraId="05E4B75A" w14:textId="77777777" w:rsidR="00964E01" w:rsidRDefault="00964E01" w:rsidP="00964E01">
      <w:pPr>
        <w:spacing w:after="0" w:line="240" w:lineRule="auto"/>
        <w:contextualSpacing/>
        <w:jc w:val="both"/>
        <w:rPr>
          <w:lang w:val="es-CR"/>
        </w:rPr>
      </w:pPr>
    </w:p>
    <w:p w14:paraId="325AB55D" w14:textId="77777777" w:rsidR="00964E01" w:rsidRDefault="00964E01" w:rsidP="00964E01">
      <w:pPr>
        <w:spacing w:after="0" w:line="240" w:lineRule="auto"/>
        <w:contextualSpacing/>
        <w:jc w:val="both"/>
        <w:rPr>
          <w:rFonts w:eastAsiaTheme="minorEastAsia"/>
          <w:lang w:val="es-CR"/>
        </w:rPr>
      </w:pPr>
    </w:p>
    <w:p w14:paraId="5CEC7711" w14:textId="77777777" w:rsidR="00964E01" w:rsidRDefault="00964E01" w:rsidP="00964E01">
      <w:pPr>
        <w:pStyle w:val="Ttulo2"/>
        <w:rPr>
          <w:lang w:val="es-CR"/>
        </w:rPr>
      </w:pPr>
      <w:bookmarkStart w:id="54" w:name="_Toc144396547"/>
      <w:r>
        <w:rPr>
          <w:lang w:val="es-CR"/>
        </w:rPr>
        <w:t xml:space="preserve">5.3. Funcionamiento de los límites de los </w:t>
      </w:r>
      <w:r w:rsidR="002205A4">
        <w:rPr>
          <w:lang w:val="es-CR"/>
        </w:rPr>
        <w:t>fondos generacionales</w:t>
      </w:r>
      <w:bookmarkEnd w:id="54"/>
    </w:p>
    <w:p w14:paraId="76A0AF8C" w14:textId="77777777" w:rsidR="00964E01" w:rsidRDefault="00964E01" w:rsidP="00964E01">
      <w:pPr>
        <w:spacing w:after="0" w:line="240" w:lineRule="auto"/>
        <w:contextualSpacing/>
        <w:jc w:val="both"/>
        <w:rPr>
          <w:rFonts w:eastAsiaTheme="minorEastAsia"/>
        </w:rPr>
      </w:pPr>
    </w:p>
    <w:p w14:paraId="0D7B8F0A" w14:textId="77777777" w:rsidR="005E6D85" w:rsidRPr="00EF5862" w:rsidRDefault="005E6D85" w:rsidP="005E6D85">
      <w:pPr>
        <w:spacing w:after="0" w:line="240" w:lineRule="auto"/>
        <w:contextualSpacing/>
        <w:jc w:val="both"/>
        <w:rPr>
          <w:rFonts w:eastAsiaTheme="minorEastAsia"/>
        </w:rPr>
      </w:pPr>
      <w:r w:rsidRPr="00EF5862">
        <w:rPr>
          <w:rFonts w:eastAsiaTheme="minorEastAsia"/>
        </w:rPr>
        <w:t xml:space="preserve">Esta propuesta parte de la premisa que el afiliado no </w:t>
      </w:r>
      <w:r w:rsidR="00443019" w:rsidRPr="00EF5862">
        <w:rPr>
          <w:rFonts w:eastAsiaTheme="minorEastAsia"/>
        </w:rPr>
        <w:t>requiere cambiar</w:t>
      </w:r>
      <w:r w:rsidRPr="00EF5862">
        <w:rPr>
          <w:rFonts w:eastAsiaTheme="minorEastAsia"/>
        </w:rPr>
        <w:t xml:space="preserve"> de generación, sino que es la estrategia de inversión la que se mueve en función de la edad de los afiliados a lo largo del tiempo y conforme la cercanía de la fecha de pensión. </w:t>
      </w:r>
    </w:p>
    <w:p w14:paraId="582B2BCD" w14:textId="77777777" w:rsidR="005E6D85" w:rsidRPr="00EF5862" w:rsidRDefault="005E6D85" w:rsidP="005E6D85">
      <w:pPr>
        <w:spacing w:after="0" w:line="240" w:lineRule="auto"/>
        <w:contextualSpacing/>
        <w:jc w:val="both"/>
        <w:rPr>
          <w:rFonts w:eastAsiaTheme="minorEastAsia"/>
        </w:rPr>
      </w:pPr>
    </w:p>
    <w:p w14:paraId="0B3C4805" w14:textId="77777777" w:rsidR="005E6D85" w:rsidRPr="00EF5862" w:rsidRDefault="005E6D85" w:rsidP="005E6D85">
      <w:pPr>
        <w:jc w:val="both"/>
      </w:pPr>
      <w:r w:rsidRPr="00EF5862">
        <w:rPr>
          <w:rFonts w:eastAsiaTheme="minorEastAsia"/>
        </w:rPr>
        <w:t>La propuesta en cuestión tiene la ventaja de permitir al afiliado conocer la estrategia de largo plazo, la cual se ejemplifica en los colores del</w:t>
      </w:r>
      <w:r w:rsidR="006774D6">
        <w:rPr>
          <w:rFonts w:eastAsiaTheme="minorEastAsia"/>
        </w:rPr>
        <w:t xml:space="preserve"> gráfico siguiente</w:t>
      </w:r>
      <w:r w:rsidRPr="00EF5862">
        <w:rPr>
          <w:rFonts w:eastAsiaTheme="minorEastAsia"/>
        </w:rPr>
        <w:t xml:space="preserve">. En un inicio, la estrategia para los trabajadores jóvenes tiene una determinada combinación de instrumentos, por ejemplo, </w:t>
      </w:r>
      <w:r w:rsidR="00EF5862" w:rsidRPr="00EF5862">
        <w:rPr>
          <w:rFonts w:eastAsiaTheme="minorEastAsia"/>
        </w:rPr>
        <w:t>60</w:t>
      </w:r>
      <w:r w:rsidRPr="00EF5862">
        <w:rPr>
          <w:rFonts w:eastAsiaTheme="minorEastAsia"/>
        </w:rPr>
        <w:t xml:space="preserve">% de TRP, un </w:t>
      </w:r>
      <w:r w:rsidR="00EF5862" w:rsidRPr="00EF5862">
        <w:rPr>
          <w:rFonts w:eastAsiaTheme="minorEastAsia"/>
        </w:rPr>
        <w:t>3</w:t>
      </w:r>
      <w:r w:rsidR="00712616" w:rsidRPr="00EF5862">
        <w:rPr>
          <w:rFonts w:eastAsiaTheme="minorEastAsia"/>
        </w:rPr>
        <w:t>5</w:t>
      </w:r>
      <w:r w:rsidRPr="00EF5862">
        <w:rPr>
          <w:rFonts w:eastAsiaTheme="minorEastAsia"/>
        </w:rPr>
        <w:t>% de deuda y un 5% en disponibilidades. A medida que el trabajador envejece, la composición de instrumentos se ajusta, reduciendo los porcentajes de TRP y ganando peso en la proporción de deuda. A este cambio en la estrategia en el tiempo se le denomina trayectoria de inversión (</w:t>
      </w:r>
      <w:proofErr w:type="spellStart"/>
      <w:r w:rsidRPr="00EF5862">
        <w:rPr>
          <w:rFonts w:eastAsiaTheme="minorEastAsia"/>
        </w:rPr>
        <w:t>glide</w:t>
      </w:r>
      <w:proofErr w:type="spellEnd"/>
      <w:r w:rsidRPr="00EF5862">
        <w:rPr>
          <w:rFonts w:eastAsiaTheme="minorEastAsia"/>
        </w:rPr>
        <w:t xml:space="preserve"> </w:t>
      </w:r>
      <w:proofErr w:type="spellStart"/>
      <w:r w:rsidRPr="00EF5862">
        <w:rPr>
          <w:rFonts w:eastAsiaTheme="minorEastAsia"/>
        </w:rPr>
        <w:t>path</w:t>
      </w:r>
      <w:proofErr w:type="spellEnd"/>
      <w:r w:rsidRPr="00EF5862">
        <w:rPr>
          <w:rFonts w:eastAsiaTheme="minorEastAsia"/>
        </w:rPr>
        <w:t xml:space="preserve"> por nombre en inglés</w:t>
      </w:r>
      <w:r w:rsidRPr="00EF5862">
        <w:rPr>
          <w:rStyle w:val="Refdenotaalpie"/>
          <w:rFonts w:eastAsiaTheme="minorEastAsia"/>
        </w:rPr>
        <w:footnoteReference w:id="20"/>
      </w:r>
      <w:r w:rsidRPr="00EF5862">
        <w:rPr>
          <w:rFonts w:eastAsiaTheme="minorEastAsia"/>
        </w:rPr>
        <w:t>) o trayectoria de inversión para el acercamiento a la fecha de pensión.</w:t>
      </w:r>
    </w:p>
    <w:p w14:paraId="7886A98E" w14:textId="77777777" w:rsidR="005E6D85" w:rsidRPr="00CB07D4" w:rsidRDefault="005E6D85" w:rsidP="005E6D85">
      <w:pPr>
        <w:spacing w:after="0" w:line="240" w:lineRule="auto"/>
        <w:contextualSpacing/>
        <w:jc w:val="both"/>
        <w:rPr>
          <w:rFonts w:eastAsiaTheme="minorEastAsia"/>
        </w:rPr>
      </w:pPr>
    </w:p>
    <w:p w14:paraId="61239F99" w14:textId="77777777" w:rsidR="005E6D85" w:rsidRDefault="00A34978" w:rsidP="005E6D85">
      <w:r>
        <w:br w:type="page"/>
      </w:r>
    </w:p>
    <w:p w14:paraId="2EAEA9E4" w14:textId="77777777" w:rsidR="00964E01" w:rsidRPr="009F0CCA" w:rsidRDefault="00964E01" w:rsidP="00964E01">
      <w:pPr>
        <w:rPr>
          <w:rFonts w:eastAsiaTheme="minorEastAsia"/>
          <w:color w:val="FF0000"/>
          <w:sz w:val="24"/>
          <w:szCs w:val="24"/>
        </w:rPr>
      </w:pPr>
      <w:bookmarkStart w:id="55" w:name="_Ref136435704"/>
      <w:bookmarkStart w:id="56" w:name="_Ref139283796"/>
      <w:r>
        <w:lastRenderedPageBreak/>
        <w:t xml:space="preserve">Gráfico </w:t>
      </w:r>
      <w:bookmarkEnd w:id="55"/>
      <w:bookmarkEnd w:id="56"/>
      <w:r w:rsidR="00DB6A6D">
        <w:t>5</w:t>
      </w:r>
      <w:r>
        <w:t>: Transición de las inversiones</w:t>
      </w:r>
    </w:p>
    <w:p w14:paraId="7DB86C96" w14:textId="77777777" w:rsidR="00964E01" w:rsidRPr="003D05FB" w:rsidRDefault="005E6D85" w:rsidP="003D05FB">
      <w:r w:rsidRPr="006A496A">
        <w:rPr>
          <w:noProof/>
        </w:rPr>
        <w:drawing>
          <wp:inline distT="0" distB="0" distL="0" distR="0" wp14:anchorId="0095564F" wp14:editId="7C1CD463">
            <wp:extent cx="5400040" cy="32689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3268980"/>
                    </a:xfrm>
                    <a:prstGeom prst="rect">
                      <a:avLst/>
                    </a:prstGeom>
                  </pic:spPr>
                </pic:pic>
              </a:graphicData>
            </a:graphic>
          </wp:inline>
        </w:drawing>
      </w:r>
      <w:r w:rsidR="00964E01" w:rsidRPr="00D038CF">
        <w:rPr>
          <w:rFonts w:eastAsiaTheme="minorEastAsia"/>
          <w:sz w:val="18"/>
          <w:szCs w:val="18"/>
          <w:lang w:val="es-CR"/>
        </w:rPr>
        <w:t>Fuente: SUPEN</w:t>
      </w:r>
    </w:p>
    <w:p w14:paraId="272AB1C0" w14:textId="77777777" w:rsidR="00964E01" w:rsidRDefault="00964E01" w:rsidP="00964E01">
      <w:pPr>
        <w:spacing w:after="0" w:line="240" w:lineRule="auto"/>
        <w:contextualSpacing/>
      </w:pPr>
    </w:p>
    <w:p w14:paraId="2BF1E4F3" w14:textId="77777777" w:rsidR="00964E01" w:rsidRDefault="00964E01" w:rsidP="00964E01">
      <w:pPr>
        <w:spacing w:after="0" w:line="240" w:lineRule="auto"/>
        <w:contextualSpacing/>
      </w:pPr>
    </w:p>
    <w:p w14:paraId="79E8FBB7" w14:textId="77777777" w:rsidR="00964E01" w:rsidRDefault="00964E01" w:rsidP="00964E01">
      <w:pPr>
        <w:pStyle w:val="Ttulo2"/>
        <w:rPr>
          <w:lang w:val="es-CR"/>
        </w:rPr>
      </w:pPr>
      <w:bookmarkStart w:id="57" w:name="_Toc144396548"/>
      <w:r>
        <w:rPr>
          <w:lang w:val="es-CR"/>
        </w:rPr>
        <w:t xml:space="preserve">5.5. Trayectoria de inversión en </w:t>
      </w:r>
      <w:r w:rsidR="001809DE">
        <w:rPr>
          <w:lang w:val="es-CR"/>
        </w:rPr>
        <w:t>fondos generacionales</w:t>
      </w:r>
      <w:bookmarkEnd w:id="57"/>
    </w:p>
    <w:p w14:paraId="7A0D9995" w14:textId="77777777" w:rsidR="00964E01" w:rsidRDefault="00964E01" w:rsidP="00964E01">
      <w:pPr>
        <w:spacing w:after="0" w:line="240" w:lineRule="auto"/>
        <w:contextualSpacing/>
        <w:jc w:val="both"/>
        <w:rPr>
          <w:rFonts w:eastAsiaTheme="minorEastAsia"/>
          <w:sz w:val="24"/>
          <w:szCs w:val="24"/>
          <w:lang w:val="es-CR"/>
        </w:rPr>
      </w:pPr>
    </w:p>
    <w:p w14:paraId="76C9DDF0" w14:textId="77777777" w:rsidR="00964E01" w:rsidRPr="003D14CA" w:rsidRDefault="00964E01" w:rsidP="00964E01">
      <w:pPr>
        <w:spacing w:after="0" w:line="240" w:lineRule="auto"/>
        <w:contextualSpacing/>
        <w:jc w:val="both"/>
        <w:rPr>
          <w:rFonts w:eastAsiaTheme="minorEastAsia"/>
        </w:rPr>
      </w:pPr>
      <w:r w:rsidRPr="00FC7883">
        <w:rPr>
          <w:rFonts w:eastAsiaTheme="minorEastAsia"/>
          <w:lang w:val="es-CR"/>
        </w:rPr>
        <w:t xml:space="preserve">La trayectoria de las inversiones a lo largo del ciclo de vida de la generación </w:t>
      </w:r>
      <w:r w:rsidR="003D14CA">
        <w:rPr>
          <w:rFonts w:eastAsiaTheme="minorEastAsia"/>
          <w:lang w:val="es-CR"/>
        </w:rPr>
        <w:t xml:space="preserve">es una de las bases de </w:t>
      </w:r>
      <w:r w:rsidRPr="00FC7883">
        <w:rPr>
          <w:rFonts w:eastAsiaTheme="minorEastAsia"/>
          <w:lang w:val="es-CR"/>
        </w:rPr>
        <w:t xml:space="preserve">esta propuesta. El propósito de los fondos generacionales es maximizar, dada una edad y condiciones de </w:t>
      </w:r>
      <w:r w:rsidRPr="003D14CA">
        <w:rPr>
          <w:rFonts w:eastAsiaTheme="minorEastAsia"/>
          <w:lang w:val="es-CR"/>
        </w:rPr>
        <w:t>aportación, el saldo del ROP, y en consecuencia lograr la mayor pensión posible, en otras palabras</w:t>
      </w:r>
      <w:r w:rsidR="00110CB5">
        <w:rPr>
          <w:rFonts w:eastAsiaTheme="minorEastAsia"/>
          <w:lang w:val="es-CR"/>
        </w:rPr>
        <w:t>.</w:t>
      </w:r>
      <w:r w:rsidRPr="003D14CA">
        <w:rPr>
          <w:rFonts w:eastAsiaTheme="minorEastAsia"/>
          <w:lang w:val="es-CR"/>
        </w:rPr>
        <w:t xml:space="preserve"> </w:t>
      </w:r>
      <w:r w:rsidR="00110CB5">
        <w:rPr>
          <w:rFonts w:eastAsiaTheme="minorEastAsia"/>
          <w:lang w:val="es-CR"/>
        </w:rPr>
        <w:t>L</w:t>
      </w:r>
      <w:r w:rsidR="00B97BA6" w:rsidRPr="003D14CA">
        <w:rPr>
          <w:rFonts w:eastAsiaTheme="minorEastAsia"/>
          <w:lang w:val="es-CR"/>
        </w:rPr>
        <w:t xml:space="preserve">os </w:t>
      </w:r>
      <w:r w:rsidRPr="003D14CA">
        <w:rPr>
          <w:rFonts w:eastAsiaTheme="minorEastAsia"/>
          <w:lang w:val="es-CR"/>
        </w:rPr>
        <w:t>fondos generacionales pretende</w:t>
      </w:r>
      <w:r w:rsidR="00B97BA6" w:rsidRPr="003D14CA">
        <w:rPr>
          <w:rFonts w:eastAsiaTheme="minorEastAsia"/>
          <w:lang w:val="es-CR"/>
        </w:rPr>
        <w:t>n</w:t>
      </w:r>
      <w:r w:rsidRPr="003D14CA">
        <w:rPr>
          <w:rFonts w:eastAsiaTheme="minorEastAsia"/>
          <w:lang w:val="es-CR"/>
        </w:rPr>
        <w:t xml:space="preserve"> que el gestor busque </w:t>
      </w:r>
      <w:r w:rsidRPr="003D14CA">
        <w:rPr>
          <w:rFonts w:eastAsiaTheme="minorEastAsia"/>
        </w:rPr>
        <w:t>tasas de remplazo (relación de la pensión futura versus salario)</w:t>
      </w:r>
      <w:r w:rsidR="001809DE" w:rsidRPr="003D14CA">
        <w:rPr>
          <w:rFonts w:eastAsiaTheme="minorEastAsia"/>
        </w:rPr>
        <w:t xml:space="preserve"> más elevadas a las actuales</w:t>
      </w:r>
      <w:r w:rsidRPr="003D14CA">
        <w:rPr>
          <w:rFonts w:eastAsiaTheme="minorEastAsia"/>
        </w:rPr>
        <w:t xml:space="preserve"> y plantee cuál combinación de instrumentos financieros a lo largo del tiempo le permitirían alcanzarla (rendimiento esperado en cada momento). </w:t>
      </w:r>
    </w:p>
    <w:p w14:paraId="39544749" w14:textId="77777777" w:rsidR="00964E01" w:rsidRPr="003D14CA" w:rsidRDefault="00964E01" w:rsidP="00964E01">
      <w:pPr>
        <w:spacing w:after="0" w:line="240" w:lineRule="auto"/>
        <w:contextualSpacing/>
        <w:jc w:val="both"/>
        <w:rPr>
          <w:rFonts w:eastAsiaTheme="minorEastAsia"/>
        </w:rPr>
      </w:pPr>
    </w:p>
    <w:p w14:paraId="713F822D" w14:textId="77777777" w:rsidR="00964E01" w:rsidRDefault="00964E01" w:rsidP="00964E01">
      <w:pPr>
        <w:spacing w:after="0" w:line="240" w:lineRule="auto"/>
        <w:contextualSpacing/>
        <w:jc w:val="both"/>
        <w:rPr>
          <w:rFonts w:eastAsiaTheme="minorEastAsia"/>
        </w:rPr>
      </w:pPr>
      <w:r>
        <w:rPr>
          <w:rFonts w:eastAsiaTheme="minorEastAsia"/>
        </w:rPr>
        <w:t xml:space="preserve">SUPEN </w:t>
      </w:r>
      <w:r w:rsidR="003D14CA">
        <w:rPr>
          <w:rFonts w:eastAsiaTheme="minorEastAsia"/>
        </w:rPr>
        <w:t>llevó a cabo</w:t>
      </w:r>
      <w:r>
        <w:rPr>
          <w:rFonts w:eastAsiaTheme="minorEastAsia"/>
        </w:rPr>
        <w:t xml:space="preserve"> una </w:t>
      </w:r>
      <w:r w:rsidRPr="00CB07D4">
        <w:rPr>
          <w:rFonts w:eastAsiaTheme="minorEastAsia"/>
        </w:rPr>
        <w:t>modelación teórica de optimización</w:t>
      </w:r>
      <w:r>
        <w:rPr>
          <w:rFonts w:eastAsiaTheme="minorEastAsia"/>
        </w:rPr>
        <w:t xml:space="preserve"> de portafolios</w:t>
      </w:r>
      <w:r w:rsidRPr="00B82B9B">
        <w:t xml:space="preserve"> </w:t>
      </w:r>
      <w:r>
        <w:t>Markowitz</w:t>
      </w:r>
      <w:sdt>
        <w:sdtPr>
          <w:id w:val="-391272608"/>
          <w:citation/>
        </w:sdtPr>
        <w:sdtEndPr/>
        <w:sdtContent>
          <w:r>
            <w:fldChar w:fldCharType="begin"/>
          </w:r>
          <w:r w:rsidR="006A7A21">
            <w:rPr>
              <w:lang w:val="es-CR"/>
            </w:rPr>
            <w:instrText xml:space="preserve">CITATION Mar \l 5130 </w:instrText>
          </w:r>
          <w:r>
            <w:fldChar w:fldCharType="separate"/>
          </w:r>
          <w:r w:rsidR="0091728B">
            <w:rPr>
              <w:noProof/>
              <w:lang w:val="es-CR"/>
            </w:rPr>
            <w:t xml:space="preserve"> </w:t>
          </w:r>
          <w:r w:rsidR="0091728B" w:rsidRPr="0091728B">
            <w:rPr>
              <w:noProof/>
              <w:lang w:val="es-CR"/>
            </w:rPr>
            <w:t>(Markowitz, s.f.)</w:t>
          </w:r>
          <w:r>
            <w:fldChar w:fldCharType="end"/>
          </w:r>
        </w:sdtContent>
      </w:sdt>
      <w:r w:rsidRPr="00CB07D4">
        <w:rPr>
          <w:rFonts w:eastAsiaTheme="minorEastAsia"/>
        </w:rPr>
        <w:t>, con instrumentos</w:t>
      </w:r>
      <w:r>
        <w:rPr>
          <w:rFonts w:eastAsiaTheme="minorEastAsia"/>
        </w:rPr>
        <w:t xml:space="preserve"> seleccionados</w:t>
      </w:r>
      <w:r w:rsidRPr="00CB07D4">
        <w:rPr>
          <w:rFonts w:eastAsiaTheme="minorEastAsia"/>
        </w:rPr>
        <w:t xml:space="preserve"> del </w:t>
      </w:r>
      <w:r>
        <w:rPr>
          <w:rFonts w:eastAsiaTheme="minorEastAsia"/>
        </w:rPr>
        <w:t xml:space="preserve">ROP (aquellos de los que se </w:t>
      </w:r>
      <w:r w:rsidRPr="00CB07D4">
        <w:t>dispone de historia de precios desde el año 2018, tanto</w:t>
      </w:r>
      <w:r>
        <w:t xml:space="preserve"> en el ámbito</w:t>
      </w:r>
      <w:r w:rsidRPr="00CB07D4">
        <w:t xml:space="preserve"> local como internacional</w:t>
      </w:r>
      <w:r>
        <w:t xml:space="preserve">, que se muestran en el </w:t>
      </w:r>
      <w:r w:rsidR="00960955">
        <w:t>a</w:t>
      </w:r>
      <w:r>
        <w:t xml:space="preserve">nexo 3). </w:t>
      </w:r>
      <w:r>
        <w:rPr>
          <w:rFonts w:eastAsiaTheme="minorEastAsia"/>
        </w:rPr>
        <w:t>Estos instrumentos fueron clasificados según las categorías del apartado 5.1 (deuda y TRP)</w:t>
      </w:r>
      <w:r w:rsidRPr="00CB07D4">
        <w:rPr>
          <w:rFonts w:eastAsiaTheme="minorEastAsia"/>
        </w:rPr>
        <w:t>.</w:t>
      </w:r>
    </w:p>
    <w:p w14:paraId="2C71DD34" w14:textId="77777777" w:rsidR="00964E01" w:rsidRDefault="00964E01" w:rsidP="00964E01">
      <w:pPr>
        <w:spacing w:after="0" w:line="240" w:lineRule="auto"/>
        <w:contextualSpacing/>
        <w:jc w:val="both"/>
        <w:rPr>
          <w:rFonts w:eastAsiaTheme="minorEastAsia"/>
        </w:rPr>
      </w:pPr>
    </w:p>
    <w:p w14:paraId="273FDA40" w14:textId="77777777" w:rsidR="00964E01" w:rsidRPr="00B82B9B" w:rsidRDefault="00964E01" w:rsidP="00964E01">
      <w:pPr>
        <w:spacing w:after="0" w:line="240" w:lineRule="auto"/>
        <w:contextualSpacing/>
        <w:jc w:val="both"/>
      </w:pPr>
      <w:r w:rsidRPr="003D14CA">
        <w:rPr>
          <w:rFonts w:eastAsiaTheme="minorEastAsia"/>
        </w:rPr>
        <w:t xml:space="preserve">El modelo </w:t>
      </w:r>
      <w:r w:rsidR="00734BF2" w:rsidRPr="003D14CA">
        <w:rPr>
          <w:rFonts w:eastAsiaTheme="minorEastAsia"/>
        </w:rPr>
        <w:t>evaluó</w:t>
      </w:r>
      <w:r w:rsidRPr="003D14CA">
        <w:rPr>
          <w:rFonts w:eastAsiaTheme="minorEastAsia"/>
        </w:rPr>
        <w:t xml:space="preserve"> las combinaciones de instrumentos y los rendimientos que </w:t>
      </w:r>
      <w:r w:rsidR="001809DE" w:rsidRPr="003D14CA">
        <w:rPr>
          <w:rFonts w:eastAsiaTheme="minorEastAsia"/>
        </w:rPr>
        <w:t>generaron</w:t>
      </w:r>
      <w:r w:rsidRPr="003D14CA">
        <w:rPr>
          <w:rFonts w:eastAsiaTheme="minorEastAsia"/>
        </w:rPr>
        <w:t>, todos ellos ajustados por riesgo (medidos con el índice de Sharpe</w:t>
      </w:r>
      <w:r w:rsidRPr="003D14CA">
        <w:rPr>
          <w:rStyle w:val="Refdenotaalpie"/>
          <w:rFonts w:eastAsiaTheme="minorEastAsia"/>
        </w:rPr>
        <w:footnoteReference w:id="21"/>
      </w:r>
      <w:r w:rsidRPr="003D14CA">
        <w:rPr>
          <w:rFonts w:eastAsiaTheme="minorEastAsia"/>
        </w:rPr>
        <w:t xml:space="preserve">). </w:t>
      </w:r>
      <w:r w:rsidRPr="003D14CA">
        <w:t xml:space="preserve">Es decir, se trabaja con un portafolio </w:t>
      </w:r>
      <w:r w:rsidRPr="00CB07D4">
        <w:t>mixto que aproxima las combinaciones de activos y retornos esperados, en diferentes composiciones de asignaciones estratégicas</w:t>
      </w:r>
      <w:r>
        <w:t xml:space="preserve"> y </w:t>
      </w:r>
      <w:r w:rsidRPr="00CB07D4">
        <w:t xml:space="preserve">que permite evaluar cual habría sido la combinación de instrumentos de </w:t>
      </w:r>
      <w:r w:rsidR="00323CD2">
        <w:t>d</w:t>
      </w:r>
      <w:r>
        <w:t>euda</w:t>
      </w:r>
      <w:r w:rsidRPr="00CB07D4">
        <w:t xml:space="preserve"> y </w:t>
      </w:r>
      <w:r w:rsidR="00323CD2">
        <w:t>t</w:t>
      </w:r>
      <w:r>
        <w:t xml:space="preserve">ítulos </w:t>
      </w:r>
      <w:r w:rsidR="00323CD2">
        <w:t>r</w:t>
      </w:r>
      <w:r>
        <w:t xml:space="preserve">epresentativos de </w:t>
      </w:r>
      <w:r w:rsidR="00323CD2">
        <w:t>p</w:t>
      </w:r>
      <w:r>
        <w:t>ropiedad</w:t>
      </w:r>
      <w:r w:rsidRPr="00CB07D4">
        <w:t xml:space="preserve"> que favorecen los objetivos previstos en el proyecto</w:t>
      </w:r>
      <w:r w:rsidR="005E6D85" w:rsidRPr="00CB07D4">
        <w:t>.</w:t>
      </w:r>
      <w:r w:rsidRPr="00CB07D4">
        <w:t xml:space="preserve"> </w:t>
      </w:r>
    </w:p>
    <w:p w14:paraId="5F8AB820" w14:textId="77777777" w:rsidR="00964E01" w:rsidRPr="009F0CCA" w:rsidRDefault="00964E01" w:rsidP="00964E01">
      <w:pPr>
        <w:spacing w:after="0" w:line="240" w:lineRule="auto"/>
        <w:contextualSpacing/>
        <w:jc w:val="both"/>
        <w:rPr>
          <w:color w:val="FF0000"/>
        </w:rPr>
      </w:pPr>
    </w:p>
    <w:p w14:paraId="67C68388" w14:textId="77777777" w:rsidR="00964E01" w:rsidRDefault="00964E01" w:rsidP="00964E01">
      <w:pPr>
        <w:spacing w:after="0" w:line="240" w:lineRule="auto"/>
        <w:contextualSpacing/>
        <w:jc w:val="both"/>
      </w:pPr>
      <w:r>
        <w:lastRenderedPageBreak/>
        <w:t xml:space="preserve">Los resultados </w:t>
      </w:r>
      <w:r w:rsidR="00B47710">
        <w:t xml:space="preserve">generales </w:t>
      </w:r>
      <w:r>
        <w:t>se presentan</w:t>
      </w:r>
      <w:r w:rsidRPr="00CB07D4">
        <w:t xml:space="preserve"> en el</w:t>
      </w:r>
      <w:r w:rsidR="003D14CA">
        <w:t xml:space="preserve"> siguiente gráfico</w:t>
      </w:r>
      <w:r>
        <w:t xml:space="preserve">, los cuales corresponden a </w:t>
      </w:r>
      <w:r w:rsidRPr="00CB07D4">
        <w:t>una modelación estática</w:t>
      </w:r>
      <w:r>
        <w:t xml:space="preserve">, es decir, </w:t>
      </w:r>
      <w:r w:rsidRPr="00CB07D4">
        <w:t xml:space="preserve">para un </w:t>
      </w:r>
      <w:r>
        <w:t xml:space="preserve">único </w:t>
      </w:r>
      <w:r w:rsidRPr="00CB07D4">
        <w:t>momento en el tiempo</w:t>
      </w:r>
      <w:r>
        <w:t xml:space="preserve">, sin nuevos ingresos o salidas del portafolio. </w:t>
      </w:r>
      <w:r w:rsidR="005E6D85">
        <w:t xml:space="preserve">Los resultados muestran </w:t>
      </w:r>
      <w:r w:rsidR="005E6D85" w:rsidRPr="00CB07D4">
        <w:t xml:space="preserve">los espacios de la regulación </w:t>
      </w:r>
      <w:r w:rsidR="005E6D85">
        <w:t>en cuanto a</w:t>
      </w:r>
      <w:r>
        <w:t xml:space="preserve"> límites, con los cuales los gestores pueden crear estrategias inter temporales para sus afiliados.</w:t>
      </w:r>
    </w:p>
    <w:p w14:paraId="45B0E56D" w14:textId="77777777" w:rsidR="005E6D85" w:rsidRDefault="005E6D85" w:rsidP="005E6D85">
      <w:pPr>
        <w:spacing w:after="0" w:line="240" w:lineRule="auto"/>
        <w:contextualSpacing/>
        <w:jc w:val="both"/>
      </w:pPr>
    </w:p>
    <w:p w14:paraId="2E5E6B74" w14:textId="77777777" w:rsidR="00964E01" w:rsidRDefault="00964E01" w:rsidP="00964E01">
      <w:pPr>
        <w:spacing w:after="0" w:line="240" w:lineRule="auto"/>
        <w:contextualSpacing/>
        <w:jc w:val="both"/>
      </w:pPr>
    </w:p>
    <w:p w14:paraId="774D0758" w14:textId="77777777" w:rsidR="00964E01" w:rsidRDefault="00964E01" w:rsidP="00964E01">
      <w:pPr>
        <w:pStyle w:val="Descripcin"/>
      </w:pPr>
      <w:bookmarkStart w:id="58" w:name="_Ref136501276"/>
      <w:r>
        <w:t xml:space="preserve">Gráfico </w:t>
      </w:r>
      <w:bookmarkEnd w:id="58"/>
      <w:r w:rsidR="00DB6A6D">
        <w:t>6</w:t>
      </w:r>
      <w:r>
        <w:t>: Optimización de portafolio, riesgo vs. retorno</w:t>
      </w:r>
    </w:p>
    <w:p w14:paraId="611FC2BD" w14:textId="77777777" w:rsidR="00964E01" w:rsidRPr="001B0A88" w:rsidRDefault="005E6D85" w:rsidP="00AF6EFB">
      <w:pPr>
        <w:spacing w:after="0" w:line="240" w:lineRule="auto"/>
        <w:ind w:left="1410" w:hanging="1410"/>
        <w:contextualSpacing/>
        <w:jc w:val="center"/>
        <w:rPr>
          <w:b/>
          <w:bCs/>
        </w:rPr>
      </w:pPr>
      <w:r w:rsidRPr="00FA3EDF">
        <w:rPr>
          <w:b/>
          <w:bCs/>
          <w:noProof/>
        </w:rPr>
        <w:drawing>
          <wp:inline distT="0" distB="0" distL="0" distR="0" wp14:anchorId="790CC2F0" wp14:editId="799F68FF">
            <wp:extent cx="3924382" cy="28708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36161" cy="2879452"/>
                    </a:xfrm>
                    <a:prstGeom prst="rect">
                      <a:avLst/>
                    </a:prstGeom>
                  </pic:spPr>
                </pic:pic>
              </a:graphicData>
            </a:graphic>
          </wp:inline>
        </w:drawing>
      </w:r>
    </w:p>
    <w:p w14:paraId="1A7EAB99" w14:textId="77777777" w:rsidR="00964E01" w:rsidRPr="00A534CF" w:rsidRDefault="00964E01" w:rsidP="00964E01">
      <w:pPr>
        <w:spacing w:after="0" w:line="240" w:lineRule="auto"/>
        <w:contextualSpacing/>
        <w:jc w:val="both"/>
        <w:rPr>
          <w:rFonts w:eastAsiaTheme="minorEastAsia"/>
          <w:sz w:val="18"/>
          <w:szCs w:val="18"/>
        </w:rPr>
      </w:pPr>
      <w:r w:rsidRPr="00A534CF">
        <w:rPr>
          <w:rFonts w:eastAsiaTheme="minorEastAsia"/>
          <w:sz w:val="18"/>
          <w:szCs w:val="18"/>
        </w:rPr>
        <w:t>Fuente: SUPEN</w:t>
      </w:r>
    </w:p>
    <w:p w14:paraId="0889C562" w14:textId="77777777" w:rsidR="00964E01" w:rsidRDefault="00964E01" w:rsidP="00964E01">
      <w:pPr>
        <w:spacing w:after="0" w:line="240" w:lineRule="auto"/>
        <w:contextualSpacing/>
        <w:jc w:val="both"/>
      </w:pPr>
    </w:p>
    <w:p w14:paraId="2865E7F1" w14:textId="77777777" w:rsidR="005E6D85" w:rsidRDefault="00964E01" w:rsidP="005E6D85">
      <w:pPr>
        <w:spacing w:after="0" w:line="240" w:lineRule="auto"/>
        <w:contextualSpacing/>
        <w:jc w:val="both"/>
      </w:pPr>
      <w:r w:rsidRPr="00CB07D4">
        <w:t xml:space="preserve">A lo largo de la curva del </w:t>
      </w:r>
      <w:r w:rsidR="006774D6">
        <w:t>gráfico anterior</w:t>
      </w:r>
      <w:r w:rsidR="005E6D85" w:rsidRPr="00CB07D4">
        <w:t xml:space="preserve">, que refleja las combinaciones de riesgo retorno del portafolio en diferentes combinaciones de activos, </w:t>
      </w:r>
      <w:r w:rsidR="005E6D85">
        <w:t>se</w:t>
      </w:r>
      <w:r w:rsidR="005E6D85" w:rsidRPr="00CB07D4">
        <w:t xml:space="preserve"> </w:t>
      </w:r>
      <w:r w:rsidR="005E6D85">
        <w:t>resaltan cuatro</w:t>
      </w:r>
      <w:r w:rsidR="005E6D85" w:rsidRPr="00CB07D4">
        <w:t xml:space="preserve"> puntos marcados: rojo</w:t>
      </w:r>
      <w:r w:rsidR="005E6D85">
        <w:t>, naranja, amarillo y</w:t>
      </w:r>
      <w:r w:rsidR="005E6D85" w:rsidRPr="00CB07D4">
        <w:t xml:space="preserve"> </w:t>
      </w:r>
      <w:r w:rsidR="005E6D85">
        <w:t>verde</w:t>
      </w:r>
      <w:r w:rsidR="005E6D85" w:rsidRPr="00CB07D4">
        <w:t xml:space="preserve">. </w:t>
      </w:r>
    </w:p>
    <w:p w14:paraId="687FC9E3" w14:textId="77777777" w:rsidR="005E6D85" w:rsidRPr="00CB07D4" w:rsidRDefault="005E6D85" w:rsidP="005E6D85">
      <w:pPr>
        <w:spacing w:after="0" w:line="240" w:lineRule="auto"/>
        <w:contextualSpacing/>
        <w:jc w:val="both"/>
      </w:pPr>
    </w:p>
    <w:p w14:paraId="0970F24B" w14:textId="77777777" w:rsidR="00964E01" w:rsidRDefault="00964E01" w:rsidP="00964E01">
      <w:pPr>
        <w:spacing w:after="0" w:line="240" w:lineRule="auto"/>
        <w:contextualSpacing/>
        <w:jc w:val="both"/>
      </w:pPr>
      <w:r w:rsidRPr="00CB07D4">
        <w:t xml:space="preserve">El punto rojo representa la máxima rentabilidad posible de alcanzar en </w:t>
      </w:r>
      <w:r w:rsidR="005E6D85">
        <w:t>un</w:t>
      </w:r>
      <w:r w:rsidRPr="00CB07D4">
        <w:t xml:space="preserve"> esquema </w:t>
      </w:r>
      <w:r w:rsidR="005E6D85" w:rsidRPr="00CB07D4">
        <w:t xml:space="preserve">de menor </w:t>
      </w:r>
      <w:r w:rsidRPr="00CB07D4">
        <w:t>nivel de volatilidad</w:t>
      </w:r>
      <w:r w:rsidR="005E6D85">
        <w:t xml:space="preserve"> (con respecto a los siguientes casos)</w:t>
      </w:r>
      <w:r w:rsidR="005E6D85" w:rsidRPr="00CB07D4">
        <w:t>.</w:t>
      </w:r>
      <w:r w:rsidRPr="00CB07D4">
        <w:t xml:space="preserve"> Dicho punto tiene asociado</w:t>
      </w:r>
      <w:r>
        <w:t xml:space="preserve"> un rendimiento de</w:t>
      </w:r>
      <w:r w:rsidRPr="00CB07D4">
        <w:t xml:space="preserve"> 5,65% con un riesgo de 3,8% y se alcanza cuando la</w:t>
      </w:r>
      <w:r>
        <w:t xml:space="preserve"> distribución de las </w:t>
      </w:r>
      <w:r w:rsidRPr="00CB07D4">
        <w:t xml:space="preserve">inversiones </w:t>
      </w:r>
      <w:r>
        <w:t>es de</w:t>
      </w:r>
      <w:r w:rsidRPr="00CB07D4">
        <w:t xml:space="preserve"> 85% en instrumentos de </w:t>
      </w:r>
      <w:r>
        <w:t>deuda</w:t>
      </w:r>
      <w:r w:rsidRPr="00CB07D4">
        <w:t xml:space="preserve"> y 15% en </w:t>
      </w:r>
      <w:r>
        <w:t>TRP</w:t>
      </w:r>
      <w:r w:rsidRPr="00CB07D4">
        <w:t xml:space="preserve">. Este punto </w:t>
      </w:r>
      <w:r>
        <w:t>representa</w:t>
      </w:r>
      <w:r w:rsidRPr="00CB07D4">
        <w:t xml:space="preserve"> la rentabilidad objetivo de la generación de inversión conservadora, es decir</w:t>
      </w:r>
      <w:r>
        <w:t>,</w:t>
      </w:r>
      <w:r w:rsidRPr="00CB07D4">
        <w:t xml:space="preserve"> la de mayor edad</w:t>
      </w:r>
      <w:r>
        <w:t>.</w:t>
      </w:r>
    </w:p>
    <w:p w14:paraId="4D0BDF24" w14:textId="77777777" w:rsidR="00964E01" w:rsidRDefault="00964E01" w:rsidP="00964E01">
      <w:pPr>
        <w:spacing w:after="0" w:line="240" w:lineRule="auto"/>
        <w:contextualSpacing/>
        <w:jc w:val="both"/>
      </w:pPr>
    </w:p>
    <w:p w14:paraId="5B7C553F" w14:textId="77777777" w:rsidR="00964E01" w:rsidRDefault="00964E01" w:rsidP="00964E01">
      <w:pPr>
        <w:spacing w:after="0" w:line="240" w:lineRule="auto"/>
        <w:contextualSpacing/>
        <w:jc w:val="both"/>
      </w:pPr>
      <w:r>
        <w:t>El punto naranja corresponde a la relación de</w:t>
      </w:r>
      <w:r w:rsidRPr="00CB07D4">
        <w:t xml:space="preserve"> 9,54% de rendimiento </w:t>
      </w:r>
      <w:r>
        <w:t>y un</w:t>
      </w:r>
      <w:r w:rsidRPr="00CB07D4">
        <w:t xml:space="preserve"> riesgo asociado de 5,0%</w:t>
      </w:r>
      <w:r>
        <w:t>. E</w:t>
      </w:r>
      <w:r w:rsidRPr="00CB07D4">
        <w:t xml:space="preserve">ste rendimiento se alcanza con un nivel de </w:t>
      </w:r>
      <w:r>
        <w:t>deuda</w:t>
      </w:r>
      <w:r w:rsidRPr="00CB07D4">
        <w:t xml:space="preserve"> de </w:t>
      </w:r>
      <w:r>
        <w:t>52</w:t>
      </w:r>
      <w:r w:rsidRPr="00CB07D4">
        <w:t>% y</w:t>
      </w:r>
      <w:r>
        <w:t xml:space="preserve"> TRP de </w:t>
      </w:r>
      <w:r w:rsidRPr="00CB07D4">
        <w:t xml:space="preserve">un </w:t>
      </w:r>
      <w:r>
        <w:t>42</w:t>
      </w:r>
      <w:r w:rsidRPr="00CB07D4">
        <w:t>%</w:t>
      </w:r>
      <w:r>
        <w:t xml:space="preserve">. Este </w:t>
      </w:r>
      <w:r w:rsidRPr="00CB07D4">
        <w:t>punto representa una estrategia para una generación intermedia o en transición, que podría tolerar mayor exposición a riesgos a efecto de posibilitar mayores rendimientos.</w:t>
      </w:r>
    </w:p>
    <w:p w14:paraId="4BDF44AD" w14:textId="77777777" w:rsidR="00964E01" w:rsidRDefault="00964E01" w:rsidP="00964E01">
      <w:pPr>
        <w:spacing w:after="0" w:line="240" w:lineRule="auto"/>
        <w:contextualSpacing/>
        <w:jc w:val="both"/>
      </w:pPr>
    </w:p>
    <w:p w14:paraId="4F5A852D" w14:textId="77777777" w:rsidR="00964E01" w:rsidRDefault="00964E01" w:rsidP="00964E01">
      <w:pPr>
        <w:spacing w:after="0" w:line="240" w:lineRule="auto"/>
        <w:contextualSpacing/>
        <w:jc w:val="both"/>
      </w:pPr>
      <w:r>
        <w:t xml:space="preserve">El punto amarillo corresponde a nivel de inversión de 36% de deuda y 65% de TRP. Esta combinación de instrumentos permite alcanzar rendimientos de aproximadamente 12%, con un riesgo asociado de un 6%. </w:t>
      </w:r>
    </w:p>
    <w:p w14:paraId="5EB3F181" w14:textId="77777777" w:rsidR="00964E01" w:rsidRDefault="00964E01" w:rsidP="00964E01">
      <w:pPr>
        <w:spacing w:after="0" w:line="240" w:lineRule="auto"/>
        <w:contextualSpacing/>
        <w:jc w:val="both"/>
      </w:pPr>
    </w:p>
    <w:p w14:paraId="3844B9C1" w14:textId="77777777" w:rsidR="00964E01" w:rsidRDefault="00964E01" w:rsidP="00964E01">
      <w:pPr>
        <w:spacing w:after="0" w:line="240" w:lineRule="auto"/>
        <w:contextualSpacing/>
        <w:jc w:val="both"/>
      </w:pPr>
      <w:r>
        <w:t>Finalmente, el último punto (en verde) de este ejemplo corresponde a inversiones de un 18% en instrumentos de deuda y de 82% en títulos de propiedad, lo cual tiene asociados una rentabilidad de más de 15%, con un nivel de riesgo de 8%. Representa las posibles inversiones para una generación joven, es decir, afiliados que puedan disfrutar de periodos de volatilidad, a cambio de altos retornos en las primeras etapas del ciclo de acumulación.</w:t>
      </w:r>
    </w:p>
    <w:p w14:paraId="3F96FD6D" w14:textId="77777777" w:rsidR="00964E01" w:rsidRDefault="00964E01" w:rsidP="00964E01">
      <w:pPr>
        <w:spacing w:after="0" w:line="240" w:lineRule="auto"/>
        <w:contextualSpacing/>
        <w:jc w:val="both"/>
      </w:pPr>
    </w:p>
    <w:p w14:paraId="1E85100C" w14:textId="77777777" w:rsidR="005E6D85" w:rsidRPr="00735BDE" w:rsidRDefault="005E6D85" w:rsidP="005E6D85">
      <w:pPr>
        <w:spacing w:after="0" w:line="240" w:lineRule="auto"/>
        <w:contextualSpacing/>
        <w:jc w:val="both"/>
        <w:rPr>
          <w:rFonts w:eastAsiaTheme="minorEastAsia"/>
        </w:rPr>
      </w:pPr>
      <w:r w:rsidRPr="00CB07D4">
        <w:rPr>
          <w:rFonts w:eastAsiaTheme="minorEastAsia"/>
        </w:rPr>
        <w:t xml:space="preserve">Con base en </w:t>
      </w:r>
      <w:r>
        <w:rPr>
          <w:rFonts w:eastAsiaTheme="minorEastAsia"/>
        </w:rPr>
        <w:t xml:space="preserve">esta </w:t>
      </w:r>
      <w:r w:rsidRPr="00735BDE">
        <w:rPr>
          <w:rFonts w:eastAsiaTheme="minorEastAsia"/>
        </w:rPr>
        <w:t xml:space="preserve">modelación se </w:t>
      </w:r>
      <w:r>
        <w:rPr>
          <w:rFonts w:eastAsiaTheme="minorEastAsia"/>
        </w:rPr>
        <w:t>puede considerar lo siguiente</w:t>
      </w:r>
      <w:r w:rsidRPr="00735BDE">
        <w:rPr>
          <w:rFonts w:eastAsiaTheme="minorEastAsia"/>
        </w:rPr>
        <w:t>:</w:t>
      </w:r>
    </w:p>
    <w:p w14:paraId="71C560D7" w14:textId="77777777" w:rsidR="00964E01" w:rsidRPr="00735BDE" w:rsidRDefault="00964E01" w:rsidP="00964E01">
      <w:pPr>
        <w:spacing w:after="0" w:line="240" w:lineRule="auto"/>
        <w:contextualSpacing/>
        <w:jc w:val="both"/>
        <w:rPr>
          <w:rFonts w:eastAsiaTheme="minorEastAsia"/>
        </w:rPr>
      </w:pPr>
    </w:p>
    <w:p w14:paraId="3C21190F" w14:textId="77777777" w:rsidR="00964E01" w:rsidRDefault="00964E01" w:rsidP="00964E01">
      <w:pPr>
        <w:pStyle w:val="Prrafodelista"/>
        <w:numPr>
          <w:ilvl w:val="0"/>
          <w:numId w:val="12"/>
        </w:numPr>
        <w:spacing w:after="0" w:line="240" w:lineRule="auto"/>
        <w:jc w:val="both"/>
        <w:rPr>
          <w:rFonts w:eastAsiaTheme="minorEastAsia"/>
        </w:rPr>
      </w:pPr>
      <w:r>
        <w:rPr>
          <w:rFonts w:eastAsiaTheme="minorEastAsia"/>
        </w:rPr>
        <w:t xml:space="preserve">Para </w:t>
      </w:r>
      <w:r w:rsidRPr="00735BDE">
        <w:rPr>
          <w:rFonts w:eastAsiaTheme="minorEastAsia"/>
        </w:rPr>
        <w:t>portafolios conservadores</w:t>
      </w:r>
      <w:r>
        <w:rPr>
          <w:rFonts w:eastAsiaTheme="minorEastAsia"/>
        </w:rPr>
        <w:t>, la meta de rentabilidad nominal es cercana al</w:t>
      </w:r>
      <w:r w:rsidRPr="00735BDE">
        <w:rPr>
          <w:rFonts w:eastAsiaTheme="minorEastAsia"/>
        </w:rPr>
        <w:t xml:space="preserve"> 5%. Por su parte, </w:t>
      </w:r>
      <w:r>
        <w:rPr>
          <w:rFonts w:eastAsiaTheme="minorEastAsia"/>
        </w:rPr>
        <w:t xml:space="preserve">en </w:t>
      </w:r>
      <w:r w:rsidRPr="00735BDE">
        <w:rPr>
          <w:rFonts w:eastAsiaTheme="minorEastAsia"/>
        </w:rPr>
        <w:t xml:space="preserve">portafolios agresivos, </w:t>
      </w:r>
      <w:r>
        <w:rPr>
          <w:rFonts w:eastAsiaTheme="minorEastAsia"/>
        </w:rPr>
        <w:t xml:space="preserve">los </w:t>
      </w:r>
      <w:r w:rsidRPr="00735BDE">
        <w:rPr>
          <w:rFonts w:eastAsiaTheme="minorEastAsia"/>
        </w:rPr>
        <w:t xml:space="preserve">rendimientos </w:t>
      </w:r>
      <w:r>
        <w:rPr>
          <w:rFonts w:eastAsiaTheme="minorEastAsia"/>
        </w:rPr>
        <w:t>serían cercanos a</w:t>
      </w:r>
      <w:r w:rsidRPr="00735BDE">
        <w:rPr>
          <w:rFonts w:eastAsiaTheme="minorEastAsia"/>
        </w:rPr>
        <w:t xml:space="preserve"> 15% nominal.</w:t>
      </w:r>
    </w:p>
    <w:p w14:paraId="5CCB1F27" w14:textId="77777777" w:rsidR="00964E01" w:rsidRPr="00735BDE" w:rsidRDefault="00964E01" w:rsidP="00964E01">
      <w:pPr>
        <w:pStyle w:val="Prrafodelista"/>
        <w:numPr>
          <w:ilvl w:val="0"/>
          <w:numId w:val="12"/>
        </w:numPr>
        <w:spacing w:after="0" w:line="240" w:lineRule="auto"/>
        <w:jc w:val="both"/>
        <w:rPr>
          <w:rFonts w:eastAsiaTheme="minorEastAsia"/>
        </w:rPr>
      </w:pPr>
      <w:r>
        <w:rPr>
          <w:rFonts w:eastAsiaTheme="minorEastAsia"/>
        </w:rPr>
        <w:t>La</w:t>
      </w:r>
      <w:r w:rsidRPr="00735BDE">
        <w:rPr>
          <w:rFonts w:eastAsiaTheme="minorEastAsia"/>
        </w:rPr>
        <w:t xml:space="preserve"> composición de activos oscila entre un 85% y un 20% de deuda, para un ciclo de vida de aproximadamente 40 años.  Si bien estos resultados pueden variar significativamente en función de los activos seleccionables, sirven como evidencia de las trayectorias de inversión que pueden posibilitarse al momento de diseñar los espacios de límites en fondos generacionales.</w:t>
      </w:r>
    </w:p>
    <w:p w14:paraId="7776F8AD" w14:textId="77777777" w:rsidR="00964E01" w:rsidRDefault="00964E01" w:rsidP="00964E01">
      <w:pPr>
        <w:pStyle w:val="Prrafodelista"/>
        <w:numPr>
          <w:ilvl w:val="0"/>
          <w:numId w:val="12"/>
        </w:numPr>
        <w:spacing w:after="0" w:line="240" w:lineRule="auto"/>
        <w:jc w:val="both"/>
        <w:rPr>
          <w:rFonts w:eastAsiaTheme="minorEastAsia"/>
        </w:rPr>
      </w:pPr>
      <w:r w:rsidRPr="00CB07D4">
        <w:rPr>
          <w:rFonts w:eastAsiaTheme="minorEastAsia"/>
        </w:rPr>
        <w:t xml:space="preserve">Todos los puntos de la curva </w:t>
      </w:r>
      <w:r>
        <w:rPr>
          <w:rFonts w:eastAsiaTheme="minorEastAsia"/>
        </w:rPr>
        <w:t>en el rango creciente p</w:t>
      </w:r>
      <w:r w:rsidRPr="00CB07D4">
        <w:rPr>
          <w:rFonts w:eastAsiaTheme="minorEastAsia"/>
        </w:rPr>
        <w:t xml:space="preserve">ueden ser considerados </w:t>
      </w:r>
      <w:r>
        <w:rPr>
          <w:rFonts w:eastAsiaTheme="minorEastAsia"/>
        </w:rPr>
        <w:t>opciones, a las cuales anualmente los gestores pueden aspirar para diseñar la transición histórica de las inversiones.</w:t>
      </w:r>
    </w:p>
    <w:p w14:paraId="2A2EF910" w14:textId="77777777" w:rsidR="005E6D85" w:rsidRDefault="005E6D85" w:rsidP="005E6D85">
      <w:pPr>
        <w:pStyle w:val="Prrafodelista"/>
        <w:numPr>
          <w:ilvl w:val="0"/>
          <w:numId w:val="12"/>
        </w:numPr>
        <w:spacing w:after="0" w:line="240" w:lineRule="auto"/>
        <w:jc w:val="both"/>
        <w:rPr>
          <w:rFonts w:eastAsiaTheme="minorEastAsia"/>
        </w:rPr>
      </w:pPr>
      <w:r>
        <w:rPr>
          <w:rFonts w:eastAsiaTheme="minorEastAsia"/>
        </w:rPr>
        <w:t>La velocidad con la cual se llegue de un punto a otro corresponde a una decisión del gestor de pensiones, la cual debe ser tomada en función del perfil de riesgo de los clientes, de cara a posibilitar la correcta selección de la entidad gestora.</w:t>
      </w:r>
    </w:p>
    <w:p w14:paraId="6715AA29" w14:textId="77777777" w:rsidR="005E6D85" w:rsidRPr="00CB07D4" w:rsidRDefault="005E6D85" w:rsidP="005E6D85">
      <w:pPr>
        <w:pStyle w:val="Prrafodelista"/>
        <w:numPr>
          <w:ilvl w:val="0"/>
          <w:numId w:val="12"/>
        </w:numPr>
        <w:spacing w:after="0" w:line="240" w:lineRule="auto"/>
        <w:jc w:val="both"/>
        <w:rPr>
          <w:rFonts w:eastAsiaTheme="minorEastAsia"/>
        </w:rPr>
      </w:pPr>
      <w:r>
        <w:rPr>
          <w:rFonts w:eastAsiaTheme="minorEastAsia"/>
        </w:rPr>
        <w:t>E</w:t>
      </w:r>
      <w:r w:rsidRPr="00CB07D4">
        <w:rPr>
          <w:rFonts w:eastAsiaTheme="minorEastAsia"/>
        </w:rPr>
        <w:t>xiste la posibilidad de que el gestor seleccione su asignación estratégica de activos de acuerdo con necesidades particulares, por lo tanto</w:t>
      </w:r>
      <w:r>
        <w:rPr>
          <w:rFonts w:eastAsiaTheme="minorEastAsia"/>
        </w:rPr>
        <w:t>,</w:t>
      </w:r>
      <w:r w:rsidRPr="00CB07D4">
        <w:rPr>
          <w:rFonts w:eastAsiaTheme="minorEastAsia"/>
        </w:rPr>
        <w:t xml:space="preserve"> la regulación de l</w:t>
      </w:r>
      <w:r>
        <w:rPr>
          <w:rFonts w:eastAsiaTheme="minorEastAsia"/>
        </w:rPr>
        <w:t>í</w:t>
      </w:r>
      <w:r w:rsidRPr="00CB07D4">
        <w:rPr>
          <w:rFonts w:eastAsiaTheme="minorEastAsia"/>
        </w:rPr>
        <w:t xml:space="preserve">mites no debiera ser puntual, sino </w:t>
      </w:r>
      <w:r>
        <w:rPr>
          <w:rFonts w:eastAsiaTheme="minorEastAsia"/>
        </w:rPr>
        <w:t xml:space="preserve">que debe </w:t>
      </w:r>
      <w:r w:rsidRPr="00CB07D4">
        <w:rPr>
          <w:rFonts w:eastAsiaTheme="minorEastAsia"/>
        </w:rPr>
        <w:t xml:space="preserve">trabajar con </w:t>
      </w:r>
      <w:r>
        <w:rPr>
          <w:rFonts w:eastAsiaTheme="minorEastAsia"/>
        </w:rPr>
        <w:t>espacios</w:t>
      </w:r>
      <w:r w:rsidRPr="00CB07D4">
        <w:rPr>
          <w:rFonts w:eastAsiaTheme="minorEastAsia"/>
        </w:rPr>
        <w:t xml:space="preserve"> </w:t>
      </w:r>
      <w:r w:rsidR="00AE3297">
        <w:rPr>
          <w:rFonts w:eastAsiaTheme="minorEastAsia"/>
        </w:rPr>
        <w:t xml:space="preserve">relativamente </w:t>
      </w:r>
      <w:r w:rsidRPr="00CB07D4">
        <w:rPr>
          <w:rFonts w:eastAsiaTheme="minorEastAsia"/>
        </w:rPr>
        <w:t>amplios, facilitando la diferenciación de estrategias entre gestores, eso sí</w:t>
      </w:r>
      <w:r>
        <w:rPr>
          <w:rFonts w:eastAsiaTheme="minorEastAsia"/>
        </w:rPr>
        <w:t>,</w:t>
      </w:r>
      <w:r w:rsidRPr="00CB07D4">
        <w:rPr>
          <w:rFonts w:eastAsiaTheme="minorEastAsia"/>
        </w:rPr>
        <w:t xml:space="preserve"> marcando </w:t>
      </w:r>
      <w:r>
        <w:rPr>
          <w:rFonts w:eastAsiaTheme="minorEastAsia"/>
        </w:rPr>
        <w:t>las</w:t>
      </w:r>
      <w:r w:rsidRPr="00CB07D4">
        <w:rPr>
          <w:rFonts w:eastAsiaTheme="minorEastAsia"/>
        </w:rPr>
        <w:t xml:space="preserve"> diferencia</w:t>
      </w:r>
      <w:r>
        <w:rPr>
          <w:rFonts w:eastAsiaTheme="minorEastAsia"/>
        </w:rPr>
        <w:t>s</w:t>
      </w:r>
      <w:r w:rsidRPr="00CB07D4">
        <w:rPr>
          <w:rFonts w:eastAsiaTheme="minorEastAsia"/>
        </w:rPr>
        <w:t xml:space="preserve"> entre las generaciones y </w:t>
      </w:r>
      <w:r>
        <w:rPr>
          <w:rFonts w:eastAsiaTheme="minorEastAsia"/>
        </w:rPr>
        <w:t xml:space="preserve">los ajustes que se ofrezcan </w:t>
      </w:r>
      <w:r w:rsidRPr="00CB07D4">
        <w:rPr>
          <w:rFonts w:eastAsiaTheme="minorEastAsia"/>
        </w:rPr>
        <w:t xml:space="preserve">a lo largo del tiempo </w:t>
      </w:r>
      <w:r>
        <w:rPr>
          <w:rFonts w:eastAsiaTheme="minorEastAsia"/>
        </w:rPr>
        <w:t>en</w:t>
      </w:r>
      <w:r w:rsidRPr="00CB07D4">
        <w:rPr>
          <w:rFonts w:eastAsiaTheme="minorEastAsia"/>
        </w:rPr>
        <w:t xml:space="preserve"> </w:t>
      </w:r>
      <w:r>
        <w:rPr>
          <w:rFonts w:eastAsiaTheme="minorEastAsia"/>
        </w:rPr>
        <w:t>las</w:t>
      </w:r>
      <w:r w:rsidRPr="00CB07D4">
        <w:rPr>
          <w:rFonts w:eastAsiaTheme="minorEastAsia"/>
        </w:rPr>
        <w:t xml:space="preserve"> estrategias de inversión.</w:t>
      </w:r>
    </w:p>
    <w:p w14:paraId="452DCE72" w14:textId="77777777" w:rsidR="005E6D85" w:rsidRDefault="005E6D85" w:rsidP="005E6D85">
      <w:pPr>
        <w:spacing w:after="0" w:line="240" w:lineRule="auto"/>
        <w:ind w:left="360"/>
        <w:jc w:val="both"/>
        <w:rPr>
          <w:rFonts w:eastAsiaTheme="minorEastAsia"/>
          <w:sz w:val="24"/>
          <w:szCs w:val="24"/>
        </w:rPr>
      </w:pPr>
    </w:p>
    <w:p w14:paraId="0955C64E" w14:textId="77777777" w:rsidR="005E6D85" w:rsidRDefault="005E6D85" w:rsidP="005E6D85">
      <w:pPr>
        <w:spacing w:after="0" w:line="240" w:lineRule="auto"/>
        <w:ind w:left="360"/>
        <w:jc w:val="both"/>
        <w:rPr>
          <w:rFonts w:eastAsiaTheme="minorEastAsia"/>
          <w:sz w:val="24"/>
          <w:szCs w:val="24"/>
        </w:rPr>
      </w:pPr>
    </w:p>
    <w:p w14:paraId="3AA55E7A" w14:textId="77777777" w:rsidR="005E6D85" w:rsidRDefault="005E6D85" w:rsidP="005E6D85">
      <w:pPr>
        <w:pStyle w:val="Ttulo2"/>
      </w:pPr>
      <w:bookmarkStart w:id="59" w:name="_Toc144396549"/>
      <w:r>
        <w:t>5.6. Límites de inversión propuestos</w:t>
      </w:r>
      <w:bookmarkEnd w:id="59"/>
    </w:p>
    <w:p w14:paraId="75263460" w14:textId="77777777" w:rsidR="005E6D85" w:rsidRPr="00B42A0E" w:rsidRDefault="005E6D85" w:rsidP="005E6D85">
      <w:pPr>
        <w:spacing w:after="0" w:line="240" w:lineRule="auto"/>
        <w:jc w:val="both"/>
        <w:rPr>
          <w:rFonts w:eastAsiaTheme="minorEastAsia"/>
          <w:sz w:val="24"/>
          <w:szCs w:val="24"/>
        </w:rPr>
      </w:pPr>
    </w:p>
    <w:p w14:paraId="55B440B5" w14:textId="77777777" w:rsidR="005E6D85" w:rsidRDefault="005E6D85" w:rsidP="005E6D85">
      <w:pPr>
        <w:spacing w:after="0" w:line="240" w:lineRule="auto"/>
        <w:contextualSpacing/>
        <w:jc w:val="both"/>
        <w:rPr>
          <w:rFonts w:eastAsiaTheme="minorEastAsia"/>
        </w:rPr>
      </w:pPr>
      <w:r w:rsidRPr="00CB07D4">
        <w:rPr>
          <w:rFonts w:eastAsiaTheme="minorEastAsia"/>
        </w:rPr>
        <w:t xml:space="preserve">Los límites de inversión vigentes se han establecido en el </w:t>
      </w:r>
      <w:r w:rsidRPr="00CB07D4">
        <w:rPr>
          <w:rFonts w:eastAsiaTheme="minorEastAsia"/>
          <w:i/>
        </w:rPr>
        <w:t>Reglamento de Gestión de Activos</w:t>
      </w:r>
      <w:r>
        <w:rPr>
          <w:rFonts w:eastAsiaTheme="minorEastAsia"/>
          <w:iCs/>
        </w:rPr>
        <w:t>,</w:t>
      </w:r>
      <w:r w:rsidRPr="00CB07D4">
        <w:rPr>
          <w:rFonts w:eastAsiaTheme="minorEastAsia"/>
        </w:rPr>
        <w:t xml:space="preserve"> en los artículos 67 y 68. Dichos enunciados regulatorios representan límites generales que aplican a todos </w:t>
      </w:r>
      <w:r>
        <w:rPr>
          <w:rFonts w:eastAsiaTheme="minorEastAsia"/>
        </w:rPr>
        <w:t xml:space="preserve">los </w:t>
      </w:r>
      <w:r w:rsidRPr="00CB07D4">
        <w:rPr>
          <w:rFonts w:eastAsiaTheme="minorEastAsia"/>
        </w:rPr>
        <w:t>fondos de pensión</w:t>
      </w:r>
      <w:r>
        <w:rPr>
          <w:rFonts w:eastAsiaTheme="minorEastAsia"/>
        </w:rPr>
        <w:t xml:space="preserve"> (voluntarios, básicos u ocupacionales, por ejemplo).</w:t>
      </w:r>
      <w:r w:rsidRPr="00CB07D4">
        <w:rPr>
          <w:rFonts w:eastAsiaTheme="minorEastAsia"/>
        </w:rPr>
        <w:t xml:space="preserve"> La propuesta regulatoria busca mantener, con algunos ajustes de simplicidad</w:t>
      </w:r>
      <w:r>
        <w:rPr>
          <w:rFonts w:eastAsiaTheme="minorEastAsia"/>
        </w:rPr>
        <w:t xml:space="preserve"> y mejora</w:t>
      </w:r>
      <w:r w:rsidRPr="00CB07D4">
        <w:rPr>
          <w:rFonts w:eastAsiaTheme="minorEastAsia"/>
        </w:rPr>
        <w:t>, esta filosofía de l</w:t>
      </w:r>
      <w:r>
        <w:rPr>
          <w:rFonts w:eastAsiaTheme="minorEastAsia"/>
        </w:rPr>
        <w:t>í</w:t>
      </w:r>
      <w:r w:rsidRPr="00CB07D4">
        <w:rPr>
          <w:rFonts w:eastAsiaTheme="minorEastAsia"/>
        </w:rPr>
        <w:t xml:space="preserve">mites </w:t>
      </w:r>
      <w:r>
        <w:rPr>
          <w:rFonts w:eastAsiaTheme="minorEastAsia"/>
        </w:rPr>
        <w:t>generales</w:t>
      </w:r>
      <w:r w:rsidRPr="00CB07D4">
        <w:rPr>
          <w:rFonts w:eastAsiaTheme="minorEastAsia"/>
        </w:rPr>
        <w:t xml:space="preserve">, pero </w:t>
      </w:r>
      <w:r>
        <w:rPr>
          <w:rFonts w:eastAsiaTheme="minorEastAsia"/>
        </w:rPr>
        <w:t>adicionando</w:t>
      </w:r>
      <w:r w:rsidRPr="00CB07D4">
        <w:rPr>
          <w:rFonts w:eastAsiaTheme="minorEastAsia"/>
        </w:rPr>
        <w:t xml:space="preserve"> límites de inversión a l</w:t>
      </w:r>
      <w:r>
        <w:rPr>
          <w:rFonts w:eastAsiaTheme="minorEastAsia"/>
        </w:rPr>
        <w:t>o</w:t>
      </w:r>
      <w:r w:rsidRPr="00CB07D4">
        <w:rPr>
          <w:rFonts w:eastAsiaTheme="minorEastAsia"/>
        </w:rPr>
        <w:t>s</w:t>
      </w:r>
      <w:r>
        <w:rPr>
          <w:rFonts w:eastAsiaTheme="minorEastAsia"/>
        </w:rPr>
        <w:t xml:space="preserve"> fondos </w:t>
      </w:r>
      <w:r w:rsidRPr="00CB07D4">
        <w:rPr>
          <w:rFonts w:eastAsiaTheme="minorEastAsia"/>
        </w:rPr>
        <w:t>generacionales</w:t>
      </w:r>
      <w:r>
        <w:rPr>
          <w:rFonts w:eastAsiaTheme="minorEastAsia"/>
        </w:rPr>
        <w:t xml:space="preserve"> para las categorías de instrumentos descrita en la sección 5.1.</w:t>
      </w:r>
    </w:p>
    <w:p w14:paraId="7F234714" w14:textId="77777777" w:rsidR="005E6D85" w:rsidRDefault="005E6D85" w:rsidP="005E6D85">
      <w:pPr>
        <w:spacing w:after="0" w:line="240" w:lineRule="auto"/>
        <w:contextualSpacing/>
        <w:jc w:val="both"/>
        <w:rPr>
          <w:rFonts w:eastAsiaTheme="minorEastAsia"/>
        </w:rPr>
      </w:pPr>
    </w:p>
    <w:p w14:paraId="076AB69E" w14:textId="77777777" w:rsidR="005E6D85" w:rsidRDefault="005E6D85" w:rsidP="005E6D85">
      <w:pPr>
        <w:spacing w:after="0" w:line="240" w:lineRule="auto"/>
        <w:contextualSpacing/>
        <w:jc w:val="both"/>
        <w:rPr>
          <w:rFonts w:eastAsiaTheme="minorEastAsia"/>
        </w:rPr>
      </w:pPr>
      <w:r w:rsidRPr="002616B2">
        <w:rPr>
          <w:rFonts w:eastAsiaTheme="minorEastAsia"/>
        </w:rPr>
        <w:t>Los l</w:t>
      </w:r>
      <w:r w:rsidR="009864E3">
        <w:rPr>
          <w:rFonts w:eastAsiaTheme="minorEastAsia"/>
        </w:rPr>
        <w:t>í</w:t>
      </w:r>
      <w:r w:rsidRPr="002616B2">
        <w:rPr>
          <w:rFonts w:eastAsiaTheme="minorEastAsia"/>
        </w:rPr>
        <w:t>mites regulatorios propuestos parten de la trayectoria de inversión descrita anteriormente, ampliándolos a efecto de poder posibilitar las diferencias entre gestores. Así, si el modelo de optimización arroj</w:t>
      </w:r>
      <w:r>
        <w:rPr>
          <w:rFonts w:eastAsiaTheme="minorEastAsia"/>
        </w:rPr>
        <w:t>ó</w:t>
      </w:r>
      <w:r w:rsidRPr="002616B2">
        <w:rPr>
          <w:rFonts w:eastAsiaTheme="minorEastAsia"/>
        </w:rPr>
        <w:t xml:space="preserve"> evidencia de que la combinación de activos de menor volatilidad en los rendimientos está conformada por 85% deuda y 15% títulos representativos de propiedad, en lugar de consignar estos valores como l</w:t>
      </w:r>
      <w:r>
        <w:rPr>
          <w:rFonts w:eastAsiaTheme="minorEastAsia"/>
        </w:rPr>
        <w:t>í</w:t>
      </w:r>
      <w:r w:rsidRPr="002616B2">
        <w:rPr>
          <w:rFonts w:eastAsiaTheme="minorEastAsia"/>
        </w:rPr>
        <w:t xml:space="preserve">mites se consigna </w:t>
      </w:r>
      <w:r>
        <w:rPr>
          <w:rFonts w:eastAsiaTheme="minorEastAsia"/>
        </w:rPr>
        <w:t xml:space="preserve">un rango un </w:t>
      </w:r>
      <w:r w:rsidRPr="002616B2">
        <w:rPr>
          <w:rFonts w:eastAsiaTheme="minorEastAsia"/>
        </w:rPr>
        <w:t>100% de posibilidad de invertir en deuda</w:t>
      </w:r>
      <w:r>
        <w:rPr>
          <w:rFonts w:eastAsiaTheme="minorEastAsia"/>
        </w:rPr>
        <w:t xml:space="preserve"> y un 30% en TRP</w:t>
      </w:r>
      <w:r w:rsidRPr="002616B2">
        <w:rPr>
          <w:rFonts w:eastAsiaTheme="minorEastAsia"/>
        </w:rPr>
        <w:t>.</w:t>
      </w:r>
      <w:r>
        <w:rPr>
          <w:rFonts w:eastAsiaTheme="minorEastAsia"/>
        </w:rPr>
        <w:t xml:space="preserve"> En esta línea, se debe de tener en cuenta que los l</w:t>
      </w:r>
      <w:r w:rsidR="00E33F1E">
        <w:rPr>
          <w:rFonts w:eastAsiaTheme="minorEastAsia"/>
        </w:rPr>
        <w:t>í</w:t>
      </w:r>
      <w:r>
        <w:rPr>
          <w:rFonts w:eastAsiaTheme="minorEastAsia"/>
        </w:rPr>
        <w:t>mites pueden sumar más de 100% (se transponen), esto para facilitar los espacios ya mencionados, para que los gestores puedan diferenciarse y realizar ejercicios de optimización, con la menor cantidad de restricciones posible (</w:t>
      </w:r>
      <w:r>
        <w:rPr>
          <w:lang w:val="es-CR"/>
        </w:rPr>
        <w:t>v</w:t>
      </w:r>
      <w:r w:rsidRPr="002616B2">
        <w:rPr>
          <w:lang w:val="es-CR"/>
        </w:rPr>
        <w:t>er</w:t>
      </w:r>
      <w:r w:rsidR="008556E3">
        <w:rPr>
          <w:lang w:val="es-CR"/>
        </w:rPr>
        <w:t xml:space="preserve"> cuadro siguiente</w:t>
      </w:r>
      <w:r>
        <w:rPr>
          <w:rFonts w:eastAsiaTheme="minorEastAsia"/>
        </w:rPr>
        <w:t>).</w:t>
      </w:r>
      <w:r w:rsidRPr="002616B2">
        <w:rPr>
          <w:rFonts w:eastAsiaTheme="minorEastAsia"/>
        </w:rPr>
        <w:t xml:space="preserve"> </w:t>
      </w:r>
    </w:p>
    <w:p w14:paraId="23EC71B0" w14:textId="77777777" w:rsidR="005E6D85" w:rsidRDefault="005E6D85" w:rsidP="005E6D85">
      <w:pPr>
        <w:rPr>
          <w:rFonts w:eastAsiaTheme="minorEastAsia"/>
        </w:rPr>
      </w:pPr>
      <w:r>
        <w:rPr>
          <w:rFonts w:eastAsiaTheme="minorEastAsia"/>
        </w:rPr>
        <w:br w:type="page"/>
      </w:r>
    </w:p>
    <w:p w14:paraId="40D23FCF" w14:textId="77777777" w:rsidR="00B47A67" w:rsidRDefault="00B47A67" w:rsidP="00B47A67">
      <w:pPr>
        <w:spacing w:after="0" w:line="240" w:lineRule="auto"/>
        <w:contextualSpacing/>
        <w:jc w:val="both"/>
        <w:rPr>
          <w:rFonts w:eastAsiaTheme="minorEastAsia"/>
        </w:rPr>
      </w:pPr>
    </w:p>
    <w:p w14:paraId="5CE6BDFE" w14:textId="77777777" w:rsidR="00B47A67" w:rsidRPr="00CB07D4" w:rsidRDefault="00B47A67" w:rsidP="00B47A67">
      <w:pPr>
        <w:pStyle w:val="Descripcin"/>
      </w:pPr>
      <w:bookmarkStart w:id="60" w:name="_Ref136509194"/>
      <w:r>
        <w:t>Cuadro</w:t>
      </w:r>
      <w:bookmarkEnd w:id="60"/>
      <w:r w:rsidR="008556E3">
        <w:t xml:space="preserve"> 9</w:t>
      </w:r>
      <w:r>
        <w:t xml:space="preserve">: </w:t>
      </w:r>
      <w:r w:rsidRPr="00CB07D4">
        <w:t xml:space="preserve">Propuesta de límites máximos para </w:t>
      </w:r>
      <w:r>
        <w:t xml:space="preserve">fondos </w:t>
      </w:r>
      <w:r w:rsidRPr="00CB07D4">
        <w:t>generaciones</w:t>
      </w:r>
    </w:p>
    <w:p w14:paraId="1B13924A" w14:textId="77777777" w:rsidR="00B47A67" w:rsidRDefault="00B47A67" w:rsidP="00B47A67">
      <w:pPr>
        <w:spacing w:after="0" w:line="240" w:lineRule="auto"/>
        <w:contextualSpacing/>
      </w:pPr>
    </w:p>
    <w:tbl>
      <w:tblPr>
        <w:tblStyle w:val="Tablaconcuadrculaclara"/>
        <w:tblW w:w="8410" w:type="dxa"/>
        <w:tblInd w:w="-5" w:type="dxa"/>
        <w:tblLook w:val="04A0" w:firstRow="1" w:lastRow="0" w:firstColumn="1" w:lastColumn="0" w:noHBand="0" w:noVBand="1"/>
      </w:tblPr>
      <w:tblGrid>
        <w:gridCol w:w="1321"/>
        <w:gridCol w:w="1373"/>
        <w:gridCol w:w="1418"/>
        <w:gridCol w:w="1662"/>
        <w:gridCol w:w="1315"/>
        <w:gridCol w:w="1321"/>
      </w:tblGrid>
      <w:tr w:rsidR="00B47A67" w:rsidRPr="00D27F50" w14:paraId="16C7A381" w14:textId="77777777" w:rsidTr="00E942FC">
        <w:trPr>
          <w:trHeight w:val="323"/>
        </w:trPr>
        <w:tc>
          <w:tcPr>
            <w:tcW w:w="1321" w:type="dxa"/>
            <w:hideMark/>
          </w:tcPr>
          <w:p w14:paraId="58DFF2A1" w14:textId="77777777" w:rsidR="00B47A67" w:rsidRPr="009E1A54" w:rsidRDefault="00B47A67" w:rsidP="004E2EB3">
            <w:pPr>
              <w:contextualSpacing/>
              <w:jc w:val="center"/>
              <w:rPr>
                <w:rFonts w:asciiTheme="majorHAnsi" w:eastAsia="Times New Roman" w:hAnsiTheme="majorHAnsi" w:cstheme="majorHAnsi"/>
                <w:sz w:val="20"/>
                <w:szCs w:val="20"/>
                <w:lang w:val="es-CR" w:eastAsia="es-CR"/>
              </w:rPr>
            </w:pPr>
            <w:r>
              <w:rPr>
                <w:rFonts w:asciiTheme="majorHAnsi" w:eastAsia="Times New Roman" w:hAnsiTheme="majorHAnsi" w:cstheme="majorHAnsi"/>
                <w:b/>
                <w:bCs/>
                <w:kern w:val="24"/>
                <w:sz w:val="20"/>
                <w:szCs w:val="20"/>
                <w:lang w:eastAsia="es-CR"/>
              </w:rPr>
              <w:t>Generaciones</w:t>
            </w:r>
          </w:p>
        </w:tc>
        <w:tc>
          <w:tcPr>
            <w:tcW w:w="1373" w:type="dxa"/>
            <w:hideMark/>
          </w:tcPr>
          <w:p w14:paraId="226BEAD9" w14:textId="77777777" w:rsidR="00B47A67" w:rsidRPr="009E1A54" w:rsidRDefault="00B47A67" w:rsidP="004E2EB3">
            <w:pPr>
              <w:contextualSpacing/>
              <w:jc w:val="center"/>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b/>
                <w:bCs/>
                <w:kern w:val="24"/>
                <w:sz w:val="20"/>
                <w:szCs w:val="20"/>
                <w:lang w:eastAsia="es-CR"/>
              </w:rPr>
              <w:t>2024</w:t>
            </w:r>
          </w:p>
        </w:tc>
        <w:tc>
          <w:tcPr>
            <w:tcW w:w="1418" w:type="dxa"/>
            <w:hideMark/>
          </w:tcPr>
          <w:p w14:paraId="211D50F0" w14:textId="77777777" w:rsidR="00B47A67" w:rsidRPr="009E1A54" w:rsidRDefault="00B47A67" w:rsidP="004E2EB3">
            <w:pPr>
              <w:contextualSpacing/>
              <w:jc w:val="center"/>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b/>
                <w:bCs/>
                <w:kern w:val="24"/>
                <w:sz w:val="20"/>
                <w:szCs w:val="20"/>
                <w:lang w:eastAsia="es-CR"/>
              </w:rPr>
              <w:t>2030</w:t>
            </w:r>
          </w:p>
        </w:tc>
        <w:tc>
          <w:tcPr>
            <w:tcW w:w="1662" w:type="dxa"/>
            <w:hideMark/>
          </w:tcPr>
          <w:p w14:paraId="7CB6D350" w14:textId="77777777" w:rsidR="00B47A67" w:rsidRPr="009E1A54" w:rsidRDefault="00B47A67" w:rsidP="004E2EB3">
            <w:pPr>
              <w:contextualSpacing/>
              <w:jc w:val="center"/>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b/>
                <w:bCs/>
                <w:kern w:val="24"/>
                <w:sz w:val="20"/>
                <w:szCs w:val="20"/>
                <w:lang w:eastAsia="es-CR"/>
              </w:rPr>
              <w:t>2040</w:t>
            </w:r>
          </w:p>
        </w:tc>
        <w:tc>
          <w:tcPr>
            <w:tcW w:w="1315" w:type="dxa"/>
            <w:hideMark/>
          </w:tcPr>
          <w:p w14:paraId="0CD592E3" w14:textId="77777777" w:rsidR="00B47A67" w:rsidRPr="009E1A54" w:rsidRDefault="00B47A67" w:rsidP="004E2EB3">
            <w:pPr>
              <w:contextualSpacing/>
              <w:jc w:val="center"/>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b/>
                <w:bCs/>
                <w:kern w:val="24"/>
                <w:sz w:val="20"/>
                <w:szCs w:val="20"/>
                <w:lang w:eastAsia="es-CR"/>
              </w:rPr>
              <w:t>2050</w:t>
            </w:r>
          </w:p>
        </w:tc>
        <w:tc>
          <w:tcPr>
            <w:tcW w:w="1321" w:type="dxa"/>
            <w:hideMark/>
          </w:tcPr>
          <w:p w14:paraId="7870B473" w14:textId="77777777" w:rsidR="00B47A67" w:rsidRPr="009E1A54" w:rsidRDefault="00B47A67" w:rsidP="004E2EB3">
            <w:pPr>
              <w:contextualSpacing/>
              <w:jc w:val="center"/>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b/>
                <w:bCs/>
                <w:kern w:val="24"/>
                <w:sz w:val="20"/>
                <w:szCs w:val="20"/>
                <w:lang w:eastAsia="es-CR"/>
              </w:rPr>
              <w:t>2060</w:t>
            </w:r>
          </w:p>
        </w:tc>
      </w:tr>
      <w:tr w:rsidR="00B47A67" w:rsidRPr="00D27F50" w14:paraId="158C1A07" w14:textId="77777777" w:rsidTr="00E942FC">
        <w:trPr>
          <w:trHeight w:val="544"/>
        </w:trPr>
        <w:tc>
          <w:tcPr>
            <w:tcW w:w="1321" w:type="dxa"/>
            <w:hideMark/>
          </w:tcPr>
          <w:p w14:paraId="03D84BEE" w14:textId="77777777" w:rsidR="00B47A67" w:rsidRPr="009E1A54" w:rsidRDefault="00B47A67" w:rsidP="004E2EB3">
            <w:pPr>
              <w:contextualSpacing/>
              <w:jc w:val="center"/>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b/>
                <w:bCs/>
                <w:kern w:val="24"/>
                <w:sz w:val="20"/>
                <w:szCs w:val="20"/>
                <w:lang w:eastAsia="es-CR"/>
              </w:rPr>
              <w:t>&lt;1969</w:t>
            </w:r>
          </w:p>
        </w:tc>
        <w:tc>
          <w:tcPr>
            <w:tcW w:w="1373" w:type="dxa"/>
            <w:shd w:val="clear" w:color="auto" w:fill="8EAADB" w:themeFill="accent1" w:themeFillTint="99"/>
            <w:hideMark/>
          </w:tcPr>
          <w:p w14:paraId="1BE5A88E"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Pr>
                <w:rFonts w:asciiTheme="majorHAnsi" w:eastAsia="Times New Roman" w:hAnsiTheme="majorHAnsi" w:cstheme="majorHAnsi"/>
                <w:kern w:val="24"/>
                <w:sz w:val="20"/>
                <w:szCs w:val="20"/>
                <w:lang w:eastAsia="es-CR"/>
              </w:rPr>
              <w:t>D</w:t>
            </w:r>
            <w:r w:rsidRPr="009E1A54">
              <w:rPr>
                <w:rFonts w:asciiTheme="majorHAnsi" w:eastAsia="Times New Roman" w:hAnsiTheme="majorHAnsi" w:cstheme="majorHAnsi"/>
                <w:kern w:val="24"/>
                <w:sz w:val="20"/>
                <w:szCs w:val="20"/>
                <w:lang w:eastAsia="es-CR"/>
              </w:rPr>
              <w:t>euda: 100%</w:t>
            </w:r>
          </w:p>
          <w:p w14:paraId="548000D0" w14:textId="77777777" w:rsidR="00B47A67" w:rsidRPr="00FD7DCC" w:rsidRDefault="00B47A67" w:rsidP="004E2EB3">
            <w:pPr>
              <w:contextualSpacing/>
              <w:jc w:val="both"/>
              <w:rPr>
                <w:rFonts w:asciiTheme="majorHAnsi" w:eastAsia="Times New Roman" w:hAnsiTheme="majorHAnsi" w:cstheme="majorHAnsi"/>
                <w:kern w:val="24"/>
                <w:sz w:val="20"/>
                <w:szCs w:val="20"/>
                <w:lang w:eastAsia="es-CR"/>
              </w:rPr>
            </w:pPr>
            <w:r>
              <w:rPr>
                <w:rFonts w:asciiTheme="majorHAnsi" w:eastAsia="Times New Roman" w:hAnsiTheme="majorHAnsi" w:cstheme="majorHAnsi"/>
                <w:kern w:val="24"/>
                <w:sz w:val="20"/>
                <w:szCs w:val="20"/>
                <w:lang w:eastAsia="es-CR"/>
              </w:rPr>
              <w:t>TRP</w:t>
            </w:r>
            <w:r w:rsidRPr="009E1A54">
              <w:rPr>
                <w:rFonts w:asciiTheme="majorHAnsi" w:eastAsia="Times New Roman" w:hAnsiTheme="majorHAnsi" w:cstheme="majorHAnsi"/>
                <w:kern w:val="24"/>
                <w:sz w:val="20"/>
                <w:szCs w:val="20"/>
                <w:lang w:eastAsia="es-CR"/>
              </w:rPr>
              <w:t xml:space="preserve">: </w:t>
            </w:r>
            <w:r>
              <w:rPr>
                <w:rFonts w:asciiTheme="majorHAnsi" w:eastAsia="Times New Roman" w:hAnsiTheme="majorHAnsi" w:cstheme="majorHAnsi"/>
                <w:kern w:val="24"/>
                <w:sz w:val="20"/>
                <w:szCs w:val="20"/>
                <w:lang w:eastAsia="es-CR"/>
              </w:rPr>
              <w:t>30</w:t>
            </w:r>
            <w:r w:rsidRPr="009E1A54">
              <w:rPr>
                <w:rFonts w:asciiTheme="majorHAnsi" w:eastAsia="Times New Roman" w:hAnsiTheme="majorHAnsi" w:cstheme="majorHAnsi"/>
                <w:kern w:val="24"/>
                <w:sz w:val="20"/>
                <w:szCs w:val="20"/>
                <w:lang w:eastAsia="es-CR"/>
              </w:rPr>
              <w:t>%</w:t>
            </w:r>
          </w:p>
        </w:tc>
        <w:tc>
          <w:tcPr>
            <w:tcW w:w="1418" w:type="dxa"/>
            <w:hideMark/>
          </w:tcPr>
          <w:p w14:paraId="4DAC125D"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kern w:val="24"/>
                <w:sz w:val="20"/>
                <w:szCs w:val="20"/>
                <w:lang w:eastAsia="es-CR"/>
              </w:rPr>
              <w:t>Deuda: 100%</w:t>
            </w:r>
          </w:p>
          <w:p w14:paraId="5D495BB7" w14:textId="77777777" w:rsidR="00B47A67" w:rsidRPr="00FD7DCC" w:rsidRDefault="00B47A67" w:rsidP="004E2EB3">
            <w:pPr>
              <w:contextualSpacing/>
              <w:jc w:val="both"/>
              <w:rPr>
                <w:rFonts w:asciiTheme="majorHAnsi" w:eastAsia="Times New Roman" w:hAnsiTheme="majorHAnsi" w:cstheme="majorHAnsi"/>
                <w:kern w:val="24"/>
                <w:sz w:val="20"/>
                <w:szCs w:val="20"/>
                <w:lang w:eastAsia="es-CR"/>
              </w:rPr>
            </w:pPr>
            <w:r>
              <w:rPr>
                <w:rFonts w:asciiTheme="majorHAnsi" w:eastAsia="Times New Roman" w:hAnsiTheme="majorHAnsi" w:cstheme="majorHAnsi"/>
                <w:kern w:val="24"/>
                <w:sz w:val="20"/>
                <w:szCs w:val="20"/>
                <w:lang w:eastAsia="es-CR"/>
              </w:rPr>
              <w:t>TRP</w:t>
            </w:r>
            <w:r w:rsidRPr="009E1A54">
              <w:rPr>
                <w:rFonts w:asciiTheme="majorHAnsi" w:eastAsia="Times New Roman" w:hAnsiTheme="majorHAnsi" w:cstheme="majorHAnsi"/>
                <w:kern w:val="24"/>
                <w:sz w:val="20"/>
                <w:szCs w:val="20"/>
                <w:lang w:eastAsia="es-CR"/>
              </w:rPr>
              <w:t xml:space="preserve">: </w:t>
            </w:r>
            <w:r>
              <w:rPr>
                <w:rFonts w:asciiTheme="majorHAnsi" w:eastAsia="Times New Roman" w:hAnsiTheme="majorHAnsi" w:cstheme="majorHAnsi"/>
                <w:kern w:val="24"/>
                <w:sz w:val="20"/>
                <w:szCs w:val="20"/>
                <w:lang w:eastAsia="es-CR"/>
              </w:rPr>
              <w:t>2</w:t>
            </w:r>
            <w:r w:rsidRPr="009E1A54">
              <w:rPr>
                <w:rFonts w:asciiTheme="majorHAnsi" w:eastAsia="Times New Roman" w:hAnsiTheme="majorHAnsi" w:cstheme="majorHAnsi"/>
                <w:kern w:val="24"/>
                <w:sz w:val="20"/>
                <w:szCs w:val="20"/>
                <w:lang w:eastAsia="es-CR"/>
              </w:rPr>
              <w:t>0%</w:t>
            </w:r>
          </w:p>
        </w:tc>
        <w:tc>
          <w:tcPr>
            <w:tcW w:w="1662" w:type="dxa"/>
            <w:shd w:val="clear" w:color="auto" w:fill="C5E0B3" w:themeFill="accent6" w:themeFillTint="66"/>
            <w:hideMark/>
          </w:tcPr>
          <w:p w14:paraId="625064D4"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kern w:val="24"/>
                <w:sz w:val="20"/>
                <w:szCs w:val="20"/>
                <w:lang w:eastAsia="es-CR"/>
              </w:rPr>
              <w:t>Deuda: 100%</w:t>
            </w:r>
          </w:p>
          <w:p w14:paraId="413901B1" w14:textId="77777777" w:rsidR="00B47A67" w:rsidRPr="00FD7DCC" w:rsidRDefault="00B47A67" w:rsidP="004E2EB3">
            <w:pPr>
              <w:contextualSpacing/>
              <w:jc w:val="both"/>
              <w:rPr>
                <w:rFonts w:asciiTheme="majorHAnsi" w:eastAsia="Times New Roman" w:hAnsiTheme="majorHAnsi" w:cstheme="majorHAnsi"/>
                <w:kern w:val="24"/>
                <w:sz w:val="20"/>
                <w:szCs w:val="20"/>
                <w:lang w:eastAsia="es-CR"/>
              </w:rPr>
            </w:pPr>
            <w:r>
              <w:rPr>
                <w:rFonts w:asciiTheme="majorHAnsi" w:eastAsia="Times New Roman" w:hAnsiTheme="majorHAnsi" w:cstheme="majorHAnsi"/>
                <w:kern w:val="24"/>
                <w:sz w:val="20"/>
                <w:szCs w:val="20"/>
                <w:lang w:eastAsia="es-CR"/>
              </w:rPr>
              <w:t>TRP</w:t>
            </w:r>
            <w:r w:rsidRPr="009E1A54">
              <w:rPr>
                <w:rFonts w:asciiTheme="majorHAnsi" w:eastAsia="Times New Roman" w:hAnsiTheme="majorHAnsi" w:cstheme="majorHAnsi"/>
                <w:kern w:val="24"/>
                <w:sz w:val="20"/>
                <w:szCs w:val="20"/>
                <w:lang w:eastAsia="es-CR"/>
              </w:rPr>
              <w:t xml:space="preserve">: </w:t>
            </w:r>
            <w:r>
              <w:rPr>
                <w:rFonts w:asciiTheme="majorHAnsi" w:eastAsia="Times New Roman" w:hAnsiTheme="majorHAnsi" w:cstheme="majorHAnsi"/>
                <w:kern w:val="24"/>
                <w:sz w:val="20"/>
                <w:szCs w:val="20"/>
                <w:lang w:eastAsia="es-CR"/>
              </w:rPr>
              <w:t>15</w:t>
            </w:r>
            <w:r w:rsidRPr="009E1A54">
              <w:rPr>
                <w:rFonts w:asciiTheme="majorHAnsi" w:eastAsia="Times New Roman" w:hAnsiTheme="majorHAnsi" w:cstheme="majorHAnsi"/>
                <w:kern w:val="24"/>
                <w:sz w:val="20"/>
                <w:szCs w:val="20"/>
                <w:lang w:eastAsia="es-CR"/>
              </w:rPr>
              <w:t>%</w:t>
            </w:r>
          </w:p>
        </w:tc>
        <w:tc>
          <w:tcPr>
            <w:tcW w:w="1315" w:type="dxa"/>
            <w:hideMark/>
          </w:tcPr>
          <w:p w14:paraId="4302B3A0"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kern w:val="24"/>
                <w:sz w:val="20"/>
                <w:szCs w:val="20"/>
                <w:lang w:eastAsia="es-CR"/>
              </w:rPr>
              <w:t> </w:t>
            </w:r>
          </w:p>
        </w:tc>
        <w:tc>
          <w:tcPr>
            <w:tcW w:w="1321" w:type="dxa"/>
            <w:hideMark/>
          </w:tcPr>
          <w:p w14:paraId="59B1D02C"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kern w:val="24"/>
                <w:sz w:val="20"/>
                <w:szCs w:val="20"/>
                <w:lang w:eastAsia="es-CR"/>
              </w:rPr>
              <w:t> </w:t>
            </w:r>
          </w:p>
        </w:tc>
      </w:tr>
      <w:tr w:rsidR="00B47A67" w:rsidRPr="00D27F50" w14:paraId="4300E953" w14:textId="77777777" w:rsidTr="00E942FC">
        <w:trPr>
          <w:trHeight w:val="538"/>
        </w:trPr>
        <w:tc>
          <w:tcPr>
            <w:tcW w:w="1321" w:type="dxa"/>
            <w:hideMark/>
          </w:tcPr>
          <w:p w14:paraId="3ACF438D" w14:textId="77777777" w:rsidR="00B47A67" w:rsidRPr="009E1A54" w:rsidRDefault="00B47A67" w:rsidP="004E2EB3">
            <w:pPr>
              <w:contextualSpacing/>
              <w:jc w:val="center"/>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b/>
                <w:bCs/>
                <w:kern w:val="24"/>
                <w:sz w:val="20"/>
                <w:szCs w:val="20"/>
                <w:lang w:eastAsia="es-CR"/>
              </w:rPr>
              <w:t>70s</w:t>
            </w:r>
          </w:p>
        </w:tc>
        <w:tc>
          <w:tcPr>
            <w:tcW w:w="1373" w:type="dxa"/>
            <w:hideMark/>
          </w:tcPr>
          <w:p w14:paraId="3C5F5D3A"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Pr>
                <w:rFonts w:asciiTheme="majorHAnsi" w:eastAsia="Times New Roman" w:hAnsiTheme="majorHAnsi" w:cstheme="majorHAnsi"/>
                <w:kern w:val="24"/>
                <w:sz w:val="20"/>
                <w:szCs w:val="20"/>
                <w:lang w:eastAsia="es-CR"/>
              </w:rPr>
              <w:t>Deuda</w:t>
            </w:r>
            <w:r w:rsidRPr="009E1A54">
              <w:rPr>
                <w:rFonts w:asciiTheme="majorHAnsi" w:eastAsia="Times New Roman" w:hAnsiTheme="majorHAnsi" w:cstheme="majorHAnsi"/>
                <w:kern w:val="24"/>
                <w:sz w:val="20"/>
                <w:szCs w:val="20"/>
                <w:lang w:eastAsia="es-CR"/>
              </w:rPr>
              <w:t>: 80%</w:t>
            </w:r>
          </w:p>
          <w:p w14:paraId="31884E37" w14:textId="77777777" w:rsidR="00B47A67" w:rsidRPr="00E06D36" w:rsidRDefault="00B47A67" w:rsidP="004E2EB3">
            <w:pPr>
              <w:contextualSpacing/>
              <w:jc w:val="both"/>
              <w:rPr>
                <w:rFonts w:asciiTheme="majorHAnsi" w:eastAsia="Times New Roman" w:hAnsiTheme="majorHAnsi" w:cstheme="majorHAnsi"/>
                <w:kern w:val="24"/>
                <w:sz w:val="20"/>
                <w:szCs w:val="20"/>
                <w:lang w:eastAsia="es-CR"/>
              </w:rPr>
            </w:pPr>
            <w:r>
              <w:rPr>
                <w:rFonts w:asciiTheme="majorHAnsi" w:eastAsia="Times New Roman" w:hAnsiTheme="majorHAnsi" w:cstheme="majorHAnsi"/>
                <w:kern w:val="24"/>
                <w:sz w:val="20"/>
                <w:szCs w:val="20"/>
                <w:lang w:eastAsia="es-CR"/>
              </w:rPr>
              <w:t>TRP</w:t>
            </w:r>
            <w:r w:rsidRPr="009E1A54">
              <w:rPr>
                <w:rFonts w:asciiTheme="majorHAnsi" w:eastAsia="Times New Roman" w:hAnsiTheme="majorHAnsi" w:cstheme="majorHAnsi"/>
                <w:kern w:val="24"/>
                <w:sz w:val="20"/>
                <w:szCs w:val="20"/>
                <w:lang w:eastAsia="es-CR"/>
              </w:rPr>
              <w:t>: 40%</w:t>
            </w:r>
          </w:p>
        </w:tc>
        <w:tc>
          <w:tcPr>
            <w:tcW w:w="1418" w:type="dxa"/>
            <w:shd w:val="clear" w:color="auto" w:fill="8EAADB" w:themeFill="accent1" w:themeFillTint="99"/>
            <w:hideMark/>
          </w:tcPr>
          <w:p w14:paraId="552D6D25"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Pr>
                <w:rFonts w:asciiTheme="majorHAnsi" w:eastAsia="Times New Roman" w:hAnsiTheme="majorHAnsi" w:cstheme="majorHAnsi"/>
                <w:kern w:val="24"/>
                <w:sz w:val="20"/>
                <w:szCs w:val="20"/>
                <w:lang w:eastAsia="es-CR"/>
              </w:rPr>
              <w:t>D</w:t>
            </w:r>
            <w:r w:rsidRPr="009E1A54">
              <w:rPr>
                <w:rFonts w:asciiTheme="majorHAnsi" w:eastAsia="Times New Roman" w:hAnsiTheme="majorHAnsi" w:cstheme="majorHAnsi"/>
                <w:kern w:val="24"/>
                <w:sz w:val="20"/>
                <w:szCs w:val="20"/>
                <w:lang w:eastAsia="es-CR"/>
              </w:rPr>
              <w:t>euda: 100%</w:t>
            </w:r>
          </w:p>
          <w:p w14:paraId="4AC10420" w14:textId="77777777" w:rsidR="00B47A67" w:rsidRPr="00E06D36" w:rsidRDefault="00B47A67" w:rsidP="004E2EB3">
            <w:pPr>
              <w:contextualSpacing/>
              <w:jc w:val="both"/>
              <w:rPr>
                <w:rFonts w:asciiTheme="majorHAnsi" w:eastAsia="Times New Roman" w:hAnsiTheme="majorHAnsi" w:cstheme="majorHAnsi"/>
                <w:kern w:val="24"/>
                <w:sz w:val="20"/>
                <w:szCs w:val="20"/>
                <w:lang w:eastAsia="es-CR"/>
              </w:rPr>
            </w:pPr>
            <w:r>
              <w:rPr>
                <w:rFonts w:asciiTheme="majorHAnsi" w:eastAsia="Times New Roman" w:hAnsiTheme="majorHAnsi" w:cstheme="majorHAnsi"/>
                <w:kern w:val="24"/>
                <w:sz w:val="20"/>
                <w:szCs w:val="20"/>
                <w:lang w:eastAsia="es-CR"/>
              </w:rPr>
              <w:t>TRP</w:t>
            </w:r>
            <w:r w:rsidRPr="009E1A54">
              <w:rPr>
                <w:rFonts w:asciiTheme="majorHAnsi" w:eastAsia="Times New Roman" w:hAnsiTheme="majorHAnsi" w:cstheme="majorHAnsi"/>
                <w:kern w:val="24"/>
                <w:sz w:val="20"/>
                <w:szCs w:val="20"/>
                <w:lang w:eastAsia="es-CR"/>
              </w:rPr>
              <w:t xml:space="preserve">: </w:t>
            </w:r>
            <w:r>
              <w:rPr>
                <w:rFonts w:asciiTheme="majorHAnsi" w:eastAsia="Times New Roman" w:hAnsiTheme="majorHAnsi" w:cstheme="majorHAnsi"/>
                <w:kern w:val="24"/>
                <w:sz w:val="20"/>
                <w:szCs w:val="20"/>
                <w:lang w:eastAsia="es-CR"/>
              </w:rPr>
              <w:t>30</w:t>
            </w:r>
            <w:r w:rsidRPr="009E1A54">
              <w:rPr>
                <w:rFonts w:asciiTheme="majorHAnsi" w:eastAsia="Times New Roman" w:hAnsiTheme="majorHAnsi" w:cstheme="majorHAnsi"/>
                <w:kern w:val="24"/>
                <w:sz w:val="20"/>
                <w:szCs w:val="20"/>
                <w:lang w:eastAsia="es-CR"/>
              </w:rPr>
              <w:t>%</w:t>
            </w:r>
          </w:p>
        </w:tc>
        <w:tc>
          <w:tcPr>
            <w:tcW w:w="1662" w:type="dxa"/>
            <w:hideMark/>
          </w:tcPr>
          <w:p w14:paraId="69C817BD"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kern w:val="24"/>
                <w:sz w:val="20"/>
                <w:szCs w:val="20"/>
                <w:lang w:eastAsia="es-CR"/>
              </w:rPr>
              <w:t>Deuda: 100%</w:t>
            </w:r>
          </w:p>
          <w:p w14:paraId="3C439EE1" w14:textId="77777777" w:rsidR="00B47A67" w:rsidRPr="00E06D36" w:rsidRDefault="00B47A67" w:rsidP="004E2EB3">
            <w:pPr>
              <w:contextualSpacing/>
              <w:jc w:val="both"/>
              <w:rPr>
                <w:rFonts w:asciiTheme="majorHAnsi" w:eastAsia="Times New Roman" w:hAnsiTheme="majorHAnsi" w:cstheme="majorHAnsi"/>
                <w:kern w:val="24"/>
                <w:sz w:val="20"/>
                <w:szCs w:val="20"/>
                <w:lang w:eastAsia="es-CR"/>
              </w:rPr>
            </w:pPr>
            <w:r>
              <w:rPr>
                <w:rFonts w:asciiTheme="majorHAnsi" w:eastAsia="Times New Roman" w:hAnsiTheme="majorHAnsi" w:cstheme="majorHAnsi"/>
                <w:kern w:val="24"/>
                <w:sz w:val="20"/>
                <w:szCs w:val="20"/>
                <w:lang w:eastAsia="es-CR"/>
              </w:rPr>
              <w:t>TRP</w:t>
            </w:r>
            <w:r w:rsidRPr="009E1A54">
              <w:rPr>
                <w:rFonts w:asciiTheme="majorHAnsi" w:eastAsia="Times New Roman" w:hAnsiTheme="majorHAnsi" w:cstheme="majorHAnsi"/>
                <w:kern w:val="24"/>
                <w:sz w:val="20"/>
                <w:szCs w:val="20"/>
                <w:lang w:eastAsia="es-CR"/>
              </w:rPr>
              <w:t xml:space="preserve">: </w:t>
            </w:r>
            <w:r>
              <w:rPr>
                <w:rFonts w:asciiTheme="majorHAnsi" w:eastAsia="Times New Roman" w:hAnsiTheme="majorHAnsi" w:cstheme="majorHAnsi"/>
                <w:kern w:val="24"/>
                <w:sz w:val="20"/>
                <w:szCs w:val="20"/>
                <w:lang w:eastAsia="es-CR"/>
              </w:rPr>
              <w:t>2</w:t>
            </w:r>
            <w:r w:rsidRPr="009E1A54">
              <w:rPr>
                <w:rFonts w:asciiTheme="majorHAnsi" w:eastAsia="Times New Roman" w:hAnsiTheme="majorHAnsi" w:cstheme="majorHAnsi"/>
                <w:kern w:val="24"/>
                <w:sz w:val="20"/>
                <w:szCs w:val="20"/>
                <w:lang w:eastAsia="es-CR"/>
              </w:rPr>
              <w:t>0%</w:t>
            </w:r>
          </w:p>
        </w:tc>
        <w:tc>
          <w:tcPr>
            <w:tcW w:w="1315" w:type="dxa"/>
            <w:shd w:val="clear" w:color="auto" w:fill="C5E0B3" w:themeFill="accent6" w:themeFillTint="66"/>
            <w:hideMark/>
          </w:tcPr>
          <w:p w14:paraId="0932E2D3"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kern w:val="24"/>
                <w:sz w:val="20"/>
                <w:szCs w:val="20"/>
                <w:lang w:eastAsia="es-CR"/>
              </w:rPr>
              <w:t>Deuda: 100%</w:t>
            </w:r>
          </w:p>
          <w:p w14:paraId="00347E44" w14:textId="77777777" w:rsidR="00B47A67" w:rsidRPr="00E06D36" w:rsidRDefault="00B47A67" w:rsidP="004E2EB3">
            <w:pPr>
              <w:contextualSpacing/>
              <w:jc w:val="both"/>
              <w:rPr>
                <w:rFonts w:asciiTheme="majorHAnsi" w:eastAsia="Times New Roman" w:hAnsiTheme="majorHAnsi" w:cstheme="majorHAnsi"/>
                <w:kern w:val="24"/>
                <w:sz w:val="20"/>
                <w:szCs w:val="20"/>
                <w:lang w:eastAsia="es-CR"/>
              </w:rPr>
            </w:pPr>
            <w:r>
              <w:rPr>
                <w:rFonts w:asciiTheme="majorHAnsi" w:eastAsia="Times New Roman" w:hAnsiTheme="majorHAnsi" w:cstheme="majorHAnsi"/>
                <w:kern w:val="24"/>
                <w:sz w:val="20"/>
                <w:szCs w:val="20"/>
                <w:lang w:eastAsia="es-CR"/>
              </w:rPr>
              <w:t>TRP</w:t>
            </w:r>
            <w:r w:rsidRPr="009E1A54">
              <w:rPr>
                <w:rFonts w:asciiTheme="majorHAnsi" w:eastAsia="Times New Roman" w:hAnsiTheme="majorHAnsi" w:cstheme="majorHAnsi"/>
                <w:kern w:val="24"/>
                <w:sz w:val="20"/>
                <w:szCs w:val="20"/>
                <w:lang w:eastAsia="es-CR"/>
              </w:rPr>
              <w:t xml:space="preserve">: </w:t>
            </w:r>
            <w:r>
              <w:rPr>
                <w:rFonts w:asciiTheme="majorHAnsi" w:eastAsia="Times New Roman" w:hAnsiTheme="majorHAnsi" w:cstheme="majorHAnsi"/>
                <w:kern w:val="24"/>
                <w:sz w:val="20"/>
                <w:szCs w:val="20"/>
                <w:lang w:eastAsia="es-CR"/>
              </w:rPr>
              <w:t>15</w:t>
            </w:r>
            <w:r w:rsidRPr="009E1A54">
              <w:rPr>
                <w:rFonts w:asciiTheme="majorHAnsi" w:eastAsia="Times New Roman" w:hAnsiTheme="majorHAnsi" w:cstheme="majorHAnsi"/>
                <w:kern w:val="24"/>
                <w:sz w:val="20"/>
                <w:szCs w:val="20"/>
                <w:lang w:eastAsia="es-CR"/>
              </w:rPr>
              <w:t>%</w:t>
            </w:r>
          </w:p>
        </w:tc>
        <w:tc>
          <w:tcPr>
            <w:tcW w:w="1321" w:type="dxa"/>
            <w:hideMark/>
          </w:tcPr>
          <w:p w14:paraId="78DCA05C"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kern w:val="24"/>
                <w:sz w:val="20"/>
                <w:szCs w:val="20"/>
                <w:lang w:eastAsia="es-CR"/>
              </w:rPr>
              <w:t> </w:t>
            </w:r>
          </w:p>
        </w:tc>
      </w:tr>
      <w:tr w:rsidR="00F520BC" w:rsidRPr="00D27F50" w14:paraId="60129562" w14:textId="77777777" w:rsidTr="00E942FC">
        <w:trPr>
          <w:trHeight w:val="432"/>
        </w:trPr>
        <w:tc>
          <w:tcPr>
            <w:tcW w:w="1321" w:type="dxa"/>
            <w:hideMark/>
          </w:tcPr>
          <w:p w14:paraId="1503FFC7" w14:textId="77777777" w:rsidR="00B47A67" w:rsidRPr="009E1A54" w:rsidRDefault="00B47A67" w:rsidP="004E2EB3">
            <w:pPr>
              <w:contextualSpacing/>
              <w:jc w:val="center"/>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b/>
                <w:bCs/>
                <w:kern w:val="24"/>
                <w:sz w:val="20"/>
                <w:szCs w:val="20"/>
                <w:lang w:eastAsia="es-CR"/>
              </w:rPr>
              <w:t>80s</w:t>
            </w:r>
          </w:p>
        </w:tc>
        <w:tc>
          <w:tcPr>
            <w:tcW w:w="1373" w:type="dxa"/>
            <w:shd w:val="clear" w:color="auto" w:fill="D9E2F3" w:themeFill="accent1" w:themeFillTint="33"/>
            <w:hideMark/>
          </w:tcPr>
          <w:p w14:paraId="55783AFA"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kern w:val="24"/>
                <w:sz w:val="20"/>
                <w:szCs w:val="20"/>
                <w:lang w:eastAsia="es-CR"/>
              </w:rPr>
              <w:t>Deuda: 60%</w:t>
            </w:r>
          </w:p>
          <w:p w14:paraId="007B5FD1" w14:textId="77777777" w:rsidR="00B47A67" w:rsidRPr="00E06D36" w:rsidRDefault="00B47A67" w:rsidP="004E2EB3">
            <w:pPr>
              <w:contextualSpacing/>
              <w:jc w:val="both"/>
              <w:rPr>
                <w:rFonts w:asciiTheme="majorHAnsi" w:eastAsia="Times New Roman" w:hAnsiTheme="majorHAnsi" w:cstheme="majorHAnsi"/>
                <w:kern w:val="24"/>
                <w:sz w:val="20"/>
                <w:szCs w:val="20"/>
                <w:lang w:eastAsia="es-CR"/>
              </w:rPr>
            </w:pPr>
            <w:r>
              <w:rPr>
                <w:rFonts w:asciiTheme="majorHAnsi" w:eastAsia="Times New Roman" w:hAnsiTheme="majorHAnsi" w:cstheme="majorHAnsi"/>
                <w:kern w:val="24"/>
                <w:sz w:val="20"/>
                <w:szCs w:val="20"/>
                <w:lang w:eastAsia="es-CR"/>
              </w:rPr>
              <w:t>TRP</w:t>
            </w:r>
            <w:r w:rsidRPr="009E1A54">
              <w:rPr>
                <w:rFonts w:asciiTheme="majorHAnsi" w:eastAsia="Times New Roman" w:hAnsiTheme="majorHAnsi" w:cstheme="majorHAnsi"/>
                <w:kern w:val="24"/>
                <w:sz w:val="20"/>
                <w:szCs w:val="20"/>
                <w:lang w:eastAsia="es-CR"/>
              </w:rPr>
              <w:t>: 60%</w:t>
            </w:r>
          </w:p>
        </w:tc>
        <w:tc>
          <w:tcPr>
            <w:tcW w:w="1418" w:type="dxa"/>
            <w:hideMark/>
          </w:tcPr>
          <w:p w14:paraId="181783FC"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Pr>
                <w:rFonts w:asciiTheme="majorHAnsi" w:eastAsia="Times New Roman" w:hAnsiTheme="majorHAnsi" w:cstheme="majorHAnsi"/>
                <w:kern w:val="24"/>
                <w:sz w:val="20"/>
                <w:szCs w:val="20"/>
                <w:lang w:eastAsia="es-CR"/>
              </w:rPr>
              <w:t>Deuda</w:t>
            </w:r>
            <w:r w:rsidRPr="009E1A54">
              <w:rPr>
                <w:rFonts w:asciiTheme="majorHAnsi" w:eastAsia="Times New Roman" w:hAnsiTheme="majorHAnsi" w:cstheme="majorHAnsi"/>
                <w:kern w:val="24"/>
                <w:sz w:val="20"/>
                <w:szCs w:val="20"/>
                <w:lang w:eastAsia="es-CR"/>
              </w:rPr>
              <w:t>: 80%</w:t>
            </w:r>
          </w:p>
          <w:p w14:paraId="592F10B8" w14:textId="77777777" w:rsidR="00B47A67" w:rsidRPr="00E06D36" w:rsidRDefault="00B47A67" w:rsidP="004E2EB3">
            <w:pPr>
              <w:contextualSpacing/>
              <w:jc w:val="both"/>
              <w:rPr>
                <w:rFonts w:asciiTheme="majorHAnsi" w:eastAsia="Times New Roman" w:hAnsiTheme="majorHAnsi" w:cstheme="majorHAnsi"/>
                <w:kern w:val="24"/>
                <w:sz w:val="20"/>
                <w:szCs w:val="20"/>
                <w:lang w:eastAsia="es-CR"/>
              </w:rPr>
            </w:pPr>
            <w:r>
              <w:rPr>
                <w:rFonts w:asciiTheme="majorHAnsi" w:eastAsia="Times New Roman" w:hAnsiTheme="majorHAnsi" w:cstheme="majorHAnsi"/>
                <w:kern w:val="24"/>
                <w:sz w:val="20"/>
                <w:szCs w:val="20"/>
                <w:lang w:eastAsia="es-CR"/>
              </w:rPr>
              <w:t>TRP</w:t>
            </w:r>
            <w:r w:rsidRPr="009E1A54">
              <w:rPr>
                <w:rFonts w:asciiTheme="majorHAnsi" w:eastAsia="Times New Roman" w:hAnsiTheme="majorHAnsi" w:cstheme="majorHAnsi"/>
                <w:kern w:val="24"/>
                <w:sz w:val="20"/>
                <w:szCs w:val="20"/>
                <w:lang w:eastAsia="es-CR"/>
              </w:rPr>
              <w:t>: 40%</w:t>
            </w:r>
          </w:p>
        </w:tc>
        <w:tc>
          <w:tcPr>
            <w:tcW w:w="1662" w:type="dxa"/>
            <w:shd w:val="clear" w:color="auto" w:fill="8EAADB" w:themeFill="accent1" w:themeFillTint="99"/>
            <w:hideMark/>
          </w:tcPr>
          <w:p w14:paraId="7DA154B2"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Pr>
                <w:rFonts w:asciiTheme="majorHAnsi" w:eastAsia="Times New Roman" w:hAnsiTheme="majorHAnsi" w:cstheme="majorHAnsi"/>
                <w:kern w:val="24"/>
                <w:sz w:val="20"/>
                <w:szCs w:val="20"/>
                <w:lang w:eastAsia="es-CR"/>
              </w:rPr>
              <w:t>D</w:t>
            </w:r>
            <w:r w:rsidRPr="009E1A54">
              <w:rPr>
                <w:rFonts w:asciiTheme="majorHAnsi" w:eastAsia="Times New Roman" w:hAnsiTheme="majorHAnsi" w:cstheme="majorHAnsi"/>
                <w:kern w:val="24"/>
                <w:sz w:val="20"/>
                <w:szCs w:val="20"/>
                <w:lang w:eastAsia="es-CR"/>
              </w:rPr>
              <w:t>euda: 100%</w:t>
            </w:r>
          </w:p>
          <w:p w14:paraId="313B1DC3" w14:textId="77777777" w:rsidR="00B47A67" w:rsidRPr="00E06D36" w:rsidRDefault="00B47A67" w:rsidP="004E2EB3">
            <w:pPr>
              <w:contextualSpacing/>
              <w:jc w:val="both"/>
              <w:rPr>
                <w:rFonts w:asciiTheme="majorHAnsi" w:eastAsia="Times New Roman" w:hAnsiTheme="majorHAnsi" w:cstheme="majorHAnsi"/>
                <w:kern w:val="24"/>
                <w:sz w:val="20"/>
                <w:szCs w:val="20"/>
                <w:lang w:eastAsia="es-CR"/>
              </w:rPr>
            </w:pPr>
            <w:r>
              <w:rPr>
                <w:rFonts w:asciiTheme="majorHAnsi" w:eastAsia="Times New Roman" w:hAnsiTheme="majorHAnsi" w:cstheme="majorHAnsi"/>
                <w:kern w:val="24"/>
                <w:sz w:val="20"/>
                <w:szCs w:val="20"/>
                <w:lang w:eastAsia="es-CR"/>
              </w:rPr>
              <w:t>TRP</w:t>
            </w:r>
            <w:r w:rsidRPr="009E1A54">
              <w:rPr>
                <w:rFonts w:asciiTheme="majorHAnsi" w:eastAsia="Times New Roman" w:hAnsiTheme="majorHAnsi" w:cstheme="majorHAnsi"/>
                <w:kern w:val="24"/>
                <w:sz w:val="20"/>
                <w:szCs w:val="20"/>
                <w:lang w:eastAsia="es-CR"/>
              </w:rPr>
              <w:t xml:space="preserve">: </w:t>
            </w:r>
            <w:r>
              <w:rPr>
                <w:rFonts w:asciiTheme="majorHAnsi" w:eastAsia="Times New Roman" w:hAnsiTheme="majorHAnsi" w:cstheme="majorHAnsi"/>
                <w:kern w:val="24"/>
                <w:sz w:val="20"/>
                <w:szCs w:val="20"/>
                <w:lang w:eastAsia="es-CR"/>
              </w:rPr>
              <w:t>30</w:t>
            </w:r>
            <w:r w:rsidRPr="009E1A54">
              <w:rPr>
                <w:rFonts w:asciiTheme="majorHAnsi" w:eastAsia="Times New Roman" w:hAnsiTheme="majorHAnsi" w:cstheme="majorHAnsi"/>
                <w:kern w:val="24"/>
                <w:sz w:val="20"/>
                <w:szCs w:val="20"/>
                <w:lang w:eastAsia="es-CR"/>
              </w:rPr>
              <w:t>%</w:t>
            </w:r>
          </w:p>
        </w:tc>
        <w:tc>
          <w:tcPr>
            <w:tcW w:w="1315" w:type="dxa"/>
            <w:hideMark/>
          </w:tcPr>
          <w:p w14:paraId="43F1874C"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kern w:val="24"/>
                <w:sz w:val="20"/>
                <w:szCs w:val="20"/>
                <w:lang w:eastAsia="es-CR"/>
              </w:rPr>
              <w:t>Deuda: 100%</w:t>
            </w:r>
          </w:p>
          <w:p w14:paraId="23E05710" w14:textId="77777777" w:rsidR="00B47A67" w:rsidRPr="00E06D36" w:rsidRDefault="00B47A67" w:rsidP="004E2EB3">
            <w:pPr>
              <w:contextualSpacing/>
              <w:jc w:val="both"/>
              <w:rPr>
                <w:rFonts w:asciiTheme="majorHAnsi" w:eastAsia="Times New Roman" w:hAnsiTheme="majorHAnsi" w:cstheme="majorHAnsi"/>
                <w:kern w:val="24"/>
                <w:sz w:val="20"/>
                <w:szCs w:val="20"/>
                <w:lang w:eastAsia="es-CR"/>
              </w:rPr>
            </w:pPr>
            <w:r>
              <w:rPr>
                <w:rFonts w:asciiTheme="majorHAnsi" w:eastAsia="Times New Roman" w:hAnsiTheme="majorHAnsi" w:cstheme="majorHAnsi"/>
                <w:kern w:val="24"/>
                <w:sz w:val="20"/>
                <w:szCs w:val="20"/>
                <w:lang w:eastAsia="es-CR"/>
              </w:rPr>
              <w:t>TRP</w:t>
            </w:r>
            <w:r w:rsidRPr="009E1A54">
              <w:rPr>
                <w:rFonts w:asciiTheme="majorHAnsi" w:eastAsia="Times New Roman" w:hAnsiTheme="majorHAnsi" w:cstheme="majorHAnsi"/>
                <w:kern w:val="24"/>
                <w:sz w:val="20"/>
                <w:szCs w:val="20"/>
                <w:lang w:eastAsia="es-CR"/>
              </w:rPr>
              <w:t xml:space="preserve">: </w:t>
            </w:r>
            <w:r>
              <w:rPr>
                <w:rFonts w:asciiTheme="majorHAnsi" w:eastAsia="Times New Roman" w:hAnsiTheme="majorHAnsi" w:cstheme="majorHAnsi"/>
                <w:kern w:val="24"/>
                <w:sz w:val="20"/>
                <w:szCs w:val="20"/>
                <w:lang w:eastAsia="es-CR"/>
              </w:rPr>
              <w:t>2</w:t>
            </w:r>
            <w:r w:rsidRPr="009E1A54">
              <w:rPr>
                <w:rFonts w:asciiTheme="majorHAnsi" w:eastAsia="Times New Roman" w:hAnsiTheme="majorHAnsi" w:cstheme="majorHAnsi"/>
                <w:kern w:val="24"/>
                <w:sz w:val="20"/>
                <w:szCs w:val="20"/>
                <w:lang w:eastAsia="es-CR"/>
              </w:rPr>
              <w:t>0%</w:t>
            </w:r>
          </w:p>
        </w:tc>
        <w:tc>
          <w:tcPr>
            <w:tcW w:w="1321" w:type="dxa"/>
            <w:shd w:val="clear" w:color="auto" w:fill="C5E0B3" w:themeFill="accent6" w:themeFillTint="66"/>
            <w:hideMark/>
          </w:tcPr>
          <w:p w14:paraId="7078BC3A"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kern w:val="24"/>
                <w:sz w:val="20"/>
                <w:szCs w:val="20"/>
                <w:lang w:eastAsia="es-CR"/>
              </w:rPr>
              <w:t>Deuda: 100%</w:t>
            </w:r>
          </w:p>
          <w:p w14:paraId="62D9FED8" w14:textId="77777777" w:rsidR="00B47A67" w:rsidRPr="00E06D36" w:rsidRDefault="00B47A67" w:rsidP="004E2EB3">
            <w:pPr>
              <w:contextualSpacing/>
              <w:jc w:val="both"/>
              <w:rPr>
                <w:rFonts w:asciiTheme="majorHAnsi" w:eastAsia="Times New Roman" w:hAnsiTheme="majorHAnsi" w:cstheme="majorHAnsi"/>
                <w:kern w:val="24"/>
                <w:sz w:val="20"/>
                <w:szCs w:val="20"/>
                <w:lang w:eastAsia="es-CR"/>
              </w:rPr>
            </w:pPr>
            <w:r>
              <w:rPr>
                <w:rFonts w:asciiTheme="majorHAnsi" w:eastAsia="Times New Roman" w:hAnsiTheme="majorHAnsi" w:cstheme="majorHAnsi"/>
                <w:kern w:val="24"/>
                <w:sz w:val="20"/>
                <w:szCs w:val="20"/>
                <w:lang w:eastAsia="es-CR"/>
              </w:rPr>
              <w:t>TRP</w:t>
            </w:r>
            <w:r w:rsidRPr="009E1A54">
              <w:rPr>
                <w:rFonts w:asciiTheme="majorHAnsi" w:eastAsia="Times New Roman" w:hAnsiTheme="majorHAnsi" w:cstheme="majorHAnsi"/>
                <w:kern w:val="24"/>
                <w:sz w:val="20"/>
                <w:szCs w:val="20"/>
                <w:lang w:eastAsia="es-CR"/>
              </w:rPr>
              <w:t>: 1</w:t>
            </w:r>
            <w:r>
              <w:rPr>
                <w:rFonts w:asciiTheme="majorHAnsi" w:eastAsia="Times New Roman" w:hAnsiTheme="majorHAnsi" w:cstheme="majorHAnsi"/>
                <w:kern w:val="24"/>
                <w:sz w:val="20"/>
                <w:szCs w:val="20"/>
                <w:lang w:eastAsia="es-CR"/>
              </w:rPr>
              <w:t>5</w:t>
            </w:r>
            <w:r w:rsidRPr="009E1A54">
              <w:rPr>
                <w:rFonts w:asciiTheme="majorHAnsi" w:eastAsia="Times New Roman" w:hAnsiTheme="majorHAnsi" w:cstheme="majorHAnsi"/>
                <w:kern w:val="24"/>
                <w:sz w:val="20"/>
                <w:szCs w:val="20"/>
                <w:lang w:eastAsia="es-CR"/>
              </w:rPr>
              <w:t>%</w:t>
            </w:r>
          </w:p>
        </w:tc>
      </w:tr>
      <w:tr w:rsidR="00B47A67" w:rsidRPr="00D27F50" w14:paraId="1BC71353" w14:textId="77777777" w:rsidTr="00E942FC">
        <w:trPr>
          <w:trHeight w:val="354"/>
        </w:trPr>
        <w:tc>
          <w:tcPr>
            <w:tcW w:w="1321" w:type="dxa"/>
            <w:hideMark/>
          </w:tcPr>
          <w:p w14:paraId="43F9C68A" w14:textId="77777777" w:rsidR="00B47A67" w:rsidRPr="009E1A54" w:rsidRDefault="00B47A67" w:rsidP="004E2EB3">
            <w:pPr>
              <w:contextualSpacing/>
              <w:jc w:val="center"/>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b/>
                <w:bCs/>
                <w:kern w:val="24"/>
                <w:sz w:val="20"/>
                <w:szCs w:val="20"/>
                <w:lang w:eastAsia="es-CR"/>
              </w:rPr>
              <w:t>1990&gt;</w:t>
            </w:r>
          </w:p>
        </w:tc>
        <w:tc>
          <w:tcPr>
            <w:tcW w:w="1373" w:type="dxa"/>
            <w:hideMark/>
          </w:tcPr>
          <w:p w14:paraId="60427239"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kern w:val="24"/>
                <w:sz w:val="20"/>
                <w:szCs w:val="20"/>
                <w:lang w:eastAsia="es-CR"/>
              </w:rPr>
              <w:t>Deuda: 40%</w:t>
            </w:r>
          </w:p>
          <w:p w14:paraId="7024E998" w14:textId="77777777" w:rsidR="00B47A67" w:rsidRPr="00E06D36" w:rsidRDefault="00B47A67" w:rsidP="004E2EB3">
            <w:pPr>
              <w:contextualSpacing/>
              <w:jc w:val="both"/>
              <w:rPr>
                <w:rFonts w:asciiTheme="majorHAnsi" w:eastAsia="Times New Roman" w:hAnsiTheme="majorHAnsi" w:cstheme="majorHAnsi"/>
                <w:kern w:val="24"/>
                <w:sz w:val="20"/>
                <w:szCs w:val="20"/>
                <w:lang w:eastAsia="es-CR"/>
              </w:rPr>
            </w:pPr>
            <w:r>
              <w:rPr>
                <w:rFonts w:asciiTheme="majorHAnsi" w:eastAsia="Times New Roman" w:hAnsiTheme="majorHAnsi" w:cstheme="majorHAnsi"/>
                <w:kern w:val="24"/>
                <w:sz w:val="20"/>
                <w:szCs w:val="20"/>
                <w:lang w:eastAsia="es-CR"/>
              </w:rPr>
              <w:t>TRP</w:t>
            </w:r>
            <w:r w:rsidRPr="009E1A54">
              <w:rPr>
                <w:rFonts w:asciiTheme="majorHAnsi" w:eastAsia="Times New Roman" w:hAnsiTheme="majorHAnsi" w:cstheme="majorHAnsi"/>
                <w:kern w:val="24"/>
                <w:sz w:val="20"/>
                <w:szCs w:val="20"/>
                <w:lang w:eastAsia="es-CR"/>
              </w:rPr>
              <w:t>: 80%</w:t>
            </w:r>
          </w:p>
        </w:tc>
        <w:tc>
          <w:tcPr>
            <w:tcW w:w="1418" w:type="dxa"/>
            <w:shd w:val="clear" w:color="auto" w:fill="D9E2F3" w:themeFill="accent1" w:themeFillTint="33"/>
            <w:hideMark/>
          </w:tcPr>
          <w:p w14:paraId="532253D8"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kern w:val="24"/>
                <w:sz w:val="20"/>
                <w:szCs w:val="20"/>
                <w:lang w:eastAsia="es-CR"/>
              </w:rPr>
              <w:t>Deuda: 60%</w:t>
            </w:r>
          </w:p>
          <w:p w14:paraId="66F76766" w14:textId="77777777" w:rsidR="00B47A67" w:rsidRPr="00E06D36" w:rsidRDefault="00B47A67" w:rsidP="004E2EB3">
            <w:pPr>
              <w:contextualSpacing/>
              <w:jc w:val="both"/>
              <w:rPr>
                <w:rFonts w:asciiTheme="majorHAnsi" w:eastAsia="Times New Roman" w:hAnsiTheme="majorHAnsi" w:cstheme="majorHAnsi"/>
                <w:kern w:val="24"/>
                <w:sz w:val="20"/>
                <w:szCs w:val="20"/>
                <w:lang w:eastAsia="es-CR"/>
              </w:rPr>
            </w:pPr>
            <w:r>
              <w:rPr>
                <w:rFonts w:asciiTheme="majorHAnsi" w:eastAsia="Times New Roman" w:hAnsiTheme="majorHAnsi" w:cstheme="majorHAnsi"/>
                <w:kern w:val="24"/>
                <w:sz w:val="20"/>
                <w:szCs w:val="20"/>
                <w:lang w:eastAsia="es-CR"/>
              </w:rPr>
              <w:t>TRP</w:t>
            </w:r>
            <w:r w:rsidRPr="009E1A54">
              <w:rPr>
                <w:rFonts w:asciiTheme="majorHAnsi" w:eastAsia="Times New Roman" w:hAnsiTheme="majorHAnsi" w:cstheme="majorHAnsi"/>
                <w:kern w:val="24"/>
                <w:sz w:val="20"/>
                <w:szCs w:val="20"/>
                <w:lang w:eastAsia="es-CR"/>
              </w:rPr>
              <w:t>: 60%</w:t>
            </w:r>
          </w:p>
        </w:tc>
        <w:tc>
          <w:tcPr>
            <w:tcW w:w="1662" w:type="dxa"/>
            <w:hideMark/>
          </w:tcPr>
          <w:p w14:paraId="3C469D68"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Pr>
                <w:rFonts w:asciiTheme="majorHAnsi" w:eastAsia="Times New Roman" w:hAnsiTheme="majorHAnsi" w:cstheme="majorHAnsi"/>
                <w:kern w:val="24"/>
                <w:sz w:val="20"/>
                <w:szCs w:val="20"/>
                <w:lang w:eastAsia="es-CR"/>
              </w:rPr>
              <w:t>Deuda</w:t>
            </w:r>
            <w:r w:rsidRPr="009E1A54">
              <w:rPr>
                <w:rFonts w:asciiTheme="majorHAnsi" w:eastAsia="Times New Roman" w:hAnsiTheme="majorHAnsi" w:cstheme="majorHAnsi"/>
                <w:kern w:val="24"/>
                <w:sz w:val="20"/>
                <w:szCs w:val="20"/>
                <w:lang w:eastAsia="es-CR"/>
              </w:rPr>
              <w:t>: 80%</w:t>
            </w:r>
          </w:p>
          <w:p w14:paraId="7C116117" w14:textId="77777777" w:rsidR="00B47A67" w:rsidRPr="00E06D36" w:rsidRDefault="00B47A67" w:rsidP="004E2EB3">
            <w:pPr>
              <w:contextualSpacing/>
              <w:jc w:val="both"/>
              <w:rPr>
                <w:rFonts w:asciiTheme="majorHAnsi" w:eastAsia="Times New Roman" w:hAnsiTheme="majorHAnsi" w:cstheme="majorHAnsi"/>
                <w:kern w:val="24"/>
                <w:sz w:val="20"/>
                <w:szCs w:val="20"/>
                <w:lang w:eastAsia="es-CR"/>
              </w:rPr>
            </w:pPr>
            <w:r>
              <w:rPr>
                <w:rFonts w:asciiTheme="majorHAnsi" w:eastAsia="Times New Roman" w:hAnsiTheme="majorHAnsi" w:cstheme="majorHAnsi"/>
                <w:kern w:val="24"/>
                <w:sz w:val="20"/>
                <w:szCs w:val="20"/>
                <w:lang w:eastAsia="es-CR"/>
              </w:rPr>
              <w:t>TRP</w:t>
            </w:r>
            <w:r w:rsidRPr="009E1A54">
              <w:rPr>
                <w:rFonts w:asciiTheme="majorHAnsi" w:eastAsia="Times New Roman" w:hAnsiTheme="majorHAnsi" w:cstheme="majorHAnsi"/>
                <w:kern w:val="24"/>
                <w:sz w:val="20"/>
                <w:szCs w:val="20"/>
                <w:lang w:eastAsia="es-CR"/>
              </w:rPr>
              <w:t>: 40%</w:t>
            </w:r>
          </w:p>
        </w:tc>
        <w:tc>
          <w:tcPr>
            <w:tcW w:w="1315" w:type="dxa"/>
            <w:shd w:val="clear" w:color="auto" w:fill="8EAADB" w:themeFill="accent1" w:themeFillTint="99"/>
            <w:hideMark/>
          </w:tcPr>
          <w:p w14:paraId="41C6A60B"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Pr>
                <w:rFonts w:asciiTheme="majorHAnsi" w:eastAsia="Times New Roman" w:hAnsiTheme="majorHAnsi" w:cstheme="majorHAnsi"/>
                <w:kern w:val="24"/>
                <w:sz w:val="20"/>
                <w:szCs w:val="20"/>
                <w:lang w:eastAsia="es-CR"/>
              </w:rPr>
              <w:t>D</w:t>
            </w:r>
            <w:r w:rsidRPr="009E1A54">
              <w:rPr>
                <w:rFonts w:asciiTheme="majorHAnsi" w:eastAsia="Times New Roman" w:hAnsiTheme="majorHAnsi" w:cstheme="majorHAnsi"/>
                <w:kern w:val="24"/>
                <w:sz w:val="20"/>
                <w:szCs w:val="20"/>
                <w:lang w:eastAsia="es-CR"/>
              </w:rPr>
              <w:t>euda: 100%</w:t>
            </w:r>
          </w:p>
          <w:p w14:paraId="7CDCC30B" w14:textId="77777777" w:rsidR="00B47A67" w:rsidRPr="00E06D36" w:rsidRDefault="00B47A67" w:rsidP="004E2EB3">
            <w:pPr>
              <w:contextualSpacing/>
              <w:jc w:val="both"/>
              <w:rPr>
                <w:rFonts w:asciiTheme="majorHAnsi" w:eastAsia="Times New Roman" w:hAnsiTheme="majorHAnsi" w:cstheme="majorHAnsi"/>
                <w:kern w:val="24"/>
                <w:sz w:val="20"/>
                <w:szCs w:val="20"/>
                <w:lang w:eastAsia="es-CR"/>
              </w:rPr>
            </w:pPr>
            <w:r>
              <w:rPr>
                <w:rFonts w:asciiTheme="majorHAnsi" w:eastAsia="Times New Roman" w:hAnsiTheme="majorHAnsi" w:cstheme="majorHAnsi"/>
                <w:kern w:val="24"/>
                <w:sz w:val="20"/>
                <w:szCs w:val="20"/>
                <w:lang w:eastAsia="es-CR"/>
              </w:rPr>
              <w:t>TRP</w:t>
            </w:r>
            <w:r w:rsidRPr="009E1A54">
              <w:rPr>
                <w:rFonts w:asciiTheme="majorHAnsi" w:eastAsia="Times New Roman" w:hAnsiTheme="majorHAnsi" w:cstheme="majorHAnsi"/>
                <w:kern w:val="24"/>
                <w:sz w:val="20"/>
                <w:szCs w:val="20"/>
                <w:lang w:eastAsia="es-CR"/>
              </w:rPr>
              <w:t xml:space="preserve">: </w:t>
            </w:r>
            <w:r>
              <w:rPr>
                <w:rFonts w:asciiTheme="majorHAnsi" w:eastAsia="Times New Roman" w:hAnsiTheme="majorHAnsi" w:cstheme="majorHAnsi"/>
                <w:kern w:val="24"/>
                <w:sz w:val="20"/>
                <w:szCs w:val="20"/>
                <w:lang w:eastAsia="es-CR"/>
              </w:rPr>
              <w:t>30</w:t>
            </w:r>
            <w:r w:rsidRPr="009E1A54">
              <w:rPr>
                <w:rFonts w:asciiTheme="majorHAnsi" w:eastAsia="Times New Roman" w:hAnsiTheme="majorHAnsi" w:cstheme="majorHAnsi"/>
                <w:kern w:val="24"/>
                <w:sz w:val="20"/>
                <w:szCs w:val="20"/>
                <w:lang w:eastAsia="es-CR"/>
              </w:rPr>
              <w:t>%</w:t>
            </w:r>
          </w:p>
        </w:tc>
        <w:tc>
          <w:tcPr>
            <w:tcW w:w="1321" w:type="dxa"/>
            <w:hideMark/>
          </w:tcPr>
          <w:p w14:paraId="3C336F0A" w14:textId="77777777" w:rsidR="00B47A67" w:rsidRPr="009E1A54" w:rsidRDefault="00B47A67" w:rsidP="004E2EB3">
            <w:pPr>
              <w:contextualSpacing/>
              <w:jc w:val="both"/>
              <w:rPr>
                <w:rFonts w:asciiTheme="majorHAnsi" w:eastAsia="Times New Roman" w:hAnsiTheme="majorHAnsi" w:cstheme="majorHAnsi"/>
                <w:sz w:val="20"/>
                <w:szCs w:val="20"/>
                <w:lang w:val="es-CR" w:eastAsia="es-CR"/>
              </w:rPr>
            </w:pPr>
            <w:r w:rsidRPr="009E1A54">
              <w:rPr>
                <w:rFonts w:asciiTheme="majorHAnsi" w:eastAsia="Times New Roman" w:hAnsiTheme="majorHAnsi" w:cstheme="majorHAnsi"/>
                <w:kern w:val="24"/>
                <w:sz w:val="20"/>
                <w:szCs w:val="20"/>
                <w:lang w:eastAsia="es-CR"/>
              </w:rPr>
              <w:t>Deuda: 100%</w:t>
            </w:r>
          </w:p>
          <w:p w14:paraId="1C3797CB" w14:textId="77777777" w:rsidR="00B47A67" w:rsidRPr="00E06D36" w:rsidRDefault="00B47A67" w:rsidP="004E2EB3">
            <w:pPr>
              <w:contextualSpacing/>
              <w:jc w:val="both"/>
              <w:rPr>
                <w:rFonts w:asciiTheme="majorHAnsi" w:eastAsia="Times New Roman" w:hAnsiTheme="majorHAnsi" w:cstheme="majorHAnsi"/>
                <w:kern w:val="24"/>
                <w:sz w:val="20"/>
                <w:szCs w:val="20"/>
                <w:lang w:eastAsia="es-CR"/>
              </w:rPr>
            </w:pPr>
            <w:r>
              <w:rPr>
                <w:rFonts w:asciiTheme="majorHAnsi" w:eastAsia="Times New Roman" w:hAnsiTheme="majorHAnsi" w:cstheme="majorHAnsi"/>
                <w:kern w:val="24"/>
                <w:sz w:val="20"/>
                <w:szCs w:val="20"/>
                <w:lang w:eastAsia="es-CR"/>
              </w:rPr>
              <w:t>TRP</w:t>
            </w:r>
            <w:r w:rsidRPr="009E1A54">
              <w:rPr>
                <w:rFonts w:asciiTheme="majorHAnsi" w:eastAsia="Times New Roman" w:hAnsiTheme="majorHAnsi" w:cstheme="majorHAnsi"/>
                <w:kern w:val="24"/>
                <w:sz w:val="20"/>
                <w:szCs w:val="20"/>
                <w:lang w:eastAsia="es-CR"/>
              </w:rPr>
              <w:t xml:space="preserve">: </w:t>
            </w:r>
            <w:r>
              <w:rPr>
                <w:rFonts w:asciiTheme="majorHAnsi" w:eastAsia="Times New Roman" w:hAnsiTheme="majorHAnsi" w:cstheme="majorHAnsi"/>
                <w:kern w:val="24"/>
                <w:sz w:val="20"/>
                <w:szCs w:val="20"/>
                <w:lang w:eastAsia="es-CR"/>
              </w:rPr>
              <w:t>2</w:t>
            </w:r>
            <w:r w:rsidRPr="009E1A54">
              <w:rPr>
                <w:rFonts w:asciiTheme="majorHAnsi" w:eastAsia="Times New Roman" w:hAnsiTheme="majorHAnsi" w:cstheme="majorHAnsi"/>
                <w:kern w:val="24"/>
                <w:sz w:val="20"/>
                <w:szCs w:val="20"/>
                <w:lang w:eastAsia="es-CR"/>
              </w:rPr>
              <w:t>0%</w:t>
            </w:r>
          </w:p>
        </w:tc>
      </w:tr>
      <w:tr w:rsidR="00B47A67" w:rsidRPr="00D27F50" w14:paraId="0FAFF08C" w14:textId="77777777" w:rsidTr="00E942FC">
        <w:trPr>
          <w:trHeight w:val="450"/>
        </w:trPr>
        <w:tc>
          <w:tcPr>
            <w:tcW w:w="1321" w:type="dxa"/>
            <w:vAlign w:val="center"/>
          </w:tcPr>
          <w:p w14:paraId="3F3D230E" w14:textId="77777777" w:rsidR="00B47A67" w:rsidRPr="00B42A0E" w:rsidRDefault="00B47A67" w:rsidP="004E2EB3">
            <w:pPr>
              <w:contextualSpacing/>
              <w:jc w:val="center"/>
              <w:rPr>
                <w:rFonts w:asciiTheme="majorHAnsi" w:eastAsia="Times New Roman" w:hAnsiTheme="majorHAnsi" w:cstheme="majorHAnsi"/>
                <w:b/>
                <w:bCs/>
                <w:kern w:val="24"/>
                <w:sz w:val="20"/>
                <w:szCs w:val="20"/>
                <w:lang w:eastAsia="es-CR"/>
              </w:rPr>
            </w:pPr>
            <w:r w:rsidRPr="00B42A0E">
              <w:rPr>
                <w:rFonts w:asciiTheme="majorHAnsi" w:eastAsia="Times New Roman" w:hAnsiTheme="majorHAnsi" w:cstheme="majorHAnsi"/>
                <w:b/>
                <w:bCs/>
                <w:kern w:val="24"/>
                <w:sz w:val="20"/>
                <w:szCs w:val="20"/>
                <w:lang w:eastAsia="es-CR"/>
              </w:rPr>
              <w:t>ROP (2023)</w:t>
            </w:r>
          </w:p>
        </w:tc>
        <w:tc>
          <w:tcPr>
            <w:tcW w:w="1373" w:type="dxa"/>
            <w:shd w:val="clear" w:color="auto" w:fill="auto"/>
          </w:tcPr>
          <w:p w14:paraId="2776AA00" w14:textId="77777777" w:rsidR="00B47A67" w:rsidRPr="00B42A0E" w:rsidRDefault="00B47A67" w:rsidP="004E2EB3">
            <w:pPr>
              <w:contextualSpacing/>
              <w:jc w:val="both"/>
              <w:rPr>
                <w:rFonts w:asciiTheme="majorHAnsi" w:eastAsia="Times New Roman" w:hAnsiTheme="majorHAnsi" w:cstheme="majorHAnsi"/>
                <w:kern w:val="24"/>
                <w:sz w:val="20"/>
                <w:szCs w:val="20"/>
                <w:lang w:eastAsia="es-CR"/>
              </w:rPr>
            </w:pPr>
            <w:r w:rsidRPr="00B42A0E">
              <w:rPr>
                <w:rFonts w:asciiTheme="majorHAnsi" w:eastAsia="Times New Roman" w:hAnsiTheme="majorHAnsi" w:cstheme="majorHAnsi"/>
                <w:kern w:val="24"/>
                <w:sz w:val="20"/>
                <w:szCs w:val="20"/>
                <w:lang w:eastAsia="es-CR"/>
              </w:rPr>
              <w:t xml:space="preserve">Deuda: </w:t>
            </w:r>
            <w:r>
              <w:rPr>
                <w:rFonts w:asciiTheme="majorHAnsi" w:eastAsia="Times New Roman" w:hAnsiTheme="majorHAnsi" w:cstheme="majorHAnsi"/>
                <w:kern w:val="24"/>
                <w:sz w:val="20"/>
                <w:szCs w:val="20"/>
                <w:lang w:eastAsia="es-CR"/>
              </w:rPr>
              <w:t>70</w:t>
            </w:r>
            <w:r w:rsidRPr="00B42A0E">
              <w:rPr>
                <w:rFonts w:asciiTheme="majorHAnsi" w:eastAsia="Times New Roman" w:hAnsiTheme="majorHAnsi" w:cstheme="majorHAnsi"/>
                <w:kern w:val="24"/>
                <w:sz w:val="20"/>
                <w:szCs w:val="20"/>
                <w:lang w:eastAsia="es-CR"/>
              </w:rPr>
              <w:t>%</w:t>
            </w:r>
          </w:p>
          <w:p w14:paraId="0E649AA5" w14:textId="77777777" w:rsidR="00B47A67" w:rsidRPr="00B42A0E" w:rsidRDefault="00B47A67" w:rsidP="004E2EB3">
            <w:pPr>
              <w:contextualSpacing/>
              <w:jc w:val="both"/>
              <w:rPr>
                <w:rFonts w:asciiTheme="majorHAnsi" w:eastAsia="Times New Roman" w:hAnsiTheme="majorHAnsi" w:cstheme="majorHAnsi"/>
                <w:kern w:val="24"/>
                <w:sz w:val="20"/>
                <w:szCs w:val="20"/>
                <w:lang w:eastAsia="es-CR"/>
              </w:rPr>
            </w:pPr>
            <w:r w:rsidRPr="00B42A0E">
              <w:rPr>
                <w:rFonts w:asciiTheme="majorHAnsi" w:eastAsia="Times New Roman" w:hAnsiTheme="majorHAnsi" w:cstheme="majorHAnsi"/>
                <w:kern w:val="24"/>
                <w:sz w:val="20"/>
                <w:szCs w:val="20"/>
                <w:lang w:eastAsia="es-CR"/>
              </w:rPr>
              <w:t xml:space="preserve">TRP: </w:t>
            </w:r>
            <w:r>
              <w:rPr>
                <w:rFonts w:asciiTheme="majorHAnsi" w:eastAsia="Times New Roman" w:hAnsiTheme="majorHAnsi" w:cstheme="majorHAnsi"/>
                <w:kern w:val="24"/>
                <w:sz w:val="20"/>
                <w:szCs w:val="20"/>
                <w:lang w:eastAsia="es-CR"/>
              </w:rPr>
              <w:t>30</w:t>
            </w:r>
            <w:r w:rsidRPr="00B42A0E">
              <w:rPr>
                <w:rFonts w:asciiTheme="majorHAnsi" w:eastAsia="Times New Roman" w:hAnsiTheme="majorHAnsi" w:cstheme="majorHAnsi"/>
                <w:kern w:val="24"/>
                <w:sz w:val="20"/>
                <w:szCs w:val="20"/>
                <w:lang w:eastAsia="es-CR"/>
              </w:rPr>
              <w:t>%</w:t>
            </w:r>
          </w:p>
        </w:tc>
        <w:tc>
          <w:tcPr>
            <w:tcW w:w="1418" w:type="dxa"/>
            <w:shd w:val="clear" w:color="auto" w:fill="auto"/>
          </w:tcPr>
          <w:p w14:paraId="448D5AD9" w14:textId="77777777" w:rsidR="00B47A67" w:rsidRPr="00B42A0E" w:rsidRDefault="00B47A67" w:rsidP="004E2EB3">
            <w:pPr>
              <w:contextualSpacing/>
              <w:jc w:val="both"/>
              <w:rPr>
                <w:rFonts w:asciiTheme="majorHAnsi" w:eastAsia="Times New Roman" w:hAnsiTheme="majorHAnsi" w:cstheme="majorHAnsi"/>
                <w:kern w:val="24"/>
                <w:sz w:val="20"/>
                <w:szCs w:val="20"/>
                <w:lang w:eastAsia="es-CR"/>
              </w:rPr>
            </w:pPr>
          </w:p>
        </w:tc>
        <w:tc>
          <w:tcPr>
            <w:tcW w:w="1662" w:type="dxa"/>
            <w:shd w:val="clear" w:color="auto" w:fill="auto"/>
          </w:tcPr>
          <w:p w14:paraId="7DE3056E" w14:textId="77777777" w:rsidR="00B47A67" w:rsidRDefault="00B47A67" w:rsidP="004E2EB3">
            <w:pPr>
              <w:contextualSpacing/>
              <w:jc w:val="both"/>
              <w:rPr>
                <w:rFonts w:asciiTheme="majorHAnsi" w:eastAsia="Times New Roman" w:hAnsiTheme="majorHAnsi" w:cstheme="majorHAnsi"/>
                <w:kern w:val="24"/>
                <w:sz w:val="20"/>
                <w:szCs w:val="20"/>
                <w:lang w:eastAsia="es-CR"/>
              </w:rPr>
            </w:pPr>
          </w:p>
        </w:tc>
        <w:tc>
          <w:tcPr>
            <w:tcW w:w="1315" w:type="dxa"/>
            <w:shd w:val="clear" w:color="auto" w:fill="auto"/>
          </w:tcPr>
          <w:p w14:paraId="09543B8F" w14:textId="77777777" w:rsidR="00B47A67" w:rsidRDefault="00B47A67" w:rsidP="004E2EB3">
            <w:pPr>
              <w:contextualSpacing/>
              <w:jc w:val="both"/>
              <w:rPr>
                <w:rFonts w:asciiTheme="majorHAnsi" w:eastAsia="Times New Roman" w:hAnsiTheme="majorHAnsi" w:cstheme="majorHAnsi"/>
                <w:kern w:val="24"/>
                <w:sz w:val="20"/>
                <w:szCs w:val="20"/>
                <w:lang w:eastAsia="es-CR"/>
              </w:rPr>
            </w:pPr>
          </w:p>
        </w:tc>
        <w:tc>
          <w:tcPr>
            <w:tcW w:w="1321" w:type="dxa"/>
            <w:shd w:val="clear" w:color="auto" w:fill="auto"/>
          </w:tcPr>
          <w:p w14:paraId="7F7D9451" w14:textId="77777777" w:rsidR="00B47A67" w:rsidRPr="009E1A54" w:rsidRDefault="00B47A67" w:rsidP="004E2EB3">
            <w:pPr>
              <w:contextualSpacing/>
              <w:jc w:val="both"/>
              <w:rPr>
                <w:rFonts w:asciiTheme="majorHAnsi" w:eastAsia="Times New Roman" w:hAnsiTheme="majorHAnsi" w:cstheme="majorHAnsi"/>
                <w:kern w:val="24"/>
                <w:sz w:val="20"/>
                <w:szCs w:val="20"/>
                <w:lang w:eastAsia="es-CR"/>
              </w:rPr>
            </w:pPr>
          </w:p>
        </w:tc>
      </w:tr>
    </w:tbl>
    <w:p w14:paraId="6BABEDEB" w14:textId="77777777" w:rsidR="00B47A67" w:rsidRPr="005545E9" w:rsidRDefault="00B47A67" w:rsidP="00B47A67">
      <w:pPr>
        <w:spacing w:after="0" w:line="240" w:lineRule="auto"/>
        <w:contextualSpacing/>
        <w:rPr>
          <w:sz w:val="18"/>
          <w:szCs w:val="18"/>
          <w:lang w:val="es-CR"/>
        </w:rPr>
      </w:pPr>
      <w:r w:rsidRPr="005545E9">
        <w:rPr>
          <w:sz w:val="18"/>
          <w:szCs w:val="18"/>
          <w:lang w:val="es-CR"/>
        </w:rPr>
        <w:t>Fuente: SUPEN</w:t>
      </w:r>
    </w:p>
    <w:p w14:paraId="3DD34004" w14:textId="77777777" w:rsidR="005545E9" w:rsidRDefault="005545E9" w:rsidP="00B47A67">
      <w:pPr>
        <w:spacing w:after="0" w:line="240" w:lineRule="auto"/>
        <w:contextualSpacing/>
        <w:jc w:val="both"/>
        <w:rPr>
          <w:sz w:val="18"/>
          <w:szCs w:val="18"/>
          <w:lang w:val="es-CR"/>
        </w:rPr>
      </w:pPr>
    </w:p>
    <w:p w14:paraId="6C4BA5CD" w14:textId="77777777" w:rsidR="00B47A67" w:rsidRDefault="00B47A67" w:rsidP="00B47A67">
      <w:pPr>
        <w:spacing w:after="0" w:line="240" w:lineRule="auto"/>
        <w:contextualSpacing/>
        <w:jc w:val="both"/>
        <w:rPr>
          <w:lang w:val="es-CR"/>
        </w:rPr>
      </w:pPr>
      <w:r w:rsidRPr="005545E9">
        <w:rPr>
          <w:sz w:val="18"/>
          <w:szCs w:val="18"/>
          <w:lang w:val="es-CR"/>
        </w:rPr>
        <w:t>Nota: Los porcentajes mostrados corresponden a monto invertido sobre activos de cada fondo y los porcentajes de la modelación son porcentuales del total invertido, por lo tanto, existe además un mayor margen de inversión y diferenciación para cada gestor.</w:t>
      </w:r>
    </w:p>
    <w:p w14:paraId="2D24AD33" w14:textId="77777777" w:rsidR="00B47A67" w:rsidRDefault="00B47A67" w:rsidP="00B47A67">
      <w:pPr>
        <w:spacing w:after="0" w:line="240" w:lineRule="auto"/>
        <w:contextualSpacing/>
        <w:rPr>
          <w:lang w:val="es-CR"/>
        </w:rPr>
      </w:pPr>
    </w:p>
    <w:p w14:paraId="73153D97" w14:textId="77777777" w:rsidR="005E6D85" w:rsidRPr="00A40150" w:rsidRDefault="005E6D85" w:rsidP="005E6D85">
      <w:pPr>
        <w:spacing w:after="0" w:line="240" w:lineRule="auto"/>
        <w:jc w:val="both"/>
      </w:pPr>
      <w:r w:rsidRPr="00A40150">
        <w:rPr>
          <w:lang w:val="es-CR"/>
        </w:rPr>
        <w:t>La propuesta de l</w:t>
      </w:r>
      <w:r>
        <w:rPr>
          <w:lang w:val="es-CR"/>
        </w:rPr>
        <w:t>í</w:t>
      </w:r>
      <w:r w:rsidRPr="00A40150">
        <w:rPr>
          <w:lang w:val="es-CR"/>
        </w:rPr>
        <w:t>mites plantea puntos focales de cambio, al cumplirse cada década. Estos espacios reconocen la posibilidad de que cada gestor tenga estrategias graduales de selección de instrumentos,</w:t>
      </w:r>
      <w:r>
        <w:rPr>
          <w:lang w:val="es-CR"/>
        </w:rPr>
        <w:t xml:space="preserve"> es decir, la velocidad con la que se llegue de una asignación estratégica a otra será una decisión de cada gestor</w:t>
      </w:r>
      <w:r w:rsidRPr="00A40150">
        <w:rPr>
          <w:lang w:val="es-CR"/>
        </w:rPr>
        <w:t>. La revisión de las estrategias se realizará a través de seguimientos de la supervisión a las trayectorias de inversión</w:t>
      </w:r>
      <w:r>
        <w:rPr>
          <w:lang w:val="es-CR"/>
        </w:rPr>
        <w:t>, de manera mensual, es decir, verificando que exista un adecuado balance a lo largo del tiempo y en apego a la regulación.</w:t>
      </w:r>
    </w:p>
    <w:p w14:paraId="10E8AF50" w14:textId="77777777" w:rsidR="00B47A67" w:rsidRPr="00BB5F9D" w:rsidRDefault="00B47A67" w:rsidP="00B47A67">
      <w:pPr>
        <w:spacing w:after="0" w:line="240" w:lineRule="auto"/>
        <w:jc w:val="both"/>
        <w:rPr>
          <w:highlight w:val="yellow"/>
          <w:lang w:val="es-CR"/>
        </w:rPr>
      </w:pPr>
    </w:p>
    <w:p w14:paraId="499A4171" w14:textId="77777777" w:rsidR="00B47A67" w:rsidRDefault="00B47A67" w:rsidP="00B47A67">
      <w:pPr>
        <w:spacing w:after="0" w:line="240" w:lineRule="auto"/>
        <w:jc w:val="both"/>
        <w:rPr>
          <w:lang w:val="es-CR"/>
        </w:rPr>
      </w:pPr>
      <w:r w:rsidRPr="000251F6">
        <w:rPr>
          <w:lang w:val="es-CR"/>
        </w:rPr>
        <w:t>Los l</w:t>
      </w:r>
      <w:r w:rsidR="009864E3">
        <w:rPr>
          <w:lang w:val="es-CR"/>
        </w:rPr>
        <w:t>í</w:t>
      </w:r>
      <w:r w:rsidRPr="000251F6">
        <w:rPr>
          <w:lang w:val="es-CR"/>
        </w:rPr>
        <w:t xml:space="preserve">mites propuestos guardan relación </w:t>
      </w:r>
      <w:r w:rsidR="003E4AEB">
        <w:rPr>
          <w:lang w:val="es-CR"/>
        </w:rPr>
        <w:t xml:space="preserve">general </w:t>
      </w:r>
      <w:r w:rsidRPr="000251F6">
        <w:rPr>
          <w:lang w:val="es-CR"/>
        </w:rPr>
        <w:t xml:space="preserve">con la experiencia internacional </w:t>
      </w:r>
      <w:r w:rsidR="003975D1">
        <w:rPr>
          <w:lang w:val="es-CR"/>
        </w:rPr>
        <w:t xml:space="preserve">(ver sección 5.2), </w:t>
      </w:r>
      <w:r w:rsidRPr="000251F6">
        <w:rPr>
          <w:lang w:val="es-CR"/>
        </w:rPr>
        <w:t>y con la modelación teórica realizada, de manera que represent</w:t>
      </w:r>
      <w:r>
        <w:rPr>
          <w:lang w:val="es-CR"/>
        </w:rPr>
        <w:t>a</w:t>
      </w:r>
      <w:r w:rsidRPr="000251F6">
        <w:rPr>
          <w:lang w:val="es-CR"/>
        </w:rPr>
        <w:t>n opciones plausibles de gestión para el régimen obligatorio de pensiones.</w:t>
      </w:r>
      <w:r>
        <w:rPr>
          <w:lang w:val="es-CR"/>
        </w:rPr>
        <w:t xml:space="preserve"> </w:t>
      </w:r>
    </w:p>
    <w:p w14:paraId="3DCD5A6D" w14:textId="77777777" w:rsidR="006B28BB" w:rsidRDefault="006B28BB" w:rsidP="00B47A67">
      <w:pPr>
        <w:spacing w:after="0" w:line="240" w:lineRule="auto"/>
        <w:jc w:val="both"/>
        <w:rPr>
          <w:lang w:val="es-CR"/>
        </w:rPr>
      </w:pPr>
    </w:p>
    <w:p w14:paraId="0A12E14A" w14:textId="77777777" w:rsidR="00B47A67" w:rsidRDefault="00B47A67" w:rsidP="00B47A67">
      <w:pPr>
        <w:spacing w:after="0" w:line="240" w:lineRule="auto"/>
        <w:jc w:val="both"/>
        <w:rPr>
          <w:lang w:val="es-CR"/>
        </w:rPr>
      </w:pPr>
    </w:p>
    <w:p w14:paraId="1159979F" w14:textId="77777777" w:rsidR="007400D9" w:rsidRDefault="007400D9" w:rsidP="007400D9">
      <w:pPr>
        <w:pStyle w:val="Ttulo2"/>
      </w:pPr>
      <w:bookmarkStart w:id="61" w:name="_Toc144396550"/>
      <w:r>
        <w:t xml:space="preserve">5.7. </w:t>
      </w:r>
      <w:r w:rsidR="003536CE">
        <w:t>Gestión de riesgos financieros</w:t>
      </w:r>
      <w:bookmarkEnd w:id="61"/>
    </w:p>
    <w:p w14:paraId="351A6A08" w14:textId="77777777" w:rsidR="004A14E8" w:rsidRDefault="004A14E8" w:rsidP="004A14E8"/>
    <w:p w14:paraId="51628262" w14:textId="77777777" w:rsidR="002E3384" w:rsidRPr="00A712F0" w:rsidRDefault="002E3384" w:rsidP="002E3384">
      <w:pPr>
        <w:pStyle w:val="Sinespaciado"/>
        <w:jc w:val="both"/>
      </w:pPr>
      <w:r w:rsidRPr="00A712F0">
        <w:t>La operación de los fondos generacionales será regulada en el Reglamento de Gestión de Activos, además del Reglamento de Gobierno Corporativo y el Reglamento de Riesgos. Estos dos últimos dan un marco general para la gestión de riesgos y el sistema de control que dirigirá a los fondos generacionales. Otros cuerpos normativos como las Normas Internacionales de Información Financiera (NIIF), son también de acatamiento para la gestión de fondos generacionales.</w:t>
      </w:r>
    </w:p>
    <w:p w14:paraId="4B30BC66" w14:textId="77777777" w:rsidR="00D32B83" w:rsidRPr="00A712F0" w:rsidRDefault="00D32B83" w:rsidP="00226B47">
      <w:pPr>
        <w:pStyle w:val="Sinespaciado"/>
      </w:pPr>
    </w:p>
    <w:p w14:paraId="27B863E2" w14:textId="77777777" w:rsidR="009C7129" w:rsidRDefault="00092DB5" w:rsidP="00B510B4">
      <w:pPr>
        <w:jc w:val="both"/>
      </w:pPr>
      <w:r w:rsidRPr="00A712F0">
        <w:t>Con respecto a la gestión financiera, l</w:t>
      </w:r>
      <w:r w:rsidR="009C7129" w:rsidRPr="00A712F0">
        <w:t xml:space="preserve">os </w:t>
      </w:r>
      <w:r w:rsidR="00683FBB" w:rsidRPr="00A712F0">
        <w:t xml:space="preserve">fondos generacionales estarán expuestos a los riesgos </w:t>
      </w:r>
      <w:r w:rsidR="00BB6784" w:rsidRPr="00A712F0">
        <w:t>propios del</w:t>
      </w:r>
      <w:r w:rsidR="00BF13A6" w:rsidRPr="00A712F0">
        <w:t xml:space="preserve"> mercado</w:t>
      </w:r>
      <w:r w:rsidR="00BB6784" w:rsidRPr="00A712F0">
        <w:t xml:space="preserve"> bursátil</w:t>
      </w:r>
      <w:r w:rsidR="00EA21AC" w:rsidRPr="00A712F0">
        <w:t xml:space="preserve">, como el </w:t>
      </w:r>
      <w:r w:rsidR="007B1E1E" w:rsidRPr="00A712F0">
        <w:t>riesgo de crédito, el riesgo de liquidez y el riesgo de mercado.</w:t>
      </w:r>
      <w:r w:rsidR="0086010A" w:rsidRPr="00A712F0">
        <w:t xml:space="preserve"> </w:t>
      </w:r>
      <w:r w:rsidR="002B4996" w:rsidRPr="00A712F0">
        <w:t>Con re</w:t>
      </w:r>
      <w:r w:rsidR="00177EBB" w:rsidRPr="00A712F0">
        <w:t xml:space="preserve">specto </w:t>
      </w:r>
      <w:r w:rsidR="00177EBB">
        <w:t xml:space="preserve">al riesgo de liquidez, </w:t>
      </w:r>
      <w:r w:rsidR="001E74B8">
        <w:t xml:space="preserve">el calce de plazos y la incorporación de </w:t>
      </w:r>
      <w:r w:rsidR="002B1782">
        <w:t xml:space="preserve">grupos de aportantes en cada </w:t>
      </w:r>
      <w:r w:rsidR="006636CF">
        <w:t>fondo generacional</w:t>
      </w:r>
      <w:r w:rsidR="00724327">
        <w:t>,</w:t>
      </w:r>
      <w:r w:rsidR="008F7EF9">
        <w:t xml:space="preserve"> ayudarán </w:t>
      </w:r>
      <w:r w:rsidR="00D60CBA">
        <w:t>a cubrir</w:t>
      </w:r>
      <w:r w:rsidR="00550D36">
        <w:t xml:space="preserve"> eventual</w:t>
      </w:r>
      <w:r w:rsidR="00D60CBA">
        <w:t>es</w:t>
      </w:r>
      <w:r w:rsidR="00550D36">
        <w:t xml:space="preserve"> requerimientos de efectivo (</w:t>
      </w:r>
      <w:r w:rsidR="00C74A25">
        <w:t xml:space="preserve">por ejemplo, </w:t>
      </w:r>
      <w:r w:rsidR="00550D36">
        <w:t>libre transferencia y pago de pensiones).</w:t>
      </w:r>
    </w:p>
    <w:p w14:paraId="67DC8BDF" w14:textId="77777777" w:rsidR="00855FD1" w:rsidRDefault="00584ADD" w:rsidP="00317C82">
      <w:pPr>
        <w:jc w:val="both"/>
      </w:pPr>
      <w:r>
        <w:t>Para la gestión del riesgo de</w:t>
      </w:r>
      <w:r w:rsidR="00D60CBA">
        <w:t xml:space="preserve"> </w:t>
      </w:r>
      <w:r w:rsidR="00284B7B">
        <w:t xml:space="preserve">mercado, </w:t>
      </w:r>
      <w:r w:rsidR="005A7B37">
        <w:t>además de la</w:t>
      </w:r>
      <w:r w:rsidR="00403D42">
        <w:t xml:space="preserve"> diversificación del portafolio del fondo generacional, la Superintendencia de Pensiones </w:t>
      </w:r>
      <w:r w:rsidR="005E5333">
        <w:t>incluye en su Reglamento de Gestión de Activos</w:t>
      </w:r>
      <w:r w:rsidR="005F699A">
        <w:t xml:space="preserve"> la posibilidad de </w:t>
      </w:r>
      <w:r w:rsidR="00221DDA">
        <w:t>adquirir</w:t>
      </w:r>
      <w:r w:rsidR="00A73C9F">
        <w:t xml:space="preserve"> </w:t>
      </w:r>
      <w:r w:rsidR="00F25CFE">
        <w:t>i</w:t>
      </w:r>
      <w:r w:rsidR="00855FD1">
        <w:t>nstrumentos</w:t>
      </w:r>
      <w:r w:rsidR="00F25CFE">
        <w:t xml:space="preserve"> derivados de</w:t>
      </w:r>
      <w:r w:rsidR="00855FD1">
        <w:t xml:space="preserve"> cobertura</w:t>
      </w:r>
      <w:r w:rsidR="00317C82">
        <w:t xml:space="preserve">. </w:t>
      </w:r>
      <w:r w:rsidR="005E6D85">
        <w:t xml:space="preserve">Esto por cuanto, la exposición a </w:t>
      </w:r>
      <w:r w:rsidR="005E6D85">
        <w:lastRenderedPageBreak/>
        <w:t>los diferentes riesgos financieros</w:t>
      </w:r>
      <w:r w:rsidR="00317C82">
        <w:t xml:space="preserve"> tiene un</w:t>
      </w:r>
      <w:r w:rsidR="00855FD1">
        <w:t xml:space="preserve"> impacto significativo en la rentabilidad y estabilidad de estos fondos. </w:t>
      </w:r>
    </w:p>
    <w:p w14:paraId="12EEE1C0" w14:textId="77777777" w:rsidR="005E6D85" w:rsidRDefault="005E6D85" w:rsidP="005E6D85">
      <w:pPr>
        <w:jc w:val="both"/>
      </w:pPr>
      <w:r>
        <w:t xml:space="preserve">La inclusión de derivados financieros, si bien no forma parte estrictamente del proyecto de fondos generaciones, representa una alternativa para el mayor control de la volatilidad en los precios de los instrumentos, especialmente en las generaciones que así lo requieran.  </w:t>
      </w:r>
    </w:p>
    <w:p w14:paraId="71574043" w14:textId="77777777" w:rsidR="00165BD9" w:rsidRPr="00AF6C8A" w:rsidRDefault="00165BD9">
      <w:pPr>
        <w:pStyle w:val="Prrafodelista"/>
        <w:numPr>
          <w:ilvl w:val="0"/>
          <w:numId w:val="27"/>
        </w:numPr>
        <w:ind w:left="360"/>
        <w:jc w:val="both"/>
      </w:pPr>
      <w:r>
        <w:br w:type="page"/>
      </w:r>
    </w:p>
    <w:p w14:paraId="3B494F6A" w14:textId="77777777" w:rsidR="00B47A67" w:rsidRDefault="00B47A67" w:rsidP="00B47A67">
      <w:pPr>
        <w:pStyle w:val="Ttulo1"/>
      </w:pPr>
      <w:bookmarkStart w:id="62" w:name="_Toc144396551"/>
      <w:r>
        <w:lastRenderedPageBreak/>
        <w:t xml:space="preserve">Capítulo 6: </w:t>
      </w:r>
      <w:r w:rsidR="00FE778C">
        <w:t>B</w:t>
      </w:r>
      <w:r>
        <w:t>eneficio</w:t>
      </w:r>
      <w:r w:rsidR="00FE778C">
        <w:t>s y costos asociados a la propuesta</w:t>
      </w:r>
      <w:bookmarkEnd w:id="62"/>
    </w:p>
    <w:p w14:paraId="06785FC4" w14:textId="77777777" w:rsidR="00B47A67" w:rsidRDefault="00B47A67" w:rsidP="00B47A67">
      <w:pPr>
        <w:spacing w:after="0" w:line="240" w:lineRule="auto"/>
        <w:contextualSpacing/>
      </w:pPr>
    </w:p>
    <w:p w14:paraId="52FE95E7" w14:textId="77777777" w:rsidR="00EE3827" w:rsidRDefault="00B47A67" w:rsidP="00B47A67">
      <w:pPr>
        <w:pStyle w:val="Ttulo2"/>
      </w:pPr>
      <w:bookmarkStart w:id="63" w:name="_Toc144396552"/>
      <w:bookmarkStart w:id="64" w:name="_Toc115797326"/>
      <w:bookmarkStart w:id="65" w:name="_Toc132962528"/>
      <w:r>
        <w:t>6.1. Beneficio</w:t>
      </w:r>
      <w:r w:rsidR="00FE778C">
        <w:t>s</w:t>
      </w:r>
      <w:bookmarkEnd w:id="63"/>
    </w:p>
    <w:p w14:paraId="0BC9A580" w14:textId="77777777" w:rsidR="00EE3827" w:rsidRDefault="00EE3827" w:rsidP="00D4062F"/>
    <w:p w14:paraId="51DEC62A" w14:textId="77777777" w:rsidR="00B47A67" w:rsidRPr="00CC4D5B" w:rsidRDefault="000E0802" w:rsidP="00174DC4">
      <w:pPr>
        <w:pStyle w:val="Ttulo3"/>
      </w:pPr>
      <w:bookmarkStart w:id="66" w:name="_Toc144396553"/>
      <w:r>
        <w:t xml:space="preserve">6.1.1 </w:t>
      </w:r>
      <w:r w:rsidR="00EE3827" w:rsidRPr="00CC4D5B">
        <w:t>A</w:t>
      </w:r>
      <w:r w:rsidR="00B47A67" w:rsidRPr="00CC4D5B">
        <w:t>umento en la tasa de remplazo</w:t>
      </w:r>
      <w:bookmarkEnd w:id="66"/>
    </w:p>
    <w:p w14:paraId="6A65089B" w14:textId="77777777" w:rsidR="00B47A67" w:rsidRDefault="00B47A67" w:rsidP="00B47A67">
      <w:pPr>
        <w:spacing w:after="0" w:line="240" w:lineRule="auto"/>
        <w:contextualSpacing/>
        <w:jc w:val="both"/>
        <w:rPr>
          <w:rFonts w:eastAsiaTheme="minorEastAsia"/>
        </w:rPr>
      </w:pPr>
    </w:p>
    <w:p w14:paraId="410809DC" w14:textId="77777777" w:rsidR="00841DC4" w:rsidRDefault="00B47A67" w:rsidP="00054275">
      <w:pPr>
        <w:spacing w:after="0" w:line="240" w:lineRule="auto"/>
        <w:contextualSpacing/>
        <w:jc w:val="both"/>
        <w:rPr>
          <w:rFonts w:eastAsiaTheme="minorEastAsia"/>
        </w:rPr>
      </w:pPr>
      <w:r w:rsidRPr="00CB07D4">
        <w:rPr>
          <w:rFonts w:eastAsiaTheme="minorEastAsia"/>
        </w:rPr>
        <w:t xml:space="preserve">La administración </w:t>
      </w:r>
      <w:r w:rsidRPr="00B80166">
        <w:rPr>
          <w:rFonts w:eastAsiaTheme="minorEastAsia"/>
        </w:rPr>
        <w:t>general de recursos previsionales, diferencia</w:t>
      </w:r>
      <w:r w:rsidR="00095547" w:rsidRPr="00B80166">
        <w:rPr>
          <w:rFonts w:eastAsiaTheme="minorEastAsia"/>
        </w:rPr>
        <w:t>ndo</w:t>
      </w:r>
      <w:r w:rsidRPr="00B80166">
        <w:rPr>
          <w:rFonts w:eastAsiaTheme="minorEastAsia"/>
        </w:rPr>
        <w:t xml:space="preserve"> estrategias de inversión, con el mismo nivel de aportación</w:t>
      </w:r>
      <w:r w:rsidR="00B157E6" w:rsidRPr="00B80166">
        <w:rPr>
          <w:rFonts w:eastAsiaTheme="minorEastAsia"/>
        </w:rPr>
        <w:t>,</w:t>
      </w:r>
      <w:r w:rsidRPr="00B80166">
        <w:rPr>
          <w:rFonts w:eastAsiaTheme="minorEastAsia"/>
        </w:rPr>
        <w:t xml:space="preserve"> </w:t>
      </w:r>
      <w:r w:rsidR="002E0DAC" w:rsidRPr="00B80166">
        <w:rPr>
          <w:rFonts w:eastAsiaTheme="minorEastAsia"/>
        </w:rPr>
        <w:t>puede</w:t>
      </w:r>
      <w:r w:rsidRPr="00B80166">
        <w:rPr>
          <w:rFonts w:eastAsiaTheme="minorEastAsia"/>
        </w:rPr>
        <w:t xml:space="preserve"> alcanzar pensiones de una mayor cuantía. Específicamente, según las estimaciones de la SUPEN, </w:t>
      </w:r>
      <w:r w:rsidRPr="00CB07D4">
        <w:rPr>
          <w:rFonts w:eastAsiaTheme="minorEastAsia"/>
        </w:rPr>
        <w:t>este proyecto lograría pasar de un 16,5% a 19,8% de tasa de reemplazo</w:t>
      </w:r>
      <w:r w:rsidRPr="000948A9">
        <w:rPr>
          <w:vertAlign w:val="superscript"/>
        </w:rPr>
        <w:footnoteReference w:id="22"/>
      </w:r>
      <w:r w:rsidRPr="00CB07D4">
        <w:rPr>
          <w:rFonts w:eastAsiaTheme="minorEastAsia"/>
        </w:rPr>
        <w:t>, en un horizonte de 40 años</w:t>
      </w:r>
      <w:r w:rsidR="00EC2E7A">
        <w:rPr>
          <w:rStyle w:val="Refdenotaalpie"/>
          <w:rFonts w:eastAsiaTheme="minorEastAsia"/>
        </w:rPr>
        <w:footnoteReference w:id="23"/>
      </w:r>
      <w:r w:rsidR="00EC2E7A">
        <w:rPr>
          <w:rFonts w:eastAsiaTheme="minorEastAsia"/>
        </w:rPr>
        <w:t>.</w:t>
      </w:r>
      <w:r w:rsidRPr="00CB07D4">
        <w:rPr>
          <w:rFonts w:eastAsiaTheme="minorEastAsia"/>
        </w:rPr>
        <w:t xml:space="preserve"> </w:t>
      </w:r>
      <w:r w:rsidR="00054275">
        <w:rPr>
          <w:rFonts w:eastAsiaTheme="minorEastAsia"/>
        </w:rPr>
        <w:t xml:space="preserve">El </w:t>
      </w:r>
      <w:r w:rsidR="002E0DAC">
        <w:rPr>
          <w:rFonts w:eastAsiaTheme="minorEastAsia"/>
        </w:rPr>
        <w:t xml:space="preserve">siguiente cuadro </w:t>
      </w:r>
      <w:r w:rsidR="00054275">
        <w:rPr>
          <w:rFonts w:eastAsiaTheme="minorEastAsia"/>
        </w:rPr>
        <w:t>muestra los resultados de estas estimaciones</w:t>
      </w:r>
      <w:r w:rsidR="005A19B9">
        <w:rPr>
          <w:rFonts w:eastAsiaTheme="minorEastAsia"/>
        </w:rPr>
        <w:t xml:space="preserve">, segmentado </w:t>
      </w:r>
      <w:r w:rsidR="005C6E11">
        <w:rPr>
          <w:rFonts w:eastAsiaTheme="minorEastAsia"/>
        </w:rPr>
        <w:t xml:space="preserve">los rendimientos que se alcanzarían </w:t>
      </w:r>
      <w:r w:rsidR="005A19B9">
        <w:rPr>
          <w:rFonts w:eastAsiaTheme="minorEastAsia"/>
        </w:rPr>
        <w:t>por décadas</w:t>
      </w:r>
      <w:r w:rsidR="005C6E11">
        <w:rPr>
          <w:rFonts w:eastAsiaTheme="minorEastAsia"/>
        </w:rPr>
        <w:t xml:space="preserve">, representando </w:t>
      </w:r>
      <w:r w:rsidR="006959B5">
        <w:rPr>
          <w:rFonts w:eastAsiaTheme="minorEastAsia"/>
        </w:rPr>
        <w:t xml:space="preserve">a </w:t>
      </w:r>
      <w:r w:rsidR="005C6E11">
        <w:rPr>
          <w:rFonts w:eastAsiaTheme="minorEastAsia"/>
        </w:rPr>
        <w:t>las generaciones</w:t>
      </w:r>
      <w:r w:rsidR="006B532E">
        <w:rPr>
          <w:rFonts w:eastAsiaTheme="minorEastAsia"/>
        </w:rPr>
        <w:t xml:space="preserve">. </w:t>
      </w:r>
    </w:p>
    <w:p w14:paraId="4F322D73" w14:textId="77777777" w:rsidR="00841DC4" w:rsidRDefault="00841DC4" w:rsidP="00054275">
      <w:pPr>
        <w:spacing w:after="0" w:line="240" w:lineRule="auto"/>
        <w:contextualSpacing/>
        <w:jc w:val="both"/>
        <w:rPr>
          <w:rFonts w:eastAsiaTheme="minorEastAsia"/>
        </w:rPr>
      </w:pPr>
    </w:p>
    <w:p w14:paraId="53066852" w14:textId="77777777" w:rsidR="00B47A67" w:rsidRDefault="006B532E" w:rsidP="00B47A67">
      <w:pPr>
        <w:spacing w:after="0" w:line="240" w:lineRule="auto"/>
        <w:contextualSpacing/>
        <w:jc w:val="both"/>
        <w:rPr>
          <w:rFonts w:eastAsiaTheme="minorEastAsia"/>
        </w:rPr>
      </w:pPr>
      <w:r>
        <w:rPr>
          <w:rFonts w:eastAsiaTheme="minorEastAsia"/>
        </w:rPr>
        <w:t>En e</w:t>
      </w:r>
      <w:r w:rsidR="002E0DAC">
        <w:rPr>
          <w:rFonts w:eastAsiaTheme="minorEastAsia"/>
        </w:rPr>
        <w:t>l siguiente cuadro</w:t>
      </w:r>
      <w:r>
        <w:rPr>
          <w:rFonts w:eastAsiaTheme="minorEastAsia"/>
        </w:rPr>
        <w:t xml:space="preserve">, </w:t>
      </w:r>
      <w:r w:rsidR="00B93D32">
        <w:rPr>
          <w:rFonts w:eastAsiaTheme="minorEastAsia"/>
        </w:rPr>
        <w:t xml:space="preserve">los rendimientos son decrecientes </w:t>
      </w:r>
      <w:r w:rsidR="00CC140F">
        <w:rPr>
          <w:rFonts w:eastAsiaTheme="minorEastAsia"/>
        </w:rPr>
        <w:t xml:space="preserve">según vaya </w:t>
      </w:r>
      <w:r w:rsidR="0009721E">
        <w:rPr>
          <w:rFonts w:eastAsiaTheme="minorEastAsia"/>
        </w:rPr>
        <w:t xml:space="preserve">aumentando la década, es decir, </w:t>
      </w:r>
      <w:r w:rsidR="0066059A">
        <w:rPr>
          <w:rFonts w:eastAsiaTheme="minorEastAsia"/>
        </w:rPr>
        <w:t>conforme se acerca la edad de pensión</w:t>
      </w:r>
      <w:r w:rsidR="00054275">
        <w:rPr>
          <w:rFonts w:eastAsiaTheme="minorEastAsia"/>
        </w:rPr>
        <w:t>.</w:t>
      </w:r>
      <w:r w:rsidR="008829A9">
        <w:rPr>
          <w:rFonts w:eastAsiaTheme="minorEastAsia"/>
        </w:rPr>
        <w:t xml:space="preserve"> </w:t>
      </w:r>
      <w:r w:rsidR="00B47A67">
        <w:rPr>
          <w:rFonts w:eastAsiaTheme="minorEastAsia"/>
        </w:rPr>
        <w:t>En el escenario actual, donde no existen fondos generacionales, un rendimiento moderado de un 3% real</w:t>
      </w:r>
      <w:r w:rsidR="008829A9">
        <w:rPr>
          <w:rFonts w:eastAsiaTheme="minorEastAsia"/>
        </w:rPr>
        <w:t xml:space="preserve"> por década</w:t>
      </w:r>
      <w:r w:rsidR="00B47A67">
        <w:rPr>
          <w:rFonts w:eastAsiaTheme="minorEastAsia"/>
        </w:rPr>
        <w:t xml:space="preserve">, durante 40 años de aportación, </w:t>
      </w:r>
      <w:r w:rsidR="008829A9">
        <w:rPr>
          <w:rFonts w:eastAsiaTheme="minorEastAsia"/>
        </w:rPr>
        <w:t>generaría una tasa de remplazo</w:t>
      </w:r>
      <w:r w:rsidR="00B47A67">
        <w:rPr>
          <w:rFonts w:eastAsiaTheme="minorEastAsia"/>
        </w:rPr>
        <w:t xml:space="preserve"> </w:t>
      </w:r>
      <w:r w:rsidR="00A8460C">
        <w:rPr>
          <w:rFonts w:eastAsiaTheme="minorEastAsia"/>
        </w:rPr>
        <w:t xml:space="preserve">de </w:t>
      </w:r>
      <w:r w:rsidR="00B47A67">
        <w:rPr>
          <w:rFonts w:eastAsiaTheme="minorEastAsia"/>
        </w:rPr>
        <w:t>16,5%</w:t>
      </w:r>
      <w:r w:rsidR="007C779D">
        <w:rPr>
          <w:rFonts w:eastAsiaTheme="minorEastAsia"/>
        </w:rPr>
        <w:t xml:space="preserve"> con respecto a la proyección del salario</w:t>
      </w:r>
      <w:r w:rsidR="00B47A67">
        <w:rPr>
          <w:rFonts w:eastAsiaTheme="minorEastAsia"/>
        </w:rPr>
        <w:t xml:space="preserve">. </w:t>
      </w:r>
    </w:p>
    <w:p w14:paraId="37DCFFEF" w14:textId="77777777" w:rsidR="00B47A67" w:rsidRDefault="00B47A67" w:rsidP="00B47A67">
      <w:pPr>
        <w:spacing w:after="0" w:line="240" w:lineRule="auto"/>
        <w:contextualSpacing/>
        <w:jc w:val="both"/>
        <w:rPr>
          <w:rFonts w:eastAsiaTheme="minorEastAsia"/>
        </w:rPr>
      </w:pPr>
    </w:p>
    <w:p w14:paraId="34534E1D" w14:textId="77777777" w:rsidR="00B47A67" w:rsidRDefault="000B5407" w:rsidP="00B47A67">
      <w:pPr>
        <w:spacing w:after="0" w:line="240" w:lineRule="auto"/>
        <w:contextualSpacing/>
        <w:jc w:val="both"/>
        <w:rPr>
          <w:rFonts w:eastAsiaTheme="minorEastAsia"/>
        </w:rPr>
      </w:pPr>
      <w:r>
        <w:rPr>
          <w:rFonts w:eastAsiaTheme="minorEastAsia"/>
        </w:rPr>
        <w:t>E</w:t>
      </w:r>
      <w:r w:rsidR="00B47A67">
        <w:rPr>
          <w:rFonts w:eastAsiaTheme="minorEastAsia"/>
        </w:rPr>
        <w:t>n un escenario</w:t>
      </w:r>
      <w:r w:rsidR="00F02346">
        <w:rPr>
          <w:rFonts w:eastAsiaTheme="minorEastAsia"/>
        </w:rPr>
        <w:t xml:space="preserve"> de estrategia de inversión </w:t>
      </w:r>
      <w:r w:rsidR="00B47A67">
        <w:rPr>
          <w:rFonts w:eastAsiaTheme="minorEastAsia"/>
        </w:rPr>
        <w:t>conservador</w:t>
      </w:r>
      <w:r w:rsidR="00F02346">
        <w:rPr>
          <w:rFonts w:eastAsiaTheme="minorEastAsia"/>
        </w:rPr>
        <w:t>a</w:t>
      </w:r>
      <w:r>
        <w:rPr>
          <w:rFonts w:eastAsiaTheme="minorEastAsia"/>
        </w:rPr>
        <w:t xml:space="preserve"> </w:t>
      </w:r>
      <w:r w:rsidR="00F02346">
        <w:rPr>
          <w:rFonts w:eastAsiaTheme="minorEastAsia"/>
        </w:rPr>
        <w:t>en</w:t>
      </w:r>
      <w:r>
        <w:rPr>
          <w:rFonts w:eastAsiaTheme="minorEastAsia"/>
        </w:rPr>
        <w:t xml:space="preserve"> fondos generacionales</w:t>
      </w:r>
      <w:r w:rsidR="00B47A67">
        <w:rPr>
          <w:rFonts w:eastAsiaTheme="minorEastAsia"/>
        </w:rPr>
        <w:t xml:space="preserve"> la tasa de remplazo</w:t>
      </w:r>
      <w:r w:rsidR="00620767">
        <w:rPr>
          <w:rFonts w:eastAsiaTheme="minorEastAsia"/>
        </w:rPr>
        <w:t xml:space="preserve"> llegaría </w:t>
      </w:r>
      <w:r w:rsidR="00B47A67">
        <w:rPr>
          <w:rFonts w:eastAsiaTheme="minorEastAsia"/>
        </w:rPr>
        <w:t>a 19,8%</w:t>
      </w:r>
      <w:r w:rsidR="005C77B7">
        <w:rPr>
          <w:rFonts w:eastAsiaTheme="minorEastAsia"/>
        </w:rPr>
        <w:t>, mientras que</w:t>
      </w:r>
      <w:r w:rsidR="00A8460C">
        <w:rPr>
          <w:rFonts w:eastAsiaTheme="minorEastAsia"/>
        </w:rPr>
        <w:t>,</w:t>
      </w:r>
      <w:r w:rsidR="005C77B7">
        <w:rPr>
          <w:rFonts w:eastAsiaTheme="minorEastAsia"/>
        </w:rPr>
        <w:t xml:space="preserve"> </w:t>
      </w:r>
      <w:r w:rsidR="00C65A28">
        <w:rPr>
          <w:rFonts w:eastAsiaTheme="minorEastAsia"/>
        </w:rPr>
        <w:t>en un escenario de inversiones más agresivas,</w:t>
      </w:r>
      <w:r w:rsidR="00B47A67">
        <w:rPr>
          <w:rFonts w:eastAsiaTheme="minorEastAsia"/>
        </w:rPr>
        <w:t xml:space="preserve"> el remplazo </w:t>
      </w:r>
      <w:r w:rsidR="00C65A28">
        <w:rPr>
          <w:rFonts w:eastAsiaTheme="minorEastAsia"/>
        </w:rPr>
        <w:t>del salario</w:t>
      </w:r>
      <w:r w:rsidR="00B47A67">
        <w:rPr>
          <w:rFonts w:eastAsiaTheme="minorEastAsia"/>
        </w:rPr>
        <w:t xml:space="preserve"> podría llegar </w:t>
      </w:r>
      <w:r w:rsidR="00C65A28">
        <w:rPr>
          <w:rFonts w:eastAsiaTheme="minorEastAsia"/>
        </w:rPr>
        <w:t>a</w:t>
      </w:r>
      <w:r w:rsidR="00B47A67">
        <w:rPr>
          <w:rFonts w:eastAsiaTheme="minorEastAsia"/>
        </w:rPr>
        <w:t xml:space="preserve"> 24,1%.</w:t>
      </w:r>
    </w:p>
    <w:p w14:paraId="7AE883A7" w14:textId="77777777" w:rsidR="00B47A67" w:rsidRDefault="00B47A67" w:rsidP="00B47A67">
      <w:pPr>
        <w:spacing w:after="0" w:line="240" w:lineRule="auto"/>
        <w:contextualSpacing/>
        <w:jc w:val="both"/>
        <w:rPr>
          <w:rFonts w:eastAsiaTheme="minorEastAsia"/>
        </w:rPr>
      </w:pPr>
    </w:p>
    <w:p w14:paraId="450F84B2" w14:textId="77777777" w:rsidR="00B47A67" w:rsidRDefault="00B47A67" w:rsidP="00B47A67">
      <w:pPr>
        <w:pStyle w:val="Descripcin"/>
        <w:rPr>
          <w:rFonts w:eastAsiaTheme="minorEastAsia"/>
        </w:rPr>
      </w:pPr>
      <w:bookmarkStart w:id="67" w:name="_Ref136591662"/>
      <w:r>
        <w:t xml:space="preserve">Cuadro </w:t>
      </w:r>
      <w:bookmarkEnd w:id="67"/>
      <w:r w:rsidR="002E0DAC">
        <w:t>10</w:t>
      </w:r>
      <w:r>
        <w:t xml:space="preserve">: </w:t>
      </w:r>
      <w:r w:rsidRPr="00CB07D4">
        <w:rPr>
          <w:rFonts w:eastAsiaTheme="minorEastAsia"/>
        </w:rPr>
        <w:t xml:space="preserve"> Tasa de remplazo </w:t>
      </w:r>
      <w:r>
        <w:rPr>
          <w:rFonts w:eastAsiaTheme="minorEastAsia"/>
        </w:rPr>
        <w:t>según rendimiento, distribución pode décadas</w:t>
      </w:r>
    </w:p>
    <w:tbl>
      <w:tblPr>
        <w:tblStyle w:val="Tablaconcuadrcula"/>
        <w:tblW w:w="8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991"/>
        <w:gridCol w:w="952"/>
        <w:gridCol w:w="879"/>
        <w:gridCol w:w="846"/>
        <w:gridCol w:w="1035"/>
        <w:gridCol w:w="1189"/>
      </w:tblGrid>
      <w:tr w:rsidR="000B5407" w14:paraId="2E304ECB" w14:textId="77777777" w:rsidTr="000B5407">
        <w:tc>
          <w:tcPr>
            <w:tcW w:w="2670" w:type="dxa"/>
            <w:vMerge w:val="restart"/>
            <w:tcBorders>
              <w:top w:val="single" w:sz="4" w:space="0" w:color="auto"/>
            </w:tcBorders>
            <w:vAlign w:val="center"/>
          </w:tcPr>
          <w:p w14:paraId="7F627135" w14:textId="77777777" w:rsidR="000B5407" w:rsidRDefault="000B5407" w:rsidP="002A2B9C">
            <w:r>
              <w:t>Escenario</w:t>
            </w:r>
          </w:p>
        </w:tc>
        <w:tc>
          <w:tcPr>
            <w:tcW w:w="4703" w:type="dxa"/>
            <w:gridSpan w:val="5"/>
            <w:tcBorders>
              <w:top w:val="single" w:sz="4" w:space="0" w:color="auto"/>
              <w:bottom w:val="single" w:sz="4" w:space="0" w:color="auto"/>
            </w:tcBorders>
            <w:vAlign w:val="center"/>
          </w:tcPr>
          <w:p w14:paraId="7E9E0891" w14:textId="77777777" w:rsidR="000B5407" w:rsidRDefault="000B5407" w:rsidP="006177AF">
            <w:pPr>
              <w:jc w:val="center"/>
            </w:pPr>
            <w:r>
              <w:t>Rendimiento real por década</w:t>
            </w:r>
          </w:p>
        </w:tc>
        <w:tc>
          <w:tcPr>
            <w:tcW w:w="1189" w:type="dxa"/>
            <w:vMerge w:val="restart"/>
            <w:tcBorders>
              <w:top w:val="single" w:sz="4" w:space="0" w:color="auto"/>
            </w:tcBorders>
            <w:vAlign w:val="center"/>
          </w:tcPr>
          <w:p w14:paraId="0FBBAEDF" w14:textId="77777777" w:rsidR="000B5407" w:rsidRDefault="000B5407" w:rsidP="002A2B9C">
            <w:pPr>
              <w:jc w:val="center"/>
            </w:pPr>
            <w:r>
              <w:t>Tasa de remplazo</w:t>
            </w:r>
          </w:p>
        </w:tc>
      </w:tr>
      <w:tr w:rsidR="000B5407" w14:paraId="089A2668" w14:textId="77777777" w:rsidTr="000B5407">
        <w:tc>
          <w:tcPr>
            <w:tcW w:w="2670" w:type="dxa"/>
            <w:vMerge/>
            <w:tcBorders>
              <w:bottom w:val="single" w:sz="4" w:space="0" w:color="auto"/>
            </w:tcBorders>
          </w:tcPr>
          <w:p w14:paraId="0E4B9AEA" w14:textId="77777777" w:rsidR="000B5407" w:rsidRDefault="000B5407" w:rsidP="006177AF"/>
        </w:tc>
        <w:tc>
          <w:tcPr>
            <w:tcW w:w="991" w:type="dxa"/>
            <w:tcBorders>
              <w:top w:val="single" w:sz="4" w:space="0" w:color="auto"/>
              <w:bottom w:val="single" w:sz="4" w:space="0" w:color="auto"/>
            </w:tcBorders>
            <w:vAlign w:val="center"/>
          </w:tcPr>
          <w:p w14:paraId="0582BC55" w14:textId="77777777" w:rsidR="000B5407" w:rsidRDefault="000B5407" w:rsidP="002A2B9C">
            <w:pPr>
              <w:jc w:val="center"/>
            </w:pPr>
            <w:r>
              <w:rPr>
                <w:rFonts w:eastAsiaTheme="minorEastAsia"/>
              </w:rPr>
              <w:t>Anterior a 2030</w:t>
            </w:r>
          </w:p>
        </w:tc>
        <w:tc>
          <w:tcPr>
            <w:tcW w:w="952" w:type="dxa"/>
            <w:tcBorders>
              <w:top w:val="single" w:sz="4" w:space="0" w:color="auto"/>
              <w:bottom w:val="single" w:sz="4" w:space="0" w:color="auto"/>
            </w:tcBorders>
            <w:vAlign w:val="center"/>
          </w:tcPr>
          <w:p w14:paraId="037FBAA3" w14:textId="77777777" w:rsidR="000B5407" w:rsidRDefault="000B5407" w:rsidP="002A2B9C">
            <w:pPr>
              <w:jc w:val="center"/>
            </w:pPr>
            <w:r>
              <w:rPr>
                <w:rFonts w:eastAsiaTheme="minorEastAsia"/>
              </w:rPr>
              <w:t>2030</w:t>
            </w:r>
          </w:p>
        </w:tc>
        <w:tc>
          <w:tcPr>
            <w:tcW w:w="879" w:type="dxa"/>
            <w:tcBorders>
              <w:top w:val="single" w:sz="4" w:space="0" w:color="auto"/>
              <w:bottom w:val="single" w:sz="4" w:space="0" w:color="auto"/>
            </w:tcBorders>
            <w:vAlign w:val="center"/>
          </w:tcPr>
          <w:p w14:paraId="5627A3B4" w14:textId="77777777" w:rsidR="000B5407" w:rsidRDefault="000B5407" w:rsidP="002A2B9C">
            <w:pPr>
              <w:jc w:val="center"/>
            </w:pPr>
            <w:r>
              <w:rPr>
                <w:rFonts w:eastAsiaTheme="minorEastAsia"/>
              </w:rPr>
              <w:t>2040</w:t>
            </w:r>
          </w:p>
        </w:tc>
        <w:tc>
          <w:tcPr>
            <w:tcW w:w="846" w:type="dxa"/>
            <w:tcBorders>
              <w:top w:val="single" w:sz="4" w:space="0" w:color="auto"/>
              <w:bottom w:val="single" w:sz="4" w:space="0" w:color="auto"/>
            </w:tcBorders>
            <w:vAlign w:val="center"/>
          </w:tcPr>
          <w:p w14:paraId="49C01BD6" w14:textId="77777777" w:rsidR="000B5407" w:rsidRDefault="000B5407" w:rsidP="002A2B9C">
            <w:pPr>
              <w:jc w:val="center"/>
            </w:pPr>
            <w:r>
              <w:rPr>
                <w:rFonts w:eastAsiaTheme="minorEastAsia"/>
              </w:rPr>
              <w:t>2050</w:t>
            </w:r>
          </w:p>
        </w:tc>
        <w:tc>
          <w:tcPr>
            <w:tcW w:w="1035" w:type="dxa"/>
            <w:tcBorders>
              <w:top w:val="single" w:sz="4" w:space="0" w:color="auto"/>
              <w:bottom w:val="single" w:sz="4" w:space="0" w:color="auto"/>
            </w:tcBorders>
            <w:vAlign w:val="center"/>
          </w:tcPr>
          <w:p w14:paraId="69F8CCB6" w14:textId="77777777" w:rsidR="000B5407" w:rsidRDefault="000B5407" w:rsidP="002A2B9C">
            <w:pPr>
              <w:jc w:val="center"/>
            </w:pPr>
            <w:r>
              <w:rPr>
                <w:rFonts w:eastAsiaTheme="minorEastAsia"/>
              </w:rPr>
              <w:t>Posterior a 2059</w:t>
            </w:r>
          </w:p>
        </w:tc>
        <w:tc>
          <w:tcPr>
            <w:tcW w:w="1189" w:type="dxa"/>
            <w:vMerge/>
            <w:tcBorders>
              <w:bottom w:val="single" w:sz="4" w:space="0" w:color="auto"/>
            </w:tcBorders>
          </w:tcPr>
          <w:p w14:paraId="08D25882" w14:textId="77777777" w:rsidR="000B5407" w:rsidRDefault="000B5407" w:rsidP="002A2B9C">
            <w:pPr>
              <w:jc w:val="right"/>
            </w:pPr>
          </w:p>
        </w:tc>
      </w:tr>
      <w:tr w:rsidR="000B5407" w14:paraId="46C56470" w14:textId="77777777" w:rsidTr="000B5407">
        <w:tc>
          <w:tcPr>
            <w:tcW w:w="2670" w:type="dxa"/>
            <w:tcBorders>
              <w:top w:val="single" w:sz="4" w:space="0" w:color="auto"/>
            </w:tcBorders>
            <w:shd w:val="clear" w:color="auto" w:fill="D9E2F3" w:themeFill="accent1" w:themeFillTint="33"/>
            <w:vAlign w:val="center"/>
          </w:tcPr>
          <w:p w14:paraId="1CC01995" w14:textId="77777777" w:rsidR="006177AF" w:rsidRPr="000B5407" w:rsidRDefault="008E0320" w:rsidP="000B5407">
            <w:pPr>
              <w:rPr>
                <w:sz w:val="20"/>
                <w:szCs w:val="20"/>
              </w:rPr>
            </w:pPr>
            <w:r w:rsidRPr="000B5407">
              <w:rPr>
                <w:sz w:val="20"/>
                <w:szCs w:val="20"/>
              </w:rPr>
              <w:t>Actual</w:t>
            </w:r>
            <w:r w:rsidR="000B5407" w:rsidRPr="000B5407">
              <w:rPr>
                <w:sz w:val="20"/>
                <w:szCs w:val="20"/>
              </w:rPr>
              <w:t xml:space="preserve"> (sin fondos generacionales)</w:t>
            </w:r>
          </w:p>
        </w:tc>
        <w:tc>
          <w:tcPr>
            <w:tcW w:w="991" w:type="dxa"/>
            <w:tcBorders>
              <w:top w:val="single" w:sz="4" w:space="0" w:color="auto"/>
            </w:tcBorders>
            <w:shd w:val="clear" w:color="auto" w:fill="D9E2F3" w:themeFill="accent1" w:themeFillTint="33"/>
            <w:vAlign w:val="center"/>
          </w:tcPr>
          <w:p w14:paraId="10A22CA4" w14:textId="77777777" w:rsidR="006177AF" w:rsidRPr="000B5407" w:rsidRDefault="006177AF" w:rsidP="000B5407">
            <w:pPr>
              <w:jc w:val="right"/>
              <w:rPr>
                <w:sz w:val="20"/>
                <w:szCs w:val="20"/>
              </w:rPr>
            </w:pPr>
            <w:r w:rsidRPr="000B5407">
              <w:rPr>
                <w:rFonts w:eastAsiaTheme="minorEastAsia"/>
                <w:sz w:val="20"/>
                <w:szCs w:val="20"/>
              </w:rPr>
              <w:t>3%</w:t>
            </w:r>
          </w:p>
        </w:tc>
        <w:tc>
          <w:tcPr>
            <w:tcW w:w="952" w:type="dxa"/>
            <w:tcBorders>
              <w:top w:val="single" w:sz="4" w:space="0" w:color="auto"/>
            </w:tcBorders>
            <w:shd w:val="clear" w:color="auto" w:fill="D9E2F3" w:themeFill="accent1" w:themeFillTint="33"/>
            <w:vAlign w:val="center"/>
          </w:tcPr>
          <w:p w14:paraId="38975C4E" w14:textId="77777777" w:rsidR="006177AF" w:rsidRPr="000B5407" w:rsidRDefault="006177AF" w:rsidP="000B5407">
            <w:pPr>
              <w:jc w:val="right"/>
              <w:rPr>
                <w:sz w:val="20"/>
                <w:szCs w:val="20"/>
              </w:rPr>
            </w:pPr>
            <w:r w:rsidRPr="000B5407">
              <w:rPr>
                <w:rFonts w:eastAsiaTheme="minorEastAsia"/>
                <w:sz w:val="20"/>
                <w:szCs w:val="20"/>
              </w:rPr>
              <w:t>3%</w:t>
            </w:r>
          </w:p>
        </w:tc>
        <w:tc>
          <w:tcPr>
            <w:tcW w:w="879" w:type="dxa"/>
            <w:tcBorders>
              <w:top w:val="single" w:sz="4" w:space="0" w:color="auto"/>
            </w:tcBorders>
            <w:shd w:val="clear" w:color="auto" w:fill="D9E2F3" w:themeFill="accent1" w:themeFillTint="33"/>
            <w:vAlign w:val="center"/>
          </w:tcPr>
          <w:p w14:paraId="21BCF62D" w14:textId="77777777" w:rsidR="006177AF" w:rsidRPr="000B5407" w:rsidRDefault="006177AF" w:rsidP="000B5407">
            <w:pPr>
              <w:jc w:val="right"/>
              <w:rPr>
                <w:sz w:val="20"/>
                <w:szCs w:val="20"/>
              </w:rPr>
            </w:pPr>
            <w:r w:rsidRPr="000B5407">
              <w:rPr>
                <w:rFonts w:eastAsiaTheme="minorEastAsia"/>
                <w:sz w:val="20"/>
                <w:szCs w:val="20"/>
              </w:rPr>
              <w:t>3%</w:t>
            </w:r>
          </w:p>
        </w:tc>
        <w:tc>
          <w:tcPr>
            <w:tcW w:w="846" w:type="dxa"/>
            <w:tcBorders>
              <w:top w:val="single" w:sz="4" w:space="0" w:color="auto"/>
            </w:tcBorders>
            <w:shd w:val="clear" w:color="auto" w:fill="D9E2F3" w:themeFill="accent1" w:themeFillTint="33"/>
            <w:vAlign w:val="center"/>
          </w:tcPr>
          <w:p w14:paraId="693CEE04" w14:textId="77777777" w:rsidR="006177AF" w:rsidRPr="000B5407" w:rsidRDefault="006177AF" w:rsidP="000B5407">
            <w:pPr>
              <w:jc w:val="right"/>
              <w:rPr>
                <w:sz w:val="20"/>
                <w:szCs w:val="20"/>
              </w:rPr>
            </w:pPr>
            <w:r w:rsidRPr="000B5407">
              <w:rPr>
                <w:rFonts w:eastAsiaTheme="minorEastAsia"/>
                <w:sz w:val="20"/>
                <w:szCs w:val="20"/>
              </w:rPr>
              <w:t>3%</w:t>
            </w:r>
          </w:p>
        </w:tc>
        <w:tc>
          <w:tcPr>
            <w:tcW w:w="1035" w:type="dxa"/>
            <w:tcBorders>
              <w:top w:val="single" w:sz="4" w:space="0" w:color="auto"/>
            </w:tcBorders>
            <w:shd w:val="clear" w:color="auto" w:fill="D9E2F3" w:themeFill="accent1" w:themeFillTint="33"/>
            <w:vAlign w:val="center"/>
          </w:tcPr>
          <w:p w14:paraId="61840F34" w14:textId="77777777" w:rsidR="006177AF" w:rsidRPr="000B5407" w:rsidRDefault="006177AF" w:rsidP="000B5407">
            <w:pPr>
              <w:jc w:val="right"/>
              <w:rPr>
                <w:sz w:val="20"/>
                <w:szCs w:val="20"/>
              </w:rPr>
            </w:pPr>
            <w:r w:rsidRPr="000B5407">
              <w:rPr>
                <w:rFonts w:eastAsiaTheme="minorEastAsia"/>
                <w:sz w:val="20"/>
                <w:szCs w:val="20"/>
              </w:rPr>
              <w:t>3%</w:t>
            </w:r>
          </w:p>
        </w:tc>
        <w:tc>
          <w:tcPr>
            <w:tcW w:w="1189" w:type="dxa"/>
            <w:tcBorders>
              <w:top w:val="single" w:sz="4" w:space="0" w:color="auto"/>
            </w:tcBorders>
            <w:shd w:val="clear" w:color="auto" w:fill="D9E2F3" w:themeFill="accent1" w:themeFillTint="33"/>
            <w:vAlign w:val="center"/>
          </w:tcPr>
          <w:p w14:paraId="2248327B" w14:textId="77777777" w:rsidR="006177AF" w:rsidRPr="000B5407" w:rsidRDefault="006177AF" w:rsidP="000B5407">
            <w:pPr>
              <w:jc w:val="right"/>
              <w:rPr>
                <w:sz w:val="20"/>
                <w:szCs w:val="20"/>
              </w:rPr>
            </w:pPr>
            <w:r w:rsidRPr="000B5407">
              <w:rPr>
                <w:rFonts w:eastAsiaTheme="minorEastAsia"/>
                <w:sz w:val="20"/>
                <w:szCs w:val="20"/>
              </w:rPr>
              <w:t>16,5%</w:t>
            </w:r>
          </w:p>
        </w:tc>
      </w:tr>
      <w:tr w:rsidR="000B5407" w14:paraId="2F3618B5" w14:textId="77777777" w:rsidTr="000B5407">
        <w:tc>
          <w:tcPr>
            <w:tcW w:w="2670" w:type="dxa"/>
            <w:shd w:val="clear" w:color="auto" w:fill="D9D9D9" w:themeFill="background1" w:themeFillShade="D9"/>
            <w:vAlign w:val="center"/>
          </w:tcPr>
          <w:p w14:paraId="1DAAE8AB" w14:textId="77777777" w:rsidR="006177AF" w:rsidRPr="000B5407" w:rsidRDefault="000B5407" w:rsidP="000B5407">
            <w:pPr>
              <w:rPr>
                <w:sz w:val="20"/>
                <w:szCs w:val="20"/>
              </w:rPr>
            </w:pPr>
            <w:r w:rsidRPr="000B5407">
              <w:rPr>
                <w:sz w:val="20"/>
                <w:szCs w:val="20"/>
              </w:rPr>
              <w:t>Fondos generacionales con estrategia conservadora</w:t>
            </w:r>
          </w:p>
        </w:tc>
        <w:tc>
          <w:tcPr>
            <w:tcW w:w="991" w:type="dxa"/>
            <w:shd w:val="clear" w:color="auto" w:fill="D9D9D9" w:themeFill="background1" w:themeFillShade="D9"/>
            <w:vAlign w:val="center"/>
          </w:tcPr>
          <w:p w14:paraId="40ACA2A4" w14:textId="77777777" w:rsidR="006177AF" w:rsidRPr="000B5407" w:rsidRDefault="006177AF" w:rsidP="000B5407">
            <w:pPr>
              <w:jc w:val="right"/>
              <w:rPr>
                <w:sz w:val="20"/>
                <w:szCs w:val="20"/>
              </w:rPr>
            </w:pPr>
            <w:r w:rsidRPr="000B5407">
              <w:rPr>
                <w:rFonts w:eastAsiaTheme="minorEastAsia"/>
                <w:sz w:val="20"/>
                <w:szCs w:val="20"/>
              </w:rPr>
              <w:t>5%</w:t>
            </w:r>
          </w:p>
        </w:tc>
        <w:tc>
          <w:tcPr>
            <w:tcW w:w="952" w:type="dxa"/>
            <w:shd w:val="clear" w:color="auto" w:fill="D9D9D9" w:themeFill="background1" w:themeFillShade="D9"/>
            <w:vAlign w:val="center"/>
          </w:tcPr>
          <w:p w14:paraId="39E84219" w14:textId="77777777" w:rsidR="006177AF" w:rsidRPr="000B5407" w:rsidRDefault="006177AF" w:rsidP="000B5407">
            <w:pPr>
              <w:jc w:val="right"/>
              <w:rPr>
                <w:sz w:val="20"/>
                <w:szCs w:val="20"/>
              </w:rPr>
            </w:pPr>
            <w:r w:rsidRPr="000B5407">
              <w:rPr>
                <w:rFonts w:eastAsiaTheme="minorEastAsia"/>
                <w:sz w:val="20"/>
                <w:szCs w:val="20"/>
              </w:rPr>
              <w:t>4,5%</w:t>
            </w:r>
          </w:p>
        </w:tc>
        <w:tc>
          <w:tcPr>
            <w:tcW w:w="879" w:type="dxa"/>
            <w:shd w:val="clear" w:color="auto" w:fill="D9D9D9" w:themeFill="background1" w:themeFillShade="D9"/>
            <w:vAlign w:val="center"/>
          </w:tcPr>
          <w:p w14:paraId="1E3C8EBA" w14:textId="77777777" w:rsidR="006177AF" w:rsidRPr="000B5407" w:rsidRDefault="006177AF" w:rsidP="000B5407">
            <w:pPr>
              <w:jc w:val="right"/>
              <w:rPr>
                <w:sz w:val="20"/>
                <w:szCs w:val="20"/>
              </w:rPr>
            </w:pPr>
            <w:r w:rsidRPr="000B5407">
              <w:rPr>
                <w:rFonts w:eastAsiaTheme="minorEastAsia"/>
                <w:sz w:val="20"/>
                <w:szCs w:val="20"/>
              </w:rPr>
              <w:t>4%</w:t>
            </w:r>
          </w:p>
        </w:tc>
        <w:tc>
          <w:tcPr>
            <w:tcW w:w="846" w:type="dxa"/>
            <w:shd w:val="clear" w:color="auto" w:fill="D9D9D9" w:themeFill="background1" w:themeFillShade="D9"/>
            <w:vAlign w:val="center"/>
          </w:tcPr>
          <w:p w14:paraId="143C40A7" w14:textId="77777777" w:rsidR="006177AF" w:rsidRPr="000B5407" w:rsidRDefault="006177AF" w:rsidP="000B5407">
            <w:pPr>
              <w:jc w:val="right"/>
              <w:rPr>
                <w:sz w:val="20"/>
                <w:szCs w:val="20"/>
              </w:rPr>
            </w:pPr>
            <w:r w:rsidRPr="000B5407">
              <w:rPr>
                <w:rFonts w:eastAsiaTheme="minorEastAsia"/>
                <w:sz w:val="20"/>
                <w:szCs w:val="20"/>
              </w:rPr>
              <w:t>3,5%</w:t>
            </w:r>
          </w:p>
        </w:tc>
        <w:tc>
          <w:tcPr>
            <w:tcW w:w="1035" w:type="dxa"/>
            <w:shd w:val="clear" w:color="auto" w:fill="D9D9D9" w:themeFill="background1" w:themeFillShade="D9"/>
            <w:vAlign w:val="center"/>
          </w:tcPr>
          <w:p w14:paraId="6688FA4B" w14:textId="77777777" w:rsidR="006177AF" w:rsidRPr="000B5407" w:rsidRDefault="006177AF" w:rsidP="000B5407">
            <w:pPr>
              <w:jc w:val="right"/>
              <w:rPr>
                <w:sz w:val="20"/>
                <w:szCs w:val="20"/>
              </w:rPr>
            </w:pPr>
            <w:r w:rsidRPr="000B5407">
              <w:rPr>
                <w:rFonts w:eastAsiaTheme="minorEastAsia"/>
                <w:sz w:val="20"/>
                <w:szCs w:val="20"/>
              </w:rPr>
              <w:t>3%</w:t>
            </w:r>
          </w:p>
        </w:tc>
        <w:tc>
          <w:tcPr>
            <w:tcW w:w="1189" w:type="dxa"/>
            <w:shd w:val="clear" w:color="auto" w:fill="D9D9D9" w:themeFill="background1" w:themeFillShade="D9"/>
            <w:vAlign w:val="center"/>
          </w:tcPr>
          <w:p w14:paraId="2FF6EEDB" w14:textId="77777777" w:rsidR="006177AF" w:rsidRPr="000B5407" w:rsidRDefault="006177AF" w:rsidP="000B5407">
            <w:pPr>
              <w:jc w:val="right"/>
              <w:rPr>
                <w:sz w:val="20"/>
                <w:szCs w:val="20"/>
              </w:rPr>
            </w:pPr>
            <w:r w:rsidRPr="000B5407">
              <w:rPr>
                <w:rFonts w:eastAsiaTheme="minorEastAsia"/>
                <w:sz w:val="20"/>
                <w:szCs w:val="20"/>
              </w:rPr>
              <w:t>19,8%</w:t>
            </w:r>
          </w:p>
        </w:tc>
      </w:tr>
      <w:tr w:rsidR="000B5407" w14:paraId="37A1B507" w14:textId="77777777" w:rsidTr="000B5407">
        <w:tc>
          <w:tcPr>
            <w:tcW w:w="2670" w:type="dxa"/>
            <w:tcBorders>
              <w:bottom w:val="single" w:sz="4" w:space="0" w:color="auto"/>
            </w:tcBorders>
            <w:shd w:val="clear" w:color="auto" w:fill="D9E2F3" w:themeFill="accent1" w:themeFillTint="33"/>
            <w:vAlign w:val="center"/>
          </w:tcPr>
          <w:p w14:paraId="495EA6BA" w14:textId="77777777" w:rsidR="006177AF" w:rsidRPr="000B5407" w:rsidRDefault="000B5407" w:rsidP="000B5407">
            <w:pPr>
              <w:rPr>
                <w:sz w:val="20"/>
                <w:szCs w:val="20"/>
              </w:rPr>
            </w:pPr>
            <w:r w:rsidRPr="000B5407">
              <w:rPr>
                <w:sz w:val="20"/>
                <w:szCs w:val="20"/>
              </w:rPr>
              <w:t>Fondos generacionales con estrategia agresiva</w:t>
            </w:r>
          </w:p>
        </w:tc>
        <w:tc>
          <w:tcPr>
            <w:tcW w:w="991" w:type="dxa"/>
            <w:tcBorders>
              <w:bottom w:val="single" w:sz="4" w:space="0" w:color="auto"/>
            </w:tcBorders>
            <w:shd w:val="clear" w:color="auto" w:fill="D9E2F3" w:themeFill="accent1" w:themeFillTint="33"/>
            <w:vAlign w:val="center"/>
          </w:tcPr>
          <w:p w14:paraId="4F2F18A4" w14:textId="77777777" w:rsidR="006177AF" w:rsidRPr="000B5407" w:rsidRDefault="006177AF" w:rsidP="000B5407">
            <w:pPr>
              <w:jc w:val="right"/>
              <w:rPr>
                <w:sz w:val="20"/>
                <w:szCs w:val="20"/>
              </w:rPr>
            </w:pPr>
            <w:r w:rsidRPr="000B5407">
              <w:rPr>
                <w:rFonts w:eastAsiaTheme="minorEastAsia"/>
                <w:sz w:val="20"/>
                <w:szCs w:val="20"/>
              </w:rPr>
              <w:t>7%</w:t>
            </w:r>
          </w:p>
        </w:tc>
        <w:tc>
          <w:tcPr>
            <w:tcW w:w="952" w:type="dxa"/>
            <w:tcBorders>
              <w:bottom w:val="single" w:sz="4" w:space="0" w:color="auto"/>
            </w:tcBorders>
            <w:shd w:val="clear" w:color="auto" w:fill="D9E2F3" w:themeFill="accent1" w:themeFillTint="33"/>
            <w:vAlign w:val="center"/>
          </w:tcPr>
          <w:p w14:paraId="5CD13B12" w14:textId="77777777" w:rsidR="006177AF" w:rsidRPr="000B5407" w:rsidRDefault="006177AF" w:rsidP="000B5407">
            <w:pPr>
              <w:jc w:val="right"/>
              <w:rPr>
                <w:sz w:val="20"/>
                <w:szCs w:val="20"/>
              </w:rPr>
            </w:pPr>
            <w:r w:rsidRPr="000B5407">
              <w:rPr>
                <w:rFonts w:eastAsiaTheme="minorEastAsia"/>
                <w:sz w:val="20"/>
                <w:szCs w:val="20"/>
              </w:rPr>
              <w:t>6%</w:t>
            </w:r>
          </w:p>
        </w:tc>
        <w:tc>
          <w:tcPr>
            <w:tcW w:w="879" w:type="dxa"/>
            <w:tcBorders>
              <w:bottom w:val="single" w:sz="4" w:space="0" w:color="auto"/>
            </w:tcBorders>
            <w:shd w:val="clear" w:color="auto" w:fill="D9E2F3" w:themeFill="accent1" w:themeFillTint="33"/>
            <w:vAlign w:val="center"/>
          </w:tcPr>
          <w:p w14:paraId="61D4062B" w14:textId="77777777" w:rsidR="006177AF" w:rsidRPr="000B5407" w:rsidRDefault="006177AF" w:rsidP="000B5407">
            <w:pPr>
              <w:jc w:val="right"/>
              <w:rPr>
                <w:sz w:val="20"/>
                <w:szCs w:val="20"/>
              </w:rPr>
            </w:pPr>
            <w:r w:rsidRPr="000B5407">
              <w:rPr>
                <w:rFonts w:eastAsiaTheme="minorEastAsia"/>
                <w:sz w:val="20"/>
                <w:szCs w:val="20"/>
              </w:rPr>
              <w:t>5%</w:t>
            </w:r>
          </w:p>
        </w:tc>
        <w:tc>
          <w:tcPr>
            <w:tcW w:w="846" w:type="dxa"/>
            <w:tcBorders>
              <w:bottom w:val="single" w:sz="4" w:space="0" w:color="auto"/>
            </w:tcBorders>
            <w:shd w:val="clear" w:color="auto" w:fill="D9E2F3" w:themeFill="accent1" w:themeFillTint="33"/>
            <w:vAlign w:val="center"/>
          </w:tcPr>
          <w:p w14:paraId="1DFD774A" w14:textId="77777777" w:rsidR="006177AF" w:rsidRPr="000B5407" w:rsidRDefault="006177AF" w:rsidP="000B5407">
            <w:pPr>
              <w:jc w:val="right"/>
              <w:rPr>
                <w:sz w:val="20"/>
                <w:szCs w:val="20"/>
              </w:rPr>
            </w:pPr>
            <w:r w:rsidRPr="000B5407">
              <w:rPr>
                <w:rFonts w:eastAsiaTheme="minorEastAsia"/>
                <w:sz w:val="20"/>
                <w:szCs w:val="20"/>
              </w:rPr>
              <w:t>4%</w:t>
            </w:r>
          </w:p>
        </w:tc>
        <w:tc>
          <w:tcPr>
            <w:tcW w:w="1035" w:type="dxa"/>
            <w:tcBorders>
              <w:bottom w:val="single" w:sz="4" w:space="0" w:color="auto"/>
            </w:tcBorders>
            <w:shd w:val="clear" w:color="auto" w:fill="D9E2F3" w:themeFill="accent1" w:themeFillTint="33"/>
            <w:vAlign w:val="center"/>
          </w:tcPr>
          <w:p w14:paraId="1FD6194B" w14:textId="77777777" w:rsidR="006177AF" w:rsidRPr="000B5407" w:rsidRDefault="006177AF" w:rsidP="000B5407">
            <w:pPr>
              <w:jc w:val="right"/>
              <w:rPr>
                <w:sz w:val="20"/>
                <w:szCs w:val="20"/>
              </w:rPr>
            </w:pPr>
            <w:r w:rsidRPr="000B5407">
              <w:rPr>
                <w:rFonts w:eastAsiaTheme="minorEastAsia"/>
                <w:sz w:val="20"/>
                <w:szCs w:val="20"/>
              </w:rPr>
              <w:t>3%</w:t>
            </w:r>
          </w:p>
        </w:tc>
        <w:tc>
          <w:tcPr>
            <w:tcW w:w="1189" w:type="dxa"/>
            <w:tcBorders>
              <w:bottom w:val="single" w:sz="4" w:space="0" w:color="auto"/>
            </w:tcBorders>
            <w:shd w:val="clear" w:color="auto" w:fill="D9E2F3" w:themeFill="accent1" w:themeFillTint="33"/>
            <w:vAlign w:val="center"/>
          </w:tcPr>
          <w:p w14:paraId="739509B1" w14:textId="77777777" w:rsidR="006177AF" w:rsidRPr="000B5407" w:rsidRDefault="006177AF" w:rsidP="000B5407">
            <w:pPr>
              <w:jc w:val="right"/>
              <w:rPr>
                <w:sz w:val="20"/>
                <w:szCs w:val="20"/>
              </w:rPr>
            </w:pPr>
            <w:r w:rsidRPr="000B5407">
              <w:rPr>
                <w:rFonts w:eastAsiaTheme="minorEastAsia"/>
                <w:sz w:val="20"/>
                <w:szCs w:val="20"/>
              </w:rPr>
              <w:t>24,1%</w:t>
            </w:r>
          </w:p>
        </w:tc>
      </w:tr>
    </w:tbl>
    <w:p w14:paraId="51AA8C68" w14:textId="77777777" w:rsidR="009D5E4A" w:rsidRDefault="009D5E4A" w:rsidP="00B47A67">
      <w:pPr>
        <w:spacing w:after="0" w:line="240" w:lineRule="auto"/>
        <w:contextualSpacing/>
        <w:jc w:val="both"/>
        <w:rPr>
          <w:rFonts w:eastAsiaTheme="minorEastAsia"/>
          <w:sz w:val="18"/>
          <w:szCs w:val="18"/>
        </w:rPr>
      </w:pPr>
    </w:p>
    <w:p w14:paraId="16D95AD5" w14:textId="77777777" w:rsidR="00B47A67" w:rsidRPr="009D5E4A" w:rsidRDefault="00B47A67" w:rsidP="00B47A67">
      <w:pPr>
        <w:spacing w:after="0" w:line="240" w:lineRule="auto"/>
        <w:contextualSpacing/>
        <w:jc w:val="both"/>
        <w:rPr>
          <w:rFonts w:eastAsiaTheme="minorEastAsia"/>
          <w:sz w:val="18"/>
          <w:szCs w:val="18"/>
        </w:rPr>
      </w:pPr>
      <w:r w:rsidRPr="009D5E4A">
        <w:rPr>
          <w:rFonts w:eastAsiaTheme="minorEastAsia"/>
          <w:sz w:val="18"/>
          <w:szCs w:val="18"/>
        </w:rPr>
        <w:t>Fuente: SUPEN</w:t>
      </w:r>
    </w:p>
    <w:p w14:paraId="2B7E6A2F" w14:textId="77777777" w:rsidR="00B47A67" w:rsidRPr="009D5E4A" w:rsidRDefault="00B47A67" w:rsidP="00B47A67">
      <w:pPr>
        <w:spacing w:after="0" w:line="240" w:lineRule="auto"/>
        <w:contextualSpacing/>
        <w:jc w:val="both"/>
        <w:rPr>
          <w:rFonts w:eastAsiaTheme="minorEastAsia"/>
          <w:sz w:val="18"/>
          <w:szCs w:val="18"/>
        </w:rPr>
      </w:pPr>
      <w:r w:rsidRPr="009D5E4A">
        <w:rPr>
          <w:rFonts w:eastAsiaTheme="minorEastAsia"/>
          <w:sz w:val="18"/>
          <w:szCs w:val="18"/>
        </w:rPr>
        <w:t>Nota: Estimaciones para un afiliado que inicia con la figura de los fondos generacionales.</w:t>
      </w:r>
    </w:p>
    <w:p w14:paraId="2BBC4785" w14:textId="77777777" w:rsidR="00B47A67" w:rsidRDefault="00B47A67" w:rsidP="00B47A67">
      <w:pPr>
        <w:spacing w:after="0" w:line="240" w:lineRule="auto"/>
        <w:contextualSpacing/>
        <w:jc w:val="both"/>
        <w:rPr>
          <w:rFonts w:eastAsiaTheme="minorEastAsia"/>
        </w:rPr>
      </w:pPr>
    </w:p>
    <w:p w14:paraId="711086DD" w14:textId="77777777" w:rsidR="00F02FD2" w:rsidRDefault="00F02FD2" w:rsidP="00B47A67">
      <w:pPr>
        <w:spacing w:after="0" w:line="240" w:lineRule="auto"/>
        <w:contextualSpacing/>
        <w:jc w:val="both"/>
        <w:rPr>
          <w:rFonts w:eastAsiaTheme="minorEastAsia"/>
        </w:rPr>
      </w:pPr>
      <w:r>
        <w:rPr>
          <w:rFonts w:eastAsiaTheme="minorEastAsia"/>
        </w:rPr>
        <w:t>Para mayor detalle de estas estimaciones ver anexos 4 y 4.1</w:t>
      </w:r>
    </w:p>
    <w:p w14:paraId="2212CC6A" w14:textId="77777777" w:rsidR="00F02FD2" w:rsidRDefault="00F02FD2" w:rsidP="00B47A67">
      <w:pPr>
        <w:spacing w:after="0" w:line="240" w:lineRule="auto"/>
        <w:contextualSpacing/>
        <w:jc w:val="both"/>
        <w:rPr>
          <w:rFonts w:eastAsiaTheme="minorEastAsia"/>
        </w:rPr>
      </w:pPr>
    </w:p>
    <w:p w14:paraId="4638C95C" w14:textId="77777777" w:rsidR="00B47A67" w:rsidRDefault="00995C95" w:rsidP="002E3C1B">
      <w:pPr>
        <w:pStyle w:val="Descripcin"/>
        <w:jc w:val="both"/>
        <w:rPr>
          <w:rFonts w:eastAsiaTheme="minorEastAsia"/>
        </w:rPr>
      </w:pPr>
      <w:r>
        <w:rPr>
          <w:rFonts w:eastAsiaTheme="minorEastAsia"/>
        </w:rPr>
        <w:t>L</w:t>
      </w:r>
      <w:r w:rsidR="00B47A67" w:rsidRPr="00CB07D4">
        <w:rPr>
          <w:rFonts w:eastAsiaTheme="minorEastAsia"/>
        </w:rPr>
        <w:t>os rendimientos históricos del régimen</w:t>
      </w:r>
      <w:r w:rsidR="00B47A67">
        <w:rPr>
          <w:rStyle w:val="Refdenotaalpie"/>
          <w:rFonts w:eastAsiaTheme="minorEastAsia"/>
        </w:rPr>
        <w:footnoteReference w:id="24"/>
      </w:r>
      <w:r w:rsidR="00B47A67" w:rsidRPr="00CB07D4">
        <w:rPr>
          <w:rFonts w:eastAsiaTheme="minorEastAsia"/>
        </w:rPr>
        <w:t xml:space="preserve">, disponibles en la página de estadísticas de la SUPEN, han </w:t>
      </w:r>
      <w:r>
        <w:rPr>
          <w:rFonts w:eastAsiaTheme="minorEastAsia"/>
        </w:rPr>
        <w:t>alcanzado hasta</w:t>
      </w:r>
      <w:r w:rsidR="00B47A67" w:rsidRPr="00CB07D4">
        <w:rPr>
          <w:rFonts w:eastAsiaTheme="minorEastAsia"/>
        </w:rPr>
        <w:t xml:space="preserve"> 12% real en algunos momentos</w:t>
      </w:r>
      <w:r w:rsidR="00E65800">
        <w:rPr>
          <w:rFonts w:eastAsiaTheme="minorEastAsia"/>
        </w:rPr>
        <w:t xml:space="preserve"> desde su creación</w:t>
      </w:r>
      <w:r w:rsidR="00B47A67" w:rsidRPr="00CB07D4">
        <w:rPr>
          <w:rFonts w:eastAsiaTheme="minorEastAsia"/>
        </w:rPr>
        <w:t xml:space="preserve">. Por lo tanto, </w:t>
      </w:r>
      <w:r w:rsidR="00B47A67">
        <w:rPr>
          <w:rFonts w:eastAsiaTheme="minorEastAsia"/>
        </w:rPr>
        <w:t xml:space="preserve">la evidencia demuestra que </w:t>
      </w:r>
      <w:r w:rsidR="00B47A67" w:rsidRPr="00CB07D4">
        <w:rPr>
          <w:rFonts w:eastAsiaTheme="minorEastAsia"/>
        </w:rPr>
        <w:t xml:space="preserve">hay espacio para que los gestores puedan establecer metas de rentabilidad </w:t>
      </w:r>
      <w:r w:rsidR="00E65800">
        <w:rPr>
          <w:rFonts w:eastAsiaTheme="minorEastAsia"/>
        </w:rPr>
        <w:t xml:space="preserve">como las </w:t>
      </w:r>
      <w:r w:rsidR="00B47A67">
        <w:rPr>
          <w:rFonts w:eastAsiaTheme="minorEastAsia"/>
        </w:rPr>
        <w:t>mostrad</w:t>
      </w:r>
      <w:r w:rsidR="00E65800">
        <w:rPr>
          <w:rFonts w:eastAsiaTheme="minorEastAsia"/>
        </w:rPr>
        <w:t>as</w:t>
      </w:r>
      <w:r w:rsidR="00B47A67">
        <w:rPr>
          <w:rFonts w:eastAsiaTheme="minorEastAsia"/>
        </w:rPr>
        <w:t xml:space="preserve"> en el</w:t>
      </w:r>
      <w:r w:rsidR="002E0DAC">
        <w:rPr>
          <w:rFonts w:eastAsiaTheme="minorEastAsia"/>
        </w:rPr>
        <w:t xml:space="preserve"> cuadro anterior</w:t>
      </w:r>
      <w:r w:rsidR="005E6D85" w:rsidRPr="00CB07D4">
        <w:rPr>
          <w:rFonts w:eastAsiaTheme="minorEastAsia"/>
        </w:rPr>
        <w:t xml:space="preserve">. </w:t>
      </w:r>
      <w:r w:rsidR="005E6D85">
        <w:rPr>
          <w:rFonts w:eastAsiaTheme="minorEastAsia"/>
        </w:rPr>
        <w:t>Es de esperarse que</w:t>
      </w:r>
      <w:r w:rsidR="00B47A67" w:rsidRPr="00CB07D4">
        <w:rPr>
          <w:rFonts w:eastAsiaTheme="minorEastAsia"/>
        </w:rPr>
        <w:t xml:space="preserve"> los portafolios</w:t>
      </w:r>
      <w:r w:rsidR="00810C48">
        <w:rPr>
          <w:rFonts w:eastAsiaTheme="minorEastAsia"/>
        </w:rPr>
        <w:t xml:space="preserve"> de los fondos generacionales </w:t>
      </w:r>
      <w:r w:rsidR="00B47A67" w:rsidRPr="00CB07D4">
        <w:rPr>
          <w:rFonts w:eastAsiaTheme="minorEastAsia"/>
        </w:rPr>
        <w:t xml:space="preserve">deberán evolucionar </w:t>
      </w:r>
      <w:r w:rsidR="00810C48">
        <w:rPr>
          <w:rFonts w:eastAsiaTheme="minorEastAsia"/>
        </w:rPr>
        <w:t xml:space="preserve">hacia </w:t>
      </w:r>
      <w:r w:rsidR="005E6D85">
        <w:rPr>
          <w:rFonts w:eastAsiaTheme="minorEastAsia"/>
        </w:rPr>
        <w:t xml:space="preserve">diferentes </w:t>
      </w:r>
      <w:r w:rsidR="00B47A67" w:rsidRPr="00CB07D4">
        <w:rPr>
          <w:rFonts w:eastAsiaTheme="minorEastAsia"/>
        </w:rPr>
        <w:t xml:space="preserve">objetivos de rentabilidad </w:t>
      </w:r>
      <w:r w:rsidR="000E0802">
        <w:rPr>
          <w:rFonts w:eastAsiaTheme="minorEastAsia"/>
        </w:rPr>
        <w:t xml:space="preserve">y </w:t>
      </w:r>
      <w:r w:rsidR="005E6D85">
        <w:rPr>
          <w:rFonts w:eastAsiaTheme="minorEastAsia"/>
        </w:rPr>
        <w:t>sus consecuentes tasas de remplazo objetivo, similares a las mostradas.</w:t>
      </w:r>
      <w:r w:rsidR="00B47A67" w:rsidRPr="00CB07D4">
        <w:rPr>
          <w:rFonts w:eastAsiaTheme="minorEastAsia"/>
        </w:rPr>
        <w:t xml:space="preserve"> </w:t>
      </w:r>
    </w:p>
    <w:p w14:paraId="7094659E" w14:textId="77777777" w:rsidR="00B47A67" w:rsidRDefault="00174DC4">
      <w:pPr>
        <w:rPr>
          <w:rFonts w:eastAsiaTheme="minorEastAsia"/>
        </w:rPr>
      </w:pPr>
      <w:r>
        <w:rPr>
          <w:rFonts w:eastAsiaTheme="minorEastAsia"/>
        </w:rPr>
        <w:br w:type="page"/>
      </w:r>
    </w:p>
    <w:p w14:paraId="080B54CA" w14:textId="77777777" w:rsidR="00B47A67" w:rsidRPr="00CC4D5B" w:rsidRDefault="00174DC4" w:rsidP="00174DC4">
      <w:pPr>
        <w:pStyle w:val="Ttulo3"/>
      </w:pPr>
      <w:bookmarkStart w:id="68" w:name="_Toc144396554"/>
      <w:bookmarkEnd w:id="64"/>
      <w:bookmarkEnd w:id="65"/>
      <w:r>
        <w:lastRenderedPageBreak/>
        <w:t xml:space="preserve">6.1.2. </w:t>
      </w:r>
      <w:r w:rsidR="00B47A67" w:rsidRPr="00CC4D5B">
        <w:t>Simplificación de la regulación de inversiones</w:t>
      </w:r>
      <w:bookmarkEnd w:id="68"/>
    </w:p>
    <w:p w14:paraId="35C07C8F" w14:textId="77777777" w:rsidR="00B47A67" w:rsidRPr="00CB07D4" w:rsidRDefault="00B47A67" w:rsidP="00B47A67">
      <w:pPr>
        <w:spacing w:after="0" w:line="240" w:lineRule="auto"/>
        <w:contextualSpacing/>
        <w:jc w:val="both"/>
        <w:rPr>
          <w:rFonts w:eastAsiaTheme="minorEastAsia"/>
        </w:rPr>
      </w:pPr>
      <w:bookmarkStart w:id="69" w:name="_Toc115797327"/>
    </w:p>
    <w:p w14:paraId="3477561D" w14:textId="77777777" w:rsidR="00B47A67" w:rsidRDefault="00B47A67" w:rsidP="00B47A67">
      <w:pPr>
        <w:tabs>
          <w:tab w:val="left" w:pos="921"/>
        </w:tabs>
        <w:spacing w:after="0" w:line="240" w:lineRule="auto"/>
        <w:contextualSpacing/>
        <w:jc w:val="both"/>
        <w:rPr>
          <w:rFonts w:eastAsiaTheme="minorEastAsia"/>
        </w:rPr>
      </w:pPr>
      <w:bookmarkStart w:id="70" w:name="_Hlk136603016"/>
      <w:bookmarkEnd w:id="69"/>
      <w:r>
        <w:rPr>
          <w:rFonts w:eastAsiaTheme="minorEastAsia"/>
        </w:rPr>
        <w:t xml:space="preserve">La propuesta de fondos generacionales </w:t>
      </w:r>
      <w:r w:rsidRPr="00CB07D4">
        <w:rPr>
          <w:rFonts w:eastAsiaTheme="minorEastAsia"/>
        </w:rPr>
        <w:t>simplifica la regulación de inversiones</w:t>
      </w:r>
      <w:r>
        <w:rPr>
          <w:rFonts w:eastAsiaTheme="minorEastAsia"/>
        </w:rPr>
        <w:t xml:space="preserve"> en </w:t>
      </w:r>
      <w:r w:rsidR="004414A3">
        <w:rPr>
          <w:rFonts w:eastAsiaTheme="minorEastAsia"/>
        </w:rPr>
        <w:t xml:space="preserve">al menos </w:t>
      </w:r>
      <w:r w:rsidR="0091728B">
        <w:rPr>
          <w:rFonts w:eastAsiaTheme="minorEastAsia"/>
        </w:rPr>
        <w:t>tres</w:t>
      </w:r>
      <w:r>
        <w:rPr>
          <w:rFonts w:eastAsiaTheme="minorEastAsia"/>
        </w:rPr>
        <w:t xml:space="preserve"> vías:</w:t>
      </w:r>
    </w:p>
    <w:p w14:paraId="612F5A0B" w14:textId="77777777" w:rsidR="00B47A67" w:rsidRDefault="00B47A67" w:rsidP="00B47A67">
      <w:pPr>
        <w:pStyle w:val="Prrafodelista"/>
        <w:tabs>
          <w:tab w:val="left" w:pos="921"/>
        </w:tabs>
        <w:spacing w:after="0" w:line="240" w:lineRule="auto"/>
        <w:jc w:val="both"/>
        <w:rPr>
          <w:rFonts w:eastAsiaTheme="minorEastAsia"/>
        </w:rPr>
      </w:pPr>
    </w:p>
    <w:bookmarkEnd w:id="70"/>
    <w:p w14:paraId="709E4B15" w14:textId="77777777" w:rsidR="00150A7F" w:rsidRPr="004414A3" w:rsidRDefault="00150A7F" w:rsidP="00150A7F">
      <w:pPr>
        <w:pStyle w:val="Prrafodelista"/>
        <w:numPr>
          <w:ilvl w:val="0"/>
          <w:numId w:val="28"/>
        </w:numPr>
        <w:tabs>
          <w:tab w:val="left" w:pos="921"/>
        </w:tabs>
        <w:spacing w:after="0" w:line="240" w:lineRule="auto"/>
        <w:jc w:val="both"/>
        <w:rPr>
          <w:rFonts w:eastAsiaTheme="minorEastAsia"/>
        </w:rPr>
      </w:pPr>
      <w:r w:rsidRPr="004414A3">
        <w:rPr>
          <w:rFonts w:eastAsiaTheme="minorEastAsia"/>
        </w:rPr>
        <w:t xml:space="preserve">Se propone ajustar el artículo 17 del reglamento de gestión de activos, </w:t>
      </w:r>
      <w:r w:rsidR="009501E2" w:rsidRPr="004414A3">
        <w:rPr>
          <w:rFonts w:eastAsiaTheme="minorEastAsia"/>
        </w:rPr>
        <w:t>estableciendo</w:t>
      </w:r>
      <w:r w:rsidRPr="004414A3">
        <w:rPr>
          <w:rFonts w:eastAsiaTheme="minorEastAsia"/>
        </w:rPr>
        <w:t xml:space="preserve"> clases de activos</w:t>
      </w:r>
      <w:r w:rsidR="009501E2" w:rsidRPr="004414A3">
        <w:rPr>
          <w:rFonts w:eastAsiaTheme="minorEastAsia"/>
        </w:rPr>
        <w:t>,</w:t>
      </w:r>
      <w:r w:rsidRPr="004414A3">
        <w:rPr>
          <w:rFonts w:eastAsiaTheme="minorEastAsia"/>
        </w:rPr>
        <w:t xml:space="preserve"> comúnmente observados en la práctica internacional (es decir, eliminando la estructura actual de niveles de activos).</w:t>
      </w:r>
    </w:p>
    <w:p w14:paraId="03B364D6" w14:textId="77777777" w:rsidR="00150A7F" w:rsidRPr="004414A3" w:rsidRDefault="00150A7F" w:rsidP="00150A7F">
      <w:pPr>
        <w:pStyle w:val="Prrafodelista"/>
        <w:tabs>
          <w:tab w:val="left" w:pos="921"/>
        </w:tabs>
        <w:spacing w:after="0" w:line="240" w:lineRule="auto"/>
        <w:jc w:val="both"/>
        <w:rPr>
          <w:rFonts w:eastAsiaTheme="minorEastAsia"/>
        </w:rPr>
      </w:pPr>
    </w:p>
    <w:p w14:paraId="14301121" w14:textId="77777777" w:rsidR="00150A7F" w:rsidRPr="004414A3" w:rsidRDefault="00150A7F" w:rsidP="00150A7F">
      <w:pPr>
        <w:pStyle w:val="Prrafodelista"/>
        <w:numPr>
          <w:ilvl w:val="0"/>
          <w:numId w:val="28"/>
        </w:numPr>
        <w:tabs>
          <w:tab w:val="left" w:pos="921"/>
        </w:tabs>
        <w:spacing w:after="0" w:line="240" w:lineRule="auto"/>
        <w:jc w:val="both"/>
        <w:rPr>
          <w:rFonts w:eastAsiaTheme="minorEastAsia"/>
        </w:rPr>
      </w:pPr>
      <w:r w:rsidRPr="004414A3">
        <w:rPr>
          <w:rFonts w:eastAsiaTheme="minorEastAsia"/>
        </w:rPr>
        <w:t xml:space="preserve">Se elimina el límite de inversión de hasta un 25% de los activos administrados en títulos representativos de propiedad nivel I (artículo 68, inciso b, numeral i). Este límite está actualmente vinculado al límite en el extranjero, de manera que, si una entidad justifica ante la superintendencia, de acuerdo con la regulación vigente, un porcentaje de inversión mayor en el sector extranjero, el límite del 25% se incrementaría en igual proporción. Así, no tiene sentido </w:t>
      </w:r>
      <w:r w:rsidR="004414A3">
        <w:rPr>
          <w:rFonts w:eastAsiaTheme="minorEastAsia"/>
        </w:rPr>
        <w:t>mantener</w:t>
      </w:r>
      <w:r w:rsidRPr="004414A3">
        <w:rPr>
          <w:rFonts w:eastAsiaTheme="minorEastAsia"/>
        </w:rPr>
        <w:t xml:space="preserve"> estos dos </w:t>
      </w:r>
      <w:r w:rsidR="00935CE3" w:rsidRPr="004414A3">
        <w:rPr>
          <w:rFonts w:eastAsiaTheme="minorEastAsia"/>
        </w:rPr>
        <w:t>límites</w:t>
      </w:r>
      <w:r w:rsidRPr="004414A3">
        <w:rPr>
          <w:rFonts w:eastAsiaTheme="minorEastAsia"/>
        </w:rPr>
        <w:t>, por lo cual se mantendrá únicamente el proceso de incremento establecido para el límite en el exterior.</w:t>
      </w:r>
    </w:p>
    <w:p w14:paraId="130DD8FC" w14:textId="77777777" w:rsidR="0091728B" w:rsidRPr="004414A3" w:rsidRDefault="0091728B" w:rsidP="0091728B">
      <w:pPr>
        <w:pStyle w:val="Prrafodelista"/>
        <w:rPr>
          <w:rFonts w:eastAsiaTheme="minorEastAsia"/>
        </w:rPr>
      </w:pPr>
    </w:p>
    <w:p w14:paraId="154A05A7" w14:textId="77777777" w:rsidR="0091728B" w:rsidRPr="004414A3" w:rsidRDefault="0091728B" w:rsidP="00150A7F">
      <w:pPr>
        <w:pStyle w:val="Prrafodelista"/>
        <w:numPr>
          <w:ilvl w:val="0"/>
          <w:numId w:val="28"/>
        </w:numPr>
        <w:tabs>
          <w:tab w:val="left" w:pos="921"/>
        </w:tabs>
        <w:spacing w:after="0" w:line="240" w:lineRule="auto"/>
        <w:jc w:val="both"/>
        <w:rPr>
          <w:rFonts w:eastAsiaTheme="minorEastAsia"/>
        </w:rPr>
      </w:pPr>
      <w:r w:rsidRPr="004414A3">
        <w:rPr>
          <w:rFonts w:eastAsiaTheme="minorEastAsia"/>
        </w:rPr>
        <w:t xml:space="preserve">Se ha identificado que con la derogatoria del Artículo 41 del Reglamento de Beneficios, mediante el artículo 5, del acta de la sesión 1696-2021, celebrada el 25 de octubre de 2021, donde se disponía que podían existir fondos de beneficios en dólares, no se derogó el último párrafo del Artículo 5 de dicha regulación, donde se estable que (…) “Las pensiones complementarias del ROP y del RVPC, podrán denominarse en dólares de los Estados Unidos de América, si, al momento de la suscripción del contrato respectivo, las partes acuerdan trasladar el capital para la pensión complementaria a esa moneda”, </w:t>
      </w:r>
      <w:r w:rsidR="00573539" w:rsidRPr="004414A3">
        <w:rPr>
          <w:rFonts w:eastAsiaTheme="minorEastAsia"/>
        </w:rPr>
        <w:t>quedando en este momento una contradicción por la imposibilidad de establecer fondos de beneficio en dólares,</w:t>
      </w:r>
      <w:r w:rsidRPr="004414A3">
        <w:rPr>
          <w:rFonts w:eastAsiaTheme="minorEastAsia"/>
        </w:rPr>
        <w:t xml:space="preserve"> requiriéndose por lo tanto ajustar </w:t>
      </w:r>
      <w:r w:rsidR="004414A3">
        <w:rPr>
          <w:rFonts w:eastAsiaTheme="minorEastAsia"/>
        </w:rPr>
        <w:t>la redacción de esa norma</w:t>
      </w:r>
      <w:r w:rsidRPr="004414A3">
        <w:rPr>
          <w:rFonts w:eastAsiaTheme="minorEastAsia"/>
        </w:rPr>
        <w:t>.</w:t>
      </w:r>
    </w:p>
    <w:p w14:paraId="53C7A3CB" w14:textId="77777777" w:rsidR="00B47A67" w:rsidRDefault="00B47A67" w:rsidP="00B47A67">
      <w:pPr>
        <w:tabs>
          <w:tab w:val="left" w:pos="921"/>
        </w:tabs>
        <w:spacing w:after="0" w:line="240" w:lineRule="auto"/>
        <w:jc w:val="both"/>
        <w:rPr>
          <w:rFonts w:eastAsiaTheme="minorEastAsia"/>
          <w:sz w:val="24"/>
          <w:szCs w:val="24"/>
        </w:rPr>
      </w:pPr>
    </w:p>
    <w:p w14:paraId="2CE39191" w14:textId="77777777" w:rsidR="00B47A67" w:rsidRPr="00CC4D5B" w:rsidRDefault="00406E99" w:rsidP="00B036BA">
      <w:pPr>
        <w:pStyle w:val="Ttulo3"/>
      </w:pPr>
      <w:bookmarkStart w:id="71" w:name="_Toc144396555"/>
      <w:r>
        <w:t>6.1.</w:t>
      </w:r>
      <w:r w:rsidR="00B036BA">
        <w:t xml:space="preserve">3. </w:t>
      </w:r>
      <w:r w:rsidR="00B47A67" w:rsidRPr="00CC4D5B">
        <w:t>Selección de la alternativa de implementación</w:t>
      </w:r>
      <w:bookmarkEnd w:id="71"/>
    </w:p>
    <w:p w14:paraId="315433F4" w14:textId="77777777" w:rsidR="00B47A67" w:rsidRDefault="00B47A67" w:rsidP="00B47A67">
      <w:pPr>
        <w:tabs>
          <w:tab w:val="left" w:pos="921"/>
        </w:tabs>
        <w:spacing w:after="0" w:line="240" w:lineRule="auto"/>
        <w:jc w:val="both"/>
        <w:rPr>
          <w:rFonts w:eastAsiaTheme="minorEastAsia"/>
          <w:sz w:val="24"/>
          <w:szCs w:val="24"/>
        </w:rPr>
      </w:pPr>
    </w:p>
    <w:p w14:paraId="0659EE09" w14:textId="77777777" w:rsidR="00B47A67" w:rsidRDefault="00EB5832" w:rsidP="00B47A67">
      <w:pPr>
        <w:spacing w:after="0" w:line="240" w:lineRule="auto"/>
        <w:jc w:val="both"/>
      </w:pPr>
      <w:r>
        <w:t>SUPEN considera que la implementación de</w:t>
      </w:r>
      <w:r w:rsidR="00B47A67" w:rsidRPr="005A6DBF">
        <w:t xml:space="preserve"> este modelo tendrá </w:t>
      </w:r>
      <w:r>
        <w:t>bajo</w:t>
      </w:r>
      <w:r w:rsidR="00B47A67" w:rsidRPr="005A6DBF">
        <w:t xml:space="preserve"> impacto en los ajustes </w:t>
      </w:r>
      <w:r w:rsidR="00EA1411">
        <w:t>a</w:t>
      </w:r>
      <w:r w:rsidR="00B47A67" w:rsidRPr="005A6DBF">
        <w:t xml:space="preserve"> los sistemas tecnológicos</w:t>
      </w:r>
      <w:r w:rsidR="00EA1411">
        <w:t>, las labores operativas</w:t>
      </w:r>
      <w:r w:rsidR="00242340">
        <w:t>,</w:t>
      </w:r>
      <w:r w:rsidR="00B47A67" w:rsidRPr="005A6DBF">
        <w:t xml:space="preserve"> </w:t>
      </w:r>
      <w:r w:rsidR="00EA1411">
        <w:t>así como en</w:t>
      </w:r>
      <w:r w:rsidR="00B47A67" w:rsidRPr="005A6DBF">
        <w:t xml:space="preserve"> </w:t>
      </w:r>
      <w:r w:rsidR="00EA1411">
        <w:t xml:space="preserve">los </w:t>
      </w:r>
      <w:r w:rsidR="00B47A67" w:rsidRPr="005A6DBF">
        <w:t xml:space="preserve">controles </w:t>
      </w:r>
      <w:r w:rsidR="00EA1411">
        <w:t>que las</w:t>
      </w:r>
      <w:r w:rsidR="00B47A67" w:rsidRPr="005A6DBF">
        <w:t xml:space="preserve"> operadoras</w:t>
      </w:r>
      <w:r w:rsidR="00EA1411">
        <w:t xml:space="preserve"> deben</w:t>
      </w:r>
      <w:r w:rsidR="00A56354">
        <w:t xml:space="preserve"> implementar</w:t>
      </w:r>
      <w:r w:rsidR="00242340">
        <w:t xml:space="preserve">. </w:t>
      </w:r>
      <w:r w:rsidR="005E6D85">
        <w:t>Por parte</w:t>
      </w:r>
      <w:r w:rsidR="004414A3">
        <w:t>, para</w:t>
      </w:r>
      <w:r w:rsidR="005E6D85">
        <w:t xml:space="preserve"> la superintendencia, la reforma </w:t>
      </w:r>
      <w:r w:rsidR="005E6D85" w:rsidRPr="005A6DBF">
        <w:t>implica cambios</w:t>
      </w:r>
      <w:r w:rsidR="005E6D85">
        <w:t xml:space="preserve"> concisos</w:t>
      </w:r>
      <w:r w:rsidR="005E6D85" w:rsidRPr="005A6DBF">
        <w:t xml:space="preserve"> en el Manual de información,</w:t>
      </w:r>
      <w:r w:rsidR="005E6D85">
        <w:t xml:space="preserve"> en los</w:t>
      </w:r>
      <w:r w:rsidR="005E6D85" w:rsidRPr="005A6DBF">
        <w:t xml:space="preserve"> catálogos contables</w:t>
      </w:r>
      <w:r w:rsidR="005E6D85">
        <w:t xml:space="preserve"> y en el </w:t>
      </w:r>
      <w:r w:rsidR="005E6D85" w:rsidRPr="005A6DBF">
        <w:t>proceso de suministro de información</w:t>
      </w:r>
      <w:r w:rsidR="005E6D85">
        <w:t>, dado que la propuesta se ha trabajado para que las generaciones sean tratadas como un fondo más, que se adiciona por medio de un identificador único, reutilizando</w:t>
      </w:r>
      <w:r w:rsidR="00171122">
        <w:t xml:space="preserve"> la infraestructura existente.</w:t>
      </w:r>
    </w:p>
    <w:p w14:paraId="430D934E" w14:textId="77777777" w:rsidR="009C21DD" w:rsidRDefault="009C21DD" w:rsidP="00B47A67">
      <w:pPr>
        <w:spacing w:after="0" w:line="240" w:lineRule="auto"/>
        <w:jc w:val="both"/>
      </w:pPr>
    </w:p>
    <w:p w14:paraId="7AD8EE79" w14:textId="77777777" w:rsidR="00B47A67" w:rsidRDefault="00B47A67" w:rsidP="00B47A67">
      <w:pPr>
        <w:spacing w:after="0" w:line="240" w:lineRule="auto"/>
        <w:jc w:val="both"/>
      </w:pPr>
    </w:p>
    <w:p w14:paraId="6F41A1AC" w14:textId="77777777" w:rsidR="00B47A67" w:rsidRPr="00CC4D5B" w:rsidRDefault="00B036BA" w:rsidP="00B036BA">
      <w:pPr>
        <w:pStyle w:val="Ttulo3"/>
      </w:pPr>
      <w:bookmarkStart w:id="72" w:name="_Toc144396556"/>
      <w:r>
        <w:t xml:space="preserve">6.1.4. </w:t>
      </w:r>
      <w:r w:rsidR="009C21DD">
        <w:t>L</w:t>
      </w:r>
      <w:r w:rsidR="00B47A67" w:rsidRPr="00CC4D5B">
        <w:t>ibre transferencia</w:t>
      </w:r>
      <w:bookmarkEnd w:id="72"/>
    </w:p>
    <w:p w14:paraId="43E43E4B" w14:textId="77777777" w:rsidR="00B47A67" w:rsidRDefault="00B47A67" w:rsidP="00B47A67"/>
    <w:p w14:paraId="263691FF" w14:textId="77777777" w:rsidR="009C21DD" w:rsidRPr="004414A3" w:rsidRDefault="009C21DD" w:rsidP="009C21DD">
      <w:pPr>
        <w:spacing w:after="0" w:line="240" w:lineRule="auto"/>
        <w:contextualSpacing/>
        <w:jc w:val="both"/>
      </w:pPr>
      <w:r w:rsidRPr="004414A3">
        <w:t xml:space="preserve">La Superintendencia de Pensiones debe procurar que los afiliados reciban información suficiente y veraz para la toma de decisiones. En este contexto, toma relevancia la labor de comunicación de la entidad por medio de los promotores, por lo tanto, son los responsables de asesorar a los trabajadores al momento de gestionar su traslado hacia otra entidad. </w:t>
      </w:r>
    </w:p>
    <w:p w14:paraId="168BB9CF" w14:textId="77777777" w:rsidR="009C21DD" w:rsidRPr="004414A3" w:rsidRDefault="009C21DD" w:rsidP="009C21DD">
      <w:pPr>
        <w:pStyle w:val="paragraph"/>
        <w:spacing w:before="0" w:beforeAutospacing="0" w:after="0" w:afterAutospacing="0"/>
        <w:ind w:right="-15"/>
        <w:jc w:val="both"/>
        <w:textAlignment w:val="baseline"/>
        <w:rPr>
          <w:rFonts w:asciiTheme="minorHAnsi" w:eastAsiaTheme="minorHAnsi" w:hAnsiTheme="minorHAnsi" w:cstheme="minorBidi"/>
          <w:sz w:val="22"/>
          <w:szCs w:val="22"/>
          <w:lang w:eastAsia="en-US"/>
        </w:rPr>
      </w:pPr>
    </w:p>
    <w:p w14:paraId="0963E955" w14:textId="77777777" w:rsidR="009C21DD" w:rsidRPr="004414A3" w:rsidRDefault="009C21DD" w:rsidP="009C21DD">
      <w:pPr>
        <w:pStyle w:val="paragraph"/>
        <w:spacing w:before="0" w:beforeAutospacing="0" w:after="0" w:afterAutospacing="0"/>
        <w:ind w:right="-15"/>
        <w:jc w:val="both"/>
        <w:textAlignment w:val="baseline"/>
        <w:rPr>
          <w:rFonts w:asciiTheme="minorHAnsi" w:eastAsiaTheme="minorHAnsi" w:hAnsiTheme="minorHAnsi" w:cstheme="minorBidi"/>
          <w:sz w:val="22"/>
          <w:szCs w:val="22"/>
          <w:lang w:val="es-ES" w:eastAsia="en-US"/>
        </w:rPr>
      </w:pPr>
      <w:r w:rsidRPr="004414A3">
        <w:rPr>
          <w:rFonts w:asciiTheme="minorHAnsi" w:eastAsiaTheme="minorHAnsi" w:hAnsiTheme="minorHAnsi" w:cstheme="minorBidi"/>
          <w:sz w:val="22"/>
          <w:szCs w:val="22"/>
          <w:lang w:eastAsia="en-US"/>
        </w:rPr>
        <w:t>Según el artículo 35 de la Ley de Protección al Trabajador (LPT), los agentes promotores de las operadoras deberán estar inscritos ante la SUPEN.</w:t>
      </w:r>
      <w:r w:rsidRPr="004414A3">
        <w:rPr>
          <w:rFonts w:asciiTheme="minorHAnsi" w:eastAsiaTheme="minorHAnsi" w:hAnsiTheme="minorHAnsi" w:cstheme="minorBidi"/>
          <w:sz w:val="22"/>
          <w:szCs w:val="22"/>
          <w:lang w:val="es-ES" w:eastAsia="en-US"/>
        </w:rPr>
        <w:t>  Además, e</w:t>
      </w:r>
      <w:r w:rsidRPr="004414A3">
        <w:rPr>
          <w:rFonts w:asciiTheme="minorHAnsi" w:eastAsiaTheme="minorHAnsi" w:hAnsiTheme="minorHAnsi" w:cstheme="minorBidi"/>
          <w:sz w:val="22"/>
          <w:szCs w:val="22"/>
          <w:lang w:eastAsia="en-US"/>
        </w:rPr>
        <w:t>l artículo 28 del RAF señala lo siguiente con respecto a los agentes promotores:</w:t>
      </w:r>
      <w:r w:rsidRPr="004414A3">
        <w:rPr>
          <w:rFonts w:asciiTheme="minorHAnsi" w:eastAsiaTheme="minorHAnsi" w:hAnsiTheme="minorHAnsi" w:cstheme="minorBidi"/>
          <w:sz w:val="22"/>
          <w:szCs w:val="22"/>
          <w:lang w:val="es-ES" w:eastAsia="en-US"/>
        </w:rPr>
        <w:t> </w:t>
      </w:r>
    </w:p>
    <w:p w14:paraId="58FB1F05" w14:textId="77777777" w:rsidR="009C21DD" w:rsidRPr="004414A3" w:rsidRDefault="009C21DD" w:rsidP="009C21DD">
      <w:pPr>
        <w:pStyle w:val="paragraph"/>
        <w:spacing w:before="0" w:beforeAutospacing="0" w:after="0" w:afterAutospacing="0"/>
        <w:ind w:right="-720"/>
        <w:jc w:val="both"/>
        <w:textAlignment w:val="baseline"/>
        <w:rPr>
          <w:rFonts w:asciiTheme="minorHAnsi" w:eastAsiaTheme="minorHAnsi" w:hAnsiTheme="minorHAnsi" w:cstheme="minorBidi"/>
          <w:sz w:val="22"/>
          <w:szCs w:val="22"/>
          <w:lang w:val="es-ES" w:eastAsia="en-US"/>
        </w:rPr>
      </w:pPr>
    </w:p>
    <w:p w14:paraId="34E1E50C" w14:textId="77777777" w:rsidR="009C21DD" w:rsidRPr="004414A3" w:rsidRDefault="009C21DD" w:rsidP="009C21DD">
      <w:pPr>
        <w:pStyle w:val="paragraph"/>
        <w:spacing w:before="0" w:beforeAutospacing="0" w:after="0" w:afterAutospacing="0"/>
        <w:ind w:left="708"/>
        <w:jc w:val="both"/>
        <w:textAlignment w:val="baseline"/>
        <w:rPr>
          <w:rFonts w:asciiTheme="minorHAnsi" w:eastAsiaTheme="minorHAnsi" w:hAnsiTheme="minorHAnsi" w:cstheme="minorBidi"/>
          <w:i/>
          <w:iCs/>
          <w:sz w:val="20"/>
          <w:szCs w:val="20"/>
          <w:lang w:val="es-ES" w:eastAsia="en-US"/>
        </w:rPr>
      </w:pPr>
      <w:r w:rsidRPr="004414A3">
        <w:rPr>
          <w:rFonts w:asciiTheme="minorHAnsi" w:eastAsiaTheme="minorHAnsi" w:hAnsiTheme="minorHAnsi" w:cstheme="minorBidi"/>
          <w:i/>
          <w:iCs/>
          <w:sz w:val="22"/>
          <w:szCs w:val="22"/>
          <w:lang w:val="es-ES" w:eastAsia="en-US"/>
        </w:rPr>
        <w:lastRenderedPageBreak/>
        <w:t>Los agentes promotores están autorizados para realizar labores de promoción, divulgación y asesoramiento en relación con los planes de pensiones y beneficios, así como para realizar la afiliación a las entidades autorizadas para administrar planes de pensiones complementarias, de capitalización laboral y planes de ahorro voluntario. </w:t>
      </w:r>
    </w:p>
    <w:p w14:paraId="591CDC38" w14:textId="77777777" w:rsidR="009C21DD" w:rsidRPr="004414A3" w:rsidRDefault="009C21DD" w:rsidP="009C21DD">
      <w:pPr>
        <w:pStyle w:val="paragraph"/>
        <w:spacing w:before="0" w:beforeAutospacing="0" w:after="0" w:afterAutospacing="0"/>
        <w:ind w:left="990"/>
        <w:jc w:val="both"/>
        <w:textAlignment w:val="baseline"/>
        <w:rPr>
          <w:rFonts w:asciiTheme="minorHAnsi" w:eastAsiaTheme="minorHAnsi" w:hAnsiTheme="minorHAnsi" w:cstheme="minorBidi"/>
          <w:i/>
          <w:iCs/>
          <w:sz w:val="20"/>
          <w:szCs w:val="20"/>
          <w:lang w:val="es-ES" w:eastAsia="en-US"/>
        </w:rPr>
      </w:pPr>
      <w:r w:rsidRPr="004414A3">
        <w:rPr>
          <w:rFonts w:asciiTheme="minorHAnsi" w:eastAsiaTheme="minorHAnsi" w:hAnsiTheme="minorHAnsi" w:cstheme="minorBidi"/>
          <w:i/>
          <w:iCs/>
          <w:sz w:val="22"/>
          <w:szCs w:val="22"/>
          <w:lang w:val="es-ES" w:eastAsia="en-US"/>
        </w:rPr>
        <w:t> </w:t>
      </w:r>
    </w:p>
    <w:p w14:paraId="43392889" w14:textId="77777777" w:rsidR="009C21DD" w:rsidRPr="004414A3" w:rsidRDefault="009C21DD" w:rsidP="009C21DD">
      <w:pPr>
        <w:pStyle w:val="paragraph"/>
        <w:spacing w:before="0" w:beforeAutospacing="0" w:after="0" w:afterAutospacing="0"/>
        <w:ind w:left="708"/>
        <w:jc w:val="both"/>
        <w:textAlignment w:val="baseline"/>
        <w:rPr>
          <w:rFonts w:asciiTheme="minorHAnsi" w:eastAsiaTheme="minorHAnsi" w:hAnsiTheme="minorHAnsi" w:cstheme="minorBidi"/>
          <w:i/>
          <w:iCs/>
          <w:sz w:val="22"/>
          <w:szCs w:val="22"/>
          <w:lang w:val="es-ES" w:eastAsia="en-US"/>
        </w:rPr>
      </w:pPr>
      <w:r w:rsidRPr="004414A3">
        <w:rPr>
          <w:rFonts w:asciiTheme="minorHAnsi" w:eastAsiaTheme="minorHAnsi" w:hAnsiTheme="minorHAnsi" w:cstheme="minorBidi"/>
          <w:i/>
          <w:iCs/>
          <w:sz w:val="22"/>
          <w:szCs w:val="22"/>
          <w:lang w:val="es-ES" w:eastAsia="en-US"/>
        </w:rPr>
        <w:t>Toda entidad autorizada, salvo las asociaciones solidaristas y las cooperativas de ahorro y crédito que administren fondos de capitalización laboral para sus propios asociados al amparo de lo dispuesto por el artículo 30 de la Ley 7983, está obligada a contar con, al menos, un agente promotor disponible en cada punto donde la entidad comercialice sus servicios. </w:t>
      </w:r>
    </w:p>
    <w:p w14:paraId="02D4E198" w14:textId="77777777" w:rsidR="009C21DD" w:rsidRPr="004414A3" w:rsidRDefault="009C21DD" w:rsidP="009C21DD">
      <w:pPr>
        <w:pStyle w:val="paragraph"/>
        <w:spacing w:before="0" w:beforeAutospacing="0" w:after="0" w:afterAutospacing="0"/>
        <w:jc w:val="both"/>
        <w:textAlignment w:val="baseline"/>
        <w:rPr>
          <w:rFonts w:asciiTheme="minorHAnsi" w:eastAsiaTheme="minorHAnsi" w:hAnsiTheme="minorHAnsi" w:cstheme="minorBidi"/>
          <w:i/>
          <w:iCs/>
          <w:lang w:val="es-ES" w:eastAsia="en-US"/>
        </w:rPr>
      </w:pPr>
    </w:p>
    <w:p w14:paraId="3BDF452F" w14:textId="77777777" w:rsidR="009C21DD" w:rsidRPr="004414A3" w:rsidRDefault="009C21DD" w:rsidP="009C21DD">
      <w:pPr>
        <w:pStyle w:val="paragraph"/>
        <w:spacing w:before="0" w:beforeAutospacing="0" w:after="0" w:afterAutospacing="0"/>
        <w:jc w:val="both"/>
        <w:textAlignment w:val="baseline"/>
        <w:rPr>
          <w:rFonts w:asciiTheme="minorHAnsi" w:eastAsiaTheme="minorHAnsi" w:hAnsiTheme="minorHAnsi" w:cstheme="minorBidi"/>
          <w:sz w:val="22"/>
          <w:szCs w:val="22"/>
          <w:lang w:eastAsia="en-US"/>
        </w:rPr>
      </w:pPr>
      <w:r w:rsidRPr="004414A3">
        <w:rPr>
          <w:rFonts w:asciiTheme="minorHAnsi" w:eastAsiaTheme="minorHAnsi" w:hAnsiTheme="minorHAnsi" w:cstheme="minorBidi"/>
          <w:sz w:val="22"/>
          <w:szCs w:val="22"/>
          <w:lang w:eastAsia="en-US"/>
        </w:rPr>
        <w:t>En este sentido, la presencia y el papel de los agentes promotores son fundamentales para el desarrollo y la accesibilidad de los planes de pensiones y beneficios. Su labor contribuye no solo a brindar información y asesoramiento a los potenciales afiliados, sino también a garantizar que las personas puedan tomar decisiones informadas y adecuadas en lo que respecta a su futuro financiero y sus necesidades de jubilación.</w:t>
      </w:r>
    </w:p>
    <w:p w14:paraId="7F6DE20E" w14:textId="77777777" w:rsidR="009C21DD" w:rsidRPr="004414A3" w:rsidRDefault="009C21DD" w:rsidP="009C21DD">
      <w:pPr>
        <w:pStyle w:val="paragraph"/>
        <w:spacing w:before="0" w:beforeAutospacing="0" w:after="0" w:afterAutospacing="0"/>
        <w:jc w:val="both"/>
        <w:textAlignment w:val="baseline"/>
        <w:rPr>
          <w:rFonts w:asciiTheme="minorHAnsi" w:eastAsiaTheme="minorHAnsi" w:hAnsiTheme="minorHAnsi" w:cstheme="minorBidi"/>
          <w:sz w:val="22"/>
          <w:szCs w:val="22"/>
          <w:lang w:eastAsia="en-US"/>
        </w:rPr>
      </w:pPr>
    </w:p>
    <w:p w14:paraId="35863CF4" w14:textId="77777777" w:rsidR="009C21DD" w:rsidRPr="004414A3" w:rsidRDefault="009C21DD" w:rsidP="009C21DD">
      <w:pPr>
        <w:pStyle w:val="paragraph"/>
        <w:spacing w:before="0" w:beforeAutospacing="0" w:after="0" w:afterAutospacing="0"/>
        <w:jc w:val="both"/>
        <w:textAlignment w:val="baseline"/>
        <w:rPr>
          <w:rFonts w:asciiTheme="minorHAnsi" w:eastAsiaTheme="minorHAnsi" w:hAnsiTheme="minorHAnsi" w:cstheme="minorBidi"/>
          <w:sz w:val="22"/>
          <w:szCs w:val="22"/>
          <w:lang w:eastAsia="en-US"/>
        </w:rPr>
      </w:pPr>
      <w:r w:rsidRPr="004414A3">
        <w:rPr>
          <w:rFonts w:asciiTheme="minorHAnsi" w:eastAsiaTheme="minorHAnsi" w:hAnsiTheme="minorHAnsi" w:cstheme="minorBidi"/>
          <w:sz w:val="22"/>
          <w:szCs w:val="22"/>
          <w:lang w:eastAsia="en-US"/>
        </w:rPr>
        <w:t xml:space="preserve">El afiliado, en general, </w:t>
      </w:r>
      <w:r w:rsidR="00134C6F">
        <w:rPr>
          <w:rFonts w:asciiTheme="minorHAnsi" w:eastAsiaTheme="minorHAnsi" w:hAnsiTheme="minorHAnsi" w:cstheme="minorBidi"/>
          <w:sz w:val="22"/>
          <w:szCs w:val="22"/>
          <w:lang w:eastAsia="en-US"/>
        </w:rPr>
        <w:t xml:space="preserve">puede ser </w:t>
      </w:r>
      <w:r w:rsidRPr="004414A3">
        <w:rPr>
          <w:rFonts w:asciiTheme="minorHAnsi" w:eastAsiaTheme="minorHAnsi" w:hAnsiTheme="minorHAnsi" w:cstheme="minorBidi"/>
          <w:sz w:val="22"/>
          <w:szCs w:val="22"/>
          <w:lang w:eastAsia="en-US"/>
        </w:rPr>
        <w:t xml:space="preserve">vulnerable a prácticas comerciales tendientes a lograr su afiliación a determinada entidad en virtud de </w:t>
      </w:r>
      <w:r w:rsidR="004414A3" w:rsidRPr="004414A3">
        <w:rPr>
          <w:rFonts w:asciiTheme="minorHAnsi" w:eastAsiaTheme="minorHAnsi" w:hAnsiTheme="minorHAnsi" w:cstheme="minorBidi"/>
          <w:sz w:val="22"/>
          <w:szCs w:val="22"/>
          <w:lang w:eastAsia="en-US"/>
        </w:rPr>
        <w:t>un limitado</w:t>
      </w:r>
      <w:r w:rsidRPr="004414A3">
        <w:rPr>
          <w:rFonts w:asciiTheme="minorHAnsi" w:eastAsiaTheme="minorHAnsi" w:hAnsiTheme="minorHAnsi" w:cstheme="minorBidi"/>
          <w:sz w:val="22"/>
          <w:szCs w:val="22"/>
          <w:lang w:eastAsia="en-US"/>
        </w:rPr>
        <w:t xml:space="preserve"> conocimiento previsional y capacidad de tomar una decisión basado en criterios técnicos</w:t>
      </w:r>
      <w:r w:rsidR="008807C5">
        <w:rPr>
          <w:rStyle w:val="Refdenotaalpie"/>
          <w:rFonts w:asciiTheme="minorHAnsi" w:eastAsiaTheme="minorHAnsi" w:hAnsiTheme="minorHAnsi" w:cstheme="minorBidi"/>
          <w:sz w:val="22"/>
          <w:szCs w:val="22"/>
          <w:lang w:eastAsia="en-US"/>
        </w:rPr>
        <w:footnoteReference w:id="25"/>
      </w:r>
      <w:r w:rsidRPr="004414A3">
        <w:rPr>
          <w:rFonts w:asciiTheme="minorHAnsi" w:eastAsiaTheme="minorHAnsi" w:hAnsiTheme="minorHAnsi" w:cstheme="minorBidi"/>
          <w:sz w:val="22"/>
          <w:szCs w:val="22"/>
          <w:lang w:eastAsia="en-US"/>
        </w:rPr>
        <w:t xml:space="preserve">. Esta situación </w:t>
      </w:r>
      <w:r w:rsidR="00FA0AD2">
        <w:rPr>
          <w:rFonts w:asciiTheme="minorHAnsi" w:eastAsiaTheme="minorHAnsi" w:hAnsiTheme="minorHAnsi" w:cstheme="minorBidi"/>
          <w:sz w:val="22"/>
          <w:szCs w:val="22"/>
          <w:lang w:eastAsia="en-US"/>
        </w:rPr>
        <w:t>puede haber</w:t>
      </w:r>
      <w:r w:rsidR="009F67AD">
        <w:rPr>
          <w:rFonts w:asciiTheme="minorHAnsi" w:eastAsiaTheme="minorHAnsi" w:hAnsiTheme="minorHAnsi" w:cstheme="minorBidi"/>
          <w:sz w:val="22"/>
          <w:szCs w:val="22"/>
          <w:lang w:eastAsia="en-US"/>
        </w:rPr>
        <w:t xml:space="preserve"> </w:t>
      </w:r>
      <w:r w:rsidR="004414A3" w:rsidRPr="004414A3">
        <w:rPr>
          <w:rFonts w:asciiTheme="minorHAnsi" w:eastAsiaTheme="minorHAnsi" w:hAnsiTheme="minorHAnsi" w:cstheme="minorBidi"/>
          <w:sz w:val="22"/>
          <w:szCs w:val="22"/>
          <w:lang w:eastAsia="en-US"/>
        </w:rPr>
        <w:t>contribuido</w:t>
      </w:r>
      <w:r w:rsidRPr="004414A3">
        <w:rPr>
          <w:rFonts w:asciiTheme="minorHAnsi" w:eastAsiaTheme="minorHAnsi" w:hAnsiTheme="minorHAnsi" w:cstheme="minorBidi"/>
          <w:sz w:val="22"/>
          <w:szCs w:val="22"/>
          <w:lang w:eastAsia="en-US"/>
        </w:rPr>
        <w:t xml:space="preserve"> a que se haya venido incrementando el traslado de afiliados y recursos entre entidades autorizadas, con costos relevantes de comercialización en las operadoras de pensiones, las cuales han implementado </w:t>
      </w:r>
      <w:r w:rsidR="009F67AD">
        <w:rPr>
          <w:rFonts w:asciiTheme="minorHAnsi" w:eastAsiaTheme="minorHAnsi" w:hAnsiTheme="minorHAnsi" w:cstheme="minorBidi"/>
          <w:sz w:val="22"/>
          <w:szCs w:val="22"/>
          <w:lang w:eastAsia="en-US"/>
        </w:rPr>
        <w:t xml:space="preserve">ciertos </w:t>
      </w:r>
      <w:r w:rsidRPr="004414A3">
        <w:rPr>
          <w:rFonts w:asciiTheme="minorHAnsi" w:eastAsiaTheme="minorHAnsi" w:hAnsiTheme="minorHAnsi" w:cstheme="minorBidi"/>
          <w:sz w:val="22"/>
          <w:szCs w:val="22"/>
          <w:lang w:eastAsia="en-US"/>
        </w:rPr>
        <w:t xml:space="preserve">esquemas de remuneración a promotores, debido a que el afiliado trasladado estará como cliente por lo menos seis meses, esto es, el período mínimo de permanencia. </w:t>
      </w:r>
    </w:p>
    <w:p w14:paraId="37C1CFDF" w14:textId="77777777" w:rsidR="009C21DD" w:rsidRPr="004414A3" w:rsidRDefault="009C21DD" w:rsidP="009C21DD">
      <w:pPr>
        <w:spacing w:after="0" w:line="240" w:lineRule="auto"/>
        <w:contextualSpacing/>
        <w:jc w:val="both"/>
        <w:rPr>
          <w:lang w:val="es-CR"/>
        </w:rPr>
      </w:pPr>
    </w:p>
    <w:p w14:paraId="2150765B" w14:textId="77777777" w:rsidR="009C21DD" w:rsidRPr="004414A3" w:rsidRDefault="002342D8" w:rsidP="009C21DD">
      <w:pPr>
        <w:spacing w:after="0" w:line="240" w:lineRule="auto"/>
        <w:contextualSpacing/>
        <w:jc w:val="both"/>
      </w:pPr>
      <w:r>
        <w:t xml:space="preserve">El regulador </w:t>
      </w:r>
      <w:r w:rsidR="009C21DD" w:rsidRPr="004414A3">
        <w:t xml:space="preserve">propone reducir el tiempo de permanencia mínima, que producto de la crisis financiera se ubicó en seis meses a un mes, aspecto que </w:t>
      </w:r>
      <w:r w:rsidR="00053131">
        <w:t xml:space="preserve">puede </w:t>
      </w:r>
      <w:r w:rsidR="009C21DD" w:rsidRPr="004414A3">
        <w:t>incentiva</w:t>
      </w:r>
      <w:r w:rsidR="00053131">
        <w:t>r</w:t>
      </w:r>
      <w:r w:rsidR="009C21DD" w:rsidRPr="004414A3">
        <w:t xml:space="preserve"> a las entidades a mejorar el servicio y comunicación a sus afiliados, en procura de la fidelización de sus clientes.</w:t>
      </w:r>
    </w:p>
    <w:p w14:paraId="26D93A75" w14:textId="77777777" w:rsidR="009C21DD" w:rsidRPr="004414A3" w:rsidRDefault="009C21DD" w:rsidP="009C21DD">
      <w:pPr>
        <w:spacing w:after="0" w:line="240" w:lineRule="auto"/>
        <w:contextualSpacing/>
        <w:jc w:val="both"/>
      </w:pPr>
    </w:p>
    <w:p w14:paraId="76A45339" w14:textId="77777777" w:rsidR="009C21DD" w:rsidRPr="004414A3" w:rsidRDefault="009C21DD" w:rsidP="009C21DD">
      <w:pPr>
        <w:spacing w:after="0" w:line="240" w:lineRule="auto"/>
        <w:contextualSpacing/>
        <w:jc w:val="both"/>
      </w:pPr>
      <w:r w:rsidRPr="004414A3">
        <w:t>Cuando se estableció el plazo de seis meses la preocupación de la Superintendencia giró en torno a aquellos factores que motivan a las personas a cambiar de entidad en escenarios desfavorables, en donde se hacía necesario dar un mayor espacio de tiempo para poder asimilar las volatilidades que se estaban presentando.  Así se tomó la decisión de ajustar la regulación, estableciéndose que se pasara de un mes el plazo mínimo de permanencia en una entidad a seis meses.</w:t>
      </w:r>
    </w:p>
    <w:p w14:paraId="19199ECE" w14:textId="77777777" w:rsidR="009C21DD" w:rsidRPr="004414A3" w:rsidRDefault="009C21DD" w:rsidP="009C21DD">
      <w:pPr>
        <w:spacing w:after="0" w:line="240" w:lineRule="auto"/>
        <w:contextualSpacing/>
        <w:jc w:val="both"/>
      </w:pPr>
    </w:p>
    <w:p w14:paraId="06EE0A4C" w14:textId="77777777" w:rsidR="009C21DD" w:rsidRPr="004414A3" w:rsidRDefault="009C21DD" w:rsidP="009C21DD">
      <w:pPr>
        <w:spacing w:after="0" w:line="240" w:lineRule="auto"/>
        <w:contextualSpacing/>
        <w:jc w:val="both"/>
      </w:pPr>
      <w:r w:rsidRPr="004414A3">
        <w:t>Para agosto del 2023 hay evidencia que la crisis post pandemia está siendo gradualmente superada, demostrado por la recuperación continuada del valor de las inversiones que ya se acercan a valores de inicios del año 2022, con una tendencia creciente (ver</w:t>
      </w:r>
      <w:r w:rsidR="004414A3" w:rsidRPr="004414A3">
        <w:t xml:space="preserve"> gráfico siguiente</w:t>
      </w:r>
      <w:r w:rsidRPr="004414A3">
        <w:t>).</w:t>
      </w:r>
    </w:p>
    <w:p w14:paraId="750DC7B1" w14:textId="77777777" w:rsidR="00573539" w:rsidRDefault="00573539">
      <w:pPr>
        <w:rPr>
          <w:color w:val="70AD47" w:themeColor="accent6"/>
        </w:rPr>
      </w:pPr>
      <w:r>
        <w:rPr>
          <w:color w:val="70AD47" w:themeColor="accent6"/>
        </w:rPr>
        <w:br w:type="page"/>
      </w:r>
    </w:p>
    <w:p w14:paraId="2CB2D972" w14:textId="77777777" w:rsidR="009C21DD" w:rsidRPr="00573539" w:rsidRDefault="009C21DD" w:rsidP="009C21DD">
      <w:pPr>
        <w:spacing w:after="0" w:line="240" w:lineRule="auto"/>
        <w:contextualSpacing/>
        <w:jc w:val="both"/>
        <w:rPr>
          <w:color w:val="70AD47" w:themeColor="accent6"/>
        </w:rPr>
      </w:pPr>
    </w:p>
    <w:p w14:paraId="644CC5E6" w14:textId="77777777" w:rsidR="009C21DD" w:rsidRPr="004414A3" w:rsidRDefault="009C21DD" w:rsidP="009C21DD">
      <w:pPr>
        <w:pStyle w:val="Descripcin"/>
      </w:pPr>
      <w:r w:rsidRPr="004414A3">
        <w:t xml:space="preserve">Gráfico </w:t>
      </w:r>
      <w:r w:rsidR="00156F94">
        <w:t>7</w:t>
      </w:r>
      <w:r w:rsidRPr="004414A3">
        <w:t>: ROP Valor Cuota del fondo de pensiones</w:t>
      </w:r>
    </w:p>
    <w:p w14:paraId="70510070" w14:textId="77777777" w:rsidR="009C21DD" w:rsidRPr="00573539" w:rsidRDefault="009C21DD" w:rsidP="009C21DD">
      <w:pPr>
        <w:pStyle w:val="Prrafodelista"/>
        <w:spacing w:before="240"/>
        <w:ind w:left="770"/>
        <w:rPr>
          <w:color w:val="70AD47" w:themeColor="accent6"/>
        </w:rPr>
      </w:pPr>
      <w:r w:rsidRPr="00573539">
        <w:rPr>
          <w:noProof/>
          <w:color w:val="70AD47" w:themeColor="accent6"/>
        </w:rPr>
        <w:drawing>
          <wp:inline distT="0" distB="0" distL="0" distR="0" wp14:anchorId="78CBC084" wp14:editId="3BA57C3E">
            <wp:extent cx="4204021" cy="3117850"/>
            <wp:effectExtent l="0" t="0" r="6350" b="635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07931" cy="3120750"/>
                    </a:xfrm>
                    <a:prstGeom prst="rect">
                      <a:avLst/>
                    </a:prstGeom>
                  </pic:spPr>
                </pic:pic>
              </a:graphicData>
            </a:graphic>
          </wp:inline>
        </w:drawing>
      </w:r>
    </w:p>
    <w:p w14:paraId="6E8ABA80" w14:textId="77777777" w:rsidR="009C21DD" w:rsidRPr="004414A3" w:rsidRDefault="009C21DD" w:rsidP="009C21DD">
      <w:pPr>
        <w:pStyle w:val="Prrafodelista"/>
        <w:ind w:left="770" w:firstLine="646"/>
      </w:pPr>
      <w:r w:rsidRPr="004414A3">
        <w:t>Fuente: SUPEN a partir de datos de las entidades</w:t>
      </w:r>
    </w:p>
    <w:p w14:paraId="5B21BD67" w14:textId="77777777" w:rsidR="009C21DD" w:rsidRPr="00573539" w:rsidRDefault="009C21DD" w:rsidP="007A5B22">
      <w:pPr>
        <w:spacing w:after="0" w:line="240" w:lineRule="auto"/>
        <w:contextualSpacing/>
        <w:jc w:val="both"/>
        <w:rPr>
          <w:color w:val="70AD47" w:themeColor="accent6"/>
        </w:rPr>
      </w:pPr>
    </w:p>
    <w:p w14:paraId="386C10D4" w14:textId="77777777" w:rsidR="007A5B22" w:rsidRPr="004414A3" w:rsidRDefault="009C21DD" w:rsidP="007A5B22">
      <w:pPr>
        <w:spacing w:after="0" w:line="240" w:lineRule="auto"/>
        <w:contextualSpacing/>
        <w:jc w:val="both"/>
      </w:pPr>
      <w:r w:rsidRPr="004414A3">
        <w:t>Además del ajuste producto del retorno a la normalidad, producto de la recuperación del valor de las inversiones, l</w:t>
      </w:r>
      <w:r w:rsidR="007A5B22" w:rsidRPr="004414A3">
        <w:t>a Superintendencia de Pensiones evaluó en conjunto con el Sistema Centralizado de Recaudación (SICERE), los aspectos operativos vinculados a la apertura de nuevos fondos en el sistema, llegando a la conclusión que la libre transferencia se puede realizar sin modificar la operativa actual. Es decir, las posibilidades de libre transferencia se mantienen tal y como se encuentran vigentes en la actualidad, por lo cual el trabajador sólo debe elegir gestor de pensiones y al ser trasladado, bastará con su fecha de nacimiento para ser asignado al fondo que le corresponde.</w:t>
      </w:r>
      <w:r w:rsidR="00E86108" w:rsidRPr="004414A3">
        <w:t xml:space="preserve"> Cuando la libre transferencia</w:t>
      </w:r>
      <w:r w:rsidR="0069490F" w:rsidRPr="004414A3">
        <w:t xml:space="preserve"> se ejerza a otra generación, el traslado se hará </w:t>
      </w:r>
      <w:r w:rsidR="000A49DD" w:rsidRPr="004414A3">
        <w:t>internamente en la operadora</w:t>
      </w:r>
      <w:r w:rsidR="00CD5B0F" w:rsidRPr="004414A3">
        <w:t xml:space="preserve"> que corresponda.</w:t>
      </w:r>
    </w:p>
    <w:p w14:paraId="24CE6AE3" w14:textId="77777777" w:rsidR="00B47A67" w:rsidRDefault="00B47A67" w:rsidP="00B47A67">
      <w:pPr>
        <w:spacing w:after="0" w:line="240" w:lineRule="auto"/>
        <w:contextualSpacing/>
        <w:jc w:val="both"/>
      </w:pPr>
    </w:p>
    <w:p w14:paraId="1DE74016" w14:textId="77777777" w:rsidR="00B47A67" w:rsidRPr="005A6DBF" w:rsidRDefault="00B47A67" w:rsidP="00B47A67">
      <w:pPr>
        <w:spacing w:after="0" w:line="240" w:lineRule="auto"/>
        <w:jc w:val="both"/>
      </w:pPr>
    </w:p>
    <w:p w14:paraId="4B92599E" w14:textId="77777777" w:rsidR="00CC4D5B" w:rsidRDefault="00B47A67" w:rsidP="00B47A67">
      <w:pPr>
        <w:pStyle w:val="Ttulo2"/>
      </w:pPr>
      <w:bookmarkStart w:id="73" w:name="_Toc144396557"/>
      <w:r>
        <w:t>6.</w:t>
      </w:r>
      <w:r w:rsidR="00745B19">
        <w:t>2</w:t>
      </w:r>
      <w:r>
        <w:t>. Costos</w:t>
      </w:r>
      <w:bookmarkEnd w:id="73"/>
    </w:p>
    <w:p w14:paraId="4884E321" w14:textId="77777777" w:rsidR="00CC4D5B" w:rsidRDefault="00CC4D5B" w:rsidP="00CC4D5B">
      <w:pPr>
        <w:pStyle w:val="Sinespaciado"/>
      </w:pPr>
    </w:p>
    <w:p w14:paraId="2D0A55EF" w14:textId="77777777" w:rsidR="00F65CB7" w:rsidRDefault="00E17DD8" w:rsidP="00E17DD8">
      <w:pPr>
        <w:pStyle w:val="Ttulo3"/>
      </w:pPr>
      <w:bookmarkStart w:id="74" w:name="_Toc144396558"/>
      <w:r>
        <w:t xml:space="preserve">6.2.1. </w:t>
      </w:r>
      <w:r w:rsidR="009249DA">
        <w:t>Costo para los afiliados</w:t>
      </w:r>
      <w:r w:rsidR="00825B98">
        <w:t xml:space="preserve"> (comisiones)</w:t>
      </w:r>
      <w:bookmarkEnd w:id="74"/>
    </w:p>
    <w:p w14:paraId="008F8FB7" w14:textId="77777777" w:rsidR="002B5D7D" w:rsidRDefault="002B5D7D" w:rsidP="002B5D7D">
      <w:pPr>
        <w:spacing w:after="0" w:line="240" w:lineRule="auto"/>
        <w:contextualSpacing/>
        <w:rPr>
          <w:sz w:val="24"/>
          <w:szCs w:val="24"/>
        </w:rPr>
      </w:pPr>
    </w:p>
    <w:p w14:paraId="1E890373" w14:textId="77777777" w:rsidR="002B5D7D" w:rsidRPr="004414A3" w:rsidRDefault="002B5D7D" w:rsidP="002B5D7D">
      <w:pPr>
        <w:spacing w:after="0" w:line="240" w:lineRule="auto"/>
        <w:contextualSpacing/>
        <w:jc w:val="both"/>
      </w:pPr>
      <w:r w:rsidRPr="00CB07D4">
        <w:t>El resultado de los análisis del supervisor fue que no es necesario</w:t>
      </w:r>
      <w:r w:rsidR="00C60DFF">
        <w:t>,</w:t>
      </w:r>
      <w:r w:rsidRPr="00CB07D4">
        <w:t xml:space="preserve"> en este momento</w:t>
      </w:r>
      <w:r w:rsidR="00C60DFF">
        <w:t>,</w:t>
      </w:r>
      <w:r w:rsidRPr="00CB07D4">
        <w:t xml:space="preserve"> cambiar los topes </w:t>
      </w:r>
      <w:r w:rsidR="00A40582">
        <w:t>de comisión e</w:t>
      </w:r>
      <w:r w:rsidRPr="00CB07D4">
        <w:t xml:space="preserve">xistentes. Las razones que llevaron a </w:t>
      </w:r>
      <w:r w:rsidRPr="004414A3">
        <w:t>esta decisión son</w:t>
      </w:r>
      <w:r w:rsidR="008D4AC5" w:rsidRPr="004414A3">
        <w:t xml:space="preserve"> las siguientes</w:t>
      </w:r>
      <w:r w:rsidRPr="004414A3">
        <w:t>:</w:t>
      </w:r>
    </w:p>
    <w:p w14:paraId="09560D73" w14:textId="77777777" w:rsidR="002B5D7D" w:rsidRPr="004414A3" w:rsidRDefault="002B5D7D" w:rsidP="002B5D7D">
      <w:pPr>
        <w:spacing w:after="0" w:line="240" w:lineRule="auto"/>
        <w:contextualSpacing/>
        <w:jc w:val="both"/>
      </w:pPr>
    </w:p>
    <w:p w14:paraId="454EBC5F" w14:textId="77777777" w:rsidR="002B5D7D" w:rsidRDefault="002B5D7D" w:rsidP="002B5D7D">
      <w:pPr>
        <w:pStyle w:val="Prrafodelista"/>
        <w:numPr>
          <w:ilvl w:val="0"/>
          <w:numId w:val="14"/>
        </w:numPr>
        <w:spacing w:after="0" w:line="240" w:lineRule="auto"/>
        <w:jc w:val="both"/>
      </w:pPr>
      <w:r w:rsidRPr="004414A3">
        <w:t>El modelo de gestión de los recursos propuesto, donde s</w:t>
      </w:r>
      <w:r w:rsidRPr="00CB07D4">
        <w:t xml:space="preserve">e crean fondos separados, fue elegido por su </w:t>
      </w:r>
      <w:r w:rsidR="00C60DFF">
        <w:t xml:space="preserve">relativo </w:t>
      </w:r>
      <w:r w:rsidRPr="00CB07D4">
        <w:t xml:space="preserve">poco impacto en las operaciones de los gestores de pensiones, en donde la apertura </w:t>
      </w:r>
      <w:r w:rsidR="00825B98">
        <w:t>de</w:t>
      </w:r>
      <w:r w:rsidRPr="00CB07D4">
        <w:t xml:space="preserve"> un fondo adicional no requiere mayores transformaciones en los sistemas informáticos y procedimientos vigentes. Si bien la experiencia internacional apunta a múltiples fondos por generación, o como en el caso mexicano cada cinco años, </w:t>
      </w:r>
      <w:r>
        <w:t>esta propuesta</w:t>
      </w:r>
      <w:r w:rsidRPr="00CB07D4">
        <w:t xml:space="preserve"> </w:t>
      </w:r>
      <w:r>
        <w:t xml:space="preserve">opta </w:t>
      </w:r>
      <w:r w:rsidRPr="00CB07D4">
        <w:t xml:space="preserve">por trabajar con décadas, procurando no incrementar </w:t>
      </w:r>
      <w:r>
        <w:t xml:space="preserve">de manera importante </w:t>
      </w:r>
      <w:r w:rsidRPr="00CB07D4">
        <w:t xml:space="preserve">los gastos </w:t>
      </w:r>
      <w:r w:rsidR="00C10A21">
        <w:t xml:space="preserve">en que incurren los </w:t>
      </w:r>
      <w:r w:rsidR="002B5286">
        <w:t>gestores</w:t>
      </w:r>
      <w:r w:rsidRPr="00CB07D4">
        <w:t>.</w:t>
      </w:r>
    </w:p>
    <w:p w14:paraId="789D648F" w14:textId="77777777" w:rsidR="002B5D7D" w:rsidRPr="00CB07D4" w:rsidRDefault="002B5D7D" w:rsidP="002B5D7D">
      <w:pPr>
        <w:pStyle w:val="Prrafodelista"/>
        <w:spacing w:after="0" w:line="240" w:lineRule="auto"/>
        <w:jc w:val="both"/>
      </w:pPr>
    </w:p>
    <w:p w14:paraId="4927B497" w14:textId="77777777" w:rsidR="002B5D7D" w:rsidRDefault="002B5D7D" w:rsidP="002B5D7D">
      <w:pPr>
        <w:pStyle w:val="Prrafodelista"/>
        <w:numPr>
          <w:ilvl w:val="0"/>
          <w:numId w:val="14"/>
        </w:numPr>
        <w:spacing w:after="0" w:line="240" w:lineRule="auto"/>
        <w:jc w:val="both"/>
      </w:pPr>
      <w:r w:rsidRPr="00CB07D4">
        <w:lastRenderedPageBreak/>
        <w:t>Se reconoce que existe una mayor sofisticación de los procesos de gestión de los activos, dado que se pasa de un fondo a tener</w:t>
      </w:r>
      <w:r>
        <w:t xml:space="preserve"> cuatro en el 2024, sin </w:t>
      </w:r>
      <w:r w:rsidRPr="00CB07D4">
        <w:t>embargo, las estrategias de gestión de activos tienen una serie de economías de escala asociadas, en donde el conocimiento técnico, así como los modelos de optimización</w:t>
      </w:r>
      <w:r w:rsidR="00F27133">
        <w:t xml:space="preserve"> y gobernanza</w:t>
      </w:r>
      <w:r w:rsidRPr="00CB07D4">
        <w:t xml:space="preserve">, pueden adaptarse en procura de servir </w:t>
      </w:r>
      <w:r>
        <w:t xml:space="preserve">transversalmente </w:t>
      </w:r>
      <w:r w:rsidRPr="00CB07D4">
        <w:t xml:space="preserve">a los fondos existentes. </w:t>
      </w:r>
    </w:p>
    <w:p w14:paraId="1347DB67" w14:textId="77777777" w:rsidR="002B5D7D" w:rsidRPr="00CB07D4" w:rsidRDefault="002B5D7D" w:rsidP="002B5D7D">
      <w:pPr>
        <w:spacing w:after="0" w:line="240" w:lineRule="auto"/>
        <w:jc w:val="both"/>
      </w:pPr>
    </w:p>
    <w:p w14:paraId="46B8AA07" w14:textId="77777777" w:rsidR="005E6D85" w:rsidRDefault="005E6D85" w:rsidP="005E6D85">
      <w:pPr>
        <w:pStyle w:val="Prrafodelista"/>
        <w:numPr>
          <w:ilvl w:val="0"/>
          <w:numId w:val="14"/>
        </w:numPr>
        <w:spacing w:after="0" w:line="240" w:lineRule="auto"/>
        <w:jc w:val="both"/>
      </w:pPr>
      <w:r w:rsidRPr="00CB07D4">
        <w:t xml:space="preserve">Establecer una comisión diferenciada por fondo genera un tratamiento distinto entre generaciones que puede resultar </w:t>
      </w:r>
      <w:r>
        <w:t xml:space="preserve">en </w:t>
      </w:r>
      <w:r w:rsidRPr="00CB07D4">
        <w:t>que las comisiones para un determinado grupo de la población, en función de su edad, podría ser entendido como una discriminación</w:t>
      </w:r>
      <w:r w:rsidR="001334C6">
        <w:t xml:space="preserve"> o diferenciación</w:t>
      </w:r>
      <w:r w:rsidRPr="00CB07D4">
        <w:t>, ya que presumiblemente a las generaciones jóvenes se les cobraría más que a las generaciones de mayor edad.</w:t>
      </w:r>
    </w:p>
    <w:p w14:paraId="355F9D72" w14:textId="77777777" w:rsidR="005E6D85" w:rsidRPr="00CB07D4" w:rsidRDefault="005E6D85" w:rsidP="005E6D85">
      <w:pPr>
        <w:pStyle w:val="Prrafodelista"/>
        <w:spacing w:after="0" w:line="240" w:lineRule="auto"/>
        <w:jc w:val="both"/>
      </w:pPr>
    </w:p>
    <w:p w14:paraId="3027DC28" w14:textId="77777777" w:rsidR="005E6D85" w:rsidRDefault="005E6D85" w:rsidP="005E6D85">
      <w:pPr>
        <w:pStyle w:val="Prrafodelista"/>
        <w:numPr>
          <w:ilvl w:val="0"/>
          <w:numId w:val="14"/>
        </w:numPr>
        <w:spacing w:after="0" w:line="240" w:lineRule="auto"/>
        <w:jc w:val="both"/>
      </w:pPr>
      <w:r>
        <w:t>L</w:t>
      </w:r>
      <w:r w:rsidRPr="00CB07D4">
        <w:t xml:space="preserve">a gestión de los instrumentos de renta variable </w:t>
      </w:r>
      <w:r>
        <w:t>puede ser</w:t>
      </w:r>
      <w:r w:rsidRPr="00CB07D4">
        <w:t xml:space="preserve"> más especializada que la de los instrumentos de renta fija</w:t>
      </w:r>
      <w:r>
        <w:t>. Ya que</w:t>
      </w:r>
      <w:r w:rsidRPr="00CB07D4">
        <w:t xml:space="preserve"> ambos tipos de instrumento</w:t>
      </w:r>
      <w:r>
        <w:t>s</w:t>
      </w:r>
      <w:r w:rsidRPr="00CB07D4">
        <w:t xml:space="preserve"> pertenecerán a los portafolios de todos los fondos, tal cual ocurre</w:t>
      </w:r>
      <w:r>
        <w:t xml:space="preserve"> hoy</w:t>
      </w:r>
      <w:r w:rsidR="00F27133">
        <w:t xml:space="preserve"> (donde la inversión en renta variable es principalmente en títulos ETF, que, de manera general, son relativamente simples)</w:t>
      </w:r>
      <w:r w:rsidRPr="00CB07D4">
        <w:t>, el proyecto no adiciona nuevos conocimientos técnicos a los requeridos.</w:t>
      </w:r>
    </w:p>
    <w:p w14:paraId="0435B7C9" w14:textId="77777777" w:rsidR="002B5D7D" w:rsidRDefault="002B5D7D" w:rsidP="002B5D7D">
      <w:pPr>
        <w:pStyle w:val="Prrafodelista"/>
      </w:pPr>
    </w:p>
    <w:p w14:paraId="1BD857EA" w14:textId="77777777" w:rsidR="002B5D7D" w:rsidRPr="00865A66" w:rsidRDefault="002B5D7D" w:rsidP="002B5D7D">
      <w:pPr>
        <w:pStyle w:val="Prrafodelista"/>
        <w:numPr>
          <w:ilvl w:val="0"/>
          <w:numId w:val="14"/>
        </w:numPr>
        <w:spacing w:after="0" w:line="240" w:lineRule="auto"/>
        <w:jc w:val="both"/>
      </w:pPr>
      <w:r w:rsidRPr="00CB07D4">
        <w:t xml:space="preserve">Si bien en el corto plazo las generaciones jóvenes tendrán un mayor porcentaje de los instrumentos que pudieran estar asociados a un mayor costo de gestión, a lo largo del tiempo este tipo de instrumento será sustituido por otros en mayor proporción de menor </w:t>
      </w:r>
      <w:r w:rsidR="007E7F46">
        <w:t>complejidad</w:t>
      </w:r>
      <w:r w:rsidRPr="00CB07D4">
        <w:t xml:space="preserve">, por lo tanto, </w:t>
      </w:r>
      <w:r w:rsidR="00016DA6">
        <w:t xml:space="preserve">se podría </w:t>
      </w:r>
      <w:r w:rsidRPr="00CB07D4">
        <w:t>estar en presencia de comisiones decrecientes a lo largo de la vida,</w:t>
      </w:r>
      <w:r w:rsidRPr="009F0CCA">
        <w:rPr>
          <w:color w:val="FF0000"/>
        </w:rPr>
        <w:t xml:space="preserve"> </w:t>
      </w:r>
      <w:r w:rsidRPr="005F0DB6">
        <w:rPr>
          <w:color w:val="000000" w:themeColor="text1"/>
        </w:rPr>
        <w:t>lo</w:t>
      </w:r>
      <w:r w:rsidRPr="00865A66">
        <w:t xml:space="preserve"> cual dificulta operativamente los procesos de cobro, dado que no sólo sería una comisión diferenciada, sino además, una decreciente en el tiempo, teniendo por lo tanto que balancearse constantemente, en función de la complejidad de los instrumentos elegidos para los fondos.</w:t>
      </w:r>
    </w:p>
    <w:p w14:paraId="55B160D5" w14:textId="77777777" w:rsidR="002B5D7D" w:rsidRDefault="002B5D7D" w:rsidP="002B5D7D">
      <w:pPr>
        <w:pStyle w:val="Prrafodelista"/>
      </w:pPr>
    </w:p>
    <w:p w14:paraId="10DCA765" w14:textId="77777777" w:rsidR="00F65CB7" w:rsidRPr="00C61C70" w:rsidRDefault="007E7F46" w:rsidP="00C61C70">
      <w:pPr>
        <w:jc w:val="both"/>
      </w:pPr>
      <w:r>
        <w:t>Adicionalmente, l</w:t>
      </w:r>
      <w:r w:rsidR="00CD689D">
        <w:t>os f</w:t>
      </w:r>
      <w:r w:rsidR="002B5D7D" w:rsidRPr="00CB07D4">
        <w:t xml:space="preserve">ondos </w:t>
      </w:r>
      <w:r w:rsidR="002B5D7D" w:rsidRPr="008139F6">
        <w:t xml:space="preserve">generacionales </w:t>
      </w:r>
      <w:r w:rsidR="00FC7EA1" w:rsidRPr="008139F6">
        <w:t>pretenden</w:t>
      </w:r>
      <w:r w:rsidR="002B5D7D" w:rsidRPr="008139F6">
        <w:t xml:space="preserve"> en el </w:t>
      </w:r>
      <w:r w:rsidR="00704159">
        <w:t xml:space="preserve">corto, </w:t>
      </w:r>
      <w:r w:rsidR="002B5D7D" w:rsidRPr="008139F6">
        <w:t>mediano y largo plazo incrementar los saldos de los trabajadores, por lo tanto, al existir una comisión sobre saldo, los ingresos para los gestores se verán también beneficiados en igual proporción, siendo esto un esquema de mutuo beneficio para las partes</w:t>
      </w:r>
      <w:r>
        <w:t>.</w:t>
      </w:r>
    </w:p>
    <w:p w14:paraId="7C0E8343" w14:textId="77777777" w:rsidR="007819DA" w:rsidRDefault="00FC7563" w:rsidP="00067B94">
      <w:pPr>
        <w:pStyle w:val="Sinespaciado"/>
        <w:jc w:val="both"/>
      </w:pPr>
      <w:r w:rsidRPr="008139F6">
        <w:t xml:space="preserve">La comisión máxima autorizada </w:t>
      </w:r>
      <w:r w:rsidRPr="00FA1291">
        <w:t xml:space="preserve">por </w:t>
      </w:r>
      <w:r w:rsidR="00321EDA">
        <w:t>el regulador de pensiones</w:t>
      </w:r>
      <w:r w:rsidRPr="00FA1291">
        <w:t xml:space="preserve"> es de </w:t>
      </w:r>
      <w:r w:rsidR="001D74D6" w:rsidRPr="00FA1291">
        <w:t>0,35% anual sobre saldo administrado.</w:t>
      </w:r>
    </w:p>
    <w:p w14:paraId="53CE9CAC" w14:textId="77777777" w:rsidR="00C61C70" w:rsidRPr="00FA1291" w:rsidRDefault="00C61C70" w:rsidP="00067B94">
      <w:pPr>
        <w:pStyle w:val="Sinespaciado"/>
        <w:jc w:val="both"/>
      </w:pPr>
    </w:p>
    <w:p w14:paraId="385D4BBA" w14:textId="77777777" w:rsidR="0072365D" w:rsidRDefault="0072365D" w:rsidP="00067B94">
      <w:pPr>
        <w:pStyle w:val="Sinespaciado"/>
        <w:jc w:val="both"/>
        <w:rPr>
          <w:b/>
          <w:bCs/>
        </w:rPr>
      </w:pPr>
    </w:p>
    <w:p w14:paraId="6E2EDEDB" w14:textId="77777777" w:rsidR="00B47A67" w:rsidRDefault="00CF094B" w:rsidP="00067B94">
      <w:pPr>
        <w:pStyle w:val="Ttulo3"/>
        <w:jc w:val="both"/>
      </w:pPr>
      <w:bookmarkStart w:id="75" w:name="_Toc144396559"/>
      <w:r>
        <w:t xml:space="preserve">6.2.2. </w:t>
      </w:r>
      <w:r w:rsidR="00B95713">
        <w:t xml:space="preserve">Efecto sobre </w:t>
      </w:r>
      <w:r w:rsidR="008E0E91">
        <w:t xml:space="preserve">los resultados operativos </w:t>
      </w:r>
      <w:r w:rsidR="000972C8">
        <w:t>en</w:t>
      </w:r>
      <w:r w:rsidR="008E0E91">
        <w:t xml:space="preserve"> las entidades administradoras</w:t>
      </w:r>
      <w:bookmarkEnd w:id="75"/>
    </w:p>
    <w:p w14:paraId="172871EB" w14:textId="77777777" w:rsidR="00B47A67" w:rsidRDefault="00B47A67" w:rsidP="00067B94">
      <w:pPr>
        <w:jc w:val="both"/>
      </w:pPr>
    </w:p>
    <w:p w14:paraId="05A70FAE" w14:textId="77777777" w:rsidR="00F62D49" w:rsidRDefault="005E6D85" w:rsidP="00067B94">
      <w:pPr>
        <w:jc w:val="both"/>
      </w:pPr>
      <w:r>
        <w:t xml:space="preserve">Con el propósito de evaluar el impacto de </w:t>
      </w:r>
      <w:r w:rsidR="2956C2DC">
        <w:t>esta</w:t>
      </w:r>
      <w:r>
        <w:t xml:space="preserve"> propuesta en </w:t>
      </w:r>
      <w:r w:rsidR="3A032922">
        <w:t xml:space="preserve">los </w:t>
      </w:r>
      <w:r w:rsidR="70222AF0">
        <w:t>resultados</w:t>
      </w:r>
      <w:r w:rsidR="1C1CE30F">
        <w:t xml:space="preserve"> financieros</w:t>
      </w:r>
      <w:r>
        <w:t xml:space="preserve"> de las entidades</w:t>
      </w:r>
      <w:r w:rsidR="007C6AA5">
        <w:t>,</w:t>
      </w:r>
      <w:r>
        <w:t xml:space="preserve"> se procedió a construir un modelo de proyección de las principales líneas operativas del negocio (</w:t>
      </w:r>
      <w:r w:rsidR="00A20266">
        <w:t>ingresos y gastos operativos</w:t>
      </w:r>
      <w:r>
        <w:t>)</w:t>
      </w:r>
      <w:r w:rsidR="001860C4">
        <w:t>.</w:t>
      </w:r>
    </w:p>
    <w:p w14:paraId="75112860" w14:textId="77777777" w:rsidR="00C64196" w:rsidRDefault="00456064" w:rsidP="00507733">
      <w:pPr>
        <w:pStyle w:val="Descripcin"/>
        <w:jc w:val="both"/>
      </w:pPr>
      <w:r>
        <w:t xml:space="preserve">La proyección de ingresos se realiza tomando como base los ingresos de las entidades producto de las </w:t>
      </w:r>
      <w:r w:rsidRPr="00456064">
        <w:t>comisiones por administración</w:t>
      </w:r>
      <w:r w:rsidR="00C64196">
        <w:t>, l</w:t>
      </w:r>
      <w:r>
        <w:t xml:space="preserve">as cuales son </w:t>
      </w:r>
      <w:r w:rsidR="00A74280">
        <w:t>incrementad</w:t>
      </w:r>
      <w:r w:rsidR="001C174A">
        <w:t>a</w:t>
      </w:r>
      <w:r w:rsidR="00A74280">
        <w:t>s</w:t>
      </w:r>
      <w:r>
        <w:t xml:space="preserve"> para los próximos años </w:t>
      </w:r>
      <w:r w:rsidR="00CA3569">
        <w:t>(</w:t>
      </w:r>
      <w:r w:rsidR="00CA3569" w:rsidRPr="00456064">
        <w:t>2024 y 2025</w:t>
      </w:r>
      <w:r w:rsidR="00CA3569">
        <w:t>)</w:t>
      </w:r>
      <w:r w:rsidR="00DF0179">
        <w:t xml:space="preserve">, dado el crecimiento de los activos, generado por </w:t>
      </w:r>
      <w:r w:rsidR="00FE4384">
        <w:t>las nuevas estrategias</w:t>
      </w:r>
      <w:r w:rsidR="00DF0179">
        <w:t xml:space="preserve"> de inversión, las cuales se representan</w:t>
      </w:r>
      <w:r w:rsidR="00CA3569">
        <w:t xml:space="preserve"> </w:t>
      </w:r>
      <w:r w:rsidRPr="00456064">
        <w:t xml:space="preserve">en </w:t>
      </w:r>
      <w:r>
        <w:t>tres</w:t>
      </w:r>
      <w:r w:rsidRPr="00456064">
        <w:t xml:space="preserve"> escenarios: crecimiento bajo 5%; crecimiento medio 10%; crecimiento alto de un 15%. </w:t>
      </w:r>
    </w:p>
    <w:p w14:paraId="2E46E47C" w14:textId="77777777" w:rsidR="00507733" w:rsidRPr="00507733" w:rsidRDefault="00507733" w:rsidP="00507733">
      <w:pPr>
        <w:spacing w:after="0" w:line="240" w:lineRule="auto"/>
      </w:pPr>
    </w:p>
    <w:p w14:paraId="70B83B64" w14:textId="77777777" w:rsidR="00A34978" w:rsidRDefault="1DB0D1B5" w:rsidP="00507733">
      <w:pPr>
        <w:pStyle w:val="Descripcin"/>
        <w:jc w:val="both"/>
      </w:pPr>
      <w:r>
        <w:t>Para l</w:t>
      </w:r>
      <w:r w:rsidR="009E3F96">
        <w:t>a estimación de</w:t>
      </w:r>
      <w:r w:rsidR="00AE72C3">
        <w:t xml:space="preserve"> los gastos operativo</w:t>
      </w:r>
      <w:r w:rsidR="000067C7">
        <w:t>s</w:t>
      </w:r>
      <w:r w:rsidR="00AE72C3">
        <w:t xml:space="preserve"> </w:t>
      </w:r>
      <w:r w:rsidR="00097D4E">
        <w:t>para los próximos años</w:t>
      </w:r>
      <w:r w:rsidR="00AB7BF8">
        <w:t xml:space="preserve"> </w:t>
      </w:r>
      <w:r w:rsidR="00AE72C3">
        <w:t>se tomó como base la información histórica de agosto de 2020 a junio de 2023</w:t>
      </w:r>
      <w:r w:rsidR="009B220B">
        <w:t>. Primero</w:t>
      </w:r>
      <w:r w:rsidR="00C84F60">
        <w:t xml:space="preserve">, </w:t>
      </w:r>
      <w:r w:rsidR="00F22CE4">
        <w:t>se increment</w:t>
      </w:r>
      <w:r w:rsidR="00645A0C">
        <w:t xml:space="preserve">aron los ingresos </w:t>
      </w:r>
      <w:r w:rsidR="00C84F60">
        <w:lastRenderedPageBreak/>
        <w:t>operativo</w:t>
      </w:r>
      <w:r w:rsidR="00645A0C">
        <w:t>s</w:t>
      </w:r>
      <w:r w:rsidR="00C84F60">
        <w:t xml:space="preserve"> </w:t>
      </w:r>
      <w:r w:rsidR="007347AB">
        <w:t>según tres escenarios</w:t>
      </w:r>
      <w:r w:rsidR="00DD6DC2">
        <w:t>:</w:t>
      </w:r>
      <w:r w:rsidR="007347AB">
        <w:t xml:space="preserve"> crecimiento bajo (5%), crecimiento medio (10%) y crecimiento alto (15%). </w:t>
      </w:r>
      <w:r w:rsidR="00D93EE7">
        <w:t xml:space="preserve">En segundo lugar, </w:t>
      </w:r>
      <w:r w:rsidR="002C463E">
        <w:t>se model</w:t>
      </w:r>
      <w:r w:rsidR="00507733">
        <w:t>ó</w:t>
      </w:r>
      <w:r w:rsidR="002C463E">
        <w:t xml:space="preserve"> el incremento en los gastos producto de la reforma. </w:t>
      </w:r>
      <w:r w:rsidR="00507733">
        <w:t>En esa línea,</w:t>
      </w:r>
      <w:r w:rsidR="005F3A40">
        <w:t xml:space="preserve"> se reconoce un crecimiento de las cuentas de gasto agregado de un nivel de 5% de crecimiento, da</w:t>
      </w:r>
      <w:r w:rsidR="00507733">
        <w:t>t</w:t>
      </w:r>
      <w:r w:rsidR="005F3A40">
        <w:t>o respaldado por los datos históricos.</w:t>
      </w:r>
      <w:r w:rsidR="007F6EB4">
        <w:t xml:space="preserve"> En tercer lugar, se </w:t>
      </w:r>
      <w:r w:rsidR="004519D4">
        <w:t>les</w:t>
      </w:r>
      <w:r w:rsidR="00F760B5">
        <w:t xml:space="preserve"> </w:t>
      </w:r>
      <w:r w:rsidR="00DD6DC2">
        <w:t>adicion</w:t>
      </w:r>
      <w:r w:rsidR="003C19F7">
        <w:t xml:space="preserve">a a los gastos operativos vigentes un nuevo componente, producto de los </w:t>
      </w:r>
      <w:r w:rsidR="00507733">
        <w:t>posibles gastos adicionales</w:t>
      </w:r>
      <w:r w:rsidR="003C19F7">
        <w:t xml:space="preserve"> que se tendrá</w:t>
      </w:r>
      <w:r w:rsidR="00507733">
        <w:t>n</w:t>
      </w:r>
      <w:r w:rsidR="003C19F7">
        <w:t xml:space="preserve"> como resultado del proyecto de fondos generacionales. Específicamente se reconoce un crecimiento </w:t>
      </w:r>
      <w:r w:rsidR="004519D4">
        <w:t>en las cuentas de</w:t>
      </w:r>
      <w:r w:rsidR="006E0160">
        <w:t xml:space="preserve"> servicios y </w:t>
      </w:r>
      <w:r w:rsidR="004519D4">
        <w:t>gastos de personal. Este último incremento se model</w:t>
      </w:r>
      <w:r w:rsidR="00507733">
        <w:t>ó</w:t>
      </w:r>
      <w:r w:rsidR="004519D4">
        <w:t xml:space="preserve"> como el</w:t>
      </w:r>
      <w:r w:rsidR="00ED6FA1">
        <w:t xml:space="preserve"> </w:t>
      </w:r>
      <w:r w:rsidR="004519D4">
        <w:t>monto</w:t>
      </w:r>
      <w:r w:rsidR="00204133">
        <w:t xml:space="preserve"> que </w:t>
      </w:r>
      <w:r w:rsidR="005A4CAD">
        <w:t xml:space="preserve">en </w:t>
      </w:r>
      <w:r w:rsidR="00204133">
        <w:t>el 80% de las veces fue el más alto en los registros</w:t>
      </w:r>
      <w:r w:rsidR="00FA629A">
        <w:t xml:space="preserve"> históricos</w:t>
      </w:r>
      <w:r w:rsidR="002D78FD">
        <w:t xml:space="preserve"> mensuales</w:t>
      </w:r>
      <w:r w:rsidR="000067C7">
        <w:t xml:space="preserve"> en </w:t>
      </w:r>
      <w:r w:rsidR="006E0160">
        <w:t>esos rubros</w:t>
      </w:r>
      <w:r w:rsidR="00884D64">
        <w:t>.</w:t>
      </w:r>
      <w:r w:rsidR="000A41E5">
        <w:t xml:space="preserve"> </w:t>
      </w:r>
    </w:p>
    <w:p w14:paraId="66CB5D11" w14:textId="77777777" w:rsidR="00A34978" w:rsidRDefault="00A34978" w:rsidP="00507733">
      <w:pPr>
        <w:pStyle w:val="Descripcin"/>
        <w:jc w:val="both"/>
      </w:pPr>
    </w:p>
    <w:p w14:paraId="22BE4B31" w14:textId="77777777" w:rsidR="00507733" w:rsidRDefault="00507733" w:rsidP="00067B94">
      <w:pPr>
        <w:pStyle w:val="Descripcin"/>
        <w:jc w:val="both"/>
      </w:pPr>
      <w:bookmarkStart w:id="76" w:name="_Ref139284152"/>
      <w:bookmarkStart w:id="77" w:name="_Ref139452199"/>
    </w:p>
    <w:p w14:paraId="79574D7F" w14:textId="77777777" w:rsidR="0093544A" w:rsidRDefault="0093544A" w:rsidP="00067B94">
      <w:pPr>
        <w:pStyle w:val="Descripcin"/>
        <w:jc w:val="both"/>
      </w:pPr>
      <w:r>
        <w:t xml:space="preserve">Gráfico </w:t>
      </w:r>
      <w:bookmarkEnd w:id="76"/>
      <w:r w:rsidR="007E7F46">
        <w:t>10</w:t>
      </w:r>
      <w:r>
        <w:t>: Proyecciones de gastos</w:t>
      </w:r>
      <w:r w:rsidR="007A7DE2">
        <w:t xml:space="preserve"> operativos </w:t>
      </w:r>
      <w:r w:rsidR="004E16D0">
        <w:t xml:space="preserve">y </w:t>
      </w:r>
      <w:r w:rsidR="007C21FC">
        <w:t>gastos adicionales por Fondos Generacio</w:t>
      </w:r>
      <w:r w:rsidR="00C2096D">
        <w:t xml:space="preserve">nales, </w:t>
      </w:r>
      <w:r w:rsidR="007A7DE2">
        <w:t>por año</w:t>
      </w:r>
      <w:r w:rsidR="006F6E7F">
        <w:t>,</w:t>
      </w:r>
      <w:r w:rsidR="00C2096D">
        <w:t xml:space="preserve"> </w:t>
      </w:r>
      <w:r w:rsidR="007A7DE2">
        <w:t>según gestor</w:t>
      </w:r>
      <w:bookmarkEnd w:id="77"/>
    </w:p>
    <w:p w14:paraId="2544F1E8" w14:textId="77777777" w:rsidR="00201631" w:rsidRDefault="00201631" w:rsidP="00EC5E4E">
      <w:pPr>
        <w:pStyle w:val="Descripcin"/>
        <w:jc w:val="both"/>
        <w:rPr>
          <w:rStyle w:val="ui-provider"/>
        </w:rPr>
      </w:pPr>
    </w:p>
    <w:p w14:paraId="610112FE" w14:textId="77777777" w:rsidR="0088232B" w:rsidRDefault="005D2B9E" w:rsidP="00EC5E4E">
      <w:pPr>
        <w:pStyle w:val="Descripcin"/>
        <w:jc w:val="both"/>
        <w:rPr>
          <w:rStyle w:val="ui-provider"/>
          <w:i/>
          <w:iCs/>
        </w:rPr>
      </w:pPr>
      <w:r w:rsidRPr="00CB137B">
        <w:rPr>
          <w:rStyle w:val="ui-provider"/>
          <w:i/>
          <w:iCs/>
        </w:rPr>
        <w:t xml:space="preserve">Se suprime la información de carácter privado de las operadoras, según el artículo 24 de la Constitución Política, el artículo 166 de la Ley reguladora del mercado de Valores, y  la  sentencia No. 2120-2003 de las 13:30 horas del 14 de marzo del 2003 de la Sala Constitucional de la Corte Suprema de Justicia, reiterada por la resolución de ese mismo órgano jurisdiccional </w:t>
      </w:r>
      <w:proofErr w:type="spellStart"/>
      <w:r w:rsidRPr="00CB137B">
        <w:rPr>
          <w:rStyle w:val="ui-provider"/>
          <w:i/>
          <w:iCs/>
        </w:rPr>
        <w:t>Nº</w:t>
      </w:r>
      <w:proofErr w:type="spellEnd"/>
      <w:r w:rsidRPr="00CB137B">
        <w:rPr>
          <w:rStyle w:val="ui-provider"/>
          <w:i/>
          <w:iCs/>
        </w:rPr>
        <w:t xml:space="preserve"> 2023006926 de las nueve horas treinta minutos del veinticuatro de marzo de dos mil veintitrés, jurisprudencia de acatamiento obligatorio, según señala el artículo 13 de la Ley de la jurisdicción constitucional</w:t>
      </w:r>
      <w:r w:rsidR="0088232B">
        <w:rPr>
          <w:rStyle w:val="ui-provider"/>
          <w:i/>
          <w:iCs/>
        </w:rPr>
        <w:t>.</w:t>
      </w:r>
    </w:p>
    <w:p w14:paraId="01427F95" w14:textId="77777777" w:rsidR="0088232B" w:rsidRDefault="0088232B" w:rsidP="00EC5E4E">
      <w:pPr>
        <w:pStyle w:val="Descripcin"/>
        <w:jc w:val="both"/>
        <w:rPr>
          <w:rStyle w:val="ui-provider"/>
          <w:i/>
          <w:iCs/>
        </w:rPr>
      </w:pPr>
    </w:p>
    <w:p w14:paraId="6F251A6B" w14:textId="77777777" w:rsidR="00CB137B" w:rsidRPr="00CB137B" w:rsidRDefault="00CB137B" w:rsidP="00CB137B"/>
    <w:p w14:paraId="7D7369EA" w14:textId="77777777" w:rsidR="008B1D55" w:rsidRPr="00852A92" w:rsidRDefault="00B13D52" w:rsidP="00EC5E4E">
      <w:pPr>
        <w:pStyle w:val="Descripcin"/>
        <w:jc w:val="both"/>
        <w:rPr>
          <w:color w:val="FF0000"/>
        </w:rPr>
      </w:pPr>
      <w:r>
        <w:t xml:space="preserve">Para </w:t>
      </w:r>
      <w:r w:rsidR="00CA4D1A">
        <w:t>contrastar</w:t>
      </w:r>
      <w:r>
        <w:t xml:space="preserve"> los resultados de esta</w:t>
      </w:r>
      <w:r w:rsidR="00CA4D1A">
        <w:t xml:space="preserve"> estimación</w:t>
      </w:r>
      <w:r w:rsidR="000C4070">
        <w:t>,</w:t>
      </w:r>
      <w:r w:rsidR="00CA4D1A">
        <w:t xml:space="preserve"> se toma como referencia </w:t>
      </w:r>
      <w:r w:rsidR="006D7853">
        <w:t>una</w:t>
      </w:r>
      <w:r w:rsidR="00D475B3">
        <w:t xml:space="preserve"> estimación de costos</w:t>
      </w:r>
      <w:r w:rsidR="001A5BD0">
        <w:t xml:space="preserve"> (</w:t>
      </w:r>
      <w:r w:rsidR="005F2568">
        <w:t xml:space="preserve">dentro de ellos </w:t>
      </w:r>
      <w:r w:rsidR="0074086F">
        <w:t xml:space="preserve">la adquisición de un software especializado en la gestión </w:t>
      </w:r>
      <w:r w:rsidR="00343467">
        <w:t>y optimización de portafolios de inversión)</w:t>
      </w:r>
      <w:r w:rsidR="00A71792">
        <w:t>, la cual no es considerada</w:t>
      </w:r>
      <w:r w:rsidR="00F70B58">
        <w:t xml:space="preserve"> como gasto</w:t>
      </w:r>
      <w:r w:rsidR="009C7C61">
        <w:t xml:space="preserve">, dado que </w:t>
      </w:r>
      <w:r w:rsidR="00AB6BCA">
        <w:t>podría</w:t>
      </w:r>
      <w:r w:rsidR="009C7C61">
        <w:t xml:space="preserve"> ser tratada contablemente como </w:t>
      </w:r>
      <w:r w:rsidR="00FC72CC">
        <w:t>inversión</w:t>
      </w:r>
      <w:r w:rsidR="00AD2E75">
        <w:t>.</w:t>
      </w:r>
      <w:r w:rsidR="00343467">
        <w:t xml:space="preserve"> </w:t>
      </w:r>
      <w:r w:rsidR="009407D2">
        <w:t xml:space="preserve">Considerando datos </w:t>
      </w:r>
      <w:r w:rsidR="00E17564">
        <w:t>generales</w:t>
      </w:r>
      <w:r w:rsidR="006F23DB">
        <w:t xml:space="preserve"> </w:t>
      </w:r>
      <w:r w:rsidR="009407D2">
        <w:t>de la industria, e</w:t>
      </w:r>
      <w:r w:rsidR="008B1D55" w:rsidRPr="009420FE">
        <w:t>n total</w:t>
      </w:r>
      <w:r w:rsidR="008F2D92">
        <w:t xml:space="preserve"> de gastos adicionales </w:t>
      </w:r>
      <w:r w:rsidR="007F0C57">
        <w:t>por el proyecto</w:t>
      </w:r>
      <w:r w:rsidR="008B1D55" w:rsidRPr="009420FE">
        <w:t>, sin considerar el software para la implementación de modelos de asignación de activos y optimización de portafolios de inversión</w:t>
      </w:r>
      <w:r w:rsidR="00A02C9A">
        <w:t>, se estima</w:t>
      </w:r>
      <w:r w:rsidR="002546D9">
        <w:t>,</w:t>
      </w:r>
      <w:r w:rsidR="00A02C9A">
        <w:t xml:space="preserve"> en</w:t>
      </w:r>
      <w:r w:rsidR="00EE03AD">
        <w:t xml:space="preserve"> promedio por O</w:t>
      </w:r>
      <w:r w:rsidR="00E07B30">
        <w:t>peradora</w:t>
      </w:r>
      <w:r w:rsidR="00507733">
        <w:t>,</w:t>
      </w:r>
      <w:r w:rsidR="001E44A2">
        <w:t xml:space="preserve"> </w:t>
      </w:r>
      <w:r w:rsidR="00A02C9A">
        <w:t>un monto de</w:t>
      </w:r>
      <w:r w:rsidR="008B1D55" w:rsidRPr="009420FE">
        <w:t xml:space="preserve"> 219 millones de colones</w:t>
      </w:r>
      <w:r w:rsidR="00826633">
        <w:t xml:space="preserve">, mientras que el modelo </w:t>
      </w:r>
      <w:r w:rsidR="00507733">
        <w:t xml:space="preserve">de proyección </w:t>
      </w:r>
      <w:r w:rsidR="00826633">
        <w:t>de la SUPEN reconoce en promedio</w:t>
      </w:r>
      <w:r w:rsidR="002C52A9">
        <w:t xml:space="preserve"> 362 millones.</w:t>
      </w:r>
    </w:p>
    <w:p w14:paraId="4FB322BA" w14:textId="77777777" w:rsidR="00AB5B89" w:rsidRDefault="00AB5B89" w:rsidP="009420FE">
      <w:pPr>
        <w:pStyle w:val="Descripcin"/>
        <w:jc w:val="both"/>
      </w:pPr>
    </w:p>
    <w:p w14:paraId="264828FE" w14:textId="77777777" w:rsidR="00866593" w:rsidRDefault="00B478E1" w:rsidP="00B478E1">
      <w:pPr>
        <w:pStyle w:val="Descripcin"/>
      </w:pPr>
      <w:bookmarkStart w:id="78" w:name="_Ref139284746"/>
      <w:r>
        <w:t xml:space="preserve">Cuadro </w:t>
      </w:r>
      <w:bookmarkEnd w:id="78"/>
      <w:r w:rsidR="00507733">
        <w:t>11</w:t>
      </w:r>
      <w:r w:rsidR="008E07B6">
        <w:t>: Estimaciones de incrementos en gastos</w:t>
      </w:r>
    </w:p>
    <w:p w14:paraId="39594F92" w14:textId="77777777" w:rsidR="00B478E1" w:rsidRDefault="00B478E1" w:rsidP="00B478E1"/>
    <w:p w14:paraId="324E6FD4" w14:textId="77777777" w:rsidR="00201631" w:rsidRPr="00CB137B" w:rsidRDefault="005D2B9E" w:rsidP="0036175F">
      <w:pPr>
        <w:pStyle w:val="Descripcin"/>
        <w:jc w:val="both"/>
        <w:rPr>
          <w:rStyle w:val="ui-provider"/>
          <w:i/>
          <w:iCs/>
        </w:rPr>
      </w:pPr>
      <w:r w:rsidRPr="00CB137B">
        <w:rPr>
          <w:rStyle w:val="ui-provider"/>
          <w:i/>
          <w:iCs/>
        </w:rPr>
        <w:t xml:space="preserve">Se suprime la información de carácter privado de las operadoras, según el artículo 24 de la Constitución Política, el artículo 166 de la Ley reguladora del mercado de Valores, y  la  sentencia No. 2120-2003 de las 13:30 horas del 14 de marzo del 2003 de la Sala Constitucional de la Corte Suprema de Justicia, reiterada por la resolución de ese mismo órgano jurisdiccional </w:t>
      </w:r>
      <w:proofErr w:type="spellStart"/>
      <w:r w:rsidRPr="00CB137B">
        <w:rPr>
          <w:rStyle w:val="ui-provider"/>
          <w:i/>
          <w:iCs/>
        </w:rPr>
        <w:t>Nº</w:t>
      </w:r>
      <w:proofErr w:type="spellEnd"/>
      <w:r w:rsidRPr="00CB137B">
        <w:rPr>
          <w:rStyle w:val="ui-provider"/>
          <w:i/>
          <w:iCs/>
        </w:rPr>
        <w:t xml:space="preserve"> 2023006926 de las nueve horas treinta minutos del veinticuatro de marzo de dos mil veintitrés, jurisprudencia de acatamiento obligatorio, según señala el artículo 13 de la Ley de la jurisdicción constitucional</w:t>
      </w:r>
      <w:r w:rsidR="00201631" w:rsidRPr="00CB137B">
        <w:rPr>
          <w:rStyle w:val="ui-provider"/>
          <w:i/>
          <w:iCs/>
        </w:rPr>
        <w:t>.</w:t>
      </w:r>
    </w:p>
    <w:p w14:paraId="0624DF0D" w14:textId="77777777" w:rsidR="00CB137B" w:rsidRPr="00CB137B" w:rsidRDefault="00CB137B" w:rsidP="00CB137B"/>
    <w:p w14:paraId="4F8DB0B1" w14:textId="77777777" w:rsidR="0036175F" w:rsidRDefault="005E6D85" w:rsidP="0036175F">
      <w:pPr>
        <w:pStyle w:val="Descripcin"/>
        <w:jc w:val="both"/>
      </w:pPr>
      <w:r>
        <w:t>A partir</w:t>
      </w:r>
      <w:r w:rsidR="003F1137">
        <w:t xml:space="preserve"> </w:t>
      </w:r>
      <w:r w:rsidR="00730A0B">
        <w:t xml:space="preserve">de las estimaciones </w:t>
      </w:r>
      <w:r w:rsidR="003C5655">
        <w:t>de ingresos y gastos, más</w:t>
      </w:r>
      <w:r w:rsidR="00F943D1">
        <w:t xml:space="preserve"> </w:t>
      </w:r>
      <w:r w:rsidR="003C124E">
        <w:t>el costo incremental de proyecto</w:t>
      </w:r>
      <w:r w:rsidR="009E6E1D">
        <w:t xml:space="preserve"> </w:t>
      </w:r>
      <w:r w:rsidR="00D1733D">
        <w:t>para cada entidad</w:t>
      </w:r>
      <w:r w:rsidR="00507733">
        <w:t>,</w:t>
      </w:r>
      <w:r>
        <w:t xml:space="preserve"> </w:t>
      </w:r>
      <w:r w:rsidR="00730A0B">
        <w:t xml:space="preserve">se calcula </w:t>
      </w:r>
      <w:r>
        <w:t>el resultado operativo como porcentaje del patrimonio (ROE por sus siglas en inglés)</w:t>
      </w:r>
      <w:r w:rsidR="0036175F">
        <w:t xml:space="preserve">. </w:t>
      </w:r>
    </w:p>
    <w:p w14:paraId="09C04E45" w14:textId="77777777" w:rsidR="009E6E1D" w:rsidRDefault="009E6E1D" w:rsidP="009E6E1D">
      <w:pPr>
        <w:jc w:val="both"/>
      </w:pPr>
    </w:p>
    <w:p w14:paraId="318769FC" w14:textId="77777777" w:rsidR="00CB137B" w:rsidRDefault="00CB137B" w:rsidP="009E6E1D">
      <w:pPr>
        <w:jc w:val="both"/>
      </w:pPr>
    </w:p>
    <w:p w14:paraId="32F9B5E0" w14:textId="77777777" w:rsidR="00F5064E" w:rsidRDefault="00F5064E" w:rsidP="009E6E1D">
      <w:pPr>
        <w:jc w:val="both"/>
      </w:pPr>
    </w:p>
    <w:p w14:paraId="30C3173C" w14:textId="77777777" w:rsidR="00B47A67" w:rsidRDefault="00B47A67" w:rsidP="00B47A67">
      <w:pPr>
        <w:pStyle w:val="Descripcin"/>
      </w:pPr>
      <w:bookmarkStart w:id="79" w:name="_Ref137125329"/>
      <w:r>
        <w:lastRenderedPageBreak/>
        <w:t xml:space="preserve">Cuadro </w:t>
      </w:r>
      <w:bookmarkEnd w:id="79"/>
      <w:r w:rsidR="00507733">
        <w:t>12</w:t>
      </w:r>
      <w:r>
        <w:t xml:space="preserve">: Efecto de Fondos Generacionales en </w:t>
      </w:r>
      <w:r w:rsidR="00507733">
        <w:t xml:space="preserve">el </w:t>
      </w:r>
      <w:r>
        <w:t>ROE operativo de las entidades</w:t>
      </w:r>
    </w:p>
    <w:p w14:paraId="475F2FDD" w14:textId="77777777" w:rsidR="00507733" w:rsidRDefault="00507733" w:rsidP="005E6D85">
      <w:pPr>
        <w:tabs>
          <w:tab w:val="left" w:pos="921"/>
        </w:tabs>
        <w:spacing w:after="0" w:line="240" w:lineRule="auto"/>
        <w:jc w:val="both"/>
      </w:pPr>
    </w:p>
    <w:p w14:paraId="29BC0DAC" w14:textId="77777777" w:rsidR="00A34978" w:rsidRPr="00CB137B" w:rsidRDefault="005D2B9E" w:rsidP="005E6D85">
      <w:pPr>
        <w:tabs>
          <w:tab w:val="left" w:pos="921"/>
        </w:tabs>
        <w:spacing w:after="0" w:line="240" w:lineRule="auto"/>
        <w:jc w:val="both"/>
        <w:rPr>
          <w:rStyle w:val="ui-provider"/>
          <w:i/>
          <w:iCs/>
        </w:rPr>
      </w:pPr>
      <w:r w:rsidRPr="00CB137B">
        <w:rPr>
          <w:rStyle w:val="ui-provider"/>
          <w:i/>
          <w:iCs/>
        </w:rPr>
        <w:t xml:space="preserve">Se suprime la información de carácter privado de las operadoras, según el artículo 24 de la Constitución Política, el artículo 166 de la Ley reguladora del mercado de Valores, y  la  sentencia No. 2120-2003 de las 13:30 horas del 14 de marzo del 2003 de la Sala Constitucional de la Corte Suprema de Justicia, reiterada por la resolución de ese mismo órgano jurisdiccional </w:t>
      </w:r>
      <w:proofErr w:type="spellStart"/>
      <w:r w:rsidRPr="00CB137B">
        <w:rPr>
          <w:rStyle w:val="ui-provider"/>
          <w:i/>
          <w:iCs/>
        </w:rPr>
        <w:t>Nº</w:t>
      </w:r>
      <w:proofErr w:type="spellEnd"/>
      <w:r w:rsidRPr="00CB137B">
        <w:rPr>
          <w:rStyle w:val="ui-provider"/>
          <w:i/>
          <w:iCs/>
        </w:rPr>
        <w:t xml:space="preserve"> 2023006926 de las nueve horas treinta minutos del veinticuatro de marzo de dos mil veintitrés, jurisprudencia de acatamiento obligatorio, según señala el artículo 13 de la Ley de la jurisdicción constitucional</w:t>
      </w:r>
      <w:r w:rsidR="00201631" w:rsidRPr="00CB137B">
        <w:rPr>
          <w:rStyle w:val="ui-provider"/>
          <w:i/>
          <w:iCs/>
        </w:rPr>
        <w:t>.</w:t>
      </w:r>
    </w:p>
    <w:p w14:paraId="2E6557E7" w14:textId="77777777" w:rsidR="00201631" w:rsidRDefault="00201631" w:rsidP="005E6D85">
      <w:pPr>
        <w:tabs>
          <w:tab w:val="left" w:pos="921"/>
        </w:tabs>
        <w:spacing w:after="0" w:line="240" w:lineRule="auto"/>
        <w:jc w:val="both"/>
      </w:pPr>
    </w:p>
    <w:p w14:paraId="00E9F949" w14:textId="77777777" w:rsidR="00CB137B" w:rsidRDefault="00CB137B" w:rsidP="005E6D85">
      <w:pPr>
        <w:tabs>
          <w:tab w:val="left" w:pos="921"/>
        </w:tabs>
        <w:spacing w:after="0" w:line="240" w:lineRule="auto"/>
        <w:jc w:val="both"/>
      </w:pPr>
    </w:p>
    <w:p w14:paraId="2B0D1A1F" w14:textId="77777777" w:rsidR="005E6D85" w:rsidRPr="005A6DBF" w:rsidRDefault="00172685" w:rsidP="005E6D85">
      <w:pPr>
        <w:tabs>
          <w:tab w:val="left" w:pos="921"/>
        </w:tabs>
        <w:spacing w:after="0" w:line="240" w:lineRule="auto"/>
        <w:jc w:val="both"/>
      </w:pPr>
      <w:r>
        <w:t>Como resultado y p</w:t>
      </w:r>
      <w:r w:rsidR="00EE0E6B">
        <w:t>ara los próximos años, e</w:t>
      </w:r>
      <w:r w:rsidR="005E6D85" w:rsidRPr="005A6DBF">
        <w:t xml:space="preserve">n </w:t>
      </w:r>
      <w:r w:rsidR="005E6D85">
        <w:t xml:space="preserve">el </w:t>
      </w:r>
      <w:r w:rsidR="005E6D85" w:rsidRPr="005A6DBF">
        <w:t xml:space="preserve">escenario de bajo crecimiento en los saldos de los trabajadores, </w:t>
      </w:r>
      <w:r w:rsidR="005E6D85">
        <w:t>las entidades</w:t>
      </w:r>
      <w:r w:rsidR="005E6D85" w:rsidRPr="005A6DBF">
        <w:t xml:space="preserve"> mantendría</w:t>
      </w:r>
      <w:r w:rsidR="005E6D85">
        <w:t>n</w:t>
      </w:r>
      <w:r w:rsidR="005E6D85" w:rsidRPr="005A6DBF">
        <w:t xml:space="preserve"> los márgenes de operación</w:t>
      </w:r>
      <w:r w:rsidR="005E6D85">
        <w:t xml:space="preserve"> vigentes al 2023</w:t>
      </w:r>
      <w:r w:rsidR="005E6D85" w:rsidRPr="005A6DBF">
        <w:t>. De existir una recuperación, como se prevé en el escenario medio, con crecimientos semejantes a los que se tuvieron antes de la pandemia, con tasas de alrededor de 10%</w:t>
      </w:r>
      <w:r w:rsidR="005E6D85">
        <w:t xml:space="preserve"> de crecimiento en los activos administrados</w:t>
      </w:r>
      <w:r w:rsidR="005E6D85" w:rsidRPr="005A6DBF">
        <w:t>, los indicadores operativos de las entidades mejorarían</w:t>
      </w:r>
      <w:r w:rsidR="005E6D85">
        <w:t xml:space="preserve"> para todas las entidades</w:t>
      </w:r>
      <w:r w:rsidR="005E6D85" w:rsidRPr="005A6DBF">
        <w:t>. Tal y como es de esperar, si el saldo de los afiliados crece</w:t>
      </w:r>
      <w:r w:rsidR="005D21F2">
        <w:t xml:space="preserve"> más</w:t>
      </w:r>
      <w:r w:rsidR="005E6D85" w:rsidRPr="005A6DBF">
        <w:t>, producto de las nuevas estrategias de inversión, los ingresos por comisión sobre saldo administrado también tendrán un efecto adicional que favorecerá aún más los resultados operativos de las entidades, llevándolos a nivel muy superiores a los vigentes al año 2023 al llegar al año 2025</w:t>
      </w:r>
      <w:r w:rsidR="00BD2C8C">
        <w:t xml:space="preserve">. Es por esto </w:t>
      </w:r>
      <w:proofErr w:type="gramStart"/>
      <w:r>
        <w:t>que</w:t>
      </w:r>
      <w:proofErr w:type="gramEnd"/>
      <w:r w:rsidR="008D2BB7">
        <w:t xml:space="preserve"> no </w:t>
      </w:r>
      <w:r w:rsidR="00D14E71">
        <w:t>se considera</w:t>
      </w:r>
      <w:r w:rsidR="008D2BB7">
        <w:t xml:space="preserve"> </w:t>
      </w:r>
      <w:r w:rsidR="005E6D85">
        <w:t>necesario</w:t>
      </w:r>
      <w:r w:rsidR="008D2BB7">
        <w:t xml:space="preserve"> </w:t>
      </w:r>
      <w:r w:rsidR="005E6D85">
        <w:t>proponer ajustes a las comisiones en este momento.</w:t>
      </w:r>
    </w:p>
    <w:p w14:paraId="30AFDE5F" w14:textId="77777777" w:rsidR="005E6D85" w:rsidRDefault="005E6D85" w:rsidP="005E6D85">
      <w:pPr>
        <w:tabs>
          <w:tab w:val="left" w:pos="921"/>
        </w:tabs>
        <w:spacing w:after="0" w:line="240" w:lineRule="auto"/>
        <w:jc w:val="both"/>
        <w:rPr>
          <w:rFonts w:eastAsiaTheme="minorEastAsia"/>
          <w:sz w:val="24"/>
          <w:szCs w:val="24"/>
        </w:rPr>
      </w:pPr>
    </w:p>
    <w:p w14:paraId="65F2AFF3" w14:textId="77777777" w:rsidR="00B47A67" w:rsidRPr="005F0DB6" w:rsidRDefault="00B47A67" w:rsidP="00B47A67">
      <w:pPr>
        <w:tabs>
          <w:tab w:val="left" w:pos="921"/>
        </w:tabs>
        <w:spacing w:after="0" w:line="240" w:lineRule="auto"/>
        <w:jc w:val="both"/>
        <w:rPr>
          <w:rFonts w:eastAsiaTheme="minorEastAsia"/>
          <w:sz w:val="24"/>
          <w:szCs w:val="24"/>
        </w:rPr>
      </w:pPr>
    </w:p>
    <w:p w14:paraId="2A54DFC6" w14:textId="77777777" w:rsidR="00B47A67" w:rsidRPr="00F1215C" w:rsidRDefault="00B47A67" w:rsidP="00B47A67">
      <w:pPr>
        <w:pStyle w:val="Prrafodelista"/>
        <w:tabs>
          <w:tab w:val="left" w:pos="921"/>
        </w:tabs>
        <w:spacing w:after="0" w:line="240" w:lineRule="auto"/>
        <w:jc w:val="both"/>
        <w:rPr>
          <w:rFonts w:eastAsiaTheme="minorEastAsia"/>
          <w:sz w:val="24"/>
          <w:szCs w:val="24"/>
        </w:rPr>
      </w:pPr>
    </w:p>
    <w:p w14:paraId="15196CAC" w14:textId="77777777" w:rsidR="00B47A67" w:rsidRDefault="00B47A67" w:rsidP="00B47A67">
      <w:pPr>
        <w:rPr>
          <w:rFonts w:asciiTheme="majorHAnsi" w:eastAsiaTheme="majorEastAsia" w:hAnsiTheme="majorHAnsi" w:cstheme="majorBidi"/>
          <w:smallCaps/>
          <w:color w:val="2F5496" w:themeColor="accent1" w:themeShade="BF"/>
          <w:sz w:val="32"/>
          <w:szCs w:val="32"/>
        </w:rPr>
      </w:pPr>
      <w:r>
        <w:br w:type="page"/>
      </w:r>
    </w:p>
    <w:p w14:paraId="0B6ACFBD" w14:textId="77777777" w:rsidR="00B47A67" w:rsidRDefault="00B47A67" w:rsidP="00B47A67">
      <w:pPr>
        <w:pStyle w:val="Ttulo1"/>
      </w:pPr>
      <w:bookmarkStart w:id="80" w:name="_Toc144396560"/>
      <w:r>
        <w:lastRenderedPageBreak/>
        <w:t>Capítulo 7: Riesgos asociados a la propuesta</w:t>
      </w:r>
      <w:bookmarkEnd w:id="80"/>
    </w:p>
    <w:p w14:paraId="1BB0438E" w14:textId="77777777" w:rsidR="00B47A67" w:rsidRPr="00E71C25" w:rsidRDefault="00B47A67" w:rsidP="00B47A67"/>
    <w:p w14:paraId="541C5369" w14:textId="77777777" w:rsidR="00B47A67" w:rsidRDefault="00B47A67" w:rsidP="00B47A67">
      <w:pPr>
        <w:pStyle w:val="Ttulo2"/>
      </w:pPr>
      <w:bookmarkStart w:id="81" w:name="_Toc144396561"/>
      <w:r>
        <w:t>7.</w:t>
      </w:r>
      <w:r w:rsidR="00E10466">
        <w:t>1</w:t>
      </w:r>
      <w:r>
        <w:t>. Transición demográfica que afecte la apertura de nuevos fondos por década</w:t>
      </w:r>
      <w:bookmarkEnd w:id="81"/>
    </w:p>
    <w:p w14:paraId="5DB8BF28" w14:textId="77777777" w:rsidR="00B47A67" w:rsidRDefault="00B47A67" w:rsidP="00B47A67">
      <w:pPr>
        <w:spacing w:after="0" w:line="240" w:lineRule="auto"/>
        <w:jc w:val="both"/>
      </w:pPr>
    </w:p>
    <w:p w14:paraId="138A3D79" w14:textId="77777777" w:rsidR="00B47A67" w:rsidRDefault="00B47A67" w:rsidP="00B47A67">
      <w:pPr>
        <w:spacing w:after="0" w:line="240" w:lineRule="auto"/>
        <w:jc w:val="both"/>
      </w:pPr>
      <w:r>
        <w:t xml:space="preserve">La baja natalidad costarricense hace necesario evaluar la apertura de nuevas generaciones en función de las transiciones demográficas, </w:t>
      </w:r>
      <w:r w:rsidR="00713DC4">
        <w:t>s</w:t>
      </w:r>
      <w:r>
        <w:t xml:space="preserve">i el ritmo de crecimiento de la población disminuye, así como </w:t>
      </w:r>
      <w:r w:rsidR="00713DC4">
        <w:t xml:space="preserve">si se presentara una </w:t>
      </w:r>
      <w:r w:rsidR="00DF74E1">
        <w:t>transformación</w:t>
      </w:r>
      <w:r>
        <w:t xml:space="preserve"> del mercado laboral, </w:t>
      </w:r>
      <w:r w:rsidR="00DF74E1">
        <w:t xml:space="preserve">donde </w:t>
      </w:r>
      <w:r w:rsidR="0068521C">
        <w:t xml:space="preserve">podría migrarse </w:t>
      </w:r>
      <w:r>
        <w:t xml:space="preserve">en </w:t>
      </w:r>
      <w:r w:rsidR="0068521C">
        <w:t>los próximos años</w:t>
      </w:r>
      <w:r>
        <w:t xml:space="preserve"> a </w:t>
      </w:r>
      <w:r w:rsidR="00DF74E1">
        <w:t>una mayor proporción de personas en condición de trabajadores</w:t>
      </w:r>
      <w:r w:rsidR="009A222A">
        <w:t xml:space="preserve"> independiente</w:t>
      </w:r>
      <w:r w:rsidR="00DF74E1">
        <w:t>s</w:t>
      </w:r>
      <w:r w:rsidR="009A222A">
        <w:t xml:space="preserve"> o informal</w:t>
      </w:r>
      <w:r w:rsidR="00DF74E1">
        <w:t>es</w:t>
      </w:r>
      <w:r w:rsidR="009A222A">
        <w:t xml:space="preserve">, en detrimento del </w:t>
      </w:r>
      <w:r w:rsidR="000422BF">
        <w:t xml:space="preserve">trabajador </w:t>
      </w:r>
      <w:r w:rsidR="009A222A">
        <w:t>a</w:t>
      </w:r>
      <w:r w:rsidR="00FF1BA2">
        <w:t>salariado</w:t>
      </w:r>
      <w:r>
        <w:t xml:space="preserve">, </w:t>
      </w:r>
      <w:r w:rsidR="007113F8">
        <w:t>podría</w:t>
      </w:r>
      <w:r>
        <w:t xml:space="preserve"> comprometer los flujos proyectados de crecimiento de las generaciones, y por lo tanto condicionar en qué momento debe la generación de jóvenes separarse. </w:t>
      </w:r>
    </w:p>
    <w:p w14:paraId="3964F990" w14:textId="77777777" w:rsidR="00B47A67" w:rsidRDefault="00B47A67" w:rsidP="00B47A67"/>
    <w:p w14:paraId="71C6E266" w14:textId="77777777" w:rsidR="00B47A67" w:rsidRDefault="00B47A67" w:rsidP="00B47A67">
      <w:pPr>
        <w:pStyle w:val="Ttulo2"/>
      </w:pPr>
      <w:bookmarkStart w:id="82" w:name="_Toc144396562"/>
      <w:r>
        <w:t>7.</w:t>
      </w:r>
      <w:r w:rsidR="004870DA">
        <w:t>2</w:t>
      </w:r>
      <w:r>
        <w:t>. Nuevas crisis financieras</w:t>
      </w:r>
      <w:bookmarkEnd w:id="82"/>
    </w:p>
    <w:p w14:paraId="75E86221" w14:textId="77777777" w:rsidR="00B47A67" w:rsidRPr="00735BDE" w:rsidRDefault="00B47A67" w:rsidP="00B47A67"/>
    <w:p w14:paraId="6F098E96" w14:textId="77777777" w:rsidR="00B47A67" w:rsidRPr="00770504" w:rsidRDefault="00B47A67" w:rsidP="00B47A67">
      <w:pPr>
        <w:spacing w:after="0" w:line="240" w:lineRule="auto"/>
        <w:contextualSpacing/>
        <w:jc w:val="both"/>
      </w:pPr>
      <w:r w:rsidRPr="00770504">
        <w:t xml:space="preserve">El momento de vigencia de la separación del ROP en fondos por generación, parte del supuesto de que en la fecha focal </w:t>
      </w:r>
      <w:r w:rsidR="009E52FA">
        <w:t>octubre</w:t>
      </w:r>
      <w:r w:rsidRPr="00770504">
        <w:t xml:space="preserve"> del año 2024 se presentará </w:t>
      </w:r>
      <w:r w:rsidR="002F2D91">
        <w:t xml:space="preserve">relativa </w:t>
      </w:r>
      <w:r w:rsidRPr="00770504">
        <w:t>estabilidad en los mercados financieros. Hecho que permite disponer de información sin volatilidades influenciadas por la</w:t>
      </w:r>
      <w:r w:rsidR="00A23742">
        <w:t>s</w:t>
      </w:r>
      <w:r w:rsidRPr="00770504">
        <w:t xml:space="preserve"> crisis</w:t>
      </w:r>
      <w:r w:rsidR="00015E99">
        <w:t>,</w:t>
      </w:r>
      <w:r w:rsidRPr="00770504">
        <w:t xml:space="preserve"> que </w:t>
      </w:r>
      <w:r w:rsidR="00015E99">
        <w:t xml:space="preserve">pudieran </w:t>
      </w:r>
      <w:r w:rsidRPr="00770504">
        <w:t>gener</w:t>
      </w:r>
      <w:r w:rsidR="00015E99">
        <w:t>ar</w:t>
      </w:r>
      <w:r w:rsidRPr="00770504">
        <w:t xml:space="preserve"> problemas en los modelos de optimización</w:t>
      </w:r>
      <w:r w:rsidR="00037787">
        <w:t xml:space="preserve"> que este proyecto requiere</w:t>
      </w:r>
      <w:r w:rsidRPr="00770504">
        <w:t>.</w:t>
      </w:r>
    </w:p>
    <w:p w14:paraId="5CB00168" w14:textId="77777777" w:rsidR="00B47A67" w:rsidRPr="00770504" w:rsidRDefault="00B47A67" w:rsidP="00B47A67">
      <w:pPr>
        <w:spacing w:after="0" w:line="240" w:lineRule="auto"/>
        <w:contextualSpacing/>
        <w:jc w:val="both"/>
      </w:pPr>
    </w:p>
    <w:p w14:paraId="6732E8CB" w14:textId="77777777" w:rsidR="00B47A67" w:rsidRPr="00770504" w:rsidRDefault="005E6D85" w:rsidP="00B47A67">
      <w:pPr>
        <w:spacing w:after="0" w:line="240" w:lineRule="auto"/>
        <w:contextualSpacing/>
        <w:jc w:val="both"/>
      </w:pPr>
      <w:r w:rsidRPr="00770504">
        <w:t>D</w:t>
      </w:r>
      <w:r>
        <w:t>e</w:t>
      </w:r>
      <w:r w:rsidRPr="00770504">
        <w:t xml:space="preserve"> presentarse nuevas crisis en los mercados financieros, </w:t>
      </w:r>
      <w:r w:rsidR="00BB4496">
        <w:t xml:space="preserve">podría ser </w:t>
      </w:r>
      <w:r w:rsidRPr="00770504">
        <w:t xml:space="preserve">necesario evaluar la fecha de entrada a regir de la propuesta, procurando que la separación del ROP se dé </w:t>
      </w:r>
      <w:r>
        <w:t>en</w:t>
      </w:r>
      <w:r w:rsidR="00B47A67" w:rsidRPr="00770504">
        <w:t xml:space="preserve"> un momento de estabilidad en cuanto al valor de las inversiones, a efecto de evitar la materialización de pérdidas por ajustes en los portafolios de inversión que impi</w:t>
      </w:r>
      <w:r w:rsidR="00B47A67">
        <w:t>d</w:t>
      </w:r>
      <w:r w:rsidR="00B47A67" w:rsidRPr="00770504">
        <w:t>an formar expectativas sobre los instrumentos que conformar</w:t>
      </w:r>
      <w:r w:rsidR="00DC1B9A">
        <w:t>ían</w:t>
      </w:r>
      <w:r w:rsidR="00B47A67" w:rsidRPr="00770504">
        <w:t xml:space="preserve"> las estrategias de inversión.</w:t>
      </w:r>
    </w:p>
    <w:p w14:paraId="271990CF" w14:textId="77777777" w:rsidR="00B47A67" w:rsidRDefault="00B47A67" w:rsidP="00B47A67">
      <w:pPr>
        <w:rPr>
          <w:sz w:val="20"/>
          <w:szCs w:val="20"/>
        </w:rPr>
      </w:pPr>
    </w:p>
    <w:p w14:paraId="1AD51F9B" w14:textId="77777777" w:rsidR="00B47A67" w:rsidRPr="009F0CCA" w:rsidRDefault="00B47A67" w:rsidP="00B47A67">
      <w:pPr>
        <w:pStyle w:val="Textocomentario"/>
        <w:rPr>
          <w:color w:val="FF0000"/>
        </w:rPr>
      </w:pPr>
    </w:p>
    <w:p w14:paraId="7D2A3EF1" w14:textId="77777777" w:rsidR="00B47A67" w:rsidRDefault="00B47A67" w:rsidP="00B47A67">
      <w:pPr>
        <w:spacing w:after="0" w:line="240" w:lineRule="auto"/>
        <w:contextualSpacing/>
        <w:jc w:val="both"/>
      </w:pPr>
    </w:p>
    <w:p w14:paraId="58BDA83F" w14:textId="77777777" w:rsidR="00B47A67" w:rsidRPr="00CB07D4" w:rsidRDefault="00B47A67" w:rsidP="00B47A67">
      <w:pPr>
        <w:spacing w:after="0" w:line="240" w:lineRule="auto"/>
        <w:contextualSpacing/>
        <w:jc w:val="both"/>
      </w:pPr>
    </w:p>
    <w:p w14:paraId="7EEC6D19" w14:textId="77777777" w:rsidR="00B47A67" w:rsidRDefault="00B47A67" w:rsidP="00B47A67">
      <w:pPr>
        <w:spacing w:after="0" w:line="240" w:lineRule="auto"/>
        <w:contextualSpacing/>
        <w:jc w:val="both"/>
      </w:pPr>
    </w:p>
    <w:p w14:paraId="4F224DB8" w14:textId="77777777" w:rsidR="00B47A67" w:rsidRDefault="00B47A67" w:rsidP="00B47A67">
      <w:pPr>
        <w:spacing w:after="0" w:line="240" w:lineRule="auto"/>
        <w:contextualSpacing/>
        <w:jc w:val="both"/>
      </w:pPr>
    </w:p>
    <w:p w14:paraId="720C6C93" w14:textId="77777777" w:rsidR="00B47A67" w:rsidRDefault="00B47A67" w:rsidP="00B47A67">
      <w:r>
        <w:br w:type="page"/>
      </w:r>
    </w:p>
    <w:p w14:paraId="61AE3059" w14:textId="77777777" w:rsidR="00B47A67" w:rsidRDefault="00B47A67" w:rsidP="00B47A67">
      <w:pPr>
        <w:spacing w:after="0" w:line="240" w:lineRule="auto"/>
        <w:contextualSpacing/>
        <w:jc w:val="both"/>
      </w:pPr>
    </w:p>
    <w:bookmarkStart w:id="83" w:name="_Toc144396563" w:displacedByCustomXml="next"/>
    <w:sdt>
      <w:sdtPr>
        <w:rPr>
          <w:rFonts w:asciiTheme="minorHAnsi" w:eastAsiaTheme="minorHAnsi" w:hAnsiTheme="minorHAnsi" w:cstheme="minorBidi"/>
          <w:smallCaps/>
          <w:color w:val="auto"/>
          <w:sz w:val="22"/>
          <w:szCs w:val="22"/>
        </w:rPr>
        <w:id w:val="1139544234"/>
        <w:docPartObj>
          <w:docPartGallery w:val="Bibliographies"/>
          <w:docPartUnique/>
        </w:docPartObj>
      </w:sdtPr>
      <w:sdtEndPr>
        <w:rPr>
          <w:smallCaps w:val="0"/>
        </w:rPr>
      </w:sdtEndPr>
      <w:sdtContent>
        <w:p w14:paraId="7281A45D" w14:textId="77777777" w:rsidR="00B47A67" w:rsidRDefault="00B47A67" w:rsidP="00B47A67">
          <w:pPr>
            <w:pStyle w:val="Ttulo1"/>
          </w:pPr>
          <w:r>
            <w:t>Bibliografía</w:t>
          </w:r>
          <w:bookmarkEnd w:id="83"/>
        </w:p>
        <w:p w14:paraId="728B8269" w14:textId="77777777" w:rsidR="00B47A67" w:rsidRPr="00BC2F66" w:rsidRDefault="00B47A67" w:rsidP="00B47A67"/>
        <w:sdt>
          <w:sdtPr>
            <w:id w:val="111145805"/>
            <w:bibliography/>
          </w:sdtPr>
          <w:sdtEndPr/>
          <w:sdtContent>
            <w:p w14:paraId="6D16F572" w14:textId="77777777" w:rsidR="0091728B" w:rsidRDefault="00B47A67" w:rsidP="0091728B">
              <w:pPr>
                <w:pStyle w:val="Bibliografa"/>
                <w:ind w:left="720" w:hanging="720"/>
                <w:rPr>
                  <w:noProof/>
                  <w:sz w:val="24"/>
                  <w:szCs w:val="24"/>
                </w:rPr>
              </w:pPr>
              <w:r>
                <w:fldChar w:fldCharType="begin"/>
              </w:r>
              <w:r>
                <w:instrText>BIBLIOGRAPHY</w:instrText>
              </w:r>
              <w:r>
                <w:fldChar w:fldCharType="separate"/>
              </w:r>
              <w:r w:rsidR="0091728B">
                <w:rPr>
                  <w:noProof/>
                </w:rPr>
                <w:t xml:space="preserve">Chile. (s.f.). </w:t>
              </w:r>
              <w:r w:rsidR="0091728B">
                <w:rPr>
                  <w:i/>
                  <w:iCs/>
                  <w:noProof/>
                </w:rPr>
                <w:t>Ley 19795 Inversión de los fondos de pensiones</w:t>
              </w:r>
              <w:r w:rsidR="0091728B">
                <w:rPr>
                  <w:noProof/>
                </w:rPr>
                <w:t>. Obtenido de Biblioteca del Congreso: https://www.bcn.cl/leychile/navegar?i=194918</w:t>
              </w:r>
            </w:p>
            <w:p w14:paraId="24D307A2" w14:textId="77777777" w:rsidR="0091728B" w:rsidRDefault="0091728B" w:rsidP="0091728B">
              <w:pPr>
                <w:pStyle w:val="Bibliografa"/>
                <w:ind w:left="720" w:hanging="720"/>
                <w:rPr>
                  <w:noProof/>
                </w:rPr>
              </w:pPr>
              <w:r>
                <w:rPr>
                  <w:noProof/>
                </w:rPr>
                <w:t xml:space="preserve">Chile, S. d. (s.f.). </w:t>
              </w:r>
              <w:r>
                <w:rPr>
                  <w:i/>
                  <w:iCs/>
                  <w:noProof/>
                </w:rPr>
                <w:t>Régimen de Inversión de los Fondos de Pensiones</w:t>
              </w:r>
              <w:r>
                <w:rPr>
                  <w:noProof/>
                </w:rPr>
                <w:t>. Obtenido de Marco Normativo de las Inversiones de los Fondos de Pensiones: https://www.spensiones.cl/portal/institucional/594/articles-8473_recurso_1.pdf</w:t>
              </w:r>
            </w:p>
            <w:p w14:paraId="4ED89703" w14:textId="77777777" w:rsidR="0091728B" w:rsidRDefault="0091728B" w:rsidP="0091728B">
              <w:pPr>
                <w:pStyle w:val="Bibliografa"/>
                <w:ind w:left="720" w:hanging="720"/>
                <w:rPr>
                  <w:noProof/>
                </w:rPr>
              </w:pPr>
              <w:r>
                <w:rPr>
                  <w:noProof/>
                </w:rPr>
                <w:t xml:space="preserve">Ciedess. (s.f.). </w:t>
              </w:r>
              <w:r>
                <w:rPr>
                  <w:i/>
                  <w:iCs/>
                  <w:noProof/>
                </w:rPr>
                <w:t>Fondos generacionales: México, EEUU y Reino Unido, los casos de referencia para la reforma de pensiones en Chile</w:t>
              </w:r>
              <w:r>
                <w:rPr>
                  <w:noProof/>
                </w:rPr>
                <w:t>. Obtenido de La Seguridad Social en Chile: https://www.ciedess.cl/601/w3-article-11376.html</w:t>
              </w:r>
            </w:p>
            <w:p w14:paraId="66261AAA" w14:textId="77777777" w:rsidR="0091728B" w:rsidRDefault="0091728B" w:rsidP="0091728B">
              <w:pPr>
                <w:pStyle w:val="Bibliografa"/>
                <w:ind w:left="720" w:hanging="720"/>
                <w:rPr>
                  <w:noProof/>
                </w:rPr>
              </w:pPr>
              <w:r>
                <w:rPr>
                  <w:noProof/>
                </w:rPr>
                <w:t xml:space="preserve">Colombia. (s.f.). </w:t>
              </w:r>
              <w:r>
                <w:rPr>
                  <w:i/>
                  <w:iCs/>
                  <w:noProof/>
                </w:rPr>
                <w:t>Decreto 2955 DE 2010</w:t>
              </w:r>
              <w:r>
                <w:rPr>
                  <w:noProof/>
                </w:rPr>
                <w:t>. Obtenido de Régimen de inversión de los recursos de los Fondos de Pensiones Obligatorias: https://www.funcionpublica.gov.co/eva/gestornormativo/norma.php?i=40123</w:t>
              </w:r>
            </w:p>
            <w:p w14:paraId="5ED9DE06" w14:textId="77777777" w:rsidR="0091728B" w:rsidRDefault="0091728B" w:rsidP="0091728B">
              <w:pPr>
                <w:pStyle w:val="Bibliografa"/>
                <w:ind w:left="720" w:hanging="720"/>
                <w:rPr>
                  <w:noProof/>
                </w:rPr>
              </w:pPr>
              <w:r>
                <w:rPr>
                  <w:noProof/>
                </w:rPr>
                <w:t xml:space="preserve">CONASSIF. (s.f.). </w:t>
              </w:r>
              <w:r>
                <w:rPr>
                  <w:i/>
                  <w:iCs/>
                  <w:noProof/>
                </w:rPr>
                <w:t>Reglamento de Beneficios del Régimen de Capitalización Individual</w:t>
              </w:r>
              <w:r>
                <w:rPr>
                  <w:noProof/>
                </w:rPr>
                <w:t>. Obtenido de Procuradurio General de la República: http://www.pgrweb.go.cr/scij/Busqueda/Normativa/Normas/nrm_texto_completo.aspx?param1=NRTC&amp;nValor1=1&amp;nValor2=73664&amp;nValor3=90491&amp;strTipM=TC</w:t>
              </w:r>
            </w:p>
            <w:p w14:paraId="67276617" w14:textId="77777777" w:rsidR="0091728B" w:rsidRDefault="0091728B" w:rsidP="0091728B">
              <w:pPr>
                <w:pStyle w:val="Bibliografa"/>
                <w:ind w:left="720" w:hanging="720"/>
                <w:rPr>
                  <w:noProof/>
                </w:rPr>
              </w:pPr>
              <w:r w:rsidRPr="0091728B">
                <w:rPr>
                  <w:noProof/>
                  <w:lang w:val="en-US"/>
                </w:rPr>
                <w:t xml:space="preserve">Investopedia. (s.f.). </w:t>
              </w:r>
              <w:r w:rsidRPr="0091728B">
                <w:rPr>
                  <w:i/>
                  <w:iCs/>
                  <w:noProof/>
                  <w:lang w:val="en-US"/>
                </w:rPr>
                <w:t>What Is a Target-Date Fund?</w:t>
              </w:r>
              <w:r w:rsidRPr="0091728B">
                <w:rPr>
                  <w:noProof/>
                  <w:lang w:val="en-US"/>
                </w:rPr>
                <w:t xml:space="preserve"> </w:t>
              </w:r>
              <w:r>
                <w:rPr>
                  <w:noProof/>
                </w:rPr>
                <w:t>Obtenido de Investment, Guide to mutual funds: https://www.investopedia.com/terms/t/target-date_fund.asp</w:t>
              </w:r>
            </w:p>
            <w:p w14:paraId="6D847F5B" w14:textId="77777777" w:rsidR="0091728B" w:rsidRDefault="0091728B" w:rsidP="0091728B">
              <w:pPr>
                <w:pStyle w:val="Bibliografa"/>
                <w:ind w:left="720" w:hanging="720"/>
                <w:rPr>
                  <w:noProof/>
                </w:rPr>
              </w:pPr>
              <w:r>
                <w:rPr>
                  <w:noProof/>
                </w:rPr>
                <w:t xml:space="preserve">Markowitz. (s.f.). </w:t>
              </w:r>
              <w:r>
                <w:rPr>
                  <w:i/>
                  <w:iCs/>
                  <w:noProof/>
                </w:rPr>
                <w:t>Modelo de optimización de portafolio</w:t>
              </w:r>
              <w:r>
                <w:rPr>
                  <w:noProof/>
                </w:rPr>
                <w:t>. Obtenido de https://www.math.hkust.edu.hk/~maykwok/courses/ma362/07F/markowitz_JF.pdf: https://www.math.hkust.edu.hk/~maykwok/courses/ma362/07F/markowitz_JF.pdf</w:t>
              </w:r>
            </w:p>
            <w:p w14:paraId="0F16C1B2" w14:textId="77777777" w:rsidR="0091728B" w:rsidRDefault="0091728B" w:rsidP="0091728B">
              <w:pPr>
                <w:pStyle w:val="Bibliografa"/>
                <w:ind w:left="720" w:hanging="720"/>
                <w:rPr>
                  <w:noProof/>
                </w:rPr>
              </w:pPr>
              <w:r>
                <w:rPr>
                  <w:noProof/>
                </w:rPr>
                <w:t xml:space="preserve">México. (s.f.). </w:t>
              </w:r>
              <w:r>
                <w:rPr>
                  <w:i/>
                  <w:iCs/>
                  <w:noProof/>
                </w:rPr>
                <w:t>Todo lo que necesitas saber sobre las SIEFORES Generacionales</w:t>
              </w:r>
              <w:r>
                <w:rPr>
                  <w:noProof/>
                </w:rPr>
                <w:t>. Obtenido de Consar: https://www.gob.mx/consar/articulos/todo-lo-que-necesitas-saber-sobre-las-siefores-generacionales?idiom=es</w:t>
              </w:r>
            </w:p>
            <w:p w14:paraId="7711720C" w14:textId="77777777" w:rsidR="0091728B" w:rsidRDefault="0091728B" w:rsidP="0091728B">
              <w:pPr>
                <w:pStyle w:val="Bibliografa"/>
                <w:ind w:left="720" w:hanging="720"/>
                <w:rPr>
                  <w:noProof/>
                </w:rPr>
              </w:pPr>
              <w:r>
                <w:rPr>
                  <w:noProof/>
                </w:rPr>
                <w:t xml:space="preserve">Perú. (s.f.). </w:t>
              </w:r>
              <w:r>
                <w:rPr>
                  <w:i/>
                  <w:iCs/>
                  <w:noProof/>
                </w:rPr>
                <w:t>Superintendencia de Banca, Seguros y AFP</w:t>
              </w:r>
              <w:r>
                <w:rPr>
                  <w:noProof/>
                </w:rPr>
                <w:t>. Obtenido de Cartilla Informativa Multifondos: https://www.sbs.gob.pe/sistema-privado-de-pensiones/multifondos</w:t>
              </w:r>
            </w:p>
            <w:p w14:paraId="735132E3" w14:textId="77777777" w:rsidR="0091728B" w:rsidRPr="0091728B" w:rsidRDefault="0091728B" w:rsidP="0091728B">
              <w:pPr>
                <w:pStyle w:val="Bibliografa"/>
                <w:ind w:left="720" w:hanging="720"/>
                <w:rPr>
                  <w:noProof/>
                  <w:lang w:val="en-US"/>
                </w:rPr>
              </w:pPr>
              <w:r>
                <w:rPr>
                  <w:noProof/>
                </w:rPr>
                <w:t xml:space="preserve">Vereckey, B. (23 de Mayo de 2022). </w:t>
              </w:r>
              <w:r w:rsidRPr="0091728B">
                <w:rPr>
                  <w:i/>
                  <w:iCs/>
                  <w:noProof/>
                  <w:lang w:val="en-US"/>
                </w:rPr>
                <w:t>MIT Management Sloan School</w:t>
              </w:r>
              <w:r w:rsidRPr="0091728B">
                <w:rPr>
                  <w:noProof/>
                  <w:lang w:val="en-US"/>
                </w:rPr>
                <w:t>. Obtenido de Study: How target date funds impact investment behavior: https://mitsloan.mit.edu/ideas-made-to-matter/study-how-target-date-funds-impact-investment-behavior</w:t>
              </w:r>
            </w:p>
            <w:p w14:paraId="0D1A2A79" w14:textId="77777777" w:rsidR="00B47A67" w:rsidRDefault="00B47A67" w:rsidP="0091728B">
              <w:r>
                <w:rPr>
                  <w:b/>
                  <w:bCs/>
                </w:rPr>
                <w:fldChar w:fldCharType="end"/>
              </w:r>
            </w:p>
          </w:sdtContent>
        </w:sdt>
      </w:sdtContent>
    </w:sdt>
    <w:p w14:paraId="3FDC2F1C" w14:textId="77777777" w:rsidR="00B47A67" w:rsidRDefault="00B47A67" w:rsidP="00B47A67">
      <w:pPr>
        <w:spacing w:after="0" w:line="240" w:lineRule="auto"/>
        <w:contextualSpacing/>
        <w:jc w:val="both"/>
      </w:pPr>
    </w:p>
    <w:p w14:paraId="7D082620" w14:textId="77777777" w:rsidR="00B47A67" w:rsidRPr="002B68A7" w:rsidRDefault="00B47A67" w:rsidP="00B47A67">
      <w:pPr>
        <w:spacing w:after="0" w:line="240" w:lineRule="auto"/>
        <w:contextualSpacing/>
        <w:jc w:val="both"/>
      </w:pPr>
    </w:p>
    <w:p w14:paraId="3CAB9B7A" w14:textId="77777777" w:rsidR="00B47A67" w:rsidRDefault="00B47A67" w:rsidP="00B47A67">
      <w:pPr>
        <w:rPr>
          <w:rFonts w:asciiTheme="majorHAnsi" w:eastAsiaTheme="majorEastAsia" w:hAnsiTheme="majorHAnsi" w:cstheme="majorBidi"/>
          <w:smallCaps/>
          <w:color w:val="2F5496" w:themeColor="accent1" w:themeShade="BF"/>
          <w:sz w:val="32"/>
          <w:szCs w:val="32"/>
        </w:rPr>
      </w:pPr>
      <w:bookmarkStart w:id="84" w:name="_Toc132962546"/>
      <w:r>
        <w:br w:type="page"/>
      </w:r>
    </w:p>
    <w:p w14:paraId="1E7868EB" w14:textId="77777777" w:rsidR="00B47A67" w:rsidRDefault="00B47A67" w:rsidP="00B47A67">
      <w:pPr>
        <w:pStyle w:val="Ttulo1"/>
        <w:spacing w:before="0" w:line="240" w:lineRule="auto"/>
        <w:contextualSpacing/>
      </w:pPr>
      <w:bookmarkStart w:id="85" w:name="_Toc144396564"/>
      <w:r>
        <w:lastRenderedPageBreak/>
        <w:t>A</w:t>
      </w:r>
      <w:bookmarkEnd w:id="84"/>
      <w:r>
        <w:t>nexos</w:t>
      </w:r>
      <w:bookmarkEnd w:id="85"/>
    </w:p>
    <w:p w14:paraId="0C5DD1CC" w14:textId="77777777" w:rsidR="00B47A67" w:rsidRDefault="00497C0E" w:rsidP="00B47A67">
      <w:pPr>
        <w:spacing w:after="0" w:line="240" w:lineRule="auto"/>
        <w:contextualSpacing/>
      </w:pPr>
      <w:r>
        <w:t xml:space="preserve"> </w:t>
      </w:r>
      <w:r w:rsidR="005D78F2">
        <w:t xml:space="preserve"> </w:t>
      </w:r>
      <w:r w:rsidR="00B31F63">
        <w:t xml:space="preserve"> </w:t>
      </w:r>
    </w:p>
    <w:p w14:paraId="06462B19" w14:textId="77777777" w:rsidR="00B47A67" w:rsidRPr="00D01441" w:rsidRDefault="00B47A67" w:rsidP="00B47A67">
      <w:pPr>
        <w:spacing w:after="0" w:line="240" w:lineRule="auto"/>
        <w:contextualSpacing/>
      </w:pPr>
    </w:p>
    <w:tbl>
      <w:tblPr>
        <w:tblStyle w:val="Tablaconcuadrcula4-nfasis1"/>
        <w:tblW w:w="9346" w:type="dxa"/>
        <w:tblLook w:val="04A0" w:firstRow="1" w:lastRow="0" w:firstColumn="1" w:lastColumn="0" w:noHBand="0" w:noVBand="1"/>
      </w:tblPr>
      <w:tblGrid>
        <w:gridCol w:w="704"/>
        <w:gridCol w:w="6516"/>
        <w:gridCol w:w="2126"/>
      </w:tblGrid>
      <w:tr w:rsidR="005E6D85" w14:paraId="14E9D44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CF00319" w14:textId="77777777" w:rsidR="005E6D85" w:rsidRPr="004B4B74" w:rsidRDefault="005E6D85">
            <w:pPr>
              <w:contextualSpacing/>
              <w:jc w:val="center"/>
            </w:pPr>
            <w:r>
              <w:t>ID</w:t>
            </w:r>
          </w:p>
        </w:tc>
        <w:tc>
          <w:tcPr>
            <w:tcW w:w="6516" w:type="dxa"/>
          </w:tcPr>
          <w:p w14:paraId="2EB3A595" w14:textId="77777777" w:rsidR="005E6D85" w:rsidRPr="004B4B74" w:rsidRDefault="005E6D85">
            <w:pPr>
              <w:contextualSpacing/>
              <w:jc w:val="center"/>
              <w:cnfStyle w:val="100000000000" w:firstRow="1" w:lastRow="0" w:firstColumn="0" w:lastColumn="0" w:oddVBand="0" w:evenVBand="0" w:oddHBand="0" w:evenHBand="0" w:firstRowFirstColumn="0" w:firstRowLastColumn="0" w:lastRowFirstColumn="0" w:lastRowLastColumn="0"/>
            </w:pPr>
            <w:r w:rsidRPr="004B4B74">
              <w:t>Detalle</w:t>
            </w:r>
          </w:p>
        </w:tc>
        <w:tc>
          <w:tcPr>
            <w:tcW w:w="2126" w:type="dxa"/>
          </w:tcPr>
          <w:p w14:paraId="3CE41441" w14:textId="77777777" w:rsidR="005E6D85" w:rsidRPr="004B4B74" w:rsidRDefault="005E6D85">
            <w:pPr>
              <w:contextualSpacing/>
              <w:jc w:val="center"/>
              <w:cnfStyle w:val="100000000000" w:firstRow="1" w:lastRow="0" w:firstColumn="0" w:lastColumn="0" w:oddVBand="0" w:evenVBand="0" w:oddHBand="0" w:evenHBand="0" w:firstRowFirstColumn="0" w:firstRowLastColumn="0" w:lastRowFirstColumn="0" w:lastRowLastColumn="0"/>
            </w:pPr>
            <w:r w:rsidRPr="004B4B74">
              <w:t>Archivos</w:t>
            </w:r>
          </w:p>
        </w:tc>
      </w:tr>
      <w:tr w:rsidR="005E6D85" w14:paraId="56BB60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980CF3A" w14:textId="77777777" w:rsidR="005E6D85" w:rsidRPr="00C0386C" w:rsidRDefault="005E6D85">
            <w:pPr>
              <w:contextualSpacing/>
            </w:pPr>
            <w:r>
              <w:t>1</w:t>
            </w:r>
          </w:p>
        </w:tc>
        <w:tc>
          <w:tcPr>
            <w:tcW w:w="6516" w:type="dxa"/>
          </w:tcPr>
          <w:p w14:paraId="0D9AC974" w14:textId="77777777" w:rsidR="005E6D85" w:rsidRPr="00E71C25" w:rsidRDefault="005E6D85">
            <w:pPr>
              <w:contextualSpacing/>
              <w:cnfStyle w:val="000000100000" w:firstRow="0" w:lastRow="0" w:firstColumn="0" w:lastColumn="0" w:oddVBand="0" w:evenVBand="0" w:oddHBand="1" w:evenHBand="0" w:firstRowFirstColumn="0" w:firstRowLastColumn="0" w:lastRowFirstColumn="0" w:lastRowLastColumn="0"/>
            </w:pPr>
            <w:r w:rsidRPr="00C0386C">
              <w:t>Asociación Internacional de Organismos de Supervisión de Fondos de Pensiones (AIOS) Proyecto de estudio de fondos generacionales</w:t>
            </w:r>
            <w:r>
              <w:t>.</w:t>
            </w:r>
          </w:p>
        </w:tc>
        <w:tc>
          <w:tcPr>
            <w:tcW w:w="2126" w:type="dxa"/>
          </w:tcPr>
          <w:p w14:paraId="062F1167" w14:textId="77777777" w:rsidR="005E6D85" w:rsidRDefault="00C54BC1">
            <w:pPr>
              <w:contextualSpacing/>
              <w:jc w:val="center"/>
              <w:cnfStyle w:val="000000100000" w:firstRow="0" w:lastRow="0" w:firstColumn="0" w:lastColumn="0" w:oddVBand="0" w:evenVBand="0" w:oddHBand="1" w:evenHBand="0" w:firstRowFirstColumn="0" w:firstRowLastColumn="0" w:lastRowFirstColumn="0" w:lastRowLastColumn="0"/>
            </w:pPr>
            <w:r>
              <w:t>*</w:t>
            </w:r>
          </w:p>
        </w:tc>
      </w:tr>
      <w:tr w:rsidR="005E6D85" w14:paraId="13711892" w14:textId="77777777">
        <w:tc>
          <w:tcPr>
            <w:cnfStyle w:val="001000000000" w:firstRow="0" w:lastRow="0" w:firstColumn="1" w:lastColumn="0" w:oddVBand="0" w:evenVBand="0" w:oddHBand="0" w:evenHBand="0" w:firstRowFirstColumn="0" w:firstRowLastColumn="0" w:lastRowFirstColumn="0" w:lastRowLastColumn="0"/>
            <w:tcW w:w="704" w:type="dxa"/>
          </w:tcPr>
          <w:p w14:paraId="6D843860" w14:textId="77777777" w:rsidR="005E6D85" w:rsidRPr="00C0386C" w:rsidRDefault="005E6D85">
            <w:pPr>
              <w:contextualSpacing/>
            </w:pPr>
            <w:r>
              <w:t>2</w:t>
            </w:r>
          </w:p>
        </w:tc>
        <w:tc>
          <w:tcPr>
            <w:tcW w:w="6516" w:type="dxa"/>
          </w:tcPr>
          <w:p w14:paraId="0473A7C0" w14:textId="77777777" w:rsidR="005E6D85" w:rsidRDefault="005E6D85">
            <w:pPr>
              <w:contextualSpacing/>
              <w:cnfStyle w:val="000000000000" w:firstRow="0" w:lastRow="0" w:firstColumn="0" w:lastColumn="0" w:oddVBand="0" w:evenVBand="0" w:oddHBand="0" w:evenHBand="0" w:firstRowFirstColumn="0" w:firstRowLastColumn="0" w:lastRowFirstColumn="0" w:lastRowLastColumn="0"/>
            </w:pPr>
            <w:r w:rsidRPr="00C0386C">
              <w:t>Estudio sobre conformación de grupos etarios</w:t>
            </w:r>
            <w:r>
              <w:t>.</w:t>
            </w:r>
          </w:p>
          <w:p w14:paraId="63F72160" w14:textId="77777777" w:rsidR="005E6D85" w:rsidRPr="00C0386C" w:rsidRDefault="005E6D85">
            <w:pPr>
              <w:contextualSpacing/>
              <w:cnfStyle w:val="000000000000" w:firstRow="0" w:lastRow="0" w:firstColumn="0" w:lastColumn="0" w:oddVBand="0" w:evenVBand="0" w:oddHBand="0" w:evenHBand="0" w:firstRowFirstColumn="0" w:firstRowLastColumn="0" w:lastRowFirstColumn="0" w:lastRowLastColumn="0"/>
              <w:rPr>
                <w:b/>
                <w:bCs/>
              </w:rPr>
            </w:pPr>
          </w:p>
        </w:tc>
        <w:tc>
          <w:tcPr>
            <w:tcW w:w="2126" w:type="dxa"/>
          </w:tcPr>
          <w:p w14:paraId="1AC85BA9" w14:textId="77777777" w:rsidR="005E6D85" w:rsidRDefault="00C54BC1">
            <w:pPr>
              <w:contextualSpacing/>
              <w:jc w:val="center"/>
              <w:cnfStyle w:val="000000000000" w:firstRow="0" w:lastRow="0" w:firstColumn="0" w:lastColumn="0" w:oddVBand="0" w:evenVBand="0" w:oddHBand="0" w:evenHBand="0" w:firstRowFirstColumn="0" w:firstRowLastColumn="0" w:lastRowFirstColumn="0" w:lastRowLastColumn="0"/>
            </w:pPr>
            <w:r>
              <w:t>**</w:t>
            </w:r>
          </w:p>
        </w:tc>
      </w:tr>
      <w:tr w:rsidR="005E6D85" w14:paraId="196EDF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4C85906" w14:textId="77777777" w:rsidR="005E6D85" w:rsidRDefault="005E6D85">
            <w:pPr>
              <w:contextualSpacing/>
            </w:pPr>
            <w:r>
              <w:t>3</w:t>
            </w:r>
          </w:p>
        </w:tc>
        <w:tc>
          <w:tcPr>
            <w:tcW w:w="6516" w:type="dxa"/>
          </w:tcPr>
          <w:p w14:paraId="450C4007" w14:textId="77777777" w:rsidR="005E6D85" w:rsidRPr="00C0386C" w:rsidRDefault="005E6D85">
            <w:pPr>
              <w:contextualSpacing/>
              <w:cnfStyle w:val="000000100000" w:firstRow="0" w:lastRow="0" w:firstColumn="0" w:lastColumn="0" w:oddVBand="0" w:evenVBand="0" w:oddHBand="1" w:evenHBand="0" w:firstRowFirstColumn="0" w:firstRowLastColumn="0" w:lastRowFirstColumn="0" w:lastRowLastColumn="0"/>
            </w:pPr>
            <w:r>
              <w:t>Instrumentos seleccionados en el modelo de optimización</w:t>
            </w:r>
            <w:r w:rsidR="00FD672F">
              <w:t>.</w:t>
            </w:r>
          </w:p>
        </w:tc>
        <w:bookmarkStart w:id="86" w:name="_MON_1747112209"/>
        <w:bookmarkEnd w:id="86"/>
        <w:tc>
          <w:tcPr>
            <w:tcW w:w="2126" w:type="dxa"/>
          </w:tcPr>
          <w:p w14:paraId="02012856" w14:textId="77777777" w:rsidR="005E6D85" w:rsidRDefault="005E6D85">
            <w:pPr>
              <w:contextualSpacing/>
              <w:jc w:val="center"/>
              <w:cnfStyle w:val="000000100000" w:firstRow="0" w:lastRow="0" w:firstColumn="0" w:lastColumn="0" w:oddVBand="0" w:evenVBand="0" w:oddHBand="1" w:evenHBand="0" w:firstRowFirstColumn="0" w:firstRowLastColumn="0" w:lastRowFirstColumn="0" w:lastRowLastColumn="0"/>
            </w:pPr>
            <w:r>
              <w:object w:dxaOrig="1508" w:dyaOrig="984" w14:anchorId="0EEE05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25pt;height:51.25pt" o:ole="">
                  <v:imagedata r:id="rId20" o:title=""/>
                </v:shape>
                <o:OLEObject Type="Embed" ProgID="Word.Document.12" ShapeID="_x0000_i1025" DrawAspect="Icon" ObjectID="_1761050525" r:id="rId21">
                  <o:FieldCodes>\s</o:FieldCodes>
                </o:OLEObject>
              </w:object>
            </w:r>
          </w:p>
        </w:tc>
      </w:tr>
      <w:tr w:rsidR="00F02FD2" w14:paraId="6631B980" w14:textId="77777777">
        <w:tc>
          <w:tcPr>
            <w:cnfStyle w:val="001000000000" w:firstRow="0" w:lastRow="0" w:firstColumn="1" w:lastColumn="0" w:oddVBand="0" w:evenVBand="0" w:oddHBand="0" w:evenHBand="0" w:firstRowFirstColumn="0" w:firstRowLastColumn="0" w:lastRowFirstColumn="0" w:lastRowLastColumn="0"/>
            <w:tcW w:w="704" w:type="dxa"/>
          </w:tcPr>
          <w:p w14:paraId="4D936DBC" w14:textId="77777777" w:rsidR="00F02FD2" w:rsidRDefault="00F02FD2">
            <w:pPr>
              <w:contextualSpacing/>
            </w:pPr>
            <w:r>
              <w:t>4</w:t>
            </w:r>
          </w:p>
        </w:tc>
        <w:tc>
          <w:tcPr>
            <w:tcW w:w="6516" w:type="dxa"/>
          </w:tcPr>
          <w:p w14:paraId="2BE59F10" w14:textId="77777777" w:rsidR="00F02FD2" w:rsidRDefault="00F02FD2">
            <w:pPr>
              <w:contextualSpacing/>
              <w:cnfStyle w:val="000000000000" w:firstRow="0" w:lastRow="0" w:firstColumn="0" w:lastColumn="0" w:oddVBand="0" w:evenVBand="0" w:oddHBand="0" w:evenHBand="0" w:firstRowFirstColumn="0" w:firstRowLastColumn="0" w:lastRowFirstColumn="0" w:lastRowLastColumn="0"/>
            </w:pPr>
            <w:r>
              <w:t>Modelación de efectos en tasa de remplazo</w:t>
            </w:r>
            <w:r w:rsidR="00FD672F">
              <w:t>.</w:t>
            </w:r>
          </w:p>
        </w:tc>
        <w:bookmarkStart w:id="87" w:name="_MON_1760356093"/>
        <w:bookmarkEnd w:id="87"/>
        <w:tc>
          <w:tcPr>
            <w:tcW w:w="2126" w:type="dxa"/>
          </w:tcPr>
          <w:p w14:paraId="2313F385" w14:textId="77777777" w:rsidR="00F02FD2" w:rsidRDefault="00A426E3">
            <w:pPr>
              <w:contextualSpacing/>
              <w:jc w:val="center"/>
              <w:cnfStyle w:val="000000000000" w:firstRow="0" w:lastRow="0" w:firstColumn="0" w:lastColumn="0" w:oddVBand="0" w:evenVBand="0" w:oddHBand="0" w:evenHBand="0" w:firstRowFirstColumn="0" w:firstRowLastColumn="0" w:lastRowFirstColumn="0" w:lastRowLastColumn="0"/>
            </w:pPr>
            <w:r>
              <w:object w:dxaOrig="1376" w:dyaOrig="899" w14:anchorId="53439385">
                <v:shape id="_x0000_i1026" type="#_x0000_t75" style="width:69.25pt;height:45pt" o:ole="">
                  <v:imagedata r:id="rId22" o:title=""/>
                </v:shape>
                <o:OLEObject Type="Embed" ProgID="Word.Document.12" ShapeID="_x0000_i1026" DrawAspect="Icon" ObjectID="_1761050526" r:id="rId23">
                  <o:FieldCodes>\s</o:FieldCodes>
                </o:OLEObject>
              </w:object>
            </w:r>
          </w:p>
        </w:tc>
      </w:tr>
      <w:tr w:rsidR="00F02FD2" w14:paraId="68B080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CA64283" w14:textId="77777777" w:rsidR="00F02FD2" w:rsidRDefault="00F02FD2">
            <w:pPr>
              <w:contextualSpacing/>
            </w:pPr>
            <w:r>
              <w:t>4.1</w:t>
            </w:r>
          </w:p>
        </w:tc>
        <w:tc>
          <w:tcPr>
            <w:tcW w:w="6516" w:type="dxa"/>
          </w:tcPr>
          <w:p w14:paraId="31525B5B" w14:textId="77777777" w:rsidR="00F02FD2" w:rsidRDefault="00F02FD2">
            <w:pPr>
              <w:contextualSpacing/>
              <w:cnfStyle w:val="000000100000" w:firstRow="0" w:lastRow="0" w:firstColumn="0" w:lastColumn="0" w:oddVBand="0" w:evenVBand="0" w:oddHBand="1" w:evenHBand="0" w:firstRowFirstColumn="0" w:firstRowLastColumn="0" w:lastRowFirstColumn="0" w:lastRowLastColumn="0"/>
            </w:pPr>
            <w:r>
              <w:t>Modelo estático de estimación de tasa de remplazo</w:t>
            </w:r>
            <w:r w:rsidR="00FD672F">
              <w:t>.</w:t>
            </w:r>
          </w:p>
        </w:tc>
        <w:tc>
          <w:tcPr>
            <w:tcW w:w="2126" w:type="dxa"/>
          </w:tcPr>
          <w:p w14:paraId="3F877BA3" w14:textId="77777777" w:rsidR="00F02FD2" w:rsidRDefault="008F487F">
            <w:pPr>
              <w:contextualSpacing/>
              <w:jc w:val="center"/>
              <w:cnfStyle w:val="000000100000" w:firstRow="0" w:lastRow="0" w:firstColumn="0" w:lastColumn="0" w:oddVBand="0" w:evenVBand="0" w:oddHBand="1" w:evenHBand="0" w:firstRowFirstColumn="0" w:firstRowLastColumn="0" w:lastRowFirstColumn="0" w:lastRowLastColumn="0"/>
            </w:pPr>
            <w:r>
              <w:object w:dxaOrig="1376" w:dyaOrig="899" w14:anchorId="6A223D06">
                <v:shape id="_x0000_i1027" type="#_x0000_t75" style="width:69.25pt;height:45.7pt" o:ole="">
                  <v:imagedata r:id="rId24" o:title=""/>
                </v:shape>
                <o:OLEObject Type="Embed" ProgID="Excel.Sheet.12" ShapeID="_x0000_i1027" DrawAspect="Icon" ObjectID="_1761050527" r:id="rId25"/>
              </w:object>
            </w:r>
          </w:p>
        </w:tc>
      </w:tr>
      <w:tr w:rsidR="00CE2A6D" w14:paraId="6E6FE0D0" w14:textId="77777777">
        <w:tc>
          <w:tcPr>
            <w:cnfStyle w:val="001000000000" w:firstRow="0" w:lastRow="0" w:firstColumn="1" w:lastColumn="0" w:oddVBand="0" w:evenVBand="0" w:oddHBand="0" w:evenHBand="0" w:firstRowFirstColumn="0" w:firstRowLastColumn="0" w:lastRowFirstColumn="0" w:lastRowLastColumn="0"/>
            <w:tcW w:w="704" w:type="dxa"/>
          </w:tcPr>
          <w:p w14:paraId="563AAA3C" w14:textId="77777777" w:rsidR="00CE2A6D" w:rsidRDefault="00F02FD2">
            <w:pPr>
              <w:contextualSpacing/>
            </w:pPr>
            <w:r>
              <w:t>5</w:t>
            </w:r>
          </w:p>
        </w:tc>
        <w:tc>
          <w:tcPr>
            <w:tcW w:w="6516" w:type="dxa"/>
          </w:tcPr>
          <w:p w14:paraId="23A1B031" w14:textId="77777777" w:rsidR="00CE2A6D" w:rsidRDefault="00063FC8">
            <w:pPr>
              <w:contextualSpacing/>
              <w:cnfStyle w:val="000000000000" w:firstRow="0" w:lastRow="0" w:firstColumn="0" w:lastColumn="0" w:oddVBand="0" w:evenVBand="0" w:oddHBand="0" w:evenHBand="0" w:firstRowFirstColumn="0" w:firstRowLastColumn="0" w:lastRowFirstColumn="0" w:lastRowLastColumn="0"/>
            </w:pPr>
            <w:r>
              <w:t xml:space="preserve">ACOP: Observaciones de </w:t>
            </w:r>
            <w:r w:rsidR="00F02FD2">
              <w:t xml:space="preserve">ACOP </w:t>
            </w:r>
            <w:r>
              <w:t>a Fondos Generacionales</w:t>
            </w:r>
            <w:r w:rsidR="00FD672F">
              <w:t>.</w:t>
            </w:r>
          </w:p>
          <w:p w14:paraId="0CF10CF7" w14:textId="77777777" w:rsidR="0074174D" w:rsidRDefault="0074174D">
            <w:pPr>
              <w:contextualSpacing/>
              <w:cnfStyle w:val="000000000000" w:firstRow="0" w:lastRow="0" w:firstColumn="0" w:lastColumn="0" w:oddVBand="0" w:evenVBand="0" w:oddHBand="0" w:evenHBand="0" w:firstRowFirstColumn="0" w:firstRowLastColumn="0" w:lastRowFirstColumn="0" w:lastRowLastColumn="0"/>
            </w:pPr>
          </w:p>
        </w:tc>
        <w:tc>
          <w:tcPr>
            <w:tcW w:w="2126" w:type="dxa"/>
          </w:tcPr>
          <w:p w14:paraId="168B05F2" w14:textId="77777777" w:rsidR="00CE2A6D" w:rsidRDefault="00014C40">
            <w:pPr>
              <w:contextualSpacing/>
              <w:jc w:val="center"/>
              <w:cnfStyle w:val="000000000000" w:firstRow="0" w:lastRow="0" w:firstColumn="0" w:lastColumn="0" w:oddVBand="0" w:evenVBand="0" w:oddHBand="0" w:evenHBand="0" w:firstRowFirstColumn="0" w:firstRowLastColumn="0" w:lastRowFirstColumn="0" w:lastRowLastColumn="0"/>
            </w:pPr>
            <w:r>
              <w:t>*</w:t>
            </w:r>
          </w:p>
        </w:tc>
      </w:tr>
      <w:tr w:rsidR="005E6D85" w14:paraId="7C38DC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5108BD7" w14:textId="77777777" w:rsidR="005E6D85" w:rsidRPr="00C0386C" w:rsidRDefault="00F02FD2">
            <w:pPr>
              <w:contextualSpacing/>
            </w:pPr>
            <w:r>
              <w:t>6</w:t>
            </w:r>
          </w:p>
        </w:tc>
        <w:tc>
          <w:tcPr>
            <w:tcW w:w="6516" w:type="dxa"/>
          </w:tcPr>
          <w:p w14:paraId="76D18FBE" w14:textId="77777777" w:rsidR="005E6D85" w:rsidRDefault="005E6D85">
            <w:pPr>
              <w:contextualSpacing/>
              <w:cnfStyle w:val="000000100000" w:firstRow="0" w:lastRow="0" w:firstColumn="0" w:lastColumn="0" w:oddVBand="0" w:evenVBand="0" w:oddHBand="1" w:evenHBand="0" w:firstRowFirstColumn="0" w:firstRowLastColumn="0" w:lastRowFirstColumn="0" w:lastRowLastColumn="0"/>
            </w:pPr>
            <w:r w:rsidRPr="00C0386C">
              <w:t>Valoraciones técnicas realizadas con el SICERE</w:t>
            </w:r>
            <w:r>
              <w:t>.</w:t>
            </w:r>
          </w:p>
          <w:p w14:paraId="608467A7" w14:textId="77777777" w:rsidR="0074174D" w:rsidRPr="00C0386C" w:rsidRDefault="0074174D">
            <w:pPr>
              <w:contextualSpacing/>
              <w:cnfStyle w:val="000000100000" w:firstRow="0" w:lastRow="0" w:firstColumn="0" w:lastColumn="0" w:oddVBand="0" w:evenVBand="0" w:oddHBand="1" w:evenHBand="0" w:firstRowFirstColumn="0" w:firstRowLastColumn="0" w:lastRowFirstColumn="0" w:lastRowLastColumn="0"/>
              <w:rPr>
                <w:b/>
                <w:bCs/>
              </w:rPr>
            </w:pPr>
          </w:p>
        </w:tc>
        <w:tc>
          <w:tcPr>
            <w:tcW w:w="2126" w:type="dxa"/>
          </w:tcPr>
          <w:p w14:paraId="528966C8" w14:textId="77777777" w:rsidR="005E6D85" w:rsidRDefault="00014C40">
            <w:pPr>
              <w:contextualSpacing/>
              <w:jc w:val="center"/>
              <w:cnfStyle w:val="000000100000" w:firstRow="0" w:lastRow="0" w:firstColumn="0" w:lastColumn="0" w:oddVBand="0" w:evenVBand="0" w:oddHBand="1" w:evenHBand="0" w:firstRowFirstColumn="0" w:firstRowLastColumn="0" w:lastRowFirstColumn="0" w:lastRowLastColumn="0"/>
            </w:pPr>
            <w:r>
              <w:t>*</w:t>
            </w:r>
          </w:p>
        </w:tc>
      </w:tr>
      <w:tr w:rsidR="007317F1" w14:paraId="1FEC905E" w14:textId="77777777">
        <w:tc>
          <w:tcPr>
            <w:cnfStyle w:val="001000000000" w:firstRow="0" w:lastRow="0" w:firstColumn="1" w:lastColumn="0" w:oddVBand="0" w:evenVBand="0" w:oddHBand="0" w:evenHBand="0" w:firstRowFirstColumn="0" w:firstRowLastColumn="0" w:lastRowFirstColumn="0" w:lastRowLastColumn="0"/>
            <w:tcW w:w="704" w:type="dxa"/>
          </w:tcPr>
          <w:p w14:paraId="2C7C6026" w14:textId="77777777" w:rsidR="007317F1" w:rsidRDefault="00F02FD2">
            <w:pPr>
              <w:contextualSpacing/>
            </w:pPr>
            <w:r>
              <w:t>7</w:t>
            </w:r>
          </w:p>
        </w:tc>
        <w:tc>
          <w:tcPr>
            <w:tcW w:w="6516" w:type="dxa"/>
          </w:tcPr>
          <w:p w14:paraId="3A814F06" w14:textId="77777777" w:rsidR="007317F1" w:rsidRDefault="005707F7">
            <w:pPr>
              <w:contextualSpacing/>
              <w:cnfStyle w:val="000000000000" w:firstRow="0" w:lastRow="0" w:firstColumn="0" w:lastColumn="0" w:oddVBand="0" w:evenVBand="0" w:oddHBand="0" w:evenHBand="0" w:firstRowFirstColumn="0" w:firstRowLastColumn="0" w:lastRowFirstColumn="0" w:lastRowLastColumn="0"/>
            </w:pPr>
            <w:r>
              <w:t>Análisis y p</w:t>
            </w:r>
            <w:r w:rsidR="007317F1">
              <w:t xml:space="preserve">royección de </w:t>
            </w:r>
            <w:proofErr w:type="spellStart"/>
            <w:r w:rsidR="007317F1">
              <w:t>ROE´s</w:t>
            </w:r>
            <w:proofErr w:type="spellEnd"/>
            <w:r w:rsidR="007317F1">
              <w:t xml:space="preserve"> de las entidades</w:t>
            </w:r>
            <w:r w:rsidR="00FD672F">
              <w:t>.</w:t>
            </w:r>
          </w:p>
          <w:p w14:paraId="0DC15C05" w14:textId="77777777" w:rsidR="00FD672F" w:rsidRPr="00C0386C" w:rsidRDefault="00FD672F">
            <w:pPr>
              <w:contextualSpacing/>
              <w:cnfStyle w:val="000000000000" w:firstRow="0" w:lastRow="0" w:firstColumn="0" w:lastColumn="0" w:oddVBand="0" w:evenVBand="0" w:oddHBand="0" w:evenHBand="0" w:firstRowFirstColumn="0" w:firstRowLastColumn="0" w:lastRowFirstColumn="0" w:lastRowLastColumn="0"/>
            </w:pPr>
          </w:p>
        </w:tc>
        <w:tc>
          <w:tcPr>
            <w:tcW w:w="2126" w:type="dxa"/>
          </w:tcPr>
          <w:p w14:paraId="4DF3E031" w14:textId="77777777" w:rsidR="007317F1" w:rsidRDefault="00A34978">
            <w:pPr>
              <w:contextualSpacing/>
              <w:jc w:val="center"/>
              <w:cnfStyle w:val="000000000000" w:firstRow="0" w:lastRow="0" w:firstColumn="0" w:lastColumn="0" w:oddVBand="0" w:evenVBand="0" w:oddHBand="0" w:evenHBand="0" w:firstRowFirstColumn="0" w:firstRowLastColumn="0" w:lastRowFirstColumn="0" w:lastRowLastColumn="0"/>
            </w:pPr>
            <w:r>
              <w:t>*</w:t>
            </w:r>
            <w:r w:rsidR="00C54BC1">
              <w:t>*</w:t>
            </w:r>
          </w:p>
        </w:tc>
      </w:tr>
    </w:tbl>
    <w:p w14:paraId="516B3473" w14:textId="77777777" w:rsidR="005E6D85" w:rsidRDefault="005E6D85" w:rsidP="005E6D85">
      <w:pPr>
        <w:spacing w:after="0" w:line="240" w:lineRule="auto"/>
        <w:contextualSpacing/>
        <w:jc w:val="both"/>
      </w:pPr>
    </w:p>
    <w:p w14:paraId="18C7F280" w14:textId="77777777" w:rsidR="00C54BC1" w:rsidRPr="00201631" w:rsidRDefault="00C54BC1" w:rsidP="00201631">
      <w:pPr>
        <w:spacing w:after="0" w:line="240" w:lineRule="auto"/>
        <w:contextualSpacing/>
        <w:jc w:val="both"/>
      </w:pPr>
      <w:r w:rsidRPr="00201631">
        <w:t>(*) Documento de circulación restringida</w:t>
      </w:r>
      <w:r w:rsidR="00520B33" w:rsidRPr="00201631">
        <w:t>, en la cual e</w:t>
      </w:r>
      <w:r w:rsidR="009E4ED7">
        <w:t>l</w:t>
      </w:r>
      <w:r w:rsidR="00520B33" w:rsidRPr="00201631">
        <w:t xml:space="preserve"> supervisor no dispone de autorización para su publicación a terceros.</w:t>
      </w:r>
      <w:r w:rsidR="0074174D">
        <w:t xml:space="preserve"> </w:t>
      </w:r>
    </w:p>
    <w:p w14:paraId="49AEE05B" w14:textId="77777777" w:rsidR="00B47A67" w:rsidRPr="00201631" w:rsidRDefault="00B47A67" w:rsidP="00201631">
      <w:pPr>
        <w:spacing w:after="0" w:line="240" w:lineRule="auto"/>
        <w:contextualSpacing/>
        <w:jc w:val="both"/>
      </w:pPr>
    </w:p>
    <w:p w14:paraId="54E1E451" w14:textId="77777777" w:rsidR="00BB179C" w:rsidRPr="00201631" w:rsidRDefault="00A34978" w:rsidP="00201631">
      <w:pPr>
        <w:jc w:val="both"/>
      </w:pPr>
      <w:r w:rsidRPr="00201631">
        <w:t>(*</w:t>
      </w:r>
      <w:r w:rsidR="00C54BC1" w:rsidRPr="00201631">
        <w:t>*</w:t>
      </w:r>
      <w:r w:rsidRPr="00201631">
        <w:t xml:space="preserve">) </w:t>
      </w:r>
      <w:r w:rsidR="005D2B9E" w:rsidRPr="00201631">
        <w:t xml:space="preserve">Se suprime la información de carácter privado de las operadoras, según el artículo 24 de la Constitución Política, el artículo 166 de la Ley reguladora del mercado de Valores, y  la  sentencia No. 2120-2003 de las 13:30 horas del 14 de marzo del 2003 de la Sala Constitucional de la Corte Suprema de Justicia, reiterada por la resolución de ese mismo órgano jurisdiccional </w:t>
      </w:r>
      <w:proofErr w:type="spellStart"/>
      <w:r w:rsidR="005D2B9E" w:rsidRPr="00201631">
        <w:t>Nº</w:t>
      </w:r>
      <w:proofErr w:type="spellEnd"/>
      <w:r w:rsidR="005D2B9E" w:rsidRPr="00201631">
        <w:t xml:space="preserve"> 2023006926 de las nueve horas treinta minutos del veinticuatro de marzo de dos mil veintitrés, jurisprudencia de acatamiento obligatorio, según señala el artículo 13 de la Ley de la jurisdicción constitucional</w:t>
      </w:r>
      <w:r w:rsidR="00201631" w:rsidRPr="00201631">
        <w:t>.</w:t>
      </w:r>
    </w:p>
    <w:sectPr w:rsidR="00BB179C" w:rsidRPr="00201631" w:rsidSect="00AD4C79">
      <w:headerReference w:type="default" r:id="rId26"/>
      <w:footerReference w:type="default" r:id="rId27"/>
      <w:footerReference w:type="first" r:id="rId28"/>
      <w:pgSz w:w="11906" w:h="16838"/>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C4B74" w14:textId="77777777" w:rsidR="00C8566E" w:rsidRDefault="00C8566E" w:rsidP="002D11F8">
      <w:pPr>
        <w:spacing w:after="0" w:line="240" w:lineRule="auto"/>
      </w:pPr>
      <w:r>
        <w:separator/>
      </w:r>
    </w:p>
  </w:endnote>
  <w:endnote w:type="continuationSeparator" w:id="0">
    <w:p w14:paraId="15E75020" w14:textId="77777777" w:rsidR="00C8566E" w:rsidRDefault="00C8566E" w:rsidP="002D11F8">
      <w:pPr>
        <w:spacing w:after="0" w:line="240" w:lineRule="auto"/>
      </w:pPr>
      <w:r>
        <w:continuationSeparator/>
      </w:r>
    </w:p>
  </w:endnote>
  <w:endnote w:type="continuationNotice" w:id="1">
    <w:p w14:paraId="5E248685" w14:textId="77777777" w:rsidR="00C8566E" w:rsidRDefault="00C856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08F2" w14:textId="528D237A" w:rsidR="00AD4C79" w:rsidRDefault="00FA3A2C">
    <w:pPr>
      <w:pStyle w:val="Piedepgina"/>
      <w:jc w:val="right"/>
    </w:pPr>
    <w:r>
      <w:rPr>
        <w:noProof/>
      </w:rPr>
      <mc:AlternateContent>
        <mc:Choice Requires="wps">
          <w:drawing>
            <wp:anchor distT="0" distB="0" distL="114300" distR="114300" simplePos="0" relativeHeight="251644928" behindDoc="0" locked="0" layoutInCell="0" allowOverlap="1" wp14:anchorId="6FA556B6" wp14:editId="0B96EEBE">
              <wp:simplePos x="0" y="0"/>
              <wp:positionH relativeFrom="page">
                <wp:posOffset>0</wp:posOffset>
              </wp:positionH>
              <wp:positionV relativeFrom="page">
                <wp:posOffset>10227945</wp:posOffset>
              </wp:positionV>
              <wp:extent cx="7560310" cy="273050"/>
              <wp:effectExtent l="0" t="0" r="0" b="12700"/>
              <wp:wrapNone/>
              <wp:docPr id="2" name="Text Box 2" descr="{&quot;HashCode&quot;:118623000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F71EBD" w14:textId="5121352D" w:rsidR="00FA3A2C" w:rsidRPr="00FA3A2C" w:rsidRDefault="00FA3A2C" w:rsidP="00FA3A2C">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A556B6" id="_x0000_t202" coordsize="21600,21600" o:spt="202" path="m,l,21600r21600,l21600,xe">
              <v:stroke joinstyle="miter"/>
              <v:path gradientshapeok="t" o:connecttype="rect"/>
            </v:shapetype>
            <v:shape id="Text Box 2" o:spid="_x0000_s1026" type="#_x0000_t202" alt="{&quot;HashCode&quot;:1186230005,&quot;Height&quot;:841.0,&quot;Width&quot;:595.0,&quot;Placement&quot;:&quot;Footer&quot;,&quot;Index&quot;:&quot;Primary&quot;,&quot;Section&quot;:1,&quot;Top&quot;:0.0,&quot;Left&quot;:0.0}" style="position:absolute;left:0;text-align:left;margin-left:0;margin-top:805.35pt;width:595.3pt;height:21.5pt;z-index:2516449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textbox inset=",0,,0">
                <w:txbxContent>
                  <w:p w14:paraId="05F71EBD" w14:textId="5121352D" w:rsidR="00FA3A2C" w:rsidRPr="00FA3A2C" w:rsidRDefault="00FA3A2C" w:rsidP="00FA3A2C">
                    <w:pPr>
                      <w:spacing w:after="0"/>
                      <w:jc w:val="center"/>
                      <w:rPr>
                        <w:rFonts w:ascii="Calibri" w:hAnsi="Calibri" w:cs="Calibri"/>
                        <w:color w:val="000000"/>
                        <w:sz w:val="20"/>
                      </w:rPr>
                    </w:pPr>
                  </w:p>
                </w:txbxContent>
              </v:textbox>
              <w10:wrap anchorx="page" anchory="page"/>
            </v:shape>
          </w:pict>
        </mc:Fallback>
      </mc:AlternateContent>
    </w:r>
    <w:sdt>
      <w:sdtPr>
        <w:id w:val="1593893597"/>
        <w:docPartObj>
          <w:docPartGallery w:val="Page Numbers (Bottom of Page)"/>
          <w:docPartUnique/>
        </w:docPartObj>
      </w:sdtPr>
      <w:sdtEndPr/>
      <w:sdtContent>
        <w:r w:rsidR="00AD4C79">
          <w:fldChar w:fldCharType="begin"/>
        </w:r>
        <w:r w:rsidR="00AD4C79">
          <w:instrText>PAGE   \* MERGEFORMAT</w:instrText>
        </w:r>
        <w:r w:rsidR="00AD4C79">
          <w:fldChar w:fldCharType="separate"/>
        </w:r>
        <w:r w:rsidR="00AD4C79">
          <w:t>2</w:t>
        </w:r>
        <w:r w:rsidR="00AD4C79">
          <w:fldChar w:fldCharType="end"/>
        </w:r>
      </w:sdtContent>
    </w:sdt>
  </w:p>
  <w:p w14:paraId="7462F007" w14:textId="77777777" w:rsidR="00AD4C79" w:rsidRDefault="00AD4C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BF3F" w14:textId="5C83AF14" w:rsidR="00B448E2" w:rsidRDefault="00FA3A2C">
    <w:pPr>
      <w:pStyle w:val="Piedepgina"/>
    </w:pPr>
    <w:r>
      <w:rPr>
        <w:noProof/>
      </w:rPr>
      <mc:AlternateContent>
        <mc:Choice Requires="wps">
          <w:drawing>
            <wp:anchor distT="0" distB="0" distL="114300" distR="114300" simplePos="0" relativeHeight="251649024" behindDoc="0" locked="0" layoutInCell="0" allowOverlap="1" wp14:anchorId="0D0137F6" wp14:editId="42E06A28">
              <wp:simplePos x="0" y="0"/>
              <wp:positionH relativeFrom="page">
                <wp:posOffset>0</wp:posOffset>
              </wp:positionH>
              <wp:positionV relativeFrom="page">
                <wp:posOffset>10227945</wp:posOffset>
              </wp:positionV>
              <wp:extent cx="7560310" cy="273050"/>
              <wp:effectExtent l="0" t="0" r="0" b="12700"/>
              <wp:wrapNone/>
              <wp:docPr id="4" name="Text Box 4" descr="{&quot;HashCode&quot;:118623000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A42BF3" w14:textId="36555CD8" w:rsidR="00FA3A2C" w:rsidRPr="00FA3A2C" w:rsidRDefault="00FA3A2C" w:rsidP="00FA3A2C">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0137F6" id="_x0000_t202" coordsize="21600,21600" o:spt="202" path="m,l,21600r21600,l21600,xe">
              <v:stroke joinstyle="miter"/>
              <v:path gradientshapeok="t" o:connecttype="rect"/>
            </v:shapetype>
            <v:shape id="Text Box 4" o:spid="_x0000_s1027" type="#_x0000_t202" alt="{&quot;HashCode&quot;:1186230005,&quot;Height&quot;:841.0,&quot;Width&quot;:595.0,&quot;Placement&quot;:&quot;Footer&quot;,&quot;Index&quot;:&quot;FirstPage&quot;,&quot;Section&quot;:1,&quot;Top&quot;:0.0,&quot;Left&quot;:0.0}" style="position:absolute;margin-left:0;margin-top:805.35pt;width:595.3pt;height:21.5pt;z-index:2516490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textbox inset=",0,,0">
                <w:txbxContent>
                  <w:p w14:paraId="11A42BF3" w14:textId="36555CD8" w:rsidR="00FA3A2C" w:rsidRPr="00FA3A2C" w:rsidRDefault="00FA3A2C" w:rsidP="00FA3A2C">
                    <w:pPr>
                      <w:spacing w:after="0"/>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6D4F4" w14:textId="77777777" w:rsidR="00C8566E" w:rsidRDefault="00C8566E" w:rsidP="002D11F8">
      <w:pPr>
        <w:spacing w:after="0" w:line="240" w:lineRule="auto"/>
      </w:pPr>
      <w:r>
        <w:separator/>
      </w:r>
    </w:p>
  </w:footnote>
  <w:footnote w:type="continuationSeparator" w:id="0">
    <w:p w14:paraId="6C948003" w14:textId="77777777" w:rsidR="00C8566E" w:rsidRDefault="00C8566E" w:rsidP="002D11F8">
      <w:pPr>
        <w:spacing w:after="0" w:line="240" w:lineRule="auto"/>
      </w:pPr>
      <w:r>
        <w:continuationSeparator/>
      </w:r>
    </w:p>
  </w:footnote>
  <w:footnote w:type="continuationNotice" w:id="1">
    <w:p w14:paraId="4285CB73" w14:textId="77777777" w:rsidR="00C8566E" w:rsidRDefault="00C8566E">
      <w:pPr>
        <w:spacing w:after="0" w:line="240" w:lineRule="auto"/>
      </w:pPr>
    </w:p>
  </w:footnote>
  <w:footnote w:id="2">
    <w:p w14:paraId="21DADA77" w14:textId="77777777" w:rsidR="00B47A67" w:rsidRPr="00CB07D4" w:rsidRDefault="00B47A67" w:rsidP="00B47A67">
      <w:pPr>
        <w:pStyle w:val="Textonotapie"/>
        <w:jc w:val="both"/>
        <w:rPr>
          <w:sz w:val="18"/>
          <w:szCs w:val="18"/>
          <w:lang w:val="es-CR"/>
        </w:rPr>
      </w:pPr>
      <w:r w:rsidRPr="00CB07D4">
        <w:rPr>
          <w:rStyle w:val="Refdenotaalpie"/>
          <w:sz w:val="18"/>
          <w:szCs w:val="18"/>
        </w:rPr>
        <w:footnoteRef/>
      </w:r>
      <w:r w:rsidRPr="00CB07D4">
        <w:rPr>
          <w:sz w:val="18"/>
          <w:szCs w:val="18"/>
        </w:rPr>
        <w:t xml:space="preserve"> La información contenida en este documento es propiedad intelectual de la Superintendencia de Pensiones (SUPEN). La SUPEN no se hace legalmente responsable de la transmisión incorrecta de la información aquí contenida. Cualquier duda o consulta sobre este documento debe ser canalizarla a la dirección de correo SUPEN@SUPEN.fi.cr.</w:t>
      </w:r>
    </w:p>
  </w:footnote>
  <w:footnote w:id="3">
    <w:p w14:paraId="63FBB8FB" w14:textId="77777777" w:rsidR="00C21468" w:rsidRPr="00E162FB" w:rsidRDefault="00C21468" w:rsidP="00021DE0">
      <w:pPr>
        <w:spacing w:after="0" w:line="240" w:lineRule="auto"/>
        <w:contextualSpacing/>
        <w:jc w:val="both"/>
        <w:rPr>
          <w:sz w:val="18"/>
          <w:szCs w:val="18"/>
        </w:rPr>
      </w:pPr>
      <w:r w:rsidRPr="00E162FB">
        <w:rPr>
          <w:rStyle w:val="Refdenotaalpie"/>
        </w:rPr>
        <w:footnoteRef/>
      </w:r>
      <w:r w:rsidRPr="00E162FB">
        <w:t xml:space="preserve"> </w:t>
      </w:r>
      <w:r w:rsidRPr="00E162FB">
        <w:rPr>
          <w:sz w:val="18"/>
          <w:szCs w:val="18"/>
        </w:rPr>
        <w:t>La propuesta tiene como contexto un régimen de capitalización individual de contribución definida que no garantiza prestaciones definidas, como sí lo hace un régimen de capitalización colectiva, sin embargo, procura fortalecer la tasa de reemplazo.</w:t>
      </w:r>
    </w:p>
  </w:footnote>
  <w:footnote w:id="4">
    <w:p w14:paraId="4AF46666" w14:textId="77777777" w:rsidR="00386C6F" w:rsidRPr="008633DF" w:rsidRDefault="00386C6F" w:rsidP="005E6D85">
      <w:pPr>
        <w:pStyle w:val="Textonotapie"/>
        <w:jc w:val="both"/>
        <w:rPr>
          <w:sz w:val="18"/>
          <w:szCs w:val="18"/>
        </w:rPr>
      </w:pPr>
      <w:r>
        <w:rPr>
          <w:rStyle w:val="Refdenotaalpie"/>
        </w:rPr>
        <w:footnoteRef/>
      </w:r>
      <w:r>
        <w:t xml:space="preserve"> </w:t>
      </w:r>
      <w:r w:rsidRPr="008633DF">
        <w:rPr>
          <w:sz w:val="18"/>
          <w:szCs w:val="18"/>
        </w:rPr>
        <w:t>Asignación Estratégica de activos: conjunto de decisiones relativas a la combinación de los diferentes tipos de activos, divisas, zonas geográficas, entre otros, de una cartera de inversión, de acuerdo con el perfil de riesgo del inversor.</w:t>
      </w:r>
    </w:p>
  </w:footnote>
  <w:footnote w:id="5">
    <w:p w14:paraId="1D094281" w14:textId="77777777" w:rsidR="00386C6F" w:rsidRPr="008633DF" w:rsidRDefault="00386C6F" w:rsidP="005E6D85">
      <w:pPr>
        <w:pStyle w:val="Textonotapie"/>
        <w:jc w:val="both"/>
        <w:rPr>
          <w:sz w:val="18"/>
          <w:szCs w:val="18"/>
        </w:rPr>
      </w:pPr>
      <w:r w:rsidRPr="008633DF">
        <w:rPr>
          <w:rStyle w:val="Refdenotaalpie"/>
          <w:sz w:val="18"/>
          <w:szCs w:val="18"/>
        </w:rPr>
        <w:footnoteRef/>
      </w:r>
      <w:r w:rsidR="005E6D85" w:rsidRPr="008633DF">
        <w:rPr>
          <w:sz w:val="18"/>
          <w:szCs w:val="18"/>
        </w:rPr>
        <w:t xml:space="preserve"> Tasa de remplazo: relación del monto de pensión a salario de referencia del trabajador</w:t>
      </w:r>
      <w:r w:rsidR="005E6D85">
        <w:rPr>
          <w:sz w:val="18"/>
          <w:szCs w:val="18"/>
        </w:rPr>
        <w:t>.</w:t>
      </w:r>
    </w:p>
  </w:footnote>
  <w:footnote w:id="6">
    <w:p w14:paraId="0749147A" w14:textId="77777777" w:rsidR="00386C6F" w:rsidRPr="008633DF" w:rsidRDefault="00386C6F" w:rsidP="00386C6F">
      <w:pPr>
        <w:pStyle w:val="Textonotapie"/>
        <w:jc w:val="both"/>
        <w:rPr>
          <w:sz w:val="18"/>
          <w:szCs w:val="18"/>
        </w:rPr>
      </w:pPr>
      <w:r w:rsidRPr="008633DF">
        <w:rPr>
          <w:rStyle w:val="Refdenotaalpie"/>
          <w:sz w:val="18"/>
          <w:szCs w:val="18"/>
        </w:rPr>
        <w:footnoteRef/>
      </w:r>
      <w:r w:rsidRPr="008633DF">
        <w:rPr>
          <w:sz w:val="18"/>
          <w:szCs w:val="18"/>
        </w:rPr>
        <w:t xml:space="preserve"> La seguridad económica es un concepto establecido en el artículo 22 de la Ley de Protección al Trabajador, que busca resguardar los intereses de los afiliados al momento de su pensión.</w:t>
      </w:r>
    </w:p>
  </w:footnote>
  <w:footnote w:id="7">
    <w:p w14:paraId="19A335FC" w14:textId="77777777" w:rsidR="00386C6F" w:rsidRPr="008633DF" w:rsidRDefault="00386C6F" w:rsidP="00386C6F">
      <w:pPr>
        <w:widowControl w:val="0"/>
        <w:jc w:val="both"/>
        <w:rPr>
          <w:sz w:val="18"/>
          <w:szCs w:val="18"/>
        </w:rPr>
      </w:pPr>
      <w:r w:rsidRPr="008633DF">
        <w:rPr>
          <w:rStyle w:val="Refdenotaalpie"/>
          <w:sz w:val="18"/>
          <w:szCs w:val="18"/>
        </w:rPr>
        <w:footnoteRef/>
      </w:r>
      <w:r w:rsidRPr="008633DF">
        <w:rPr>
          <w:sz w:val="18"/>
          <w:szCs w:val="18"/>
        </w:rPr>
        <w:t xml:space="preserve"> El Transitorio I del </w:t>
      </w:r>
      <w:r w:rsidRPr="008633DF">
        <w:rPr>
          <w:i/>
          <w:iCs/>
          <w:sz w:val="18"/>
          <w:szCs w:val="18"/>
        </w:rPr>
        <w:t>Reglamento de Beneficios del Régimen de Capitalización Individual</w:t>
      </w:r>
      <w:r w:rsidRPr="008633DF">
        <w:rPr>
          <w:sz w:val="18"/>
          <w:szCs w:val="18"/>
        </w:rPr>
        <w:t xml:space="preserve"> estableció que, hasta el 31 diciembre del 2024, los recursos correspondientes a las distintas modalidades de pensión complementaria se administrarán dentro del fondo correspondiente al Régimen Obligatorio de Pensiones de cada entidad. </w:t>
      </w:r>
    </w:p>
  </w:footnote>
  <w:footnote w:id="8">
    <w:p w14:paraId="255AB7BA" w14:textId="77777777" w:rsidR="00365350" w:rsidRPr="00365350" w:rsidRDefault="00365350" w:rsidP="00631150">
      <w:pPr>
        <w:pStyle w:val="Textonotapie"/>
        <w:jc w:val="both"/>
      </w:pPr>
      <w:r>
        <w:rPr>
          <w:rStyle w:val="Refdenotaalpie"/>
        </w:rPr>
        <w:footnoteRef/>
      </w:r>
      <w:r>
        <w:t xml:space="preserve"> </w:t>
      </w:r>
      <w:r w:rsidR="00B3517D" w:rsidRPr="00CB137B">
        <w:rPr>
          <w:i/>
          <w:iCs/>
        </w:rPr>
        <w:t xml:space="preserve">Se suprime la información de carácter privado de las operadoras, según el artículo 24 de la Constitución Política, el artículo 166 de la Ley reguladora del mercado de Valores, y  la  sentencia No. 2120-2003 de las 13:30 horas del 14 de marzo del 2003 de la Sala Constitucional de la Corte Suprema de Justicia, reiterada por la resolución de ese mismo órgano jurisdiccional  </w:t>
      </w:r>
      <w:proofErr w:type="spellStart"/>
      <w:r w:rsidR="00B3517D" w:rsidRPr="00CB137B">
        <w:rPr>
          <w:i/>
          <w:iCs/>
        </w:rPr>
        <w:t>Nº</w:t>
      </w:r>
      <w:proofErr w:type="spellEnd"/>
      <w:r w:rsidR="00B3517D" w:rsidRPr="00CB137B">
        <w:rPr>
          <w:i/>
          <w:iCs/>
        </w:rPr>
        <w:t xml:space="preserve"> 2023006926 de las nueve horas treinta minutos del veinticuatro de marzo de dos mil veintitrés, jurisprudencia de acatamiento obligatorio, según señala el artículo 13 de la Ley de la jurisdicción constitucional</w:t>
      </w:r>
      <w:r w:rsidR="00631150">
        <w:t>.</w:t>
      </w:r>
    </w:p>
  </w:footnote>
  <w:footnote w:id="9">
    <w:p w14:paraId="2447105F" w14:textId="77777777" w:rsidR="00812F87" w:rsidRPr="00812F87" w:rsidRDefault="00812F87">
      <w:pPr>
        <w:pStyle w:val="Textonotapie"/>
      </w:pPr>
      <w:r>
        <w:rPr>
          <w:rStyle w:val="Refdenotaalpie"/>
        </w:rPr>
        <w:footnoteRef/>
      </w:r>
      <w:r>
        <w:t xml:space="preserve"> </w:t>
      </w:r>
      <w:hyperlink r:id="rId1" w:history="1">
        <w:r w:rsidRPr="00812F87">
          <w:rPr>
            <w:rStyle w:val="Hipervnculo"/>
          </w:rPr>
          <w:t>Enlace</w:t>
        </w:r>
      </w:hyperlink>
      <w:r>
        <w:t xml:space="preserve"> a la propuesta de reforma chilena</w:t>
      </w:r>
      <w:r w:rsidR="00DD2700">
        <w:t>.</w:t>
      </w:r>
    </w:p>
  </w:footnote>
  <w:footnote w:id="10">
    <w:p w14:paraId="554BD005" w14:textId="77777777" w:rsidR="00FE17CC" w:rsidRPr="00A53647" w:rsidRDefault="00FE17CC" w:rsidP="000B4EE1">
      <w:pPr>
        <w:pStyle w:val="Textonotapie"/>
        <w:jc w:val="both"/>
        <w:rPr>
          <w:sz w:val="18"/>
          <w:szCs w:val="18"/>
        </w:rPr>
      </w:pPr>
      <w:r>
        <w:rPr>
          <w:rStyle w:val="Refdenotaalpie"/>
        </w:rPr>
        <w:footnoteRef/>
      </w:r>
      <w:r>
        <w:t xml:space="preserve"> </w:t>
      </w:r>
      <w:r w:rsidRPr="00A53647">
        <w:rPr>
          <w:sz w:val="18"/>
          <w:szCs w:val="18"/>
        </w:rPr>
        <w:t>Una alternativa para los pensionados es la renta vitalicia, la cual es un producto ofrecido por aseguradoras, con lo cual su gestión financiera es la de un seguro, no la de un fondo de pensión.</w:t>
      </w:r>
    </w:p>
  </w:footnote>
  <w:footnote w:id="11">
    <w:p w14:paraId="587842E8" w14:textId="77777777" w:rsidR="00B47A67" w:rsidRPr="00A53647" w:rsidRDefault="00B47A67" w:rsidP="000B4EE1">
      <w:pPr>
        <w:pStyle w:val="Textonotapie"/>
        <w:jc w:val="both"/>
        <w:rPr>
          <w:sz w:val="18"/>
          <w:szCs w:val="18"/>
        </w:rPr>
      </w:pPr>
      <w:r>
        <w:rPr>
          <w:rStyle w:val="Refdenotaalpie"/>
        </w:rPr>
        <w:footnoteRef/>
      </w:r>
      <w:r w:rsidR="005E6D85">
        <w:t xml:space="preserve"> </w:t>
      </w:r>
      <w:r w:rsidR="005E6D85" w:rsidRPr="00A53647">
        <w:rPr>
          <w:sz w:val="18"/>
          <w:szCs w:val="18"/>
        </w:rPr>
        <w:t>Una SIEFORE es el fondo de inversión en el cual las AFP invierten los recursos de los trabajadores para generar rendimientos.</w:t>
      </w:r>
    </w:p>
  </w:footnote>
  <w:footnote w:id="12">
    <w:p w14:paraId="18AB981F" w14:textId="77777777" w:rsidR="00B47A67" w:rsidRPr="00A53647" w:rsidRDefault="00B47A67" w:rsidP="000B4EE1">
      <w:pPr>
        <w:pStyle w:val="Textonotapie"/>
        <w:jc w:val="both"/>
        <w:rPr>
          <w:sz w:val="18"/>
          <w:szCs w:val="18"/>
        </w:rPr>
      </w:pPr>
      <w:r>
        <w:rPr>
          <w:rStyle w:val="Refdenotaalpie"/>
        </w:rPr>
        <w:footnoteRef/>
      </w:r>
      <w:r>
        <w:t xml:space="preserve"> </w:t>
      </w:r>
      <w:r w:rsidR="00552B1A">
        <w:rPr>
          <w:sz w:val="18"/>
          <w:szCs w:val="18"/>
        </w:rPr>
        <w:t>Enlace</w:t>
      </w:r>
      <w:r w:rsidRPr="00A53647">
        <w:rPr>
          <w:sz w:val="18"/>
          <w:szCs w:val="18"/>
        </w:rPr>
        <w:t xml:space="preserve"> al prospecto del fondo </w:t>
      </w:r>
      <w:proofErr w:type="spellStart"/>
      <w:r w:rsidRPr="00A53647">
        <w:rPr>
          <w:sz w:val="18"/>
          <w:szCs w:val="18"/>
        </w:rPr>
        <w:t>Vanguard</w:t>
      </w:r>
      <w:proofErr w:type="spellEnd"/>
      <w:r w:rsidRPr="00A53647">
        <w:rPr>
          <w:sz w:val="18"/>
          <w:szCs w:val="18"/>
        </w:rPr>
        <w:t xml:space="preserve"> 20245: https://investor.vanguard.com/investment-products/mutual-funds/profile/vtivx</w:t>
      </w:r>
    </w:p>
  </w:footnote>
  <w:footnote w:id="13">
    <w:p w14:paraId="09F7AEF0" w14:textId="77777777" w:rsidR="008C6174" w:rsidRPr="008C6174" w:rsidRDefault="008C6174" w:rsidP="001839C2">
      <w:pPr>
        <w:pStyle w:val="Textonotapie"/>
        <w:jc w:val="both"/>
      </w:pPr>
      <w:r>
        <w:rPr>
          <w:rStyle w:val="Refdenotaalpie"/>
        </w:rPr>
        <w:footnoteRef/>
      </w:r>
      <w:r>
        <w:t xml:space="preserve"> </w:t>
      </w:r>
      <w:r w:rsidRPr="00A53647">
        <w:rPr>
          <w:sz w:val="18"/>
          <w:szCs w:val="18"/>
        </w:rPr>
        <w:t xml:space="preserve">Se tuvo contacto con México, reuniones de AIOS, gestores de pensiones como </w:t>
      </w:r>
      <w:proofErr w:type="spellStart"/>
      <w:r w:rsidRPr="00A53647">
        <w:rPr>
          <w:sz w:val="18"/>
          <w:szCs w:val="18"/>
        </w:rPr>
        <w:t>Vanguard</w:t>
      </w:r>
      <w:proofErr w:type="spellEnd"/>
      <w:r w:rsidRPr="00A53647">
        <w:rPr>
          <w:sz w:val="18"/>
          <w:szCs w:val="18"/>
        </w:rPr>
        <w:t>, entre otros.</w:t>
      </w:r>
    </w:p>
  </w:footnote>
  <w:footnote w:id="14">
    <w:p w14:paraId="7DFEE036" w14:textId="77777777" w:rsidR="00E3577D" w:rsidRPr="00A8511E" w:rsidRDefault="00E3577D" w:rsidP="001839C2">
      <w:pPr>
        <w:pStyle w:val="Textonotapie"/>
        <w:jc w:val="both"/>
      </w:pPr>
      <w:r>
        <w:rPr>
          <w:rStyle w:val="Refdenotaalpie"/>
        </w:rPr>
        <w:footnoteRef/>
      </w:r>
      <w:r>
        <w:t xml:space="preserve"> </w:t>
      </w:r>
      <w:r w:rsidRPr="00A53647">
        <w:rPr>
          <w:sz w:val="18"/>
          <w:szCs w:val="18"/>
        </w:rPr>
        <w:t>Puede consultarse más información sobre este tipo de administración financiera en el siguiente enlace: https://www.estrategiasdeinversion.com/herramientas/diccionario/fondos/fondo-paraguas-t-604</w:t>
      </w:r>
    </w:p>
  </w:footnote>
  <w:footnote w:id="15">
    <w:p w14:paraId="35EC6C35" w14:textId="77777777" w:rsidR="000878AC" w:rsidRPr="00A53647" w:rsidRDefault="000878AC" w:rsidP="0048498E">
      <w:pPr>
        <w:pStyle w:val="Textonotapie"/>
        <w:jc w:val="both"/>
        <w:rPr>
          <w:sz w:val="18"/>
          <w:szCs w:val="18"/>
        </w:rPr>
      </w:pPr>
      <w:r>
        <w:rPr>
          <w:rStyle w:val="Refdenotaalpie"/>
        </w:rPr>
        <w:footnoteRef/>
      </w:r>
      <w:r>
        <w:t xml:space="preserve"> </w:t>
      </w:r>
      <w:r w:rsidR="007929BD" w:rsidRPr="00A53647">
        <w:rPr>
          <w:sz w:val="18"/>
          <w:szCs w:val="18"/>
        </w:rPr>
        <w:t>E</w:t>
      </w:r>
      <w:r w:rsidR="005247EA" w:rsidRPr="00A53647">
        <w:rPr>
          <w:sz w:val="18"/>
          <w:szCs w:val="18"/>
        </w:rPr>
        <w:t xml:space="preserve">ste estudio reconoce la posibilidad </w:t>
      </w:r>
      <w:r w:rsidR="00C41712" w:rsidRPr="00A53647">
        <w:rPr>
          <w:sz w:val="18"/>
          <w:szCs w:val="18"/>
        </w:rPr>
        <w:t xml:space="preserve">que tienen los afiliados a tener </w:t>
      </w:r>
      <w:r w:rsidR="00B27658" w:rsidRPr="00A53647">
        <w:rPr>
          <w:sz w:val="18"/>
          <w:szCs w:val="18"/>
        </w:rPr>
        <w:t xml:space="preserve">saldo </w:t>
      </w:r>
      <w:r w:rsidR="00B0794E" w:rsidRPr="00A53647">
        <w:rPr>
          <w:sz w:val="18"/>
          <w:szCs w:val="18"/>
        </w:rPr>
        <w:t xml:space="preserve">en dos fondos generacionales, producto de </w:t>
      </w:r>
      <w:r w:rsidR="002C5603" w:rsidRPr="00A53647">
        <w:rPr>
          <w:sz w:val="18"/>
          <w:szCs w:val="18"/>
        </w:rPr>
        <w:t>su condición de asalariado y al mismo tiempo</w:t>
      </w:r>
      <w:r w:rsidR="00FE78F4" w:rsidRPr="00A53647">
        <w:rPr>
          <w:sz w:val="18"/>
          <w:szCs w:val="18"/>
        </w:rPr>
        <w:t xml:space="preserve"> </w:t>
      </w:r>
      <w:r w:rsidR="000F1A5F" w:rsidRPr="00A53647">
        <w:rPr>
          <w:sz w:val="18"/>
          <w:szCs w:val="18"/>
        </w:rPr>
        <w:t>en condición de pensionado</w:t>
      </w:r>
      <w:r w:rsidR="00DE4674" w:rsidRPr="00A53647">
        <w:rPr>
          <w:sz w:val="18"/>
          <w:szCs w:val="18"/>
        </w:rPr>
        <w:t>. Este e</w:t>
      </w:r>
      <w:r w:rsidR="00C16B41" w:rsidRPr="00A53647">
        <w:rPr>
          <w:sz w:val="18"/>
          <w:szCs w:val="18"/>
        </w:rPr>
        <w:t xml:space="preserve">s el caso de las personas </w:t>
      </w:r>
      <w:r w:rsidR="00CA7503" w:rsidRPr="00A53647">
        <w:rPr>
          <w:sz w:val="18"/>
          <w:szCs w:val="18"/>
        </w:rPr>
        <w:t xml:space="preserve">jóvenes </w:t>
      </w:r>
      <w:r w:rsidR="00C16B41" w:rsidRPr="00A53647">
        <w:rPr>
          <w:sz w:val="18"/>
          <w:szCs w:val="18"/>
        </w:rPr>
        <w:t>que disfrutan</w:t>
      </w:r>
      <w:r w:rsidR="00E67511" w:rsidRPr="00A53647">
        <w:rPr>
          <w:sz w:val="18"/>
          <w:szCs w:val="18"/>
        </w:rPr>
        <w:t xml:space="preserve"> de una pensión </w:t>
      </w:r>
      <w:r w:rsidR="0048498E" w:rsidRPr="00A53647">
        <w:rPr>
          <w:sz w:val="18"/>
          <w:szCs w:val="18"/>
        </w:rPr>
        <w:t>por sobrevivencia.</w:t>
      </w:r>
      <w:r w:rsidR="0049401D" w:rsidRPr="00A53647">
        <w:rPr>
          <w:sz w:val="18"/>
          <w:szCs w:val="18"/>
        </w:rPr>
        <w:t xml:space="preserve"> </w:t>
      </w:r>
      <w:r w:rsidR="00B3587B" w:rsidRPr="00A53647">
        <w:rPr>
          <w:sz w:val="18"/>
          <w:szCs w:val="18"/>
        </w:rPr>
        <w:t>Según dato</w:t>
      </w:r>
      <w:r w:rsidR="00562DBB" w:rsidRPr="00A53647">
        <w:rPr>
          <w:sz w:val="18"/>
          <w:szCs w:val="18"/>
        </w:rPr>
        <w:t xml:space="preserve">s suministrados por los regímenes básicos, </w:t>
      </w:r>
      <w:r w:rsidR="004F25EC" w:rsidRPr="00A53647">
        <w:rPr>
          <w:sz w:val="18"/>
          <w:szCs w:val="18"/>
        </w:rPr>
        <w:t>alrededor de 5</w:t>
      </w:r>
      <w:r w:rsidR="00612AF0" w:rsidRPr="00A53647">
        <w:rPr>
          <w:sz w:val="18"/>
          <w:szCs w:val="18"/>
        </w:rPr>
        <w:t>5</w:t>
      </w:r>
      <w:r w:rsidR="004F25EC" w:rsidRPr="00A53647">
        <w:rPr>
          <w:sz w:val="18"/>
          <w:szCs w:val="18"/>
        </w:rPr>
        <w:t xml:space="preserve">% de las pensiones otorgadas son por vejez, </w:t>
      </w:r>
      <w:r w:rsidR="00544DFC" w:rsidRPr="00A53647">
        <w:rPr>
          <w:sz w:val="18"/>
          <w:szCs w:val="18"/>
        </w:rPr>
        <w:t>2</w:t>
      </w:r>
      <w:r w:rsidR="006F1594" w:rsidRPr="00A53647">
        <w:rPr>
          <w:sz w:val="18"/>
          <w:szCs w:val="18"/>
        </w:rPr>
        <w:t>8</w:t>
      </w:r>
      <w:r w:rsidR="00544DFC" w:rsidRPr="00A53647">
        <w:rPr>
          <w:sz w:val="18"/>
          <w:szCs w:val="18"/>
        </w:rPr>
        <w:t xml:space="preserve">% por sobrevivencia y </w:t>
      </w:r>
      <w:r w:rsidR="00EB3D7D" w:rsidRPr="00A53647">
        <w:rPr>
          <w:sz w:val="18"/>
          <w:szCs w:val="18"/>
        </w:rPr>
        <w:t>1</w:t>
      </w:r>
      <w:r w:rsidR="00612AF0" w:rsidRPr="00A53647">
        <w:rPr>
          <w:sz w:val="18"/>
          <w:szCs w:val="18"/>
        </w:rPr>
        <w:t>7</w:t>
      </w:r>
      <w:r w:rsidR="00EB3D7D" w:rsidRPr="00A53647">
        <w:rPr>
          <w:sz w:val="18"/>
          <w:szCs w:val="18"/>
        </w:rPr>
        <w:t>% por invalidez</w:t>
      </w:r>
      <w:r w:rsidR="00E4570F" w:rsidRPr="00A53647">
        <w:rPr>
          <w:sz w:val="18"/>
          <w:szCs w:val="18"/>
        </w:rPr>
        <w:t xml:space="preserve"> (a diciembre de 2020</w:t>
      </w:r>
      <w:r w:rsidR="00561245" w:rsidRPr="00A53647">
        <w:rPr>
          <w:sz w:val="18"/>
          <w:szCs w:val="18"/>
        </w:rPr>
        <w:t>)</w:t>
      </w:r>
      <w:r w:rsidR="00EB3D7D" w:rsidRPr="00A53647">
        <w:rPr>
          <w:sz w:val="18"/>
          <w:szCs w:val="18"/>
        </w:rPr>
        <w:t>.</w:t>
      </w:r>
      <w:r w:rsidR="003F6DF4" w:rsidRPr="00A53647">
        <w:rPr>
          <w:sz w:val="18"/>
          <w:szCs w:val="18"/>
        </w:rPr>
        <w:t xml:space="preserve"> </w:t>
      </w:r>
    </w:p>
  </w:footnote>
  <w:footnote w:id="16">
    <w:p w14:paraId="49FFF902" w14:textId="77777777" w:rsidR="00886433" w:rsidRPr="00886433" w:rsidRDefault="00886433" w:rsidP="00B3517D">
      <w:pPr>
        <w:pStyle w:val="Textonotapie"/>
        <w:jc w:val="both"/>
        <w:rPr>
          <w:lang w:val="es-CR"/>
        </w:rPr>
      </w:pPr>
      <w:r>
        <w:rPr>
          <w:rStyle w:val="Refdenotaalpie"/>
        </w:rPr>
        <w:footnoteRef/>
      </w:r>
      <w:r>
        <w:t xml:space="preserve"> </w:t>
      </w:r>
      <w:r w:rsidR="00B3517D" w:rsidRPr="003E48AA">
        <w:rPr>
          <w:i/>
          <w:iCs/>
          <w:sz w:val="18"/>
          <w:szCs w:val="18"/>
        </w:rPr>
        <w:t xml:space="preserve">Se suprime la información de carácter privado de las operadoras, según el artículo 24 de la Constitución Política, el artículo 166 de la Ley reguladora del mercado de Valores, y  la  sentencia No. 2120-2003 de las 13:30 horas del 14 de marzo del 2003 de la Sala Constitucional de la Corte Suprema de Justicia, reiterada por la resolución de ese mismo órgano jurisdiccional  </w:t>
      </w:r>
      <w:proofErr w:type="spellStart"/>
      <w:r w:rsidR="00B3517D" w:rsidRPr="003E48AA">
        <w:rPr>
          <w:i/>
          <w:iCs/>
          <w:sz w:val="18"/>
          <w:szCs w:val="18"/>
        </w:rPr>
        <w:t>Nº</w:t>
      </w:r>
      <w:proofErr w:type="spellEnd"/>
      <w:r w:rsidR="00B3517D" w:rsidRPr="003E48AA">
        <w:rPr>
          <w:i/>
          <w:iCs/>
          <w:sz w:val="18"/>
          <w:szCs w:val="18"/>
        </w:rPr>
        <w:t xml:space="preserve"> 2023006926 de las nueve horas treinta minutos del veinticuatro de marzo de dos mil veintitrés, jurisprudencia de acatamiento obligatorio, según señala el artículo 13 de la Ley de la jurisdicción constitucional</w:t>
      </w:r>
      <w:r w:rsidR="00CB137B" w:rsidRPr="003E48AA">
        <w:rPr>
          <w:sz w:val="18"/>
          <w:szCs w:val="18"/>
        </w:rPr>
        <w:t>.</w:t>
      </w:r>
    </w:p>
  </w:footnote>
  <w:footnote w:id="17">
    <w:p w14:paraId="7C008DB3" w14:textId="77777777" w:rsidR="00D106F9" w:rsidRPr="00D106F9" w:rsidRDefault="00D106F9">
      <w:pPr>
        <w:pStyle w:val="Textonotapie"/>
        <w:rPr>
          <w:lang w:val="es-CR"/>
        </w:rPr>
      </w:pPr>
      <w:r>
        <w:rPr>
          <w:rStyle w:val="Refdenotaalpie"/>
        </w:rPr>
        <w:footnoteRef/>
      </w:r>
      <w:r>
        <w:t xml:space="preserve"> </w:t>
      </w:r>
      <w:r w:rsidR="00871560">
        <w:rPr>
          <w:lang w:val="es-CR"/>
        </w:rPr>
        <w:t>ídem</w:t>
      </w:r>
      <w:r w:rsidR="00276664">
        <w:rPr>
          <w:lang w:val="es-CR"/>
        </w:rPr>
        <w:t>.</w:t>
      </w:r>
    </w:p>
  </w:footnote>
  <w:footnote w:id="18">
    <w:p w14:paraId="3C491346" w14:textId="77777777" w:rsidR="000E667B" w:rsidRPr="000E667B" w:rsidRDefault="000E667B">
      <w:pPr>
        <w:pStyle w:val="Textonotapie"/>
      </w:pPr>
      <w:r>
        <w:rPr>
          <w:rStyle w:val="Refdenotaalpie"/>
        </w:rPr>
        <w:footnoteRef/>
      </w:r>
      <w:r>
        <w:t xml:space="preserve"> </w:t>
      </w:r>
      <w:r w:rsidRPr="00501058">
        <w:rPr>
          <w:sz w:val="18"/>
          <w:szCs w:val="18"/>
        </w:rPr>
        <w:t>Reglamento de Gestión de Activos</w:t>
      </w:r>
      <w:r w:rsidR="001027B1" w:rsidRPr="00501058">
        <w:rPr>
          <w:sz w:val="18"/>
          <w:szCs w:val="18"/>
        </w:rPr>
        <w:t xml:space="preserve"> de la SUPEN y Reglamento de Custodia de la SUGEVAL</w:t>
      </w:r>
      <w:r w:rsidR="004551B3">
        <w:rPr>
          <w:sz w:val="18"/>
          <w:szCs w:val="18"/>
        </w:rPr>
        <w:t>.</w:t>
      </w:r>
    </w:p>
  </w:footnote>
  <w:footnote w:id="19">
    <w:p w14:paraId="5A753906" w14:textId="77777777" w:rsidR="00964E01" w:rsidRPr="00CB07D4" w:rsidRDefault="00964E01" w:rsidP="00964E01">
      <w:pPr>
        <w:pStyle w:val="Textonotapie"/>
        <w:jc w:val="both"/>
        <w:rPr>
          <w:sz w:val="18"/>
          <w:szCs w:val="18"/>
        </w:rPr>
      </w:pPr>
      <w:r w:rsidRPr="00CB07D4">
        <w:rPr>
          <w:rStyle w:val="Refdenotaalpie"/>
          <w:sz w:val="18"/>
          <w:szCs w:val="18"/>
        </w:rPr>
        <w:footnoteRef/>
      </w:r>
      <w:r w:rsidR="005E6D85" w:rsidRPr="00CB07D4">
        <w:rPr>
          <w:sz w:val="18"/>
          <w:szCs w:val="18"/>
        </w:rPr>
        <w:t xml:space="preserve"> A diferencia del mercado de valores costarricense, el mercado de valores de México ofrece una amplia gama de instrumentos locales con los cuales diferenciar portafolios (incluidos instrumentos de renta variable). En Costa Rica</w:t>
      </w:r>
      <w:r w:rsidR="005E6D85">
        <w:rPr>
          <w:sz w:val="18"/>
          <w:szCs w:val="18"/>
        </w:rPr>
        <w:t>,</w:t>
      </w:r>
      <w:r w:rsidR="005E6D85" w:rsidRPr="00CB07D4">
        <w:rPr>
          <w:sz w:val="18"/>
          <w:szCs w:val="18"/>
        </w:rPr>
        <w:t xml:space="preserve"> más del 90% de las emisiones son de tipo deuda y altamente concentrada en un único emisor: el Ministerio de Hacienda.</w:t>
      </w:r>
    </w:p>
  </w:footnote>
  <w:footnote w:id="20">
    <w:p w14:paraId="5E1977CA" w14:textId="77777777" w:rsidR="005E6D85" w:rsidRPr="006C5A84" w:rsidRDefault="005E6D85" w:rsidP="005E6D85">
      <w:pPr>
        <w:pStyle w:val="Textonotapie"/>
        <w:jc w:val="both"/>
      </w:pPr>
      <w:r>
        <w:rPr>
          <w:rStyle w:val="Refdenotaalpie"/>
        </w:rPr>
        <w:footnoteRef/>
      </w:r>
      <w:r>
        <w:t xml:space="preserve">  </w:t>
      </w:r>
      <w:r w:rsidRPr="00A53647">
        <w:rPr>
          <w:sz w:val="18"/>
          <w:szCs w:val="18"/>
        </w:rPr>
        <w:t xml:space="preserve">El </w:t>
      </w:r>
      <w:proofErr w:type="spellStart"/>
      <w:r w:rsidRPr="00A53647">
        <w:rPr>
          <w:sz w:val="18"/>
          <w:szCs w:val="18"/>
        </w:rPr>
        <w:t>glide</w:t>
      </w:r>
      <w:proofErr w:type="spellEnd"/>
      <w:r w:rsidRPr="00A53647">
        <w:rPr>
          <w:sz w:val="18"/>
          <w:szCs w:val="18"/>
        </w:rPr>
        <w:t xml:space="preserve"> </w:t>
      </w:r>
      <w:proofErr w:type="spellStart"/>
      <w:r w:rsidRPr="00A53647">
        <w:rPr>
          <w:sz w:val="18"/>
          <w:szCs w:val="18"/>
        </w:rPr>
        <w:t>path</w:t>
      </w:r>
      <w:proofErr w:type="spellEnd"/>
      <w:r w:rsidRPr="00A53647">
        <w:rPr>
          <w:sz w:val="18"/>
          <w:szCs w:val="18"/>
        </w:rPr>
        <w:t xml:space="preserve"> </w:t>
      </w:r>
      <w:r>
        <w:rPr>
          <w:sz w:val="18"/>
          <w:szCs w:val="18"/>
        </w:rPr>
        <w:t>muestra</w:t>
      </w:r>
      <w:r w:rsidRPr="00A53647">
        <w:rPr>
          <w:sz w:val="18"/>
          <w:szCs w:val="18"/>
        </w:rPr>
        <w:t xml:space="preserve"> la gestión de las inversiones a lo largo del tiempo y la selección de activos conforme se acerca la fecha de jubilarse. No se trata de una selección de activos antojadiza, sino que corresponde a la planificación de las inversiones por el plazo de permanencia de la generación, realizándose rebalanceos periódicos del portafolio a lo largo de tiempo hasta llegar a su edad de retiro</w:t>
      </w:r>
      <w:r>
        <w:rPr>
          <w:sz w:val="18"/>
          <w:szCs w:val="18"/>
        </w:rPr>
        <w:t xml:space="preserve">, </w:t>
      </w:r>
      <w:r w:rsidRPr="00A53647">
        <w:rPr>
          <w:sz w:val="18"/>
          <w:szCs w:val="18"/>
        </w:rPr>
        <w:t>sin limitar la gestión de las inversiones.</w:t>
      </w:r>
    </w:p>
  </w:footnote>
  <w:footnote w:id="21">
    <w:p w14:paraId="12156DB5" w14:textId="77777777" w:rsidR="00964E01" w:rsidRPr="00FA3EDF" w:rsidRDefault="00964E01" w:rsidP="003D14CA">
      <w:pPr>
        <w:pStyle w:val="Textonotapie"/>
        <w:jc w:val="both"/>
      </w:pPr>
      <w:r>
        <w:rPr>
          <w:rStyle w:val="Refdenotaalpie"/>
        </w:rPr>
        <w:footnoteRef/>
      </w:r>
      <w:r w:rsidR="005E6D85">
        <w:t xml:space="preserve"> </w:t>
      </w:r>
      <w:r w:rsidR="005E6D85" w:rsidRPr="00A53647">
        <w:rPr>
          <w:sz w:val="18"/>
          <w:szCs w:val="18"/>
        </w:rPr>
        <w:t>El Índice de Sharpe se calcula restando la rentabilidad de un activo sin riesgo a la rentabilidad de nuestra inversión y dividendo el resultado entre el riesgo, calculado como la desviación típica de la rentabilidad de la inversión</w:t>
      </w:r>
      <w:r w:rsidR="005E6D85">
        <w:rPr>
          <w:sz w:val="18"/>
          <w:szCs w:val="18"/>
        </w:rPr>
        <w:t>.</w:t>
      </w:r>
    </w:p>
  </w:footnote>
  <w:footnote w:id="22">
    <w:p w14:paraId="5B1E6CC1" w14:textId="77777777" w:rsidR="00B47A67" w:rsidRPr="00CB07D4" w:rsidRDefault="00B47A67" w:rsidP="002E0DAC">
      <w:pPr>
        <w:pStyle w:val="Textonotapie"/>
        <w:jc w:val="both"/>
        <w:rPr>
          <w:sz w:val="18"/>
          <w:szCs w:val="18"/>
        </w:rPr>
      </w:pPr>
      <w:r w:rsidRPr="00CB07D4">
        <w:rPr>
          <w:rStyle w:val="Refdenotaalpie"/>
          <w:sz w:val="18"/>
          <w:szCs w:val="18"/>
        </w:rPr>
        <w:footnoteRef/>
      </w:r>
      <w:r w:rsidRPr="00CB07D4">
        <w:rPr>
          <w:sz w:val="18"/>
          <w:szCs w:val="18"/>
        </w:rPr>
        <w:t xml:space="preserve"> Relación de pensión a salario, es decir, si el salario es de 500 mil y se tiene una pensión de 90 mil colones, la tasa de remplazo es de un 18% (90/500).</w:t>
      </w:r>
    </w:p>
  </w:footnote>
  <w:footnote w:id="23">
    <w:p w14:paraId="393F0433" w14:textId="77777777" w:rsidR="00EC2E7A" w:rsidRPr="00EC2E7A" w:rsidRDefault="00EC2E7A" w:rsidP="002E0DAC">
      <w:pPr>
        <w:pStyle w:val="Textonotapie"/>
        <w:jc w:val="both"/>
      </w:pPr>
      <w:r>
        <w:rPr>
          <w:rStyle w:val="Refdenotaalpie"/>
        </w:rPr>
        <w:footnoteRef/>
      </w:r>
      <w:r>
        <w:t xml:space="preserve"> </w:t>
      </w:r>
      <w:r w:rsidR="00CE4658" w:rsidRPr="00A53647">
        <w:rPr>
          <w:sz w:val="18"/>
          <w:szCs w:val="18"/>
        </w:rPr>
        <w:t xml:space="preserve">Los escenarios modelados por SUPEN </w:t>
      </w:r>
      <w:r w:rsidR="004E1DC4" w:rsidRPr="00A53647">
        <w:rPr>
          <w:sz w:val="18"/>
          <w:szCs w:val="18"/>
        </w:rPr>
        <w:t>se realizaron tomando 10 meses de aportación anual</w:t>
      </w:r>
      <w:r w:rsidR="0082011B" w:rsidRPr="00A53647">
        <w:rPr>
          <w:sz w:val="18"/>
          <w:szCs w:val="18"/>
        </w:rPr>
        <w:t>, un nivel de inflación del 3% y un crecimiento del salario de al menos</w:t>
      </w:r>
      <w:r w:rsidR="006E7FCE" w:rsidRPr="00A53647">
        <w:rPr>
          <w:sz w:val="18"/>
          <w:szCs w:val="18"/>
        </w:rPr>
        <w:t xml:space="preserve"> ese nivel inflacionario</w:t>
      </w:r>
      <w:r w:rsidR="00CE4658" w:rsidRPr="00A53647">
        <w:rPr>
          <w:sz w:val="18"/>
          <w:szCs w:val="18"/>
        </w:rPr>
        <w:t>.</w:t>
      </w:r>
    </w:p>
  </w:footnote>
  <w:footnote w:id="24">
    <w:p w14:paraId="4190FB6F" w14:textId="77777777" w:rsidR="00B47A67" w:rsidRPr="00735BDE" w:rsidRDefault="00B47A67" w:rsidP="002E0DAC">
      <w:pPr>
        <w:pStyle w:val="Textonotapie"/>
        <w:jc w:val="both"/>
        <w:rPr>
          <w:lang w:val="es-CR"/>
        </w:rPr>
      </w:pPr>
      <w:r>
        <w:rPr>
          <w:rStyle w:val="Refdenotaalpie"/>
        </w:rPr>
        <w:footnoteRef/>
      </w:r>
      <w:r>
        <w:t xml:space="preserve"> </w:t>
      </w:r>
      <w:r w:rsidRPr="00A53647">
        <w:rPr>
          <w:sz w:val="18"/>
          <w:szCs w:val="18"/>
          <w:lang w:val="es-CR"/>
        </w:rPr>
        <w:t xml:space="preserve">Disponibles en </w:t>
      </w:r>
      <w:hyperlink r:id="rId2" w:history="1">
        <w:r w:rsidR="002E0DAC" w:rsidRPr="005D7DD8">
          <w:rPr>
            <w:rStyle w:val="Hipervnculo"/>
            <w:sz w:val="18"/>
            <w:szCs w:val="18"/>
            <w:lang w:val="es-CR"/>
          </w:rPr>
          <w:t>https://webapps.supen.fi.cr/contenedor/2</w:t>
        </w:r>
      </w:hyperlink>
      <w:r w:rsidR="002E0DAC">
        <w:rPr>
          <w:sz w:val="18"/>
          <w:szCs w:val="18"/>
          <w:lang w:val="es-CR"/>
        </w:rPr>
        <w:t xml:space="preserve"> </w:t>
      </w:r>
    </w:p>
  </w:footnote>
  <w:footnote w:id="25">
    <w:p w14:paraId="720AA22B" w14:textId="77777777" w:rsidR="008807C5" w:rsidRPr="008807C5" w:rsidRDefault="008807C5" w:rsidP="008807C5">
      <w:pPr>
        <w:pStyle w:val="Textonotapie"/>
        <w:jc w:val="both"/>
      </w:pPr>
      <w:r>
        <w:rPr>
          <w:rStyle w:val="Refdenotaalpie"/>
        </w:rPr>
        <w:footnoteRef/>
      </w:r>
      <w:r>
        <w:t xml:space="preserve"> Entre el mes de febrero y marzo de 2022 la SUPEN contrat</w:t>
      </w:r>
      <w:r w:rsidR="00FE4384">
        <w:t>ó</w:t>
      </w:r>
      <w:r>
        <w:t xml:space="preserve"> una </w:t>
      </w:r>
      <w:r w:rsidRPr="008807C5">
        <w:t>encuesta a nivel nacional para medir el grado de conocimiento que tiene la población sobre el sistema nacional de pensiones</w:t>
      </w:r>
      <w:r>
        <w:t>. Dentro de los resultados se encontró que de</w:t>
      </w:r>
      <w:r w:rsidRPr="008807C5">
        <w:t>l 54% del total de entrevistados señaló que no sabe que es el ROP,</w:t>
      </w:r>
      <w:r>
        <w:t xml:space="preserve"> </w:t>
      </w:r>
      <w:r w:rsidRPr="008807C5">
        <w:t xml:space="preserve">subiendo </w:t>
      </w:r>
      <w:r>
        <w:t xml:space="preserve">este porcentaje de desconocimiento </w:t>
      </w:r>
      <w:r w:rsidRPr="008807C5">
        <w:t>a un 67% en el caso de los trabajadores independientes.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7A00" w14:textId="77777777" w:rsidR="00B448E2" w:rsidRDefault="001D6E34">
    <w:pPr>
      <w:pStyle w:val="Encabezado"/>
    </w:pPr>
    <w:r>
      <w:rPr>
        <w:noProof/>
      </w:rPr>
      <w:drawing>
        <wp:anchor distT="0" distB="0" distL="114300" distR="114300" simplePos="0" relativeHeight="251661312" behindDoc="0" locked="0" layoutInCell="1" allowOverlap="1" wp14:anchorId="4E151D7D" wp14:editId="13ABA94C">
          <wp:simplePos x="0" y="0"/>
          <wp:positionH relativeFrom="column">
            <wp:posOffset>5060315</wp:posOffset>
          </wp:positionH>
          <wp:positionV relativeFrom="paragraph">
            <wp:posOffset>-336550</wp:posOffset>
          </wp:positionV>
          <wp:extent cx="903600" cy="586800"/>
          <wp:effectExtent l="0" t="0" r="0" b="3810"/>
          <wp:wrapNone/>
          <wp:docPr id="19" name="Picture 19"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de la pantalla de un celular con letras&#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903600" cy="586800"/>
                  </a:xfrm>
                  <a:prstGeom prst="rect">
                    <a:avLst/>
                  </a:prstGeom>
                </pic:spPr>
              </pic:pic>
            </a:graphicData>
          </a:graphic>
          <wp14:sizeRelH relativeFrom="margin">
            <wp14:pctWidth>0</wp14:pctWidth>
          </wp14:sizeRelH>
          <wp14:sizeRelV relativeFrom="margin">
            <wp14:pctHeight>0</wp14:pctHeight>
          </wp14:sizeRelV>
        </wp:anchor>
      </w:drawing>
    </w:r>
    <w:r w:rsidR="00B9768E">
      <w:rPr>
        <w:rFonts w:ascii="Tms Rmn" w:hAnsi="Tms Rmn"/>
        <w:noProof/>
        <w:lang w:val="es-CR" w:eastAsia="es-CR"/>
      </w:rPr>
      <w:drawing>
        <wp:anchor distT="0" distB="0" distL="114300" distR="114300" simplePos="0" relativeHeight="251665408" behindDoc="1" locked="0" layoutInCell="1" allowOverlap="1" wp14:anchorId="1EDDEA3C" wp14:editId="48294707">
          <wp:simplePos x="0" y="0"/>
          <wp:positionH relativeFrom="page">
            <wp:posOffset>516890</wp:posOffset>
          </wp:positionH>
          <wp:positionV relativeFrom="page">
            <wp:posOffset>171450</wp:posOffset>
          </wp:positionV>
          <wp:extent cx="1230056" cy="568960"/>
          <wp:effectExtent l="0" t="0" r="8255" b="254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entidad.jpg"/>
                  <pic:cNvPicPr/>
                </pic:nvPicPr>
                <pic:blipFill>
                  <a:blip r:embed="rId2">
                    <a:extLst>
                      <a:ext uri="{28A0092B-C50C-407E-A947-70E740481C1C}">
                        <a14:useLocalDpi xmlns:a14="http://schemas.microsoft.com/office/drawing/2010/main" val="0"/>
                      </a:ext>
                    </a:extLst>
                  </a:blip>
                  <a:stretch>
                    <a:fillRect/>
                  </a:stretch>
                </pic:blipFill>
                <pic:spPr>
                  <a:xfrm>
                    <a:off x="0" y="0"/>
                    <a:ext cx="1230056" cy="56896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eyTOEGvg+xGW7A" int2:id="03hxzbFF">
      <int2:state int2:value="Rejected" int2:type="AugLoop_Text_Critique"/>
    </int2:textHash>
    <int2:textHash int2:hashCode="wybddmBlhKP8J8" int2:id="04Te6dS8">
      <int2:state int2:value="Rejected" int2:type="AugLoop_Text_Critique"/>
    </int2:textHash>
    <int2:textHash int2:hashCode="/6r8g57zKo41bC" int2:id="0JNB9tWN">
      <int2:state int2:value="Rejected" int2:type="AugLoop_Text_Critique"/>
    </int2:textHash>
    <int2:textHash int2:hashCode="Z7kAgkE+XjVH/2" int2:id="2EFDDb8f">
      <int2:state int2:value="Rejected" int2:type="AugLoop_Text_Critique"/>
    </int2:textHash>
    <int2:textHash int2:hashCode="Iy+8gEpZXi+EGv" int2:id="6Pv70fjt">
      <int2:state int2:value="Rejected" int2:type="AugLoop_Text_Critique"/>
    </int2:textHash>
    <int2:textHash int2:hashCode="MVDs1eApRTSoGu" int2:id="7jL8cgog">
      <int2:state int2:value="Rejected" int2:type="AugLoop_Text_Critique"/>
    </int2:textHash>
    <int2:textHash int2:hashCode="G+aWk1l3PuG4OJ" int2:id="8W36MRNF">
      <int2:state int2:value="Rejected" int2:type="AugLoop_Text_Critique"/>
    </int2:textHash>
    <int2:textHash int2:hashCode="rqvsgCA39efPay" int2:id="8bg7CbPW">
      <int2:state int2:value="Rejected" int2:type="AugLoop_Text_Critique"/>
    </int2:textHash>
    <int2:textHash int2:hashCode="hqyRHAKMKqMfLx" int2:id="DPxK7XPa">
      <int2:state int2:value="Rejected" int2:type="AugLoop_Text_Critique"/>
    </int2:textHash>
    <int2:textHash int2:hashCode="ORg3PPVVnFS1LH" int2:id="JYJz9E1C">
      <int2:state int2:value="Rejected" int2:type="AugLoop_Text_Critique"/>
    </int2:textHash>
    <int2:textHash int2:hashCode="lpb/CGiKHZpVlt" int2:id="Ku0ST680">
      <int2:state int2:value="Rejected" int2:type="AugLoop_Text_Critique"/>
    </int2:textHash>
    <int2:textHash int2:hashCode="M4weVsvYyXZSe7" int2:id="RBoQ7VB4">
      <int2:state int2:value="Rejected" int2:type="AugLoop_Text_Critique"/>
    </int2:textHash>
    <int2:textHash int2:hashCode="y8AfWVmpqYas2P" int2:id="YBC0ZHGG">
      <int2:state int2:value="Rejected" int2:type="AugLoop_Text_Critique"/>
    </int2:textHash>
    <int2:textHash int2:hashCode="UFmZOCW3h/BFzI" int2:id="fAiy62Yw">
      <int2:state int2:value="Rejected" int2:type="AugLoop_Text_Critique"/>
    </int2:textHash>
    <int2:textHash int2:hashCode="j5Z/HQtd0fxnNt" int2:id="fjDY36yn">
      <int2:state int2:value="Rejected" int2:type="AugLoop_Text_Critique"/>
    </int2:textHash>
    <int2:textHash int2:hashCode="ave7GSivW/9PlT" int2:id="iTauUqlj">
      <int2:state int2:value="Rejected" int2:type="AugLoop_Text_Critique"/>
    </int2:textHash>
    <int2:textHash int2:hashCode="epctBzp0SS7CYh" int2:id="iovOneYG">
      <int2:state int2:value="Rejected" int2:type="AugLoop_Text_Critique"/>
    </int2:textHash>
    <int2:textHash int2:hashCode="CvKHRr8t+RaFKl" int2:id="l56HB6zV">
      <int2:state int2:value="Rejected" int2:type="AugLoop_Text_Critique"/>
    </int2:textHash>
    <int2:textHash int2:hashCode="CKETzzw2AcR4zp" int2:id="nFsVqrzD">
      <int2:state int2:value="Rejected" int2:type="AugLoop_Text_Critique"/>
    </int2:textHash>
    <int2:textHash int2:hashCode="jDFAoaIGe/h8jY" int2:id="ziyBEdLl">
      <int2:state int2:value="Rejected" int2:type="AugLoop_Text_Critique"/>
    </int2:textHash>
    <int2:bookmark int2:bookmarkName="_Int_6eKkqvGe" int2:invalidationBookmarkName="" int2:hashCode="2qpqhohMIbSjXj" int2:id="d3q8pH6H">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95750"/>
    <w:multiLevelType w:val="hybridMultilevel"/>
    <w:tmpl w:val="F6FA9AF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5B2674"/>
    <w:multiLevelType w:val="hybridMultilevel"/>
    <w:tmpl w:val="B0C62840"/>
    <w:lvl w:ilvl="0" w:tplc="1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9C0552"/>
    <w:multiLevelType w:val="hybridMultilevel"/>
    <w:tmpl w:val="7CF8AE9E"/>
    <w:lvl w:ilvl="0" w:tplc="140A0017">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5191372"/>
    <w:multiLevelType w:val="hybridMultilevel"/>
    <w:tmpl w:val="3CCE171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8A813DB"/>
    <w:multiLevelType w:val="hybridMultilevel"/>
    <w:tmpl w:val="D462651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A2B1D42"/>
    <w:multiLevelType w:val="hybridMultilevel"/>
    <w:tmpl w:val="50F8BBB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E1E1E27"/>
    <w:multiLevelType w:val="multilevel"/>
    <w:tmpl w:val="C914BD5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A35681"/>
    <w:multiLevelType w:val="hybridMultilevel"/>
    <w:tmpl w:val="B0C29FD0"/>
    <w:lvl w:ilvl="0" w:tplc="1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B37FB5"/>
    <w:multiLevelType w:val="hybridMultilevel"/>
    <w:tmpl w:val="2D5477F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7A92F5C"/>
    <w:multiLevelType w:val="hybridMultilevel"/>
    <w:tmpl w:val="3B9410A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8D8183B"/>
    <w:multiLevelType w:val="hybridMultilevel"/>
    <w:tmpl w:val="5F023A2E"/>
    <w:lvl w:ilvl="0" w:tplc="72EEABAC">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4A5F97"/>
    <w:multiLevelType w:val="hybridMultilevel"/>
    <w:tmpl w:val="D6E47F52"/>
    <w:lvl w:ilvl="0" w:tplc="14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F1699"/>
    <w:multiLevelType w:val="hybridMultilevel"/>
    <w:tmpl w:val="2F1008C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2B63AB3"/>
    <w:multiLevelType w:val="hybridMultilevel"/>
    <w:tmpl w:val="4CFE06B0"/>
    <w:lvl w:ilvl="0" w:tplc="1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807330"/>
    <w:multiLevelType w:val="hybridMultilevel"/>
    <w:tmpl w:val="929AB93C"/>
    <w:lvl w:ilvl="0" w:tplc="1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676270"/>
    <w:multiLevelType w:val="hybridMultilevel"/>
    <w:tmpl w:val="5FB897E6"/>
    <w:lvl w:ilvl="0" w:tplc="1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E0196F"/>
    <w:multiLevelType w:val="hybridMultilevel"/>
    <w:tmpl w:val="5D226B8E"/>
    <w:lvl w:ilvl="0" w:tplc="1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6A0E60"/>
    <w:multiLevelType w:val="hybridMultilevel"/>
    <w:tmpl w:val="676052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51045E9"/>
    <w:multiLevelType w:val="hybridMultilevel"/>
    <w:tmpl w:val="93047CC2"/>
    <w:lvl w:ilvl="0" w:tplc="1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4E0E49"/>
    <w:multiLevelType w:val="hybridMultilevel"/>
    <w:tmpl w:val="70E0B848"/>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8442C34"/>
    <w:multiLevelType w:val="hybridMultilevel"/>
    <w:tmpl w:val="1ADA91AA"/>
    <w:lvl w:ilvl="0" w:tplc="06541078">
      <w:start w:val="5"/>
      <w:numFmt w:val="bullet"/>
      <w:lvlText w:val=""/>
      <w:lvlJc w:val="left"/>
      <w:pPr>
        <w:ind w:left="720" w:hanging="360"/>
      </w:pPr>
      <w:rPr>
        <w:rFonts w:ascii="Symbol" w:eastAsiaTheme="minorHAnsi" w:hAnsi="Symbol"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495174D9"/>
    <w:multiLevelType w:val="hybridMultilevel"/>
    <w:tmpl w:val="E8908BA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BD97A9E"/>
    <w:multiLevelType w:val="hybridMultilevel"/>
    <w:tmpl w:val="8254445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C3427AB"/>
    <w:multiLevelType w:val="hybridMultilevel"/>
    <w:tmpl w:val="27A8E60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4CB91B61"/>
    <w:multiLevelType w:val="hybridMultilevel"/>
    <w:tmpl w:val="41F0FD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1B973F2"/>
    <w:multiLevelType w:val="hybridMultilevel"/>
    <w:tmpl w:val="33F80A7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CE46A8A"/>
    <w:multiLevelType w:val="hybridMultilevel"/>
    <w:tmpl w:val="F6FA9AF2"/>
    <w:lvl w:ilvl="0" w:tplc="1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DF00971"/>
    <w:multiLevelType w:val="hybridMultilevel"/>
    <w:tmpl w:val="41500CDA"/>
    <w:lvl w:ilvl="0" w:tplc="214E25E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E4D7921"/>
    <w:multiLevelType w:val="hybridMultilevel"/>
    <w:tmpl w:val="30EE7952"/>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A3E1AF6"/>
    <w:multiLevelType w:val="hybridMultilevel"/>
    <w:tmpl w:val="0512EE2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C747041"/>
    <w:multiLevelType w:val="hybridMultilevel"/>
    <w:tmpl w:val="8432D0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700A72E4"/>
    <w:multiLevelType w:val="hybridMultilevel"/>
    <w:tmpl w:val="F03AA7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710C1CA7"/>
    <w:multiLevelType w:val="hybridMultilevel"/>
    <w:tmpl w:val="8362EFE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20172E6"/>
    <w:multiLevelType w:val="hybridMultilevel"/>
    <w:tmpl w:val="770A237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729E5F2F"/>
    <w:multiLevelType w:val="hybridMultilevel"/>
    <w:tmpl w:val="D486B520"/>
    <w:lvl w:ilvl="0" w:tplc="14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CD3B0C"/>
    <w:multiLevelType w:val="hybridMultilevel"/>
    <w:tmpl w:val="852C923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78356490"/>
    <w:multiLevelType w:val="hybridMultilevel"/>
    <w:tmpl w:val="5BECD87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78A51368"/>
    <w:multiLevelType w:val="hybridMultilevel"/>
    <w:tmpl w:val="5A8070D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D241120"/>
    <w:multiLevelType w:val="hybridMultilevel"/>
    <w:tmpl w:val="471EAAC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892545847">
    <w:abstractNumId w:val="30"/>
  </w:num>
  <w:num w:numId="2" w16cid:durableId="849175577">
    <w:abstractNumId w:val="24"/>
  </w:num>
  <w:num w:numId="3" w16cid:durableId="1008679770">
    <w:abstractNumId w:val="6"/>
  </w:num>
  <w:num w:numId="4" w16cid:durableId="51199395">
    <w:abstractNumId w:val="21"/>
  </w:num>
  <w:num w:numId="5" w16cid:durableId="1199971629">
    <w:abstractNumId w:val="3"/>
  </w:num>
  <w:num w:numId="6" w16cid:durableId="416561842">
    <w:abstractNumId w:val="14"/>
  </w:num>
  <w:num w:numId="7" w16cid:durableId="589393720">
    <w:abstractNumId w:val="8"/>
  </w:num>
  <w:num w:numId="8" w16cid:durableId="691764577">
    <w:abstractNumId w:val="9"/>
  </w:num>
  <w:num w:numId="9" w16cid:durableId="1533806922">
    <w:abstractNumId w:val="13"/>
  </w:num>
  <w:num w:numId="10" w16cid:durableId="1995137219">
    <w:abstractNumId w:val="19"/>
  </w:num>
  <w:num w:numId="11" w16cid:durableId="506867015">
    <w:abstractNumId w:val="4"/>
  </w:num>
  <w:num w:numId="12" w16cid:durableId="1919437981">
    <w:abstractNumId w:val="11"/>
  </w:num>
  <w:num w:numId="13" w16cid:durableId="1874420414">
    <w:abstractNumId w:val="29"/>
  </w:num>
  <w:num w:numId="14" w16cid:durableId="310333415">
    <w:abstractNumId w:val="34"/>
  </w:num>
  <w:num w:numId="15" w16cid:durableId="271516948">
    <w:abstractNumId w:val="28"/>
  </w:num>
  <w:num w:numId="16" w16cid:durableId="1359618352">
    <w:abstractNumId w:val="31"/>
  </w:num>
  <w:num w:numId="17" w16cid:durableId="1326471701">
    <w:abstractNumId w:val="23"/>
  </w:num>
  <w:num w:numId="18" w16cid:durableId="965238499">
    <w:abstractNumId w:val="15"/>
  </w:num>
  <w:num w:numId="19" w16cid:durableId="1050612259">
    <w:abstractNumId w:val="18"/>
  </w:num>
  <w:num w:numId="20" w16cid:durableId="639650902">
    <w:abstractNumId w:val="26"/>
  </w:num>
  <w:num w:numId="21" w16cid:durableId="1274945309">
    <w:abstractNumId w:val="38"/>
  </w:num>
  <w:num w:numId="22" w16cid:durableId="416248727">
    <w:abstractNumId w:val="37"/>
  </w:num>
  <w:num w:numId="23" w16cid:durableId="287274757">
    <w:abstractNumId w:val="12"/>
  </w:num>
  <w:num w:numId="24" w16cid:durableId="791755229">
    <w:abstractNumId w:val="36"/>
  </w:num>
  <w:num w:numId="25" w16cid:durableId="1209874212">
    <w:abstractNumId w:val="1"/>
  </w:num>
  <w:num w:numId="26" w16cid:durableId="746272805">
    <w:abstractNumId w:val="27"/>
  </w:num>
  <w:num w:numId="27" w16cid:durableId="2119981123">
    <w:abstractNumId w:val="35"/>
  </w:num>
  <w:num w:numId="28" w16cid:durableId="1170101195">
    <w:abstractNumId w:val="7"/>
  </w:num>
  <w:num w:numId="29" w16cid:durableId="554776116">
    <w:abstractNumId w:val="0"/>
    <w:lvlOverride w:ilvl="0">
      <w:startOverride w:val="1"/>
    </w:lvlOverride>
    <w:lvlOverride w:ilvl="1"/>
    <w:lvlOverride w:ilvl="2"/>
    <w:lvlOverride w:ilvl="3"/>
    <w:lvlOverride w:ilvl="4"/>
    <w:lvlOverride w:ilvl="5"/>
    <w:lvlOverride w:ilvl="6"/>
    <w:lvlOverride w:ilvl="7"/>
    <w:lvlOverride w:ilvl="8"/>
  </w:num>
  <w:num w:numId="30" w16cid:durableId="1128864159">
    <w:abstractNumId w:val="10"/>
  </w:num>
  <w:num w:numId="31" w16cid:durableId="950625474">
    <w:abstractNumId w:val="17"/>
  </w:num>
  <w:num w:numId="32" w16cid:durableId="1953973660">
    <w:abstractNumId w:val="16"/>
  </w:num>
  <w:num w:numId="33" w16cid:durableId="477914986">
    <w:abstractNumId w:val="5"/>
  </w:num>
  <w:num w:numId="34" w16cid:durableId="2133283269">
    <w:abstractNumId w:val="2"/>
  </w:num>
  <w:num w:numId="35" w16cid:durableId="1316835161">
    <w:abstractNumId w:val="22"/>
  </w:num>
  <w:num w:numId="36" w16cid:durableId="611472627">
    <w:abstractNumId w:val="32"/>
  </w:num>
  <w:num w:numId="37" w16cid:durableId="1679305723">
    <w:abstractNumId w:val="20"/>
  </w:num>
  <w:num w:numId="38" w16cid:durableId="579951201">
    <w:abstractNumId w:val="33"/>
  </w:num>
  <w:num w:numId="39" w16cid:durableId="444885953">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50298F"/>
    <w:rsid w:val="0000055E"/>
    <w:rsid w:val="000008B2"/>
    <w:rsid w:val="000008C4"/>
    <w:rsid w:val="000009F5"/>
    <w:rsid w:val="00000A35"/>
    <w:rsid w:val="000014C2"/>
    <w:rsid w:val="00001BCD"/>
    <w:rsid w:val="00002D78"/>
    <w:rsid w:val="000030E0"/>
    <w:rsid w:val="000033C0"/>
    <w:rsid w:val="00004214"/>
    <w:rsid w:val="000043BD"/>
    <w:rsid w:val="000047D8"/>
    <w:rsid w:val="00005528"/>
    <w:rsid w:val="00006745"/>
    <w:rsid w:val="000067C7"/>
    <w:rsid w:val="00006F16"/>
    <w:rsid w:val="0000725D"/>
    <w:rsid w:val="000073A3"/>
    <w:rsid w:val="00007941"/>
    <w:rsid w:val="00007959"/>
    <w:rsid w:val="00007D93"/>
    <w:rsid w:val="00011568"/>
    <w:rsid w:val="0001282D"/>
    <w:rsid w:val="000129A4"/>
    <w:rsid w:val="00012C22"/>
    <w:rsid w:val="00013783"/>
    <w:rsid w:val="00013EF5"/>
    <w:rsid w:val="0001461F"/>
    <w:rsid w:val="00014C09"/>
    <w:rsid w:val="00014C40"/>
    <w:rsid w:val="00015758"/>
    <w:rsid w:val="00015B0E"/>
    <w:rsid w:val="00015E99"/>
    <w:rsid w:val="00016140"/>
    <w:rsid w:val="00016A7D"/>
    <w:rsid w:val="00016D5E"/>
    <w:rsid w:val="00016DA6"/>
    <w:rsid w:val="00017008"/>
    <w:rsid w:val="00020A73"/>
    <w:rsid w:val="00021B49"/>
    <w:rsid w:val="00021DE0"/>
    <w:rsid w:val="00022227"/>
    <w:rsid w:val="00022AD2"/>
    <w:rsid w:val="00022F63"/>
    <w:rsid w:val="00023209"/>
    <w:rsid w:val="00024565"/>
    <w:rsid w:val="000260C7"/>
    <w:rsid w:val="00026329"/>
    <w:rsid w:val="00026C50"/>
    <w:rsid w:val="00027CCB"/>
    <w:rsid w:val="00027FB5"/>
    <w:rsid w:val="00030053"/>
    <w:rsid w:val="000307DA"/>
    <w:rsid w:val="00030887"/>
    <w:rsid w:val="00030A2C"/>
    <w:rsid w:val="00030A70"/>
    <w:rsid w:val="00030FD0"/>
    <w:rsid w:val="0003109B"/>
    <w:rsid w:val="00031127"/>
    <w:rsid w:val="0003136C"/>
    <w:rsid w:val="00031CA7"/>
    <w:rsid w:val="00031E8B"/>
    <w:rsid w:val="000320E8"/>
    <w:rsid w:val="000333B1"/>
    <w:rsid w:val="0003353D"/>
    <w:rsid w:val="00033830"/>
    <w:rsid w:val="00033F0B"/>
    <w:rsid w:val="0003572B"/>
    <w:rsid w:val="0003580B"/>
    <w:rsid w:val="00035962"/>
    <w:rsid w:val="000364C3"/>
    <w:rsid w:val="0003672E"/>
    <w:rsid w:val="00036A86"/>
    <w:rsid w:val="00036D09"/>
    <w:rsid w:val="000371C6"/>
    <w:rsid w:val="000372A9"/>
    <w:rsid w:val="000376FF"/>
    <w:rsid w:val="00037787"/>
    <w:rsid w:val="000379DD"/>
    <w:rsid w:val="00037E7B"/>
    <w:rsid w:val="000400C9"/>
    <w:rsid w:val="00040FF3"/>
    <w:rsid w:val="000414DA"/>
    <w:rsid w:val="00041861"/>
    <w:rsid w:val="000422BF"/>
    <w:rsid w:val="0004468C"/>
    <w:rsid w:val="00044785"/>
    <w:rsid w:val="00045007"/>
    <w:rsid w:val="000450A0"/>
    <w:rsid w:val="0004557F"/>
    <w:rsid w:val="0004618E"/>
    <w:rsid w:val="000464E5"/>
    <w:rsid w:val="00047225"/>
    <w:rsid w:val="00047F27"/>
    <w:rsid w:val="00050643"/>
    <w:rsid w:val="0005123F"/>
    <w:rsid w:val="00051792"/>
    <w:rsid w:val="00051D35"/>
    <w:rsid w:val="00052112"/>
    <w:rsid w:val="000524E8"/>
    <w:rsid w:val="0005257B"/>
    <w:rsid w:val="00053131"/>
    <w:rsid w:val="000540DD"/>
    <w:rsid w:val="00054275"/>
    <w:rsid w:val="0005438C"/>
    <w:rsid w:val="00055D8C"/>
    <w:rsid w:val="00056189"/>
    <w:rsid w:val="000561FE"/>
    <w:rsid w:val="00059823"/>
    <w:rsid w:val="00060565"/>
    <w:rsid w:val="00060AAC"/>
    <w:rsid w:val="00061405"/>
    <w:rsid w:val="00062535"/>
    <w:rsid w:val="000625F8"/>
    <w:rsid w:val="00063905"/>
    <w:rsid w:val="00063FC8"/>
    <w:rsid w:val="000645B7"/>
    <w:rsid w:val="000654E3"/>
    <w:rsid w:val="00065DA0"/>
    <w:rsid w:val="00065F46"/>
    <w:rsid w:val="000662DD"/>
    <w:rsid w:val="0006655C"/>
    <w:rsid w:val="000666BA"/>
    <w:rsid w:val="00066D10"/>
    <w:rsid w:val="0006700D"/>
    <w:rsid w:val="00067678"/>
    <w:rsid w:val="00067B94"/>
    <w:rsid w:val="000707BC"/>
    <w:rsid w:val="0007098D"/>
    <w:rsid w:val="00070C21"/>
    <w:rsid w:val="00071056"/>
    <w:rsid w:val="00071374"/>
    <w:rsid w:val="00071C3A"/>
    <w:rsid w:val="00072A79"/>
    <w:rsid w:val="00072B40"/>
    <w:rsid w:val="000730B9"/>
    <w:rsid w:val="00073346"/>
    <w:rsid w:val="0007389A"/>
    <w:rsid w:val="00074451"/>
    <w:rsid w:val="0007458E"/>
    <w:rsid w:val="0007493E"/>
    <w:rsid w:val="0007497C"/>
    <w:rsid w:val="0007577E"/>
    <w:rsid w:val="000758F6"/>
    <w:rsid w:val="00076149"/>
    <w:rsid w:val="000800E6"/>
    <w:rsid w:val="00081729"/>
    <w:rsid w:val="00082062"/>
    <w:rsid w:val="00082591"/>
    <w:rsid w:val="00082931"/>
    <w:rsid w:val="00082B9E"/>
    <w:rsid w:val="000837EB"/>
    <w:rsid w:val="00083AEC"/>
    <w:rsid w:val="0008423C"/>
    <w:rsid w:val="00084308"/>
    <w:rsid w:val="000848BC"/>
    <w:rsid w:val="000857D1"/>
    <w:rsid w:val="000861FB"/>
    <w:rsid w:val="00086286"/>
    <w:rsid w:val="00086509"/>
    <w:rsid w:val="00086B51"/>
    <w:rsid w:val="00086DCE"/>
    <w:rsid w:val="00086DD6"/>
    <w:rsid w:val="0008763C"/>
    <w:rsid w:val="000878AC"/>
    <w:rsid w:val="00087BC6"/>
    <w:rsid w:val="00087FD6"/>
    <w:rsid w:val="00090166"/>
    <w:rsid w:val="00090A3B"/>
    <w:rsid w:val="00090C65"/>
    <w:rsid w:val="00090DD8"/>
    <w:rsid w:val="00091372"/>
    <w:rsid w:val="0009282C"/>
    <w:rsid w:val="00092DB5"/>
    <w:rsid w:val="0009327E"/>
    <w:rsid w:val="00093C35"/>
    <w:rsid w:val="000942B7"/>
    <w:rsid w:val="00094CE7"/>
    <w:rsid w:val="00094EC5"/>
    <w:rsid w:val="00095107"/>
    <w:rsid w:val="00095547"/>
    <w:rsid w:val="00095F72"/>
    <w:rsid w:val="000961D7"/>
    <w:rsid w:val="00096383"/>
    <w:rsid w:val="00096D92"/>
    <w:rsid w:val="0009721E"/>
    <w:rsid w:val="000972C8"/>
    <w:rsid w:val="00097D4E"/>
    <w:rsid w:val="000A0050"/>
    <w:rsid w:val="000A0295"/>
    <w:rsid w:val="000A0AFB"/>
    <w:rsid w:val="000A12E7"/>
    <w:rsid w:val="000A13C8"/>
    <w:rsid w:val="000A2735"/>
    <w:rsid w:val="000A30BC"/>
    <w:rsid w:val="000A32EB"/>
    <w:rsid w:val="000A34B8"/>
    <w:rsid w:val="000A3A4F"/>
    <w:rsid w:val="000A40CA"/>
    <w:rsid w:val="000A41E5"/>
    <w:rsid w:val="000A4489"/>
    <w:rsid w:val="000A49DD"/>
    <w:rsid w:val="000A4EA7"/>
    <w:rsid w:val="000A59EB"/>
    <w:rsid w:val="000A6AC3"/>
    <w:rsid w:val="000A7948"/>
    <w:rsid w:val="000A79AE"/>
    <w:rsid w:val="000A7D6C"/>
    <w:rsid w:val="000B0670"/>
    <w:rsid w:val="000B0765"/>
    <w:rsid w:val="000B0985"/>
    <w:rsid w:val="000B0B1F"/>
    <w:rsid w:val="000B262B"/>
    <w:rsid w:val="000B2E06"/>
    <w:rsid w:val="000B2E78"/>
    <w:rsid w:val="000B35B7"/>
    <w:rsid w:val="000B3A34"/>
    <w:rsid w:val="000B3D9F"/>
    <w:rsid w:val="000B3DED"/>
    <w:rsid w:val="000B4A15"/>
    <w:rsid w:val="000B4EE1"/>
    <w:rsid w:val="000B5407"/>
    <w:rsid w:val="000B5F67"/>
    <w:rsid w:val="000B65C1"/>
    <w:rsid w:val="000B6AE7"/>
    <w:rsid w:val="000B6BC5"/>
    <w:rsid w:val="000B70C8"/>
    <w:rsid w:val="000B7179"/>
    <w:rsid w:val="000B718A"/>
    <w:rsid w:val="000B7393"/>
    <w:rsid w:val="000B7898"/>
    <w:rsid w:val="000B7ABD"/>
    <w:rsid w:val="000B7DE6"/>
    <w:rsid w:val="000B7F98"/>
    <w:rsid w:val="000C0AFD"/>
    <w:rsid w:val="000C0E0D"/>
    <w:rsid w:val="000C14E8"/>
    <w:rsid w:val="000C204A"/>
    <w:rsid w:val="000C2633"/>
    <w:rsid w:val="000C2F25"/>
    <w:rsid w:val="000C30EE"/>
    <w:rsid w:val="000C34C6"/>
    <w:rsid w:val="000C3629"/>
    <w:rsid w:val="000C3CE0"/>
    <w:rsid w:val="000C4070"/>
    <w:rsid w:val="000C542D"/>
    <w:rsid w:val="000C5DCA"/>
    <w:rsid w:val="000C64E8"/>
    <w:rsid w:val="000C6E79"/>
    <w:rsid w:val="000D05A2"/>
    <w:rsid w:val="000D131A"/>
    <w:rsid w:val="000D15DC"/>
    <w:rsid w:val="000D1E51"/>
    <w:rsid w:val="000D1FDB"/>
    <w:rsid w:val="000D2021"/>
    <w:rsid w:val="000D2506"/>
    <w:rsid w:val="000D3B4D"/>
    <w:rsid w:val="000D4058"/>
    <w:rsid w:val="000D469F"/>
    <w:rsid w:val="000D4D36"/>
    <w:rsid w:val="000D4EA7"/>
    <w:rsid w:val="000D5E9A"/>
    <w:rsid w:val="000D5F89"/>
    <w:rsid w:val="000D600E"/>
    <w:rsid w:val="000D6081"/>
    <w:rsid w:val="000D6DCB"/>
    <w:rsid w:val="000D6EC6"/>
    <w:rsid w:val="000D7248"/>
    <w:rsid w:val="000D7766"/>
    <w:rsid w:val="000D7CD3"/>
    <w:rsid w:val="000E0692"/>
    <w:rsid w:val="000E074C"/>
    <w:rsid w:val="000E0802"/>
    <w:rsid w:val="000E1081"/>
    <w:rsid w:val="000E154E"/>
    <w:rsid w:val="000E279D"/>
    <w:rsid w:val="000E2B3A"/>
    <w:rsid w:val="000E2E34"/>
    <w:rsid w:val="000E3509"/>
    <w:rsid w:val="000E3A63"/>
    <w:rsid w:val="000E4A45"/>
    <w:rsid w:val="000E547B"/>
    <w:rsid w:val="000E584B"/>
    <w:rsid w:val="000E5C77"/>
    <w:rsid w:val="000E6229"/>
    <w:rsid w:val="000E667B"/>
    <w:rsid w:val="000E6BFA"/>
    <w:rsid w:val="000E6DF6"/>
    <w:rsid w:val="000E6F2D"/>
    <w:rsid w:val="000E74D1"/>
    <w:rsid w:val="000F0162"/>
    <w:rsid w:val="000F1A5F"/>
    <w:rsid w:val="000F2333"/>
    <w:rsid w:val="000F2944"/>
    <w:rsid w:val="000F2E8A"/>
    <w:rsid w:val="000F31D8"/>
    <w:rsid w:val="000F429A"/>
    <w:rsid w:val="000F4906"/>
    <w:rsid w:val="000F498D"/>
    <w:rsid w:val="000F51B1"/>
    <w:rsid w:val="000F5EBC"/>
    <w:rsid w:val="000F5ED3"/>
    <w:rsid w:val="000F5F4C"/>
    <w:rsid w:val="000F66A9"/>
    <w:rsid w:val="000F6759"/>
    <w:rsid w:val="000F6B69"/>
    <w:rsid w:val="00101CBF"/>
    <w:rsid w:val="00101F02"/>
    <w:rsid w:val="0010273C"/>
    <w:rsid w:val="001027B1"/>
    <w:rsid w:val="00102A7A"/>
    <w:rsid w:val="00102DD8"/>
    <w:rsid w:val="00102F7A"/>
    <w:rsid w:val="00104924"/>
    <w:rsid w:val="0010544C"/>
    <w:rsid w:val="00105674"/>
    <w:rsid w:val="00106236"/>
    <w:rsid w:val="0010739C"/>
    <w:rsid w:val="001073B6"/>
    <w:rsid w:val="00107626"/>
    <w:rsid w:val="001101F4"/>
    <w:rsid w:val="00110765"/>
    <w:rsid w:val="00110CB5"/>
    <w:rsid w:val="00110F75"/>
    <w:rsid w:val="001115E0"/>
    <w:rsid w:val="00112086"/>
    <w:rsid w:val="001128A7"/>
    <w:rsid w:val="00112CB8"/>
    <w:rsid w:val="00112D05"/>
    <w:rsid w:val="00113261"/>
    <w:rsid w:val="00114DF8"/>
    <w:rsid w:val="00114F41"/>
    <w:rsid w:val="00115B2D"/>
    <w:rsid w:val="00115C23"/>
    <w:rsid w:val="001161B3"/>
    <w:rsid w:val="001171B0"/>
    <w:rsid w:val="00117876"/>
    <w:rsid w:val="00117D48"/>
    <w:rsid w:val="00120B27"/>
    <w:rsid w:val="00121206"/>
    <w:rsid w:val="00121908"/>
    <w:rsid w:val="001219DA"/>
    <w:rsid w:val="001219E5"/>
    <w:rsid w:val="001234C5"/>
    <w:rsid w:val="00123AB5"/>
    <w:rsid w:val="00123C30"/>
    <w:rsid w:val="001256A7"/>
    <w:rsid w:val="001257F9"/>
    <w:rsid w:val="0012613A"/>
    <w:rsid w:val="001262F4"/>
    <w:rsid w:val="001263EA"/>
    <w:rsid w:val="00126522"/>
    <w:rsid w:val="00130151"/>
    <w:rsid w:val="001304A5"/>
    <w:rsid w:val="00130C1E"/>
    <w:rsid w:val="00131A27"/>
    <w:rsid w:val="00131D37"/>
    <w:rsid w:val="001322D9"/>
    <w:rsid w:val="00132416"/>
    <w:rsid w:val="001327CA"/>
    <w:rsid w:val="00133055"/>
    <w:rsid w:val="0013317A"/>
    <w:rsid w:val="001332B3"/>
    <w:rsid w:val="001334C6"/>
    <w:rsid w:val="00133CCB"/>
    <w:rsid w:val="0013486C"/>
    <w:rsid w:val="00134871"/>
    <w:rsid w:val="00134C6F"/>
    <w:rsid w:val="001350D6"/>
    <w:rsid w:val="001356AE"/>
    <w:rsid w:val="0013574E"/>
    <w:rsid w:val="00135EA1"/>
    <w:rsid w:val="00136115"/>
    <w:rsid w:val="00136164"/>
    <w:rsid w:val="001361C6"/>
    <w:rsid w:val="0013668C"/>
    <w:rsid w:val="0013765F"/>
    <w:rsid w:val="00137CAF"/>
    <w:rsid w:val="0014047E"/>
    <w:rsid w:val="00140FB7"/>
    <w:rsid w:val="00141820"/>
    <w:rsid w:val="00141FF9"/>
    <w:rsid w:val="00142A34"/>
    <w:rsid w:val="00142EF8"/>
    <w:rsid w:val="00142F21"/>
    <w:rsid w:val="00143431"/>
    <w:rsid w:val="001435C3"/>
    <w:rsid w:val="00143666"/>
    <w:rsid w:val="00143E25"/>
    <w:rsid w:val="00143F72"/>
    <w:rsid w:val="00143FFF"/>
    <w:rsid w:val="00144009"/>
    <w:rsid w:val="001449AF"/>
    <w:rsid w:val="001457BE"/>
    <w:rsid w:val="00145886"/>
    <w:rsid w:val="00145F58"/>
    <w:rsid w:val="00146624"/>
    <w:rsid w:val="00146A0D"/>
    <w:rsid w:val="00146A66"/>
    <w:rsid w:val="00146D52"/>
    <w:rsid w:val="00146E5F"/>
    <w:rsid w:val="00147269"/>
    <w:rsid w:val="0014746E"/>
    <w:rsid w:val="0014767C"/>
    <w:rsid w:val="00147A75"/>
    <w:rsid w:val="00147CE6"/>
    <w:rsid w:val="00150A7F"/>
    <w:rsid w:val="00150DA0"/>
    <w:rsid w:val="001519CC"/>
    <w:rsid w:val="00151AB5"/>
    <w:rsid w:val="00152A00"/>
    <w:rsid w:val="00153991"/>
    <w:rsid w:val="0015430B"/>
    <w:rsid w:val="00154476"/>
    <w:rsid w:val="0015534F"/>
    <w:rsid w:val="00156694"/>
    <w:rsid w:val="00156828"/>
    <w:rsid w:val="00156F94"/>
    <w:rsid w:val="00157895"/>
    <w:rsid w:val="00157D9C"/>
    <w:rsid w:val="00157E1B"/>
    <w:rsid w:val="001601D7"/>
    <w:rsid w:val="0016063E"/>
    <w:rsid w:val="00160F18"/>
    <w:rsid w:val="00161D1F"/>
    <w:rsid w:val="00161F10"/>
    <w:rsid w:val="00162966"/>
    <w:rsid w:val="001631B9"/>
    <w:rsid w:val="0016367B"/>
    <w:rsid w:val="0016463E"/>
    <w:rsid w:val="00165AA2"/>
    <w:rsid w:val="00165BD9"/>
    <w:rsid w:val="001660FB"/>
    <w:rsid w:val="0016703D"/>
    <w:rsid w:val="001671E1"/>
    <w:rsid w:val="00167AB0"/>
    <w:rsid w:val="00170AC1"/>
    <w:rsid w:val="00171122"/>
    <w:rsid w:val="00171755"/>
    <w:rsid w:val="00171B83"/>
    <w:rsid w:val="00172685"/>
    <w:rsid w:val="00172BB5"/>
    <w:rsid w:val="00172C71"/>
    <w:rsid w:val="00173043"/>
    <w:rsid w:val="00174D29"/>
    <w:rsid w:val="00174D75"/>
    <w:rsid w:val="00174DC4"/>
    <w:rsid w:val="00175443"/>
    <w:rsid w:val="00175F7B"/>
    <w:rsid w:val="00176970"/>
    <w:rsid w:val="00176CAE"/>
    <w:rsid w:val="00176D78"/>
    <w:rsid w:val="00176F4D"/>
    <w:rsid w:val="0017737F"/>
    <w:rsid w:val="001779C6"/>
    <w:rsid w:val="00177A4A"/>
    <w:rsid w:val="00177EBB"/>
    <w:rsid w:val="001809DE"/>
    <w:rsid w:val="00180D85"/>
    <w:rsid w:val="00181528"/>
    <w:rsid w:val="001824A7"/>
    <w:rsid w:val="001829AD"/>
    <w:rsid w:val="00182E46"/>
    <w:rsid w:val="0018301B"/>
    <w:rsid w:val="0018312E"/>
    <w:rsid w:val="001834D0"/>
    <w:rsid w:val="001839C2"/>
    <w:rsid w:val="00183D45"/>
    <w:rsid w:val="00184106"/>
    <w:rsid w:val="001849DF"/>
    <w:rsid w:val="001860C4"/>
    <w:rsid w:val="00186132"/>
    <w:rsid w:val="00186DF7"/>
    <w:rsid w:val="00186E02"/>
    <w:rsid w:val="00186F57"/>
    <w:rsid w:val="001908A1"/>
    <w:rsid w:val="00190E27"/>
    <w:rsid w:val="001920ED"/>
    <w:rsid w:val="00192978"/>
    <w:rsid w:val="00192D22"/>
    <w:rsid w:val="00192EC4"/>
    <w:rsid w:val="00194195"/>
    <w:rsid w:val="0019479C"/>
    <w:rsid w:val="0019495F"/>
    <w:rsid w:val="00194E9B"/>
    <w:rsid w:val="00195A60"/>
    <w:rsid w:val="00195CAD"/>
    <w:rsid w:val="001964F4"/>
    <w:rsid w:val="001969A8"/>
    <w:rsid w:val="00197D26"/>
    <w:rsid w:val="001A0A4B"/>
    <w:rsid w:val="001A0FD3"/>
    <w:rsid w:val="001A1B25"/>
    <w:rsid w:val="001A2D3F"/>
    <w:rsid w:val="001A3C69"/>
    <w:rsid w:val="001A40F5"/>
    <w:rsid w:val="001A4175"/>
    <w:rsid w:val="001A4390"/>
    <w:rsid w:val="001A46AC"/>
    <w:rsid w:val="001A53E2"/>
    <w:rsid w:val="001A54AC"/>
    <w:rsid w:val="001A5721"/>
    <w:rsid w:val="001A5AA5"/>
    <w:rsid w:val="001A5BD0"/>
    <w:rsid w:val="001A5D36"/>
    <w:rsid w:val="001A606A"/>
    <w:rsid w:val="001A60C3"/>
    <w:rsid w:val="001A6578"/>
    <w:rsid w:val="001A6D7E"/>
    <w:rsid w:val="001A74C1"/>
    <w:rsid w:val="001A7583"/>
    <w:rsid w:val="001A7659"/>
    <w:rsid w:val="001A7A4B"/>
    <w:rsid w:val="001A7CF5"/>
    <w:rsid w:val="001A7DF3"/>
    <w:rsid w:val="001A7EA7"/>
    <w:rsid w:val="001B162A"/>
    <w:rsid w:val="001B1847"/>
    <w:rsid w:val="001B1FC7"/>
    <w:rsid w:val="001B26A5"/>
    <w:rsid w:val="001B30A5"/>
    <w:rsid w:val="001B3400"/>
    <w:rsid w:val="001B3A8D"/>
    <w:rsid w:val="001B43A3"/>
    <w:rsid w:val="001B4ECA"/>
    <w:rsid w:val="001B5670"/>
    <w:rsid w:val="001B5982"/>
    <w:rsid w:val="001B6DEB"/>
    <w:rsid w:val="001B7665"/>
    <w:rsid w:val="001B781A"/>
    <w:rsid w:val="001B7B91"/>
    <w:rsid w:val="001C0760"/>
    <w:rsid w:val="001C09EA"/>
    <w:rsid w:val="001C0A52"/>
    <w:rsid w:val="001C0C5E"/>
    <w:rsid w:val="001C12CE"/>
    <w:rsid w:val="001C1609"/>
    <w:rsid w:val="001C174A"/>
    <w:rsid w:val="001C1F25"/>
    <w:rsid w:val="001C2015"/>
    <w:rsid w:val="001C3070"/>
    <w:rsid w:val="001C32B2"/>
    <w:rsid w:val="001C4001"/>
    <w:rsid w:val="001C4399"/>
    <w:rsid w:val="001C46A1"/>
    <w:rsid w:val="001C486F"/>
    <w:rsid w:val="001C4AFF"/>
    <w:rsid w:val="001C5CD5"/>
    <w:rsid w:val="001C6262"/>
    <w:rsid w:val="001C65DA"/>
    <w:rsid w:val="001C6A1F"/>
    <w:rsid w:val="001C7475"/>
    <w:rsid w:val="001D17F3"/>
    <w:rsid w:val="001D19A7"/>
    <w:rsid w:val="001D19E9"/>
    <w:rsid w:val="001D1BF0"/>
    <w:rsid w:val="001D1DF7"/>
    <w:rsid w:val="001D298A"/>
    <w:rsid w:val="001D310C"/>
    <w:rsid w:val="001D4130"/>
    <w:rsid w:val="001D46F1"/>
    <w:rsid w:val="001D474E"/>
    <w:rsid w:val="001D6899"/>
    <w:rsid w:val="001D69CF"/>
    <w:rsid w:val="001D6AFD"/>
    <w:rsid w:val="001D6C08"/>
    <w:rsid w:val="001D6E34"/>
    <w:rsid w:val="001D71ED"/>
    <w:rsid w:val="001D74D6"/>
    <w:rsid w:val="001D79A0"/>
    <w:rsid w:val="001E0182"/>
    <w:rsid w:val="001E03F1"/>
    <w:rsid w:val="001E083F"/>
    <w:rsid w:val="001E117D"/>
    <w:rsid w:val="001E1785"/>
    <w:rsid w:val="001E1DB4"/>
    <w:rsid w:val="001E220D"/>
    <w:rsid w:val="001E23AC"/>
    <w:rsid w:val="001E24EF"/>
    <w:rsid w:val="001E321D"/>
    <w:rsid w:val="001E44A2"/>
    <w:rsid w:val="001E44ED"/>
    <w:rsid w:val="001E6577"/>
    <w:rsid w:val="001E6E3D"/>
    <w:rsid w:val="001E74B8"/>
    <w:rsid w:val="001E787D"/>
    <w:rsid w:val="001E7FAF"/>
    <w:rsid w:val="001F00DC"/>
    <w:rsid w:val="001F131C"/>
    <w:rsid w:val="001F18C9"/>
    <w:rsid w:val="001F1F9E"/>
    <w:rsid w:val="001F37B1"/>
    <w:rsid w:val="001F488D"/>
    <w:rsid w:val="001F5594"/>
    <w:rsid w:val="001F59EF"/>
    <w:rsid w:val="001F5B6F"/>
    <w:rsid w:val="001F6BCB"/>
    <w:rsid w:val="002001A9"/>
    <w:rsid w:val="002002F6"/>
    <w:rsid w:val="00200E8E"/>
    <w:rsid w:val="00201631"/>
    <w:rsid w:val="002019C5"/>
    <w:rsid w:val="0020263F"/>
    <w:rsid w:val="00202A5C"/>
    <w:rsid w:val="00202D02"/>
    <w:rsid w:val="00202D0A"/>
    <w:rsid w:val="00203061"/>
    <w:rsid w:val="00204133"/>
    <w:rsid w:val="00204A82"/>
    <w:rsid w:val="00204E20"/>
    <w:rsid w:val="002054A7"/>
    <w:rsid w:val="00205C3E"/>
    <w:rsid w:val="002064EF"/>
    <w:rsid w:val="00206B5E"/>
    <w:rsid w:val="00206DE8"/>
    <w:rsid w:val="00207095"/>
    <w:rsid w:val="002079B7"/>
    <w:rsid w:val="002103BE"/>
    <w:rsid w:val="00210AB6"/>
    <w:rsid w:val="00210CC8"/>
    <w:rsid w:val="00211C65"/>
    <w:rsid w:val="00212821"/>
    <w:rsid w:val="00212FC5"/>
    <w:rsid w:val="0021374C"/>
    <w:rsid w:val="00213774"/>
    <w:rsid w:val="00213B69"/>
    <w:rsid w:val="00213C33"/>
    <w:rsid w:val="00213DFE"/>
    <w:rsid w:val="002142FF"/>
    <w:rsid w:val="00214564"/>
    <w:rsid w:val="00214579"/>
    <w:rsid w:val="002160C2"/>
    <w:rsid w:val="002164E1"/>
    <w:rsid w:val="002167D3"/>
    <w:rsid w:val="00216908"/>
    <w:rsid w:val="002169C7"/>
    <w:rsid w:val="002170CE"/>
    <w:rsid w:val="002171D9"/>
    <w:rsid w:val="00217968"/>
    <w:rsid w:val="002205A4"/>
    <w:rsid w:val="0022110E"/>
    <w:rsid w:val="002218A9"/>
    <w:rsid w:val="00221DDA"/>
    <w:rsid w:val="002223A4"/>
    <w:rsid w:val="00222436"/>
    <w:rsid w:val="002226CB"/>
    <w:rsid w:val="00222AFB"/>
    <w:rsid w:val="002230C7"/>
    <w:rsid w:val="00223960"/>
    <w:rsid w:val="00223AFA"/>
    <w:rsid w:val="00224348"/>
    <w:rsid w:val="00224EC2"/>
    <w:rsid w:val="00225BB2"/>
    <w:rsid w:val="00225FA6"/>
    <w:rsid w:val="0022603D"/>
    <w:rsid w:val="00226316"/>
    <w:rsid w:val="00226AD9"/>
    <w:rsid w:val="00226B14"/>
    <w:rsid w:val="00226B47"/>
    <w:rsid w:val="00226C66"/>
    <w:rsid w:val="00227127"/>
    <w:rsid w:val="0022726A"/>
    <w:rsid w:val="002276F9"/>
    <w:rsid w:val="00229034"/>
    <w:rsid w:val="00230050"/>
    <w:rsid w:val="00230436"/>
    <w:rsid w:val="002306F7"/>
    <w:rsid w:val="002307EB"/>
    <w:rsid w:val="0023148B"/>
    <w:rsid w:val="00232AE3"/>
    <w:rsid w:val="00232AF5"/>
    <w:rsid w:val="00232D80"/>
    <w:rsid w:val="00233698"/>
    <w:rsid w:val="00233E09"/>
    <w:rsid w:val="002342D8"/>
    <w:rsid w:val="002349F9"/>
    <w:rsid w:val="00235047"/>
    <w:rsid w:val="0023547E"/>
    <w:rsid w:val="0023590A"/>
    <w:rsid w:val="00236252"/>
    <w:rsid w:val="00236E71"/>
    <w:rsid w:val="0023713A"/>
    <w:rsid w:val="0023753A"/>
    <w:rsid w:val="00240981"/>
    <w:rsid w:val="00240C1A"/>
    <w:rsid w:val="00240D6B"/>
    <w:rsid w:val="00241530"/>
    <w:rsid w:val="00241550"/>
    <w:rsid w:val="00242340"/>
    <w:rsid w:val="00242A62"/>
    <w:rsid w:val="00242F41"/>
    <w:rsid w:val="00243822"/>
    <w:rsid w:val="00243C05"/>
    <w:rsid w:val="00244BF0"/>
    <w:rsid w:val="00244C28"/>
    <w:rsid w:val="0024510F"/>
    <w:rsid w:val="00245C7C"/>
    <w:rsid w:val="0024683A"/>
    <w:rsid w:val="00250599"/>
    <w:rsid w:val="00250B68"/>
    <w:rsid w:val="00251244"/>
    <w:rsid w:val="00251695"/>
    <w:rsid w:val="00251CF4"/>
    <w:rsid w:val="00252229"/>
    <w:rsid w:val="00252D5E"/>
    <w:rsid w:val="00252FE9"/>
    <w:rsid w:val="00253110"/>
    <w:rsid w:val="002532EB"/>
    <w:rsid w:val="00253D3B"/>
    <w:rsid w:val="00254374"/>
    <w:rsid w:val="002546D9"/>
    <w:rsid w:val="00254737"/>
    <w:rsid w:val="00254929"/>
    <w:rsid w:val="00254F2F"/>
    <w:rsid w:val="00255528"/>
    <w:rsid w:val="00255836"/>
    <w:rsid w:val="00255F0E"/>
    <w:rsid w:val="0025645F"/>
    <w:rsid w:val="00256C01"/>
    <w:rsid w:val="00257414"/>
    <w:rsid w:val="00257808"/>
    <w:rsid w:val="0025798D"/>
    <w:rsid w:val="00260153"/>
    <w:rsid w:val="0026022D"/>
    <w:rsid w:val="00260512"/>
    <w:rsid w:val="002609C3"/>
    <w:rsid w:val="002616B2"/>
    <w:rsid w:val="00262231"/>
    <w:rsid w:val="0026223D"/>
    <w:rsid w:val="002623BE"/>
    <w:rsid w:val="0026269D"/>
    <w:rsid w:val="00263135"/>
    <w:rsid w:val="00263429"/>
    <w:rsid w:val="00263CD3"/>
    <w:rsid w:val="002643E7"/>
    <w:rsid w:val="002643EA"/>
    <w:rsid w:val="002647BE"/>
    <w:rsid w:val="00264A18"/>
    <w:rsid w:val="00264AFC"/>
    <w:rsid w:val="00265019"/>
    <w:rsid w:val="00265F8A"/>
    <w:rsid w:val="002663DB"/>
    <w:rsid w:val="002669FA"/>
    <w:rsid w:val="00266F0F"/>
    <w:rsid w:val="002674CD"/>
    <w:rsid w:val="00267D94"/>
    <w:rsid w:val="0027067E"/>
    <w:rsid w:val="0027089F"/>
    <w:rsid w:val="00270BD3"/>
    <w:rsid w:val="002712C2"/>
    <w:rsid w:val="00271679"/>
    <w:rsid w:val="00271A84"/>
    <w:rsid w:val="00271E48"/>
    <w:rsid w:val="00272191"/>
    <w:rsid w:val="00272215"/>
    <w:rsid w:val="002725C2"/>
    <w:rsid w:val="00273D8A"/>
    <w:rsid w:val="00274390"/>
    <w:rsid w:val="00274A3F"/>
    <w:rsid w:val="00274E1C"/>
    <w:rsid w:val="00276391"/>
    <w:rsid w:val="00276664"/>
    <w:rsid w:val="002768B4"/>
    <w:rsid w:val="0027732A"/>
    <w:rsid w:val="002773AC"/>
    <w:rsid w:val="0027772E"/>
    <w:rsid w:val="00277AD2"/>
    <w:rsid w:val="00280145"/>
    <w:rsid w:val="00280660"/>
    <w:rsid w:val="00283222"/>
    <w:rsid w:val="00283517"/>
    <w:rsid w:val="002837E2"/>
    <w:rsid w:val="00284198"/>
    <w:rsid w:val="00284974"/>
    <w:rsid w:val="00284B7B"/>
    <w:rsid w:val="00285144"/>
    <w:rsid w:val="00285E13"/>
    <w:rsid w:val="00286F18"/>
    <w:rsid w:val="00287A9C"/>
    <w:rsid w:val="00287ED9"/>
    <w:rsid w:val="00290498"/>
    <w:rsid w:val="00290FFB"/>
    <w:rsid w:val="0029118C"/>
    <w:rsid w:val="0029127E"/>
    <w:rsid w:val="0029189E"/>
    <w:rsid w:val="00291E99"/>
    <w:rsid w:val="00291F4D"/>
    <w:rsid w:val="00292C53"/>
    <w:rsid w:val="002939A8"/>
    <w:rsid w:val="00293D26"/>
    <w:rsid w:val="00294162"/>
    <w:rsid w:val="00294358"/>
    <w:rsid w:val="002943B9"/>
    <w:rsid w:val="002947BA"/>
    <w:rsid w:val="00294E39"/>
    <w:rsid w:val="00294FB0"/>
    <w:rsid w:val="0029576D"/>
    <w:rsid w:val="00295777"/>
    <w:rsid w:val="00295813"/>
    <w:rsid w:val="002958C8"/>
    <w:rsid w:val="00296353"/>
    <w:rsid w:val="00296502"/>
    <w:rsid w:val="002966C0"/>
    <w:rsid w:val="002968CB"/>
    <w:rsid w:val="00296B20"/>
    <w:rsid w:val="00296BFA"/>
    <w:rsid w:val="00297913"/>
    <w:rsid w:val="00297FAD"/>
    <w:rsid w:val="002A04DB"/>
    <w:rsid w:val="002A0C5F"/>
    <w:rsid w:val="002A1122"/>
    <w:rsid w:val="002A1235"/>
    <w:rsid w:val="002A161E"/>
    <w:rsid w:val="002A1817"/>
    <w:rsid w:val="002A298B"/>
    <w:rsid w:val="002A2B9C"/>
    <w:rsid w:val="002A2FB4"/>
    <w:rsid w:val="002A3C03"/>
    <w:rsid w:val="002A3DD0"/>
    <w:rsid w:val="002A414D"/>
    <w:rsid w:val="002A44CE"/>
    <w:rsid w:val="002A46F4"/>
    <w:rsid w:val="002A48EB"/>
    <w:rsid w:val="002A49E7"/>
    <w:rsid w:val="002A4DEA"/>
    <w:rsid w:val="002A4F8C"/>
    <w:rsid w:val="002A554C"/>
    <w:rsid w:val="002A5C84"/>
    <w:rsid w:val="002A5F91"/>
    <w:rsid w:val="002A6FB3"/>
    <w:rsid w:val="002A7624"/>
    <w:rsid w:val="002A770E"/>
    <w:rsid w:val="002A7F15"/>
    <w:rsid w:val="002B0A6E"/>
    <w:rsid w:val="002B0C0A"/>
    <w:rsid w:val="002B0EB8"/>
    <w:rsid w:val="002B1782"/>
    <w:rsid w:val="002B2430"/>
    <w:rsid w:val="002B261A"/>
    <w:rsid w:val="002B2757"/>
    <w:rsid w:val="002B2805"/>
    <w:rsid w:val="002B3179"/>
    <w:rsid w:val="002B367A"/>
    <w:rsid w:val="002B4295"/>
    <w:rsid w:val="002B4492"/>
    <w:rsid w:val="002B4996"/>
    <w:rsid w:val="002B5286"/>
    <w:rsid w:val="002B536D"/>
    <w:rsid w:val="002B5812"/>
    <w:rsid w:val="002B5D7D"/>
    <w:rsid w:val="002B5EF2"/>
    <w:rsid w:val="002B62E1"/>
    <w:rsid w:val="002B64FA"/>
    <w:rsid w:val="002B6721"/>
    <w:rsid w:val="002B68A7"/>
    <w:rsid w:val="002B698D"/>
    <w:rsid w:val="002B6E82"/>
    <w:rsid w:val="002B7242"/>
    <w:rsid w:val="002B78F9"/>
    <w:rsid w:val="002C0849"/>
    <w:rsid w:val="002C0E83"/>
    <w:rsid w:val="002C1646"/>
    <w:rsid w:val="002C177E"/>
    <w:rsid w:val="002C17AD"/>
    <w:rsid w:val="002C1DB7"/>
    <w:rsid w:val="002C1E6D"/>
    <w:rsid w:val="002C242F"/>
    <w:rsid w:val="002C2DE4"/>
    <w:rsid w:val="002C309B"/>
    <w:rsid w:val="002C3C7D"/>
    <w:rsid w:val="002C463E"/>
    <w:rsid w:val="002C4D32"/>
    <w:rsid w:val="002C4E99"/>
    <w:rsid w:val="002C51B3"/>
    <w:rsid w:val="002C524C"/>
    <w:rsid w:val="002C52A9"/>
    <w:rsid w:val="002C551E"/>
    <w:rsid w:val="002C55F0"/>
    <w:rsid w:val="002C5603"/>
    <w:rsid w:val="002C5A2B"/>
    <w:rsid w:val="002C5AA4"/>
    <w:rsid w:val="002C7C17"/>
    <w:rsid w:val="002D079E"/>
    <w:rsid w:val="002D09C3"/>
    <w:rsid w:val="002D0A93"/>
    <w:rsid w:val="002D1025"/>
    <w:rsid w:val="002D11F8"/>
    <w:rsid w:val="002D1A85"/>
    <w:rsid w:val="002D1E8F"/>
    <w:rsid w:val="002D2158"/>
    <w:rsid w:val="002D2984"/>
    <w:rsid w:val="002D30E8"/>
    <w:rsid w:val="002D3ACF"/>
    <w:rsid w:val="002D3D4B"/>
    <w:rsid w:val="002D3D6B"/>
    <w:rsid w:val="002D3D9E"/>
    <w:rsid w:val="002D4014"/>
    <w:rsid w:val="002D434D"/>
    <w:rsid w:val="002D44A4"/>
    <w:rsid w:val="002D4674"/>
    <w:rsid w:val="002D4B7A"/>
    <w:rsid w:val="002D5CBD"/>
    <w:rsid w:val="002D5D2E"/>
    <w:rsid w:val="002D6031"/>
    <w:rsid w:val="002D62FB"/>
    <w:rsid w:val="002D647D"/>
    <w:rsid w:val="002D668D"/>
    <w:rsid w:val="002D6CEB"/>
    <w:rsid w:val="002D6D24"/>
    <w:rsid w:val="002D7196"/>
    <w:rsid w:val="002D771D"/>
    <w:rsid w:val="002D78FD"/>
    <w:rsid w:val="002D79D6"/>
    <w:rsid w:val="002D7F82"/>
    <w:rsid w:val="002E01EA"/>
    <w:rsid w:val="002E0947"/>
    <w:rsid w:val="002E0DAC"/>
    <w:rsid w:val="002E0F86"/>
    <w:rsid w:val="002E15FE"/>
    <w:rsid w:val="002E2648"/>
    <w:rsid w:val="002E2782"/>
    <w:rsid w:val="002E311C"/>
    <w:rsid w:val="002E312B"/>
    <w:rsid w:val="002E3384"/>
    <w:rsid w:val="002E352E"/>
    <w:rsid w:val="002E35AE"/>
    <w:rsid w:val="002E3C1B"/>
    <w:rsid w:val="002E3F37"/>
    <w:rsid w:val="002E4AAB"/>
    <w:rsid w:val="002E4B2C"/>
    <w:rsid w:val="002E4B9B"/>
    <w:rsid w:val="002E578D"/>
    <w:rsid w:val="002E708B"/>
    <w:rsid w:val="002E713B"/>
    <w:rsid w:val="002E767F"/>
    <w:rsid w:val="002E78B1"/>
    <w:rsid w:val="002E7E98"/>
    <w:rsid w:val="002F0518"/>
    <w:rsid w:val="002F0CFC"/>
    <w:rsid w:val="002F0FC5"/>
    <w:rsid w:val="002F18DC"/>
    <w:rsid w:val="002F1DF8"/>
    <w:rsid w:val="002F1E92"/>
    <w:rsid w:val="002F227B"/>
    <w:rsid w:val="002F2543"/>
    <w:rsid w:val="002F2D91"/>
    <w:rsid w:val="002F31FC"/>
    <w:rsid w:val="002F3561"/>
    <w:rsid w:val="002F517E"/>
    <w:rsid w:val="002F5685"/>
    <w:rsid w:val="002F58C2"/>
    <w:rsid w:val="002F5A20"/>
    <w:rsid w:val="002F6299"/>
    <w:rsid w:val="002F6347"/>
    <w:rsid w:val="002F7007"/>
    <w:rsid w:val="002F7077"/>
    <w:rsid w:val="002F72BC"/>
    <w:rsid w:val="002F791C"/>
    <w:rsid w:val="002F7BB3"/>
    <w:rsid w:val="0030179A"/>
    <w:rsid w:val="00301B5F"/>
    <w:rsid w:val="00302381"/>
    <w:rsid w:val="003024D1"/>
    <w:rsid w:val="0030279D"/>
    <w:rsid w:val="00302C06"/>
    <w:rsid w:val="00303402"/>
    <w:rsid w:val="00303CCC"/>
    <w:rsid w:val="003059C8"/>
    <w:rsid w:val="00306532"/>
    <w:rsid w:val="00310A3F"/>
    <w:rsid w:val="00310F9B"/>
    <w:rsid w:val="003116C8"/>
    <w:rsid w:val="00312966"/>
    <w:rsid w:val="00313356"/>
    <w:rsid w:val="0031359E"/>
    <w:rsid w:val="00313653"/>
    <w:rsid w:val="0031428D"/>
    <w:rsid w:val="00314A81"/>
    <w:rsid w:val="003169C2"/>
    <w:rsid w:val="00317022"/>
    <w:rsid w:val="00317C82"/>
    <w:rsid w:val="00317F89"/>
    <w:rsid w:val="003211AA"/>
    <w:rsid w:val="00321586"/>
    <w:rsid w:val="00321EAF"/>
    <w:rsid w:val="00321EDA"/>
    <w:rsid w:val="003222E9"/>
    <w:rsid w:val="00322804"/>
    <w:rsid w:val="003228C8"/>
    <w:rsid w:val="00322C4B"/>
    <w:rsid w:val="00322F2B"/>
    <w:rsid w:val="00323CD2"/>
    <w:rsid w:val="003240B1"/>
    <w:rsid w:val="003247BE"/>
    <w:rsid w:val="003248CC"/>
    <w:rsid w:val="00324D2D"/>
    <w:rsid w:val="003255C7"/>
    <w:rsid w:val="003257E1"/>
    <w:rsid w:val="00325A20"/>
    <w:rsid w:val="00325E3A"/>
    <w:rsid w:val="00325F06"/>
    <w:rsid w:val="00325F6D"/>
    <w:rsid w:val="003265FA"/>
    <w:rsid w:val="00327C18"/>
    <w:rsid w:val="00330A6B"/>
    <w:rsid w:val="00330C77"/>
    <w:rsid w:val="00330F0A"/>
    <w:rsid w:val="003319FC"/>
    <w:rsid w:val="00331CB3"/>
    <w:rsid w:val="00332760"/>
    <w:rsid w:val="003329ED"/>
    <w:rsid w:val="00333456"/>
    <w:rsid w:val="00333830"/>
    <w:rsid w:val="003341FB"/>
    <w:rsid w:val="003344C0"/>
    <w:rsid w:val="003352BA"/>
    <w:rsid w:val="00335D17"/>
    <w:rsid w:val="0033622C"/>
    <w:rsid w:val="00336B4E"/>
    <w:rsid w:val="00336D30"/>
    <w:rsid w:val="00336D56"/>
    <w:rsid w:val="00337B38"/>
    <w:rsid w:val="00337F77"/>
    <w:rsid w:val="00340476"/>
    <w:rsid w:val="003404D7"/>
    <w:rsid w:val="00340EFA"/>
    <w:rsid w:val="0034124B"/>
    <w:rsid w:val="003413C0"/>
    <w:rsid w:val="003416D7"/>
    <w:rsid w:val="00343165"/>
    <w:rsid w:val="00343467"/>
    <w:rsid w:val="00343823"/>
    <w:rsid w:val="00343F0B"/>
    <w:rsid w:val="003444EF"/>
    <w:rsid w:val="00344F2F"/>
    <w:rsid w:val="00345D80"/>
    <w:rsid w:val="00345E90"/>
    <w:rsid w:val="00346319"/>
    <w:rsid w:val="003464E0"/>
    <w:rsid w:val="00346880"/>
    <w:rsid w:val="00346A3F"/>
    <w:rsid w:val="00347031"/>
    <w:rsid w:val="0034753C"/>
    <w:rsid w:val="003477B6"/>
    <w:rsid w:val="00347935"/>
    <w:rsid w:val="003479B9"/>
    <w:rsid w:val="00347E88"/>
    <w:rsid w:val="00350738"/>
    <w:rsid w:val="0035106D"/>
    <w:rsid w:val="00352809"/>
    <w:rsid w:val="0035303B"/>
    <w:rsid w:val="003532E0"/>
    <w:rsid w:val="00353363"/>
    <w:rsid w:val="00353555"/>
    <w:rsid w:val="003536CE"/>
    <w:rsid w:val="00354D59"/>
    <w:rsid w:val="00355662"/>
    <w:rsid w:val="00355D6A"/>
    <w:rsid w:val="003563C7"/>
    <w:rsid w:val="00356471"/>
    <w:rsid w:val="00357750"/>
    <w:rsid w:val="00357ABB"/>
    <w:rsid w:val="00357B57"/>
    <w:rsid w:val="00360A17"/>
    <w:rsid w:val="0036175F"/>
    <w:rsid w:val="00361854"/>
    <w:rsid w:val="00361D58"/>
    <w:rsid w:val="00361D5E"/>
    <w:rsid w:val="003627CD"/>
    <w:rsid w:val="00365257"/>
    <w:rsid w:val="00365350"/>
    <w:rsid w:val="00365C5F"/>
    <w:rsid w:val="00366179"/>
    <w:rsid w:val="00366DFA"/>
    <w:rsid w:val="003677B9"/>
    <w:rsid w:val="00367A35"/>
    <w:rsid w:val="00371BD4"/>
    <w:rsid w:val="00371F83"/>
    <w:rsid w:val="00372144"/>
    <w:rsid w:val="0037257C"/>
    <w:rsid w:val="00372643"/>
    <w:rsid w:val="003726D0"/>
    <w:rsid w:val="0037275E"/>
    <w:rsid w:val="00373BC4"/>
    <w:rsid w:val="003746DB"/>
    <w:rsid w:val="00376C66"/>
    <w:rsid w:val="00376EB6"/>
    <w:rsid w:val="00377D94"/>
    <w:rsid w:val="00380474"/>
    <w:rsid w:val="003804C5"/>
    <w:rsid w:val="00380781"/>
    <w:rsid w:val="00381A52"/>
    <w:rsid w:val="00381D08"/>
    <w:rsid w:val="00382770"/>
    <w:rsid w:val="00382C01"/>
    <w:rsid w:val="00382C4C"/>
    <w:rsid w:val="00383E56"/>
    <w:rsid w:val="00383F46"/>
    <w:rsid w:val="00384087"/>
    <w:rsid w:val="0038446B"/>
    <w:rsid w:val="00385A7C"/>
    <w:rsid w:val="00385DCF"/>
    <w:rsid w:val="00386481"/>
    <w:rsid w:val="00386554"/>
    <w:rsid w:val="00386758"/>
    <w:rsid w:val="0038678A"/>
    <w:rsid w:val="00386C6F"/>
    <w:rsid w:val="00386F45"/>
    <w:rsid w:val="00390BFA"/>
    <w:rsid w:val="00390E6F"/>
    <w:rsid w:val="0039100C"/>
    <w:rsid w:val="00391944"/>
    <w:rsid w:val="00391ACF"/>
    <w:rsid w:val="00391C07"/>
    <w:rsid w:val="00391DC2"/>
    <w:rsid w:val="00391E4C"/>
    <w:rsid w:val="00392A32"/>
    <w:rsid w:val="0039350E"/>
    <w:rsid w:val="0039351C"/>
    <w:rsid w:val="00393992"/>
    <w:rsid w:val="0039461E"/>
    <w:rsid w:val="00394B51"/>
    <w:rsid w:val="00395624"/>
    <w:rsid w:val="00396639"/>
    <w:rsid w:val="003969C7"/>
    <w:rsid w:val="00396A43"/>
    <w:rsid w:val="003971C0"/>
    <w:rsid w:val="003975D1"/>
    <w:rsid w:val="00397A03"/>
    <w:rsid w:val="003A0207"/>
    <w:rsid w:val="003A04AF"/>
    <w:rsid w:val="003A1440"/>
    <w:rsid w:val="003A1F0D"/>
    <w:rsid w:val="003A21ED"/>
    <w:rsid w:val="003A2B9F"/>
    <w:rsid w:val="003A3CD1"/>
    <w:rsid w:val="003A3F9F"/>
    <w:rsid w:val="003A461E"/>
    <w:rsid w:val="003A4FEF"/>
    <w:rsid w:val="003A6AD0"/>
    <w:rsid w:val="003A6B4B"/>
    <w:rsid w:val="003A7595"/>
    <w:rsid w:val="003A7B6F"/>
    <w:rsid w:val="003B0572"/>
    <w:rsid w:val="003B0F39"/>
    <w:rsid w:val="003B14E0"/>
    <w:rsid w:val="003B18D2"/>
    <w:rsid w:val="003B192F"/>
    <w:rsid w:val="003B2415"/>
    <w:rsid w:val="003B26A8"/>
    <w:rsid w:val="003B2814"/>
    <w:rsid w:val="003B286B"/>
    <w:rsid w:val="003B2C72"/>
    <w:rsid w:val="003B3504"/>
    <w:rsid w:val="003B371E"/>
    <w:rsid w:val="003B406D"/>
    <w:rsid w:val="003B4990"/>
    <w:rsid w:val="003B5F5A"/>
    <w:rsid w:val="003B704F"/>
    <w:rsid w:val="003B7FF7"/>
    <w:rsid w:val="003C124E"/>
    <w:rsid w:val="003C19F7"/>
    <w:rsid w:val="003C1CF7"/>
    <w:rsid w:val="003C3696"/>
    <w:rsid w:val="003C3E4B"/>
    <w:rsid w:val="003C5655"/>
    <w:rsid w:val="003C5A4F"/>
    <w:rsid w:val="003C5ACE"/>
    <w:rsid w:val="003C5EFE"/>
    <w:rsid w:val="003C6952"/>
    <w:rsid w:val="003C6BC9"/>
    <w:rsid w:val="003C6DAD"/>
    <w:rsid w:val="003C6E9C"/>
    <w:rsid w:val="003C6F23"/>
    <w:rsid w:val="003C777A"/>
    <w:rsid w:val="003C784B"/>
    <w:rsid w:val="003C7CCE"/>
    <w:rsid w:val="003D05FB"/>
    <w:rsid w:val="003D0BF9"/>
    <w:rsid w:val="003D0FAC"/>
    <w:rsid w:val="003D13D5"/>
    <w:rsid w:val="003D14CA"/>
    <w:rsid w:val="003D2890"/>
    <w:rsid w:val="003D2FD3"/>
    <w:rsid w:val="003D3062"/>
    <w:rsid w:val="003D312D"/>
    <w:rsid w:val="003D3669"/>
    <w:rsid w:val="003D3FB2"/>
    <w:rsid w:val="003D4161"/>
    <w:rsid w:val="003D4A6F"/>
    <w:rsid w:val="003D631F"/>
    <w:rsid w:val="003D657F"/>
    <w:rsid w:val="003D6B87"/>
    <w:rsid w:val="003D6E86"/>
    <w:rsid w:val="003E017D"/>
    <w:rsid w:val="003E03A3"/>
    <w:rsid w:val="003E0BB5"/>
    <w:rsid w:val="003E0C91"/>
    <w:rsid w:val="003E1309"/>
    <w:rsid w:val="003E20C6"/>
    <w:rsid w:val="003E2F89"/>
    <w:rsid w:val="003E3485"/>
    <w:rsid w:val="003E3A7C"/>
    <w:rsid w:val="003E441A"/>
    <w:rsid w:val="003E48AA"/>
    <w:rsid w:val="003E4AEB"/>
    <w:rsid w:val="003E547E"/>
    <w:rsid w:val="003E548A"/>
    <w:rsid w:val="003E5BDF"/>
    <w:rsid w:val="003E5D18"/>
    <w:rsid w:val="003E66BC"/>
    <w:rsid w:val="003E682A"/>
    <w:rsid w:val="003E6EFF"/>
    <w:rsid w:val="003E76EF"/>
    <w:rsid w:val="003F1137"/>
    <w:rsid w:val="003F11FE"/>
    <w:rsid w:val="003F143F"/>
    <w:rsid w:val="003F1EA8"/>
    <w:rsid w:val="003F1F19"/>
    <w:rsid w:val="003F218D"/>
    <w:rsid w:val="003F29FE"/>
    <w:rsid w:val="003F36C4"/>
    <w:rsid w:val="003F4239"/>
    <w:rsid w:val="003F5DA5"/>
    <w:rsid w:val="003F5FB3"/>
    <w:rsid w:val="003F6DF4"/>
    <w:rsid w:val="00400314"/>
    <w:rsid w:val="00400A19"/>
    <w:rsid w:val="00401182"/>
    <w:rsid w:val="00401BBF"/>
    <w:rsid w:val="00402C15"/>
    <w:rsid w:val="00403154"/>
    <w:rsid w:val="0040334F"/>
    <w:rsid w:val="0040337A"/>
    <w:rsid w:val="00403873"/>
    <w:rsid w:val="00403D42"/>
    <w:rsid w:val="00403FC7"/>
    <w:rsid w:val="004041A4"/>
    <w:rsid w:val="00404368"/>
    <w:rsid w:val="0040466B"/>
    <w:rsid w:val="00404CF2"/>
    <w:rsid w:val="00405D40"/>
    <w:rsid w:val="00405EB0"/>
    <w:rsid w:val="004064E7"/>
    <w:rsid w:val="00406E79"/>
    <w:rsid w:val="00406E99"/>
    <w:rsid w:val="00410EDC"/>
    <w:rsid w:val="00410F75"/>
    <w:rsid w:val="004110C3"/>
    <w:rsid w:val="00411693"/>
    <w:rsid w:val="00412484"/>
    <w:rsid w:val="0041287D"/>
    <w:rsid w:val="00412B05"/>
    <w:rsid w:val="004136C6"/>
    <w:rsid w:val="004136FC"/>
    <w:rsid w:val="00413DE8"/>
    <w:rsid w:val="00414EFB"/>
    <w:rsid w:val="004151DF"/>
    <w:rsid w:val="00415519"/>
    <w:rsid w:val="004156E0"/>
    <w:rsid w:val="00415D02"/>
    <w:rsid w:val="00415FD4"/>
    <w:rsid w:val="004161CE"/>
    <w:rsid w:val="00416470"/>
    <w:rsid w:val="004167A9"/>
    <w:rsid w:val="00417EB0"/>
    <w:rsid w:val="004207DE"/>
    <w:rsid w:val="00420CE4"/>
    <w:rsid w:val="00420E4E"/>
    <w:rsid w:val="00421803"/>
    <w:rsid w:val="00421A9F"/>
    <w:rsid w:val="00421F10"/>
    <w:rsid w:val="00422B37"/>
    <w:rsid w:val="0042309F"/>
    <w:rsid w:val="00423217"/>
    <w:rsid w:val="0042356F"/>
    <w:rsid w:val="0042357C"/>
    <w:rsid w:val="00424883"/>
    <w:rsid w:val="004248E9"/>
    <w:rsid w:val="0042539D"/>
    <w:rsid w:val="004255F1"/>
    <w:rsid w:val="00425817"/>
    <w:rsid w:val="004259CF"/>
    <w:rsid w:val="00425A96"/>
    <w:rsid w:val="004261B2"/>
    <w:rsid w:val="00426358"/>
    <w:rsid w:val="00426DC5"/>
    <w:rsid w:val="00427480"/>
    <w:rsid w:val="004276BB"/>
    <w:rsid w:val="00427C0B"/>
    <w:rsid w:val="00431143"/>
    <w:rsid w:val="0043145A"/>
    <w:rsid w:val="004319E7"/>
    <w:rsid w:val="00432350"/>
    <w:rsid w:val="00432C36"/>
    <w:rsid w:val="0043306C"/>
    <w:rsid w:val="004330BC"/>
    <w:rsid w:val="004335A9"/>
    <w:rsid w:val="00433697"/>
    <w:rsid w:val="00434BFB"/>
    <w:rsid w:val="00434D36"/>
    <w:rsid w:val="00435649"/>
    <w:rsid w:val="00435AB6"/>
    <w:rsid w:val="004360DC"/>
    <w:rsid w:val="00437181"/>
    <w:rsid w:val="004376AF"/>
    <w:rsid w:val="00437845"/>
    <w:rsid w:val="004401B8"/>
    <w:rsid w:val="00440693"/>
    <w:rsid w:val="004407DC"/>
    <w:rsid w:val="00440E90"/>
    <w:rsid w:val="004414A3"/>
    <w:rsid w:val="0044186B"/>
    <w:rsid w:val="004418DA"/>
    <w:rsid w:val="00443019"/>
    <w:rsid w:val="00443178"/>
    <w:rsid w:val="004438E7"/>
    <w:rsid w:val="00443DE2"/>
    <w:rsid w:val="00443F0B"/>
    <w:rsid w:val="004446D0"/>
    <w:rsid w:val="00444C9C"/>
    <w:rsid w:val="00445D2C"/>
    <w:rsid w:val="00445F1B"/>
    <w:rsid w:val="00447AC4"/>
    <w:rsid w:val="0045006F"/>
    <w:rsid w:val="00450205"/>
    <w:rsid w:val="0045059D"/>
    <w:rsid w:val="0045097C"/>
    <w:rsid w:val="00450ABD"/>
    <w:rsid w:val="00450CC3"/>
    <w:rsid w:val="004519D4"/>
    <w:rsid w:val="00451A1C"/>
    <w:rsid w:val="00452579"/>
    <w:rsid w:val="00452F37"/>
    <w:rsid w:val="00453342"/>
    <w:rsid w:val="00453731"/>
    <w:rsid w:val="00453788"/>
    <w:rsid w:val="00453A5A"/>
    <w:rsid w:val="0045434F"/>
    <w:rsid w:val="00454881"/>
    <w:rsid w:val="00454DB4"/>
    <w:rsid w:val="004551B3"/>
    <w:rsid w:val="0045528E"/>
    <w:rsid w:val="00456064"/>
    <w:rsid w:val="00456AC7"/>
    <w:rsid w:val="004577FB"/>
    <w:rsid w:val="00457B05"/>
    <w:rsid w:val="004601C7"/>
    <w:rsid w:val="0046076D"/>
    <w:rsid w:val="00460C9A"/>
    <w:rsid w:val="00460F7A"/>
    <w:rsid w:val="004619AB"/>
    <w:rsid w:val="00461B8C"/>
    <w:rsid w:val="004624A2"/>
    <w:rsid w:val="004624E9"/>
    <w:rsid w:val="00462772"/>
    <w:rsid w:val="004627D5"/>
    <w:rsid w:val="00462C4E"/>
    <w:rsid w:val="0046427A"/>
    <w:rsid w:val="004645B3"/>
    <w:rsid w:val="0046473A"/>
    <w:rsid w:val="004651ED"/>
    <w:rsid w:val="00465602"/>
    <w:rsid w:val="00466F38"/>
    <w:rsid w:val="00467653"/>
    <w:rsid w:val="00467D52"/>
    <w:rsid w:val="00470150"/>
    <w:rsid w:val="00470BC5"/>
    <w:rsid w:val="004711F5"/>
    <w:rsid w:val="004713B3"/>
    <w:rsid w:val="0047197A"/>
    <w:rsid w:val="00471AE5"/>
    <w:rsid w:val="004724E1"/>
    <w:rsid w:val="00472B6D"/>
    <w:rsid w:val="00472FD4"/>
    <w:rsid w:val="004736BD"/>
    <w:rsid w:val="00473A8C"/>
    <w:rsid w:val="00473F37"/>
    <w:rsid w:val="0047415D"/>
    <w:rsid w:val="004748B7"/>
    <w:rsid w:val="00474AE7"/>
    <w:rsid w:val="0047546A"/>
    <w:rsid w:val="00475827"/>
    <w:rsid w:val="00476F17"/>
    <w:rsid w:val="0047765F"/>
    <w:rsid w:val="00477911"/>
    <w:rsid w:val="004801A7"/>
    <w:rsid w:val="00480220"/>
    <w:rsid w:val="004804B3"/>
    <w:rsid w:val="00480918"/>
    <w:rsid w:val="00480A6B"/>
    <w:rsid w:val="00480E8A"/>
    <w:rsid w:val="00481529"/>
    <w:rsid w:val="00481622"/>
    <w:rsid w:val="004818BA"/>
    <w:rsid w:val="00481C35"/>
    <w:rsid w:val="004821A8"/>
    <w:rsid w:val="004832FF"/>
    <w:rsid w:val="00483B13"/>
    <w:rsid w:val="00484529"/>
    <w:rsid w:val="004846D3"/>
    <w:rsid w:val="004847EC"/>
    <w:rsid w:val="004848C1"/>
    <w:rsid w:val="0048498E"/>
    <w:rsid w:val="004849FD"/>
    <w:rsid w:val="00485155"/>
    <w:rsid w:val="0048526E"/>
    <w:rsid w:val="00485D80"/>
    <w:rsid w:val="0048634A"/>
    <w:rsid w:val="00486C1B"/>
    <w:rsid w:val="00486E58"/>
    <w:rsid w:val="004870DA"/>
    <w:rsid w:val="00487AA5"/>
    <w:rsid w:val="00487F14"/>
    <w:rsid w:val="0049083A"/>
    <w:rsid w:val="00490B23"/>
    <w:rsid w:val="004916E6"/>
    <w:rsid w:val="00491C5C"/>
    <w:rsid w:val="00491CC1"/>
    <w:rsid w:val="00493015"/>
    <w:rsid w:val="0049332E"/>
    <w:rsid w:val="004935C6"/>
    <w:rsid w:val="0049401D"/>
    <w:rsid w:val="00494702"/>
    <w:rsid w:val="00494CB1"/>
    <w:rsid w:val="00495584"/>
    <w:rsid w:val="00496519"/>
    <w:rsid w:val="00496EB1"/>
    <w:rsid w:val="00497C0E"/>
    <w:rsid w:val="00497D4B"/>
    <w:rsid w:val="004A00A1"/>
    <w:rsid w:val="004A08A2"/>
    <w:rsid w:val="004A0DDC"/>
    <w:rsid w:val="004A1115"/>
    <w:rsid w:val="004A14E8"/>
    <w:rsid w:val="004A164A"/>
    <w:rsid w:val="004A2416"/>
    <w:rsid w:val="004A2C9D"/>
    <w:rsid w:val="004A3926"/>
    <w:rsid w:val="004A3BD4"/>
    <w:rsid w:val="004A3D4B"/>
    <w:rsid w:val="004A5832"/>
    <w:rsid w:val="004A5A3B"/>
    <w:rsid w:val="004A5D3A"/>
    <w:rsid w:val="004A6E1B"/>
    <w:rsid w:val="004A7148"/>
    <w:rsid w:val="004A7299"/>
    <w:rsid w:val="004A7505"/>
    <w:rsid w:val="004A7684"/>
    <w:rsid w:val="004A7B1D"/>
    <w:rsid w:val="004B0010"/>
    <w:rsid w:val="004B0A0E"/>
    <w:rsid w:val="004B1222"/>
    <w:rsid w:val="004B1440"/>
    <w:rsid w:val="004B1F4A"/>
    <w:rsid w:val="004B25FC"/>
    <w:rsid w:val="004B2F42"/>
    <w:rsid w:val="004B33E7"/>
    <w:rsid w:val="004B3802"/>
    <w:rsid w:val="004B3F23"/>
    <w:rsid w:val="004B4103"/>
    <w:rsid w:val="004B4480"/>
    <w:rsid w:val="004B48CA"/>
    <w:rsid w:val="004B4B44"/>
    <w:rsid w:val="004B4B74"/>
    <w:rsid w:val="004B5186"/>
    <w:rsid w:val="004B546A"/>
    <w:rsid w:val="004B6503"/>
    <w:rsid w:val="004B6C5C"/>
    <w:rsid w:val="004B6E93"/>
    <w:rsid w:val="004B728F"/>
    <w:rsid w:val="004B7885"/>
    <w:rsid w:val="004C1ABD"/>
    <w:rsid w:val="004C1EA0"/>
    <w:rsid w:val="004C2AFF"/>
    <w:rsid w:val="004C2BA5"/>
    <w:rsid w:val="004C3178"/>
    <w:rsid w:val="004C3D97"/>
    <w:rsid w:val="004C3FE0"/>
    <w:rsid w:val="004C415D"/>
    <w:rsid w:val="004C4BBB"/>
    <w:rsid w:val="004C5BD5"/>
    <w:rsid w:val="004C65D6"/>
    <w:rsid w:val="004C7A55"/>
    <w:rsid w:val="004C7CD5"/>
    <w:rsid w:val="004D0137"/>
    <w:rsid w:val="004D0192"/>
    <w:rsid w:val="004D01E7"/>
    <w:rsid w:val="004D06C7"/>
    <w:rsid w:val="004D1146"/>
    <w:rsid w:val="004D11A0"/>
    <w:rsid w:val="004D1663"/>
    <w:rsid w:val="004D1CAC"/>
    <w:rsid w:val="004D32E9"/>
    <w:rsid w:val="004D3415"/>
    <w:rsid w:val="004D36A6"/>
    <w:rsid w:val="004D3B6F"/>
    <w:rsid w:val="004D3D31"/>
    <w:rsid w:val="004D4E32"/>
    <w:rsid w:val="004D4EE9"/>
    <w:rsid w:val="004D5CBD"/>
    <w:rsid w:val="004D5CC7"/>
    <w:rsid w:val="004D6E9E"/>
    <w:rsid w:val="004D6F0E"/>
    <w:rsid w:val="004D7918"/>
    <w:rsid w:val="004D7FA6"/>
    <w:rsid w:val="004E07E1"/>
    <w:rsid w:val="004E0FB1"/>
    <w:rsid w:val="004E16D0"/>
    <w:rsid w:val="004E1D4C"/>
    <w:rsid w:val="004E1DC4"/>
    <w:rsid w:val="004E1E1A"/>
    <w:rsid w:val="004E2648"/>
    <w:rsid w:val="004E2A11"/>
    <w:rsid w:val="004E2EB3"/>
    <w:rsid w:val="004E388D"/>
    <w:rsid w:val="004E3F15"/>
    <w:rsid w:val="004E4190"/>
    <w:rsid w:val="004E56A3"/>
    <w:rsid w:val="004E57C8"/>
    <w:rsid w:val="004E6908"/>
    <w:rsid w:val="004E6A86"/>
    <w:rsid w:val="004E6B9F"/>
    <w:rsid w:val="004E6EB5"/>
    <w:rsid w:val="004E7426"/>
    <w:rsid w:val="004E7992"/>
    <w:rsid w:val="004F0C0E"/>
    <w:rsid w:val="004F0E63"/>
    <w:rsid w:val="004F12BA"/>
    <w:rsid w:val="004F1728"/>
    <w:rsid w:val="004F217E"/>
    <w:rsid w:val="004F25EC"/>
    <w:rsid w:val="004F35D5"/>
    <w:rsid w:val="004F38E2"/>
    <w:rsid w:val="004F4A3C"/>
    <w:rsid w:val="004F5BFD"/>
    <w:rsid w:val="004F5D76"/>
    <w:rsid w:val="004F6066"/>
    <w:rsid w:val="004F707F"/>
    <w:rsid w:val="004F7CE9"/>
    <w:rsid w:val="005005C6"/>
    <w:rsid w:val="00501058"/>
    <w:rsid w:val="005010BD"/>
    <w:rsid w:val="0050169A"/>
    <w:rsid w:val="00501A7D"/>
    <w:rsid w:val="0050204B"/>
    <w:rsid w:val="00502081"/>
    <w:rsid w:val="005028DA"/>
    <w:rsid w:val="0050363D"/>
    <w:rsid w:val="00503CE6"/>
    <w:rsid w:val="00503DA6"/>
    <w:rsid w:val="00504386"/>
    <w:rsid w:val="00504692"/>
    <w:rsid w:val="00504EDC"/>
    <w:rsid w:val="005057B4"/>
    <w:rsid w:val="005061EA"/>
    <w:rsid w:val="00506222"/>
    <w:rsid w:val="00507733"/>
    <w:rsid w:val="0051016E"/>
    <w:rsid w:val="00510A27"/>
    <w:rsid w:val="00510A33"/>
    <w:rsid w:val="00510EE5"/>
    <w:rsid w:val="005116A0"/>
    <w:rsid w:val="00511758"/>
    <w:rsid w:val="00511B58"/>
    <w:rsid w:val="00513D53"/>
    <w:rsid w:val="0051445D"/>
    <w:rsid w:val="005149FE"/>
    <w:rsid w:val="005151A7"/>
    <w:rsid w:val="00515211"/>
    <w:rsid w:val="0051528D"/>
    <w:rsid w:val="005156D9"/>
    <w:rsid w:val="00515C24"/>
    <w:rsid w:val="0051636D"/>
    <w:rsid w:val="0051644B"/>
    <w:rsid w:val="0051706E"/>
    <w:rsid w:val="00517309"/>
    <w:rsid w:val="00517448"/>
    <w:rsid w:val="00517944"/>
    <w:rsid w:val="00517B7A"/>
    <w:rsid w:val="0052023F"/>
    <w:rsid w:val="00520583"/>
    <w:rsid w:val="00520722"/>
    <w:rsid w:val="00520B33"/>
    <w:rsid w:val="00520EC7"/>
    <w:rsid w:val="005215F8"/>
    <w:rsid w:val="00521B3C"/>
    <w:rsid w:val="00521CC5"/>
    <w:rsid w:val="005230B5"/>
    <w:rsid w:val="005236BD"/>
    <w:rsid w:val="005239D1"/>
    <w:rsid w:val="00523C36"/>
    <w:rsid w:val="00523CE2"/>
    <w:rsid w:val="00523CE8"/>
    <w:rsid w:val="005241F8"/>
    <w:rsid w:val="005247EA"/>
    <w:rsid w:val="00524879"/>
    <w:rsid w:val="005249EC"/>
    <w:rsid w:val="00524BDC"/>
    <w:rsid w:val="00524C94"/>
    <w:rsid w:val="005253EA"/>
    <w:rsid w:val="005261D1"/>
    <w:rsid w:val="005266BB"/>
    <w:rsid w:val="00526D54"/>
    <w:rsid w:val="00530316"/>
    <w:rsid w:val="0053051E"/>
    <w:rsid w:val="0053064B"/>
    <w:rsid w:val="0053104F"/>
    <w:rsid w:val="005316D6"/>
    <w:rsid w:val="00531AB1"/>
    <w:rsid w:val="00532A3D"/>
    <w:rsid w:val="00532EC0"/>
    <w:rsid w:val="005330CA"/>
    <w:rsid w:val="00533337"/>
    <w:rsid w:val="00533540"/>
    <w:rsid w:val="005339E8"/>
    <w:rsid w:val="00534577"/>
    <w:rsid w:val="005348DF"/>
    <w:rsid w:val="0053557B"/>
    <w:rsid w:val="00535657"/>
    <w:rsid w:val="00535677"/>
    <w:rsid w:val="00537A86"/>
    <w:rsid w:val="005404F5"/>
    <w:rsid w:val="005408FC"/>
    <w:rsid w:val="00540FA0"/>
    <w:rsid w:val="00541BE0"/>
    <w:rsid w:val="00541CAE"/>
    <w:rsid w:val="00541F75"/>
    <w:rsid w:val="00542E16"/>
    <w:rsid w:val="0054326F"/>
    <w:rsid w:val="00543962"/>
    <w:rsid w:val="00543DE8"/>
    <w:rsid w:val="00544083"/>
    <w:rsid w:val="00544A41"/>
    <w:rsid w:val="00544DFC"/>
    <w:rsid w:val="00545199"/>
    <w:rsid w:val="005459C9"/>
    <w:rsid w:val="00546259"/>
    <w:rsid w:val="005467A3"/>
    <w:rsid w:val="00546A91"/>
    <w:rsid w:val="00546D71"/>
    <w:rsid w:val="00550912"/>
    <w:rsid w:val="00550D36"/>
    <w:rsid w:val="00550DDA"/>
    <w:rsid w:val="005510C5"/>
    <w:rsid w:val="0055115A"/>
    <w:rsid w:val="00552B1A"/>
    <w:rsid w:val="00553778"/>
    <w:rsid w:val="00553812"/>
    <w:rsid w:val="005544E1"/>
    <w:rsid w:val="005545E9"/>
    <w:rsid w:val="00554B34"/>
    <w:rsid w:val="00554BDE"/>
    <w:rsid w:val="00554F5F"/>
    <w:rsid w:val="00554FFF"/>
    <w:rsid w:val="00555761"/>
    <w:rsid w:val="00555E51"/>
    <w:rsid w:val="00556BB2"/>
    <w:rsid w:val="005572A9"/>
    <w:rsid w:val="0055793C"/>
    <w:rsid w:val="00560624"/>
    <w:rsid w:val="00561045"/>
    <w:rsid w:val="00561245"/>
    <w:rsid w:val="00561BDF"/>
    <w:rsid w:val="00561C5D"/>
    <w:rsid w:val="005628C4"/>
    <w:rsid w:val="00562DBB"/>
    <w:rsid w:val="00563357"/>
    <w:rsid w:val="00564C79"/>
    <w:rsid w:val="0056542E"/>
    <w:rsid w:val="00565554"/>
    <w:rsid w:val="00565656"/>
    <w:rsid w:val="00565BF9"/>
    <w:rsid w:val="00566585"/>
    <w:rsid w:val="00566A00"/>
    <w:rsid w:val="00566E3E"/>
    <w:rsid w:val="005670D4"/>
    <w:rsid w:val="005672C0"/>
    <w:rsid w:val="005674E9"/>
    <w:rsid w:val="00570760"/>
    <w:rsid w:val="005707F7"/>
    <w:rsid w:val="0057149E"/>
    <w:rsid w:val="0057155B"/>
    <w:rsid w:val="00571934"/>
    <w:rsid w:val="0057199B"/>
    <w:rsid w:val="0057316B"/>
    <w:rsid w:val="005731A7"/>
    <w:rsid w:val="00573539"/>
    <w:rsid w:val="00573709"/>
    <w:rsid w:val="00573802"/>
    <w:rsid w:val="00574081"/>
    <w:rsid w:val="00574426"/>
    <w:rsid w:val="0057468B"/>
    <w:rsid w:val="00575043"/>
    <w:rsid w:val="005750A4"/>
    <w:rsid w:val="005752B1"/>
    <w:rsid w:val="005753B0"/>
    <w:rsid w:val="00575566"/>
    <w:rsid w:val="00575839"/>
    <w:rsid w:val="00575E60"/>
    <w:rsid w:val="0057639D"/>
    <w:rsid w:val="005768D0"/>
    <w:rsid w:val="00576957"/>
    <w:rsid w:val="00576D3F"/>
    <w:rsid w:val="00577561"/>
    <w:rsid w:val="00577AEB"/>
    <w:rsid w:val="00577BF3"/>
    <w:rsid w:val="00577D28"/>
    <w:rsid w:val="00577DEA"/>
    <w:rsid w:val="00580E40"/>
    <w:rsid w:val="00581BFA"/>
    <w:rsid w:val="005826C8"/>
    <w:rsid w:val="00582DCC"/>
    <w:rsid w:val="005832D5"/>
    <w:rsid w:val="00583AB1"/>
    <w:rsid w:val="005845E7"/>
    <w:rsid w:val="0058463B"/>
    <w:rsid w:val="005847D5"/>
    <w:rsid w:val="00584ADD"/>
    <w:rsid w:val="00584EB0"/>
    <w:rsid w:val="0058554B"/>
    <w:rsid w:val="00585899"/>
    <w:rsid w:val="00585C83"/>
    <w:rsid w:val="005874C3"/>
    <w:rsid w:val="00587F6A"/>
    <w:rsid w:val="00591393"/>
    <w:rsid w:val="0059169F"/>
    <w:rsid w:val="005921B1"/>
    <w:rsid w:val="005926FE"/>
    <w:rsid w:val="005938C6"/>
    <w:rsid w:val="005944B1"/>
    <w:rsid w:val="00594AC9"/>
    <w:rsid w:val="00594BEB"/>
    <w:rsid w:val="00594CE1"/>
    <w:rsid w:val="0059511D"/>
    <w:rsid w:val="00595D3E"/>
    <w:rsid w:val="005961C1"/>
    <w:rsid w:val="005969A6"/>
    <w:rsid w:val="0059745F"/>
    <w:rsid w:val="005A0DEC"/>
    <w:rsid w:val="005A0EC3"/>
    <w:rsid w:val="005A19B9"/>
    <w:rsid w:val="005A219F"/>
    <w:rsid w:val="005A2232"/>
    <w:rsid w:val="005A2911"/>
    <w:rsid w:val="005A2AC4"/>
    <w:rsid w:val="005A3513"/>
    <w:rsid w:val="005A42A5"/>
    <w:rsid w:val="005A4CAD"/>
    <w:rsid w:val="005A62CE"/>
    <w:rsid w:val="005A6544"/>
    <w:rsid w:val="005A66B9"/>
    <w:rsid w:val="005A69AD"/>
    <w:rsid w:val="005A78B4"/>
    <w:rsid w:val="005A7B37"/>
    <w:rsid w:val="005B042F"/>
    <w:rsid w:val="005B0514"/>
    <w:rsid w:val="005B0CCC"/>
    <w:rsid w:val="005B2227"/>
    <w:rsid w:val="005B3FF5"/>
    <w:rsid w:val="005B4D36"/>
    <w:rsid w:val="005B583F"/>
    <w:rsid w:val="005B6124"/>
    <w:rsid w:val="005B62C6"/>
    <w:rsid w:val="005B6901"/>
    <w:rsid w:val="005B7893"/>
    <w:rsid w:val="005B792D"/>
    <w:rsid w:val="005B7DD3"/>
    <w:rsid w:val="005C03F8"/>
    <w:rsid w:val="005C04CD"/>
    <w:rsid w:val="005C1197"/>
    <w:rsid w:val="005C1EF7"/>
    <w:rsid w:val="005C2107"/>
    <w:rsid w:val="005C2BF8"/>
    <w:rsid w:val="005C31F5"/>
    <w:rsid w:val="005C3614"/>
    <w:rsid w:val="005C4D26"/>
    <w:rsid w:val="005C5A9D"/>
    <w:rsid w:val="005C5AF3"/>
    <w:rsid w:val="005C5D56"/>
    <w:rsid w:val="005C6222"/>
    <w:rsid w:val="005C6B12"/>
    <w:rsid w:val="005C6B29"/>
    <w:rsid w:val="005C6E11"/>
    <w:rsid w:val="005C6E82"/>
    <w:rsid w:val="005C6FBD"/>
    <w:rsid w:val="005C77B7"/>
    <w:rsid w:val="005C78E0"/>
    <w:rsid w:val="005C7D33"/>
    <w:rsid w:val="005D0600"/>
    <w:rsid w:val="005D09C3"/>
    <w:rsid w:val="005D165E"/>
    <w:rsid w:val="005D21F2"/>
    <w:rsid w:val="005D2836"/>
    <w:rsid w:val="005D2B9E"/>
    <w:rsid w:val="005D2F2F"/>
    <w:rsid w:val="005D3695"/>
    <w:rsid w:val="005D3B01"/>
    <w:rsid w:val="005D5303"/>
    <w:rsid w:val="005D58A4"/>
    <w:rsid w:val="005D5B88"/>
    <w:rsid w:val="005D620E"/>
    <w:rsid w:val="005D651C"/>
    <w:rsid w:val="005D6612"/>
    <w:rsid w:val="005D70C3"/>
    <w:rsid w:val="005D78F2"/>
    <w:rsid w:val="005D7F5A"/>
    <w:rsid w:val="005D7FD6"/>
    <w:rsid w:val="005E02A0"/>
    <w:rsid w:val="005E0721"/>
    <w:rsid w:val="005E16E5"/>
    <w:rsid w:val="005E17CF"/>
    <w:rsid w:val="005E1893"/>
    <w:rsid w:val="005E1AD2"/>
    <w:rsid w:val="005E29D0"/>
    <w:rsid w:val="005E3CBB"/>
    <w:rsid w:val="005E4036"/>
    <w:rsid w:val="005E4867"/>
    <w:rsid w:val="005E49EF"/>
    <w:rsid w:val="005E5333"/>
    <w:rsid w:val="005E5516"/>
    <w:rsid w:val="005E5871"/>
    <w:rsid w:val="005E653A"/>
    <w:rsid w:val="005E6D85"/>
    <w:rsid w:val="005E6DCA"/>
    <w:rsid w:val="005E7285"/>
    <w:rsid w:val="005E7686"/>
    <w:rsid w:val="005F0374"/>
    <w:rsid w:val="005F0661"/>
    <w:rsid w:val="005F0772"/>
    <w:rsid w:val="005F0B71"/>
    <w:rsid w:val="005F2424"/>
    <w:rsid w:val="005F2568"/>
    <w:rsid w:val="005F341D"/>
    <w:rsid w:val="005F3431"/>
    <w:rsid w:val="005F3590"/>
    <w:rsid w:val="005F3A40"/>
    <w:rsid w:val="005F3E2C"/>
    <w:rsid w:val="005F41F4"/>
    <w:rsid w:val="005F49EF"/>
    <w:rsid w:val="005F5D40"/>
    <w:rsid w:val="005F5E1A"/>
    <w:rsid w:val="005F5F58"/>
    <w:rsid w:val="005F6310"/>
    <w:rsid w:val="005F652B"/>
    <w:rsid w:val="005F699A"/>
    <w:rsid w:val="005F7FA4"/>
    <w:rsid w:val="00600764"/>
    <w:rsid w:val="0060086A"/>
    <w:rsid w:val="00600CEB"/>
    <w:rsid w:val="006010F9"/>
    <w:rsid w:val="006015FC"/>
    <w:rsid w:val="006018E0"/>
    <w:rsid w:val="00601C07"/>
    <w:rsid w:val="00602369"/>
    <w:rsid w:val="006023EB"/>
    <w:rsid w:val="00602653"/>
    <w:rsid w:val="00602B86"/>
    <w:rsid w:val="00603CE0"/>
    <w:rsid w:val="0060415F"/>
    <w:rsid w:val="006045F8"/>
    <w:rsid w:val="00604645"/>
    <w:rsid w:val="0060661E"/>
    <w:rsid w:val="00606CB9"/>
    <w:rsid w:val="006075B0"/>
    <w:rsid w:val="006076A6"/>
    <w:rsid w:val="00607982"/>
    <w:rsid w:val="00610217"/>
    <w:rsid w:val="00610749"/>
    <w:rsid w:val="00610A6C"/>
    <w:rsid w:val="00610EEC"/>
    <w:rsid w:val="00610FB4"/>
    <w:rsid w:val="00611A91"/>
    <w:rsid w:val="006120EC"/>
    <w:rsid w:val="006123A3"/>
    <w:rsid w:val="00612AF0"/>
    <w:rsid w:val="006136C7"/>
    <w:rsid w:val="00613B36"/>
    <w:rsid w:val="006147A4"/>
    <w:rsid w:val="00614A1A"/>
    <w:rsid w:val="00614AC1"/>
    <w:rsid w:val="00614B42"/>
    <w:rsid w:val="00614B60"/>
    <w:rsid w:val="00614F7C"/>
    <w:rsid w:val="00615073"/>
    <w:rsid w:val="0061575B"/>
    <w:rsid w:val="00616504"/>
    <w:rsid w:val="006168C2"/>
    <w:rsid w:val="00616A9F"/>
    <w:rsid w:val="00616BDC"/>
    <w:rsid w:val="006177AF"/>
    <w:rsid w:val="00617C86"/>
    <w:rsid w:val="00620767"/>
    <w:rsid w:val="00620E8A"/>
    <w:rsid w:val="00621401"/>
    <w:rsid w:val="00621926"/>
    <w:rsid w:val="00623150"/>
    <w:rsid w:val="00623D42"/>
    <w:rsid w:val="006240EC"/>
    <w:rsid w:val="00624942"/>
    <w:rsid w:val="00624AC6"/>
    <w:rsid w:val="00624F1B"/>
    <w:rsid w:val="0062552C"/>
    <w:rsid w:val="006255C9"/>
    <w:rsid w:val="006257F8"/>
    <w:rsid w:val="00626BB8"/>
    <w:rsid w:val="00626C50"/>
    <w:rsid w:val="00627C56"/>
    <w:rsid w:val="0063074A"/>
    <w:rsid w:val="00630F4B"/>
    <w:rsid w:val="00631150"/>
    <w:rsid w:val="006326A0"/>
    <w:rsid w:val="006328D0"/>
    <w:rsid w:val="00633197"/>
    <w:rsid w:val="0063375C"/>
    <w:rsid w:val="00633CCB"/>
    <w:rsid w:val="00635B7B"/>
    <w:rsid w:val="00636052"/>
    <w:rsid w:val="0063621F"/>
    <w:rsid w:val="00636D49"/>
    <w:rsid w:val="006370D6"/>
    <w:rsid w:val="006377DB"/>
    <w:rsid w:val="00640C60"/>
    <w:rsid w:val="00640ECD"/>
    <w:rsid w:val="00641205"/>
    <w:rsid w:val="00641879"/>
    <w:rsid w:val="0064205A"/>
    <w:rsid w:val="006427DC"/>
    <w:rsid w:val="00642F5F"/>
    <w:rsid w:val="00643313"/>
    <w:rsid w:val="00643478"/>
    <w:rsid w:val="006435B9"/>
    <w:rsid w:val="00643658"/>
    <w:rsid w:val="006437BC"/>
    <w:rsid w:val="00644403"/>
    <w:rsid w:val="00644FE8"/>
    <w:rsid w:val="006452E0"/>
    <w:rsid w:val="00645A0C"/>
    <w:rsid w:val="00645ED0"/>
    <w:rsid w:val="00646A33"/>
    <w:rsid w:val="00647003"/>
    <w:rsid w:val="00647071"/>
    <w:rsid w:val="006478ED"/>
    <w:rsid w:val="00650072"/>
    <w:rsid w:val="00650839"/>
    <w:rsid w:val="00653172"/>
    <w:rsid w:val="00654CE8"/>
    <w:rsid w:val="00655531"/>
    <w:rsid w:val="006557BE"/>
    <w:rsid w:val="00655983"/>
    <w:rsid w:val="00656CED"/>
    <w:rsid w:val="0065790C"/>
    <w:rsid w:val="00657C6F"/>
    <w:rsid w:val="00660175"/>
    <w:rsid w:val="0066059A"/>
    <w:rsid w:val="00660688"/>
    <w:rsid w:val="00660ACC"/>
    <w:rsid w:val="00660F65"/>
    <w:rsid w:val="00661387"/>
    <w:rsid w:val="0066198A"/>
    <w:rsid w:val="00661C8D"/>
    <w:rsid w:val="00661E0F"/>
    <w:rsid w:val="006621E3"/>
    <w:rsid w:val="00662229"/>
    <w:rsid w:val="00662E89"/>
    <w:rsid w:val="006636CF"/>
    <w:rsid w:val="00663D3C"/>
    <w:rsid w:val="006640A8"/>
    <w:rsid w:val="006641F7"/>
    <w:rsid w:val="0066590D"/>
    <w:rsid w:val="00665CB7"/>
    <w:rsid w:val="00665FFF"/>
    <w:rsid w:val="00666B82"/>
    <w:rsid w:val="00666D7D"/>
    <w:rsid w:val="006708BB"/>
    <w:rsid w:val="006709BB"/>
    <w:rsid w:val="006709EB"/>
    <w:rsid w:val="00670B97"/>
    <w:rsid w:val="00670C0E"/>
    <w:rsid w:val="00671A44"/>
    <w:rsid w:val="00672601"/>
    <w:rsid w:val="00673FD7"/>
    <w:rsid w:val="00674817"/>
    <w:rsid w:val="00674989"/>
    <w:rsid w:val="00674A3A"/>
    <w:rsid w:val="00674EA3"/>
    <w:rsid w:val="00676A7D"/>
    <w:rsid w:val="006774D6"/>
    <w:rsid w:val="00677FBA"/>
    <w:rsid w:val="00680411"/>
    <w:rsid w:val="00680902"/>
    <w:rsid w:val="006809C0"/>
    <w:rsid w:val="00681671"/>
    <w:rsid w:val="00681ECA"/>
    <w:rsid w:val="006820A0"/>
    <w:rsid w:val="0068237A"/>
    <w:rsid w:val="00682808"/>
    <w:rsid w:val="00682AF2"/>
    <w:rsid w:val="006839BB"/>
    <w:rsid w:val="00683FBB"/>
    <w:rsid w:val="0068521C"/>
    <w:rsid w:val="0068523C"/>
    <w:rsid w:val="006857A2"/>
    <w:rsid w:val="00685D90"/>
    <w:rsid w:val="00686498"/>
    <w:rsid w:val="00686751"/>
    <w:rsid w:val="00686F17"/>
    <w:rsid w:val="00687C5C"/>
    <w:rsid w:val="00687C7F"/>
    <w:rsid w:val="00687F43"/>
    <w:rsid w:val="006900A1"/>
    <w:rsid w:val="00690267"/>
    <w:rsid w:val="0069066A"/>
    <w:rsid w:val="00690755"/>
    <w:rsid w:val="00690986"/>
    <w:rsid w:val="0069098C"/>
    <w:rsid w:val="00690F8B"/>
    <w:rsid w:val="006914B0"/>
    <w:rsid w:val="006915E7"/>
    <w:rsid w:val="006918E2"/>
    <w:rsid w:val="006925EC"/>
    <w:rsid w:val="0069296C"/>
    <w:rsid w:val="00692BF6"/>
    <w:rsid w:val="00692D54"/>
    <w:rsid w:val="00692EDF"/>
    <w:rsid w:val="0069395F"/>
    <w:rsid w:val="00693C65"/>
    <w:rsid w:val="00693D47"/>
    <w:rsid w:val="00693ED5"/>
    <w:rsid w:val="00694717"/>
    <w:rsid w:val="0069490F"/>
    <w:rsid w:val="00694A35"/>
    <w:rsid w:val="00694D5F"/>
    <w:rsid w:val="0069509A"/>
    <w:rsid w:val="006950A6"/>
    <w:rsid w:val="006950C8"/>
    <w:rsid w:val="006959B5"/>
    <w:rsid w:val="00695F03"/>
    <w:rsid w:val="006967B6"/>
    <w:rsid w:val="00696BFC"/>
    <w:rsid w:val="00696FC5"/>
    <w:rsid w:val="006973D6"/>
    <w:rsid w:val="006A0034"/>
    <w:rsid w:val="006A0719"/>
    <w:rsid w:val="006A0913"/>
    <w:rsid w:val="006A0BE6"/>
    <w:rsid w:val="006A0F2F"/>
    <w:rsid w:val="006A12F4"/>
    <w:rsid w:val="006A151A"/>
    <w:rsid w:val="006A1950"/>
    <w:rsid w:val="006A2058"/>
    <w:rsid w:val="006A2438"/>
    <w:rsid w:val="006A24B8"/>
    <w:rsid w:val="006A29C1"/>
    <w:rsid w:val="006A3222"/>
    <w:rsid w:val="006A33FB"/>
    <w:rsid w:val="006A4432"/>
    <w:rsid w:val="006A4DE2"/>
    <w:rsid w:val="006A58A9"/>
    <w:rsid w:val="006A5A0A"/>
    <w:rsid w:val="006A5CDA"/>
    <w:rsid w:val="006A612E"/>
    <w:rsid w:val="006A644D"/>
    <w:rsid w:val="006A7766"/>
    <w:rsid w:val="006A7A21"/>
    <w:rsid w:val="006A7B1A"/>
    <w:rsid w:val="006A7FAD"/>
    <w:rsid w:val="006B032F"/>
    <w:rsid w:val="006B0463"/>
    <w:rsid w:val="006B0E6B"/>
    <w:rsid w:val="006B21BA"/>
    <w:rsid w:val="006B24B7"/>
    <w:rsid w:val="006B28BB"/>
    <w:rsid w:val="006B2BAC"/>
    <w:rsid w:val="006B2CDB"/>
    <w:rsid w:val="006B3EC9"/>
    <w:rsid w:val="006B50CE"/>
    <w:rsid w:val="006B532E"/>
    <w:rsid w:val="006B5FE4"/>
    <w:rsid w:val="006B64E7"/>
    <w:rsid w:val="006B6622"/>
    <w:rsid w:val="006B6A91"/>
    <w:rsid w:val="006B6DE1"/>
    <w:rsid w:val="006B7084"/>
    <w:rsid w:val="006C11FA"/>
    <w:rsid w:val="006C1B46"/>
    <w:rsid w:val="006C205A"/>
    <w:rsid w:val="006C301A"/>
    <w:rsid w:val="006C31AB"/>
    <w:rsid w:val="006C4684"/>
    <w:rsid w:val="006C4C67"/>
    <w:rsid w:val="006C4D69"/>
    <w:rsid w:val="006C6C08"/>
    <w:rsid w:val="006C6D21"/>
    <w:rsid w:val="006C7141"/>
    <w:rsid w:val="006C7CD6"/>
    <w:rsid w:val="006C7E7B"/>
    <w:rsid w:val="006D0C9D"/>
    <w:rsid w:val="006D0D0A"/>
    <w:rsid w:val="006D0D11"/>
    <w:rsid w:val="006D11B9"/>
    <w:rsid w:val="006D149A"/>
    <w:rsid w:val="006D203D"/>
    <w:rsid w:val="006D2D17"/>
    <w:rsid w:val="006D320E"/>
    <w:rsid w:val="006D3321"/>
    <w:rsid w:val="006D3A84"/>
    <w:rsid w:val="006D3D05"/>
    <w:rsid w:val="006D3EF9"/>
    <w:rsid w:val="006D46BA"/>
    <w:rsid w:val="006D4C97"/>
    <w:rsid w:val="006D4CDC"/>
    <w:rsid w:val="006D5667"/>
    <w:rsid w:val="006D56BE"/>
    <w:rsid w:val="006D57C5"/>
    <w:rsid w:val="006D5C4F"/>
    <w:rsid w:val="006D5E72"/>
    <w:rsid w:val="006D633A"/>
    <w:rsid w:val="006D7221"/>
    <w:rsid w:val="006D77F5"/>
    <w:rsid w:val="006D7853"/>
    <w:rsid w:val="006D7F71"/>
    <w:rsid w:val="006E007B"/>
    <w:rsid w:val="006E0160"/>
    <w:rsid w:val="006E047A"/>
    <w:rsid w:val="006E0F7A"/>
    <w:rsid w:val="006E16CC"/>
    <w:rsid w:val="006E18B9"/>
    <w:rsid w:val="006E1B5E"/>
    <w:rsid w:val="006E22DC"/>
    <w:rsid w:val="006E23C9"/>
    <w:rsid w:val="006E2FFF"/>
    <w:rsid w:val="006E3356"/>
    <w:rsid w:val="006E3D45"/>
    <w:rsid w:val="006E4672"/>
    <w:rsid w:val="006E4754"/>
    <w:rsid w:val="006E479E"/>
    <w:rsid w:val="006E59FB"/>
    <w:rsid w:val="006E6956"/>
    <w:rsid w:val="006E6D3F"/>
    <w:rsid w:val="006E7A90"/>
    <w:rsid w:val="006E7E4B"/>
    <w:rsid w:val="006E7FCE"/>
    <w:rsid w:val="006F0637"/>
    <w:rsid w:val="006F11F2"/>
    <w:rsid w:val="006F13C6"/>
    <w:rsid w:val="006F1542"/>
    <w:rsid w:val="006F1594"/>
    <w:rsid w:val="006F1A57"/>
    <w:rsid w:val="006F1AE6"/>
    <w:rsid w:val="006F23DB"/>
    <w:rsid w:val="006F2E10"/>
    <w:rsid w:val="006F3344"/>
    <w:rsid w:val="006F3DD5"/>
    <w:rsid w:val="006F40CE"/>
    <w:rsid w:val="006F42D5"/>
    <w:rsid w:val="006F58D9"/>
    <w:rsid w:val="006F603D"/>
    <w:rsid w:val="006F64D6"/>
    <w:rsid w:val="006F662B"/>
    <w:rsid w:val="006F6E7F"/>
    <w:rsid w:val="006F72B9"/>
    <w:rsid w:val="00701039"/>
    <w:rsid w:val="0070202D"/>
    <w:rsid w:val="0070233D"/>
    <w:rsid w:val="0070368D"/>
    <w:rsid w:val="00703E34"/>
    <w:rsid w:val="00704159"/>
    <w:rsid w:val="00704316"/>
    <w:rsid w:val="0070451D"/>
    <w:rsid w:val="00705D1D"/>
    <w:rsid w:val="00706CBE"/>
    <w:rsid w:val="00707C81"/>
    <w:rsid w:val="00707CB5"/>
    <w:rsid w:val="00710A9D"/>
    <w:rsid w:val="00710AB6"/>
    <w:rsid w:val="00710D7D"/>
    <w:rsid w:val="007110A7"/>
    <w:rsid w:val="007113F8"/>
    <w:rsid w:val="0071152B"/>
    <w:rsid w:val="0071166B"/>
    <w:rsid w:val="0071188F"/>
    <w:rsid w:val="0071189F"/>
    <w:rsid w:val="00711AB0"/>
    <w:rsid w:val="00711AE4"/>
    <w:rsid w:val="00711CF1"/>
    <w:rsid w:val="00712616"/>
    <w:rsid w:val="007128B9"/>
    <w:rsid w:val="00712A4C"/>
    <w:rsid w:val="00712AEE"/>
    <w:rsid w:val="00712B0F"/>
    <w:rsid w:val="007131C6"/>
    <w:rsid w:val="007138C4"/>
    <w:rsid w:val="00713AB3"/>
    <w:rsid w:val="00713DC4"/>
    <w:rsid w:val="00714128"/>
    <w:rsid w:val="00714F90"/>
    <w:rsid w:val="00715243"/>
    <w:rsid w:val="00716026"/>
    <w:rsid w:val="00716C2D"/>
    <w:rsid w:val="007173AF"/>
    <w:rsid w:val="0071758A"/>
    <w:rsid w:val="007179F8"/>
    <w:rsid w:val="00717E74"/>
    <w:rsid w:val="007203DF"/>
    <w:rsid w:val="00720B70"/>
    <w:rsid w:val="00720CB1"/>
    <w:rsid w:val="00721819"/>
    <w:rsid w:val="007224F4"/>
    <w:rsid w:val="00722F1A"/>
    <w:rsid w:val="00722F8F"/>
    <w:rsid w:val="0072365D"/>
    <w:rsid w:val="007238C2"/>
    <w:rsid w:val="00723DB0"/>
    <w:rsid w:val="00724327"/>
    <w:rsid w:val="0072435A"/>
    <w:rsid w:val="00725A4A"/>
    <w:rsid w:val="00726267"/>
    <w:rsid w:val="0072640C"/>
    <w:rsid w:val="0072763F"/>
    <w:rsid w:val="007278A5"/>
    <w:rsid w:val="0073082D"/>
    <w:rsid w:val="00730A0B"/>
    <w:rsid w:val="00730E7D"/>
    <w:rsid w:val="007310BD"/>
    <w:rsid w:val="00731564"/>
    <w:rsid w:val="007317F1"/>
    <w:rsid w:val="00732993"/>
    <w:rsid w:val="007347AB"/>
    <w:rsid w:val="00734A54"/>
    <w:rsid w:val="00734BF2"/>
    <w:rsid w:val="00734DAC"/>
    <w:rsid w:val="00734F06"/>
    <w:rsid w:val="0073502C"/>
    <w:rsid w:val="007351B6"/>
    <w:rsid w:val="007363FB"/>
    <w:rsid w:val="0073673F"/>
    <w:rsid w:val="00736904"/>
    <w:rsid w:val="00737237"/>
    <w:rsid w:val="00737F5D"/>
    <w:rsid w:val="007400D9"/>
    <w:rsid w:val="0074086F"/>
    <w:rsid w:val="00741199"/>
    <w:rsid w:val="007416F1"/>
    <w:rsid w:val="0074174D"/>
    <w:rsid w:val="00741DCA"/>
    <w:rsid w:val="00741E68"/>
    <w:rsid w:val="00742006"/>
    <w:rsid w:val="00742076"/>
    <w:rsid w:val="00742081"/>
    <w:rsid w:val="007427C2"/>
    <w:rsid w:val="00742E48"/>
    <w:rsid w:val="00743190"/>
    <w:rsid w:val="007432BD"/>
    <w:rsid w:val="007435FA"/>
    <w:rsid w:val="007439E4"/>
    <w:rsid w:val="00743AA9"/>
    <w:rsid w:val="00743CDF"/>
    <w:rsid w:val="00745721"/>
    <w:rsid w:val="00745905"/>
    <w:rsid w:val="00745928"/>
    <w:rsid w:val="00745AEE"/>
    <w:rsid w:val="00745B19"/>
    <w:rsid w:val="00747287"/>
    <w:rsid w:val="00747C18"/>
    <w:rsid w:val="0075047C"/>
    <w:rsid w:val="00750519"/>
    <w:rsid w:val="00750678"/>
    <w:rsid w:val="00751DBF"/>
    <w:rsid w:val="007523C1"/>
    <w:rsid w:val="00752831"/>
    <w:rsid w:val="00753165"/>
    <w:rsid w:val="00753DE7"/>
    <w:rsid w:val="007552EC"/>
    <w:rsid w:val="00755B49"/>
    <w:rsid w:val="00755D8A"/>
    <w:rsid w:val="007564B2"/>
    <w:rsid w:val="00756993"/>
    <w:rsid w:val="00756F1C"/>
    <w:rsid w:val="0075727E"/>
    <w:rsid w:val="00757762"/>
    <w:rsid w:val="0075791B"/>
    <w:rsid w:val="00757952"/>
    <w:rsid w:val="00757FC4"/>
    <w:rsid w:val="00760598"/>
    <w:rsid w:val="00760967"/>
    <w:rsid w:val="00761158"/>
    <w:rsid w:val="00761659"/>
    <w:rsid w:val="007620CB"/>
    <w:rsid w:val="007621FE"/>
    <w:rsid w:val="007622E7"/>
    <w:rsid w:val="00762E2D"/>
    <w:rsid w:val="00763132"/>
    <w:rsid w:val="007632FE"/>
    <w:rsid w:val="00763B65"/>
    <w:rsid w:val="00763CC7"/>
    <w:rsid w:val="007646E5"/>
    <w:rsid w:val="00764E35"/>
    <w:rsid w:val="00766342"/>
    <w:rsid w:val="00767388"/>
    <w:rsid w:val="00767411"/>
    <w:rsid w:val="007703F7"/>
    <w:rsid w:val="007705A6"/>
    <w:rsid w:val="0077118D"/>
    <w:rsid w:val="00771314"/>
    <w:rsid w:val="007715BD"/>
    <w:rsid w:val="00771760"/>
    <w:rsid w:val="007717FA"/>
    <w:rsid w:val="00773376"/>
    <w:rsid w:val="00773A93"/>
    <w:rsid w:val="0077404E"/>
    <w:rsid w:val="007740EC"/>
    <w:rsid w:val="007741AC"/>
    <w:rsid w:val="00774485"/>
    <w:rsid w:val="00774679"/>
    <w:rsid w:val="00774699"/>
    <w:rsid w:val="007748D6"/>
    <w:rsid w:val="00774ED0"/>
    <w:rsid w:val="00775191"/>
    <w:rsid w:val="007756C1"/>
    <w:rsid w:val="00775E0E"/>
    <w:rsid w:val="00775F99"/>
    <w:rsid w:val="0078082F"/>
    <w:rsid w:val="0078143C"/>
    <w:rsid w:val="007817DC"/>
    <w:rsid w:val="007819DA"/>
    <w:rsid w:val="00781CA3"/>
    <w:rsid w:val="00782B06"/>
    <w:rsid w:val="00782F26"/>
    <w:rsid w:val="00783274"/>
    <w:rsid w:val="00783804"/>
    <w:rsid w:val="00784128"/>
    <w:rsid w:val="00784717"/>
    <w:rsid w:val="007853DC"/>
    <w:rsid w:val="007866C8"/>
    <w:rsid w:val="0078676E"/>
    <w:rsid w:val="007904DC"/>
    <w:rsid w:val="00790DE7"/>
    <w:rsid w:val="007910D9"/>
    <w:rsid w:val="0079186B"/>
    <w:rsid w:val="00791E97"/>
    <w:rsid w:val="00792212"/>
    <w:rsid w:val="007924F2"/>
    <w:rsid w:val="007929BD"/>
    <w:rsid w:val="007932D5"/>
    <w:rsid w:val="00793EB1"/>
    <w:rsid w:val="007947DF"/>
    <w:rsid w:val="00794DBB"/>
    <w:rsid w:val="00794E18"/>
    <w:rsid w:val="00795BAC"/>
    <w:rsid w:val="00797067"/>
    <w:rsid w:val="0079741B"/>
    <w:rsid w:val="00797BF6"/>
    <w:rsid w:val="007A02E3"/>
    <w:rsid w:val="007A0B7D"/>
    <w:rsid w:val="007A0C1B"/>
    <w:rsid w:val="007A10A8"/>
    <w:rsid w:val="007A1A56"/>
    <w:rsid w:val="007A2034"/>
    <w:rsid w:val="007A241C"/>
    <w:rsid w:val="007A36E1"/>
    <w:rsid w:val="007A41D8"/>
    <w:rsid w:val="007A4DCD"/>
    <w:rsid w:val="007A53FE"/>
    <w:rsid w:val="007A5B22"/>
    <w:rsid w:val="007A5BF8"/>
    <w:rsid w:val="007A658C"/>
    <w:rsid w:val="007A79AD"/>
    <w:rsid w:val="007A7CCF"/>
    <w:rsid w:val="007A7DE2"/>
    <w:rsid w:val="007B1040"/>
    <w:rsid w:val="007B1CB2"/>
    <w:rsid w:val="007B1E1E"/>
    <w:rsid w:val="007B20E0"/>
    <w:rsid w:val="007B2280"/>
    <w:rsid w:val="007B28E7"/>
    <w:rsid w:val="007B2E24"/>
    <w:rsid w:val="007B30FD"/>
    <w:rsid w:val="007B362B"/>
    <w:rsid w:val="007B36BF"/>
    <w:rsid w:val="007B4708"/>
    <w:rsid w:val="007B5670"/>
    <w:rsid w:val="007B582A"/>
    <w:rsid w:val="007B5D37"/>
    <w:rsid w:val="007B5E86"/>
    <w:rsid w:val="007B5ED4"/>
    <w:rsid w:val="007B5F68"/>
    <w:rsid w:val="007B616B"/>
    <w:rsid w:val="007B69EB"/>
    <w:rsid w:val="007B74B6"/>
    <w:rsid w:val="007B76DB"/>
    <w:rsid w:val="007B7DF3"/>
    <w:rsid w:val="007B7FAC"/>
    <w:rsid w:val="007C0C69"/>
    <w:rsid w:val="007C101C"/>
    <w:rsid w:val="007C1319"/>
    <w:rsid w:val="007C152B"/>
    <w:rsid w:val="007C1B10"/>
    <w:rsid w:val="007C21FC"/>
    <w:rsid w:val="007C2967"/>
    <w:rsid w:val="007C37E3"/>
    <w:rsid w:val="007C38CF"/>
    <w:rsid w:val="007C3937"/>
    <w:rsid w:val="007C3985"/>
    <w:rsid w:val="007C3A84"/>
    <w:rsid w:val="007C3C66"/>
    <w:rsid w:val="007C3F3A"/>
    <w:rsid w:val="007C4129"/>
    <w:rsid w:val="007C4AD7"/>
    <w:rsid w:val="007C4B38"/>
    <w:rsid w:val="007C4D1B"/>
    <w:rsid w:val="007C50DB"/>
    <w:rsid w:val="007C6AA5"/>
    <w:rsid w:val="007C707A"/>
    <w:rsid w:val="007C756D"/>
    <w:rsid w:val="007C779D"/>
    <w:rsid w:val="007D0C15"/>
    <w:rsid w:val="007D0C33"/>
    <w:rsid w:val="007D0D36"/>
    <w:rsid w:val="007D0DA6"/>
    <w:rsid w:val="007D0E33"/>
    <w:rsid w:val="007D1B9E"/>
    <w:rsid w:val="007D20FF"/>
    <w:rsid w:val="007D39DD"/>
    <w:rsid w:val="007D4D18"/>
    <w:rsid w:val="007D659F"/>
    <w:rsid w:val="007E1132"/>
    <w:rsid w:val="007E2381"/>
    <w:rsid w:val="007E2638"/>
    <w:rsid w:val="007E2E5D"/>
    <w:rsid w:val="007E2F09"/>
    <w:rsid w:val="007E2F82"/>
    <w:rsid w:val="007E37C1"/>
    <w:rsid w:val="007E4D68"/>
    <w:rsid w:val="007E589E"/>
    <w:rsid w:val="007E6004"/>
    <w:rsid w:val="007E695D"/>
    <w:rsid w:val="007E69F1"/>
    <w:rsid w:val="007E7143"/>
    <w:rsid w:val="007E77AC"/>
    <w:rsid w:val="007E77CB"/>
    <w:rsid w:val="007E7F46"/>
    <w:rsid w:val="007F0A2A"/>
    <w:rsid w:val="007F0C57"/>
    <w:rsid w:val="007F0ED2"/>
    <w:rsid w:val="007F106D"/>
    <w:rsid w:val="007F10A1"/>
    <w:rsid w:val="007F114C"/>
    <w:rsid w:val="007F1302"/>
    <w:rsid w:val="007F287D"/>
    <w:rsid w:val="007F2E19"/>
    <w:rsid w:val="007F2FC8"/>
    <w:rsid w:val="007F30B4"/>
    <w:rsid w:val="007F32C6"/>
    <w:rsid w:val="007F3477"/>
    <w:rsid w:val="007F34C9"/>
    <w:rsid w:val="007F351F"/>
    <w:rsid w:val="007F3790"/>
    <w:rsid w:val="007F4596"/>
    <w:rsid w:val="007F4C78"/>
    <w:rsid w:val="007F4FCE"/>
    <w:rsid w:val="007F557D"/>
    <w:rsid w:val="007F55C4"/>
    <w:rsid w:val="007F5DD8"/>
    <w:rsid w:val="007F5DE2"/>
    <w:rsid w:val="007F63B8"/>
    <w:rsid w:val="007F6A9A"/>
    <w:rsid w:val="007F6AF8"/>
    <w:rsid w:val="007F6EB4"/>
    <w:rsid w:val="007F711D"/>
    <w:rsid w:val="007F727A"/>
    <w:rsid w:val="007F78CD"/>
    <w:rsid w:val="007F7A52"/>
    <w:rsid w:val="007F7A7B"/>
    <w:rsid w:val="007F7D34"/>
    <w:rsid w:val="00800808"/>
    <w:rsid w:val="00800B22"/>
    <w:rsid w:val="00800B4B"/>
    <w:rsid w:val="00800E96"/>
    <w:rsid w:val="00801368"/>
    <w:rsid w:val="00801374"/>
    <w:rsid w:val="0080153F"/>
    <w:rsid w:val="0080264A"/>
    <w:rsid w:val="00802E5A"/>
    <w:rsid w:val="008035D1"/>
    <w:rsid w:val="008036F0"/>
    <w:rsid w:val="0080540C"/>
    <w:rsid w:val="0080569E"/>
    <w:rsid w:val="00805B38"/>
    <w:rsid w:val="00806136"/>
    <w:rsid w:val="00807022"/>
    <w:rsid w:val="00807A5A"/>
    <w:rsid w:val="0081002C"/>
    <w:rsid w:val="00810758"/>
    <w:rsid w:val="008107A6"/>
    <w:rsid w:val="00810C48"/>
    <w:rsid w:val="00811D82"/>
    <w:rsid w:val="00812F87"/>
    <w:rsid w:val="008131BC"/>
    <w:rsid w:val="008139F6"/>
    <w:rsid w:val="00813D51"/>
    <w:rsid w:val="00813E7E"/>
    <w:rsid w:val="008144EF"/>
    <w:rsid w:val="00814F4D"/>
    <w:rsid w:val="0081607E"/>
    <w:rsid w:val="0081631B"/>
    <w:rsid w:val="008166F3"/>
    <w:rsid w:val="008178EC"/>
    <w:rsid w:val="0082011B"/>
    <w:rsid w:val="00820E5C"/>
    <w:rsid w:val="008218EF"/>
    <w:rsid w:val="00821E77"/>
    <w:rsid w:val="0082234F"/>
    <w:rsid w:val="00822EBF"/>
    <w:rsid w:val="00822F9C"/>
    <w:rsid w:val="008232D8"/>
    <w:rsid w:val="00823C31"/>
    <w:rsid w:val="00823CD0"/>
    <w:rsid w:val="008241EB"/>
    <w:rsid w:val="0082434B"/>
    <w:rsid w:val="008245F6"/>
    <w:rsid w:val="008247EE"/>
    <w:rsid w:val="00824C42"/>
    <w:rsid w:val="00824F68"/>
    <w:rsid w:val="008256C0"/>
    <w:rsid w:val="008257F2"/>
    <w:rsid w:val="00825B98"/>
    <w:rsid w:val="00825CB5"/>
    <w:rsid w:val="00826605"/>
    <w:rsid w:val="00826633"/>
    <w:rsid w:val="008269B4"/>
    <w:rsid w:val="00826E65"/>
    <w:rsid w:val="00826E96"/>
    <w:rsid w:val="00826EBC"/>
    <w:rsid w:val="008273D0"/>
    <w:rsid w:val="00827450"/>
    <w:rsid w:val="0082765D"/>
    <w:rsid w:val="00830A74"/>
    <w:rsid w:val="00831152"/>
    <w:rsid w:val="0083137E"/>
    <w:rsid w:val="00831A4D"/>
    <w:rsid w:val="00832094"/>
    <w:rsid w:val="00832C13"/>
    <w:rsid w:val="008342D4"/>
    <w:rsid w:val="00835D65"/>
    <w:rsid w:val="00836874"/>
    <w:rsid w:val="00836DE1"/>
    <w:rsid w:val="00837523"/>
    <w:rsid w:val="008418E2"/>
    <w:rsid w:val="00841DC4"/>
    <w:rsid w:val="00842357"/>
    <w:rsid w:val="00842C50"/>
    <w:rsid w:val="008440F8"/>
    <w:rsid w:val="00844183"/>
    <w:rsid w:val="008446A8"/>
    <w:rsid w:val="00844703"/>
    <w:rsid w:val="00844F63"/>
    <w:rsid w:val="00845C00"/>
    <w:rsid w:val="008461EB"/>
    <w:rsid w:val="00846FB4"/>
    <w:rsid w:val="008476B7"/>
    <w:rsid w:val="00850D43"/>
    <w:rsid w:val="0085114F"/>
    <w:rsid w:val="00851983"/>
    <w:rsid w:val="00851ECF"/>
    <w:rsid w:val="00852A92"/>
    <w:rsid w:val="008530A2"/>
    <w:rsid w:val="008531DE"/>
    <w:rsid w:val="008536CB"/>
    <w:rsid w:val="008539C1"/>
    <w:rsid w:val="00853A13"/>
    <w:rsid w:val="008542A0"/>
    <w:rsid w:val="00854767"/>
    <w:rsid w:val="00854B72"/>
    <w:rsid w:val="008556E3"/>
    <w:rsid w:val="00855752"/>
    <w:rsid w:val="00855C66"/>
    <w:rsid w:val="00855FD1"/>
    <w:rsid w:val="00856649"/>
    <w:rsid w:val="008575F6"/>
    <w:rsid w:val="00857C51"/>
    <w:rsid w:val="0086010A"/>
    <w:rsid w:val="00860390"/>
    <w:rsid w:val="0086077D"/>
    <w:rsid w:val="0086087C"/>
    <w:rsid w:val="00861B48"/>
    <w:rsid w:val="0086200C"/>
    <w:rsid w:val="00862D8A"/>
    <w:rsid w:val="00862F3F"/>
    <w:rsid w:val="00863380"/>
    <w:rsid w:val="00864620"/>
    <w:rsid w:val="00864A52"/>
    <w:rsid w:val="0086543E"/>
    <w:rsid w:val="00865D79"/>
    <w:rsid w:val="0086653A"/>
    <w:rsid w:val="00866593"/>
    <w:rsid w:val="008665AF"/>
    <w:rsid w:val="008666A8"/>
    <w:rsid w:val="00867610"/>
    <w:rsid w:val="008678D8"/>
    <w:rsid w:val="008707F8"/>
    <w:rsid w:val="00870DD0"/>
    <w:rsid w:val="00871560"/>
    <w:rsid w:val="00871582"/>
    <w:rsid w:val="00871AFB"/>
    <w:rsid w:val="00871FE2"/>
    <w:rsid w:val="008723A5"/>
    <w:rsid w:val="008728AD"/>
    <w:rsid w:val="008728E0"/>
    <w:rsid w:val="0087335D"/>
    <w:rsid w:val="00873834"/>
    <w:rsid w:val="00873BF3"/>
    <w:rsid w:val="00873F4E"/>
    <w:rsid w:val="00873FB4"/>
    <w:rsid w:val="008746DC"/>
    <w:rsid w:val="0087474E"/>
    <w:rsid w:val="00874D79"/>
    <w:rsid w:val="0087509D"/>
    <w:rsid w:val="00875E22"/>
    <w:rsid w:val="00876552"/>
    <w:rsid w:val="00876802"/>
    <w:rsid w:val="00876D30"/>
    <w:rsid w:val="00876D7D"/>
    <w:rsid w:val="0087738C"/>
    <w:rsid w:val="0087758F"/>
    <w:rsid w:val="008807C5"/>
    <w:rsid w:val="00880FAA"/>
    <w:rsid w:val="00881946"/>
    <w:rsid w:val="00882151"/>
    <w:rsid w:val="008822E3"/>
    <w:rsid w:val="0088232B"/>
    <w:rsid w:val="008829A9"/>
    <w:rsid w:val="008837F9"/>
    <w:rsid w:val="0088488A"/>
    <w:rsid w:val="00884D64"/>
    <w:rsid w:val="00884E6F"/>
    <w:rsid w:val="00885180"/>
    <w:rsid w:val="00885861"/>
    <w:rsid w:val="00885E5A"/>
    <w:rsid w:val="00886433"/>
    <w:rsid w:val="00886492"/>
    <w:rsid w:val="0088677F"/>
    <w:rsid w:val="00886F6C"/>
    <w:rsid w:val="00887694"/>
    <w:rsid w:val="00890284"/>
    <w:rsid w:val="00890909"/>
    <w:rsid w:val="00891083"/>
    <w:rsid w:val="00891B7F"/>
    <w:rsid w:val="0089214F"/>
    <w:rsid w:val="00892316"/>
    <w:rsid w:val="008923DE"/>
    <w:rsid w:val="00892531"/>
    <w:rsid w:val="008926E6"/>
    <w:rsid w:val="0089284D"/>
    <w:rsid w:val="00893436"/>
    <w:rsid w:val="00894392"/>
    <w:rsid w:val="008958F3"/>
    <w:rsid w:val="008961D0"/>
    <w:rsid w:val="00896E6C"/>
    <w:rsid w:val="008975CA"/>
    <w:rsid w:val="00897AAD"/>
    <w:rsid w:val="00897B04"/>
    <w:rsid w:val="00897DAC"/>
    <w:rsid w:val="00897F12"/>
    <w:rsid w:val="008A044D"/>
    <w:rsid w:val="008A0AFB"/>
    <w:rsid w:val="008A0EFD"/>
    <w:rsid w:val="008A1510"/>
    <w:rsid w:val="008A186A"/>
    <w:rsid w:val="008A19C1"/>
    <w:rsid w:val="008A26FC"/>
    <w:rsid w:val="008A2706"/>
    <w:rsid w:val="008A3659"/>
    <w:rsid w:val="008A3707"/>
    <w:rsid w:val="008A38B8"/>
    <w:rsid w:val="008A38C7"/>
    <w:rsid w:val="008A3E8E"/>
    <w:rsid w:val="008A438A"/>
    <w:rsid w:val="008A4AD0"/>
    <w:rsid w:val="008A4BBF"/>
    <w:rsid w:val="008A5B9D"/>
    <w:rsid w:val="008A6139"/>
    <w:rsid w:val="008A65BD"/>
    <w:rsid w:val="008A65BE"/>
    <w:rsid w:val="008A74AA"/>
    <w:rsid w:val="008A7ABD"/>
    <w:rsid w:val="008B07B0"/>
    <w:rsid w:val="008B07C5"/>
    <w:rsid w:val="008B07F2"/>
    <w:rsid w:val="008B0A66"/>
    <w:rsid w:val="008B106C"/>
    <w:rsid w:val="008B15B5"/>
    <w:rsid w:val="008B19A0"/>
    <w:rsid w:val="008B1A3C"/>
    <w:rsid w:val="008B1D55"/>
    <w:rsid w:val="008B3416"/>
    <w:rsid w:val="008B37DE"/>
    <w:rsid w:val="008B3EE0"/>
    <w:rsid w:val="008B3F00"/>
    <w:rsid w:val="008B3FD8"/>
    <w:rsid w:val="008B4569"/>
    <w:rsid w:val="008B4791"/>
    <w:rsid w:val="008B482C"/>
    <w:rsid w:val="008B4D80"/>
    <w:rsid w:val="008B57D5"/>
    <w:rsid w:val="008B6723"/>
    <w:rsid w:val="008B6CF0"/>
    <w:rsid w:val="008B772C"/>
    <w:rsid w:val="008B7B63"/>
    <w:rsid w:val="008B7FA5"/>
    <w:rsid w:val="008C0A16"/>
    <w:rsid w:val="008C12B6"/>
    <w:rsid w:val="008C1350"/>
    <w:rsid w:val="008C1817"/>
    <w:rsid w:val="008C1A56"/>
    <w:rsid w:val="008C2113"/>
    <w:rsid w:val="008C352C"/>
    <w:rsid w:val="008C4236"/>
    <w:rsid w:val="008C43BA"/>
    <w:rsid w:val="008C4CDD"/>
    <w:rsid w:val="008C4F1B"/>
    <w:rsid w:val="008C5F20"/>
    <w:rsid w:val="008C6062"/>
    <w:rsid w:val="008C6174"/>
    <w:rsid w:val="008C643E"/>
    <w:rsid w:val="008C650C"/>
    <w:rsid w:val="008C6E40"/>
    <w:rsid w:val="008C7049"/>
    <w:rsid w:val="008D0033"/>
    <w:rsid w:val="008D07FC"/>
    <w:rsid w:val="008D0A5B"/>
    <w:rsid w:val="008D21EC"/>
    <w:rsid w:val="008D26C1"/>
    <w:rsid w:val="008D2745"/>
    <w:rsid w:val="008D2BB7"/>
    <w:rsid w:val="008D40E4"/>
    <w:rsid w:val="008D41D4"/>
    <w:rsid w:val="008D4464"/>
    <w:rsid w:val="008D480C"/>
    <w:rsid w:val="008D4831"/>
    <w:rsid w:val="008D4AC5"/>
    <w:rsid w:val="008D5ABE"/>
    <w:rsid w:val="008D5F77"/>
    <w:rsid w:val="008D6291"/>
    <w:rsid w:val="008D689D"/>
    <w:rsid w:val="008D6CC0"/>
    <w:rsid w:val="008D6FD1"/>
    <w:rsid w:val="008D72EA"/>
    <w:rsid w:val="008D78B7"/>
    <w:rsid w:val="008D7A73"/>
    <w:rsid w:val="008D7B9C"/>
    <w:rsid w:val="008D7DDA"/>
    <w:rsid w:val="008E0320"/>
    <w:rsid w:val="008E07B6"/>
    <w:rsid w:val="008E0A90"/>
    <w:rsid w:val="008E0E91"/>
    <w:rsid w:val="008E0F50"/>
    <w:rsid w:val="008E10CC"/>
    <w:rsid w:val="008E1134"/>
    <w:rsid w:val="008E2415"/>
    <w:rsid w:val="008E3267"/>
    <w:rsid w:val="008E36AC"/>
    <w:rsid w:val="008E377C"/>
    <w:rsid w:val="008E378F"/>
    <w:rsid w:val="008E3795"/>
    <w:rsid w:val="008E38FC"/>
    <w:rsid w:val="008E39DD"/>
    <w:rsid w:val="008E3D52"/>
    <w:rsid w:val="008E3E74"/>
    <w:rsid w:val="008E4041"/>
    <w:rsid w:val="008E5BE3"/>
    <w:rsid w:val="008E64C6"/>
    <w:rsid w:val="008E6934"/>
    <w:rsid w:val="008E76AC"/>
    <w:rsid w:val="008E7AD8"/>
    <w:rsid w:val="008F08A4"/>
    <w:rsid w:val="008F0ED0"/>
    <w:rsid w:val="008F2C52"/>
    <w:rsid w:val="008F2D92"/>
    <w:rsid w:val="008F2F78"/>
    <w:rsid w:val="008F33E3"/>
    <w:rsid w:val="008F34BE"/>
    <w:rsid w:val="008F3AC2"/>
    <w:rsid w:val="008F3C46"/>
    <w:rsid w:val="008F3E9E"/>
    <w:rsid w:val="008F404D"/>
    <w:rsid w:val="008F487F"/>
    <w:rsid w:val="008F498A"/>
    <w:rsid w:val="008F5345"/>
    <w:rsid w:val="008F65F9"/>
    <w:rsid w:val="008F6CE1"/>
    <w:rsid w:val="008F6FFB"/>
    <w:rsid w:val="008F71D3"/>
    <w:rsid w:val="008F75E6"/>
    <w:rsid w:val="008F781E"/>
    <w:rsid w:val="008F7EF9"/>
    <w:rsid w:val="0090087B"/>
    <w:rsid w:val="009009BF"/>
    <w:rsid w:val="00900F48"/>
    <w:rsid w:val="009010B6"/>
    <w:rsid w:val="0090198F"/>
    <w:rsid w:val="00901B5A"/>
    <w:rsid w:val="00901BCF"/>
    <w:rsid w:val="00901FAD"/>
    <w:rsid w:val="00902402"/>
    <w:rsid w:val="00902454"/>
    <w:rsid w:val="00902D76"/>
    <w:rsid w:val="009030EE"/>
    <w:rsid w:val="00903216"/>
    <w:rsid w:val="009042D4"/>
    <w:rsid w:val="00904945"/>
    <w:rsid w:val="00904ECD"/>
    <w:rsid w:val="00905325"/>
    <w:rsid w:val="00906103"/>
    <w:rsid w:val="009072D9"/>
    <w:rsid w:val="00907445"/>
    <w:rsid w:val="00907A55"/>
    <w:rsid w:val="00907BFB"/>
    <w:rsid w:val="00907CFD"/>
    <w:rsid w:val="009106A2"/>
    <w:rsid w:val="00912500"/>
    <w:rsid w:val="009127AA"/>
    <w:rsid w:val="00912D98"/>
    <w:rsid w:val="0091307D"/>
    <w:rsid w:val="009162AA"/>
    <w:rsid w:val="00916759"/>
    <w:rsid w:val="009169D3"/>
    <w:rsid w:val="00916C84"/>
    <w:rsid w:val="0091728B"/>
    <w:rsid w:val="009179AE"/>
    <w:rsid w:val="00920B90"/>
    <w:rsid w:val="00920D91"/>
    <w:rsid w:val="009212A5"/>
    <w:rsid w:val="00921412"/>
    <w:rsid w:val="009224C0"/>
    <w:rsid w:val="00922582"/>
    <w:rsid w:val="009228EE"/>
    <w:rsid w:val="009238EF"/>
    <w:rsid w:val="00923EFB"/>
    <w:rsid w:val="00924267"/>
    <w:rsid w:val="00924986"/>
    <w:rsid w:val="009249DA"/>
    <w:rsid w:val="00925DBE"/>
    <w:rsid w:val="009269B1"/>
    <w:rsid w:val="009272CF"/>
    <w:rsid w:val="00927434"/>
    <w:rsid w:val="0092A414"/>
    <w:rsid w:val="00930719"/>
    <w:rsid w:val="00930CA2"/>
    <w:rsid w:val="009314E6"/>
    <w:rsid w:val="0093172F"/>
    <w:rsid w:val="009322B4"/>
    <w:rsid w:val="00932346"/>
    <w:rsid w:val="009330DB"/>
    <w:rsid w:val="00933A1A"/>
    <w:rsid w:val="00934467"/>
    <w:rsid w:val="009345EF"/>
    <w:rsid w:val="00934E27"/>
    <w:rsid w:val="00934FEB"/>
    <w:rsid w:val="00935294"/>
    <w:rsid w:val="0093544A"/>
    <w:rsid w:val="00935CE3"/>
    <w:rsid w:val="00936344"/>
    <w:rsid w:val="009367A8"/>
    <w:rsid w:val="00936A83"/>
    <w:rsid w:val="009371F4"/>
    <w:rsid w:val="00940533"/>
    <w:rsid w:val="009407D2"/>
    <w:rsid w:val="0094108C"/>
    <w:rsid w:val="00941417"/>
    <w:rsid w:val="00941872"/>
    <w:rsid w:val="009420FE"/>
    <w:rsid w:val="009425DA"/>
    <w:rsid w:val="00943905"/>
    <w:rsid w:val="00943F59"/>
    <w:rsid w:val="0094414A"/>
    <w:rsid w:val="00944AD7"/>
    <w:rsid w:val="00945278"/>
    <w:rsid w:val="00945F6A"/>
    <w:rsid w:val="00946A5B"/>
    <w:rsid w:val="00946DFE"/>
    <w:rsid w:val="00946F27"/>
    <w:rsid w:val="0094737F"/>
    <w:rsid w:val="009479EB"/>
    <w:rsid w:val="00947AF7"/>
    <w:rsid w:val="00947FF1"/>
    <w:rsid w:val="009501E2"/>
    <w:rsid w:val="0095102C"/>
    <w:rsid w:val="0095176F"/>
    <w:rsid w:val="00951C79"/>
    <w:rsid w:val="00951CBA"/>
    <w:rsid w:val="0095228B"/>
    <w:rsid w:val="00952921"/>
    <w:rsid w:val="00952AC5"/>
    <w:rsid w:val="0095318A"/>
    <w:rsid w:val="009538F5"/>
    <w:rsid w:val="00954659"/>
    <w:rsid w:val="00954713"/>
    <w:rsid w:val="00954B1D"/>
    <w:rsid w:val="00954EB4"/>
    <w:rsid w:val="00955199"/>
    <w:rsid w:val="009551C2"/>
    <w:rsid w:val="009553F0"/>
    <w:rsid w:val="00955562"/>
    <w:rsid w:val="00955E90"/>
    <w:rsid w:val="00956F74"/>
    <w:rsid w:val="009571F6"/>
    <w:rsid w:val="009575C2"/>
    <w:rsid w:val="00960955"/>
    <w:rsid w:val="0096099A"/>
    <w:rsid w:val="00960D81"/>
    <w:rsid w:val="00961AF0"/>
    <w:rsid w:val="00961CF7"/>
    <w:rsid w:val="00962282"/>
    <w:rsid w:val="00962DB6"/>
    <w:rsid w:val="00963141"/>
    <w:rsid w:val="00963616"/>
    <w:rsid w:val="00963B1E"/>
    <w:rsid w:val="00963B30"/>
    <w:rsid w:val="0096459B"/>
    <w:rsid w:val="00964E01"/>
    <w:rsid w:val="00965596"/>
    <w:rsid w:val="00965625"/>
    <w:rsid w:val="009670D1"/>
    <w:rsid w:val="009672C1"/>
    <w:rsid w:val="00970E86"/>
    <w:rsid w:val="00971732"/>
    <w:rsid w:val="0097225B"/>
    <w:rsid w:val="00972311"/>
    <w:rsid w:val="009723A7"/>
    <w:rsid w:val="009727AE"/>
    <w:rsid w:val="00972B98"/>
    <w:rsid w:val="00972CA4"/>
    <w:rsid w:val="0097302A"/>
    <w:rsid w:val="00973602"/>
    <w:rsid w:val="00973983"/>
    <w:rsid w:val="00973A38"/>
    <w:rsid w:val="00974524"/>
    <w:rsid w:val="009749A8"/>
    <w:rsid w:val="00974CAE"/>
    <w:rsid w:val="0097562E"/>
    <w:rsid w:val="00976268"/>
    <w:rsid w:val="009776D6"/>
    <w:rsid w:val="00977DCA"/>
    <w:rsid w:val="00977FE5"/>
    <w:rsid w:val="0098134B"/>
    <w:rsid w:val="00981F89"/>
    <w:rsid w:val="0098226B"/>
    <w:rsid w:val="00982662"/>
    <w:rsid w:val="009826B4"/>
    <w:rsid w:val="009828E6"/>
    <w:rsid w:val="00982B8E"/>
    <w:rsid w:val="00982DB1"/>
    <w:rsid w:val="0098306E"/>
    <w:rsid w:val="009832FB"/>
    <w:rsid w:val="009835B7"/>
    <w:rsid w:val="00983704"/>
    <w:rsid w:val="00983A35"/>
    <w:rsid w:val="00983F68"/>
    <w:rsid w:val="0098495E"/>
    <w:rsid w:val="009850EF"/>
    <w:rsid w:val="009858D9"/>
    <w:rsid w:val="00985BBA"/>
    <w:rsid w:val="00986074"/>
    <w:rsid w:val="009864E3"/>
    <w:rsid w:val="00986541"/>
    <w:rsid w:val="00986A98"/>
    <w:rsid w:val="00986F6D"/>
    <w:rsid w:val="0098771A"/>
    <w:rsid w:val="009901D2"/>
    <w:rsid w:val="00990224"/>
    <w:rsid w:val="0099074B"/>
    <w:rsid w:val="00990C48"/>
    <w:rsid w:val="00991479"/>
    <w:rsid w:val="0099149C"/>
    <w:rsid w:val="009916F5"/>
    <w:rsid w:val="0099202C"/>
    <w:rsid w:val="00992A3D"/>
    <w:rsid w:val="00993192"/>
    <w:rsid w:val="0099426E"/>
    <w:rsid w:val="00994642"/>
    <w:rsid w:val="00994DDC"/>
    <w:rsid w:val="00995C95"/>
    <w:rsid w:val="0099633A"/>
    <w:rsid w:val="009963B5"/>
    <w:rsid w:val="009965E4"/>
    <w:rsid w:val="00996C6F"/>
    <w:rsid w:val="00996CEC"/>
    <w:rsid w:val="00997E09"/>
    <w:rsid w:val="009A1C23"/>
    <w:rsid w:val="009A222A"/>
    <w:rsid w:val="009A25F8"/>
    <w:rsid w:val="009A25FF"/>
    <w:rsid w:val="009A3527"/>
    <w:rsid w:val="009A39A3"/>
    <w:rsid w:val="009A3C07"/>
    <w:rsid w:val="009A3FAB"/>
    <w:rsid w:val="009A400F"/>
    <w:rsid w:val="009A58B7"/>
    <w:rsid w:val="009A5F7B"/>
    <w:rsid w:val="009A5FC8"/>
    <w:rsid w:val="009A6288"/>
    <w:rsid w:val="009A692A"/>
    <w:rsid w:val="009A774B"/>
    <w:rsid w:val="009B0097"/>
    <w:rsid w:val="009B0856"/>
    <w:rsid w:val="009B09CD"/>
    <w:rsid w:val="009B1135"/>
    <w:rsid w:val="009B1D5D"/>
    <w:rsid w:val="009B2116"/>
    <w:rsid w:val="009B220B"/>
    <w:rsid w:val="009B2ADB"/>
    <w:rsid w:val="009B2B5E"/>
    <w:rsid w:val="009B3337"/>
    <w:rsid w:val="009B40AE"/>
    <w:rsid w:val="009B41E0"/>
    <w:rsid w:val="009B4489"/>
    <w:rsid w:val="009B44A9"/>
    <w:rsid w:val="009B499E"/>
    <w:rsid w:val="009B4DD1"/>
    <w:rsid w:val="009B4EE8"/>
    <w:rsid w:val="009B4F5E"/>
    <w:rsid w:val="009B533E"/>
    <w:rsid w:val="009B564F"/>
    <w:rsid w:val="009B56D0"/>
    <w:rsid w:val="009B5DFE"/>
    <w:rsid w:val="009B6118"/>
    <w:rsid w:val="009C07E7"/>
    <w:rsid w:val="009C0C89"/>
    <w:rsid w:val="009C1AF6"/>
    <w:rsid w:val="009C1C44"/>
    <w:rsid w:val="009C21DD"/>
    <w:rsid w:val="009C2F00"/>
    <w:rsid w:val="009C3257"/>
    <w:rsid w:val="009C38DB"/>
    <w:rsid w:val="009C3BA1"/>
    <w:rsid w:val="009C4013"/>
    <w:rsid w:val="009C41A9"/>
    <w:rsid w:val="009C4309"/>
    <w:rsid w:val="009C4392"/>
    <w:rsid w:val="009C4568"/>
    <w:rsid w:val="009C46AA"/>
    <w:rsid w:val="009C496B"/>
    <w:rsid w:val="009C4B07"/>
    <w:rsid w:val="009C58DD"/>
    <w:rsid w:val="009C5E24"/>
    <w:rsid w:val="009C64C4"/>
    <w:rsid w:val="009C6748"/>
    <w:rsid w:val="009C6C9E"/>
    <w:rsid w:val="009C7129"/>
    <w:rsid w:val="009C79BF"/>
    <w:rsid w:val="009C7C61"/>
    <w:rsid w:val="009D020C"/>
    <w:rsid w:val="009D14D1"/>
    <w:rsid w:val="009D20CA"/>
    <w:rsid w:val="009D2613"/>
    <w:rsid w:val="009D2769"/>
    <w:rsid w:val="009D2934"/>
    <w:rsid w:val="009D2EDD"/>
    <w:rsid w:val="009D2FB5"/>
    <w:rsid w:val="009D3BEE"/>
    <w:rsid w:val="009D3C99"/>
    <w:rsid w:val="009D4C36"/>
    <w:rsid w:val="009D5E4A"/>
    <w:rsid w:val="009D6162"/>
    <w:rsid w:val="009D7269"/>
    <w:rsid w:val="009D7F30"/>
    <w:rsid w:val="009E00D4"/>
    <w:rsid w:val="009E0336"/>
    <w:rsid w:val="009E1A54"/>
    <w:rsid w:val="009E1DB0"/>
    <w:rsid w:val="009E2265"/>
    <w:rsid w:val="009E2457"/>
    <w:rsid w:val="009E2701"/>
    <w:rsid w:val="009E2826"/>
    <w:rsid w:val="009E29B7"/>
    <w:rsid w:val="009E2DA7"/>
    <w:rsid w:val="009E312C"/>
    <w:rsid w:val="009E31B6"/>
    <w:rsid w:val="009E3651"/>
    <w:rsid w:val="009E3A7E"/>
    <w:rsid w:val="009E3F96"/>
    <w:rsid w:val="009E4004"/>
    <w:rsid w:val="009E4219"/>
    <w:rsid w:val="009E44C6"/>
    <w:rsid w:val="009E454B"/>
    <w:rsid w:val="009E4B44"/>
    <w:rsid w:val="009E4BCB"/>
    <w:rsid w:val="009E4EA3"/>
    <w:rsid w:val="009E4ED7"/>
    <w:rsid w:val="009E52FA"/>
    <w:rsid w:val="009E5758"/>
    <w:rsid w:val="009E5DB3"/>
    <w:rsid w:val="009E63B1"/>
    <w:rsid w:val="009E6A70"/>
    <w:rsid w:val="009E6AEF"/>
    <w:rsid w:val="009E6AF7"/>
    <w:rsid w:val="009E6C74"/>
    <w:rsid w:val="009E6E1D"/>
    <w:rsid w:val="009E7349"/>
    <w:rsid w:val="009E7372"/>
    <w:rsid w:val="009F0950"/>
    <w:rsid w:val="009F09C5"/>
    <w:rsid w:val="009F0EF9"/>
    <w:rsid w:val="009F22A9"/>
    <w:rsid w:val="009F2396"/>
    <w:rsid w:val="009F2CDA"/>
    <w:rsid w:val="009F312B"/>
    <w:rsid w:val="009F35C9"/>
    <w:rsid w:val="009F4320"/>
    <w:rsid w:val="009F4F22"/>
    <w:rsid w:val="009F4FD0"/>
    <w:rsid w:val="009F5220"/>
    <w:rsid w:val="009F541E"/>
    <w:rsid w:val="009F553E"/>
    <w:rsid w:val="009F5F70"/>
    <w:rsid w:val="009F629F"/>
    <w:rsid w:val="009F66D0"/>
    <w:rsid w:val="009F67AD"/>
    <w:rsid w:val="009F76C1"/>
    <w:rsid w:val="00A000E4"/>
    <w:rsid w:val="00A000EC"/>
    <w:rsid w:val="00A008C5"/>
    <w:rsid w:val="00A010BA"/>
    <w:rsid w:val="00A01199"/>
    <w:rsid w:val="00A02494"/>
    <w:rsid w:val="00A02C9A"/>
    <w:rsid w:val="00A02CBB"/>
    <w:rsid w:val="00A02ED3"/>
    <w:rsid w:val="00A03B77"/>
    <w:rsid w:val="00A03BF4"/>
    <w:rsid w:val="00A03E84"/>
    <w:rsid w:val="00A03F26"/>
    <w:rsid w:val="00A043FB"/>
    <w:rsid w:val="00A0446D"/>
    <w:rsid w:val="00A04504"/>
    <w:rsid w:val="00A045CD"/>
    <w:rsid w:val="00A046A6"/>
    <w:rsid w:val="00A04AE1"/>
    <w:rsid w:val="00A04CE5"/>
    <w:rsid w:val="00A051A8"/>
    <w:rsid w:val="00A0592B"/>
    <w:rsid w:val="00A05E92"/>
    <w:rsid w:val="00A06455"/>
    <w:rsid w:val="00A066E1"/>
    <w:rsid w:val="00A07676"/>
    <w:rsid w:val="00A07C85"/>
    <w:rsid w:val="00A07FEE"/>
    <w:rsid w:val="00A100AC"/>
    <w:rsid w:val="00A10824"/>
    <w:rsid w:val="00A10A05"/>
    <w:rsid w:val="00A10BBA"/>
    <w:rsid w:val="00A110F2"/>
    <w:rsid w:val="00A111A4"/>
    <w:rsid w:val="00A1203F"/>
    <w:rsid w:val="00A12805"/>
    <w:rsid w:val="00A12AA4"/>
    <w:rsid w:val="00A12FB3"/>
    <w:rsid w:val="00A13934"/>
    <w:rsid w:val="00A141CA"/>
    <w:rsid w:val="00A14FAB"/>
    <w:rsid w:val="00A15389"/>
    <w:rsid w:val="00A153D3"/>
    <w:rsid w:val="00A1594B"/>
    <w:rsid w:val="00A173E7"/>
    <w:rsid w:val="00A17722"/>
    <w:rsid w:val="00A17E94"/>
    <w:rsid w:val="00A20266"/>
    <w:rsid w:val="00A21955"/>
    <w:rsid w:val="00A219F3"/>
    <w:rsid w:val="00A21D3C"/>
    <w:rsid w:val="00A22E9E"/>
    <w:rsid w:val="00A230FC"/>
    <w:rsid w:val="00A23742"/>
    <w:rsid w:val="00A239F5"/>
    <w:rsid w:val="00A23F4D"/>
    <w:rsid w:val="00A24176"/>
    <w:rsid w:val="00A241D7"/>
    <w:rsid w:val="00A243B6"/>
    <w:rsid w:val="00A244B8"/>
    <w:rsid w:val="00A2460F"/>
    <w:rsid w:val="00A2489C"/>
    <w:rsid w:val="00A250EC"/>
    <w:rsid w:val="00A25289"/>
    <w:rsid w:val="00A2574B"/>
    <w:rsid w:val="00A25874"/>
    <w:rsid w:val="00A25879"/>
    <w:rsid w:val="00A25C61"/>
    <w:rsid w:val="00A273AB"/>
    <w:rsid w:val="00A27937"/>
    <w:rsid w:val="00A27D55"/>
    <w:rsid w:val="00A27DF2"/>
    <w:rsid w:val="00A300C6"/>
    <w:rsid w:val="00A300D0"/>
    <w:rsid w:val="00A3053C"/>
    <w:rsid w:val="00A31035"/>
    <w:rsid w:val="00A3124D"/>
    <w:rsid w:val="00A31595"/>
    <w:rsid w:val="00A31741"/>
    <w:rsid w:val="00A31B53"/>
    <w:rsid w:val="00A31D13"/>
    <w:rsid w:val="00A31E9B"/>
    <w:rsid w:val="00A32F78"/>
    <w:rsid w:val="00A3306D"/>
    <w:rsid w:val="00A34978"/>
    <w:rsid w:val="00A34E20"/>
    <w:rsid w:val="00A35909"/>
    <w:rsid w:val="00A36995"/>
    <w:rsid w:val="00A3729C"/>
    <w:rsid w:val="00A373CA"/>
    <w:rsid w:val="00A37727"/>
    <w:rsid w:val="00A37BB8"/>
    <w:rsid w:val="00A37C5D"/>
    <w:rsid w:val="00A37FBB"/>
    <w:rsid w:val="00A40150"/>
    <w:rsid w:val="00A40384"/>
    <w:rsid w:val="00A40582"/>
    <w:rsid w:val="00A41B6C"/>
    <w:rsid w:val="00A426E3"/>
    <w:rsid w:val="00A42C33"/>
    <w:rsid w:val="00A438AD"/>
    <w:rsid w:val="00A43FBE"/>
    <w:rsid w:val="00A443B6"/>
    <w:rsid w:val="00A44642"/>
    <w:rsid w:val="00A448FD"/>
    <w:rsid w:val="00A45376"/>
    <w:rsid w:val="00A4564D"/>
    <w:rsid w:val="00A45AC6"/>
    <w:rsid w:val="00A45C3F"/>
    <w:rsid w:val="00A4665A"/>
    <w:rsid w:val="00A46D3E"/>
    <w:rsid w:val="00A473E6"/>
    <w:rsid w:val="00A47791"/>
    <w:rsid w:val="00A47887"/>
    <w:rsid w:val="00A47D41"/>
    <w:rsid w:val="00A5045D"/>
    <w:rsid w:val="00A5166F"/>
    <w:rsid w:val="00A518BC"/>
    <w:rsid w:val="00A51FEF"/>
    <w:rsid w:val="00A52085"/>
    <w:rsid w:val="00A520E7"/>
    <w:rsid w:val="00A524DD"/>
    <w:rsid w:val="00A52C88"/>
    <w:rsid w:val="00A52D17"/>
    <w:rsid w:val="00A52DDE"/>
    <w:rsid w:val="00A53264"/>
    <w:rsid w:val="00A534CF"/>
    <w:rsid w:val="00A53D71"/>
    <w:rsid w:val="00A5455B"/>
    <w:rsid w:val="00A54DC5"/>
    <w:rsid w:val="00A551F7"/>
    <w:rsid w:val="00A552E3"/>
    <w:rsid w:val="00A55571"/>
    <w:rsid w:val="00A56354"/>
    <w:rsid w:val="00A56379"/>
    <w:rsid w:val="00A56499"/>
    <w:rsid w:val="00A56D98"/>
    <w:rsid w:val="00A57D5E"/>
    <w:rsid w:val="00A6014C"/>
    <w:rsid w:val="00A607A5"/>
    <w:rsid w:val="00A6084A"/>
    <w:rsid w:val="00A60954"/>
    <w:rsid w:val="00A614C3"/>
    <w:rsid w:val="00A61786"/>
    <w:rsid w:val="00A61D67"/>
    <w:rsid w:val="00A637C2"/>
    <w:rsid w:val="00A63B15"/>
    <w:rsid w:val="00A63E55"/>
    <w:rsid w:val="00A64384"/>
    <w:rsid w:val="00A64578"/>
    <w:rsid w:val="00A64A7F"/>
    <w:rsid w:val="00A64B36"/>
    <w:rsid w:val="00A651E2"/>
    <w:rsid w:val="00A65D42"/>
    <w:rsid w:val="00A6682F"/>
    <w:rsid w:val="00A670A7"/>
    <w:rsid w:val="00A67478"/>
    <w:rsid w:val="00A67484"/>
    <w:rsid w:val="00A67A78"/>
    <w:rsid w:val="00A67C34"/>
    <w:rsid w:val="00A67CB6"/>
    <w:rsid w:val="00A707B7"/>
    <w:rsid w:val="00A70975"/>
    <w:rsid w:val="00A70B97"/>
    <w:rsid w:val="00A70C9D"/>
    <w:rsid w:val="00A70CFE"/>
    <w:rsid w:val="00A712F0"/>
    <w:rsid w:val="00A71619"/>
    <w:rsid w:val="00A71792"/>
    <w:rsid w:val="00A7187E"/>
    <w:rsid w:val="00A71DDE"/>
    <w:rsid w:val="00A72942"/>
    <w:rsid w:val="00A73071"/>
    <w:rsid w:val="00A731E7"/>
    <w:rsid w:val="00A73226"/>
    <w:rsid w:val="00A73C9F"/>
    <w:rsid w:val="00A74280"/>
    <w:rsid w:val="00A748EA"/>
    <w:rsid w:val="00A74BA7"/>
    <w:rsid w:val="00A75D94"/>
    <w:rsid w:val="00A75DD9"/>
    <w:rsid w:val="00A7678F"/>
    <w:rsid w:val="00A774D7"/>
    <w:rsid w:val="00A80422"/>
    <w:rsid w:val="00A80EBA"/>
    <w:rsid w:val="00A81E6B"/>
    <w:rsid w:val="00A81EF5"/>
    <w:rsid w:val="00A8278B"/>
    <w:rsid w:val="00A82F12"/>
    <w:rsid w:val="00A8308B"/>
    <w:rsid w:val="00A83E92"/>
    <w:rsid w:val="00A841AF"/>
    <w:rsid w:val="00A8460C"/>
    <w:rsid w:val="00A84698"/>
    <w:rsid w:val="00A85390"/>
    <w:rsid w:val="00A85503"/>
    <w:rsid w:val="00A85965"/>
    <w:rsid w:val="00A85B09"/>
    <w:rsid w:val="00A85B14"/>
    <w:rsid w:val="00A8692F"/>
    <w:rsid w:val="00A86C00"/>
    <w:rsid w:val="00A86E9F"/>
    <w:rsid w:val="00A878D8"/>
    <w:rsid w:val="00A87A20"/>
    <w:rsid w:val="00A87C3B"/>
    <w:rsid w:val="00A87CF1"/>
    <w:rsid w:val="00A93164"/>
    <w:rsid w:val="00A93633"/>
    <w:rsid w:val="00A93994"/>
    <w:rsid w:val="00A93FA5"/>
    <w:rsid w:val="00A94389"/>
    <w:rsid w:val="00A947F3"/>
    <w:rsid w:val="00A9492E"/>
    <w:rsid w:val="00A9498F"/>
    <w:rsid w:val="00A94C56"/>
    <w:rsid w:val="00A9597C"/>
    <w:rsid w:val="00A96364"/>
    <w:rsid w:val="00A9704F"/>
    <w:rsid w:val="00A9729B"/>
    <w:rsid w:val="00AA024E"/>
    <w:rsid w:val="00AA05EC"/>
    <w:rsid w:val="00AA130F"/>
    <w:rsid w:val="00AA1861"/>
    <w:rsid w:val="00AA1B02"/>
    <w:rsid w:val="00AA1EB4"/>
    <w:rsid w:val="00AA2878"/>
    <w:rsid w:val="00AA387C"/>
    <w:rsid w:val="00AA38F5"/>
    <w:rsid w:val="00AA44DD"/>
    <w:rsid w:val="00AA460F"/>
    <w:rsid w:val="00AA4A22"/>
    <w:rsid w:val="00AA4AD4"/>
    <w:rsid w:val="00AA5097"/>
    <w:rsid w:val="00AA65BD"/>
    <w:rsid w:val="00AA6A14"/>
    <w:rsid w:val="00AA75ED"/>
    <w:rsid w:val="00AA7721"/>
    <w:rsid w:val="00AA781B"/>
    <w:rsid w:val="00AA7A8D"/>
    <w:rsid w:val="00AA7E9D"/>
    <w:rsid w:val="00AB067E"/>
    <w:rsid w:val="00AB09EF"/>
    <w:rsid w:val="00AB0B4B"/>
    <w:rsid w:val="00AB1048"/>
    <w:rsid w:val="00AB11B9"/>
    <w:rsid w:val="00AB2B66"/>
    <w:rsid w:val="00AB2D9D"/>
    <w:rsid w:val="00AB31EB"/>
    <w:rsid w:val="00AB404C"/>
    <w:rsid w:val="00AB501E"/>
    <w:rsid w:val="00AB5403"/>
    <w:rsid w:val="00AB5910"/>
    <w:rsid w:val="00AB5B89"/>
    <w:rsid w:val="00AB6BCA"/>
    <w:rsid w:val="00AB785D"/>
    <w:rsid w:val="00AB78D2"/>
    <w:rsid w:val="00AB7992"/>
    <w:rsid w:val="00AB7B48"/>
    <w:rsid w:val="00AB7BF8"/>
    <w:rsid w:val="00AC07BF"/>
    <w:rsid w:val="00AC1819"/>
    <w:rsid w:val="00AC1C81"/>
    <w:rsid w:val="00AC1ED2"/>
    <w:rsid w:val="00AC282C"/>
    <w:rsid w:val="00AC2EDC"/>
    <w:rsid w:val="00AC316F"/>
    <w:rsid w:val="00AC331C"/>
    <w:rsid w:val="00AC3709"/>
    <w:rsid w:val="00AC3998"/>
    <w:rsid w:val="00AC521D"/>
    <w:rsid w:val="00AC5F73"/>
    <w:rsid w:val="00AC5FD8"/>
    <w:rsid w:val="00AC63BF"/>
    <w:rsid w:val="00AC7337"/>
    <w:rsid w:val="00AD0109"/>
    <w:rsid w:val="00AD012A"/>
    <w:rsid w:val="00AD0F96"/>
    <w:rsid w:val="00AD0F9F"/>
    <w:rsid w:val="00AD1A43"/>
    <w:rsid w:val="00AD1B21"/>
    <w:rsid w:val="00AD228F"/>
    <w:rsid w:val="00AD25EC"/>
    <w:rsid w:val="00AD2E75"/>
    <w:rsid w:val="00AD30ED"/>
    <w:rsid w:val="00AD3B07"/>
    <w:rsid w:val="00AD4C79"/>
    <w:rsid w:val="00AD4F1F"/>
    <w:rsid w:val="00AD5229"/>
    <w:rsid w:val="00AD5FD3"/>
    <w:rsid w:val="00AD7B1E"/>
    <w:rsid w:val="00AD7CA3"/>
    <w:rsid w:val="00AE0322"/>
    <w:rsid w:val="00AE0D1D"/>
    <w:rsid w:val="00AE1032"/>
    <w:rsid w:val="00AE2276"/>
    <w:rsid w:val="00AE2569"/>
    <w:rsid w:val="00AE2D6E"/>
    <w:rsid w:val="00AE3297"/>
    <w:rsid w:val="00AE3E91"/>
    <w:rsid w:val="00AE3EEF"/>
    <w:rsid w:val="00AE3F52"/>
    <w:rsid w:val="00AE63AB"/>
    <w:rsid w:val="00AE72C3"/>
    <w:rsid w:val="00AE7877"/>
    <w:rsid w:val="00AE7DAF"/>
    <w:rsid w:val="00AF0043"/>
    <w:rsid w:val="00AF084D"/>
    <w:rsid w:val="00AF0A71"/>
    <w:rsid w:val="00AF113B"/>
    <w:rsid w:val="00AF1205"/>
    <w:rsid w:val="00AF257F"/>
    <w:rsid w:val="00AF2D75"/>
    <w:rsid w:val="00AF3033"/>
    <w:rsid w:val="00AF30D4"/>
    <w:rsid w:val="00AF3A34"/>
    <w:rsid w:val="00AF44E1"/>
    <w:rsid w:val="00AF5477"/>
    <w:rsid w:val="00AF662F"/>
    <w:rsid w:val="00AF68B9"/>
    <w:rsid w:val="00AF6C8A"/>
    <w:rsid w:val="00AF6EFB"/>
    <w:rsid w:val="00AF73FF"/>
    <w:rsid w:val="00AF7F33"/>
    <w:rsid w:val="00B0007D"/>
    <w:rsid w:val="00B015A9"/>
    <w:rsid w:val="00B01849"/>
    <w:rsid w:val="00B01D6C"/>
    <w:rsid w:val="00B02052"/>
    <w:rsid w:val="00B02D1B"/>
    <w:rsid w:val="00B031F3"/>
    <w:rsid w:val="00B036BA"/>
    <w:rsid w:val="00B04AE2"/>
    <w:rsid w:val="00B058E6"/>
    <w:rsid w:val="00B059F6"/>
    <w:rsid w:val="00B05F5D"/>
    <w:rsid w:val="00B06821"/>
    <w:rsid w:val="00B07095"/>
    <w:rsid w:val="00B075C0"/>
    <w:rsid w:val="00B0794E"/>
    <w:rsid w:val="00B10EC7"/>
    <w:rsid w:val="00B118D2"/>
    <w:rsid w:val="00B11985"/>
    <w:rsid w:val="00B11BFF"/>
    <w:rsid w:val="00B1273A"/>
    <w:rsid w:val="00B13CA6"/>
    <w:rsid w:val="00B13D52"/>
    <w:rsid w:val="00B14615"/>
    <w:rsid w:val="00B1530D"/>
    <w:rsid w:val="00B157E6"/>
    <w:rsid w:val="00B15A33"/>
    <w:rsid w:val="00B15ECB"/>
    <w:rsid w:val="00B161BD"/>
    <w:rsid w:val="00B16A05"/>
    <w:rsid w:val="00B16F58"/>
    <w:rsid w:val="00B17CB3"/>
    <w:rsid w:val="00B21044"/>
    <w:rsid w:val="00B210C2"/>
    <w:rsid w:val="00B218AE"/>
    <w:rsid w:val="00B21C79"/>
    <w:rsid w:val="00B21D3B"/>
    <w:rsid w:val="00B21DBD"/>
    <w:rsid w:val="00B21E05"/>
    <w:rsid w:val="00B225EC"/>
    <w:rsid w:val="00B22727"/>
    <w:rsid w:val="00B227C6"/>
    <w:rsid w:val="00B22A71"/>
    <w:rsid w:val="00B22E2F"/>
    <w:rsid w:val="00B23F99"/>
    <w:rsid w:val="00B24160"/>
    <w:rsid w:val="00B24A54"/>
    <w:rsid w:val="00B24E70"/>
    <w:rsid w:val="00B25234"/>
    <w:rsid w:val="00B252B4"/>
    <w:rsid w:val="00B2590B"/>
    <w:rsid w:val="00B26078"/>
    <w:rsid w:val="00B263D2"/>
    <w:rsid w:val="00B26A24"/>
    <w:rsid w:val="00B27236"/>
    <w:rsid w:val="00B27658"/>
    <w:rsid w:val="00B27F93"/>
    <w:rsid w:val="00B3012A"/>
    <w:rsid w:val="00B306D6"/>
    <w:rsid w:val="00B3139A"/>
    <w:rsid w:val="00B3144F"/>
    <w:rsid w:val="00B3163E"/>
    <w:rsid w:val="00B31F63"/>
    <w:rsid w:val="00B325E0"/>
    <w:rsid w:val="00B33B20"/>
    <w:rsid w:val="00B33B54"/>
    <w:rsid w:val="00B34EF1"/>
    <w:rsid w:val="00B3517D"/>
    <w:rsid w:val="00B35706"/>
    <w:rsid w:val="00B3587B"/>
    <w:rsid w:val="00B35889"/>
    <w:rsid w:val="00B35AD5"/>
    <w:rsid w:val="00B368E3"/>
    <w:rsid w:val="00B36A98"/>
    <w:rsid w:val="00B36BF8"/>
    <w:rsid w:val="00B36C2F"/>
    <w:rsid w:val="00B3701A"/>
    <w:rsid w:val="00B37538"/>
    <w:rsid w:val="00B3771D"/>
    <w:rsid w:val="00B40A36"/>
    <w:rsid w:val="00B40AD6"/>
    <w:rsid w:val="00B40BDE"/>
    <w:rsid w:val="00B4106B"/>
    <w:rsid w:val="00B41387"/>
    <w:rsid w:val="00B417FC"/>
    <w:rsid w:val="00B41ED3"/>
    <w:rsid w:val="00B42861"/>
    <w:rsid w:val="00B42D0C"/>
    <w:rsid w:val="00B42D38"/>
    <w:rsid w:val="00B4376E"/>
    <w:rsid w:val="00B43F30"/>
    <w:rsid w:val="00B441E5"/>
    <w:rsid w:val="00B4481A"/>
    <w:rsid w:val="00B448E2"/>
    <w:rsid w:val="00B45315"/>
    <w:rsid w:val="00B45748"/>
    <w:rsid w:val="00B45A4E"/>
    <w:rsid w:val="00B45BDE"/>
    <w:rsid w:val="00B461A9"/>
    <w:rsid w:val="00B46352"/>
    <w:rsid w:val="00B46ACE"/>
    <w:rsid w:val="00B470EB"/>
    <w:rsid w:val="00B474CE"/>
    <w:rsid w:val="00B47710"/>
    <w:rsid w:val="00B478E1"/>
    <w:rsid w:val="00B47A67"/>
    <w:rsid w:val="00B50274"/>
    <w:rsid w:val="00B5080F"/>
    <w:rsid w:val="00B50866"/>
    <w:rsid w:val="00B50909"/>
    <w:rsid w:val="00B50EF5"/>
    <w:rsid w:val="00B510B4"/>
    <w:rsid w:val="00B53407"/>
    <w:rsid w:val="00B5358D"/>
    <w:rsid w:val="00B53872"/>
    <w:rsid w:val="00B54748"/>
    <w:rsid w:val="00B5506E"/>
    <w:rsid w:val="00B57848"/>
    <w:rsid w:val="00B57BCD"/>
    <w:rsid w:val="00B57DAC"/>
    <w:rsid w:val="00B6019D"/>
    <w:rsid w:val="00B606A7"/>
    <w:rsid w:val="00B60872"/>
    <w:rsid w:val="00B60FA6"/>
    <w:rsid w:val="00B6224F"/>
    <w:rsid w:val="00B6324A"/>
    <w:rsid w:val="00B638B7"/>
    <w:rsid w:val="00B63934"/>
    <w:rsid w:val="00B64A8E"/>
    <w:rsid w:val="00B65356"/>
    <w:rsid w:val="00B65498"/>
    <w:rsid w:val="00B6577F"/>
    <w:rsid w:val="00B6586F"/>
    <w:rsid w:val="00B65B4A"/>
    <w:rsid w:val="00B6620B"/>
    <w:rsid w:val="00B66557"/>
    <w:rsid w:val="00B66DE6"/>
    <w:rsid w:val="00B70973"/>
    <w:rsid w:val="00B7104B"/>
    <w:rsid w:val="00B71E7E"/>
    <w:rsid w:val="00B72D63"/>
    <w:rsid w:val="00B74895"/>
    <w:rsid w:val="00B74CCC"/>
    <w:rsid w:val="00B74DC0"/>
    <w:rsid w:val="00B757AD"/>
    <w:rsid w:val="00B76894"/>
    <w:rsid w:val="00B76AFE"/>
    <w:rsid w:val="00B76EC2"/>
    <w:rsid w:val="00B7742B"/>
    <w:rsid w:val="00B80166"/>
    <w:rsid w:val="00B801EC"/>
    <w:rsid w:val="00B80397"/>
    <w:rsid w:val="00B8059A"/>
    <w:rsid w:val="00B80FC9"/>
    <w:rsid w:val="00B816E7"/>
    <w:rsid w:val="00B818D4"/>
    <w:rsid w:val="00B8197D"/>
    <w:rsid w:val="00B81C13"/>
    <w:rsid w:val="00B83DF6"/>
    <w:rsid w:val="00B83FC5"/>
    <w:rsid w:val="00B84118"/>
    <w:rsid w:val="00B845BB"/>
    <w:rsid w:val="00B84DB2"/>
    <w:rsid w:val="00B850A3"/>
    <w:rsid w:val="00B857A7"/>
    <w:rsid w:val="00B8593D"/>
    <w:rsid w:val="00B85AEF"/>
    <w:rsid w:val="00B85F24"/>
    <w:rsid w:val="00B85F92"/>
    <w:rsid w:val="00B86BC8"/>
    <w:rsid w:val="00B871F5"/>
    <w:rsid w:val="00B87602"/>
    <w:rsid w:val="00B87DCA"/>
    <w:rsid w:val="00B902A0"/>
    <w:rsid w:val="00B9034F"/>
    <w:rsid w:val="00B90415"/>
    <w:rsid w:val="00B910C0"/>
    <w:rsid w:val="00B9112C"/>
    <w:rsid w:val="00B91571"/>
    <w:rsid w:val="00B9200C"/>
    <w:rsid w:val="00B9211D"/>
    <w:rsid w:val="00B932D4"/>
    <w:rsid w:val="00B934E3"/>
    <w:rsid w:val="00B935EB"/>
    <w:rsid w:val="00B9381D"/>
    <w:rsid w:val="00B93C7D"/>
    <w:rsid w:val="00B93D32"/>
    <w:rsid w:val="00B93EEC"/>
    <w:rsid w:val="00B94A45"/>
    <w:rsid w:val="00B94C30"/>
    <w:rsid w:val="00B95713"/>
    <w:rsid w:val="00B95A52"/>
    <w:rsid w:val="00B95A95"/>
    <w:rsid w:val="00B96506"/>
    <w:rsid w:val="00B96DE2"/>
    <w:rsid w:val="00B9768E"/>
    <w:rsid w:val="00B979F6"/>
    <w:rsid w:val="00B97BA6"/>
    <w:rsid w:val="00B97EEA"/>
    <w:rsid w:val="00BA04DB"/>
    <w:rsid w:val="00BA09C2"/>
    <w:rsid w:val="00BA0A5C"/>
    <w:rsid w:val="00BA1332"/>
    <w:rsid w:val="00BA29B5"/>
    <w:rsid w:val="00BA3830"/>
    <w:rsid w:val="00BA4569"/>
    <w:rsid w:val="00BA52BD"/>
    <w:rsid w:val="00BA55D8"/>
    <w:rsid w:val="00BA5BB5"/>
    <w:rsid w:val="00BA5FD5"/>
    <w:rsid w:val="00BA60D9"/>
    <w:rsid w:val="00BA65C4"/>
    <w:rsid w:val="00BA6F73"/>
    <w:rsid w:val="00BA6FF0"/>
    <w:rsid w:val="00BA7214"/>
    <w:rsid w:val="00BA79F4"/>
    <w:rsid w:val="00BA7C01"/>
    <w:rsid w:val="00BB06B3"/>
    <w:rsid w:val="00BB0BDC"/>
    <w:rsid w:val="00BB0D30"/>
    <w:rsid w:val="00BB179C"/>
    <w:rsid w:val="00BB1C33"/>
    <w:rsid w:val="00BB1E3B"/>
    <w:rsid w:val="00BB24C8"/>
    <w:rsid w:val="00BB26A3"/>
    <w:rsid w:val="00BB281B"/>
    <w:rsid w:val="00BB2D63"/>
    <w:rsid w:val="00BB32B2"/>
    <w:rsid w:val="00BB39C5"/>
    <w:rsid w:val="00BB3FEF"/>
    <w:rsid w:val="00BB406D"/>
    <w:rsid w:val="00BB4496"/>
    <w:rsid w:val="00BB44FE"/>
    <w:rsid w:val="00BB4673"/>
    <w:rsid w:val="00BB48EA"/>
    <w:rsid w:val="00BB4E4B"/>
    <w:rsid w:val="00BB5F9D"/>
    <w:rsid w:val="00BB66CE"/>
    <w:rsid w:val="00BB6784"/>
    <w:rsid w:val="00BB6978"/>
    <w:rsid w:val="00BB6CD2"/>
    <w:rsid w:val="00BB6E71"/>
    <w:rsid w:val="00BB6FA1"/>
    <w:rsid w:val="00BB74A1"/>
    <w:rsid w:val="00BB76A8"/>
    <w:rsid w:val="00BB79E5"/>
    <w:rsid w:val="00BC2425"/>
    <w:rsid w:val="00BC2537"/>
    <w:rsid w:val="00BC39BA"/>
    <w:rsid w:val="00BC3FC9"/>
    <w:rsid w:val="00BC4567"/>
    <w:rsid w:val="00BC4BBD"/>
    <w:rsid w:val="00BC565E"/>
    <w:rsid w:val="00BC61DB"/>
    <w:rsid w:val="00BC6595"/>
    <w:rsid w:val="00BC763B"/>
    <w:rsid w:val="00BD0881"/>
    <w:rsid w:val="00BD09E0"/>
    <w:rsid w:val="00BD17D7"/>
    <w:rsid w:val="00BD1CD9"/>
    <w:rsid w:val="00BD279D"/>
    <w:rsid w:val="00BD2C8C"/>
    <w:rsid w:val="00BD2E18"/>
    <w:rsid w:val="00BD2FE3"/>
    <w:rsid w:val="00BD3083"/>
    <w:rsid w:val="00BD32D8"/>
    <w:rsid w:val="00BD3B62"/>
    <w:rsid w:val="00BD3FD1"/>
    <w:rsid w:val="00BD4507"/>
    <w:rsid w:val="00BD4CD6"/>
    <w:rsid w:val="00BD5578"/>
    <w:rsid w:val="00BD5ED2"/>
    <w:rsid w:val="00BD6C97"/>
    <w:rsid w:val="00BD6CF1"/>
    <w:rsid w:val="00BD6EE6"/>
    <w:rsid w:val="00BD7921"/>
    <w:rsid w:val="00BE1A03"/>
    <w:rsid w:val="00BE20B1"/>
    <w:rsid w:val="00BE2300"/>
    <w:rsid w:val="00BE26CA"/>
    <w:rsid w:val="00BE26D6"/>
    <w:rsid w:val="00BE2A51"/>
    <w:rsid w:val="00BE3AEE"/>
    <w:rsid w:val="00BE3D69"/>
    <w:rsid w:val="00BE46FF"/>
    <w:rsid w:val="00BE474F"/>
    <w:rsid w:val="00BE4A0E"/>
    <w:rsid w:val="00BE52BD"/>
    <w:rsid w:val="00BE5AFE"/>
    <w:rsid w:val="00BE5F71"/>
    <w:rsid w:val="00BE6848"/>
    <w:rsid w:val="00BE6AF9"/>
    <w:rsid w:val="00BE710B"/>
    <w:rsid w:val="00BE7652"/>
    <w:rsid w:val="00BE7BFB"/>
    <w:rsid w:val="00BF05FA"/>
    <w:rsid w:val="00BF13A6"/>
    <w:rsid w:val="00BF13D7"/>
    <w:rsid w:val="00BF1A0E"/>
    <w:rsid w:val="00BF2435"/>
    <w:rsid w:val="00BF2521"/>
    <w:rsid w:val="00BF2DDD"/>
    <w:rsid w:val="00BF4184"/>
    <w:rsid w:val="00BF4770"/>
    <w:rsid w:val="00BF489B"/>
    <w:rsid w:val="00BF4BD9"/>
    <w:rsid w:val="00BF5339"/>
    <w:rsid w:val="00BF560C"/>
    <w:rsid w:val="00BF57E9"/>
    <w:rsid w:val="00BF593A"/>
    <w:rsid w:val="00BF5D2D"/>
    <w:rsid w:val="00BF6A5B"/>
    <w:rsid w:val="00BF6C64"/>
    <w:rsid w:val="00BF7175"/>
    <w:rsid w:val="00BF7951"/>
    <w:rsid w:val="00BF7BDB"/>
    <w:rsid w:val="00C0001C"/>
    <w:rsid w:val="00C004AF"/>
    <w:rsid w:val="00C00C0D"/>
    <w:rsid w:val="00C02EE1"/>
    <w:rsid w:val="00C0382D"/>
    <w:rsid w:val="00C03AB0"/>
    <w:rsid w:val="00C03D16"/>
    <w:rsid w:val="00C04324"/>
    <w:rsid w:val="00C050FF"/>
    <w:rsid w:val="00C05374"/>
    <w:rsid w:val="00C05913"/>
    <w:rsid w:val="00C05E73"/>
    <w:rsid w:val="00C065ED"/>
    <w:rsid w:val="00C07D06"/>
    <w:rsid w:val="00C07FC9"/>
    <w:rsid w:val="00C101EC"/>
    <w:rsid w:val="00C10599"/>
    <w:rsid w:val="00C10A21"/>
    <w:rsid w:val="00C10B1C"/>
    <w:rsid w:val="00C117C3"/>
    <w:rsid w:val="00C11B47"/>
    <w:rsid w:val="00C124CF"/>
    <w:rsid w:val="00C12F42"/>
    <w:rsid w:val="00C13C2B"/>
    <w:rsid w:val="00C13E78"/>
    <w:rsid w:val="00C16B41"/>
    <w:rsid w:val="00C16EF1"/>
    <w:rsid w:val="00C17307"/>
    <w:rsid w:val="00C17C63"/>
    <w:rsid w:val="00C20289"/>
    <w:rsid w:val="00C20656"/>
    <w:rsid w:val="00C20725"/>
    <w:rsid w:val="00C2096D"/>
    <w:rsid w:val="00C20978"/>
    <w:rsid w:val="00C20D9E"/>
    <w:rsid w:val="00C20F3C"/>
    <w:rsid w:val="00C21468"/>
    <w:rsid w:val="00C22741"/>
    <w:rsid w:val="00C22B50"/>
    <w:rsid w:val="00C22C03"/>
    <w:rsid w:val="00C23A82"/>
    <w:rsid w:val="00C23B77"/>
    <w:rsid w:val="00C25B5E"/>
    <w:rsid w:val="00C262A8"/>
    <w:rsid w:val="00C2677E"/>
    <w:rsid w:val="00C26CCE"/>
    <w:rsid w:val="00C27036"/>
    <w:rsid w:val="00C27402"/>
    <w:rsid w:val="00C27DC3"/>
    <w:rsid w:val="00C27FCD"/>
    <w:rsid w:val="00C30661"/>
    <w:rsid w:val="00C30813"/>
    <w:rsid w:val="00C30823"/>
    <w:rsid w:val="00C321D2"/>
    <w:rsid w:val="00C32357"/>
    <w:rsid w:val="00C32528"/>
    <w:rsid w:val="00C329E6"/>
    <w:rsid w:val="00C32AD1"/>
    <w:rsid w:val="00C32C1B"/>
    <w:rsid w:val="00C337BD"/>
    <w:rsid w:val="00C34645"/>
    <w:rsid w:val="00C35021"/>
    <w:rsid w:val="00C3504D"/>
    <w:rsid w:val="00C35D84"/>
    <w:rsid w:val="00C3626D"/>
    <w:rsid w:val="00C36C52"/>
    <w:rsid w:val="00C36FF8"/>
    <w:rsid w:val="00C37BD9"/>
    <w:rsid w:val="00C37D61"/>
    <w:rsid w:val="00C40084"/>
    <w:rsid w:val="00C40648"/>
    <w:rsid w:val="00C40E98"/>
    <w:rsid w:val="00C41302"/>
    <w:rsid w:val="00C41338"/>
    <w:rsid w:val="00C41712"/>
    <w:rsid w:val="00C41A33"/>
    <w:rsid w:val="00C42077"/>
    <w:rsid w:val="00C42791"/>
    <w:rsid w:val="00C42A5B"/>
    <w:rsid w:val="00C42D44"/>
    <w:rsid w:val="00C43E93"/>
    <w:rsid w:val="00C43EC3"/>
    <w:rsid w:val="00C4421F"/>
    <w:rsid w:val="00C446AE"/>
    <w:rsid w:val="00C4484E"/>
    <w:rsid w:val="00C44865"/>
    <w:rsid w:val="00C44E68"/>
    <w:rsid w:val="00C45092"/>
    <w:rsid w:val="00C45CF7"/>
    <w:rsid w:val="00C46020"/>
    <w:rsid w:val="00C46063"/>
    <w:rsid w:val="00C46410"/>
    <w:rsid w:val="00C46513"/>
    <w:rsid w:val="00C4691A"/>
    <w:rsid w:val="00C46F4B"/>
    <w:rsid w:val="00C50DF9"/>
    <w:rsid w:val="00C517AE"/>
    <w:rsid w:val="00C51DA9"/>
    <w:rsid w:val="00C520C7"/>
    <w:rsid w:val="00C522DE"/>
    <w:rsid w:val="00C53140"/>
    <w:rsid w:val="00C53188"/>
    <w:rsid w:val="00C53808"/>
    <w:rsid w:val="00C53C6E"/>
    <w:rsid w:val="00C53D3E"/>
    <w:rsid w:val="00C54BC1"/>
    <w:rsid w:val="00C54CFF"/>
    <w:rsid w:val="00C55AFD"/>
    <w:rsid w:val="00C55B48"/>
    <w:rsid w:val="00C56343"/>
    <w:rsid w:val="00C564A2"/>
    <w:rsid w:val="00C569DE"/>
    <w:rsid w:val="00C56FE7"/>
    <w:rsid w:val="00C57205"/>
    <w:rsid w:val="00C57B6E"/>
    <w:rsid w:val="00C60212"/>
    <w:rsid w:val="00C608E0"/>
    <w:rsid w:val="00C60DFF"/>
    <w:rsid w:val="00C61ABF"/>
    <w:rsid w:val="00C61C70"/>
    <w:rsid w:val="00C62E70"/>
    <w:rsid w:val="00C62EF9"/>
    <w:rsid w:val="00C63598"/>
    <w:rsid w:val="00C6372D"/>
    <w:rsid w:val="00C640ED"/>
    <w:rsid w:val="00C64196"/>
    <w:rsid w:val="00C642BC"/>
    <w:rsid w:val="00C64C51"/>
    <w:rsid w:val="00C65A28"/>
    <w:rsid w:val="00C65F7E"/>
    <w:rsid w:val="00C675CB"/>
    <w:rsid w:val="00C67FDB"/>
    <w:rsid w:val="00C70C3D"/>
    <w:rsid w:val="00C7176D"/>
    <w:rsid w:val="00C726E0"/>
    <w:rsid w:val="00C72887"/>
    <w:rsid w:val="00C729DD"/>
    <w:rsid w:val="00C72A9D"/>
    <w:rsid w:val="00C73E12"/>
    <w:rsid w:val="00C746C6"/>
    <w:rsid w:val="00C74A25"/>
    <w:rsid w:val="00C75A99"/>
    <w:rsid w:val="00C7680F"/>
    <w:rsid w:val="00C773B4"/>
    <w:rsid w:val="00C7799D"/>
    <w:rsid w:val="00C77F09"/>
    <w:rsid w:val="00C77FBB"/>
    <w:rsid w:val="00C802C2"/>
    <w:rsid w:val="00C80BA5"/>
    <w:rsid w:val="00C811C4"/>
    <w:rsid w:val="00C811FC"/>
    <w:rsid w:val="00C81854"/>
    <w:rsid w:val="00C81A1B"/>
    <w:rsid w:val="00C81E84"/>
    <w:rsid w:val="00C82089"/>
    <w:rsid w:val="00C822BA"/>
    <w:rsid w:val="00C83369"/>
    <w:rsid w:val="00C84785"/>
    <w:rsid w:val="00C84B9E"/>
    <w:rsid w:val="00C84F60"/>
    <w:rsid w:val="00C850F5"/>
    <w:rsid w:val="00C85138"/>
    <w:rsid w:val="00C8566E"/>
    <w:rsid w:val="00C86133"/>
    <w:rsid w:val="00C863AF"/>
    <w:rsid w:val="00C8662A"/>
    <w:rsid w:val="00C871A8"/>
    <w:rsid w:val="00C90C04"/>
    <w:rsid w:val="00C90D5B"/>
    <w:rsid w:val="00C90F59"/>
    <w:rsid w:val="00C9185B"/>
    <w:rsid w:val="00C91AAB"/>
    <w:rsid w:val="00C91C3F"/>
    <w:rsid w:val="00C928E6"/>
    <w:rsid w:val="00C92C6A"/>
    <w:rsid w:val="00C93096"/>
    <w:rsid w:val="00C93767"/>
    <w:rsid w:val="00C94FC0"/>
    <w:rsid w:val="00C95F8B"/>
    <w:rsid w:val="00C95FA7"/>
    <w:rsid w:val="00C96DB9"/>
    <w:rsid w:val="00C97142"/>
    <w:rsid w:val="00C9766E"/>
    <w:rsid w:val="00CA02E5"/>
    <w:rsid w:val="00CA05AB"/>
    <w:rsid w:val="00CA05DC"/>
    <w:rsid w:val="00CA111D"/>
    <w:rsid w:val="00CA123D"/>
    <w:rsid w:val="00CA1B62"/>
    <w:rsid w:val="00CA1B82"/>
    <w:rsid w:val="00CA29C0"/>
    <w:rsid w:val="00CA3569"/>
    <w:rsid w:val="00CA36FC"/>
    <w:rsid w:val="00CA3D8D"/>
    <w:rsid w:val="00CA3E43"/>
    <w:rsid w:val="00CA49DF"/>
    <w:rsid w:val="00CA4CFD"/>
    <w:rsid w:val="00CA4D1A"/>
    <w:rsid w:val="00CA4DEE"/>
    <w:rsid w:val="00CA4E6A"/>
    <w:rsid w:val="00CA5ED7"/>
    <w:rsid w:val="00CA6171"/>
    <w:rsid w:val="00CA6365"/>
    <w:rsid w:val="00CA7143"/>
    <w:rsid w:val="00CA72A2"/>
    <w:rsid w:val="00CA736F"/>
    <w:rsid w:val="00CA7433"/>
    <w:rsid w:val="00CA7503"/>
    <w:rsid w:val="00CA7799"/>
    <w:rsid w:val="00CB05B3"/>
    <w:rsid w:val="00CB075B"/>
    <w:rsid w:val="00CB137B"/>
    <w:rsid w:val="00CB146D"/>
    <w:rsid w:val="00CB1726"/>
    <w:rsid w:val="00CB17A6"/>
    <w:rsid w:val="00CB1C2E"/>
    <w:rsid w:val="00CB2240"/>
    <w:rsid w:val="00CB269B"/>
    <w:rsid w:val="00CB26CB"/>
    <w:rsid w:val="00CB2D5B"/>
    <w:rsid w:val="00CB30BB"/>
    <w:rsid w:val="00CB316C"/>
    <w:rsid w:val="00CB4104"/>
    <w:rsid w:val="00CB4472"/>
    <w:rsid w:val="00CB452C"/>
    <w:rsid w:val="00CB47F2"/>
    <w:rsid w:val="00CB4AF0"/>
    <w:rsid w:val="00CB4D7E"/>
    <w:rsid w:val="00CB5B6C"/>
    <w:rsid w:val="00CB6202"/>
    <w:rsid w:val="00CB6240"/>
    <w:rsid w:val="00CB64F3"/>
    <w:rsid w:val="00CB6938"/>
    <w:rsid w:val="00CB6DA0"/>
    <w:rsid w:val="00CB787D"/>
    <w:rsid w:val="00CB7CA5"/>
    <w:rsid w:val="00CC053A"/>
    <w:rsid w:val="00CC0B29"/>
    <w:rsid w:val="00CC1158"/>
    <w:rsid w:val="00CC140F"/>
    <w:rsid w:val="00CC1D02"/>
    <w:rsid w:val="00CC2729"/>
    <w:rsid w:val="00CC38B8"/>
    <w:rsid w:val="00CC393D"/>
    <w:rsid w:val="00CC496B"/>
    <w:rsid w:val="00CC4D5B"/>
    <w:rsid w:val="00CC5254"/>
    <w:rsid w:val="00CC56AD"/>
    <w:rsid w:val="00CC60AF"/>
    <w:rsid w:val="00CC614B"/>
    <w:rsid w:val="00CC655D"/>
    <w:rsid w:val="00CC66E5"/>
    <w:rsid w:val="00CC6AEE"/>
    <w:rsid w:val="00CC6C5F"/>
    <w:rsid w:val="00CC6F24"/>
    <w:rsid w:val="00CC73C0"/>
    <w:rsid w:val="00CC78C4"/>
    <w:rsid w:val="00CC7D16"/>
    <w:rsid w:val="00CD0282"/>
    <w:rsid w:val="00CD04A3"/>
    <w:rsid w:val="00CD1086"/>
    <w:rsid w:val="00CD1140"/>
    <w:rsid w:val="00CD25A9"/>
    <w:rsid w:val="00CD2709"/>
    <w:rsid w:val="00CD3DD1"/>
    <w:rsid w:val="00CD402F"/>
    <w:rsid w:val="00CD43BA"/>
    <w:rsid w:val="00CD4DF0"/>
    <w:rsid w:val="00CD5967"/>
    <w:rsid w:val="00CD5B0F"/>
    <w:rsid w:val="00CD689D"/>
    <w:rsid w:val="00CD6B19"/>
    <w:rsid w:val="00CD7115"/>
    <w:rsid w:val="00CD7927"/>
    <w:rsid w:val="00CD7EDC"/>
    <w:rsid w:val="00CE072C"/>
    <w:rsid w:val="00CE157E"/>
    <w:rsid w:val="00CE170A"/>
    <w:rsid w:val="00CE1827"/>
    <w:rsid w:val="00CE197A"/>
    <w:rsid w:val="00CE1EB8"/>
    <w:rsid w:val="00CE2263"/>
    <w:rsid w:val="00CE2A6D"/>
    <w:rsid w:val="00CE2B5A"/>
    <w:rsid w:val="00CE2FC0"/>
    <w:rsid w:val="00CE34CC"/>
    <w:rsid w:val="00CE3681"/>
    <w:rsid w:val="00CE3861"/>
    <w:rsid w:val="00CE3D35"/>
    <w:rsid w:val="00CE42C3"/>
    <w:rsid w:val="00CE4658"/>
    <w:rsid w:val="00CE47C5"/>
    <w:rsid w:val="00CE4CF5"/>
    <w:rsid w:val="00CE4E90"/>
    <w:rsid w:val="00CE4FD4"/>
    <w:rsid w:val="00CE5BFC"/>
    <w:rsid w:val="00CE6377"/>
    <w:rsid w:val="00CE6482"/>
    <w:rsid w:val="00CE666F"/>
    <w:rsid w:val="00CE7835"/>
    <w:rsid w:val="00CE79FC"/>
    <w:rsid w:val="00CE7D57"/>
    <w:rsid w:val="00CF038B"/>
    <w:rsid w:val="00CF06B0"/>
    <w:rsid w:val="00CF070A"/>
    <w:rsid w:val="00CF094B"/>
    <w:rsid w:val="00CF0B9F"/>
    <w:rsid w:val="00CF0DBD"/>
    <w:rsid w:val="00CF1A3E"/>
    <w:rsid w:val="00CF3E47"/>
    <w:rsid w:val="00CF40B0"/>
    <w:rsid w:val="00CF48F1"/>
    <w:rsid w:val="00CF549E"/>
    <w:rsid w:val="00CF5D5C"/>
    <w:rsid w:val="00CF7293"/>
    <w:rsid w:val="00CF7E10"/>
    <w:rsid w:val="00CF7E68"/>
    <w:rsid w:val="00D0064F"/>
    <w:rsid w:val="00D00734"/>
    <w:rsid w:val="00D01441"/>
    <w:rsid w:val="00D01685"/>
    <w:rsid w:val="00D0188C"/>
    <w:rsid w:val="00D01A8D"/>
    <w:rsid w:val="00D01BF4"/>
    <w:rsid w:val="00D01D77"/>
    <w:rsid w:val="00D01ECC"/>
    <w:rsid w:val="00D038CF"/>
    <w:rsid w:val="00D03CB6"/>
    <w:rsid w:val="00D05825"/>
    <w:rsid w:val="00D05D22"/>
    <w:rsid w:val="00D06C76"/>
    <w:rsid w:val="00D06E59"/>
    <w:rsid w:val="00D06E75"/>
    <w:rsid w:val="00D106F9"/>
    <w:rsid w:val="00D11445"/>
    <w:rsid w:val="00D11510"/>
    <w:rsid w:val="00D1242B"/>
    <w:rsid w:val="00D12660"/>
    <w:rsid w:val="00D12705"/>
    <w:rsid w:val="00D13434"/>
    <w:rsid w:val="00D14E71"/>
    <w:rsid w:val="00D15A86"/>
    <w:rsid w:val="00D15AD7"/>
    <w:rsid w:val="00D160F6"/>
    <w:rsid w:val="00D16AA2"/>
    <w:rsid w:val="00D16D53"/>
    <w:rsid w:val="00D1733D"/>
    <w:rsid w:val="00D2028D"/>
    <w:rsid w:val="00D20BE2"/>
    <w:rsid w:val="00D20C5B"/>
    <w:rsid w:val="00D20DC5"/>
    <w:rsid w:val="00D212B4"/>
    <w:rsid w:val="00D215CB"/>
    <w:rsid w:val="00D21A36"/>
    <w:rsid w:val="00D21D08"/>
    <w:rsid w:val="00D2239D"/>
    <w:rsid w:val="00D22E4E"/>
    <w:rsid w:val="00D22EFC"/>
    <w:rsid w:val="00D23032"/>
    <w:rsid w:val="00D235BB"/>
    <w:rsid w:val="00D23641"/>
    <w:rsid w:val="00D247AC"/>
    <w:rsid w:val="00D24CDB"/>
    <w:rsid w:val="00D24E51"/>
    <w:rsid w:val="00D2529A"/>
    <w:rsid w:val="00D26A78"/>
    <w:rsid w:val="00D26B7E"/>
    <w:rsid w:val="00D27F50"/>
    <w:rsid w:val="00D30301"/>
    <w:rsid w:val="00D30BA5"/>
    <w:rsid w:val="00D30FB0"/>
    <w:rsid w:val="00D31F1E"/>
    <w:rsid w:val="00D32434"/>
    <w:rsid w:val="00D32B3E"/>
    <w:rsid w:val="00D32B83"/>
    <w:rsid w:val="00D333A3"/>
    <w:rsid w:val="00D33929"/>
    <w:rsid w:val="00D340C2"/>
    <w:rsid w:val="00D341E8"/>
    <w:rsid w:val="00D3424A"/>
    <w:rsid w:val="00D34A15"/>
    <w:rsid w:val="00D34EDA"/>
    <w:rsid w:val="00D35261"/>
    <w:rsid w:val="00D35AC7"/>
    <w:rsid w:val="00D35E21"/>
    <w:rsid w:val="00D366E3"/>
    <w:rsid w:val="00D3675D"/>
    <w:rsid w:val="00D36E40"/>
    <w:rsid w:val="00D371DF"/>
    <w:rsid w:val="00D37597"/>
    <w:rsid w:val="00D3770C"/>
    <w:rsid w:val="00D37871"/>
    <w:rsid w:val="00D37D54"/>
    <w:rsid w:val="00D4062F"/>
    <w:rsid w:val="00D40FBF"/>
    <w:rsid w:val="00D41008"/>
    <w:rsid w:val="00D413B1"/>
    <w:rsid w:val="00D41837"/>
    <w:rsid w:val="00D41DD5"/>
    <w:rsid w:val="00D42733"/>
    <w:rsid w:val="00D4298E"/>
    <w:rsid w:val="00D42E15"/>
    <w:rsid w:val="00D42F08"/>
    <w:rsid w:val="00D42F6F"/>
    <w:rsid w:val="00D42FD9"/>
    <w:rsid w:val="00D43E52"/>
    <w:rsid w:val="00D454D5"/>
    <w:rsid w:val="00D454DD"/>
    <w:rsid w:val="00D457F7"/>
    <w:rsid w:val="00D459EA"/>
    <w:rsid w:val="00D46467"/>
    <w:rsid w:val="00D46506"/>
    <w:rsid w:val="00D46E94"/>
    <w:rsid w:val="00D475B3"/>
    <w:rsid w:val="00D47862"/>
    <w:rsid w:val="00D47D04"/>
    <w:rsid w:val="00D508C6"/>
    <w:rsid w:val="00D50982"/>
    <w:rsid w:val="00D51401"/>
    <w:rsid w:val="00D52297"/>
    <w:rsid w:val="00D540E8"/>
    <w:rsid w:val="00D5491D"/>
    <w:rsid w:val="00D54F7E"/>
    <w:rsid w:val="00D55416"/>
    <w:rsid w:val="00D5553F"/>
    <w:rsid w:val="00D566E3"/>
    <w:rsid w:val="00D56D7C"/>
    <w:rsid w:val="00D56EFA"/>
    <w:rsid w:val="00D575EE"/>
    <w:rsid w:val="00D579CB"/>
    <w:rsid w:val="00D60602"/>
    <w:rsid w:val="00D60CBA"/>
    <w:rsid w:val="00D61506"/>
    <w:rsid w:val="00D616F0"/>
    <w:rsid w:val="00D620A9"/>
    <w:rsid w:val="00D63A20"/>
    <w:rsid w:val="00D64D6E"/>
    <w:rsid w:val="00D64E5B"/>
    <w:rsid w:val="00D6620B"/>
    <w:rsid w:val="00D6777E"/>
    <w:rsid w:val="00D67B1E"/>
    <w:rsid w:val="00D7074C"/>
    <w:rsid w:val="00D70C69"/>
    <w:rsid w:val="00D71248"/>
    <w:rsid w:val="00D714B0"/>
    <w:rsid w:val="00D717E0"/>
    <w:rsid w:val="00D718F8"/>
    <w:rsid w:val="00D72201"/>
    <w:rsid w:val="00D7247B"/>
    <w:rsid w:val="00D7288B"/>
    <w:rsid w:val="00D7292B"/>
    <w:rsid w:val="00D72A73"/>
    <w:rsid w:val="00D73974"/>
    <w:rsid w:val="00D7506D"/>
    <w:rsid w:val="00D75134"/>
    <w:rsid w:val="00D75137"/>
    <w:rsid w:val="00D75824"/>
    <w:rsid w:val="00D75BDB"/>
    <w:rsid w:val="00D75FCB"/>
    <w:rsid w:val="00D762FA"/>
    <w:rsid w:val="00D76E6E"/>
    <w:rsid w:val="00D770D4"/>
    <w:rsid w:val="00D775BA"/>
    <w:rsid w:val="00D776A2"/>
    <w:rsid w:val="00D77D32"/>
    <w:rsid w:val="00D80497"/>
    <w:rsid w:val="00D8114F"/>
    <w:rsid w:val="00D82296"/>
    <w:rsid w:val="00D83163"/>
    <w:rsid w:val="00D842A0"/>
    <w:rsid w:val="00D8485B"/>
    <w:rsid w:val="00D852C0"/>
    <w:rsid w:val="00D85640"/>
    <w:rsid w:val="00D85722"/>
    <w:rsid w:val="00D86326"/>
    <w:rsid w:val="00D866E0"/>
    <w:rsid w:val="00D86E65"/>
    <w:rsid w:val="00D87943"/>
    <w:rsid w:val="00D87967"/>
    <w:rsid w:val="00D9109C"/>
    <w:rsid w:val="00D9151A"/>
    <w:rsid w:val="00D91610"/>
    <w:rsid w:val="00D9171F"/>
    <w:rsid w:val="00D91F6B"/>
    <w:rsid w:val="00D92075"/>
    <w:rsid w:val="00D92246"/>
    <w:rsid w:val="00D92F83"/>
    <w:rsid w:val="00D932BC"/>
    <w:rsid w:val="00D93493"/>
    <w:rsid w:val="00D934AA"/>
    <w:rsid w:val="00D93EA4"/>
    <w:rsid w:val="00D93EE7"/>
    <w:rsid w:val="00D93F43"/>
    <w:rsid w:val="00D942BD"/>
    <w:rsid w:val="00D943A8"/>
    <w:rsid w:val="00D9524E"/>
    <w:rsid w:val="00D95850"/>
    <w:rsid w:val="00D95B7C"/>
    <w:rsid w:val="00D9615E"/>
    <w:rsid w:val="00D971CF"/>
    <w:rsid w:val="00D973ED"/>
    <w:rsid w:val="00DA04C2"/>
    <w:rsid w:val="00DA0848"/>
    <w:rsid w:val="00DA11B2"/>
    <w:rsid w:val="00DA15D8"/>
    <w:rsid w:val="00DA170E"/>
    <w:rsid w:val="00DA1935"/>
    <w:rsid w:val="00DA1A05"/>
    <w:rsid w:val="00DA41CA"/>
    <w:rsid w:val="00DA53E8"/>
    <w:rsid w:val="00DA64B3"/>
    <w:rsid w:val="00DA6D6D"/>
    <w:rsid w:val="00DA7164"/>
    <w:rsid w:val="00DA7331"/>
    <w:rsid w:val="00DA75D7"/>
    <w:rsid w:val="00DA7B28"/>
    <w:rsid w:val="00DB031C"/>
    <w:rsid w:val="00DB089A"/>
    <w:rsid w:val="00DB139D"/>
    <w:rsid w:val="00DB1B99"/>
    <w:rsid w:val="00DB1C2D"/>
    <w:rsid w:val="00DB23AF"/>
    <w:rsid w:val="00DB2597"/>
    <w:rsid w:val="00DB2669"/>
    <w:rsid w:val="00DB26BC"/>
    <w:rsid w:val="00DB2A51"/>
    <w:rsid w:val="00DB2D70"/>
    <w:rsid w:val="00DB2F9D"/>
    <w:rsid w:val="00DB329A"/>
    <w:rsid w:val="00DB3382"/>
    <w:rsid w:val="00DB3D4F"/>
    <w:rsid w:val="00DB5782"/>
    <w:rsid w:val="00DB6A6D"/>
    <w:rsid w:val="00DB6F57"/>
    <w:rsid w:val="00DB7374"/>
    <w:rsid w:val="00DB7726"/>
    <w:rsid w:val="00DB7AE8"/>
    <w:rsid w:val="00DB7F96"/>
    <w:rsid w:val="00DC0726"/>
    <w:rsid w:val="00DC0964"/>
    <w:rsid w:val="00DC0FB3"/>
    <w:rsid w:val="00DC119D"/>
    <w:rsid w:val="00DC1835"/>
    <w:rsid w:val="00DC1B9A"/>
    <w:rsid w:val="00DC2CAC"/>
    <w:rsid w:val="00DC2CE1"/>
    <w:rsid w:val="00DC2D12"/>
    <w:rsid w:val="00DC2D22"/>
    <w:rsid w:val="00DC3EF2"/>
    <w:rsid w:val="00DC4B89"/>
    <w:rsid w:val="00DC5AE2"/>
    <w:rsid w:val="00DC633E"/>
    <w:rsid w:val="00DC63AB"/>
    <w:rsid w:val="00DC696F"/>
    <w:rsid w:val="00DC6C32"/>
    <w:rsid w:val="00DC6EE4"/>
    <w:rsid w:val="00DC6F2D"/>
    <w:rsid w:val="00DC700C"/>
    <w:rsid w:val="00DC728E"/>
    <w:rsid w:val="00DC79A1"/>
    <w:rsid w:val="00DC7E88"/>
    <w:rsid w:val="00DD0F9B"/>
    <w:rsid w:val="00DD10D3"/>
    <w:rsid w:val="00DD1112"/>
    <w:rsid w:val="00DD15A0"/>
    <w:rsid w:val="00DD188D"/>
    <w:rsid w:val="00DD1C89"/>
    <w:rsid w:val="00DD1ED1"/>
    <w:rsid w:val="00DD1F05"/>
    <w:rsid w:val="00DD23C7"/>
    <w:rsid w:val="00DD26D7"/>
    <w:rsid w:val="00DD2700"/>
    <w:rsid w:val="00DD353B"/>
    <w:rsid w:val="00DD37D3"/>
    <w:rsid w:val="00DD3D99"/>
    <w:rsid w:val="00DD4452"/>
    <w:rsid w:val="00DD5034"/>
    <w:rsid w:val="00DD6179"/>
    <w:rsid w:val="00DD63E7"/>
    <w:rsid w:val="00DD6DC2"/>
    <w:rsid w:val="00DD6FA4"/>
    <w:rsid w:val="00DD7B6A"/>
    <w:rsid w:val="00DE030F"/>
    <w:rsid w:val="00DE0CDA"/>
    <w:rsid w:val="00DE1028"/>
    <w:rsid w:val="00DE186A"/>
    <w:rsid w:val="00DE18E7"/>
    <w:rsid w:val="00DE1C00"/>
    <w:rsid w:val="00DE1D74"/>
    <w:rsid w:val="00DE1EA0"/>
    <w:rsid w:val="00DE27B8"/>
    <w:rsid w:val="00DE2F29"/>
    <w:rsid w:val="00DE3008"/>
    <w:rsid w:val="00DE3811"/>
    <w:rsid w:val="00DE4388"/>
    <w:rsid w:val="00DE4674"/>
    <w:rsid w:val="00DE4B65"/>
    <w:rsid w:val="00DE4E27"/>
    <w:rsid w:val="00DE4EC6"/>
    <w:rsid w:val="00DE52D0"/>
    <w:rsid w:val="00DE688A"/>
    <w:rsid w:val="00DE7367"/>
    <w:rsid w:val="00DE744E"/>
    <w:rsid w:val="00DE747A"/>
    <w:rsid w:val="00DF0179"/>
    <w:rsid w:val="00DF091F"/>
    <w:rsid w:val="00DF095B"/>
    <w:rsid w:val="00DF123B"/>
    <w:rsid w:val="00DF19CB"/>
    <w:rsid w:val="00DF1E9C"/>
    <w:rsid w:val="00DF2266"/>
    <w:rsid w:val="00DF27E2"/>
    <w:rsid w:val="00DF283A"/>
    <w:rsid w:val="00DF2BDE"/>
    <w:rsid w:val="00DF2E00"/>
    <w:rsid w:val="00DF38B2"/>
    <w:rsid w:val="00DF418F"/>
    <w:rsid w:val="00DF44D1"/>
    <w:rsid w:val="00DF506D"/>
    <w:rsid w:val="00DF5CA6"/>
    <w:rsid w:val="00DF65CE"/>
    <w:rsid w:val="00DF6659"/>
    <w:rsid w:val="00DF74E1"/>
    <w:rsid w:val="00DF75D7"/>
    <w:rsid w:val="00DF79B5"/>
    <w:rsid w:val="00E00E88"/>
    <w:rsid w:val="00E0230A"/>
    <w:rsid w:val="00E0274F"/>
    <w:rsid w:val="00E02797"/>
    <w:rsid w:val="00E02A43"/>
    <w:rsid w:val="00E037B9"/>
    <w:rsid w:val="00E04002"/>
    <w:rsid w:val="00E04574"/>
    <w:rsid w:val="00E04600"/>
    <w:rsid w:val="00E05341"/>
    <w:rsid w:val="00E05603"/>
    <w:rsid w:val="00E07B30"/>
    <w:rsid w:val="00E07FF6"/>
    <w:rsid w:val="00E10289"/>
    <w:rsid w:val="00E102A4"/>
    <w:rsid w:val="00E10466"/>
    <w:rsid w:val="00E10E03"/>
    <w:rsid w:val="00E113A9"/>
    <w:rsid w:val="00E11CDA"/>
    <w:rsid w:val="00E11E0D"/>
    <w:rsid w:val="00E11FF7"/>
    <w:rsid w:val="00E1228A"/>
    <w:rsid w:val="00E12703"/>
    <w:rsid w:val="00E12855"/>
    <w:rsid w:val="00E1287A"/>
    <w:rsid w:val="00E12C08"/>
    <w:rsid w:val="00E140CF"/>
    <w:rsid w:val="00E14395"/>
    <w:rsid w:val="00E143B0"/>
    <w:rsid w:val="00E146C5"/>
    <w:rsid w:val="00E1517A"/>
    <w:rsid w:val="00E162FB"/>
    <w:rsid w:val="00E16360"/>
    <w:rsid w:val="00E1672C"/>
    <w:rsid w:val="00E16832"/>
    <w:rsid w:val="00E16D28"/>
    <w:rsid w:val="00E1738F"/>
    <w:rsid w:val="00E17564"/>
    <w:rsid w:val="00E1763D"/>
    <w:rsid w:val="00E17AE4"/>
    <w:rsid w:val="00E17DD8"/>
    <w:rsid w:val="00E17E29"/>
    <w:rsid w:val="00E204A1"/>
    <w:rsid w:val="00E20551"/>
    <w:rsid w:val="00E20A33"/>
    <w:rsid w:val="00E20F36"/>
    <w:rsid w:val="00E21222"/>
    <w:rsid w:val="00E21315"/>
    <w:rsid w:val="00E21675"/>
    <w:rsid w:val="00E21CB9"/>
    <w:rsid w:val="00E21F1A"/>
    <w:rsid w:val="00E24559"/>
    <w:rsid w:val="00E24588"/>
    <w:rsid w:val="00E24F12"/>
    <w:rsid w:val="00E25372"/>
    <w:rsid w:val="00E25769"/>
    <w:rsid w:val="00E262A2"/>
    <w:rsid w:val="00E26831"/>
    <w:rsid w:val="00E26915"/>
    <w:rsid w:val="00E273C8"/>
    <w:rsid w:val="00E302C5"/>
    <w:rsid w:val="00E30D0E"/>
    <w:rsid w:val="00E30D9B"/>
    <w:rsid w:val="00E30E84"/>
    <w:rsid w:val="00E30EFB"/>
    <w:rsid w:val="00E32500"/>
    <w:rsid w:val="00E32A3E"/>
    <w:rsid w:val="00E3359A"/>
    <w:rsid w:val="00E33DEC"/>
    <w:rsid w:val="00E33F1E"/>
    <w:rsid w:val="00E341CA"/>
    <w:rsid w:val="00E3434D"/>
    <w:rsid w:val="00E34AA1"/>
    <w:rsid w:val="00E34FF8"/>
    <w:rsid w:val="00E35622"/>
    <w:rsid w:val="00E3577D"/>
    <w:rsid w:val="00E357B6"/>
    <w:rsid w:val="00E357E2"/>
    <w:rsid w:val="00E35EEC"/>
    <w:rsid w:val="00E35F07"/>
    <w:rsid w:val="00E3702B"/>
    <w:rsid w:val="00E37905"/>
    <w:rsid w:val="00E415E0"/>
    <w:rsid w:val="00E41802"/>
    <w:rsid w:val="00E41E23"/>
    <w:rsid w:val="00E42287"/>
    <w:rsid w:val="00E42FD6"/>
    <w:rsid w:val="00E43557"/>
    <w:rsid w:val="00E43D30"/>
    <w:rsid w:val="00E448C5"/>
    <w:rsid w:val="00E448D2"/>
    <w:rsid w:val="00E4570F"/>
    <w:rsid w:val="00E460CA"/>
    <w:rsid w:val="00E46D0E"/>
    <w:rsid w:val="00E47B33"/>
    <w:rsid w:val="00E47DC1"/>
    <w:rsid w:val="00E47DCF"/>
    <w:rsid w:val="00E5021C"/>
    <w:rsid w:val="00E5072B"/>
    <w:rsid w:val="00E517A4"/>
    <w:rsid w:val="00E51DD2"/>
    <w:rsid w:val="00E51DEB"/>
    <w:rsid w:val="00E52112"/>
    <w:rsid w:val="00E5246A"/>
    <w:rsid w:val="00E52E7C"/>
    <w:rsid w:val="00E5308E"/>
    <w:rsid w:val="00E53863"/>
    <w:rsid w:val="00E540F6"/>
    <w:rsid w:val="00E545BB"/>
    <w:rsid w:val="00E555B3"/>
    <w:rsid w:val="00E55AA3"/>
    <w:rsid w:val="00E55EE6"/>
    <w:rsid w:val="00E565F9"/>
    <w:rsid w:val="00E56765"/>
    <w:rsid w:val="00E57555"/>
    <w:rsid w:val="00E60C0E"/>
    <w:rsid w:val="00E60C6E"/>
    <w:rsid w:val="00E615F1"/>
    <w:rsid w:val="00E62307"/>
    <w:rsid w:val="00E62906"/>
    <w:rsid w:val="00E6297C"/>
    <w:rsid w:val="00E6333E"/>
    <w:rsid w:val="00E644DA"/>
    <w:rsid w:val="00E648DE"/>
    <w:rsid w:val="00E64B5D"/>
    <w:rsid w:val="00E65800"/>
    <w:rsid w:val="00E660D7"/>
    <w:rsid w:val="00E66813"/>
    <w:rsid w:val="00E672FC"/>
    <w:rsid w:val="00E67511"/>
    <w:rsid w:val="00E70192"/>
    <w:rsid w:val="00E7156D"/>
    <w:rsid w:val="00E716DA"/>
    <w:rsid w:val="00E7295C"/>
    <w:rsid w:val="00E73092"/>
    <w:rsid w:val="00E736A8"/>
    <w:rsid w:val="00E73F2F"/>
    <w:rsid w:val="00E746D9"/>
    <w:rsid w:val="00E7478F"/>
    <w:rsid w:val="00E7646B"/>
    <w:rsid w:val="00E76B50"/>
    <w:rsid w:val="00E76C37"/>
    <w:rsid w:val="00E76F8D"/>
    <w:rsid w:val="00E77F89"/>
    <w:rsid w:val="00E80813"/>
    <w:rsid w:val="00E80E96"/>
    <w:rsid w:val="00E80F7E"/>
    <w:rsid w:val="00E8112A"/>
    <w:rsid w:val="00E81D62"/>
    <w:rsid w:val="00E82648"/>
    <w:rsid w:val="00E82715"/>
    <w:rsid w:val="00E82A68"/>
    <w:rsid w:val="00E82BE0"/>
    <w:rsid w:val="00E82CCA"/>
    <w:rsid w:val="00E835EF"/>
    <w:rsid w:val="00E83F0E"/>
    <w:rsid w:val="00E84292"/>
    <w:rsid w:val="00E85A98"/>
    <w:rsid w:val="00E85C4A"/>
    <w:rsid w:val="00E86108"/>
    <w:rsid w:val="00E86234"/>
    <w:rsid w:val="00E8704C"/>
    <w:rsid w:val="00E874C1"/>
    <w:rsid w:val="00E908F1"/>
    <w:rsid w:val="00E911E7"/>
    <w:rsid w:val="00E91214"/>
    <w:rsid w:val="00E918FB"/>
    <w:rsid w:val="00E92615"/>
    <w:rsid w:val="00E92783"/>
    <w:rsid w:val="00E93126"/>
    <w:rsid w:val="00E93620"/>
    <w:rsid w:val="00E940E9"/>
    <w:rsid w:val="00E941E9"/>
    <w:rsid w:val="00E942FC"/>
    <w:rsid w:val="00E94833"/>
    <w:rsid w:val="00E9547C"/>
    <w:rsid w:val="00E96314"/>
    <w:rsid w:val="00E9647E"/>
    <w:rsid w:val="00E967CC"/>
    <w:rsid w:val="00E96A5D"/>
    <w:rsid w:val="00E97242"/>
    <w:rsid w:val="00EA00AA"/>
    <w:rsid w:val="00EA1411"/>
    <w:rsid w:val="00EA17BA"/>
    <w:rsid w:val="00EA21AC"/>
    <w:rsid w:val="00EA3C38"/>
    <w:rsid w:val="00EA42BB"/>
    <w:rsid w:val="00EA4333"/>
    <w:rsid w:val="00EA4A43"/>
    <w:rsid w:val="00EA4D02"/>
    <w:rsid w:val="00EA5802"/>
    <w:rsid w:val="00EA61A9"/>
    <w:rsid w:val="00EA6D42"/>
    <w:rsid w:val="00EA70F7"/>
    <w:rsid w:val="00EA7A9A"/>
    <w:rsid w:val="00EA7F30"/>
    <w:rsid w:val="00EA7FD5"/>
    <w:rsid w:val="00EB20E1"/>
    <w:rsid w:val="00EB237A"/>
    <w:rsid w:val="00EB2AD4"/>
    <w:rsid w:val="00EB2B38"/>
    <w:rsid w:val="00EB3850"/>
    <w:rsid w:val="00EB3D7D"/>
    <w:rsid w:val="00EB51F1"/>
    <w:rsid w:val="00EB55B4"/>
    <w:rsid w:val="00EB5832"/>
    <w:rsid w:val="00EB6AD6"/>
    <w:rsid w:val="00EB6D30"/>
    <w:rsid w:val="00EB72EB"/>
    <w:rsid w:val="00EB7882"/>
    <w:rsid w:val="00EB7FD7"/>
    <w:rsid w:val="00EC01AB"/>
    <w:rsid w:val="00EC03E3"/>
    <w:rsid w:val="00EC0401"/>
    <w:rsid w:val="00EC0CD0"/>
    <w:rsid w:val="00EC13A6"/>
    <w:rsid w:val="00EC145F"/>
    <w:rsid w:val="00EC2A81"/>
    <w:rsid w:val="00EC2E70"/>
    <w:rsid w:val="00EC2E7A"/>
    <w:rsid w:val="00EC2F1D"/>
    <w:rsid w:val="00EC31B9"/>
    <w:rsid w:val="00EC3565"/>
    <w:rsid w:val="00EC364F"/>
    <w:rsid w:val="00EC541B"/>
    <w:rsid w:val="00EC5D8E"/>
    <w:rsid w:val="00EC5DF8"/>
    <w:rsid w:val="00EC5E4E"/>
    <w:rsid w:val="00EC67FE"/>
    <w:rsid w:val="00EC69EC"/>
    <w:rsid w:val="00EC6C67"/>
    <w:rsid w:val="00EC77A4"/>
    <w:rsid w:val="00EC7C65"/>
    <w:rsid w:val="00EC7FB2"/>
    <w:rsid w:val="00ED018C"/>
    <w:rsid w:val="00ED0672"/>
    <w:rsid w:val="00ED076A"/>
    <w:rsid w:val="00ED0EC4"/>
    <w:rsid w:val="00ED1536"/>
    <w:rsid w:val="00ED1560"/>
    <w:rsid w:val="00ED1843"/>
    <w:rsid w:val="00ED1A1B"/>
    <w:rsid w:val="00ED21F1"/>
    <w:rsid w:val="00ED293F"/>
    <w:rsid w:val="00ED2ACF"/>
    <w:rsid w:val="00ED333F"/>
    <w:rsid w:val="00ED3954"/>
    <w:rsid w:val="00ED3EE1"/>
    <w:rsid w:val="00ED4561"/>
    <w:rsid w:val="00ED515B"/>
    <w:rsid w:val="00ED5B04"/>
    <w:rsid w:val="00ED5CF0"/>
    <w:rsid w:val="00ED5FA6"/>
    <w:rsid w:val="00ED5FC2"/>
    <w:rsid w:val="00ED60BB"/>
    <w:rsid w:val="00ED6219"/>
    <w:rsid w:val="00ED6A43"/>
    <w:rsid w:val="00ED6C96"/>
    <w:rsid w:val="00ED6FA1"/>
    <w:rsid w:val="00ED70CE"/>
    <w:rsid w:val="00ED7B8F"/>
    <w:rsid w:val="00EE03AD"/>
    <w:rsid w:val="00EE0E6B"/>
    <w:rsid w:val="00EE148D"/>
    <w:rsid w:val="00EE1E25"/>
    <w:rsid w:val="00EE251C"/>
    <w:rsid w:val="00EE2608"/>
    <w:rsid w:val="00EE26B1"/>
    <w:rsid w:val="00EE31DC"/>
    <w:rsid w:val="00EE3827"/>
    <w:rsid w:val="00EE3A40"/>
    <w:rsid w:val="00EE3BE0"/>
    <w:rsid w:val="00EE587A"/>
    <w:rsid w:val="00EE5B1F"/>
    <w:rsid w:val="00EE5ECA"/>
    <w:rsid w:val="00EE65ED"/>
    <w:rsid w:val="00EE68D4"/>
    <w:rsid w:val="00EE6FBA"/>
    <w:rsid w:val="00EE7033"/>
    <w:rsid w:val="00EE7BE9"/>
    <w:rsid w:val="00EF01E6"/>
    <w:rsid w:val="00EF0B6E"/>
    <w:rsid w:val="00EF1A72"/>
    <w:rsid w:val="00EF1BDF"/>
    <w:rsid w:val="00EF1E5A"/>
    <w:rsid w:val="00EF26F4"/>
    <w:rsid w:val="00EF27B9"/>
    <w:rsid w:val="00EF2F7D"/>
    <w:rsid w:val="00EF3085"/>
    <w:rsid w:val="00EF3919"/>
    <w:rsid w:val="00EF3DA8"/>
    <w:rsid w:val="00EF45C2"/>
    <w:rsid w:val="00EF4EF1"/>
    <w:rsid w:val="00EF5862"/>
    <w:rsid w:val="00EF5B1C"/>
    <w:rsid w:val="00EF5D2E"/>
    <w:rsid w:val="00EF6404"/>
    <w:rsid w:val="00EF6739"/>
    <w:rsid w:val="00EF70F6"/>
    <w:rsid w:val="00EF76F7"/>
    <w:rsid w:val="00EF7867"/>
    <w:rsid w:val="00F00644"/>
    <w:rsid w:val="00F00981"/>
    <w:rsid w:val="00F011D9"/>
    <w:rsid w:val="00F013BF"/>
    <w:rsid w:val="00F0199B"/>
    <w:rsid w:val="00F02313"/>
    <w:rsid w:val="00F02346"/>
    <w:rsid w:val="00F023F5"/>
    <w:rsid w:val="00F024F9"/>
    <w:rsid w:val="00F02D9C"/>
    <w:rsid w:val="00F02ED8"/>
    <w:rsid w:val="00F02EE5"/>
    <w:rsid w:val="00F02FD2"/>
    <w:rsid w:val="00F035BF"/>
    <w:rsid w:val="00F03E5C"/>
    <w:rsid w:val="00F04207"/>
    <w:rsid w:val="00F0449B"/>
    <w:rsid w:val="00F04936"/>
    <w:rsid w:val="00F04ABF"/>
    <w:rsid w:val="00F04F2B"/>
    <w:rsid w:val="00F05403"/>
    <w:rsid w:val="00F05DDB"/>
    <w:rsid w:val="00F05E97"/>
    <w:rsid w:val="00F06384"/>
    <w:rsid w:val="00F07202"/>
    <w:rsid w:val="00F07659"/>
    <w:rsid w:val="00F1015A"/>
    <w:rsid w:val="00F10282"/>
    <w:rsid w:val="00F10466"/>
    <w:rsid w:val="00F105A2"/>
    <w:rsid w:val="00F10AF4"/>
    <w:rsid w:val="00F1215C"/>
    <w:rsid w:val="00F138C9"/>
    <w:rsid w:val="00F13BCA"/>
    <w:rsid w:val="00F141A5"/>
    <w:rsid w:val="00F14886"/>
    <w:rsid w:val="00F148A9"/>
    <w:rsid w:val="00F14BC7"/>
    <w:rsid w:val="00F14EF2"/>
    <w:rsid w:val="00F151C6"/>
    <w:rsid w:val="00F15754"/>
    <w:rsid w:val="00F15861"/>
    <w:rsid w:val="00F1588F"/>
    <w:rsid w:val="00F158A9"/>
    <w:rsid w:val="00F15AE7"/>
    <w:rsid w:val="00F15B22"/>
    <w:rsid w:val="00F15D1F"/>
    <w:rsid w:val="00F15FFD"/>
    <w:rsid w:val="00F160E3"/>
    <w:rsid w:val="00F1656D"/>
    <w:rsid w:val="00F20468"/>
    <w:rsid w:val="00F20F73"/>
    <w:rsid w:val="00F217ED"/>
    <w:rsid w:val="00F21A84"/>
    <w:rsid w:val="00F22215"/>
    <w:rsid w:val="00F22448"/>
    <w:rsid w:val="00F22CE4"/>
    <w:rsid w:val="00F22D98"/>
    <w:rsid w:val="00F24E4F"/>
    <w:rsid w:val="00F24FAE"/>
    <w:rsid w:val="00F25CFE"/>
    <w:rsid w:val="00F263C9"/>
    <w:rsid w:val="00F2645E"/>
    <w:rsid w:val="00F266ED"/>
    <w:rsid w:val="00F267FD"/>
    <w:rsid w:val="00F26B1B"/>
    <w:rsid w:val="00F27133"/>
    <w:rsid w:val="00F278CD"/>
    <w:rsid w:val="00F27A59"/>
    <w:rsid w:val="00F27D10"/>
    <w:rsid w:val="00F30394"/>
    <w:rsid w:val="00F30B0C"/>
    <w:rsid w:val="00F30E0B"/>
    <w:rsid w:val="00F30F10"/>
    <w:rsid w:val="00F31037"/>
    <w:rsid w:val="00F31B52"/>
    <w:rsid w:val="00F31BA0"/>
    <w:rsid w:val="00F322C2"/>
    <w:rsid w:val="00F32677"/>
    <w:rsid w:val="00F32760"/>
    <w:rsid w:val="00F32C32"/>
    <w:rsid w:val="00F33017"/>
    <w:rsid w:val="00F34745"/>
    <w:rsid w:val="00F358CD"/>
    <w:rsid w:val="00F35ABD"/>
    <w:rsid w:val="00F35DF4"/>
    <w:rsid w:val="00F3606E"/>
    <w:rsid w:val="00F362B2"/>
    <w:rsid w:val="00F3631C"/>
    <w:rsid w:val="00F36718"/>
    <w:rsid w:val="00F377EE"/>
    <w:rsid w:val="00F37C2C"/>
    <w:rsid w:val="00F407D7"/>
    <w:rsid w:val="00F40D50"/>
    <w:rsid w:val="00F4105C"/>
    <w:rsid w:val="00F42645"/>
    <w:rsid w:val="00F42A0F"/>
    <w:rsid w:val="00F43A17"/>
    <w:rsid w:val="00F43C2C"/>
    <w:rsid w:val="00F43DDD"/>
    <w:rsid w:val="00F44B73"/>
    <w:rsid w:val="00F452BC"/>
    <w:rsid w:val="00F4580F"/>
    <w:rsid w:val="00F45A7C"/>
    <w:rsid w:val="00F45F8C"/>
    <w:rsid w:val="00F46671"/>
    <w:rsid w:val="00F466EA"/>
    <w:rsid w:val="00F46B67"/>
    <w:rsid w:val="00F478BF"/>
    <w:rsid w:val="00F47A94"/>
    <w:rsid w:val="00F5064C"/>
    <w:rsid w:val="00F5064E"/>
    <w:rsid w:val="00F506A8"/>
    <w:rsid w:val="00F50900"/>
    <w:rsid w:val="00F51064"/>
    <w:rsid w:val="00F51498"/>
    <w:rsid w:val="00F520BC"/>
    <w:rsid w:val="00F521BD"/>
    <w:rsid w:val="00F522BC"/>
    <w:rsid w:val="00F5376D"/>
    <w:rsid w:val="00F53834"/>
    <w:rsid w:val="00F53CF6"/>
    <w:rsid w:val="00F55466"/>
    <w:rsid w:val="00F55A52"/>
    <w:rsid w:val="00F55E66"/>
    <w:rsid w:val="00F562B3"/>
    <w:rsid w:val="00F56391"/>
    <w:rsid w:val="00F566DA"/>
    <w:rsid w:val="00F571B8"/>
    <w:rsid w:val="00F571CA"/>
    <w:rsid w:val="00F57ACE"/>
    <w:rsid w:val="00F57E81"/>
    <w:rsid w:val="00F60914"/>
    <w:rsid w:val="00F60CF2"/>
    <w:rsid w:val="00F60D7D"/>
    <w:rsid w:val="00F6120D"/>
    <w:rsid w:val="00F61284"/>
    <w:rsid w:val="00F621B4"/>
    <w:rsid w:val="00F62D49"/>
    <w:rsid w:val="00F62F90"/>
    <w:rsid w:val="00F632C6"/>
    <w:rsid w:val="00F63CC0"/>
    <w:rsid w:val="00F63FBF"/>
    <w:rsid w:val="00F642CC"/>
    <w:rsid w:val="00F64617"/>
    <w:rsid w:val="00F64E3D"/>
    <w:rsid w:val="00F64F00"/>
    <w:rsid w:val="00F6585E"/>
    <w:rsid w:val="00F65CB7"/>
    <w:rsid w:val="00F65EFC"/>
    <w:rsid w:val="00F66338"/>
    <w:rsid w:val="00F663D7"/>
    <w:rsid w:val="00F6688E"/>
    <w:rsid w:val="00F66D5C"/>
    <w:rsid w:val="00F66FA6"/>
    <w:rsid w:val="00F678B2"/>
    <w:rsid w:val="00F67D6A"/>
    <w:rsid w:val="00F67DE5"/>
    <w:rsid w:val="00F7049C"/>
    <w:rsid w:val="00F705CA"/>
    <w:rsid w:val="00F707AF"/>
    <w:rsid w:val="00F70B58"/>
    <w:rsid w:val="00F70DBF"/>
    <w:rsid w:val="00F7103C"/>
    <w:rsid w:val="00F71295"/>
    <w:rsid w:val="00F713D3"/>
    <w:rsid w:val="00F719A9"/>
    <w:rsid w:val="00F71DA1"/>
    <w:rsid w:val="00F71E98"/>
    <w:rsid w:val="00F72178"/>
    <w:rsid w:val="00F72910"/>
    <w:rsid w:val="00F730CB"/>
    <w:rsid w:val="00F745AF"/>
    <w:rsid w:val="00F7463C"/>
    <w:rsid w:val="00F74D3E"/>
    <w:rsid w:val="00F75804"/>
    <w:rsid w:val="00F760B5"/>
    <w:rsid w:val="00F76AAE"/>
    <w:rsid w:val="00F76B98"/>
    <w:rsid w:val="00F76CCC"/>
    <w:rsid w:val="00F771F8"/>
    <w:rsid w:val="00F77A3A"/>
    <w:rsid w:val="00F81C50"/>
    <w:rsid w:val="00F8318D"/>
    <w:rsid w:val="00F83EB4"/>
    <w:rsid w:val="00F83EE9"/>
    <w:rsid w:val="00F845F3"/>
    <w:rsid w:val="00F8522E"/>
    <w:rsid w:val="00F85E8A"/>
    <w:rsid w:val="00F86879"/>
    <w:rsid w:val="00F86D25"/>
    <w:rsid w:val="00F86DCC"/>
    <w:rsid w:val="00F87A5C"/>
    <w:rsid w:val="00F87C0D"/>
    <w:rsid w:val="00F905C5"/>
    <w:rsid w:val="00F90F24"/>
    <w:rsid w:val="00F90F40"/>
    <w:rsid w:val="00F91583"/>
    <w:rsid w:val="00F91664"/>
    <w:rsid w:val="00F91957"/>
    <w:rsid w:val="00F92927"/>
    <w:rsid w:val="00F93813"/>
    <w:rsid w:val="00F943D1"/>
    <w:rsid w:val="00F947D6"/>
    <w:rsid w:val="00F951B3"/>
    <w:rsid w:val="00F9589B"/>
    <w:rsid w:val="00F9608A"/>
    <w:rsid w:val="00F96402"/>
    <w:rsid w:val="00F96464"/>
    <w:rsid w:val="00F96A24"/>
    <w:rsid w:val="00F96AC5"/>
    <w:rsid w:val="00F96F68"/>
    <w:rsid w:val="00F97135"/>
    <w:rsid w:val="00FA0244"/>
    <w:rsid w:val="00FA0AD2"/>
    <w:rsid w:val="00FA1291"/>
    <w:rsid w:val="00FA19FD"/>
    <w:rsid w:val="00FA1B93"/>
    <w:rsid w:val="00FA1CA1"/>
    <w:rsid w:val="00FA1DAF"/>
    <w:rsid w:val="00FA231A"/>
    <w:rsid w:val="00FA2592"/>
    <w:rsid w:val="00FA3A2C"/>
    <w:rsid w:val="00FA3C0F"/>
    <w:rsid w:val="00FA43BA"/>
    <w:rsid w:val="00FA440E"/>
    <w:rsid w:val="00FA5783"/>
    <w:rsid w:val="00FA5C76"/>
    <w:rsid w:val="00FA6075"/>
    <w:rsid w:val="00FA6204"/>
    <w:rsid w:val="00FA629A"/>
    <w:rsid w:val="00FA62BD"/>
    <w:rsid w:val="00FA73FB"/>
    <w:rsid w:val="00FB079D"/>
    <w:rsid w:val="00FB0DC0"/>
    <w:rsid w:val="00FB1031"/>
    <w:rsid w:val="00FB1B53"/>
    <w:rsid w:val="00FB2730"/>
    <w:rsid w:val="00FB2D6D"/>
    <w:rsid w:val="00FB3352"/>
    <w:rsid w:val="00FB38F1"/>
    <w:rsid w:val="00FB3A2C"/>
    <w:rsid w:val="00FB3CA4"/>
    <w:rsid w:val="00FB454C"/>
    <w:rsid w:val="00FB4866"/>
    <w:rsid w:val="00FB564A"/>
    <w:rsid w:val="00FB6821"/>
    <w:rsid w:val="00FB6F73"/>
    <w:rsid w:val="00FB7113"/>
    <w:rsid w:val="00FB7D2D"/>
    <w:rsid w:val="00FC05D3"/>
    <w:rsid w:val="00FC05D9"/>
    <w:rsid w:val="00FC06DF"/>
    <w:rsid w:val="00FC1863"/>
    <w:rsid w:val="00FC4498"/>
    <w:rsid w:val="00FC4A5C"/>
    <w:rsid w:val="00FC5090"/>
    <w:rsid w:val="00FC5461"/>
    <w:rsid w:val="00FC5662"/>
    <w:rsid w:val="00FC5902"/>
    <w:rsid w:val="00FC5A2E"/>
    <w:rsid w:val="00FC5D02"/>
    <w:rsid w:val="00FC6210"/>
    <w:rsid w:val="00FC641B"/>
    <w:rsid w:val="00FC72CC"/>
    <w:rsid w:val="00FC74F5"/>
    <w:rsid w:val="00FC7563"/>
    <w:rsid w:val="00FC7883"/>
    <w:rsid w:val="00FC7EA1"/>
    <w:rsid w:val="00FD072C"/>
    <w:rsid w:val="00FD0E03"/>
    <w:rsid w:val="00FD0FF3"/>
    <w:rsid w:val="00FD18F5"/>
    <w:rsid w:val="00FD1DBF"/>
    <w:rsid w:val="00FD2196"/>
    <w:rsid w:val="00FD23B7"/>
    <w:rsid w:val="00FD2B8A"/>
    <w:rsid w:val="00FD2CEC"/>
    <w:rsid w:val="00FD32F7"/>
    <w:rsid w:val="00FD3BC4"/>
    <w:rsid w:val="00FD4464"/>
    <w:rsid w:val="00FD4603"/>
    <w:rsid w:val="00FD473C"/>
    <w:rsid w:val="00FD4EF6"/>
    <w:rsid w:val="00FD511D"/>
    <w:rsid w:val="00FD5B73"/>
    <w:rsid w:val="00FD60FD"/>
    <w:rsid w:val="00FD672F"/>
    <w:rsid w:val="00FD681E"/>
    <w:rsid w:val="00FD6AEF"/>
    <w:rsid w:val="00FD7249"/>
    <w:rsid w:val="00FD758A"/>
    <w:rsid w:val="00FD78A2"/>
    <w:rsid w:val="00FD7DCC"/>
    <w:rsid w:val="00FE0346"/>
    <w:rsid w:val="00FE09B7"/>
    <w:rsid w:val="00FE1335"/>
    <w:rsid w:val="00FE1378"/>
    <w:rsid w:val="00FE17CC"/>
    <w:rsid w:val="00FE21AE"/>
    <w:rsid w:val="00FE23DF"/>
    <w:rsid w:val="00FE2E91"/>
    <w:rsid w:val="00FE31D9"/>
    <w:rsid w:val="00FE34E7"/>
    <w:rsid w:val="00FE36E8"/>
    <w:rsid w:val="00FE4066"/>
    <w:rsid w:val="00FE4384"/>
    <w:rsid w:val="00FE47AC"/>
    <w:rsid w:val="00FE6A3F"/>
    <w:rsid w:val="00FE753C"/>
    <w:rsid w:val="00FE778C"/>
    <w:rsid w:val="00FE78F4"/>
    <w:rsid w:val="00FE7ACD"/>
    <w:rsid w:val="00FE7D2F"/>
    <w:rsid w:val="00FF10EB"/>
    <w:rsid w:val="00FF1B3A"/>
    <w:rsid w:val="00FF1BA2"/>
    <w:rsid w:val="00FF1E95"/>
    <w:rsid w:val="00FF30B9"/>
    <w:rsid w:val="00FF360E"/>
    <w:rsid w:val="00FF39CA"/>
    <w:rsid w:val="00FF436E"/>
    <w:rsid w:val="00FF4612"/>
    <w:rsid w:val="00FF5179"/>
    <w:rsid w:val="00FF5816"/>
    <w:rsid w:val="00FF690F"/>
    <w:rsid w:val="00FF74E8"/>
    <w:rsid w:val="00FF75EF"/>
    <w:rsid w:val="00FF7A17"/>
    <w:rsid w:val="00FF7F01"/>
    <w:rsid w:val="01022FD9"/>
    <w:rsid w:val="017E9405"/>
    <w:rsid w:val="01DE2FE0"/>
    <w:rsid w:val="01E10492"/>
    <w:rsid w:val="01F73449"/>
    <w:rsid w:val="01FC6718"/>
    <w:rsid w:val="0261FD33"/>
    <w:rsid w:val="029E0A7D"/>
    <w:rsid w:val="039AB23F"/>
    <w:rsid w:val="03BE96D5"/>
    <w:rsid w:val="042C44BE"/>
    <w:rsid w:val="042DD22E"/>
    <w:rsid w:val="0463A439"/>
    <w:rsid w:val="04846940"/>
    <w:rsid w:val="048BD561"/>
    <w:rsid w:val="04F82507"/>
    <w:rsid w:val="05540F8E"/>
    <w:rsid w:val="0595D256"/>
    <w:rsid w:val="05A7BE2A"/>
    <w:rsid w:val="05B32912"/>
    <w:rsid w:val="05D00E01"/>
    <w:rsid w:val="05DEEB00"/>
    <w:rsid w:val="05E0AAFE"/>
    <w:rsid w:val="05E6E9CB"/>
    <w:rsid w:val="064A04BF"/>
    <w:rsid w:val="069A1DBC"/>
    <w:rsid w:val="06F07767"/>
    <w:rsid w:val="070F58E2"/>
    <w:rsid w:val="076FEA67"/>
    <w:rsid w:val="079CB848"/>
    <w:rsid w:val="07C89261"/>
    <w:rsid w:val="07F58A67"/>
    <w:rsid w:val="084DB97A"/>
    <w:rsid w:val="08DA9F6B"/>
    <w:rsid w:val="08F505D4"/>
    <w:rsid w:val="096FF2A2"/>
    <w:rsid w:val="0988C18F"/>
    <w:rsid w:val="09FEC6CE"/>
    <w:rsid w:val="0A167D18"/>
    <w:rsid w:val="0A5381D8"/>
    <w:rsid w:val="0AC28176"/>
    <w:rsid w:val="0ACD70BE"/>
    <w:rsid w:val="0AE240BC"/>
    <w:rsid w:val="0AE916CC"/>
    <w:rsid w:val="0AF516D2"/>
    <w:rsid w:val="0B057958"/>
    <w:rsid w:val="0B28BAEE"/>
    <w:rsid w:val="0C424514"/>
    <w:rsid w:val="0CA04988"/>
    <w:rsid w:val="0D07C662"/>
    <w:rsid w:val="0D5244AA"/>
    <w:rsid w:val="0D5E3D3B"/>
    <w:rsid w:val="0E241E43"/>
    <w:rsid w:val="0E301D69"/>
    <w:rsid w:val="0E33B863"/>
    <w:rsid w:val="0F045C14"/>
    <w:rsid w:val="0F05DC67"/>
    <w:rsid w:val="0F3F7600"/>
    <w:rsid w:val="0F5386D0"/>
    <w:rsid w:val="10033279"/>
    <w:rsid w:val="10593607"/>
    <w:rsid w:val="105C4B01"/>
    <w:rsid w:val="109A19D3"/>
    <w:rsid w:val="11654A6B"/>
    <w:rsid w:val="11B6B861"/>
    <w:rsid w:val="11C2E47D"/>
    <w:rsid w:val="1282E482"/>
    <w:rsid w:val="13E24A8D"/>
    <w:rsid w:val="141A7D23"/>
    <w:rsid w:val="1424C85D"/>
    <w:rsid w:val="143238B8"/>
    <w:rsid w:val="147DDD64"/>
    <w:rsid w:val="14CBF38F"/>
    <w:rsid w:val="153C7983"/>
    <w:rsid w:val="155FE0A4"/>
    <w:rsid w:val="1626611D"/>
    <w:rsid w:val="16CB147D"/>
    <w:rsid w:val="179FE50B"/>
    <w:rsid w:val="17B482FD"/>
    <w:rsid w:val="180F904E"/>
    <w:rsid w:val="181E7EC7"/>
    <w:rsid w:val="18724940"/>
    <w:rsid w:val="188FCEFA"/>
    <w:rsid w:val="18E4D21A"/>
    <w:rsid w:val="1904AA0C"/>
    <w:rsid w:val="19A2787A"/>
    <w:rsid w:val="1A31976F"/>
    <w:rsid w:val="1AA81108"/>
    <w:rsid w:val="1AB3406E"/>
    <w:rsid w:val="1AD6B8A0"/>
    <w:rsid w:val="1C1CE30F"/>
    <w:rsid w:val="1C379B29"/>
    <w:rsid w:val="1C3EB7D2"/>
    <w:rsid w:val="1C68D34F"/>
    <w:rsid w:val="1D0079BD"/>
    <w:rsid w:val="1D0482AD"/>
    <w:rsid w:val="1D283868"/>
    <w:rsid w:val="1D7ACA7B"/>
    <w:rsid w:val="1DA4D13B"/>
    <w:rsid w:val="1DB0D1B5"/>
    <w:rsid w:val="1DE36ADF"/>
    <w:rsid w:val="1E04DB44"/>
    <w:rsid w:val="1E99254D"/>
    <w:rsid w:val="1ECB8437"/>
    <w:rsid w:val="1F6388BE"/>
    <w:rsid w:val="1F764734"/>
    <w:rsid w:val="1F95B936"/>
    <w:rsid w:val="1F9613D5"/>
    <w:rsid w:val="1FDFC2B3"/>
    <w:rsid w:val="2029B6B7"/>
    <w:rsid w:val="20359BB4"/>
    <w:rsid w:val="2070C042"/>
    <w:rsid w:val="2096CEA7"/>
    <w:rsid w:val="20B648F8"/>
    <w:rsid w:val="20EF9024"/>
    <w:rsid w:val="20F6A24B"/>
    <w:rsid w:val="213EFA3A"/>
    <w:rsid w:val="217BF492"/>
    <w:rsid w:val="224405C3"/>
    <w:rsid w:val="225A25B3"/>
    <w:rsid w:val="226D878D"/>
    <w:rsid w:val="22941F25"/>
    <w:rsid w:val="23103228"/>
    <w:rsid w:val="231F7BAD"/>
    <w:rsid w:val="232C9031"/>
    <w:rsid w:val="23EE2290"/>
    <w:rsid w:val="23EE2E7D"/>
    <w:rsid w:val="24C6A93B"/>
    <w:rsid w:val="24F6FCFB"/>
    <w:rsid w:val="25071879"/>
    <w:rsid w:val="257CE030"/>
    <w:rsid w:val="25966296"/>
    <w:rsid w:val="25AE9F41"/>
    <w:rsid w:val="260CF063"/>
    <w:rsid w:val="268C7F81"/>
    <w:rsid w:val="26E034EB"/>
    <w:rsid w:val="271A93EC"/>
    <w:rsid w:val="27275459"/>
    <w:rsid w:val="27A352DA"/>
    <w:rsid w:val="27AA3435"/>
    <w:rsid w:val="2844F843"/>
    <w:rsid w:val="28716024"/>
    <w:rsid w:val="289DD9A4"/>
    <w:rsid w:val="28DCA434"/>
    <w:rsid w:val="291F6B1C"/>
    <w:rsid w:val="292F5E44"/>
    <w:rsid w:val="2956C2DC"/>
    <w:rsid w:val="29850B12"/>
    <w:rsid w:val="2987664B"/>
    <w:rsid w:val="2A452B7B"/>
    <w:rsid w:val="2A7835F8"/>
    <w:rsid w:val="2AF67170"/>
    <w:rsid w:val="2B084454"/>
    <w:rsid w:val="2B17CF6C"/>
    <w:rsid w:val="2B42C243"/>
    <w:rsid w:val="2B4495E0"/>
    <w:rsid w:val="2B5A5A18"/>
    <w:rsid w:val="2B5EED9A"/>
    <w:rsid w:val="2BCA00AD"/>
    <w:rsid w:val="2BEECF58"/>
    <w:rsid w:val="2C5094C0"/>
    <w:rsid w:val="2CF1D3CC"/>
    <w:rsid w:val="2D05E2F9"/>
    <w:rsid w:val="2DE24A94"/>
    <w:rsid w:val="2E44E5D5"/>
    <w:rsid w:val="2EE9A336"/>
    <w:rsid w:val="2F17ED61"/>
    <w:rsid w:val="2F1CEEFD"/>
    <w:rsid w:val="2FBCCBBF"/>
    <w:rsid w:val="2FE196BA"/>
    <w:rsid w:val="3014ED86"/>
    <w:rsid w:val="30F4B2B9"/>
    <w:rsid w:val="311AD9BE"/>
    <w:rsid w:val="312A3E2B"/>
    <w:rsid w:val="317B719C"/>
    <w:rsid w:val="319CFF27"/>
    <w:rsid w:val="31B6CE35"/>
    <w:rsid w:val="323E8F8B"/>
    <w:rsid w:val="326640D5"/>
    <w:rsid w:val="32697E75"/>
    <w:rsid w:val="331B5530"/>
    <w:rsid w:val="33BA4723"/>
    <w:rsid w:val="34476BA3"/>
    <w:rsid w:val="34636EEC"/>
    <w:rsid w:val="3512E6FD"/>
    <w:rsid w:val="351E1A68"/>
    <w:rsid w:val="3533E4EB"/>
    <w:rsid w:val="35C68CDE"/>
    <w:rsid w:val="36475ADB"/>
    <w:rsid w:val="3662A6BB"/>
    <w:rsid w:val="368C51CA"/>
    <w:rsid w:val="368F2FCC"/>
    <w:rsid w:val="36A6E2BA"/>
    <w:rsid w:val="36C67AF2"/>
    <w:rsid w:val="3705CE1F"/>
    <w:rsid w:val="3793C860"/>
    <w:rsid w:val="37B509A2"/>
    <w:rsid w:val="3822CE7B"/>
    <w:rsid w:val="384134B7"/>
    <w:rsid w:val="391EE550"/>
    <w:rsid w:val="39521B7F"/>
    <w:rsid w:val="3A032922"/>
    <w:rsid w:val="3A3567CE"/>
    <w:rsid w:val="3A8E6318"/>
    <w:rsid w:val="3B10CBF5"/>
    <w:rsid w:val="3B4325DF"/>
    <w:rsid w:val="3B5048CD"/>
    <w:rsid w:val="3BEC938B"/>
    <w:rsid w:val="3C20502B"/>
    <w:rsid w:val="3C2C9CD9"/>
    <w:rsid w:val="3C3913E1"/>
    <w:rsid w:val="3CD88612"/>
    <w:rsid w:val="3CFC52F4"/>
    <w:rsid w:val="3E4BD95B"/>
    <w:rsid w:val="3E5A1FEA"/>
    <w:rsid w:val="3EC3C9B9"/>
    <w:rsid w:val="3EF52526"/>
    <w:rsid w:val="400C2ADB"/>
    <w:rsid w:val="40152996"/>
    <w:rsid w:val="402E9F37"/>
    <w:rsid w:val="4106596D"/>
    <w:rsid w:val="41246652"/>
    <w:rsid w:val="42CA5B35"/>
    <w:rsid w:val="42F9FC8B"/>
    <w:rsid w:val="43119302"/>
    <w:rsid w:val="4369368D"/>
    <w:rsid w:val="442B3D58"/>
    <w:rsid w:val="44602161"/>
    <w:rsid w:val="448ABBE0"/>
    <w:rsid w:val="44A7EE6F"/>
    <w:rsid w:val="44FF4745"/>
    <w:rsid w:val="46C6BC42"/>
    <w:rsid w:val="4748B539"/>
    <w:rsid w:val="47A6662A"/>
    <w:rsid w:val="48292AFE"/>
    <w:rsid w:val="482C8557"/>
    <w:rsid w:val="48361584"/>
    <w:rsid w:val="48402E19"/>
    <w:rsid w:val="48C78072"/>
    <w:rsid w:val="4993BD23"/>
    <w:rsid w:val="499DE0BD"/>
    <w:rsid w:val="49B2B372"/>
    <w:rsid w:val="49C79D33"/>
    <w:rsid w:val="49C7D3A5"/>
    <w:rsid w:val="4A0F1D33"/>
    <w:rsid w:val="4A74D2D5"/>
    <w:rsid w:val="4AA40004"/>
    <w:rsid w:val="4AA68B95"/>
    <w:rsid w:val="4AFF9165"/>
    <w:rsid w:val="4B37ED95"/>
    <w:rsid w:val="4B74CEBF"/>
    <w:rsid w:val="4C4D5CEB"/>
    <w:rsid w:val="4C7780CE"/>
    <w:rsid w:val="4C7C9581"/>
    <w:rsid w:val="4C80AA30"/>
    <w:rsid w:val="4C83C69A"/>
    <w:rsid w:val="4CA33434"/>
    <w:rsid w:val="4D0F8C09"/>
    <w:rsid w:val="4D162DFA"/>
    <w:rsid w:val="4D6635A7"/>
    <w:rsid w:val="4DA6C3F7"/>
    <w:rsid w:val="4E1F96FB"/>
    <w:rsid w:val="4E3189F2"/>
    <w:rsid w:val="4EA5A1C0"/>
    <w:rsid w:val="4EA7E7B9"/>
    <w:rsid w:val="4EBCC017"/>
    <w:rsid w:val="4ED43EC6"/>
    <w:rsid w:val="4ED608F4"/>
    <w:rsid w:val="4F84AD5E"/>
    <w:rsid w:val="4FF73BB3"/>
    <w:rsid w:val="5080E91D"/>
    <w:rsid w:val="50BDEDD8"/>
    <w:rsid w:val="51268038"/>
    <w:rsid w:val="51FA9538"/>
    <w:rsid w:val="51FC4EFD"/>
    <w:rsid w:val="527264DF"/>
    <w:rsid w:val="529A63E8"/>
    <w:rsid w:val="52BCE917"/>
    <w:rsid w:val="5499F9D7"/>
    <w:rsid w:val="553E5E2E"/>
    <w:rsid w:val="55EF832C"/>
    <w:rsid w:val="5682BA04"/>
    <w:rsid w:val="56A52C8B"/>
    <w:rsid w:val="56B26226"/>
    <w:rsid w:val="56E92D4D"/>
    <w:rsid w:val="57621B38"/>
    <w:rsid w:val="57E51AB4"/>
    <w:rsid w:val="57EEA977"/>
    <w:rsid w:val="58A9F3F3"/>
    <w:rsid w:val="58CAFDA4"/>
    <w:rsid w:val="593B8D71"/>
    <w:rsid w:val="59A33680"/>
    <w:rsid w:val="59B08B30"/>
    <w:rsid w:val="5A1BD245"/>
    <w:rsid w:val="5A302C7F"/>
    <w:rsid w:val="5A941005"/>
    <w:rsid w:val="5AD9AB47"/>
    <w:rsid w:val="5B1BB1E4"/>
    <w:rsid w:val="5B3C04B8"/>
    <w:rsid w:val="5B701F9D"/>
    <w:rsid w:val="5B7460E5"/>
    <w:rsid w:val="5BA5AE0A"/>
    <w:rsid w:val="5BAE4E43"/>
    <w:rsid w:val="5C3AF9BA"/>
    <w:rsid w:val="5C498E66"/>
    <w:rsid w:val="5C5EFD4A"/>
    <w:rsid w:val="5CD07A2C"/>
    <w:rsid w:val="5CD27633"/>
    <w:rsid w:val="5CEB5E0E"/>
    <w:rsid w:val="5D1841E1"/>
    <w:rsid w:val="5D49F681"/>
    <w:rsid w:val="5D8236F7"/>
    <w:rsid w:val="5E04F514"/>
    <w:rsid w:val="5E54C1F4"/>
    <w:rsid w:val="5E8DDC3F"/>
    <w:rsid w:val="5E950148"/>
    <w:rsid w:val="5EA2355D"/>
    <w:rsid w:val="5ED4D026"/>
    <w:rsid w:val="5ED952EB"/>
    <w:rsid w:val="5F7D9598"/>
    <w:rsid w:val="5F89F6D5"/>
    <w:rsid w:val="5FEFD34C"/>
    <w:rsid w:val="602421F7"/>
    <w:rsid w:val="602B3391"/>
    <w:rsid w:val="60EBC012"/>
    <w:rsid w:val="61291A21"/>
    <w:rsid w:val="618469FE"/>
    <w:rsid w:val="61A7D13C"/>
    <w:rsid w:val="61FA561A"/>
    <w:rsid w:val="61FD2D3B"/>
    <w:rsid w:val="62499E07"/>
    <w:rsid w:val="628E94F6"/>
    <w:rsid w:val="62E94CC0"/>
    <w:rsid w:val="63882E5A"/>
    <w:rsid w:val="639D235E"/>
    <w:rsid w:val="63EF1F2C"/>
    <w:rsid w:val="647B9A85"/>
    <w:rsid w:val="649D1940"/>
    <w:rsid w:val="6525CFFE"/>
    <w:rsid w:val="65A6B2BB"/>
    <w:rsid w:val="65C6655F"/>
    <w:rsid w:val="65CE9498"/>
    <w:rsid w:val="668B5999"/>
    <w:rsid w:val="6696DC5B"/>
    <w:rsid w:val="669BB376"/>
    <w:rsid w:val="672BC7C9"/>
    <w:rsid w:val="6731C38D"/>
    <w:rsid w:val="679FE258"/>
    <w:rsid w:val="67CCE10B"/>
    <w:rsid w:val="67E8F9A5"/>
    <w:rsid w:val="68477EA0"/>
    <w:rsid w:val="68553117"/>
    <w:rsid w:val="68A7A62F"/>
    <w:rsid w:val="68B877BA"/>
    <w:rsid w:val="68DAA6BC"/>
    <w:rsid w:val="692A617D"/>
    <w:rsid w:val="6A045BB1"/>
    <w:rsid w:val="6A18D249"/>
    <w:rsid w:val="6AB12E03"/>
    <w:rsid w:val="6ABB0D26"/>
    <w:rsid w:val="6AF9AB21"/>
    <w:rsid w:val="6B46B25B"/>
    <w:rsid w:val="6BBFD91A"/>
    <w:rsid w:val="6BE40505"/>
    <w:rsid w:val="6C2E0C54"/>
    <w:rsid w:val="6CBF8DFD"/>
    <w:rsid w:val="6D231F30"/>
    <w:rsid w:val="6D56B84E"/>
    <w:rsid w:val="6D8460F9"/>
    <w:rsid w:val="6DA0052B"/>
    <w:rsid w:val="6DB5E341"/>
    <w:rsid w:val="6E799D3E"/>
    <w:rsid w:val="6EE33CB4"/>
    <w:rsid w:val="6F25A64E"/>
    <w:rsid w:val="6FBAA20B"/>
    <w:rsid w:val="6FFD0F8B"/>
    <w:rsid w:val="70099462"/>
    <w:rsid w:val="70222AF0"/>
    <w:rsid w:val="703E0DBF"/>
    <w:rsid w:val="704847DD"/>
    <w:rsid w:val="70DE0535"/>
    <w:rsid w:val="7105A355"/>
    <w:rsid w:val="7133ED7F"/>
    <w:rsid w:val="714792DC"/>
    <w:rsid w:val="71561232"/>
    <w:rsid w:val="716C7AEE"/>
    <w:rsid w:val="71DEA558"/>
    <w:rsid w:val="720DF20F"/>
    <w:rsid w:val="725FA37F"/>
    <w:rsid w:val="7281012F"/>
    <w:rsid w:val="72AEA833"/>
    <w:rsid w:val="7310FCE6"/>
    <w:rsid w:val="731F2F05"/>
    <w:rsid w:val="7374ACF3"/>
    <w:rsid w:val="7416C349"/>
    <w:rsid w:val="7466A8CB"/>
    <w:rsid w:val="74B705CA"/>
    <w:rsid w:val="74C4D415"/>
    <w:rsid w:val="74CCF371"/>
    <w:rsid w:val="752D8B4F"/>
    <w:rsid w:val="7539F517"/>
    <w:rsid w:val="7695E5D9"/>
    <w:rsid w:val="76A82D5A"/>
    <w:rsid w:val="76B3FDA0"/>
    <w:rsid w:val="76CC0D22"/>
    <w:rsid w:val="76D5D754"/>
    <w:rsid w:val="76F4C5A6"/>
    <w:rsid w:val="7726A6B8"/>
    <w:rsid w:val="77612A66"/>
    <w:rsid w:val="7808A299"/>
    <w:rsid w:val="780FB57D"/>
    <w:rsid w:val="7847C4BA"/>
    <w:rsid w:val="78FEB01A"/>
    <w:rsid w:val="7935B366"/>
    <w:rsid w:val="7972720D"/>
    <w:rsid w:val="7ABE63CE"/>
    <w:rsid w:val="7AC2FA39"/>
    <w:rsid w:val="7B3B0605"/>
    <w:rsid w:val="7B880261"/>
    <w:rsid w:val="7BAF8B27"/>
    <w:rsid w:val="7BD8DF20"/>
    <w:rsid w:val="7BE1D7B9"/>
    <w:rsid w:val="7BE67F77"/>
    <w:rsid w:val="7BF9C10D"/>
    <w:rsid w:val="7C4ABD0D"/>
    <w:rsid w:val="7C5A1127"/>
    <w:rsid w:val="7CC122D4"/>
    <w:rsid w:val="7CE57F37"/>
    <w:rsid w:val="7D405B5A"/>
    <w:rsid w:val="7E03C260"/>
    <w:rsid w:val="7E11012F"/>
    <w:rsid w:val="7E50298F"/>
    <w:rsid w:val="7ED64B3C"/>
    <w:rsid w:val="7EE37D52"/>
    <w:rsid w:val="7EED84DD"/>
    <w:rsid w:val="7F1AF295"/>
    <w:rsid w:val="7F89784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C3D7C48"/>
  <w15:chartTrackingRefBased/>
  <w15:docId w15:val="{1B871D1E-C5F9-49D9-8588-2F67447A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A67"/>
  </w:style>
  <w:style w:type="paragraph" w:styleId="Ttulo1">
    <w:name w:val="heading 1"/>
    <w:basedOn w:val="Normal"/>
    <w:next w:val="Normal"/>
    <w:link w:val="Ttulo1Car"/>
    <w:uiPriority w:val="9"/>
    <w:qFormat/>
    <w:rsid w:val="00256C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42E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47A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D11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D11F8"/>
    <w:rPr>
      <w:sz w:val="20"/>
      <w:szCs w:val="20"/>
    </w:rPr>
  </w:style>
  <w:style w:type="character" w:styleId="Refdenotaalpie">
    <w:name w:val="footnote reference"/>
    <w:basedOn w:val="Fuentedeprrafopredeter"/>
    <w:uiPriority w:val="99"/>
    <w:semiHidden/>
    <w:unhideWhenUsed/>
    <w:rsid w:val="002D11F8"/>
    <w:rPr>
      <w:vertAlign w:val="superscript"/>
    </w:rPr>
  </w:style>
  <w:style w:type="character" w:customStyle="1" w:styleId="Ttulo1Car">
    <w:name w:val="Título 1 Car"/>
    <w:basedOn w:val="Fuentedeprrafopredeter"/>
    <w:link w:val="Ttulo1"/>
    <w:uiPriority w:val="9"/>
    <w:rsid w:val="00256C01"/>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892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926E6"/>
    <w:pPr>
      <w:ind w:left="720"/>
      <w:contextualSpacing/>
    </w:pPr>
  </w:style>
  <w:style w:type="paragraph" w:styleId="NormalWeb">
    <w:name w:val="Normal (Web)"/>
    <w:basedOn w:val="Normal"/>
    <w:uiPriority w:val="99"/>
    <w:semiHidden/>
    <w:unhideWhenUsed/>
    <w:rsid w:val="008926E6"/>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paragraph" w:styleId="Encabezado">
    <w:name w:val="header"/>
    <w:basedOn w:val="Normal"/>
    <w:link w:val="EncabezadoCar"/>
    <w:uiPriority w:val="99"/>
    <w:unhideWhenUsed/>
    <w:rsid w:val="00AD4C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4C79"/>
  </w:style>
  <w:style w:type="paragraph" w:styleId="Piedepgina">
    <w:name w:val="footer"/>
    <w:basedOn w:val="Normal"/>
    <w:link w:val="PiedepginaCar"/>
    <w:uiPriority w:val="99"/>
    <w:unhideWhenUsed/>
    <w:rsid w:val="00AD4C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4C79"/>
  </w:style>
  <w:style w:type="character" w:customStyle="1" w:styleId="Ttulo2Car">
    <w:name w:val="Título 2 Car"/>
    <w:basedOn w:val="Fuentedeprrafopredeter"/>
    <w:link w:val="Ttulo2"/>
    <w:uiPriority w:val="9"/>
    <w:rsid w:val="00D42E15"/>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D42E15"/>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customStyle="1" w:styleId="normaltextrun">
    <w:name w:val="normaltextrun"/>
    <w:basedOn w:val="Fuentedeprrafopredeter"/>
    <w:rsid w:val="00D42E15"/>
  </w:style>
  <w:style w:type="character" w:customStyle="1" w:styleId="eop">
    <w:name w:val="eop"/>
    <w:basedOn w:val="Fuentedeprrafopredeter"/>
    <w:rsid w:val="00D42E15"/>
  </w:style>
  <w:style w:type="table" w:styleId="Tablaconcuadrcula4-nfasis1">
    <w:name w:val="Grid Table 4 Accent 1"/>
    <w:basedOn w:val="Tablanormal"/>
    <w:uiPriority w:val="49"/>
    <w:rsid w:val="00F24FA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clara">
    <w:name w:val="Grid Table Light"/>
    <w:basedOn w:val="Tablanormal"/>
    <w:uiPriority w:val="40"/>
    <w:rsid w:val="00D27F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DC1">
    <w:name w:val="toc 1"/>
    <w:basedOn w:val="Normal"/>
    <w:next w:val="Normal"/>
    <w:autoRedefine/>
    <w:uiPriority w:val="39"/>
    <w:unhideWhenUsed/>
    <w:rsid w:val="0072763F"/>
    <w:pPr>
      <w:spacing w:after="100"/>
    </w:pPr>
  </w:style>
  <w:style w:type="character" w:styleId="Hipervnculo">
    <w:name w:val="Hyperlink"/>
    <w:basedOn w:val="Fuentedeprrafopredeter"/>
    <w:uiPriority w:val="99"/>
    <w:unhideWhenUsed/>
    <w:rsid w:val="0072763F"/>
    <w:rPr>
      <w:color w:val="0563C1" w:themeColor="hyperlink"/>
      <w:u w:val="single"/>
    </w:rPr>
  </w:style>
  <w:style w:type="character" w:styleId="Refdecomentario">
    <w:name w:val="annotation reference"/>
    <w:basedOn w:val="Fuentedeprrafopredeter"/>
    <w:uiPriority w:val="99"/>
    <w:semiHidden/>
    <w:unhideWhenUsed/>
    <w:rsid w:val="00FF30B9"/>
    <w:rPr>
      <w:sz w:val="16"/>
      <w:szCs w:val="16"/>
    </w:rPr>
  </w:style>
  <w:style w:type="paragraph" w:styleId="Textocomentario">
    <w:name w:val="annotation text"/>
    <w:basedOn w:val="Normal"/>
    <w:link w:val="TextocomentarioCar"/>
    <w:uiPriority w:val="99"/>
    <w:unhideWhenUsed/>
    <w:rsid w:val="00FF30B9"/>
    <w:pPr>
      <w:spacing w:line="240" w:lineRule="auto"/>
    </w:pPr>
    <w:rPr>
      <w:sz w:val="20"/>
      <w:szCs w:val="20"/>
    </w:rPr>
  </w:style>
  <w:style w:type="character" w:customStyle="1" w:styleId="TextocomentarioCar">
    <w:name w:val="Texto comentario Car"/>
    <w:basedOn w:val="Fuentedeprrafopredeter"/>
    <w:link w:val="Textocomentario"/>
    <w:uiPriority w:val="99"/>
    <w:rsid w:val="00FF30B9"/>
    <w:rPr>
      <w:sz w:val="20"/>
      <w:szCs w:val="20"/>
    </w:rPr>
  </w:style>
  <w:style w:type="paragraph" w:styleId="Asuntodelcomentario">
    <w:name w:val="annotation subject"/>
    <w:basedOn w:val="Textocomentario"/>
    <w:next w:val="Textocomentario"/>
    <w:link w:val="AsuntodelcomentarioCar"/>
    <w:uiPriority w:val="99"/>
    <w:semiHidden/>
    <w:unhideWhenUsed/>
    <w:rsid w:val="00FF30B9"/>
    <w:rPr>
      <w:b/>
      <w:bCs/>
    </w:rPr>
  </w:style>
  <w:style w:type="character" w:customStyle="1" w:styleId="AsuntodelcomentarioCar">
    <w:name w:val="Asunto del comentario Car"/>
    <w:basedOn w:val="TextocomentarioCar"/>
    <w:link w:val="Asuntodelcomentario"/>
    <w:uiPriority w:val="99"/>
    <w:semiHidden/>
    <w:rsid w:val="00FF30B9"/>
    <w:rPr>
      <w:b/>
      <w:bCs/>
      <w:sz w:val="20"/>
      <w:szCs w:val="20"/>
    </w:rPr>
  </w:style>
  <w:style w:type="character" w:styleId="Mencinsinresolver">
    <w:name w:val="Unresolved Mention"/>
    <w:basedOn w:val="Fuentedeprrafopredeter"/>
    <w:uiPriority w:val="99"/>
    <w:semiHidden/>
    <w:unhideWhenUsed/>
    <w:rsid w:val="005C7D33"/>
    <w:rPr>
      <w:color w:val="605E5C"/>
      <w:shd w:val="clear" w:color="auto" w:fill="E1DFDD"/>
    </w:rPr>
  </w:style>
  <w:style w:type="character" w:customStyle="1" w:styleId="Ttulo3Car">
    <w:name w:val="Título 3 Car"/>
    <w:basedOn w:val="Fuentedeprrafopredeter"/>
    <w:link w:val="Ttulo3"/>
    <w:uiPriority w:val="9"/>
    <w:rsid w:val="00B47A67"/>
    <w:rPr>
      <w:rFonts w:asciiTheme="majorHAnsi" w:eastAsiaTheme="majorEastAsia" w:hAnsiTheme="majorHAnsi" w:cstheme="majorBidi"/>
      <w:color w:val="1F3763" w:themeColor="accent1" w:themeShade="7F"/>
      <w:sz w:val="24"/>
      <w:szCs w:val="24"/>
    </w:rPr>
  </w:style>
  <w:style w:type="paragraph" w:styleId="Bibliografa">
    <w:name w:val="Bibliography"/>
    <w:basedOn w:val="Normal"/>
    <w:next w:val="Normal"/>
    <w:uiPriority w:val="37"/>
    <w:unhideWhenUsed/>
    <w:rsid w:val="00B47A67"/>
  </w:style>
  <w:style w:type="character" w:customStyle="1" w:styleId="ui-provider">
    <w:name w:val="ui-provider"/>
    <w:basedOn w:val="Fuentedeprrafopredeter"/>
    <w:rsid w:val="00B47A67"/>
  </w:style>
  <w:style w:type="paragraph" w:styleId="ndice1">
    <w:name w:val="index 1"/>
    <w:basedOn w:val="Normal"/>
    <w:next w:val="Normal"/>
    <w:autoRedefine/>
    <w:uiPriority w:val="99"/>
    <w:semiHidden/>
    <w:unhideWhenUsed/>
    <w:rsid w:val="00B47A67"/>
    <w:pPr>
      <w:spacing w:after="0" w:line="240" w:lineRule="auto"/>
      <w:ind w:left="220" w:hanging="220"/>
    </w:pPr>
  </w:style>
  <w:style w:type="paragraph" w:styleId="ndice2">
    <w:name w:val="index 2"/>
    <w:basedOn w:val="Normal"/>
    <w:next w:val="Normal"/>
    <w:autoRedefine/>
    <w:uiPriority w:val="99"/>
    <w:semiHidden/>
    <w:unhideWhenUsed/>
    <w:rsid w:val="00B47A67"/>
    <w:pPr>
      <w:spacing w:after="0" w:line="240" w:lineRule="auto"/>
      <w:ind w:left="440" w:hanging="220"/>
    </w:pPr>
  </w:style>
  <w:style w:type="paragraph" w:styleId="ndice3">
    <w:name w:val="index 3"/>
    <w:basedOn w:val="Normal"/>
    <w:next w:val="Normal"/>
    <w:autoRedefine/>
    <w:uiPriority w:val="99"/>
    <w:semiHidden/>
    <w:unhideWhenUsed/>
    <w:rsid w:val="00B47A67"/>
    <w:pPr>
      <w:spacing w:after="0" w:line="240" w:lineRule="auto"/>
      <w:ind w:left="660" w:hanging="220"/>
    </w:pPr>
  </w:style>
  <w:style w:type="paragraph" w:styleId="Descripcin">
    <w:name w:val="caption"/>
    <w:aliases w:val="Graficos"/>
    <w:basedOn w:val="Normal"/>
    <w:next w:val="Normal"/>
    <w:uiPriority w:val="35"/>
    <w:unhideWhenUsed/>
    <w:qFormat/>
    <w:rsid w:val="00B47A67"/>
    <w:pPr>
      <w:spacing w:after="0" w:line="240" w:lineRule="auto"/>
      <w:contextualSpacing/>
    </w:pPr>
  </w:style>
  <w:style w:type="character" w:styleId="Hipervnculovisitado">
    <w:name w:val="FollowedHyperlink"/>
    <w:basedOn w:val="Fuentedeprrafopredeter"/>
    <w:uiPriority w:val="99"/>
    <w:semiHidden/>
    <w:unhideWhenUsed/>
    <w:rsid w:val="00B47A67"/>
    <w:rPr>
      <w:color w:val="954F72" w:themeColor="followedHyperlink"/>
      <w:u w:val="single"/>
    </w:rPr>
  </w:style>
  <w:style w:type="paragraph" w:styleId="Sinespaciado">
    <w:name w:val="No Spacing"/>
    <w:uiPriority w:val="1"/>
    <w:qFormat/>
    <w:rsid w:val="00CC4D5B"/>
    <w:pPr>
      <w:spacing w:after="0" w:line="240" w:lineRule="auto"/>
    </w:pPr>
  </w:style>
  <w:style w:type="paragraph" w:styleId="TtuloTDC">
    <w:name w:val="TOC Heading"/>
    <w:basedOn w:val="Ttulo1"/>
    <w:next w:val="Normal"/>
    <w:uiPriority w:val="39"/>
    <w:unhideWhenUsed/>
    <w:qFormat/>
    <w:rsid w:val="00714128"/>
    <w:pPr>
      <w:outlineLvl w:val="9"/>
    </w:pPr>
    <w:rPr>
      <w:lang w:val="es-CR" w:eastAsia="es-CR"/>
    </w:rPr>
  </w:style>
  <w:style w:type="paragraph" w:styleId="TDC2">
    <w:name w:val="toc 2"/>
    <w:basedOn w:val="Normal"/>
    <w:next w:val="Normal"/>
    <w:autoRedefine/>
    <w:uiPriority w:val="39"/>
    <w:unhideWhenUsed/>
    <w:rsid w:val="00714128"/>
    <w:pPr>
      <w:spacing w:after="100"/>
      <w:ind w:left="220"/>
    </w:pPr>
  </w:style>
  <w:style w:type="paragraph" w:styleId="TDC3">
    <w:name w:val="toc 3"/>
    <w:basedOn w:val="Normal"/>
    <w:next w:val="Normal"/>
    <w:autoRedefine/>
    <w:uiPriority w:val="39"/>
    <w:unhideWhenUsed/>
    <w:rsid w:val="00714128"/>
    <w:pPr>
      <w:spacing w:after="100"/>
      <w:ind w:left="440"/>
    </w:pPr>
  </w:style>
  <w:style w:type="table" w:styleId="Tablaconcuadrcula5oscura-nfasis1">
    <w:name w:val="Grid Table 5 Dark Accent 1"/>
    <w:basedOn w:val="Tablanormal"/>
    <w:uiPriority w:val="50"/>
    <w:rsid w:val="00897B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rafodelistaCar">
    <w:name w:val="Párrafo de lista Car"/>
    <w:link w:val="Prrafodelista"/>
    <w:uiPriority w:val="34"/>
    <w:rsid w:val="009C21DD"/>
  </w:style>
  <w:style w:type="paragraph" w:styleId="Revisin">
    <w:name w:val="Revision"/>
    <w:hidden/>
    <w:uiPriority w:val="99"/>
    <w:semiHidden/>
    <w:rsid w:val="005707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615">
      <w:bodyDiv w:val="1"/>
      <w:marLeft w:val="0"/>
      <w:marRight w:val="0"/>
      <w:marTop w:val="0"/>
      <w:marBottom w:val="0"/>
      <w:divBdr>
        <w:top w:val="none" w:sz="0" w:space="0" w:color="auto"/>
        <w:left w:val="none" w:sz="0" w:space="0" w:color="auto"/>
        <w:bottom w:val="none" w:sz="0" w:space="0" w:color="auto"/>
        <w:right w:val="none" w:sz="0" w:space="0" w:color="auto"/>
      </w:divBdr>
    </w:div>
    <w:div w:id="42102624">
      <w:bodyDiv w:val="1"/>
      <w:marLeft w:val="0"/>
      <w:marRight w:val="0"/>
      <w:marTop w:val="0"/>
      <w:marBottom w:val="0"/>
      <w:divBdr>
        <w:top w:val="none" w:sz="0" w:space="0" w:color="auto"/>
        <w:left w:val="none" w:sz="0" w:space="0" w:color="auto"/>
        <w:bottom w:val="none" w:sz="0" w:space="0" w:color="auto"/>
        <w:right w:val="none" w:sz="0" w:space="0" w:color="auto"/>
      </w:divBdr>
    </w:div>
    <w:div w:id="44641276">
      <w:bodyDiv w:val="1"/>
      <w:marLeft w:val="0"/>
      <w:marRight w:val="0"/>
      <w:marTop w:val="0"/>
      <w:marBottom w:val="0"/>
      <w:divBdr>
        <w:top w:val="none" w:sz="0" w:space="0" w:color="auto"/>
        <w:left w:val="none" w:sz="0" w:space="0" w:color="auto"/>
        <w:bottom w:val="none" w:sz="0" w:space="0" w:color="auto"/>
        <w:right w:val="none" w:sz="0" w:space="0" w:color="auto"/>
      </w:divBdr>
    </w:div>
    <w:div w:id="52506803">
      <w:bodyDiv w:val="1"/>
      <w:marLeft w:val="0"/>
      <w:marRight w:val="0"/>
      <w:marTop w:val="0"/>
      <w:marBottom w:val="0"/>
      <w:divBdr>
        <w:top w:val="none" w:sz="0" w:space="0" w:color="auto"/>
        <w:left w:val="none" w:sz="0" w:space="0" w:color="auto"/>
        <w:bottom w:val="none" w:sz="0" w:space="0" w:color="auto"/>
        <w:right w:val="none" w:sz="0" w:space="0" w:color="auto"/>
      </w:divBdr>
    </w:div>
    <w:div w:id="59064450">
      <w:bodyDiv w:val="1"/>
      <w:marLeft w:val="0"/>
      <w:marRight w:val="0"/>
      <w:marTop w:val="0"/>
      <w:marBottom w:val="0"/>
      <w:divBdr>
        <w:top w:val="none" w:sz="0" w:space="0" w:color="auto"/>
        <w:left w:val="none" w:sz="0" w:space="0" w:color="auto"/>
        <w:bottom w:val="none" w:sz="0" w:space="0" w:color="auto"/>
        <w:right w:val="none" w:sz="0" w:space="0" w:color="auto"/>
      </w:divBdr>
    </w:div>
    <w:div w:id="60755813">
      <w:bodyDiv w:val="1"/>
      <w:marLeft w:val="0"/>
      <w:marRight w:val="0"/>
      <w:marTop w:val="0"/>
      <w:marBottom w:val="0"/>
      <w:divBdr>
        <w:top w:val="none" w:sz="0" w:space="0" w:color="auto"/>
        <w:left w:val="none" w:sz="0" w:space="0" w:color="auto"/>
        <w:bottom w:val="none" w:sz="0" w:space="0" w:color="auto"/>
        <w:right w:val="none" w:sz="0" w:space="0" w:color="auto"/>
      </w:divBdr>
    </w:div>
    <w:div w:id="67654750">
      <w:bodyDiv w:val="1"/>
      <w:marLeft w:val="0"/>
      <w:marRight w:val="0"/>
      <w:marTop w:val="0"/>
      <w:marBottom w:val="0"/>
      <w:divBdr>
        <w:top w:val="none" w:sz="0" w:space="0" w:color="auto"/>
        <w:left w:val="none" w:sz="0" w:space="0" w:color="auto"/>
        <w:bottom w:val="none" w:sz="0" w:space="0" w:color="auto"/>
        <w:right w:val="none" w:sz="0" w:space="0" w:color="auto"/>
      </w:divBdr>
    </w:div>
    <w:div w:id="96100767">
      <w:bodyDiv w:val="1"/>
      <w:marLeft w:val="0"/>
      <w:marRight w:val="0"/>
      <w:marTop w:val="0"/>
      <w:marBottom w:val="0"/>
      <w:divBdr>
        <w:top w:val="none" w:sz="0" w:space="0" w:color="auto"/>
        <w:left w:val="none" w:sz="0" w:space="0" w:color="auto"/>
        <w:bottom w:val="none" w:sz="0" w:space="0" w:color="auto"/>
        <w:right w:val="none" w:sz="0" w:space="0" w:color="auto"/>
      </w:divBdr>
    </w:div>
    <w:div w:id="97911453">
      <w:bodyDiv w:val="1"/>
      <w:marLeft w:val="0"/>
      <w:marRight w:val="0"/>
      <w:marTop w:val="0"/>
      <w:marBottom w:val="0"/>
      <w:divBdr>
        <w:top w:val="none" w:sz="0" w:space="0" w:color="auto"/>
        <w:left w:val="none" w:sz="0" w:space="0" w:color="auto"/>
        <w:bottom w:val="none" w:sz="0" w:space="0" w:color="auto"/>
        <w:right w:val="none" w:sz="0" w:space="0" w:color="auto"/>
      </w:divBdr>
    </w:div>
    <w:div w:id="126510704">
      <w:bodyDiv w:val="1"/>
      <w:marLeft w:val="0"/>
      <w:marRight w:val="0"/>
      <w:marTop w:val="0"/>
      <w:marBottom w:val="0"/>
      <w:divBdr>
        <w:top w:val="none" w:sz="0" w:space="0" w:color="auto"/>
        <w:left w:val="none" w:sz="0" w:space="0" w:color="auto"/>
        <w:bottom w:val="none" w:sz="0" w:space="0" w:color="auto"/>
        <w:right w:val="none" w:sz="0" w:space="0" w:color="auto"/>
      </w:divBdr>
    </w:div>
    <w:div w:id="172308737">
      <w:bodyDiv w:val="1"/>
      <w:marLeft w:val="0"/>
      <w:marRight w:val="0"/>
      <w:marTop w:val="0"/>
      <w:marBottom w:val="0"/>
      <w:divBdr>
        <w:top w:val="none" w:sz="0" w:space="0" w:color="auto"/>
        <w:left w:val="none" w:sz="0" w:space="0" w:color="auto"/>
        <w:bottom w:val="none" w:sz="0" w:space="0" w:color="auto"/>
        <w:right w:val="none" w:sz="0" w:space="0" w:color="auto"/>
      </w:divBdr>
    </w:div>
    <w:div w:id="204097580">
      <w:bodyDiv w:val="1"/>
      <w:marLeft w:val="0"/>
      <w:marRight w:val="0"/>
      <w:marTop w:val="0"/>
      <w:marBottom w:val="0"/>
      <w:divBdr>
        <w:top w:val="none" w:sz="0" w:space="0" w:color="auto"/>
        <w:left w:val="none" w:sz="0" w:space="0" w:color="auto"/>
        <w:bottom w:val="none" w:sz="0" w:space="0" w:color="auto"/>
        <w:right w:val="none" w:sz="0" w:space="0" w:color="auto"/>
      </w:divBdr>
    </w:div>
    <w:div w:id="206570590">
      <w:bodyDiv w:val="1"/>
      <w:marLeft w:val="0"/>
      <w:marRight w:val="0"/>
      <w:marTop w:val="0"/>
      <w:marBottom w:val="0"/>
      <w:divBdr>
        <w:top w:val="none" w:sz="0" w:space="0" w:color="auto"/>
        <w:left w:val="none" w:sz="0" w:space="0" w:color="auto"/>
        <w:bottom w:val="none" w:sz="0" w:space="0" w:color="auto"/>
        <w:right w:val="none" w:sz="0" w:space="0" w:color="auto"/>
      </w:divBdr>
    </w:div>
    <w:div w:id="217473393">
      <w:bodyDiv w:val="1"/>
      <w:marLeft w:val="0"/>
      <w:marRight w:val="0"/>
      <w:marTop w:val="0"/>
      <w:marBottom w:val="0"/>
      <w:divBdr>
        <w:top w:val="none" w:sz="0" w:space="0" w:color="auto"/>
        <w:left w:val="none" w:sz="0" w:space="0" w:color="auto"/>
        <w:bottom w:val="none" w:sz="0" w:space="0" w:color="auto"/>
        <w:right w:val="none" w:sz="0" w:space="0" w:color="auto"/>
      </w:divBdr>
    </w:div>
    <w:div w:id="228425305">
      <w:bodyDiv w:val="1"/>
      <w:marLeft w:val="0"/>
      <w:marRight w:val="0"/>
      <w:marTop w:val="0"/>
      <w:marBottom w:val="0"/>
      <w:divBdr>
        <w:top w:val="none" w:sz="0" w:space="0" w:color="auto"/>
        <w:left w:val="none" w:sz="0" w:space="0" w:color="auto"/>
        <w:bottom w:val="none" w:sz="0" w:space="0" w:color="auto"/>
        <w:right w:val="none" w:sz="0" w:space="0" w:color="auto"/>
      </w:divBdr>
    </w:div>
    <w:div w:id="252934065">
      <w:bodyDiv w:val="1"/>
      <w:marLeft w:val="0"/>
      <w:marRight w:val="0"/>
      <w:marTop w:val="0"/>
      <w:marBottom w:val="0"/>
      <w:divBdr>
        <w:top w:val="none" w:sz="0" w:space="0" w:color="auto"/>
        <w:left w:val="none" w:sz="0" w:space="0" w:color="auto"/>
        <w:bottom w:val="none" w:sz="0" w:space="0" w:color="auto"/>
        <w:right w:val="none" w:sz="0" w:space="0" w:color="auto"/>
      </w:divBdr>
    </w:div>
    <w:div w:id="269434550">
      <w:bodyDiv w:val="1"/>
      <w:marLeft w:val="0"/>
      <w:marRight w:val="0"/>
      <w:marTop w:val="0"/>
      <w:marBottom w:val="0"/>
      <w:divBdr>
        <w:top w:val="none" w:sz="0" w:space="0" w:color="auto"/>
        <w:left w:val="none" w:sz="0" w:space="0" w:color="auto"/>
        <w:bottom w:val="none" w:sz="0" w:space="0" w:color="auto"/>
        <w:right w:val="none" w:sz="0" w:space="0" w:color="auto"/>
      </w:divBdr>
    </w:div>
    <w:div w:id="278028429">
      <w:bodyDiv w:val="1"/>
      <w:marLeft w:val="0"/>
      <w:marRight w:val="0"/>
      <w:marTop w:val="0"/>
      <w:marBottom w:val="0"/>
      <w:divBdr>
        <w:top w:val="none" w:sz="0" w:space="0" w:color="auto"/>
        <w:left w:val="none" w:sz="0" w:space="0" w:color="auto"/>
        <w:bottom w:val="none" w:sz="0" w:space="0" w:color="auto"/>
        <w:right w:val="none" w:sz="0" w:space="0" w:color="auto"/>
      </w:divBdr>
    </w:div>
    <w:div w:id="282081260">
      <w:bodyDiv w:val="1"/>
      <w:marLeft w:val="0"/>
      <w:marRight w:val="0"/>
      <w:marTop w:val="0"/>
      <w:marBottom w:val="0"/>
      <w:divBdr>
        <w:top w:val="none" w:sz="0" w:space="0" w:color="auto"/>
        <w:left w:val="none" w:sz="0" w:space="0" w:color="auto"/>
        <w:bottom w:val="none" w:sz="0" w:space="0" w:color="auto"/>
        <w:right w:val="none" w:sz="0" w:space="0" w:color="auto"/>
      </w:divBdr>
    </w:div>
    <w:div w:id="298221416">
      <w:bodyDiv w:val="1"/>
      <w:marLeft w:val="0"/>
      <w:marRight w:val="0"/>
      <w:marTop w:val="0"/>
      <w:marBottom w:val="0"/>
      <w:divBdr>
        <w:top w:val="none" w:sz="0" w:space="0" w:color="auto"/>
        <w:left w:val="none" w:sz="0" w:space="0" w:color="auto"/>
        <w:bottom w:val="none" w:sz="0" w:space="0" w:color="auto"/>
        <w:right w:val="none" w:sz="0" w:space="0" w:color="auto"/>
      </w:divBdr>
    </w:div>
    <w:div w:id="316149371">
      <w:bodyDiv w:val="1"/>
      <w:marLeft w:val="0"/>
      <w:marRight w:val="0"/>
      <w:marTop w:val="0"/>
      <w:marBottom w:val="0"/>
      <w:divBdr>
        <w:top w:val="none" w:sz="0" w:space="0" w:color="auto"/>
        <w:left w:val="none" w:sz="0" w:space="0" w:color="auto"/>
        <w:bottom w:val="none" w:sz="0" w:space="0" w:color="auto"/>
        <w:right w:val="none" w:sz="0" w:space="0" w:color="auto"/>
      </w:divBdr>
    </w:div>
    <w:div w:id="325324919">
      <w:bodyDiv w:val="1"/>
      <w:marLeft w:val="0"/>
      <w:marRight w:val="0"/>
      <w:marTop w:val="0"/>
      <w:marBottom w:val="0"/>
      <w:divBdr>
        <w:top w:val="none" w:sz="0" w:space="0" w:color="auto"/>
        <w:left w:val="none" w:sz="0" w:space="0" w:color="auto"/>
        <w:bottom w:val="none" w:sz="0" w:space="0" w:color="auto"/>
        <w:right w:val="none" w:sz="0" w:space="0" w:color="auto"/>
      </w:divBdr>
    </w:div>
    <w:div w:id="333534096">
      <w:bodyDiv w:val="1"/>
      <w:marLeft w:val="0"/>
      <w:marRight w:val="0"/>
      <w:marTop w:val="0"/>
      <w:marBottom w:val="0"/>
      <w:divBdr>
        <w:top w:val="none" w:sz="0" w:space="0" w:color="auto"/>
        <w:left w:val="none" w:sz="0" w:space="0" w:color="auto"/>
        <w:bottom w:val="none" w:sz="0" w:space="0" w:color="auto"/>
        <w:right w:val="none" w:sz="0" w:space="0" w:color="auto"/>
      </w:divBdr>
    </w:div>
    <w:div w:id="337120889">
      <w:bodyDiv w:val="1"/>
      <w:marLeft w:val="0"/>
      <w:marRight w:val="0"/>
      <w:marTop w:val="0"/>
      <w:marBottom w:val="0"/>
      <w:divBdr>
        <w:top w:val="none" w:sz="0" w:space="0" w:color="auto"/>
        <w:left w:val="none" w:sz="0" w:space="0" w:color="auto"/>
        <w:bottom w:val="none" w:sz="0" w:space="0" w:color="auto"/>
        <w:right w:val="none" w:sz="0" w:space="0" w:color="auto"/>
      </w:divBdr>
    </w:div>
    <w:div w:id="362755478">
      <w:bodyDiv w:val="1"/>
      <w:marLeft w:val="0"/>
      <w:marRight w:val="0"/>
      <w:marTop w:val="0"/>
      <w:marBottom w:val="0"/>
      <w:divBdr>
        <w:top w:val="none" w:sz="0" w:space="0" w:color="auto"/>
        <w:left w:val="none" w:sz="0" w:space="0" w:color="auto"/>
        <w:bottom w:val="none" w:sz="0" w:space="0" w:color="auto"/>
        <w:right w:val="none" w:sz="0" w:space="0" w:color="auto"/>
      </w:divBdr>
    </w:div>
    <w:div w:id="378552219">
      <w:bodyDiv w:val="1"/>
      <w:marLeft w:val="0"/>
      <w:marRight w:val="0"/>
      <w:marTop w:val="0"/>
      <w:marBottom w:val="0"/>
      <w:divBdr>
        <w:top w:val="none" w:sz="0" w:space="0" w:color="auto"/>
        <w:left w:val="none" w:sz="0" w:space="0" w:color="auto"/>
        <w:bottom w:val="none" w:sz="0" w:space="0" w:color="auto"/>
        <w:right w:val="none" w:sz="0" w:space="0" w:color="auto"/>
      </w:divBdr>
    </w:div>
    <w:div w:id="383649093">
      <w:bodyDiv w:val="1"/>
      <w:marLeft w:val="0"/>
      <w:marRight w:val="0"/>
      <w:marTop w:val="0"/>
      <w:marBottom w:val="0"/>
      <w:divBdr>
        <w:top w:val="none" w:sz="0" w:space="0" w:color="auto"/>
        <w:left w:val="none" w:sz="0" w:space="0" w:color="auto"/>
        <w:bottom w:val="none" w:sz="0" w:space="0" w:color="auto"/>
        <w:right w:val="none" w:sz="0" w:space="0" w:color="auto"/>
      </w:divBdr>
    </w:div>
    <w:div w:id="386540005">
      <w:bodyDiv w:val="1"/>
      <w:marLeft w:val="0"/>
      <w:marRight w:val="0"/>
      <w:marTop w:val="0"/>
      <w:marBottom w:val="0"/>
      <w:divBdr>
        <w:top w:val="none" w:sz="0" w:space="0" w:color="auto"/>
        <w:left w:val="none" w:sz="0" w:space="0" w:color="auto"/>
        <w:bottom w:val="none" w:sz="0" w:space="0" w:color="auto"/>
        <w:right w:val="none" w:sz="0" w:space="0" w:color="auto"/>
      </w:divBdr>
    </w:div>
    <w:div w:id="386687190">
      <w:bodyDiv w:val="1"/>
      <w:marLeft w:val="0"/>
      <w:marRight w:val="0"/>
      <w:marTop w:val="0"/>
      <w:marBottom w:val="0"/>
      <w:divBdr>
        <w:top w:val="none" w:sz="0" w:space="0" w:color="auto"/>
        <w:left w:val="none" w:sz="0" w:space="0" w:color="auto"/>
        <w:bottom w:val="none" w:sz="0" w:space="0" w:color="auto"/>
        <w:right w:val="none" w:sz="0" w:space="0" w:color="auto"/>
      </w:divBdr>
    </w:div>
    <w:div w:id="428084146">
      <w:bodyDiv w:val="1"/>
      <w:marLeft w:val="0"/>
      <w:marRight w:val="0"/>
      <w:marTop w:val="0"/>
      <w:marBottom w:val="0"/>
      <w:divBdr>
        <w:top w:val="none" w:sz="0" w:space="0" w:color="auto"/>
        <w:left w:val="none" w:sz="0" w:space="0" w:color="auto"/>
        <w:bottom w:val="none" w:sz="0" w:space="0" w:color="auto"/>
        <w:right w:val="none" w:sz="0" w:space="0" w:color="auto"/>
      </w:divBdr>
    </w:div>
    <w:div w:id="554581609">
      <w:bodyDiv w:val="1"/>
      <w:marLeft w:val="0"/>
      <w:marRight w:val="0"/>
      <w:marTop w:val="0"/>
      <w:marBottom w:val="0"/>
      <w:divBdr>
        <w:top w:val="none" w:sz="0" w:space="0" w:color="auto"/>
        <w:left w:val="none" w:sz="0" w:space="0" w:color="auto"/>
        <w:bottom w:val="none" w:sz="0" w:space="0" w:color="auto"/>
        <w:right w:val="none" w:sz="0" w:space="0" w:color="auto"/>
      </w:divBdr>
    </w:div>
    <w:div w:id="566039203">
      <w:bodyDiv w:val="1"/>
      <w:marLeft w:val="0"/>
      <w:marRight w:val="0"/>
      <w:marTop w:val="0"/>
      <w:marBottom w:val="0"/>
      <w:divBdr>
        <w:top w:val="none" w:sz="0" w:space="0" w:color="auto"/>
        <w:left w:val="none" w:sz="0" w:space="0" w:color="auto"/>
        <w:bottom w:val="none" w:sz="0" w:space="0" w:color="auto"/>
        <w:right w:val="none" w:sz="0" w:space="0" w:color="auto"/>
      </w:divBdr>
    </w:div>
    <w:div w:id="607585684">
      <w:bodyDiv w:val="1"/>
      <w:marLeft w:val="0"/>
      <w:marRight w:val="0"/>
      <w:marTop w:val="0"/>
      <w:marBottom w:val="0"/>
      <w:divBdr>
        <w:top w:val="none" w:sz="0" w:space="0" w:color="auto"/>
        <w:left w:val="none" w:sz="0" w:space="0" w:color="auto"/>
        <w:bottom w:val="none" w:sz="0" w:space="0" w:color="auto"/>
        <w:right w:val="none" w:sz="0" w:space="0" w:color="auto"/>
      </w:divBdr>
    </w:div>
    <w:div w:id="623270225">
      <w:bodyDiv w:val="1"/>
      <w:marLeft w:val="0"/>
      <w:marRight w:val="0"/>
      <w:marTop w:val="0"/>
      <w:marBottom w:val="0"/>
      <w:divBdr>
        <w:top w:val="none" w:sz="0" w:space="0" w:color="auto"/>
        <w:left w:val="none" w:sz="0" w:space="0" w:color="auto"/>
        <w:bottom w:val="none" w:sz="0" w:space="0" w:color="auto"/>
        <w:right w:val="none" w:sz="0" w:space="0" w:color="auto"/>
      </w:divBdr>
    </w:div>
    <w:div w:id="629090205">
      <w:bodyDiv w:val="1"/>
      <w:marLeft w:val="0"/>
      <w:marRight w:val="0"/>
      <w:marTop w:val="0"/>
      <w:marBottom w:val="0"/>
      <w:divBdr>
        <w:top w:val="none" w:sz="0" w:space="0" w:color="auto"/>
        <w:left w:val="none" w:sz="0" w:space="0" w:color="auto"/>
        <w:bottom w:val="none" w:sz="0" w:space="0" w:color="auto"/>
        <w:right w:val="none" w:sz="0" w:space="0" w:color="auto"/>
      </w:divBdr>
    </w:div>
    <w:div w:id="678972813">
      <w:bodyDiv w:val="1"/>
      <w:marLeft w:val="0"/>
      <w:marRight w:val="0"/>
      <w:marTop w:val="0"/>
      <w:marBottom w:val="0"/>
      <w:divBdr>
        <w:top w:val="none" w:sz="0" w:space="0" w:color="auto"/>
        <w:left w:val="none" w:sz="0" w:space="0" w:color="auto"/>
        <w:bottom w:val="none" w:sz="0" w:space="0" w:color="auto"/>
        <w:right w:val="none" w:sz="0" w:space="0" w:color="auto"/>
      </w:divBdr>
    </w:div>
    <w:div w:id="679435076">
      <w:bodyDiv w:val="1"/>
      <w:marLeft w:val="0"/>
      <w:marRight w:val="0"/>
      <w:marTop w:val="0"/>
      <w:marBottom w:val="0"/>
      <w:divBdr>
        <w:top w:val="none" w:sz="0" w:space="0" w:color="auto"/>
        <w:left w:val="none" w:sz="0" w:space="0" w:color="auto"/>
        <w:bottom w:val="none" w:sz="0" w:space="0" w:color="auto"/>
        <w:right w:val="none" w:sz="0" w:space="0" w:color="auto"/>
      </w:divBdr>
    </w:div>
    <w:div w:id="696001715">
      <w:bodyDiv w:val="1"/>
      <w:marLeft w:val="0"/>
      <w:marRight w:val="0"/>
      <w:marTop w:val="0"/>
      <w:marBottom w:val="0"/>
      <w:divBdr>
        <w:top w:val="none" w:sz="0" w:space="0" w:color="auto"/>
        <w:left w:val="none" w:sz="0" w:space="0" w:color="auto"/>
        <w:bottom w:val="none" w:sz="0" w:space="0" w:color="auto"/>
        <w:right w:val="none" w:sz="0" w:space="0" w:color="auto"/>
      </w:divBdr>
    </w:div>
    <w:div w:id="743261445">
      <w:bodyDiv w:val="1"/>
      <w:marLeft w:val="0"/>
      <w:marRight w:val="0"/>
      <w:marTop w:val="0"/>
      <w:marBottom w:val="0"/>
      <w:divBdr>
        <w:top w:val="none" w:sz="0" w:space="0" w:color="auto"/>
        <w:left w:val="none" w:sz="0" w:space="0" w:color="auto"/>
        <w:bottom w:val="none" w:sz="0" w:space="0" w:color="auto"/>
        <w:right w:val="none" w:sz="0" w:space="0" w:color="auto"/>
      </w:divBdr>
      <w:divsChild>
        <w:div w:id="205142377">
          <w:marLeft w:val="0"/>
          <w:marRight w:val="0"/>
          <w:marTop w:val="0"/>
          <w:marBottom w:val="0"/>
          <w:divBdr>
            <w:top w:val="none" w:sz="0" w:space="0" w:color="auto"/>
            <w:left w:val="none" w:sz="0" w:space="0" w:color="auto"/>
            <w:bottom w:val="none" w:sz="0" w:space="0" w:color="auto"/>
            <w:right w:val="none" w:sz="0" w:space="0" w:color="auto"/>
          </w:divBdr>
        </w:div>
        <w:div w:id="787965343">
          <w:marLeft w:val="0"/>
          <w:marRight w:val="0"/>
          <w:marTop w:val="0"/>
          <w:marBottom w:val="0"/>
          <w:divBdr>
            <w:top w:val="none" w:sz="0" w:space="0" w:color="auto"/>
            <w:left w:val="none" w:sz="0" w:space="0" w:color="auto"/>
            <w:bottom w:val="none" w:sz="0" w:space="0" w:color="auto"/>
            <w:right w:val="none" w:sz="0" w:space="0" w:color="auto"/>
          </w:divBdr>
        </w:div>
        <w:div w:id="1555971004">
          <w:marLeft w:val="0"/>
          <w:marRight w:val="0"/>
          <w:marTop w:val="0"/>
          <w:marBottom w:val="0"/>
          <w:divBdr>
            <w:top w:val="none" w:sz="0" w:space="0" w:color="auto"/>
            <w:left w:val="none" w:sz="0" w:space="0" w:color="auto"/>
            <w:bottom w:val="none" w:sz="0" w:space="0" w:color="auto"/>
            <w:right w:val="none" w:sz="0" w:space="0" w:color="auto"/>
          </w:divBdr>
        </w:div>
      </w:divsChild>
    </w:div>
    <w:div w:id="797528789">
      <w:bodyDiv w:val="1"/>
      <w:marLeft w:val="0"/>
      <w:marRight w:val="0"/>
      <w:marTop w:val="0"/>
      <w:marBottom w:val="0"/>
      <w:divBdr>
        <w:top w:val="none" w:sz="0" w:space="0" w:color="auto"/>
        <w:left w:val="none" w:sz="0" w:space="0" w:color="auto"/>
        <w:bottom w:val="none" w:sz="0" w:space="0" w:color="auto"/>
        <w:right w:val="none" w:sz="0" w:space="0" w:color="auto"/>
      </w:divBdr>
    </w:div>
    <w:div w:id="802432845">
      <w:bodyDiv w:val="1"/>
      <w:marLeft w:val="0"/>
      <w:marRight w:val="0"/>
      <w:marTop w:val="0"/>
      <w:marBottom w:val="0"/>
      <w:divBdr>
        <w:top w:val="none" w:sz="0" w:space="0" w:color="auto"/>
        <w:left w:val="none" w:sz="0" w:space="0" w:color="auto"/>
        <w:bottom w:val="none" w:sz="0" w:space="0" w:color="auto"/>
        <w:right w:val="none" w:sz="0" w:space="0" w:color="auto"/>
      </w:divBdr>
    </w:div>
    <w:div w:id="813067542">
      <w:bodyDiv w:val="1"/>
      <w:marLeft w:val="0"/>
      <w:marRight w:val="0"/>
      <w:marTop w:val="0"/>
      <w:marBottom w:val="0"/>
      <w:divBdr>
        <w:top w:val="none" w:sz="0" w:space="0" w:color="auto"/>
        <w:left w:val="none" w:sz="0" w:space="0" w:color="auto"/>
        <w:bottom w:val="none" w:sz="0" w:space="0" w:color="auto"/>
        <w:right w:val="none" w:sz="0" w:space="0" w:color="auto"/>
      </w:divBdr>
    </w:div>
    <w:div w:id="849762011">
      <w:bodyDiv w:val="1"/>
      <w:marLeft w:val="0"/>
      <w:marRight w:val="0"/>
      <w:marTop w:val="0"/>
      <w:marBottom w:val="0"/>
      <w:divBdr>
        <w:top w:val="none" w:sz="0" w:space="0" w:color="auto"/>
        <w:left w:val="none" w:sz="0" w:space="0" w:color="auto"/>
        <w:bottom w:val="none" w:sz="0" w:space="0" w:color="auto"/>
        <w:right w:val="none" w:sz="0" w:space="0" w:color="auto"/>
      </w:divBdr>
    </w:div>
    <w:div w:id="852232063">
      <w:bodyDiv w:val="1"/>
      <w:marLeft w:val="0"/>
      <w:marRight w:val="0"/>
      <w:marTop w:val="0"/>
      <w:marBottom w:val="0"/>
      <w:divBdr>
        <w:top w:val="none" w:sz="0" w:space="0" w:color="auto"/>
        <w:left w:val="none" w:sz="0" w:space="0" w:color="auto"/>
        <w:bottom w:val="none" w:sz="0" w:space="0" w:color="auto"/>
        <w:right w:val="none" w:sz="0" w:space="0" w:color="auto"/>
      </w:divBdr>
    </w:div>
    <w:div w:id="890922378">
      <w:bodyDiv w:val="1"/>
      <w:marLeft w:val="0"/>
      <w:marRight w:val="0"/>
      <w:marTop w:val="0"/>
      <w:marBottom w:val="0"/>
      <w:divBdr>
        <w:top w:val="none" w:sz="0" w:space="0" w:color="auto"/>
        <w:left w:val="none" w:sz="0" w:space="0" w:color="auto"/>
        <w:bottom w:val="none" w:sz="0" w:space="0" w:color="auto"/>
        <w:right w:val="none" w:sz="0" w:space="0" w:color="auto"/>
      </w:divBdr>
    </w:div>
    <w:div w:id="918833317">
      <w:bodyDiv w:val="1"/>
      <w:marLeft w:val="0"/>
      <w:marRight w:val="0"/>
      <w:marTop w:val="0"/>
      <w:marBottom w:val="0"/>
      <w:divBdr>
        <w:top w:val="none" w:sz="0" w:space="0" w:color="auto"/>
        <w:left w:val="none" w:sz="0" w:space="0" w:color="auto"/>
        <w:bottom w:val="none" w:sz="0" w:space="0" w:color="auto"/>
        <w:right w:val="none" w:sz="0" w:space="0" w:color="auto"/>
      </w:divBdr>
    </w:div>
    <w:div w:id="924613029">
      <w:bodyDiv w:val="1"/>
      <w:marLeft w:val="0"/>
      <w:marRight w:val="0"/>
      <w:marTop w:val="0"/>
      <w:marBottom w:val="0"/>
      <w:divBdr>
        <w:top w:val="none" w:sz="0" w:space="0" w:color="auto"/>
        <w:left w:val="none" w:sz="0" w:space="0" w:color="auto"/>
        <w:bottom w:val="none" w:sz="0" w:space="0" w:color="auto"/>
        <w:right w:val="none" w:sz="0" w:space="0" w:color="auto"/>
      </w:divBdr>
    </w:div>
    <w:div w:id="930822876">
      <w:bodyDiv w:val="1"/>
      <w:marLeft w:val="0"/>
      <w:marRight w:val="0"/>
      <w:marTop w:val="0"/>
      <w:marBottom w:val="0"/>
      <w:divBdr>
        <w:top w:val="none" w:sz="0" w:space="0" w:color="auto"/>
        <w:left w:val="none" w:sz="0" w:space="0" w:color="auto"/>
        <w:bottom w:val="none" w:sz="0" w:space="0" w:color="auto"/>
        <w:right w:val="none" w:sz="0" w:space="0" w:color="auto"/>
      </w:divBdr>
    </w:div>
    <w:div w:id="937523667">
      <w:bodyDiv w:val="1"/>
      <w:marLeft w:val="0"/>
      <w:marRight w:val="0"/>
      <w:marTop w:val="0"/>
      <w:marBottom w:val="0"/>
      <w:divBdr>
        <w:top w:val="none" w:sz="0" w:space="0" w:color="auto"/>
        <w:left w:val="none" w:sz="0" w:space="0" w:color="auto"/>
        <w:bottom w:val="none" w:sz="0" w:space="0" w:color="auto"/>
        <w:right w:val="none" w:sz="0" w:space="0" w:color="auto"/>
      </w:divBdr>
    </w:div>
    <w:div w:id="973680348">
      <w:bodyDiv w:val="1"/>
      <w:marLeft w:val="0"/>
      <w:marRight w:val="0"/>
      <w:marTop w:val="0"/>
      <w:marBottom w:val="0"/>
      <w:divBdr>
        <w:top w:val="none" w:sz="0" w:space="0" w:color="auto"/>
        <w:left w:val="none" w:sz="0" w:space="0" w:color="auto"/>
        <w:bottom w:val="none" w:sz="0" w:space="0" w:color="auto"/>
        <w:right w:val="none" w:sz="0" w:space="0" w:color="auto"/>
      </w:divBdr>
    </w:div>
    <w:div w:id="977563619">
      <w:bodyDiv w:val="1"/>
      <w:marLeft w:val="0"/>
      <w:marRight w:val="0"/>
      <w:marTop w:val="0"/>
      <w:marBottom w:val="0"/>
      <w:divBdr>
        <w:top w:val="none" w:sz="0" w:space="0" w:color="auto"/>
        <w:left w:val="none" w:sz="0" w:space="0" w:color="auto"/>
        <w:bottom w:val="none" w:sz="0" w:space="0" w:color="auto"/>
        <w:right w:val="none" w:sz="0" w:space="0" w:color="auto"/>
      </w:divBdr>
    </w:div>
    <w:div w:id="1024744032">
      <w:bodyDiv w:val="1"/>
      <w:marLeft w:val="0"/>
      <w:marRight w:val="0"/>
      <w:marTop w:val="0"/>
      <w:marBottom w:val="0"/>
      <w:divBdr>
        <w:top w:val="none" w:sz="0" w:space="0" w:color="auto"/>
        <w:left w:val="none" w:sz="0" w:space="0" w:color="auto"/>
        <w:bottom w:val="none" w:sz="0" w:space="0" w:color="auto"/>
        <w:right w:val="none" w:sz="0" w:space="0" w:color="auto"/>
      </w:divBdr>
    </w:div>
    <w:div w:id="1033849704">
      <w:bodyDiv w:val="1"/>
      <w:marLeft w:val="0"/>
      <w:marRight w:val="0"/>
      <w:marTop w:val="0"/>
      <w:marBottom w:val="0"/>
      <w:divBdr>
        <w:top w:val="none" w:sz="0" w:space="0" w:color="auto"/>
        <w:left w:val="none" w:sz="0" w:space="0" w:color="auto"/>
        <w:bottom w:val="none" w:sz="0" w:space="0" w:color="auto"/>
        <w:right w:val="none" w:sz="0" w:space="0" w:color="auto"/>
      </w:divBdr>
    </w:div>
    <w:div w:id="1043867257">
      <w:bodyDiv w:val="1"/>
      <w:marLeft w:val="0"/>
      <w:marRight w:val="0"/>
      <w:marTop w:val="0"/>
      <w:marBottom w:val="0"/>
      <w:divBdr>
        <w:top w:val="none" w:sz="0" w:space="0" w:color="auto"/>
        <w:left w:val="none" w:sz="0" w:space="0" w:color="auto"/>
        <w:bottom w:val="none" w:sz="0" w:space="0" w:color="auto"/>
        <w:right w:val="none" w:sz="0" w:space="0" w:color="auto"/>
      </w:divBdr>
    </w:div>
    <w:div w:id="1048381684">
      <w:bodyDiv w:val="1"/>
      <w:marLeft w:val="0"/>
      <w:marRight w:val="0"/>
      <w:marTop w:val="0"/>
      <w:marBottom w:val="0"/>
      <w:divBdr>
        <w:top w:val="none" w:sz="0" w:space="0" w:color="auto"/>
        <w:left w:val="none" w:sz="0" w:space="0" w:color="auto"/>
        <w:bottom w:val="none" w:sz="0" w:space="0" w:color="auto"/>
        <w:right w:val="none" w:sz="0" w:space="0" w:color="auto"/>
      </w:divBdr>
    </w:div>
    <w:div w:id="1094664437">
      <w:bodyDiv w:val="1"/>
      <w:marLeft w:val="0"/>
      <w:marRight w:val="0"/>
      <w:marTop w:val="0"/>
      <w:marBottom w:val="0"/>
      <w:divBdr>
        <w:top w:val="none" w:sz="0" w:space="0" w:color="auto"/>
        <w:left w:val="none" w:sz="0" w:space="0" w:color="auto"/>
        <w:bottom w:val="none" w:sz="0" w:space="0" w:color="auto"/>
        <w:right w:val="none" w:sz="0" w:space="0" w:color="auto"/>
      </w:divBdr>
    </w:div>
    <w:div w:id="1128013172">
      <w:bodyDiv w:val="1"/>
      <w:marLeft w:val="0"/>
      <w:marRight w:val="0"/>
      <w:marTop w:val="0"/>
      <w:marBottom w:val="0"/>
      <w:divBdr>
        <w:top w:val="none" w:sz="0" w:space="0" w:color="auto"/>
        <w:left w:val="none" w:sz="0" w:space="0" w:color="auto"/>
        <w:bottom w:val="none" w:sz="0" w:space="0" w:color="auto"/>
        <w:right w:val="none" w:sz="0" w:space="0" w:color="auto"/>
      </w:divBdr>
    </w:div>
    <w:div w:id="1147741179">
      <w:bodyDiv w:val="1"/>
      <w:marLeft w:val="0"/>
      <w:marRight w:val="0"/>
      <w:marTop w:val="0"/>
      <w:marBottom w:val="0"/>
      <w:divBdr>
        <w:top w:val="none" w:sz="0" w:space="0" w:color="auto"/>
        <w:left w:val="none" w:sz="0" w:space="0" w:color="auto"/>
        <w:bottom w:val="none" w:sz="0" w:space="0" w:color="auto"/>
        <w:right w:val="none" w:sz="0" w:space="0" w:color="auto"/>
      </w:divBdr>
    </w:div>
    <w:div w:id="1149635385">
      <w:bodyDiv w:val="1"/>
      <w:marLeft w:val="0"/>
      <w:marRight w:val="0"/>
      <w:marTop w:val="0"/>
      <w:marBottom w:val="0"/>
      <w:divBdr>
        <w:top w:val="none" w:sz="0" w:space="0" w:color="auto"/>
        <w:left w:val="none" w:sz="0" w:space="0" w:color="auto"/>
        <w:bottom w:val="none" w:sz="0" w:space="0" w:color="auto"/>
        <w:right w:val="none" w:sz="0" w:space="0" w:color="auto"/>
      </w:divBdr>
    </w:div>
    <w:div w:id="1181973980">
      <w:bodyDiv w:val="1"/>
      <w:marLeft w:val="0"/>
      <w:marRight w:val="0"/>
      <w:marTop w:val="0"/>
      <w:marBottom w:val="0"/>
      <w:divBdr>
        <w:top w:val="none" w:sz="0" w:space="0" w:color="auto"/>
        <w:left w:val="none" w:sz="0" w:space="0" w:color="auto"/>
        <w:bottom w:val="none" w:sz="0" w:space="0" w:color="auto"/>
        <w:right w:val="none" w:sz="0" w:space="0" w:color="auto"/>
      </w:divBdr>
    </w:div>
    <w:div w:id="1184593011">
      <w:bodyDiv w:val="1"/>
      <w:marLeft w:val="0"/>
      <w:marRight w:val="0"/>
      <w:marTop w:val="0"/>
      <w:marBottom w:val="0"/>
      <w:divBdr>
        <w:top w:val="none" w:sz="0" w:space="0" w:color="auto"/>
        <w:left w:val="none" w:sz="0" w:space="0" w:color="auto"/>
        <w:bottom w:val="none" w:sz="0" w:space="0" w:color="auto"/>
        <w:right w:val="none" w:sz="0" w:space="0" w:color="auto"/>
      </w:divBdr>
    </w:div>
    <w:div w:id="1224561241">
      <w:bodyDiv w:val="1"/>
      <w:marLeft w:val="0"/>
      <w:marRight w:val="0"/>
      <w:marTop w:val="0"/>
      <w:marBottom w:val="0"/>
      <w:divBdr>
        <w:top w:val="none" w:sz="0" w:space="0" w:color="auto"/>
        <w:left w:val="none" w:sz="0" w:space="0" w:color="auto"/>
        <w:bottom w:val="none" w:sz="0" w:space="0" w:color="auto"/>
        <w:right w:val="none" w:sz="0" w:space="0" w:color="auto"/>
      </w:divBdr>
    </w:div>
    <w:div w:id="1229804889">
      <w:bodyDiv w:val="1"/>
      <w:marLeft w:val="0"/>
      <w:marRight w:val="0"/>
      <w:marTop w:val="0"/>
      <w:marBottom w:val="0"/>
      <w:divBdr>
        <w:top w:val="none" w:sz="0" w:space="0" w:color="auto"/>
        <w:left w:val="none" w:sz="0" w:space="0" w:color="auto"/>
        <w:bottom w:val="none" w:sz="0" w:space="0" w:color="auto"/>
        <w:right w:val="none" w:sz="0" w:space="0" w:color="auto"/>
      </w:divBdr>
    </w:div>
    <w:div w:id="1249803156">
      <w:bodyDiv w:val="1"/>
      <w:marLeft w:val="0"/>
      <w:marRight w:val="0"/>
      <w:marTop w:val="0"/>
      <w:marBottom w:val="0"/>
      <w:divBdr>
        <w:top w:val="none" w:sz="0" w:space="0" w:color="auto"/>
        <w:left w:val="none" w:sz="0" w:space="0" w:color="auto"/>
        <w:bottom w:val="none" w:sz="0" w:space="0" w:color="auto"/>
        <w:right w:val="none" w:sz="0" w:space="0" w:color="auto"/>
      </w:divBdr>
    </w:div>
    <w:div w:id="1266419622">
      <w:bodyDiv w:val="1"/>
      <w:marLeft w:val="0"/>
      <w:marRight w:val="0"/>
      <w:marTop w:val="0"/>
      <w:marBottom w:val="0"/>
      <w:divBdr>
        <w:top w:val="none" w:sz="0" w:space="0" w:color="auto"/>
        <w:left w:val="none" w:sz="0" w:space="0" w:color="auto"/>
        <w:bottom w:val="none" w:sz="0" w:space="0" w:color="auto"/>
        <w:right w:val="none" w:sz="0" w:space="0" w:color="auto"/>
      </w:divBdr>
    </w:div>
    <w:div w:id="1293751909">
      <w:bodyDiv w:val="1"/>
      <w:marLeft w:val="0"/>
      <w:marRight w:val="0"/>
      <w:marTop w:val="0"/>
      <w:marBottom w:val="0"/>
      <w:divBdr>
        <w:top w:val="none" w:sz="0" w:space="0" w:color="auto"/>
        <w:left w:val="none" w:sz="0" w:space="0" w:color="auto"/>
        <w:bottom w:val="none" w:sz="0" w:space="0" w:color="auto"/>
        <w:right w:val="none" w:sz="0" w:space="0" w:color="auto"/>
      </w:divBdr>
    </w:div>
    <w:div w:id="1301300086">
      <w:bodyDiv w:val="1"/>
      <w:marLeft w:val="0"/>
      <w:marRight w:val="0"/>
      <w:marTop w:val="0"/>
      <w:marBottom w:val="0"/>
      <w:divBdr>
        <w:top w:val="none" w:sz="0" w:space="0" w:color="auto"/>
        <w:left w:val="none" w:sz="0" w:space="0" w:color="auto"/>
        <w:bottom w:val="none" w:sz="0" w:space="0" w:color="auto"/>
        <w:right w:val="none" w:sz="0" w:space="0" w:color="auto"/>
      </w:divBdr>
    </w:div>
    <w:div w:id="1317227665">
      <w:bodyDiv w:val="1"/>
      <w:marLeft w:val="0"/>
      <w:marRight w:val="0"/>
      <w:marTop w:val="0"/>
      <w:marBottom w:val="0"/>
      <w:divBdr>
        <w:top w:val="none" w:sz="0" w:space="0" w:color="auto"/>
        <w:left w:val="none" w:sz="0" w:space="0" w:color="auto"/>
        <w:bottom w:val="none" w:sz="0" w:space="0" w:color="auto"/>
        <w:right w:val="none" w:sz="0" w:space="0" w:color="auto"/>
      </w:divBdr>
    </w:div>
    <w:div w:id="1328287865">
      <w:bodyDiv w:val="1"/>
      <w:marLeft w:val="0"/>
      <w:marRight w:val="0"/>
      <w:marTop w:val="0"/>
      <w:marBottom w:val="0"/>
      <w:divBdr>
        <w:top w:val="none" w:sz="0" w:space="0" w:color="auto"/>
        <w:left w:val="none" w:sz="0" w:space="0" w:color="auto"/>
        <w:bottom w:val="none" w:sz="0" w:space="0" w:color="auto"/>
        <w:right w:val="none" w:sz="0" w:space="0" w:color="auto"/>
      </w:divBdr>
    </w:div>
    <w:div w:id="1389693982">
      <w:bodyDiv w:val="1"/>
      <w:marLeft w:val="0"/>
      <w:marRight w:val="0"/>
      <w:marTop w:val="0"/>
      <w:marBottom w:val="0"/>
      <w:divBdr>
        <w:top w:val="none" w:sz="0" w:space="0" w:color="auto"/>
        <w:left w:val="none" w:sz="0" w:space="0" w:color="auto"/>
        <w:bottom w:val="none" w:sz="0" w:space="0" w:color="auto"/>
        <w:right w:val="none" w:sz="0" w:space="0" w:color="auto"/>
      </w:divBdr>
    </w:div>
    <w:div w:id="1436753954">
      <w:bodyDiv w:val="1"/>
      <w:marLeft w:val="0"/>
      <w:marRight w:val="0"/>
      <w:marTop w:val="0"/>
      <w:marBottom w:val="0"/>
      <w:divBdr>
        <w:top w:val="none" w:sz="0" w:space="0" w:color="auto"/>
        <w:left w:val="none" w:sz="0" w:space="0" w:color="auto"/>
        <w:bottom w:val="none" w:sz="0" w:space="0" w:color="auto"/>
        <w:right w:val="none" w:sz="0" w:space="0" w:color="auto"/>
      </w:divBdr>
    </w:div>
    <w:div w:id="1449081304">
      <w:bodyDiv w:val="1"/>
      <w:marLeft w:val="0"/>
      <w:marRight w:val="0"/>
      <w:marTop w:val="0"/>
      <w:marBottom w:val="0"/>
      <w:divBdr>
        <w:top w:val="none" w:sz="0" w:space="0" w:color="auto"/>
        <w:left w:val="none" w:sz="0" w:space="0" w:color="auto"/>
        <w:bottom w:val="none" w:sz="0" w:space="0" w:color="auto"/>
        <w:right w:val="none" w:sz="0" w:space="0" w:color="auto"/>
      </w:divBdr>
    </w:div>
    <w:div w:id="1470055863">
      <w:bodyDiv w:val="1"/>
      <w:marLeft w:val="0"/>
      <w:marRight w:val="0"/>
      <w:marTop w:val="0"/>
      <w:marBottom w:val="0"/>
      <w:divBdr>
        <w:top w:val="none" w:sz="0" w:space="0" w:color="auto"/>
        <w:left w:val="none" w:sz="0" w:space="0" w:color="auto"/>
        <w:bottom w:val="none" w:sz="0" w:space="0" w:color="auto"/>
        <w:right w:val="none" w:sz="0" w:space="0" w:color="auto"/>
      </w:divBdr>
    </w:div>
    <w:div w:id="1504320218">
      <w:bodyDiv w:val="1"/>
      <w:marLeft w:val="0"/>
      <w:marRight w:val="0"/>
      <w:marTop w:val="0"/>
      <w:marBottom w:val="0"/>
      <w:divBdr>
        <w:top w:val="none" w:sz="0" w:space="0" w:color="auto"/>
        <w:left w:val="none" w:sz="0" w:space="0" w:color="auto"/>
        <w:bottom w:val="none" w:sz="0" w:space="0" w:color="auto"/>
        <w:right w:val="none" w:sz="0" w:space="0" w:color="auto"/>
      </w:divBdr>
    </w:div>
    <w:div w:id="1514569581">
      <w:bodyDiv w:val="1"/>
      <w:marLeft w:val="0"/>
      <w:marRight w:val="0"/>
      <w:marTop w:val="0"/>
      <w:marBottom w:val="0"/>
      <w:divBdr>
        <w:top w:val="none" w:sz="0" w:space="0" w:color="auto"/>
        <w:left w:val="none" w:sz="0" w:space="0" w:color="auto"/>
        <w:bottom w:val="none" w:sz="0" w:space="0" w:color="auto"/>
        <w:right w:val="none" w:sz="0" w:space="0" w:color="auto"/>
      </w:divBdr>
    </w:div>
    <w:div w:id="1543639475">
      <w:bodyDiv w:val="1"/>
      <w:marLeft w:val="0"/>
      <w:marRight w:val="0"/>
      <w:marTop w:val="0"/>
      <w:marBottom w:val="0"/>
      <w:divBdr>
        <w:top w:val="none" w:sz="0" w:space="0" w:color="auto"/>
        <w:left w:val="none" w:sz="0" w:space="0" w:color="auto"/>
        <w:bottom w:val="none" w:sz="0" w:space="0" w:color="auto"/>
        <w:right w:val="none" w:sz="0" w:space="0" w:color="auto"/>
      </w:divBdr>
    </w:div>
    <w:div w:id="1553736631">
      <w:bodyDiv w:val="1"/>
      <w:marLeft w:val="0"/>
      <w:marRight w:val="0"/>
      <w:marTop w:val="0"/>
      <w:marBottom w:val="0"/>
      <w:divBdr>
        <w:top w:val="none" w:sz="0" w:space="0" w:color="auto"/>
        <w:left w:val="none" w:sz="0" w:space="0" w:color="auto"/>
        <w:bottom w:val="none" w:sz="0" w:space="0" w:color="auto"/>
        <w:right w:val="none" w:sz="0" w:space="0" w:color="auto"/>
      </w:divBdr>
    </w:div>
    <w:div w:id="1565020171">
      <w:bodyDiv w:val="1"/>
      <w:marLeft w:val="0"/>
      <w:marRight w:val="0"/>
      <w:marTop w:val="0"/>
      <w:marBottom w:val="0"/>
      <w:divBdr>
        <w:top w:val="none" w:sz="0" w:space="0" w:color="auto"/>
        <w:left w:val="none" w:sz="0" w:space="0" w:color="auto"/>
        <w:bottom w:val="none" w:sz="0" w:space="0" w:color="auto"/>
        <w:right w:val="none" w:sz="0" w:space="0" w:color="auto"/>
      </w:divBdr>
    </w:div>
    <w:div w:id="1585414028">
      <w:bodyDiv w:val="1"/>
      <w:marLeft w:val="0"/>
      <w:marRight w:val="0"/>
      <w:marTop w:val="0"/>
      <w:marBottom w:val="0"/>
      <w:divBdr>
        <w:top w:val="none" w:sz="0" w:space="0" w:color="auto"/>
        <w:left w:val="none" w:sz="0" w:space="0" w:color="auto"/>
        <w:bottom w:val="none" w:sz="0" w:space="0" w:color="auto"/>
        <w:right w:val="none" w:sz="0" w:space="0" w:color="auto"/>
      </w:divBdr>
    </w:div>
    <w:div w:id="1609659771">
      <w:bodyDiv w:val="1"/>
      <w:marLeft w:val="0"/>
      <w:marRight w:val="0"/>
      <w:marTop w:val="0"/>
      <w:marBottom w:val="0"/>
      <w:divBdr>
        <w:top w:val="none" w:sz="0" w:space="0" w:color="auto"/>
        <w:left w:val="none" w:sz="0" w:space="0" w:color="auto"/>
        <w:bottom w:val="none" w:sz="0" w:space="0" w:color="auto"/>
        <w:right w:val="none" w:sz="0" w:space="0" w:color="auto"/>
      </w:divBdr>
    </w:div>
    <w:div w:id="1621759610">
      <w:bodyDiv w:val="1"/>
      <w:marLeft w:val="0"/>
      <w:marRight w:val="0"/>
      <w:marTop w:val="0"/>
      <w:marBottom w:val="0"/>
      <w:divBdr>
        <w:top w:val="none" w:sz="0" w:space="0" w:color="auto"/>
        <w:left w:val="none" w:sz="0" w:space="0" w:color="auto"/>
        <w:bottom w:val="none" w:sz="0" w:space="0" w:color="auto"/>
        <w:right w:val="none" w:sz="0" w:space="0" w:color="auto"/>
      </w:divBdr>
    </w:div>
    <w:div w:id="1633365641">
      <w:bodyDiv w:val="1"/>
      <w:marLeft w:val="0"/>
      <w:marRight w:val="0"/>
      <w:marTop w:val="0"/>
      <w:marBottom w:val="0"/>
      <w:divBdr>
        <w:top w:val="none" w:sz="0" w:space="0" w:color="auto"/>
        <w:left w:val="none" w:sz="0" w:space="0" w:color="auto"/>
        <w:bottom w:val="none" w:sz="0" w:space="0" w:color="auto"/>
        <w:right w:val="none" w:sz="0" w:space="0" w:color="auto"/>
      </w:divBdr>
    </w:div>
    <w:div w:id="1633632191">
      <w:bodyDiv w:val="1"/>
      <w:marLeft w:val="0"/>
      <w:marRight w:val="0"/>
      <w:marTop w:val="0"/>
      <w:marBottom w:val="0"/>
      <w:divBdr>
        <w:top w:val="none" w:sz="0" w:space="0" w:color="auto"/>
        <w:left w:val="none" w:sz="0" w:space="0" w:color="auto"/>
        <w:bottom w:val="none" w:sz="0" w:space="0" w:color="auto"/>
        <w:right w:val="none" w:sz="0" w:space="0" w:color="auto"/>
      </w:divBdr>
    </w:div>
    <w:div w:id="1686401000">
      <w:bodyDiv w:val="1"/>
      <w:marLeft w:val="0"/>
      <w:marRight w:val="0"/>
      <w:marTop w:val="0"/>
      <w:marBottom w:val="0"/>
      <w:divBdr>
        <w:top w:val="none" w:sz="0" w:space="0" w:color="auto"/>
        <w:left w:val="none" w:sz="0" w:space="0" w:color="auto"/>
        <w:bottom w:val="none" w:sz="0" w:space="0" w:color="auto"/>
        <w:right w:val="none" w:sz="0" w:space="0" w:color="auto"/>
      </w:divBdr>
    </w:div>
    <w:div w:id="1747262051">
      <w:bodyDiv w:val="1"/>
      <w:marLeft w:val="0"/>
      <w:marRight w:val="0"/>
      <w:marTop w:val="0"/>
      <w:marBottom w:val="0"/>
      <w:divBdr>
        <w:top w:val="none" w:sz="0" w:space="0" w:color="auto"/>
        <w:left w:val="none" w:sz="0" w:space="0" w:color="auto"/>
        <w:bottom w:val="none" w:sz="0" w:space="0" w:color="auto"/>
        <w:right w:val="none" w:sz="0" w:space="0" w:color="auto"/>
      </w:divBdr>
    </w:div>
    <w:div w:id="1753696101">
      <w:bodyDiv w:val="1"/>
      <w:marLeft w:val="0"/>
      <w:marRight w:val="0"/>
      <w:marTop w:val="0"/>
      <w:marBottom w:val="0"/>
      <w:divBdr>
        <w:top w:val="none" w:sz="0" w:space="0" w:color="auto"/>
        <w:left w:val="none" w:sz="0" w:space="0" w:color="auto"/>
        <w:bottom w:val="none" w:sz="0" w:space="0" w:color="auto"/>
        <w:right w:val="none" w:sz="0" w:space="0" w:color="auto"/>
      </w:divBdr>
    </w:div>
    <w:div w:id="1779446177">
      <w:bodyDiv w:val="1"/>
      <w:marLeft w:val="0"/>
      <w:marRight w:val="0"/>
      <w:marTop w:val="0"/>
      <w:marBottom w:val="0"/>
      <w:divBdr>
        <w:top w:val="none" w:sz="0" w:space="0" w:color="auto"/>
        <w:left w:val="none" w:sz="0" w:space="0" w:color="auto"/>
        <w:bottom w:val="none" w:sz="0" w:space="0" w:color="auto"/>
        <w:right w:val="none" w:sz="0" w:space="0" w:color="auto"/>
      </w:divBdr>
    </w:div>
    <w:div w:id="1795363936">
      <w:bodyDiv w:val="1"/>
      <w:marLeft w:val="0"/>
      <w:marRight w:val="0"/>
      <w:marTop w:val="0"/>
      <w:marBottom w:val="0"/>
      <w:divBdr>
        <w:top w:val="none" w:sz="0" w:space="0" w:color="auto"/>
        <w:left w:val="none" w:sz="0" w:space="0" w:color="auto"/>
        <w:bottom w:val="none" w:sz="0" w:space="0" w:color="auto"/>
        <w:right w:val="none" w:sz="0" w:space="0" w:color="auto"/>
      </w:divBdr>
    </w:div>
    <w:div w:id="1796219294">
      <w:bodyDiv w:val="1"/>
      <w:marLeft w:val="0"/>
      <w:marRight w:val="0"/>
      <w:marTop w:val="0"/>
      <w:marBottom w:val="0"/>
      <w:divBdr>
        <w:top w:val="none" w:sz="0" w:space="0" w:color="auto"/>
        <w:left w:val="none" w:sz="0" w:space="0" w:color="auto"/>
        <w:bottom w:val="none" w:sz="0" w:space="0" w:color="auto"/>
        <w:right w:val="none" w:sz="0" w:space="0" w:color="auto"/>
      </w:divBdr>
    </w:div>
    <w:div w:id="1796871020">
      <w:bodyDiv w:val="1"/>
      <w:marLeft w:val="0"/>
      <w:marRight w:val="0"/>
      <w:marTop w:val="0"/>
      <w:marBottom w:val="0"/>
      <w:divBdr>
        <w:top w:val="none" w:sz="0" w:space="0" w:color="auto"/>
        <w:left w:val="none" w:sz="0" w:space="0" w:color="auto"/>
        <w:bottom w:val="none" w:sz="0" w:space="0" w:color="auto"/>
        <w:right w:val="none" w:sz="0" w:space="0" w:color="auto"/>
      </w:divBdr>
    </w:div>
    <w:div w:id="1806702749">
      <w:bodyDiv w:val="1"/>
      <w:marLeft w:val="0"/>
      <w:marRight w:val="0"/>
      <w:marTop w:val="0"/>
      <w:marBottom w:val="0"/>
      <w:divBdr>
        <w:top w:val="none" w:sz="0" w:space="0" w:color="auto"/>
        <w:left w:val="none" w:sz="0" w:space="0" w:color="auto"/>
        <w:bottom w:val="none" w:sz="0" w:space="0" w:color="auto"/>
        <w:right w:val="none" w:sz="0" w:space="0" w:color="auto"/>
      </w:divBdr>
      <w:divsChild>
        <w:div w:id="2632793">
          <w:marLeft w:val="0"/>
          <w:marRight w:val="0"/>
          <w:marTop w:val="0"/>
          <w:marBottom w:val="0"/>
          <w:divBdr>
            <w:top w:val="none" w:sz="0" w:space="0" w:color="auto"/>
            <w:left w:val="none" w:sz="0" w:space="0" w:color="auto"/>
            <w:bottom w:val="none" w:sz="0" w:space="0" w:color="auto"/>
            <w:right w:val="none" w:sz="0" w:space="0" w:color="auto"/>
          </w:divBdr>
        </w:div>
        <w:div w:id="317804076">
          <w:marLeft w:val="0"/>
          <w:marRight w:val="0"/>
          <w:marTop w:val="0"/>
          <w:marBottom w:val="0"/>
          <w:divBdr>
            <w:top w:val="none" w:sz="0" w:space="0" w:color="auto"/>
            <w:left w:val="none" w:sz="0" w:space="0" w:color="auto"/>
            <w:bottom w:val="none" w:sz="0" w:space="0" w:color="auto"/>
            <w:right w:val="none" w:sz="0" w:space="0" w:color="auto"/>
          </w:divBdr>
        </w:div>
      </w:divsChild>
    </w:div>
    <w:div w:id="1813523296">
      <w:bodyDiv w:val="1"/>
      <w:marLeft w:val="0"/>
      <w:marRight w:val="0"/>
      <w:marTop w:val="0"/>
      <w:marBottom w:val="0"/>
      <w:divBdr>
        <w:top w:val="none" w:sz="0" w:space="0" w:color="auto"/>
        <w:left w:val="none" w:sz="0" w:space="0" w:color="auto"/>
        <w:bottom w:val="none" w:sz="0" w:space="0" w:color="auto"/>
        <w:right w:val="none" w:sz="0" w:space="0" w:color="auto"/>
      </w:divBdr>
    </w:div>
    <w:div w:id="1818497281">
      <w:bodyDiv w:val="1"/>
      <w:marLeft w:val="0"/>
      <w:marRight w:val="0"/>
      <w:marTop w:val="0"/>
      <w:marBottom w:val="0"/>
      <w:divBdr>
        <w:top w:val="none" w:sz="0" w:space="0" w:color="auto"/>
        <w:left w:val="none" w:sz="0" w:space="0" w:color="auto"/>
        <w:bottom w:val="none" w:sz="0" w:space="0" w:color="auto"/>
        <w:right w:val="none" w:sz="0" w:space="0" w:color="auto"/>
      </w:divBdr>
    </w:div>
    <w:div w:id="1829128596">
      <w:bodyDiv w:val="1"/>
      <w:marLeft w:val="0"/>
      <w:marRight w:val="0"/>
      <w:marTop w:val="0"/>
      <w:marBottom w:val="0"/>
      <w:divBdr>
        <w:top w:val="none" w:sz="0" w:space="0" w:color="auto"/>
        <w:left w:val="none" w:sz="0" w:space="0" w:color="auto"/>
        <w:bottom w:val="none" w:sz="0" w:space="0" w:color="auto"/>
        <w:right w:val="none" w:sz="0" w:space="0" w:color="auto"/>
      </w:divBdr>
    </w:div>
    <w:div w:id="1868059758">
      <w:bodyDiv w:val="1"/>
      <w:marLeft w:val="0"/>
      <w:marRight w:val="0"/>
      <w:marTop w:val="0"/>
      <w:marBottom w:val="0"/>
      <w:divBdr>
        <w:top w:val="none" w:sz="0" w:space="0" w:color="auto"/>
        <w:left w:val="none" w:sz="0" w:space="0" w:color="auto"/>
        <w:bottom w:val="none" w:sz="0" w:space="0" w:color="auto"/>
        <w:right w:val="none" w:sz="0" w:space="0" w:color="auto"/>
      </w:divBdr>
    </w:div>
    <w:div w:id="1868177665">
      <w:bodyDiv w:val="1"/>
      <w:marLeft w:val="0"/>
      <w:marRight w:val="0"/>
      <w:marTop w:val="0"/>
      <w:marBottom w:val="0"/>
      <w:divBdr>
        <w:top w:val="none" w:sz="0" w:space="0" w:color="auto"/>
        <w:left w:val="none" w:sz="0" w:space="0" w:color="auto"/>
        <w:bottom w:val="none" w:sz="0" w:space="0" w:color="auto"/>
        <w:right w:val="none" w:sz="0" w:space="0" w:color="auto"/>
      </w:divBdr>
    </w:div>
    <w:div w:id="1872526582">
      <w:bodyDiv w:val="1"/>
      <w:marLeft w:val="0"/>
      <w:marRight w:val="0"/>
      <w:marTop w:val="0"/>
      <w:marBottom w:val="0"/>
      <w:divBdr>
        <w:top w:val="none" w:sz="0" w:space="0" w:color="auto"/>
        <w:left w:val="none" w:sz="0" w:space="0" w:color="auto"/>
        <w:bottom w:val="none" w:sz="0" w:space="0" w:color="auto"/>
        <w:right w:val="none" w:sz="0" w:space="0" w:color="auto"/>
      </w:divBdr>
    </w:div>
    <w:div w:id="1873691198">
      <w:bodyDiv w:val="1"/>
      <w:marLeft w:val="0"/>
      <w:marRight w:val="0"/>
      <w:marTop w:val="0"/>
      <w:marBottom w:val="0"/>
      <w:divBdr>
        <w:top w:val="none" w:sz="0" w:space="0" w:color="auto"/>
        <w:left w:val="none" w:sz="0" w:space="0" w:color="auto"/>
        <w:bottom w:val="none" w:sz="0" w:space="0" w:color="auto"/>
        <w:right w:val="none" w:sz="0" w:space="0" w:color="auto"/>
      </w:divBdr>
    </w:div>
    <w:div w:id="1891376422">
      <w:bodyDiv w:val="1"/>
      <w:marLeft w:val="0"/>
      <w:marRight w:val="0"/>
      <w:marTop w:val="0"/>
      <w:marBottom w:val="0"/>
      <w:divBdr>
        <w:top w:val="none" w:sz="0" w:space="0" w:color="auto"/>
        <w:left w:val="none" w:sz="0" w:space="0" w:color="auto"/>
        <w:bottom w:val="none" w:sz="0" w:space="0" w:color="auto"/>
        <w:right w:val="none" w:sz="0" w:space="0" w:color="auto"/>
      </w:divBdr>
    </w:div>
    <w:div w:id="1927032593">
      <w:bodyDiv w:val="1"/>
      <w:marLeft w:val="0"/>
      <w:marRight w:val="0"/>
      <w:marTop w:val="0"/>
      <w:marBottom w:val="0"/>
      <w:divBdr>
        <w:top w:val="none" w:sz="0" w:space="0" w:color="auto"/>
        <w:left w:val="none" w:sz="0" w:space="0" w:color="auto"/>
        <w:bottom w:val="none" w:sz="0" w:space="0" w:color="auto"/>
        <w:right w:val="none" w:sz="0" w:space="0" w:color="auto"/>
      </w:divBdr>
    </w:div>
    <w:div w:id="1944065770">
      <w:bodyDiv w:val="1"/>
      <w:marLeft w:val="0"/>
      <w:marRight w:val="0"/>
      <w:marTop w:val="0"/>
      <w:marBottom w:val="0"/>
      <w:divBdr>
        <w:top w:val="none" w:sz="0" w:space="0" w:color="auto"/>
        <w:left w:val="none" w:sz="0" w:space="0" w:color="auto"/>
        <w:bottom w:val="none" w:sz="0" w:space="0" w:color="auto"/>
        <w:right w:val="none" w:sz="0" w:space="0" w:color="auto"/>
      </w:divBdr>
    </w:div>
    <w:div w:id="1969125018">
      <w:bodyDiv w:val="1"/>
      <w:marLeft w:val="0"/>
      <w:marRight w:val="0"/>
      <w:marTop w:val="0"/>
      <w:marBottom w:val="0"/>
      <w:divBdr>
        <w:top w:val="none" w:sz="0" w:space="0" w:color="auto"/>
        <w:left w:val="none" w:sz="0" w:space="0" w:color="auto"/>
        <w:bottom w:val="none" w:sz="0" w:space="0" w:color="auto"/>
        <w:right w:val="none" w:sz="0" w:space="0" w:color="auto"/>
      </w:divBdr>
    </w:div>
    <w:div w:id="2019968390">
      <w:bodyDiv w:val="1"/>
      <w:marLeft w:val="0"/>
      <w:marRight w:val="0"/>
      <w:marTop w:val="0"/>
      <w:marBottom w:val="0"/>
      <w:divBdr>
        <w:top w:val="none" w:sz="0" w:space="0" w:color="auto"/>
        <w:left w:val="none" w:sz="0" w:space="0" w:color="auto"/>
        <w:bottom w:val="none" w:sz="0" w:space="0" w:color="auto"/>
        <w:right w:val="none" w:sz="0" w:space="0" w:color="auto"/>
      </w:divBdr>
    </w:div>
    <w:div w:id="2028748582">
      <w:bodyDiv w:val="1"/>
      <w:marLeft w:val="0"/>
      <w:marRight w:val="0"/>
      <w:marTop w:val="0"/>
      <w:marBottom w:val="0"/>
      <w:divBdr>
        <w:top w:val="none" w:sz="0" w:space="0" w:color="auto"/>
        <w:left w:val="none" w:sz="0" w:space="0" w:color="auto"/>
        <w:bottom w:val="none" w:sz="0" w:space="0" w:color="auto"/>
        <w:right w:val="none" w:sz="0" w:space="0" w:color="auto"/>
      </w:divBdr>
    </w:div>
    <w:div w:id="2044281354">
      <w:bodyDiv w:val="1"/>
      <w:marLeft w:val="0"/>
      <w:marRight w:val="0"/>
      <w:marTop w:val="0"/>
      <w:marBottom w:val="0"/>
      <w:divBdr>
        <w:top w:val="none" w:sz="0" w:space="0" w:color="auto"/>
        <w:left w:val="none" w:sz="0" w:space="0" w:color="auto"/>
        <w:bottom w:val="none" w:sz="0" w:space="0" w:color="auto"/>
        <w:right w:val="none" w:sz="0" w:space="0" w:color="auto"/>
      </w:divBdr>
    </w:div>
    <w:div w:id="2047485847">
      <w:bodyDiv w:val="1"/>
      <w:marLeft w:val="0"/>
      <w:marRight w:val="0"/>
      <w:marTop w:val="0"/>
      <w:marBottom w:val="0"/>
      <w:divBdr>
        <w:top w:val="none" w:sz="0" w:space="0" w:color="auto"/>
        <w:left w:val="none" w:sz="0" w:space="0" w:color="auto"/>
        <w:bottom w:val="none" w:sz="0" w:space="0" w:color="auto"/>
        <w:right w:val="none" w:sz="0" w:space="0" w:color="auto"/>
      </w:divBdr>
    </w:div>
    <w:div w:id="2050371211">
      <w:bodyDiv w:val="1"/>
      <w:marLeft w:val="0"/>
      <w:marRight w:val="0"/>
      <w:marTop w:val="0"/>
      <w:marBottom w:val="0"/>
      <w:divBdr>
        <w:top w:val="none" w:sz="0" w:space="0" w:color="auto"/>
        <w:left w:val="none" w:sz="0" w:space="0" w:color="auto"/>
        <w:bottom w:val="none" w:sz="0" w:space="0" w:color="auto"/>
        <w:right w:val="none" w:sz="0" w:space="0" w:color="auto"/>
      </w:divBdr>
    </w:div>
    <w:div w:id="2069106908">
      <w:bodyDiv w:val="1"/>
      <w:marLeft w:val="0"/>
      <w:marRight w:val="0"/>
      <w:marTop w:val="0"/>
      <w:marBottom w:val="0"/>
      <w:divBdr>
        <w:top w:val="none" w:sz="0" w:space="0" w:color="auto"/>
        <w:left w:val="none" w:sz="0" w:space="0" w:color="auto"/>
        <w:bottom w:val="none" w:sz="0" w:space="0" w:color="auto"/>
        <w:right w:val="none" w:sz="0" w:space="0" w:color="auto"/>
      </w:divBdr>
    </w:div>
    <w:div w:id="2074425136">
      <w:bodyDiv w:val="1"/>
      <w:marLeft w:val="0"/>
      <w:marRight w:val="0"/>
      <w:marTop w:val="0"/>
      <w:marBottom w:val="0"/>
      <w:divBdr>
        <w:top w:val="none" w:sz="0" w:space="0" w:color="auto"/>
        <w:left w:val="none" w:sz="0" w:space="0" w:color="auto"/>
        <w:bottom w:val="none" w:sz="0" w:space="0" w:color="auto"/>
        <w:right w:val="none" w:sz="0" w:space="0" w:color="auto"/>
      </w:divBdr>
    </w:div>
    <w:div w:id="2092892724">
      <w:bodyDiv w:val="1"/>
      <w:marLeft w:val="0"/>
      <w:marRight w:val="0"/>
      <w:marTop w:val="0"/>
      <w:marBottom w:val="0"/>
      <w:divBdr>
        <w:top w:val="none" w:sz="0" w:space="0" w:color="auto"/>
        <w:left w:val="none" w:sz="0" w:space="0" w:color="auto"/>
        <w:bottom w:val="none" w:sz="0" w:space="0" w:color="auto"/>
        <w:right w:val="none" w:sz="0" w:space="0" w:color="auto"/>
      </w:divBdr>
    </w:div>
    <w:div w:id="2122530845">
      <w:bodyDiv w:val="1"/>
      <w:marLeft w:val="0"/>
      <w:marRight w:val="0"/>
      <w:marTop w:val="0"/>
      <w:marBottom w:val="0"/>
      <w:divBdr>
        <w:top w:val="none" w:sz="0" w:space="0" w:color="auto"/>
        <w:left w:val="none" w:sz="0" w:space="0" w:color="auto"/>
        <w:bottom w:val="none" w:sz="0" w:space="0" w:color="auto"/>
        <w:right w:val="none" w:sz="0" w:space="0" w:color="auto"/>
      </w:divBdr>
      <w:divsChild>
        <w:div w:id="2115325887">
          <w:marLeft w:val="0"/>
          <w:marRight w:val="0"/>
          <w:marTop w:val="0"/>
          <w:marBottom w:val="0"/>
          <w:divBdr>
            <w:top w:val="none" w:sz="0" w:space="0" w:color="auto"/>
            <w:left w:val="none" w:sz="0" w:space="0" w:color="auto"/>
            <w:bottom w:val="none" w:sz="0" w:space="0" w:color="auto"/>
            <w:right w:val="none" w:sz="0" w:space="0" w:color="auto"/>
          </w:divBdr>
        </w:div>
      </w:divsChild>
    </w:div>
    <w:div w:id="213243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emf"/><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package" Target="embeddings/Microsoft_Word_Document1.docx"/><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emf"/><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ebapps.supen.fi.cr/contenedor/2" TargetMode="External"/><Relationship Id="rId1" Type="http://schemas.openxmlformats.org/officeDocument/2006/relationships/hyperlink" Target="https://www.google.com/url?sa=t&amp;rct=j&amp;q=&amp;esrc=s&amp;source=web&amp;cd=&amp;ved=2ahUKEwi4u-C-u4eBAxWLTjABHfl3DtUQFnoECBoQAQ&amp;url=https%3A%2F%2Fwww.hacienda.cl%2Fnoticias-y-eventos%2Fpresentaciones%2Fpresentacion-del-gobierno-sobre-la-reforma-de-pensiones-ante-la-camara-de&amp;usg=AOvVaw30c0nikjThzu-nrvYglsv2&amp;opi=8997844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jpg"/><Relationship Id="rId1" Type="http://schemas.openxmlformats.org/officeDocument/2006/relationships/image" Target="media/image12.tmp"/></Relationships>
</file>

<file path=word/charts/_rels/chart1.xml.rels><?xml version="1.0" encoding="UTF-8" standalone="yes"?>
<Relationships xmlns="http://schemas.openxmlformats.org/package/2006/relationships"><Relationship Id="rId3" Type="http://schemas.openxmlformats.org/officeDocument/2006/relationships/oleObject" Target="https://bccr-my.sharepoint.com/personal/corralesvr_supen_fi_cr/Documents/afiliados/datos/cohortes_saldo_2023_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cohortes_saldo_2023_03!$B$1</c:f>
              <c:strCache>
                <c:ptCount val="1"/>
                <c:pt idx="0">
                  <c:v>Saldo</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cohortes_saldo_2023_03!$A$2:$A$5</c:f>
              <c:strCache>
                <c:ptCount val="4"/>
                <c:pt idx="0">
                  <c:v>&lt;1970</c:v>
                </c:pt>
                <c:pt idx="1">
                  <c:v>1970-1979</c:v>
                </c:pt>
                <c:pt idx="2">
                  <c:v>1980-1989</c:v>
                </c:pt>
                <c:pt idx="3">
                  <c:v>&gt;1990</c:v>
                </c:pt>
              </c:strCache>
            </c:strRef>
          </c:cat>
          <c:val>
            <c:numRef>
              <c:f>cohortes_saldo_2023_03!$B$2:$B$5</c:f>
              <c:numCache>
                <c:formatCode>0.00%</c:formatCode>
                <c:ptCount val="4"/>
                <c:pt idx="0">
                  <c:v>0.29174294374487331</c:v>
                </c:pt>
                <c:pt idx="1">
                  <c:v>0.32697803633433253</c:v>
                </c:pt>
                <c:pt idx="2">
                  <c:v>0.29389654567908019</c:v>
                </c:pt>
                <c:pt idx="3">
                  <c:v>8.7382474241713887E-2</c:v>
                </c:pt>
              </c:numCache>
            </c:numRef>
          </c:val>
          <c:extLst>
            <c:ext xmlns:c16="http://schemas.microsoft.com/office/drawing/2014/chart" uri="{C3380CC4-5D6E-409C-BE32-E72D297353CC}">
              <c16:uniqueId val="{00000000-249F-4682-83F6-EC47E666FA52}"/>
            </c:ext>
          </c:extLst>
        </c:ser>
        <c:dLbls>
          <c:showLegendKey val="0"/>
          <c:showVal val="0"/>
          <c:showCatName val="0"/>
          <c:showSerName val="0"/>
          <c:showPercent val="0"/>
          <c:showBubbleSize val="0"/>
        </c:dLbls>
        <c:gapWidth val="219"/>
        <c:overlap val="-27"/>
        <c:axId val="766523199"/>
        <c:axId val="766536095"/>
      </c:barChart>
      <c:catAx>
        <c:axId val="766523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766536095"/>
        <c:crosses val="autoZero"/>
        <c:auto val="1"/>
        <c:lblAlgn val="ctr"/>
        <c:lblOffset val="100"/>
        <c:noMultiLvlLbl val="0"/>
      </c:catAx>
      <c:valAx>
        <c:axId val="766536095"/>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7665231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0FDFD00F87304D8A8D79FD785C961C" ma:contentTypeVersion="16" ma:contentTypeDescription="Crear nuevo documento." ma:contentTypeScope="" ma:versionID="4d2fa0c9de9a14b314e2aa3f2ea77536">
  <xsd:schema xmlns:xsd="http://www.w3.org/2001/XMLSchema" xmlns:xs="http://www.w3.org/2001/XMLSchema" xmlns:p="http://schemas.microsoft.com/office/2006/metadata/properties" xmlns:ns2="52b2650e-8820-49db-b5a8-c40590d4dabd" xmlns:ns3="b18c669d-fb4a-4eb9-a4d1-62cdc1f0ce82" xmlns:ns4="ef69d38d-c069-47fd-a86d-65acf93227a5" targetNamespace="http://schemas.microsoft.com/office/2006/metadata/properties" ma:root="true" ma:fieldsID="fb18263a77ad4bf1545f87a9d4931184" ns2:_="" ns3:_="" ns4:_="">
    <xsd:import namespace="52b2650e-8820-49db-b5a8-c40590d4dabd"/>
    <xsd:import namespace="b18c669d-fb4a-4eb9-a4d1-62cdc1f0ce82"/>
    <xsd:import namespace="ef69d38d-c069-47fd-a86d-65acf9322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2650e-8820-49db-b5a8-c40590d4dabd"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0adf84e-870a-453e-bcaf-71f8aafc26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c669d-fb4a-4eb9-a4d1-62cdc1f0ce82" elementFormDefault="qualified">
    <xsd:import namespace="http://schemas.microsoft.com/office/2006/documentManagement/types"/>
    <xsd:import namespace="http://schemas.microsoft.com/office/infopath/2007/PartnerControls"/>
    <xsd:element name="SharedWithUsers" ma:index="6" nillable="true" ma:displayName="Compartido c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9d38d-c069-47fd-a86d-65acf93227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ca9414-0b9e-4d3b-9f23-f0594e229f42}" ma:internalName="TaxCatchAll" ma:showField="CatchAllData" ma:web="ecd38108-ad7a-4640-bce5-2ea8d1435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b:Source>
    <b:Tag>Vereckey</b:Tag>
    <b:SourceType>InternetSite</b:SourceType>
    <b:Guid>{295F659C-754F-4314-B8ED-E4467ED14CAE}</b:Guid>
    <b:Title>MIT Management Sloan School</b:Title>
    <b:Year>2022</b:Year>
    <b:Author>
      <b:Author>
        <b:NameList>
          <b:Person>
            <b:Last>Vereckey</b:Last>
            <b:First>Betsy</b:First>
          </b:Person>
        </b:NameList>
      </b:Author>
    </b:Author>
    <b:InternetSiteTitle>Study: How target date funds impact investment behavior</b:InternetSiteTitle>
    <b:Month>Mayo</b:Month>
    <b:Day>23</b:Day>
    <b:URL>https://mitsloan.mit.edu/ideas-made-to-matter/study-how-target-date-funds-impact-investment-behavior</b:URL>
    <b:RefOrder>1</b:RefOrder>
  </b:Source>
  <b:Source>
    <b:Tag>Per</b:Tag>
    <b:SourceType>InternetSite</b:SourceType>
    <b:Guid>{0D090CD5-C6B3-4063-84AC-13431BDE0135}</b:Guid>
    <b:Author>
      <b:Author>
        <b:NameList>
          <b:Person>
            <b:Last>Perú</b:Last>
          </b:Person>
        </b:NameList>
      </b:Author>
    </b:Author>
    <b:Title>Superintendencia de Banca, Seguros y AFP</b:Title>
    <b:InternetSiteTitle>Cartilla Informativa Multifondos</b:InternetSiteTitle>
    <b:URL>https://www.sbs.gob.pe/sistema-privado-de-pensiones/multifondos</b:URL>
    <b:RefOrder>2</b:RefOrder>
  </b:Source>
  <b:Source>
    <b:Tag>Inv</b:Tag>
    <b:SourceType>InternetSite</b:SourceType>
    <b:Guid>{EFE6224B-42C6-44A1-8F9E-88AD35D5B787}</b:Guid>
    <b:Author>
      <b:Author>
        <b:NameList>
          <b:Person>
            <b:Last>Investopedia</b:Last>
          </b:Person>
        </b:NameList>
      </b:Author>
    </b:Author>
    <b:Title>What Is a Target-Date Fund?</b:Title>
    <b:InternetSiteTitle>Investment, Guide to mutual funds</b:InternetSiteTitle>
    <b:URL>https://www.investopedia.com/terms/t/target-date_fund.asp</b:URL>
    <b:RefOrder>3</b:RefOrder>
  </b:Source>
  <b:Source>
    <b:Tag>Chi</b:Tag>
    <b:SourceType>InternetSite</b:SourceType>
    <b:Guid>{1F2FD171-C7FD-4DDC-963A-90C15E10032B}</b:Guid>
    <b:Author>
      <b:Author>
        <b:NameList>
          <b:Person>
            <b:Last>Chile</b:Last>
          </b:Person>
        </b:NameList>
      </b:Author>
    </b:Author>
    <b:Title>Ley 19795 Inversión de los fondos de pensiones</b:Title>
    <b:InternetSiteTitle>Biblioteca del Congreso</b:InternetSiteTitle>
    <b:URL>https://www.bcn.cl/leychile/navegar?i=194918</b:URL>
    <b:RefOrder>4</b:RefOrder>
  </b:Source>
  <b:Source>
    <b:Tag>Sup</b:Tag>
    <b:SourceType>InternetSite</b:SourceType>
    <b:Guid>{6F744DB7-227C-4503-AF85-0C177D5B04EC}</b:Guid>
    <b:Author>
      <b:Author>
        <b:NameList>
          <b:Person>
            <b:Last>Chile</b:Last>
            <b:First>Superintendencia</b:First>
            <b:Middle>de Pensiones de</b:Middle>
          </b:Person>
        </b:NameList>
      </b:Author>
    </b:Author>
    <b:Title>Régimen de Inversión de los Fondos de Pensiones</b:Title>
    <b:InternetSiteTitle>Marco Normativo de las Inversiones de los Fondos de Pensiones</b:InternetSiteTitle>
    <b:URL>https://www.spensiones.cl/portal/institucional/594/articles-8473_recurso_1.pdf</b:URL>
    <b:RefOrder>10</b:RefOrder>
  </b:Source>
  <b:Source>
    <b:Tag>Col</b:Tag>
    <b:SourceType>InternetSite</b:SourceType>
    <b:Guid>{CFDDE5D8-241C-45A9-97A9-7EC645979C28}</b:Guid>
    <b:Author>
      <b:Author>
        <b:NameList>
          <b:Person>
            <b:Last>Colombia</b:Last>
          </b:Person>
        </b:NameList>
      </b:Author>
    </b:Author>
    <b:Title>Decreto 2955 DE 2010</b:Title>
    <b:InternetSiteTitle>Régimen de inversión de los recursos de los Fondos de Pensiones Obligatorias</b:InternetSiteTitle>
    <b:URL>https://www.funcionpublica.gov.co/eva/gestornormativo/norma.php?i=40123</b:URL>
    <b:RefOrder>5</b:RefOrder>
  </b:Source>
  <b:Source>
    <b:Tag>Méx</b:Tag>
    <b:SourceType>InternetSite</b:SourceType>
    <b:Guid>{77127C55-2D00-4634-90FE-AF74DD24D3CB}</b:Guid>
    <b:Author>
      <b:Author>
        <b:NameList>
          <b:Person>
            <b:Last>México</b:Last>
          </b:Person>
        </b:NameList>
      </b:Author>
    </b:Author>
    <b:Title>Todo lo que necesitas saber sobre las SIEFORES Generacionales</b:Title>
    <b:InternetSiteTitle>Consar</b:InternetSiteTitle>
    <b:URL>https://www.gob.mx/consar/articulos/todo-lo-que-necesitas-saber-sobre-las-siefores-generacionales?idiom=es</b:URL>
    <b:RefOrder>6</b:RefOrder>
  </b:Source>
  <b:Source>
    <b:Tag>Cie</b:Tag>
    <b:SourceType>InternetSite</b:SourceType>
    <b:Guid>{9B12E9A7-F27D-47C0-A246-11F3917ED71B}</b:Guid>
    <b:Author>
      <b:Author>
        <b:NameList>
          <b:Person>
            <b:Last>Ciedess</b:Last>
          </b:Person>
        </b:NameList>
      </b:Author>
    </b:Author>
    <b:Title>Fondos generacionales: México, EEUU y Reino Unido, los casos de referencia para la reforma de pensiones en Chile</b:Title>
    <b:InternetSiteTitle>La Seguridad Social en Chile</b:InternetSiteTitle>
    <b:URL>https://www.ciedess.cl/601/w3-article-11376.html</b:URL>
    <b:RefOrder>7</b:RefOrder>
  </b:Source>
  <b:Source>
    <b:Tag>CON</b:Tag>
    <b:SourceType>InternetSite</b:SourceType>
    <b:Guid>{CB951034-1219-4DAF-9C8B-889008EED8D5}</b:Guid>
    <b:Author>
      <b:Author>
        <b:NameList>
          <b:Person>
            <b:Last>CONASSIF</b:Last>
          </b:Person>
        </b:NameList>
      </b:Author>
    </b:Author>
    <b:Title>Reglamento de Beneficios del Régimen de Capitalización Individual</b:Title>
    <b:InternetSiteTitle>Procuradurio General de la República</b:InternetSiteTitle>
    <b:URL>http://www.pgrweb.go.cr/scij/Busqueda/Normativa/Normas/nrm_texto_completo.aspx?param1=NRTC&amp;nValor1=1&amp;nValor2=73664&amp;nValor3=90491&amp;strTipM=TC</b:URL>
    <b:RefOrder>8</b:RefOrder>
  </b:Source>
  <b:Source>
    <b:Tag>Mar</b:Tag>
    <b:SourceType>InternetSite</b:SourceType>
    <b:Guid>{6EA379F2-C767-4BA2-B759-FF82DF17A606}</b:Guid>
    <b:Author>
      <b:Author>
        <b:NameList>
          <b:Person>
            <b:Last>Markowitz</b:Last>
          </b:Person>
        </b:NameList>
      </b:Author>
    </b:Author>
    <b:Title>Modelo de optimización de portafolio</b:Title>
    <b:InternetSiteTitle>https://www.math.hkust.edu.hk/~maykwok/courses/ma362/07F/markowitz_JF.pdf</b:InternetSiteTitle>
    <b:URL>https://www.math.hkust.edu.hk/~maykwok/courses/ma362/07F/markowitz_JF.pdf</b:URL>
    <b:RefOrder>9</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ef69d38d-c069-47fd-a86d-65acf93227a5" xsi:nil="true"/>
    <lcf76f155ced4ddcb4097134ff3c332f xmlns="52b2650e-8820-49db-b5a8-c40590d4dabd">
      <Terms xmlns="http://schemas.microsoft.com/office/infopath/2007/PartnerControls"/>
    </lcf76f155ced4ddcb4097134ff3c332f>
    <SharedWithUsers xmlns="b18c669d-fb4a-4eb9-a4d1-62cdc1f0ce82">
      <UserInfo>
        <DisplayName>MATAMOROS CARVAJAL GUILLERMO</DisplayName>
        <AccountId>344</AccountId>
        <AccountType/>
      </UserInfo>
      <UserInfo>
        <DisplayName>OROZCO COTO NORMAN</DisplayName>
        <AccountId>36</AccountId>
        <AccountType/>
      </UserInfo>
      <UserInfo>
        <DisplayName>CORDERO MOYA PAOLA</DisplayName>
        <AccountId>66</AccountId>
        <AccountType/>
      </UserInfo>
      <UserInfo>
        <DisplayName>ESTRADA AGUILAR ANA LIGIA</DisplayName>
        <AccountId>114</AccountId>
        <AccountType/>
      </UserInfo>
      <UserInfo>
        <DisplayName>ARAGON ESPINOZA PERCY ARTURO</DisplayName>
        <AccountId>32</AccountId>
        <AccountType/>
      </UserInfo>
      <UserInfo>
        <DisplayName>DIAZ MOLINA JENORY</DisplayName>
        <AccountId>30</AccountId>
        <AccountType/>
      </UserInfo>
      <UserInfo>
        <DisplayName>HERNANDEZ BARQUERO ADRIAN</DisplayName>
        <AccountId>111</AccountId>
        <AccountType/>
      </UserInfo>
    </SharedWithUsers>
  </documentManagement>
</p:properties>
</file>

<file path=customXml/itemProps1.xml><?xml version="1.0" encoding="utf-8"?>
<ds:datastoreItem xmlns:ds="http://schemas.openxmlformats.org/officeDocument/2006/customXml" ds:itemID="{E92E3C5C-99CD-4BBB-9D20-7006F44BE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2650e-8820-49db-b5a8-c40590d4dabd"/>
    <ds:schemaRef ds:uri="b18c669d-fb4a-4eb9-a4d1-62cdc1f0ce82"/>
    <ds:schemaRef ds:uri="ef69d38d-c069-47fd-a86d-65acf9322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99EBD-CF7C-43DA-98A6-EDBCC4165603}">
  <ds:schemaRefs>
    <ds:schemaRef ds:uri="http://schemas.microsoft.com/sharepoint/v3/contenttype/forms"/>
  </ds:schemaRefs>
</ds:datastoreItem>
</file>

<file path=customXml/itemProps3.xml><?xml version="1.0" encoding="utf-8"?>
<ds:datastoreItem xmlns:ds="http://schemas.openxmlformats.org/officeDocument/2006/customXml" ds:itemID="{1292091B-6542-4C34-A66E-E24DDFB1964F}">
  <ds:schemaRefs>
    <ds:schemaRef ds:uri="http://schemas.openxmlformats.org/officeDocument/2006/bibliography"/>
  </ds:schemaRefs>
</ds:datastoreItem>
</file>

<file path=customXml/itemProps4.xml><?xml version="1.0" encoding="utf-8"?>
<ds:datastoreItem xmlns:ds="http://schemas.openxmlformats.org/officeDocument/2006/customXml" ds:itemID="{6BCB72C8-D874-4E30-A3E9-753854288457}">
  <ds:schemaRefs>
    <ds:schemaRef ds:uri="http://schemas.microsoft.com/office/2006/metadata/properties"/>
    <ds:schemaRef ds:uri="http://schemas.microsoft.com/office/infopath/2007/PartnerControls"/>
    <ds:schemaRef ds:uri="ef69d38d-c069-47fd-a86d-65acf93227a5"/>
    <ds:schemaRef ds:uri="52b2650e-8820-49db-b5a8-c40590d4dabd"/>
    <ds:schemaRef ds:uri="b18c669d-fb4a-4eb9-a4d1-62cdc1f0ce8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14339</Words>
  <Characters>78866</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93019</CharactersWithSpaces>
  <SharedDoc>false</SharedDoc>
  <HLinks>
    <vt:vector size="300" baseType="variant">
      <vt:variant>
        <vt:i4>1245233</vt:i4>
      </vt:variant>
      <vt:variant>
        <vt:i4>296</vt:i4>
      </vt:variant>
      <vt:variant>
        <vt:i4>0</vt:i4>
      </vt:variant>
      <vt:variant>
        <vt:i4>5</vt:i4>
      </vt:variant>
      <vt:variant>
        <vt:lpwstr/>
      </vt:variant>
      <vt:variant>
        <vt:lpwstr>_Toc138707872</vt:lpwstr>
      </vt:variant>
      <vt:variant>
        <vt:i4>1245233</vt:i4>
      </vt:variant>
      <vt:variant>
        <vt:i4>290</vt:i4>
      </vt:variant>
      <vt:variant>
        <vt:i4>0</vt:i4>
      </vt:variant>
      <vt:variant>
        <vt:i4>5</vt:i4>
      </vt:variant>
      <vt:variant>
        <vt:lpwstr/>
      </vt:variant>
      <vt:variant>
        <vt:lpwstr>_Toc138707871</vt:lpwstr>
      </vt:variant>
      <vt:variant>
        <vt:i4>1245233</vt:i4>
      </vt:variant>
      <vt:variant>
        <vt:i4>284</vt:i4>
      </vt:variant>
      <vt:variant>
        <vt:i4>0</vt:i4>
      </vt:variant>
      <vt:variant>
        <vt:i4>5</vt:i4>
      </vt:variant>
      <vt:variant>
        <vt:lpwstr/>
      </vt:variant>
      <vt:variant>
        <vt:lpwstr>_Toc138707870</vt:lpwstr>
      </vt:variant>
      <vt:variant>
        <vt:i4>1179697</vt:i4>
      </vt:variant>
      <vt:variant>
        <vt:i4>278</vt:i4>
      </vt:variant>
      <vt:variant>
        <vt:i4>0</vt:i4>
      </vt:variant>
      <vt:variant>
        <vt:i4>5</vt:i4>
      </vt:variant>
      <vt:variant>
        <vt:lpwstr/>
      </vt:variant>
      <vt:variant>
        <vt:lpwstr>_Toc138707869</vt:lpwstr>
      </vt:variant>
      <vt:variant>
        <vt:i4>1179697</vt:i4>
      </vt:variant>
      <vt:variant>
        <vt:i4>272</vt:i4>
      </vt:variant>
      <vt:variant>
        <vt:i4>0</vt:i4>
      </vt:variant>
      <vt:variant>
        <vt:i4>5</vt:i4>
      </vt:variant>
      <vt:variant>
        <vt:lpwstr/>
      </vt:variant>
      <vt:variant>
        <vt:lpwstr>_Toc138707868</vt:lpwstr>
      </vt:variant>
      <vt:variant>
        <vt:i4>1179697</vt:i4>
      </vt:variant>
      <vt:variant>
        <vt:i4>266</vt:i4>
      </vt:variant>
      <vt:variant>
        <vt:i4>0</vt:i4>
      </vt:variant>
      <vt:variant>
        <vt:i4>5</vt:i4>
      </vt:variant>
      <vt:variant>
        <vt:lpwstr/>
      </vt:variant>
      <vt:variant>
        <vt:lpwstr>_Toc138707867</vt:lpwstr>
      </vt:variant>
      <vt:variant>
        <vt:i4>1179697</vt:i4>
      </vt:variant>
      <vt:variant>
        <vt:i4>260</vt:i4>
      </vt:variant>
      <vt:variant>
        <vt:i4>0</vt:i4>
      </vt:variant>
      <vt:variant>
        <vt:i4>5</vt:i4>
      </vt:variant>
      <vt:variant>
        <vt:lpwstr/>
      </vt:variant>
      <vt:variant>
        <vt:lpwstr>_Toc138707866</vt:lpwstr>
      </vt:variant>
      <vt:variant>
        <vt:i4>1179697</vt:i4>
      </vt:variant>
      <vt:variant>
        <vt:i4>254</vt:i4>
      </vt:variant>
      <vt:variant>
        <vt:i4>0</vt:i4>
      </vt:variant>
      <vt:variant>
        <vt:i4>5</vt:i4>
      </vt:variant>
      <vt:variant>
        <vt:lpwstr/>
      </vt:variant>
      <vt:variant>
        <vt:lpwstr>_Toc138707865</vt:lpwstr>
      </vt:variant>
      <vt:variant>
        <vt:i4>1179697</vt:i4>
      </vt:variant>
      <vt:variant>
        <vt:i4>248</vt:i4>
      </vt:variant>
      <vt:variant>
        <vt:i4>0</vt:i4>
      </vt:variant>
      <vt:variant>
        <vt:i4>5</vt:i4>
      </vt:variant>
      <vt:variant>
        <vt:lpwstr/>
      </vt:variant>
      <vt:variant>
        <vt:lpwstr>_Toc138707864</vt:lpwstr>
      </vt:variant>
      <vt:variant>
        <vt:i4>1179697</vt:i4>
      </vt:variant>
      <vt:variant>
        <vt:i4>242</vt:i4>
      </vt:variant>
      <vt:variant>
        <vt:i4>0</vt:i4>
      </vt:variant>
      <vt:variant>
        <vt:i4>5</vt:i4>
      </vt:variant>
      <vt:variant>
        <vt:lpwstr/>
      </vt:variant>
      <vt:variant>
        <vt:lpwstr>_Toc138707863</vt:lpwstr>
      </vt:variant>
      <vt:variant>
        <vt:i4>1179697</vt:i4>
      </vt:variant>
      <vt:variant>
        <vt:i4>236</vt:i4>
      </vt:variant>
      <vt:variant>
        <vt:i4>0</vt:i4>
      </vt:variant>
      <vt:variant>
        <vt:i4>5</vt:i4>
      </vt:variant>
      <vt:variant>
        <vt:lpwstr/>
      </vt:variant>
      <vt:variant>
        <vt:lpwstr>_Toc138707862</vt:lpwstr>
      </vt:variant>
      <vt:variant>
        <vt:i4>1179697</vt:i4>
      </vt:variant>
      <vt:variant>
        <vt:i4>230</vt:i4>
      </vt:variant>
      <vt:variant>
        <vt:i4>0</vt:i4>
      </vt:variant>
      <vt:variant>
        <vt:i4>5</vt:i4>
      </vt:variant>
      <vt:variant>
        <vt:lpwstr/>
      </vt:variant>
      <vt:variant>
        <vt:lpwstr>_Toc138707861</vt:lpwstr>
      </vt:variant>
      <vt:variant>
        <vt:i4>1179697</vt:i4>
      </vt:variant>
      <vt:variant>
        <vt:i4>224</vt:i4>
      </vt:variant>
      <vt:variant>
        <vt:i4>0</vt:i4>
      </vt:variant>
      <vt:variant>
        <vt:i4>5</vt:i4>
      </vt:variant>
      <vt:variant>
        <vt:lpwstr/>
      </vt:variant>
      <vt:variant>
        <vt:lpwstr>_Toc138707860</vt:lpwstr>
      </vt:variant>
      <vt:variant>
        <vt:i4>1114161</vt:i4>
      </vt:variant>
      <vt:variant>
        <vt:i4>218</vt:i4>
      </vt:variant>
      <vt:variant>
        <vt:i4>0</vt:i4>
      </vt:variant>
      <vt:variant>
        <vt:i4>5</vt:i4>
      </vt:variant>
      <vt:variant>
        <vt:lpwstr/>
      </vt:variant>
      <vt:variant>
        <vt:lpwstr>_Toc138707859</vt:lpwstr>
      </vt:variant>
      <vt:variant>
        <vt:i4>1114161</vt:i4>
      </vt:variant>
      <vt:variant>
        <vt:i4>212</vt:i4>
      </vt:variant>
      <vt:variant>
        <vt:i4>0</vt:i4>
      </vt:variant>
      <vt:variant>
        <vt:i4>5</vt:i4>
      </vt:variant>
      <vt:variant>
        <vt:lpwstr/>
      </vt:variant>
      <vt:variant>
        <vt:lpwstr>_Toc138707858</vt:lpwstr>
      </vt:variant>
      <vt:variant>
        <vt:i4>1114161</vt:i4>
      </vt:variant>
      <vt:variant>
        <vt:i4>206</vt:i4>
      </vt:variant>
      <vt:variant>
        <vt:i4>0</vt:i4>
      </vt:variant>
      <vt:variant>
        <vt:i4>5</vt:i4>
      </vt:variant>
      <vt:variant>
        <vt:lpwstr/>
      </vt:variant>
      <vt:variant>
        <vt:lpwstr>_Toc138707857</vt:lpwstr>
      </vt:variant>
      <vt:variant>
        <vt:i4>1114161</vt:i4>
      </vt:variant>
      <vt:variant>
        <vt:i4>200</vt:i4>
      </vt:variant>
      <vt:variant>
        <vt:i4>0</vt:i4>
      </vt:variant>
      <vt:variant>
        <vt:i4>5</vt:i4>
      </vt:variant>
      <vt:variant>
        <vt:lpwstr/>
      </vt:variant>
      <vt:variant>
        <vt:lpwstr>_Toc138707856</vt:lpwstr>
      </vt:variant>
      <vt:variant>
        <vt:i4>1114161</vt:i4>
      </vt:variant>
      <vt:variant>
        <vt:i4>194</vt:i4>
      </vt:variant>
      <vt:variant>
        <vt:i4>0</vt:i4>
      </vt:variant>
      <vt:variant>
        <vt:i4>5</vt:i4>
      </vt:variant>
      <vt:variant>
        <vt:lpwstr/>
      </vt:variant>
      <vt:variant>
        <vt:lpwstr>_Toc138707855</vt:lpwstr>
      </vt:variant>
      <vt:variant>
        <vt:i4>1114161</vt:i4>
      </vt:variant>
      <vt:variant>
        <vt:i4>188</vt:i4>
      </vt:variant>
      <vt:variant>
        <vt:i4>0</vt:i4>
      </vt:variant>
      <vt:variant>
        <vt:i4>5</vt:i4>
      </vt:variant>
      <vt:variant>
        <vt:lpwstr/>
      </vt:variant>
      <vt:variant>
        <vt:lpwstr>_Toc138707854</vt:lpwstr>
      </vt:variant>
      <vt:variant>
        <vt:i4>1114161</vt:i4>
      </vt:variant>
      <vt:variant>
        <vt:i4>182</vt:i4>
      </vt:variant>
      <vt:variant>
        <vt:i4>0</vt:i4>
      </vt:variant>
      <vt:variant>
        <vt:i4>5</vt:i4>
      </vt:variant>
      <vt:variant>
        <vt:lpwstr/>
      </vt:variant>
      <vt:variant>
        <vt:lpwstr>_Toc138707853</vt:lpwstr>
      </vt:variant>
      <vt:variant>
        <vt:i4>1114161</vt:i4>
      </vt:variant>
      <vt:variant>
        <vt:i4>176</vt:i4>
      </vt:variant>
      <vt:variant>
        <vt:i4>0</vt:i4>
      </vt:variant>
      <vt:variant>
        <vt:i4>5</vt:i4>
      </vt:variant>
      <vt:variant>
        <vt:lpwstr/>
      </vt:variant>
      <vt:variant>
        <vt:lpwstr>_Toc138707852</vt:lpwstr>
      </vt:variant>
      <vt:variant>
        <vt:i4>1114161</vt:i4>
      </vt:variant>
      <vt:variant>
        <vt:i4>170</vt:i4>
      </vt:variant>
      <vt:variant>
        <vt:i4>0</vt:i4>
      </vt:variant>
      <vt:variant>
        <vt:i4>5</vt:i4>
      </vt:variant>
      <vt:variant>
        <vt:lpwstr/>
      </vt:variant>
      <vt:variant>
        <vt:lpwstr>_Toc138707851</vt:lpwstr>
      </vt:variant>
      <vt:variant>
        <vt:i4>1114161</vt:i4>
      </vt:variant>
      <vt:variant>
        <vt:i4>164</vt:i4>
      </vt:variant>
      <vt:variant>
        <vt:i4>0</vt:i4>
      </vt:variant>
      <vt:variant>
        <vt:i4>5</vt:i4>
      </vt:variant>
      <vt:variant>
        <vt:lpwstr/>
      </vt:variant>
      <vt:variant>
        <vt:lpwstr>_Toc138707850</vt:lpwstr>
      </vt:variant>
      <vt:variant>
        <vt:i4>1048625</vt:i4>
      </vt:variant>
      <vt:variant>
        <vt:i4>158</vt:i4>
      </vt:variant>
      <vt:variant>
        <vt:i4>0</vt:i4>
      </vt:variant>
      <vt:variant>
        <vt:i4>5</vt:i4>
      </vt:variant>
      <vt:variant>
        <vt:lpwstr/>
      </vt:variant>
      <vt:variant>
        <vt:lpwstr>_Toc138707849</vt:lpwstr>
      </vt:variant>
      <vt:variant>
        <vt:i4>1048625</vt:i4>
      </vt:variant>
      <vt:variant>
        <vt:i4>152</vt:i4>
      </vt:variant>
      <vt:variant>
        <vt:i4>0</vt:i4>
      </vt:variant>
      <vt:variant>
        <vt:i4>5</vt:i4>
      </vt:variant>
      <vt:variant>
        <vt:lpwstr/>
      </vt:variant>
      <vt:variant>
        <vt:lpwstr>_Toc138707848</vt:lpwstr>
      </vt:variant>
      <vt:variant>
        <vt:i4>1048625</vt:i4>
      </vt:variant>
      <vt:variant>
        <vt:i4>146</vt:i4>
      </vt:variant>
      <vt:variant>
        <vt:i4>0</vt:i4>
      </vt:variant>
      <vt:variant>
        <vt:i4>5</vt:i4>
      </vt:variant>
      <vt:variant>
        <vt:lpwstr/>
      </vt:variant>
      <vt:variant>
        <vt:lpwstr>_Toc138707847</vt:lpwstr>
      </vt:variant>
      <vt:variant>
        <vt:i4>1048625</vt:i4>
      </vt:variant>
      <vt:variant>
        <vt:i4>140</vt:i4>
      </vt:variant>
      <vt:variant>
        <vt:i4>0</vt:i4>
      </vt:variant>
      <vt:variant>
        <vt:i4>5</vt:i4>
      </vt:variant>
      <vt:variant>
        <vt:lpwstr/>
      </vt:variant>
      <vt:variant>
        <vt:lpwstr>_Toc138707846</vt:lpwstr>
      </vt:variant>
      <vt:variant>
        <vt:i4>1048625</vt:i4>
      </vt:variant>
      <vt:variant>
        <vt:i4>134</vt:i4>
      </vt:variant>
      <vt:variant>
        <vt:i4>0</vt:i4>
      </vt:variant>
      <vt:variant>
        <vt:i4>5</vt:i4>
      </vt:variant>
      <vt:variant>
        <vt:lpwstr/>
      </vt:variant>
      <vt:variant>
        <vt:lpwstr>_Toc138707845</vt:lpwstr>
      </vt:variant>
      <vt:variant>
        <vt:i4>1048625</vt:i4>
      </vt:variant>
      <vt:variant>
        <vt:i4>128</vt:i4>
      </vt:variant>
      <vt:variant>
        <vt:i4>0</vt:i4>
      </vt:variant>
      <vt:variant>
        <vt:i4>5</vt:i4>
      </vt:variant>
      <vt:variant>
        <vt:lpwstr/>
      </vt:variant>
      <vt:variant>
        <vt:lpwstr>_Toc138707844</vt:lpwstr>
      </vt:variant>
      <vt:variant>
        <vt:i4>1048625</vt:i4>
      </vt:variant>
      <vt:variant>
        <vt:i4>122</vt:i4>
      </vt:variant>
      <vt:variant>
        <vt:i4>0</vt:i4>
      </vt:variant>
      <vt:variant>
        <vt:i4>5</vt:i4>
      </vt:variant>
      <vt:variant>
        <vt:lpwstr/>
      </vt:variant>
      <vt:variant>
        <vt:lpwstr>_Toc138707843</vt:lpwstr>
      </vt:variant>
      <vt:variant>
        <vt:i4>1048625</vt:i4>
      </vt:variant>
      <vt:variant>
        <vt:i4>116</vt:i4>
      </vt:variant>
      <vt:variant>
        <vt:i4>0</vt:i4>
      </vt:variant>
      <vt:variant>
        <vt:i4>5</vt:i4>
      </vt:variant>
      <vt:variant>
        <vt:lpwstr/>
      </vt:variant>
      <vt:variant>
        <vt:lpwstr>_Toc138707842</vt:lpwstr>
      </vt:variant>
      <vt:variant>
        <vt:i4>1048625</vt:i4>
      </vt:variant>
      <vt:variant>
        <vt:i4>110</vt:i4>
      </vt:variant>
      <vt:variant>
        <vt:i4>0</vt:i4>
      </vt:variant>
      <vt:variant>
        <vt:i4>5</vt:i4>
      </vt:variant>
      <vt:variant>
        <vt:lpwstr/>
      </vt:variant>
      <vt:variant>
        <vt:lpwstr>_Toc138707841</vt:lpwstr>
      </vt:variant>
      <vt:variant>
        <vt:i4>1048625</vt:i4>
      </vt:variant>
      <vt:variant>
        <vt:i4>104</vt:i4>
      </vt:variant>
      <vt:variant>
        <vt:i4>0</vt:i4>
      </vt:variant>
      <vt:variant>
        <vt:i4>5</vt:i4>
      </vt:variant>
      <vt:variant>
        <vt:lpwstr/>
      </vt:variant>
      <vt:variant>
        <vt:lpwstr>_Toc138707840</vt:lpwstr>
      </vt:variant>
      <vt:variant>
        <vt:i4>1507377</vt:i4>
      </vt:variant>
      <vt:variant>
        <vt:i4>98</vt:i4>
      </vt:variant>
      <vt:variant>
        <vt:i4>0</vt:i4>
      </vt:variant>
      <vt:variant>
        <vt:i4>5</vt:i4>
      </vt:variant>
      <vt:variant>
        <vt:lpwstr/>
      </vt:variant>
      <vt:variant>
        <vt:lpwstr>_Toc138707839</vt:lpwstr>
      </vt:variant>
      <vt:variant>
        <vt:i4>1507377</vt:i4>
      </vt:variant>
      <vt:variant>
        <vt:i4>92</vt:i4>
      </vt:variant>
      <vt:variant>
        <vt:i4>0</vt:i4>
      </vt:variant>
      <vt:variant>
        <vt:i4>5</vt:i4>
      </vt:variant>
      <vt:variant>
        <vt:lpwstr/>
      </vt:variant>
      <vt:variant>
        <vt:lpwstr>_Toc138707838</vt:lpwstr>
      </vt:variant>
      <vt:variant>
        <vt:i4>1507377</vt:i4>
      </vt:variant>
      <vt:variant>
        <vt:i4>86</vt:i4>
      </vt:variant>
      <vt:variant>
        <vt:i4>0</vt:i4>
      </vt:variant>
      <vt:variant>
        <vt:i4>5</vt:i4>
      </vt:variant>
      <vt:variant>
        <vt:lpwstr/>
      </vt:variant>
      <vt:variant>
        <vt:lpwstr>_Toc138707837</vt:lpwstr>
      </vt:variant>
      <vt:variant>
        <vt:i4>1507377</vt:i4>
      </vt:variant>
      <vt:variant>
        <vt:i4>80</vt:i4>
      </vt:variant>
      <vt:variant>
        <vt:i4>0</vt:i4>
      </vt:variant>
      <vt:variant>
        <vt:i4>5</vt:i4>
      </vt:variant>
      <vt:variant>
        <vt:lpwstr/>
      </vt:variant>
      <vt:variant>
        <vt:lpwstr>_Toc138707836</vt:lpwstr>
      </vt:variant>
      <vt:variant>
        <vt:i4>1507377</vt:i4>
      </vt:variant>
      <vt:variant>
        <vt:i4>74</vt:i4>
      </vt:variant>
      <vt:variant>
        <vt:i4>0</vt:i4>
      </vt:variant>
      <vt:variant>
        <vt:i4>5</vt:i4>
      </vt:variant>
      <vt:variant>
        <vt:lpwstr/>
      </vt:variant>
      <vt:variant>
        <vt:lpwstr>_Toc138707835</vt:lpwstr>
      </vt:variant>
      <vt:variant>
        <vt:i4>1507377</vt:i4>
      </vt:variant>
      <vt:variant>
        <vt:i4>68</vt:i4>
      </vt:variant>
      <vt:variant>
        <vt:i4>0</vt:i4>
      </vt:variant>
      <vt:variant>
        <vt:i4>5</vt:i4>
      </vt:variant>
      <vt:variant>
        <vt:lpwstr/>
      </vt:variant>
      <vt:variant>
        <vt:lpwstr>_Toc138707834</vt:lpwstr>
      </vt:variant>
      <vt:variant>
        <vt:i4>1507377</vt:i4>
      </vt:variant>
      <vt:variant>
        <vt:i4>62</vt:i4>
      </vt:variant>
      <vt:variant>
        <vt:i4>0</vt:i4>
      </vt:variant>
      <vt:variant>
        <vt:i4>5</vt:i4>
      </vt:variant>
      <vt:variant>
        <vt:lpwstr/>
      </vt:variant>
      <vt:variant>
        <vt:lpwstr>_Toc138707833</vt:lpwstr>
      </vt:variant>
      <vt:variant>
        <vt:i4>1507377</vt:i4>
      </vt:variant>
      <vt:variant>
        <vt:i4>56</vt:i4>
      </vt:variant>
      <vt:variant>
        <vt:i4>0</vt:i4>
      </vt:variant>
      <vt:variant>
        <vt:i4>5</vt:i4>
      </vt:variant>
      <vt:variant>
        <vt:lpwstr/>
      </vt:variant>
      <vt:variant>
        <vt:lpwstr>_Toc138707832</vt:lpwstr>
      </vt:variant>
      <vt:variant>
        <vt:i4>1507377</vt:i4>
      </vt:variant>
      <vt:variant>
        <vt:i4>50</vt:i4>
      </vt:variant>
      <vt:variant>
        <vt:i4>0</vt:i4>
      </vt:variant>
      <vt:variant>
        <vt:i4>5</vt:i4>
      </vt:variant>
      <vt:variant>
        <vt:lpwstr/>
      </vt:variant>
      <vt:variant>
        <vt:lpwstr>_Toc138707831</vt:lpwstr>
      </vt:variant>
      <vt:variant>
        <vt:i4>1507377</vt:i4>
      </vt:variant>
      <vt:variant>
        <vt:i4>44</vt:i4>
      </vt:variant>
      <vt:variant>
        <vt:i4>0</vt:i4>
      </vt:variant>
      <vt:variant>
        <vt:i4>5</vt:i4>
      </vt:variant>
      <vt:variant>
        <vt:lpwstr/>
      </vt:variant>
      <vt:variant>
        <vt:lpwstr>_Toc138707830</vt:lpwstr>
      </vt:variant>
      <vt:variant>
        <vt:i4>1441841</vt:i4>
      </vt:variant>
      <vt:variant>
        <vt:i4>38</vt:i4>
      </vt:variant>
      <vt:variant>
        <vt:i4>0</vt:i4>
      </vt:variant>
      <vt:variant>
        <vt:i4>5</vt:i4>
      </vt:variant>
      <vt:variant>
        <vt:lpwstr/>
      </vt:variant>
      <vt:variant>
        <vt:lpwstr>_Toc138707829</vt:lpwstr>
      </vt:variant>
      <vt:variant>
        <vt:i4>1441841</vt:i4>
      </vt:variant>
      <vt:variant>
        <vt:i4>32</vt:i4>
      </vt:variant>
      <vt:variant>
        <vt:i4>0</vt:i4>
      </vt:variant>
      <vt:variant>
        <vt:i4>5</vt:i4>
      </vt:variant>
      <vt:variant>
        <vt:lpwstr/>
      </vt:variant>
      <vt:variant>
        <vt:lpwstr>_Toc138707828</vt:lpwstr>
      </vt:variant>
      <vt:variant>
        <vt:i4>1441841</vt:i4>
      </vt:variant>
      <vt:variant>
        <vt:i4>26</vt:i4>
      </vt:variant>
      <vt:variant>
        <vt:i4>0</vt:i4>
      </vt:variant>
      <vt:variant>
        <vt:i4>5</vt:i4>
      </vt:variant>
      <vt:variant>
        <vt:lpwstr/>
      </vt:variant>
      <vt:variant>
        <vt:lpwstr>_Toc138707827</vt:lpwstr>
      </vt:variant>
      <vt:variant>
        <vt:i4>1441841</vt:i4>
      </vt:variant>
      <vt:variant>
        <vt:i4>20</vt:i4>
      </vt:variant>
      <vt:variant>
        <vt:i4>0</vt:i4>
      </vt:variant>
      <vt:variant>
        <vt:i4>5</vt:i4>
      </vt:variant>
      <vt:variant>
        <vt:lpwstr/>
      </vt:variant>
      <vt:variant>
        <vt:lpwstr>_Toc138707826</vt:lpwstr>
      </vt:variant>
      <vt:variant>
        <vt:i4>1441841</vt:i4>
      </vt:variant>
      <vt:variant>
        <vt:i4>14</vt:i4>
      </vt:variant>
      <vt:variant>
        <vt:i4>0</vt:i4>
      </vt:variant>
      <vt:variant>
        <vt:i4>5</vt:i4>
      </vt:variant>
      <vt:variant>
        <vt:lpwstr/>
      </vt:variant>
      <vt:variant>
        <vt:lpwstr>_Toc138707825</vt:lpwstr>
      </vt:variant>
      <vt:variant>
        <vt:i4>1441841</vt:i4>
      </vt:variant>
      <vt:variant>
        <vt:i4>8</vt:i4>
      </vt:variant>
      <vt:variant>
        <vt:i4>0</vt:i4>
      </vt:variant>
      <vt:variant>
        <vt:i4>5</vt:i4>
      </vt:variant>
      <vt:variant>
        <vt:lpwstr/>
      </vt:variant>
      <vt:variant>
        <vt:lpwstr>_Toc138707824</vt:lpwstr>
      </vt:variant>
      <vt:variant>
        <vt:i4>1441841</vt:i4>
      </vt:variant>
      <vt:variant>
        <vt:i4>2</vt:i4>
      </vt:variant>
      <vt:variant>
        <vt:i4>0</vt:i4>
      </vt:variant>
      <vt:variant>
        <vt:i4>5</vt:i4>
      </vt:variant>
      <vt:variant>
        <vt:lpwstr/>
      </vt:variant>
      <vt:variant>
        <vt:lpwstr>_Toc138707823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CORRALES VEGA RUDY</dc:creator>
  <cp:keywords/>
  <dc:description/>
  <cp:lastModifiedBy>CARVAJAL NAVARRO JENNIFER</cp:lastModifiedBy>
  <cp:revision>5</cp:revision>
  <cp:lastPrinted>2023-11-09T20:40:00Z</cp:lastPrinted>
  <dcterms:created xsi:type="dcterms:W3CDTF">2023-11-09T20:49:00Z</dcterms:created>
  <dcterms:modified xsi:type="dcterms:W3CDTF">2023-11-09T21:56:00Z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0x010100470FDFD00F87304D8A8D79FD785C961C</vt:lpwstr>
  </property>
  <property fmtid="{D5CDD505-2E9C-101B-9397-08002B2CF9AE}" pid="3" name="MediaServiceImageTags">
    <vt:lpwstr/>
  </property>
  <property fmtid="{D5CDD505-2E9C-101B-9397-08002B2CF9AE}" pid="4" name="MSIP_Label_b8b4be34-365a-4a68-b9fb-75c1b6874315_Enabled">
    <vt:lpwstr>true</vt:lpwstr>
  </property>
  <property fmtid="{D5CDD505-2E9C-101B-9397-08002B2CF9AE}" pid="5" name="MSIP_Label_b8b4be34-365a-4a68-b9fb-75c1b6874315_SetDate">
    <vt:lpwstr>2023-11-09T20:40:31Z</vt:lpwstr>
  </property>
  <property fmtid="{D5CDD505-2E9C-101B-9397-08002B2CF9AE}" pid="6" name="MSIP_Label_b8b4be34-365a-4a68-b9fb-75c1b6874315_Method">
    <vt:lpwstr>Standard</vt:lpwstr>
  </property>
  <property fmtid="{D5CDD505-2E9C-101B-9397-08002B2CF9AE}" pid="7" name="MSIP_Label_b8b4be34-365a-4a68-b9fb-75c1b6874315_Name">
    <vt:lpwstr>b8b4be34-365a-4a68-b9fb-75c1b6874315</vt:lpwstr>
  </property>
  <property fmtid="{D5CDD505-2E9C-101B-9397-08002B2CF9AE}" pid="8" name="MSIP_Label_b8b4be34-365a-4a68-b9fb-75c1b6874315_SiteId">
    <vt:lpwstr>618d0a45-25a6-4618-9f80-8f70a435ee52</vt:lpwstr>
  </property>
  <property fmtid="{D5CDD505-2E9C-101B-9397-08002B2CF9AE}" pid="9" name="MSIP_Label_b8b4be34-365a-4a68-b9fb-75c1b6874315_ActionId">
    <vt:lpwstr>7a9948b1-7b85-4787-bfeb-3dce8cffbaa0</vt:lpwstr>
  </property>
  <property fmtid="{D5CDD505-2E9C-101B-9397-08002B2CF9AE}" pid="10" name="MSIP_Label_b8b4be34-365a-4a68-b9fb-75c1b6874315_ContentBits">
    <vt:lpwstr>2</vt:lpwstr>
  </property>
</Properties>
</file>