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0F0715" w14:textId="77777777" w:rsidR="001861DC" w:rsidRDefault="001861DC" w:rsidP="001861DC">
      <w:pPr>
        <w:jc w:val="center"/>
        <w:rPr>
          <w:b/>
          <w:sz w:val="32"/>
          <w:lang w:val="es-CR"/>
        </w:rPr>
      </w:pPr>
    </w:p>
    <w:p w14:paraId="648F84C5" w14:textId="77777777" w:rsidR="001861DC" w:rsidRDefault="001861DC" w:rsidP="001861DC">
      <w:pPr>
        <w:jc w:val="center"/>
        <w:rPr>
          <w:b/>
          <w:sz w:val="32"/>
          <w:lang w:val="es-CR"/>
        </w:rPr>
      </w:pPr>
    </w:p>
    <w:p w14:paraId="70E57917" w14:textId="77777777" w:rsidR="001861DC" w:rsidRDefault="001861DC" w:rsidP="001861DC">
      <w:pPr>
        <w:jc w:val="center"/>
        <w:rPr>
          <w:b/>
          <w:sz w:val="32"/>
          <w:lang w:val="es-CR"/>
        </w:rPr>
      </w:pPr>
    </w:p>
    <w:p w14:paraId="2E636D67" w14:textId="77777777" w:rsidR="001861DC" w:rsidRDefault="001861DC" w:rsidP="001861DC">
      <w:pPr>
        <w:jc w:val="center"/>
        <w:rPr>
          <w:b/>
          <w:sz w:val="32"/>
          <w:lang w:val="es-CR"/>
        </w:rPr>
      </w:pPr>
    </w:p>
    <w:p w14:paraId="3768E09C" w14:textId="77777777" w:rsidR="001861DC" w:rsidRDefault="001861DC" w:rsidP="001861DC">
      <w:pPr>
        <w:jc w:val="center"/>
        <w:rPr>
          <w:b/>
          <w:sz w:val="32"/>
          <w:lang w:val="es-CR"/>
        </w:rPr>
      </w:pPr>
    </w:p>
    <w:p w14:paraId="4D7D927E" w14:textId="77777777" w:rsidR="001861DC" w:rsidRPr="00AB2582" w:rsidRDefault="001861DC" w:rsidP="001861DC">
      <w:pPr>
        <w:jc w:val="center"/>
        <w:rPr>
          <w:b/>
          <w:sz w:val="44"/>
          <w:lang w:val="es-CR"/>
        </w:rPr>
      </w:pPr>
      <w:r w:rsidRPr="00AB2582">
        <w:rPr>
          <w:b/>
          <w:sz w:val="44"/>
          <w:lang w:val="es-CR"/>
        </w:rPr>
        <w:t>SUPERINTENDENCIA DE PENSIONES</w:t>
      </w:r>
    </w:p>
    <w:p w14:paraId="6569D319" w14:textId="77777777" w:rsidR="001861DC" w:rsidRDefault="001861DC" w:rsidP="001861DC">
      <w:pPr>
        <w:jc w:val="center"/>
        <w:rPr>
          <w:b/>
          <w:sz w:val="32"/>
          <w:lang w:val="es-CR"/>
        </w:rPr>
      </w:pPr>
    </w:p>
    <w:p w14:paraId="27D4526E" w14:textId="77777777" w:rsidR="001861DC" w:rsidRDefault="001861DC" w:rsidP="001861DC">
      <w:pPr>
        <w:jc w:val="center"/>
        <w:rPr>
          <w:b/>
          <w:sz w:val="32"/>
          <w:lang w:val="es-CR"/>
        </w:rPr>
      </w:pPr>
    </w:p>
    <w:p w14:paraId="176B1277" w14:textId="77777777" w:rsidR="001861DC" w:rsidRDefault="001861DC" w:rsidP="001861DC">
      <w:pPr>
        <w:jc w:val="center"/>
        <w:rPr>
          <w:rFonts w:cs="Arial"/>
          <w:b/>
          <w:smallCaps/>
          <w:sz w:val="36"/>
        </w:rPr>
      </w:pPr>
      <w:r w:rsidRPr="00CB6C50">
        <w:rPr>
          <w:rFonts w:cs="Arial"/>
          <w:b/>
          <w:smallCaps/>
          <w:sz w:val="36"/>
        </w:rPr>
        <w:t>Límites de</w:t>
      </w:r>
      <w:r>
        <w:rPr>
          <w:rFonts w:cs="Arial"/>
          <w:b/>
          <w:smallCaps/>
          <w:sz w:val="36"/>
        </w:rPr>
        <w:t>l</w:t>
      </w:r>
      <w:r w:rsidRPr="00CB6C50">
        <w:rPr>
          <w:rFonts w:cs="Arial"/>
          <w:b/>
          <w:smallCaps/>
          <w:sz w:val="36"/>
        </w:rPr>
        <w:t xml:space="preserve"> </w:t>
      </w:r>
      <w:r>
        <w:rPr>
          <w:rFonts w:cs="Arial"/>
          <w:b/>
          <w:smallCaps/>
          <w:sz w:val="36"/>
        </w:rPr>
        <w:t>Ministerio de Hacienda y Banco Central de Costa Rica en la normativa de i</w:t>
      </w:r>
      <w:r w:rsidRPr="00CB6C50">
        <w:rPr>
          <w:rFonts w:cs="Arial"/>
          <w:b/>
          <w:smallCaps/>
          <w:sz w:val="36"/>
        </w:rPr>
        <w:t>nversiones</w:t>
      </w:r>
      <w:r>
        <w:rPr>
          <w:rFonts w:cs="Arial"/>
          <w:b/>
          <w:smallCaps/>
          <w:sz w:val="36"/>
        </w:rPr>
        <w:t xml:space="preserve"> de los Fondos de Pensiones</w:t>
      </w:r>
      <w:r>
        <w:rPr>
          <w:rStyle w:val="Refdenotaalpie"/>
          <w:rFonts w:cs="Arial"/>
          <w:b/>
          <w:smallCaps/>
          <w:sz w:val="36"/>
        </w:rPr>
        <w:footnoteReference w:id="2"/>
      </w:r>
    </w:p>
    <w:p w14:paraId="01B0242B" w14:textId="77777777" w:rsidR="001861DC" w:rsidRDefault="001861DC" w:rsidP="001861DC">
      <w:pPr>
        <w:jc w:val="center"/>
        <w:rPr>
          <w:rFonts w:cs="Arial"/>
        </w:rPr>
      </w:pPr>
    </w:p>
    <w:p w14:paraId="5D683D4B" w14:textId="77777777" w:rsidR="001861DC" w:rsidRDefault="001861DC" w:rsidP="001861DC">
      <w:pPr>
        <w:jc w:val="center"/>
        <w:rPr>
          <w:rFonts w:cs="Arial"/>
        </w:rPr>
      </w:pPr>
    </w:p>
    <w:p w14:paraId="03043E85" w14:textId="77777777" w:rsidR="001861DC" w:rsidRDefault="001861DC" w:rsidP="001861DC">
      <w:pPr>
        <w:jc w:val="center"/>
        <w:rPr>
          <w:rFonts w:cs="Arial"/>
        </w:rPr>
      </w:pPr>
    </w:p>
    <w:p w14:paraId="54DF1762" w14:textId="77777777" w:rsidR="001861DC" w:rsidRDefault="001861DC" w:rsidP="001861DC">
      <w:pPr>
        <w:jc w:val="center"/>
        <w:rPr>
          <w:rFonts w:cs="Arial"/>
        </w:rPr>
      </w:pPr>
    </w:p>
    <w:p w14:paraId="0D90E4BF" w14:textId="77777777" w:rsidR="001861DC" w:rsidRPr="00332192" w:rsidRDefault="001861DC" w:rsidP="001861DC">
      <w:pPr>
        <w:jc w:val="center"/>
        <w:rPr>
          <w:rFonts w:cs="Arial"/>
        </w:rPr>
      </w:pPr>
    </w:p>
    <w:p w14:paraId="0AA42B36" w14:textId="77777777" w:rsidR="001861DC" w:rsidRDefault="001861DC" w:rsidP="001861DC">
      <w:pPr>
        <w:jc w:val="center"/>
        <w:rPr>
          <w:rFonts w:cs="Arial"/>
          <w:b/>
        </w:rPr>
      </w:pPr>
      <w:r w:rsidRPr="00A95C72">
        <w:rPr>
          <w:rFonts w:cs="Arial"/>
          <w:b/>
        </w:rPr>
        <w:t>Resumen</w:t>
      </w:r>
    </w:p>
    <w:p w14:paraId="571A7674" w14:textId="77777777" w:rsidR="001861DC" w:rsidRPr="00A95C72" w:rsidRDefault="001861DC" w:rsidP="001861DC">
      <w:pPr>
        <w:jc w:val="center"/>
        <w:rPr>
          <w:rFonts w:cs="Arial"/>
          <w:b/>
        </w:rPr>
      </w:pPr>
    </w:p>
    <w:p w14:paraId="2D3F370E" w14:textId="77777777" w:rsidR="001861DC" w:rsidRPr="00A95C72" w:rsidRDefault="001861DC" w:rsidP="001861DC">
      <w:pPr>
        <w:ind w:left="567" w:right="521"/>
        <w:rPr>
          <w:rFonts w:cs="Arial"/>
          <w:sz w:val="20"/>
          <w:szCs w:val="20"/>
        </w:rPr>
      </w:pPr>
      <w:r w:rsidRPr="00A95C72">
        <w:rPr>
          <w:rFonts w:cs="Arial"/>
          <w:sz w:val="20"/>
          <w:szCs w:val="20"/>
        </w:rPr>
        <w:t>Este documento expone las consid</w:t>
      </w:r>
      <w:r>
        <w:rPr>
          <w:rFonts w:cs="Arial"/>
          <w:sz w:val="20"/>
          <w:szCs w:val="20"/>
        </w:rPr>
        <w:t xml:space="preserve">eraciones técnicas asociadas al establecimiento y </w:t>
      </w:r>
      <w:r w:rsidRPr="00A95C72">
        <w:rPr>
          <w:rFonts w:cs="Arial"/>
          <w:sz w:val="20"/>
          <w:szCs w:val="20"/>
        </w:rPr>
        <w:t>uso de límites por emisor</w:t>
      </w:r>
      <w:r>
        <w:rPr>
          <w:rFonts w:cs="Arial"/>
          <w:sz w:val="20"/>
          <w:szCs w:val="20"/>
        </w:rPr>
        <w:t>,</w:t>
      </w:r>
      <w:r w:rsidRPr="00A95C72">
        <w:rPr>
          <w:rFonts w:cs="Arial"/>
          <w:sz w:val="20"/>
          <w:szCs w:val="20"/>
        </w:rPr>
        <w:t xml:space="preserve"> </w:t>
      </w:r>
      <w:r>
        <w:rPr>
          <w:rFonts w:cs="Arial"/>
          <w:sz w:val="20"/>
          <w:szCs w:val="20"/>
        </w:rPr>
        <w:t>de conformidad con</w:t>
      </w:r>
      <w:r w:rsidRPr="00A95C72">
        <w:rPr>
          <w:rFonts w:cs="Arial"/>
          <w:sz w:val="20"/>
          <w:szCs w:val="20"/>
        </w:rPr>
        <w:t xml:space="preserve"> la normativa de inversiones </w:t>
      </w:r>
      <w:r>
        <w:rPr>
          <w:rFonts w:cs="Arial"/>
          <w:sz w:val="20"/>
          <w:szCs w:val="20"/>
        </w:rPr>
        <w:t>para</w:t>
      </w:r>
      <w:r w:rsidRPr="00A95C72">
        <w:rPr>
          <w:rFonts w:cs="Arial"/>
          <w:sz w:val="20"/>
          <w:szCs w:val="20"/>
        </w:rPr>
        <w:t xml:space="preserve"> el Sistema </w:t>
      </w:r>
      <w:r>
        <w:rPr>
          <w:rFonts w:cs="Arial"/>
          <w:sz w:val="20"/>
          <w:szCs w:val="20"/>
        </w:rPr>
        <w:t>Nacional</w:t>
      </w:r>
      <w:r w:rsidRPr="00A95C72">
        <w:rPr>
          <w:rFonts w:cs="Arial"/>
          <w:sz w:val="20"/>
          <w:szCs w:val="20"/>
        </w:rPr>
        <w:t xml:space="preserve"> de Pensiones</w:t>
      </w:r>
      <w:r>
        <w:rPr>
          <w:rFonts w:cs="Arial"/>
          <w:sz w:val="20"/>
          <w:szCs w:val="20"/>
        </w:rPr>
        <w:t>, en lo referente al límite correspondiente al Ministerio de Hacienda y al Banco Central de Costa Rica. Asimismo, se analiza la necesidad del uso de estos límites, su contexto actual y la gradualidad consignada para alcanzar un máximo del 50% al año 2020 de los recursos disponibles para invertir los fondos de pensión y de capitalización laboral.</w:t>
      </w:r>
    </w:p>
    <w:p w14:paraId="6D2FD1AD" w14:textId="77777777" w:rsidR="001861DC" w:rsidRDefault="001861DC" w:rsidP="001861DC">
      <w:pPr>
        <w:rPr>
          <w:rFonts w:cs="Arial"/>
        </w:rPr>
      </w:pPr>
    </w:p>
    <w:p w14:paraId="5E8BBF86" w14:textId="77777777" w:rsidR="001861DC" w:rsidRDefault="001861DC" w:rsidP="001861DC">
      <w:pPr>
        <w:rPr>
          <w:rFonts w:cs="Arial"/>
        </w:rPr>
      </w:pPr>
    </w:p>
    <w:p w14:paraId="323F6440" w14:textId="77777777" w:rsidR="001861DC" w:rsidRDefault="001861DC" w:rsidP="001861DC">
      <w:pPr>
        <w:spacing w:after="160" w:line="259" w:lineRule="auto"/>
        <w:jc w:val="center"/>
      </w:pPr>
    </w:p>
    <w:p w14:paraId="44F5CCA8" w14:textId="77777777" w:rsidR="001861DC" w:rsidRDefault="001861DC" w:rsidP="001861DC">
      <w:pPr>
        <w:spacing w:after="160" w:line="259" w:lineRule="auto"/>
        <w:jc w:val="center"/>
      </w:pPr>
    </w:p>
    <w:p w14:paraId="24B927F8" w14:textId="77777777" w:rsidR="001861DC" w:rsidRDefault="001861DC" w:rsidP="001861DC">
      <w:pPr>
        <w:spacing w:after="160" w:line="259" w:lineRule="auto"/>
        <w:jc w:val="center"/>
      </w:pPr>
    </w:p>
    <w:p w14:paraId="6E3F0DE3" w14:textId="77777777" w:rsidR="001861DC" w:rsidRDefault="001861DC" w:rsidP="001861DC">
      <w:pPr>
        <w:spacing w:after="160" w:line="259" w:lineRule="auto"/>
        <w:jc w:val="center"/>
      </w:pPr>
    </w:p>
    <w:p w14:paraId="0404B188" w14:textId="77777777" w:rsidR="001861DC" w:rsidRDefault="001861DC" w:rsidP="001861DC">
      <w:pPr>
        <w:spacing w:after="160" w:line="259" w:lineRule="auto"/>
        <w:jc w:val="center"/>
      </w:pPr>
    </w:p>
    <w:p w14:paraId="431B6FD2" w14:textId="77777777" w:rsidR="001861DC" w:rsidRDefault="001861DC" w:rsidP="001861DC">
      <w:pPr>
        <w:spacing w:after="160" w:line="259" w:lineRule="auto"/>
        <w:jc w:val="center"/>
      </w:pPr>
    </w:p>
    <w:p w14:paraId="0E9D94B9" w14:textId="77777777" w:rsidR="001861DC" w:rsidRDefault="001861DC" w:rsidP="001861DC">
      <w:pPr>
        <w:spacing w:after="160" w:line="259" w:lineRule="auto"/>
        <w:jc w:val="center"/>
      </w:pPr>
    </w:p>
    <w:p w14:paraId="4E5F30FB" w14:textId="77777777" w:rsidR="001861DC" w:rsidRDefault="001861DC" w:rsidP="001861DC">
      <w:pPr>
        <w:spacing w:after="160" w:line="259" w:lineRule="auto"/>
        <w:jc w:val="center"/>
      </w:pPr>
    </w:p>
    <w:p w14:paraId="34E6FABB" w14:textId="77777777" w:rsidR="001861DC" w:rsidRDefault="001861DC" w:rsidP="001861DC">
      <w:pPr>
        <w:spacing w:after="160" w:line="259" w:lineRule="auto"/>
        <w:jc w:val="center"/>
      </w:pPr>
    </w:p>
    <w:p w14:paraId="1C2DA0D7" w14:textId="77777777" w:rsidR="001861DC" w:rsidRDefault="001861DC" w:rsidP="001861DC">
      <w:pPr>
        <w:spacing w:after="160" w:line="259" w:lineRule="auto"/>
        <w:jc w:val="center"/>
      </w:pPr>
    </w:p>
    <w:p w14:paraId="1D8027D5" w14:textId="77777777" w:rsidR="001861DC" w:rsidRDefault="001861DC" w:rsidP="001861DC">
      <w:pPr>
        <w:spacing w:after="160" w:line="259" w:lineRule="auto"/>
        <w:jc w:val="center"/>
      </w:pPr>
      <w:r>
        <w:t>Febrero,</w:t>
      </w:r>
      <w:r w:rsidRPr="002C29F3">
        <w:t xml:space="preserve"> 2016</w:t>
      </w:r>
      <w:r>
        <w:br w:type="page"/>
      </w:r>
    </w:p>
    <w:p w14:paraId="5884D40B" w14:textId="77777777" w:rsidR="001861DC" w:rsidRDefault="001861DC" w:rsidP="001861DC">
      <w:pPr>
        <w:spacing w:after="160" w:line="259" w:lineRule="auto"/>
        <w:jc w:val="left"/>
      </w:pPr>
    </w:p>
    <w:p w14:paraId="7AC796A4" w14:textId="77777777" w:rsidR="001861DC" w:rsidRDefault="001861DC" w:rsidP="001861DC">
      <w:pPr>
        <w:pStyle w:val="Ttulo1"/>
      </w:pPr>
      <w:r>
        <w:t>Introducción</w:t>
      </w:r>
    </w:p>
    <w:p w14:paraId="55EAF9F4" w14:textId="77777777" w:rsidR="001861DC" w:rsidRDefault="001861DC" w:rsidP="001861DC"/>
    <w:p w14:paraId="3283E088" w14:textId="77777777" w:rsidR="001861DC" w:rsidRDefault="001861DC" w:rsidP="001861DC">
      <w:r w:rsidRPr="00492E6B">
        <w:t xml:space="preserve">La Superintendencia de Pensiones (SUPEN) es la entidad responsable de </w:t>
      </w:r>
      <w:r>
        <w:t>promover</w:t>
      </w:r>
      <w:r w:rsidRPr="00492E6B">
        <w:t xml:space="preserve"> las condiciones necesarias para que los gestores de fondos de pensiones puedan cumplir con su labor de administrar los riesgos a que se ven expuestos los ahorros de los trabajadores</w:t>
      </w:r>
      <w:r>
        <w:t>, así como para lograr los objetivos planteados y cumplir con el fin de cada plan de pensiones.</w:t>
      </w:r>
    </w:p>
    <w:p w14:paraId="0849818C" w14:textId="77777777" w:rsidR="001861DC" w:rsidRDefault="001861DC" w:rsidP="001861DC"/>
    <w:p w14:paraId="06FB9DEC" w14:textId="77777777" w:rsidR="001861DC" w:rsidRDefault="001861DC" w:rsidP="001861DC">
      <w:r>
        <w:t xml:space="preserve">En ese sentido, se estima </w:t>
      </w:r>
      <w:r w:rsidRPr="00492E6B">
        <w:t xml:space="preserve">necesario </w:t>
      </w:r>
      <w:r>
        <w:t xml:space="preserve">recordar </w:t>
      </w:r>
      <w:r w:rsidRPr="00492E6B">
        <w:t xml:space="preserve">que la normativa </w:t>
      </w:r>
      <w:r>
        <w:t>debe orientar, facilitar</w:t>
      </w:r>
      <w:r w:rsidRPr="00492E6B">
        <w:t xml:space="preserve"> </w:t>
      </w:r>
      <w:r>
        <w:t>y proporcionar un marco dentro del cual los gestores, como responsables de la administración activa, controlen los riesgos estableciendo: su apetito, asignación estratégica de activos y demás disposiciones, con la finalidad de conformar</w:t>
      </w:r>
      <w:r w:rsidRPr="00492E6B">
        <w:t xml:space="preserve"> portafolios</w:t>
      </w:r>
      <w:r>
        <w:t xml:space="preserve"> en el binomio riesgo-rendimiento.</w:t>
      </w:r>
    </w:p>
    <w:p w14:paraId="7DE613D6" w14:textId="77777777" w:rsidR="001861DC" w:rsidRDefault="001861DC" w:rsidP="001861DC"/>
    <w:p w14:paraId="7E940647" w14:textId="77777777" w:rsidR="001861DC" w:rsidRDefault="001861DC" w:rsidP="001861DC">
      <w:r>
        <w:t xml:space="preserve">El Reglamento de Inversiones de las Entidades Reguladas establece que para el año 2020 los fondos de pensiones y de capitalización laboral alcanzarán un máximo de 50% en instrumentos emitidos por el Ministerio de Hacienda (MH) y el Banco Central de Costa Rica (BCCR). Desde el año 2003 se establecieron límites como una medida prudencial dentro de la gestión de riesgos. No obstante se reconoció una gradualidad para alcanzar ese máximo. </w:t>
      </w:r>
    </w:p>
    <w:p w14:paraId="0FC1D6A5" w14:textId="77777777" w:rsidR="001861DC" w:rsidRDefault="001861DC" w:rsidP="001861DC"/>
    <w:p w14:paraId="1A542D5E" w14:textId="77777777" w:rsidR="001861DC" w:rsidRDefault="001861DC" w:rsidP="001861DC">
      <w:r>
        <w:t xml:space="preserve">Este documento expone las condiciones técnicas y los eventos históricos asociados a este tipo de límites dentro del contexto y responsabilidad de la SUPEN sobre gestión y supervisión prudencial, teniendo en consideración prácticas y disposiciones de otros países. </w:t>
      </w:r>
    </w:p>
    <w:p w14:paraId="2A5D362F" w14:textId="77777777" w:rsidR="001861DC" w:rsidRDefault="001861DC" w:rsidP="001861DC">
      <w:pPr>
        <w:pStyle w:val="Ttulo1"/>
      </w:pPr>
      <w:r>
        <w:t>Antecedentes</w:t>
      </w:r>
    </w:p>
    <w:p w14:paraId="54F4640B" w14:textId="77777777" w:rsidR="001861DC" w:rsidRDefault="001861DC" w:rsidP="001861DC"/>
    <w:p w14:paraId="3EAED1F6" w14:textId="77777777" w:rsidR="001861DC" w:rsidRDefault="001861DC" w:rsidP="001861DC">
      <w:r>
        <w:t>La promulgación del Reglamento de Inversiones de las Entidades Reguladas</w:t>
      </w:r>
      <w:r>
        <w:rPr>
          <w:rStyle w:val="Refdenotaalpie"/>
        </w:rPr>
        <w:footnoteReference w:id="3"/>
      </w:r>
      <w:r>
        <w:t xml:space="preserve"> (RIER) se dio en circunstancias incipientes en la consolidación de los fondos de pensiones, principalmente desde la creación del Régimen Obligatorio de Pensiones (ROP) y su funcionamiento. Desde el año 2001, los fondos estaban altamente concentrados en instrumentos del MH y BCCR, en muchos casos cifras superiores al 80% del total de los activos administrados, por lo que se establecieron límites para orientar la gestión de riesgos y una mayor diversificación.</w:t>
      </w:r>
    </w:p>
    <w:p w14:paraId="53B9ADA5" w14:textId="77777777" w:rsidR="001861DC" w:rsidRDefault="001861DC" w:rsidP="001861DC"/>
    <w:p w14:paraId="154786A2" w14:textId="77777777" w:rsidR="001861DC" w:rsidRDefault="001861DC" w:rsidP="001861DC">
      <w:r>
        <w:t xml:space="preserve">Como resultado de las altas concentraciones, este límite fue objeto de análisis y en consecuencia se estableció una gradualidad para no provocar ventas masivas de instrumentos, reconociendo la escaza oferta de instrumentos financieros, sin que en ese momento se contara con </w:t>
      </w:r>
      <w:r w:rsidRPr="0052720F">
        <w:t>el nivel técnico</w:t>
      </w:r>
      <w:r>
        <w:t>, ni voluntad, para introducirse en mercados internacionales. Se fijó el 50% de inversión en instrumentos del MH y del BCCR como límite máximo, con una gradualidad para alcanzarlo hasta el año 2009.</w:t>
      </w:r>
    </w:p>
    <w:p w14:paraId="7404B9B5" w14:textId="77777777" w:rsidR="001861DC" w:rsidRDefault="001861DC" w:rsidP="001861DC"/>
    <w:p w14:paraId="7455522E" w14:textId="77777777" w:rsidR="001861DC" w:rsidRDefault="001861DC" w:rsidP="001861DC">
      <w:r>
        <w:t xml:space="preserve">Desde la promulgación del RIER en el año 2003 a la fecha, la gradualidad de dicho límites ha tenido ocho modificaciones. Las mismas fueron analizadas, justificadas y aprobadas por Consejo Nacional de Supervisión del Sistema Financiero (CONASSIF). </w:t>
      </w:r>
    </w:p>
    <w:p w14:paraId="083EB19D" w14:textId="77777777" w:rsidR="001861DC" w:rsidRDefault="001861DC" w:rsidP="001861DC"/>
    <w:p w14:paraId="68309419" w14:textId="77777777" w:rsidR="001861DC" w:rsidRDefault="001861DC" w:rsidP="001861DC">
      <w:r>
        <w:t xml:space="preserve">Dentro del razonamiento expuesto para realizar dichas modificaciones se citan: i) la escasez de instrumentos en el mercado local, ii) los bajos rendimientos de instrumentos </w:t>
      </w:r>
      <w:r>
        <w:lastRenderedPageBreak/>
        <w:t>alternativos, iii) la crisis en los mercados en algunos momentos, situaciones que dificultaban la recomposición de las carteras.</w:t>
      </w:r>
    </w:p>
    <w:p w14:paraId="2AAE6889" w14:textId="77777777" w:rsidR="001861DC" w:rsidRDefault="001861DC" w:rsidP="001861DC">
      <w:pPr>
        <w:spacing w:after="160" w:line="259" w:lineRule="auto"/>
      </w:pPr>
    </w:p>
    <w:p w14:paraId="7FED275B" w14:textId="77777777" w:rsidR="001861DC" w:rsidRDefault="001861DC" w:rsidP="001861DC">
      <w:pPr>
        <w:spacing w:after="160" w:line="259" w:lineRule="auto"/>
      </w:pPr>
      <w:r>
        <w:t>Las modificaciones han considerado lo siguiente:</w:t>
      </w:r>
    </w:p>
    <w:p w14:paraId="480BDB39" w14:textId="77777777" w:rsidR="001861DC" w:rsidRPr="00B84C60" w:rsidRDefault="001861DC" w:rsidP="001861DC">
      <w:pPr>
        <w:pStyle w:val="Prrafodelista"/>
        <w:numPr>
          <w:ilvl w:val="0"/>
          <w:numId w:val="3"/>
        </w:numPr>
        <w:spacing w:after="160" w:line="259" w:lineRule="auto"/>
      </w:pPr>
      <w:r w:rsidRPr="00B84C60">
        <w:t>El Transitorio IV del RIER se ha modificado en ocho ocasiones, prod</w:t>
      </w:r>
      <w:r>
        <w:t>ucto de la complejidad del tema. L</w:t>
      </w:r>
      <w:r w:rsidRPr="00B84C60">
        <w:t xml:space="preserve">a meta de la regulación de la SUPEN ha sido desde el inicio mantener instrumentos del MH y del BCCR no superiores a 50% en los fondos obligatorios. </w:t>
      </w:r>
    </w:p>
    <w:p w14:paraId="09E5FBA4" w14:textId="77777777" w:rsidR="001861DC" w:rsidRPr="00B84C60" w:rsidRDefault="001861DC" w:rsidP="001861DC">
      <w:pPr>
        <w:pStyle w:val="Prrafodelista"/>
        <w:numPr>
          <w:ilvl w:val="0"/>
          <w:numId w:val="3"/>
        </w:numPr>
        <w:spacing w:after="160" w:line="259" w:lineRule="auto"/>
      </w:pPr>
      <w:r w:rsidRPr="00B84C60">
        <w:t xml:space="preserve">Se reconoció la necesidad de que este límite fuera alcanzado paulatinamente de acuerdo a la complejidad de cada régimen, de manera que se establecieran diversas gradualidades, tomando en consideración estados de madurez en la administración y gestión de riesgos. Los fondos con mayor posesión de estos instrumentos tenían condiciones para alcanzarlos en más largo plazo. </w:t>
      </w:r>
    </w:p>
    <w:p w14:paraId="56F38590" w14:textId="77777777" w:rsidR="001861DC" w:rsidRPr="00B84C60" w:rsidRDefault="001861DC" w:rsidP="001861DC">
      <w:pPr>
        <w:pStyle w:val="Prrafodelista"/>
        <w:numPr>
          <w:ilvl w:val="0"/>
          <w:numId w:val="3"/>
        </w:numPr>
        <w:spacing w:after="160" w:line="259" w:lineRule="auto"/>
      </w:pPr>
      <w:r w:rsidRPr="00B84C60">
        <w:t xml:space="preserve">La regulación no consideró en el año 2003 los regímenes especiales y fueron agregados posteriormente para tener una visión </w:t>
      </w:r>
      <w:r>
        <w:t>uniforme</w:t>
      </w:r>
      <w:r w:rsidRPr="00B84C60">
        <w:t>.</w:t>
      </w:r>
    </w:p>
    <w:p w14:paraId="5757CDFC" w14:textId="77777777" w:rsidR="001861DC" w:rsidRDefault="001861DC" w:rsidP="001861DC">
      <w:pPr>
        <w:pStyle w:val="Prrafodelista"/>
        <w:numPr>
          <w:ilvl w:val="0"/>
          <w:numId w:val="3"/>
        </w:numPr>
        <w:spacing w:after="160" w:line="259" w:lineRule="auto"/>
      </w:pPr>
      <w:r w:rsidRPr="006871CF">
        <w:t xml:space="preserve">En el año 2003 los límites eran anuales, sin embargo se establecieron posteriormente límites semestrales, con el propósito </w:t>
      </w:r>
      <w:r>
        <w:t xml:space="preserve">de hacer un monitoreo más periódico del compromiso de los gestores con la diversificación. </w:t>
      </w:r>
    </w:p>
    <w:p w14:paraId="5E86333B" w14:textId="77777777" w:rsidR="001861DC" w:rsidRDefault="001861DC" w:rsidP="001861DC">
      <w:pPr>
        <w:pStyle w:val="Prrafodelista"/>
        <w:numPr>
          <w:ilvl w:val="0"/>
          <w:numId w:val="3"/>
        </w:numPr>
        <w:spacing w:after="160" w:line="259" w:lineRule="auto"/>
        <w:jc w:val="left"/>
      </w:pPr>
      <w:r w:rsidRPr="00D11CF1">
        <w:t xml:space="preserve">La reducción de límites debe entenderse en el contexto de un porcentaje </w:t>
      </w:r>
      <w:r>
        <w:t>de</w:t>
      </w:r>
      <w:r w:rsidRPr="00D11CF1">
        <w:t xml:space="preserve"> un fondo crecimiento. Es decir, aunque el límite se reduzca, esto no implica que a nivel de</w:t>
      </w:r>
      <w:r>
        <w:t>l</w:t>
      </w:r>
      <w:r w:rsidRPr="00D11CF1">
        <w:t xml:space="preserve"> monto se estén teniendo menos recursos invertidos</w:t>
      </w:r>
      <w:r>
        <w:t xml:space="preserve"> en esos emisores pues los fondos son crecientes. </w:t>
      </w:r>
    </w:p>
    <w:p w14:paraId="5D6853D8" w14:textId="77777777" w:rsidR="001861DC" w:rsidRDefault="001861DC" w:rsidP="001861DC">
      <w:pPr>
        <w:pStyle w:val="Prrafodelista"/>
        <w:numPr>
          <w:ilvl w:val="0"/>
          <w:numId w:val="3"/>
        </w:numPr>
        <w:spacing w:after="160" w:line="259" w:lineRule="auto"/>
      </w:pPr>
      <w:r>
        <w:t>En las tablas siguientes se muestra la versión del Transitorio IV cuando se promulgó el RIER y como está regulado en la actualidad.</w:t>
      </w:r>
    </w:p>
    <w:p w14:paraId="06657783" w14:textId="77777777" w:rsidR="001861DC" w:rsidRDefault="001861DC" w:rsidP="001861DC">
      <w:pPr>
        <w:pStyle w:val="Prrafodelista"/>
        <w:spacing w:after="160" w:line="259" w:lineRule="auto"/>
      </w:pPr>
    </w:p>
    <w:tbl>
      <w:tblPr>
        <w:tblStyle w:val="Tablaconcuadrcula"/>
        <w:tblpPr w:leftFromText="141" w:rightFromText="141" w:vertAnchor="text" w:horzAnchor="margin" w:tblpX="-9" w:tblpY="7"/>
        <w:tblOverlap w:val="never"/>
        <w:tblW w:w="0" w:type="auto"/>
        <w:tblLook w:val="04A0" w:firstRow="1" w:lastRow="0" w:firstColumn="1" w:lastColumn="0" w:noHBand="0" w:noVBand="1"/>
      </w:tblPr>
      <w:tblGrid>
        <w:gridCol w:w="3543"/>
        <w:gridCol w:w="4556"/>
      </w:tblGrid>
      <w:tr w:rsidR="001861DC" w:rsidRPr="0063759B" w14:paraId="140401A4" w14:textId="77777777" w:rsidTr="002E0516">
        <w:tc>
          <w:tcPr>
            <w:tcW w:w="3543" w:type="dxa"/>
          </w:tcPr>
          <w:p w14:paraId="7DA6A198" w14:textId="77777777" w:rsidR="001861DC" w:rsidRPr="0063759B" w:rsidRDefault="001861DC" w:rsidP="002E0516">
            <w:pPr>
              <w:jc w:val="center"/>
              <w:rPr>
                <w:b/>
              </w:rPr>
            </w:pPr>
            <w:r w:rsidRPr="0063759B">
              <w:rPr>
                <w:b/>
              </w:rPr>
              <w:t>Versión 2003</w:t>
            </w:r>
          </w:p>
        </w:tc>
        <w:tc>
          <w:tcPr>
            <w:tcW w:w="4556" w:type="dxa"/>
          </w:tcPr>
          <w:p w14:paraId="7C924F95" w14:textId="77777777" w:rsidR="001861DC" w:rsidRPr="0063759B" w:rsidRDefault="001861DC" w:rsidP="002E0516">
            <w:pPr>
              <w:jc w:val="center"/>
              <w:rPr>
                <w:b/>
              </w:rPr>
            </w:pPr>
            <w:r w:rsidRPr="0063759B">
              <w:rPr>
                <w:b/>
              </w:rPr>
              <w:t>Versión Actual</w:t>
            </w:r>
          </w:p>
        </w:tc>
      </w:tr>
      <w:tr w:rsidR="001861DC" w14:paraId="25CDFEF2" w14:textId="77777777" w:rsidTr="002E0516">
        <w:tc>
          <w:tcPr>
            <w:tcW w:w="3543" w:type="dxa"/>
          </w:tcPr>
          <w:tbl>
            <w:tblPr>
              <w:tblpPr w:leftFromText="141" w:rightFromText="141" w:vertAnchor="page" w:horzAnchor="margin" w:tblpXSpec="center" w:tblpY="196"/>
              <w:tblOverlap w:val="never"/>
              <w:tblW w:w="2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58"/>
              <w:gridCol w:w="737"/>
              <w:gridCol w:w="631"/>
              <w:gridCol w:w="660"/>
            </w:tblGrid>
            <w:tr w:rsidR="001861DC" w:rsidRPr="009D7A3A" w14:paraId="5013D8D4" w14:textId="77777777" w:rsidTr="002E0516">
              <w:tc>
                <w:tcPr>
                  <w:tcW w:w="658" w:type="dxa"/>
                  <w:shd w:val="clear" w:color="auto" w:fill="D9D9D9"/>
                </w:tcPr>
                <w:p w14:paraId="78BFA374" w14:textId="77777777" w:rsidR="001861DC" w:rsidRPr="009D7A3A" w:rsidRDefault="001861DC" w:rsidP="002E0516">
                  <w:pPr>
                    <w:widowControl w:val="0"/>
                    <w:jc w:val="center"/>
                    <w:rPr>
                      <w:b/>
                      <w:bCs/>
                      <w:sz w:val="14"/>
                      <w:szCs w:val="18"/>
                    </w:rPr>
                  </w:pPr>
                  <w:r w:rsidRPr="009D7A3A">
                    <w:rPr>
                      <w:b/>
                      <w:bCs/>
                      <w:sz w:val="14"/>
                      <w:szCs w:val="18"/>
                    </w:rPr>
                    <w:t>AÑO</w:t>
                  </w:r>
                </w:p>
              </w:tc>
              <w:tc>
                <w:tcPr>
                  <w:tcW w:w="737" w:type="dxa"/>
                  <w:shd w:val="clear" w:color="auto" w:fill="D9D9D9"/>
                </w:tcPr>
                <w:p w14:paraId="6AEE7FCA" w14:textId="77777777" w:rsidR="001861DC" w:rsidRPr="009D7A3A" w:rsidRDefault="001861DC" w:rsidP="002E0516">
                  <w:pPr>
                    <w:widowControl w:val="0"/>
                    <w:jc w:val="center"/>
                    <w:rPr>
                      <w:b/>
                      <w:bCs/>
                      <w:sz w:val="14"/>
                      <w:szCs w:val="18"/>
                    </w:rPr>
                  </w:pPr>
                  <w:r w:rsidRPr="009D7A3A">
                    <w:rPr>
                      <w:b/>
                      <w:bCs/>
                      <w:sz w:val="14"/>
                      <w:szCs w:val="18"/>
                    </w:rPr>
                    <w:t>% ROPC</w:t>
                  </w:r>
                </w:p>
              </w:tc>
              <w:tc>
                <w:tcPr>
                  <w:tcW w:w="631" w:type="dxa"/>
                  <w:shd w:val="clear" w:color="auto" w:fill="D9D9D9"/>
                </w:tcPr>
                <w:p w14:paraId="5AA962E4" w14:textId="77777777" w:rsidR="001861DC" w:rsidRPr="009D7A3A" w:rsidRDefault="001861DC" w:rsidP="002E0516">
                  <w:pPr>
                    <w:widowControl w:val="0"/>
                    <w:jc w:val="center"/>
                    <w:rPr>
                      <w:b/>
                      <w:bCs/>
                      <w:sz w:val="14"/>
                      <w:szCs w:val="18"/>
                    </w:rPr>
                  </w:pPr>
                  <w:r w:rsidRPr="009D7A3A">
                    <w:rPr>
                      <w:b/>
                      <w:bCs/>
                      <w:sz w:val="14"/>
                      <w:szCs w:val="18"/>
                    </w:rPr>
                    <w:t>% FCL</w:t>
                  </w:r>
                </w:p>
              </w:tc>
              <w:tc>
                <w:tcPr>
                  <w:tcW w:w="660" w:type="dxa"/>
                  <w:shd w:val="clear" w:color="auto" w:fill="D9D9D9"/>
                </w:tcPr>
                <w:p w14:paraId="2F439E12" w14:textId="77777777" w:rsidR="001861DC" w:rsidRPr="009D7A3A" w:rsidRDefault="001861DC" w:rsidP="002E0516">
                  <w:pPr>
                    <w:widowControl w:val="0"/>
                    <w:jc w:val="center"/>
                    <w:rPr>
                      <w:b/>
                      <w:bCs/>
                      <w:sz w:val="14"/>
                      <w:szCs w:val="18"/>
                    </w:rPr>
                  </w:pPr>
                  <w:r w:rsidRPr="009D7A3A">
                    <w:rPr>
                      <w:b/>
                      <w:bCs/>
                      <w:sz w:val="14"/>
                      <w:szCs w:val="18"/>
                    </w:rPr>
                    <w:t>% RVPV</w:t>
                  </w:r>
                </w:p>
              </w:tc>
            </w:tr>
            <w:tr w:rsidR="001861DC" w:rsidRPr="009D7A3A" w14:paraId="148975B6" w14:textId="77777777" w:rsidTr="002E0516">
              <w:tc>
                <w:tcPr>
                  <w:tcW w:w="658" w:type="dxa"/>
                  <w:vAlign w:val="bottom"/>
                </w:tcPr>
                <w:p w14:paraId="24721103" w14:textId="77777777" w:rsidR="001861DC" w:rsidRPr="009D7A3A" w:rsidRDefault="001861DC" w:rsidP="002E0516">
                  <w:pPr>
                    <w:widowControl w:val="0"/>
                    <w:jc w:val="center"/>
                    <w:rPr>
                      <w:rFonts w:eastAsia="Arial Unicode MS"/>
                      <w:sz w:val="14"/>
                      <w:szCs w:val="18"/>
                    </w:rPr>
                  </w:pPr>
                  <w:r w:rsidRPr="009D7A3A">
                    <w:rPr>
                      <w:sz w:val="14"/>
                      <w:szCs w:val="18"/>
                    </w:rPr>
                    <w:t>2003</w:t>
                  </w:r>
                </w:p>
              </w:tc>
              <w:tc>
                <w:tcPr>
                  <w:tcW w:w="737" w:type="dxa"/>
                  <w:vAlign w:val="bottom"/>
                </w:tcPr>
                <w:p w14:paraId="47036B51" w14:textId="77777777" w:rsidR="001861DC" w:rsidRPr="009D7A3A" w:rsidRDefault="001861DC" w:rsidP="002E0516">
                  <w:pPr>
                    <w:widowControl w:val="0"/>
                    <w:jc w:val="center"/>
                    <w:rPr>
                      <w:sz w:val="14"/>
                      <w:szCs w:val="18"/>
                    </w:rPr>
                  </w:pPr>
                  <w:r>
                    <w:rPr>
                      <w:sz w:val="14"/>
                      <w:szCs w:val="18"/>
                    </w:rPr>
                    <w:t>80</w:t>
                  </w:r>
                </w:p>
              </w:tc>
              <w:tc>
                <w:tcPr>
                  <w:tcW w:w="631" w:type="dxa"/>
                  <w:vAlign w:val="bottom"/>
                </w:tcPr>
                <w:p w14:paraId="6938EA59" w14:textId="77777777" w:rsidR="001861DC" w:rsidRPr="009D7A3A" w:rsidRDefault="001861DC" w:rsidP="002E0516">
                  <w:pPr>
                    <w:widowControl w:val="0"/>
                    <w:jc w:val="center"/>
                    <w:rPr>
                      <w:sz w:val="14"/>
                      <w:szCs w:val="18"/>
                    </w:rPr>
                  </w:pPr>
                  <w:r w:rsidRPr="009D7A3A">
                    <w:rPr>
                      <w:sz w:val="14"/>
                      <w:szCs w:val="18"/>
                    </w:rPr>
                    <w:t>80</w:t>
                  </w:r>
                </w:p>
              </w:tc>
              <w:tc>
                <w:tcPr>
                  <w:tcW w:w="660" w:type="dxa"/>
                  <w:vAlign w:val="bottom"/>
                </w:tcPr>
                <w:p w14:paraId="47835610" w14:textId="77777777" w:rsidR="001861DC" w:rsidRPr="009D7A3A" w:rsidRDefault="001861DC" w:rsidP="002E0516">
                  <w:pPr>
                    <w:widowControl w:val="0"/>
                    <w:jc w:val="center"/>
                    <w:rPr>
                      <w:sz w:val="14"/>
                      <w:szCs w:val="18"/>
                    </w:rPr>
                  </w:pPr>
                  <w:r w:rsidRPr="009D7A3A">
                    <w:rPr>
                      <w:sz w:val="14"/>
                      <w:szCs w:val="18"/>
                    </w:rPr>
                    <w:t>8</w:t>
                  </w:r>
                  <w:r>
                    <w:rPr>
                      <w:sz w:val="14"/>
                      <w:szCs w:val="18"/>
                    </w:rPr>
                    <w:t>4</w:t>
                  </w:r>
                </w:p>
              </w:tc>
            </w:tr>
            <w:tr w:rsidR="001861DC" w:rsidRPr="009D7A3A" w14:paraId="1B5CA26C" w14:textId="77777777" w:rsidTr="002E0516">
              <w:tc>
                <w:tcPr>
                  <w:tcW w:w="658" w:type="dxa"/>
                  <w:vAlign w:val="bottom"/>
                </w:tcPr>
                <w:p w14:paraId="78758F0C" w14:textId="77777777" w:rsidR="001861DC" w:rsidRPr="009D7A3A" w:rsidRDefault="001861DC" w:rsidP="002E0516">
                  <w:pPr>
                    <w:widowControl w:val="0"/>
                    <w:jc w:val="center"/>
                    <w:rPr>
                      <w:rFonts w:eastAsia="Arial Unicode MS"/>
                      <w:sz w:val="14"/>
                      <w:szCs w:val="18"/>
                    </w:rPr>
                  </w:pPr>
                  <w:r w:rsidRPr="009D7A3A">
                    <w:rPr>
                      <w:sz w:val="14"/>
                      <w:szCs w:val="18"/>
                    </w:rPr>
                    <w:t>2004</w:t>
                  </w:r>
                </w:p>
              </w:tc>
              <w:tc>
                <w:tcPr>
                  <w:tcW w:w="737" w:type="dxa"/>
                  <w:vAlign w:val="bottom"/>
                </w:tcPr>
                <w:p w14:paraId="50FDA795" w14:textId="77777777" w:rsidR="001861DC" w:rsidRPr="009D7A3A" w:rsidRDefault="001861DC" w:rsidP="002E0516">
                  <w:pPr>
                    <w:widowControl w:val="0"/>
                    <w:jc w:val="center"/>
                    <w:rPr>
                      <w:sz w:val="14"/>
                      <w:szCs w:val="18"/>
                    </w:rPr>
                  </w:pPr>
                  <w:r>
                    <w:rPr>
                      <w:sz w:val="14"/>
                      <w:szCs w:val="18"/>
                    </w:rPr>
                    <w:t>75</w:t>
                  </w:r>
                </w:p>
              </w:tc>
              <w:tc>
                <w:tcPr>
                  <w:tcW w:w="631" w:type="dxa"/>
                  <w:vAlign w:val="bottom"/>
                </w:tcPr>
                <w:p w14:paraId="2E12F272" w14:textId="77777777" w:rsidR="001861DC" w:rsidRPr="009D7A3A" w:rsidRDefault="001861DC" w:rsidP="002E0516">
                  <w:pPr>
                    <w:widowControl w:val="0"/>
                    <w:jc w:val="center"/>
                    <w:rPr>
                      <w:sz w:val="14"/>
                      <w:szCs w:val="18"/>
                    </w:rPr>
                  </w:pPr>
                  <w:r>
                    <w:rPr>
                      <w:sz w:val="14"/>
                      <w:szCs w:val="18"/>
                    </w:rPr>
                    <w:t>75</w:t>
                  </w:r>
                </w:p>
              </w:tc>
              <w:tc>
                <w:tcPr>
                  <w:tcW w:w="660" w:type="dxa"/>
                  <w:vAlign w:val="bottom"/>
                </w:tcPr>
                <w:p w14:paraId="27EBC7CC" w14:textId="77777777" w:rsidR="001861DC" w:rsidRPr="009D7A3A" w:rsidRDefault="001861DC" w:rsidP="002E0516">
                  <w:pPr>
                    <w:widowControl w:val="0"/>
                    <w:jc w:val="center"/>
                    <w:rPr>
                      <w:sz w:val="14"/>
                      <w:szCs w:val="18"/>
                    </w:rPr>
                  </w:pPr>
                  <w:r>
                    <w:rPr>
                      <w:sz w:val="14"/>
                      <w:szCs w:val="18"/>
                    </w:rPr>
                    <w:t>82</w:t>
                  </w:r>
                </w:p>
              </w:tc>
            </w:tr>
            <w:tr w:rsidR="001861DC" w:rsidRPr="009D7A3A" w14:paraId="5747EB6B" w14:textId="77777777" w:rsidTr="002E0516">
              <w:tc>
                <w:tcPr>
                  <w:tcW w:w="658" w:type="dxa"/>
                  <w:vAlign w:val="bottom"/>
                </w:tcPr>
                <w:p w14:paraId="4BCFBD62" w14:textId="77777777" w:rsidR="001861DC" w:rsidRPr="009D7A3A" w:rsidRDefault="001861DC" w:rsidP="002E0516">
                  <w:pPr>
                    <w:widowControl w:val="0"/>
                    <w:jc w:val="center"/>
                    <w:rPr>
                      <w:rFonts w:eastAsia="Arial Unicode MS"/>
                      <w:sz w:val="14"/>
                      <w:szCs w:val="18"/>
                    </w:rPr>
                  </w:pPr>
                  <w:r w:rsidRPr="009D7A3A">
                    <w:rPr>
                      <w:sz w:val="14"/>
                      <w:szCs w:val="18"/>
                    </w:rPr>
                    <w:t>2005</w:t>
                  </w:r>
                </w:p>
              </w:tc>
              <w:tc>
                <w:tcPr>
                  <w:tcW w:w="737" w:type="dxa"/>
                  <w:vAlign w:val="bottom"/>
                </w:tcPr>
                <w:p w14:paraId="7BA1429F" w14:textId="77777777" w:rsidR="001861DC" w:rsidRPr="009D7A3A" w:rsidRDefault="001861DC" w:rsidP="002E0516">
                  <w:pPr>
                    <w:widowControl w:val="0"/>
                    <w:jc w:val="center"/>
                    <w:rPr>
                      <w:sz w:val="14"/>
                      <w:szCs w:val="18"/>
                    </w:rPr>
                  </w:pPr>
                  <w:r w:rsidRPr="009D7A3A">
                    <w:rPr>
                      <w:sz w:val="14"/>
                      <w:szCs w:val="18"/>
                    </w:rPr>
                    <w:t>70</w:t>
                  </w:r>
                </w:p>
              </w:tc>
              <w:tc>
                <w:tcPr>
                  <w:tcW w:w="631" w:type="dxa"/>
                  <w:vAlign w:val="bottom"/>
                </w:tcPr>
                <w:p w14:paraId="7485CEC9" w14:textId="77777777" w:rsidR="001861DC" w:rsidRPr="009D7A3A" w:rsidRDefault="001861DC" w:rsidP="002E0516">
                  <w:pPr>
                    <w:widowControl w:val="0"/>
                    <w:jc w:val="center"/>
                    <w:rPr>
                      <w:sz w:val="14"/>
                      <w:szCs w:val="18"/>
                    </w:rPr>
                  </w:pPr>
                  <w:r w:rsidRPr="009D7A3A">
                    <w:rPr>
                      <w:sz w:val="14"/>
                      <w:szCs w:val="18"/>
                    </w:rPr>
                    <w:t>7</w:t>
                  </w:r>
                  <w:r>
                    <w:rPr>
                      <w:sz w:val="14"/>
                      <w:szCs w:val="18"/>
                    </w:rPr>
                    <w:t>0</w:t>
                  </w:r>
                </w:p>
              </w:tc>
              <w:tc>
                <w:tcPr>
                  <w:tcW w:w="660" w:type="dxa"/>
                  <w:vAlign w:val="bottom"/>
                </w:tcPr>
                <w:p w14:paraId="4C5AED21" w14:textId="77777777" w:rsidR="001861DC" w:rsidRPr="009D7A3A" w:rsidRDefault="001861DC" w:rsidP="002E0516">
                  <w:pPr>
                    <w:widowControl w:val="0"/>
                    <w:jc w:val="center"/>
                    <w:rPr>
                      <w:sz w:val="14"/>
                      <w:szCs w:val="18"/>
                    </w:rPr>
                  </w:pPr>
                  <w:r>
                    <w:rPr>
                      <w:sz w:val="14"/>
                      <w:szCs w:val="18"/>
                    </w:rPr>
                    <w:t>80</w:t>
                  </w:r>
                </w:p>
              </w:tc>
            </w:tr>
            <w:tr w:rsidR="001861DC" w:rsidRPr="009D7A3A" w14:paraId="247BE6EE" w14:textId="77777777" w:rsidTr="002E0516">
              <w:tc>
                <w:tcPr>
                  <w:tcW w:w="658" w:type="dxa"/>
                  <w:vAlign w:val="bottom"/>
                </w:tcPr>
                <w:p w14:paraId="7D1F5F4E" w14:textId="77777777" w:rsidR="001861DC" w:rsidRPr="009D7A3A" w:rsidRDefault="001861DC" w:rsidP="002E0516">
                  <w:pPr>
                    <w:widowControl w:val="0"/>
                    <w:jc w:val="center"/>
                    <w:rPr>
                      <w:rFonts w:eastAsia="Arial Unicode MS"/>
                      <w:sz w:val="14"/>
                      <w:szCs w:val="18"/>
                    </w:rPr>
                  </w:pPr>
                  <w:r w:rsidRPr="009D7A3A">
                    <w:rPr>
                      <w:sz w:val="14"/>
                      <w:szCs w:val="18"/>
                    </w:rPr>
                    <w:t>2006</w:t>
                  </w:r>
                </w:p>
              </w:tc>
              <w:tc>
                <w:tcPr>
                  <w:tcW w:w="737" w:type="dxa"/>
                  <w:vAlign w:val="bottom"/>
                </w:tcPr>
                <w:p w14:paraId="379821B5" w14:textId="77777777" w:rsidR="001861DC" w:rsidRPr="009D7A3A" w:rsidRDefault="001861DC" w:rsidP="002E0516">
                  <w:pPr>
                    <w:widowControl w:val="0"/>
                    <w:jc w:val="center"/>
                    <w:rPr>
                      <w:sz w:val="14"/>
                      <w:szCs w:val="18"/>
                    </w:rPr>
                  </w:pPr>
                  <w:r w:rsidRPr="009D7A3A">
                    <w:rPr>
                      <w:sz w:val="14"/>
                      <w:szCs w:val="18"/>
                    </w:rPr>
                    <w:t>65</w:t>
                  </w:r>
                </w:p>
              </w:tc>
              <w:tc>
                <w:tcPr>
                  <w:tcW w:w="631" w:type="dxa"/>
                  <w:vAlign w:val="bottom"/>
                </w:tcPr>
                <w:p w14:paraId="6251E5A8" w14:textId="77777777" w:rsidR="001861DC" w:rsidRPr="009D7A3A" w:rsidRDefault="001861DC" w:rsidP="002E0516">
                  <w:pPr>
                    <w:widowControl w:val="0"/>
                    <w:jc w:val="center"/>
                    <w:rPr>
                      <w:sz w:val="14"/>
                      <w:szCs w:val="18"/>
                    </w:rPr>
                  </w:pPr>
                  <w:r w:rsidRPr="009D7A3A">
                    <w:rPr>
                      <w:sz w:val="14"/>
                      <w:szCs w:val="18"/>
                    </w:rPr>
                    <w:t>6</w:t>
                  </w:r>
                  <w:r>
                    <w:rPr>
                      <w:sz w:val="14"/>
                      <w:szCs w:val="18"/>
                    </w:rPr>
                    <w:t>5</w:t>
                  </w:r>
                </w:p>
              </w:tc>
              <w:tc>
                <w:tcPr>
                  <w:tcW w:w="660" w:type="dxa"/>
                  <w:vAlign w:val="bottom"/>
                </w:tcPr>
                <w:p w14:paraId="7AE4541D" w14:textId="77777777" w:rsidR="001861DC" w:rsidRPr="009D7A3A" w:rsidRDefault="001861DC" w:rsidP="002E0516">
                  <w:pPr>
                    <w:widowControl w:val="0"/>
                    <w:jc w:val="center"/>
                    <w:rPr>
                      <w:sz w:val="14"/>
                      <w:szCs w:val="18"/>
                    </w:rPr>
                  </w:pPr>
                  <w:r>
                    <w:rPr>
                      <w:sz w:val="14"/>
                      <w:szCs w:val="18"/>
                    </w:rPr>
                    <w:t>78</w:t>
                  </w:r>
                </w:p>
              </w:tc>
            </w:tr>
            <w:tr w:rsidR="001861DC" w:rsidRPr="009D7A3A" w14:paraId="1C8C7EA0" w14:textId="77777777" w:rsidTr="002E0516">
              <w:tc>
                <w:tcPr>
                  <w:tcW w:w="658" w:type="dxa"/>
                  <w:vAlign w:val="bottom"/>
                </w:tcPr>
                <w:p w14:paraId="4056FED2" w14:textId="77777777" w:rsidR="001861DC" w:rsidRPr="009D7A3A" w:rsidRDefault="001861DC" w:rsidP="002E0516">
                  <w:pPr>
                    <w:widowControl w:val="0"/>
                    <w:jc w:val="center"/>
                    <w:rPr>
                      <w:rFonts w:eastAsia="Arial Unicode MS"/>
                      <w:sz w:val="14"/>
                      <w:szCs w:val="18"/>
                    </w:rPr>
                  </w:pPr>
                  <w:r w:rsidRPr="009D7A3A">
                    <w:rPr>
                      <w:sz w:val="14"/>
                      <w:szCs w:val="18"/>
                    </w:rPr>
                    <w:t>2007</w:t>
                  </w:r>
                </w:p>
              </w:tc>
              <w:tc>
                <w:tcPr>
                  <w:tcW w:w="737" w:type="dxa"/>
                  <w:vAlign w:val="bottom"/>
                </w:tcPr>
                <w:p w14:paraId="647A8744" w14:textId="77777777" w:rsidR="001861DC" w:rsidRPr="009D7A3A" w:rsidRDefault="001861DC" w:rsidP="002E0516">
                  <w:pPr>
                    <w:widowControl w:val="0"/>
                    <w:jc w:val="center"/>
                    <w:rPr>
                      <w:sz w:val="14"/>
                      <w:szCs w:val="18"/>
                    </w:rPr>
                  </w:pPr>
                  <w:r w:rsidRPr="009D7A3A">
                    <w:rPr>
                      <w:sz w:val="14"/>
                      <w:szCs w:val="18"/>
                    </w:rPr>
                    <w:t>60</w:t>
                  </w:r>
                </w:p>
              </w:tc>
              <w:tc>
                <w:tcPr>
                  <w:tcW w:w="631" w:type="dxa"/>
                  <w:vAlign w:val="bottom"/>
                </w:tcPr>
                <w:p w14:paraId="4BA438C2" w14:textId="77777777" w:rsidR="001861DC" w:rsidRPr="009D7A3A" w:rsidRDefault="001861DC" w:rsidP="002E0516">
                  <w:pPr>
                    <w:widowControl w:val="0"/>
                    <w:jc w:val="center"/>
                    <w:rPr>
                      <w:sz w:val="14"/>
                      <w:szCs w:val="18"/>
                    </w:rPr>
                  </w:pPr>
                  <w:r w:rsidRPr="009D7A3A">
                    <w:rPr>
                      <w:sz w:val="14"/>
                      <w:szCs w:val="18"/>
                    </w:rPr>
                    <w:t>6</w:t>
                  </w:r>
                  <w:r>
                    <w:rPr>
                      <w:sz w:val="14"/>
                      <w:szCs w:val="18"/>
                    </w:rPr>
                    <w:t>0</w:t>
                  </w:r>
                </w:p>
              </w:tc>
              <w:tc>
                <w:tcPr>
                  <w:tcW w:w="660" w:type="dxa"/>
                  <w:vAlign w:val="bottom"/>
                </w:tcPr>
                <w:p w14:paraId="76224A62" w14:textId="77777777" w:rsidR="001861DC" w:rsidRPr="009D7A3A" w:rsidRDefault="001861DC" w:rsidP="002E0516">
                  <w:pPr>
                    <w:widowControl w:val="0"/>
                    <w:jc w:val="center"/>
                    <w:rPr>
                      <w:sz w:val="14"/>
                      <w:szCs w:val="18"/>
                    </w:rPr>
                  </w:pPr>
                  <w:r>
                    <w:rPr>
                      <w:sz w:val="14"/>
                      <w:szCs w:val="18"/>
                    </w:rPr>
                    <w:t>76</w:t>
                  </w:r>
                </w:p>
              </w:tc>
            </w:tr>
            <w:tr w:rsidR="001861DC" w:rsidRPr="009D7A3A" w14:paraId="0EF4280A" w14:textId="77777777" w:rsidTr="002E0516">
              <w:tc>
                <w:tcPr>
                  <w:tcW w:w="658" w:type="dxa"/>
                  <w:vAlign w:val="bottom"/>
                </w:tcPr>
                <w:p w14:paraId="54E27EB0" w14:textId="77777777" w:rsidR="001861DC" w:rsidRPr="009D7A3A" w:rsidRDefault="001861DC" w:rsidP="002E0516">
                  <w:pPr>
                    <w:widowControl w:val="0"/>
                    <w:jc w:val="center"/>
                    <w:rPr>
                      <w:rFonts w:eastAsia="Arial Unicode MS"/>
                      <w:sz w:val="14"/>
                      <w:szCs w:val="18"/>
                    </w:rPr>
                  </w:pPr>
                  <w:r w:rsidRPr="009D7A3A">
                    <w:rPr>
                      <w:sz w:val="14"/>
                      <w:szCs w:val="18"/>
                    </w:rPr>
                    <w:t>2008</w:t>
                  </w:r>
                </w:p>
              </w:tc>
              <w:tc>
                <w:tcPr>
                  <w:tcW w:w="737" w:type="dxa"/>
                  <w:vAlign w:val="bottom"/>
                </w:tcPr>
                <w:p w14:paraId="1023197B" w14:textId="77777777" w:rsidR="001861DC" w:rsidRPr="009D7A3A" w:rsidRDefault="001861DC" w:rsidP="002E0516">
                  <w:pPr>
                    <w:widowControl w:val="0"/>
                    <w:jc w:val="center"/>
                    <w:rPr>
                      <w:sz w:val="14"/>
                      <w:szCs w:val="18"/>
                    </w:rPr>
                  </w:pPr>
                  <w:r w:rsidRPr="009D7A3A">
                    <w:rPr>
                      <w:sz w:val="14"/>
                      <w:szCs w:val="18"/>
                    </w:rPr>
                    <w:t>55</w:t>
                  </w:r>
                </w:p>
              </w:tc>
              <w:tc>
                <w:tcPr>
                  <w:tcW w:w="631" w:type="dxa"/>
                  <w:vAlign w:val="bottom"/>
                </w:tcPr>
                <w:p w14:paraId="2D953A9C" w14:textId="77777777" w:rsidR="001861DC" w:rsidRPr="009D7A3A" w:rsidRDefault="001861DC" w:rsidP="002E0516">
                  <w:pPr>
                    <w:widowControl w:val="0"/>
                    <w:jc w:val="center"/>
                    <w:rPr>
                      <w:sz w:val="14"/>
                      <w:szCs w:val="18"/>
                    </w:rPr>
                  </w:pPr>
                  <w:r w:rsidRPr="009D7A3A">
                    <w:rPr>
                      <w:sz w:val="14"/>
                      <w:szCs w:val="18"/>
                    </w:rPr>
                    <w:t>5</w:t>
                  </w:r>
                  <w:r>
                    <w:rPr>
                      <w:sz w:val="14"/>
                      <w:szCs w:val="18"/>
                    </w:rPr>
                    <w:t>5</w:t>
                  </w:r>
                </w:p>
              </w:tc>
              <w:tc>
                <w:tcPr>
                  <w:tcW w:w="660" w:type="dxa"/>
                  <w:vAlign w:val="bottom"/>
                </w:tcPr>
                <w:p w14:paraId="50F62B9E" w14:textId="77777777" w:rsidR="001861DC" w:rsidRPr="009D7A3A" w:rsidRDefault="001861DC" w:rsidP="002E0516">
                  <w:pPr>
                    <w:widowControl w:val="0"/>
                    <w:jc w:val="center"/>
                    <w:rPr>
                      <w:sz w:val="14"/>
                      <w:szCs w:val="18"/>
                    </w:rPr>
                  </w:pPr>
                  <w:r>
                    <w:rPr>
                      <w:sz w:val="14"/>
                      <w:szCs w:val="18"/>
                    </w:rPr>
                    <w:t>74</w:t>
                  </w:r>
                </w:p>
              </w:tc>
            </w:tr>
            <w:tr w:rsidR="001861DC" w:rsidRPr="009D7A3A" w14:paraId="45846D3B" w14:textId="77777777" w:rsidTr="002E0516">
              <w:tc>
                <w:tcPr>
                  <w:tcW w:w="658" w:type="dxa"/>
                  <w:vAlign w:val="bottom"/>
                </w:tcPr>
                <w:p w14:paraId="47B0C0BA" w14:textId="77777777" w:rsidR="001861DC" w:rsidRPr="009D7A3A" w:rsidRDefault="001861DC" w:rsidP="002E0516">
                  <w:pPr>
                    <w:widowControl w:val="0"/>
                    <w:jc w:val="center"/>
                    <w:rPr>
                      <w:rFonts w:eastAsia="Arial Unicode MS"/>
                      <w:sz w:val="14"/>
                      <w:szCs w:val="18"/>
                    </w:rPr>
                  </w:pPr>
                  <w:r w:rsidRPr="009D7A3A">
                    <w:rPr>
                      <w:sz w:val="14"/>
                      <w:szCs w:val="18"/>
                    </w:rPr>
                    <w:t>2009</w:t>
                  </w:r>
                </w:p>
              </w:tc>
              <w:tc>
                <w:tcPr>
                  <w:tcW w:w="737" w:type="dxa"/>
                  <w:vAlign w:val="bottom"/>
                </w:tcPr>
                <w:p w14:paraId="62DE8924" w14:textId="77777777" w:rsidR="001861DC" w:rsidRPr="009D7A3A" w:rsidRDefault="001861DC" w:rsidP="002E0516">
                  <w:pPr>
                    <w:widowControl w:val="0"/>
                    <w:jc w:val="center"/>
                    <w:rPr>
                      <w:sz w:val="14"/>
                      <w:szCs w:val="18"/>
                    </w:rPr>
                  </w:pPr>
                  <w:r w:rsidRPr="009D7A3A">
                    <w:rPr>
                      <w:sz w:val="14"/>
                      <w:szCs w:val="18"/>
                    </w:rPr>
                    <w:t>50</w:t>
                  </w:r>
                </w:p>
              </w:tc>
              <w:tc>
                <w:tcPr>
                  <w:tcW w:w="631" w:type="dxa"/>
                  <w:vAlign w:val="bottom"/>
                </w:tcPr>
                <w:p w14:paraId="0E4027A9" w14:textId="77777777" w:rsidR="001861DC" w:rsidRPr="009D7A3A" w:rsidRDefault="001861DC" w:rsidP="002E0516">
                  <w:pPr>
                    <w:widowControl w:val="0"/>
                    <w:jc w:val="center"/>
                    <w:rPr>
                      <w:sz w:val="14"/>
                      <w:szCs w:val="18"/>
                    </w:rPr>
                  </w:pPr>
                  <w:r w:rsidRPr="009D7A3A">
                    <w:rPr>
                      <w:sz w:val="14"/>
                      <w:szCs w:val="18"/>
                    </w:rPr>
                    <w:t>5</w:t>
                  </w:r>
                  <w:r>
                    <w:rPr>
                      <w:sz w:val="14"/>
                      <w:szCs w:val="18"/>
                    </w:rPr>
                    <w:t>0</w:t>
                  </w:r>
                </w:p>
              </w:tc>
              <w:tc>
                <w:tcPr>
                  <w:tcW w:w="660" w:type="dxa"/>
                  <w:vAlign w:val="bottom"/>
                </w:tcPr>
                <w:p w14:paraId="4E3E425B" w14:textId="77777777" w:rsidR="001861DC" w:rsidRPr="009D7A3A" w:rsidRDefault="001861DC" w:rsidP="002E0516">
                  <w:pPr>
                    <w:widowControl w:val="0"/>
                    <w:jc w:val="center"/>
                    <w:rPr>
                      <w:sz w:val="14"/>
                      <w:szCs w:val="18"/>
                    </w:rPr>
                  </w:pPr>
                  <w:r>
                    <w:rPr>
                      <w:sz w:val="14"/>
                      <w:szCs w:val="18"/>
                    </w:rPr>
                    <w:t>72</w:t>
                  </w:r>
                </w:p>
              </w:tc>
            </w:tr>
            <w:tr w:rsidR="001861DC" w:rsidRPr="009D7A3A" w14:paraId="3B1B3901" w14:textId="77777777" w:rsidTr="002E0516">
              <w:tc>
                <w:tcPr>
                  <w:tcW w:w="658" w:type="dxa"/>
                  <w:vAlign w:val="bottom"/>
                </w:tcPr>
                <w:p w14:paraId="045F57EA" w14:textId="77777777" w:rsidR="001861DC" w:rsidRPr="009D7A3A" w:rsidRDefault="001861DC" w:rsidP="002E0516">
                  <w:pPr>
                    <w:widowControl w:val="0"/>
                    <w:jc w:val="center"/>
                    <w:rPr>
                      <w:sz w:val="14"/>
                      <w:szCs w:val="18"/>
                    </w:rPr>
                  </w:pPr>
                  <w:r w:rsidRPr="009D7A3A">
                    <w:rPr>
                      <w:sz w:val="14"/>
                      <w:szCs w:val="18"/>
                    </w:rPr>
                    <w:t>2010</w:t>
                  </w:r>
                </w:p>
              </w:tc>
              <w:tc>
                <w:tcPr>
                  <w:tcW w:w="737" w:type="dxa"/>
                  <w:vAlign w:val="bottom"/>
                </w:tcPr>
                <w:p w14:paraId="58BC5990" w14:textId="77777777" w:rsidR="001861DC" w:rsidRPr="009D7A3A" w:rsidRDefault="001861DC" w:rsidP="002E0516">
                  <w:pPr>
                    <w:widowControl w:val="0"/>
                    <w:jc w:val="center"/>
                    <w:rPr>
                      <w:sz w:val="14"/>
                      <w:szCs w:val="18"/>
                    </w:rPr>
                  </w:pPr>
                  <w:r w:rsidRPr="009D7A3A">
                    <w:rPr>
                      <w:sz w:val="14"/>
                      <w:szCs w:val="18"/>
                    </w:rPr>
                    <w:t>50</w:t>
                  </w:r>
                </w:p>
              </w:tc>
              <w:tc>
                <w:tcPr>
                  <w:tcW w:w="631" w:type="dxa"/>
                  <w:vAlign w:val="bottom"/>
                </w:tcPr>
                <w:p w14:paraId="4CC4D3EF" w14:textId="77777777" w:rsidR="001861DC" w:rsidRPr="009D7A3A" w:rsidRDefault="001861DC" w:rsidP="002E0516">
                  <w:pPr>
                    <w:widowControl w:val="0"/>
                    <w:jc w:val="center"/>
                    <w:rPr>
                      <w:sz w:val="14"/>
                      <w:szCs w:val="18"/>
                    </w:rPr>
                  </w:pPr>
                  <w:r w:rsidRPr="009D7A3A">
                    <w:rPr>
                      <w:sz w:val="14"/>
                      <w:szCs w:val="18"/>
                    </w:rPr>
                    <w:t>5</w:t>
                  </w:r>
                  <w:r>
                    <w:rPr>
                      <w:sz w:val="14"/>
                      <w:szCs w:val="18"/>
                    </w:rPr>
                    <w:t>0</w:t>
                  </w:r>
                </w:p>
              </w:tc>
              <w:tc>
                <w:tcPr>
                  <w:tcW w:w="660" w:type="dxa"/>
                  <w:vAlign w:val="bottom"/>
                </w:tcPr>
                <w:p w14:paraId="360363DF" w14:textId="77777777" w:rsidR="001861DC" w:rsidRPr="009D7A3A" w:rsidRDefault="001861DC" w:rsidP="002E0516">
                  <w:pPr>
                    <w:widowControl w:val="0"/>
                    <w:jc w:val="center"/>
                    <w:rPr>
                      <w:sz w:val="14"/>
                      <w:szCs w:val="18"/>
                    </w:rPr>
                  </w:pPr>
                  <w:r>
                    <w:rPr>
                      <w:sz w:val="14"/>
                      <w:szCs w:val="18"/>
                    </w:rPr>
                    <w:t>70</w:t>
                  </w:r>
                </w:p>
              </w:tc>
            </w:tr>
            <w:tr w:rsidR="001861DC" w:rsidRPr="009D7A3A" w14:paraId="5E848761" w14:textId="77777777" w:rsidTr="002E0516">
              <w:tc>
                <w:tcPr>
                  <w:tcW w:w="658" w:type="dxa"/>
                  <w:vAlign w:val="bottom"/>
                </w:tcPr>
                <w:p w14:paraId="1E66B0C9" w14:textId="77777777" w:rsidR="001861DC" w:rsidRPr="009D7A3A" w:rsidRDefault="001861DC" w:rsidP="002E0516">
                  <w:pPr>
                    <w:widowControl w:val="0"/>
                    <w:jc w:val="center"/>
                    <w:rPr>
                      <w:sz w:val="14"/>
                      <w:szCs w:val="18"/>
                    </w:rPr>
                  </w:pPr>
                  <w:r w:rsidRPr="009D7A3A">
                    <w:rPr>
                      <w:sz w:val="14"/>
                      <w:szCs w:val="18"/>
                    </w:rPr>
                    <w:t>2011</w:t>
                  </w:r>
                </w:p>
              </w:tc>
              <w:tc>
                <w:tcPr>
                  <w:tcW w:w="737" w:type="dxa"/>
                  <w:vAlign w:val="bottom"/>
                </w:tcPr>
                <w:p w14:paraId="6498C531" w14:textId="77777777" w:rsidR="001861DC" w:rsidRPr="009D7A3A" w:rsidRDefault="001861DC" w:rsidP="002E0516">
                  <w:pPr>
                    <w:widowControl w:val="0"/>
                    <w:jc w:val="center"/>
                    <w:rPr>
                      <w:sz w:val="14"/>
                      <w:szCs w:val="18"/>
                    </w:rPr>
                  </w:pPr>
                  <w:r w:rsidRPr="009D7A3A">
                    <w:rPr>
                      <w:sz w:val="14"/>
                      <w:szCs w:val="18"/>
                    </w:rPr>
                    <w:t>50</w:t>
                  </w:r>
                </w:p>
              </w:tc>
              <w:tc>
                <w:tcPr>
                  <w:tcW w:w="631" w:type="dxa"/>
                  <w:vAlign w:val="bottom"/>
                </w:tcPr>
                <w:p w14:paraId="53D1CF27" w14:textId="77777777" w:rsidR="001861DC" w:rsidRPr="009D7A3A" w:rsidRDefault="001861DC" w:rsidP="002E0516">
                  <w:pPr>
                    <w:widowControl w:val="0"/>
                    <w:jc w:val="center"/>
                    <w:rPr>
                      <w:sz w:val="14"/>
                      <w:szCs w:val="18"/>
                    </w:rPr>
                  </w:pPr>
                  <w:r w:rsidRPr="009D7A3A">
                    <w:rPr>
                      <w:sz w:val="14"/>
                      <w:szCs w:val="18"/>
                    </w:rPr>
                    <w:t>5</w:t>
                  </w:r>
                  <w:r>
                    <w:rPr>
                      <w:sz w:val="14"/>
                      <w:szCs w:val="18"/>
                    </w:rPr>
                    <w:t>0</w:t>
                  </w:r>
                </w:p>
              </w:tc>
              <w:tc>
                <w:tcPr>
                  <w:tcW w:w="660" w:type="dxa"/>
                  <w:vAlign w:val="bottom"/>
                </w:tcPr>
                <w:p w14:paraId="3304E9A7" w14:textId="77777777" w:rsidR="001861DC" w:rsidRPr="009D7A3A" w:rsidRDefault="001861DC" w:rsidP="002E0516">
                  <w:pPr>
                    <w:widowControl w:val="0"/>
                    <w:jc w:val="center"/>
                    <w:rPr>
                      <w:sz w:val="14"/>
                      <w:szCs w:val="18"/>
                    </w:rPr>
                  </w:pPr>
                  <w:r>
                    <w:rPr>
                      <w:sz w:val="14"/>
                      <w:szCs w:val="18"/>
                    </w:rPr>
                    <w:t>68</w:t>
                  </w:r>
                </w:p>
              </w:tc>
            </w:tr>
            <w:tr w:rsidR="001861DC" w:rsidRPr="009D7A3A" w14:paraId="026F8F05" w14:textId="77777777" w:rsidTr="002E0516">
              <w:tc>
                <w:tcPr>
                  <w:tcW w:w="658" w:type="dxa"/>
                  <w:vAlign w:val="bottom"/>
                </w:tcPr>
                <w:p w14:paraId="1D4A7AAB" w14:textId="77777777" w:rsidR="001861DC" w:rsidRPr="009D7A3A" w:rsidRDefault="001861DC" w:rsidP="002E0516">
                  <w:pPr>
                    <w:widowControl w:val="0"/>
                    <w:jc w:val="center"/>
                    <w:rPr>
                      <w:sz w:val="14"/>
                      <w:szCs w:val="18"/>
                    </w:rPr>
                  </w:pPr>
                  <w:r w:rsidRPr="009D7A3A">
                    <w:rPr>
                      <w:sz w:val="14"/>
                      <w:szCs w:val="18"/>
                    </w:rPr>
                    <w:t>2012</w:t>
                  </w:r>
                </w:p>
              </w:tc>
              <w:tc>
                <w:tcPr>
                  <w:tcW w:w="737" w:type="dxa"/>
                  <w:vAlign w:val="bottom"/>
                </w:tcPr>
                <w:p w14:paraId="4D50B136" w14:textId="77777777" w:rsidR="001861DC" w:rsidRPr="009D7A3A" w:rsidRDefault="001861DC" w:rsidP="002E0516">
                  <w:pPr>
                    <w:widowControl w:val="0"/>
                    <w:jc w:val="center"/>
                    <w:rPr>
                      <w:sz w:val="14"/>
                      <w:szCs w:val="18"/>
                    </w:rPr>
                  </w:pPr>
                  <w:r w:rsidRPr="009D7A3A">
                    <w:rPr>
                      <w:sz w:val="14"/>
                      <w:szCs w:val="18"/>
                    </w:rPr>
                    <w:t>50</w:t>
                  </w:r>
                </w:p>
              </w:tc>
              <w:tc>
                <w:tcPr>
                  <w:tcW w:w="631" w:type="dxa"/>
                  <w:vAlign w:val="bottom"/>
                </w:tcPr>
                <w:p w14:paraId="2BAB3C36" w14:textId="77777777" w:rsidR="001861DC" w:rsidRPr="009D7A3A" w:rsidRDefault="001861DC" w:rsidP="002E0516">
                  <w:pPr>
                    <w:widowControl w:val="0"/>
                    <w:jc w:val="center"/>
                    <w:rPr>
                      <w:sz w:val="14"/>
                      <w:szCs w:val="18"/>
                    </w:rPr>
                  </w:pPr>
                  <w:r w:rsidRPr="009D7A3A">
                    <w:rPr>
                      <w:sz w:val="14"/>
                      <w:szCs w:val="18"/>
                    </w:rPr>
                    <w:t>5</w:t>
                  </w:r>
                  <w:r>
                    <w:rPr>
                      <w:sz w:val="14"/>
                      <w:szCs w:val="18"/>
                    </w:rPr>
                    <w:t>0</w:t>
                  </w:r>
                </w:p>
              </w:tc>
              <w:tc>
                <w:tcPr>
                  <w:tcW w:w="660" w:type="dxa"/>
                  <w:vAlign w:val="bottom"/>
                </w:tcPr>
                <w:p w14:paraId="6331A40E" w14:textId="77777777" w:rsidR="001861DC" w:rsidRPr="009D7A3A" w:rsidRDefault="001861DC" w:rsidP="002E0516">
                  <w:pPr>
                    <w:widowControl w:val="0"/>
                    <w:jc w:val="center"/>
                    <w:rPr>
                      <w:sz w:val="14"/>
                      <w:szCs w:val="18"/>
                    </w:rPr>
                  </w:pPr>
                  <w:r>
                    <w:rPr>
                      <w:sz w:val="14"/>
                      <w:szCs w:val="18"/>
                    </w:rPr>
                    <w:t>66</w:t>
                  </w:r>
                </w:p>
              </w:tc>
            </w:tr>
            <w:tr w:rsidR="001861DC" w:rsidRPr="009D7A3A" w14:paraId="23933F8F" w14:textId="77777777" w:rsidTr="002E0516">
              <w:tc>
                <w:tcPr>
                  <w:tcW w:w="658" w:type="dxa"/>
                  <w:vAlign w:val="bottom"/>
                </w:tcPr>
                <w:p w14:paraId="0CCE75CE" w14:textId="77777777" w:rsidR="001861DC" w:rsidRPr="009D7A3A" w:rsidRDefault="001861DC" w:rsidP="002E0516">
                  <w:pPr>
                    <w:widowControl w:val="0"/>
                    <w:jc w:val="center"/>
                    <w:rPr>
                      <w:sz w:val="14"/>
                      <w:szCs w:val="18"/>
                    </w:rPr>
                  </w:pPr>
                  <w:r w:rsidRPr="009D7A3A">
                    <w:rPr>
                      <w:sz w:val="14"/>
                      <w:szCs w:val="18"/>
                    </w:rPr>
                    <w:t>2013</w:t>
                  </w:r>
                </w:p>
              </w:tc>
              <w:tc>
                <w:tcPr>
                  <w:tcW w:w="737" w:type="dxa"/>
                  <w:vAlign w:val="bottom"/>
                </w:tcPr>
                <w:p w14:paraId="678A2226" w14:textId="77777777" w:rsidR="001861DC" w:rsidRPr="009D7A3A" w:rsidRDefault="001861DC" w:rsidP="002E0516">
                  <w:pPr>
                    <w:widowControl w:val="0"/>
                    <w:jc w:val="center"/>
                    <w:rPr>
                      <w:sz w:val="14"/>
                      <w:szCs w:val="18"/>
                    </w:rPr>
                  </w:pPr>
                  <w:r w:rsidRPr="009D7A3A">
                    <w:rPr>
                      <w:sz w:val="14"/>
                      <w:szCs w:val="18"/>
                    </w:rPr>
                    <w:t>50</w:t>
                  </w:r>
                </w:p>
              </w:tc>
              <w:tc>
                <w:tcPr>
                  <w:tcW w:w="631" w:type="dxa"/>
                  <w:vAlign w:val="bottom"/>
                </w:tcPr>
                <w:p w14:paraId="394CF31F" w14:textId="77777777" w:rsidR="001861DC" w:rsidRPr="009D7A3A" w:rsidRDefault="001861DC" w:rsidP="002E0516">
                  <w:pPr>
                    <w:widowControl w:val="0"/>
                    <w:jc w:val="center"/>
                    <w:rPr>
                      <w:sz w:val="14"/>
                      <w:szCs w:val="18"/>
                    </w:rPr>
                  </w:pPr>
                  <w:r w:rsidRPr="009D7A3A">
                    <w:rPr>
                      <w:sz w:val="14"/>
                      <w:szCs w:val="18"/>
                    </w:rPr>
                    <w:t>5</w:t>
                  </w:r>
                  <w:r>
                    <w:rPr>
                      <w:sz w:val="14"/>
                      <w:szCs w:val="18"/>
                    </w:rPr>
                    <w:t>0</w:t>
                  </w:r>
                </w:p>
              </w:tc>
              <w:tc>
                <w:tcPr>
                  <w:tcW w:w="660" w:type="dxa"/>
                  <w:vAlign w:val="bottom"/>
                </w:tcPr>
                <w:p w14:paraId="5817C952" w14:textId="77777777" w:rsidR="001861DC" w:rsidRPr="009D7A3A" w:rsidRDefault="001861DC" w:rsidP="002E0516">
                  <w:pPr>
                    <w:widowControl w:val="0"/>
                    <w:jc w:val="center"/>
                    <w:rPr>
                      <w:sz w:val="14"/>
                      <w:szCs w:val="18"/>
                    </w:rPr>
                  </w:pPr>
                  <w:r>
                    <w:rPr>
                      <w:sz w:val="14"/>
                      <w:szCs w:val="18"/>
                    </w:rPr>
                    <w:t>64</w:t>
                  </w:r>
                </w:p>
              </w:tc>
            </w:tr>
            <w:tr w:rsidR="001861DC" w:rsidRPr="009D7A3A" w14:paraId="6718C780" w14:textId="77777777" w:rsidTr="002E0516">
              <w:tc>
                <w:tcPr>
                  <w:tcW w:w="658" w:type="dxa"/>
                  <w:vAlign w:val="bottom"/>
                </w:tcPr>
                <w:p w14:paraId="62FA1296" w14:textId="77777777" w:rsidR="001861DC" w:rsidRPr="009D7A3A" w:rsidRDefault="001861DC" w:rsidP="002E0516">
                  <w:pPr>
                    <w:widowControl w:val="0"/>
                    <w:jc w:val="center"/>
                    <w:rPr>
                      <w:sz w:val="14"/>
                      <w:szCs w:val="18"/>
                    </w:rPr>
                  </w:pPr>
                  <w:r w:rsidRPr="009D7A3A">
                    <w:rPr>
                      <w:sz w:val="14"/>
                      <w:szCs w:val="18"/>
                    </w:rPr>
                    <w:t>2014</w:t>
                  </w:r>
                </w:p>
              </w:tc>
              <w:tc>
                <w:tcPr>
                  <w:tcW w:w="737" w:type="dxa"/>
                  <w:vAlign w:val="bottom"/>
                </w:tcPr>
                <w:p w14:paraId="2EA7E2D4" w14:textId="77777777" w:rsidR="001861DC" w:rsidRPr="009D7A3A" w:rsidRDefault="001861DC" w:rsidP="002E0516">
                  <w:pPr>
                    <w:widowControl w:val="0"/>
                    <w:jc w:val="center"/>
                    <w:rPr>
                      <w:sz w:val="14"/>
                      <w:szCs w:val="18"/>
                    </w:rPr>
                  </w:pPr>
                  <w:r w:rsidRPr="009D7A3A">
                    <w:rPr>
                      <w:sz w:val="14"/>
                      <w:szCs w:val="18"/>
                    </w:rPr>
                    <w:t>50</w:t>
                  </w:r>
                </w:p>
              </w:tc>
              <w:tc>
                <w:tcPr>
                  <w:tcW w:w="631" w:type="dxa"/>
                  <w:vAlign w:val="bottom"/>
                </w:tcPr>
                <w:p w14:paraId="79B5ACCA" w14:textId="77777777" w:rsidR="001861DC" w:rsidRPr="009D7A3A" w:rsidRDefault="001861DC" w:rsidP="002E0516">
                  <w:pPr>
                    <w:widowControl w:val="0"/>
                    <w:jc w:val="center"/>
                    <w:rPr>
                      <w:sz w:val="14"/>
                      <w:szCs w:val="18"/>
                    </w:rPr>
                  </w:pPr>
                  <w:r w:rsidRPr="009D7A3A">
                    <w:rPr>
                      <w:sz w:val="14"/>
                      <w:szCs w:val="18"/>
                    </w:rPr>
                    <w:t>5</w:t>
                  </w:r>
                  <w:r>
                    <w:rPr>
                      <w:sz w:val="14"/>
                      <w:szCs w:val="18"/>
                    </w:rPr>
                    <w:t>0</w:t>
                  </w:r>
                </w:p>
              </w:tc>
              <w:tc>
                <w:tcPr>
                  <w:tcW w:w="660" w:type="dxa"/>
                  <w:vAlign w:val="bottom"/>
                </w:tcPr>
                <w:p w14:paraId="49B2B00D" w14:textId="77777777" w:rsidR="001861DC" w:rsidRPr="009D7A3A" w:rsidRDefault="001861DC" w:rsidP="002E0516">
                  <w:pPr>
                    <w:widowControl w:val="0"/>
                    <w:jc w:val="center"/>
                    <w:rPr>
                      <w:sz w:val="14"/>
                      <w:szCs w:val="18"/>
                    </w:rPr>
                  </w:pPr>
                  <w:r>
                    <w:rPr>
                      <w:sz w:val="14"/>
                      <w:szCs w:val="18"/>
                    </w:rPr>
                    <w:t>62</w:t>
                  </w:r>
                </w:p>
              </w:tc>
            </w:tr>
            <w:tr w:rsidR="001861DC" w:rsidRPr="009D7A3A" w14:paraId="7DF42E65" w14:textId="77777777" w:rsidTr="002E0516">
              <w:tc>
                <w:tcPr>
                  <w:tcW w:w="658" w:type="dxa"/>
                  <w:vAlign w:val="bottom"/>
                </w:tcPr>
                <w:p w14:paraId="3CAA5F1A" w14:textId="77777777" w:rsidR="001861DC" w:rsidRPr="009D7A3A" w:rsidRDefault="001861DC" w:rsidP="002E0516">
                  <w:pPr>
                    <w:widowControl w:val="0"/>
                    <w:jc w:val="center"/>
                    <w:rPr>
                      <w:sz w:val="14"/>
                      <w:szCs w:val="18"/>
                    </w:rPr>
                  </w:pPr>
                  <w:r w:rsidRPr="009D7A3A">
                    <w:rPr>
                      <w:sz w:val="14"/>
                      <w:szCs w:val="18"/>
                    </w:rPr>
                    <w:t>2015</w:t>
                  </w:r>
                </w:p>
              </w:tc>
              <w:tc>
                <w:tcPr>
                  <w:tcW w:w="737" w:type="dxa"/>
                  <w:vAlign w:val="bottom"/>
                </w:tcPr>
                <w:p w14:paraId="6F0F4DF8" w14:textId="77777777" w:rsidR="001861DC" w:rsidRPr="009D7A3A" w:rsidRDefault="001861DC" w:rsidP="002E0516">
                  <w:pPr>
                    <w:widowControl w:val="0"/>
                    <w:jc w:val="center"/>
                    <w:rPr>
                      <w:sz w:val="14"/>
                      <w:szCs w:val="18"/>
                    </w:rPr>
                  </w:pPr>
                  <w:r w:rsidRPr="009D7A3A">
                    <w:rPr>
                      <w:sz w:val="14"/>
                      <w:szCs w:val="18"/>
                    </w:rPr>
                    <w:t>50</w:t>
                  </w:r>
                </w:p>
              </w:tc>
              <w:tc>
                <w:tcPr>
                  <w:tcW w:w="631" w:type="dxa"/>
                  <w:vAlign w:val="bottom"/>
                </w:tcPr>
                <w:p w14:paraId="392F2804" w14:textId="77777777" w:rsidR="001861DC" w:rsidRPr="009D7A3A" w:rsidRDefault="001861DC" w:rsidP="002E0516">
                  <w:pPr>
                    <w:widowControl w:val="0"/>
                    <w:jc w:val="center"/>
                    <w:rPr>
                      <w:sz w:val="14"/>
                      <w:szCs w:val="18"/>
                    </w:rPr>
                  </w:pPr>
                  <w:r w:rsidRPr="009D7A3A">
                    <w:rPr>
                      <w:sz w:val="14"/>
                      <w:szCs w:val="18"/>
                    </w:rPr>
                    <w:t>5</w:t>
                  </w:r>
                  <w:r>
                    <w:rPr>
                      <w:sz w:val="14"/>
                      <w:szCs w:val="18"/>
                    </w:rPr>
                    <w:t>0</w:t>
                  </w:r>
                </w:p>
              </w:tc>
              <w:tc>
                <w:tcPr>
                  <w:tcW w:w="660" w:type="dxa"/>
                  <w:vAlign w:val="bottom"/>
                </w:tcPr>
                <w:p w14:paraId="611F0448" w14:textId="77777777" w:rsidR="001861DC" w:rsidRPr="009D7A3A" w:rsidRDefault="001861DC" w:rsidP="002E0516">
                  <w:pPr>
                    <w:widowControl w:val="0"/>
                    <w:jc w:val="center"/>
                    <w:rPr>
                      <w:sz w:val="14"/>
                      <w:szCs w:val="18"/>
                    </w:rPr>
                  </w:pPr>
                  <w:r>
                    <w:rPr>
                      <w:sz w:val="14"/>
                      <w:szCs w:val="18"/>
                    </w:rPr>
                    <w:t>60</w:t>
                  </w:r>
                </w:p>
              </w:tc>
            </w:tr>
          </w:tbl>
          <w:p w14:paraId="1BA4DCA5" w14:textId="77777777" w:rsidR="001861DC" w:rsidRDefault="001861DC" w:rsidP="002E0516"/>
        </w:tc>
        <w:tc>
          <w:tcPr>
            <w:tcW w:w="4556" w:type="dxa"/>
          </w:tcPr>
          <w:tbl>
            <w:tblPr>
              <w:tblStyle w:val="Tablaconcuadrcula"/>
              <w:tblpPr w:leftFromText="141" w:rightFromText="141" w:vertAnchor="page" w:horzAnchor="margin" w:tblpY="301"/>
              <w:tblOverlap w:val="never"/>
              <w:tblW w:w="4330" w:type="dxa"/>
              <w:tblLook w:val="04A0" w:firstRow="1" w:lastRow="0" w:firstColumn="1" w:lastColumn="0" w:noHBand="0" w:noVBand="1"/>
            </w:tblPr>
            <w:tblGrid>
              <w:gridCol w:w="1167"/>
              <w:gridCol w:w="764"/>
              <w:gridCol w:w="709"/>
              <w:gridCol w:w="981"/>
              <w:gridCol w:w="709"/>
            </w:tblGrid>
            <w:tr w:rsidR="001861DC" w:rsidRPr="00F71B46" w14:paraId="4C93113D" w14:textId="77777777" w:rsidTr="002E0516">
              <w:trPr>
                <w:trHeight w:val="85"/>
              </w:trPr>
              <w:tc>
                <w:tcPr>
                  <w:tcW w:w="1167" w:type="dxa"/>
                  <w:shd w:val="clear" w:color="auto" w:fill="D9D9D9" w:themeFill="background1" w:themeFillShade="D9"/>
                  <w:noWrap/>
                  <w:hideMark/>
                </w:tcPr>
                <w:p w14:paraId="1EB15479" w14:textId="77777777" w:rsidR="001861DC" w:rsidRPr="00F71B46" w:rsidRDefault="001861DC" w:rsidP="002E0516">
                  <w:pPr>
                    <w:jc w:val="left"/>
                    <w:rPr>
                      <w:b/>
                      <w:bCs/>
                      <w:sz w:val="16"/>
                    </w:rPr>
                  </w:pPr>
                  <w:r w:rsidRPr="00F71B46">
                    <w:rPr>
                      <w:b/>
                      <w:bCs/>
                      <w:sz w:val="16"/>
                    </w:rPr>
                    <w:t xml:space="preserve">A partir de: </w:t>
                  </w:r>
                </w:p>
              </w:tc>
              <w:tc>
                <w:tcPr>
                  <w:tcW w:w="764" w:type="dxa"/>
                  <w:shd w:val="clear" w:color="auto" w:fill="D9D9D9" w:themeFill="background1" w:themeFillShade="D9"/>
                  <w:noWrap/>
                  <w:hideMark/>
                </w:tcPr>
                <w:p w14:paraId="14027815" w14:textId="77777777" w:rsidR="001861DC" w:rsidRPr="00F71B46" w:rsidRDefault="001861DC" w:rsidP="002E0516">
                  <w:pPr>
                    <w:rPr>
                      <w:b/>
                      <w:bCs/>
                      <w:sz w:val="16"/>
                    </w:rPr>
                  </w:pPr>
                  <w:r w:rsidRPr="00F71B46">
                    <w:rPr>
                      <w:b/>
                      <w:bCs/>
                      <w:sz w:val="16"/>
                    </w:rPr>
                    <w:t xml:space="preserve">% ROP </w:t>
                  </w:r>
                </w:p>
              </w:tc>
              <w:tc>
                <w:tcPr>
                  <w:tcW w:w="709" w:type="dxa"/>
                  <w:shd w:val="clear" w:color="auto" w:fill="D9D9D9" w:themeFill="background1" w:themeFillShade="D9"/>
                  <w:noWrap/>
                  <w:hideMark/>
                </w:tcPr>
                <w:p w14:paraId="3DC5741A" w14:textId="77777777" w:rsidR="001861DC" w:rsidRPr="00F71B46" w:rsidRDefault="001861DC" w:rsidP="002E0516">
                  <w:pPr>
                    <w:rPr>
                      <w:b/>
                      <w:bCs/>
                      <w:sz w:val="16"/>
                    </w:rPr>
                  </w:pPr>
                  <w:r w:rsidRPr="00F71B46">
                    <w:rPr>
                      <w:b/>
                      <w:bCs/>
                      <w:sz w:val="16"/>
                    </w:rPr>
                    <w:t xml:space="preserve">% FCL </w:t>
                  </w:r>
                </w:p>
              </w:tc>
              <w:tc>
                <w:tcPr>
                  <w:tcW w:w="981" w:type="dxa"/>
                  <w:shd w:val="clear" w:color="auto" w:fill="D9D9D9" w:themeFill="background1" w:themeFillShade="D9"/>
                  <w:noWrap/>
                  <w:hideMark/>
                </w:tcPr>
                <w:p w14:paraId="5B03E54E" w14:textId="77777777" w:rsidR="001861DC" w:rsidRPr="00F71B46" w:rsidRDefault="001861DC" w:rsidP="002E0516">
                  <w:pPr>
                    <w:rPr>
                      <w:b/>
                      <w:bCs/>
                      <w:sz w:val="16"/>
                    </w:rPr>
                  </w:pPr>
                  <w:r w:rsidRPr="00F71B46">
                    <w:rPr>
                      <w:b/>
                      <w:bCs/>
                      <w:sz w:val="16"/>
                    </w:rPr>
                    <w:t xml:space="preserve"> % RVPC</w:t>
                  </w:r>
                </w:p>
              </w:tc>
              <w:tc>
                <w:tcPr>
                  <w:tcW w:w="709" w:type="dxa"/>
                  <w:shd w:val="clear" w:color="auto" w:fill="D9D9D9" w:themeFill="background1" w:themeFillShade="D9"/>
                  <w:noWrap/>
                  <w:hideMark/>
                </w:tcPr>
                <w:p w14:paraId="3F80D5B3" w14:textId="77777777" w:rsidR="001861DC" w:rsidRPr="00F71B46" w:rsidRDefault="001861DC" w:rsidP="002E0516">
                  <w:pPr>
                    <w:rPr>
                      <w:b/>
                      <w:bCs/>
                      <w:sz w:val="16"/>
                    </w:rPr>
                  </w:pPr>
                  <w:r w:rsidRPr="00F71B46">
                    <w:rPr>
                      <w:b/>
                      <w:bCs/>
                      <w:sz w:val="16"/>
                    </w:rPr>
                    <w:t>% RE</w:t>
                  </w:r>
                </w:p>
              </w:tc>
            </w:tr>
            <w:tr w:rsidR="001861DC" w:rsidRPr="00F71B46" w14:paraId="606F89F3" w14:textId="77777777" w:rsidTr="002E0516">
              <w:trPr>
                <w:trHeight w:val="74"/>
              </w:trPr>
              <w:tc>
                <w:tcPr>
                  <w:tcW w:w="1167" w:type="dxa"/>
                  <w:noWrap/>
                  <w:hideMark/>
                </w:tcPr>
                <w:p w14:paraId="41092980" w14:textId="77777777" w:rsidR="001861DC" w:rsidRPr="00F71B46" w:rsidRDefault="001861DC" w:rsidP="002E0516">
                  <w:pPr>
                    <w:rPr>
                      <w:sz w:val="16"/>
                    </w:rPr>
                  </w:pPr>
                  <w:r w:rsidRPr="00F71B46">
                    <w:rPr>
                      <w:sz w:val="16"/>
                    </w:rPr>
                    <w:t xml:space="preserve">La vigencia </w:t>
                  </w:r>
                </w:p>
              </w:tc>
              <w:tc>
                <w:tcPr>
                  <w:tcW w:w="764" w:type="dxa"/>
                  <w:noWrap/>
                  <w:hideMark/>
                </w:tcPr>
                <w:p w14:paraId="1789F343" w14:textId="77777777" w:rsidR="001861DC" w:rsidRPr="00F71B46" w:rsidRDefault="001861DC" w:rsidP="002E0516">
                  <w:pPr>
                    <w:jc w:val="center"/>
                    <w:rPr>
                      <w:sz w:val="16"/>
                    </w:rPr>
                  </w:pPr>
                  <w:r w:rsidRPr="00F71B46">
                    <w:rPr>
                      <w:sz w:val="16"/>
                    </w:rPr>
                    <w:t>64,00</w:t>
                  </w:r>
                </w:p>
              </w:tc>
              <w:tc>
                <w:tcPr>
                  <w:tcW w:w="709" w:type="dxa"/>
                  <w:noWrap/>
                  <w:hideMark/>
                </w:tcPr>
                <w:p w14:paraId="22460A10" w14:textId="77777777" w:rsidR="001861DC" w:rsidRPr="00F71B46" w:rsidRDefault="001861DC" w:rsidP="002E0516">
                  <w:pPr>
                    <w:jc w:val="center"/>
                    <w:rPr>
                      <w:sz w:val="16"/>
                    </w:rPr>
                  </w:pPr>
                  <w:r w:rsidRPr="00F71B46">
                    <w:rPr>
                      <w:sz w:val="16"/>
                    </w:rPr>
                    <w:t>59,00</w:t>
                  </w:r>
                </w:p>
              </w:tc>
              <w:tc>
                <w:tcPr>
                  <w:tcW w:w="981" w:type="dxa"/>
                  <w:noWrap/>
                  <w:hideMark/>
                </w:tcPr>
                <w:p w14:paraId="73FCCE8B" w14:textId="77777777" w:rsidR="001861DC" w:rsidRPr="00F71B46" w:rsidRDefault="001861DC" w:rsidP="002E0516">
                  <w:pPr>
                    <w:jc w:val="center"/>
                    <w:rPr>
                      <w:sz w:val="16"/>
                    </w:rPr>
                  </w:pPr>
                  <w:r w:rsidRPr="00F71B46">
                    <w:rPr>
                      <w:sz w:val="16"/>
                    </w:rPr>
                    <w:t>64,00</w:t>
                  </w:r>
                </w:p>
              </w:tc>
              <w:tc>
                <w:tcPr>
                  <w:tcW w:w="709" w:type="dxa"/>
                  <w:noWrap/>
                  <w:hideMark/>
                </w:tcPr>
                <w:p w14:paraId="448C9651" w14:textId="77777777" w:rsidR="001861DC" w:rsidRPr="00F71B46" w:rsidRDefault="001861DC" w:rsidP="002E0516">
                  <w:pPr>
                    <w:jc w:val="center"/>
                    <w:rPr>
                      <w:sz w:val="16"/>
                    </w:rPr>
                  </w:pPr>
                  <w:r w:rsidRPr="00F71B46">
                    <w:rPr>
                      <w:sz w:val="16"/>
                    </w:rPr>
                    <w:t>69,00</w:t>
                  </w:r>
                </w:p>
              </w:tc>
            </w:tr>
            <w:tr w:rsidR="001861DC" w:rsidRPr="00F71B46" w14:paraId="21147029" w14:textId="77777777" w:rsidTr="002E0516">
              <w:trPr>
                <w:trHeight w:val="70"/>
              </w:trPr>
              <w:tc>
                <w:tcPr>
                  <w:tcW w:w="1167" w:type="dxa"/>
                  <w:noWrap/>
                  <w:hideMark/>
                </w:tcPr>
                <w:p w14:paraId="320C1807" w14:textId="77777777" w:rsidR="001861DC" w:rsidRPr="00F71B46" w:rsidRDefault="001861DC" w:rsidP="002E0516">
                  <w:pPr>
                    <w:rPr>
                      <w:sz w:val="16"/>
                    </w:rPr>
                  </w:pPr>
                  <w:r w:rsidRPr="00F71B46">
                    <w:rPr>
                      <w:sz w:val="16"/>
                    </w:rPr>
                    <w:t>31/12/2015</w:t>
                  </w:r>
                </w:p>
              </w:tc>
              <w:tc>
                <w:tcPr>
                  <w:tcW w:w="764" w:type="dxa"/>
                  <w:noWrap/>
                  <w:hideMark/>
                </w:tcPr>
                <w:p w14:paraId="15029BD6" w14:textId="77777777" w:rsidR="001861DC" w:rsidRPr="00F71B46" w:rsidRDefault="001861DC" w:rsidP="002E0516">
                  <w:pPr>
                    <w:jc w:val="center"/>
                    <w:rPr>
                      <w:sz w:val="16"/>
                    </w:rPr>
                  </w:pPr>
                  <w:r w:rsidRPr="00F71B46">
                    <w:rPr>
                      <w:sz w:val="16"/>
                    </w:rPr>
                    <w:t>62,50</w:t>
                  </w:r>
                </w:p>
              </w:tc>
              <w:tc>
                <w:tcPr>
                  <w:tcW w:w="709" w:type="dxa"/>
                  <w:noWrap/>
                  <w:hideMark/>
                </w:tcPr>
                <w:p w14:paraId="20212BAC" w14:textId="77777777" w:rsidR="001861DC" w:rsidRPr="00F71B46" w:rsidRDefault="001861DC" w:rsidP="002E0516">
                  <w:pPr>
                    <w:jc w:val="center"/>
                    <w:rPr>
                      <w:sz w:val="16"/>
                    </w:rPr>
                  </w:pPr>
                  <w:r w:rsidRPr="00F71B46">
                    <w:rPr>
                      <w:sz w:val="16"/>
                    </w:rPr>
                    <w:t>57,50</w:t>
                  </w:r>
                </w:p>
              </w:tc>
              <w:tc>
                <w:tcPr>
                  <w:tcW w:w="981" w:type="dxa"/>
                  <w:noWrap/>
                  <w:hideMark/>
                </w:tcPr>
                <w:p w14:paraId="3395318A" w14:textId="77777777" w:rsidR="001861DC" w:rsidRPr="00F71B46" w:rsidRDefault="001861DC" w:rsidP="002E0516">
                  <w:pPr>
                    <w:jc w:val="center"/>
                    <w:rPr>
                      <w:sz w:val="16"/>
                    </w:rPr>
                  </w:pPr>
                  <w:r w:rsidRPr="00F71B46">
                    <w:rPr>
                      <w:sz w:val="16"/>
                    </w:rPr>
                    <w:t>62,50</w:t>
                  </w:r>
                </w:p>
              </w:tc>
              <w:tc>
                <w:tcPr>
                  <w:tcW w:w="709" w:type="dxa"/>
                  <w:noWrap/>
                  <w:hideMark/>
                </w:tcPr>
                <w:p w14:paraId="7D9A3C9E" w14:textId="77777777" w:rsidR="001861DC" w:rsidRPr="00F71B46" w:rsidRDefault="001861DC" w:rsidP="002E0516">
                  <w:pPr>
                    <w:jc w:val="center"/>
                    <w:rPr>
                      <w:sz w:val="16"/>
                    </w:rPr>
                  </w:pPr>
                  <w:r w:rsidRPr="00F71B46">
                    <w:rPr>
                      <w:sz w:val="16"/>
                    </w:rPr>
                    <w:t>67,50</w:t>
                  </w:r>
                </w:p>
              </w:tc>
            </w:tr>
            <w:tr w:rsidR="001861DC" w:rsidRPr="00F71B46" w14:paraId="22D1B7BB" w14:textId="77777777" w:rsidTr="002E0516">
              <w:trPr>
                <w:trHeight w:val="70"/>
              </w:trPr>
              <w:tc>
                <w:tcPr>
                  <w:tcW w:w="1167" w:type="dxa"/>
                  <w:noWrap/>
                  <w:hideMark/>
                </w:tcPr>
                <w:p w14:paraId="281FAAFD" w14:textId="77777777" w:rsidR="001861DC" w:rsidRPr="00F71B46" w:rsidRDefault="001861DC" w:rsidP="002E0516">
                  <w:pPr>
                    <w:rPr>
                      <w:sz w:val="16"/>
                    </w:rPr>
                  </w:pPr>
                  <w:r w:rsidRPr="00F71B46">
                    <w:rPr>
                      <w:sz w:val="16"/>
                    </w:rPr>
                    <w:t>30/06/2016</w:t>
                  </w:r>
                </w:p>
              </w:tc>
              <w:tc>
                <w:tcPr>
                  <w:tcW w:w="764" w:type="dxa"/>
                  <w:noWrap/>
                  <w:hideMark/>
                </w:tcPr>
                <w:p w14:paraId="61EF7A6F" w14:textId="77777777" w:rsidR="001861DC" w:rsidRPr="00F71B46" w:rsidRDefault="001861DC" w:rsidP="002E0516">
                  <w:pPr>
                    <w:jc w:val="center"/>
                    <w:rPr>
                      <w:sz w:val="16"/>
                    </w:rPr>
                  </w:pPr>
                  <w:r w:rsidRPr="00F71B46">
                    <w:rPr>
                      <w:sz w:val="16"/>
                    </w:rPr>
                    <w:t>61,00</w:t>
                  </w:r>
                </w:p>
              </w:tc>
              <w:tc>
                <w:tcPr>
                  <w:tcW w:w="709" w:type="dxa"/>
                  <w:noWrap/>
                  <w:hideMark/>
                </w:tcPr>
                <w:p w14:paraId="3B38DBF3" w14:textId="77777777" w:rsidR="001861DC" w:rsidRPr="00F71B46" w:rsidRDefault="001861DC" w:rsidP="002E0516">
                  <w:pPr>
                    <w:jc w:val="center"/>
                    <w:rPr>
                      <w:sz w:val="16"/>
                    </w:rPr>
                  </w:pPr>
                  <w:r w:rsidRPr="00F71B46">
                    <w:rPr>
                      <w:sz w:val="16"/>
                    </w:rPr>
                    <w:t>56,00</w:t>
                  </w:r>
                </w:p>
              </w:tc>
              <w:tc>
                <w:tcPr>
                  <w:tcW w:w="981" w:type="dxa"/>
                  <w:noWrap/>
                  <w:hideMark/>
                </w:tcPr>
                <w:p w14:paraId="0F5ADB23" w14:textId="77777777" w:rsidR="001861DC" w:rsidRPr="00F71B46" w:rsidRDefault="001861DC" w:rsidP="002E0516">
                  <w:pPr>
                    <w:jc w:val="center"/>
                    <w:rPr>
                      <w:sz w:val="16"/>
                    </w:rPr>
                  </w:pPr>
                  <w:r w:rsidRPr="00F71B46">
                    <w:rPr>
                      <w:sz w:val="16"/>
                    </w:rPr>
                    <w:t>61,00</w:t>
                  </w:r>
                </w:p>
              </w:tc>
              <w:tc>
                <w:tcPr>
                  <w:tcW w:w="709" w:type="dxa"/>
                  <w:noWrap/>
                  <w:hideMark/>
                </w:tcPr>
                <w:p w14:paraId="2B9589BC" w14:textId="77777777" w:rsidR="001861DC" w:rsidRPr="00F71B46" w:rsidRDefault="001861DC" w:rsidP="002E0516">
                  <w:pPr>
                    <w:jc w:val="center"/>
                    <w:rPr>
                      <w:sz w:val="16"/>
                    </w:rPr>
                  </w:pPr>
                  <w:r w:rsidRPr="00F71B46">
                    <w:rPr>
                      <w:sz w:val="16"/>
                    </w:rPr>
                    <w:t>66,00</w:t>
                  </w:r>
                </w:p>
              </w:tc>
            </w:tr>
            <w:tr w:rsidR="001861DC" w:rsidRPr="00F71B46" w14:paraId="6E8CE6BB" w14:textId="77777777" w:rsidTr="002E0516">
              <w:trPr>
                <w:trHeight w:val="70"/>
              </w:trPr>
              <w:tc>
                <w:tcPr>
                  <w:tcW w:w="1167" w:type="dxa"/>
                  <w:noWrap/>
                  <w:hideMark/>
                </w:tcPr>
                <w:p w14:paraId="628250E1" w14:textId="77777777" w:rsidR="001861DC" w:rsidRPr="00F71B46" w:rsidRDefault="001861DC" w:rsidP="002E0516">
                  <w:pPr>
                    <w:rPr>
                      <w:sz w:val="16"/>
                    </w:rPr>
                  </w:pPr>
                  <w:r w:rsidRPr="00F71B46">
                    <w:rPr>
                      <w:sz w:val="16"/>
                    </w:rPr>
                    <w:t>31/12/2016</w:t>
                  </w:r>
                </w:p>
              </w:tc>
              <w:tc>
                <w:tcPr>
                  <w:tcW w:w="764" w:type="dxa"/>
                  <w:noWrap/>
                  <w:hideMark/>
                </w:tcPr>
                <w:p w14:paraId="3C65C0AC" w14:textId="77777777" w:rsidR="001861DC" w:rsidRPr="00F71B46" w:rsidRDefault="001861DC" w:rsidP="002E0516">
                  <w:pPr>
                    <w:jc w:val="center"/>
                    <w:rPr>
                      <w:sz w:val="16"/>
                    </w:rPr>
                  </w:pPr>
                  <w:r w:rsidRPr="00F71B46">
                    <w:rPr>
                      <w:sz w:val="16"/>
                    </w:rPr>
                    <w:t>59,50</w:t>
                  </w:r>
                </w:p>
              </w:tc>
              <w:tc>
                <w:tcPr>
                  <w:tcW w:w="709" w:type="dxa"/>
                  <w:noWrap/>
                  <w:hideMark/>
                </w:tcPr>
                <w:p w14:paraId="269D66C5" w14:textId="77777777" w:rsidR="001861DC" w:rsidRPr="00F71B46" w:rsidRDefault="001861DC" w:rsidP="002E0516">
                  <w:pPr>
                    <w:jc w:val="center"/>
                    <w:rPr>
                      <w:sz w:val="16"/>
                    </w:rPr>
                  </w:pPr>
                  <w:r w:rsidRPr="00F71B46">
                    <w:rPr>
                      <w:sz w:val="16"/>
                    </w:rPr>
                    <w:t>54,50</w:t>
                  </w:r>
                </w:p>
              </w:tc>
              <w:tc>
                <w:tcPr>
                  <w:tcW w:w="981" w:type="dxa"/>
                  <w:noWrap/>
                  <w:hideMark/>
                </w:tcPr>
                <w:p w14:paraId="7F7C56B3" w14:textId="77777777" w:rsidR="001861DC" w:rsidRPr="00F71B46" w:rsidRDefault="001861DC" w:rsidP="002E0516">
                  <w:pPr>
                    <w:jc w:val="center"/>
                    <w:rPr>
                      <w:sz w:val="16"/>
                    </w:rPr>
                  </w:pPr>
                  <w:r w:rsidRPr="00F71B46">
                    <w:rPr>
                      <w:sz w:val="16"/>
                    </w:rPr>
                    <w:t>59,50</w:t>
                  </w:r>
                </w:p>
              </w:tc>
              <w:tc>
                <w:tcPr>
                  <w:tcW w:w="709" w:type="dxa"/>
                  <w:noWrap/>
                  <w:hideMark/>
                </w:tcPr>
                <w:p w14:paraId="601707A3" w14:textId="77777777" w:rsidR="001861DC" w:rsidRPr="00F71B46" w:rsidRDefault="001861DC" w:rsidP="002E0516">
                  <w:pPr>
                    <w:jc w:val="center"/>
                    <w:rPr>
                      <w:sz w:val="16"/>
                    </w:rPr>
                  </w:pPr>
                  <w:r w:rsidRPr="00F71B46">
                    <w:rPr>
                      <w:sz w:val="16"/>
                    </w:rPr>
                    <w:t>63,50</w:t>
                  </w:r>
                </w:p>
              </w:tc>
            </w:tr>
            <w:tr w:rsidR="001861DC" w:rsidRPr="00F71B46" w14:paraId="47B298C3" w14:textId="77777777" w:rsidTr="002E0516">
              <w:trPr>
                <w:trHeight w:val="157"/>
              </w:trPr>
              <w:tc>
                <w:tcPr>
                  <w:tcW w:w="1167" w:type="dxa"/>
                  <w:noWrap/>
                  <w:hideMark/>
                </w:tcPr>
                <w:p w14:paraId="2E7C9111" w14:textId="77777777" w:rsidR="001861DC" w:rsidRPr="00F71B46" w:rsidRDefault="001861DC" w:rsidP="002E0516">
                  <w:pPr>
                    <w:rPr>
                      <w:sz w:val="16"/>
                    </w:rPr>
                  </w:pPr>
                  <w:r w:rsidRPr="00F71B46">
                    <w:rPr>
                      <w:sz w:val="16"/>
                    </w:rPr>
                    <w:t>30/06/2017</w:t>
                  </w:r>
                </w:p>
              </w:tc>
              <w:tc>
                <w:tcPr>
                  <w:tcW w:w="764" w:type="dxa"/>
                  <w:noWrap/>
                  <w:hideMark/>
                </w:tcPr>
                <w:p w14:paraId="7BD5F9D6" w14:textId="77777777" w:rsidR="001861DC" w:rsidRPr="00F71B46" w:rsidRDefault="001861DC" w:rsidP="002E0516">
                  <w:pPr>
                    <w:jc w:val="center"/>
                    <w:rPr>
                      <w:sz w:val="16"/>
                    </w:rPr>
                  </w:pPr>
                  <w:r w:rsidRPr="00F71B46">
                    <w:rPr>
                      <w:sz w:val="16"/>
                    </w:rPr>
                    <w:t>58,00</w:t>
                  </w:r>
                </w:p>
              </w:tc>
              <w:tc>
                <w:tcPr>
                  <w:tcW w:w="709" w:type="dxa"/>
                  <w:noWrap/>
                  <w:hideMark/>
                </w:tcPr>
                <w:p w14:paraId="5ADE7D94" w14:textId="77777777" w:rsidR="001861DC" w:rsidRPr="00F71B46" w:rsidRDefault="001861DC" w:rsidP="002E0516">
                  <w:pPr>
                    <w:jc w:val="center"/>
                    <w:rPr>
                      <w:sz w:val="16"/>
                    </w:rPr>
                  </w:pPr>
                  <w:r w:rsidRPr="00F71B46">
                    <w:rPr>
                      <w:sz w:val="16"/>
                    </w:rPr>
                    <w:t>53,00</w:t>
                  </w:r>
                </w:p>
              </w:tc>
              <w:tc>
                <w:tcPr>
                  <w:tcW w:w="981" w:type="dxa"/>
                  <w:noWrap/>
                  <w:hideMark/>
                </w:tcPr>
                <w:p w14:paraId="248473E7" w14:textId="77777777" w:rsidR="001861DC" w:rsidRPr="00F71B46" w:rsidRDefault="001861DC" w:rsidP="002E0516">
                  <w:pPr>
                    <w:jc w:val="center"/>
                    <w:rPr>
                      <w:sz w:val="16"/>
                    </w:rPr>
                  </w:pPr>
                  <w:r w:rsidRPr="00F71B46">
                    <w:rPr>
                      <w:sz w:val="16"/>
                    </w:rPr>
                    <w:t>58,00</w:t>
                  </w:r>
                </w:p>
              </w:tc>
              <w:tc>
                <w:tcPr>
                  <w:tcW w:w="709" w:type="dxa"/>
                  <w:noWrap/>
                  <w:hideMark/>
                </w:tcPr>
                <w:p w14:paraId="085F364B" w14:textId="77777777" w:rsidR="001861DC" w:rsidRPr="00F71B46" w:rsidRDefault="001861DC" w:rsidP="002E0516">
                  <w:pPr>
                    <w:jc w:val="center"/>
                    <w:rPr>
                      <w:sz w:val="16"/>
                    </w:rPr>
                  </w:pPr>
                  <w:r w:rsidRPr="00F71B46">
                    <w:rPr>
                      <w:sz w:val="16"/>
                    </w:rPr>
                    <w:t>61,00</w:t>
                  </w:r>
                </w:p>
              </w:tc>
            </w:tr>
            <w:tr w:rsidR="001861DC" w:rsidRPr="00F71B46" w14:paraId="3F32DD02" w14:textId="77777777" w:rsidTr="002E0516">
              <w:trPr>
                <w:trHeight w:val="131"/>
              </w:trPr>
              <w:tc>
                <w:tcPr>
                  <w:tcW w:w="1167" w:type="dxa"/>
                  <w:noWrap/>
                  <w:hideMark/>
                </w:tcPr>
                <w:p w14:paraId="299B4F8D" w14:textId="77777777" w:rsidR="001861DC" w:rsidRPr="00F71B46" w:rsidRDefault="001861DC" w:rsidP="002E0516">
                  <w:pPr>
                    <w:rPr>
                      <w:sz w:val="16"/>
                    </w:rPr>
                  </w:pPr>
                  <w:r w:rsidRPr="00F71B46">
                    <w:rPr>
                      <w:sz w:val="16"/>
                    </w:rPr>
                    <w:t>31/12/2017</w:t>
                  </w:r>
                </w:p>
              </w:tc>
              <w:tc>
                <w:tcPr>
                  <w:tcW w:w="764" w:type="dxa"/>
                  <w:noWrap/>
                  <w:hideMark/>
                </w:tcPr>
                <w:p w14:paraId="46479E7A" w14:textId="77777777" w:rsidR="001861DC" w:rsidRPr="00F71B46" w:rsidRDefault="001861DC" w:rsidP="002E0516">
                  <w:pPr>
                    <w:jc w:val="center"/>
                    <w:rPr>
                      <w:sz w:val="16"/>
                    </w:rPr>
                  </w:pPr>
                  <w:r w:rsidRPr="00F71B46">
                    <w:rPr>
                      <w:sz w:val="16"/>
                    </w:rPr>
                    <w:t>56,50</w:t>
                  </w:r>
                </w:p>
              </w:tc>
              <w:tc>
                <w:tcPr>
                  <w:tcW w:w="709" w:type="dxa"/>
                  <w:noWrap/>
                  <w:hideMark/>
                </w:tcPr>
                <w:p w14:paraId="44978862" w14:textId="77777777" w:rsidR="001861DC" w:rsidRPr="00F71B46" w:rsidRDefault="001861DC" w:rsidP="002E0516">
                  <w:pPr>
                    <w:jc w:val="center"/>
                    <w:rPr>
                      <w:sz w:val="16"/>
                    </w:rPr>
                  </w:pPr>
                  <w:r w:rsidRPr="00F71B46">
                    <w:rPr>
                      <w:sz w:val="16"/>
                    </w:rPr>
                    <w:t>51,50</w:t>
                  </w:r>
                </w:p>
              </w:tc>
              <w:tc>
                <w:tcPr>
                  <w:tcW w:w="981" w:type="dxa"/>
                  <w:noWrap/>
                  <w:hideMark/>
                </w:tcPr>
                <w:p w14:paraId="0457FE2F" w14:textId="77777777" w:rsidR="001861DC" w:rsidRPr="00F71B46" w:rsidRDefault="001861DC" w:rsidP="002E0516">
                  <w:pPr>
                    <w:jc w:val="center"/>
                    <w:rPr>
                      <w:sz w:val="16"/>
                    </w:rPr>
                  </w:pPr>
                  <w:r w:rsidRPr="00F71B46">
                    <w:rPr>
                      <w:sz w:val="16"/>
                    </w:rPr>
                    <w:t>56,50</w:t>
                  </w:r>
                </w:p>
              </w:tc>
              <w:tc>
                <w:tcPr>
                  <w:tcW w:w="709" w:type="dxa"/>
                  <w:noWrap/>
                  <w:hideMark/>
                </w:tcPr>
                <w:p w14:paraId="3EBEF7BD" w14:textId="77777777" w:rsidR="001861DC" w:rsidRPr="00F71B46" w:rsidRDefault="001861DC" w:rsidP="002E0516">
                  <w:pPr>
                    <w:jc w:val="center"/>
                    <w:rPr>
                      <w:sz w:val="16"/>
                    </w:rPr>
                  </w:pPr>
                  <w:r w:rsidRPr="00F71B46">
                    <w:rPr>
                      <w:sz w:val="16"/>
                    </w:rPr>
                    <w:t>59,00</w:t>
                  </w:r>
                </w:p>
              </w:tc>
            </w:tr>
            <w:tr w:rsidR="001861DC" w:rsidRPr="00F71B46" w14:paraId="2A0A8E20" w14:textId="77777777" w:rsidTr="002E0516">
              <w:trPr>
                <w:trHeight w:val="119"/>
              </w:trPr>
              <w:tc>
                <w:tcPr>
                  <w:tcW w:w="1167" w:type="dxa"/>
                  <w:noWrap/>
                  <w:hideMark/>
                </w:tcPr>
                <w:p w14:paraId="1D557D48" w14:textId="77777777" w:rsidR="001861DC" w:rsidRPr="00F71B46" w:rsidRDefault="001861DC" w:rsidP="002E0516">
                  <w:pPr>
                    <w:rPr>
                      <w:sz w:val="16"/>
                    </w:rPr>
                  </w:pPr>
                  <w:r w:rsidRPr="00F71B46">
                    <w:rPr>
                      <w:sz w:val="16"/>
                    </w:rPr>
                    <w:t>30/06/2018</w:t>
                  </w:r>
                </w:p>
              </w:tc>
              <w:tc>
                <w:tcPr>
                  <w:tcW w:w="764" w:type="dxa"/>
                  <w:noWrap/>
                  <w:hideMark/>
                </w:tcPr>
                <w:p w14:paraId="73B3E7AE" w14:textId="77777777" w:rsidR="001861DC" w:rsidRPr="00F71B46" w:rsidRDefault="001861DC" w:rsidP="002E0516">
                  <w:pPr>
                    <w:jc w:val="center"/>
                    <w:rPr>
                      <w:sz w:val="16"/>
                    </w:rPr>
                  </w:pPr>
                  <w:r w:rsidRPr="00F71B46">
                    <w:rPr>
                      <w:sz w:val="16"/>
                    </w:rPr>
                    <w:t>55,00</w:t>
                  </w:r>
                </w:p>
              </w:tc>
              <w:tc>
                <w:tcPr>
                  <w:tcW w:w="709" w:type="dxa"/>
                  <w:noWrap/>
                  <w:hideMark/>
                </w:tcPr>
                <w:p w14:paraId="57CBE4B6" w14:textId="77777777" w:rsidR="001861DC" w:rsidRPr="00F71B46" w:rsidRDefault="001861DC" w:rsidP="002E0516">
                  <w:pPr>
                    <w:jc w:val="center"/>
                    <w:rPr>
                      <w:sz w:val="16"/>
                    </w:rPr>
                  </w:pPr>
                  <w:r w:rsidRPr="00F71B46">
                    <w:rPr>
                      <w:sz w:val="16"/>
                    </w:rPr>
                    <w:t>50,00</w:t>
                  </w:r>
                </w:p>
              </w:tc>
              <w:tc>
                <w:tcPr>
                  <w:tcW w:w="981" w:type="dxa"/>
                  <w:noWrap/>
                  <w:hideMark/>
                </w:tcPr>
                <w:p w14:paraId="4412068A" w14:textId="77777777" w:rsidR="001861DC" w:rsidRPr="00F71B46" w:rsidRDefault="001861DC" w:rsidP="002E0516">
                  <w:pPr>
                    <w:jc w:val="center"/>
                    <w:rPr>
                      <w:sz w:val="16"/>
                    </w:rPr>
                  </w:pPr>
                  <w:r w:rsidRPr="00F71B46">
                    <w:rPr>
                      <w:sz w:val="16"/>
                    </w:rPr>
                    <w:t>55,00</w:t>
                  </w:r>
                </w:p>
              </w:tc>
              <w:tc>
                <w:tcPr>
                  <w:tcW w:w="709" w:type="dxa"/>
                  <w:noWrap/>
                  <w:hideMark/>
                </w:tcPr>
                <w:p w14:paraId="0291AF9B" w14:textId="77777777" w:rsidR="001861DC" w:rsidRPr="00F71B46" w:rsidRDefault="001861DC" w:rsidP="002E0516">
                  <w:pPr>
                    <w:jc w:val="center"/>
                    <w:rPr>
                      <w:sz w:val="16"/>
                    </w:rPr>
                  </w:pPr>
                  <w:r w:rsidRPr="00F71B46">
                    <w:rPr>
                      <w:sz w:val="16"/>
                    </w:rPr>
                    <w:t>57,00</w:t>
                  </w:r>
                </w:p>
              </w:tc>
            </w:tr>
            <w:tr w:rsidR="001861DC" w:rsidRPr="00F71B46" w14:paraId="71D26E0D" w14:textId="77777777" w:rsidTr="002E0516">
              <w:trPr>
                <w:trHeight w:val="107"/>
              </w:trPr>
              <w:tc>
                <w:tcPr>
                  <w:tcW w:w="1167" w:type="dxa"/>
                  <w:noWrap/>
                  <w:hideMark/>
                </w:tcPr>
                <w:p w14:paraId="71FB19AC" w14:textId="77777777" w:rsidR="001861DC" w:rsidRPr="00F71B46" w:rsidRDefault="001861DC" w:rsidP="002E0516">
                  <w:pPr>
                    <w:rPr>
                      <w:sz w:val="16"/>
                    </w:rPr>
                  </w:pPr>
                  <w:r w:rsidRPr="00F71B46">
                    <w:rPr>
                      <w:sz w:val="16"/>
                    </w:rPr>
                    <w:t>31/12/2018</w:t>
                  </w:r>
                </w:p>
              </w:tc>
              <w:tc>
                <w:tcPr>
                  <w:tcW w:w="764" w:type="dxa"/>
                  <w:noWrap/>
                  <w:hideMark/>
                </w:tcPr>
                <w:p w14:paraId="4914C73B" w14:textId="77777777" w:rsidR="001861DC" w:rsidRPr="00F71B46" w:rsidRDefault="001861DC" w:rsidP="002E0516">
                  <w:pPr>
                    <w:jc w:val="center"/>
                    <w:rPr>
                      <w:sz w:val="16"/>
                    </w:rPr>
                  </w:pPr>
                  <w:r w:rsidRPr="00F71B46">
                    <w:rPr>
                      <w:sz w:val="16"/>
                    </w:rPr>
                    <w:t>53,50</w:t>
                  </w:r>
                </w:p>
              </w:tc>
              <w:tc>
                <w:tcPr>
                  <w:tcW w:w="709" w:type="dxa"/>
                  <w:noWrap/>
                  <w:hideMark/>
                </w:tcPr>
                <w:p w14:paraId="3D2C0411" w14:textId="77777777" w:rsidR="001861DC" w:rsidRPr="00F71B46" w:rsidRDefault="001861DC" w:rsidP="002E0516">
                  <w:pPr>
                    <w:jc w:val="center"/>
                    <w:rPr>
                      <w:sz w:val="16"/>
                    </w:rPr>
                  </w:pPr>
                  <w:r w:rsidRPr="00F71B46">
                    <w:rPr>
                      <w:sz w:val="16"/>
                    </w:rPr>
                    <w:t>50,00</w:t>
                  </w:r>
                </w:p>
              </w:tc>
              <w:tc>
                <w:tcPr>
                  <w:tcW w:w="981" w:type="dxa"/>
                  <w:noWrap/>
                  <w:hideMark/>
                </w:tcPr>
                <w:p w14:paraId="5CA4CDA6" w14:textId="77777777" w:rsidR="001861DC" w:rsidRPr="00F71B46" w:rsidRDefault="001861DC" w:rsidP="002E0516">
                  <w:pPr>
                    <w:jc w:val="center"/>
                    <w:rPr>
                      <w:sz w:val="16"/>
                    </w:rPr>
                  </w:pPr>
                  <w:r w:rsidRPr="00F71B46">
                    <w:rPr>
                      <w:sz w:val="16"/>
                    </w:rPr>
                    <w:t>53,50</w:t>
                  </w:r>
                </w:p>
              </w:tc>
              <w:tc>
                <w:tcPr>
                  <w:tcW w:w="709" w:type="dxa"/>
                  <w:noWrap/>
                  <w:hideMark/>
                </w:tcPr>
                <w:p w14:paraId="39725277" w14:textId="77777777" w:rsidR="001861DC" w:rsidRPr="00F71B46" w:rsidRDefault="001861DC" w:rsidP="002E0516">
                  <w:pPr>
                    <w:jc w:val="center"/>
                    <w:rPr>
                      <w:sz w:val="16"/>
                    </w:rPr>
                  </w:pPr>
                  <w:r w:rsidRPr="00F71B46">
                    <w:rPr>
                      <w:sz w:val="16"/>
                    </w:rPr>
                    <w:t>55,00</w:t>
                  </w:r>
                </w:p>
              </w:tc>
            </w:tr>
            <w:tr w:rsidR="001861DC" w:rsidRPr="00F71B46" w14:paraId="405CCF73" w14:textId="77777777" w:rsidTr="002E0516">
              <w:trPr>
                <w:trHeight w:val="109"/>
              </w:trPr>
              <w:tc>
                <w:tcPr>
                  <w:tcW w:w="1167" w:type="dxa"/>
                  <w:noWrap/>
                  <w:hideMark/>
                </w:tcPr>
                <w:p w14:paraId="30D4EC39" w14:textId="77777777" w:rsidR="001861DC" w:rsidRPr="00F71B46" w:rsidRDefault="001861DC" w:rsidP="002E0516">
                  <w:pPr>
                    <w:rPr>
                      <w:sz w:val="16"/>
                    </w:rPr>
                  </w:pPr>
                  <w:r w:rsidRPr="00F71B46">
                    <w:rPr>
                      <w:sz w:val="16"/>
                    </w:rPr>
                    <w:t>30/06/2019</w:t>
                  </w:r>
                </w:p>
              </w:tc>
              <w:tc>
                <w:tcPr>
                  <w:tcW w:w="764" w:type="dxa"/>
                  <w:noWrap/>
                  <w:hideMark/>
                </w:tcPr>
                <w:p w14:paraId="73771827" w14:textId="77777777" w:rsidR="001861DC" w:rsidRPr="00F71B46" w:rsidRDefault="001861DC" w:rsidP="002E0516">
                  <w:pPr>
                    <w:jc w:val="center"/>
                    <w:rPr>
                      <w:sz w:val="16"/>
                    </w:rPr>
                  </w:pPr>
                  <w:r w:rsidRPr="00F71B46">
                    <w:rPr>
                      <w:sz w:val="16"/>
                    </w:rPr>
                    <w:t>52,00</w:t>
                  </w:r>
                </w:p>
              </w:tc>
              <w:tc>
                <w:tcPr>
                  <w:tcW w:w="709" w:type="dxa"/>
                  <w:noWrap/>
                  <w:hideMark/>
                </w:tcPr>
                <w:p w14:paraId="3AE67B04" w14:textId="77777777" w:rsidR="001861DC" w:rsidRPr="00F71B46" w:rsidRDefault="001861DC" w:rsidP="002E0516">
                  <w:pPr>
                    <w:jc w:val="center"/>
                    <w:rPr>
                      <w:sz w:val="16"/>
                    </w:rPr>
                  </w:pPr>
                  <w:r w:rsidRPr="00F71B46">
                    <w:rPr>
                      <w:sz w:val="16"/>
                    </w:rPr>
                    <w:t>50,00</w:t>
                  </w:r>
                </w:p>
              </w:tc>
              <w:tc>
                <w:tcPr>
                  <w:tcW w:w="981" w:type="dxa"/>
                  <w:noWrap/>
                  <w:hideMark/>
                </w:tcPr>
                <w:p w14:paraId="370A2331" w14:textId="77777777" w:rsidR="001861DC" w:rsidRPr="00F71B46" w:rsidRDefault="001861DC" w:rsidP="002E0516">
                  <w:pPr>
                    <w:jc w:val="center"/>
                    <w:rPr>
                      <w:sz w:val="16"/>
                    </w:rPr>
                  </w:pPr>
                  <w:r w:rsidRPr="00F71B46">
                    <w:rPr>
                      <w:sz w:val="16"/>
                    </w:rPr>
                    <w:t>52,00</w:t>
                  </w:r>
                </w:p>
              </w:tc>
              <w:tc>
                <w:tcPr>
                  <w:tcW w:w="709" w:type="dxa"/>
                  <w:noWrap/>
                  <w:hideMark/>
                </w:tcPr>
                <w:p w14:paraId="1AF4E75E" w14:textId="77777777" w:rsidR="001861DC" w:rsidRPr="00F71B46" w:rsidRDefault="001861DC" w:rsidP="002E0516">
                  <w:pPr>
                    <w:jc w:val="center"/>
                    <w:rPr>
                      <w:sz w:val="16"/>
                    </w:rPr>
                  </w:pPr>
                  <w:r w:rsidRPr="00F71B46">
                    <w:rPr>
                      <w:sz w:val="16"/>
                    </w:rPr>
                    <w:t>53,00</w:t>
                  </w:r>
                </w:p>
              </w:tc>
            </w:tr>
            <w:tr w:rsidR="001861DC" w:rsidRPr="00F71B46" w14:paraId="3DC77A2B" w14:textId="77777777" w:rsidTr="002E0516">
              <w:trPr>
                <w:trHeight w:val="98"/>
              </w:trPr>
              <w:tc>
                <w:tcPr>
                  <w:tcW w:w="1167" w:type="dxa"/>
                  <w:noWrap/>
                  <w:hideMark/>
                </w:tcPr>
                <w:p w14:paraId="438F4180" w14:textId="77777777" w:rsidR="001861DC" w:rsidRPr="00F71B46" w:rsidRDefault="001861DC" w:rsidP="002E0516">
                  <w:pPr>
                    <w:rPr>
                      <w:sz w:val="16"/>
                    </w:rPr>
                  </w:pPr>
                  <w:r w:rsidRPr="00F71B46">
                    <w:rPr>
                      <w:sz w:val="16"/>
                    </w:rPr>
                    <w:t>31/12/2019</w:t>
                  </w:r>
                </w:p>
              </w:tc>
              <w:tc>
                <w:tcPr>
                  <w:tcW w:w="764" w:type="dxa"/>
                  <w:noWrap/>
                  <w:hideMark/>
                </w:tcPr>
                <w:p w14:paraId="69D0935B" w14:textId="77777777" w:rsidR="001861DC" w:rsidRPr="00F71B46" w:rsidRDefault="001861DC" w:rsidP="002E0516">
                  <w:pPr>
                    <w:jc w:val="center"/>
                    <w:rPr>
                      <w:sz w:val="16"/>
                    </w:rPr>
                  </w:pPr>
                  <w:r w:rsidRPr="00F71B46">
                    <w:rPr>
                      <w:sz w:val="16"/>
                    </w:rPr>
                    <w:t>50,00</w:t>
                  </w:r>
                </w:p>
              </w:tc>
              <w:tc>
                <w:tcPr>
                  <w:tcW w:w="709" w:type="dxa"/>
                  <w:noWrap/>
                  <w:hideMark/>
                </w:tcPr>
                <w:p w14:paraId="01B1EB52" w14:textId="77777777" w:rsidR="001861DC" w:rsidRPr="00F71B46" w:rsidRDefault="001861DC" w:rsidP="002E0516">
                  <w:pPr>
                    <w:jc w:val="center"/>
                    <w:rPr>
                      <w:sz w:val="16"/>
                    </w:rPr>
                  </w:pPr>
                  <w:r w:rsidRPr="00F71B46">
                    <w:rPr>
                      <w:sz w:val="16"/>
                    </w:rPr>
                    <w:t>50,00</w:t>
                  </w:r>
                </w:p>
              </w:tc>
              <w:tc>
                <w:tcPr>
                  <w:tcW w:w="981" w:type="dxa"/>
                  <w:noWrap/>
                  <w:hideMark/>
                </w:tcPr>
                <w:p w14:paraId="219D536D" w14:textId="77777777" w:rsidR="001861DC" w:rsidRPr="00F71B46" w:rsidRDefault="001861DC" w:rsidP="002E0516">
                  <w:pPr>
                    <w:jc w:val="center"/>
                    <w:rPr>
                      <w:sz w:val="16"/>
                    </w:rPr>
                  </w:pPr>
                  <w:r w:rsidRPr="00F71B46">
                    <w:rPr>
                      <w:sz w:val="16"/>
                    </w:rPr>
                    <w:t>50,00</w:t>
                  </w:r>
                </w:p>
              </w:tc>
              <w:tc>
                <w:tcPr>
                  <w:tcW w:w="709" w:type="dxa"/>
                  <w:noWrap/>
                  <w:hideMark/>
                </w:tcPr>
                <w:p w14:paraId="2B963DA4" w14:textId="77777777" w:rsidR="001861DC" w:rsidRPr="00F71B46" w:rsidRDefault="001861DC" w:rsidP="002E0516">
                  <w:pPr>
                    <w:jc w:val="center"/>
                    <w:rPr>
                      <w:sz w:val="16"/>
                    </w:rPr>
                  </w:pPr>
                  <w:r w:rsidRPr="00F71B46">
                    <w:rPr>
                      <w:sz w:val="16"/>
                    </w:rPr>
                    <w:t>50,00</w:t>
                  </w:r>
                </w:p>
              </w:tc>
            </w:tr>
          </w:tbl>
          <w:p w14:paraId="28A6A94D" w14:textId="77777777" w:rsidR="001861DC" w:rsidRDefault="001861DC" w:rsidP="002E0516"/>
          <w:p w14:paraId="1CB9B51C" w14:textId="77777777" w:rsidR="001861DC" w:rsidRDefault="001861DC" w:rsidP="002E0516"/>
          <w:p w14:paraId="1B65A740" w14:textId="77777777" w:rsidR="001861DC" w:rsidRDefault="001861DC" w:rsidP="002E0516"/>
        </w:tc>
      </w:tr>
    </w:tbl>
    <w:p w14:paraId="6ABA4255" w14:textId="77777777" w:rsidR="001861DC" w:rsidRDefault="001861DC" w:rsidP="001861DC">
      <w:pPr>
        <w:pStyle w:val="Prrafodelista"/>
        <w:spacing w:after="160" w:line="259" w:lineRule="auto"/>
        <w:jc w:val="left"/>
        <w:rPr>
          <w:rFonts w:asciiTheme="majorHAnsi" w:eastAsiaTheme="majorEastAsia" w:hAnsiTheme="majorHAnsi" w:cstheme="majorBidi"/>
          <w:color w:val="2E74B5" w:themeColor="accent1" w:themeShade="BF"/>
          <w:sz w:val="32"/>
          <w:szCs w:val="32"/>
        </w:rPr>
      </w:pPr>
    </w:p>
    <w:p w14:paraId="068FAE78" w14:textId="77777777" w:rsidR="001861DC" w:rsidRPr="00F87C39" w:rsidRDefault="001861DC" w:rsidP="001861DC"/>
    <w:p w14:paraId="5124E12C" w14:textId="77777777" w:rsidR="001861DC" w:rsidRDefault="001861DC" w:rsidP="001861DC">
      <w:pPr>
        <w:spacing w:after="160" w:line="259" w:lineRule="auto"/>
        <w:jc w:val="left"/>
      </w:pPr>
      <w:r>
        <w:br w:type="page"/>
      </w:r>
    </w:p>
    <w:p w14:paraId="0EDF3BF0" w14:textId="77777777" w:rsidR="001861DC" w:rsidRDefault="001861DC" w:rsidP="001861DC">
      <w:pPr>
        <w:pStyle w:val="Ttulo1"/>
      </w:pPr>
      <w:r>
        <w:lastRenderedPageBreak/>
        <w:t>Filosofía de la supervisión de la SUPEN</w:t>
      </w:r>
    </w:p>
    <w:p w14:paraId="250B2FB2" w14:textId="77777777" w:rsidR="001861DC" w:rsidRPr="00D11CF1" w:rsidRDefault="001861DC" w:rsidP="001861DC"/>
    <w:p w14:paraId="39317A69" w14:textId="77777777" w:rsidR="001861DC" w:rsidRDefault="001861DC" w:rsidP="001861DC">
      <w:r>
        <w:t>La Ley de Protección al Trabajador (LPT) parte de un esquema de supervisión con una visión de paternalismo fuerte, es decir, se da una representación bajo la cual la supervisión y regulación prudencial representan los intereses de los ahorrantes. En tal sentido se dota al regulador de atribuciones para limitar la inversión de recursos. Al respecto el artículo 61 de la LPT establece:</w:t>
      </w:r>
    </w:p>
    <w:p w14:paraId="3A31D135" w14:textId="77777777" w:rsidR="001861DC" w:rsidRDefault="001861DC" w:rsidP="001861DC"/>
    <w:p w14:paraId="2433A789" w14:textId="77777777" w:rsidR="001861DC" w:rsidRPr="001024FE" w:rsidRDefault="001861DC" w:rsidP="001861DC">
      <w:pPr>
        <w:ind w:left="567" w:right="424"/>
        <w:rPr>
          <w:i/>
        </w:rPr>
      </w:pPr>
      <w:r>
        <w:t xml:space="preserve"> </w:t>
      </w:r>
      <w:r w:rsidRPr="001024FE">
        <w:rPr>
          <w:i/>
        </w:rPr>
        <w:t>“Límites en materia de inversión. La Superintendencia establecerá reglamentariamente límites en materia de inversión de los recursos de los fondos, con el fin de promover una adecuada diversificación de riesgo y regular posibles conflictos de interés”</w:t>
      </w:r>
      <w:r>
        <w:rPr>
          <w:i/>
        </w:rPr>
        <w:t>.</w:t>
      </w:r>
    </w:p>
    <w:p w14:paraId="6CAEFEF8" w14:textId="77777777" w:rsidR="001861DC" w:rsidRDefault="001861DC" w:rsidP="001861DC"/>
    <w:p w14:paraId="107865E2" w14:textId="77777777" w:rsidR="001861DC" w:rsidRDefault="001861DC" w:rsidP="001861DC">
      <w:r>
        <w:t>La diferencia entre prohibición total y parcial, como de antemano puede presumirse no es menor desde el punto de vista de la filosofía de la supervisión incorporada en nuestra legislación para el tema de pensiones. Una prohibición total representa el no permitir la elegibilidad en los portafolios de cierto tipo de activos financieros, que por su condición no considera adecuado el riesgo que lo acompaña. Por su naturaleza este tipo de restricciones suelen ser difíciles de modificar.</w:t>
      </w:r>
    </w:p>
    <w:p w14:paraId="75E95741" w14:textId="77777777" w:rsidR="001861DC" w:rsidRDefault="001861DC" w:rsidP="001861DC"/>
    <w:p w14:paraId="13C555BF" w14:textId="77777777" w:rsidR="001861DC" w:rsidRDefault="001861DC" w:rsidP="001861DC">
      <w:r>
        <w:t xml:space="preserve">Por su parte las prohibiciones parciales corresponden a limitantes que permiten al regulador, basado en criterios usualmente técnicos establecer montos máximos o mínimos tomando en cuenta: el entorno, los objetivos de los planes de pensión, los principios que sustenta la administración de fondos de terceros y, sobre todo, cuando son de carácter obligatorio. </w:t>
      </w:r>
    </w:p>
    <w:p w14:paraId="1477410E" w14:textId="77777777" w:rsidR="001861DC" w:rsidRDefault="001861DC" w:rsidP="001861DC"/>
    <w:p w14:paraId="3E076032" w14:textId="77777777" w:rsidR="001861DC" w:rsidRDefault="001861DC" w:rsidP="001861DC">
      <w:r>
        <w:t xml:space="preserve">Las prohibiciones parciales se justifican cuando se presuma una situación que pueda generar un riesgo para el sistema de pensiones. No obstante, no debe olvidarse que los límites no corresponden a la meta a seguir en la asignación de activos, sino que esta debe ser fijada por el gestor según el apetito al riesgo para alcanzar una tasa de reemplazo, que puede ser explícita en los fondos de beneficio definido o implícito en regímenes de contribución definida. </w:t>
      </w:r>
    </w:p>
    <w:p w14:paraId="3C023B27" w14:textId="77777777" w:rsidR="001861DC" w:rsidRDefault="001861DC" w:rsidP="001861DC"/>
    <w:p w14:paraId="3CA40A9B" w14:textId="77777777" w:rsidR="001861DC" w:rsidRDefault="001861DC" w:rsidP="001861DC">
      <w:r>
        <w:t>El caso de los límites por emisor analizados en el presente documento, corresponden a prohibiciones parciales, debido a que no existe una prohibición expresa en la Ley, sino que a criterio del supervisor pueden mantenerse. Su existencia claramente está condicionada al nivel de madurez de los gestores y a las condiciones de mercado.</w:t>
      </w:r>
    </w:p>
    <w:p w14:paraId="7C37A210" w14:textId="77777777" w:rsidR="001861DC" w:rsidRDefault="001861DC" w:rsidP="001861DC"/>
    <w:p w14:paraId="7D514422" w14:textId="77777777" w:rsidR="001861DC" w:rsidRDefault="001861DC" w:rsidP="001861DC">
      <w:r>
        <w:t>En el siguiente cuadro se aprecia que el uso de los límites dispuestos ha coadyuvado a una mayor diversificación, para el caso del ROP. En doce años ha sido posible reducir de un 77,94% a un 58,8% las tenencias de instrumentos del MH y BCCR.</w:t>
      </w:r>
    </w:p>
    <w:p w14:paraId="31AFC42A" w14:textId="77777777" w:rsidR="001861DC" w:rsidRPr="00BE6CCB" w:rsidRDefault="001861DC" w:rsidP="001861DC"/>
    <w:p w14:paraId="3F0543D1" w14:textId="77777777" w:rsidR="001861DC" w:rsidRDefault="001861DC" w:rsidP="001861DC"/>
    <w:p w14:paraId="48078A7B" w14:textId="77777777" w:rsidR="001861DC" w:rsidRDefault="001861DC" w:rsidP="001861DC">
      <w:pPr>
        <w:jc w:val="center"/>
        <w:rPr>
          <w:b/>
        </w:rPr>
      </w:pPr>
      <w:r w:rsidRPr="00F04C8B">
        <w:rPr>
          <w:b/>
        </w:rPr>
        <w:t xml:space="preserve">ROP: Tenencias </w:t>
      </w:r>
      <w:r>
        <w:rPr>
          <w:b/>
        </w:rPr>
        <w:t>histó</w:t>
      </w:r>
      <w:r w:rsidRPr="00F04C8B">
        <w:rPr>
          <w:b/>
        </w:rPr>
        <w:t>ricas</w:t>
      </w:r>
      <w:r>
        <w:rPr>
          <w:b/>
        </w:rPr>
        <w:t xml:space="preserve"> por s</w:t>
      </w:r>
      <w:r w:rsidRPr="00F04C8B">
        <w:rPr>
          <w:b/>
        </w:rPr>
        <w:t>ector</w:t>
      </w:r>
    </w:p>
    <w:p w14:paraId="64587D8D" w14:textId="77777777" w:rsidR="001861DC" w:rsidRDefault="001861DC" w:rsidP="001861DC">
      <w:pPr>
        <w:jc w:val="center"/>
        <w:rPr>
          <w:b/>
          <w:sz w:val="16"/>
        </w:rPr>
      </w:pPr>
      <w:r w:rsidRPr="002A1D75">
        <w:rPr>
          <w:b/>
          <w:sz w:val="16"/>
        </w:rPr>
        <w:t>Porcentaje de Inversiones más Disponibilidades</w:t>
      </w:r>
    </w:p>
    <w:p w14:paraId="31D58781" w14:textId="77777777" w:rsidR="001861DC" w:rsidRPr="00F04C8B" w:rsidRDefault="001861DC" w:rsidP="001861DC">
      <w:pPr>
        <w:jc w:val="center"/>
        <w:rPr>
          <w:b/>
        </w:rPr>
      </w:pPr>
    </w:p>
    <w:tbl>
      <w:tblPr>
        <w:tblW w:w="6237" w:type="dxa"/>
        <w:jc w:val="center"/>
        <w:tblCellMar>
          <w:left w:w="70" w:type="dxa"/>
          <w:right w:w="70" w:type="dxa"/>
        </w:tblCellMar>
        <w:tblLook w:val="04A0" w:firstRow="1" w:lastRow="0" w:firstColumn="1" w:lastColumn="0" w:noHBand="0" w:noVBand="1"/>
      </w:tblPr>
      <w:tblGrid>
        <w:gridCol w:w="3402"/>
        <w:gridCol w:w="709"/>
        <w:gridCol w:w="709"/>
        <w:gridCol w:w="708"/>
        <w:gridCol w:w="709"/>
      </w:tblGrid>
      <w:tr w:rsidR="001861DC" w:rsidRPr="00F04C8B" w14:paraId="109DD6F2" w14:textId="77777777" w:rsidTr="002E0516">
        <w:trPr>
          <w:trHeight w:val="285"/>
          <w:jc w:val="center"/>
        </w:trPr>
        <w:tc>
          <w:tcPr>
            <w:tcW w:w="3402" w:type="dxa"/>
            <w:tcBorders>
              <w:top w:val="single" w:sz="4" w:space="0" w:color="auto"/>
              <w:left w:val="nil"/>
              <w:bottom w:val="single" w:sz="4" w:space="0" w:color="auto"/>
              <w:right w:val="nil"/>
            </w:tcBorders>
            <w:shd w:val="clear" w:color="auto" w:fill="auto"/>
            <w:noWrap/>
            <w:vAlign w:val="bottom"/>
            <w:hideMark/>
          </w:tcPr>
          <w:p w14:paraId="67BC2E50" w14:textId="77777777" w:rsidR="001861DC" w:rsidRPr="00F04C8B" w:rsidRDefault="001861DC" w:rsidP="002E0516">
            <w:pPr>
              <w:jc w:val="left"/>
              <w:rPr>
                <w:rFonts w:ascii="Segoe UI" w:eastAsia="Times New Roman" w:hAnsi="Segoe UI" w:cs="Segoe UI"/>
                <w:b/>
                <w:bCs/>
                <w:sz w:val="20"/>
                <w:szCs w:val="20"/>
                <w:lang w:eastAsia="es-ES"/>
              </w:rPr>
            </w:pPr>
            <w:r w:rsidRPr="00F04C8B">
              <w:rPr>
                <w:rFonts w:ascii="Segoe UI" w:eastAsia="Times New Roman" w:hAnsi="Segoe UI" w:cs="Segoe UI"/>
                <w:b/>
                <w:bCs/>
                <w:sz w:val="20"/>
                <w:szCs w:val="20"/>
                <w:lang w:eastAsia="es-ES"/>
              </w:rPr>
              <w:t>Sector</w:t>
            </w:r>
          </w:p>
        </w:tc>
        <w:tc>
          <w:tcPr>
            <w:tcW w:w="709" w:type="dxa"/>
            <w:tcBorders>
              <w:top w:val="single" w:sz="4" w:space="0" w:color="auto"/>
              <w:left w:val="nil"/>
              <w:bottom w:val="single" w:sz="4" w:space="0" w:color="auto"/>
              <w:right w:val="nil"/>
            </w:tcBorders>
          </w:tcPr>
          <w:p w14:paraId="394993B9" w14:textId="77777777" w:rsidR="001861DC" w:rsidRPr="00F04C8B" w:rsidRDefault="001861DC" w:rsidP="002E0516">
            <w:pPr>
              <w:jc w:val="right"/>
              <w:rPr>
                <w:rFonts w:ascii="Segoe UI" w:eastAsia="Times New Roman" w:hAnsi="Segoe UI" w:cs="Segoe UI"/>
                <w:b/>
                <w:bCs/>
                <w:sz w:val="20"/>
                <w:szCs w:val="20"/>
                <w:lang w:eastAsia="es-ES"/>
              </w:rPr>
            </w:pPr>
            <w:r>
              <w:rPr>
                <w:rFonts w:ascii="Segoe UI" w:eastAsia="Times New Roman" w:hAnsi="Segoe UI" w:cs="Segoe UI"/>
                <w:b/>
                <w:bCs/>
                <w:sz w:val="20"/>
                <w:szCs w:val="20"/>
                <w:lang w:eastAsia="es-ES"/>
              </w:rPr>
              <w:t>2003</w:t>
            </w:r>
          </w:p>
        </w:tc>
        <w:tc>
          <w:tcPr>
            <w:tcW w:w="709" w:type="dxa"/>
            <w:tcBorders>
              <w:top w:val="single" w:sz="4" w:space="0" w:color="auto"/>
              <w:left w:val="nil"/>
              <w:bottom w:val="single" w:sz="4" w:space="0" w:color="auto"/>
              <w:right w:val="nil"/>
            </w:tcBorders>
            <w:shd w:val="clear" w:color="auto" w:fill="auto"/>
            <w:noWrap/>
            <w:vAlign w:val="bottom"/>
            <w:hideMark/>
          </w:tcPr>
          <w:p w14:paraId="56B4DFD2" w14:textId="77777777" w:rsidR="001861DC" w:rsidRPr="00F04C8B" w:rsidRDefault="001861DC" w:rsidP="002E0516">
            <w:pPr>
              <w:jc w:val="right"/>
              <w:rPr>
                <w:rFonts w:ascii="Segoe UI" w:eastAsia="Times New Roman" w:hAnsi="Segoe UI" w:cs="Segoe UI"/>
                <w:b/>
                <w:bCs/>
                <w:sz w:val="20"/>
                <w:szCs w:val="20"/>
                <w:lang w:eastAsia="es-ES"/>
              </w:rPr>
            </w:pPr>
            <w:r w:rsidRPr="00F04C8B">
              <w:rPr>
                <w:rFonts w:ascii="Segoe UI" w:eastAsia="Times New Roman" w:hAnsi="Segoe UI" w:cs="Segoe UI"/>
                <w:b/>
                <w:bCs/>
                <w:sz w:val="20"/>
                <w:szCs w:val="20"/>
                <w:lang w:eastAsia="es-ES"/>
              </w:rPr>
              <w:t>2005</w:t>
            </w:r>
          </w:p>
        </w:tc>
        <w:tc>
          <w:tcPr>
            <w:tcW w:w="708" w:type="dxa"/>
            <w:tcBorders>
              <w:top w:val="single" w:sz="4" w:space="0" w:color="auto"/>
              <w:left w:val="nil"/>
              <w:bottom w:val="single" w:sz="4" w:space="0" w:color="auto"/>
              <w:right w:val="nil"/>
            </w:tcBorders>
            <w:shd w:val="clear" w:color="auto" w:fill="auto"/>
            <w:noWrap/>
            <w:vAlign w:val="bottom"/>
            <w:hideMark/>
          </w:tcPr>
          <w:p w14:paraId="73FB5D4B" w14:textId="77777777" w:rsidR="001861DC" w:rsidRPr="00F04C8B" w:rsidRDefault="001861DC" w:rsidP="002E0516">
            <w:pPr>
              <w:jc w:val="right"/>
              <w:rPr>
                <w:rFonts w:ascii="Segoe UI" w:eastAsia="Times New Roman" w:hAnsi="Segoe UI" w:cs="Segoe UI"/>
                <w:b/>
                <w:bCs/>
                <w:sz w:val="20"/>
                <w:szCs w:val="20"/>
                <w:lang w:eastAsia="es-ES"/>
              </w:rPr>
            </w:pPr>
            <w:r w:rsidRPr="00F04C8B">
              <w:rPr>
                <w:rFonts w:ascii="Segoe UI" w:eastAsia="Times New Roman" w:hAnsi="Segoe UI" w:cs="Segoe UI"/>
                <w:b/>
                <w:bCs/>
                <w:sz w:val="20"/>
                <w:szCs w:val="20"/>
                <w:lang w:eastAsia="es-ES"/>
              </w:rPr>
              <w:t>2010</w:t>
            </w:r>
          </w:p>
        </w:tc>
        <w:tc>
          <w:tcPr>
            <w:tcW w:w="709" w:type="dxa"/>
            <w:tcBorders>
              <w:top w:val="single" w:sz="4" w:space="0" w:color="auto"/>
              <w:left w:val="nil"/>
              <w:bottom w:val="single" w:sz="4" w:space="0" w:color="auto"/>
              <w:right w:val="nil"/>
            </w:tcBorders>
          </w:tcPr>
          <w:p w14:paraId="0D36F691" w14:textId="77777777" w:rsidR="001861DC" w:rsidRPr="00F04C8B" w:rsidRDefault="001861DC" w:rsidP="002E0516">
            <w:pPr>
              <w:jc w:val="right"/>
              <w:rPr>
                <w:rFonts w:ascii="Segoe UI" w:eastAsia="Times New Roman" w:hAnsi="Segoe UI" w:cs="Segoe UI"/>
                <w:b/>
                <w:bCs/>
                <w:sz w:val="20"/>
                <w:szCs w:val="20"/>
                <w:lang w:eastAsia="es-ES"/>
              </w:rPr>
            </w:pPr>
            <w:r>
              <w:rPr>
                <w:rFonts w:ascii="Segoe UI" w:eastAsia="Times New Roman" w:hAnsi="Segoe UI" w:cs="Segoe UI"/>
                <w:b/>
                <w:bCs/>
                <w:sz w:val="20"/>
                <w:szCs w:val="20"/>
                <w:lang w:eastAsia="es-ES"/>
              </w:rPr>
              <w:t>2015</w:t>
            </w:r>
          </w:p>
        </w:tc>
      </w:tr>
      <w:tr w:rsidR="001861DC" w:rsidRPr="00F04C8B" w14:paraId="610ABE4B" w14:textId="77777777" w:rsidTr="002E0516">
        <w:trPr>
          <w:trHeight w:val="285"/>
          <w:jc w:val="center"/>
        </w:trPr>
        <w:tc>
          <w:tcPr>
            <w:tcW w:w="3402" w:type="dxa"/>
            <w:tcBorders>
              <w:top w:val="nil"/>
              <w:left w:val="nil"/>
              <w:bottom w:val="nil"/>
              <w:right w:val="nil"/>
            </w:tcBorders>
            <w:shd w:val="clear" w:color="auto" w:fill="auto"/>
            <w:noWrap/>
            <w:vAlign w:val="bottom"/>
            <w:hideMark/>
          </w:tcPr>
          <w:p w14:paraId="124BB338" w14:textId="77777777" w:rsidR="001861DC" w:rsidRPr="00F04C8B" w:rsidRDefault="001861DC" w:rsidP="002E0516">
            <w:pPr>
              <w:jc w:val="left"/>
              <w:rPr>
                <w:rFonts w:ascii="Segoe UI" w:eastAsia="Times New Roman" w:hAnsi="Segoe UI" w:cs="Segoe UI"/>
                <w:sz w:val="20"/>
                <w:szCs w:val="20"/>
                <w:lang w:eastAsia="es-ES"/>
              </w:rPr>
            </w:pPr>
            <w:r w:rsidRPr="00F04C8B">
              <w:rPr>
                <w:rFonts w:ascii="Segoe UI" w:eastAsia="Times New Roman" w:hAnsi="Segoe UI" w:cs="Segoe UI"/>
                <w:sz w:val="20"/>
                <w:szCs w:val="20"/>
                <w:lang w:eastAsia="es-ES"/>
              </w:rPr>
              <w:t>Emisores Extranjeros</w:t>
            </w:r>
          </w:p>
        </w:tc>
        <w:tc>
          <w:tcPr>
            <w:tcW w:w="709" w:type="dxa"/>
            <w:tcBorders>
              <w:top w:val="nil"/>
              <w:left w:val="nil"/>
              <w:bottom w:val="nil"/>
              <w:right w:val="nil"/>
            </w:tcBorders>
          </w:tcPr>
          <w:p w14:paraId="7D2732BF" w14:textId="77777777" w:rsidR="001861DC" w:rsidRDefault="001861DC" w:rsidP="002E0516">
            <w:pPr>
              <w:jc w:val="right"/>
              <w:rPr>
                <w:rFonts w:ascii="Segoe UI" w:eastAsia="Times New Roman" w:hAnsi="Segoe UI" w:cs="Segoe UI"/>
                <w:sz w:val="20"/>
                <w:szCs w:val="20"/>
                <w:lang w:eastAsia="es-ES"/>
              </w:rPr>
            </w:pPr>
            <w:r>
              <w:rPr>
                <w:rFonts w:ascii="Segoe UI" w:eastAsia="Times New Roman" w:hAnsi="Segoe UI" w:cs="Segoe UI"/>
                <w:sz w:val="20"/>
                <w:szCs w:val="20"/>
                <w:lang w:eastAsia="es-ES"/>
              </w:rPr>
              <w:t>0,00</w:t>
            </w:r>
          </w:p>
        </w:tc>
        <w:tc>
          <w:tcPr>
            <w:tcW w:w="709" w:type="dxa"/>
            <w:tcBorders>
              <w:top w:val="nil"/>
              <w:left w:val="nil"/>
              <w:bottom w:val="nil"/>
              <w:right w:val="nil"/>
            </w:tcBorders>
            <w:shd w:val="clear" w:color="auto" w:fill="auto"/>
            <w:noWrap/>
            <w:vAlign w:val="bottom"/>
          </w:tcPr>
          <w:p w14:paraId="63D2CD8F" w14:textId="77777777" w:rsidR="001861DC" w:rsidRPr="00F04C8B" w:rsidRDefault="001861DC" w:rsidP="002E0516">
            <w:pPr>
              <w:jc w:val="right"/>
              <w:rPr>
                <w:rFonts w:ascii="Segoe UI" w:eastAsia="Times New Roman" w:hAnsi="Segoe UI" w:cs="Segoe UI"/>
                <w:sz w:val="20"/>
                <w:szCs w:val="20"/>
                <w:lang w:eastAsia="es-ES"/>
              </w:rPr>
            </w:pPr>
            <w:r>
              <w:rPr>
                <w:rFonts w:ascii="Segoe UI" w:eastAsia="Times New Roman" w:hAnsi="Segoe UI" w:cs="Segoe UI"/>
                <w:sz w:val="20"/>
                <w:szCs w:val="20"/>
                <w:lang w:eastAsia="es-ES"/>
              </w:rPr>
              <w:t>3,24</w:t>
            </w:r>
          </w:p>
        </w:tc>
        <w:tc>
          <w:tcPr>
            <w:tcW w:w="708" w:type="dxa"/>
            <w:tcBorders>
              <w:top w:val="nil"/>
              <w:left w:val="nil"/>
              <w:bottom w:val="nil"/>
              <w:right w:val="nil"/>
            </w:tcBorders>
            <w:shd w:val="clear" w:color="auto" w:fill="auto"/>
            <w:noWrap/>
            <w:vAlign w:val="bottom"/>
          </w:tcPr>
          <w:p w14:paraId="2924D0AD" w14:textId="77777777" w:rsidR="001861DC" w:rsidRPr="00F04C8B" w:rsidRDefault="001861DC" w:rsidP="002E0516">
            <w:pPr>
              <w:jc w:val="right"/>
              <w:rPr>
                <w:rFonts w:ascii="Segoe UI" w:eastAsia="Times New Roman" w:hAnsi="Segoe UI" w:cs="Segoe UI"/>
                <w:sz w:val="20"/>
                <w:szCs w:val="20"/>
                <w:lang w:eastAsia="es-ES"/>
              </w:rPr>
            </w:pPr>
            <w:r>
              <w:rPr>
                <w:rFonts w:ascii="Segoe UI" w:eastAsia="Times New Roman" w:hAnsi="Segoe UI" w:cs="Segoe UI"/>
                <w:sz w:val="20"/>
                <w:szCs w:val="20"/>
                <w:lang w:eastAsia="es-ES"/>
              </w:rPr>
              <w:t>2,40</w:t>
            </w:r>
          </w:p>
        </w:tc>
        <w:tc>
          <w:tcPr>
            <w:tcW w:w="709" w:type="dxa"/>
            <w:tcBorders>
              <w:top w:val="nil"/>
              <w:left w:val="nil"/>
              <w:bottom w:val="nil"/>
              <w:right w:val="nil"/>
            </w:tcBorders>
          </w:tcPr>
          <w:p w14:paraId="04663BA4" w14:textId="77777777" w:rsidR="001861DC" w:rsidRPr="00F04C8B" w:rsidRDefault="001861DC" w:rsidP="002E0516">
            <w:pPr>
              <w:jc w:val="right"/>
              <w:rPr>
                <w:rFonts w:ascii="Segoe UI" w:eastAsia="Times New Roman" w:hAnsi="Segoe UI" w:cs="Segoe UI"/>
                <w:sz w:val="20"/>
                <w:szCs w:val="20"/>
                <w:lang w:eastAsia="es-ES"/>
              </w:rPr>
            </w:pPr>
            <w:r>
              <w:rPr>
                <w:rFonts w:ascii="Segoe UI" w:eastAsia="Times New Roman" w:hAnsi="Segoe UI" w:cs="Segoe UI"/>
                <w:sz w:val="20"/>
                <w:szCs w:val="20"/>
                <w:lang w:eastAsia="es-ES"/>
              </w:rPr>
              <w:t>6,12</w:t>
            </w:r>
          </w:p>
        </w:tc>
      </w:tr>
      <w:tr w:rsidR="001861DC" w:rsidRPr="00F04C8B" w14:paraId="6B8D7AB2" w14:textId="77777777" w:rsidTr="002E0516">
        <w:trPr>
          <w:trHeight w:val="285"/>
          <w:jc w:val="center"/>
        </w:trPr>
        <w:tc>
          <w:tcPr>
            <w:tcW w:w="3402" w:type="dxa"/>
            <w:tcBorders>
              <w:top w:val="nil"/>
              <w:left w:val="nil"/>
              <w:bottom w:val="nil"/>
              <w:right w:val="nil"/>
            </w:tcBorders>
            <w:shd w:val="clear" w:color="auto" w:fill="auto"/>
            <w:noWrap/>
            <w:vAlign w:val="bottom"/>
            <w:hideMark/>
          </w:tcPr>
          <w:p w14:paraId="74333A87" w14:textId="77777777" w:rsidR="001861DC" w:rsidRPr="00F04C8B" w:rsidRDefault="001861DC" w:rsidP="002E0516">
            <w:pPr>
              <w:jc w:val="left"/>
              <w:rPr>
                <w:rFonts w:ascii="Segoe UI" w:eastAsia="Times New Roman" w:hAnsi="Segoe UI" w:cs="Segoe UI"/>
                <w:sz w:val="20"/>
                <w:szCs w:val="20"/>
                <w:lang w:eastAsia="es-ES"/>
              </w:rPr>
            </w:pPr>
            <w:r>
              <w:rPr>
                <w:rFonts w:ascii="Segoe UI" w:eastAsia="Times New Roman" w:hAnsi="Segoe UI" w:cs="Segoe UI"/>
                <w:sz w:val="20"/>
                <w:szCs w:val="20"/>
                <w:lang w:eastAsia="es-ES"/>
              </w:rPr>
              <w:t>Instituciones</w:t>
            </w:r>
            <w:r w:rsidRPr="00F04C8B">
              <w:rPr>
                <w:rFonts w:ascii="Segoe UI" w:eastAsia="Times New Roman" w:hAnsi="Segoe UI" w:cs="Segoe UI"/>
                <w:sz w:val="20"/>
                <w:szCs w:val="20"/>
                <w:lang w:eastAsia="es-ES"/>
              </w:rPr>
              <w:t xml:space="preserve"> Públicas no Financieras</w:t>
            </w:r>
          </w:p>
        </w:tc>
        <w:tc>
          <w:tcPr>
            <w:tcW w:w="709" w:type="dxa"/>
            <w:tcBorders>
              <w:top w:val="nil"/>
              <w:left w:val="nil"/>
              <w:bottom w:val="nil"/>
              <w:right w:val="nil"/>
            </w:tcBorders>
          </w:tcPr>
          <w:p w14:paraId="6C5953D6" w14:textId="77777777" w:rsidR="001861DC" w:rsidRDefault="001861DC" w:rsidP="002E0516">
            <w:pPr>
              <w:jc w:val="right"/>
              <w:rPr>
                <w:rFonts w:ascii="Segoe UI" w:eastAsia="Times New Roman" w:hAnsi="Segoe UI" w:cs="Segoe UI"/>
                <w:sz w:val="20"/>
                <w:szCs w:val="20"/>
                <w:lang w:eastAsia="es-ES"/>
              </w:rPr>
            </w:pPr>
            <w:r>
              <w:rPr>
                <w:rFonts w:ascii="Segoe UI" w:eastAsia="Times New Roman" w:hAnsi="Segoe UI" w:cs="Segoe UI"/>
                <w:sz w:val="20"/>
                <w:szCs w:val="20"/>
                <w:lang w:eastAsia="es-ES"/>
              </w:rPr>
              <w:t>0,94</w:t>
            </w:r>
          </w:p>
        </w:tc>
        <w:tc>
          <w:tcPr>
            <w:tcW w:w="709" w:type="dxa"/>
            <w:tcBorders>
              <w:top w:val="nil"/>
              <w:left w:val="nil"/>
              <w:bottom w:val="nil"/>
              <w:right w:val="nil"/>
            </w:tcBorders>
            <w:shd w:val="clear" w:color="auto" w:fill="auto"/>
            <w:noWrap/>
            <w:vAlign w:val="bottom"/>
          </w:tcPr>
          <w:p w14:paraId="39F23041" w14:textId="77777777" w:rsidR="001861DC" w:rsidRPr="00F04C8B" w:rsidRDefault="001861DC" w:rsidP="002E0516">
            <w:pPr>
              <w:jc w:val="right"/>
              <w:rPr>
                <w:rFonts w:ascii="Segoe UI" w:eastAsia="Times New Roman" w:hAnsi="Segoe UI" w:cs="Segoe UI"/>
                <w:sz w:val="20"/>
                <w:szCs w:val="20"/>
                <w:lang w:eastAsia="es-ES"/>
              </w:rPr>
            </w:pPr>
            <w:r>
              <w:rPr>
                <w:rFonts w:ascii="Segoe UI" w:eastAsia="Times New Roman" w:hAnsi="Segoe UI" w:cs="Segoe UI"/>
                <w:sz w:val="20"/>
                <w:szCs w:val="20"/>
                <w:lang w:eastAsia="es-ES"/>
              </w:rPr>
              <w:t>1,49</w:t>
            </w:r>
          </w:p>
        </w:tc>
        <w:tc>
          <w:tcPr>
            <w:tcW w:w="708" w:type="dxa"/>
            <w:tcBorders>
              <w:top w:val="nil"/>
              <w:left w:val="nil"/>
              <w:bottom w:val="nil"/>
              <w:right w:val="nil"/>
            </w:tcBorders>
            <w:shd w:val="clear" w:color="auto" w:fill="auto"/>
            <w:noWrap/>
            <w:vAlign w:val="bottom"/>
          </w:tcPr>
          <w:p w14:paraId="1B31FCAA" w14:textId="77777777" w:rsidR="001861DC" w:rsidRPr="00F04C8B" w:rsidRDefault="001861DC" w:rsidP="002E0516">
            <w:pPr>
              <w:jc w:val="right"/>
              <w:rPr>
                <w:rFonts w:ascii="Segoe UI" w:eastAsia="Times New Roman" w:hAnsi="Segoe UI" w:cs="Segoe UI"/>
                <w:sz w:val="20"/>
                <w:szCs w:val="20"/>
                <w:lang w:eastAsia="es-ES"/>
              </w:rPr>
            </w:pPr>
            <w:r>
              <w:rPr>
                <w:rFonts w:ascii="Segoe UI" w:eastAsia="Times New Roman" w:hAnsi="Segoe UI" w:cs="Segoe UI"/>
                <w:sz w:val="20"/>
                <w:szCs w:val="20"/>
                <w:lang w:eastAsia="es-ES"/>
              </w:rPr>
              <w:t>5,41</w:t>
            </w:r>
          </w:p>
        </w:tc>
        <w:tc>
          <w:tcPr>
            <w:tcW w:w="709" w:type="dxa"/>
            <w:tcBorders>
              <w:top w:val="nil"/>
              <w:left w:val="nil"/>
              <w:bottom w:val="nil"/>
              <w:right w:val="nil"/>
            </w:tcBorders>
          </w:tcPr>
          <w:p w14:paraId="67B6D16F" w14:textId="77777777" w:rsidR="001861DC" w:rsidRPr="00F04C8B" w:rsidRDefault="001861DC" w:rsidP="002E0516">
            <w:pPr>
              <w:jc w:val="right"/>
              <w:rPr>
                <w:rFonts w:ascii="Segoe UI" w:eastAsia="Times New Roman" w:hAnsi="Segoe UI" w:cs="Segoe UI"/>
                <w:sz w:val="20"/>
                <w:szCs w:val="20"/>
                <w:lang w:eastAsia="es-ES"/>
              </w:rPr>
            </w:pPr>
            <w:r>
              <w:rPr>
                <w:rFonts w:ascii="Segoe UI" w:eastAsia="Times New Roman" w:hAnsi="Segoe UI" w:cs="Segoe UI"/>
                <w:sz w:val="20"/>
                <w:szCs w:val="20"/>
                <w:lang w:eastAsia="es-ES"/>
              </w:rPr>
              <w:t>3,48</w:t>
            </w:r>
          </w:p>
        </w:tc>
      </w:tr>
      <w:tr w:rsidR="001861DC" w:rsidRPr="00F04C8B" w14:paraId="2DDE117E" w14:textId="77777777" w:rsidTr="002E0516">
        <w:trPr>
          <w:trHeight w:val="285"/>
          <w:jc w:val="center"/>
        </w:trPr>
        <w:tc>
          <w:tcPr>
            <w:tcW w:w="3402" w:type="dxa"/>
            <w:tcBorders>
              <w:top w:val="nil"/>
              <w:left w:val="nil"/>
              <w:bottom w:val="nil"/>
              <w:right w:val="nil"/>
            </w:tcBorders>
            <w:shd w:val="clear" w:color="auto" w:fill="auto"/>
            <w:noWrap/>
            <w:vAlign w:val="bottom"/>
            <w:hideMark/>
          </w:tcPr>
          <w:p w14:paraId="2DA8E3AB" w14:textId="77777777" w:rsidR="001861DC" w:rsidRPr="00F04C8B" w:rsidRDefault="001861DC" w:rsidP="002E0516">
            <w:pPr>
              <w:jc w:val="left"/>
              <w:rPr>
                <w:rFonts w:ascii="Segoe UI" w:eastAsia="Times New Roman" w:hAnsi="Segoe UI" w:cs="Segoe UI"/>
                <w:sz w:val="20"/>
                <w:szCs w:val="20"/>
                <w:lang w:eastAsia="es-ES"/>
              </w:rPr>
            </w:pPr>
            <w:r w:rsidRPr="00F04C8B">
              <w:rPr>
                <w:rFonts w:ascii="Segoe UI" w:eastAsia="Times New Roman" w:hAnsi="Segoe UI" w:cs="Segoe UI"/>
                <w:sz w:val="20"/>
                <w:szCs w:val="20"/>
                <w:lang w:eastAsia="es-ES"/>
              </w:rPr>
              <w:t>Ins</w:t>
            </w:r>
            <w:r>
              <w:rPr>
                <w:rFonts w:ascii="Segoe UI" w:eastAsia="Times New Roman" w:hAnsi="Segoe UI" w:cs="Segoe UI"/>
                <w:sz w:val="20"/>
                <w:szCs w:val="20"/>
                <w:lang w:eastAsia="es-ES"/>
              </w:rPr>
              <w:t>tituciones</w:t>
            </w:r>
            <w:r w:rsidRPr="00F04C8B">
              <w:rPr>
                <w:rFonts w:ascii="Segoe UI" w:eastAsia="Times New Roman" w:hAnsi="Segoe UI" w:cs="Segoe UI"/>
                <w:sz w:val="20"/>
                <w:szCs w:val="20"/>
                <w:lang w:eastAsia="es-ES"/>
              </w:rPr>
              <w:t xml:space="preserve"> Públicas Financieras</w:t>
            </w:r>
          </w:p>
        </w:tc>
        <w:tc>
          <w:tcPr>
            <w:tcW w:w="709" w:type="dxa"/>
            <w:tcBorders>
              <w:top w:val="nil"/>
              <w:left w:val="nil"/>
              <w:bottom w:val="nil"/>
              <w:right w:val="nil"/>
            </w:tcBorders>
          </w:tcPr>
          <w:p w14:paraId="4332EB44" w14:textId="77777777" w:rsidR="001861DC" w:rsidRDefault="001861DC" w:rsidP="002E0516">
            <w:pPr>
              <w:jc w:val="right"/>
              <w:rPr>
                <w:rFonts w:ascii="Segoe UI" w:eastAsia="Times New Roman" w:hAnsi="Segoe UI" w:cs="Segoe UI"/>
                <w:sz w:val="20"/>
                <w:szCs w:val="20"/>
                <w:lang w:eastAsia="es-ES"/>
              </w:rPr>
            </w:pPr>
            <w:r>
              <w:rPr>
                <w:rFonts w:ascii="Segoe UI" w:eastAsia="Times New Roman" w:hAnsi="Segoe UI" w:cs="Segoe UI"/>
                <w:sz w:val="20"/>
                <w:szCs w:val="20"/>
                <w:lang w:eastAsia="es-ES"/>
              </w:rPr>
              <w:t>2,47</w:t>
            </w:r>
          </w:p>
        </w:tc>
        <w:tc>
          <w:tcPr>
            <w:tcW w:w="709" w:type="dxa"/>
            <w:tcBorders>
              <w:top w:val="nil"/>
              <w:left w:val="nil"/>
              <w:bottom w:val="nil"/>
              <w:right w:val="nil"/>
            </w:tcBorders>
            <w:shd w:val="clear" w:color="auto" w:fill="auto"/>
            <w:noWrap/>
            <w:vAlign w:val="bottom"/>
          </w:tcPr>
          <w:p w14:paraId="137868DF" w14:textId="77777777" w:rsidR="001861DC" w:rsidRPr="00F04C8B" w:rsidRDefault="001861DC" w:rsidP="002E0516">
            <w:pPr>
              <w:jc w:val="right"/>
              <w:rPr>
                <w:rFonts w:ascii="Segoe UI" w:eastAsia="Times New Roman" w:hAnsi="Segoe UI" w:cs="Segoe UI"/>
                <w:sz w:val="20"/>
                <w:szCs w:val="20"/>
                <w:lang w:eastAsia="es-ES"/>
              </w:rPr>
            </w:pPr>
            <w:r>
              <w:rPr>
                <w:rFonts w:ascii="Segoe UI" w:eastAsia="Times New Roman" w:hAnsi="Segoe UI" w:cs="Segoe UI"/>
                <w:sz w:val="20"/>
                <w:szCs w:val="20"/>
                <w:lang w:eastAsia="es-ES"/>
              </w:rPr>
              <w:t>3,96</w:t>
            </w:r>
          </w:p>
        </w:tc>
        <w:tc>
          <w:tcPr>
            <w:tcW w:w="708" w:type="dxa"/>
            <w:tcBorders>
              <w:top w:val="nil"/>
              <w:left w:val="nil"/>
              <w:bottom w:val="nil"/>
              <w:right w:val="nil"/>
            </w:tcBorders>
            <w:shd w:val="clear" w:color="auto" w:fill="auto"/>
            <w:noWrap/>
            <w:vAlign w:val="bottom"/>
          </w:tcPr>
          <w:p w14:paraId="0D5BEC56" w14:textId="77777777" w:rsidR="001861DC" w:rsidRPr="00F04C8B" w:rsidRDefault="001861DC" w:rsidP="002E0516">
            <w:pPr>
              <w:jc w:val="right"/>
              <w:rPr>
                <w:rFonts w:ascii="Segoe UI" w:eastAsia="Times New Roman" w:hAnsi="Segoe UI" w:cs="Segoe UI"/>
                <w:sz w:val="20"/>
                <w:szCs w:val="20"/>
                <w:lang w:eastAsia="es-ES"/>
              </w:rPr>
            </w:pPr>
            <w:r>
              <w:rPr>
                <w:rFonts w:ascii="Segoe UI" w:eastAsia="Times New Roman" w:hAnsi="Segoe UI" w:cs="Segoe UI"/>
                <w:sz w:val="20"/>
                <w:szCs w:val="20"/>
                <w:lang w:eastAsia="es-ES"/>
              </w:rPr>
              <w:t>7,29</w:t>
            </w:r>
          </w:p>
        </w:tc>
        <w:tc>
          <w:tcPr>
            <w:tcW w:w="709" w:type="dxa"/>
            <w:tcBorders>
              <w:top w:val="nil"/>
              <w:left w:val="nil"/>
              <w:bottom w:val="nil"/>
              <w:right w:val="nil"/>
            </w:tcBorders>
          </w:tcPr>
          <w:p w14:paraId="1A8650FF" w14:textId="77777777" w:rsidR="001861DC" w:rsidRPr="00F04C8B" w:rsidRDefault="001861DC" w:rsidP="002E0516">
            <w:pPr>
              <w:jc w:val="right"/>
              <w:rPr>
                <w:rFonts w:ascii="Segoe UI" w:eastAsia="Times New Roman" w:hAnsi="Segoe UI" w:cs="Segoe UI"/>
                <w:sz w:val="20"/>
                <w:szCs w:val="20"/>
                <w:lang w:eastAsia="es-ES"/>
              </w:rPr>
            </w:pPr>
            <w:r>
              <w:rPr>
                <w:rFonts w:ascii="Segoe UI" w:eastAsia="Times New Roman" w:hAnsi="Segoe UI" w:cs="Segoe UI"/>
                <w:sz w:val="20"/>
                <w:szCs w:val="20"/>
                <w:lang w:eastAsia="es-ES"/>
              </w:rPr>
              <w:t>10,58</w:t>
            </w:r>
          </w:p>
        </w:tc>
      </w:tr>
      <w:tr w:rsidR="001861DC" w:rsidRPr="00F04C8B" w14:paraId="10133546" w14:textId="77777777" w:rsidTr="002E0516">
        <w:trPr>
          <w:trHeight w:val="285"/>
          <w:jc w:val="center"/>
        </w:trPr>
        <w:tc>
          <w:tcPr>
            <w:tcW w:w="3402" w:type="dxa"/>
            <w:tcBorders>
              <w:top w:val="nil"/>
              <w:left w:val="nil"/>
              <w:bottom w:val="nil"/>
              <w:right w:val="nil"/>
            </w:tcBorders>
            <w:shd w:val="clear" w:color="auto" w:fill="auto"/>
            <w:noWrap/>
            <w:vAlign w:val="bottom"/>
            <w:hideMark/>
          </w:tcPr>
          <w:p w14:paraId="3B51D3DC" w14:textId="77777777" w:rsidR="001861DC" w:rsidRPr="00F04C8B" w:rsidRDefault="001861DC" w:rsidP="002E0516">
            <w:pPr>
              <w:jc w:val="left"/>
              <w:rPr>
                <w:rFonts w:ascii="Segoe UI" w:eastAsia="Times New Roman" w:hAnsi="Segoe UI" w:cs="Segoe UI"/>
                <w:sz w:val="20"/>
                <w:szCs w:val="20"/>
                <w:lang w:eastAsia="es-ES"/>
              </w:rPr>
            </w:pPr>
            <w:r>
              <w:rPr>
                <w:rFonts w:ascii="Segoe UI" w:eastAsia="Times New Roman" w:hAnsi="Segoe UI" w:cs="Segoe UI"/>
                <w:sz w:val="20"/>
                <w:szCs w:val="20"/>
                <w:lang w:eastAsia="es-ES"/>
              </w:rPr>
              <w:t>MH</w:t>
            </w:r>
            <w:r w:rsidRPr="00F04C8B">
              <w:rPr>
                <w:rFonts w:ascii="Segoe UI" w:eastAsia="Times New Roman" w:hAnsi="Segoe UI" w:cs="Segoe UI"/>
                <w:sz w:val="20"/>
                <w:szCs w:val="20"/>
                <w:lang w:eastAsia="es-ES"/>
              </w:rPr>
              <w:t xml:space="preserve"> y BCCR</w:t>
            </w:r>
          </w:p>
        </w:tc>
        <w:tc>
          <w:tcPr>
            <w:tcW w:w="709" w:type="dxa"/>
            <w:tcBorders>
              <w:top w:val="nil"/>
              <w:left w:val="nil"/>
              <w:bottom w:val="nil"/>
              <w:right w:val="nil"/>
            </w:tcBorders>
          </w:tcPr>
          <w:p w14:paraId="4D396488" w14:textId="77777777" w:rsidR="001861DC" w:rsidRDefault="001861DC" w:rsidP="002E0516">
            <w:pPr>
              <w:jc w:val="right"/>
              <w:rPr>
                <w:rFonts w:ascii="Segoe UI" w:eastAsia="Times New Roman" w:hAnsi="Segoe UI" w:cs="Segoe UI"/>
                <w:sz w:val="20"/>
                <w:szCs w:val="20"/>
                <w:lang w:eastAsia="es-ES"/>
              </w:rPr>
            </w:pPr>
            <w:r>
              <w:rPr>
                <w:rFonts w:ascii="Segoe UI" w:eastAsia="Times New Roman" w:hAnsi="Segoe UI" w:cs="Segoe UI"/>
                <w:sz w:val="20"/>
                <w:szCs w:val="20"/>
                <w:lang w:eastAsia="es-ES"/>
              </w:rPr>
              <w:t>77,94</w:t>
            </w:r>
          </w:p>
        </w:tc>
        <w:tc>
          <w:tcPr>
            <w:tcW w:w="709" w:type="dxa"/>
            <w:tcBorders>
              <w:top w:val="nil"/>
              <w:left w:val="nil"/>
              <w:bottom w:val="nil"/>
              <w:right w:val="nil"/>
            </w:tcBorders>
            <w:shd w:val="clear" w:color="auto" w:fill="auto"/>
            <w:noWrap/>
            <w:vAlign w:val="bottom"/>
          </w:tcPr>
          <w:p w14:paraId="2DD2856E" w14:textId="77777777" w:rsidR="001861DC" w:rsidRPr="00F04C8B" w:rsidRDefault="001861DC" w:rsidP="002E0516">
            <w:pPr>
              <w:jc w:val="right"/>
              <w:rPr>
                <w:rFonts w:ascii="Segoe UI" w:eastAsia="Times New Roman" w:hAnsi="Segoe UI" w:cs="Segoe UI"/>
                <w:sz w:val="20"/>
                <w:szCs w:val="20"/>
                <w:lang w:eastAsia="es-ES"/>
              </w:rPr>
            </w:pPr>
            <w:r>
              <w:rPr>
                <w:rFonts w:ascii="Segoe UI" w:eastAsia="Times New Roman" w:hAnsi="Segoe UI" w:cs="Segoe UI"/>
                <w:sz w:val="20"/>
                <w:szCs w:val="20"/>
                <w:lang w:eastAsia="es-ES"/>
              </w:rPr>
              <w:t>70,05</w:t>
            </w:r>
          </w:p>
        </w:tc>
        <w:tc>
          <w:tcPr>
            <w:tcW w:w="708" w:type="dxa"/>
            <w:tcBorders>
              <w:top w:val="nil"/>
              <w:left w:val="nil"/>
              <w:bottom w:val="nil"/>
              <w:right w:val="nil"/>
            </w:tcBorders>
            <w:shd w:val="clear" w:color="auto" w:fill="auto"/>
            <w:noWrap/>
            <w:vAlign w:val="bottom"/>
          </w:tcPr>
          <w:p w14:paraId="0055A681" w14:textId="77777777" w:rsidR="001861DC" w:rsidRPr="00F04C8B" w:rsidRDefault="001861DC" w:rsidP="002E0516">
            <w:pPr>
              <w:jc w:val="right"/>
              <w:rPr>
                <w:rFonts w:ascii="Segoe UI" w:eastAsia="Times New Roman" w:hAnsi="Segoe UI" w:cs="Segoe UI"/>
                <w:sz w:val="20"/>
                <w:szCs w:val="20"/>
                <w:lang w:eastAsia="es-ES"/>
              </w:rPr>
            </w:pPr>
            <w:r>
              <w:rPr>
                <w:rFonts w:ascii="Segoe UI" w:eastAsia="Times New Roman" w:hAnsi="Segoe UI" w:cs="Segoe UI"/>
                <w:sz w:val="20"/>
                <w:szCs w:val="20"/>
                <w:lang w:eastAsia="es-ES"/>
              </w:rPr>
              <w:t>60,97</w:t>
            </w:r>
          </w:p>
        </w:tc>
        <w:tc>
          <w:tcPr>
            <w:tcW w:w="709" w:type="dxa"/>
            <w:tcBorders>
              <w:top w:val="nil"/>
              <w:left w:val="nil"/>
              <w:bottom w:val="nil"/>
              <w:right w:val="nil"/>
            </w:tcBorders>
          </w:tcPr>
          <w:p w14:paraId="70E158A9" w14:textId="77777777" w:rsidR="001861DC" w:rsidRPr="00F04C8B" w:rsidRDefault="001861DC" w:rsidP="002E0516">
            <w:pPr>
              <w:jc w:val="right"/>
              <w:rPr>
                <w:rFonts w:ascii="Segoe UI" w:eastAsia="Times New Roman" w:hAnsi="Segoe UI" w:cs="Segoe UI"/>
                <w:sz w:val="20"/>
                <w:szCs w:val="20"/>
                <w:lang w:eastAsia="es-ES"/>
              </w:rPr>
            </w:pPr>
            <w:r>
              <w:rPr>
                <w:rFonts w:ascii="Segoe UI" w:eastAsia="Times New Roman" w:hAnsi="Segoe UI" w:cs="Segoe UI"/>
                <w:sz w:val="20"/>
                <w:szCs w:val="20"/>
                <w:lang w:eastAsia="es-ES"/>
              </w:rPr>
              <w:t>58,81</w:t>
            </w:r>
          </w:p>
        </w:tc>
      </w:tr>
      <w:tr w:rsidR="001861DC" w:rsidRPr="00F04C8B" w14:paraId="6C8F8890" w14:textId="77777777" w:rsidTr="002E0516">
        <w:trPr>
          <w:trHeight w:val="285"/>
          <w:jc w:val="center"/>
        </w:trPr>
        <w:tc>
          <w:tcPr>
            <w:tcW w:w="3402" w:type="dxa"/>
            <w:tcBorders>
              <w:top w:val="nil"/>
              <w:left w:val="nil"/>
              <w:bottom w:val="single" w:sz="4" w:space="0" w:color="auto"/>
              <w:right w:val="nil"/>
            </w:tcBorders>
            <w:shd w:val="clear" w:color="auto" w:fill="auto"/>
            <w:noWrap/>
            <w:vAlign w:val="bottom"/>
            <w:hideMark/>
          </w:tcPr>
          <w:p w14:paraId="4BEF7341" w14:textId="77777777" w:rsidR="001861DC" w:rsidRPr="00F04C8B" w:rsidRDefault="001861DC" w:rsidP="002E0516">
            <w:pPr>
              <w:jc w:val="left"/>
              <w:rPr>
                <w:rFonts w:ascii="Segoe UI" w:eastAsia="Times New Roman" w:hAnsi="Segoe UI" w:cs="Segoe UI"/>
                <w:sz w:val="20"/>
                <w:szCs w:val="20"/>
                <w:lang w:eastAsia="es-ES"/>
              </w:rPr>
            </w:pPr>
            <w:r w:rsidRPr="00F04C8B">
              <w:rPr>
                <w:rFonts w:ascii="Segoe UI" w:eastAsia="Times New Roman" w:hAnsi="Segoe UI" w:cs="Segoe UI"/>
                <w:sz w:val="20"/>
                <w:szCs w:val="20"/>
                <w:lang w:eastAsia="es-ES"/>
              </w:rPr>
              <w:t>Sector Privado</w:t>
            </w:r>
          </w:p>
        </w:tc>
        <w:tc>
          <w:tcPr>
            <w:tcW w:w="709" w:type="dxa"/>
            <w:tcBorders>
              <w:top w:val="nil"/>
              <w:left w:val="nil"/>
              <w:bottom w:val="single" w:sz="4" w:space="0" w:color="auto"/>
              <w:right w:val="nil"/>
            </w:tcBorders>
          </w:tcPr>
          <w:p w14:paraId="3C2560A0" w14:textId="77777777" w:rsidR="001861DC" w:rsidRDefault="001861DC" w:rsidP="002E0516">
            <w:pPr>
              <w:jc w:val="right"/>
              <w:rPr>
                <w:rFonts w:ascii="Segoe UI" w:eastAsia="Times New Roman" w:hAnsi="Segoe UI" w:cs="Segoe UI"/>
                <w:sz w:val="20"/>
                <w:szCs w:val="20"/>
                <w:lang w:eastAsia="es-ES"/>
              </w:rPr>
            </w:pPr>
            <w:r>
              <w:rPr>
                <w:rFonts w:ascii="Segoe UI" w:eastAsia="Times New Roman" w:hAnsi="Segoe UI" w:cs="Segoe UI"/>
                <w:sz w:val="20"/>
                <w:szCs w:val="20"/>
                <w:lang w:eastAsia="es-ES"/>
              </w:rPr>
              <w:t>18,66</w:t>
            </w:r>
          </w:p>
        </w:tc>
        <w:tc>
          <w:tcPr>
            <w:tcW w:w="709" w:type="dxa"/>
            <w:tcBorders>
              <w:top w:val="nil"/>
              <w:left w:val="nil"/>
              <w:bottom w:val="single" w:sz="4" w:space="0" w:color="auto"/>
              <w:right w:val="nil"/>
            </w:tcBorders>
            <w:shd w:val="clear" w:color="auto" w:fill="auto"/>
            <w:noWrap/>
            <w:vAlign w:val="bottom"/>
          </w:tcPr>
          <w:p w14:paraId="00F8B611" w14:textId="77777777" w:rsidR="001861DC" w:rsidRPr="00F04C8B" w:rsidRDefault="001861DC" w:rsidP="002E0516">
            <w:pPr>
              <w:jc w:val="right"/>
              <w:rPr>
                <w:rFonts w:ascii="Segoe UI" w:eastAsia="Times New Roman" w:hAnsi="Segoe UI" w:cs="Segoe UI"/>
                <w:sz w:val="20"/>
                <w:szCs w:val="20"/>
                <w:lang w:eastAsia="es-ES"/>
              </w:rPr>
            </w:pPr>
            <w:r>
              <w:rPr>
                <w:rFonts w:ascii="Segoe UI" w:eastAsia="Times New Roman" w:hAnsi="Segoe UI" w:cs="Segoe UI"/>
                <w:sz w:val="20"/>
                <w:szCs w:val="20"/>
                <w:lang w:eastAsia="es-ES"/>
              </w:rPr>
              <w:t>20,43</w:t>
            </w:r>
          </w:p>
        </w:tc>
        <w:tc>
          <w:tcPr>
            <w:tcW w:w="708" w:type="dxa"/>
            <w:tcBorders>
              <w:top w:val="nil"/>
              <w:left w:val="nil"/>
              <w:bottom w:val="single" w:sz="4" w:space="0" w:color="auto"/>
              <w:right w:val="nil"/>
            </w:tcBorders>
            <w:shd w:val="clear" w:color="auto" w:fill="auto"/>
            <w:noWrap/>
            <w:vAlign w:val="bottom"/>
          </w:tcPr>
          <w:p w14:paraId="606D58C8" w14:textId="77777777" w:rsidR="001861DC" w:rsidRPr="00F04C8B" w:rsidRDefault="001861DC" w:rsidP="002E0516">
            <w:pPr>
              <w:jc w:val="right"/>
              <w:rPr>
                <w:rFonts w:ascii="Segoe UI" w:eastAsia="Times New Roman" w:hAnsi="Segoe UI" w:cs="Segoe UI"/>
                <w:sz w:val="20"/>
                <w:szCs w:val="20"/>
                <w:lang w:eastAsia="es-ES"/>
              </w:rPr>
            </w:pPr>
            <w:r>
              <w:rPr>
                <w:rFonts w:ascii="Segoe UI" w:eastAsia="Times New Roman" w:hAnsi="Segoe UI" w:cs="Segoe UI"/>
                <w:sz w:val="20"/>
                <w:szCs w:val="20"/>
                <w:lang w:eastAsia="es-ES"/>
              </w:rPr>
              <w:t>21,75</w:t>
            </w:r>
          </w:p>
        </w:tc>
        <w:tc>
          <w:tcPr>
            <w:tcW w:w="709" w:type="dxa"/>
            <w:tcBorders>
              <w:top w:val="nil"/>
              <w:left w:val="nil"/>
              <w:bottom w:val="single" w:sz="4" w:space="0" w:color="auto"/>
              <w:right w:val="nil"/>
            </w:tcBorders>
          </w:tcPr>
          <w:p w14:paraId="5DF3C9BF" w14:textId="77777777" w:rsidR="001861DC" w:rsidRPr="00F04C8B" w:rsidRDefault="001861DC" w:rsidP="002E0516">
            <w:pPr>
              <w:jc w:val="right"/>
              <w:rPr>
                <w:rFonts w:ascii="Segoe UI" w:eastAsia="Times New Roman" w:hAnsi="Segoe UI" w:cs="Segoe UI"/>
                <w:sz w:val="20"/>
                <w:szCs w:val="20"/>
                <w:lang w:eastAsia="es-ES"/>
              </w:rPr>
            </w:pPr>
            <w:r>
              <w:rPr>
                <w:rFonts w:ascii="Segoe UI" w:eastAsia="Times New Roman" w:hAnsi="Segoe UI" w:cs="Segoe UI"/>
                <w:sz w:val="20"/>
                <w:szCs w:val="20"/>
                <w:lang w:eastAsia="es-ES"/>
              </w:rPr>
              <w:t>16,66</w:t>
            </w:r>
          </w:p>
        </w:tc>
      </w:tr>
    </w:tbl>
    <w:p w14:paraId="5976F6E5" w14:textId="77777777" w:rsidR="001861DC" w:rsidRDefault="001861DC" w:rsidP="001861DC"/>
    <w:p w14:paraId="43EA8F53" w14:textId="77777777" w:rsidR="001861DC" w:rsidRDefault="001861DC" w:rsidP="001861DC">
      <w:r>
        <w:lastRenderedPageBreak/>
        <w:t>La SUPEN está en un proceso de revisión de su modelo de supervisión basado en riesgos con el apoyo del Banco Mundial y del Toronto Centre. Ambas instituciones reconocen la conveniencia de estos límites siempre y cuando den la suficiente libertad al gestor para cumplir su labor en la administración de los portafolios de acuerdo a los intereses de los afiliados.</w:t>
      </w:r>
    </w:p>
    <w:p w14:paraId="18893EB8" w14:textId="77777777" w:rsidR="001861DC" w:rsidRDefault="001861DC" w:rsidP="001861DC"/>
    <w:p w14:paraId="6437CAF8" w14:textId="77777777" w:rsidR="001861DC" w:rsidRDefault="001861DC" w:rsidP="001861DC">
      <w:r>
        <w:t>La tendencia de estos organismos es que los gestores sean evaluados más allá de la rentabilidad que logran obtener. Se proponen medidas de desempeño asociadas a tasas de remplazo, posibilidades de honrar los beneficios definidos en el plan de pensiones y otros temas afines, de tal manera que se elimine el sesgo en los administradores de los portafolios por buscar instrumentos cuya relación riesgo-rendimiento se aleje de los fines perseguidos.</w:t>
      </w:r>
    </w:p>
    <w:p w14:paraId="4B7279CA" w14:textId="77777777" w:rsidR="001861DC" w:rsidRDefault="001861DC" w:rsidP="001861DC"/>
    <w:p w14:paraId="01B7113B" w14:textId="77777777" w:rsidR="001861DC" w:rsidRDefault="001861DC" w:rsidP="001861DC">
      <w:r>
        <w:t>Así las cosas, los futuros textos normativos de la SUPEN irán ampliando la libertad de los gestores en lo que a prohibiciones parciales se refiere, siempre y cuando estos demuestren que ya no es necesario su existencia, ya sea por su conocimiento o por la concientización que demuestren en defender los intereses de los afiliados.</w:t>
      </w:r>
    </w:p>
    <w:p w14:paraId="671CA58D" w14:textId="77777777" w:rsidR="001861DC" w:rsidRDefault="001861DC" w:rsidP="001861DC"/>
    <w:p w14:paraId="5107F701" w14:textId="77777777" w:rsidR="001861DC" w:rsidRDefault="001861DC" w:rsidP="001861DC">
      <w:pPr>
        <w:pStyle w:val="Ttulo1"/>
      </w:pPr>
      <w:r>
        <w:t>Límites en el Sistema Nacional de Pensiones</w:t>
      </w:r>
    </w:p>
    <w:p w14:paraId="399BB79B" w14:textId="77777777" w:rsidR="001861DC" w:rsidRDefault="001861DC" w:rsidP="001861DC"/>
    <w:p w14:paraId="25DF91C6" w14:textId="77777777" w:rsidR="001861DC" w:rsidRDefault="001861DC" w:rsidP="001861DC">
      <w:r>
        <w:t xml:space="preserve">Las razones por las cuales se definieron en el RIER los límites para el MH y el BCCR son: </w:t>
      </w:r>
    </w:p>
    <w:p w14:paraId="0CE811F4" w14:textId="77777777" w:rsidR="001861DC" w:rsidRDefault="001861DC" w:rsidP="001861DC"/>
    <w:p w14:paraId="3E0579E2" w14:textId="77777777" w:rsidR="001861DC" w:rsidRDefault="001861DC" w:rsidP="001861DC">
      <w:pPr>
        <w:pStyle w:val="Prrafodelista"/>
        <w:numPr>
          <w:ilvl w:val="0"/>
          <w:numId w:val="15"/>
        </w:numPr>
      </w:pPr>
      <w:r>
        <w:t>La LPT fijó un límite máximo global a las inversiones en mercados internacionales en un porcentaje de 50% del total de los activos disponibles. El 50% restante debería invertirse localmente proponiéndose que dicha inversión se realice en el MH y el BCCR.</w:t>
      </w:r>
    </w:p>
    <w:p w14:paraId="7321AE70" w14:textId="77777777" w:rsidR="001861DC" w:rsidRDefault="001861DC" w:rsidP="001861DC">
      <w:pPr>
        <w:pStyle w:val="Prrafodelista"/>
        <w:numPr>
          <w:ilvl w:val="0"/>
          <w:numId w:val="11"/>
        </w:numPr>
      </w:pPr>
      <w:r>
        <w:t>Los instrumentos de estos emisores son en su mayoría bonos, los cuales se caracterizan por su facilidad de gestión, dada la predictibilidad de los flujos y plazos en que se recibirán los pagos, así como sus valoraciones asociadas.</w:t>
      </w:r>
    </w:p>
    <w:p w14:paraId="6E2DE8A2" w14:textId="77777777" w:rsidR="001861DC" w:rsidRDefault="001861DC" w:rsidP="001861DC">
      <w:pPr>
        <w:pStyle w:val="Prrafodelista"/>
        <w:numPr>
          <w:ilvl w:val="0"/>
          <w:numId w:val="11"/>
        </w:numPr>
      </w:pPr>
      <w:r>
        <w:t>Son instrumentos en su mayoría en la moneda típica de los fondos, con lo cual se gestiona el riesgo de tipo de cambio.</w:t>
      </w:r>
    </w:p>
    <w:p w14:paraId="7242890F" w14:textId="77777777" w:rsidR="001861DC" w:rsidRDefault="001861DC" w:rsidP="001861DC">
      <w:pPr>
        <w:pStyle w:val="Prrafodelista"/>
        <w:numPr>
          <w:ilvl w:val="0"/>
          <w:numId w:val="11"/>
        </w:numPr>
      </w:pPr>
      <w:r>
        <w:t xml:space="preserve">Son instrumentos comparables internacionalmente. </w:t>
      </w:r>
    </w:p>
    <w:p w14:paraId="7D90E82D" w14:textId="77777777" w:rsidR="001861DC" w:rsidRDefault="001861DC" w:rsidP="001861DC">
      <w:pPr>
        <w:pStyle w:val="Prrafodelista"/>
        <w:numPr>
          <w:ilvl w:val="0"/>
          <w:numId w:val="11"/>
        </w:numPr>
      </w:pPr>
      <w:r>
        <w:t>Son instrumentos que dan la posibilidad a los gestores de invertir de acuerdo a los flujos típicos de los fondos.</w:t>
      </w:r>
    </w:p>
    <w:p w14:paraId="3B27FD8F" w14:textId="77777777" w:rsidR="001861DC" w:rsidRPr="00B45E32" w:rsidRDefault="001861DC" w:rsidP="001861DC">
      <w:pPr>
        <w:pStyle w:val="Prrafodelista"/>
        <w:numPr>
          <w:ilvl w:val="0"/>
          <w:numId w:val="11"/>
        </w:numPr>
      </w:pPr>
      <w:r>
        <w:t>El MH y el BCCR se han dado a la tarea de diseñar instrumentos en función de las necesidades de los fondos de pensión.</w:t>
      </w:r>
    </w:p>
    <w:p w14:paraId="0837307E" w14:textId="77777777" w:rsidR="001861DC" w:rsidRPr="00F87C39" w:rsidRDefault="001861DC" w:rsidP="001861DC"/>
    <w:p w14:paraId="484C0792" w14:textId="77777777" w:rsidR="001861DC" w:rsidRDefault="001861DC" w:rsidP="001861DC">
      <w:pPr>
        <w:pStyle w:val="Ttulo1"/>
      </w:pPr>
      <w:r>
        <w:t>Optimización de Carteras de los Fondos</w:t>
      </w:r>
    </w:p>
    <w:p w14:paraId="27CB55EA" w14:textId="77777777" w:rsidR="001861DC" w:rsidRDefault="001861DC" w:rsidP="001861DC"/>
    <w:p w14:paraId="3EABBEBC" w14:textId="77777777" w:rsidR="001861DC" w:rsidRDefault="001861DC" w:rsidP="001861DC">
      <w:r>
        <w:t xml:space="preserve">En el año 2012 la SUPEN contrató a la empresa </w:t>
      </w:r>
      <w:r w:rsidRPr="00F17728">
        <w:rPr>
          <w:i/>
        </w:rPr>
        <w:t>Novaster</w:t>
      </w:r>
      <w:r>
        <w:t xml:space="preserve"> para que realizara un análisis de los portafolios de los fondos de pensiones y construyera un modelo de optimización de carteras, utilizando los instrumentos financieros locales e internacionales. La consultoría se enfocó en aspectos relativos a las inversiones de los fondos para favorecer unas adecuadas políticas de inversión que inciten la dualidad rentabilidad/riesgo apropiada para mejorar las tasas de remplazo. Por la naturaleza de su análisis es prudente enumerar algunos de los puntos señalados:</w:t>
      </w:r>
    </w:p>
    <w:p w14:paraId="5DC10C22" w14:textId="77777777" w:rsidR="001861DC" w:rsidRDefault="001861DC" w:rsidP="001861DC"/>
    <w:p w14:paraId="51FB6C63" w14:textId="77777777" w:rsidR="001861DC" w:rsidRDefault="001861DC" w:rsidP="001861DC">
      <w:pPr>
        <w:pStyle w:val="Prrafodelista"/>
        <w:numPr>
          <w:ilvl w:val="0"/>
          <w:numId w:val="13"/>
        </w:numPr>
      </w:pPr>
      <w:r>
        <w:t>Si bien tal vez las capacidades técnicas de los equipos de gestión de inversiones son las adecuadas, es posible encontrar en la cadena de gobierno corporativo algunas fallas, en especial en lo tocante a la capacidad de los Comités de Inver</w:t>
      </w:r>
      <w:r>
        <w:lastRenderedPageBreak/>
        <w:t>siones de las Operadoras para ejercer las funciones que la norma les encomienda. En la medida en que los Comités de Inversiones premian la evaluación del desempeño en un horizonte de corto plazo, que puede ser incluso menos de un año, se agrega volatilidad al portafolio, porque al menor movimiento brusco del mercado la respuesta genere cambios de estrategia, llegando a crear un círculo vicioso que hay que tratar de quebrar.</w:t>
      </w:r>
    </w:p>
    <w:p w14:paraId="3579EB5B" w14:textId="77777777" w:rsidR="001861DC" w:rsidRDefault="001861DC" w:rsidP="001861DC">
      <w:pPr>
        <w:pStyle w:val="Prrafodelista"/>
        <w:numPr>
          <w:ilvl w:val="0"/>
          <w:numId w:val="13"/>
        </w:numPr>
      </w:pPr>
      <w:r>
        <w:t xml:space="preserve">La calidad y desarrollo del mercado puede presentar problemas de información, por las complicaciones en la formación de precios. </w:t>
      </w:r>
    </w:p>
    <w:p w14:paraId="2146D049" w14:textId="77777777" w:rsidR="001861DC" w:rsidRDefault="001861DC" w:rsidP="001861DC">
      <w:pPr>
        <w:pStyle w:val="Prrafodelista"/>
        <w:numPr>
          <w:ilvl w:val="0"/>
          <w:numId w:val="13"/>
        </w:numPr>
      </w:pPr>
      <w:r>
        <w:t xml:space="preserve">La inversión en instrumentos del Gobierno es muy relevante, con títulos cuyo nivel de negociación se hace difícil el establecimiento de precios reales de mercado. </w:t>
      </w:r>
    </w:p>
    <w:p w14:paraId="34B14C46" w14:textId="77777777" w:rsidR="001861DC" w:rsidRPr="00E31F11" w:rsidRDefault="001861DC" w:rsidP="001861DC">
      <w:pPr>
        <w:pStyle w:val="Prrafodelista"/>
        <w:numPr>
          <w:ilvl w:val="0"/>
          <w:numId w:val="13"/>
        </w:numPr>
      </w:pPr>
      <w:r>
        <w:t xml:space="preserve">Se utilizan vectores de precios, cuyo nivel de actualización no es suficiente, y </w:t>
      </w:r>
      <w:r w:rsidRPr="00E31F11">
        <w:t xml:space="preserve">puede producir variaciones importantes en las valoraciones de los portafolios. </w:t>
      </w:r>
    </w:p>
    <w:p w14:paraId="10C7E569" w14:textId="77777777" w:rsidR="001861DC" w:rsidRPr="00E31F11" w:rsidRDefault="001861DC" w:rsidP="001861DC">
      <w:pPr>
        <w:pStyle w:val="Prrafodelista"/>
        <w:numPr>
          <w:ilvl w:val="0"/>
          <w:numId w:val="13"/>
        </w:numPr>
      </w:pPr>
      <w:r w:rsidRPr="00E31F11">
        <w:t>Los títulos de operadores privados no presentan un proceso fluido de formación de precios.</w:t>
      </w:r>
    </w:p>
    <w:p w14:paraId="5FB8A7A9" w14:textId="77777777" w:rsidR="001861DC" w:rsidRDefault="001861DC" w:rsidP="001861DC">
      <w:pPr>
        <w:pStyle w:val="Prrafodelista"/>
        <w:numPr>
          <w:ilvl w:val="0"/>
          <w:numId w:val="13"/>
        </w:numPr>
      </w:pPr>
      <w:r>
        <w:t xml:space="preserve">Se observa uniformidad en los portafolios de las Operadoras, lo que genera que no haya diferenciación en resultados, ni por supuesto en riesgos. </w:t>
      </w:r>
    </w:p>
    <w:p w14:paraId="4A04F947" w14:textId="77777777" w:rsidR="001861DC" w:rsidRDefault="001861DC" w:rsidP="001861DC">
      <w:pPr>
        <w:pStyle w:val="Prrafodelista"/>
        <w:numPr>
          <w:ilvl w:val="0"/>
          <w:numId w:val="13"/>
        </w:numPr>
      </w:pPr>
      <w:r>
        <w:t>Falta experiencia en mercados foráneos.</w:t>
      </w:r>
    </w:p>
    <w:p w14:paraId="3BDBEE70" w14:textId="77777777" w:rsidR="001861DC" w:rsidRDefault="001861DC" w:rsidP="001861DC">
      <w:pPr>
        <w:pStyle w:val="Prrafodelista"/>
        <w:numPr>
          <w:ilvl w:val="0"/>
          <w:numId w:val="13"/>
        </w:numPr>
      </w:pPr>
      <w:r>
        <w:t xml:space="preserve">Hay necesidades fiscales del Gobierno que hacen que sus títulos se lleguen a ofrecer en las subastas a precios por encima de la curva. </w:t>
      </w:r>
    </w:p>
    <w:p w14:paraId="7F5709C3" w14:textId="77777777" w:rsidR="001861DC" w:rsidRDefault="001861DC" w:rsidP="001861DC">
      <w:pPr>
        <w:pStyle w:val="Prrafodelista"/>
        <w:numPr>
          <w:ilvl w:val="0"/>
          <w:numId w:val="13"/>
        </w:numPr>
      </w:pPr>
      <w:r>
        <w:t xml:space="preserve">La elevada prima de riesgo que paga el Gobierno es reflejo del riesgo que subyace a un posible default o una devaluación de la moneda local. Este riesgo no se traduce, sin embargo, en una elevada volatilidad, que es el vector que determina el consumo de riesgo en el modelo de optimización de </w:t>
      </w:r>
      <w:r w:rsidRPr="00F17728">
        <w:rPr>
          <w:i/>
        </w:rPr>
        <w:t>Markowitz</w:t>
      </w:r>
      <w:r>
        <w:t xml:space="preserve"> y que en consecuencia y sin otras restricciones, llevaría a expulsar de los fondos de pensiones toda emisión no local.</w:t>
      </w:r>
    </w:p>
    <w:p w14:paraId="491E7E31" w14:textId="77777777" w:rsidR="001861DC" w:rsidRDefault="001861DC" w:rsidP="001861DC">
      <w:pPr>
        <w:pStyle w:val="Prrafodelista"/>
      </w:pPr>
    </w:p>
    <w:p w14:paraId="31DBFD7C" w14:textId="77777777" w:rsidR="001861DC" w:rsidRDefault="001861DC" w:rsidP="001861DC">
      <w:r>
        <w:t>La recomendación del consultor fue:</w:t>
      </w:r>
    </w:p>
    <w:p w14:paraId="5F985629" w14:textId="77777777" w:rsidR="001861DC" w:rsidRDefault="001861DC" w:rsidP="001861DC"/>
    <w:p w14:paraId="722E541C" w14:textId="77777777" w:rsidR="001861DC" w:rsidRDefault="001861DC" w:rsidP="001861DC">
      <w:pPr>
        <w:pStyle w:val="Prrafodelista"/>
        <w:numPr>
          <w:ilvl w:val="0"/>
          <w:numId w:val="14"/>
        </w:numPr>
      </w:pPr>
      <w:r>
        <w:t>Reducir el peso de la deuda emitida por el MH y BCCR.</w:t>
      </w:r>
    </w:p>
    <w:p w14:paraId="765DA19E" w14:textId="77777777" w:rsidR="001861DC" w:rsidRDefault="001861DC" w:rsidP="001861DC">
      <w:pPr>
        <w:pStyle w:val="Prrafodelista"/>
        <w:numPr>
          <w:ilvl w:val="0"/>
          <w:numId w:val="14"/>
        </w:numPr>
      </w:pPr>
      <w:r>
        <w:t>Aumentar el peso correspondiente a instituciones públicas financieras y no financieras.</w:t>
      </w:r>
    </w:p>
    <w:p w14:paraId="010E1686" w14:textId="77777777" w:rsidR="001861DC" w:rsidRDefault="001861DC" w:rsidP="001861DC">
      <w:pPr>
        <w:pStyle w:val="Prrafodelista"/>
        <w:numPr>
          <w:ilvl w:val="0"/>
          <w:numId w:val="14"/>
        </w:numPr>
      </w:pPr>
      <w:r>
        <w:t>Reducir el peso del sector privado a cero y</w:t>
      </w:r>
    </w:p>
    <w:p w14:paraId="1482CA5B" w14:textId="77777777" w:rsidR="001861DC" w:rsidRDefault="001861DC" w:rsidP="001861DC">
      <w:pPr>
        <w:pStyle w:val="Prrafodelista"/>
        <w:numPr>
          <w:ilvl w:val="0"/>
          <w:numId w:val="14"/>
        </w:numPr>
      </w:pPr>
      <w:r>
        <w:t>Aumentar el peso de las emisiones extranjeras.</w:t>
      </w:r>
    </w:p>
    <w:p w14:paraId="7899B6F5" w14:textId="77777777" w:rsidR="001861DC" w:rsidRDefault="001861DC" w:rsidP="001861DC"/>
    <w:p w14:paraId="3C0CDFA9" w14:textId="77777777" w:rsidR="001861DC" w:rsidRDefault="001861DC" w:rsidP="001861DC">
      <w:r>
        <w:t>De aplicarse estos cambios, en aquel momento se habría mantenido el nivel de riesgo pero aumentaría el retorno esperado del 8,68% al 9,31% en la cartera del ROP.</w:t>
      </w:r>
    </w:p>
    <w:p w14:paraId="54ED21FF" w14:textId="77777777" w:rsidR="001861DC" w:rsidRDefault="001861DC" w:rsidP="001861DC">
      <w:pPr>
        <w:pStyle w:val="Ttulo1"/>
      </w:pPr>
      <w:r>
        <w:t>Experiencia Internacional</w:t>
      </w:r>
    </w:p>
    <w:p w14:paraId="283E180B" w14:textId="77777777" w:rsidR="001861DC" w:rsidRDefault="001861DC" w:rsidP="001861DC"/>
    <w:p w14:paraId="712D20C1" w14:textId="77777777" w:rsidR="001861DC" w:rsidRDefault="001861DC" w:rsidP="001861DC">
      <w:r>
        <w:t xml:space="preserve">Los límites son usados en la regulación de los fondos de pensiones en muchos países, En lo que respecta a los límites por emisor existen varias formas de definirlo: la consignada en Costa Rica tomando en cuenta el MH y el BCCR y las que manejan límites a nivel de todo el Gobierno, incluyendo en algunos casos instituciones públicas, gobiernos locales, etc. </w:t>
      </w:r>
    </w:p>
    <w:p w14:paraId="6B4E863E" w14:textId="77777777" w:rsidR="001861DC" w:rsidRDefault="001861DC" w:rsidP="001861DC"/>
    <w:p w14:paraId="3E80FBB9" w14:textId="77777777" w:rsidR="001861DC" w:rsidRDefault="001861DC" w:rsidP="001861DC">
      <w:r>
        <w:t>A continuación se detalla el manejo de este tipo de límites en algunos países seleccionados.</w:t>
      </w:r>
    </w:p>
    <w:p w14:paraId="7545C424" w14:textId="77777777" w:rsidR="001861DC" w:rsidRDefault="001861DC" w:rsidP="001861DC">
      <w:pPr>
        <w:spacing w:after="160" w:line="259" w:lineRule="auto"/>
        <w:jc w:val="left"/>
      </w:pPr>
      <w:r>
        <w:br w:type="page"/>
      </w:r>
    </w:p>
    <w:p w14:paraId="1082946A" w14:textId="77777777" w:rsidR="001861DC" w:rsidRDefault="001861DC" w:rsidP="001861DC"/>
    <w:p w14:paraId="7C845961" w14:textId="77777777" w:rsidR="001861DC" w:rsidRPr="00F87C39" w:rsidRDefault="001861DC" w:rsidP="001861DC"/>
    <w:p w14:paraId="7C65EB40" w14:textId="77777777" w:rsidR="001861DC" w:rsidRPr="00F75288" w:rsidRDefault="001861DC" w:rsidP="001861DC">
      <w:pPr>
        <w:pStyle w:val="Ttulo2"/>
        <w:jc w:val="both"/>
      </w:pPr>
      <w:r>
        <w:t>Chile</w:t>
      </w:r>
    </w:p>
    <w:p w14:paraId="6CFEF0C1" w14:textId="77777777" w:rsidR="001861DC" w:rsidRDefault="001861DC" w:rsidP="001861DC"/>
    <w:p w14:paraId="0B671BB8" w14:textId="77777777" w:rsidR="001861DC" w:rsidRDefault="001861DC" w:rsidP="001861DC">
      <w:r>
        <w:t xml:space="preserve">Chile creó el sistema de capitalización individual en el año 1980, sustituyendo en aquel momento el sistema de primer pilar, planteando la opción de las cuentas individuales de contribución definida como alternativa a los beneficios definidos. Este sistema en esencia no es del todo comparable al costarricense en cuanto a su función social, ya que el mantener las condiciones de vida durante la vejez depende sólo de este producto, sin que existan otras opciones para el trabajador. Tampoco es comparable en cuanto a su forma ya que en lugar de tener un único fondo, allí se manejan cinco tipos, de acuerdo al perfil de cada trabajador. </w:t>
      </w:r>
    </w:p>
    <w:p w14:paraId="0D9F2236" w14:textId="77777777" w:rsidR="001861DC" w:rsidRDefault="001861DC" w:rsidP="001861DC"/>
    <w:p w14:paraId="2CF02638" w14:textId="77777777" w:rsidR="001861DC" w:rsidRDefault="001861DC" w:rsidP="001861DC">
      <w:r>
        <w:t xml:space="preserve">Los límites en la jurisdicción chilena se establecen en el Decreto Ley N°3.500. Allí se consigna para cada Fondo un rango (mínimo y máximo) dentro del cual el Banco Central de Chile debe establecer el límite máximo para las inversiones. </w:t>
      </w:r>
      <w:r w:rsidRPr="00E717CE">
        <w:t>Esto debe entenderse,</w:t>
      </w:r>
      <w:r>
        <w:t xml:space="preserve"> por ejemplo para el Fondo A</w:t>
      </w:r>
      <w:r w:rsidRPr="00E717CE">
        <w:t xml:space="preserve">, </w:t>
      </w:r>
      <w:r>
        <w:t xml:space="preserve">que </w:t>
      </w:r>
      <w:r w:rsidRPr="00E717CE">
        <w:t xml:space="preserve">el rango dentro del cual </w:t>
      </w:r>
      <w:r>
        <w:t xml:space="preserve">se puede fijar el límite es 30%-40%. En la práctica en </w:t>
      </w:r>
      <w:r w:rsidRPr="00E717CE">
        <w:t xml:space="preserve">este momento </w:t>
      </w:r>
      <w:r>
        <w:t>está fijado en un</w:t>
      </w:r>
      <w:r w:rsidRPr="00E717CE">
        <w:t xml:space="preserve"> 40%. </w:t>
      </w:r>
      <w:r>
        <w:t xml:space="preserve"> N</w:t>
      </w:r>
      <w:r w:rsidRPr="00E717CE">
        <w:t>o existe un límite mínimo</w:t>
      </w:r>
      <w:r>
        <w:t xml:space="preserve">, </w:t>
      </w:r>
      <w:r w:rsidRPr="00E717CE">
        <w:t>si así lo decidieran</w:t>
      </w:r>
      <w:r>
        <w:t xml:space="preserve"> los gestores</w:t>
      </w:r>
      <w:r w:rsidRPr="00E717CE">
        <w:t xml:space="preserve"> podrían tener 0% invertido en instrumentos estatales nacionales. </w:t>
      </w:r>
    </w:p>
    <w:p w14:paraId="13F6F974" w14:textId="77777777" w:rsidR="001861DC" w:rsidRDefault="001861DC" w:rsidP="001861DC"/>
    <w:p w14:paraId="04CC9915" w14:textId="77777777" w:rsidR="001861DC" w:rsidRDefault="001861DC" w:rsidP="001861DC">
      <w:pPr>
        <w:spacing w:after="160" w:line="259" w:lineRule="auto"/>
        <w:jc w:val="center"/>
      </w:pPr>
      <w:r w:rsidRPr="00F713E7">
        <w:rPr>
          <w:b/>
        </w:rPr>
        <w:t>Chile</w:t>
      </w:r>
      <w:r>
        <w:t>: Bandas para Límites máximos en papeles del Estado</w:t>
      </w:r>
    </w:p>
    <w:p w14:paraId="3819681C" w14:textId="77777777" w:rsidR="001861DC" w:rsidRDefault="001861DC" w:rsidP="001861DC">
      <w:pPr>
        <w:spacing w:after="160" w:line="259" w:lineRule="auto"/>
        <w:jc w:val="center"/>
      </w:pPr>
      <w:r>
        <w:t>Cifras porcentuales</w:t>
      </w:r>
    </w:p>
    <w:tbl>
      <w:tblPr>
        <w:tblW w:w="4000" w:type="dxa"/>
        <w:jc w:val="center"/>
        <w:tblCellMar>
          <w:left w:w="70" w:type="dxa"/>
          <w:right w:w="70" w:type="dxa"/>
        </w:tblCellMar>
        <w:tblLook w:val="04A0" w:firstRow="1" w:lastRow="0" w:firstColumn="1" w:lastColumn="0" w:noHBand="0" w:noVBand="1"/>
      </w:tblPr>
      <w:tblGrid>
        <w:gridCol w:w="1200"/>
        <w:gridCol w:w="560"/>
        <w:gridCol w:w="560"/>
        <w:gridCol w:w="560"/>
        <w:gridCol w:w="560"/>
        <w:gridCol w:w="560"/>
      </w:tblGrid>
      <w:tr w:rsidR="001861DC" w:rsidRPr="00F713E7" w14:paraId="491969E8" w14:textId="77777777" w:rsidTr="002E0516">
        <w:trPr>
          <w:trHeight w:val="300"/>
          <w:jc w:val="center"/>
        </w:trPr>
        <w:tc>
          <w:tcPr>
            <w:tcW w:w="1200" w:type="dxa"/>
            <w:vMerge w:val="restart"/>
            <w:tcBorders>
              <w:top w:val="single" w:sz="4" w:space="0" w:color="auto"/>
              <w:left w:val="nil"/>
              <w:bottom w:val="single" w:sz="4" w:space="0" w:color="000000"/>
              <w:right w:val="nil"/>
            </w:tcBorders>
            <w:shd w:val="clear" w:color="auto" w:fill="auto"/>
            <w:vAlign w:val="center"/>
            <w:hideMark/>
          </w:tcPr>
          <w:p w14:paraId="41BBDDD4" w14:textId="77777777" w:rsidR="001861DC" w:rsidRPr="00F713E7" w:rsidRDefault="001861DC" w:rsidP="002E0516">
            <w:pPr>
              <w:jc w:val="center"/>
              <w:rPr>
                <w:rFonts w:ascii="Calibri" w:eastAsia="Times New Roman" w:hAnsi="Calibri" w:cs="Times New Roman"/>
                <w:b/>
                <w:bCs/>
                <w:color w:val="000000"/>
                <w:lang w:eastAsia="es-ES"/>
              </w:rPr>
            </w:pPr>
            <w:r w:rsidRPr="00F713E7">
              <w:rPr>
                <w:rFonts w:ascii="Calibri" w:eastAsia="Times New Roman" w:hAnsi="Calibri" w:cs="Times New Roman"/>
                <w:b/>
                <w:bCs/>
                <w:color w:val="000000"/>
                <w:lang w:eastAsia="es-ES"/>
              </w:rPr>
              <w:t>Límites</w:t>
            </w:r>
          </w:p>
        </w:tc>
        <w:tc>
          <w:tcPr>
            <w:tcW w:w="2800" w:type="dxa"/>
            <w:gridSpan w:val="5"/>
            <w:tcBorders>
              <w:top w:val="single" w:sz="4" w:space="0" w:color="auto"/>
              <w:left w:val="nil"/>
              <w:bottom w:val="single" w:sz="4" w:space="0" w:color="auto"/>
              <w:right w:val="nil"/>
            </w:tcBorders>
            <w:shd w:val="clear" w:color="auto" w:fill="auto"/>
            <w:noWrap/>
            <w:vAlign w:val="bottom"/>
            <w:hideMark/>
          </w:tcPr>
          <w:p w14:paraId="5F39D7D2" w14:textId="77777777" w:rsidR="001861DC" w:rsidRPr="00F713E7" w:rsidRDefault="001861DC" w:rsidP="002E0516">
            <w:pPr>
              <w:jc w:val="center"/>
              <w:rPr>
                <w:rFonts w:ascii="Calibri" w:eastAsia="Times New Roman" w:hAnsi="Calibri" w:cs="Times New Roman"/>
                <w:b/>
                <w:bCs/>
                <w:color w:val="000000"/>
                <w:lang w:eastAsia="es-ES"/>
              </w:rPr>
            </w:pPr>
            <w:r w:rsidRPr="00F713E7">
              <w:rPr>
                <w:rFonts w:ascii="Calibri" w:eastAsia="Times New Roman" w:hAnsi="Calibri" w:cs="Times New Roman"/>
                <w:b/>
                <w:bCs/>
                <w:color w:val="000000"/>
                <w:lang w:eastAsia="es-ES"/>
              </w:rPr>
              <w:t>Fondos</w:t>
            </w:r>
          </w:p>
        </w:tc>
      </w:tr>
      <w:tr w:rsidR="001861DC" w:rsidRPr="00F713E7" w14:paraId="7CD2F327" w14:textId="77777777" w:rsidTr="002E0516">
        <w:trPr>
          <w:trHeight w:val="300"/>
          <w:jc w:val="center"/>
        </w:trPr>
        <w:tc>
          <w:tcPr>
            <w:tcW w:w="1200" w:type="dxa"/>
            <w:vMerge/>
            <w:tcBorders>
              <w:top w:val="single" w:sz="4" w:space="0" w:color="auto"/>
              <w:left w:val="nil"/>
              <w:bottom w:val="single" w:sz="4" w:space="0" w:color="000000"/>
              <w:right w:val="nil"/>
            </w:tcBorders>
            <w:vAlign w:val="center"/>
            <w:hideMark/>
          </w:tcPr>
          <w:p w14:paraId="6F00C238" w14:textId="77777777" w:rsidR="001861DC" w:rsidRPr="00F713E7" w:rsidRDefault="001861DC" w:rsidP="002E0516">
            <w:pPr>
              <w:jc w:val="left"/>
              <w:rPr>
                <w:rFonts w:ascii="Calibri" w:eastAsia="Times New Roman" w:hAnsi="Calibri" w:cs="Times New Roman"/>
                <w:b/>
                <w:bCs/>
                <w:color w:val="000000"/>
                <w:lang w:eastAsia="es-ES"/>
              </w:rPr>
            </w:pPr>
          </w:p>
        </w:tc>
        <w:tc>
          <w:tcPr>
            <w:tcW w:w="560" w:type="dxa"/>
            <w:tcBorders>
              <w:top w:val="nil"/>
              <w:left w:val="nil"/>
              <w:bottom w:val="single" w:sz="4" w:space="0" w:color="auto"/>
              <w:right w:val="nil"/>
            </w:tcBorders>
            <w:shd w:val="clear" w:color="auto" w:fill="auto"/>
            <w:noWrap/>
            <w:vAlign w:val="bottom"/>
            <w:hideMark/>
          </w:tcPr>
          <w:p w14:paraId="0B27CF7D" w14:textId="77777777" w:rsidR="001861DC" w:rsidRPr="00F713E7" w:rsidRDefault="001861DC" w:rsidP="002E0516">
            <w:pPr>
              <w:jc w:val="center"/>
              <w:rPr>
                <w:rFonts w:ascii="Calibri" w:eastAsia="Times New Roman" w:hAnsi="Calibri" w:cs="Times New Roman"/>
                <w:b/>
                <w:color w:val="000000"/>
                <w:lang w:eastAsia="es-ES"/>
              </w:rPr>
            </w:pPr>
            <w:r w:rsidRPr="00F713E7">
              <w:rPr>
                <w:rFonts w:ascii="Calibri" w:eastAsia="Times New Roman" w:hAnsi="Calibri" w:cs="Times New Roman"/>
                <w:b/>
                <w:color w:val="000000"/>
                <w:lang w:eastAsia="es-ES"/>
              </w:rPr>
              <w:t>A</w:t>
            </w:r>
          </w:p>
        </w:tc>
        <w:tc>
          <w:tcPr>
            <w:tcW w:w="560" w:type="dxa"/>
            <w:tcBorders>
              <w:top w:val="nil"/>
              <w:left w:val="nil"/>
              <w:bottom w:val="single" w:sz="4" w:space="0" w:color="auto"/>
              <w:right w:val="nil"/>
            </w:tcBorders>
            <w:shd w:val="clear" w:color="auto" w:fill="auto"/>
            <w:noWrap/>
            <w:vAlign w:val="bottom"/>
            <w:hideMark/>
          </w:tcPr>
          <w:p w14:paraId="114FACAE" w14:textId="77777777" w:rsidR="001861DC" w:rsidRPr="00F713E7" w:rsidRDefault="001861DC" w:rsidP="002E0516">
            <w:pPr>
              <w:jc w:val="center"/>
              <w:rPr>
                <w:rFonts w:ascii="Calibri" w:eastAsia="Times New Roman" w:hAnsi="Calibri" w:cs="Times New Roman"/>
                <w:b/>
                <w:color w:val="000000"/>
                <w:lang w:eastAsia="es-ES"/>
              </w:rPr>
            </w:pPr>
            <w:r w:rsidRPr="00F713E7">
              <w:rPr>
                <w:rFonts w:ascii="Calibri" w:eastAsia="Times New Roman" w:hAnsi="Calibri" w:cs="Times New Roman"/>
                <w:b/>
                <w:color w:val="000000"/>
                <w:lang w:eastAsia="es-ES"/>
              </w:rPr>
              <w:t>B</w:t>
            </w:r>
          </w:p>
        </w:tc>
        <w:tc>
          <w:tcPr>
            <w:tcW w:w="560" w:type="dxa"/>
            <w:tcBorders>
              <w:top w:val="nil"/>
              <w:left w:val="nil"/>
              <w:bottom w:val="single" w:sz="4" w:space="0" w:color="auto"/>
              <w:right w:val="nil"/>
            </w:tcBorders>
            <w:shd w:val="clear" w:color="auto" w:fill="auto"/>
            <w:noWrap/>
            <w:vAlign w:val="bottom"/>
            <w:hideMark/>
          </w:tcPr>
          <w:p w14:paraId="38A04084" w14:textId="77777777" w:rsidR="001861DC" w:rsidRPr="00F713E7" w:rsidRDefault="001861DC" w:rsidP="002E0516">
            <w:pPr>
              <w:jc w:val="center"/>
              <w:rPr>
                <w:rFonts w:ascii="Calibri" w:eastAsia="Times New Roman" w:hAnsi="Calibri" w:cs="Times New Roman"/>
                <w:b/>
                <w:color w:val="000000"/>
                <w:lang w:eastAsia="es-ES"/>
              </w:rPr>
            </w:pPr>
            <w:r w:rsidRPr="00F713E7">
              <w:rPr>
                <w:rFonts w:ascii="Calibri" w:eastAsia="Times New Roman" w:hAnsi="Calibri" w:cs="Times New Roman"/>
                <w:b/>
                <w:color w:val="000000"/>
                <w:lang w:eastAsia="es-ES"/>
              </w:rPr>
              <w:t>C</w:t>
            </w:r>
          </w:p>
        </w:tc>
        <w:tc>
          <w:tcPr>
            <w:tcW w:w="560" w:type="dxa"/>
            <w:tcBorders>
              <w:top w:val="nil"/>
              <w:left w:val="nil"/>
              <w:bottom w:val="single" w:sz="4" w:space="0" w:color="auto"/>
              <w:right w:val="nil"/>
            </w:tcBorders>
            <w:shd w:val="clear" w:color="auto" w:fill="auto"/>
            <w:noWrap/>
            <w:vAlign w:val="bottom"/>
            <w:hideMark/>
          </w:tcPr>
          <w:p w14:paraId="76D7CF5B" w14:textId="77777777" w:rsidR="001861DC" w:rsidRPr="00F713E7" w:rsidRDefault="001861DC" w:rsidP="002E0516">
            <w:pPr>
              <w:jc w:val="center"/>
              <w:rPr>
                <w:rFonts w:ascii="Calibri" w:eastAsia="Times New Roman" w:hAnsi="Calibri" w:cs="Times New Roman"/>
                <w:b/>
                <w:color w:val="000000"/>
                <w:lang w:eastAsia="es-ES"/>
              </w:rPr>
            </w:pPr>
            <w:r w:rsidRPr="00F713E7">
              <w:rPr>
                <w:rFonts w:ascii="Calibri" w:eastAsia="Times New Roman" w:hAnsi="Calibri" w:cs="Times New Roman"/>
                <w:b/>
                <w:color w:val="000000"/>
                <w:lang w:eastAsia="es-ES"/>
              </w:rPr>
              <w:t>D</w:t>
            </w:r>
          </w:p>
        </w:tc>
        <w:tc>
          <w:tcPr>
            <w:tcW w:w="560" w:type="dxa"/>
            <w:tcBorders>
              <w:top w:val="nil"/>
              <w:left w:val="nil"/>
              <w:bottom w:val="single" w:sz="4" w:space="0" w:color="auto"/>
              <w:right w:val="nil"/>
            </w:tcBorders>
            <w:shd w:val="clear" w:color="auto" w:fill="auto"/>
            <w:noWrap/>
            <w:vAlign w:val="bottom"/>
            <w:hideMark/>
          </w:tcPr>
          <w:p w14:paraId="503ADA3B" w14:textId="77777777" w:rsidR="001861DC" w:rsidRPr="00F713E7" w:rsidRDefault="001861DC" w:rsidP="002E0516">
            <w:pPr>
              <w:jc w:val="center"/>
              <w:rPr>
                <w:rFonts w:ascii="Calibri" w:eastAsia="Times New Roman" w:hAnsi="Calibri" w:cs="Times New Roman"/>
                <w:b/>
                <w:color w:val="000000"/>
                <w:lang w:eastAsia="es-ES"/>
              </w:rPr>
            </w:pPr>
            <w:r w:rsidRPr="00F713E7">
              <w:rPr>
                <w:rFonts w:ascii="Calibri" w:eastAsia="Times New Roman" w:hAnsi="Calibri" w:cs="Times New Roman"/>
                <w:b/>
                <w:color w:val="000000"/>
                <w:lang w:eastAsia="es-ES"/>
              </w:rPr>
              <w:t>E</w:t>
            </w:r>
          </w:p>
        </w:tc>
      </w:tr>
      <w:tr w:rsidR="001861DC" w:rsidRPr="00F713E7" w14:paraId="3E2725A9" w14:textId="77777777" w:rsidTr="002E0516">
        <w:trPr>
          <w:trHeight w:val="300"/>
          <w:jc w:val="center"/>
        </w:trPr>
        <w:tc>
          <w:tcPr>
            <w:tcW w:w="1200" w:type="dxa"/>
            <w:tcBorders>
              <w:top w:val="nil"/>
              <w:left w:val="nil"/>
              <w:bottom w:val="nil"/>
              <w:right w:val="nil"/>
            </w:tcBorders>
            <w:shd w:val="clear" w:color="auto" w:fill="auto"/>
            <w:noWrap/>
            <w:vAlign w:val="bottom"/>
            <w:hideMark/>
          </w:tcPr>
          <w:p w14:paraId="43C72AAF" w14:textId="77777777" w:rsidR="001861DC" w:rsidRPr="00F713E7" w:rsidRDefault="001861DC" w:rsidP="002E0516">
            <w:pPr>
              <w:jc w:val="left"/>
              <w:rPr>
                <w:rFonts w:ascii="Calibri" w:eastAsia="Times New Roman" w:hAnsi="Calibri" w:cs="Times New Roman"/>
                <w:color w:val="000000"/>
                <w:lang w:eastAsia="es-ES"/>
              </w:rPr>
            </w:pPr>
            <w:r w:rsidRPr="00F713E7">
              <w:rPr>
                <w:rFonts w:ascii="Calibri" w:eastAsia="Times New Roman" w:hAnsi="Calibri" w:cs="Times New Roman"/>
                <w:color w:val="000000"/>
                <w:lang w:eastAsia="es-ES"/>
              </w:rPr>
              <w:t>Inferior</w:t>
            </w:r>
          </w:p>
        </w:tc>
        <w:tc>
          <w:tcPr>
            <w:tcW w:w="560" w:type="dxa"/>
            <w:tcBorders>
              <w:top w:val="nil"/>
              <w:left w:val="nil"/>
              <w:bottom w:val="nil"/>
              <w:right w:val="nil"/>
            </w:tcBorders>
            <w:shd w:val="clear" w:color="auto" w:fill="auto"/>
            <w:noWrap/>
            <w:vAlign w:val="bottom"/>
            <w:hideMark/>
          </w:tcPr>
          <w:p w14:paraId="4ABD5DCE" w14:textId="77777777" w:rsidR="001861DC" w:rsidRPr="00F713E7" w:rsidRDefault="001861DC" w:rsidP="002E0516">
            <w:pPr>
              <w:jc w:val="center"/>
              <w:rPr>
                <w:rFonts w:ascii="Calibri" w:eastAsia="Times New Roman" w:hAnsi="Calibri" w:cs="Times New Roman"/>
                <w:color w:val="000000"/>
                <w:lang w:eastAsia="es-ES"/>
              </w:rPr>
            </w:pPr>
            <w:r w:rsidRPr="00F713E7">
              <w:rPr>
                <w:rFonts w:ascii="Calibri" w:eastAsia="Times New Roman" w:hAnsi="Calibri" w:cs="Times New Roman"/>
                <w:color w:val="000000"/>
                <w:lang w:eastAsia="es-ES"/>
              </w:rPr>
              <w:t>30</w:t>
            </w:r>
          </w:p>
        </w:tc>
        <w:tc>
          <w:tcPr>
            <w:tcW w:w="560" w:type="dxa"/>
            <w:tcBorders>
              <w:top w:val="nil"/>
              <w:left w:val="nil"/>
              <w:bottom w:val="nil"/>
              <w:right w:val="nil"/>
            </w:tcBorders>
            <w:shd w:val="clear" w:color="auto" w:fill="auto"/>
            <w:noWrap/>
            <w:vAlign w:val="bottom"/>
            <w:hideMark/>
          </w:tcPr>
          <w:p w14:paraId="5DC486B2" w14:textId="77777777" w:rsidR="001861DC" w:rsidRPr="00F713E7" w:rsidRDefault="001861DC" w:rsidP="002E0516">
            <w:pPr>
              <w:jc w:val="center"/>
              <w:rPr>
                <w:rFonts w:ascii="Calibri" w:eastAsia="Times New Roman" w:hAnsi="Calibri" w:cs="Times New Roman"/>
                <w:color w:val="000000"/>
                <w:lang w:eastAsia="es-ES"/>
              </w:rPr>
            </w:pPr>
            <w:r w:rsidRPr="00F713E7">
              <w:rPr>
                <w:rFonts w:ascii="Calibri" w:eastAsia="Times New Roman" w:hAnsi="Calibri" w:cs="Times New Roman"/>
                <w:color w:val="000000"/>
                <w:lang w:eastAsia="es-ES"/>
              </w:rPr>
              <w:t>30</w:t>
            </w:r>
          </w:p>
        </w:tc>
        <w:tc>
          <w:tcPr>
            <w:tcW w:w="560" w:type="dxa"/>
            <w:tcBorders>
              <w:top w:val="nil"/>
              <w:left w:val="nil"/>
              <w:bottom w:val="nil"/>
              <w:right w:val="nil"/>
            </w:tcBorders>
            <w:shd w:val="clear" w:color="auto" w:fill="auto"/>
            <w:noWrap/>
            <w:vAlign w:val="bottom"/>
            <w:hideMark/>
          </w:tcPr>
          <w:p w14:paraId="577032DB" w14:textId="77777777" w:rsidR="001861DC" w:rsidRPr="00F713E7" w:rsidRDefault="001861DC" w:rsidP="002E0516">
            <w:pPr>
              <w:jc w:val="center"/>
              <w:rPr>
                <w:rFonts w:ascii="Calibri" w:eastAsia="Times New Roman" w:hAnsi="Calibri" w:cs="Times New Roman"/>
                <w:color w:val="000000"/>
                <w:lang w:eastAsia="es-ES"/>
              </w:rPr>
            </w:pPr>
            <w:r w:rsidRPr="00F713E7">
              <w:rPr>
                <w:rFonts w:ascii="Calibri" w:eastAsia="Times New Roman" w:hAnsi="Calibri" w:cs="Times New Roman"/>
                <w:color w:val="000000"/>
                <w:lang w:eastAsia="es-ES"/>
              </w:rPr>
              <w:t>35</w:t>
            </w:r>
          </w:p>
        </w:tc>
        <w:tc>
          <w:tcPr>
            <w:tcW w:w="560" w:type="dxa"/>
            <w:tcBorders>
              <w:top w:val="nil"/>
              <w:left w:val="nil"/>
              <w:bottom w:val="nil"/>
              <w:right w:val="nil"/>
            </w:tcBorders>
            <w:shd w:val="clear" w:color="auto" w:fill="auto"/>
            <w:noWrap/>
            <w:vAlign w:val="bottom"/>
            <w:hideMark/>
          </w:tcPr>
          <w:p w14:paraId="065BCD62" w14:textId="77777777" w:rsidR="001861DC" w:rsidRPr="00F713E7" w:rsidRDefault="001861DC" w:rsidP="002E0516">
            <w:pPr>
              <w:jc w:val="center"/>
              <w:rPr>
                <w:rFonts w:ascii="Calibri" w:eastAsia="Times New Roman" w:hAnsi="Calibri" w:cs="Times New Roman"/>
                <w:color w:val="000000"/>
                <w:lang w:eastAsia="es-ES"/>
              </w:rPr>
            </w:pPr>
            <w:r w:rsidRPr="00F713E7">
              <w:rPr>
                <w:rFonts w:ascii="Calibri" w:eastAsia="Times New Roman" w:hAnsi="Calibri" w:cs="Times New Roman"/>
                <w:color w:val="000000"/>
                <w:lang w:eastAsia="es-ES"/>
              </w:rPr>
              <w:t>40</w:t>
            </w:r>
          </w:p>
        </w:tc>
        <w:tc>
          <w:tcPr>
            <w:tcW w:w="560" w:type="dxa"/>
            <w:tcBorders>
              <w:top w:val="nil"/>
              <w:left w:val="nil"/>
              <w:bottom w:val="nil"/>
              <w:right w:val="nil"/>
            </w:tcBorders>
            <w:shd w:val="clear" w:color="auto" w:fill="auto"/>
            <w:noWrap/>
            <w:vAlign w:val="bottom"/>
            <w:hideMark/>
          </w:tcPr>
          <w:p w14:paraId="0AE2E991" w14:textId="77777777" w:rsidR="001861DC" w:rsidRPr="00F713E7" w:rsidRDefault="001861DC" w:rsidP="002E0516">
            <w:pPr>
              <w:jc w:val="center"/>
              <w:rPr>
                <w:rFonts w:ascii="Calibri" w:eastAsia="Times New Roman" w:hAnsi="Calibri" w:cs="Times New Roman"/>
                <w:color w:val="000000"/>
                <w:lang w:eastAsia="es-ES"/>
              </w:rPr>
            </w:pPr>
            <w:r w:rsidRPr="00F713E7">
              <w:rPr>
                <w:rFonts w:ascii="Calibri" w:eastAsia="Times New Roman" w:hAnsi="Calibri" w:cs="Times New Roman"/>
                <w:color w:val="000000"/>
                <w:lang w:eastAsia="es-ES"/>
              </w:rPr>
              <w:t>50</w:t>
            </w:r>
          </w:p>
        </w:tc>
      </w:tr>
      <w:tr w:rsidR="001861DC" w:rsidRPr="00F713E7" w14:paraId="43F9F0D0" w14:textId="77777777" w:rsidTr="002E0516">
        <w:trPr>
          <w:trHeight w:val="300"/>
          <w:jc w:val="center"/>
        </w:trPr>
        <w:tc>
          <w:tcPr>
            <w:tcW w:w="1200" w:type="dxa"/>
            <w:tcBorders>
              <w:top w:val="nil"/>
              <w:left w:val="nil"/>
              <w:bottom w:val="single" w:sz="4" w:space="0" w:color="auto"/>
              <w:right w:val="nil"/>
            </w:tcBorders>
            <w:shd w:val="clear" w:color="auto" w:fill="auto"/>
            <w:noWrap/>
            <w:vAlign w:val="bottom"/>
            <w:hideMark/>
          </w:tcPr>
          <w:p w14:paraId="7EDC90E5" w14:textId="77777777" w:rsidR="001861DC" w:rsidRPr="00F713E7" w:rsidRDefault="001861DC" w:rsidP="002E0516">
            <w:pPr>
              <w:jc w:val="left"/>
              <w:rPr>
                <w:rFonts w:ascii="Calibri" w:eastAsia="Times New Roman" w:hAnsi="Calibri" w:cs="Times New Roman"/>
                <w:color w:val="000000"/>
                <w:lang w:eastAsia="es-ES"/>
              </w:rPr>
            </w:pPr>
            <w:r w:rsidRPr="00F713E7">
              <w:rPr>
                <w:rFonts w:ascii="Calibri" w:eastAsia="Times New Roman" w:hAnsi="Calibri" w:cs="Times New Roman"/>
                <w:color w:val="000000"/>
                <w:lang w:eastAsia="es-ES"/>
              </w:rPr>
              <w:t>Superior</w:t>
            </w:r>
          </w:p>
        </w:tc>
        <w:tc>
          <w:tcPr>
            <w:tcW w:w="560" w:type="dxa"/>
            <w:tcBorders>
              <w:top w:val="nil"/>
              <w:left w:val="nil"/>
              <w:bottom w:val="single" w:sz="4" w:space="0" w:color="auto"/>
              <w:right w:val="nil"/>
            </w:tcBorders>
            <w:shd w:val="clear" w:color="auto" w:fill="auto"/>
            <w:noWrap/>
            <w:vAlign w:val="bottom"/>
            <w:hideMark/>
          </w:tcPr>
          <w:p w14:paraId="6EAF8C7C" w14:textId="77777777" w:rsidR="001861DC" w:rsidRPr="00F713E7" w:rsidRDefault="001861DC" w:rsidP="002E0516">
            <w:pPr>
              <w:jc w:val="center"/>
              <w:rPr>
                <w:rFonts w:ascii="Calibri" w:eastAsia="Times New Roman" w:hAnsi="Calibri" w:cs="Times New Roman"/>
                <w:color w:val="000000"/>
                <w:lang w:eastAsia="es-ES"/>
              </w:rPr>
            </w:pPr>
            <w:r w:rsidRPr="00F713E7">
              <w:rPr>
                <w:rFonts w:ascii="Calibri" w:eastAsia="Times New Roman" w:hAnsi="Calibri" w:cs="Times New Roman"/>
                <w:color w:val="000000"/>
                <w:lang w:eastAsia="es-ES"/>
              </w:rPr>
              <w:t>40</w:t>
            </w:r>
          </w:p>
        </w:tc>
        <w:tc>
          <w:tcPr>
            <w:tcW w:w="560" w:type="dxa"/>
            <w:tcBorders>
              <w:top w:val="nil"/>
              <w:left w:val="nil"/>
              <w:bottom w:val="single" w:sz="4" w:space="0" w:color="auto"/>
              <w:right w:val="nil"/>
            </w:tcBorders>
            <w:shd w:val="clear" w:color="auto" w:fill="auto"/>
            <w:noWrap/>
            <w:vAlign w:val="bottom"/>
            <w:hideMark/>
          </w:tcPr>
          <w:p w14:paraId="5FAD7572" w14:textId="77777777" w:rsidR="001861DC" w:rsidRPr="00F713E7" w:rsidRDefault="001861DC" w:rsidP="002E0516">
            <w:pPr>
              <w:jc w:val="center"/>
              <w:rPr>
                <w:rFonts w:ascii="Calibri" w:eastAsia="Times New Roman" w:hAnsi="Calibri" w:cs="Times New Roman"/>
                <w:color w:val="000000"/>
                <w:lang w:eastAsia="es-ES"/>
              </w:rPr>
            </w:pPr>
            <w:r w:rsidRPr="00F713E7">
              <w:rPr>
                <w:rFonts w:ascii="Calibri" w:eastAsia="Times New Roman" w:hAnsi="Calibri" w:cs="Times New Roman"/>
                <w:color w:val="000000"/>
                <w:lang w:eastAsia="es-ES"/>
              </w:rPr>
              <w:t>40</w:t>
            </w:r>
          </w:p>
        </w:tc>
        <w:tc>
          <w:tcPr>
            <w:tcW w:w="560" w:type="dxa"/>
            <w:tcBorders>
              <w:top w:val="nil"/>
              <w:left w:val="nil"/>
              <w:bottom w:val="single" w:sz="4" w:space="0" w:color="auto"/>
              <w:right w:val="nil"/>
            </w:tcBorders>
            <w:shd w:val="clear" w:color="auto" w:fill="auto"/>
            <w:noWrap/>
            <w:vAlign w:val="bottom"/>
            <w:hideMark/>
          </w:tcPr>
          <w:p w14:paraId="1C7F6EC2" w14:textId="77777777" w:rsidR="001861DC" w:rsidRPr="00F713E7" w:rsidRDefault="001861DC" w:rsidP="002E0516">
            <w:pPr>
              <w:jc w:val="center"/>
              <w:rPr>
                <w:rFonts w:ascii="Calibri" w:eastAsia="Times New Roman" w:hAnsi="Calibri" w:cs="Times New Roman"/>
                <w:color w:val="000000"/>
                <w:lang w:eastAsia="es-ES"/>
              </w:rPr>
            </w:pPr>
            <w:r w:rsidRPr="00F713E7">
              <w:rPr>
                <w:rFonts w:ascii="Calibri" w:eastAsia="Times New Roman" w:hAnsi="Calibri" w:cs="Times New Roman"/>
                <w:color w:val="000000"/>
                <w:lang w:eastAsia="es-ES"/>
              </w:rPr>
              <w:t>50</w:t>
            </w:r>
          </w:p>
        </w:tc>
        <w:tc>
          <w:tcPr>
            <w:tcW w:w="560" w:type="dxa"/>
            <w:tcBorders>
              <w:top w:val="nil"/>
              <w:left w:val="nil"/>
              <w:bottom w:val="single" w:sz="4" w:space="0" w:color="auto"/>
              <w:right w:val="nil"/>
            </w:tcBorders>
            <w:shd w:val="clear" w:color="auto" w:fill="auto"/>
            <w:noWrap/>
            <w:vAlign w:val="bottom"/>
            <w:hideMark/>
          </w:tcPr>
          <w:p w14:paraId="5FC8C1DF" w14:textId="77777777" w:rsidR="001861DC" w:rsidRPr="00F713E7" w:rsidRDefault="001861DC" w:rsidP="002E0516">
            <w:pPr>
              <w:jc w:val="center"/>
              <w:rPr>
                <w:rFonts w:ascii="Calibri" w:eastAsia="Times New Roman" w:hAnsi="Calibri" w:cs="Times New Roman"/>
                <w:color w:val="000000"/>
                <w:lang w:eastAsia="es-ES"/>
              </w:rPr>
            </w:pPr>
            <w:r w:rsidRPr="00F713E7">
              <w:rPr>
                <w:rFonts w:ascii="Calibri" w:eastAsia="Times New Roman" w:hAnsi="Calibri" w:cs="Times New Roman"/>
                <w:color w:val="000000"/>
                <w:lang w:eastAsia="es-ES"/>
              </w:rPr>
              <w:t>70</w:t>
            </w:r>
          </w:p>
        </w:tc>
        <w:tc>
          <w:tcPr>
            <w:tcW w:w="560" w:type="dxa"/>
            <w:tcBorders>
              <w:top w:val="nil"/>
              <w:left w:val="nil"/>
              <w:bottom w:val="single" w:sz="4" w:space="0" w:color="auto"/>
              <w:right w:val="nil"/>
            </w:tcBorders>
            <w:shd w:val="clear" w:color="auto" w:fill="auto"/>
            <w:noWrap/>
            <w:vAlign w:val="bottom"/>
            <w:hideMark/>
          </w:tcPr>
          <w:p w14:paraId="33C26719" w14:textId="77777777" w:rsidR="001861DC" w:rsidRPr="00F713E7" w:rsidRDefault="001861DC" w:rsidP="002E0516">
            <w:pPr>
              <w:jc w:val="center"/>
              <w:rPr>
                <w:rFonts w:ascii="Calibri" w:eastAsia="Times New Roman" w:hAnsi="Calibri" w:cs="Times New Roman"/>
                <w:color w:val="000000"/>
                <w:lang w:eastAsia="es-ES"/>
              </w:rPr>
            </w:pPr>
            <w:r w:rsidRPr="00F713E7">
              <w:rPr>
                <w:rFonts w:ascii="Calibri" w:eastAsia="Times New Roman" w:hAnsi="Calibri" w:cs="Times New Roman"/>
                <w:color w:val="000000"/>
                <w:lang w:eastAsia="es-ES"/>
              </w:rPr>
              <w:t>80</w:t>
            </w:r>
          </w:p>
        </w:tc>
      </w:tr>
    </w:tbl>
    <w:p w14:paraId="66984762" w14:textId="77777777" w:rsidR="001861DC" w:rsidRDefault="001861DC" w:rsidP="001861DC">
      <w:r>
        <w:tab/>
      </w:r>
      <w:r>
        <w:tab/>
      </w:r>
      <w:r>
        <w:tab/>
        <w:t>Fuente: Superintendencia de Pensiones de Chile</w:t>
      </w:r>
    </w:p>
    <w:p w14:paraId="7AF7630C" w14:textId="77777777" w:rsidR="001861DC" w:rsidRDefault="001861DC" w:rsidP="001861DC"/>
    <w:p w14:paraId="7F9FCB80" w14:textId="77777777" w:rsidR="001861DC" w:rsidRDefault="001861DC" w:rsidP="001861DC">
      <w:r>
        <w:t xml:space="preserve">Tomando como evidencia las estadísticas reportadas por los gestores a la superintendencia se tiene que, dependiendo del fondo, así son los porcentajes adquiridos. El fondo más conservador en la industria, denominado Fondo E es el que más dispone de este tipo de instrumentos y llega a ser un 50% del portafolio. Sin embargo, para el resto de fondos el uso de estos instrumentos se reduce significativamente, teniendo en el fondo A apenas un 2% invertido. </w:t>
      </w:r>
    </w:p>
    <w:p w14:paraId="304EEF5A" w14:textId="77777777" w:rsidR="001861DC" w:rsidRDefault="001861DC" w:rsidP="001861DC"/>
    <w:p w14:paraId="5F41214A" w14:textId="77777777" w:rsidR="001861DC" w:rsidRDefault="001861DC" w:rsidP="001861DC"/>
    <w:p w14:paraId="60A70CAA" w14:textId="77777777" w:rsidR="001861DC" w:rsidRDefault="001861DC" w:rsidP="001861DC"/>
    <w:p w14:paraId="039DCE79" w14:textId="77777777" w:rsidR="001861DC" w:rsidRDefault="001861DC" w:rsidP="001861DC">
      <w:pPr>
        <w:jc w:val="center"/>
      </w:pPr>
      <w:r w:rsidRPr="002844C8">
        <w:rPr>
          <w:b/>
        </w:rPr>
        <w:t>Chile:</w:t>
      </w:r>
      <w:r>
        <w:t xml:space="preserve"> Composición Porcentual de Inversiones</w:t>
      </w:r>
    </w:p>
    <w:p w14:paraId="58069CF8" w14:textId="77777777" w:rsidR="001861DC" w:rsidRDefault="001861DC" w:rsidP="001861DC">
      <w:pPr>
        <w:jc w:val="center"/>
      </w:pPr>
    </w:p>
    <w:p w14:paraId="10C0CBF6" w14:textId="77777777" w:rsidR="001861DC" w:rsidRDefault="001861DC" w:rsidP="001861DC">
      <w:pPr>
        <w:jc w:val="center"/>
      </w:pPr>
      <w:r>
        <w:t>Junio 2015</w:t>
      </w:r>
    </w:p>
    <w:tbl>
      <w:tblPr>
        <w:tblW w:w="4805" w:type="dxa"/>
        <w:jc w:val="center"/>
        <w:tblCellMar>
          <w:left w:w="70" w:type="dxa"/>
          <w:right w:w="70" w:type="dxa"/>
        </w:tblCellMar>
        <w:tblLook w:val="04A0" w:firstRow="1" w:lastRow="0" w:firstColumn="1" w:lastColumn="0" w:noHBand="0" w:noVBand="1"/>
      </w:tblPr>
      <w:tblGrid>
        <w:gridCol w:w="1701"/>
        <w:gridCol w:w="532"/>
        <w:gridCol w:w="643"/>
        <w:gridCol w:w="643"/>
        <w:gridCol w:w="643"/>
        <w:gridCol w:w="643"/>
      </w:tblGrid>
      <w:tr w:rsidR="001861DC" w:rsidRPr="001C363D" w14:paraId="3ADD8F1A" w14:textId="77777777" w:rsidTr="002E0516">
        <w:trPr>
          <w:trHeight w:val="300"/>
          <w:jc w:val="center"/>
        </w:trPr>
        <w:tc>
          <w:tcPr>
            <w:tcW w:w="1701" w:type="dxa"/>
            <w:vMerge w:val="restart"/>
            <w:tcBorders>
              <w:top w:val="single" w:sz="4" w:space="0" w:color="auto"/>
              <w:left w:val="nil"/>
              <w:bottom w:val="single" w:sz="4" w:space="0" w:color="000000"/>
              <w:right w:val="nil"/>
            </w:tcBorders>
            <w:shd w:val="clear" w:color="auto" w:fill="auto"/>
            <w:vAlign w:val="center"/>
            <w:hideMark/>
          </w:tcPr>
          <w:p w14:paraId="4F5D4521" w14:textId="77777777" w:rsidR="001861DC" w:rsidRPr="001C363D" w:rsidRDefault="001861DC" w:rsidP="002E0516">
            <w:pPr>
              <w:jc w:val="center"/>
              <w:rPr>
                <w:rFonts w:ascii="Calibri" w:eastAsia="Times New Roman" w:hAnsi="Calibri" w:cs="Times New Roman"/>
                <w:b/>
                <w:bCs/>
                <w:color w:val="000000"/>
                <w:lang w:eastAsia="es-ES"/>
              </w:rPr>
            </w:pPr>
            <w:r w:rsidRPr="001C363D">
              <w:rPr>
                <w:rFonts w:ascii="Calibri" w:eastAsia="Times New Roman" w:hAnsi="Calibri" w:cs="Times New Roman"/>
                <w:b/>
                <w:bCs/>
                <w:color w:val="000000"/>
                <w:lang w:eastAsia="es-ES"/>
              </w:rPr>
              <w:t>Emisor</w:t>
            </w:r>
          </w:p>
        </w:tc>
        <w:tc>
          <w:tcPr>
            <w:tcW w:w="3104" w:type="dxa"/>
            <w:gridSpan w:val="5"/>
            <w:tcBorders>
              <w:top w:val="single" w:sz="4" w:space="0" w:color="auto"/>
              <w:left w:val="nil"/>
              <w:bottom w:val="single" w:sz="4" w:space="0" w:color="auto"/>
              <w:right w:val="nil"/>
            </w:tcBorders>
            <w:shd w:val="clear" w:color="auto" w:fill="auto"/>
            <w:noWrap/>
            <w:vAlign w:val="bottom"/>
            <w:hideMark/>
          </w:tcPr>
          <w:p w14:paraId="4831D5A2" w14:textId="77777777" w:rsidR="001861DC" w:rsidRPr="001C363D" w:rsidRDefault="001861DC" w:rsidP="002E0516">
            <w:pPr>
              <w:jc w:val="center"/>
              <w:rPr>
                <w:rFonts w:ascii="Calibri" w:eastAsia="Times New Roman" w:hAnsi="Calibri" w:cs="Times New Roman"/>
                <w:b/>
                <w:bCs/>
                <w:color w:val="000000"/>
                <w:lang w:eastAsia="es-ES"/>
              </w:rPr>
            </w:pPr>
            <w:r w:rsidRPr="001C363D">
              <w:rPr>
                <w:rFonts w:ascii="Calibri" w:eastAsia="Times New Roman" w:hAnsi="Calibri" w:cs="Times New Roman"/>
                <w:b/>
                <w:bCs/>
                <w:color w:val="000000"/>
                <w:lang w:eastAsia="es-ES"/>
              </w:rPr>
              <w:t>Fondo</w:t>
            </w:r>
            <w:r>
              <w:rPr>
                <w:rFonts w:ascii="Calibri" w:eastAsia="Times New Roman" w:hAnsi="Calibri" w:cs="Times New Roman"/>
                <w:b/>
                <w:bCs/>
                <w:color w:val="000000"/>
                <w:lang w:eastAsia="es-ES"/>
              </w:rPr>
              <w:t>s</w:t>
            </w:r>
          </w:p>
        </w:tc>
      </w:tr>
      <w:tr w:rsidR="001861DC" w:rsidRPr="001C363D" w14:paraId="36975929" w14:textId="77777777" w:rsidTr="002E0516">
        <w:trPr>
          <w:trHeight w:val="300"/>
          <w:jc w:val="center"/>
        </w:trPr>
        <w:tc>
          <w:tcPr>
            <w:tcW w:w="1701" w:type="dxa"/>
            <w:vMerge/>
            <w:tcBorders>
              <w:top w:val="single" w:sz="4" w:space="0" w:color="auto"/>
              <w:left w:val="nil"/>
              <w:bottom w:val="single" w:sz="4" w:space="0" w:color="000000"/>
              <w:right w:val="nil"/>
            </w:tcBorders>
            <w:vAlign w:val="center"/>
            <w:hideMark/>
          </w:tcPr>
          <w:p w14:paraId="60C7BDD2" w14:textId="77777777" w:rsidR="001861DC" w:rsidRPr="001C363D" w:rsidRDefault="001861DC" w:rsidP="002E0516">
            <w:pPr>
              <w:jc w:val="left"/>
              <w:rPr>
                <w:rFonts w:ascii="Calibri" w:eastAsia="Times New Roman" w:hAnsi="Calibri" w:cs="Times New Roman"/>
                <w:b/>
                <w:bCs/>
                <w:color w:val="000000"/>
                <w:lang w:eastAsia="es-ES"/>
              </w:rPr>
            </w:pPr>
          </w:p>
        </w:tc>
        <w:tc>
          <w:tcPr>
            <w:tcW w:w="532" w:type="dxa"/>
            <w:tcBorders>
              <w:top w:val="nil"/>
              <w:left w:val="nil"/>
              <w:bottom w:val="single" w:sz="4" w:space="0" w:color="auto"/>
              <w:right w:val="nil"/>
            </w:tcBorders>
            <w:shd w:val="clear" w:color="auto" w:fill="auto"/>
            <w:noWrap/>
            <w:vAlign w:val="bottom"/>
            <w:hideMark/>
          </w:tcPr>
          <w:p w14:paraId="69CA1846" w14:textId="77777777" w:rsidR="001861DC" w:rsidRPr="001C363D" w:rsidRDefault="001861DC" w:rsidP="002E0516">
            <w:pPr>
              <w:jc w:val="center"/>
              <w:rPr>
                <w:rFonts w:ascii="Calibri" w:eastAsia="Times New Roman" w:hAnsi="Calibri" w:cs="Times New Roman"/>
                <w:b/>
                <w:bCs/>
                <w:color w:val="000000"/>
                <w:lang w:eastAsia="es-ES"/>
              </w:rPr>
            </w:pPr>
            <w:r w:rsidRPr="001C363D">
              <w:rPr>
                <w:rFonts w:ascii="Calibri" w:eastAsia="Times New Roman" w:hAnsi="Calibri" w:cs="Times New Roman"/>
                <w:b/>
                <w:bCs/>
                <w:color w:val="000000"/>
                <w:lang w:eastAsia="es-ES"/>
              </w:rPr>
              <w:t>A</w:t>
            </w:r>
          </w:p>
        </w:tc>
        <w:tc>
          <w:tcPr>
            <w:tcW w:w="643" w:type="dxa"/>
            <w:tcBorders>
              <w:top w:val="nil"/>
              <w:left w:val="nil"/>
              <w:bottom w:val="single" w:sz="4" w:space="0" w:color="auto"/>
              <w:right w:val="nil"/>
            </w:tcBorders>
            <w:shd w:val="clear" w:color="auto" w:fill="auto"/>
            <w:noWrap/>
            <w:vAlign w:val="bottom"/>
            <w:hideMark/>
          </w:tcPr>
          <w:p w14:paraId="0912205B" w14:textId="77777777" w:rsidR="001861DC" w:rsidRPr="001C363D" w:rsidRDefault="001861DC" w:rsidP="002E0516">
            <w:pPr>
              <w:jc w:val="center"/>
              <w:rPr>
                <w:rFonts w:ascii="Calibri" w:eastAsia="Times New Roman" w:hAnsi="Calibri" w:cs="Times New Roman"/>
                <w:b/>
                <w:bCs/>
                <w:color w:val="000000"/>
                <w:lang w:eastAsia="es-ES"/>
              </w:rPr>
            </w:pPr>
            <w:r w:rsidRPr="001C363D">
              <w:rPr>
                <w:rFonts w:ascii="Calibri" w:eastAsia="Times New Roman" w:hAnsi="Calibri" w:cs="Times New Roman"/>
                <w:b/>
                <w:bCs/>
                <w:color w:val="000000"/>
                <w:lang w:eastAsia="es-ES"/>
              </w:rPr>
              <w:t>B</w:t>
            </w:r>
          </w:p>
        </w:tc>
        <w:tc>
          <w:tcPr>
            <w:tcW w:w="643" w:type="dxa"/>
            <w:tcBorders>
              <w:top w:val="nil"/>
              <w:left w:val="nil"/>
              <w:bottom w:val="single" w:sz="4" w:space="0" w:color="auto"/>
              <w:right w:val="nil"/>
            </w:tcBorders>
            <w:shd w:val="clear" w:color="auto" w:fill="auto"/>
            <w:noWrap/>
            <w:vAlign w:val="bottom"/>
            <w:hideMark/>
          </w:tcPr>
          <w:p w14:paraId="176FFE41" w14:textId="77777777" w:rsidR="001861DC" w:rsidRPr="001C363D" w:rsidRDefault="001861DC" w:rsidP="002E0516">
            <w:pPr>
              <w:jc w:val="center"/>
              <w:rPr>
                <w:rFonts w:ascii="Calibri" w:eastAsia="Times New Roman" w:hAnsi="Calibri" w:cs="Times New Roman"/>
                <w:b/>
                <w:bCs/>
                <w:color w:val="000000"/>
                <w:lang w:eastAsia="es-ES"/>
              </w:rPr>
            </w:pPr>
            <w:r w:rsidRPr="001C363D">
              <w:rPr>
                <w:rFonts w:ascii="Calibri" w:eastAsia="Times New Roman" w:hAnsi="Calibri" w:cs="Times New Roman"/>
                <w:b/>
                <w:bCs/>
                <w:color w:val="000000"/>
                <w:lang w:eastAsia="es-ES"/>
              </w:rPr>
              <w:t>C</w:t>
            </w:r>
          </w:p>
        </w:tc>
        <w:tc>
          <w:tcPr>
            <w:tcW w:w="643" w:type="dxa"/>
            <w:tcBorders>
              <w:top w:val="nil"/>
              <w:left w:val="nil"/>
              <w:bottom w:val="single" w:sz="4" w:space="0" w:color="auto"/>
              <w:right w:val="nil"/>
            </w:tcBorders>
            <w:shd w:val="clear" w:color="auto" w:fill="auto"/>
            <w:noWrap/>
            <w:vAlign w:val="bottom"/>
            <w:hideMark/>
          </w:tcPr>
          <w:p w14:paraId="3E79CA1F" w14:textId="77777777" w:rsidR="001861DC" w:rsidRPr="001C363D" w:rsidRDefault="001861DC" w:rsidP="002E0516">
            <w:pPr>
              <w:jc w:val="center"/>
              <w:rPr>
                <w:rFonts w:ascii="Calibri" w:eastAsia="Times New Roman" w:hAnsi="Calibri" w:cs="Times New Roman"/>
                <w:b/>
                <w:bCs/>
                <w:color w:val="000000"/>
                <w:lang w:eastAsia="es-ES"/>
              </w:rPr>
            </w:pPr>
            <w:r w:rsidRPr="001C363D">
              <w:rPr>
                <w:rFonts w:ascii="Calibri" w:eastAsia="Times New Roman" w:hAnsi="Calibri" w:cs="Times New Roman"/>
                <w:b/>
                <w:bCs/>
                <w:color w:val="000000"/>
                <w:lang w:eastAsia="es-ES"/>
              </w:rPr>
              <w:t>D</w:t>
            </w:r>
          </w:p>
        </w:tc>
        <w:tc>
          <w:tcPr>
            <w:tcW w:w="643" w:type="dxa"/>
            <w:tcBorders>
              <w:top w:val="nil"/>
              <w:left w:val="nil"/>
              <w:bottom w:val="single" w:sz="4" w:space="0" w:color="auto"/>
              <w:right w:val="nil"/>
            </w:tcBorders>
            <w:shd w:val="clear" w:color="auto" w:fill="auto"/>
            <w:noWrap/>
            <w:vAlign w:val="bottom"/>
            <w:hideMark/>
          </w:tcPr>
          <w:p w14:paraId="614BDE2D" w14:textId="77777777" w:rsidR="001861DC" w:rsidRPr="001C363D" w:rsidRDefault="001861DC" w:rsidP="002E0516">
            <w:pPr>
              <w:jc w:val="center"/>
              <w:rPr>
                <w:rFonts w:ascii="Calibri" w:eastAsia="Times New Roman" w:hAnsi="Calibri" w:cs="Times New Roman"/>
                <w:b/>
                <w:bCs/>
                <w:color w:val="000000"/>
                <w:lang w:eastAsia="es-ES"/>
              </w:rPr>
            </w:pPr>
            <w:r w:rsidRPr="001C363D">
              <w:rPr>
                <w:rFonts w:ascii="Calibri" w:eastAsia="Times New Roman" w:hAnsi="Calibri" w:cs="Times New Roman"/>
                <w:b/>
                <w:bCs/>
                <w:color w:val="000000"/>
                <w:lang w:eastAsia="es-ES"/>
              </w:rPr>
              <w:t>E</w:t>
            </w:r>
          </w:p>
        </w:tc>
      </w:tr>
      <w:tr w:rsidR="001861DC" w:rsidRPr="001C363D" w14:paraId="569443A9" w14:textId="77777777" w:rsidTr="002E0516">
        <w:trPr>
          <w:trHeight w:val="300"/>
          <w:jc w:val="center"/>
        </w:trPr>
        <w:tc>
          <w:tcPr>
            <w:tcW w:w="1701" w:type="dxa"/>
            <w:tcBorders>
              <w:top w:val="nil"/>
              <w:left w:val="nil"/>
              <w:bottom w:val="nil"/>
              <w:right w:val="nil"/>
            </w:tcBorders>
            <w:shd w:val="clear" w:color="auto" w:fill="auto"/>
            <w:noWrap/>
            <w:vAlign w:val="bottom"/>
            <w:hideMark/>
          </w:tcPr>
          <w:p w14:paraId="67445A8D" w14:textId="77777777" w:rsidR="001861DC" w:rsidRPr="001C363D" w:rsidRDefault="001861DC" w:rsidP="002E0516">
            <w:pPr>
              <w:jc w:val="left"/>
              <w:rPr>
                <w:rFonts w:ascii="Calibri" w:eastAsia="Times New Roman" w:hAnsi="Calibri" w:cs="Times New Roman"/>
                <w:color w:val="000000"/>
                <w:lang w:eastAsia="es-ES"/>
              </w:rPr>
            </w:pPr>
            <w:r w:rsidRPr="001C363D">
              <w:rPr>
                <w:rFonts w:ascii="Calibri" w:eastAsia="Times New Roman" w:hAnsi="Calibri" w:cs="Times New Roman"/>
                <w:color w:val="000000"/>
                <w:lang w:eastAsia="es-ES"/>
              </w:rPr>
              <w:t>Banco Central</w:t>
            </w:r>
          </w:p>
        </w:tc>
        <w:tc>
          <w:tcPr>
            <w:tcW w:w="532" w:type="dxa"/>
            <w:tcBorders>
              <w:top w:val="nil"/>
              <w:left w:val="nil"/>
              <w:bottom w:val="nil"/>
              <w:right w:val="nil"/>
            </w:tcBorders>
            <w:shd w:val="clear" w:color="auto" w:fill="auto"/>
            <w:noWrap/>
            <w:vAlign w:val="bottom"/>
            <w:hideMark/>
          </w:tcPr>
          <w:p w14:paraId="4452B933" w14:textId="77777777" w:rsidR="001861DC" w:rsidRPr="001C363D" w:rsidRDefault="001861DC" w:rsidP="002E0516">
            <w:pPr>
              <w:jc w:val="right"/>
              <w:rPr>
                <w:rFonts w:ascii="Calibri" w:eastAsia="Times New Roman" w:hAnsi="Calibri" w:cs="Times New Roman"/>
                <w:color w:val="000000"/>
                <w:lang w:eastAsia="es-ES"/>
              </w:rPr>
            </w:pPr>
            <w:r w:rsidRPr="001C363D">
              <w:rPr>
                <w:rFonts w:ascii="Calibri" w:eastAsia="Times New Roman" w:hAnsi="Calibri" w:cs="Times New Roman"/>
                <w:color w:val="000000"/>
                <w:lang w:eastAsia="es-ES"/>
              </w:rPr>
              <w:t>0,72</w:t>
            </w:r>
          </w:p>
        </w:tc>
        <w:tc>
          <w:tcPr>
            <w:tcW w:w="643" w:type="dxa"/>
            <w:tcBorders>
              <w:top w:val="nil"/>
              <w:left w:val="nil"/>
              <w:bottom w:val="nil"/>
              <w:right w:val="nil"/>
            </w:tcBorders>
            <w:shd w:val="clear" w:color="auto" w:fill="auto"/>
            <w:noWrap/>
            <w:vAlign w:val="bottom"/>
            <w:hideMark/>
          </w:tcPr>
          <w:p w14:paraId="3497BB89" w14:textId="77777777" w:rsidR="001861DC" w:rsidRPr="001C363D" w:rsidRDefault="001861DC" w:rsidP="002E0516">
            <w:pPr>
              <w:jc w:val="right"/>
              <w:rPr>
                <w:rFonts w:ascii="Calibri" w:eastAsia="Times New Roman" w:hAnsi="Calibri" w:cs="Times New Roman"/>
                <w:color w:val="000000"/>
                <w:lang w:eastAsia="es-ES"/>
              </w:rPr>
            </w:pPr>
            <w:r w:rsidRPr="001C363D">
              <w:rPr>
                <w:rFonts w:ascii="Calibri" w:eastAsia="Times New Roman" w:hAnsi="Calibri" w:cs="Times New Roman"/>
                <w:color w:val="000000"/>
                <w:lang w:eastAsia="es-ES"/>
              </w:rPr>
              <w:t>3,75</w:t>
            </w:r>
          </w:p>
        </w:tc>
        <w:tc>
          <w:tcPr>
            <w:tcW w:w="643" w:type="dxa"/>
            <w:tcBorders>
              <w:top w:val="nil"/>
              <w:left w:val="nil"/>
              <w:bottom w:val="nil"/>
              <w:right w:val="nil"/>
            </w:tcBorders>
            <w:shd w:val="clear" w:color="auto" w:fill="auto"/>
            <w:noWrap/>
            <w:vAlign w:val="bottom"/>
            <w:hideMark/>
          </w:tcPr>
          <w:p w14:paraId="3C0240B9" w14:textId="77777777" w:rsidR="001861DC" w:rsidRPr="001C363D" w:rsidRDefault="001861DC" w:rsidP="002E0516">
            <w:pPr>
              <w:jc w:val="right"/>
              <w:rPr>
                <w:rFonts w:ascii="Calibri" w:eastAsia="Times New Roman" w:hAnsi="Calibri" w:cs="Times New Roman"/>
                <w:color w:val="000000"/>
                <w:lang w:eastAsia="es-ES"/>
              </w:rPr>
            </w:pPr>
            <w:r w:rsidRPr="001C363D">
              <w:rPr>
                <w:rFonts w:ascii="Calibri" w:eastAsia="Times New Roman" w:hAnsi="Calibri" w:cs="Times New Roman"/>
                <w:color w:val="000000"/>
                <w:lang w:eastAsia="es-ES"/>
              </w:rPr>
              <w:t>5,71</w:t>
            </w:r>
          </w:p>
        </w:tc>
        <w:tc>
          <w:tcPr>
            <w:tcW w:w="643" w:type="dxa"/>
            <w:tcBorders>
              <w:top w:val="nil"/>
              <w:left w:val="nil"/>
              <w:bottom w:val="nil"/>
              <w:right w:val="nil"/>
            </w:tcBorders>
            <w:shd w:val="clear" w:color="auto" w:fill="auto"/>
            <w:noWrap/>
            <w:vAlign w:val="bottom"/>
            <w:hideMark/>
          </w:tcPr>
          <w:p w14:paraId="3D79DDC3" w14:textId="77777777" w:rsidR="001861DC" w:rsidRPr="001C363D" w:rsidRDefault="001861DC" w:rsidP="002E0516">
            <w:pPr>
              <w:jc w:val="right"/>
              <w:rPr>
                <w:rFonts w:ascii="Calibri" w:eastAsia="Times New Roman" w:hAnsi="Calibri" w:cs="Times New Roman"/>
                <w:color w:val="000000"/>
                <w:lang w:eastAsia="es-ES"/>
              </w:rPr>
            </w:pPr>
            <w:r w:rsidRPr="001C363D">
              <w:rPr>
                <w:rFonts w:ascii="Calibri" w:eastAsia="Times New Roman" w:hAnsi="Calibri" w:cs="Times New Roman"/>
                <w:color w:val="000000"/>
                <w:lang w:eastAsia="es-ES"/>
              </w:rPr>
              <w:t>9,57</w:t>
            </w:r>
          </w:p>
        </w:tc>
        <w:tc>
          <w:tcPr>
            <w:tcW w:w="643" w:type="dxa"/>
            <w:tcBorders>
              <w:top w:val="nil"/>
              <w:left w:val="nil"/>
              <w:bottom w:val="nil"/>
              <w:right w:val="nil"/>
            </w:tcBorders>
            <w:shd w:val="clear" w:color="auto" w:fill="auto"/>
            <w:noWrap/>
            <w:vAlign w:val="bottom"/>
            <w:hideMark/>
          </w:tcPr>
          <w:p w14:paraId="073D528B" w14:textId="77777777" w:rsidR="001861DC" w:rsidRPr="001C363D" w:rsidRDefault="001861DC" w:rsidP="002E0516">
            <w:pPr>
              <w:jc w:val="right"/>
              <w:rPr>
                <w:rFonts w:ascii="Calibri" w:eastAsia="Times New Roman" w:hAnsi="Calibri" w:cs="Times New Roman"/>
                <w:color w:val="000000"/>
                <w:lang w:eastAsia="es-ES"/>
              </w:rPr>
            </w:pPr>
            <w:r w:rsidRPr="001C363D">
              <w:rPr>
                <w:rFonts w:ascii="Calibri" w:eastAsia="Times New Roman" w:hAnsi="Calibri" w:cs="Times New Roman"/>
                <w:color w:val="000000"/>
                <w:lang w:eastAsia="es-ES"/>
              </w:rPr>
              <w:t>14,9</w:t>
            </w:r>
          </w:p>
        </w:tc>
      </w:tr>
      <w:tr w:rsidR="001861DC" w:rsidRPr="001C363D" w14:paraId="1634B986" w14:textId="77777777" w:rsidTr="002E0516">
        <w:trPr>
          <w:trHeight w:val="300"/>
          <w:jc w:val="center"/>
        </w:trPr>
        <w:tc>
          <w:tcPr>
            <w:tcW w:w="1701" w:type="dxa"/>
            <w:tcBorders>
              <w:top w:val="nil"/>
              <w:left w:val="nil"/>
              <w:bottom w:val="single" w:sz="4" w:space="0" w:color="auto"/>
              <w:right w:val="nil"/>
            </w:tcBorders>
            <w:shd w:val="clear" w:color="auto" w:fill="auto"/>
            <w:noWrap/>
            <w:vAlign w:val="bottom"/>
            <w:hideMark/>
          </w:tcPr>
          <w:p w14:paraId="10F487D5" w14:textId="77777777" w:rsidR="001861DC" w:rsidRPr="001C363D" w:rsidRDefault="001861DC" w:rsidP="002E0516">
            <w:pPr>
              <w:jc w:val="left"/>
              <w:rPr>
                <w:rFonts w:ascii="Calibri" w:eastAsia="Times New Roman" w:hAnsi="Calibri" w:cs="Times New Roman"/>
                <w:color w:val="000000"/>
                <w:lang w:eastAsia="es-ES"/>
              </w:rPr>
            </w:pPr>
            <w:r w:rsidRPr="001C363D">
              <w:rPr>
                <w:rFonts w:ascii="Calibri" w:eastAsia="Times New Roman" w:hAnsi="Calibri" w:cs="Times New Roman"/>
                <w:color w:val="000000"/>
                <w:lang w:eastAsia="es-ES"/>
              </w:rPr>
              <w:t>Tesorería</w:t>
            </w:r>
          </w:p>
        </w:tc>
        <w:tc>
          <w:tcPr>
            <w:tcW w:w="532" w:type="dxa"/>
            <w:tcBorders>
              <w:top w:val="nil"/>
              <w:left w:val="nil"/>
              <w:bottom w:val="single" w:sz="4" w:space="0" w:color="auto"/>
              <w:right w:val="nil"/>
            </w:tcBorders>
            <w:shd w:val="clear" w:color="auto" w:fill="auto"/>
            <w:noWrap/>
            <w:vAlign w:val="bottom"/>
            <w:hideMark/>
          </w:tcPr>
          <w:p w14:paraId="100BBD44" w14:textId="77777777" w:rsidR="001861DC" w:rsidRPr="001C363D" w:rsidRDefault="001861DC" w:rsidP="002E0516">
            <w:pPr>
              <w:jc w:val="right"/>
              <w:rPr>
                <w:rFonts w:ascii="Calibri" w:eastAsia="Times New Roman" w:hAnsi="Calibri" w:cs="Times New Roman"/>
                <w:color w:val="000000"/>
                <w:lang w:eastAsia="es-ES"/>
              </w:rPr>
            </w:pPr>
            <w:r w:rsidRPr="001C363D">
              <w:rPr>
                <w:rFonts w:ascii="Calibri" w:eastAsia="Times New Roman" w:hAnsi="Calibri" w:cs="Times New Roman"/>
                <w:color w:val="000000"/>
                <w:lang w:eastAsia="es-ES"/>
              </w:rPr>
              <w:t>1,04</w:t>
            </w:r>
          </w:p>
        </w:tc>
        <w:tc>
          <w:tcPr>
            <w:tcW w:w="643" w:type="dxa"/>
            <w:tcBorders>
              <w:top w:val="nil"/>
              <w:left w:val="nil"/>
              <w:bottom w:val="single" w:sz="4" w:space="0" w:color="auto"/>
              <w:right w:val="nil"/>
            </w:tcBorders>
            <w:shd w:val="clear" w:color="auto" w:fill="auto"/>
            <w:noWrap/>
            <w:vAlign w:val="bottom"/>
            <w:hideMark/>
          </w:tcPr>
          <w:p w14:paraId="2D6886BD" w14:textId="77777777" w:rsidR="001861DC" w:rsidRPr="001C363D" w:rsidRDefault="001861DC" w:rsidP="002E0516">
            <w:pPr>
              <w:jc w:val="right"/>
              <w:rPr>
                <w:rFonts w:ascii="Calibri" w:eastAsia="Times New Roman" w:hAnsi="Calibri" w:cs="Times New Roman"/>
                <w:color w:val="000000"/>
                <w:lang w:eastAsia="es-ES"/>
              </w:rPr>
            </w:pPr>
            <w:r w:rsidRPr="001C363D">
              <w:rPr>
                <w:rFonts w:ascii="Calibri" w:eastAsia="Times New Roman" w:hAnsi="Calibri" w:cs="Times New Roman"/>
                <w:color w:val="000000"/>
                <w:lang w:eastAsia="es-ES"/>
              </w:rPr>
              <w:t>8,76</w:t>
            </w:r>
          </w:p>
        </w:tc>
        <w:tc>
          <w:tcPr>
            <w:tcW w:w="643" w:type="dxa"/>
            <w:tcBorders>
              <w:top w:val="nil"/>
              <w:left w:val="nil"/>
              <w:bottom w:val="single" w:sz="4" w:space="0" w:color="auto"/>
              <w:right w:val="nil"/>
            </w:tcBorders>
            <w:shd w:val="clear" w:color="auto" w:fill="auto"/>
            <w:noWrap/>
            <w:vAlign w:val="bottom"/>
            <w:hideMark/>
          </w:tcPr>
          <w:p w14:paraId="1E05BA82" w14:textId="77777777" w:rsidR="001861DC" w:rsidRPr="001C363D" w:rsidRDefault="001861DC" w:rsidP="002E0516">
            <w:pPr>
              <w:jc w:val="right"/>
              <w:rPr>
                <w:rFonts w:ascii="Calibri" w:eastAsia="Times New Roman" w:hAnsi="Calibri" w:cs="Times New Roman"/>
                <w:color w:val="000000"/>
                <w:lang w:eastAsia="es-ES"/>
              </w:rPr>
            </w:pPr>
            <w:r w:rsidRPr="001C363D">
              <w:rPr>
                <w:rFonts w:ascii="Calibri" w:eastAsia="Times New Roman" w:hAnsi="Calibri" w:cs="Times New Roman"/>
                <w:color w:val="000000"/>
                <w:lang w:eastAsia="es-ES"/>
              </w:rPr>
              <w:t>15,6</w:t>
            </w:r>
          </w:p>
        </w:tc>
        <w:tc>
          <w:tcPr>
            <w:tcW w:w="643" w:type="dxa"/>
            <w:tcBorders>
              <w:top w:val="nil"/>
              <w:left w:val="nil"/>
              <w:bottom w:val="single" w:sz="4" w:space="0" w:color="auto"/>
              <w:right w:val="nil"/>
            </w:tcBorders>
            <w:shd w:val="clear" w:color="auto" w:fill="auto"/>
            <w:noWrap/>
            <w:vAlign w:val="bottom"/>
            <w:hideMark/>
          </w:tcPr>
          <w:p w14:paraId="5CD0C964" w14:textId="77777777" w:rsidR="001861DC" w:rsidRPr="001C363D" w:rsidRDefault="001861DC" w:rsidP="002E0516">
            <w:pPr>
              <w:jc w:val="right"/>
              <w:rPr>
                <w:rFonts w:ascii="Calibri" w:eastAsia="Times New Roman" w:hAnsi="Calibri" w:cs="Times New Roman"/>
                <w:color w:val="000000"/>
                <w:lang w:eastAsia="es-ES"/>
              </w:rPr>
            </w:pPr>
            <w:r w:rsidRPr="001C363D">
              <w:rPr>
                <w:rFonts w:ascii="Calibri" w:eastAsia="Times New Roman" w:hAnsi="Calibri" w:cs="Times New Roman"/>
                <w:color w:val="000000"/>
                <w:lang w:eastAsia="es-ES"/>
              </w:rPr>
              <w:t>24,5</w:t>
            </w:r>
          </w:p>
        </w:tc>
        <w:tc>
          <w:tcPr>
            <w:tcW w:w="643" w:type="dxa"/>
            <w:tcBorders>
              <w:top w:val="nil"/>
              <w:left w:val="nil"/>
              <w:bottom w:val="single" w:sz="4" w:space="0" w:color="auto"/>
              <w:right w:val="nil"/>
            </w:tcBorders>
            <w:shd w:val="clear" w:color="auto" w:fill="auto"/>
            <w:noWrap/>
            <w:vAlign w:val="bottom"/>
            <w:hideMark/>
          </w:tcPr>
          <w:p w14:paraId="50CAFC0F" w14:textId="77777777" w:rsidR="001861DC" w:rsidRPr="001C363D" w:rsidRDefault="001861DC" w:rsidP="002E0516">
            <w:pPr>
              <w:jc w:val="right"/>
              <w:rPr>
                <w:rFonts w:ascii="Calibri" w:eastAsia="Times New Roman" w:hAnsi="Calibri" w:cs="Times New Roman"/>
                <w:color w:val="000000"/>
                <w:lang w:eastAsia="es-ES"/>
              </w:rPr>
            </w:pPr>
            <w:r w:rsidRPr="001C363D">
              <w:rPr>
                <w:rFonts w:ascii="Calibri" w:eastAsia="Times New Roman" w:hAnsi="Calibri" w:cs="Times New Roman"/>
                <w:color w:val="000000"/>
                <w:lang w:eastAsia="es-ES"/>
              </w:rPr>
              <w:t>34,7</w:t>
            </w:r>
          </w:p>
        </w:tc>
      </w:tr>
      <w:tr w:rsidR="001861DC" w:rsidRPr="001C363D" w14:paraId="1B6CCB17" w14:textId="77777777" w:rsidTr="002E0516">
        <w:trPr>
          <w:trHeight w:val="300"/>
          <w:jc w:val="center"/>
        </w:trPr>
        <w:tc>
          <w:tcPr>
            <w:tcW w:w="1701" w:type="dxa"/>
            <w:tcBorders>
              <w:top w:val="single" w:sz="4" w:space="0" w:color="auto"/>
              <w:left w:val="nil"/>
              <w:bottom w:val="single" w:sz="4" w:space="0" w:color="auto"/>
              <w:right w:val="nil"/>
            </w:tcBorders>
            <w:shd w:val="clear" w:color="auto" w:fill="auto"/>
            <w:noWrap/>
            <w:vAlign w:val="bottom"/>
            <w:hideMark/>
          </w:tcPr>
          <w:p w14:paraId="7FBDF6A2" w14:textId="77777777" w:rsidR="001861DC" w:rsidRPr="001C363D" w:rsidRDefault="001861DC" w:rsidP="002E0516">
            <w:pPr>
              <w:jc w:val="left"/>
              <w:rPr>
                <w:rFonts w:ascii="Calibri" w:eastAsia="Times New Roman" w:hAnsi="Calibri" w:cs="Times New Roman"/>
                <w:b/>
                <w:color w:val="000000"/>
                <w:lang w:eastAsia="es-ES"/>
              </w:rPr>
            </w:pPr>
            <w:r w:rsidRPr="001C363D">
              <w:rPr>
                <w:rFonts w:ascii="Calibri" w:eastAsia="Times New Roman" w:hAnsi="Calibri" w:cs="Times New Roman"/>
                <w:b/>
                <w:color w:val="000000"/>
                <w:lang w:eastAsia="es-ES"/>
              </w:rPr>
              <w:t>Total</w:t>
            </w:r>
          </w:p>
        </w:tc>
        <w:tc>
          <w:tcPr>
            <w:tcW w:w="532" w:type="dxa"/>
            <w:tcBorders>
              <w:top w:val="single" w:sz="4" w:space="0" w:color="auto"/>
              <w:left w:val="nil"/>
              <w:bottom w:val="single" w:sz="4" w:space="0" w:color="auto"/>
              <w:right w:val="nil"/>
            </w:tcBorders>
            <w:shd w:val="clear" w:color="auto" w:fill="auto"/>
            <w:noWrap/>
            <w:vAlign w:val="bottom"/>
            <w:hideMark/>
          </w:tcPr>
          <w:p w14:paraId="35ABA475" w14:textId="77777777" w:rsidR="001861DC" w:rsidRPr="001C363D" w:rsidRDefault="001861DC" w:rsidP="002E0516">
            <w:pPr>
              <w:jc w:val="right"/>
              <w:rPr>
                <w:rFonts w:ascii="Calibri" w:eastAsia="Times New Roman" w:hAnsi="Calibri" w:cs="Times New Roman"/>
                <w:b/>
                <w:color w:val="000000"/>
                <w:lang w:eastAsia="es-ES"/>
              </w:rPr>
            </w:pPr>
            <w:r w:rsidRPr="001C363D">
              <w:rPr>
                <w:rFonts w:ascii="Calibri" w:eastAsia="Times New Roman" w:hAnsi="Calibri" w:cs="Times New Roman"/>
                <w:b/>
                <w:color w:val="000000"/>
                <w:lang w:eastAsia="es-ES"/>
              </w:rPr>
              <w:t>1,76</w:t>
            </w:r>
          </w:p>
        </w:tc>
        <w:tc>
          <w:tcPr>
            <w:tcW w:w="643" w:type="dxa"/>
            <w:tcBorders>
              <w:top w:val="single" w:sz="4" w:space="0" w:color="auto"/>
              <w:left w:val="nil"/>
              <w:bottom w:val="single" w:sz="4" w:space="0" w:color="auto"/>
              <w:right w:val="nil"/>
            </w:tcBorders>
            <w:shd w:val="clear" w:color="auto" w:fill="auto"/>
            <w:noWrap/>
            <w:vAlign w:val="bottom"/>
            <w:hideMark/>
          </w:tcPr>
          <w:p w14:paraId="14D0DCDF" w14:textId="77777777" w:rsidR="001861DC" w:rsidRPr="001C363D" w:rsidRDefault="001861DC" w:rsidP="002E0516">
            <w:pPr>
              <w:jc w:val="right"/>
              <w:rPr>
                <w:rFonts w:ascii="Calibri" w:eastAsia="Times New Roman" w:hAnsi="Calibri" w:cs="Times New Roman"/>
                <w:b/>
                <w:color w:val="000000"/>
                <w:lang w:eastAsia="es-ES"/>
              </w:rPr>
            </w:pPr>
            <w:r w:rsidRPr="001C363D">
              <w:rPr>
                <w:rFonts w:ascii="Calibri" w:eastAsia="Times New Roman" w:hAnsi="Calibri" w:cs="Times New Roman"/>
                <w:b/>
                <w:color w:val="000000"/>
                <w:lang w:eastAsia="es-ES"/>
              </w:rPr>
              <w:t>12,51</w:t>
            </w:r>
          </w:p>
        </w:tc>
        <w:tc>
          <w:tcPr>
            <w:tcW w:w="643" w:type="dxa"/>
            <w:tcBorders>
              <w:top w:val="single" w:sz="4" w:space="0" w:color="auto"/>
              <w:left w:val="nil"/>
              <w:bottom w:val="single" w:sz="4" w:space="0" w:color="auto"/>
              <w:right w:val="nil"/>
            </w:tcBorders>
            <w:shd w:val="clear" w:color="auto" w:fill="auto"/>
            <w:noWrap/>
            <w:vAlign w:val="bottom"/>
            <w:hideMark/>
          </w:tcPr>
          <w:p w14:paraId="2BB60B9D" w14:textId="77777777" w:rsidR="001861DC" w:rsidRPr="001C363D" w:rsidRDefault="001861DC" w:rsidP="002E0516">
            <w:pPr>
              <w:jc w:val="right"/>
              <w:rPr>
                <w:rFonts w:ascii="Calibri" w:eastAsia="Times New Roman" w:hAnsi="Calibri" w:cs="Times New Roman"/>
                <w:b/>
                <w:color w:val="000000"/>
                <w:lang w:eastAsia="es-ES"/>
              </w:rPr>
            </w:pPr>
            <w:r w:rsidRPr="001C363D">
              <w:rPr>
                <w:rFonts w:ascii="Calibri" w:eastAsia="Times New Roman" w:hAnsi="Calibri" w:cs="Times New Roman"/>
                <w:b/>
                <w:color w:val="000000"/>
                <w:lang w:eastAsia="es-ES"/>
              </w:rPr>
              <w:t>21,33</w:t>
            </w:r>
          </w:p>
        </w:tc>
        <w:tc>
          <w:tcPr>
            <w:tcW w:w="643" w:type="dxa"/>
            <w:tcBorders>
              <w:top w:val="single" w:sz="4" w:space="0" w:color="auto"/>
              <w:left w:val="nil"/>
              <w:bottom w:val="single" w:sz="4" w:space="0" w:color="auto"/>
              <w:right w:val="nil"/>
            </w:tcBorders>
            <w:shd w:val="clear" w:color="auto" w:fill="auto"/>
            <w:noWrap/>
            <w:vAlign w:val="bottom"/>
            <w:hideMark/>
          </w:tcPr>
          <w:p w14:paraId="01E84D25" w14:textId="77777777" w:rsidR="001861DC" w:rsidRPr="001C363D" w:rsidRDefault="001861DC" w:rsidP="002E0516">
            <w:pPr>
              <w:jc w:val="right"/>
              <w:rPr>
                <w:rFonts w:ascii="Calibri" w:eastAsia="Times New Roman" w:hAnsi="Calibri" w:cs="Times New Roman"/>
                <w:b/>
                <w:color w:val="000000"/>
                <w:lang w:eastAsia="es-ES"/>
              </w:rPr>
            </w:pPr>
            <w:r w:rsidRPr="001C363D">
              <w:rPr>
                <w:rFonts w:ascii="Calibri" w:eastAsia="Times New Roman" w:hAnsi="Calibri" w:cs="Times New Roman"/>
                <w:b/>
                <w:color w:val="000000"/>
                <w:lang w:eastAsia="es-ES"/>
              </w:rPr>
              <w:t>34,03</w:t>
            </w:r>
          </w:p>
        </w:tc>
        <w:tc>
          <w:tcPr>
            <w:tcW w:w="643" w:type="dxa"/>
            <w:tcBorders>
              <w:top w:val="single" w:sz="4" w:space="0" w:color="auto"/>
              <w:left w:val="nil"/>
              <w:bottom w:val="single" w:sz="4" w:space="0" w:color="auto"/>
              <w:right w:val="nil"/>
            </w:tcBorders>
            <w:shd w:val="clear" w:color="auto" w:fill="auto"/>
            <w:noWrap/>
            <w:vAlign w:val="bottom"/>
            <w:hideMark/>
          </w:tcPr>
          <w:p w14:paraId="47E44661" w14:textId="77777777" w:rsidR="001861DC" w:rsidRPr="001C363D" w:rsidRDefault="001861DC" w:rsidP="002E0516">
            <w:pPr>
              <w:jc w:val="right"/>
              <w:rPr>
                <w:rFonts w:ascii="Calibri" w:eastAsia="Times New Roman" w:hAnsi="Calibri" w:cs="Times New Roman"/>
                <w:b/>
                <w:color w:val="000000"/>
                <w:lang w:eastAsia="es-ES"/>
              </w:rPr>
            </w:pPr>
            <w:r w:rsidRPr="001C363D">
              <w:rPr>
                <w:rFonts w:ascii="Calibri" w:eastAsia="Times New Roman" w:hAnsi="Calibri" w:cs="Times New Roman"/>
                <w:b/>
                <w:color w:val="000000"/>
                <w:lang w:eastAsia="es-ES"/>
              </w:rPr>
              <w:t>49,58</w:t>
            </w:r>
          </w:p>
        </w:tc>
      </w:tr>
    </w:tbl>
    <w:p w14:paraId="37B7DF4A" w14:textId="77777777" w:rsidR="001861DC" w:rsidRDefault="001861DC" w:rsidP="001861DC">
      <w:r>
        <w:tab/>
      </w:r>
      <w:r>
        <w:tab/>
      </w:r>
      <w:r>
        <w:tab/>
        <w:t>Fuente: Superintendencia de Pensiones de Chile</w:t>
      </w:r>
    </w:p>
    <w:p w14:paraId="23FDDA9F" w14:textId="77777777" w:rsidR="001861DC" w:rsidRDefault="001861DC" w:rsidP="001861DC"/>
    <w:p w14:paraId="5CB8DD34" w14:textId="77777777" w:rsidR="001861DC" w:rsidRDefault="001861DC" w:rsidP="001861DC">
      <w:pPr>
        <w:spacing w:after="160" w:line="259" w:lineRule="auto"/>
        <w:jc w:val="left"/>
      </w:pPr>
      <w:r>
        <w:br w:type="page"/>
      </w:r>
    </w:p>
    <w:p w14:paraId="3B0AECC2" w14:textId="77777777" w:rsidR="001861DC" w:rsidRPr="00492E6B" w:rsidRDefault="001861DC" w:rsidP="001861DC"/>
    <w:p w14:paraId="2D29924A" w14:textId="77777777" w:rsidR="001861DC" w:rsidRDefault="001861DC" w:rsidP="001861DC">
      <w:pPr>
        <w:pStyle w:val="Ttulo2"/>
        <w:jc w:val="both"/>
      </w:pPr>
      <w:r>
        <w:t>México</w:t>
      </w:r>
    </w:p>
    <w:p w14:paraId="2EDDE31F" w14:textId="77777777" w:rsidR="001861DC" w:rsidRDefault="001861DC" w:rsidP="001861DC"/>
    <w:p w14:paraId="115EE59F" w14:textId="77777777" w:rsidR="001861DC" w:rsidRPr="00CE7490" w:rsidRDefault="001861DC" w:rsidP="001861DC">
      <w:r>
        <w:t>En México la regulación ha optado por manejar los límites en función de las calificaciones de riesgo sobre el emisor, tal y como se muestra en la figura adjunta. En este caso, aunque exista también la figura de los multifondos no se ha considerado necesario diferenciar los límites de acuerdo a cada uno.</w:t>
      </w:r>
    </w:p>
    <w:p w14:paraId="009BB193" w14:textId="77777777" w:rsidR="001861DC" w:rsidRDefault="001861DC" w:rsidP="001861DC"/>
    <w:p w14:paraId="6FF7F957" w14:textId="77777777" w:rsidR="001861DC" w:rsidRDefault="001861DC" w:rsidP="001861DC"/>
    <w:p w14:paraId="17256D81" w14:textId="77777777" w:rsidR="001861DC" w:rsidRDefault="001861DC" w:rsidP="001861DC"/>
    <w:p w14:paraId="11E6A64A" w14:textId="77777777" w:rsidR="001861DC" w:rsidRPr="00942459" w:rsidRDefault="001861DC" w:rsidP="001861DC">
      <w:pPr>
        <w:jc w:val="center"/>
        <w:rPr>
          <w:sz w:val="20"/>
        </w:rPr>
      </w:pPr>
      <w:r>
        <w:tab/>
      </w:r>
      <w:r w:rsidRPr="00942459">
        <w:rPr>
          <w:b/>
          <w:sz w:val="20"/>
        </w:rPr>
        <w:t>México</w:t>
      </w:r>
      <w:r w:rsidRPr="00942459">
        <w:rPr>
          <w:sz w:val="20"/>
        </w:rPr>
        <w:t>: Límites por Emisor</w:t>
      </w:r>
    </w:p>
    <w:tbl>
      <w:tblPr>
        <w:tblStyle w:val="Tablaconcuadrcula"/>
        <w:tblW w:w="8153" w:type="dxa"/>
        <w:jc w:val="center"/>
        <w:tblLook w:val="04A0" w:firstRow="1" w:lastRow="0" w:firstColumn="1" w:lastColumn="0" w:noHBand="0" w:noVBand="1"/>
      </w:tblPr>
      <w:tblGrid>
        <w:gridCol w:w="1399"/>
        <w:gridCol w:w="4448"/>
        <w:gridCol w:w="605"/>
        <w:gridCol w:w="567"/>
        <w:gridCol w:w="567"/>
        <w:gridCol w:w="567"/>
      </w:tblGrid>
      <w:tr w:rsidR="001861DC" w:rsidRPr="00875B83" w14:paraId="722FD777" w14:textId="77777777" w:rsidTr="002E0516">
        <w:trPr>
          <w:jc w:val="center"/>
        </w:trPr>
        <w:tc>
          <w:tcPr>
            <w:tcW w:w="1399" w:type="dxa"/>
            <w:tcBorders>
              <w:top w:val="single" w:sz="4" w:space="0" w:color="auto"/>
              <w:left w:val="nil"/>
              <w:bottom w:val="single" w:sz="4" w:space="0" w:color="auto"/>
              <w:right w:val="nil"/>
            </w:tcBorders>
          </w:tcPr>
          <w:p w14:paraId="58860FBE" w14:textId="77777777" w:rsidR="001861DC" w:rsidRPr="00875B83" w:rsidRDefault="001861DC" w:rsidP="002E0516">
            <w:pPr>
              <w:tabs>
                <w:tab w:val="left" w:pos="1056"/>
              </w:tabs>
              <w:rPr>
                <w:b/>
                <w:sz w:val="18"/>
              </w:rPr>
            </w:pPr>
            <w:r w:rsidRPr="00875B83">
              <w:rPr>
                <w:b/>
                <w:sz w:val="18"/>
              </w:rPr>
              <w:t>Plaza</w:t>
            </w:r>
          </w:p>
        </w:tc>
        <w:tc>
          <w:tcPr>
            <w:tcW w:w="4448" w:type="dxa"/>
            <w:tcBorders>
              <w:top w:val="single" w:sz="4" w:space="0" w:color="auto"/>
              <w:left w:val="nil"/>
              <w:bottom w:val="single" w:sz="4" w:space="0" w:color="auto"/>
              <w:right w:val="nil"/>
            </w:tcBorders>
          </w:tcPr>
          <w:p w14:paraId="2A16C1F8" w14:textId="77777777" w:rsidR="001861DC" w:rsidRPr="00875B83" w:rsidRDefault="001861DC" w:rsidP="002E0516">
            <w:pPr>
              <w:tabs>
                <w:tab w:val="left" w:pos="1056"/>
              </w:tabs>
              <w:rPr>
                <w:b/>
                <w:sz w:val="18"/>
              </w:rPr>
            </w:pPr>
            <w:r w:rsidRPr="00875B83">
              <w:rPr>
                <w:b/>
                <w:sz w:val="18"/>
              </w:rPr>
              <w:t>Descripción</w:t>
            </w:r>
          </w:p>
        </w:tc>
        <w:tc>
          <w:tcPr>
            <w:tcW w:w="605" w:type="dxa"/>
            <w:tcBorders>
              <w:top w:val="single" w:sz="4" w:space="0" w:color="auto"/>
              <w:left w:val="nil"/>
              <w:bottom w:val="single" w:sz="4" w:space="0" w:color="auto"/>
              <w:right w:val="nil"/>
            </w:tcBorders>
          </w:tcPr>
          <w:p w14:paraId="461C07AF" w14:textId="77777777" w:rsidR="001861DC" w:rsidRPr="00875B83" w:rsidRDefault="001861DC" w:rsidP="002E0516">
            <w:pPr>
              <w:tabs>
                <w:tab w:val="left" w:pos="1056"/>
              </w:tabs>
              <w:rPr>
                <w:b/>
                <w:sz w:val="18"/>
              </w:rPr>
            </w:pPr>
            <w:r w:rsidRPr="00875B83">
              <w:rPr>
                <w:b/>
                <w:sz w:val="18"/>
              </w:rPr>
              <w:t>SB1</w:t>
            </w:r>
          </w:p>
        </w:tc>
        <w:tc>
          <w:tcPr>
            <w:tcW w:w="567" w:type="dxa"/>
            <w:tcBorders>
              <w:top w:val="single" w:sz="4" w:space="0" w:color="auto"/>
              <w:left w:val="nil"/>
              <w:bottom w:val="single" w:sz="4" w:space="0" w:color="auto"/>
              <w:right w:val="nil"/>
            </w:tcBorders>
          </w:tcPr>
          <w:p w14:paraId="3C5F8E14" w14:textId="77777777" w:rsidR="001861DC" w:rsidRPr="00875B83" w:rsidRDefault="001861DC" w:rsidP="002E0516">
            <w:pPr>
              <w:tabs>
                <w:tab w:val="left" w:pos="1056"/>
              </w:tabs>
              <w:rPr>
                <w:b/>
                <w:sz w:val="18"/>
              </w:rPr>
            </w:pPr>
            <w:r w:rsidRPr="00875B83">
              <w:rPr>
                <w:b/>
                <w:sz w:val="18"/>
              </w:rPr>
              <w:t>SB2</w:t>
            </w:r>
          </w:p>
        </w:tc>
        <w:tc>
          <w:tcPr>
            <w:tcW w:w="567" w:type="dxa"/>
            <w:tcBorders>
              <w:top w:val="single" w:sz="4" w:space="0" w:color="auto"/>
              <w:left w:val="nil"/>
              <w:bottom w:val="single" w:sz="4" w:space="0" w:color="auto"/>
              <w:right w:val="nil"/>
            </w:tcBorders>
          </w:tcPr>
          <w:p w14:paraId="38DA7660" w14:textId="77777777" w:rsidR="001861DC" w:rsidRPr="00875B83" w:rsidRDefault="001861DC" w:rsidP="002E0516">
            <w:pPr>
              <w:tabs>
                <w:tab w:val="left" w:pos="1056"/>
              </w:tabs>
              <w:rPr>
                <w:b/>
                <w:sz w:val="18"/>
              </w:rPr>
            </w:pPr>
            <w:r w:rsidRPr="00875B83">
              <w:rPr>
                <w:b/>
                <w:sz w:val="18"/>
              </w:rPr>
              <w:t>SB3</w:t>
            </w:r>
          </w:p>
        </w:tc>
        <w:tc>
          <w:tcPr>
            <w:tcW w:w="567" w:type="dxa"/>
            <w:tcBorders>
              <w:top w:val="single" w:sz="4" w:space="0" w:color="auto"/>
              <w:left w:val="nil"/>
              <w:bottom w:val="single" w:sz="4" w:space="0" w:color="auto"/>
              <w:right w:val="nil"/>
            </w:tcBorders>
          </w:tcPr>
          <w:p w14:paraId="2FFC03F0" w14:textId="77777777" w:rsidR="001861DC" w:rsidRPr="00875B83" w:rsidRDefault="001861DC" w:rsidP="002E0516">
            <w:pPr>
              <w:tabs>
                <w:tab w:val="left" w:pos="1056"/>
              </w:tabs>
              <w:rPr>
                <w:b/>
                <w:sz w:val="18"/>
              </w:rPr>
            </w:pPr>
            <w:r w:rsidRPr="00875B83">
              <w:rPr>
                <w:b/>
                <w:sz w:val="18"/>
              </w:rPr>
              <w:t>SB4</w:t>
            </w:r>
          </w:p>
        </w:tc>
      </w:tr>
      <w:tr w:rsidR="001861DC" w:rsidRPr="00875B83" w14:paraId="01980AC2" w14:textId="77777777" w:rsidTr="002E0516">
        <w:trPr>
          <w:jc w:val="center"/>
        </w:trPr>
        <w:tc>
          <w:tcPr>
            <w:tcW w:w="1399" w:type="dxa"/>
            <w:vMerge w:val="restart"/>
            <w:tcBorders>
              <w:top w:val="single" w:sz="4" w:space="0" w:color="auto"/>
              <w:left w:val="nil"/>
              <w:bottom w:val="nil"/>
              <w:right w:val="nil"/>
            </w:tcBorders>
            <w:vAlign w:val="center"/>
          </w:tcPr>
          <w:p w14:paraId="3069E2CC" w14:textId="77777777" w:rsidR="001861DC" w:rsidRPr="00875B83" w:rsidRDefault="001861DC" w:rsidP="002E0516">
            <w:pPr>
              <w:tabs>
                <w:tab w:val="left" w:pos="1056"/>
              </w:tabs>
              <w:jc w:val="center"/>
              <w:rPr>
                <w:sz w:val="18"/>
              </w:rPr>
            </w:pPr>
            <w:r w:rsidRPr="00875B83">
              <w:rPr>
                <w:sz w:val="18"/>
              </w:rPr>
              <w:t>Nacional</w:t>
            </w:r>
          </w:p>
        </w:tc>
        <w:tc>
          <w:tcPr>
            <w:tcW w:w="4448" w:type="dxa"/>
            <w:tcBorders>
              <w:top w:val="single" w:sz="4" w:space="0" w:color="auto"/>
              <w:left w:val="nil"/>
              <w:bottom w:val="nil"/>
              <w:right w:val="nil"/>
            </w:tcBorders>
          </w:tcPr>
          <w:p w14:paraId="692E7B9B" w14:textId="77777777" w:rsidR="001861DC" w:rsidRPr="00875B83" w:rsidRDefault="001861DC" w:rsidP="002E0516">
            <w:pPr>
              <w:tabs>
                <w:tab w:val="left" w:pos="1056"/>
              </w:tabs>
              <w:rPr>
                <w:sz w:val="18"/>
              </w:rPr>
            </w:pPr>
            <w:r w:rsidRPr="00875B83">
              <w:rPr>
                <w:sz w:val="18"/>
              </w:rPr>
              <w:t>Deuda mxBBB a mxAAA o en divisas de BB a AAA</w:t>
            </w:r>
          </w:p>
        </w:tc>
        <w:tc>
          <w:tcPr>
            <w:tcW w:w="2306" w:type="dxa"/>
            <w:gridSpan w:val="4"/>
            <w:tcBorders>
              <w:top w:val="single" w:sz="4" w:space="0" w:color="auto"/>
              <w:left w:val="nil"/>
              <w:bottom w:val="nil"/>
              <w:right w:val="nil"/>
            </w:tcBorders>
          </w:tcPr>
          <w:p w14:paraId="3748DECC" w14:textId="77777777" w:rsidR="001861DC" w:rsidRPr="00875B83" w:rsidRDefault="001861DC" w:rsidP="002E0516">
            <w:pPr>
              <w:tabs>
                <w:tab w:val="left" w:pos="1056"/>
              </w:tabs>
              <w:jc w:val="center"/>
              <w:rPr>
                <w:sz w:val="18"/>
              </w:rPr>
            </w:pPr>
            <w:r w:rsidRPr="00875B83">
              <w:rPr>
                <w:sz w:val="18"/>
              </w:rPr>
              <w:t>5%</w:t>
            </w:r>
          </w:p>
        </w:tc>
      </w:tr>
      <w:tr w:rsidR="001861DC" w:rsidRPr="00875B83" w14:paraId="21FAC3E0" w14:textId="77777777" w:rsidTr="002E0516">
        <w:trPr>
          <w:jc w:val="center"/>
        </w:trPr>
        <w:tc>
          <w:tcPr>
            <w:tcW w:w="1399" w:type="dxa"/>
            <w:vMerge/>
            <w:tcBorders>
              <w:top w:val="nil"/>
              <w:left w:val="nil"/>
              <w:bottom w:val="nil"/>
              <w:right w:val="nil"/>
            </w:tcBorders>
          </w:tcPr>
          <w:p w14:paraId="40E1755D" w14:textId="77777777" w:rsidR="001861DC" w:rsidRPr="00875B83" w:rsidRDefault="001861DC" w:rsidP="002E0516">
            <w:pPr>
              <w:tabs>
                <w:tab w:val="left" w:pos="1056"/>
              </w:tabs>
              <w:rPr>
                <w:sz w:val="18"/>
              </w:rPr>
            </w:pPr>
          </w:p>
        </w:tc>
        <w:tc>
          <w:tcPr>
            <w:tcW w:w="4448" w:type="dxa"/>
            <w:tcBorders>
              <w:top w:val="nil"/>
              <w:left w:val="nil"/>
              <w:bottom w:val="nil"/>
              <w:right w:val="nil"/>
            </w:tcBorders>
          </w:tcPr>
          <w:p w14:paraId="2460562B" w14:textId="77777777" w:rsidR="001861DC" w:rsidRPr="00875B83" w:rsidRDefault="001861DC" w:rsidP="002E0516">
            <w:pPr>
              <w:tabs>
                <w:tab w:val="left" w:pos="1056"/>
              </w:tabs>
              <w:rPr>
                <w:sz w:val="18"/>
              </w:rPr>
            </w:pPr>
            <w:r w:rsidRPr="00875B83">
              <w:rPr>
                <w:sz w:val="18"/>
              </w:rPr>
              <w:t>Deuda Subordinada de mxBB+ o en divisas de b+ a BB-</w:t>
            </w:r>
          </w:p>
        </w:tc>
        <w:tc>
          <w:tcPr>
            <w:tcW w:w="2306" w:type="dxa"/>
            <w:gridSpan w:val="4"/>
            <w:tcBorders>
              <w:top w:val="nil"/>
              <w:left w:val="nil"/>
              <w:bottom w:val="nil"/>
              <w:right w:val="nil"/>
            </w:tcBorders>
          </w:tcPr>
          <w:p w14:paraId="1ED66559" w14:textId="77777777" w:rsidR="001861DC" w:rsidRPr="00875B83" w:rsidRDefault="001861DC" w:rsidP="002E0516">
            <w:pPr>
              <w:tabs>
                <w:tab w:val="left" w:pos="1056"/>
              </w:tabs>
              <w:jc w:val="center"/>
              <w:rPr>
                <w:sz w:val="18"/>
              </w:rPr>
            </w:pPr>
            <w:r w:rsidRPr="00875B83">
              <w:rPr>
                <w:sz w:val="18"/>
              </w:rPr>
              <w:t>1%</w:t>
            </w:r>
          </w:p>
        </w:tc>
      </w:tr>
      <w:tr w:rsidR="001861DC" w:rsidRPr="00875B83" w14:paraId="0A95E659" w14:textId="77777777" w:rsidTr="002E0516">
        <w:trPr>
          <w:jc w:val="center"/>
        </w:trPr>
        <w:tc>
          <w:tcPr>
            <w:tcW w:w="1399" w:type="dxa"/>
            <w:tcBorders>
              <w:top w:val="nil"/>
              <w:left w:val="nil"/>
              <w:bottom w:val="nil"/>
              <w:right w:val="nil"/>
            </w:tcBorders>
          </w:tcPr>
          <w:p w14:paraId="2C393939" w14:textId="77777777" w:rsidR="001861DC" w:rsidRPr="00875B83" w:rsidRDefault="001861DC" w:rsidP="002E0516">
            <w:pPr>
              <w:tabs>
                <w:tab w:val="left" w:pos="1056"/>
              </w:tabs>
              <w:rPr>
                <w:sz w:val="18"/>
              </w:rPr>
            </w:pPr>
            <w:r w:rsidRPr="00875B83">
              <w:rPr>
                <w:sz w:val="18"/>
              </w:rPr>
              <w:t>Internacional</w:t>
            </w:r>
          </w:p>
        </w:tc>
        <w:tc>
          <w:tcPr>
            <w:tcW w:w="4448" w:type="dxa"/>
            <w:tcBorders>
              <w:top w:val="nil"/>
              <w:left w:val="nil"/>
              <w:bottom w:val="nil"/>
              <w:right w:val="nil"/>
            </w:tcBorders>
          </w:tcPr>
          <w:p w14:paraId="2A55192C" w14:textId="77777777" w:rsidR="001861DC" w:rsidRPr="00875B83" w:rsidRDefault="001861DC" w:rsidP="002E0516">
            <w:pPr>
              <w:tabs>
                <w:tab w:val="left" w:pos="1056"/>
              </w:tabs>
              <w:rPr>
                <w:sz w:val="18"/>
              </w:rPr>
            </w:pPr>
            <w:r w:rsidRPr="00875B83">
              <w:rPr>
                <w:sz w:val="18"/>
              </w:rPr>
              <w:t>Instrumentos Extranjeros BBB- a AAA un solo emisor o contraparte</w:t>
            </w:r>
          </w:p>
        </w:tc>
        <w:tc>
          <w:tcPr>
            <w:tcW w:w="2306" w:type="dxa"/>
            <w:gridSpan w:val="4"/>
            <w:tcBorders>
              <w:top w:val="nil"/>
              <w:left w:val="nil"/>
              <w:bottom w:val="nil"/>
              <w:right w:val="nil"/>
            </w:tcBorders>
          </w:tcPr>
          <w:p w14:paraId="1DB3822E" w14:textId="77777777" w:rsidR="001861DC" w:rsidRPr="00875B83" w:rsidRDefault="001861DC" w:rsidP="002E0516">
            <w:pPr>
              <w:tabs>
                <w:tab w:val="left" w:pos="1056"/>
              </w:tabs>
              <w:jc w:val="center"/>
              <w:rPr>
                <w:sz w:val="18"/>
              </w:rPr>
            </w:pPr>
            <w:r w:rsidRPr="00875B83">
              <w:rPr>
                <w:sz w:val="18"/>
              </w:rPr>
              <w:t>5%</w:t>
            </w:r>
          </w:p>
        </w:tc>
      </w:tr>
      <w:tr w:rsidR="001861DC" w:rsidRPr="00875B83" w14:paraId="61388625" w14:textId="77777777" w:rsidTr="002E0516">
        <w:trPr>
          <w:jc w:val="center"/>
        </w:trPr>
        <w:tc>
          <w:tcPr>
            <w:tcW w:w="1399" w:type="dxa"/>
            <w:tcBorders>
              <w:top w:val="nil"/>
              <w:left w:val="nil"/>
              <w:bottom w:val="single" w:sz="4" w:space="0" w:color="auto"/>
              <w:right w:val="nil"/>
            </w:tcBorders>
          </w:tcPr>
          <w:p w14:paraId="33B28A52" w14:textId="77777777" w:rsidR="001861DC" w:rsidRPr="00875B83" w:rsidRDefault="001861DC" w:rsidP="002E0516">
            <w:pPr>
              <w:tabs>
                <w:tab w:val="left" w:pos="1056"/>
              </w:tabs>
              <w:rPr>
                <w:sz w:val="18"/>
              </w:rPr>
            </w:pPr>
          </w:p>
        </w:tc>
        <w:tc>
          <w:tcPr>
            <w:tcW w:w="4448" w:type="dxa"/>
            <w:tcBorders>
              <w:top w:val="nil"/>
              <w:left w:val="nil"/>
              <w:bottom w:val="single" w:sz="4" w:space="0" w:color="auto"/>
              <w:right w:val="nil"/>
            </w:tcBorders>
          </w:tcPr>
          <w:p w14:paraId="63714926" w14:textId="77777777" w:rsidR="001861DC" w:rsidRPr="00875B83" w:rsidRDefault="001861DC" w:rsidP="002E0516">
            <w:pPr>
              <w:tabs>
                <w:tab w:val="left" w:pos="1056"/>
              </w:tabs>
              <w:rPr>
                <w:sz w:val="18"/>
              </w:rPr>
            </w:pPr>
            <w:r w:rsidRPr="00875B83">
              <w:rPr>
                <w:sz w:val="18"/>
              </w:rPr>
              <w:t>Sobre una Emisión</w:t>
            </w:r>
          </w:p>
        </w:tc>
        <w:tc>
          <w:tcPr>
            <w:tcW w:w="2306" w:type="dxa"/>
            <w:gridSpan w:val="4"/>
            <w:tcBorders>
              <w:top w:val="nil"/>
              <w:left w:val="nil"/>
              <w:bottom w:val="single" w:sz="4" w:space="0" w:color="auto"/>
              <w:right w:val="nil"/>
            </w:tcBorders>
          </w:tcPr>
          <w:p w14:paraId="0C101D16" w14:textId="77777777" w:rsidR="001861DC" w:rsidRPr="00875B83" w:rsidRDefault="001861DC" w:rsidP="002E0516">
            <w:pPr>
              <w:tabs>
                <w:tab w:val="left" w:pos="1056"/>
              </w:tabs>
              <w:jc w:val="center"/>
              <w:rPr>
                <w:sz w:val="18"/>
              </w:rPr>
            </w:pPr>
            <w:r w:rsidRPr="00875B83">
              <w:rPr>
                <w:sz w:val="18"/>
              </w:rPr>
              <w:t>Máximo 35%</w:t>
            </w:r>
          </w:p>
        </w:tc>
      </w:tr>
    </w:tbl>
    <w:p w14:paraId="507F1946" w14:textId="77777777" w:rsidR="001861DC" w:rsidRPr="00942459" w:rsidRDefault="001861DC" w:rsidP="001861DC">
      <w:pPr>
        <w:tabs>
          <w:tab w:val="left" w:pos="1056"/>
        </w:tabs>
        <w:rPr>
          <w:sz w:val="20"/>
        </w:rPr>
      </w:pPr>
      <w:r w:rsidRPr="00942459">
        <w:rPr>
          <w:sz w:val="20"/>
        </w:rPr>
        <w:t>Fuente: CONSAR</w:t>
      </w:r>
    </w:p>
    <w:p w14:paraId="36F9787C" w14:textId="77777777" w:rsidR="001861DC" w:rsidRDefault="001861DC" w:rsidP="001861DC"/>
    <w:p w14:paraId="1B8FEFA9" w14:textId="77777777" w:rsidR="001861DC" w:rsidRDefault="001861DC" w:rsidP="001861DC"/>
    <w:p w14:paraId="7BE9EC39" w14:textId="77777777" w:rsidR="001861DC" w:rsidRDefault="001861DC" w:rsidP="001861DC">
      <w:r>
        <w:t xml:space="preserve">A nivel de uso de los instrumentos de deuda gubernamental, según reporta la Comisión de Ahorro para el Retiro (CONSAR), a diciembre de 2015 el fondo en promedio más instrumentos de este tipo alcanzaban un porcentaje del portafolio de 66%. Dicho fondo se conoce como Siefore Básica 1 y está diseñado para personas de 60 años o más. Es decir, es el fondo que busca tener las rentabilidades más estables, dada la cercanía al momento de retiro. En el otro extremo se ubica la Siefore Básica 4 destinada a personas menores de 36 años, este tiene un porcentaje del portafolio de 45%. </w:t>
      </w:r>
    </w:p>
    <w:p w14:paraId="581851FF" w14:textId="77777777" w:rsidR="001861DC" w:rsidRDefault="001861DC" w:rsidP="001861DC"/>
    <w:p w14:paraId="380E9740" w14:textId="77777777" w:rsidR="001861DC" w:rsidRDefault="001861DC" w:rsidP="001861DC"/>
    <w:p w14:paraId="22CD5682" w14:textId="77777777" w:rsidR="001861DC" w:rsidRDefault="001861DC" w:rsidP="001861DC">
      <w:pPr>
        <w:tabs>
          <w:tab w:val="left" w:pos="1056"/>
        </w:tabs>
        <w:jc w:val="center"/>
      </w:pPr>
      <w:r w:rsidRPr="001C48CC">
        <w:rPr>
          <w:b/>
        </w:rPr>
        <w:t>México:</w:t>
      </w:r>
      <w:r>
        <w:t xml:space="preserve"> Composición de las Inversiones</w:t>
      </w:r>
      <w:r>
        <w:cr/>
      </w:r>
    </w:p>
    <w:p w14:paraId="3A7C6E0D" w14:textId="77777777" w:rsidR="001861DC" w:rsidRDefault="001861DC" w:rsidP="001861DC">
      <w:pPr>
        <w:tabs>
          <w:tab w:val="left" w:pos="1056"/>
        </w:tabs>
        <w:jc w:val="center"/>
      </w:pPr>
      <w:r>
        <w:t>(Cifras porcentuales al cierre de diciembre de 2015)</w:t>
      </w:r>
    </w:p>
    <w:tbl>
      <w:tblPr>
        <w:tblStyle w:val="Tabladecuadrcula1clara1"/>
        <w:tblW w:w="723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4"/>
        <w:gridCol w:w="1243"/>
        <w:gridCol w:w="1134"/>
        <w:gridCol w:w="992"/>
        <w:gridCol w:w="993"/>
        <w:gridCol w:w="1134"/>
      </w:tblGrid>
      <w:tr w:rsidR="001861DC" w:rsidRPr="00004A19" w14:paraId="0FAD28EF" w14:textId="77777777" w:rsidTr="002E0516">
        <w:trPr>
          <w:cnfStyle w:val="100000000000" w:firstRow="1" w:lastRow="0" w:firstColumn="0" w:lastColumn="0" w:oddVBand="0" w:evenVBand="0" w:oddHBand="0" w:evenHBand="0" w:firstRowFirstColumn="0" w:firstRowLastColumn="0" w:lastRowFirstColumn="0" w:lastRowLastColumn="0"/>
          <w:trHeight w:val="540"/>
          <w:jc w:val="center"/>
        </w:trPr>
        <w:tc>
          <w:tcPr>
            <w:cnfStyle w:val="001000000000" w:firstRow="0" w:lastRow="0" w:firstColumn="1" w:lastColumn="0" w:oddVBand="0" w:evenVBand="0" w:oddHBand="0" w:evenHBand="0" w:firstRowFirstColumn="0" w:firstRowLastColumn="0" w:lastRowFirstColumn="0" w:lastRowLastColumn="0"/>
            <w:tcW w:w="2977" w:type="dxa"/>
            <w:gridSpan w:val="2"/>
            <w:tcBorders>
              <w:top w:val="single" w:sz="4" w:space="0" w:color="auto"/>
              <w:bottom w:val="single" w:sz="4" w:space="0" w:color="auto"/>
            </w:tcBorders>
            <w:vAlign w:val="center"/>
            <w:hideMark/>
          </w:tcPr>
          <w:p w14:paraId="5296C4BC" w14:textId="77777777" w:rsidR="001861DC" w:rsidRDefault="001861DC" w:rsidP="002E0516">
            <w:pPr>
              <w:jc w:val="center"/>
              <w:rPr>
                <w:b w:val="0"/>
                <w:bCs w:val="0"/>
              </w:rPr>
            </w:pPr>
            <w:r w:rsidRPr="001C48CC">
              <w:t>Tipo de Instrumento</w:t>
            </w:r>
          </w:p>
          <w:p w14:paraId="7D063C3B" w14:textId="77777777" w:rsidR="001861DC" w:rsidRDefault="001861DC" w:rsidP="002E0516">
            <w:pPr>
              <w:rPr>
                <w:b w:val="0"/>
                <w:bCs w:val="0"/>
              </w:rPr>
            </w:pPr>
          </w:p>
          <w:p w14:paraId="73419EC3" w14:textId="77777777" w:rsidR="001861DC" w:rsidRPr="000C2321" w:rsidRDefault="001861DC" w:rsidP="002E0516">
            <w:pPr>
              <w:ind w:right="-196"/>
            </w:pPr>
          </w:p>
        </w:tc>
        <w:tc>
          <w:tcPr>
            <w:tcW w:w="1134" w:type="dxa"/>
            <w:tcBorders>
              <w:top w:val="single" w:sz="4" w:space="0" w:color="auto"/>
              <w:bottom w:val="single" w:sz="4" w:space="0" w:color="auto"/>
            </w:tcBorders>
            <w:vAlign w:val="center"/>
            <w:hideMark/>
          </w:tcPr>
          <w:p w14:paraId="37749E72" w14:textId="77777777" w:rsidR="001861DC" w:rsidRPr="001C48CC" w:rsidRDefault="001861DC" w:rsidP="002E0516">
            <w:pPr>
              <w:jc w:val="center"/>
              <w:cnfStyle w:val="100000000000" w:firstRow="1" w:lastRow="0" w:firstColumn="0" w:lastColumn="0" w:oddVBand="0" w:evenVBand="0" w:oddHBand="0" w:evenHBand="0" w:firstRowFirstColumn="0" w:firstRowLastColumn="0" w:lastRowFirstColumn="0" w:lastRowLastColumn="0"/>
            </w:pPr>
            <w:r w:rsidRPr="001C48CC">
              <w:t xml:space="preserve">Siefore </w:t>
            </w:r>
            <w:r w:rsidRPr="001C48CC">
              <w:br/>
              <w:t>Básica 1</w:t>
            </w:r>
          </w:p>
        </w:tc>
        <w:tc>
          <w:tcPr>
            <w:tcW w:w="992" w:type="dxa"/>
            <w:tcBorders>
              <w:top w:val="single" w:sz="4" w:space="0" w:color="auto"/>
              <w:bottom w:val="single" w:sz="4" w:space="0" w:color="auto"/>
            </w:tcBorders>
            <w:vAlign w:val="center"/>
            <w:hideMark/>
          </w:tcPr>
          <w:p w14:paraId="0FEF3BC8" w14:textId="77777777" w:rsidR="001861DC" w:rsidRPr="001C48CC" w:rsidRDefault="001861DC" w:rsidP="002E0516">
            <w:pPr>
              <w:jc w:val="center"/>
              <w:cnfStyle w:val="100000000000" w:firstRow="1" w:lastRow="0" w:firstColumn="0" w:lastColumn="0" w:oddVBand="0" w:evenVBand="0" w:oddHBand="0" w:evenHBand="0" w:firstRowFirstColumn="0" w:firstRowLastColumn="0" w:lastRowFirstColumn="0" w:lastRowLastColumn="0"/>
            </w:pPr>
            <w:r w:rsidRPr="001C48CC">
              <w:t xml:space="preserve">Siefore </w:t>
            </w:r>
            <w:r w:rsidRPr="001C48CC">
              <w:br/>
              <w:t>Básica 2</w:t>
            </w:r>
          </w:p>
        </w:tc>
        <w:tc>
          <w:tcPr>
            <w:tcW w:w="993" w:type="dxa"/>
            <w:tcBorders>
              <w:top w:val="single" w:sz="4" w:space="0" w:color="auto"/>
              <w:bottom w:val="single" w:sz="4" w:space="0" w:color="auto"/>
            </w:tcBorders>
            <w:vAlign w:val="center"/>
            <w:hideMark/>
          </w:tcPr>
          <w:p w14:paraId="67D51C41" w14:textId="77777777" w:rsidR="001861DC" w:rsidRPr="001C48CC" w:rsidRDefault="001861DC" w:rsidP="002E0516">
            <w:pPr>
              <w:jc w:val="center"/>
              <w:cnfStyle w:val="100000000000" w:firstRow="1" w:lastRow="0" w:firstColumn="0" w:lastColumn="0" w:oddVBand="0" w:evenVBand="0" w:oddHBand="0" w:evenHBand="0" w:firstRowFirstColumn="0" w:firstRowLastColumn="0" w:lastRowFirstColumn="0" w:lastRowLastColumn="0"/>
            </w:pPr>
            <w:r w:rsidRPr="001C48CC">
              <w:t xml:space="preserve">Siefore </w:t>
            </w:r>
            <w:r w:rsidRPr="001C48CC">
              <w:br/>
              <w:t>Básica 3</w:t>
            </w:r>
          </w:p>
        </w:tc>
        <w:tc>
          <w:tcPr>
            <w:tcW w:w="1134" w:type="dxa"/>
            <w:tcBorders>
              <w:top w:val="single" w:sz="4" w:space="0" w:color="auto"/>
              <w:bottom w:val="single" w:sz="4" w:space="0" w:color="auto"/>
            </w:tcBorders>
            <w:vAlign w:val="center"/>
            <w:hideMark/>
          </w:tcPr>
          <w:p w14:paraId="75A9D715" w14:textId="77777777" w:rsidR="001861DC" w:rsidRPr="001C48CC" w:rsidRDefault="001861DC" w:rsidP="002E0516">
            <w:pPr>
              <w:jc w:val="center"/>
              <w:cnfStyle w:val="100000000000" w:firstRow="1" w:lastRow="0" w:firstColumn="0" w:lastColumn="0" w:oddVBand="0" w:evenVBand="0" w:oddHBand="0" w:evenHBand="0" w:firstRowFirstColumn="0" w:firstRowLastColumn="0" w:lastRowFirstColumn="0" w:lastRowLastColumn="0"/>
            </w:pPr>
            <w:r w:rsidRPr="001C48CC">
              <w:t xml:space="preserve">Siefore </w:t>
            </w:r>
            <w:r w:rsidRPr="001C48CC">
              <w:br/>
              <w:t>Básica 4</w:t>
            </w:r>
          </w:p>
        </w:tc>
      </w:tr>
      <w:tr w:rsidR="001861DC" w:rsidRPr="00004A19" w14:paraId="1C3EA197" w14:textId="77777777" w:rsidTr="002E0516">
        <w:trPr>
          <w:trHeight w:val="409"/>
          <w:jc w:val="center"/>
        </w:trPr>
        <w:tc>
          <w:tcPr>
            <w:cnfStyle w:val="001000000000" w:firstRow="0" w:lastRow="0" w:firstColumn="1" w:lastColumn="0" w:oddVBand="0" w:evenVBand="0" w:oddHBand="0" w:evenHBand="0" w:firstRowFirstColumn="0" w:firstRowLastColumn="0" w:lastRowFirstColumn="0" w:lastRowLastColumn="0"/>
            <w:tcW w:w="1840" w:type="dxa"/>
            <w:vMerge w:val="restart"/>
            <w:tcBorders>
              <w:top w:val="single" w:sz="4" w:space="0" w:color="auto"/>
              <w:bottom w:val="single" w:sz="4" w:space="0" w:color="auto"/>
            </w:tcBorders>
            <w:vAlign w:val="center"/>
            <w:hideMark/>
          </w:tcPr>
          <w:p w14:paraId="0108064F" w14:textId="77777777" w:rsidR="001861DC" w:rsidRPr="001C48CC" w:rsidRDefault="001861DC" w:rsidP="002E0516">
            <w:pPr>
              <w:jc w:val="center"/>
            </w:pPr>
            <w:r w:rsidRPr="001C48CC">
              <w:t>Deuda Gubernamental</w:t>
            </w:r>
          </w:p>
        </w:tc>
        <w:tc>
          <w:tcPr>
            <w:tcW w:w="1137" w:type="dxa"/>
            <w:tcBorders>
              <w:top w:val="single" w:sz="4" w:space="0" w:color="auto"/>
            </w:tcBorders>
            <w:noWrap/>
            <w:hideMark/>
          </w:tcPr>
          <w:p w14:paraId="2BE6C1FE" w14:textId="77777777" w:rsidR="001861DC" w:rsidRPr="001C48CC" w:rsidRDefault="001861DC" w:rsidP="002E0516">
            <w:pPr>
              <w:jc w:val="center"/>
              <w:cnfStyle w:val="000000000000" w:firstRow="0" w:lastRow="0" w:firstColumn="0" w:lastColumn="0" w:oddVBand="0" w:evenVBand="0" w:oddHBand="0" w:evenHBand="0" w:firstRowFirstColumn="0" w:firstRowLastColumn="0" w:lastRowFirstColumn="0" w:lastRowLastColumn="0"/>
            </w:pPr>
            <w:r w:rsidRPr="001C48CC">
              <w:t>BONDESD</w:t>
            </w:r>
          </w:p>
        </w:tc>
        <w:tc>
          <w:tcPr>
            <w:tcW w:w="1134" w:type="dxa"/>
            <w:tcBorders>
              <w:top w:val="single" w:sz="4" w:space="0" w:color="auto"/>
            </w:tcBorders>
            <w:noWrap/>
            <w:hideMark/>
          </w:tcPr>
          <w:p w14:paraId="4EACF714" w14:textId="77777777" w:rsidR="001861DC" w:rsidRPr="001C48CC" w:rsidRDefault="001861DC" w:rsidP="002E0516">
            <w:pPr>
              <w:jc w:val="center"/>
              <w:cnfStyle w:val="000000000000" w:firstRow="0" w:lastRow="0" w:firstColumn="0" w:lastColumn="0" w:oddVBand="0" w:evenVBand="0" w:oddHBand="0" w:evenHBand="0" w:firstRowFirstColumn="0" w:firstRowLastColumn="0" w:lastRowFirstColumn="0" w:lastRowLastColumn="0"/>
            </w:pPr>
            <w:r w:rsidRPr="001C48CC">
              <w:t>2,5</w:t>
            </w:r>
          </w:p>
        </w:tc>
        <w:tc>
          <w:tcPr>
            <w:tcW w:w="992" w:type="dxa"/>
            <w:tcBorders>
              <w:top w:val="single" w:sz="4" w:space="0" w:color="auto"/>
            </w:tcBorders>
            <w:noWrap/>
            <w:hideMark/>
          </w:tcPr>
          <w:p w14:paraId="5C8F9C62" w14:textId="77777777" w:rsidR="001861DC" w:rsidRPr="001C48CC" w:rsidRDefault="001861DC" w:rsidP="002E0516">
            <w:pPr>
              <w:jc w:val="center"/>
              <w:cnfStyle w:val="000000000000" w:firstRow="0" w:lastRow="0" w:firstColumn="0" w:lastColumn="0" w:oddVBand="0" w:evenVBand="0" w:oddHBand="0" w:evenHBand="0" w:firstRowFirstColumn="0" w:firstRowLastColumn="0" w:lastRowFirstColumn="0" w:lastRowLastColumn="0"/>
            </w:pPr>
            <w:r w:rsidRPr="001C48CC">
              <w:t>0,7</w:t>
            </w:r>
          </w:p>
        </w:tc>
        <w:tc>
          <w:tcPr>
            <w:tcW w:w="993" w:type="dxa"/>
            <w:tcBorders>
              <w:top w:val="single" w:sz="4" w:space="0" w:color="auto"/>
            </w:tcBorders>
            <w:noWrap/>
            <w:hideMark/>
          </w:tcPr>
          <w:p w14:paraId="0C6F4328" w14:textId="77777777" w:rsidR="001861DC" w:rsidRPr="001C48CC" w:rsidRDefault="001861DC" w:rsidP="002E0516">
            <w:pPr>
              <w:jc w:val="center"/>
              <w:cnfStyle w:val="000000000000" w:firstRow="0" w:lastRow="0" w:firstColumn="0" w:lastColumn="0" w:oddVBand="0" w:evenVBand="0" w:oddHBand="0" w:evenHBand="0" w:firstRowFirstColumn="0" w:firstRowLastColumn="0" w:lastRowFirstColumn="0" w:lastRowLastColumn="0"/>
            </w:pPr>
            <w:r w:rsidRPr="001C48CC">
              <w:t>0,7</w:t>
            </w:r>
          </w:p>
        </w:tc>
        <w:tc>
          <w:tcPr>
            <w:tcW w:w="1134" w:type="dxa"/>
            <w:tcBorders>
              <w:top w:val="single" w:sz="4" w:space="0" w:color="auto"/>
            </w:tcBorders>
            <w:noWrap/>
            <w:hideMark/>
          </w:tcPr>
          <w:p w14:paraId="23700A0F" w14:textId="77777777" w:rsidR="001861DC" w:rsidRPr="001C48CC" w:rsidRDefault="001861DC" w:rsidP="002E0516">
            <w:pPr>
              <w:jc w:val="center"/>
              <w:cnfStyle w:val="000000000000" w:firstRow="0" w:lastRow="0" w:firstColumn="0" w:lastColumn="0" w:oddVBand="0" w:evenVBand="0" w:oddHBand="0" w:evenHBand="0" w:firstRowFirstColumn="0" w:firstRowLastColumn="0" w:lastRowFirstColumn="0" w:lastRowLastColumn="0"/>
            </w:pPr>
            <w:r w:rsidRPr="001C48CC">
              <w:t>1,0</w:t>
            </w:r>
          </w:p>
        </w:tc>
      </w:tr>
      <w:tr w:rsidR="001861DC" w:rsidRPr="00004A19" w14:paraId="73E0AFD9" w14:textId="77777777" w:rsidTr="002E0516">
        <w:trPr>
          <w:trHeight w:val="409"/>
          <w:jc w:val="center"/>
        </w:trPr>
        <w:tc>
          <w:tcPr>
            <w:cnfStyle w:val="001000000000" w:firstRow="0" w:lastRow="0" w:firstColumn="1" w:lastColumn="0" w:oddVBand="0" w:evenVBand="0" w:oddHBand="0" w:evenHBand="0" w:firstRowFirstColumn="0" w:firstRowLastColumn="0" w:lastRowFirstColumn="0" w:lastRowLastColumn="0"/>
            <w:tcW w:w="1840" w:type="dxa"/>
            <w:vMerge/>
            <w:tcBorders>
              <w:bottom w:val="single" w:sz="4" w:space="0" w:color="auto"/>
            </w:tcBorders>
            <w:vAlign w:val="center"/>
            <w:hideMark/>
          </w:tcPr>
          <w:p w14:paraId="29C9E3EA" w14:textId="77777777" w:rsidR="001861DC" w:rsidRPr="001C48CC" w:rsidRDefault="001861DC" w:rsidP="002E0516">
            <w:pPr>
              <w:jc w:val="center"/>
            </w:pPr>
          </w:p>
        </w:tc>
        <w:tc>
          <w:tcPr>
            <w:tcW w:w="1137" w:type="dxa"/>
            <w:noWrap/>
            <w:hideMark/>
          </w:tcPr>
          <w:p w14:paraId="41395B7A" w14:textId="77777777" w:rsidR="001861DC" w:rsidRPr="001C48CC" w:rsidRDefault="001861DC" w:rsidP="002E0516">
            <w:pPr>
              <w:jc w:val="center"/>
              <w:cnfStyle w:val="000000000000" w:firstRow="0" w:lastRow="0" w:firstColumn="0" w:lastColumn="0" w:oddVBand="0" w:evenVBand="0" w:oddHBand="0" w:evenHBand="0" w:firstRowFirstColumn="0" w:firstRowLastColumn="0" w:lastRowFirstColumn="0" w:lastRowLastColumn="0"/>
            </w:pPr>
            <w:r w:rsidRPr="001C48CC">
              <w:t>BONOS</w:t>
            </w:r>
          </w:p>
        </w:tc>
        <w:tc>
          <w:tcPr>
            <w:tcW w:w="1134" w:type="dxa"/>
            <w:noWrap/>
            <w:hideMark/>
          </w:tcPr>
          <w:p w14:paraId="50773E7F" w14:textId="77777777" w:rsidR="001861DC" w:rsidRPr="001C48CC" w:rsidRDefault="001861DC" w:rsidP="002E0516">
            <w:pPr>
              <w:jc w:val="center"/>
              <w:cnfStyle w:val="000000000000" w:firstRow="0" w:lastRow="0" w:firstColumn="0" w:lastColumn="0" w:oddVBand="0" w:evenVBand="0" w:oddHBand="0" w:evenHBand="0" w:firstRowFirstColumn="0" w:firstRowLastColumn="0" w:lastRowFirstColumn="0" w:lastRowLastColumn="0"/>
            </w:pPr>
            <w:r w:rsidRPr="001C48CC">
              <w:t>10,0</w:t>
            </w:r>
          </w:p>
        </w:tc>
        <w:tc>
          <w:tcPr>
            <w:tcW w:w="992" w:type="dxa"/>
            <w:noWrap/>
            <w:hideMark/>
          </w:tcPr>
          <w:p w14:paraId="09A56C8D" w14:textId="77777777" w:rsidR="001861DC" w:rsidRPr="001C48CC" w:rsidRDefault="001861DC" w:rsidP="002E0516">
            <w:pPr>
              <w:jc w:val="center"/>
              <w:cnfStyle w:val="000000000000" w:firstRow="0" w:lastRow="0" w:firstColumn="0" w:lastColumn="0" w:oddVBand="0" w:evenVBand="0" w:oddHBand="0" w:evenHBand="0" w:firstRowFirstColumn="0" w:firstRowLastColumn="0" w:lastRowFirstColumn="0" w:lastRowLastColumn="0"/>
            </w:pPr>
            <w:r w:rsidRPr="001C48CC">
              <w:t>18,8</w:t>
            </w:r>
          </w:p>
        </w:tc>
        <w:tc>
          <w:tcPr>
            <w:tcW w:w="993" w:type="dxa"/>
            <w:noWrap/>
            <w:hideMark/>
          </w:tcPr>
          <w:p w14:paraId="2A420B9B" w14:textId="77777777" w:rsidR="001861DC" w:rsidRPr="001C48CC" w:rsidRDefault="001861DC" w:rsidP="002E0516">
            <w:pPr>
              <w:jc w:val="center"/>
              <w:cnfStyle w:val="000000000000" w:firstRow="0" w:lastRow="0" w:firstColumn="0" w:lastColumn="0" w:oddVBand="0" w:evenVBand="0" w:oddHBand="0" w:evenHBand="0" w:firstRowFirstColumn="0" w:firstRowLastColumn="0" w:lastRowFirstColumn="0" w:lastRowLastColumn="0"/>
            </w:pPr>
            <w:r w:rsidRPr="001C48CC">
              <w:t>18,8</w:t>
            </w:r>
          </w:p>
        </w:tc>
        <w:tc>
          <w:tcPr>
            <w:tcW w:w="1134" w:type="dxa"/>
            <w:noWrap/>
            <w:hideMark/>
          </w:tcPr>
          <w:p w14:paraId="42C3FD7E" w14:textId="77777777" w:rsidR="001861DC" w:rsidRPr="001C48CC" w:rsidRDefault="001861DC" w:rsidP="002E0516">
            <w:pPr>
              <w:jc w:val="center"/>
              <w:cnfStyle w:val="000000000000" w:firstRow="0" w:lastRow="0" w:firstColumn="0" w:lastColumn="0" w:oddVBand="0" w:evenVBand="0" w:oddHBand="0" w:evenHBand="0" w:firstRowFirstColumn="0" w:firstRowLastColumn="0" w:lastRowFirstColumn="0" w:lastRowLastColumn="0"/>
            </w:pPr>
            <w:r w:rsidRPr="001C48CC">
              <w:t>17,3</w:t>
            </w:r>
          </w:p>
        </w:tc>
      </w:tr>
      <w:tr w:rsidR="001861DC" w:rsidRPr="00004A19" w14:paraId="1CD973C1" w14:textId="77777777" w:rsidTr="002E0516">
        <w:trPr>
          <w:trHeight w:val="409"/>
          <w:jc w:val="center"/>
        </w:trPr>
        <w:tc>
          <w:tcPr>
            <w:cnfStyle w:val="001000000000" w:firstRow="0" w:lastRow="0" w:firstColumn="1" w:lastColumn="0" w:oddVBand="0" w:evenVBand="0" w:oddHBand="0" w:evenHBand="0" w:firstRowFirstColumn="0" w:firstRowLastColumn="0" w:lastRowFirstColumn="0" w:lastRowLastColumn="0"/>
            <w:tcW w:w="1840" w:type="dxa"/>
            <w:vMerge/>
            <w:tcBorders>
              <w:bottom w:val="single" w:sz="4" w:space="0" w:color="auto"/>
            </w:tcBorders>
            <w:vAlign w:val="center"/>
            <w:hideMark/>
          </w:tcPr>
          <w:p w14:paraId="0DC71950" w14:textId="77777777" w:rsidR="001861DC" w:rsidRPr="001C48CC" w:rsidRDefault="001861DC" w:rsidP="002E0516">
            <w:pPr>
              <w:jc w:val="center"/>
            </w:pPr>
          </w:p>
        </w:tc>
        <w:tc>
          <w:tcPr>
            <w:tcW w:w="1137" w:type="dxa"/>
            <w:noWrap/>
            <w:hideMark/>
          </w:tcPr>
          <w:p w14:paraId="2A22C0BF" w14:textId="77777777" w:rsidR="001861DC" w:rsidRPr="001C48CC" w:rsidRDefault="001861DC" w:rsidP="002E0516">
            <w:pPr>
              <w:jc w:val="center"/>
              <w:cnfStyle w:val="000000000000" w:firstRow="0" w:lastRow="0" w:firstColumn="0" w:lastColumn="0" w:oddVBand="0" w:evenVBand="0" w:oddHBand="0" w:evenHBand="0" w:firstRowFirstColumn="0" w:firstRowLastColumn="0" w:lastRowFirstColumn="0" w:lastRowLastColumn="0"/>
            </w:pPr>
            <w:r w:rsidRPr="001C48CC">
              <w:t>BPA182</w:t>
            </w:r>
          </w:p>
        </w:tc>
        <w:tc>
          <w:tcPr>
            <w:tcW w:w="1134" w:type="dxa"/>
            <w:noWrap/>
            <w:hideMark/>
          </w:tcPr>
          <w:p w14:paraId="12491916" w14:textId="77777777" w:rsidR="001861DC" w:rsidRPr="001C48CC" w:rsidRDefault="001861DC" w:rsidP="002E0516">
            <w:pPr>
              <w:jc w:val="center"/>
              <w:cnfStyle w:val="000000000000" w:firstRow="0" w:lastRow="0" w:firstColumn="0" w:lastColumn="0" w:oddVBand="0" w:evenVBand="0" w:oddHBand="0" w:evenHBand="0" w:firstRowFirstColumn="0" w:firstRowLastColumn="0" w:lastRowFirstColumn="0" w:lastRowLastColumn="0"/>
            </w:pPr>
            <w:r w:rsidRPr="001C48CC">
              <w:t>4,4</w:t>
            </w:r>
          </w:p>
        </w:tc>
        <w:tc>
          <w:tcPr>
            <w:tcW w:w="992" w:type="dxa"/>
            <w:noWrap/>
            <w:hideMark/>
          </w:tcPr>
          <w:p w14:paraId="19540F3A" w14:textId="77777777" w:rsidR="001861DC" w:rsidRPr="001C48CC" w:rsidRDefault="001861DC" w:rsidP="002E0516">
            <w:pPr>
              <w:jc w:val="center"/>
              <w:cnfStyle w:val="000000000000" w:firstRow="0" w:lastRow="0" w:firstColumn="0" w:lastColumn="0" w:oddVBand="0" w:evenVBand="0" w:oddHBand="0" w:evenHBand="0" w:firstRowFirstColumn="0" w:firstRowLastColumn="0" w:lastRowFirstColumn="0" w:lastRowLastColumn="0"/>
            </w:pPr>
            <w:r w:rsidRPr="001C48CC">
              <w:t>0,1</w:t>
            </w:r>
          </w:p>
        </w:tc>
        <w:tc>
          <w:tcPr>
            <w:tcW w:w="993" w:type="dxa"/>
            <w:noWrap/>
            <w:hideMark/>
          </w:tcPr>
          <w:p w14:paraId="48D8DA51" w14:textId="77777777" w:rsidR="001861DC" w:rsidRPr="001C48CC" w:rsidRDefault="001861DC" w:rsidP="002E0516">
            <w:pPr>
              <w:jc w:val="center"/>
              <w:cnfStyle w:val="000000000000" w:firstRow="0" w:lastRow="0" w:firstColumn="0" w:lastColumn="0" w:oddVBand="0" w:evenVBand="0" w:oddHBand="0" w:evenHBand="0" w:firstRowFirstColumn="0" w:firstRowLastColumn="0" w:lastRowFirstColumn="0" w:lastRowLastColumn="0"/>
            </w:pPr>
            <w:r w:rsidRPr="001C48CC">
              <w:t>0,1</w:t>
            </w:r>
          </w:p>
        </w:tc>
        <w:tc>
          <w:tcPr>
            <w:tcW w:w="1134" w:type="dxa"/>
            <w:noWrap/>
            <w:hideMark/>
          </w:tcPr>
          <w:p w14:paraId="423C42BF" w14:textId="77777777" w:rsidR="001861DC" w:rsidRPr="001C48CC" w:rsidRDefault="001861DC" w:rsidP="002E0516">
            <w:pPr>
              <w:jc w:val="center"/>
              <w:cnfStyle w:val="000000000000" w:firstRow="0" w:lastRow="0" w:firstColumn="0" w:lastColumn="0" w:oddVBand="0" w:evenVBand="0" w:oddHBand="0" w:evenHBand="0" w:firstRowFirstColumn="0" w:firstRowLastColumn="0" w:lastRowFirstColumn="0" w:lastRowLastColumn="0"/>
            </w:pPr>
            <w:r w:rsidRPr="001C48CC">
              <w:t>0,0</w:t>
            </w:r>
          </w:p>
        </w:tc>
      </w:tr>
      <w:tr w:rsidR="001861DC" w:rsidRPr="00004A19" w14:paraId="46C341A0" w14:textId="77777777" w:rsidTr="002E0516">
        <w:trPr>
          <w:trHeight w:val="409"/>
          <w:jc w:val="center"/>
        </w:trPr>
        <w:tc>
          <w:tcPr>
            <w:cnfStyle w:val="001000000000" w:firstRow="0" w:lastRow="0" w:firstColumn="1" w:lastColumn="0" w:oddVBand="0" w:evenVBand="0" w:oddHBand="0" w:evenHBand="0" w:firstRowFirstColumn="0" w:firstRowLastColumn="0" w:lastRowFirstColumn="0" w:lastRowLastColumn="0"/>
            <w:tcW w:w="1840" w:type="dxa"/>
            <w:vMerge/>
            <w:tcBorders>
              <w:bottom w:val="single" w:sz="4" w:space="0" w:color="auto"/>
            </w:tcBorders>
            <w:vAlign w:val="center"/>
            <w:hideMark/>
          </w:tcPr>
          <w:p w14:paraId="5D3A68D6" w14:textId="77777777" w:rsidR="001861DC" w:rsidRPr="001C48CC" w:rsidRDefault="001861DC" w:rsidP="002E0516">
            <w:pPr>
              <w:jc w:val="center"/>
            </w:pPr>
          </w:p>
        </w:tc>
        <w:tc>
          <w:tcPr>
            <w:tcW w:w="1137" w:type="dxa"/>
            <w:noWrap/>
            <w:hideMark/>
          </w:tcPr>
          <w:p w14:paraId="24D4BCA6" w14:textId="77777777" w:rsidR="001861DC" w:rsidRPr="001C48CC" w:rsidRDefault="001861DC" w:rsidP="002E0516">
            <w:pPr>
              <w:jc w:val="center"/>
              <w:cnfStyle w:val="000000000000" w:firstRow="0" w:lastRow="0" w:firstColumn="0" w:lastColumn="0" w:oddVBand="0" w:evenVBand="0" w:oddHBand="0" w:evenHBand="0" w:firstRowFirstColumn="0" w:firstRowLastColumn="0" w:lastRowFirstColumn="0" w:lastRowLastColumn="0"/>
            </w:pPr>
            <w:r w:rsidRPr="001C48CC">
              <w:t>BPAT</w:t>
            </w:r>
          </w:p>
        </w:tc>
        <w:tc>
          <w:tcPr>
            <w:tcW w:w="1134" w:type="dxa"/>
            <w:noWrap/>
            <w:hideMark/>
          </w:tcPr>
          <w:p w14:paraId="1055FD28" w14:textId="77777777" w:rsidR="001861DC" w:rsidRPr="001C48CC" w:rsidRDefault="001861DC" w:rsidP="002E0516">
            <w:pPr>
              <w:jc w:val="center"/>
              <w:cnfStyle w:val="000000000000" w:firstRow="0" w:lastRow="0" w:firstColumn="0" w:lastColumn="0" w:oddVBand="0" w:evenVBand="0" w:oddHBand="0" w:evenHBand="0" w:firstRowFirstColumn="0" w:firstRowLastColumn="0" w:lastRowFirstColumn="0" w:lastRowLastColumn="0"/>
            </w:pPr>
            <w:r w:rsidRPr="001C48CC">
              <w:t>0,0</w:t>
            </w:r>
          </w:p>
        </w:tc>
        <w:tc>
          <w:tcPr>
            <w:tcW w:w="992" w:type="dxa"/>
            <w:noWrap/>
            <w:hideMark/>
          </w:tcPr>
          <w:p w14:paraId="4DDD9AA2" w14:textId="77777777" w:rsidR="001861DC" w:rsidRPr="001C48CC" w:rsidRDefault="001861DC" w:rsidP="002E0516">
            <w:pPr>
              <w:jc w:val="center"/>
              <w:cnfStyle w:val="000000000000" w:firstRow="0" w:lastRow="0" w:firstColumn="0" w:lastColumn="0" w:oddVBand="0" w:evenVBand="0" w:oddHBand="0" w:evenHBand="0" w:firstRowFirstColumn="0" w:firstRowLastColumn="0" w:lastRowFirstColumn="0" w:lastRowLastColumn="0"/>
            </w:pPr>
            <w:r w:rsidRPr="001C48CC">
              <w:t>0,1</w:t>
            </w:r>
          </w:p>
        </w:tc>
        <w:tc>
          <w:tcPr>
            <w:tcW w:w="993" w:type="dxa"/>
            <w:noWrap/>
            <w:hideMark/>
          </w:tcPr>
          <w:p w14:paraId="49820E0B" w14:textId="77777777" w:rsidR="001861DC" w:rsidRPr="001C48CC" w:rsidRDefault="001861DC" w:rsidP="002E0516">
            <w:pPr>
              <w:jc w:val="center"/>
              <w:cnfStyle w:val="000000000000" w:firstRow="0" w:lastRow="0" w:firstColumn="0" w:lastColumn="0" w:oddVBand="0" w:evenVBand="0" w:oddHBand="0" w:evenHBand="0" w:firstRowFirstColumn="0" w:firstRowLastColumn="0" w:lastRowFirstColumn="0" w:lastRowLastColumn="0"/>
            </w:pPr>
            <w:r w:rsidRPr="001C48CC">
              <w:t>0,0</w:t>
            </w:r>
          </w:p>
        </w:tc>
        <w:tc>
          <w:tcPr>
            <w:tcW w:w="1134" w:type="dxa"/>
            <w:noWrap/>
            <w:hideMark/>
          </w:tcPr>
          <w:p w14:paraId="1D61A9FE" w14:textId="77777777" w:rsidR="001861DC" w:rsidRPr="001C48CC" w:rsidRDefault="001861DC" w:rsidP="002E0516">
            <w:pPr>
              <w:jc w:val="center"/>
              <w:cnfStyle w:val="000000000000" w:firstRow="0" w:lastRow="0" w:firstColumn="0" w:lastColumn="0" w:oddVBand="0" w:evenVBand="0" w:oddHBand="0" w:evenHBand="0" w:firstRowFirstColumn="0" w:firstRowLastColumn="0" w:lastRowFirstColumn="0" w:lastRowLastColumn="0"/>
            </w:pPr>
            <w:r w:rsidRPr="001C48CC">
              <w:t>0,1</w:t>
            </w:r>
          </w:p>
        </w:tc>
      </w:tr>
      <w:tr w:rsidR="001861DC" w:rsidRPr="00004A19" w14:paraId="59DFC75E" w14:textId="77777777" w:rsidTr="002E0516">
        <w:trPr>
          <w:trHeight w:val="409"/>
          <w:jc w:val="center"/>
        </w:trPr>
        <w:tc>
          <w:tcPr>
            <w:cnfStyle w:val="001000000000" w:firstRow="0" w:lastRow="0" w:firstColumn="1" w:lastColumn="0" w:oddVBand="0" w:evenVBand="0" w:oddHBand="0" w:evenHBand="0" w:firstRowFirstColumn="0" w:firstRowLastColumn="0" w:lastRowFirstColumn="0" w:lastRowLastColumn="0"/>
            <w:tcW w:w="1840" w:type="dxa"/>
            <w:vMerge/>
            <w:tcBorders>
              <w:bottom w:val="single" w:sz="4" w:space="0" w:color="auto"/>
            </w:tcBorders>
            <w:vAlign w:val="center"/>
            <w:hideMark/>
          </w:tcPr>
          <w:p w14:paraId="4BB9747C" w14:textId="77777777" w:rsidR="001861DC" w:rsidRPr="001C48CC" w:rsidRDefault="001861DC" w:rsidP="002E0516">
            <w:pPr>
              <w:jc w:val="center"/>
            </w:pPr>
          </w:p>
        </w:tc>
        <w:tc>
          <w:tcPr>
            <w:tcW w:w="1137" w:type="dxa"/>
            <w:noWrap/>
            <w:hideMark/>
          </w:tcPr>
          <w:p w14:paraId="24B69F53" w14:textId="77777777" w:rsidR="001861DC" w:rsidRPr="001C48CC" w:rsidRDefault="001861DC" w:rsidP="002E0516">
            <w:pPr>
              <w:jc w:val="center"/>
              <w:cnfStyle w:val="000000000000" w:firstRow="0" w:lastRow="0" w:firstColumn="0" w:lastColumn="0" w:oddVBand="0" w:evenVBand="0" w:oddHBand="0" w:evenHBand="0" w:firstRowFirstColumn="0" w:firstRowLastColumn="0" w:lastRowFirstColumn="0" w:lastRowLastColumn="0"/>
            </w:pPr>
            <w:r w:rsidRPr="001C48CC">
              <w:t>CBIC</w:t>
            </w:r>
          </w:p>
        </w:tc>
        <w:tc>
          <w:tcPr>
            <w:tcW w:w="1134" w:type="dxa"/>
            <w:noWrap/>
            <w:hideMark/>
          </w:tcPr>
          <w:p w14:paraId="0D0B0AAC" w14:textId="77777777" w:rsidR="001861DC" w:rsidRPr="001C48CC" w:rsidRDefault="001861DC" w:rsidP="002E0516">
            <w:pPr>
              <w:jc w:val="center"/>
              <w:cnfStyle w:val="000000000000" w:firstRow="0" w:lastRow="0" w:firstColumn="0" w:lastColumn="0" w:oddVBand="0" w:evenVBand="0" w:oddHBand="0" w:evenHBand="0" w:firstRowFirstColumn="0" w:firstRowLastColumn="0" w:lastRowFirstColumn="0" w:lastRowLastColumn="0"/>
            </w:pPr>
            <w:r w:rsidRPr="001C48CC">
              <w:t>3,0</w:t>
            </w:r>
          </w:p>
        </w:tc>
        <w:tc>
          <w:tcPr>
            <w:tcW w:w="992" w:type="dxa"/>
            <w:noWrap/>
            <w:hideMark/>
          </w:tcPr>
          <w:p w14:paraId="7BA521F3" w14:textId="77777777" w:rsidR="001861DC" w:rsidRPr="001C48CC" w:rsidRDefault="001861DC" w:rsidP="002E0516">
            <w:pPr>
              <w:jc w:val="center"/>
              <w:cnfStyle w:val="000000000000" w:firstRow="0" w:lastRow="0" w:firstColumn="0" w:lastColumn="0" w:oddVBand="0" w:evenVBand="0" w:oddHBand="0" w:evenHBand="0" w:firstRowFirstColumn="0" w:firstRowLastColumn="0" w:lastRowFirstColumn="0" w:lastRowLastColumn="0"/>
            </w:pPr>
            <w:r w:rsidRPr="001C48CC">
              <w:t>4,0</w:t>
            </w:r>
          </w:p>
        </w:tc>
        <w:tc>
          <w:tcPr>
            <w:tcW w:w="993" w:type="dxa"/>
            <w:noWrap/>
            <w:hideMark/>
          </w:tcPr>
          <w:p w14:paraId="091473B2" w14:textId="77777777" w:rsidR="001861DC" w:rsidRPr="001C48CC" w:rsidRDefault="001861DC" w:rsidP="002E0516">
            <w:pPr>
              <w:jc w:val="center"/>
              <w:cnfStyle w:val="000000000000" w:firstRow="0" w:lastRow="0" w:firstColumn="0" w:lastColumn="0" w:oddVBand="0" w:evenVBand="0" w:oddHBand="0" w:evenHBand="0" w:firstRowFirstColumn="0" w:firstRowLastColumn="0" w:lastRowFirstColumn="0" w:lastRowLastColumn="0"/>
            </w:pPr>
            <w:r w:rsidRPr="001C48CC">
              <w:t>3,8</w:t>
            </w:r>
          </w:p>
        </w:tc>
        <w:tc>
          <w:tcPr>
            <w:tcW w:w="1134" w:type="dxa"/>
            <w:noWrap/>
            <w:hideMark/>
          </w:tcPr>
          <w:p w14:paraId="70A7366C" w14:textId="77777777" w:rsidR="001861DC" w:rsidRPr="001C48CC" w:rsidRDefault="001861DC" w:rsidP="002E0516">
            <w:pPr>
              <w:jc w:val="center"/>
              <w:cnfStyle w:val="000000000000" w:firstRow="0" w:lastRow="0" w:firstColumn="0" w:lastColumn="0" w:oddVBand="0" w:evenVBand="0" w:oddHBand="0" w:evenHBand="0" w:firstRowFirstColumn="0" w:firstRowLastColumn="0" w:lastRowFirstColumn="0" w:lastRowLastColumn="0"/>
            </w:pPr>
            <w:r w:rsidRPr="001C48CC">
              <w:t>3,3</w:t>
            </w:r>
          </w:p>
        </w:tc>
      </w:tr>
      <w:tr w:rsidR="001861DC" w:rsidRPr="00004A19" w14:paraId="35270FDF" w14:textId="77777777" w:rsidTr="002E0516">
        <w:trPr>
          <w:trHeight w:val="409"/>
          <w:jc w:val="center"/>
        </w:trPr>
        <w:tc>
          <w:tcPr>
            <w:cnfStyle w:val="001000000000" w:firstRow="0" w:lastRow="0" w:firstColumn="1" w:lastColumn="0" w:oddVBand="0" w:evenVBand="0" w:oddHBand="0" w:evenHBand="0" w:firstRowFirstColumn="0" w:firstRowLastColumn="0" w:lastRowFirstColumn="0" w:lastRowLastColumn="0"/>
            <w:tcW w:w="1840" w:type="dxa"/>
            <w:vMerge/>
            <w:tcBorders>
              <w:bottom w:val="single" w:sz="4" w:space="0" w:color="auto"/>
            </w:tcBorders>
            <w:vAlign w:val="center"/>
            <w:hideMark/>
          </w:tcPr>
          <w:p w14:paraId="78F03DFB" w14:textId="77777777" w:rsidR="001861DC" w:rsidRPr="001C48CC" w:rsidRDefault="001861DC" w:rsidP="002E0516">
            <w:pPr>
              <w:jc w:val="center"/>
            </w:pPr>
          </w:p>
        </w:tc>
        <w:tc>
          <w:tcPr>
            <w:tcW w:w="1137" w:type="dxa"/>
            <w:noWrap/>
            <w:hideMark/>
          </w:tcPr>
          <w:p w14:paraId="3386C869" w14:textId="77777777" w:rsidR="001861DC" w:rsidRPr="001C48CC" w:rsidRDefault="001861DC" w:rsidP="002E0516">
            <w:pPr>
              <w:jc w:val="center"/>
              <w:cnfStyle w:val="000000000000" w:firstRow="0" w:lastRow="0" w:firstColumn="0" w:lastColumn="0" w:oddVBand="0" w:evenVBand="0" w:oddHBand="0" w:evenHBand="0" w:firstRowFirstColumn="0" w:firstRowLastColumn="0" w:lastRowFirstColumn="0" w:lastRowLastColumn="0"/>
            </w:pPr>
            <w:r w:rsidRPr="001C48CC">
              <w:t>CETES</w:t>
            </w:r>
          </w:p>
        </w:tc>
        <w:tc>
          <w:tcPr>
            <w:tcW w:w="1134" w:type="dxa"/>
            <w:noWrap/>
            <w:hideMark/>
          </w:tcPr>
          <w:p w14:paraId="54C3324B" w14:textId="77777777" w:rsidR="001861DC" w:rsidRPr="001C48CC" w:rsidRDefault="001861DC" w:rsidP="002E0516">
            <w:pPr>
              <w:jc w:val="center"/>
              <w:cnfStyle w:val="000000000000" w:firstRow="0" w:lastRow="0" w:firstColumn="0" w:lastColumn="0" w:oddVBand="0" w:evenVBand="0" w:oddHBand="0" w:evenHBand="0" w:firstRowFirstColumn="0" w:firstRowLastColumn="0" w:lastRowFirstColumn="0" w:lastRowLastColumn="0"/>
            </w:pPr>
            <w:r w:rsidRPr="001C48CC">
              <w:t>1,9</w:t>
            </w:r>
          </w:p>
        </w:tc>
        <w:tc>
          <w:tcPr>
            <w:tcW w:w="992" w:type="dxa"/>
            <w:noWrap/>
            <w:hideMark/>
          </w:tcPr>
          <w:p w14:paraId="5F6D5264" w14:textId="77777777" w:rsidR="001861DC" w:rsidRPr="001C48CC" w:rsidRDefault="001861DC" w:rsidP="002E0516">
            <w:pPr>
              <w:jc w:val="center"/>
              <w:cnfStyle w:val="000000000000" w:firstRow="0" w:lastRow="0" w:firstColumn="0" w:lastColumn="0" w:oddVBand="0" w:evenVBand="0" w:oddHBand="0" w:evenHBand="0" w:firstRowFirstColumn="0" w:firstRowLastColumn="0" w:lastRowFirstColumn="0" w:lastRowLastColumn="0"/>
            </w:pPr>
            <w:r w:rsidRPr="001C48CC">
              <w:t>3,2</w:t>
            </w:r>
          </w:p>
        </w:tc>
        <w:tc>
          <w:tcPr>
            <w:tcW w:w="993" w:type="dxa"/>
            <w:noWrap/>
            <w:hideMark/>
          </w:tcPr>
          <w:p w14:paraId="7FFEBCC9" w14:textId="77777777" w:rsidR="001861DC" w:rsidRPr="001C48CC" w:rsidRDefault="001861DC" w:rsidP="002E0516">
            <w:pPr>
              <w:jc w:val="center"/>
              <w:cnfStyle w:val="000000000000" w:firstRow="0" w:lastRow="0" w:firstColumn="0" w:lastColumn="0" w:oddVBand="0" w:evenVBand="0" w:oddHBand="0" w:evenHBand="0" w:firstRowFirstColumn="0" w:firstRowLastColumn="0" w:lastRowFirstColumn="0" w:lastRowLastColumn="0"/>
            </w:pPr>
            <w:r w:rsidRPr="001C48CC">
              <w:t>1,9</w:t>
            </w:r>
          </w:p>
        </w:tc>
        <w:tc>
          <w:tcPr>
            <w:tcW w:w="1134" w:type="dxa"/>
            <w:noWrap/>
            <w:hideMark/>
          </w:tcPr>
          <w:p w14:paraId="6A9D71E3" w14:textId="77777777" w:rsidR="001861DC" w:rsidRPr="001C48CC" w:rsidRDefault="001861DC" w:rsidP="002E0516">
            <w:pPr>
              <w:jc w:val="center"/>
              <w:cnfStyle w:val="000000000000" w:firstRow="0" w:lastRow="0" w:firstColumn="0" w:lastColumn="0" w:oddVBand="0" w:evenVBand="0" w:oddHBand="0" w:evenHBand="0" w:firstRowFirstColumn="0" w:firstRowLastColumn="0" w:lastRowFirstColumn="0" w:lastRowLastColumn="0"/>
            </w:pPr>
            <w:r w:rsidRPr="001C48CC">
              <w:t>1,2</w:t>
            </w:r>
          </w:p>
        </w:tc>
      </w:tr>
      <w:tr w:rsidR="001861DC" w:rsidRPr="00004A19" w14:paraId="73A02F47" w14:textId="77777777" w:rsidTr="002E0516">
        <w:trPr>
          <w:trHeight w:val="409"/>
          <w:jc w:val="center"/>
        </w:trPr>
        <w:tc>
          <w:tcPr>
            <w:cnfStyle w:val="001000000000" w:firstRow="0" w:lastRow="0" w:firstColumn="1" w:lastColumn="0" w:oddVBand="0" w:evenVBand="0" w:oddHBand="0" w:evenHBand="0" w:firstRowFirstColumn="0" w:firstRowLastColumn="0" w:lastRowFirstColumn="0" w:lastRowLastColumn="0"/>
            <w:tcW w:w="1840" w:type="dxa"/>
            <w:vMerge/>
            <w:tcBorders>
              <w:bottom w:val="single" w:sz="4" w:space="0" w:color="auto"/>
            </w:tcBorders>
            <w:vAlign w:val="center"/>
            <w:hideMark/>
          </w:tcPr>
          <w:p w14:paraId="3698A1E6" w14:textId="77777777" w:rsidR="001861DC" w:rsidRPr="001C48CC" w:rsidRDefault="001861DC" w:rsidP="002E0516">
            <w:pPr>
              <w:jc w:val="center"/>
            </w:pPr>
          </w:p>
        </w:tc>
        <w:tc>
          <w:tcPr>
            <w:tcW w:w="1137" w:type="dxa"/>
            <w:noWrap/>
            <w:hideMark/>
          </w:tcPr>
          <w:p w14:paraId="1887BDC3" w14:textId="77777777" w:rsidR="001861DC" w:rsidRPr="001C48CC" w:rsidRDefault="001861DC" w:rsidP="002E0516">
            <w:pPr>
              <w:jc w:val="center"/>
              <w:cnfStyle w:val="000000000000" w:firstRow="0" w:lastRow="0" w:firstColumn="0" w:lastColumn="0" w:oddVBand="0" w:evenVBand="0" w:oddHBand="0" w:evenHBand="0" w:firstRowFirstColumn="0" w:firstRowLastColumn="0" w:lastRowFirstColumn="0" w:lastRowLastColumn="0"/>
            </w:pPr>
            <w:r w:rsidRPr="001C48CC">
              <w:t>UDIBONO</w:t>
            </w:r>
          </w:p>
        </w:tc>
        <w:tc>
          <w:tcPr>
            <w:tcW w:w="1134" w:type="dxa"/>
            <w:noWrap/>
            <w:hideMark/>
          </w:tcPr>
          <w:p w14:paraId="2A87A713" w14:textId="77777777" w:rsidR="001861DC" w:rsidRPr="001C48CC" w:rsidRDefault="001861DC" w:rsidP="002E0516">
            <w:pPr>
              <w:jc w:val="center"/>
              <w:cnfStyle w:val="000000000000" w:firstRow="0" w:lastRow="0" w:firstColumn="0" w:lastColumn="0" w:oddVBand="0" w:evenVBand="0" w:oddHBand="0" w:evenHBand="0" w:firstRowFirstColumn="0" w:firstRowLastColumn="0" w:lastRowFirstColumn="0" w:lastRowLastColumn="0"/>
            </w:pPr>
            <w:r w:rsidRPr="001C48CC">
              <w:t>38,1</w:t>
            </w:r>
          </w:p>
        </w:tc>
        <w:tc>
          <w:tcPr>
            <w:tcW w:w="992" w:type="dxa"/>
            <w:noWrap/>
            <w:hideMark/>
          </w:tcPr>
          <w:p w14:paraId="31215773" w14:textId="77777777" w:rsidR="001861DC" w:rsidRPr="001C48CC" w:rsidRDefault="001861DC" w:rsidP="002E0516">
            <w:pPr>
              <w:jc w:val="center"/>
              <w:cnfStyle w:val="000000000000" w:firstRow="0" w:lastRow="0" w:firstColumn="0" w:lastColumn="0" w:oddVBand="0" w:evenVBand="0" w:oddHBand="0" w:evenHBand="0" w:firstRowFirstColumn="0" w:firstRowLastColumn="0" w:lastRowFirstColumn="0" w:lastRowLastColumn="0"/>
            </w:pPr>
            <w:r w:rsidRPr="001C48CC">
              <w:t>21,4</w:t>
            </w:r>
          </w:p>
        </w:tc>
        <w:tc>
          <w:tcPr>
            <w:tcW w:w="993" w:type="dxa"/>
            <w:noWrap/>
            <w:hideMark/>
          </w:tcPr>
          <w:p w14:paraId="67249E8E" w14:textId="77777777" w:rsidR="001861DC" w:rsidRPr="001C48CC" w:rsidRDefault="001861DC" w:rsidP="002E0516">
            <w:pPr>
              <w:jc w:val="center"/>
              <w:cnfStyle w:val="000000000000" w:firstRow="0" w:lastRow="0" w:firstColumn="0" w:lastColumn="0" w:oddVBand="0" w:evenVBand="0" w:oddHBand="0" w:evenHBand="0" w:firstRowFirstColumn="0" w:firstRowLastColumn="0" w:lastRowFirstColumn="0" w:lastRowLastColumn="0"/>
            </w:pPr>
            <w:r w:rsidRPr="001C48CC">
              <w:t>19,9</w:t>
            </w:r>
          </w:p>
        </w:tc>
        <w:tc>
          <w:tcPr>
            <w:tcW w:w="1134" w:type="dxa"/>
            <w:noWrap/>
            <w:hideMark/>
          </w:tcPr>
          <w:p w14:paraId="02E3AE3E" w14:textId="77777777" w:rsidR="001861DC" w:rsidRPr="001C48CC" w:rsidRDefault="001861DC" w:rsidP="002E0516">
            <w:pPr>
              <w:jc w:val="center"/>
              <w:cnfStyle w:val="000000000000" w:firstRow="0" w:lastRow="0" w:firstColumn="0" w:lastColumn="0" w:oddVBand="0" w:evenVBand="0" w:oddHBand="0" w:evenHBand="0" w:firstRowFirstColumn="0" w:firstRowLastColumn="0" w:lastRowFirstColumn="0" w:lastRowLastColumn="0"/>
            </w:pPr>
            <w:r w:rsidRPr="001C48CC">
              <w:t>18,6</w:t>
            </w:r>
          </w:p>
        </w:tc>
      </w:tr>
      <w:tr w:rsidR="001861DC" w:rsidRPr="00004A19" w14:paraId="1FE71F88" w14:textId="77777777" w:rsidTr="002E0516">
        <w:trPr>
          <w:trHeight w:val="409"/>
          <w:jc w:val="center"/>
        </w:trPr>
        <w:tc>
          <w:tcPr>
            <w:cnfStyle w:val="001000000000" w:firstRow="0" w:lastRow="0" w:firstColumn="1" w:lastColumn="0" w:oddVBand="0" w:evenVBand="0" w:oddHBand="0" w:evenHBand="0" w:firstRowFirstColumn="0" w:firstRowLastColumn="0" w:lastRowFirstColumn="0" w:lastRowLastColumn="0"/>
            <w:tcW w:w="1840" w:type="dxa"/>
            <w:vMerge/>
            <w:tcBorders>
              <w:bottom w:val="single" w:sz="4" w:space="0" w:color="auto"/>
            </w:tcBorders>
            <w:vAlign w:val="center"/>
            <w:hideMark/>
          </w:tcPr>
          <w:p w14:paraId="63429DD2" w14:textId="77777777" w:rsidR="001861DC" w:rsidRPr="001C48CC" w:rsidRDefault="001861DC" w:rsidP="002E0516">
            <w:pPr>
              <w:jc w:val="center"/>
            </w:pPr>
          </w:p>
        </w:tc>
        <w:tc>
          <w:tcPr>
            <w:tcW w:w="1137" w:type="dxa"/>
            <w:noWrap/>
            <w:hideMark/>
          </w:tcPr>
          <w:p w14:paraId="0DAD68C5" w14:textId="77777777" w:rsidR="001861DC" w:rsidRPr="001C48CC" w:rsidRDefault="001861DC" w:rsidP="002E0516">
            <w:pPr>
              <w:jc w:val="center"/>
              <w:cnfStyle w:val="000000000000" w:firstRow="0" w:lastRow="0" w:firstColumn="0" w:lastColumn="0" w:oddVBand="0" w:evenVBand="0" w:oddHBand="0" w:evenHBand="0" w:firstRowFirstColumn="0" w:firstRowLastColumn="0" w:lastRowFirstColumn="0" w:lastRowLastColumn="0"/>
            </w:pPr>
            <w:r w:rsidRPr="001C48CC">
              <w:t>UMS</w:t>
            </w:r>
          </w:p>
        </w:tc>
        <w:tc>
          <w:tcPr>
            <w:tcW w:w="1134" w:type="dxa"/>
            <w:noWrap/>
            <w:hideMark/>
          </w:tcPr>
          <w:p w14:paraId="5098FB1F" w14:textId="77777777" w:rsidR="001861DC" w:rsidRPr="001C48CC" w:rsidRDefault="001861DC" w:rsidP="002E0516">
            <w:pPr>
              <w:jc w:val="center"/>
              <w:cnfStyle w:val="000000000000" w:firstRow="0" w:lastRow="0" w:firstColumn="0" w:lastColumn="0" w:oddVBand="0" w:evenVBand="0" w:oddHBand="0" w:evenHBand="0" w:firstRowFirstColumn="0" w:firstRowLastColumn="0" w:lastRowFirstColumn="0" w:lastRowLastColumn="0"/>
            </w:pPr>
            <w:r w:rsidRPr="001C48CC">
              <w:t>2,0</w:t>
            </w:r>
          </w:p>
        </w:tc>
        <w:tc>
          <w:tcPr>
            <w:tcW w:w="992" w:type="dxa"/>
            <w:noWrap/>
            <w:hideMark/>
          </w:tcPr>
          <w:p w14:paraId="17E6BEE3" w14:textId="77777777" w:rsidR="001861DC" w:rsidRPr="001C48CC" w:rsidRDefault="001861DC" w:rsidP="002E0516">
            <w:pPr>
              <w:jc w:val="center"/>
              <w:cnfStyle w:val="000000000000" w:firstRow="0" w:lastRow="0" w:firstColumn="0" w:lastColumn="0" w:oddVBand="0" w:evenVBand="0" w:oddHBand="0" w:evenHBand="0" w:firstRowFirstColumn="0" w:firstRowLastColumn="0" w:lastRowFirstColumn="0" w:lastRowLastColumn="0"/>
            </w:pPr>
            <w:r w:rsidRPr="001C48CC">
              <w:t>1,7</w:t>
            </w:r>
          </w:p>
        </w:tc>
        <w:tc>
          <w:tcPr>
            <w:tcW w:w="993" w:type="dxa"/>
            <w:noWrap/>
            <w:hideMark/>
          </w:tcPr>
          <w:p w14:paraId="0A35D027" w14:textId="77777777" w:rsidR="001861DC" w:rsidRPr="001C48CC" w:rsidRDefault="001861DC" w:rsidP="002E0516">
            <w:pPr>
              <w:jc w:val="center"/>
              <w:cnfStyle w:val="000000000000" w:firstRow="0" w:lastRow="0" w:firstColumn="0" w:lastColumn="0" w:oddVBand="0" w:evenVBand="0" w:oddHBand="0" w:evenHBand="0" w:firstRowFirstColumn="0" w:firstRowLastColumn="0" w:lastRowFirstColumn="0" w:lastRowLastColumn="0"/>
            </w:pPr>
            <w:r w:rsidRPr="001C48CC">
              <w:t>1,7</w:t>
            </w:r>
          </w:p>
        </w:tc>
        <w:tc>
          <w:tcPr>
            <w:tcW w:w="1134" w:type="dxa"/>
            <w:noWrap/>
            <w:hideMark/>
          </w:tcPr>
          <w:p w14:paraId="4D7F18CC" w14:textId="77777777" w:rsidR="001861DC" w:rsidRPr="001C48CC" w:rsidRDefault="001861DC" w:rsidP="002E0516">
            <w:pPr>
              <w:jc w:val="center"/>
              <w:cnfStyle w:val="000000000000" w:firstRow="0" w:lastRow="0" w:firstColumn="0" w:lastColumn="0" w:oddVBand="0" w:evenVBand="0" w:oddHBand="0" w:evenHBand="0" w:firstRowFirstColumn="0" w:firstRowLastColumn="0" w:lastRowFirstColumn="0" w:lastRowLastColumn="0"/>
            </w:pPr>
            <w:r w:rsidRPr="001C48CC">
              <w:t>1,5</w:t>
            </w:r>
          </w:p>
        </w:tc>
      </w:tr>
      <w:tr w:rsidR="001861DC" w:rsidRPr="00004A19" w14:paraId="6700250E" w14:textId="77777777" w:rsidTr="002E0516">
        <w:trPr>
          <w:trHeight w:val="409"/>
          <w:jc w:val="center"/>
        </w:trPr>
        <w:tc>
          <w:tcPr>
            <w:cnfStyle w:val="001000000000" w:firstRow="0" w:lastRow="0" w:firstColumn="1" w:lastColumn="0" w:oddVBand="0" w:evenVBand="0" w:oddHBand="0" w:evenHBand="0" w:firstRowFirstColumn="0" w:firstRowLastColumn="0" w:lastRowFirstColumn="0" w:lastRowLastColumn="0"/>
            <w:tcW w:w="1840" w:type="dxa"/>
            <w:vMerge/>
            <w:tcBorders>
              <w:bottom w:val="single" w:sz="4" w:space="0" w:color="auto"/>
            </w:tcBorders>
            <w:vAlign w:val="center"/>
            <w:hideMark/>
          </w:tcPr>
          <w:p w14:paraId="00B15A95" w14:textId="77777777" w:rsidR="001861DC" w:rsidRPr="001C48CC" w:rsidRDefault="001861DC" w:rsidP="002E0516">
            <w:pPr>
              <w:jc w:val="center"/>
            </w:pPr>
          </w:p>
        </w:tc>
        <w:tc>
          <w:tcPr>
            <w:tcW w:w="1137" w:type="dxa"/>
            <w:tcBorders>
              <w:bottom w:val="single" w:sz="4" w:space="0" w:color="auto"/>
            </w:tcBorders>
            <w:noWrap/>
            <w:hideMark/>
          </w:tcPr>
          <w:p w14:paraId="2EECC61E" w14:textId="77777777" w:rsidR="001861DC" w:rsidRPr="001C48CC" w:rsidRDefault="001861DC" w:rsidP="002E0516">
            <w:pPr>
              <w:jc w:val="center"/>
              <w:cnfStyle w:val="000000000000" w:firstRow="0" w:lastRow="0" w:firstColumn="0" w:lastColumn="0" w:oddVBand="0" w:evenVBand="0" w:oddHBand="0" w:evenHBand="0" w:firstRowFirstColumn="0" w:firstRowLastColumn="0" w:lastRowFirstColumn="0" w:lastRowLastColumn="0"/>
            </w:pPr>
            <w:r w:rsidRPr="001C48CC">
              <w:t>REPORTOS</w:t>
            </w:r>
          </w:p>
        </w:tc>
        <w:tc>
          <w:tcPr>
            <w:tcW w:w="1134" w:type="dxa"/>
            <w:tcBorders>
              <w:bottom w:val="single" w:sz="4" w:space="0" w:color="auto"/>
            </w:tcBorders>
            <w:noWrap/>
            <w:hideMark/>
          </w:tcPr>
          <w:p w14:paraId="4C794B62" w14:textId="77777777" w:rsidR="001861DC" w:rsidRPr="001C48CC" w:rsidRDefault="001861DC" w:rsidP="002E0516">
            <w:pPr>
              <w:jc w:val="center"/>
              <w:cnfStyle w:val="000000000000" w:firstRow="0" w:lastRow="0" w:firstColumn="0" w:lastColumn="0" w:oddVBand="0" w:evenVBand="0" w:oddHBand="0" w:evenHBand="0" w:firstRowFirstColumn="0" w:firstRowLastColumn="0" w:lastRowFirstColumn="0" w:lastRowLastColumn="0"/>
            </w:pPr>
            <w:r w:rsidRPr="001C48CC">
              <w:t>4,7</w:t>
            </w:r>
          </w:p>
        </w:tc>
        <w:tc>
          <w:tcPr>
            <w:tcW w:w="992" w:type="dxa"/>
            <w:tcBorders>
              <w:bottom w:val="single" w:sz="4" w:space="0" w:color="auto"/>
            </w:tcBorders>
            <w:noWrap/>
            <w:hideMark/>
          </w:tcPr>
          <w:p w14:paraId="644DD5D0" w14:textId="77777777" w:rsidR="001861DC" w:rsidRPr="001C48CC" w:rsidRDefault="001861DC" w:rsidP="002E0516">
            <w:pPr>
              <w:jc w:val="center"/>
              <w:cnfStyle w:val="000000000000" w:firstRow="0" w:lastRow="0" w:firstColumn="0" w:lastColumn="0" w:oddVBand="0" w:evenVBand="0" w:oddHBand="0" w:evenHBand="0" w:firstRowFirstColumn="0" w:firstRowLastColumn="0" w:lastRowFirstColumn="0" w:lastRowLastColumn="0"/>
            </w:pPr>
            <w:r w:rsidRPr="001C48CC">
              <w:t>2,0</w:t>
            </w:r>
          </w:p>
        </w:tc>
        <w:tc>
          <w:tcPr>
            <w:tcW w:w="993" w:type="dxa"/>
            <w:tcBorders>
              <w:bottom w:val="single" w:sz="4" w:space="0" w:color="auto"/>
            </w:tcBorders>
            <w:noWrap/>
            <w:hideMark/>
          </w:tcPr>
          <w:p w14:paraId="1910819A" w14:textId="77777777" w:rsidR="001861DC" w:rsidRPr="001C48CC" w:rsidRDefault="001861DC" w:rsidP="002E0516">
            <w:pPr>
              <w:jc w:val="center"/>
              <w:cnfStyle w:val="000000000000" w:firstRow="0" w:lastRow="0" w:firstColumn="0" w:lastColumn="0" w:oddVBand="0" w:evenVBand="0" w:oddHBand="0" w:evenHBand="0" w:firstRowFirstColumn="0" w:firstRowLastColumn="0" w:lastRowFirstColumn="0" w:lastRowLastColumn="0"/>
            </w:pPr>
            <w:r w:rsidRPr="001C48CC">
              <w:t>1,3</w:t>
            </w:r>
          </w:p>
        </w:tc>
        <w:tc>
          <w:tcPr>
            <w:tcW w:w="1134" w:type="dxa"/>
            <w:tcBorders>
              <w:bottom w:val="single" w:sz="4" w:space="0" w:color="auto"/>
            </w:tcBorders>
            <w:noWrap/>
            <w:hideMark/>
          </w:tcPr>
          <w:p w14:paraId="2948C025" w14:textId="77777777" w:rsidR="001861DC" w:rsidRPr="001C48CC" w:rsidRDefault="001861DC" w:rsidP="002E0516">
            <w:pPr>
              <w:jc w:val="center"/>
              <w:cnfStyle w:val="000000000000" w:firstRow="0" w:lastRow="0" w:firstColumn="0" w:lastColumn="0" w:oddVBand="0" w:evenVBand="0" w:oddHBand="0" w:evenHBand="0" w:firstRowFirstColumn="0" w:firstRowLastColumn="0" w:lastRowFirstColumn="0" w:lastRowLastColumn="0"/>
            </w:pPr>
            <w:r w:rsidRPr="001C48CC">
              <w:t>2,2</w:t>
            </w:r>
          </w:p>
        </w:tc>
      </w:tr>
      <w:tr w:rsidR="001861DC" w:rsidRPr="00004A19" w14:paraId="23456D8B" w14:textId="77777777" w:rsidTr="002E0516">
        <w:trPr>
          <w:trHeight w:val="409"/>
          <w:jc w:val="center"/>
        </w:trPr>
        <w:tc>
          <w:tcPr>
            <w:cnfStyle w:val="001000000000" w:firstRow="0" w:lastRow="0" w:firstColumn="1" w:lastColumn="0" w:oddVBand="0" w:evenVBand="0" w:oddHBand="0" w:evenHBand="0" w:firstRowFirstColumn="0" w:firstRowLastColumn="0" w:lastRowFirstColumn="0" w:lastRowLastColumn="0"/>
            <w:tcW w:w="1840" w:type="dxa"/>
            <w:vMerge/>
            <w:tcBorders>
              <w:top w:val="single" w:sz="4" w:space="0" w:color="auto"/>
              <w:bottom w:val="single" w:sz="4" w:space="0" w:color="auto"/>
            </w:tcBorders>
            <w:noWrap/>
            <w:vAlign w:val="center"/>
            <w:hideMark/>
          </w:tcPr>
          <w:p w14:paraId="0B9A6D38" w14:textId="77777777" w:rsidR="001861DC" w:rsidRPr="001C48CC" w:rsidRDefault="001861DC" w:rsidP="002E0516">
            <w:pPr>
              <w:jc w:val="center"/>
            </w:pPr>
          </w:p>
        </w:tc>
        <w:tc>
          <w:tcPr>
            <w:tcW w:w="1137" w:type="dxa"/>
            <w:tcBorders>
              <w:top w:val="single" w:sz="4" w:space="0" w:color="auto"/>
              <w:bottom w:val="single" w:sz="4" w:space="0" w:color="auto"/>
            </w:tcBorders>
            <w:noWrap/>
            <w:hideMark/>
          </w:tcPr>
          <w:p w14:paraId="3E5CBCBC" w14:textId="77777777" w:rsidR="001861DC" w:rsidRPr="001C48CC" w:rsidRDefault="001861DC" w:rsidP="002E0516">
            <w:pPr>
              <w:jc w:val="center"/>
              <w:cnfStyle w:val="000000000000" w:firstRow="0" w:lastRow="0" w:firstColumn="0" w:lastColumn="0" w:oddVBand="0" w:evenVBand="0" w:oddHBand="0" w:evenHBand="0" w:firstRowFirstColumn="0" w:firstRowLastColumn="0" w:lastRowFirstColumn="0" w:lastRowLastColumn="0"/>
            </w:pPr>
            <w:r w:rsidRPr="001C48CC">
              <w:t>Total</w:t>
            </w:r>
          </w:p>
        </w:tc>
        <w:tc>
          <w:tcPr>
            <w:tcW w:w="1134" w:type="dxa"/>
            <w:tcBorders>
              <w:top w:val="single" w:sz="4" w:space="0" w:color="auto"/>
              <w:bottom w:val="single" w:sz="4" w:space="0" w:color="auto"/>
            </w:tcBorders>
            <w:noWrap/>
            <w:hideMark/>
          </w:tcPr>
          <w:p w14:paraId="06C14567" w14:textId="77777777" w:rsidR="001861DC" w:rsidRPr="001C48CC" w:rsidRDefault="001861DC" w:rsidP="002E0516">
            <w:pPr>
              <w:jc w:val="center"/>
              <w:cnfStyle w:val="000000000000" w:firstRow="0" w:lastRow="0" w:firstColumn="0" w:lastColumn="0" w:oddVBand="0" w:evenVBand="0" w:oddHBand="0" w:evenHBand="0" w:firstRowFirstColumn="0" w:firstRowLastColumn="0" w:lastRowFirstColumn="0" w:lastRowLastColumn="0"/>
            </w:pPr>
            <w:r w:rsidRPr="001C48CC">
              <w:t>66,6</w:t>
            </w:r>
          </w:p>
        </w:tc>
        <w:tc>
          <w:tcPr>
            <w:tcW w:w="992" w:type="dxa"/>
            <w:tcBorders>
              <w:top w:val="single" w:sz="4" w:space="0" w:color="auto"/>
              <w:bottom w:val="single" w:sz="4" w:space="0" w:color="auto"/>
            </w:tcBorders>
            <w:noWrap/>
            <w:hideMark/>
          </w:tcPr>
          <w:p w14:paraId="3F90305F" w14:textId="77777777" w:rsidR="001861DC" w:rsidRPr="001C48CC" w:rsidRDefault="001861DC" w:rsidP="002E0516">
            <w:pPr>
              <w:jc w:val="center"/>
              <w:cnfStyle w:val="000000000000" w:firstRow="0" w:lastRow="0" w:firstColumn="0" w:lastColumn="0" w:oddVBand="0" w:evenVBand="0" w:oddHBand="0" w:evenHBand="0" w:firstRowFirstColumn="0" w:firstRowLastColumn="0" w:lastRowFirstColumn="0" w:lastRowLastColumn="0"/>
            </w:pPr>
            <w:r w:rsidRPr="001C48CC">
              <w:t>52,0</w:t>
            </w:r>
          </w:p>
        </w:tc>
        <w:tc>
          <w:tcPr>
            <w:tcW w:w="993" w:type="dxa"/>
            <w:tcBorders>
              <w:top w:val="single" w:sz="4" w:space="0" w:color="auto"/>
              <w:bottom w:val="single" w:sz="4" w:space="0" w:color="auto"/>
            </w:tcBorders>
            <w:noWrap/>
            <w:hideMark/>
          </w:tcPr>
          <w:p w14:paraId="199C8FF2" w14:textId="77777777" w:rsidR="001861DC" w:rsidRPr="001C48CC" w:rsidRDefault="001861DC" w:rsidP="002E0516">
            <w:pPr>
              <w:jc w:val="center"/>
              <w:cnfStyle w:val="000000000000" w:firstRow="0" w:lastRow="0" w:firstColumn="0" w:lastColumn="0" w:oddVBand="0" w:evenVBand="0" w:oddHBand="0" w:evenHBand="0" w:firstRowFirstColumn="0" w:firstRowLastColumn="0" w:lastRowFirstColumn="0" w:lastRowLastColumn="0"/>
            </w:pPr>
            <w:r w:rsidRPr="001C48CC">
              <w:t>48,1</w:t>
            </w:r>
          </w:p>
        </w:tc>
        <w:tc>
          <w:tcPr>
            <w:tcW w:w="1134" w:type="dxa"/>
            <w:tcBorders>
              <w:top w:val="single" w:sz="4" w:space="0" w:color="auto"/>
              <w:bottom w:val="single" w:sz="4" w:space="0" w:color="auto"/>
            </w:tcBorders>
            <w:noWrap/>
            <w:hideMark/>
          </w:tcPr>
          <w:p w14:paraId="264AEBD1" w14:textId="77777777" w:rsidR="001861DC" w:rsidRPr="001C48CC" w:rsidRDefault="001861DC" w:rsidP="002E0516">
            <w:pPr>
              <w:jc w:val="center"/>
              <w:cnfStyle w:val="000000000000" w:firstRow="0" w:lastRow="0" w:firstColumn="0" w:lastColumn="0" w:oddVBand="0" w:evenVBand="0" w:oddHBand="0" w:evenHBand="0" w:firstRowFirstColumn="0" w:firstRowLastColumn="0" w:lastRowFirstColumn="0" w:lastRowLastColumn="0"/>
            </w:pPr>
            <w:r w:rsidRPr="001C48CC">
              <w:t>45,1</w:t>
            </w:r>
          </w:p>
        </w:tc>
      </w:tr>
    </w:tbl>
    <w:p w14:paraId="39884550" w14:textId="77777777" w:rsidR="001861DC" w:rsidRPr="00CE6F0D" w:rsidRDefault="001861DC" w:rsidP="001861DC">
      <w:pPr>
        <w:tabs>
          <w:tab w:val="left" w:pos="1056"/>
        </w:tabs>
        <w:jc w:val="center"/>
      </w:pPr>
    </w:p>
    <w:p w14:paraId="3BD7E368" w14:textId="77777777" w:rsidR="001861DC" w:rsidRDefault="001861DC" w:rsidP="001861DC">
      <w:pPr>
        <w:jc w:val="center"/>
      </w:pPr>
    </w:p>
    <w:p w14:paraId="643BE259" w14:textId="77777777" w:rsidR="001861DC" w:rsidRDefault="001861DC" w:rsidP="001861DC"/>
    <w:p w14:paraId="68675ACE" w14:textId="77777777" w:rsidR="001861DC" w:rsidRPr="009D68C2" w:rsidRDefault="001861DC" w:rsidP="001861DC"/>
    <w:p w14:paraId="60136EF2" w14:textId="77777777" w:rsidR="001861DC" w:rsidRPr="00492E6B" w:rsidRDefault="001861DC" w:rsidP="001861DC"/>
    <w:p w14:paraId="64941925" w14:textId="77777777" w:rsidR="001861DC" w:rsidRDefault="001861DC" w:rsidP="001861DC">
      <w:pPr>
        <w:pStyle w:val="Ttulo2"/>
        <w:jc w:val="both"/>
      </w:pPr>
      <w:r>
        <w:t>Colombia</w:t>
      </w:r>
    </w:p>
    <w:p w14:paraId="20959B7A" w14:textId="77777777" w:rsidR="001861DC" w:rsidRDefault="001861DC" w:rsidP="001861DC">
      <w:pPr>
        <w:spacing w:after="160" w:line="259" w:lineRule="auto"/>
        <w:jc w:val="left"/>
      </w:pPr>
    </w:p>
    <w:p w14:paraId="267A548A" w14:textId="77777777" w:rsidR="001861DC" w:rsidRDefault="001861DC" w:rsidP="001861DC">
      <w:pPr>
        <w:spacing w:after="160" w:line="259" w:lineRule="auto"/>
      </w:pPr>
      <w:r>
        <w:t>La regulación colombiana ha impuesto restricciones por emisor desde la creación del sistema de cuentas individuales, tal es el caso de la ley que crea el S</w:t>
      </w:r>
      <w:r w:rsidRPr="00076A31">
        <w:t xml:space="preserve">istema de </w:t>
      </w:r>
      <w:r>
        <w:t>Seguridad Social I</w:t>
      </w:r>
      <w:r w:rsidRPr="00076A31">
        <w:t>ntegral</w:t>
      </w:r>
      <w:r>
        <w:t xml:space="preserve"> Nº100, en la cual se consigna en su Artículo 100, que las inversiones en deuda pública no puede superar el 50% del total del fondo.</w:t>
      </w:r>
    </w:p>
    <w:p w14:paraId="3E09F4F8" w14:textId="77777777" w:rsidR="001861DC" w:rsidRDefault="001861DC" w:rsidP="001861DC">
      <w:pPr>
        <w:spacing w:after="160" w:line="259" w:lineRule="auto"/>
        <w:ind w:left="708"/>
        <w:rPr>
          <w:i/>
        </w:rPr>
      </w:pPr>
      <w:r w:rsidRPr="00E675B0">
        <w:rPr>
          <w:b/>
          <w:i/>
        </w:rPr>
        <w:t>ARTICULO  100</w:t>
      </w:r>
      <w:r w:rsidRPr="00076A31">
        <w:rPr>
          <w:i/>
        </w:rPr>
        <w:t>.-Inversión de los recursos. Modificado por el art. 51, Ley 1328 de 2009. Con el fin de garantizar la seguridad, rentabilidad y liquidez de los recursos del sistema, las administradoras los invertirán en las condiciones y con sujeción a los límites que para el efecto establezca el gobierno a través de la Superintendencia Bancaria, previo concepto, que no será vinculante, de una comisión del consejo nacional laboral o el organismo que haga sus veces. En cualquier caso, las inversiones en títulos de deuda pública no podrán ser superiores al cincuenta por ciento (50%) del valor de los recursos de los fondos de pensiones, y dichos títulos deberán cubrir la desvalorización monetaria y permitir el pago de intereses reales que reflejen la tasa del mercado financiero, certificada por la Superintendencia Bancaria para períodos trimestrales. (…)</w:t>
      </w:r>
    </w:p>
    <w:p w14:paraId="1F07A8D6" w14:textId="77777777" w:rsidR="001861DC" w:rsidRDefault="001861DC" w:rsidP="001861DC">
      <w:pPr>
        <w:spacing w:after="160" w:line="259" w:lineRule="auto"/>
      </w:pPr>
      <w:r w:rsidRPr="00E675B0">
        <w:t>En la práctica</w:t>
      </w:r>
      <w:r>
        <w:t>, y tomando como base los promedios de la industria de ese país, según registra la Superintendencia Financiera, los fondos de pensiones poseen en sus carteras un 32% de deuda pública.</w:t>
      </w:r>
    </w:p>
    <w:p w14:paraId="03E4CBF3" w14:textId="77777777" w:rsidR="001861DC" w:rsidRDefault="001861DC" w:rsidP="001861DC">
      <w:pPr>
        <w:spacing w:after="160" w:line="259" w:lineRule="auto"/>
        <w:jc w:val="center"/>
        <w:rPr>
          <w:b/>
        </w:rPr>
      </w:pPr>
    </w:p>
    <w:p w14:paraId="7B70D136" w14:textId="77777777" w:rsidR="001861DC" w:rsidRPr="00E675B0" w:rsidRDefault="001861DC" w:rsidP="001861DC">
      <w:pPr>
        <w:spacing w:after="160" w:line="259" w:lineRule="auto"/>
        <w:jc w:val="center"/>
      </w:pPr>
      <w:r w:rsidRPr="00E675B0">
        <w:rPr>
          <w:b/>
        </w:rPr>
        <w:t>Colombia:</w:t>
      </w:r>
      <w:r w:rsidRPr="00E675B0">
        <w:t xml:space="preserve"> Composición de las Inversiones</w:t>
      </w:r>
    </w:p>
    <w:p w14:paraId="3216FDB4" w14:textId="77777777" w:rsidR="001861DC" w:rsidRDefault="001861DC" w:rsidP="001861DC">
      <w:pPr>
        <w:jc w:val="center"/>
      </w:pPr>
      <w:r w:rsidRPr="00E675B0">
        <w:t>(Cifras porcentuales al cierre de octubre de 2015)</w:t>
      </w:r>
    </w:p>
    <w:p w14:paraId="370FAA3F" w14:textId="77777777" w:rsidR="001861DC" w:rsidRPr="00E675B0" w:rsidRDefault="001861DC" w:rsidP="001861DC">
      <w:pPr>
        <w:jc w:val="center"/>
      </w:pPr>
    </w:p>
    <w:tbl>
      <w:tblPr>
        <w:tblW w:w="7340" w:type="dxa"/>
        <w:jc w:val="center"/>
        <w:tblCellMar>
          <w:left w:w="70" w:type="dxa"/>
          <w:right w:w="70" w:type="dxa"/>
        </w:tblCellMar>
        <w:tblLook w:val="04A0" w:firstRow="1" w:lastRow="0" w:firstColumn="1" w:lastColumn="0" w:noHBand="0" w:noVBand="1"/>
      </w:tblPr>
      <w:tblGrid>
        <w:gridCol w:w="2760"/>
        <w:gridCol w:w="3380"/>
        <w:gridCol w:w="1200"/>
      </w:tblGrid>
      <w:tr w:rsidR="001861DC" w:rsidRPr="00034F21" w14:paraId="5F01AF2D" w14:textId="77777777" w:rsidTr="002E0516">
        <w:trPr>
          <w:trHeight w:val="300"/>
          <w:jc w:val="center"/>
        </w:trPr>
        <w:tc>
          <w:tcPr>
            <w:tcW w:w="2760" w:type="dxa"/>
            <w:vMerge w:val="restart"/>
            <w:tcBorders>
              <w:top w:val="single" w:sz="4" w:space="0" w:color="auto"/>
              <w:left w:val="nil"/>
              <w:bottom w:val="single" w:sz="4" w:space="0" w:color="000000"/>
              <w:right w:val="nil"/>
            </w:tcBorders>
            <w:shd w:val="clear" w:color="auto" w:fill="auto"/>
            <w:vAlign w:val="center"/>
            <w:hideMark/>
          </w:tcPr>
          <w:p w14:paraId="6F031424" w14:textId="77777777" w:rsidR="001861DC" w:rsidRPr="00034F21" w:rsidRDefault="001861DC" w:rsidP="002E0516">
            <w:pPr>
              <w:jc w:val="center"/>
              <w:rPr>
                <w:rFonts w:ascii="Calibri" w:eastAsia="Times New Roman" w:hAnsi="Calibri" w:cs="Times New Roman"/>
                <w:color w:val="000000"/>
                <w:lang w:eastAsia="es-ES"/>
              </w:rPr>
            </w:pPr>
            <w:r>
              <w:rPr>
                <w:rFonts w:ascii="Calibri" w:eastAsia="Times New Roman" w:hAnsi="Calibri" w:cs="Times New Roman"/>
                <w:color w:val="000000"/>
                <w:lang w:eastAsia="es-ES"/>
              </w:rPr>
              <w:t>D</w:t>
            </w:r>
            <w:r w:rsidRPr="00034F21">
              <w:rPr>
                <w:rFonts w:ascii="Calibri" w:eastAsia="Times New Roman" w:hAnsi="Calibri" w:cs="Times New Roman"/>
                <w:color w:val="000000"/>
                <w:lang w:eastAsia="es-ES"/>
              </w:rPr>
              <w:t>euda interna y externa, emitidos o garantizados por la Nación</w:t>
            </w:r>
          </w:p>
        </w:tc>
        <w:tc>
          <w:tcPr>
            <w:tcW w:w="3380" w:type="dxa"/>
            <w:tcBorders>
              <w:top w:val="single" w:sz="4" w:space="0" w:color="auto"/>
              <w:left w:val="nil"/>
              <w:bottom w:val="single" w:sz="4" w:space="0" w:color="auto"/>
              <w:right w:val="nil"/>
            </w:tcBorders>
            <w:shd w:val="clear" w:color="auto" w:fill="auto"/>
            <w:noWrap/>
            <w:vAlign w:val="bottom"/>
            <w:hideMark/>
          </w:tcPr>
          <w:p w14:paraId="6428A070" w14:textId="77777777" w:rsidR="001861DC" w:rsidRPr="00034F21" w:rsidRDefault="001861DC" w:rsidP="002E0516">
            <w:pPr>
              <w:jc w:val="left"/>
              <w:rPr>
                <w:rFonts w:ascii="Calibri" w:eastAsia="Times New Roman" w:hAnsi="Calibri" w:cs="Times New Roman"/>
                <w:b/>
                <w:bCs/>
                <w:color w:val="000000"/>
                <w:lang w:eastAsia="es-ES"/>
              </w:rPr>
            </w:pPr>
            <w:r w:rsidRPr="00034F21">
              <w:rPr>
                <w:rFonts w:ascii="Calibri" w:eastAsia="Times New Roman" w:hAnsi="Calibri" w:cs="Times New Roman"/>
                <w:b/>
                <w:bCs/>
                <w:color w:val="000000"/>
                <w:lang w:eastAsia="es-ES"/>
              </w:rPr>
              <w:t>TIPO DE TITULO</w:t>
            </w:r>
          </w:p>
        </w:tc>
        <w:tc>
          <w:tcPr>
            <w:tcW w:w="1200" w:type="dxa"/>
            <w:tcBorders>
              <w:top w:val="single" w:sz="4" w:space="0" w:color="auto"/>
              <w:left w:val="nil"/>
              <w:bottom w:val="single" w:sz="4" w:space="0" w:color="auto"/>
              <w:right w:val="nil"/>
            </w:tcBorders>
            <w:shd w:val="clear" w:color="auto" w:fill="auto"/>
            <w:noWrap/>
            <w:vAlign w:val="bottom"/>
            <w:hideMark/>
          </w:tcPr>
          <w:p w14:paraId="059FD02B" w14:textId="77777777" w:rsidR="001861DC" w:rsidRPr="00034F21" w:rsidRDefault="001861DC" w:rsidP="002E0516">
            <w:pPr>
              <w:jc w:val="center"/>
              <w:rPr>
                <w:rFonts w:ascii="Calibri" w:eastAsia="Times New Roman" w:hAnsi="Calibri" w:cs="Times New Roman"/>
                <w:b/>
                <w:bCs/>
                <w:color w:val="000000"/>
                <w:lang w:eastAsia="es-ES"/>
              </w:rPr>
            </w:pPr>
            <w:r w:rsidRPr="00034F21">
              <w:rPr>
                <w:rFonts w:ascii="Calibri" w:eastAsia="Times New Roman" w:hAnsi="Calibri" w:cs="Times New Roman"/>
                <w:b/>
                <w:bCs/>
                <w:color w:val="000000"/>
                <w:lang w:eastAsia="es-ES"/>
              </w:rPr>
              <w:t>%</w:t>
            </w:r>
          </w:p>
        </w:tc>
      </w:tr>
      <w:tr w:rsidR="001861DC" w:rsidRPr="00034F21" w14:paraId="5C93C0F5" w14:textId="77777777" w:rsidTr="002E0516">
        <w:trPr>
          <w:trHeight w:val="300"/>
          <w:jc w:val="center"/>
        </w:trPr>
        <w:tc>
          <w:tcPr>
            <w:tcW w:w="2760" w:type="dxa"/>
            <w:vMerge/>
            <w:tcBorders>
              <w:top w:val="single" w:sz="4" w:space="0" w:color="auto"/>
              <w:left w:val="nil"/>
              <w:bottom w:val="single" w:sz="4" w:space="0" w:color="000000"/>
              <w:right w:val="nil"/>
            </w:tcBorders>
            <w:vAlign w:val="center"/>
            <w:hideMark/>
          </w:tcPr>
          <w:p w14:paraId="5EAA3BF8" w14:textId="77777777" w:rsidR="001861DC" w:rsidRPr="00034F21" w:rsidRDefault="001861DC" w:rsidP="002E0516">
            <w:pPr>
              <w:jc w:val="left"/>
              <w:rPr>
                <w:rFonts w:ascii="Calibri" w:eastAsia="Times New Roman" w:hAnsi="Calibri" w:cs="Times New Roman"/>
                <w:color w:val="000000"/>
                <w:lang w:eastAsia="es-ES"/>
              </w:rPr>
            </w:pPr>
          </w:p>
        </w:tc>
        <w:tc>
          <w:tcPr>
            <w:tcW w:w="3380" w:type="dxa"/>
            <w:tcBorders>
              <w:top w:val="nil"/>
              <w:left w:val="nil"/>
              <w:bottom w:val="nil"/>
              <w:right w:val="nil"/>
            </w:tcBorders>
            <w:shd w:val="clear" w:color="auto" w:fill="auto"/>
            <w:noWrap/>
            <w:vAlign w:val="bottom"/>
            <w:hideMark/>
          </w:tcPr>
          <w:p w14:paraId="43CB8524" w14:textId="77777777" w:rsidR="001861DC" w:rsidRPr="00034F21" w:rsidRDefault="001861DC" w:rsidP="002E0516">
            <w:pPr>
              <w:jc w:val="left"/>
              <w:rPr>
                <w:rFonts w:ascii="Calibri" w:eastAsia="Times New Roman" w:hAnsi="Calibri" w:cs="Times New Roman"/>
                <w:color w:val="000000"/>
                <w:lang w:eastAsia="es-ES"/>
              </w:rPr>
            </w:pPr>
            <w:r w:rsidRPr="00034F21">
              <w:rPr>
                <w:rFonts w:ascii="Calibri" w:eastAsia="Times New Roman" w:hAnsi="Calibri" w:cs="Times New Roman"/>
                <w:color w:val="000000"/>
                <w:lang w:eastAsia="es-ES"/>
              </w:rPr>
              <w:t>Bonos pensionales</w:t>
            </w:r>
          </w:p>
        </w:tc>
        <w:tc>
          <w:tcPr>
            <w:tcW w:w="1200" w:type="dxa"/>
            <w:tcBorders>
              <w:top w:val="nil"/>
              <w:left w:val="nil"/>
              <w:bottom w:val="nil"/>
              <w:right w:val="nil"/>
            </w:tcBorders>
            <w:shd w:val="clear" w:color="auto" w:fill="auto"/>
            <w:noWrap/>
            <w:vAlign w:val="bottom"/>
            <w:hideMark/>
          </w:tcPr>
          <w:p w14:paraId="71BF8D11" w14:textId="77777777" w:rsidR="001861DC" w:rsidRPr="00034F21" w:rsidRDefault="001861DC" w:rsidP="002E0516">
            <w:pPr>
              <w:jc w:val="center"/>
              <w:rPr>
                <w:rFonts w:ascii="Calibri" w:eastAsia="Times New Roman" w:hAnsi="Calibri" w:cs="Times New Roman"/>
                <w:color w:val="000000"/>
                <w:lang w:eastAsia="es-ES"/>
              </w:rPr>
            </w:pPr>
            <w:r w:rsidRPr="00034F21">
              <w:rPr>
                <w:rFonts w:ascii="Calibri" w:eastAsia="Times New Roman" w:hAnsi="Calibri" w:cs="Times New Roman"/>
                <w:color w:val="000000"/>
                <w:lang w:eastAsia="es-ES"/>
              </w:rPr>
              <w:t>0,20%</w:t>
            </w:r>
          </w:p>
        </w:tc>
      </w:tr>
      <w:tr w:rsidR="001861DC" w:rsidRPr="00034F21" w14:paraId="16F0D71F" w14:textId="77777777" w:rsidTr="002E0516">
        <w:trPr>
          <w:trHeight w:val="300"/>
          <w:jc w:val="center"/>
        </w:trPr>
        <w:tc>
          <w:tcPr>
            <w:tcW w:w="2760" w:type="dxa"/>
            <w:vMerge/>
            <w:tcBorders>
              <w:top w:val="single" w:sz="4" w:space="0" w:color="auto"/>
              <w:left w:val="nil"/>
              <w:bottom w:val="single" w:sz="4" w:space="0" w:color="000000"/>
              <w:right w:val="nil"/>
            </w:tcBorders>
            <w:vAlign w:val="center"/>
            <w:hideMark/>
          </w:tcPr>
          <w:p w14:paraId="2B5E538B" w14:textId="77777777" w:rsidR="001861DC" w:rsidRPr="00034F21" w:rsidRDefault="001861DC" w:rsidP="002E0516">
            <w:pPr>
              <w:jc w:val="left"/>
              <w:rPr>
                <w:rFonts w:ascii="Calibri" w:eastAsia="Times New Roman" w:hAnsi="Calibri" w:cs="Times New Roman"/>
                <w:color w:val="000000"/>
                <w:lang w:eastAsia="es-ES"/>
              </w:rPr>
            </w:pPr>
          </w:p>
        </w:tc>
        <w:tc>
          <w:tcPr>
            <w:tcW w:w="3380" w:type="dxa"/>
            <w:tcBorders>
              <w:top w:val="nil"/>
              <w:left w:val="nil"/>
              <w:bottom w:val="nil"/>
              <w:right w:val="nil"/>
            </w:tcBorders>
            <w:shd w:val="clear" w:color="auto" w:fill="auto"/>
            <w:noWrap/>
            <w:vAlign w:val="bottom"/>
            <w:hideMark/>
          </w:tcPr>
          <w:p w14:paraId="5CB7BB7C" w14:textId="77777777" w:rsidR="001861DC" w:rsidRPr="00034F21" w:rsidRDefault="001861DC" w:rsidP="002E0516">
            <w:pPr>
              <w:jc w:val="left"/>
              <w:rPr>
                <w:rFonts w:ascii="Calibri" w:eastAsia="Times New Roman" w:hAnsi="Calibri" w:cs="Times New Roman"/>
                <w:color w:val="000000"/>
                <w:lang w:eastAsia="es-ES"/>
              </w:rPr>
            </w:pPr>
            <w:r w:rsidRPr="00034F21">
              <w:rPr>
                <w:rFonts w:ascii="Calibri" w:eastAsia="Times New Roman" w:hAnsi="Calibri" w:cs="Times New Roman"/>
                <w:color w:val="000000"/>
                <w:lang w:eastAsia="es-ES"/>
              </w:rPr>
              <w:t>Títulos de Tesorería</w:t>
            </w:r>
          </w:p>
        </w:tc>
        <w:tc>
          <w:tcPr>
            <w:tcW w:w="1200" w:type="dxa"/>
            <w:tcBorders>
              <w:top w:val="nil"/>
              <w:left w:val="nil"/>
              <w:bottom w:val="nil"/>
              <w:right w:val="nil"/>
            </w:tcBorders>
            <w:shd w:val="clear" w:color="auto" w:fill="auto"/>
            <w:noWrap/>
            <w:vAlign w:val="bottom"/>
            <w:hideMark/>
          </w:tcPr>
          <w:p w14:paraId="0FA06289" w14:textId="77777777" w:rsidR="001861DC" w:rsidRPr="00034F21" w:rsidRDefault="001861DC" w:rsidP="002E0516">
            <w:pPr>
              <w:jc w:val="center"/>
              <w:rPr>
                <w:rFonts w:ascii="Calibri" w:eastAsia="Times New Roman" w:hAnsi="Calibri" w:cs="Times New Roman"/>
                <w:color w:val="000000"/>
                <w:lang w:eastAsia="es-ES"/>
              </w:rPr>
            </w:pPr>
            <w:r w:rsidRPr="00034F21">
              <w:rPr>
                <w:rFonts w:ascii="Calibri" w:eastAsia="Times New Roman" w:hAnsi="Calibri" w:cs="Times New Roman"/>
                <w:color w:val="000000"/>
                <w:lang w:eastAsia="es-ES"/>
              </w:rPr>
              <w:t>31,30%</w:t>
            </w:r>
          </w:p>
        </w:tc>
      </w:tr>
      <w:tr w:rsidR="001861DC" w:rsidRPr="00034F21" w14:paraId="15D3C85C" w14:textId="77777777" w:rsidTr="002E0516">
        <w:trPr>
          <w:trHeight w:val="300"/>
          <w:jc w:val="center"/>
        </w:trPr>
        <w:tc>
          <w:tcPr>
            <w:tcW w:w="2760" w:type="dxa"/>
            <w:vMerge/>
            <w:tcBorders>
              <w:top w:val="single" w:sz="4" w:space="0" w:color="auto"/>
              <w:left w:val="nil"/>
              <w:bottom w:val="single" w:sz="4" w:space="0" w:color="000000"/>
              <w:right w:val="nil"/>
            </w:tcBorders>
            <w:vAlign w:val="center"/>
            <w:hideMark/>
          </w:tcPr>
          <w:p w14:paraId="30798054" w14:textId="77777777" w:rsidR="001861DC" w:rsidRPr="00034F21" w:rsidRDefault="001861DC" w:rsidP="002E0516">
            <w:pPr>
              <w:jc w:val="left"/>
              <w:rPr>
                <w:rFonts w:ascii="Calibri" w:eastAsia="Times New Roman" w:hAnsi="Calibri" w:cs="Times New Roman"/>
                <w:color w:val="000000"/>
                <w:lang w:eastAsia="es-ES"/>
              </w:rPr>
            </w:pPr>
          </w:p>
        </w:tc>
        <w:tc>
          <w:tcPr>
            <w:tcW w:w="3380" w:type="dxa"/>
            <w:tcBorders>
              <w:top w:val="nil"/>
              <w:left w:val="nil"/>
              <w:bottom w:val="single" w:sz="4" w:space="0" w:color="auto"/>
              <w:right w:val="nil"/>
            </w:tcBorders>
            <w:shd w:val="clear" w:color="auto" w:fill="auto"/>
            <w:noWrap/>
            <w:vAlign w:val="bottom"/>
            <w:hideMark/>
          </w:tcPr>
          <w:p w14:paraId="403CD59B" w14:textId="77777777" w:rsidR="001861DC" w:rsidRPr="00034F21" w:rsidRDefault="001861DC" w:rsidP="002E0516">
            <w:pPr>
              <w:jc w:val="left"/>
              <w:rPr>
                <w:rFonts w:ascii="Calibri" w:eastAsia="Times New Roman" w:hAnsi="Calibri" w:cs="Times New Roman"/>
                <w:color w:val="000000"/>
                <w:lang w:eastAsia="es-ES"/>
              </w:rPr>
            </w:pPr>
            <w:r w:rsidRPr="00034F21">
              <w:rPr>
                <w:rFonts w:ascii="Calibri" w:eastAsia="Times New Roman" w:hAnsi="Calibri" w:cs="Times New Roman"/>
                <w:color w:val="000000"/>
                <w:lang w:eastAsia="es-ES"/>
              </w:rPr>
              <w:t xml:space="preserve">Títulos de deuda pública interna </w:t>
            </w:r>
          </w:p>
        </w:tc>
        <w:tc>
          <w:tcPr>
            <w:tcW w:w="1200" w:type="dxa"/>
            <w:tcBorders>
              <w:top w:val="nil"/>
              <w:left w:val="nil"/>
              <w:bottom w:val="single" w:sz="4" w:space="0" w:color="auto"/>
              <w:right w:val="nil"/>
            </w:tcBorders>
            <w:shd w:val="clear" w:color="auto" w:fill="auto"/>
            <w:noWrap/>
            <w:vAlign w:val="bottom"/>
            <w:hideMark/>
          </w:tcPr>
          <w:p w14:paraId="78DB72E6" w14:textId="77777777" w:rsidR="001861DC" w:rsidRPr="00034F21" w:rsidRDefault="001861DC" w:rsidP="002E0516">
            <w:pPr>
              <w:jc w:val="center"/>
              <w:rPr>
                <w:rFonts w:ascii="Calibri" w:eastAsia="Times New Roman" w:hAnsi="Calibri" w:cs="Times New Roman"/>
                <w:color w:val="000000"/>
                <w:lang w:eastAsia="es-ES"/>
              </w:rPr>
            </w:pPr>
            <w:r w:rsidRPr="00034F21">
              <w:rPr>
                <w:rFonts w:ascii="Calibri" w:eastAsia="Times New Roman" w:hAnsi="Calibri" w:cs="Times New Roman"/>
                <w:color w:val="000000"/>
                <w:lang w:eastAsia="es-ES"/>
              </w:rPr>
              <w:t>1,40%</w:t>
            </w:r>
          </w:p>
        </w:tc>
      </w:tr>
      <w:tr w:rsidR="001861DC" w:rsidRPr="00034F21" w14:paraId="346D39BC" w14:textId="77777777" w:rsidTr="002E0516">
        <w:trPr>
          <w:trHeight w:val="300"/>
          <w:jc w:val="center"/>
        </w:trPr>
        <w:tc>
          <w:tcPr>
            <w:tcW w:w="2760" w:type="dxa"/>
            <w:vMerge/>
            <w:tcBorders>
              <w:top w:val="single" w:sz="4" w:space="0" w:color="auto"/>
              <w:left w:val="nil"/>
              <w:bottom w:val="single" w:sz="4" w:space="0" w:color="000000"/>
              <w:right w:val="nil"/>
            </w:tcBorders>
            <w:vAlign w:val="center"/>
            <w:hideMark/>
          </w:tcPr>
          <w:p w14:paraId="78BA2CFD" w14:textId="77777777" w:rsidR="001861DC" w:rsidRPr="00034F21" w:rsidRDefault="001861DC" w:rsidP="002E0516">
            <w:pPr>
              <w:jc w:val="left"/>
              <w:rPr>
                <w:rFonts w:ascii="Calibri" w:eastAsia="Times New Roman" w:hAnsi="Calibri" w:cs="Times New Roman"/>
                <w:color w:val="000000"/>
                <w:lang w:eastAsia="es-ES"/>
              </w:rPr>
            </w:pPr>
          </w:p>
        </w:tc>
        <w:tc>
          <w:tcPr>
            <w:tcW w:w="3380" w:type="dxa"/>
            <w:tcBorders>
              <w:top w:val="nil"/>
              <w:left w:val="nil"/>
              <w:bottom w:val="single" w:sz="4" w:space="0" w:color="auto"/>
              <w:right w:val="nil"/>
            </w:tcBorders>
            <w:shd w:val="clear" w:color="auto" w:fill="auto"/>
            <w:noWrap/>
            <w:vAlign w:val="bottom"/>
            <w:hideMark/>
          </w:tcPr>
          <w:p w14:paraId="195CCF43" w14:textId="77777777" w:rsidR="001861DC" w:rsidRPr="00034F21" w:rsidRDefault="001861DC" w:rsidP="002E0516">
            <w:pPr>
              <w:jc w:val="left"/>
              <w:rPr>
                <w:rFonts w:ascii="Calibri" w:eastAsia="Times New Roman" w:hAnsi="Calibri" w:cs="Times New Roman"/>
                <w:color w:val="000000"/>
                <w:lang w:eastAsia="es-ES"/>
              </w:rPr>
            </w:pPr>
            <w:r w:rsidRPr="00034F21">
              <w:rPr>
                <w:rFonts w:ascii="Calibri" w:eastAsia="Times New Roman" w:hAnsi="Calibri" w:cs="Times New Roman"/>
                <w:color w:val="000000"/>
                <w:lang w:eastAsia="es-ES"/>
              </w:rPr>
              <w:t xml:space="preserve">Total </w:t>
            </w:r>
          </w:p>
        </w:tc>
        <w:tc>
          <w:tcPr>
            <w:tcW w:w="1200" w:type="dxa"/>
            <w:tcBorders>
              <w:top w:val="nil"/>
              <w:left w:val="nil"/>
              <w:bottom w:val="single" w:sz="4" w:space="0" w:color="auto"/>
              <w:right w:val="nil"/>
            </w:tcBorders>
            <w:shd w:val="clear" w:color="auto" w:fill="auto"/>
            <w:noWrap/>
            <w:vAlign w:val="bottom"/>
            <w:hideMark/>
          </w:tcPr>
          <w:p w14:paraId="1887FFCE" w14:textId="77777777" w:rsidR="001861DC" w:rsidRPr="00034F21" w:rsidRDefault="001861DC" w:rsidP="002E0516">
            <w:pPr>
              <w:jc w:val="center"/>
              <w:rPr>
                <w:rFonts w:ascii="Calibri" w:eastAsia="Times New Roman" w:hAnsi="Calibri" w:cs="Times New Roman"/>
                <w:color w:val="000000"/>
                <w:lang w:eastAsia="es-ES"/>
              </w:rPr>
            </w:pPr>
            <w:r w:rsidRPr="00034F21">
              <w:rPr>
                <w:rFonts w:ascii="Calibri" w:eastAsia="Times New Roman" w:hAnsi="Calibri" w:cs="Times New Roman"/>
                <w:color w:val="000000"/>
                <w:lang w:eastAsia="es-ES"/>
              </w:rPr>
              <w:t>32,90%</w:t>
            </w:r>
          </w:p>
        </w:tc>
      </w:tr>
    </w:tbl>
    <w:p w14:paraId="5D4CA81A" w14:textId="77777777" w:rsidR="001861DC" w:rsidRDefault="001861DC" w:rsidP="001861DC">
      <w:pPr>
        <w:spacing w:after="160" w:line="259" w:lineRule="auto"/>
        <w:jc w:val="left"/>
      </w:pPr>
      <w:r>
        <w:tab/>
        <w:t>Fuente: Superintendencia Financiera de Colombia</w:t>
      </w:r>
    </w:p>
    <w:p w14:paraId="60D9E03C" w14:textId="77777777" w:rsidR="001861DC" w:rsidRPr="00492E6B" w:rsidRDefault="001861DC" w:rsidP="001861DC"/>
    <w:p w14:paraId="217C4221" w14:textId="77777777" w:rsidR="001861DC" w:rsidRPr="00F87C39" w:rsidRDefault="001861DC" w:rsidP="001861DC"/>
    <w:p w14:paraId="3701A7C8" w14:textId="77777777" w:rsidR="001861DC" w:rsidRDefault="001861DC" w:rsidP="001861DC">
      <w:pPr>
        <w:pStyle w:val="Ttulo2"/>
        <w:jc w:val="both"/>
      </w:pPr>
      <w:r>
        <w:t>Asociación Internacional de Organismos de Supervisión (AIOS)</w:t>
      </w:r>
    </w:p>
    <w:p w14:paraId="558E7B8C" w14:textId="77777777" w:rsidR="001861DC" w:rsidRDefault="001861DC" w:rsidP="001861DC">
      <w:pPr>
        <w:spacing w:after="160" w:line="259" w:lineRule="auto"/>
        <w:jc w:val="left"/>
      </w:pPr>
    </w:p>
    <w:p w14:paraId="5626862C" w14:textId="77777777" w:rsidR="001861DC" w:rsidRDefault="001861DC" w:rsidP="001861DC">
      <w:pPr>
        <w:spacing w:after="160" w:line="259" w:lineRule="auto"/>
      </w:pPr>
      <w:r>
        <w:t xml:space="preserve">La siguiente referencia es para los países del área, miembros de la AIOS. El siguiente cuadro detalla mediante una serie de simplificaciones en cada jurisdicción el concepto de deuda gubernamental y de un solo fondo que represente a todo su sistema, para ejemplificar los porcentajes en los portafolios. El Salvador es el que posee un porcentaje </w:t>
      </w:r>
      <w:r w:rsidRPr="00E31F11">
        <w:t>mayor</w:t>
      </w:r>
      <w:r>
        <w:t xml:space="preserve"> de estos instrumentos en su cartera con un 80,2%. Por su parte Panamá es el que menos tiene, con apenas un 10,5% de estos instrumentos. De la observación de los datos se desprende que la dispersión es amplia y no se podría concluir que existe una concentración típica entre las jurisdicciones. Sin embargo, desde nuestra óptica, nos ofrece elementos que colaboran con la validación de la razonabilidad de los límites en Costa Rica. </w:t>
      </w:r>
    </w:p>
    <w:p w14:paraId="1EF6176F" w14:textId="77777777" w:rsidR="001861DC" w:rsidRDefault="001861DC" w:rsidP="001861DC">
      <w:pPr>
        <w:spacing w:line="259" w:lineRule="auto"/>
        <w:jc w:val="center"/>
        <w:rPr>
          <w:b/>
        </w:rPr>
      </w:pPr>
    </w:p>
    <w:p w14:paraId="61EDC1CF" w14:textId="77777777" w:rsidR="001861DC" w:rsidRDefault="001861DC" w:rsidP="001861DC">
      <w:pPr>
        <w:spacing w:line="259" w:lineRule="auto"/>
        <w:jc w:val="center"/>
      </w:pPr>
      <w:r w:rsidRPr="000862DE">
        <w:rPr>
          <w:b/>
        </w:rPr>
        <w:t>AIOS:</w:t>
      </w:r>
      <w:r>
        <w:t xml:space="preserve"> Estadísticas de Portafolio</w:t>
      </w:r>
    </w:p>
    <w:p w14:paraId="7930FCC9" w14:textId="77777777" w:rsidR="001861DC" w:rsidRDefault="001861DC" w:rsidP="001861DC">
      <w:pPr>
        <w:jc w:val="center"/>
      </w:pPr>
    </w:p>
    <w:p w14:paraId="675E9C02" w14:textId="77777777" w:rsidR="001861DC" w:rsidRDefault="001861DC" w:rsidP="001861DC">
      <w:pPr>
        <w:jc w:val="center"/>
      </w:pPr>
      <w:r>
        <w:t>Porcentajes a junio 2015</w:t>
      </w:r>
    </w:p>
    <w:tbl>
      <w:tblPr>
        <w:tblW w:w="4483" w:type="dxa"/>
        <w:jc w:val="center"/>
        <w:tblCellMar>
          <w:left w:w="70" w:type="dxa"/>
          <w:right w:w="70" w:type="dxa"/>
        </w:tblCellMar>
        <w:tblLook w:val="04A0" w:firstRow="1" w:lastRow="0" w:firstColumn="1" w:lastColumn="0" w:noHBand="0" w:noVBand="1"/>
      </w:tblPr>
      <w:tblGrid>
        <w:gridCol w:w="2192"/>
        <w:gridCol w:w="2291"/>
      </w:tblGrid>
      <w:tr w:rsidR="001861DC" w:rsidRPr="000862DE" w14:paraId="7F42828C" w14:textId="77777777" w:rsidTr="002E0516">
        <w:trPr>
          <w:trHeight w:val="600"/>
          <w:jc w:val="center"/>
        </w:trPr>
        <w:tc>
          <w:tcPr>
            <w:tcW w:w="2192" w:type="dxa"/>
            <w:tcBorders>
              <w:top w:val="single" w:sz="4" w:space="0" w:color="auto"/>
              <w:left w:val="nil"/>
              <w:bottom w:val="single" w:sz="4" w:space="0" w:color="auto"/>
              <w:right w:val="nil"/>
            </w:tcBorders>
            <w:shd w:val="clear" w:color="auto" w:fill="auto"/>
            <w:vAlign w:val="center"/>
            <w:hideMark/>
          </w:tcPr>
          <w:p w14:paraId="3393F5A2" w14:textId="77777777" w:rsidR="001861DC" w:rsidRPr="000862DE" w:rsidRDefault="001861DC" w:rsidP="002E0516">
            <w:pPr>
              <w:jc w:val="center"/>
              <w:rPr>
                <w:rFonts w:ascii="Calibri" w:eastAsia="Times New Roman" w:hAnsi="Calibri" w:cs="Times New Roman"/>
                <w:b/>
                <w:bCs/>
                <w:color w:val="000000"/>
                <w:lang w:eastAsia="es-ES"/>
              </w:rPr>
            </w:pPr>
            <w:r w:rsidRPr="000862DE">
              <w:rPr>
                <w:rFonts w:ascii="Calibri" w:eastAsia="Times New Roman" w:hAnsi="Calibri" w:cs="Times New Roman"/>
                <w:b/>
                <w:bCs/>
                <w:color w:val="000000"/>
                <w:lang w:eastAsia="es-ES"/>
              </w:rPr>
              <w:t>País</w:t>
            </w:r>
          </w:p>
        </w:tc>
        <w:tc>
          <w:tcPr>
            <w:tcW w:w="2291" w:type="dxa"/>
            <w:tcBorders>
              <w:top w:val="single" w:sz="4" w:space="0" w:color="auto"/>
              <w:left w:val="nil"/>
              <w:bottom w:val="single" w:sz="4" w:space="0" w:color="auto"/>
              <w:right w:val="nil"/>
            </w:tcBorders>
            <w:shd w:val="clear" w:color="auto" w:fill="auto"/>
            <w:vAlign w:val="center"/>
            <w:hideMark/>
          </w:tcPr>
          <w:p w14:paraId="4E4319D3" w14:textId="77777777" w:rsidR="001861DC" w:rsidRPr="000862DE" w:rsidRDefault="001861DC" w:rsidP="002E0516">
            <w:pPr>
              <w:jc w:val="center"/>
              <w:rPr>
                <w:rFonts w:ascii="Calibri" w:eastAsia="Times New Roman" w:hAnsi="Calibri" w:cs="Times New Roman"/>
                <w:b/>
                <w:bCs/>
                <w:color w:val="000000"/>
                <w:lang w:eastAsia="es-ES"/>
              </w:rPr>
            </w:pPr>
            <w:r w:rsidRPr="000862DE">
              <w:rPr>
                <w:rFonts w:ascii="Calibri" w:eastAsia="Times New Roman" w:hAnsi="Calibri" w:cs="Times New Roman"/>
                <w:b/>
                <w:bCs/>
                <w:color w:val="000000"/>
                <w:lang w:eastAsia="es-ES"/>
              </w:rPr>
              <w:t>Deuda Gubern</w:t>
            </w:r>
            <w:r>
              <w:rPr>
                <w:rFonts w:ascii="Calibri" w:eastAsia="Times New Roman" w:hAnsi="Calibri" w:cs="Times New Roman"/>
                <w:b/>
                <w:bCs/>
                <w:color w:val="000000"/>
                <w:lang w:eastAsia="es-ES"/>
              </w:rPr>
              <w:t>a</w:t>
            </w:r>
            <w:r w:rsidRPr="000862DE">
              <w:rPr>
                <w:rFonts w:ascii="Calibri" w:eastAsia="Times New Roman" w:hAnsi="Calibri" w:cs="Times New Roman"/>
                <w:b/>
                <w:bCs/>
                <w:color w:val="000000"/>
                <w:lang w:eastAsia="es-ES"/>
              </w:rPr>
              <w:t>mental</w:t>
            </w:r>
          </w:p>
        </w:tc>
      </w:tr>
      <w:tr w:rsidR="001861DC" w:rsidRPr="000862DE" w14:paraId="7658B174" w14:textId="77777777" w:rsidTr="002E0516">
        <w:trPr>
          <w:trHeight w:val="300"/>
          <w:jc w:val="center"/>
        </w:trPr>
        <w:tc>
          <w:tcPr>
            <w:tcW w:w="2192" w:type="dxa"/>
            <w:tcBorders>
              <w:top w:val="nil"/>
              <w:left w:val="nil"/>
              <w:bottom w:val="nil"/>
              <w:right w:val="nil"/>
            </w:tcBorders>
            <w:shd w:val="clear" w:color="auto" w:fill="auto"/>
            <w:noWrap/>
            <w:vAlign w:val="bottom"/>
            <w:hideMark/>
          </w:tcPr>
          <w:p w14:paraId="35973F54" w14:textId="77777777" w:rsidR="001861DC" w:rsidRPr="000862DE" w:rsidRDefault="001861DC" w:rsidP="002E0516">
            <w:pPr>
              <w:jc w:val="left"/>
              <w:rPr>
                <w:rFonts w:ascii="Calibri" w:eastAsia="Times New Roman" w:hAnsi="Calibri" w:cs="Times New Roman"/>
                <w:color w:val="000000"/>
                <w:lang w:eastAsia="es-ES"/>
              </w:rPr>
            </w:pPr>
            <w:r w:rsidRPr="000862DE">
              <w:rPr>
                <w:rFonts w:ascii="Calibri" w:eastAsia="Times New Roman" w:hAnsi="Calibri" w:cs="Times New Roman"/>
                <w:color w:val="000000"/>
                <w:lang w:eastAsia="es-ES"/>
              </w:rPr>
              <w:t>El Salvador</w:t>
            </w:r>
          </w:p>
        </w:tc>
        <w:tc>
          <w:tcPr>
            <w:tcW w:w="2291" w:type="dxa"/>
            <w:tcBorders>
              <w:top w:val="nil"/>
              <w:left w:val="nil"/>
              <w:bottom w:val="nil"/>
              <w:right w:val="nil"/>
            </w:tcBorders>
            <w:shd w:val="clear" w:color="auto" w:fill="auto"/>
            <w:noWrap/>
            <w:vAlign w:val="bottom"/>
            <w:hideMark/>
          </w:tcPr>
          <w:p w14:paraId="066546C5" w14:textId="77777777" w:rsidR="001861DC" w:rsidRPr="000862DE" w:rsidRDefault="001861DC" w:rsidP="002E0516">
            <w:pPr>
              <w:jc w:val="center"/>
              <w:rPr>
                <w:rFonts w:ascii="Calibri" w:eastAsia="Times New Roman" w:hAnsi="Calibri" w:cs="Times New Roman"/>
                <w:color w:val="000000"/>
                <w:lang w:eastAsia="es-ES"/>
              </w:rPr>
            </w:pPr>
            <w:r w:rsidRPr="000862DE">
              <w:rPr>
                <w:rFonts w:ascii="Calibri" w:eastAsia="Times New Roman" w:hAnsi="Calibri" w:cs="Times New Roman"/>
                <w:color w:val="000000"/>
                <w:lang w:eastAsia="es-ES"/>
              </w:rPr>
              <w:t>80,2</w:t>
            </w:r>
          </w:p>
        </w:tc>
      </w:tr>
      <w:tr w:rsidR="001861DC" w:rsidRPr="000862DE" w14:paraId="64EC82DE" w14:textId="77777777" w:rsidTr="002E0516">
        <w:trPr>
          <w:trHeight w:val="300"/>
          <w:jc w:val="center"/>
        </w:trPr>
        <w:tc>
          <w:tcPr>
            <w:tcW w:w="2192" w:type="dxa"/>
            <w:tcBorders>
              <w:top w:val="nil"/>
              <w:left w:val="nil"/>
              <w:bottom w:val="nil"/>
              <w:right w:val="nil"/>
            </w:tcBorders>
            <w:shd w:val="clear" w:color="auto" w:fill="auto"/>
            <w:noWrap/>
            <w:vAlign w:val="bottom"/>
            <w:hideMark/>
          </w:tcPr>
          <w:p w14:paraId="439CB0B1" w14:textId="77777777" w:rsidR="001861DC" w:rsidRPr="000862DE" w:rsidRDefault="001861DC" w:rsidP="002E0516">
            <w:pPr>
              <w:jc w:val="left"/>
              <w:rPr>
                <w:rFonts w:ascii="Calibri" w:eastAsia="Times New Roman" w:hAnsi="Calibri" w:cs="Times New Roman"/>
                <w:color w:val="000000"/>
                <w:lang w:eastAsia="es-ES"/>
              </w:rPr>
            </w:pPr>
            <w:r>
              <w:rPr>
                <w:rFonts w:ascii="Calibri" w:eastAsia="Times New Roman" w:hAnsi="Calibri" w:cs="Times New Roman"/>
                <w:color w:val="000000"/>
                <w:lang w:eastAsia="es-ES"/>
              </w:rPr>
              <w:t>República</w:t>
            </w:r>
            <w:r w:rsidRPr="000862DE">
              <w:rPr>
                <w:rFonts w:ascii="Calibri" w:eastAsia="Times New Roman" w:hAnsi="Calibri" w:cs="Times New Roman"/>
                <w:color w:val="000000"/>
                <w:lang w:eastAsia="es-ES"/>
              </w:rPr>
              <w:t xml:space="preserve"> Dominicana </w:t>
            </w:r>
          </w:p>
        </w:tc>
        <w:tc>
          <w:tcPr>
            <w:tcW w:w="2291" w:type="dxa"/>
            <w:tcBorders>
              <w:top w:val="nil"/>
              <w:left w:val="nil"/>
              <w:bottom w:val="nil"/>
              <w:right w:val="nil"/>
            </w:tcBorders>
            <w:shd w:val="clear" w:color="auto" w:fill="auto"/>
            <w:noWrap/>
            <w:vAlign w:val="bottom"/>
            <w:hideMark/>
          </w:tcPr>
          <w:p w14:paraId="6D335263" w14:textId="77777777" w:rsidR="001861DC" w:rsidRPr="000862DE" w:rsidRDefault="001861DC" w:rsidP="002E0516">
            <w:pPr>
              <w:jc w:val="center"/>
              <w:rPr>
                <w:rFonts w:ascii="Calibri" w:eastAsia="Times New Roman" w:hAnsi="Calibri" w:cs="Times New Roman"/>
                <w:color w:val="000000"/>
                <w:lang w:eastAsia="es-ES"/>
              </w:rPr>
            </w:pPr>
            <w:r w:rsidRPr="000862DE">
              <w:rPr>
                <w:rFonts w:ascii="Calibri" w:eastAsia="Times New Roman" w:hAnsi="Calibri" w:cs="Times New Roman"/>
                <w:color w:val="000000"/>
                <w:lang w:eastAsia="es-ES"/>
              </w:rPr>
              <w:t>66,9</w:t>
            </w:r>
          </w:p>
        </w:tc>
      </w:tr>
      <w:tr w:rsidR="001861DC" w:rsidRPr="000862DE" w14:paraId="29D07529" w14:textId="77777777" w:rsidTr="002E0516">
        <w:trPr>
          <w:trHeight w:val="300"/>
          <w:jc w:val="center"/>
        </w:trPr>
        <w:tc>
          <w:tcPr>
            <w:tcW w:w="2192" w:type="dxa"/>
            <w:tcBorders>
              <w:top w:val="nil"/>
              <w:left w:val="nil"/>
              <w:bottom w:val="nil"/>
              <w:right w:val="nil"/>
            </w:tcBorders>
            <w:shd w:val="clear" w:color="auto" w:fill="auto"/>
            <w:noWrap/>
            <w:vAlign w:val="bottom"/>
            <w:hideMark/>
          </w:tcPr>
          <w:p w14:paraId="606575DC" w14:textId="77777777" w:rsidR="001861DC" w:rsidRPr="000862DE" w:rsidRDefault="001861DC" w:rsidP="002E0516">
            <w:pPr>
              <w:jc w:val="left"/>
              <w:rPr>
                <w:rFonts w:ascii="Calibri" w:eastAsia="Times New Roman" w:hAnsi="Calibri" w:cs="Times New Roman"/>
                <w:color w:val="000000"/>
                <w:lang w:eastAsia="es-ES"/>
              </w:rPr>
            </w:pPr>
            <w:r w:rsidRPr="000862DE">
              <w:rPr>
                <w:rFonts w:ascii="Calibri" w:eastAsia="Times New Roman" w:hAnsi="Calibri" w:cs="Times New Roman"/>
                <w:color w:val="000000"/>
                <w:lang w:eastAsia="es-ES"/>
              </w:rPr>
              <w:t xml:space="preserve">Costa Rica </w:t>
            </w:r>
          </w:p>
        </w:tc>
        <w:tc>
          <w:tcPr>
            <w:tcW w:w="2291" w:type="dxa"/>
            <w:tcBorders>
              <w:top w:val="nil"/>
              <w:left w:val="nil"/>
              <w:bottom w:val="nil"/>
              <w:right w:val="nil"/>
            </w:tcBorders>
            <w:shd w:val="clear" w:color="auto" w:fill="auto"/>
            <w:noWrap/>
            <w:vAlign w:val="bottom"/>
            <w:hideMark/>
          </w:tcPr>
          <w:p w14:paraId="2F675263" w14:textId="77777777" w:rsidR="001861DC" w:rsidRPr="000862DE" w:rsidRDefault="001861DC" w:rsidP="002E0516">
            <w:pPr>
              <w:jc w:val="center"/>
              <w:rPr>
                <w:rFonts w:ascii="Calibri" w:eastAsia="Times New Roman" w:hAnsi="Calibri" w:cs="Times New Roman"/>
                <w:color w:val="000000"/>
                <w:lang w:eastAsia="es-ES"/>
              </w:rPr>
            </w:pPr>
            <w:r w:rsidRPr="000862DE">
              <w:rPr>
                <w:rFonts w:ascii="Calibri" w:eastAsia="Times New Roman" w:hAnsi="Calibri" w:cs="Times New Roman"/>
                <w:color w:val="000000"/>
                <w:lang w:eastAsia="es-ES"/>
              </w:rPr>
              <w:t>64,7</w:t>
            </w:r>
          </w:p>
        </w:tc>
      </w:tr>
      <w:tr w:rsidR="001861DC" w:rsidRPr="000862DE" w14:paraId="46B7200D" w14:textId="77777777" w:rsidTr="002E0516">
        <w:trPr>
          <w:trHeight w:val="300"/>
          <w:jc w:val="center"/>
        </w:trPr>
        <w:tc>
          <w:tcPr>
            <w:tcW w:w="2192" w:type="dxa"/>
            <w:tcBorders>
              <w:top w:val="nil"/>
              <w:left w:val="nil"/>
              <w:bottom w:val="nil"/>
              <w:right w:val="nil"/>
            </w:tcBorders>
            <w:shd w:val="clear" w:color="auto" w:fill="auto"/>
            <w:noWrap/>
            <w:vAlign w:val="bottom"/>
            <w:hideMark/>
          </w:tcPr>
          <w:p w14:paraId="3D2B6D87" w14:textId="77777777" w:rsidR="001861DC" w:rsidRPr="000862DE" w:rsidRDefault="001861DC" w:rsidP="002E0516">
            <w:pPr>
              <w:jc w:val="left"/>
              <w:rPr>
                <w:rFonts w:ascii="Calibri" w:eastAsia="Times New Roman" w:hAnsi="Calibri" w:cs="Times New Roman"/>
                <w:color w:val="000000"/>
                <w:lang w:eastAsia="es-ES"/>
              </w:rPr>
            </w:pPr>
            <w:r w:rsidRPr="000862DE">
              <w:rPr>
                <w:rFonts w:ascii="Calibri" w:eastAsia="Times New Roman" w:hAnsi="Calibri" w:cs="Times New Roman"/>
                <w:color w:val="000000"/>
                <w:lang w:eastAsia="es-ES"/>
              </w:rPr>
              <w:t>Uruguay</w:t>
            </w:r>
          </w:p>
        </w:tc>
        <w:tc>
          <w:tcPr>
            <w:tcW w:w="2291" w:type="dxa"/>
            <w:tcBorders>
              <w:top w:val="nil"/>
              <w:left w:val="nil"/>
              <w:bottom w:val="nil"/>
              <w:right w:val="nil"/>
            </w:tcBorders>
            <w:shd w:val="clear" w:color="auto" w:fill="auto"/>
            <w:noWrap/>
            <w:vAlign w:val="bottom"/>
            <w:hideMark/>
          </w:tcPr>
          <w:p w14:paraId="4615A065" w14:textId="77777777" w:rsidR="001861DC" w:rsidRPr="000862DE" w:rsidRDefault="001861DC" w:rsidP="002E0516">
            <w:pPr>
              <w:jc w:val="center"/>
              <w:rPr>
                <w:rFonts w:ascii="Calibri" w:eastAsia="Times New Roman" w:hAnsi="Calibri" w:cs="Times New Roman"/>
                <w:color w:val="000000"/>
                <w:lang w:eastAsia="es-ES"/>
              </w:rPr>
            </w:pPr>
            <w:r w:rsidRPr="000862DE">
              <w:rPr>
                <w:rFonts w:ascii="Calibri" w:eastAsia="Times New Roman" w:hAnsi="Calibri" w:cs="Times New Roman"/>
                <w:color w:val="000000"/>
                <w:lang w:eastAsia="es-ES"/>
              </w:rPr>
              <w:t>64,2</w:t>
            </w:r>
          </w:p>
        </w:tc>
      </w:tr>
      <w:tr w:rsidR="001861DC" w:rsidRPr="000862DE" w14:paraId="4525C3C9" w14:textId="77777777" w:rsidTr="002E0516">
        <w:trPr>
          <w:trHeight w:val="300"/>
          <w:jc w:val="center"/>
        </w:trPr>
        <w:tc>
          <w:tcPr>
            <w:tcW w:w="2192" w:type="dxa"/>
            <w:tcBorders>
              <w:top w:val="nil"/>
              <w:left w:val="nil"/>
              <w:bottom w:val="nil"/>
              <w:right w:val="nil"/>
            </w:tcBorders>
            <w:shd w:val="clear" w:color="auto" w:fill="auto"/>
            <w:noWrap/>
            <w:vAlign w:val="bottom"/>
            <w:hideMark/>
          </w:tcPr>
          <w:p w14:paraId="7A5578FF" w14:textId="77777777" w:rsidR="001861DC" w:rsidRPr="000862DE" w:rsidRDefault="001861DC" w:rsidP="002E0516">
            <w:pPr>
              <w:jc w:val="left"/>
              <w:rPr>
                <w:rFonts w:ascii="Calibri" w:eastAsia="Times New Roman" w:hAnsi="Calibri" w:cs="Times New Roman"/>
                <w:color w:val="000000"/>
                <w:lang w:eastAsia="es-ES"/>
              </w:rPr>
            </w:pPr>
            <w:r w:rsidRPr="000862DE">
              <w:rPr>
                <w:rFonts w:ascii="Calibri" w:eastAsia="Times New Roman" w:hAnsi="Calibri" w:cs="Times New Roman"/>
                <w:color w:val="000000"/>
                <w:lang w:eastAsia="es-ES"/>
              </w:rPr>
              <w:t xml:space="preserve">México </w:t>
            </w:r>
          </w:p>
        </w:tc>
        <w:tc>
          <w:tcPr>
            <w:tcW w:w="2291" w:type="dxa"/>
            <w:tcBorders>
              <w:top w:val="nil"/>
              <w:left w:val="nil"/>
              <w:bottom w:val="nil"/>
              <w:right w:val="nil"/>
            </w:tcBorders>
            <w:shd w:val="clear" w:color="auto" w:fill="auto"/>
            <w:noWrap/>
            <w:vAlign w:val="bottom"/>
            <w:hideMark/>
          </w:tcPr>
          <w:p w14:paraId="3C0FCC84" w14:textId="77777777" w:rsidR="001861DC" w:rsidRPr="000862DE" w:rsidRDefault="001861DC" w:rsidP="002E0516">
            <w:pPr>
              <w:jc w:val="center"/>
              <w:rPr>
                <w:rFonts w:ascii="Calibri" w:eastAsia="Times New Roman" w:hAnsi="Calibri" w:cs="Times New Roman"/>
                <w:color w:val="000000"/>
                <w:lang w:eastAsia="es-ES"/>
              </w:rPr>
            </w:pPr>
            <w:r w:rsidRPr="000862DE">
              <w:rPr>
                <w:rFonts w:ascii="Calibri" w:eastAsia="Times New Roman" w:hAnsi="Calibri" w:cs="Times New Roman"/>
                <w:color w:val="000000"/>
                <w:lang w:eastAsia="es-ES"/>
              </w:rPr>
              <w:t>51,1</w:t>
            </w:r>
          </w:p>
        </w:tc>
      </w:tr>
      <w:tr w:rsidR="001861DC" w:rsidRPr="000862DE" w14:paraId="265A98CA" w14:textId="77777777" w:rsidTr="002E0516">
        <w:trPr>
          <w:trHeight w:val="300"/>
          <w:jc w:val="center"/>
        </w:trPr>
        <w:tc>
          <w:tcPr>
            <w:tcW w:w="2192" w:type="dxa"/>
            <w:tcBorders>
              <w:top w:val="nil"/>
              <w:left w:val="nil"/>
              <w:bottom w:val="nil"/>
              <w:right w:val="nil"/>
            </w:tcBorders>
            <w:shd w:val="clear" w:color="auto" w:fill="auto"/>
            <w:noWrap/>
            <w:vAlign w:val="bottom"/>
            <w:hideMark/>
          </w:tcPr>
          <w:p w14:paraId="54D4DC12" w14:textId="77777777" w:rsidR="001861DC" w:rsidRPr="000862DE" w:rsidRDefault="001861DC" w:rsidP="002E0516">
            <w:pPr>
              <w:jc w:val="left"/>
              <w:rPr>
                <w:rFonts w:ascii="Calibri" w:eastAsia="Times New Roman" w:hAnsi="Calibri" w:cs="Times New Roman"/>
                <w:color w:val="000000"/>
                <w:lang w:eastAsia="es-ES"/>
              </w:rPr>
            </w:pPr>
            <w:r w:rsidRPr="000862DE">
              <w:rPr>
                <w:rFonts w:ascii="Calibri" w:eastAsia="Times New Roman" w:hAnsi="Calibri" w:cs="Times New Roman"/>
                <w:color w:val="000000"/>
                <w:lang w:eastAsia="es-ES"/>
              </w:rPr>
              <w:t xml:space="preserve">Colombia </w:t>
            </w:r>
          </w:p>
        </w:tc>
        <w:tc>
          <w:tcPr>
            <w:tcW w:w="2291" w:type="dxa"/>
            <w:tcBorders>
              <w:top w:val="nil"/>
              <w:left w:val="nil"/>
              <w:bottom w:val="nil"/>
              <w:right w:val="nil"/>
            </w:tcBorders>
            <w:shd w:val="clear" w:color="auto" w:fill="auto"/>
            <w:noWrap/>
            <w:vAlign w:val="bottom"/>
            <w:hideMark/>
          </w:tcPr>
          <w:p w14:paraId="050B8784" w14:textId="77777777" w:rsidR="001861DC" w:rsidRPr="000862DE" w:rsidRDefault="001861DC" w:rsidP="002E0516">
            <w:pPr>
              <w:jc w:val="center"/>
              <w:rPr>
                <w:rFonts w:ascii="Calibri" w:eastAsia="Times New Roman" w:hAnsi="Calibri" w:cs="Times New Roman"/>
                <w:color w:val="000000"/>
                <w:lang w:eastAsia="es-ES"/>
              </w:rPr>
            </w:pPr>
            <w:r w:rsidRPr="000862DE">
              <w:rPr>
                <w:rFonts w:ascii="Calibri" w:eastAsia="Times New Roman" w:hAnsi="Calibri" w:cs="Times New Roman"/>
                <w:color w:val="000000"/>
                <w:lang w:eastAsia="es-ES"/>
              </w:rPr>
              <w:t>36,1</w:t>
            </w:r>
          </w:p>
        </w:tc>
      </w:tr>
      <w:tr w:rsidR="001861DC" w:rsidRPr="000862DE" w14:paraId="6BAA8D93" w14:textId="77777777" w:rsidTr="002E0516">
        <w:trPr>
          <w:trHeight w:val="300"/>
          <w:jc w:val="center"/>
        </w:trPr>
        <w:tc>
          <w:tcPr>
            <w:tcW w:w="2192" w:type="dxa"/>
            <w:tcBorders>
              <w:top w:val="nil"/>
              <w:left w:val="nil"/>
              <w:bottom w:val="nil"/>
              <w:right w:val="nil"/>
            </w:tcBorders>
            <w:shd w:val="clear" w:color="auto" w:fill="auto"/>
            <w:noWrap/>
            <w:vAlign w:val="bottom"/>
            <w:hideMark/>
          </w:tcPr>
          <w:p w14:paraId="7CA43BF2" w14:textId="77777777" w:rsidR="001861DC" w:rsidRPr="000862DE" w:rsidRDefault="001861DC" w:rsidP="002E0516">
            <w:pPr>
              <w:jc w:val="left"/>
              <w:rPr>
                <w:rFonts w:ascii="Calibri" w:eastAsia="Times New Roman" w:hAnsi="Calibri" w:cs="Times New Roman"/>
                <w:color w:val="000000"/>
                <w:lang w:eastAsia="es-ES"/>
              </w:rPr>
            </w:pPr>
            <w:r w:rsidRPr="000862DE">
              <w:rPr>
                <w:rFonts w:ascii="Calibri" w:eastAsia="Times New Roman" w:hAnsi="Calibri" w:cs="Times New Roman"/>
                <w:color w:val="000000"/>
                <w:lang w:eastAsia="es-ES"/>
              </w:rPr>
              <w:t xml:space="preserve">Chile </w:t>
            </w:r>
          </w:p>
        </w:tc>
        <w:tc>
          <w:tcPr>
            <w:tcW w:w="2291" w:type="dxa"/>
            <w:tcBorders>
              <w:top w:val="nil"/>
              <w:left w:val="nil"/>
              <w:bottom w:val="nil"/>
              <w:right w:val="nil"/>
            </w:tcBorders>
            <w:shd w:val="clear" w:color="auto" w:fill="auto"/>
            <w:noWrap/>
            <w:vAlign w:val="bottom"/>
            <w:hideMark/>
          </w:tcPr>
          <w:p w14:paraId="439CA674" w14:textId="77777777" w:rsidR="001861DC" w:rsidRPr="000862DE" w:rsidRDefault="001861DC" w:rsidP="002E0516">
            <w:pPr>
              <w:jc w:val="center"/>
              <w:rPr>
                <w:rFonts w:ascii="Calibri" w:eastAsia="Times New Roman" w:hAnsi="Calibri" w:cs="Times New Roman"/>
                <w:color w:val="000000"/>
                <w:lang w:eastAsia="es-ES"/>
              </w:rPr>
            </w:pPr>
            <w:r w:rsidRPr="000862DE">
              <w:rPr>
                <w:rFonts w:ascii="Calibri" w:eastAsia="Times New Roman" w:hAnsi="Calibri" w:cs="Times New Roman"/>
                <w:color w:val="000000"/>
                <w:lang w:eastAsia="es-ES"/>
              </w:rPr>
              <w:t>22,2</w:t>
            </w:r>
          </w:p>
        </w:tc>
      </w:tr>
      <w:tr w:rsidR="001861DC" w:rsidRPr="000862DE" w14:paraId="4883CEFA" w14:textId="77777777" w:rsidTr="002E0516">
        <w:trPr>
          <w:trHeight w:val="300"/>
          <w:jc w:val="center"/>
        </w:trPr>
        <w:tc>
          <w:tcPr>
            <w:tcW w:w="2192" w:type="dxa"/>
            <w:tcBorders>
              <w:top w:val="nil"/>
              <w:left w:val="nil"/>
              <w:bottom w:val="nil"/>
              <w:right w:val="nil"/>
            </w:tcBorders>
            <w:shd w:val="clear" w:color="auto" w:fill="auto"/>
            <w:noWrap/>
            <w:vAlign w:val="bottom"/>
            <w:hideMark/>
          </w:tcPr>
          <w:p w14:paraId="09062DA7" w14:textId="77777777" w:rsidR="001861DC" w:rsidRPr="000862DE" w:rsidRDefault="001861DC" w:rsidP="002E0516">
            <w:pPr>
              <w:jc w:val="left"/>
              <w:rPr>
                <w:rFonts w:ascii="Calibri" w:eastAsia="Times New Roman" w:hAnsi="Calibri" w:cs="Times New Roman"/>
                <w:color w:val="000000"/>
                <w:lang w:eastAsia="es-ES"/>
              </w:rPr>
            </w:pPr>
            <w:r w:rsidRPr="000862DE">
              <w:rPr>
                <w:rFonts w:ascii="Calibri" w:eastAsia="Times New Roman" w:hAnsi="Calibri" w:cs="Times New Roman"/>
                <w:color w:val="000000"/>
                <w:lang w:eastAsia="es-ES"/>
              </w:rPr>
              <w:t>Perú</w:t>
            </w:r>
          </w:p>
        </w:tc>
        <w:tc>
          <w:tcPr>
            <w:tcW w:w="2291" w:type="dxa"/>
            <w:tcBorders>
              <w:top w:val="nil"/>
              <w:left w:val="nil"/>
              <w:bottom w:val="nil"/>
              <w:right w:val="nil"/>
            </w:tcBorders>
            <w:shd w:val="clear" w:color="auto" w:fill="auto"/>
            <w:noWrap/>
            <w:vAlign w:val="bottom"/>
            <w:hideMark/>
          </w:tcPr>
          <w:p w14:paraId="4D120CD9" w14:textId="77777777" w:rsidR="001861DC" w:rsidRPr="000862DE" w:rsidRDefault="001861DC" w:rsidP="002E0516">
            <w:pPr>
              <w:jc w:val="center"/>
              <w:rPr>
                <w:rFonts w:ascii="Calibri" w:eastAsia="Times New Roman" w:hAnsi="Calibri" w:cs="Times New Roman"/>
                <w:color w:val="000000"/>
                <w:lang w:eastAsia="es-ES"/>
              </w:rPr>
            </w:pPr>
            <w:r w:rsidRPr="000862DE">
              <w:rPr>
                <w:rFonts w:ascii="Calibri" w:eastAsia="Times New Roman" w:hAnsi="Calibri" w:cs="Times New Roman"/>
                <w:color w:val="000000"/>
                <w:lang w:eastAsia="es-ES"/>
              </w:rPr>
              <w:t>18,0</w:t>
            </w:r>
          </w:p>
        </w:tc>
      </w:tr>
      <w:tr w:rsidR="001861DC" w:rsidRPr="000862DE" w14:paraId="142327EA" w14:textId="77777777" w:rsidTr="002E0516">
        <w:trPr>
          <w:trHeight w:val="300"/>
          <w:jc w:val="center"/>
        </w:trPr>
        <w:tc>
          <w:tcPr>
            <w:tcW w:w="2192" w:type="dxa"/>
            <w:tcBorders>
              <w:top w:val="nil"/>
              <w:left w:val="nil"/>
              <w:bottom w:val="single" w:sz="4" w:space="0" w:color="auto"/>
              <w:right w:val="nil"/>
            </w:tcBorders>
            <w:shd w:val="clear" w:color="auto" w:fill="auto"/>
            <w:noWrap/>
            <w:vAlign w:val="bottom"/>
            <w:hideMark/>
          </w:tcPr>
          <w:p w14:paraId="03A8271D" w14:textId="77777777" w:rsidR="001861DC" w:rsidRPr="000862DE" w:rsidRDefault="001861DC" w:rsidP="002E0516">
            <w:pPr>
              <w:jc w:val="left"/>
              <w:rPr>
                <w:rFonts w:ascii="Calibri" w:eastAsia="Times New Roman" w:hAnsi="Calibri" w:cs="Times New Roman"/>
                <w:color w:val="000000"/>
                <w:lang w:eastAsia="es-ES"/>
              </w:rPr>
            </w:pPr>
            <w:r w:rsidRPr="000862DE">
              <w:rPr>
                <w:rFonts w:ascii="Calibri" w:eastAsia="Times New Roman" w:hAnsi="Calibri" w:cs="Times New Roman"/>
                <w:color w:val="000000"/>
                <w:lang w:eastAsia="es-ES"/>
              </w:rPr>
              <w:t>Panamá</w:t>
            </w:r>
          </w:p>
        </w:tc>
        <w:tc>
          <w:tcPr>
            <w:tcW w:w="2291" w:type="dxa"/>
            <w:tcBorders>
              <w:top w:val="nil"/>
              <w:left w:val="nil"/>
              <w:bottom w:val="single" w:sz="4" w:space="0" w:color="auto"/>
              <w:right w:val="nil"/>
            </w:tcBorders>
            <w:shd w:val="clear" w:color="auto" w:fill="auto"/>
            <w:noWrap/>
            <w:vAlign w:val="bottom"/>
            <w:hideMark/>
          </w:tcPr>
          <w:p w14:paraId="64F1324A" w14:textId="77777777" w:rsidR="001861DC" w:rsidRPr="000862DE" w:rsidRDefault="001861DC" w:rsidP="002E0516">
            <w:pPr>
              <w:jc w:val="center"/>
              <w:rPr>
                <w:rFonts w:ascii="Calibri" w:eastAsia="Times New Roman" w:hAnsi="Calibri" w:cs="Times New Roman"/>
                <w:color w:val="000000"/>
                <w:lang w:eastAsia="es-ES"/>
              </w:rPr>
            </w:pPr>
            <w:r w:rsidRPr="000862DE">
              <w:rPr>
                <w:rFonts w:ascii="Calibri" w:eastAsia="Times New Roman" w:hAnsi="Calibri" w:cs="Times New Roman"/>
                <w:color w:val="000000"/>
                <w:lang w:eastAsia="es-ES"/>
              </w:rPr>
              <w:t>10,5</w:t>
            </w:r>
          </w:p>
        </w:tc>
      </w:tr>
    </w:tbl>
    <w:p w14:paraId="23BEE61F" w14:textId="77777777" w:rsidR="001861DC" w:rsidRPr="00A43E8C" w:rsidRDefault="001861DC" w:rsidP="001861DC">
      <w:pPr>
        <w:spacing w:after="160" w:line="259" w:lineRule="auto"/>
        <w:jc w:val="left"/>
        <w:rPr>
          <w:sz w:val="18"/>
          <w:szCs w:val="18"/>
        </w:rPr>
      </w:pPr>
      <w:r>
        <w:tab/>
      </w:r>
      <w:r>
        <w:tab/>
      </w:r>
      <w:r>
        <w:tab/>
      </w:r>
      <w:r w:rsidRPr="00A43E8C">
        <w:rPr>
          <w:sz w:val="18"/>
          <w:szCs w:val="18"/>
        </w:rPr>
        <w:t>Fuente: AIOS</w:t>
      </w:r>
    </w:p>
    <w:p w14:paraId="6D8EE9E2" w14:textId="77777777" w:rsidR="001861DC" w:rsidRPr="00492E6B" w:rsidRDefault="001861DC" w:rsidP="001861DC"/>
    <w:p w14:paraId="1EAF6CE7" w14:textId="77777777" w:rsidR="001861DC" w:rsidRPr="00F87C39" w:rsidRDefault="001861DC" w:rsidP="001861DC">
      <w:pPr>
        <w:pStyle w:val="Ttulo2"/>
      </w:pPr>
      <w:r w:rsidRPr="00F87C39">
        <w:t>Organización para la cooperación del desarrollo económico (ocde)</w:t>
      </w:r>
    </w:p>
    <w:p w14:paraId="4AF19FAD" w14:textId="77777777" w:rsidR="001861DC" w:rsidRPr="00807564" w:rsidRDefault="001861DC" w:rsidP="001861DC"/>
    <w:p w14:paraId="32878DCF" w14:textId="77777777" w:rsidR="001861DC" w:rsidRDefault="001861DC" w:rsidP="001861DC">
      <w:pPr>
        <w:spacing w:after="160" w:line="259" w:lineRule="auto"/>
        <w:rPr>
          <w:lang w:val="es-CR"/>
        </w:rPr>
      </w:pPr>
      <w:r>
        <w:t xml:space="preserve">A nivel de los países de la OCDE, según el </w:t>
      </w:r>
      <w:r w:rsidRPr="0045099D">
        <w:rPr>
          <w:i/>
        </w:rPr>
        <w:t>Annual Survey of Investment Regulation of Pension Funds</w:t>
      </w:r>
      <w:r w:rsidRPr="0045099D">
        <w:t xml:space="preserve"> 2013</w:t>
      </w:r>
      <w:r>
        <w:t xml:space="preserve">, publicado por la IOPS, se hace un estudio transversal de cada uno de los países miembros y de sus regulaciones sobre las inversiones. A modo de referencia estos países han clasificado sus límites en la encuesta de acuerdo a las siguientes categorías: </w:t>
      </w:r>
      <w:r w:rsidRPr="00501FC9">
        <w:rPr>
          <w:lang w:val="es-CR"/>
        </w:rPr>
        <w:t>Acciones</w:t>
      </w:r>
      <w:r>
        <w:rPr>
          <w:lang w:val="es-CR"/>
        </w:rPr>
        <w:t xml:space="preserve">, </w:t>
      </w:r>
      <w:r w:rsidRPr="00501FC9">
        <w:rPr>
          <w:lang w:val="es-CR"/>
        </w:rPr>
        <w:t>Bienes Raíces</w:t>
      </w:r>
      <w:r>
        <w:rPr>
          <w:lang w:val="es-CR"/>
        </w:rPr>
        <w:t xml:space="preserve">, </w:t>
      </w:r>
      <w:r w:rsidRPr="00501FC9">
        <w:rPr>
          <w:lang w:val="es-CR"/>
        </w:rPr>
        <w:t>Bonos</w:t>
      </w:r>
      <w:r>
        <w:rPr>
          <w:lang w:val="es-CR"/>
        </w:rPr>
        <w:t>, Fondo Mutuo, Fondos de Inversión P</w:t>
      </w:r>
      <w:r w:rsidRPr="00501FC9">
        <w:rPr>
          <w:lang w:val="es-CR"/>
        </w:rPr>
        <w:t>rivado</w:t>
      </w:r>
      <w:r>
        <w:rPr>
          <w:lang w:val="es-CR"/>
        </w:rPr>
        <w:t xml:space="preserve">, </w:t>
      </w:r>
      <w:r w:rsidRPr="00501FC9">
        <w:rPr>
          <w:lang w:val="es-CR"/>
        </w:rPr>
        <w:t>Préstamos</w:t>
      </w:r>
      <w:r>
        <w:rPr>
          <w:lang w:val="es-CR"/>
        </w:rPr>
        <w:t>, Depósitos B</w:t>
      </w:r>
      <w:r w:rsidRPr="00501FC9">
        <w:rPr>
          <w:lang w:val="es-CR"/>
        </w:rPr>
        <w:t>ancarios</w:t>
      </w:r>
      <w:r>
        <w:rPr>
          <w:lang w:val="es-CR"/>
        </w:rPr>
        <w:t xml:space="preserve">, donde en nuestro caso particular interesa el tema de Bonos </w:t>
      </w:r>
    </w:p>
    <w:p w14:paraId="15580F80" w14:textId="77777777" w:rsidR="001861DC" w:rsidRDefault="001861DC" w:rsidP="001861DC">
      <w:pPr>
        <w:spacing w:after="160" w:line="259" w:lineRule="auto"/>
        <w:jc w:val="center"/>
        <w:rPr>
          <w:lang w:val="es-CR"/>
        </w:rPr>
      </w:pPr>
      <w:r w:rsidRPr="0050149B">
        <w:rPr>
          <w:b/>
          <w:lang w:val="es-CR"/>
        </w:rPr>
        <w:t>OECD</w:t>
      </w:r>
      <w:r>
        <w:rPr>
          <w:lang w:val="es-CR"/>
        </w:rPr>
        <w:t>: Algunos Límites de Inversión en Bonos</w:t>
      </w:r>
    </w:p>
    <w:tbl>
      <w:tblPr>
        <w:tblStyle w:val="Tablaconcuadrcula"/>
        <w:tblW w:w="6379" w:type="dxa"/>
        <w:tblInd w:w="1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4536"/>
      </w:tblGrid>
      <w:tr w:rsidR="001861DC" w:rsidRPr="00BF7A86" w14:paraId="63EFCCC1" w14:textId="77777777" w:rsidTr="002E0516">
        <w:tc>
          <w:tcPr>
            <w:tcW w:w="1843" w:type="dxa"/>
            <w:tcBorders>
              <w:top w:val="single" w:sz="4" w:space="0" w:color="auto"/>
              <w:bottom w:val="single" w:sz="4" w:space="0" w:color="auto"/>
            </w:tcBorders>
          </w:tcPr>
          <w:p w14:paraId="6E57580C" w14:textId="77777777" w:rsidR="001861DC" w:rsidRPr="00BF7A86" w:rsidRDefault="001861DC" w:rsidP="002E0516">
            <w:pPr>
              <w:rPr>
                <w:b/>
                <w:sz w:val="18"/>
              </w:rPr>
            </w:pPr>
            <w:r w:rsidRPr="00BF7A86">
              <w:rPr>
                <w:b/>
                <w:sz w:val="18"/>
              </w:rPr>
              <w:t>País</w:t>
            </w:r>
          </w:p>
        </w:tc>
        <w:tc>
          <w:tcPr>
            <w:tcW w:w="4536" w:type="dxa"/>
            <w:tcBorders>
              <w:top w:val="single" w:sz="4" w:space="0" w:color="auto"/>
              <w:bottom w:val="single" w:sz="4" w:space="0" w:color="auto"/>
            </w:tcBorders>
          </w:tcPr>
          <w:p w14:paraId="27D9A731" w14:textId="77777777" w:rsidR="001861DC" w:rsidRPr="00BF7A86" w:rsidRDefault="001861DC" w:rsidP="002E0516">
            <w:pPr>
              <w:jc w:val="left"/>
              <w:rPr>
                <w:b/>
                <w:sz w:val="18"/>
              </w:rPr>
            </w:pPr>
            <w:r w:rsidRPr="00BF7A86">
              <w:rPr>
                <w:b/>
                <w:sz w:val="18"/>
              </w:rPr>
              <w:t>Limite en Bonos</w:t>
            </w:r>
          </w:p>
        </w:tc>
      </w:tr>
      <w:tr w:rsidR="001861DC" w:rsidRPr="00BF7A86" w14:paraId="7E363FD1" w14:textId="77777777" w:rsidTr="002E0516">
        <w:trPr>
          <w:trHeight w:val="89"/>
        </w:trPr>
        <w:tc>
          <w:tcPr>
            <w:tcW w:w="1843" w:type="dxa"/>
            <w:tcBorders>
              <w:top w:val="single" w:sz="4" w:space="0" w:color="auto"/>
            </w:tcBorders>
          </w:tcPr>
          <w:p w14:paraId="018EECAC" w14:textId="77777777" w:rsidR="001861DC" w:rsidRPr="00BF7A86" w:rsidRDefault="001861DC" w:rsidP="002E0516">
            <w:pPr>
              <w:rPr>
                <w:sz w:val="18"/>
              </w:rPr>
            </w:pPr>
            <w:r w:rsidRPr="00BF7A86">
              <w:rPr>
                <w:sz w:val="18"/>
              </w:rPr>
              <w:t>Australia</w:t>
            </w:r>
          </w:p>
        </w:tc>
        <w:tc>
          <w:tcPr>
            <w:tcW w:w="4536" w:type="dxa"/>
            <w:tcBorders>
              <w:top w:val="single" w:sz="4" w:space="0" w:color="auto"/>
            </w:tcBorders>
          </w:tcPr>
          <w:p w14:paraId="631A2CD1" w14:textId="77777777" w:rsidR="001861DC" w:rsidRPr="00BF7A86" w:rsidRDefault="001861DC" w:rsidP="002E0516">
            <w:pPr>
              <w:jc w:val="left"/>
              <w:rPr>
                <w:sz w:val="18"/>
              </w:rPr>
            </w:pPr>
            <w:r w:rsidRPr="00BF7A86">
              <w:rPr>
                <w:sz w:val="18"/>
              </w:rPr>
              <w:t>Sin límites</w:t>
            </w:r>
          </w:p>
        </w:tc>
      </w:tr>
      <w:tr w:rsidR="001861DC" w:rsidRPr="00BF7A86" w14:paraId="1D9EFCCB" w14:textId="77777777" w:rsidTr="002E0516">
        <w:trPr>
          <w:trHeight w:val="70"/>
        </w:trPr>
        <w:tc>
          <w:tcPr>
            <w:tcW w:w="1843" w:type="dxa"/>
          </w:tcPr>
          <w:p w14:paraId="023B1DD4" w14:textId="77777777" w:rsidR="001861DC" w:rsidRPr="00BF7A86" w:rsidRDefault="001861DC" w:rsidP="002E0516">
            <w:pPr>
              <w:rPr>
                <w:sz w:val="18"/>
              </w:rPr>
            </w:pPr>
            <w:r w:rsidRPr="00BF7A86">
              <w:rPr>
                <w:sz w:val="18"/>
              </w:rPr>
              <w:t>Canadá</w:t>
            </w:r>
          </w:p>
        </w:tc>
        <w:tc>
          <w:tcPr>
            <w:tcW w:w="4536" w:type="dxa"/>
          </w:tcPr>
          <w:p w14:paraId="30F40CE2" w14:textId="77777777" w:rsidR="001861DC" w:rsidRPr="00BF7A86" w:rsidRDefault="001861DC" w:rsidP="002E0516">
            <w:pPr>
              <w:jc w:val="left"/>
              <w:rPr>
                <w:sz w:val="18"/>
              </w:rPr>
            </w:pPr>
            <w:r w:rsidRPr="00BF7A86">
              <w:rPr>
                <w:sz w:val="18"/>
              </w:rPr>
              <w:t>Sin límites</w:t>
            </w:r>
          </w:p>
        </w:tc>
      </w:tr>
      <w:tr w:rsidR="001861DC" w:rsidRPr="00BF7A86" w14:paraId="533CA68D" w14:textId="77777777" w:rsidTr="002E0516">
        <w:tc>
          <w:tcPr>
            <w:tcW w:w="1843" w:type="dxa"/>
          </w:tcPr>
          <w:p w14:paraId="7754B52F" w14:textId="77777777" w:rsidR="001861DC" w:rsidRPr="00BF7A86" w:rsidRDefault="001861DC" w:rsidP="002E0516">
            <w:pPr>
              <w:rPr>
                <w:sz w:val="18"/>
              </w:rPr>
            </w:pPr>
            <w:r w:rsidRPr="00BF7A86">
              <w:rPr>
                <w:sz w:val="18"/>
              </w:rPr>
              <w:t>Dinamarca</w:t>
            </w:r>
          </w:p>
        </w:tc>
        <w:tc>
          <w:tcPr>
            <w:tcW w:w="4536" w:type="dxa"/>
          </w:tcPr>
          <w:p w14:paraId="07B7CA2F" w14:textId="77777777" w:rsidR="001861DC" w:rsidRPr="00BF7A86" w:rsidRDefault="001861DC" w:rsidP="002E0516">
            <w:pPr>
              <w:jc w:val="left"/>
              <w:rPr>
                <w:sz w:val="18"/>
              </w:rPr>
            </w:pPr>
            <w:r w:rsidRPr="00BF7A86">
              <w:rPr>
                <w:sz w:val="18"/>
              </w:rPr>
              <w:t>Sin límites (si son gilt-edged).</w:t>
            </w:r>
          </w:p>
          <w:p w14:paraId="30D4152A" w14:textId="77777777" w:rsidR="001861DC" w:rsidRPr="00BF7A86" w:rsidRDefault="001861DC" w:rsidP="002E0516">
            <w:pPr>
              <w:jc w:val="left"/>
              <w:rPr>
                <w:sz w:val="18"/>
              </w:rPr>
            </w:pPr>
            <w:r w:rsidRPr="00BF7A86">
              <w:rPr>
                <w:sz w:val="18"/>
              </w:rPr>
              <w:t>70% (si no son gilt edged).</w:t>
            </w:r>
          </w:p>
        </w:tc>
      </w:tr>
      <w:tr w:rsidR="001861DC" w:rsidRPr="00BF7A86" w14:paraId="773BBCB9" w14:textId="77777777" w:rsidTr="002E0516">
        <w:tc>
          <w:tcPr>
            <w:tcW w:w="1843" w:type="dxa"/>
          </w:tcPr>
          <w:p w14:paraId="58CE5533" w14:textId="77777777" w:rsidR="001861DC" w:rsidRPr="00BF7A86" w:rsidRDefault="001861DC" w:rsidP="002E0516">
            <w:pPr>
              <w:rPr>
                <w:sz w:val="18"/>
              </w:rPr>
            </w:pPr>
            <w:r w:rsidRPr="00BF7A86">
              <w:rPr>
                <w:sz w:val="18"/>
              </w:rPr>
              <w:t>Francia</w:t>
            </w:r>
          </w:p>
        </w:tc>
        <w:tc>
          <w:tcPr>
            <w:tcW w:w="4536" w:type="dxa"/>
          </w:tcPr>
          <w:p w14:paraId="7EA76788" w14:textId="77777777" w:rsidR="001861DC" w:rsidRPr="00BF7A86" w:rsidRDefault="001861DC" w:rsidP="002E0516">
            <w:pPr>
              <w:jc w:val="left"/>
              <w:rPr>
                <w:sz w:val="18"/>
              </w:rPr>
            </w:pPr>
            <w:r w:rsidRPr="00BF7A86">
              <w:rPr>
                <w:rStyle w:val="hps"/>
                <w:rFonts w:cs="Arial"/>
                <w:color w:val="222222"/>
                <w:sz w:val="18"/>
              </w:rPr>
              <w:t>5</w:t>
            </w:r>
            <w:r w:rsidRPr="00BF7A86">
              <w:rPr>
                <w:rFonts w:cs="Arial"/>
                <w:color w:val="222222"/>
                <w:sz w:val="18"/>
              </w:rPr>
              <w:t xml:space="preserve">% </w:t>
            </w:r>
            <w:r w:rsidRPr="00BF7A86">
              <w:rPr>
                <w:rStyle w:val="hps"/>
                <w:rFonts w:cs="Arial"/>
                <w:color w:val="222222"/>
                <w:sz w:val="18"/>
              </w:rPr>
              <w:t>si los bonos</w:t>
            </w:r>
            <w:r w:rsidRPr="00BF7A86">
              <w:rPr>
                <w:rFonts w:cs="Arial"/>
                <w:color w:val="222222"/>
                <w:sz w:val="18"/>
              </w:rPr>
              <w:t xml:space="preserve"> </w:t>
            </w:r>
            <w:r w:rsidRPr="00BF7A86">
              <w:rPr>
                <w:rStyle w:val="hps"/>
                <w:rFonts w:cs="Arial"/>
                <w:color w:val="222222"/>
                <w:sz w:val="18"/>
              </w:rPr>
              <w:t>son emitidos por</w:t>
            </w:r>
            <w:r w:rsidRPr="00BF7A86">
              <w:rPr>
                <w:rFonts w:cs="Arial"/>
                <w:color w:val="222222"/>
                <w:sz w:val="18"/>
              </w:rPr>
              <w:t xml:space="preserve"> </w:t>
            </w:r>
            <w:r w:rsidRPr="00BF7A86">
              <w:rPr>
                <w:rStyle w:val="hps"/>
                <w:rFonts w:cs="Arial"/>
                <w:color w:val="222222"/>
                <w:sz w:val="18"/>
              </w:rPr>
              <w:t>los vehículos de propósito especial, de lo contrario no hay</w:t>
            </w:r>
            <w:r w:rsidRPr="00BF7A86">
              <w:rPr>
                <w:rFonts w:cs="Arial"/>
                <w:color w:val="222222"/>
                <w:sz w:val="18"/>
              </w:rPr>
              <w:t xml:space="preserve"> </w:t>
            </w:r>
            <w:r w:rsidRPr="00BF7A86">
              <w:rPr>
                <w:rStyle w:val="hps"/>
                <w:rFonts w:cs="Arial"/>
                <w:color w:val="222222"/>
                <w:sz w:val="18"/>
              </w:rPr>
              <w:t>límites</w:t>
            </w:r>
          </w:p>
        </w:tc>
      </w:tr>
      <w:tr w:rsidR="001861DC" w:rsidRPr="00BF7A86" w14:paraId="09DCF96D" w14:textId="77777777" w:rsidTr="002E0516">
        <w:tc>
          <w:tcPr>
            <w:tcW w:w="1843" w:type="dxa"/>
          </w:tcPr>
          <w:p w14:paraId="49C3E9D6" w14:textId="77777777" w:rsidR="001861DC" w:rsidRPr="00BF7A86" w:rsidRDefault="001861DC" w:rsidP="002E0516">
            <w:pPr>
              <w:rPr>
                <w:sz w:val="18"/>
              </w:rPr>
            </w:pPr>
            <w:r w:rsidRPr="00BF7A86">
              <w:rPr>
                <w:sz w:val="18"/>
              </w:rPr>
              <w:t>Alemania</w:t>
            </w:r>
          </w:p>
        </w:tc>
        <w:tc>
          <w:tcPr>
            <w:tcW w:w="4536" w:type="dxa"/>
          </w:tcPr>
          <w:p w14:paraId="7BEE8E7B" w14:textId="77777777" w:rsidR="001861DC" w:rsidRPr="00BF7A86" w:rsidRDefault="001861DC" w:rsidP="002E0516">
            <w:pPr>
              <w:jc w:val="left"/>
              <w:rPr>
                <w:rStyle w:val="hps"/>
                <w:rFonts w:cs="Arial"/>
                <w:color w:val="222222"/>
                <w:sz w:val="18"/>
              </w:rPr>
            </w:pPr>
            <w:r w:rsidRPr="00BF7A86">
              <w:rPr>
                <w:rStyle w:val="hps"/>
                <w:rFonts w:cs="Arial"/>
                <w:color w:val="222222"/>
                <w:sz w:val="18"/>
              </w:rPr>
              <w:t>Sin Límites</w:t>
            </w:r>
          </w:p>
        </w:tc>
      </w:tr>
      <w:tr w:rsidR="001861DC" w:rsidRPr="00BF7A86" w14:paraId="011A49CB" w14:textId="77777777" w:rsidTr="002E0516">
        <w:tc>
          <w:tcPr>
            <w:tcW w:w="1843" w:type="dxa"/>
          </w:tcPr>
          <w:p w14:paraId="7D597E12" w14:textId="77777777" w:rsidR="001861DC" w:rsidRPr="00BF7A86" w:rsidRDefault="001861DC" w:rsidP="002E0516">
            <w:pPr>
              <w:rPr>
                <w:sz w:val="18"/>
              </w:rPr>
            </w:pPr>
            <w:r w:rsidRPr="00BF7A86">
              <w:rPr>
                <w:sz w:val="18"/>
              </w:rPr>
              <w:t>Grecia</w:t>
            </w:r>
          </w:p>
        </w:tc>
        <w:tc>
          <w:tcPr>
            <w:tcW w:w="4536" w:type="dxa"/>
          </w:tcPr>
          <w:p w14:paraId="6D467092" w14:textId="77777777" w:rsidR="001861DC" w:rsidRPr="00BF7A86" w:rsidRDefault="001861DC" w:rsidP="002E0516">
            <w:pPr>
              <w:jc w:val="left"/>
              <w:rPr>
                <w:rStyle w:val="hps"/>
                <w:rFonts w:cs="Arial"/>
                <w:color w:val="222222"/>
                <w:sz w:val="18"/>
              </w:rPr>
            </w:pPr>
            <w:r w:rsidRPr="00BF7A86">
              <w:rPr>
                <w:rStyle w:val="hps"/>
                <w:rFonts w:cs="Arial"/>
                <w:color w:val="222222"/>
                <w:sz w:val="18"/>
              </w:rPr>
              <w:t>Bonos del Gobierno: Sin límite</w:t>
            </w:r>
          </w:p>
          <w:p w14:paraId="425990F1" w14:textId="77777777" w:rsidR="001861DC" w:rsidRPr="00BF7A86" w:rsidRDefault="001861DC" w:rsidP="002E0516">
            <w:pPr>
              <w:jc w:val="left"/>
              <w:rPr>
                <w:rStyle w:val="hps"/>
                <w:rFonts w:cs="Arial"/>
                <w:color w:val="222222"/>
                <w:sz w:val="18"/>
              </w:rPr>
            </w:pPr>
            <w:r w:rsidRPr="00BF7A86">
              <w:rPr>
                <w:rStyle w:val="hps"/>
                <w:rFonts w:cs="Arial"/>
                <w:color w:val="222222"/>
                <w:sz w:val="18"/>
              </w:rPr>
              <w:t>Bonos Corporativos: 70% donde los miembros llevan el riesgo de la inversión</w:t>
            </w:r>
          </w:p>
        </w:tc>
      </w:tr>
      <w:tr w:rsidR="001861DC" w:rsidRPr="00BF7A86" w14:paraId="6DD48B5B" w14:textId="77777777" w:rsidTr="002E0516">
        <w:tc>
          <w:tcPr>
            <w:tcW w:w="1843" w:type="dxa"/>
          </w:tcPr>
          <w:p w14:paraId="688D94DC" w14:textId="77777777" w:rsidR="001861DC" w:rsidRPr="00BF7A86" w:rsidRDefault="001861DC" w:rsidP="002E0516">
            <w:pPr>
              <w:rPr>
                <w:sz w:val="18"/>
              </w:rPr>
            </w:pPr>
            <w:r w:rsidRPr="00BF7A86">
              <w:rPr>
                <w:sz w:val="18"/>
              </w:rPr>
              <w:t>Islandia</w:t>
            </w:r>
          </w:p>
        </w:tc>
        <w:tc>
          <w:tcPr>
            <w:tcW w:w="4536" w:type="dxa"/>
          </w:tcPr>
          <w:p w14:paraId="1A94AAE5" w14:textId="77777777" w:rsidR="001861DC" w:rsidRPr="00BF7A86" w:rsidRDefault="001861DC" w:rsidP="002E0516">
            <w:pPr>
              <w:jc w:val="left"/>
              <w:rPr>
                <w:rFonts w:cs="Arial"/>
                <w:color w:val="222222"/>
                <w:sz w:val="18"/>
              </w:rPr>
            </w:pPr>
            <w:r w:rsidRPr="00BF7A86">
              <w:rPr>
                <w:rStyle w:val="hps"/>
                <w:rFonts w:cs="Arial"/>
                <w:color w:val="222222"/>
                <w:sz w:val="18"/>
              </w:rPr>
              <w:t>Max</w:t>
            </w:r>
            <w:r w:rsidRPr="00BF7A86">
              <w:rPr>
                <w:rFonts w:cs="Arial"/>
                <w:color w:val="222222"/>
                <w:sz w:val="18"/>
              </w:rPr>
              <w:t xml:space="preserve">. </w:t>
            </w:r>
            <w:r w:rsidRPr="00BF7A86">
              <w:rPr>
                <w:rStyle w:val="hps"/>
                <w:rFonts w:cs="Arial"/>
                <w:color w:val="222222"/>
                <w:sz w:val="18"/>
              </w:rPr>
              <w:t>50</w:t>
            </w:r>
            <w:r w:rsidRPr="00BF7A86">
              <w:rPr>
                <w:rFonts w:cs="Arial"/>
                <w:color w:val="222222"/>
                <w:sz w:val="18"/>
              </w:rPr>
              <w:t xml:space="preserve">% </w:t>
            </w:r>
            <w:r w:rsidRPr="00BF7A86">
              <w:rPr>
                <w:rStyle w:val="hps"/>
                <w:rFonts w:cs="Arial"/>
                <w:color w:val="222222"/>
                <w:sz w:val="18"/>
              </w:rPr>
              <w:t>en bonos emitidos por</w:t>
            </w:r>
            <w:r w:rsidRPr="00BF7A86">
              <w:rPr>
                <w:rFonts w:cs="Arial"/>
                <w:color w:val="222222"/>
                <w:sz w:val="18"/>
              </w:rPr>
              <w:t xml:space="preserve"> </w:t>
            </w:r>
            <w:r w:rsidRPr="00BF7A86">
              <w:rPr>
                <w:rStyle w:val="hps"/>
                <w:rFonts w:cs="Arial"/>
                <w:color w:val="222222"/>
                <w:sz w:val="18"/>
              </w:rPr>
              <w:t>instituciones financieras</w:t>
            </w:r>
            <w:r w:rsidRPr="00BF7A86">
              <w:rPr>
                <w:rFonts w:cs="Arial"/>
                <w:color w:val="222222"/>
                <w:sz w:val="18"/>
              </w:rPr>
              <w:t>,</w:t>
            </w:r>
            <w:r w:rsidRPr="00BF7A86">
              <w:rPr>
                <w:rFonts w:cs="Arial"/>
                <w:color w:val="222222"/>
                <w:sz w:val="18"/>
              </w:rPr>
              <w:br/>
            </w:r>
            <w:r w:rsidRPr="00BF7A86">
              <w:rPr>
                <w:rStyle w:val="hps"/>
                <w:rFonts w:cs="Arial"/>
                <w:color w:val="222222"/>
                <w:sz w:val="18"/>
              </w:rPr>
              <w:t>Max</w:t>
            </w:r>
            <w:r w:rsidRPr="00BF7A86">
              <w:rPr>
                <w:rFonts w:cs="Arial"/>
                <w:color w:val="222222"/>
                <w:sz w:val="18"/>
              </w:rPr>
              <w:t xml:space="preserve">. </w:t>
            </w:r>
            <w:r w:rsidRPr="00BF7A86">
              <w:rPr>
                <w:rStyle w:val="hps"/>
                <w:rFonts w:cs="Arial"/>
                <w:color w:val="222222"/>
                <w:sz w:val="18"/>
              </w:rPr>
              <w:t>50</w:t>
            </w:r>
            <w:r w:rsidRPr="00BF7A86">
              <w:rPr>
                <w:rFonts w:cs="Arial"/>
                <w:color w:val="222222"/>
                <w:sz w:val="18"/>
              </w:rPr>
              <w:t xml:space="preserve">% </w:t>
            </w:r>
            <w:r w:rsidRPr="00BF7A86">
              <w:rPr>
                <w:rStyle w:val="hps"/>
                <w:rFonts w:cs="Arial"/>
                <w:color w:val="222222"/>
                <w:sz w:val="18"/>
              </w:rPr>
              <w:t>en bonos</w:t>
            </w:r>
            <w:r w:rsidRPr="00BF7A86">
              <w:rPr>
                <w:rFonts w:cs="Arial"/>
                <w:color w:val="222222"/>
                <w:sz w:val="18"/>
              </w:rPr>
              <w:t xml:space="preserve"> </w:t>
            </w:r>
            <w:r w:rsidRPr="00BF7A86">
              <w:rPr>
                <w:rStyle w:val="hps"/>
                <w:rFonts w:cs="Arial"/>
                <w:color w:val="222222"/>
                <w:sz w:val="18"/>
              </w:rPr>
              <w:t>municipales</w:t>
            </w:r>
            <w:r w:rsidRPr="00BF7A86">
              <w:rPr>
                <w:rFonts w:cs="Arial"/>
                <w:color w:val="222222"/>
                <w:sz w:val="18"/>
              </w:rPr>
              <w:t>.</w:t>
            </w:r>
            <w:r w:rsidRPr="00BF7A86">
              <w:rPr>
                <w:rFonts w:cs="Arial"/>
                <w:color w:val="222222"/>
                <w:sz w:val="18"/>
              </w:rPr>
              <w:br/>
            </w:r>
            <w:r w:rsidRPr="00BF7A86">
              <w:rPr>
                <w:rStyle w:val="hps"/>
                <w:rFonts w:cs="Arial"/>
                <w:color w:val="222222"/>
                <w:sz w:val="18"/>
              </w:rPr>
              <w:t>Max</w:t>
            </w:r>
            <w:r w:rsidRPr="00BF7A86">
              <w:rPr>
                <w:rFonts w:cs="Arial"/>
                <w:color w:val="222222"/>
                <w:sz w:val="18"/>
              </w:rPr>
              <w:t xml:space="preserve"> </w:t>
            </w:r>
            <w:r w:rsidRPr="00BF7A86">
              <w:rPr>
                <w:rStyle w:val="hps"/>
                <w:rFonts w:cs="Arial"/>
                <w:color w:val="222222"/>
                <w:sz w:val="18"/>
              </w:rPr>
              <w:t>50</w:t>
            </w:r>
            <w:r w:rsidRPr="00BF7A86">
              <w:rPr>
                <w:rFonts w:cs="Arial"/>
                <w:color w:val="222222"/>
                <w:sz w:val="18"/>
              </w:rPr>
              <w:t xml:space="preserve">% en otros </w:t>
            </w:r>
            <w:r w:rsidRPr="00BF7A86">
              <w:rPr>
                <w:rStyle w:val="hps"/>
                <w:rFonts w:cs="Arial"/>
                <w:color w:val="222222"/>
                <w:sz w:val="18"/>
              </w:rPr>
              <w:t>bonos</w:t>
            </w:r>
            <w:r w:rsidRPr="00BF7A86">
              <w:rPr>
                <w:rFonts w:cs="Arial"/>
                <w:color w:val="222222"/>
                <w:sz w:val="18"/>
              </w:rPr>
              <w:t xml:space="preserve"> </w:t>
            </w:r>
          </w:p>
          <w:p w14:paraId="546CD281" w14:textId="77777777" w:rsidR="001861DC" w:rsidRPr="00BF7A86" w:rsidRDefault="001861DC" w:rsidP="002E0516">
            <w:pPr>
              <w:jc w:val="left"/>
              <w:rPr>
                <w:rStyle w:val="hps"/>
                <w:rFonts w:cs="Arial"/>
                <w:color w:val="222222"/>
                <w:sz w:val="18"/>
              </w:rPr>
            </w:pPr>
            <w:r w:rsidRPr="00BF7A86">
              <w:rPr>
                <w:rStyle w:val="hps"/>
                <w:rFonts w:cs="Arial"/>
                <w:color w:val="222222"/>
                <w:sz w:val="18"/>
              </w:rPr>
              <w:t>Max</w:t>
            </w:r>
            <w:r w:rsidRPr="00BF7A86">
              <w:rPr>
                <w:rFonts w:cs="Arial"/>
                <w:color w:val="222222"/>
                <w:sz w:val="18"/>
              </w:rPr>
              <w:t xml:space="preserve">. </w:t>
            </w:r>
            <w:r w:rsidRPr="00BF7A86">
              <w:rPr>
                <w:rStyle w:val="hps"/>
                <w:rFonts w:cs="Arial"/>
                <w:color w:val="222222"/>
                <w:sz w:val="18"/>
              </w:rPr>
              <w:t>20</w:t>
            </w:r>
            <w:r w:rsidRPr="00BF7A86">
              <w:rPr>
                <w:rFonts w:cs="Arial"/>
                <w:color w:val="222222"/>
                <w:sz w:val="18"/>
              </w:rPr>
              <w:t xml:space="preserve">% </w:t>
            </w:r>
            <w:r w:rsidRPr="00BF7A86">
              <w:rPr>
                <w:rStyle w:val="hps"/>
                <w:rFonts w:cs="Arial"/>
                <w:color w:val="222222"/>
                <w:sz w:val="18"/>
              </w:rPr>
              <w:t>de valores</w:t>
            </w:r>
            <w:r w:rsidRPr="00BF7A86">
              <w:rPr>
                <w:rFonts w:cs="Arial"/>
                <w:color w:val="222222"/>
                <w:sz w:val="18"/>
              </w:rPr>
              <w:t xml:space="preserve"> </w:t>
            </w:r>
            <w:r w:rsidRPr="00BF7A86">
              <w:rPr>
                <w:rStyle w:val="hps"/>
                <w:rFonts w:cs="Arial"/>
                <w:color w:val="222222"/>
                <w:sz w:val="18"/>
              </w:rPr>
              <w:t>no cotizados</w:t>
            </w:r>
            <w:r w:rsidRPr="00BF7A86">
              <w:rPr>
                <w:rFonts w:cs="Arial"/>
                <w:color w:val="222222"/>
                <w:sz w:val="18"/>
              </w:rPr>
              <w:t xml:space="preserve"> </w:t>
            </w:r>
            <w:r w:rsidRPr="00BF7A86">
              <w:rPr>
                <w:rStyle w:val="hps"/>
                <w:rFonts w:cs="Arial"/>
                <w:color w:val="222222"/>
                <w:sz w:val="18"/>
              </w:rPr>
              <w:t>en</w:t>
            </w:r>
            <w:r w:rsidRPr="00BF7A86">
              <w:rPr>
                <w:rFonts w:cs="Arial"/>
                <w:color w:val="222222"/>
                <w:sz w:val="18"/>
              </w:rPr>
              <w:t xml:space="preserve"> </w:t>
            </w:r>
            <w:r w:rsidRPr="00BF7A86">
              <w:rPr>
                <w:rStyle w:val="hps"/>
                <w:rFonts w:cs="Arial"/>
                <w:color w:val="222222"/>
                <w:sz w:val="18"/>
              </w:rPr>
              <w:t>la OCDE</w:t>
            </w:r>
            <w:r w:rsidRPr="00BF7A86">
              <w:rPr>
                <w:rFonts w:cs="Arial"/>
                <w:color w:val="222222"/>
                <w:sz w:val="18"/>
              </w:rPr>
              <w:br/>
            </w:r>
            <w:r w:rsidRPr="00BF7A86">
              <w:rPr>
                <w:rStyle w:val="hps"/>
                <w:rFonts w:cs="Arial"/>
                <w:color w:val="222222"/>
                <w:sz w:val="18"/>
              </w:rPr>
              <w:t>Max</w:t>
            </w:r>
            <w:r w:rsidRPr="00BF7A86">
              <w:rPr>
                <w:rFonts w:cs="Arial"/>
                <w:color w:val="222222"/>
                <w:sz w:val="18"/>
              </w:rPr>
              <w:t xml:space="preserve"> </w:t>
            </w:r>
            <w:r w:rsidRPr="00BF7A86">
              <w:rPr>
                <w:rStyle w:val="hps"/>
                <w:rFonts w:cs="Arial"/>
                <w:color w:val="222222"/>
                <w:sz w:val="18"/>
              </w:rPr>
              <w:t>10</w:t>
            </w:r>
            <w:r w:rsidRPr="00BF7A86">
              <w:rPr>
                <w:rFonts w:cs="Arial"/>
                <w:color w:val="222222"/>
                <w:sz w:val="18"/>
              </w:rPr>
              <w:t xml:space="preserve">% </w:t>
            </w:r>
            <w:r w:rsidRPr="00BF7A86">
              <w:rPr>
                <w:rStyle w:val="hps"/>
                <w:rFonts w:cs="Arial"/>
                <w:color w:val="222222"/>
                <w:sz w:val="18"/>
              </w:rPr>
              <w:t>en</w:t>
            </w:r>
            <w:r w:rsidRPr="00BF7A86">
              <w:rPr>
                <w:rFonts w:cs="Arial"/>
                <w:color w:val="222222"/>
                <w:sz w:val="18"/>
              </w:rPr>
              <w:t xml:space="preserve"> </w:t>
            </w:r>
            <w:r w:rsidRPr="00BF7A86">
              <w:rPr>
                <w:rStyle w:val="hps"/>
                <w:rFonts w:cs="Arial"/>
                <w:color w:val="222222"/>
                <w:sz w:val="18"/>
              </w:rPr>
              <w:t>partes relacionadas</w:t>
            </w:r>
          </w:p>
        </w:tc>
      </w:tr>
      <w:tr w:rsidR="001861DC" w:rsidRPr="00BF7A86" w14:paraId="1B39197A" w14:textId="77777777" w:rsidTr="002E0516">
        <w:tc>
          <w:tcPr>
            <w:tcW w:w="1843" w:type="dxa"/>
          </w:tcPr>
          <w:p w14:paraId="0DF322DD" w14:textId="77777777" w:rsidR="001861DC" w:rsidRPr="00BF7A86" w:rsidRDefault="001861DC" w:rsidP="002E0516">
            <w:pPr>
              <w:rPr>
                <w:sz w:val="18"/>
              </w:rPr>
            </w:pPr>
            <w:r w:rsidRPr="00BF7A86">
              <w:rPr>
                <w:sz w:val="18"/>
              </w:rPr>
              <w:t>Japón</w:t>
            </w:r>
          </w:p>
        </w:tc>
        <w:tc>
          <w:tcPr>
            <w:tcW w:w="4536" w:type="dxa"/>
          </w:tcPr>
          <w:p w14:paraId="438D350D" w14:textId="77777777" w:rsidR="001861DC" w:rsidRPr="00BF7A86" w:rsidRDefault="001861DC" w:rsidP="002E0516">
            <w:pPr>
              <w:jc w:val="left"/>
              <w:rPr>
                <w:rStyle w:val="hps"/>
                <w:rFonts w:cs="Arial"/>
                <w:color w:val="222222"/>
                <w:sz w:val="18"/>
              </w:rPr>
            </w:pPr>
            <w:r w:rsidRPr="00BF7A86">
              <w:rPr>
                <w:rStyle w:val="hps"/>
                <w:rFonts w:cs="Arial"/>
                <w:color w:val="222222"/>
                <w:sz w:val="18"/>
              </w:rPr>
              <w:t>Sin límites</w:t>
            </w:r>
          </w:p>
        </w:tc>
      </w:tr>
      <w:tr w:rsidR="001861DC" w:rsidRPr="00BF7A86" w14:paraId="6AF8CFA6" w14:textId="77777777" w:rsidTr="002E0516">
        <w:tc>
          <w:tcPr>
            <w:tcW w:w="1843" w:type="dxa"/>
          </w:tcPr>
          <w:p w14:paraId="78932A6B" w14:textId="77777777" w:rsidR="001861DC" w:rsidRPr="00BF7A86" w:rsidRDefault="001861DC" w:rsidP="002E0516">
            <w:pPr>
              <w:rPr>
                <w:sz w:val="18"/>
              </w:rPr>
            </w:pPr>
            <w:r w:rsidRPr="00BF7A86">
              <w:rPr>
                <w:sz w:val="18"/>
              </w:rPr>
              <w:t>Portugal</w:t>
            </w:r>
          </w:p>
        </w:tc>
        <w:tc>
          <w:tcPr>
            <w:tcW w:w="4536" w:type="dxa"/>
          </w:tcPr>
          <w:p w14:paraId="40CF478D" w14:textId="77777777" w:rsidR="001861DC" w:rsidRPr="00BF7A86" w:rsidRDefault="001861DC" w:rsidP="002E0516">
            <w:pPr>
              <w:jc w:val="left"/>
              <w:rPr>
                <w:rStyle w:val="hps"/>
                <w:rFonts w:cs="Arial"/>
                <w:color w:val="222222"/>
                <w:sz w:val="18"/>
              </w:rPr>
            </w:pPr>
            <w:r w:rsidRPr="00BF7A86">
              <w:rPr>
                <w:rStyle w:val="hps"/>
                <w:rFonts w:cs="Arial"/>
                <w:color w:val="222222"/>
                <w:sz w:val="18"/>
              </w:rPr>
              <w:t>Sin límites</w:t>
            </w:r>
          </w:p>
        </w:tc>
      </w:tr>
      <w:tr w:rsidR="001861DC" w:rsidRPr="00BF7A86" w14:paraId="6D23739B" w14:textId="77777777" w:rsidTr="002E0516">
        <w:tc>
          <w:tcPr>
            <w:tcW w:w="1843" w:type="dxa"/>
          </w:tcPr>
          <w:p w14:paraId="664314EE" w14:textId="77777777" w:rsidR="001861DC" w:rsidRPr="00BF7A86" w:rsidRDefault="001861DC" w:rsidP="002E0516">
            <w:pPr>
              <w:rPr>
                <w:sz w:val="18"/>
              </w:rPr>
            </w:pPr>
            <w:r w:rsidRPr="00BF7A86">
              <w:rPr>
                <w:sz w:val="18"/>
              </w:rPr>
              <w:t>España</w:t>
            </w:r>
          </w:p>
        </w:tc>
        <w:tc>
          <w:tcPr>
            <w:tcW w:w="4536" w:type="dxa"/>
          </w:tcPr>
          <w:p w14:paraId="3686D198" w14:textId="77777777" w:rsidR="001861DC" w:rsidRPr="00BF7A86" w:rsidRDefault="001861DC" w:rsidP="002E0516">
            <w:pPr>
              <w:jc w:val="left"/>
              <w:rPr>
                <w:rStyle w:val="hps"/>
                <w:rFonts w:cs="Arial"/>
                <w:color w:val="222222"/>
                <w:sz w:val="18"/>
              </w:rPr>
            </w:pPr>
            <w:r w:rsidRPr="00BF7A86">
              <w:rPr>
                <w:rStyle w:val="hps"/>
                <w:rFonts w:cs="Arial"/>
                <w:color w:val="222222"/>
                <w:sz w:val="18"/>
              </w:rPr>
              <w:t>Sin límite.</w:t>
            </w:r>
            <w:r w:rsidRPr="00BF7A86">
              <w:rPr>
                <w:rFonts w:cs="Arial"/>
                <w:color w:val="222222"/>
                <w:sz w:val="18"/>
              </w:rPr>
              <w:br/>
            </w:r>
            <w:r w:rsidRPr="00BF7A86">
              <w:rPr>
                <w:rStyle w:val="hps"/>
                <w:rFonts w:cs="Arial"/>
                <w:color w:val="222222"/>
                <w:sz w:val="18"/>
              </w:rPr>
              <w:t>30</w:t>
            </w:r>
            <w:r w:rsidRPr="00BF7A86">
              <w:rPr>
                <w:rFonts w:cs="Arial"/>
                <w:color w:val="222222"/>
                <w:sz w:val="18"/>
              </w:rPr>
              <w:t xml:space="preserve">% </w:t>
            </w:r>
            <w:r w:rsidRPr="00BF7A86">
              <w:rPr>
                <w:rStyle w:val="hps"/>
                <w:rFonts w:cs="Arial"/>
                <w:color w:val="222222"/>
                <w:sz w:val="18"/>
              </w:rPr>
              <w:t>en bonos</w:t>
            </w:r>
            <w:r w:rsidRPr="00BF7A86">
              <w:rPr>
                <w:rFonts w:cs="Arial"/>
                <w:color w:val="222222"/>
                <w:sz w:val="18"/>
              </w:rPr>
              <w:t xml:space="preserve"> </w:t>
            </w:r>
            <w:r w:rsidRPr="00BF7A86">
              <w:rPr>
                <w:rStyle w:val="hps"/>
                <w:rFonts w:cs="Arial"/>
                <w:color w:val="222222"/>
                <w:sz w:val="18"/>
              </w:rPr>
              <w:t>no admitidos a</w:t>
            </w:r>
            <w:r w:rsidRPr="00BF7A86">
              <w:rPr>
                <w:rFonts w:cs="Arial"/>
                <w:color w:val="222222"/>
                <w:sz w:val="18"/>
              </w:rPr>
              <w:t xml:space="preserve"> </w:t>
            </w:r>
            <w:r w:rsidRPr="00BF7A86">
              <w:rPr>
                <w:rStyle w:val="hps"/>
                <w:rFonts w:cs="Arial"/>
                <w:color w:val="222222"/>
                <w:sz w:val="18"/>
              </w:rPr>
              <w:t>negociación en un</w:t>
            </w:r>
            <w:r w:rsidRPr="00BF7A86">
              <w:rPr>
                <w:rFonts w:cs="Arial"/>
                <w:color w:val="222222"/>
                <w:sz w:val="18"/>
              </w:rPr>
              <w:t xml:space="preserve"> </w:t>
            </w:r>
            <w:r w:rsidRPr="00BF7A86">
              <w:rPr>
                <w:rStyle w:val="hps"/>
                <w:rFonts w:cs="Arial"/>
                <w:color w:val="222222"/>
                <w:sz w:val="18"/>
              </w:rPr>
              <w:t>mercado regulado</w:t>
            </w:r>
            <w:r w:rsidRPr="00BF7A86">
              <w:rPr>
                <w:rFonts w:cs="Arial"/>
                <w:color w:val="222222"/>
                <w:sz w:val="18"/>
              </w:rPr>
              <w:t>.</w:t>
            </w:r>
          </w:p>
        </w:tc>
      </w:tr>
      <w:tr w:rsidR="001861DC" w:rsidRPr="00BF7A86" w14:paraId="7D00022F" w14:textId="77777777" w:rsidTr="002E0516">
        <w:tc>
          <w:tcPr>
            <w:tcW w:w="1843" w:type="dxa"/>
          </w:tcPr>
          <w:p w14:paraId="0416F4C7" w14:textId="77777777" w:rsidR="001861DC" w:rsidRPr="00BF7A86" w:rsidRDefault="001861DC" w:rsidP="002E0516">
            <w:pPr>
              <w:rPr>
                <w:sz w:val="18"/>
              </w:rPr>
            </w:pPr>
            <w:r w:rsidRPr="00BF7A86">
              <w:rPr>
                <w:sz w:val="18"/>
              </w:rPr>
              <w:t>Reino Unido</w:t>
            </w:r>
          </w:p>
        </w:tc>
        <w:tc>
          <w:tcPr>
            <w:tcW w:w="4536" w:type="dxa"/>
          </w:tcPr>
          <w:p w14:paraId="7FB92652" w14:textId="77777777" w:rsidR="001861DC" w:rsidRPr="00BF7A86" w:rsidRDefault="001861DC" w:rsidP="002E0516">
            <w:pPr>
              <w:jc w:val="left"/>
              <w:rPr>
                <w:rStyle w:val="hps"/>
                <w:rFonts w:cs="Arial"/>
                <w:color w:val="222222"/>
                <w:sz w:val="18"/>
              </w:rPr>
            </w:pPr>
            <w:r w:rsidRPr="00BF7A86">
              <w:rPr>
                <w:rStyle w:val="hps"/>
                <w:rFonts w:cs="Arial"/>
                <w:color w:val="222222"/>
                <w:sz w:val="18"/>
              </w:rPr>
              <w:t>Sin límites</w:t>
            </w:r>
          </w:p>
        </w:tc>
      </w:tr>
      <w:tr w:rsidR="001861DC" w:rsidRPr="00BF7A86" w14:paraId="4889D86D" w14:textId="77777777" w:rsidTr="002E0516">
        <w:tc>
          <w:tcPr>
            <w:tcW w:w="1843" w:type="dxa"/>
            <w:tcBorders>
              <w:bottom w:val="single" w:sz="4" w:space="0" w:color="auto"/>
            </w:tcBorders>
          </w:tcPr>
          <w:p w14:paraId="0460C295" w14:textId="77777777" w:rsidR="001861DC" w:rsidRPr="00BF7A86" w:rsidRDefault="001861DC" w:rsidP="002E0516">
            <w:pPr>
              <w:rPr>
                <w:sz w:val="18"/>
              </w:rPr>
            </w:pPr>
            <w:r w:rsidRPr="00BF7A86">
              <w:rPr>
                <w:sz w:val="18"/>
              </w:rPr>
              <w:t>Estados Unidos</w:t>
            </w:r>
          </w:p>
        </w:tc>
        <w:tc>
          <w:tcPr>
            <w:tcW w:w="4536" w:type="dxa"/>
            <w:tcBorders>
              <w:bottom w:val="single" w:sz="4" w:space="0" w:color="auto"/>
            </w:tcBorders>
          </w:tcPr>
          <w:p w14:paraId="0F158B33" w14:textId="77777777" w:rsidR="001861DC" w:rsidRPr="00BF7A86" w:rsidRDefault="001861DC" w:rsidP="002E0516">
            <w:pPr>
              <w:jc w:val="left"/>
              <w:rPr>
                <w:rStyle w:val="hps"/>
                <w:rFonts w:cs="Arial"/>
                <w:color w:val="222222"/>
                <w:sz w:val="18"/>
              </w:rPr>
            </w:pPr>
            <w:r w:rsidRPr="00BF7A86">
              <w:rPr>
                <w:rStyle w:val="hps"/>
                <w:rFonts w:cs="Arial"/>
                <w:color w:val="222222"/>
                <w:sz w:val="18"/>
              </w:rPr>
              <w:t>Algunos límites de los bonos del empleador</w:t>
            </w:r>
          </w:p>
        </w:tc>
      </w:tr>
    </w:tbl>
    <w:p w14:paraId="6B40B093" w14:textId="77777777" w:rsidR="001861DC" w:rsidRPr="00A43E8C" w:rsidRDefault="001861DC" w:rsidP="001861DC">
      <w:pPr>
        <w:spacing w:after="160" w:line="259" w:lineRule="auto"/>
        <w:rPr>
          <w:sz w:val="16"/>
          <w:szCs w:val="16"/>
        </w:rPr>
      </w:pPr>
      <w:r>
        <w:tab/>
      </w:r>
      <w:r>
        <w:tab/>
      </w:r>
      <w:r w:rsidRPr="00A43E8C">
        <w:rPr>
          <w:sz w:val="16"/>
          <w:szCs w:val="16"/>
        </w:rPr>
        <w:t>Fuente: IOPS</w:t>
      </w:r>
    </w:p>
    <w:p w14:paraId="2BC2F595" w14:textId="77777777" w:rsidR="001861DC" w:rsidRPr="00492E6B" w:rsidRDefault="001861DC" w:rsidP="001861DC"/>
    <w:p w14:paraId="71542A78" w14:textId="77777777" w:rsidR="001861DC" w:rsidRDefault="001861DC" w:rsidP="001861DC">
      <w:pPr>
        <w:pStyle w:val="Ttulo1"/>
      </w:pPr>
      <w:r>
        <w:lastRenderedPageBreak/>
        <w:t>Opciones al uso de límites</w:t>
      </w:r>
    </w:p>
    <w:p w14:paraId="44EE3986" w14:textId="77777777" w:rsidR="001861DC" w:rsidRDefault="001861DC" w:rsidP="001861DC"/>
    <w:p w14:paraId="0221B44F" w14:textId="77777777" w:rsidR="001861DC" w:rsidRDefault="001861DC" w:rsidP="001861DC">
      <w:r>
        <w:t>Existen al menos cuatro motivaciones que guían el actuar de los gestores de fondos de pensiones:</w:t>
      </w:r>
    </w:p>
    <w:p w14:paraId="620EDA04" w14:textId="77777777" w:rsidR="001861DC" w:rsidRDefault="001861DC" w:rsidP="001861DC"/>
    <w:p w14:paraId="6ECEC8CF" w14:textId="77777777" w:rsidR="001861DC" w:rsidRDefault="001861DC" w:rsidP="001861DC">
      <w:pPr>
        <w:pStyle w:val="Prrafodelista"/>
        <w:numPr>
          <w:ilvl w:val="0"/>
          <w:numId w:val="8"/>
        </w:numPr>
      </w:pPr>
      <w:r>
        <w:t>Cumplir con la regulación.</w:t>
      </w:r>
    </w:p>
    <w:p w14:paraId="0DFA99A0" w14:textId="77777777" w:rsidR="001861DC" w:rsidRDefault="001861DC" w:rsidP="001861DC">
      <w:pPr>
        <w:pStyle w:val="Prrafodelista"/>
        <w:numPr>
          <w:ilvl w:val="0"/>
          <w:numId w:val="8"/>
        </w:numPr>
      </w:pPr>
      <w:r>
        <w:t>Evitar la intervención del supervisor.</w:t>
      </w:r>
    </w:p>
    <w:p w14:paraId="61E43C4E" w14:textId="77777777" w:rsidR="001861DC" w:rsidRDefault="001861DC" w:rsidP="001861DC">
      <w:pPr>
        <w:pStyle w:val="Prrafodelista"/>
        <w:numPr>
          <w:ilvl w:val="0"/>
          <w:numId w:val="8"/>
        </w:numPr>
      </w:pPr>
      <w:r>
        <w:t>Alcanzar la satisfacción de los clientes, en términos de mantener un perfil de riesgo y retorno aceptable en comparación al mercado.</w:t>
      </w:r>
    </w:p>
    <w:p w14:paraId="0BEA6A7C" w14:textId="77777777" w:rsidR="001861DC" w:rsidRDefault="001861DC" w:rsidP="001861DC">
      <w:pPr>
        <w:pStyle w:val="Prrafodelista"/>
        <w:numPr>
          <w:ilvl w:val="0"/>
          <w:numId w:val="8"/>
        </w:numPr>
      </w:pPr>
      <w:r>
        <w:t>Reducir los aportes de capital adicional asociado a un manejo deficiente.</w:t>
      </w:r>
    </w:p>
    <w:p w14:paraId="3B03CAF9" w14:textId="77777777" w:rsidR="001861DC" w:rsidRDefault="001861DC" w:rsidP="001861DC"/>
    <w:p w14:paraId="1B8E8794" w14:textId="77777777" w:rsidR="001861DC" w:rsidRDefault="001861DC" w:rsidP="001861DC">
      <w:r>
        <w:t xml:space="preserve">De no existir estas motivaciones, el gestor podría asumir un mayor riesgo, dado que el ahorrante no tiene el control de las decisiones en que puede invertir. </w:t>
      </w:r>
    </w:p>
    <w:p w14:paraId="45F3F96E" w14:textId="77777777" w:rsidR="001861DC" w:rsidRDefault="001861DC" w:rsidP="001861DC"/>
    <w:p w14:paraId="3BB4C16F" w14:textId="77777777" w:rsidR="001861DC" w:rsidRDefault="001861DC" w:rsidP="001861DC">
      <w:r>
        <w:t>Desde el punto de vista del gobierno corporativo los gestores son remunerados en función básicamente del desempeño de corto plazo. A esto se suma el hecho de la existencia de rezagos entre las decisiones y la materialización de los riesgos, lo que dificulta identificar las responsabilidades.</w:t>
      </w:r>
    </w:p>
    <w:p w14:paraId="206D9C50" w14:textId="77777777" w:rsidR="001861DC" w:rsidRDefault="001861DC" w:rsidP="001861DC"/>
    <w:p w14:paraId="28126C80" w14:textId="77777777" w:rsidR="001861DC" w:rsidRDefault="001861DC" w:rsidP="001861DC">
      <w:r>
        <w:t xml:space="preserve">En este contexto se hace necesario exponer alternativas al uso de límites para controlar el desempeño de los gestores. </w:t>
      </w:r>
    </w:p>
    <w:p w14:paraId="65D93042" w14:textId="77777777" w:rsidR="001861DC" w:rsidRDefault="001861DC" w:rsidP="001861DC"/>
    <w:p w14:paraId="581D31EF" w14:textId="77777777" w:rsidR="001861DC" w:rsidRPr="00276B64" w:rsidRDefault="001861DC" w:rsidP="001861DC"/>
    <w:p w14:paraId="7311957B" w14:textId="77777777" w:rsidR="001861DC" w:rsidRDefault="001861DC" w:rsidP="001861DC">
      <w:pPr>
        <w:pStyle w:val="Ttulo2"/>
        <w:jc w:val="both"/>
      </w:pPr>
      <w:r>
        <w:t>Valor en riesgo (VAR)</w:t>
      </w:r>
    </w:p>
    <w:p w14:paraId="04A092F6" w14:textId="77777777" w:rsidR="001861DC" w:rsidRDefault="001861DC" w:rsidP="001861DC"/>
    <w:p w14:paraId="1F32A3D6" w14:textId="77777777" w:rsidR="001861DC" w:rsidRDefault="001861DC" w:rsidP="001861DC">
      <w:r>
        <w:t xml:space="preserve">Es una herramienta utilizada en el monitoreo del riesgo de mercado, mediante la cual se estima la máxima pérdida esperada de un portafolio para un nivel de probabilidad seleccionado en un horizonte de tiempo dado. </w:t>
      </w:r>
    </w:p>
    <w:p w14:paraId="74C4129E" w14:textId="77777777" w:rsidR="001861DC" w:rsidRDefault="001861DC" w:rsidP="001861DC"/>
    <w:p w14:paraId="210B3B59" w14:textId="77777777" w:rsidR="001861DC" w:rsidRDefault="001861DC" w:rsidP="001861DC">
      <w:r>
        <w:t xml:space="preserve">En los últimos años esta técnica ha sido muy utilizada en la supervisión de las inversiones en México, debido a su simplicidad de cálculo y de análisis, además de su poder de concentrar mucha información en un solo número. </w:t>
      </w:r>
    </w:p>
    <w:p w14:paraId="46F09A3A" w14:textId="77777777" w:rsidR="001861DC" w:rsidRDefault="001861DC" w:rsidP="001861DC"/>
    <w:p w14:paraId="17597532" w14:textId="77777777" w:rsidR="001861DC" w:rsidRDefault="001861DC" w:rsidP="001861DC">
      <w:r>
        <w:t>Las desventajas</w:t>
      </w:r>
      <w:r>
        <w:rPr>
          <w:rStyle w:val="Refdenotaalpie"/>
        </w:rPr>
        <w:footnoteReference w:id="4"/>
      </w:r>
      <w:r>
        <w:t xml:space="preserve"> que se le atribuyen al indicador son:</w:t>
      </w:r>
    </w:p>
    <w:p w14:paraId="5DF1B5A3" w14:textId="77777777" w:rsidR="001861DC" w:rsidRDefault="001861DC" w:rsidP="001861DC"/>
    <w:p w14:paraId="1CD20A14" w14:textId="77777777" w:rsidR="001861DC" w:rsidRDefault="001861DC" w:rsidP="001861DC">
      <w:pPr>
        <w:pStyle w:val="Prrafodelista"/>
        <w:numPr>
          <w:ilvl w:val="0"/>
          <w:numId w:val="9"/>
        </w:numPr>
      </w:pPr>
      <w:r>
        <w:t xml:space="preserve">El VAR no es una buena medida de riesgo para condiciones extremas porque se basa en la información histórica (o construida con una función normal) y si algo no se ha presentado no se refleja en la estimación. </w:t>
      </w:r>
    </w:p>
    <w:p w14:paraId="40D96F44" w14:textId="77777777" w:rsidR="001861DC" w:rsidRDefault="001861DC" w:rsidP="001861DC">
      <w:pPr>
        <w:pStyle w:val="Prrafodelista"/>
        <w:numPr>
          <w:ilvl w:val="0"/>
          <w:numId w:val="9"/>
        </w:numPr>
      </w:pPr>
      <w:r>
        <w:t>En ocasiones, se hace uso de distribuciones de probabilidad en vez de usar la información histórica. Estos datos asumen normalidad en la distribución de pérdidas. Dicho supuesto subestima el VAR, porque las crisis no se caracterizan por respetar las reglas de la distribución.</w:t>
      </w:r>
    </w:p>
    <w:p w14:paraId="708E60E9" w14:textId="77777777" w:rsidR="001861DC" w:rsidRDefault="001861DC" w:rsidP="001861DC">
      <w:pPr>
        <w:pStyle w:val="Prrafodelista"/>
        <w:numPr>
          <w:ilvl w:val="0"/>
          <w:numId w:val="9"/>
        </w:numPr>
      </w:pPr>
      <w:r>
        <w:t>Mientras más “pesadas” sean las colas de la distribución de pérdidas, mayor será el error de estimación del VAR.</w:t>
      </w:r>
    </w:p>
    <w:p w14:paraId="2128C95A" w14:textId="77777777" w:rsidR="001861DC" w:rsidRDefault="001861DC" w:rsidP="001861DC">
      <w:pPr>
        <w:pStyle w:val="Prrafodelista"/>
        <w:numPr>
          <w:ilvl w:val="0"/>
          <w:numId w:val="9"/>
        </w:numPr>
      </w:pPr>
      <w:r>
        <w:t xml:space="preserve">Hay mucha incertidumbre sobre qué pérdida esperar por encima del nivel de confianza del indicador. </w:t>
      </w:r>
    </w:p>
    <w:p w14:paraId="34C13B2B" w14:textId="77777777" w:rsidR="001861DC" w:rsidRDefault="001861DC" w:rsidP="001861DC">
      <w:pPr>
        <w:pStyle w:val="Prrafodelista"/>
        <w:numPr>
          <w:ilvl w:val="0"/>
          <w:numId w:val="9"/>
        </w:numPr>
      </w:pPr>
      <w:r>
        <w:t>El VAR no es una medida de riesgo subaditiva. Es decir, si se tienen dos portafolios “A” y “B”, no se cumple el principio de que Riesgo de A+B sea menor o igual al Riesgo de A más el Riesgo de B. Si esta condición no se cumple no se puede captar el efecto por diversificación.</w:t>
      </w:r>
    </w:p>
    <w:p w14:paraId="7407A04F" w14:textId="77777777" w:rsidR="001861DC" w:rsidRDefault="001861DC" w:rsidP="001861DC">
      <w:pPr>
        <w:pStyle w:val="Prrafodelista"/>
        <w:numPr>
          <w:ilvl w:val="0"/>
          <w:numId w:val="9"/>
        </w:numPr>
      </w:pPr>
      <w:r>
        <w:lastRenderedPageBreak/>
        <w:t>Cuando la mayoría de las instituciones utilizan la misma medida de riesgos existe el peligro de que ante un incremento en la volatilidad podría hacerlas reaccionar simultáneamente y en la misma dirección, contribuyendo a incrementar aún más la volatilidad del mercado y potencialmente profundizar sus consecuencias.</w:t>
      </w:r>
    </w:p>
    <w:p w14:paraId="639DDFAC" w14:textId="77777777" w:rsidR="001861DC" w:rsidRDefault="001861DC" w:rsidP="001861DC"/>
    <w:p w14:paraId="3A9AB5C2" w14:textId="77777777" w:rsidR="001861DC" w:rsidRDefault="001861DC" w:rsidP="001861DC">
      <w:r>
        <w:t xml:space="preserve">La forma en que se subsanan estás debilidades están asociadas al uso de pruebas de estrés. </w:t>
      </w:r>
    </w:p>
    <w:p w14:paraId="5C3B9902" w14:textId="77777777" w:rsidR="001861DC" w:rsidRDefault="001861DC" w:rsidP="001861DC"/>
    <w:p w14:paraId="7569D124" w14:textId="77777777" w:rsidR="001861DC" w:rsidRDefault="001861DC" w:rsidP="001861DC">
      <w:pPr>
        <w:pStyle w:val="Ttulo2"/>
        <w:jc w:val="both"/>
      </w:pPr>
      <w:r>
        <w:t>Expected Shorfall</w:t>
      </w:r>
    </w:p>
    <w:p w14:paraId="77895619" w14:textId="77777777" w:rsidR="001861DC" w:rsidRDefault="001861DC" w:rsidP="001861DC"/>
    <w:p w14:paraId="6AB8FF61" w14:textId="77777777" w:rsidR="001861DC" w:rsidRDefault="001861DC" w:rsidP="001861DC">
      <w:r>
        <w:t xml:space="preserve">Dentro del instrumental moderno en la gestión de las inversiones está el “Expected Shorfall”, que es una medición del riesgo de mercado o riesgo de crédito de una cartera construido sobre la técnica de VAR. Consiste en estimar el retorno esperado de un portafolio en los “q” casos definidos como peores. </w:t>
      </w:r>
    </w:p>
    <w:p w14:paraId="562A27A5" w14:textId="77777777" w:rsidR="001861DC" w:rsidRDefault="001861DC" w:rsidP="001861DC"/>
    <w:p w14:paraId="2A3FC500" w14:textId="77777777" w:rsidR="001861DC" w:rsidRDefault="001861DC" w:rsidP="001861DC">
      <w:r>
        <w:t xml:space="preserve">Esta metodología es una alternativa a la anterior, por tener una mayor sensibilidad al modelado de las pérdidas. Es conocido en la literatura como el Valor en Riesgo Condicional (CVAR). Su función es proveer al tomador de decisiones de una medida conservadora de los retornos de un portafolio, centrándose en resultados menos optimistas. </w:t>
      </w:r>
    </w:p>
    <w:p w14:paraId="6B756597" w14:textId="77777777" w:rsidR="001861DC" w:rsidRDefault="001861DC" w:rsidP="001861DC"/>
    <w:p w14:paraId="11C754D5" w14:textId="77777777" w:rsidR="001861DC" w:rsidRPr="00276B64" w:rsidRDefault="001861DC" w:rsidP="001861DC"/>
    <w:p w14:paraId="270E3656" w14:textId="77777777" w:rsidR="001861DC" w:rsidRPr="00F53564" w:rsidRDefault="001861DC" w:rsidP="001861DC">
      <w:pPr>
        <w:pStyle w:val="Ttulo2"/>
        <w:jc w:val="both"/>
      </w:pPr>
      <w:r>
        <w:t>Modelos Avanzados</w:t>
      </w:r>
    </w:p>
    <w:p w14:paraId="67475B9B" w14:textId="77777777" w:rsidR="001861DC" w:rsidRDefault="001861DC" w:rsidP="001861DC"/>
    <w:p w14:paraId="37922565" w14:textId="77777777" w:rsidR="001861DC" w:rsidRDefault="001861DC" w:rsidP="001861DC">
      <w:r>
        <w:t>En el pasado los requerimientos de capital no fueron suficientes para cubrir las pérdidas generadas en momentos de crisis. Basilea propuso modificar la regulación para establecer como recomendación a los países el permitir a las entidades financieras utilizar sus propios modelos de medición del riesgo para determinar los requerimientos de capital necesarios; es decir, auto controlar sus posiciones en función del riesgo que se quiere administrar. La ventaja de estos modelos es permitir la actualización mediante estimaciones más frecuentes y rigurosas, toda vez que no es necesario un cambio en la regulación para modificar los procesos de estimación.</w:t>
      </w:r>
    </w:p>
    <w:p w14:paraId="7CB17698" w14:textId="77777777" w:rsidR="001861DC" w:rsidRDefault="001861DC" w:rsidP="001861DC"/>
    <w:p w14:paraId="3F1F9C6E" w14:textId="77777777" w:rsidR="001861DC" w:rsidRDefault="001861DC" w:rsidP="001861DC">
      <w:pPr>
        <w:pStyle w:val="Ttulo1"/>
      </w:pPr>
      <w:r>
        <w:t>Portafolios en la Actualidad</w:t>
      </w:r>
    </w:p>
    <w:p w14:paraId="3AC10180" w14:textId="77777777" w:rsidR="001861DC" w:rsidRDefault="001861DC" w:rsidP="001861DC"/>
    <w:p w14:paraId="196367AA" w14:textId="77777777" w:rsidR="001861DC" w:rsidRDefault="001861DC" w:rsidP="001861DC">
      <w:r>
        <w:t>La inversión de los recursos administrados de todo el sistema de pensiones en instrumentos del Ministerio de Hacienda y del Banco Central de Costa Rica asciende a 11.875,21 millones de dólares, es decir 22,48% del PIB. A modo de referencia sólo el ROP administra un total de 7.284 millones de dólares (aproximadamente un 13,79% del PIB); 1,6 veces el ROP está invertido en el MH y BCCR.</w:t>
      </w:r>
    </w:p>
    <w:p w14:paraId="158CA845" w14:textId="77777777" w:rsidR="001861DC" w:rsidRDefault="001861DC" w:rsidP="001861DC">
      <w:r>
        <w:t xml:space="preserve"> </w:t>
      </w:r>
    </w:p>
    <w:p w14:paraId="50202BCB" w14:textId="77777777" w:rsidR="001861DC" w:rsidRPr="00A87CB8" w:rsidRDefault="001861DC" w:rsidP="001861DC">
      <w:pPr>
        <w:jc w:val="center"/>
      </w:pPr>
      <w:bookmarkStart w:id="0" w:name="_Toc426449335"/>
      <w:bookmarkStart w:id="1" w:name="_Toc441497057"/>
      <w:r w:rsidRPr="00A87CB8">
        <w:t>SNP: Inversiones por Sector y Pilar</w:t>
      </w:r>
      <w:bookmarkEnd w:id="0"/>
      <w:bookmarkEnd w:id="1"/>
    </w:p>
    <w:p w14:paraId="7D3CE495" w14:textId="77777777" w:rsidR="001861DC" w:rsidRPr="00A87CB8" w:rsidRDefault="001861DC" w:rsidP="001861DC">
      <w:pPr>
        <w:jc w:val="center"/>
      </w:pPr>
      <w:r w:rsidRPr="00A87CB8">
        <w:t>Millones de Dólares</w:t>
      </w:r>
    </w:p>
    <w:p w14:paraId="241A202B" w14:textId="77777777" w:rsidR="001861DC" w:rsidRPr="00A87CB8" w:rsidRDefault="001861DC" w:rsidP="001861DC">
      <w:pPr>
        <w:jc w:val="center"/>
      </w:pPr>
      <w:r w:rsidRPr="00A87CB8">
        <w:t>31 de Diciembre 2015</w:t>
      </w:r>
    </w:p>
    <w:p w14:paraId="1950C4CD" w14:textId="77777777" w:rsidR="001861DC" w:rsidRPr="0029266A" w:rsidRDefault="001861DC" w:rsidP="001861DC">
      <w:pPr>
        <w:spacing w:after="120"/>
        <w:jc w:val="center"/>
      </w:pPr>
      <w:r w:rsidRPr="00F82BCB">
        <w:rPr>
          <w:noProof/>
          <w:lang w:eastAsia="es-ES"/>
        </w:rPr>
        <w:drawing>
          <wp:inline distT="0" distB="0" distL="0" distR="0" wp14:anchorId="4F0A1AE2" wp14:editId="51B63614">
            <wp:extent cx="5220335" cy="133985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20335" cy="1339850"/>
                    </a:xfrm>
                    <a:prstGeom prst="rect">
                      <a:avLst/>
                    </a:prstGeom>
                    <a:noFill/>
                    <a:ln>
                      <a:noFill/>
                    </a:ln>
                  </pic:spPr>
                </pic:pic>
              </a:graphicData>
            </a:graphic>
          </wp:inline>
        </w:drawing>
      </w:r>
    </w:p>
    <w:p w14:paraId="4A9AA245" w14:textId="77777777" w:rsidR="001861DC" w:rsidRDefault="001861DC" w:rsidP="001861DC">
      <w:pPr>
        <w:jc w:val="center"/>
      </w:pPr>
    </w:p>
    <w:p w14:paraId="29501AF1" w14:textId="77777777" w:rsidR="001861DC" w:rsidRDefault="001861DC" w:rsidP="001861DC">
      <w:r>
        <w:lastRenderedPageBreak/>
        <w:t>Para efectos de analizar el comportamiento de la concentración de las inversiones del ROP en el MH, se analizan las estructuras de la cartera al final de cada mes. La observación de los datos arroja que los porcentajes de inversión en estos emisores ha permanecido casi invariable durante todo el 2015. Es decir, no hay evidencia de que durante este período exista un cambio hacia la diversificación en estos emisores, los cuales en conjunto representan un 61,49% del total del portafolio y estaban en un 58,81% de un límite establecido en 62,5% para diciembre del 2015.</w:t>
      </w:r>
    </w:p>
    <w:p w14:paraId="01265C48" w14:textId="77777777" w:rsidR="001861DC" w:rsidRDefault="001861DC" w:rsidP="001861DC"/>
    <w:p w14:paraId="37AEE9A2" w14:textId="77777777" w:rsidR="001861DC" w:rsidRDefault="001861DC" w:rsidP="001861DC">
      <w:pPr>
        <w:jc w:val="center"/>
      </w:pPr>
      <w:r w:rsidRPr="003E2D39">
        <w:rPr>
          <w:b/>
        </w:rPr>
        <w:t xml:space="preserve">ROP: </w:t>
      </w:r>
      <w:r>
        <w:t>Tenencias y Límites por emisor</w:t>
      </w:r>
    </w:p>
    <w:p w14:paraId="4C45BD86" w14:textId="77777777" w:rsidR="001861DC" w:rsidRDefault="001861DC" w:rsidP="001861DC">
      <w:pPr>
        <w:jc w:val="center"/>
      </w:pPr>
    </w:p>
    <w:p w14:paraId="2A84A289" w14:textId="77777777" w:rsidR="001861DC" w:rsidRDefault="001861DC" w:rsidP="001861DC">
      <w:pPr>
        <w:jc w:val="center"/>
      </w:pPr>
      <w:r>
        <w:t>Cifras porcentuales/mensuales, año 2015</w:t>
      </w:r>
    </w:p>
    <w:p w14:paraId="3D5C27FA" w14:textId="77777777" w:rsidR="001861DC" w:rsidRDefault="001861DC" w:rsidP="001861DC"/>
    <w:tbl>
      <w:tblPr>
        <w:tblW w:w="7920" w:type="dxa"/>
        <w:jc w:val="center"/>
        <w:tblCellMar>
          <w:left w:w="70" w:type="dxa"/>
          <w:right w:w="70" w:type="dxa"/>
        </w:tblCellMar>
        <w:tblLook w:val="04A0" w:firstRow="1" w:lastRow="0" w:firstColumn="1" w:lastColumn="0" w:noHBand="0" w:noVBand="1"/>
      </w:tblPr>
      <w:tblGrid>
        <w:gridCol w:w="1200"/>
        <w:gridCol w:w="915"/>
        <w:gridCol w:w="1515"/>
        <w:gridCol w:w="930"/>
        <w:gridCol w:w="915"/>
        <w:gridCol w:w="1515"/>
        <w:gridCol w:w="930"/>
      </w:tblGrid>
      <w:tr w:rsidR="001861DC" w:rsidRPr="003E2D39" w14:paraId="6D805261" w14:textId="77777777" w:rsidTr="002E0516">
        <w:trPr>
          <w:trHeight w:val="300"/>
          <w:jc w:val="center"/>
        </w:trPr>
        <w:tc>
          <w:tcPr>
            <w:tcW w:w="1200" w:type="dxa"/>
            <w:vMerge w:val="restart"/>
            <w:tcBorders>
              <w:top w:val="single" w:sz="4" w:space="0" w:color="auto"/>
              <w:left w:val="nil"/>
              <w:bottom w:val="single" w:sz="4" w:space="0" w:color="000000"/>
              <w:right w:val="nil"/>
            </w:tcBorders>
            <w:shd w:val="clear" w:color="auto" w:fill="auto"/>
            <w:vAlign w:val="center"/>
            <w:hideMark/>
          </w:tcPr>
          <w:p w14:paraId="1376833B" w14:textId="77777777" w:rsidR="001861DC" w:rsidRPr="003E2D39" w:rsidRDefault="001861DC" w:rsidP="002E0516">
            <w:pPr>
              <w:jc w:val="center"/>
              <w:rPr>
                <w:rFonts w:ascii="Calibri" w:eastAsia="Times New Roman" w:hAnsi="Calibri" w:cs="Times New Roman"/>
                <w:b/>
                <w:bCs/>
                <w:color w:val="000000"/>
                <w:lang w:eastAsia="es-ES"/>
              </w:rPr>
            </w:pPr>
            <w:r>
              <w:rPr>
                <w:rFonts w:ascii="Calibri" w:eastAsia="Times New Roman" w:hAnsi="Calibri" w:cs="Times New Roman"/>
                <w:b/>
                <w:bCs/>
                <w:color w:val="000000"/>
                <w:lang w:eastAsia="es-ES"/>
              </w:rPr>
              <w:t>Mes</w:t>
            </w:r>
          </w:p>
        </w:tc>
        <w:tc>
          <w:tcPr>
            <w:tcW w:w="3360" w:type="dxa"/>
            <w:gridSpan w:val="3"/>
            <w:tcBorders>
              <w:top w:val="single" w:sz="4" w:space="0" w:color="auto"/>
              <w:left w:val="nil"/>
              <w:bottom w:val="nil"/>
              <w:right w:val="nil"/>
            </w:tcBorders>
            <w:shd w:val="clear" w:color="auto" w:fill="auto"/>
            <w:noWrap/>
            <w:vAlign w:val="bottom"/>
            <w:hideMark/>
          </w:tcPr>
          <w:p w14:paraId="44952701" w14:textId="77777777" w:rsidR="001861DC" w:rsidRPr="003E2D39" w:rsidRDefault="001861DC" w:rsidP="002E0516">
            <w:pPr>
              <w:jc w:val="center"/>
              <w:rPr>
                <w:rFonts w:ascii="Calibri" w:eastAsia="Times New Roman" w:hAnsi="Calibri" w:cs="Times New Roman"/>
                <w:b/>
                <w:bCs/>
                <w:color w:val="000000"/>
                <w:lang w:eastAsia="es-ES"/>
              </w:rPr>
            </w:pPr>
            <w:r w:rsidRPr="003E2D39">
              <w:rPr>
                <w:rFonts w:ascii="Calibri" w:eastAsia="Times New Roman" w:hAnsi="Calibri" w:cs="Times New Roman"/>
                <w:b/>
                <w:bCs/>
                <w:color w:val="000000"/>
                <w:lang w:eastAsia="es-ES"/>
              </w:rPr>
              <w:t>Porcentaje del Portafolio</w:t>
            </w:r>
          </w:p>
        </w:tc>
        <w:tc>
          <w:tcPr>
            <w:tcW w:w="3360" w:type="dxa"/>
            <w:gridSpan w:val="3"/>
            <w:tcBorders>
              <w:top w:val="single" w:sz="4" w:space="0" w:color="auto"/>
              <w:left w:val="nil"/>
              <w:bottom w:val="nil"/>
              <w:right w:val="nil"/>
            </w:tcBorders>
            <w:shd w:val="clear" w:color="auto" w:fill="auto"/>
            <w:noWrap/>
            <w:vAlign w:val="bottom"/>
            <w:hideMark/>
          </w:tcPr>
          <w:p w14:paraId="29063086" w14:textId="77777777" w:rsidR="001861DC" w:rsidRPr="003E2D39" w:rsidRDefault="001861DC" w:rsidP="002E0516">
            <w:pPr>
              <w:jc w:val="center"/>
              <w:rPr>
                <w:rFonts w:ascii="Calibri" w:eastAsia="Times New Roman" w:hAnsi="Calibri" w:cs="Times New Roman"/>
                <w:b/>
                <w:bCs/>
                <w:color w:val="000000"/>
                <w:lang w:eastAsia="es-ES"/>
              </w:rPr>
            </w:pPr>
            <w:r w:rsidRPr="003E2D39">
              <w:rPr>
                <w:rFonts w:ascii="Calibri" w:eastAsia="Times New Roman" w:hAnsi="Calibri" w:cs="Times New Roman"/>
                <w:b/>
                <w:bCs/>
                <w:color w:val="000000"/>
                <w:lang w:eastAsia="es-ES"/>
              </w:rPr>
              <w:t>Porcentaje en el Límite</w:t>
            </w:r>
          </w:p>
        </w:tc>
      </w:tr>
      <w:tr w:rsidR="001861DC" w:rsidRPr="003E2D39" w14:paraId="77011D18" w14:textId="77777777" w:rsidTr="002E0516">
        <w:trPr>
          <w:trHeight w:val="300"/>
          <w:jc w:val="center"/>
        </w:trPr>
        <w:tc>
          <w:tcPr>
            <w:tcW w:w="1200" w:type="dxa"/>
            <w:vMerge/>
            <w:tcBorders>
              <w:top w:val="single" w:sz="4" w:space="0" w:color="auto"/>
              <w:left w:val="nil"/>
              <w:bottom w:val="single" w:sz="4" w:space="0" w:color="000000"/>
              <w:right w:val="nil"/>
            </w:tcBorders>
            <w:vAlign w:val="center"/>
            <w:hideMark/>
          </w:tcPr>
          <w:p w14:paraId="6EE53AF0" w14:textId="77777777" w:rsidR="001861DC" w:rsidRPr="003E2D39" w:rsidRDefault="001861DC" w:rsidP="002E0516">
            <w:pPr>
              <w:jc w:val="left"/>
              <w:rPr>
                <w:rFonts w:ascii="Calibri" w:eastAsia="Times New Roman" w:hAnsi="Calibri" w:cs="Times New Roman"/>
                <w:b/>
                <w:bCs/>
                <w:color w:val="000000"/>
                <w:lang w:eastAsia="es-ES"/>
              </w:rPr>
            </w:pPr>
          </w:p>
        </w:tc>
        <w:tc>
          <w:tcPr>
            <w:tcW w:w="915" w:type="dxa"/>
            <w:tcBorders>
              <w:top w:val="nil"/>
              <w:left w:val="nil"/>
              <w:bottom w:val="single" w:sz="4" w:space="0" w:color="auto"/>
              <w:right w:val="nil"/>
            </w:tcBorders>
            <w:shd w:val="clear" w:color="auto" w:fill="auto"/>
            <w:noWrap/>
            <w:vAlign w:val="bottom"/>
            <w:hideMark/>
          </w:tcPr>
          <w:p w14:paraId="6B12F203" w14:textId="77777777" w:rsidR="001861DC" w:rsidRPr="003E2D39" w:rsidRDefault="001861DC" w:rsidP="002E0516">
            <w:pPr>
              <w:jc w:val="center"/>
              <w:rPr>
                <w:rFonts w:ascii="Calibri" w:eastAsia="Times New Roman" w:hAnsi="Calibri" w:cs="Times New Roman"/>
                <w:b/>
                <w:bCs/>
                <w:color w:val="000000"/>
                <w:lang w:eastAsia="es-ES"/>
              </w:rPr>
            </w:pPr>
            <w:r w:rsidRPr="003E2D39">
              <w:rPr>
                <w:rFonts w:ascii="Calibri" w:eastAsia="Times New Roman" w:hAnsi="Calibri" w:cs="Times New Roman"/>
                <w:b/>
                <w:bCs/>
                <w:color w:val="000000"/>
                <w:lang w:eastAsia="es-ES"/>
              </w:rPr>
              <w:t>BCCR</w:t>
            </w:r>
          </w:p>
        </w:tc>
        <w:tc>
          <w:tcPr>
            <w:tcW w:w="1515" w:type="dxa"/>
            <w:tcBorders>
              <w:top w:val="nil"/>
              <w:left w:val="nil"/>
              <w:bottom w:val="single" w:sz="4" w:space="0" w:color="auto"/>
              <w:right w:val="nil"/>
            </w:tcBorders>
            <w:shd w:val="clear" w:color="auto" w:fill="auto"/>
            <w:noWrap/>
            <w:vAlign w:val="bottom"/>
            <w:hideMark/>
          </w:tcPr>
          <w:p w14:paraId="50DB3B6D" w14:textId="77777777" w:rsidR="001861DC" w:rsidRPr="003E2D39" w:rsidRDefault="001861DC" w:rsidP="002E0516">
            <w:pPr>
              <w:jc w:val="center"/>
              <w:rPr>
                <w:rFonts w:ascii="Calibri" w:eastAsia="Times New Roman" w:hAnsi="Calibri" w:cs="Times New Roman"/>
                <w:b/>
                <w:bCs/>
                <w:color w:val="000000"/>
                <w:lang w:eastAsia="es-ES"/>
              </w:rPr>
            </w:pPr>
            <w:r>
              <w:rPr>
                <w:rFonts w:ascii="Calibri" w:eastAsia="Times New Roman" w:hAnsi="Calibri" w:cs="Times New Roman"/>
                <w:b/>
                <w:bCs/>
                <w:color w:val="000000"/>
                <w:lang w:eastAsia="es-ES"/>
              </w:rPr>
              <w:t>MH</w:t>
            </w:r>
          </w:p>
        </w:tc>
        <w:tc>
          <w:tcPr>
            <w:tcW w:w="930" w:type="dxa"/>
            <w:tcBorders>
              <w:top w:val="nil"/>
              <w:left w:val="nil"/>
              <w:bottom w:val="single" w:sz="4" w:space="0" w:color="auto"/>
              <w:right w:val="nil"/>
            </w:tcBorders>
            <w:shd w:val="clear" w:color="auto" w:fill="auto"/>
            <w:noWrap/>
            <w:vAlign w:val="bottom"/>
            <w:hideMark/>
          </w:tcPr>
          <w:p w14:paraId="05839274" w14:textId="77777777" w:rsidR="001861DC" w:rsidRPr="003E2D39" w:rsidRDefault="001861DC" w:rsidP="002E0516">
            <w:pPr>
              <w:jc w:val="center"/>
              <w:rPr>
                <w:rFonts w:ascii="Calibri" w:eastAsia="Times New Roman" w:hAnsi="Calibri" w:cs="Times New Roman"/>
                <w:b/>
                <w:bCs/>
                <w:color w:val="000000"/>
                <w:lang w:eastAsia="es-ES"/>
              </w:rPr>
            </w:pPr>
            <w:r w:rsidRPr="003E2D39">
              <w:rPr>
                <w:rFonts w:ascii="Calibri" w:eastAsia="Times New Roman" w:hAnsi="Calibri" w:cs="Times New Roman"/>
                <w:b/>
                <w:bCs/>
                <w:color w:val="000000"/>
                <w:lang w:eastAsia="es-ES"/>
              </w:rPr>
              <w:t>Otros</w:t>
            </w:r>
          </w:p>
        </w:tc>
        <w:tc>
          <w:tcPr>
            <w:tcW w:w="915" w:type="dxa"/>
            <w:tcBorders>
              <w:top w:val="nil"/>
              <w:left w:val="nil"/>
              <w:bottom w:val="single" w:sz="4" w:space="0" w:color="auto"/>
              <w:right w:val="nil"/>
            </w:tcBorders>
            <w:shd w:val="clear" w:color="auto" w:fill="auto"/>
            <w:noWrap/>
            <w:vAlign w:val="bottom"/>
            <w:hideMark/>
          </w:tcPr>
          <w:p w14:paraId="2396150E" w14:textId="77777777" w:rsidR="001861DC" w:rsidRPr="003E2D39" w:rsidRDefault="001861DC" w:rsidP="002E0516">
            <w:pPr>
              <w:jc w:val="center"/>
              <w:rPr>
                <w:rFonts w:ascii="Calibri" w:eastAsia="Times New Roman" w:hAnsi="Calibri" w:cs="Times New Roman"/>
                <w:b/>
                <w:bCs/>
                <w:color w:val="000000"/>
                <w:lang w:eastAsia="es-ES"/>
              </w:rPr>
            </w:pPr>
            <w:r w:rsidRPr="003E2D39">
              <w:rPr>
                <w:rFonts w:ascii="Calibri" w:eastAsia="Times New Roman" w:hAnsi="Calibri" w:cs="Times New Roman"/>
                <w:b/>
                <w:bCs/>
                <w:color w:val="000000"/>
                <w:lang w:eastAsia="es-ES"/>
              </w:rPr>
              <w:t>BCCR</w:t>
            </w:r>
          </w:p>
        </w:tc>
        <w:tc>
          <w:tcPr>
            <w:tcW w:w="1515" w:type="dxa"/>
            <w:tcBorders>
              <w:top w:val="nil"/>
              <w:left w:val="nil"/>
              <w:bottom w:val="single" w:sz="4" w:space="0" w:color="auto"/>
              <w:right w:val="nil"/>
            </w:tcBorders>
            <w:shd w:val="clear" w:color="auto" w:fill="auto"/>
            <w:noWrap/>
            <w:vAlign w:val="bottom"/>
            <w:hideMark/>
          </w:tcPr>
          <w:p w14:paraId="4FB2744E" w14:textId="77777777" w:rsidR="001861DC" w:rsidRPr="003E2D39" w:rsidRDefault="001861DC" w:rsidP="002E0516">
            <w:pPr>
              <w:jc w:val="center"/>
              <w:rPr>
                <w:rFonts w:ascii="Calibri" w:eastAsia="Times New Roman" w:hAnsi="Calibri" w:cs="Times New Roman"/>
                <w:b/>
                <w:bCs/>
                <w:color w:val="000000"/>
                <w:lang w:eastAsia="es-ES"/>
              </w:rPr>
            </w:pPr>
            <w:r>
              <w:rPr>
                <w:rFonts w:ascii="Calibri" w:eastAsia="Times New Roman" w:hAnsi="Calibri" w:cs="Times New Roman"/>
                <w:b/>
                <w:bCs/>
                <w:color w:val="000000"/>
                <w:lang w:eastAsia="es-ES"/>
              </w:rPr>
              <w:t>MH</w:t>
            </w:r>
          </w:p>
        </w:tc>
        <w:tc>
          <w:tcPr>
            <w:tcW w:w="930" w:type="dxa"/>
            <w:tcBorders>
              <w:top w:val="nil"/>
              <w:left w:val="nil"/>
              <w:bottom w:val="single" w:sz="4" w:space="0" w:color="auto"/>
              <w:right w:val="nil"/>
            </w:tcBorders>
            <w:shd w:val="clear" w:color="auto" w:fill="auto"/>
            <w:noWrap/>
            <w:vAlign w:val="bottom"/>
            <w:hideMark/>
          </w:tcPr>
          <w:p w14:paraId="0C24B359" w14:textId="77777777" w:rsidR="001861DC" w:rsidRPr="003E2D39" w:rsidRDefault="001861DC" w:rsidP="002E0516">
            <w:pPr>
              <w:jc w:val="center"/>
              <w:rPr>
                <w:rFonts w:ascii="Calibri" w:eastAsia="Times New Roman" w:hAnsi="Calibri" w:cs="Times New Roman"/>
                <w:b/>
                <w:bCs/>
                <w:color w:val="000000"/>
                <w:lang w:eastAsia="es-ES"/>
              </w:rPr>
            </w:pPr>
            <w:r w:rsidRPr="003E2D39">
              <w:rPr>
                <w:rFonts w:ascii="Calibri" w:eastAsia="Times New Roman" w:hAnsi="Calibri" w:cs="Times New Roman"/>
                <w:b/>
                <w:bCs/>
                <w:color w:val="000000"/>
                <w:lang w:eastAsia="es-ES"/>
              </w:rPr>
              <w:t>Otros</w:t>
            </w:r>
          </w:p>
        </w:tc>
      </w:tr>
      <w:tr w:rsidR="001861DC" w:rsidRPr="003E2D39" w14:paraId="1CA96D38" w14:textId="77777777" w:rsidTr="002E0516">
        <w:trPr>
          <w:trHeight w:val="300"/>
          <w:jc w:val="center"/>
        </w:trPr>
        <w:tc>
          <w:tcPr>
            <w:tcW w:w="1200" w:type="dxa"/>
            <w:tcBorders>
              <w:top w:val="nil"/>
              <w:left w:val="nil"/>
              <w:bottom w:val="nil"/>
              <w:right w:val="nil"/>
            </w:tcBorders>
            <w:shd w:val="clear" w:color="auto" w:fill="auto"/>
            <w:noWrap/>
            <w:vAlign w:val="bottom"/>
            <w:hideMark/>
          </w:tcPr>
          <w:p w14:paraId="00C611AA" w14:textId="77777777" w:rsidR="001861DC" w:rsidRPr="003E2D39" w:rsidRDefault="001861DC" w:rsidP="002E0516">
            <w:pPr>
              <w:rPr>
                <w:rFonts w:ascii="Calibri" w:eastAsia="Times New Roman" w:hAnsi="Calibri" w:cs="Times New Roman"/>
                <w:color w:val="000000"/>
                <w:lang w:eastAsia="es-ES"/>
              </w:rPr>
            </w:pPr>
            <w:r>
              <w:rPr>
                <w:rFonts w:ascii="Calibri" w:eastAsia="Times New Roman" w:hAnsi="Calibri" w:cs="Times New Roman"/>
                <w:color w:val="000000"/>
                <w:lang w:eastAsia="es-ES"/>
              </w:rPr>
              <w:t>Enero</w:t>
            </w:r>
          </w:p>
        </w:tc>
        <w:tc>
          <w:tcPr>
            <w:tcW w:w="915" w:type="dxa"/>
            <w:tcBorders>
              <w:top w:val="nil"/>
              <w:left w:val="nil"/>
              <w:bottom w:val="nil"/>
              <w:right w:val="nil"/>
            </w:tcBorders>
            <w:shd w:val="clear" w:color="auto" w:fill="auto"/>
            <w:noWrap/>
            <w:vAlign w:val="bottom"/>
            <w:hideMark/>
          </w:tcPr>
          <w:p w14:paraId="49A0689F" w14:textId="77777777" w:rsidR="001861DC" w:rsidRPr="003E2D39" w:rsidRDefault="001861DC" w:rsidP="002E0516">
            <w:pPr>
              <w:jc w:val="center"/>
              <w:rPr>
                <w:rFonts w:ascii="Calibri" w:eastAsia="Times New Roman" w:hAnsi="Calibri" w:cs="Times New Roman"/>
                <w:color w:val="000000"/>
                <w:lang w:eastAsia="es-ES"/>
              </w:rPr>
            </w:pPr>
            <w:r w:rsidRPr="003E2D39">
              <w:rPr>
                <w:rFonts w:ascii="Calibri" w:eastAsia="Times New Roman" w:hAnsi="Calibri" w:cs="Times New Roman"/>
                <w:color w:val="000000"/>
                <w:lang w:eastAsia="es-ES"/>
              </w:rPr>
              <w:t>13,74</w:t>
            </w:r>
          </w:p>
        </w:tc>
        <w:tc>
          <w:tcPr>
            <w:tcW w:w="1515" w:type="dxa"/>
            <w:tcBorders>
              <w:top w:val="nil"/>
              <w:left w:val="nil"/>
              <w:bottom w:val="nil"/>
              <w:right w:val="nil"/>
            </w:tcBorders>
            <w:shd w:val="clear" w:color="auto" w:fill="auto"/>
            <w:noWrap/>
            <w:vAlign w:val="bottom"/>
            <w:hideMark/>
          </w:tcPr>
          <w:p w14:paraId="29DA68A4" w14:textId="77777777" w:rsidR="001861DC" w:rsidRPr="003E2D39" w:rsidRDefault="001861DC" w:rsidP="002E0516">
            <w:pPr>
              <w:jc w:val="center"/>
              <w:rPr>
                <w:rFonts w:ascii="Calibri" w:eastAsia="Times New Roman" w:hAnsi="Calibri" w:cs="Times New Roman"/>
                <w:color w:val="000000"/>
                <w:lang w:eastAsia="es-ES"/>
              </w:rPr>
            </w:pPr>
            <w:r w:rsidRPr="003E2D39">
              <w:rPr>
                <w:rFonts w:ascii="Calibri" w:eastAsia="Times New Roman" w:hAnsi="Calibri" w:cs="Times New Roman"/>
                <w:color w:val="000000"/>
                <w:lang w:eastAsia="es-ES"/>
              </w:rPr>
              <w:t>49,39</w:t>
            </w:r>
          </w:p>
        </w:tc>
        <w:tc>
          <w:tcPr>
            <w:tcW w:w="930" w:type="dxa"/>
            <w:tcBorders>
              <w:top w:val="nil"/>
              <w:left w:val="nil"/>
              <w:bottom w:val="nil"/>
              <w:right w:val="nil"/>
            </w:tcBorders>
            <w:shd w:val="clear" w:color="auto" w:fill="auto"/>
            <w:noWrap/>
            <w:vAlign w:val="bottom"/>
            <w:hideMark/>
          </w:tcPr>
          <w:p w14:paraId="3AED2875" w14:textId="77777777" w:rsidR="001861DC" w:rsidRPr="003E2D39" w:rsidRDefault="001861DC" w:rsidP="002E0516">
            <w:pPr>
              <w:jc w:val="center"/>
              <w:rPr>
                <w:rFonts w:ascii="Calibri" w:eastAsia="Times New Roman" w:hAnsi="Calibri" w:cs="Times New Roman"/>
                <w:color w:val="000000"/>
                <w:lang w:eastAsia="es-ES"/>
              </w:rPr>
            </w:pPr>
            <w:r w:rsidRPr="003E2D39">
              <w:rPr>
                <w:rFonts w:ascii="Calibri" w:eastAsia="Times New Roman" w:hAnsi="Calibri" w:cs="Times New Roman"/>
                <w:color w:val="000000"/>
                <w:lang w:eastAsia="es-ES"/>
              </w:rPr>
              <w:t>36,88</w:t>
            </w:r>
          </w:p>
        </w:tc>
        <w:tc>
          <w:tcPr>
            <w:tcW w:w="915" w:type="dxa"/>
            <w:tcBorders>
              <w:top w:val="nil"/>
              <w:left w:val="nil"/>
              <w:bottom w:val="nil"/>
              <w:right w:val="nil"/>
            </w:tcBorders>
            <w:shd w:val="clear" w:color="auto" w:fill="auto"/>
            <w:noWrap/>
            <w:vAlign w:val="bottom"/>
            <w:hideMark/>
          </w:tcPr>
          <w:p w14:paraId="3735D1EB" w14:textId="77777777" w:rsidR="001861DC" w:rsidRPr="003E2D39" w:rsidRDefault="001861DC" w:rsidP="002E0516">
            <w:pPr>
              <w:jc w:val="center"/>
              <w:rPr>
                <w:rFonts w:ascii="Calibri" w:eastAsia="Times New Roman" w:hAnsi="Calibri" w:cs="Times New Roman"/>
                <w:color w:val="000000"/>
                <w:lang w:eastAsia="es-ES"/>
              </w:rPr>
            </w:pPr>
            <w:r w:rsidRPr="003E2D39">
              <w:rPr>
                <w:rFonts w:ascii="Calibri" w:eastAsia="Times New Roman" w:hAnsi="Calibri" w:cs="Times New Roman"/>
                <w:color w:val="000000"/>
                <w:lang w:eastAsia="es-ES"/>
              </w:rPr>
              <w:t>13,36</w:t>
            </w:r>
          </w:p>
        </w:tc>
        <w:tc>
          <w:tcPr>
            <w:tcW w:w="1515" w:type="dxa"/>
            <w:tcBorders>
              <w:top w:val="nil"/>
              <w:left w:val="nil"/>
              <w:bottom w:val="nil"/>
              <w:right w:val="nil"/>
            </w:tcBorders>
            <w:shd w:val="clear" w:color="auto" w:fill="auto"/>
            <w:noWrap/>
            <w:vAlign w:val="bottom"/>
            <w:hideMark/>
          </w:tcPr>
          <w:p w14:paraId="26C2EDCD" w14:textId="77777777" w:rsidR="001861DC" w:rsidRPr="003E2D39" w:rsidRDefault="001861DC" w:rsidP="002E0516">
            <w:pPr>
              <w:jc w:val="center"/>
              <w:rPr>
                <w:rFonts w:ascii="Calibri" w:eastAsia="Times New Roman" w:hAnsi="Calibri" w:cs="Times New Roman"/>
                <w:color w:val="000000"/>
                <w:lang w:eastAsia="es-ES"/>
              </w:rPr>
            </w:pPr>
            <w:r w:rsidRPr="003E2D39">
              <w:rPr>
                <w:rFonts w:ascii="Calibri" w:eastAsia="Times New Roman" w:hAnsi="Calibri" w:cs="Times New Roman"/>
                <w:color w:val="000000"/>
                <w:lang w:eastAsia="es-ES"/>
              </w:rPr>
              <w:t>48,05</w:t>
            </w:r>
          </w:p>
        </w:tc>
        <w:tc>
          <w:tcPr>
            <w:tcW w:w="930" w:type="dxa"/>
            <w:tcBorders>
              <w:top w:val="nil"/>
              <w:left w:val="nil"/>
              <w:bottom w:val="nil"/>
              <w:right w:val="nil"/>
            </w:tcBorders>
            <w:shd w:val="clear" w:color="auto" w:fill="auto"/>
            <w:noWrap/>
            <w:vAlign w:val="bottom"/>
            <w:hideMark/>
          </w:tcPr>
          <w:p w14:paraId="1F29AB9D" w14:textId="77777777" w:rsidR="001861DC" w:rsidRPr="003E2D39" w:rsidRDefault="001861DC" w:rsidP="002E0516">
            <w:pPr>
              <w:jc w:val="center"/>
              <w:rPr>
                <w:rFonts w:ascii="Calibri" w:eastAsia="Times New Roman" w:hAnsi="Calibri" w:cs="Times New Roman"/>
                <w:color w:val="000000"/>
                <w:lang w:eastAsia="es-ES"/>
              </w:rPr>
            </w:pPr>
            <w:r w:rsidRPr="003E2D39">
              <w:rPr>
                <w:rFonts w:ascii="Calibri" w:eastAsia="Times New Roman" w:hAnsi="Calibri" w:cs="Times New Roman"/>
                <w:color w:val="000000"/>
                <w:lang w:eastAsia="es-ES"/>
              </w:rPr>
              <w:t>35,88</w:t>
            </w:r>
          </w:p>
        </w:tc>
      </w:tr>
      <w:tr w:rsidR="001861DC" w:rsidRPr="003E2D39" w14:paraId="201F8072" w14:textId="77777777" w:rsidTr="002E0516">
        <w:trPr>
          <w:trHeight w:val="300"/>
          <w:jc w:val="center"/>
        </w:trPr>
        <w:tc>
          <w:tcPr>
            <w:tcW w:w="1200" w:type="dxa"/>
            <w:tcBorders>
              <w:top w:val="nil"/>
              <w:left w:val="nil"/>
              <w:bottom w:val="nil"/>
              <w:right w:val="nil"/>
            </w:tcBorders>
            <w:shd w:val="clear" w:color="auto" w:fill="auto"/>
            <w:noWrap/>
            <w:vAlign w:val="bottom"/>
            <w:hideMark/>
          </w:tcPr>
          <w:p w14:paraId="2ACFC640" w14:textId="77777777" w:rsidR="001861DC" w:rsidRPr="003E2D39" w:rsidRDefault="001861DC" w:rsidP="002E0516">
            <w:pPr>
              <w:rPr>
                <w:rFonts w:ascii="Calibri" w:eastAsia="Times New Roman" w:hAnsi="Calibri" w:cs="Times New Roman"/>
                <w:color w:val="000000"/>
                <w:lang w:eastAsia="es-ES"/>
              </w:rPr>
            </w:pPr>
            <w:r>
              <w:rPr>
                <w:rFonts w:ascii="Calibri" w:eastAsia="Times New Roman" w:hAnsi="Calibri" w:cs="Times New Roman"/>
                <w:color w:val="000000"/>
                <w:lang w:eastAsia="es-ES"/>
              </w:rPr>
              <w:t>Febrero</w:t>
            </w:r>
          </w:p>
        </w:tc>
        <w:tc>
          <w:tcPr>
            <w:tcW w:w="915" w:type="dxa"/>
            <w:tcBorders>
              <w:top w:val="nil"/>
              <w:left w:val="nil"/>
              <w:bottom w:val="nil"/>
              <w:right w:val="nil"/>
            </w:tcBorders>
            <w:shd w:val="clear" w:color="auto" w:fill="auto"/>
            <w:noWrap/>
            <w:vAlign w:val="bottom"/>
            <w:hideMark/>
          </w:tcPr>
          <w:p w14:paraId="7FF554F8" w14:textId="77777777" w:rsidR="001861DC" w:rsidRPr="003E2D39" w:rsidRDefault="001861DC" w:rsidP="002E0516">
            <w:pPr>
              <w:jc w:val="center"/>
              <w:rPr>
                <w:rFonts w:ascii="Calibri" w:eastAsia="Times New Roman" w:hAnsi="Calibri" w:cs="Times New Roman"/>
                <w:color w:val="000000"/>
                <w:lang w:eastAsia="es-ES"/>
              </w:rPr>
            </w:pPr>
            <w:r w:rsidRPr="003E2D39">
              <w:rPr>
                <w:rFonts w:ascii="Calibri" w:eastAsia="Times New Roman" w:hAnsi="Calibri" w:cs="Times New Roman"/>
                <w:color w:val="000000"/>
                <w:lang w:eastAsia="es-ES"/>
              </w:rPr>
              <w:t>13,96</w:t>
            </w:r>
          </w:p>
        </w:tc>
        <w:tc>
          <w:tcPr>
            <w:tcW w:w="1515" w:type="dxa"/>
            <w:tcBorders>
              <w:top w:val="nil"/>
              <w:left w:val="nil"/>
              <w:bottom w:val="nil"/>
              <w:right w:val="nil"/>
            </w:tcBorders>
            <w:shd w:val="clear" w:color="auto" w:fill="auto"/>
            <w:noWrap/>
            <w:vAlign w:val="bottom"/>
            <w:hideMark/>
          </w:tcPr>
          <w:p w14:paraId="01C9B87E" w14:textId="77777777" w:rsidR="001861DC" w:rsidRPr="003E2D39" w:rsidRDefault="001861DC" w:rsidP="002E0516">
            <w:pPr>
              <w:jc w:val="center"/>
              <w:rPr>
                <w:rFonts w:ascii="Calibri" w:eastAsia="Times New Roman" w:hAnsi="Calibri" w:cs="Times New Roman"/>
                <w:color w:val="000000"/>
                <w:lang w:eastAsia="es-ES"/>
              </w:rPr>
            </w:pPr>
            <w:r w:rsidRPr="003E2D39">
              <w:rPr>
                <w:rFonts w:ascii="Calibri" w:eastAsia="Times New Roman" w:hAnsi="Calibri" w:cs="Times New Roman"/>
                <w:color w:val="000000"/>
                <w:lang w:eastAsia="es-ES"/>
              </w:rPr>
              <w:t>50,92</w:t>
            </w:r>
          </w:p>
        </w:tc>
        <w:tc>
          <w:tcPr>
            <w:tcW w:w="930" w:type="dxa"/>
            <w:tcBorders>
              <w:top w:val="nil"/>
              <w:left w:val="nil"/>
              <w:bottom w:val="nil"/>
              <w:right w:val="nil"/>
            </w:tcBorders>
            <w:shd w:val="clear" w:color="auto" w:fill="auto"/>
            <w:noWrap/>
            <w:vAlign w:val="bottom"/>
            <w:hideMark/>
          </w:tcPr>
          <w:p w14:paraId="32B759C5" w14:textId="77777777" w:rsidR="001861DC" w:rsidRPr="003E2D39" w:rsidRDefault="001861DC" w:rsidP="002E0516">
            <w:pPr>
              <w:jc w:val="center"/>
              <w:rPr>
                <w:rFonts w:ascii="Calibri" w:eastAsia="Times New Roman" w:hAnsi="Calibri" w:cs="Times New Roman"/>
                <w:color w:val="000000"/>
                <w:lang w:eastAsia="es-ES"/>
              </w:rPr>
            </w:pPr>
            <w:r w:rsidRPr="003E2D39">
              <w:rPr>
                <w:rFonts w:ascii="Calibri" w:eastAsia="Times New Roman" w:hAnsi="Calibri" w:cs="Times New Roman"/>
                <w:color w:val="000000"/>
                <w:lang w:eastAsia="es-ES"/>
              </w:rPr>
              <w:t>35,12</w:t>
            </w:r>
          </w:p>
        </w:tc>
        <w:tc>
          <w:tcPr>
            <w:tcW w:w="915" w:type="dxa"/>
            <w:tcBorders>
              <w:top w:val="nil"/>
              <w:left w:val="nil"/>
              <w:bottom w:val="nil"/>
              <w:right w:val="nil"/>
            </w:tcBorders>
            <w:shd w:val="clear" w:color="auto" w:fill="auto"/>
            <w:noWrap/>
            <w:vAlign w:val="bottom"/>
            <w:hideMark/>
          </w:tcPr>
          <w:p w14:paraId="3EFBA38D" w14:textId="77777777" w:rsidR="001861DC" w:rsidRPr="003E2D39" w:rsidRDefault="001861DC" w:rsidP="002E0516">
            <w:pPr>
              <w:jc w:val="center"/>
              <w:rPr>
                <w:rFonts w:ascii="Calibri" w:eastAsia="Times New Roman" w:hAnsi="Calibri" w:cs="Times New Roman"/>
                <w:color w:val="000000"/>
                <w:lang w:eastAsia="es-ES"/>
              </w:rPr>
            </w:pPr>
            <w:r w:rsidRPr="003E2D39">
              <w:rPr>
                <w:rFonts w:ascii="Calibri" w:eastAsia="Times New Roman" w:hAnsi="Calibri" w:cs="Times New Roman"/>
                <w:color w:val="000000"/>
                <w:lang w:eastAsia="es-ES"/>
              </w:rPr>
              <w:t>13,26</w:t>
            </w:r>
          </w:p>
        </w:tc>
        <w:tc>
          <w:tcPr>
            <w:tcW w:w="1515" w:type="dxa"/>
            <w:tcBorders>
              <w:top w:val="nil"/>
              <w:left w:val="nil"/>
              <w:bottom w:val="nil"/>
              <w:right w:val="nil"/>
            </w:tcBorders>
            <w:shd w:val="clear" w:color="auto" w:fill="auto"/>
            <w:noWrap/>
            <w:vAlign w:val="bottom"/>
            <w:hideMark/>
          </w:tcPr>
          <w:p w14:paraId="56BE1F8E" w14:textId="77777777" w:rsidR="001861DC" w:rsidRPr="003E2D39" w:rsidRDefault="001861DC" w:rsidP="002E0516">
            <w:pPr>
              <w:jc w:val="center"/>
              <w:rPr>
                <w:rFonts w:ascii="Calibri" w:eastAsia="Times New Roman" w:hAnsi="Calibri" w:cs="Times New Roman"/>
                <w:color w:val="000000"/>
                <w:lang w:eastAsia="es-ES"/>
              </w:rPr>
            </w:pPr>
            <w:r w:rsidRPr="003E2D39">
              <w:rPr>
                <w:rFonts w:ascii="Calibri" w:eastAsia="Times New Roman" w:hAnsi="Calibri" w:cs="Times New Roman"/>
                <w:color w:val="000000"/>
                <w:lang w:eastAsia="es-ES"/>
              </w:rPr>
              <w:t>48,37</w:t>
            </w:r>
          </w:p>
        </w:tc>
        <w:tc>
          <w:tcPr>
            <w:tcW w:w="930" w:type="dxa"/>
            <w:tcBorders>
              <w:top w:val="nil"/>
              <w:left w:val="nil"/>
              <w:bottom w:val="nil"/>
              <w:right w:val="nil"/>
            </w:tcBorders>
            <w:shd w:val="clear" w:color="auto" w:fill="auto"/>
            <w:noWrap/>
            <w:vAlign w:val="bottom"/>
            <w:hideMark/>
          </w:tcPr>
          <w:p w14:paraId="56CD616D" w14:textId="77777777" w:rsidR="001861DC" w:rsidRPr="003E2D39" w:rsidRDefault="001861DC" w:rsidP="002E0516">
            <w:pPr>
              <w:jc w:val="center"/>
              <w:rPr>
                <w:rFonts w:ascii="Calibri" w:eastAsia="Times New Roman" w:hAnsi="Calibri" w:cs="Times New Roman"/>
                <w:color w:val="000000"/>
                <w:lang w:eastAsia="es-ES"/>
              </w:rPr>
            </w:pPr>
            <w:r w:rsidRPr="003E2D39">
              <w:rPr>
                <w:rFonts w:ascii="Calibri" w:eastAsia="Times New Roman" w:hAnsi="Calibri" w:cs="Times New Roman"/>
                <w:color w:val="000000"/>
                <w:lang w:eastAsia="es-ES"/>
              </w:rPr>
              <w:t>33,36</w:t>
            </w:r>
          </w:p>
        </w:tc>
      </w:tr>
      <w:tr w:rsidR="001861DC" w:rsidRPr="003E2D39" w14:paraId="512022E2" w14:textId="77777777" w:rsidTr="002E0516">
        <w:trPr>
          <w:trHeight w:val="300"/>
          <w:jc w:val="center"/>
        </w:trPr>
        <w:tc>
          <w:tcPr>
            <w:tcW w:w="1200" w:type="dxa"/>
            <w:tcBorders>
              <w:top w:val="nil"/>
              <w:left w:val="nil"/>
              <w:bottom w:val="nil"/>
              <w:right w:val="nil"/>
            </w:tcBorders>
            <w:shd w:val="clear" w:color="auto" w:fill="auto"/>
            <w:noWrap/>
            <w:vAlign w:val="bottom"/>
            <w:hideMark/>
          </w:tcPr>
          <w:p w14:paraId="738F53D4" w14:textId="77777777" w:rsidR="001861DC" w:rsidRPr="003E2D39" w:rsidRDefault="001861DC" w:rsidP="002E0516">
            <w:pPr>
              <w:rPr>
                <w:rFonts w:ascii="Calibri" w:eastAsia="Times New Roman" w:hAnsi="Calibri" w:cs="Times New Roman"/>
                <w:color w:val="000000"/>
                <w:lang w:eastAsia="es-ES"/>
              </w:rPr>
            </w:pPr>
            <w:r>
              <w:rPr>
                <w:rFonts w:ascii="Calibri" w:eastAsia="Times New Roman" w:hAnsi="Calibri" w:cs="Times New Roman"/>
                <w:color w:val="000000"/>
                <w:lang w:eastAsia="es-ES"/>
              </w:rPr>
              <w:t>Marzo</w:t>
            </w:r>
          </w:p>
        </w:tc>
        <w:tc>
          <w:tcPr>
            <w:tcW w:w="915" w:type="dxa"/>
            <w:tcBorders>
              <w:top w:val="nil"/>
              <w:left w:val="nil"/>
              <w:bottom w:val="nil"/>
              <w:right w:val="nil"/>
            </w:tcBorders>
            <w:shd w:val="clear" w:color="auto" w:fill="auto"/>
            <w:noWrap/>
            <w:vAlign w:val="bottom"/>
            <w:hideMark/>
          </w:tcPr>
          <w:p w14:paraId="5C8FD19E" w14:textId="77777777" w:rsidR="001861DC" w:rsidRPr="003E2D39" w:rsidRDefault="001861DC" w:rsidP="002E0516">
            <w:pPr>
              <w:jc w:val="center"/>
              <w:rPr>
                <w:rFonts w:ascii="Calibri" w:eastAsia="Times New Roman" w:hAnsi="Calibri" w:cs="Times New Roman"/>
                <w:color w:val="000000"/>
                <w:lang w:eastAsia="es-ES"/>
              </w:rPr>
            </w:pPr>
            <w:r w:rsidRPr="003E2D39">
              <w:rPr>
                <w:rFonts w:ascii="Calibri" w:eastAsia="Times New Roman" w:hAnsi="Calibri" w:cs="Times New Roman"/>
                <w:color w:val="000000"/>
                <w:lang w:eastAsia="es-ES"/>
              </w:rPr>
              <w:t>13,98</w:t>
            </w:r>
          </w:p>
        </w:tc>
        <w:tc>
          <w:tcPr>
            <w:tcW w:w="1515" w:type="dxa"/>
            <w:tcBorders>
              <w:top w:val="nil"/>
              <w:left w:val="nil"/>
              <w:bottom w:val="nil"/>
              <w:right w:val="nil"/>
            </w:tcBorders>
            <w:shd w:val="clear" w:color="auto" w:fill="auto"/>
            <w:noWrap/>
            <w:vAlign w:val="bottom"/>
            <w:hideMark/>
          </w:tcPr>
          <w:p w14:paraId="14697FEE" w14:textId="77777777" w:rsidR="001861DC" w:rsidRPr="003E2D39" w:rsidRDefault="001861DC" w:rsidP="002E0516">
            <w:pPr>
              <w:jc w:val="center"/>
              <w:rPr>
                <w:rFonts w:ascii="Calibri" w:eastAsia="Times New Roman" w:hAnsi="Calibri" w:cs="Times New Roman"/>
                <w:color w:val="000000"/>
                <w:lang w:eastAsia="es-ES"/>
              </w:rPr>
            </w:pPr>
            <w:r w:rsidRPr="003E2D39">
              <w:rPr>
                <w:rFonts w:ascii="Calibri" w:eastAsia="Times New Roman" w:hAnsi="Calibri" w:cs="Times New Roman"/>
                <w:color w:val="000000"/>
                <w:lang w:eastAsia="es-ES"/>
              </w:rPr>
              <w:t>49,11</w:t>
            </w:r>
          </w:p>
        </w:tc>
        <w:tc>
          <w:tcPr>
            <w:tcW w:w="930" w:type="dxa"/>
            <w:tcBorders>
              <w:top w:val="nil"/>
              <w:left w:val="nil"/>
              <w:bottom w:val="nil"/>
              <w:right w:val="nil"/>
            </w:tcBorders>
            <w:shd w:val="clear" w:color="auto" w:fill="auto"/>
            <w:noWrap/>
            <w:vAlign w:val="bottom"/>
            <w:hideMark/>
          </w:tcPr>
          <w:p w14:paraId="2E5D85A9" w14:textId="77777777" w:rsidR="001861DC" w:rsidRPr="003E2D39" w:rsidRDefault="001861DC" w:rsidP="002E0516">
            <w:pPr>
              <w:jc w:val="center"/>
              <w:rPr>
                <w:rFonts w:ascii="Calibri" w:eastAsia="Times New Roman" w:hAnsi="Calibri" w:cs="Times New Roman"/>
                <w:color w:val="000000"/>
                <w:lang w:eastAsia="es-ES"/>
              </w:rPr>
            </w:pPr>
            <w:r w:rsidRPr="003E2D39">
              <w:rPr>
                <w:rFonts w:ascii="Calibri" w:eastAsia="Times New Roman" w:hAnsi="Calibri" w:cs="Times New Roman"/>
                <w:color w:val="000000"/>
                <w:lang w:eastAsia="es-ES"/>
              </w:rPr>
              <w:t>36,90</w:t>
            </w:r>
          </w:p>
        </w:tc>
        <w:tc>
          <w:tcPr>
            <w:tcW w:w="915" w:type="dxa"/>
            <w:tcBorders>
              <w:top w:val="nil"/>
              <w:left w:val="nil"/>
              <w:bottom w:val="nil"/>
              <w:right w:val="nil"/>
            </w:tcBorders>
            <w:shd w:val="clear" w:color="auto" w:fill="auto"/>
            <w:noWrap/>
            <w:vAlign w:val="bottom"/>
            <w:hideMark/>
          </w:tcPr>
          <w:p w14:paraId="54DD60B6" w14:textId="77777777" w:rsidR="001861DC" w:rsidRPr="003E2D39" w:rsidRDefault="001861DC" w:rsidP="002E0516">
            <w:pPr>
              <w:jc w:val="center"/>
              <w:rPr>
                <w:rFonts w:ascii="Calibri" w:eastAsia="Times New Roman" w:hAnsi="Calibri" w:cs="Times New Roman"/>
                <w:color w:val="000000"/>
                <w:lang w:eastAsia="es-ES"/>
              </w:rPr>
            </w:pPr>
            <w:r w:rsidRPr="003E2D39">
              <w:rPr>
                <w:rFonts w:ascii="Calibri" w:eastAsia="Times New Roman" w:hAnsi="Calibri" w:cs="Times New Roman"/>
                <w:color w:val="000000"/>
                <w:lang w:eastAsia="es-ES"/>
              </w:rPr>
              <w:t>13,65</w:t>
            </w:r>
          </w:p>
        </w:tc>
        <w:tc>
          <w:tcPr>
            <w:tcW w:w="1515" w:type="dxa"/>
            <w:tcBorders>
              <w:top w:val="nil"/>
              <w:left w:val="nil"/>
              <w:bottom w:val="nil"/>
              <w:right w:val="nil"/>
            </w:tcBorders>
            <w:shd w:val="clear" w:color="auto" w:fill="auto"/>
            <w:noWrap/>
            <w:vAlign w:val="bottom"/>
            <w:hideMark/>
          </w:tcPr>
          <w:p w14:paraId="4BD4086C" w14:textId="77777777" w:rsidR="001861DC" w:rsidRPr="003E2D39" w:rsidRDefault="001861DC" w:rsidP="002E0516">
            <w:pPr>
              <w:jc w:val="center"/>
              <w:rPr>
                <w:rFonts w:ascii="Calibri" w:eastAsia="Times New Roman" w:hAnsi="Calibri" w:cs="Times New Roman"/>
                <w:color w:val="000000"/>
                <w:lang w:eastAsia="es-ES"/>
              </w:rPr>
            </w:pPr>
            <w:r w:rsidRPr="003E2D39">
              <w:rPr>
                <w:rFonts w:ascii="Calibri" w:eastAsia="Times New Roman" w:hAnsi="Calibri" w:cs="Times New Roman"/>
                <w:color w:val="000000"/>
                <w:lang w:eastAsia="es-ES"/>
              </w:rPr>
              <w:t>47,94</w:t>
            </w:r>
          </w:p>
        </w:tc>
        <w:tc>
          <w:tcPr>
            <w:tcW w:w="930" w:type="dxa"/>
            <w:tcBorders>
              <w:top w:val="nil"/>
              <w:left w:val="nil"/>
              <w:bottom w:val="nil"/>
              <w:right w:val="nil"/>
            </w:tcBorders>
            <w:shd w:val="clear" w:color="auto" w:fill="auto"/>
            <w:noWrap/>
            <w:vAlign w:val="bottom"/>
            <w:hideMark/>
          </w:tcPr>
          <w:p w14:paraId="2053FD10" w14:textId="77777777" w:rsidR="001861DC" w:rsidRPr="003E2D39" w:rsidRDefault="001861DC" w:rsidP="002E0516">
            <w:pPr>
              <w:jc w:val="center"/>
              <w:rPr>
                <w:rFonts w:ascii="Calibri" w:eastAsia="Times New Roman" w:hAnsi="Calibri" w:cs="Times New Roman"/>
                <w:color w:val="000000"/>
                <w:lang w:eastAsia="es-ES"/>
              </w:rPr>
            </w:pPr>
            <w:r w:rsidRPr="003E2D39">
              <w:rPr>
                <w:rFonts w:ascii="Calibri" w:eastAsia="Times New Roman" w:hAnsi="Calibri" w:cs="Times New Roman"/>
                <w:color w:val="000000"/>
                <w:lang w:eastAsia="es-ES"/>
              </w:rPr>
              <w:t>36,02</w:t>
            </w:r>
          </w:p>
        </w:tc>
      </w:tr>
      <w:tr w:rsidR="001861DC" w:rsidRPr="003E2D39" w14:paraId="1CAF1F05" w14:textId="77777777" w:rsidTr="002E0516">
        <w:trPr>
          <w:trHeight w:val="300"/>
          <w:jc w:val="center"/>
        </w:trPr>
        <w:tc>
          <w:tcPr>
            <w:tcW w:w="1200" w:type="dxa"/>
            <w:tcBorders>
              <w:top w:val="nil"/>
              <w:left w:val="nil"/>
              <w:bottom w:val="nil"/>
              <w:right w:val="nil"/>
            </w:tcBorders>
            <w:shd w:val="clear" w:color="auto" w:fill="auto"/>
            <w:noWrap/>
            <w:vAlign w:val="bottom"/>
            <w:hideMark/>
          </w:tcPr>
          <w:p w14:paraId="58E70A4C" w14:textId="77777777" w:rsidR="001861DC" w:rsidRPr="003E2D39" w:rsidRDefault="001861DC" w:rsidP="002E0516">
            <w:pPr>
              <w:rPr>
                <w:rFonts w:ascii="Calibri" w:eastAsia="Times New Roman" w:hAnsi="Calibri" w:cs="Times New Roman"/>
                <w:color w:val="000000"/>
                <w:lang w:eastAsia="es-ES"/>
              </w:rPr>
            </w:pPr>
            <w:r>
              <w:rPr>
                <w:rFonts w:ascii="Calibri" w:eastAsia="Times New Roman" w:hAnsi="Calibri" w:cs="Times New Roman"/>
                <w:color w:val="000000"/>
                <w:lang w:eastAsia="es-ES"/>
              </w:rPr>
              <w:t>Abril</w:t>
            </w:r>
          </w:p>
        </w:tc>
        <w:tc>
          <w:tcPr>
            <w:tcW w:w="915" w:type="dxa"/>
            <w:tcBorders>
              <w:top w:val="nil"/>
              <w:left w:val="nil"/>
              <w:bottom w:val="nil"/>
              <w:right w:val="nil"/>
            </w:tcBorders>
            <w:shd w:val="clear" w:color="auto" w:fill="auto"/>
            <w:noWrap/>
            <w:vAlign w:val="bottom"/>
            <w:hideMark/>
          </w:tcPr>
          <w:p w14:paraId="3282E96A" w14:textId="77777777" w:rsidR="001861DC" w:rsidRPr="003E2D39" w:rsidRDefault="001861DC" w:rsidP="002E0516">
            <w:pPr>
              <w:jc w:val="center"/>
              <w:rPr>
                <w:rFonts w:ascii="Calibri" w:eastAsia="Times New Roman" w:hAnsi="Calibri" w:cs="Times New Roman"/>
                <w:color w:val="000000"/>
                <w:lang w:eastAsia="es-ES"/>
              </w:rPr>
            </w:pPr>
            <w:r w:rsidRPr="003E2D39">
              <w:rPr>
                <w:rFonts w:ascii="Calibri" w:eastAsia="Times New Roman" w:hAnsi="Calibri" w:cs="Times New Roman"/>
                <w:color w:val="000000"/>
                <w:lang w:eastAsia="es-ES"/>
              </w:rPr>
              <w:t>14,60</w:t>
            </w:r>
          </w:p>
        </w:tc>
        <w:tc>
          <w:tcPr>
            <w:tcW w:w="1515" w:type="dxa"/>
            <w:tcBorders>
              <w:top w:val="nil"/>
              <w:left w:val="nil"/>
              <w:bottom w:val="nil"/>
              <w:right w:val="nil"/>
            </w:tcBorders>
            <w:shd w:val="clear" w:color="auto" w:fill="auto"/>
            <w:noWrap/>
            <w:vAlign w:val="bottom"/>
            <w:hideMark/>
          </w:tcPr>
          <w:p w14:paraId="63415F3F" w14:textId="77777777" w:rsidR="001861DC" w:rsidRPr="003E2D39" w:rsidRDefault="001861DC" w:rsidP="002E0516">
            <w:pPr>
              <w:jc w:val="center"/>
              <w:rPr>
                <w:rFonts w:ascii="Calibri" w:eastAsia="Times New Roman" w:hAnsi="Calibri" w:cs="Times New Roman"/>
                <w:color w:val="000000"/>
                <w:lang w:eastAsia="es-ES"/>
              </w:rPr>
            </w:pPr>
            <w:r w:rsidRPr="003E2D39">
              <w:rPr>
                <w:rFonts w:ascii="Calibri" w:eastAsia="Times New Roman" w:hAnsi="Calibri" w:cs="Times New Roman"/>
                <w:color w:val="000000"/>
                <w:lang w:eastAsia="es-ES"/>
              </w:rPr>
              <w:t>50,01</w:t>
            </w:r>
          </w:p>
        </w:tc>
        <w:tc>
          <w:tcPr>
            <w:tcW w:w="930" w:type="dxa"/>
            <w:tcBorders>
              <w:top w:val="nil"/>
              <w:left w:val="nil"/>
              <w:bottom w:val="nil"/>
              <w:right w:val="nil"/>
            </w:tcBorders>
            <w:shd w:val="clear" w:color="auto" w:fill="auto"/>
            <w:noWrap/>
            <w:vAlign w:val="bottom"/>
            <w:hideMark/>
          </w:tcPr>
          <w:p w14:paraId="5DEFE8A0" w14:textId="77777777" w:rsidR="001861DC" w:rsidRPr="003E2D39" w:rsidRDefault="001861DC" w:rsidP="002E0516">
            <w:pPr>
              <w:jc w:val="center"/>
              <w:rPr>
                <w:rFonts w:ascii="Calibri" w:eastAsia="Times New Roman" w:hAnsi="Calibri" w:cs="Times New Roman"/>
                <w:color w:val="000000"/>
                <w:lang w:eastAsia="es-ES"/>
              </w:rPr>
            </w:pPr>
            <w:r w:rsidRPr="003E2D39">
              <w:rPr>
                <w:rFonts w:ascii="Calibri" w:eastAsia="Times New Roman" w:hAnsi="Calibri" w:cs="Times New Roman"/>
                <w:color w:val="000000"/>
                <w:lang w:eastAsia="es-ES"/>
              </w:rPr>
              <w:t>35,39</w:t>
            </w:r>
          </w:p>
        </w:tc>
        <w:tc>
          <w:tcPr>
            <w:tcW w:w="915" w:type="dxa"/>
            <w:tcBorders>
              <w:top w:val="nil"/>
              <w:left w:val="nil"/>
              <w:bottom w:val="nil"/>
              <w:right w:val="nil"/>
            </w:tcBorders>
            <w:shd w:val="clear" w:color="auto" w:fill="auto"/>
            <w:noWrap/>
            <w:vAlign w:val="bottom"/>
            <w:hideMark/>
          </w:tcPr>
          <w:p w14:paraId="57BC1BD0" w14:textId="77777777" w:rsidR="001861DC" w:rsidRPr="003E2D39" w:rsidRDefault="001861DC" w:rsidP="002E0516">
            <w:pPr>
              <w:jc w:val="center"/>
              <w:rPr>
                <w:rFonts w:ascii="Calibri" w:eastAsia="Times New Roman" w:hAnsi="Calibri" w:cs="Times New Roman"/>
                <w:color w:val="000000"/>
                <w:lang w:eastAsia="es-ES"/>
              </w:rPr>
            </w:pPr>
            <w:r w:rsidRPr="003E2D39">
              <w:rPr>
                <w:rFonts w:ascii="Calibri" w:eastAsia="Times New Roman" w:hAnsi="Calibri" w:cs="Times New Roman"/>
                <w:color w:val="000000"/>
                <w:lang w:eastAsia="es-ES"/>
              </w:rPr>
              <w:t>14,08</w:t>
            </w:r>
          </w:p>
        </w:tc>
        <w:tc>
          <w:tcPr>
            <w:tcW w:w="1515" w:type="dxa"/>
            <w:tcBorders>
              <w:top w:val="nil"/>
              <w:left w:val="nil"/>
              <w:bottom w:val="nil"/>
              <w:right w:val="nil"/>
            </w:tcBorders>
            <w:shd w:val="clear" w:color="auto" w:fill="auto"/>
            <w:noWrap/>
            <w:vAlign w:val="bottom"/>
            <w:hideMark/>
          </w:tcPr>
          <w:p w14:paraId="6683E4A9" w14:textId="77777777" w:rsidR="001861DC" w:rsidRPr="003E2D39" w:rsidRDefault="001861DC" w:rsidP="002E0516">
            <w:pPr>
              <w:jc w:val="center"/>
              <w:rPr>
                <w:rFonts w:ascii="Calibri" w:eastAsia="Times New Roman" w:hAnsi="Calibri" w:cs="Times New Roman"/>
                <w:color w:val="000000"/>
                <w:lang w:eastAsia="es-ES"/>
              </w:rPr>
            </w:pPr>
            <w:r w:rsidRPr="003E2D39">
              <w:rPr>
                <w:rFonts w:ascii="Calibri" w:eastAsia="Times New Roman" w:hAnsi="Calibri" w:cs="Times New Roman"/>
                <w:color w:val="000000"/>
                <w:lang w:eastAsia="es-ES"/>
              </w:rPr>
              <w:t>48,24</w:t>
            </w:r>
          </w:p>
        </w:tc>
        <w:tc>
          <w:tcPr>
            <w:tcW w:w="930" w:type="dxa"/>
            <w:tcBorders>
              <w:top w:val="nil"/>
              <w:left w:val="nil"/>
              <w:bottom w:val="nil"/>
              <w:right w:val="nil"/>
            </w:tcBorders>
            <w:shd w:val="clear" w:color="auto" w:fill="auto"/>
            <w:noWrap/>
            <w:vAlign w:val="bottom"/>
            <w:hideMark/>
          </w:tcPr>
          <w:p w14:paraId="6CE80906" w14:textId="77777777" w:rsidR="001861DC" w:rsidRPr="003E2D39" w:rsidRDefault="001861DC" w:rsidP="002E0516">
            <w:pPr>
              <w:jc w:val="center"/>
              <w:rPr>
                <w:rFonts w:ascii="Calibri" w:eastAsia="Times New Roman" w:hAnsi="Calibri" w:cs="Times New Roman"/>
                <w:color w:val="000000"/>
                <w:lang w:eastAsia="es-ES"/>
              </w:rPr>
            </w:pPr>
            <w:r w:rsidRPr="003E2D39">
              <w:rPr>
                <w:rFonts w:ascii="Calibri" w:eastAsia="Times New Roman" w:hAnsi="Calibri" w:cs="Times New Roman"/>
                <w:color w:val="000000"/>
                <w:lang w:eastAsia="es-ES"/>
              </w:rPr>
              <w:t>34,14</w:t>
            </w:r>
          </w:p>
        </w:tc>
      </w:tr>
      <w:tr w:rsidR="001861DC" w:rsidRPr="003E2D39" w14:paraId="1A20FA44" w14:textId="77777777" w:rsidTr="002E0516">
        <w:trPr>
          <w:trHeight w:val="300"/>
          <w:jc w:val="center"/>
        </w:trPr>
        <w:tc>
          <w:tcPr>
            <w:tcW w:w="1200" w:type="dxa"/>
            <w:tcBorders>
              <w:top w:val="nil"/>
              <w:left w:val="nil"/>
              <w:bottom w:val="nil"/>
              <w:right w:val="nil"/>
            </w:tcBorders>
            <w:shd w:val="clear" w:color="auto" w:fill="auto"/>
            <w:noWrap/>
            <w:vAlign w:val="bottom"/>
            <w:hideMark/>
          </w:tcPr>
          <w:p w14:paraId="0545D5C4" w14:textId="77777777" w:rsidR="001861DC" w:rsidRPr="003E2D39" w:rsidRDefault="001861DC" w:rsidP="002E0516">
            <w:pPr>
              <w:rPr>
                <w:rFonts w:ascii="Calibri" w:eastAsia="Times New Roman" w:hAnsi="Calibri" w:cs="Times New Roman"/>
                <w:color w:val="000000"/>
                <w:lang w:eastAsia="es-ES"/>
              </w:rPr>
            </w:pPr>
            <w:r>
              <w:rPr>
                <w:rFonts w:ascii="Calibri" w:eastAsia="Times New Roman" w:hAnsi="Calibri" w:cs="Times New Roman"/>
                <w:color w:val="000000"/>
                <w:lang w:eastAsia="es-ES"/>
              </w:rPr>
              <w:t>Mayo</w:t>
            </w:r>
          </w:p>
        </w:tc>
        <w:tc>
          <w:tcPr>
            <w:tcW w:w="915" w:type="dxa"/>
            <w:tcBorders>
              <w:top w:val="nil"/>
              <w:left w:val="nil"/>
              <w:bottom w:val="nil"/>
              <w:right w:val="nil"/>
            </w:tcBorders>
            <w:shd w:val="clear" w:color="auto" w:fill="auto"/>
            <w:noWrap/>
            <w:vAlign w:val="bottom"/>
            <w:hideMark/>
          </w:tcPr>
          <w:p w14:paraId="63267699" w14:textId="77777777" w:rsidR="001861DC" w:rsidRPr="003E2D39" w:rsidRDefault="001861DC" w:rsidP="002E0516">
            <w:pPr>
              <w:jc w:val="center"/>
              <w:rPr>
                <w:rFonts w:ascii="Calibri" w:eastAsia="Times New Roman" w:hAnsi="Calibri" w:cs="Times New Roman"/>
                <w:color w:val="000000"/>
                <w:lang w:eastAsia="es-ES"/>
              </w:rPr>
            </w:pPr>
            <w:r w:rsidRPr="003E2D39">
              <w:rPr>
                <w:rFonts w:ascii="Calibri" w:eastAsia="Times New Roman" w:hAnsi="Calibri" w:cs="Times New Roman"/>
                <w:color w:val="000000"/>
                <w:lang w:eastAsia="es-ES"/>
              </w:rPr>
              <w:t>14,63</w:t>
            </w:r>
          </w:p>
        </w:tc>
        <w:tc>
          <w:tcPr>
            <w:tcW w:w="1515" w:type="dxa"/>
            <w:tcBorders>
              <w:top w:val="nil"/>
              <w:left w:val="nil"/>
              <w:bottom w:val="nil"/>
              <w:right w:val="nil"/>
            </w:tcBorders>
            <w:shd w:val="clear" w:color="auto" w:fill="auto"/>
            <w:noWrap/>
            <w:vAlign w:val="bottom"/>
            <w:hideMark/>
          </w:tcPr>
          <w:p w14:paraId="55A0C6D7" w14:textId="77777777" w:rsidR="001861DC" w:rsidRPr="003E2D39" w:rsidRDefault="001861DC" w:rsidP="002E0516">
            <w:pPr>
              <w:jc w:val="center"/>
              <w:rPr>
                <w:rFonts w:ascii="Calibri" w:eastAsia="Times New Roman" w:hAnsi="Calibri" w:cs="Times New Roman"/>
                <w:color w:val="000000"/>
                <w:lang w:eastAsia="es-ES"/>
              </w:rPr>
            </w:pPr>
            <w:r w:rsidRPr="003E2D39">
              <w:rPr>
                <w:rFonts w:ascii="Calibri" w:eastAsia="Times New Roman" w:hAnsi="Calibri" w:cs="Times New Roman"/>
                <w:color w:val="000000"/>
                <w:lang w:eastAsia="es-ES"/>
              </w:rPr>
              <w:t>49,99</w:t>
            </w:r>
          </w:p>
        </w:tc>
        <w:tc>
          <w:tcPr>
            <w:tcW w:w="930" w:type="dxa"/>
            <w:tcBorders>
              <w:top w:val="nil"/>
              <w:left w:val="nil"/>
              <w:bottom w:val="nil"/>
              <w:right w:val="nil"/>
            </w:tcBorders>
            <w:shd w:val="clear" w:color="auto" w:fill="auto"/>
            <w:noWrap/>
            <w:vAlign w:val="bottom"/>
            <w:hideMark/>
          </w:tcPr>
          <w:p w14:paraId="13F8F83B" w14:textId="77777777" w:rsidR="001861DC" w:rsidRPr="003E2D39" w:rsidRDefault="001861DC" w:rsidP="002E0516">
            <w:pPr>
              <w:jc w:val="center"/>
              <w:rPr>
                <w:rFonts w:ascii="Calibri" w:eastAsia="Times New Roman" w:hAnsi="Calibri" w:cs="Times New Roman"/>
                <w:color w:val="000000"/>
                <w:lang w:eastAsia="es-ES"/>
              </w:rPr>
            </w:pPr>
            <w:r w:rsidRPr="003E2D39">
              <w:rPr>
                <w:rFonts w:ascii="Calibri" w:eastAsia="Times New Roman" w:hAnsi="Calibri" w:cs="Times New Roman"/>
                <w:color w:val="000000"/>
                <w:lang w:eastAsia="es-ES"/>
              </w:rPr>
              <w:t>35,37</w:t>
            </w:r>
          </w:p>
        </w:tc>
        <w:tc>
          <w:tcPr>
            <w:tcW w:w="915" w:type="dxa"/>
            <w:tcBorders>
              <w:top w:val="nil"/>
              <w:left w:val="nil"/>
              <w:bottom w:val="nil"/>
              <w:right w:val="nil"/>
            </w:tcBorders>
            <w:shd w:val="clear" w:color="auto" w:fill="auto"/>
            <w:noWrap/>
            <w:vAlign w:val="bottom"/>
            <w:hideMark/>
          </w:tcPr>
          <w:p w14:paraId="5157A5E8" w14:textId="77777777" w:rsidR="001861DC" w:rsidRPr="003E2D39" w:rsidRDefault="001861DC" w:rsidP="002E0516">
            <w:pPr>
              <w:jc w:val="center"/>
              <w:rPr>
                <w:rFonts w:ascii="Calibri" w:eastAsia="Times New Roman" w:hAnsi="Calibri" w:cs="Times New Roman"/>
                <w:color w:val="000000"/>
                <w:lang w:eastAsia="es-ES"/>
              </w:rPr>
            </w:pPr>
            <w:r w:rsidRPr="003E2D39">
              <w:rPr>
                <w:rFonts w:ascii="Calibri" w:eastAsia="Times New Roman" w:hAnsi="Calibri" w:cs="Times New Roman"/>
                <w:color w:val="000000"/>
                <w:lang w:eastAsia="es-ES"/>
              </w:rPr>
              <w:t>14,11</w:t>
            </w:r>
          </w:p>
        </w:tc>
        <w:tc>
          <w:tcPr>
            <w:tcW w:w="1515" w:type="dxa"/>
            <w:tcBorders>
              <w:top w:val="nil"/>
              <w:left w:val="nil"/>
              <w:bottom w:val="nil"/>
              <w:right w:val="nil"/>
            </w:tcBorders>
            <w:shd w:val="clear" w:color="auto" w:fill="auto"/>
            <w:noWrap/>
            <w:vAlign w:val="bottom"/>
            <w:hideMark/>
          </w:tcPr>
          <w:p w14:paraId="2A849125" w14:textId="77777777" w:rsidR="001861DC" w:rsidRPr="003E2D39" w:rsidRDefault="001861DC" w:rsidP="002E0516">
            <w:pPr>
              <w:jc w:val="center"/>
              <w:rPr>
                <w:rFonts w:ascii="Calibri" w:eastAsia="Times New Roman" w:hAnsi="Calibri" w:cs="Times New Roman"/>
                <w:color w:val="000000"/>
                <w:lang w:eastAsia="es-ES"/>
              </w:rPr>
            </w:pPr>
            <w:r w:rsidRPr="003E2D39">
              <w:rPr>
                <w:rFonts w:ascii="Calibri" w:eastAsia="Times New Roman" w:hAnsi="Calibri" w:cs="Times New Roman"/>
                <w:color w:val="000000"/>
                <w:lang w:eastAsia="es-ES"/>
              </w:rPr>
              <w:t>48,20</w:t>
            </w:r>
          </w:p>
        </w:tc>
        <w:tc>
          <w:tcPr>
            <w:tcW w:w="930" w:type="dxa"/>
            <w:tcBorders>
              <w:top w:val="nil"/>
              <w:left w:val="nil"/>
              <w:bottom w:val="nil"/>
              <w:right w:val="nil"/>
            </w:tcBorders>
            <w:shd w:val="clear" w:color="auto" w:fill="auto"/>
            <w:noWrap/>
            <w:vAlign w:val="bottom"/>
            <w:hideMark/>
          </w:tcPr>
          <w:p w14:paraId="3AC10671" w14:textId="77777777" w:rsidR="001861DC" w:rsidRPr="003E2D39" w:rsidRDefault="001861DC" w:rsidP="002E0516">
            <w:pPr>
              <w:jc w:val="center"/>
              <w:rPr>
                <w:rFonts w:ascii="Calibri" w:eastAsia="Times New Roman" w:hAnsi="Calibri" w:cs="Times New Roman"/>
                <w:color w:val="000000"/>
                <w:lang w:eastAsia="es-ES"/>
              </w:rPr>
            </w:pPr>
            <w:r w:rsidRPr="003E2D39">
              <w:rPr>
                <w:rFonts w:ascii="Calibri" w:eastAsia="Times New Roman" w:hAnsi="Calibri" w:cs="Times New Roman"/>
                <w:color w:val="000000"/>
                <w:lang w:eastAsia="es-ES"/>
              </w:rPr>
              <w:t>34,11</w:t>
            </w:r>
          </w:p>
        </w:tc>
      </w:tr>
      <w:tr w:rsidR="001861DC" w:rsidRPr="003E2D39" w14:paraId="777B5487" w14:textId="77777777" w:rsidTr="002E0516">
        <w:trPr>
          <w:trHeight w:val="300"/>
          <w:jc w:val="center"/>
        </w:trPr>
        <w:tc>
          <w:tcPr>
            <w:tcW w:w="1200" w:type="dxa"/>
            <w:tcBorders>
              <w:top w:val="nil"/>
              <w:left w:val="nil"/>
              <w:bottom w:val="nil"/>
              <w:right w:val="nil"/>
            </w:tcBorders>
            <w:shd w:val="clear" w:color="auto" w:fill="auto"/>
            <w:noWrap/>
            <w:vAlign w:val="bottom"/>
            <w:hideMark/>
          </w:tcPr>
          <w:p w14:paraId="7E2DB4AD" w14:textId="77777777" w:rsidR="001861DC" w:rsidRPr="003E2D39" w:rsidRDefault="001861DC" w:rsidP="002E0516">
            <w:pPr>
              <w:rPr>
                <w:rFonts w:ascii="Calibri" w:eastAsia="Times New Roman" w:hAnsi="Calibri" w:cs="Times New Roman"/>
                <w:color w:val="000000"/>
                <w:lang w:eastAsia="es-ES"/>
              </w:rPr>
            </w:pPr>
            <w:r>
              <w:rPr>
                <w:rFonts w:ascii="Calibri" w:eastAsia="Times New Roman" w:hAnsi="Calibri" w:cs="Times New Roman"/>
                <w:color w:val="000000"/>
                <w:lang w:eastAsia="es-ES"/>
              </w:rPr>
              <w:t>Junio</w:t>
            </w:r>
          </w:p>
        </w:tc>
        <w:tc>
          <w:tcPr>
            <w:tcW w:w="915" w:type="dxa"/>
            <w:tcBorders>
              <w:top w:val="nil"/>
              <w:left w:val="nil"/>
              <w:bottom w:val="nil"/>
              <w:right w:val="nil"/>
            </w:tcBorders>
            <w:shd w:val="clear" w:color="auto" w:fill="auto"/>
            <w:noWrap/>
            <w:vAlign w:val="bottom"/>
            <w:hideMark/>
          </w:tcPr>
          <w:p w14:paraId="3A7956F8" w14:textId="77777777" w:rsidR="001861DC" w:rsidRPr="003E2D39" w:rsidRDefault="001861DC" w:rsidP="002E0516">
            <w:pPr>
              <w:jc w:val="center"/>
              <w:rPr>
                <w:rFonts w:ascii="Calibri" w:eastAsia="Times New Roman" w:hAnsi="Calibri" w:cs="Times New Roman"/>
                <w:color w:val="000000"/>
                <w:lang w:eastAsia="es-ES"/>
              </w:rPr>
            </w:pPr>
            <w:r w:rsidRPr="003E2D39">
              <w:rPr>
                <w:rFonts w:ascii="Calibri" w:eastAsia="Times New Roman" w:hAnsi="Calibri" w:cs="Times New Roman"/>
                <w:color w:val="000000"/>
                <w:lang w:eastAsia="es-ES"/>
              </w:rPr>
              <w:t>14,17</w:t>
            </w:r>
          </w:p>
        </w:tc>
        <w:tc>
          <w:tcPr>
            <w:tcW w:w="1515" w:type="dxa"/>
            <w:tcBorders>
              <w:top w:val="nil"/>
              <w:left w:val="nil"/>
              <w:bottom w:val="nil"/>
              <w:right w:val="nil"/>
            </w:tcBorders>
            <w:shd w:val="clear" w:color="auto" w:fill="auto"/>
            <w:noWrap/>
            <w:vAlign w:val="bottom"/>
            <w:hideMark/>
          </w:tcPr>
          <w:p w14:paraId="5C0A4754" w14:textId="77777777" w:rsidR="001861DC" w:rsidRPr="003E2D39" w:rsidRDefault="001861DC" w:rsidP="002E0516">
            <w:pPr>
              <w:jc w:val="center"/>
              <w:rPr>
                <w:rFonts w:ascii="Calibri" w:eastAsia="Times New Roman" w:hAnsi="Calibri" w:cs="Times New Roman"/>
                <w:color w:val="000000"/>
                <w:lang w:eastAsia="es-ES"/>
              </w:rPr>
            </w:pPr>
            <w:r w:rsidRPr="003E2D39">
              <w:rPr>
                <w:rFonts w:ascii="Calibri" w:eastAsia="Times New Roman" w:hAnsi="Calibri" w:cs="Times New Roman"/>
                <w:color w:val="000000"/>
                <w:lang w:eastAsia="es-ES"/>
              </w:rPr>
              <w:t>50,55</w:t>
            </w:r>
          </w:p>
        </w:tc>
        <w:tc>
          <w:tcPr>
            <w:tcW w:w="930" w:type="dxa"/>
            <w:tcBorders>
              <w:top w:val="nil"/>
              <w:left w:val="nil"/>
              <w:bottom w:val="nil"/>
              <w:right w:val="nil"/>
            </w:tcBorders>
            <w:shd w:val="clear" w:color="auto" w:fill="auto"/>
            <w:noWrap/>
            <w:vAlign w:val="bottom"/>
            <w:hideMark/>
          </w:tcPr>
          <w:p w14:paraId="115F3630" w14:textId="77777777" w:rsidR="001861DC" w:rsidRPr="003E2D39" w:rsidRDefault="001861DC" w:rsidP="002E0516">
            <w:pPr>
              <w:jc w:val="center"/>
              <w:rPr>
                <w:rFonts w:ascii="Calibri" w:eastAsia="Times New Roman" w:hAnsi="Calibri" w:cs="Times New Roman"/>
                <w:color w:val="000000"/>
                <w:lang w:eastAsia="es-ES"/>
              </w:rPr>
            </w:pPr>
            <w:r w:rsidRPr="003E2D39">
              <w:rPr>
                <w:rFonts w:ascii="Calibri" w:eastAsia="Times New Roman" w:hAnsi="Calibri" w:cs="Times New Roman"/>
                <w:color w:val="000000"/>
                <w:lang w:eastAsia="es-ES"/>
              </w:rPr>
              <w:t>35,27</w:t>
            </w:r>
          </w:p>
        </w:tc>
        <w:tc>
          <w:tcPr>
            <w:tcW w:w="915" w:type="dxa"/>
            <w:tcBorders>
              <w:top w:val="nil"/>
              <w:left w:val="nil"/>
              <w:bottom w:val="nil"/>
              <w:right w:val="nil"/>
            </w:tcBorders>
            <w:shd w:val="clear" w:color="auto" w:fill="auto"/>
            <w:noWrap/>
            <w:vAlign w:val="bottom"/>
            <w:hideMark/>
          </w:tcPr>
          <w:p w14:paraId="0CAE8CA8" w14:textId="77777777" w:rsidR="001861DC" w:rsidRPr="003E2D39" w:rsidRDefault="001861DC" w:rsidP="002E0516">
            <w:pPr>
              <w:jc w:val="center"/>
              <w:rPr>
                <w:rFonts w:ascii="Calibri" w:eastAsia="Times New Roman" w:hAnsi="Calibri" w:cs="Times New Roman"/>
                <w:color w:val="000000"/>
                <w:lang w:eastAsia="es-ES"/>
              </w:rPr>
            </w:pPr>
            <w:r w:rsidRPr="003E2D39">
              <w:rPr>
                <w:rFonts w:ascii="Calibri" w:eastAsia="Times New Roman" w:hAnsi="Calibri" w:cs="Times New Roman"/>
                <w:color w:val="000000"/>
                <w:lang w:eastAsia="es-ES"/>
              </w:rPr>
              <w:t>13,50</w:t>
            </w:r>
          </w:p>
        </w:tc>
        <w:tc>
          <w:tcPr>
            <w:tcW w:w="1515" w:type="dxa"/>
            <w:tcBorders>
              <w:top w:val="nil"/>
              <w:left w:val="nil"/>
              <w:bottom w:val="nil"/>
              <w:right w:val="nil"/>
            </w:tcBorders>
            <w:shd w:val="clear" w:color="auto" w:fill="auto"/>
            <w:noWrap/>
            <w:vAlign w:val="bottom"/>
            <w:hideMark/>
          </w:tcPr>
          <w:p w14:paraId="1F56CBDF" w14:textId="77777777" w:rsidR="001861DC" w:rsidRPr="003E2D39" w:rsidRDefault="001861DC" w:rsidP="002E0516">
            <w:pPr>
              <w:jc w:val="center"/>
              <w:rPr>
                <w:rFonts w:ascii="Calibri" w:eastAsia="Times New Roman" w:hAnsi="Calibri" w:cs="Times New Roman"/>
                <w:color w:val="000000"/>
                <w:lang w:eastAsia="es-ES"/>
              </w:rPr>
            </w:pPr>
            <w:r w:rsidRPr="003E2D39">
              <w:rPr>
                <w:rFonts w:ascii="Calibri" w:eastAsia="Times New Roman" w:hAnsi="Calibri" w:cs="Times New Roman"/>
                <w:color w:val="000000"/>
                <w:lang w:eastAsia="es-ES"/>
              </w:rPr>
              <w:t>48,15</w:t>
            </w:r>
          </w:p>
        </w:tc>
        <w:tc>
          <w:tcPr>
            <w:tcW w:w="930" w:type="dxa"/>
            <w:tcBorders>
              <w:top w:val="nil"/>
              <w:left w:val="nil"/>
              <w:bottom w:val="nil"/>
              <w:right w:val="nil"/>
            </w:tcBorders>
            <w:shd w:val="clear" w:color="auto" w:fill="auto"/>
            <w:noWrap/>
            <w:vAlign w:val="bottom"/>
            <w:hideMark/>
          </w:tcPr>
          <w:p w14:paraId="5FD7DE63" w14:textId="77777777" w:rsidR="001861DC" w:rsidRPr="003E2D39" w:rsidRDefault="001861DC" w:rsidP="002E0516">
            <w:pPr>
              <w:jc w:val="center"/>
              <w:rPr>
                <w:rFonts w:ascii="Calibri" w:eastAsia="Times New Roman" w:hAnsi="Calibri" w:cs="Times New Roman"/>
                <w:color w:val="000000"/>
                <w:lang w:eastAsia="es-ES"/>
              </w:rPr>
            </w:pPr>
            <w:r w:rsidRPr="003E2D39">
              <w:rPr>
                <w:rFonts w:ascii="Calibri" w:eastAsia="Times New Roman" w:hAnsi="Calibri" w:cs="Times New Roman"/>
                <w:color w:val="000000"/>
                <w:lang w:eastAsia="es-ES"/>
              </w:rPr>
              <w:t>33,60</w:t>
            </w:r>
          </w:p>
        </w:tc>
      </w:tr>
      <w:tr w:rsidR="001861DC" w:rsidRPr="003E2D39" w14:paraId="46890892" w14:textId="77777777" w:rsidTr="002E0516">
        <w:trPr>
          <w:trHeight w:val="300"/>
          <w:jc w:val="center"/>
        </w:trPr>
        <w:tc>
          <w:tcPr>
            <w:tcW w:w="1200" w:type="dxa"/>
            <w:tcBorders>
              <w:top w:val="nil"/>
              <w:left w:val="nil"/>
              <w:bottom w:val="nil"/>
              <w:right w:val="nil"/>
            </w:tcBorders>
            <w:shd w:val="clear" w:color="auto" w:fill="auto"/>
            <w:noWrap/>
            <w:vAlign w:val="bottom"/>
            <w:hideMark/>
          </w:tcPr>
          <w:p w14:paraId="5166B3B5" w14:textId="77777777" w:rsidR="001861DC" w:rsidRPr="003E2D39" w:rsidRDefault="001861DC" w:rsidP="002E0516">
            <w:pPr>
              <w:rPr>
                <w:rFonts w:ascii="Calibri" w:eastAsia="Times New Roman" w:hAnsi="Calibri" w:cs="Times New Roman"/>
                <w:color w:val="000000"/>
                <w:lang w:eastAsia="es-ES"/>
              </w:rPr>
            </w:pPr>
            <w:r>
              <w:rPr>
                <w:rFonts w:ascii="Calibri" w:eastAsia="Times New Roman" w:hAnsi="Calibri" w:cs="Times New Roman"/>
                <w:color w:val="000000"/>
                <w:lang w:eastAsia="es-ES"/>
              </w:rPr>
              <w:t>Julio</w:t>
            </w:r>
          </w:p>
        </w:tc>
        <w:tc>
          <w:tcPr>
            <w:tcW w:w="915" w:type="dxa"/>
            <w:tcBorders>
              <w:top w:val="nil"/>
              <w:left w:val="nil"/>
              <w:bottom w:val="nil"/>
              <w:right w:val="nil"/>
            </w:tcBorders>
            <w:shd w:val="clear" w:color="auto" w:fill="auto"/>
            <w:noWrap/>
            <w:vAlign w:val="bottom"/>
            <w:hideMark/>
          </w:tcPr>
          <w:p w14:paraId="6C08F98C" w14:textId="77777777" w:rsidR="001861DC" w:rsidRPr="003E2D39" w:rsidRDefault="001861DC" w:rsidP="002E0516">
            <w:pPr>
              <w:jc w:val="center"/>
              <w:rPr>
                <w:rFonts w:ascii="Calibri" w:eastAsia="Times New Roman" w:hAnsi="Calibri" w:cs="Times New Roman"/>
                <w:color w:val="000000"/>
                <w:lang w:eastAsia="es-ES"/>
              </w:rPr>
            </w:pPr>
            <w:r w:rsidRPr="003E2D39">
              <w:rPr>
                <w:rFonts w:ascii="Calibri" w:eastAsia="Times New Roman" w:hAnsi="Calibri" w:cs="Times New Roman"/>
                <w:color w:val="000000"/>
                <w:lang w:eastAsia="es-ES"/>
              </w:rPr>
              <w:t>14,11</w:t>
            </w:r>
          </w:p>
        </w:tc>
        <w:tc>
          <w:tcPr>
            <w:tcW w:w="1515" w:type="dxa"/>
            <w:tcBorders>
              <w:top w:val="nil"/>
              <w:left w:val="nil"/>
              <w:bottom w:val="nil"/>
              <w:right w:val="nil"/>
            </w:tcBorders>
            <w:shd w:val="clear" w:color="auto" w:fill="auto"/>
            <w:noWrap/>
            <w:vAlign w:val="bottom"/>
            <w:hideMark/>
          </w:tcPr>
          <w:p w14:paraId="2F5A650C" w14:textId="77777777" w:rsidR="001861DC" w:rsidRPr="003E2D39" w:rsidRDefault="001861DC" w:rsidP="002E0516">
            <w:pPr>
              <w:jc w:val="center"/>
              <w:rPr>
                <w:rFonts w:ascii="Calibri" w:eastAsia="Times New Roman" w:hAnsi="Calibri" w:cs="Times New Roman"/>
                <w:color w:val="000000"/>
                <w:lang w:eastAsia="es-ES"/>
              </w:rPr>
            </w:pPr>
            <w:r w:rsidRPr="003E2D39">
              <w:rPr>
                <w:rFonts w:ascii="Calibri" w:eastAsia="Times New Roman" w:hAnsi="Calibri" w:cs="Times New Roman"/>
                <w:color w:val="000000"/>
                <w:lang w:eastAsia="es-ES"/>
              </w:rPr>
              <w:t>49,52</w:t>
            </w:r>
          </w:p>
        </w:tc>
        <w:tc>
          <w:tcPr>
            <w:tcW w:w="930" w:type="dxa"/>
            <w:tcBorders>
              <w:top w:val="nil"/>
              <w:left w:val="nil"/>
              <w:bottom w:val="nil"/>
              <w:right w:val="nil"/>
            </w:tcBorders>
            <w:shd w:val="clear" w:color="auto" w:fill="auto"/>
            <w:noWrap/>
            <w:vAlign w:val="bottom"/>
            <w:hideMark/>
          </w:tcPr>
          <w:p w14:paraId="39E35A7F" w14:textId="77777777" w:rsidR="001861DC" w:rsidRPr="003E2D39" w:rsidRDefault="001861DC" w:rsidP="002E0516">
            <w:pPr>
              <w:jc w:val="center"/>
              <w:rPr>
                <w:rFonts w:ascii="Calibri" w:eastAsia="Times New Roman" w:hAnsi="Calibri" w:cs="Times New Roman"/>
                <w:color w:val="000000"/>
                <w:lang w:eastAsia="es-ES"/>
              </w:rPr>
            </w:pPr>
            <w:r w:rsidRPr="003E2D39">
              <w:rPr>
                <w:rFonts w:ascii="Calibri" w:eastAsia="Times New Roman" w:hAnsi="Calibri" w:cs="Times New Roman"/>
                <w:color w:val="000000"/>
                <w:lang w:eastAsia="es-ES"/>
              </w:rPr>
              <w:t>36,37</w:t>
            </w:r>
          </w:p>
        </w:tc>
        <w:tc>
          <w:tcPr>
            <w:tcW w:w="915" w:type="dxa"/>
            <w:tcBorders>
              <w:top w:val="nil"/>
              <w:left w:val="nil"/>
              <w:bottom w:val="nil"/>
              <w:right w:val="nil"/>
            </w:tcBorders>
            <w:shd w:val="clear" w:color="auto" w:fill="auto"/>
            <w:noWrap/>
            <w:vAlign w:val="bottom"/>
            <w:hideMark/>
          </w:tcPr>
          <w:p w14:paraId="62138B82" w14:textId="77777777" w:rsidR="001861DC" w:rsidRPr="003E2D39" w:rsidRDefault="001861DC" w:rsidP="002E0516">
            <w:pPr>
              <w:jc w:val="center"/>
              <w:rPr>
                <w:rFonts w:ascii="Calibri" w:eastAsia="Times New Roman" w:hAnsi="Calibri" w:cs="Times New Roman"/>
                <w:color w:val="000000"/>
                <w:lang w:eastAsia="es-ES"/>
              </w:rPr>
            </w:pPr>
            <w:r w:rsidRPr="003E2D39">
              <w:rPr>
                <w:rFonts w:ascii="Calibri" w:eastAsia="Times New Roman" w:hAnsi="Calibri" w:cs="Times New Roman"/>
                <w:color w:val="000000"/>
                <w:lang w:eastAsia="es-ES"/>
              </w:rPr>
              <w:t>13,63</w:t>
            </w:r>
          </w:p>
        </w:tc>
        <w:tc>
          <w:tcPr>
            <w:tcW w:w="1515" w:type="dxa"/>
            <w:tcBorders>
              <w:top w:val="nil"/>
              <w:left w:val="nil"/>
              <w:bottom w:val="nil"/>
              <w:right w:val="nil"/>
            </w:tcBorders>
            <w:shd w:val="clear" w:color="auto" w:fill="auto"/>
            <w:noWrap/>
            <w:vAlign w:val="bottom"/>
            <w:hideMark/>
          </w:tcPr>
          <w:p w14:paraId="22DBDE1C" w14:textId="77777777" w:rsidR="001861DC" w:rsidRPr="003E2D39" w:rsidRDefault="001861DC" w:rsidP="002E0516">
            <w:pPr>
              <w:jc w:val="center"/>
              <w:rPr>
                <w:rFonts w:ascii="Calibri" w:eastAsia="Times New Roman" w:hAnsi="Calibri" w:cs="Times New Roman"/>
                <w:color w:val="000000"/>
                <w:lang w:eastAsia="es-ES"/>
              </w:rPr>
            </w:pPr>
            <w:r w:rsidRPr="003E2D39">
              <w:rPr>
                <w:rFonts w:ascii="Calibri" w:eastAsia="Times New Roman" w:hAnsi="Calibri" w:cs="Times New Roman"/>
                <w:color w:val="000000"/>
                <w:lang w:eastAsia="es-ES"/>
              </w:rPr>
              <w:t>47,86</w:t>
            </w:r>
          </w:p>
        </w:tc>
        <w:tc>
          <w:tcPr>
            <w:tcW w:w="930" w:type="dxa"/>
            <w:tcBorders>
              <w:top w:val="nil"/>
              <w:left w:val="nil"/>
              <w:bottom w:val="nil"/>
              <w:right w:val="nil"/>
            </w:tcBorders>
            <w:shd w:val="clear" w:color="auto" w:fill="auto"/>
            <w:noWrap/>
            <w:vAlign w:val="bottom"/>
            <w:hideMark/>
          </w:tcPr>
          <w:p w14:paraId="67E49084" w14:textId="77777777" w:rsidR="001861DC" w:rsidRPr="003E2D39" w:rsidRDefault="001861DC" w:rsidP="002E0516">
            <w:pPr>
              <w:jc w:val="center"/>
              <w:rPr>
                <w:rFonts w:ascii="Calibri" w:eastAsia="Times New Roman" w:hAnsi="Calibri" w:cs="Times New Roman"/>
                <w:color w:val="000000"/>
                <w:lang w:eastAsia="es-ES"/>
              </w:rPr>
            </w:pPr>
            <w:r w:rsidRPr="003E2D39">
              <w:rPr>
                <w:rFonts w:ascii="Calibri" w:eastAsia="Times New Roman" w:hAnsi="Calibri" w:cs="Times New Roman"/>
                <w:color w:val="000000"/>
                <w:lang w:eastAsia="es-ES"/>
              </w:rPr>
              <w:t>35,15</w:t>
            </w:r>
          </w:p>
        </w:tc>
      </w:tr>
      <w:tr w:rsidR="001861DC" w:rsidRPr="003E2D39" w14:paraId="6C5E4FD5" w14:textId="77777777" w:rsidTr="002E0516">
        <w:trPr>
          <w:trHeight w:val="300"/>
          <w:jc w:val="center"/>
        </w:trPr>
        <w:tc>
          <w:tcPr>
            <w:tcW w:w="1200" w:type="dxa"/>
            <w:tcBorders>
              <w:top w:val="nil"/>
              <w:left w:val="nil"/>
              <w:bottom w:val="nil"/>
              <w:right w:val="nil"/>
            </w:tcBorders>
            <w:shd w:val="clear" w:color="auto" w:fill="auto"/>
            <w:noWrap/>
            <w:vAlign w:val="bottom"/>
            <w:hideMark/>
          </w:tcPr>
          <w:p w14:paraId="121AA31B" w14:textId="77777777" w:rsidR="001861DC" w:rsidRPr="003E2D39" w:rsidRDefault="001861DC" w:rsidP="002E0516">
            <w:pPr>
              <w:rPr>
                <w:rFonts w:ascii="Calibri" w:eastAsia="Times New Roman" w:hAnsi="Calibri" w:cs="Times New Roman"/>
                <w:color w:val="000000"/>
                <w:lang w:eastAsia="es-ES"/>
              </w:rPr>
            </w:pPr>
            <w:r>
              <w:rPr>
                <w:rFonts w:ascii="Calibri" w:eastAsia="Times New Roman" w:hAnsi="Calibri" w:cs="Times New Roman"/>
                <w:color w:val="000000"/>
                <w:lang w:eastAsia="es-ES"/>
              </w:rPr>
              <w:t>Agosto</w:t>
            </w:r>
          </w:p>
        </w:tc>
        <w:tc>
          <w:tcPr>
            <w:tcW w:w="915" w:type="dxa"/>
            <w:tcBorders>
              <w:top w:val="nil"/>
              <w:left w:val="nil"/>
              <w:bottom w:val="nil"/>
              <w:right w:val="nil"/>
            </w:tcBorders>
            <w:shd w:val="clear" w:color="auto" w:fill="auto"/>
            <w:noWrap/>
            <w:vAlign w:val="bottom"/>
            <w:hideMark/>
          </w:tcPr>
          <w:p w14:paraId="22F00306" w14:textId="77777777" w:rsidR="001861DC" w:rsidRPr="003E2D39" w:rsidRDefault="001861DC" w:rsidP="002E0516">
            <w:pPr>
              <w:jc w:val="center"/>
              <w:rPr>
                <w:rFonts w:ascii="Calibri" w:eastAsia="Times New Roman" w:hAnsi="Calibri" w:cs="Times New Roman"/>
                <w:color w:val="000000"/>
                <w:lang w:eastAsia="es-ES"/>
              </w:rPr>
            </w:pPr>
            <w:r w:rsidRPr="003E2D39">
              <w:rPr>
                <w:rFonts w:ascii="Calibri" w:eastAsia="Times New Roman" w:hAnsi="Calibri" w:cs="Times New Roman"/>
                <w:color w:val="000000"/>
                <w:lang w:eastAsia="es-ES"/>
              </w:rPr>
              <w:t>13,72</w:t>
            </w:r>
          </w:p>
        </w:tc>
        <w:tc>
          <w:tcPr>
            <w:tcW w:w="1515" w:type="dxa"/>
            <w:tcBorders>
              <w:top w:val="nil"/>
              <w:left w:val="nil"/>
              <w:bottom w:val="nil"/>
              <w:right w:val="nil"/>
            </w:tcBorders>
            <w:shd w:val="clear" w:color="auto" w:fill="auto"/>
            <w:noWrap/>
            <w:vAlign w:val="bottom"/>
            <w:hideMark/>
          </w:tcPr>
          <w:p w14:paraId="6CB0CA34" w14:textId="77777777" w:rsidR="001861DC" w:rsidRPr="003E2D39" w:rsidRDefault="001861DC" w:rsidP="002E0516">
            <w:pPr>
              <w:jc w:val="center"/>
              <w:rPr>
                <w:rFonts w:ascii="Calibri" w:eastAsia="Times New Roman" w:hAnsi="Calibri" w:cs="Times New Roman"/>
                <w:color w:val="000000"/>
                <w:lang w:eastAsia="es-ES"/>
              </w:rPr>
            </w:pPr>
            <w:r w:rsidRPr="003E2D39">
              <w:rPr>
                <w:rFonts w:ascii="Calibri" w:eastAsia="Times New Roman" w:hAnsi="Calibri" w:cs="Times New Roman"/>
                <w:color w:val="000000"/>
                <w:lang w:eastAsia="es-ES"/>
              </w:rPr>
              <w:t>48,41</w:t>
            </w:r>
          </w:p>
        </w:tc>
        <w:tc>
          <w:tcPr>
            <w:tcW w:w="930" w:type="dxa"/>
            <w:tcBorders>
              <w:top w:val="nil"/>
              <w:left w:val="nil"/>
              <w:bottom w:val="nil"/>
              <w:right w:val="nil"/>
            </w:tcBorders>
            <w:shd w:val="clear" w:color="auto" w:fill="auto"/>
            <w:noWrap/>
            <w:vAlign w:val="bottom"/>
            <w:hideMark/>
          </w:tcPr>
          <w:p w14:paraId="554A229A" w14:textId="77777777" w:rsidR="001861DC" w:rsidRPr="003E2D39" w:rsidRDefault="001861DC" w:rsidP="002E0516">
            <w:pPr>
              <w:jc w:val="center"/>
              <w:rPr>
                <w:rFonts w:ascii="Calibri" w:eastAsia="Times New Roman" w:hAnsi="Calibri" w:cs="Times New Roman"/>
                <w:color w:val="000000"/>
                <w:lang w:eastAsia="es-ES"/>
              </w:rPr>
            </w:pPr>
            <w:r w:rsidRPr="003E2D39">
              <w:rPr>
                <w:rFonts w:ascii="Calibri" w:eastAsia="Times New Roman" w:hAnsi="Calibri" w:cs="Times New Roman"/>
                <w:color w:val="000000"/>
                <w:lang w:eastAsia="es-ES"/>
              </w:rPr>
              <w:t>37,87</w:t>
            </w:r>
          </w:p>
        </w:tc>
        <w:tc>
          <w:tcPr>
            <w:tcW w:w="915" w:type="dxa"/>
            <w:tcBorders>
              <w:top w:val="nil"/>
              <w:left w:val="nil"/>
              <w:bottom w:val="nil"/>
              <w:right w:val="nil"/>
            </w:tcBorders>
            <w:shd w:val="clear" w:color="auto" w:fill="auto"/>
            <w:noWrap/>
            <w:vAlign w:val="bottom"/>
            <w:hideMark/>
          </w:tcPr>
          <w:p w14:paraId="181E5593" w14:textId="77777777" w:rsidR="001861DC" w:rsidRPr="003E2D39" w:rsidRDefault="001861DC" w:rsidP="002E0516">
            <w:pPr>
              <w:jc w:val="center"/>
              <w:rPr>
                <w:rFonts w:ascii="Calibri" w:eastAsia="Times New Roman" w:hAnsi="Calibri" w:cs="Times New Roman"/>
                <w:color w:val="000000"/>
                <w:lang w:eastAsia="es-ES"/>
              </w:rPr>
            </w:pPr>
            <w:r w:rsidRPr="003E2D39">
              <w:rPr>
                <w:rFonts w:ascii="Calibri" w:eastAsia="Times New Roman" w:hAnsi="Calibri" w:cs="Times New Roman"/>
                <w:color w:val="000000"/>
                <w:lang w:eastAsia="es-ES"/>
              </w:rPr>
              <w:t>13,59</w:t>
            </w:r>
          </w:p>
        </w:tc>
        <w:tc>
          <w:tcPr>
            <w:tcW w:w="1515" w:type="dxa"/>
            <w:tcBorders>
              <w:top w:val="nil"/>
              <w:left w:val="nil"/>
              <w:bottom w:val="nil"/>
              <w:right w:val="nil"/>
            </w:tcBorders>
            <w:shd w:val="clear" w:color="auto" w:fill="auto"/>
            <w:noWrap/>
            <w:vAlign w:val="bottom"/>
            <w:hideMark/>
          </w:tcPr>
          <w:p w14:paraId="5EC5A3E5" w14:textId="77777777" w:rsidR="001861DC" w:rsidRPr="003E2D39" w:rsidRDefault="001861DC" w:rsidP="002E0516">
            <w:pPr>
              <w:jc w:val="center"/>
              <w:rPr>
                <w:rFonts w:ascii="Calibri" w:eastAsia="Times New Roman" w:hAnsi="Calibri" w:cs="Times New Roman"/>
                <w:color w:val="000000"/>
                <w:lang w:eastAsia="es-ES"/>
              </w:rPr>
            </w:pPr>
            <w:r w:rsidRPr="003E2D39">
              <w:rPr>
                <w:rFonts w:ascii="Calibri" w:eastAsia="Times New Roman" w:hAnsi="Calibri" w:cs="Times New Roman"/>
                <w:color w:val="000000"/>
                <w:lang w:eastAsia="es-ES"/>
              </w:rPr>
              <w:t>47,95</w:t>
            </w:r>
          </w:p>
        </w:tc>
        <w:tc>
          <w:tcPr>
            <w:tcW w:w="930" w:type="dxa"/>
            <w:tcBorders>
              <w:top w:val="nil"/>
              <w:left w:val="nil"/>
              <w:bottom w:val="nil"/>
              <w:right w:val="nil"/>
            </w:tcBorders>
            <w:shd w:val="clear" w:color="auto" w:fill="auto"/>
            <w:noWrap/>
            <w:vAlign w:val="bottom"/>
            <w:hideMark/>
          </w:tcPr>
          <w:p w14:paraId="5F2D6A92" w14:textId="77777777" w:rsidR="001861DC" w:rsidRPr="003E2D39" w:rsidRDefault="001861DC" w:rsidP="002E0516">
            <w:pPr>
              <w:jc w:val="center"/>
              <w:rPr>
                <w:rFonts w:ascii="Calibri" w:eastAsia="Times New Roman" w:hAnsi="Calibri" w:cs="Times New Roman"/>
                <w:color w:val="000000"/>
                <w:lang w:eastAsia="es-ES"/>
              </w:rPr>
            </w:pPr>
            <w:r w:rsidRPr="003E2D39">
              <w:rPr>
                <w:rFonts w:ascii="Calibri" w:eastAsia="Times New Roman" w:hAnsi="Calibri" w:cs="Times New Roman"/>
                <w:color w:val="000000"/>
                <w:lang w:eastAsia="es-ES"/>
              </w:rPr>
              <w:t>37,51</w:t>
            </w:r>
          </w:p>
        </w:tc>
      </w:tr>
      <w:tr w:rsidR="001861DC" w:rsidRPr="003E2D39" w14:paraId="593003EA" w14:textId="77777777" w:rsidTr="002E0516">
        <w:trPr>
          <w:trHeight w:val="300"/>
          <w:jc w:val="center"/>
        </w:trPr>
        <w:tc>
          <w:tcPr>
            <w:tcW w:w="1200" w:type="dxa"/>
            <w:tcBorders>
              <w:top w:val="nil"/>
              <w:left w:val="nil"/>
              <w:bottom w:val="nil"/>
              <w:right w:val="nil"/>
            </w:tcBorders>
            <w:shd w:val="clear" w:color="auto" w:fill="auto"/>
            <w:noWrap/>
            <w:vAlign w:val="bottom"/>
            <w:hideMark/>
          </w:tcPr>
          <w:p w14:paraId="792994B0" w14:textId="77777777" w:rsidR="001861DC" w:rsidRPr="003E2D39" w:rsidRDefault="001861DC" w:rsidP="002E0516">
            <w:pPr>
              <w:rPr>
                <w:rFonts w:ascii="Calibri" w:eastAsia="Times New Roman" w:hAnsi="Calibri" w:cs="Times New Roman"/>
                <w:color w:val="000000"/>
                <w:lang w:eastAsia="es-ES"/>
              </w:rPr>
            </w:pPr>
            <w:r>
              <w:rPr>
                <w:rFonts w:ascii="Calibri" w:eastAsia="Times New Roman" w:hAnsi="Calibri" w:cs="Times New Roman"/>
                <w:color w:val="000000"/>
                <w:lang w:eastAsia="es-ES"/>
              </w:rPr>
              <w:t>Setiembre</w:t>
            </w:r>
          </w:p>
        </w:tc>
        <w:tc>
          <w:tcPr>
            <w:tcW w:w="915" w:type="dxa"/>
            <w:tcBorders>
              <w:top w:val="nil"/>
              <w:left w:val="nil"/>
              <w:bottom w:val="nil"/>
              <w:right w:val="nil"/>
            </w:tcBorders>
            <w:shd w:val="clear" w:color="auto" w:fill="auto"/>
            <w:noWrap/>
            <w:vAlign w:val="bottom"/>
            <w:hideMark/>
          </w:tcPr>
          <w:p w14:paraId="4B3A1CF2" w14:textId="77777777" w:rsidR="001861DC" w:rsidRPr="003E2D39" w:rsidRDefault="001861DC" w:rsidP="002E0516">
            <w:pPr>
              <w:jc w:val="center"/>
              <w:rPr>
                <w:rFonts w:ascii="Calibri" w:eastAsia="Times New Roman" w:hAnsi="Calibri" w:cs="Times New Roman"/>
                <w:color w:val="000000"/>
                <w:lang w:eastAsia="es-ES"/>
              </w:rPr>
            </w:pPr>
            <w:r w:rsidRPr="003E2D39">
              <w:rPr>
                <w:rFonts w:ascii="Calibri" w:eastAsia="Times New Roman" w:hAnsi="Calibri" w:cs="Times New Roman"/>
                <w:color w:val="000000"/>
                <w:lang w:eastAsia="es-ES"/>
              </w:rPr>
              <w:t>13,59</w:t>
            </w:r>
          </w:p>
        </w:tc>
        <w:tc>
          <w:tcPr>
            <w:tcW w:w="1515" w:type="dxa"/>
            <w:tcBorders>
              <w:top w:val="nil"/>
              <w:left w:val="nil"/>
              <w:bottom w:val="nil"/>
              <w:right w:val="nil"/>
            </w:tcBorders>
            <w:shd w:val="clear" w:color="auto" w:fill="auto"/>
            <w:noWrap/>
            <w:vAlign w:val="bottom"/>
            <w:hideMark/>
          </w:tcPr>
          <w:p w14:paraId="0F75573E" w14:textId="77777777" w:rsidR="001861DC" w:rsidRPr="003E2D39" w:rsidRDefault="001861DC" w:rsidP="002E0516">
            <w:pPr>
              <w:jc w:val="center"/>
              <w:rPr>
                <w:rFonts w:ascii="Calibri" w:eastAsia="Times New Roman" w:hAnsi="Calibri" w:cs="Times New Roman"/>
                <w:color w:val="000000"/>
                <w:lang w:eastAsia="es-ES"/>
              </w:rPr>
            </w:pPr>
            <w:r w:rsidRPr="003E2D39">
              <w:rPr>
                <w:rFonts w:ascii="Calibri" w:eastAsia="Times New Roman" w:hAnsi="Calibri" w:cs="Times New Roman"/>
                <w:color w:val="000000"/>
                <w:lang w:eastAsia="es-ES"/>
              </w:rPr>
              <w:t>48,33</w:t>
            </w:r>
          </w:p>
        </w:tc>
        <w:tc>
          <w:tcPr>
            <w:tcW w:w="930" w:type="dxa"/>
            <w:tcBorders>
              <w:top w:val="nil"/>
              <w:left w:val="nil"/>
              <w:bottom w:val="nil"/>
              <w:right w:val="nil"/>
            </w:tcBorders>
            <w:shd w:val="clear" w:color="auto" w:fill="auto"/>
            <w:noWrap/>
            <w:vAlign w:val="bottom"/>
            <w:hideMark/>
          </w:tcPr>
          <w:p w14:paraId="23A0AB82" w14:textId="77777777" w:rsidR="001861DC" w:rsidRPr="003E2D39" w:rsidRDefault="001861DC" w:rsidP="002E0516">
            <w:pPr>
              <w:jc w:val="center"/>
              <w:rPr>
                <w:rFonts w:ascii="Calibri" w:eastAsia="Times New Roman" w:hAnsi="Calibri" w:cs="Times New Roman"/>
                <w:color w:val="000000"/>
                <w:lang w:eastAsia="es-ES"/>
              </w:rPr>
            </w:pPr>
            <w:r w:rsidRPr="003E2D39">
              <w:rPr>
                <w:rFonts w:ascii="Calibri" w:eastAsia="Times New Roman" w:hAnsi="Calibri" w:cs="Times New Roman"/>
                <w:color w:val="000000"/>
                <w:lang w:eastAsia="es-ES"/>
              </w:rPr>
              <w:t>38,08</w:t>
            </w:r>
          </w:p>
        </w:tc>
        <w:tc>
          <w:tcPr>
            <w:tcW w:w="915" w:type="dxa"/>
            <w:tcBorders>
              <w:top w:val="nil"/>
              <w:left w:val="nil"/>
              <w:bottom w:val="nil"/>
              <w:right w:val="nil"/>
            </w:tcBorders>
            <w:shd w:val="clear" w:color="auto" w:fill="auto"/>
            <w:noWrap/>
            <w:vAlign w:val="bottom"/>
            <w:hideMark/>
          </w:tcPr>
          <w:p w14:paraId="65E066BA" w14:textId="77777777" w:rsidR="001861DC" w:rsidRPr="003E2D39" w:rsidRDefault="001861DC" w:rsidP="002E0516">
            <w:pPr>
              <w:jc w:val="center"/>
              <w:rPr>
                <w:rFonts w:ascii="Calibri" w:eastAsia="Times New Roman" w:hAnsi="Calibri" w:cs="Times New Roman"/>
                <w:color w:val="000000"/>
                <w:lang w:eastAsia="es-ES"/>
              </w:rPr>
            </w:pPr>
            <w:r w:rsidRPr="003E2D39">
              <w:rPr>
                <w:rFonts w:ascii="Calibri" w:eastAsia="Times New Roman" w:hAnsi="Calibri" w:cs="Times New Roman"/>
                <w:color w:val="000000"/>
                <w:lang w:eastAsia="es-ES"/>
              </w:rPr>
              <w:t>13,30</w:t>
            </w:r>
          </w:p>
        </w:tc>
        <w:tc>
          <w:tcPr>
            <w:tcW w:w="1515" w:type="dxa"/>
            <w:tcBorders>
              <w:top w:val="nil"/>
              <w:left w:val="nil"/>
              <w:bottom w:val="nil"/>
              <w:right w:val="nil"/>
            </w:tcBorders>
            <w:shd w:val="clear" w:color="auto" w:fill="auto"/>
            <w:noWrap/>
            <w:vAlign w:val="bottom"/>
            <w:hideMark/>
          </w:tcPr>
          <w:p w14:paraId="6CD1D8DD" w14:textId="77777777" w:rsidR="001861DC" w:rsidRPr="003E2D39" w:rsidRDefault="001861DC" w:rsidP="002E0516">
            <w:pPr>
              <w:jc w:val="center"/>
              <w:rPr>
                <w:rFonts w:ascii="Calibri" w:eastAsia="Times New Roman" w:hAnsi="Calibri" w:cs="Times New Roman"/>
                <w:color w:val="000000"/>
                <w:lang w:eastAsia="es-ES"/>
              </w:rPr>
            </w:pPr>
            <w:r w:rsidRPr="003E2D39">
              <w:rPr>
                <w:rFonts w:ascii="Calibri" w:eastAsia="Times New Roman" w:hAnsi="Calibri" w:cs="Times New Roman"/>
                <w:color w:val="000000"/>
                <w:lang w:eastAsia="es-ES"/>
              </w:rPr>
              <w:t>47,29</w:t>
            </w:r>
          </w:p>
        </w:tc>
        <w:tc>
          <w:tcPr>
            <w:tcW w:w="930" w:type="dxa"/>
            <w:tcBorders>
              <w:top w:val="nil"/>
              <w:left w:val="nil"/>
              <w:bottom w:val="nil"/>
              <w:right w:val="nil"/>
            </w:tcBorders>
            <w:shd w:val="clear" w:color="auto" w:fill="auto"/>
            <w:noWrap/>
            <w:vAlign w:val="bottom"/>
            <w:hideMark/>
          </w:tcPr>
          <w:p w14:paraId="49799AAF" w14:textId="77777777" w:rsidR="001861DC" w:rsidRPr="003E2D39" w:rsidRDefault="001861DC" w:rsidP="002E0516">
            <w:pPr>
              <w:jc w:val="center"/>
              <w:rPr>
                <w:rFonts w:ascii="Calibri" w:eastAsia="Times New Roman" w:hAnsi="Calibri" w:cs="Times New Roman"/>
                <w:color w:val="000000"/>
                <w:lang w:eastAsia="es-ES"/>
              </w:rPr>
            </w:pPr>
            <w:r w:rsidRPr="003E2D39">
              <w:rPr>
                <w:rFonts w:ascii="Calibri" w:eastAsia="Times New Roman" w:hAnsi="Calibri" w:cs="Times New Roman"/>
                <w:color w:val="000000"/>
                <w:lang w:eastAsia="es-ES"/>
              </w:rPr>
              <w:t>37,26</w:t>
            </w:r>
          </w:p>
        </w:tc>
      </w:tr>
      <w:tr w:rsidR="001861DC" w:rsidRPr="003E2D39" w14:paraId="5A67A821" w14:textId="77777777" w:rsidTr="002E0516">
        <w:trPr>
          <w:trHeight w:val="300"/>
          <w:jc w:val="center"/>
        </w:trPr>
        <w:tc>
          <w:tcPr>
            <w:tcW w:w="1200" w:type="dxa"/>
            <w:tcBorders>
              <w:top w:val="nil"/>
              <w:left w:val="nil"/>
              <w:bottom w:val="nil"/>
              <w:right w:val="nil"/>
            </w:tcBorders>
            <w:shd w:val="clear" w:color="auto" w:fill="auto"/>
            <w:noWrap/>
            <w:vAlign w:val="bottom"/>
            <w:hideMark/>
          </w:tcPr>
          <w:p w14:paraId="221307C5" w14:textId="77777777" w:rsidR="001861DC" w:rsidRPr="003E2D39" w:rsidRDefault="001861DC" w:rsidP="002E0516">
            <w:pPr>
              <w:rPr>
                <w:rFonts w:ascii="Calibri" w:eastAsia="Times New Roman" w:hAnsi="Calibri" w:cs="Times New Roman"/>
                <w:color w:val="000000"/>
                <w:lang w:eastAsia="es-ES"/>
              </w:rPr>
            </w:pPr>
            <w:r>
              <w:rPr>
                <w:rFonts w:ascii="Calibri" w:eastAsia="Times New Roman" w:hAnsi="Calibri" w:cs="Times New Roman"/>
                <w:color w:val="000000"/>
                <w:lang w:eastAsia="es-ES"/>
              </w:rPr>
              <w:t>Octubre</w:t>
            </w:r>
          </w:p>
        </w:tc>
        <w:tc>
          <w:tcPr>
            <w:tcW w:w="915" w:type="dxa"/>
            <w:tcBorders>
              <w:top w:val="nil"/>
              <w:left w:val="nil"/>
              <w:bottom w:val="nil"/>
              <w:right w:val="nil"/>
            </w:tcBorders>
            <w:shd w:val="clear" w:color="auto" w:fill="auto"/>
            <w:noWrap/>
            <w:vAlign w:val="bottom"/>
            <w:hideMark/>
          </w:tcPr>
          <w:p w14:paraId="4F1DC949" w14:textId="77777777" w:rsidR="001861DC" w:rsidRPr="003E2D39" w:rsidRDefault="001861DC" w:rsidP="002E0516">
            <w:pPr>
              <w:jc w:val="center"/>
              <w:rPr>
                <w:rFonts w:ascii="Calibri" w:eastAsia="Times New Roman" w:hAnsi="Calibri" w:cs="Times New Roman"/>
                <w:color w:val="000000"/>
                <w:lang w:eastAsia="es-ES"/>
              </w:rPr>
            </w:pPr>
            <w:r w:rsidRPr="003E2D39">
              <w:rPr>
                <w:rFonts w:ascii="Calibri" w:eastAsia="Times New Roman" w:hAnsi="Calibri" w:cs="Times New Roman"/>
                <w:color w:val="000000"/>
                <w:lang w:eastAsia="es-ES"/>
              </w:rPr>
              <w:t>13,73</w:t>
            </w:r>
          </w:p>
        </w:tc>
        <w:tc>
          <w:tcPr>
            <w:tcW w:w="1515" w:type="dxa"/>
            <w:tcBorders>
              <w:top w:val="nil"/>
              <w:left w:val="nil"/>
              <w:bottom w:val="nil"/>
              <w:right w:val="nil"/>
            </w:tcBorders>
            <w:shd w:val="clear" w:color="auto" w:fill="auto"/>
            <w:noWrap/>
            <w:vAlign w:val="bottom"/>
            <w:hideMark/>
          </w:tcPr>
          <w:p w14:paraId="44BFE29D" w14:textId="77777777" w:rsidR="001861DC" w:rsidRPr="003E2D39" w:rsidRDefault="001861DC" w:rsidP="002E0516">
            <w:pPr>
              <w:jc w:val="center"/>
              <w:rPr>
                <w:rFonts w:ascii="Calibri" w:eastAsia="Times New Roman" w:hAnsi="Calibri" w:cs="Times New Roman"/>
                <w:color w:val="000000"/>
                <w:lang w:eastAsia="es-ES"/>
              </w:rPr>
            </w:pPr>
            <w:r w:rsidRPr="003E2D39">
              <w:rPr>
                <w:rFonts w:ascii="Calibri" w:eastAsia="Times New Roman" w:hAnsi="Calibri" w:cs="Times New Roman"/>
                <w:color w:val="000000"/>
                <w:lang w:eastAsia="es-ES"/>
              </w:rPr>
              <w:t>48,94</w:t>
            </w:r>
          </w:p>
        </w:tc>
        <w:tc>
          <w:tcPr>
            <w:tcW w:w="930" w:type="dxa"/>
            <w:tcBorders>
              <w:top w:val="nil"/>
              <w:left w:val="nil"/>
              <w:bottom w:val="nil"/>
              <w:right w:val="nil"/>
            </w:tcBorders>
            <w:shd w:val="clear" w:color="auto" w:fill="auto"/>
            <w:noWrap/>
            <w:vAlign w:val="bottom"/>
            <w:hideMark/>
          </w:tcPr>
          <w:p w14:paraId="10658CDC" w14:textId="77777777" w:rsidR="001861DC" w:rsidRPr="003E2D39" w:rsidRDefault="001861DC" w:rsidP="002E0516">
            <w:pPr>
              <w:jc w:val="center"/>
              <w:rPr>
                <w:rFonts w:ascii="Calibri" w:eastAsia="Times New Roman" w:hAnsi="Calibri" w:cs="Times New Roman"/>
                <w:color w:val="000000"/>
                <w:lang w:eastAsia="es-ES"/>
              </w:rPr>
            </w:pPr>
            <w:r w:rsidRPr="003E2D39">
              <w:rPr>
                <w:rFonts w:ascii="Calibri" w:eastAsia="Times New Roman" w:hAnsi="Calibri" w:cs="Times New Roman"/>
                <w:color w:val="000000"/>
                <w:lang w:eastAsia="es-ES"/>
              </w:rPr>
              <w:t>37,33</w:t>
            </w:r>
          </w:p>
        </w:tc>
        <w:tc>
          <w:tcPr>
            <w:tcW w:w="915" w:type="dxa"/>
            <w:tcBorders>
              <w:top w:val="nil"/>
              <w:left w:val="nil"/>
              <w:bottom w:val="nil"/>
              <w:right w:val="nil"/>
            </w:tcBorders>
            <w:shd w:val="clear" w:color="auto" w:fill="auto"/>
            <w:noWrap/>
            <w:vAlign w:val="bottom"/>
            <w:hideMark/>
          </w:tcPr>
          <w:p w14:paraId="22D99603" w14:textId="77777777" w:rsidR="001861DC" w:rsidRPr="003E2D39" w:rsidRDefault="001861DC" w:rsidP="002E0516">
            <w:pPr>
              <w:jc w:val="center"/>
              <w:rPr>
                <w:rFonts w:ascii="Calibri" w:eastAsia="Times New Roman" w:hAnsi="Calibri" w:cs="Times New Roman"/>
                <w:color w:val="000000"/>
                <w:lang w:eastAsia="es-ES"/>
              </w:rPr>
            </w:pPr>
            <w:r w:rsidRPr="003E2D39">
              <w:rPr>
                <w:rFonts w:ascii="Calibri" w:eastAsia="Times New Roman" w:hAnsi="Calibri" w:cs="Times New Roman"/>
                <w:color w:val="000000"/>
                <w:lang w:eastAsia="es-ES"/>
              </w:rPr>
              <w:t>13,22</w:t>
            </w:r>
          </w:p>
        </w:tc>
        <w:tc>
          <w:tcPr>
            <w:tcW w:w="1515" w:type="dxa"/>
            <w:tcBorders>
              <w:top w:val="nil"/>
              <w:left w:val="nil"/>
              <w:bottom w:val="nil"/>
              <w:right w:val="nil"/>
            </w:tcBorders>
            <w:shd w:val="clear" w:color="auto" w:fill="auto"/>
            <w:noWrap/>
            <w:vAlign w:val="bottom"/>
            <w:hideMark/>
          </w:tcPr>
          <w:p w14:paraId="105CAC83" w14:textId="77777777" w:rsidR="001861DC" w:rsidRPr="003E2D39" w:rsidRDefault="001861DC" w:rsidP="002E0516">
            <w:pPr>
              <w:jc w:val="center"/>
              <w:rPr>
                <w:rFonts w:ascii="Calibri" w:eastAsia="Times New Roman" w:hAnsi="Calibri" w:cs="Times New Roman"/>
                <w:color w:val="000000"/>
                <w:lang w:eastAsia="es-ES"/>
              </w:rPr>
            </w:pPr>
            <w:r w:rsidRPr="003E2D39">
              <w:rPr>
                <w:rFonts w:ascii="Calibri" w:eastAsia="Times New Roman" w:hAnsi="Calibri" w:cs="Times New Roman"/>
                <w:color w:val="000000"/>
                <w:lang w:eastAsia="es-ES"/>
              </w:rPr>
              <w:t>47,13</w:t>
            </w:r>
          </w:p>
        </w:tc>
        <w:tc>
          <w:tcPr>
            <w:tcW w:w="930" w:type="dxa"/>
            <w:tcBorders>
              <w:top w:val="nil"/>
              <w:left w:val="nil"/>
              <w:bottom w:val="nil"/>
              <w:right w:val="nil"/>
            </w:tcBorders>
            <w:shd w:val="clear" w:color="auto" w:fill="auto"/>
            <w:noWrap/>
            <w:vAlign w:val="bottom"/>
            <w:hideMark/>
          </w:tcPr>
          <w:p w14:paraId="4E52D2A3" w14:textId="77777777" w:rsidR="001861DC" w:rsidRPr="003E2D39" w:rsidRDefault="001861DC" w:rsidP="002E0516">
            <w:pPr>
              <w:jc w:val="center"/>
              <w:rPr>
                <w:rFonts w:ascii="Calibri" w:eastAsia="Times New Roman" w:hAnsi="Calibri" w:cs="Times New Roman"/>
                <w:color w:val="000000"/>
                <w:lang w:eastAsia="es-ES"/>
              </w:rPr>
            </w:pPr>
            <w:r w:rsidRPr="003E2D39">
              <w:rPr>
                <w:rFonts w:ascii="Calibri" w:eastAsia="Times New Roman" w:hAnsi="Calibri" w:cs="Times New Roman"/>
                <w:color w:val="000000"/>
                <w:lang w:eastAsia="es-ES"/>
              </w:rPr>
              <w:t>35,95</w:t>
            </w:r>
          </w:p>
        </w:tc>
      </w:tr>
      <w:tr w:rsidR="001861DC" w:rsidRPr="003E2D39" w14:paraId="1B3347F6" w14:textId="77777777" w:rsidTr="002E0516">
        <w:trPr>
          <w:trHeight w:val="300"/>
          <w:jc w:val="center"/>
        </w:trPr>
        <w:tc>
          <w:tcPr>
            <w:tcW w:w="1200" w:type="dxa"/>
            <w:tcBorders>
              <w:top w:val="nil"/>
              <w:left w:val="nil"/>
              <w:bottom w:val="nil"/>
              <w:right w:val="nil"/>
            </w:tcBorders>
            <w:shd w:val="clear" w:color="auto" w:fill="auto"/>
            <w:noWrap/>
            <w:vAlign w:val="bottom"/>
            <w:hideMark/>
          </w:tcPr>
          <w:p w14:paraId="55A9EFED" w14:textId="77777777" w:rsidR="001861DC" w:rsidRPr="003E2D39" w:rsidRDefault="001861DC" w:rsidP="002E0516">
            <w:pPr>
              <w:rPr>
                <w:rFonts w:ascii="Calibri" w:eastAsia="Times New Roman" w:hAnsi="Calibri" w:cs="Times New Roman"/>
                <w:color w:val="000000"/>
                <w:lang w:eastAsia="es-ES"/>
              </w:rPr>
            </w:pPr>
            <w:r>
              <w:rPr>
                <w:rFonts w:ascii="Calibri" w:eastAsia="Times New Roman" w:hAnsi="Calibri" w:cs="Times New Roman"/>
                <w:color w:val="000000"/>
                <w:lang w:eastAsia="es-ES"/>
              </w:rPr>
              <w:t>Noviembre</w:t>
            </w:r>
          </w:p>
        </w:tc>
        <w:tc>
          <w:tcPr>
            <w:tcW w:w="915" w:type="dxa"/>
            <w:tcBorders>
              <w:top w:val="nil"/>
              <w:left w:val="nil"/>
              <w:bottom w:val="nil"/>
              <w:right w:val="nil"/>
            </w:tcBorders>
            <w:shd w:val="clear" w:color="auto" w:fill="auto"/>
            <w:noWrap/>
            <w:vAlign w:val="bottom"/>
            <w:hideMark/>
          </w:tcPr>
          <w:p w14:paraId="73662D30" w14:textId="77777777" w:rsidR="001861DC" w:rsidRPr="003E2D39" w:rsidRDefault="001861DC" w:rsidP="002E0516">
            <w:pPr>
              <w:jc w:val="center"/>
              <w:rPr>
                <w:rFonts w:ascii="Calibri" w:eastAsia="Times New Roman" w:hAnsi="Calibri" w:cs="Times New Roman"/>
                <w:color w:val="000000"/>
                <w:lang w:eastAsia="es-ES"/>
              </w:rPr>
            </w:pPr>
            <w:r w:rsidRPr="003E2D39">
              <w:rPr>
                <w:rFonts w:ascii="Calibri" w:eastAsia="Times New Roman" w:hAnsi="Calibri" w:cs="Times New Roman"/>
                <w:color w:val="000000"/>
                <w:lang w:eastAsia="es-ES"/>
              </w:rPr>
              <w:t>13,85</w:t>
            </w:r>
          </w:p>
        </w:tc>
        <w:tc>
          <w:tcPr>
            <w:tcW w:w="1515" w:type="dxa"/>
            <w:tcBorders>
              <w:top w:val="nil"/>
              <w:left w:val="nil"/>
              <w:bottom w:val="nil"/>
              <w:right w:val="nil"/>
            </w:tcBorders>
            <w:shd w:val="clear" w:color="auto" w:fill="auto"/>
            <w:noWrap/>
            <w:vAlign w:val="bottom"/>
            <w:hideMark/>
          </w:tcPr>
          <w:p w14:paraId="31E07F54" w14:textId="77777777" w:rsidR="001861DC" w:rsidRPr="003E2D39" w:rsidRDefault="001861DC" w:rsidP="002E0516">
            <w:pPr>
              <w:jc w:val="center"/>
              <w:rPr>
                <w:rFonts w:ascii="Calibri" w:eastAsia="Times New Roman" w:hAnsi="Calibri" w:cs="Times New Roman"/>
                <w:color w:val="000000"/>
                <w:lang w:eastAsia="es-ES"/>
              </w:rPr>
            </w:pPr>
            <w:r w:rsidRPr="003E2D39">
              <w:rPr>
                <w:rFonts w:ascii="Calibri" w:eastAsia="Times New Roman" w:hAnsi="Calibri" w:cs="Times New Roman"/>
                <w:color w:val="000000"/>
                <w:lang w:eastAsia="es-ES"/>
              </w:rPr>
              <w:t>49,05</w:t>
            </w:r>
          </w:p>
        </w:tc>
        <w:tc>
          <w:tcPr>
            <w:tcW w:w="930" w:type="dxa"/>
            <w:tcBorders>
              <w:top w:val="nil"/>
              <w:left w:val="nil"/>
              <w:bottom w:val="nil"/>
              <w:right w:val="nil"/>
            </w:tcBorders>
            <w:shd w:val="clear" w:color="auto" w:fill="auto"/>
            <w:noWrap/>
            <w:vAlign w:val="bottom"/>
            <w:hideMark/>
          </w:tcPr>
          <w:p w14:paraId="0C817AC8" w14:textId="77777777" w:rsidR="001861DC" w:rsidRPr="003E2D39" w:rsidRDefault="001861DC" w:rsidP="002E0516">
            <w:pPr>
              <w:jc w:val="center"/>
              <w:rPr>
                <w:rFonts w:ascii="Calibri" w:eastAsia="Times New Roman" w:hAnsi="Calibri" w:cs="Times New Roman"/>
                <w:color w:val="000000"/>
                <w:lang w:eastAsia="es-ES"/>
              </w:rPr>
            </w:pPr>
            <w:r w:rsidRPr="003E2D39">
              <w:rPr>
                <w:rFonts w:ascii="Calibri" w:eastAsia="Times New Roman" w:hAnsi="Calibri" w:cs="Times New Roman"/>
                <w:color w:val="000000"/>
                <w:lang w:eastAsia="es-ES"/>
              </w:rPr>
              <w:t>37,11</w:t>
            </w:r>
          </w:p>
        </w:tc>
        <w:tc>
          <w:tcPr>
            <w:tcW w:w="915" w:type="dxa"/>
            <w:tcBorders>
              <w:top w:val="nil"/>
              <w:left w:val="nil"/>
              <w:bottom w:val="nil"/>
              <w:right w:val="nil"/>
            </w:tcBorders>
            <w:shd w:val="clear" w:color="auto" w:fill="auto"/>
            <w:noWrap/>
            <w:vAlign w:val="bottom"/>
            <w:hideMark/>
          </w:tcPr>
          <w:p w14:paraId="5E500626" w14:textId="77777777" w:rsidR="001861DC" w:rsidRPr="003E2D39" w:rsidRDefault="001861DC" w:rsidP="002E0516">
            <w:pPr>
              <w:jc w:val="center"/>
              <w:rPr>
                <w:rFonts w:ascii="Calibri" w:eastAsia="Times New Roman" w:hAnsi="Calibri" w:cs="Times New Roman"/>
                <w:color w:val="000000"/>
                <w:lang w:eastAsia="es-ES"/>
              </w:rPr>
            </w:pPr>
            <w:r w:rsidRPr="003E2D39">
              <w:rPr>
                <w:rFonts w:ascii="Calibri" w:eastAsia="Times New Roman" w:hAnsi="Calibri" w:cs="Times New Roman"/>
                <w:color w:val="000000"/>
                <w:lang w:eastAsia="es-ES"/>
              </w:rPr>
              <w:t>13,25</w:t>
            </w:r>
          </w:p>
        </w:tc>
        <w:tc>
          <w:tcPr>
            <w:tcW w:w="1515" w:type="dxa"/>
            <w:tcBorders>
              <w:top w:val="nil"/>
              <w:left w:val="nil"/>
              <w:bottom w:val="nil"/>
              <w:right w:val="nil"/>
            </w:tcBorders>
            <w:shd w:val="clear" w:color="auto" w:fill="auto"/>
            <w:noWrap/>
            <w:vAlign w:val="bottom"/>
            <w:hideMark/>
          </w:tcPr>
          <w:p w14:paraId="3F08C230" w14:textId="77777777" w:rsidR="001861DC" w:rsidRPr="003E2D39" w:rsidRDefault="001861DC" w:rsidP="002E0516">
            <w:pPr>
              <w:jc w:val="center"/>
              <w:rPr>
                <w:rFonts w:ascii="Calibri" w:eastAsia="Times New Roman" w:hAnsi="Calibri" w:cs="Times New Roman"/>
                <w:color w:val="000000"/>
                <w:lang w:eastAsia="es-ES"/>
              </w:rPr>
            </w:pPr>
            <w:r w:rsidRPr="003E2D39">
              <w:rPr>
                <w:rFonts w:ascii="Calibri" w:eastAsia="Times New Roman" w:hAnsi="Calibri" w:cs="Times New Roman"/>
                <w:color w:val="000000"/>
                <w:lang w:eastAsia="es-ES"/>
              </w:rPr>
              <w:t>46,93</w:t>
            </w:r>
          </w:p>
        </w:tc>
        <w:tc>
          <w:tcPr>
            <w:tcW w:w="930" w:type="dxa"/>
            <w:tcBorders>
              <w:top w:val="nil"/>
              <w:left w:val="nil"/>
              <w:bottom w:val="nil"/>
              <w:right w:val="nil"/>
            </w:tcBorders>
            <w:shd w:val="clear" w:color="auto" w:fill="auto"/>
            <w:noWrap/>
            <w:vAlign w:val="bottom"/>
            <w:hideMark/>
          </w:tcPr>
          <w:p w14:paraId="4E0E71DF" w14:textId="77777777" w:rsidR="001861DC" w:rsidRPr="003E2D39" w:rsidRDefault="001861DC" w:rsidP="002E0516">
            <w:pPr>
              <w:jc w:val="center"/>
              <w:rPr>
                <w:rFonts w:ascii="Calibri" w:eastAsia="Times New Roman" w:hAnsi="Calibri" w:cs="Times New Roman"/>
                <w:color w:val="000000"/>
                <w:lang w:eastAsia="es-ES"/>
              </w:rPr>
            </w:pPr>
            <w:r w:rsidRPr="003E2D39">
              <w:rPr>
                <w:rFonts w:ascii="Calibri" w:eastAsia="Times New Roman" w:hAnsi="Calibri" w:cs="Times New Roman"/>
                <w:color w:val="000000"/>
                <w:lang w:eastAsia="es-ES"/>
              </w:rPr>
              <w:t>35,51</w:t>
            </w:r>
          </w:p>
        </w:tc>
      </w:tr>
      <w:tr w:rsidR="001861DC" w:rsidRPr="003E2D39" w14:paraId="2491016B" w14:textId="77777777" w:rsidTr="002E0516">
        <w:trPr>
          <w:trHeight w:val="300"/>
          <w:jc w:val="center"/>
        </w:trPr>
        <w:tc>
          <w:tcPr>
            <w:tcW w:w="1200" w:type="dxa"/>
            <w:tcBorders>
              <w:top w:val="nil"/>
              <w:left w:val="nil"/>
              <w:bottom w:val="single" w:sz="4" w:space="0" w:color="auto"/>
              <w:right w:val="nil"/>
            </w:tcBorders>
            <w:shd w:val="clear" w:color="auto" w:fill="auto"/>
            <w:noWrap/>
            <w:vAlign w:val="bottom"/>
            <w:hideMark/>
          </w:tcPr>
          <w:p w14:paraId="195C7AF1" w14:textId="77777777" w:rsidR="001861DC" w:rsidRPr="003E2D39" w:rsidRDefault="001861DC" w:rsidP="002E0516">
            <w:pPr>
              <w:rPr>
                <w:rFonts w:ascii="Calibri" w:eastAsia="Times New Roman" w:hAnsi="Calibri" w:cs="Times New Roman"/>
                <w:color w:val="000000"/>
                <w:lang w:eastAsia="es-ES"/>
              </w:rPr>
            </w:pPr>
            <w:r>
              <w:rPr>
                <w:rFonts w:ascii="Calibri" w:eastAsia="Times New Roman" w:hAnsi="Calibri" w:cs="Times New Roman"/>
                <w:color w:val="000000"/>
                <w:lang w:eastAsia="es-ES"/>
              </w:rPr>
              <w:t>Diciembre</w:t>
            </w:r>
          </w:p>
        </w:tc>
        <w:tc>
          <w:tcPr>
            <w:tcW w:w="915" w:type="dxa"/>
            <w:tcBorders>
              <w:top w:val="nil"/>
              <w:left w:val="nil"/>
              <w:bottom w:val="single" w:sz="4" w:space="0" w:color="auto"/>
              <w:right w:val="nil"/>
            </w:tcBorders>
            <w:shd w:val="clear" w:color="auto" w:fill="auto"/>
            <w:noWrap/>
            <w:vAlign w:val="bottom"/>
            <w:hideMark/>
          </w:tcPr>
          <w:p w14:paraId="0BE52979" w14:textId="77777777" w:rsidR="001861DC" w:rsidRPr="003E2D39" w:rsidRDefault="001861DC" w:rsidP="002E0516">
            <w:pPr>
              <w:jc w:val="center"/>
              <w:rPr>
                <w:rFonts w:ascii="Calibri" w:eastAsia="Times New Roman" w:hAnsi="Calibri" w:cs="Times New Roman"/>
                <w:color w:val="000000"/>
                <w:lang w:eastAsia="es-ES"/>
              </w:rPr>
            </w:pPr>
            <w:r w:rsidRPr="003E2D39">
              <w:rPr>
                <w:rFonts w:ascii="Calibri" w:eastAsia="Times New Roman" w:hAnsi="Calibri" w:cs="Times New Roman"/>
                <w:color w:val="000000"/>
                <w:lang w:eastAsia="es-ES"/>
              </w:rPr>
              <w:t>13,49</w:t>
            </w:r>
          </w:p>
        </w:tc>
        <w:tc>
          <w:tcPr>
            <w:tcW w:w="1515" w:type="dxa"/>
            <w:tcBorders>
              <w:top w:val="nil"/>
              <w:left w:val="nil"/>
              <w:bottom w:val="single" w:sz="4" w:space="0" w:color="auto"/>
              <w:right w:val="nil"/>
            </w:tcBorders>
            <w:shd w:val="clear" w:color="auto" w:fill="auto"/>
            <w:noWrap/>
            <w:vAlign w:val="bottom"/>
            <w:hideMark/>
          </w:tcPr>
          <w:p w14:paraId="7174CA17" w14:textId="77777777" w:rsidR="001861DC" w:rsidRPr="003E2D39" w:rsidRDefault="001861DC" w:rsidP="002E0516">
            <w:pPr>
              <w:jc w:val="center"/>
              <w:rPr>
                <w:rFonts w:ascii="Calibri" w:eastAsia="Times New Roman" w:hAnsi="Calibri" w:cs="Times New Roman"/>
                <w:color w:val="000000"/>
                <w:lang w:eastAsia="es-ES"/>
              </w:rPr>
            </w:pPr>
            <w:r w:rsidRPr="003E2D39">
              <w:rPr>
                <w:rFonts w:ascii="Calibri" w:eastAsia="Times New Roman" w:hAnsi="Calibri" w:cs="Times New Roman"/>
                <w:color w:val="000000"/>
                <w:lang w:eastAsia="es-ES"/>
              </w:rPr>
              <w:t>48,01</w:t>
            </w:r>
          </w:p>
        </w:tc>
        <w:tc>
          <w:tcPr>
            <w:tcW w:w="930" w:type="dxa"/>
            <w:tcBorders>
              <w:top w:val="nil"/>
              <w:left w:val="nil"/>
              <w:bottom w:val="single" w:sz="4" w:space="0" w:color="auto"/>
              <w:right w:val="nil"/>
            </w:tcBorders>
            <w:shd w:val="clear" w:color="auto" w:fill="auto"/>
            <w:noWrap/>
            <w:vAlign w:val="bottom"/>
            <w:hideMark/>
          </w:tcPr>
          <w:p w14:paraId="2879CAF8" w14:textId="77777777" w:rsidR="001861DC" w:rsidRPr="003E2D39" w:rsidRDefault="001861DC" w:rsidP="002E0516">
            <w:pPr>
              <w:jc w:val="center"/>
              <w:rPr>
                <w:rFonts w:ascii="Calibri" w:eastAsia="Times New Roman" w:hAnsi="Calibri" w:cs="Times New Roman"/>
                <w:color w:val="000000"/>
                <w:lang w:eastAsia="es-ES"/>
              </w:rPr>
            </w:pPr>
            <w:r w:rsidRPr="003E2D39">
              <w:rPr>
                <w:rFonts w:ascii="Calibri" w:eastAsia="Times New Roman" w:hAnsi="Calibri" w:cs="Times New Roman"/>
                <w:color w:val="000000"/>
                <w:lang w:eastAsia="es-ES"/>
              </w:rPr>
              <w:t>38,51</w:t>
            </w:r>
          </w:p>
        </w:tc>
        <w:tc>
          <w:tcPr>
            <w:tcW w:w="915" w:type="dxa"/>
            <w:tcBorders>
              <w:top w:val="nil"/>
              <w:left w:val="nil"/>
              <w:bottom w:val="single" w:sz="4" w:space="0" w:color="auto"/>
              <w:right w:val="nil"/>
            </w:tcBorders>
            <w:shd w:val="clear" w:color="auto" w:fill="auto"/>
            <w:noWrap/>
            <w:vAlign w:val="bottom"/>
            <w:hideMark/>
          </w:tcPr>
          <w:p w14:paraId="636C543F" w14:textId="77777777" w:rsidR="001861DC" w:rsidRPr="003E2D39" w:rsidRDefault="001861DC" w:rsidP="002E0516">
            <w:pPr>
              <w:jc w:val="center"/>
              <w:rPr>
                <w:rFonts w:ascii="Calibri" w:eastAsia="Times New Roman" w:hAnsi="Calibri" w:cs="Times New Roman"/>
                <w:color w:val="000000"/>
                <w:lang w:eastAsia="es-ES"/>
              </w:rPr>
            </w:pPr>
            <w:r w:rsidRPr="003E2D39">
              <w:rPr>
                <w:rFonts w:ascii="Calibri" w:eastAsia="Times New Roman" w:hAnsi="Calibri" w:cs="Times New Roman"/>
                <w:color w:val="000000"/>
                <w:lang w:eastAsia="es-ES"/>
              </w:rPr>
              <w:t>12,90</w:t>
            </w:r>
          </w:p>
        </w:tc>
        <w:tc>
          <w:tcPr>
            <w:tcW w:w="1515" w:type="dxa"/>
            <w:tcBorders>
              <w:top w:val="nil"/>
              <w:left w:val="nil"/>
              <w:bottom w:val="single" w:sz="4" w:space="0" w:color="auto"/>
              <w:right w:val="nil"/>
            </w:tcBorders>
            <w:shd w:val="clear" w:color="auto" w:fill="auto"/>
            <w:noWrap/>
            <w:vAlign w:val="bottom"/>
            <w:hideMark/>
          </w:tcPr>
          <w:p w14:paraId="4DE8F204" w14:textId="77777777" w:rsidR="001861DC" w:rsidRPr="003E2D39" w:rsidRDefault="001861DC" w:rsidP="002E0516">
            <w:pPr>
              <w:jc w:val="center"/>
              <w:rPr>
                <w:rFonts w:ascii="Calibri" w:eastAsia="Times New Roman" w:hAnsi="Calibri" w:cs="Times New Roman"/>
                <w:color w:val="000000"/>
                <w:lang w:eastAsia="es-ES"/>
              </w:rPr>
            </w:pPr>
            <w:r w:rsidRPr="003E2D39">
              <w:rPr>
                <w:rFonts w:ascii="Calibri" w:eastAsia="Times New Roman" w:hAnsi="Calibri" w:cs="Times New Roman"/>
                <w:color w:val="000000"/>
                <w:lang w:eastAsia="es-ES"/>
              </w:rPr>
              <w:t>45,91</w:t>
            </w:r>
          </w:p>
        </w:tc>
        <w:tc>
          <w:tcPr>
            <w:tcW w:w="930" w:type="dxa"/>
            <w:tcBorders>
              <w:top w:val="nil"/>
              <w:left w:val="nil"/>
              <w:bottom w:val="single" w:sz="4" w:space="0" w:color="auto"/>
              <w:right w:val="nil"/>
            </w:tcBorders>
            <w:shd w:val="clear" w:color="auto" w:fill="auto"/>
            <w:noWrap/>
            <w:vAlign w:val="bottom"/>
            <w:hideMark/>
          </w:tcPr>
          <w:p w14:paraId="7C996A54" w14:textId="77777777" w:rsidR="001861DC" w:rsidRPr="003E2D39" w:rsidRDefault="001861DC" w:rsidP="002E0516">
            <w:pPr>
              <w:jc w:val="center"/>
              <w:rPr>
                <w:rFonts w:ascii="Calibri" w:eastAsia="Times New Roman" w:hAnsi="Calibri" w:cs="Times New Roman"/>
                <w:color w:val="000000"/>
                <w:lang w:eastAsia="es-ES"/>
              </w:rPr>
            </w:pPr>
            <w:r w:rsidRPr="003E2D39">
              <w:rPr>
                <w:rFonts w:ascii="Calibri" w:eastAsia="Times New Roman" w:hAnsi="Calibri" w:cs="Times New Roman"/>
                <w:color w:val="000000"/>
                <w:lang w:eastAsia="es-ES"/>
              </w:rPr>
              <w:t>36,83</w:t>
            </w:r>
          </w:p>
        </w:tc>
      </w:tr>
    </w:tbl>
    <w:p w14:paraId="69F024BC" w14:textId="77777777" w:rsidR="001861DC" w:rsidRDefault="001861DC" w:rsidP="001861DC"/>
    <w:p w14:paraId="3CBE2959" w14:textId="77777777" w:rsidR="001861DC" w:rsidRDefault="001861DC" w:rsidP="001861DC">
      <w:pPr>
        <w:rPr>
          <w:color w:val="2E74B5" w:themeColor="accent1" w:themeShade="BF"/>
        </w:rPr>
      </w:pPr>
    </w:p>
    <w:p w14:paraId="66450822" w14:textId="77777777" w:rsidR="001861DC" w:rsidRPr="00E31F11" w:rsidRDefault="001861DC" w:rsidP="001861DC">
      <w:r w:rsidRPr="00E31F11">
        <w:t>La diferencia entre un porcentaje en portafolio y un límite de inversión radica en la base sobre la cual se aplica el porcentaje.  Para el caso de un límite el denominador de la  división corresponde a la suma del total de las inversiones más las disponibilidades.  Por su parte el portafolio únicamente toma en cuenta las inversiones.</w:t>
      </w:r>
    </w:p>
    <w:p w14:paraId="0155E12A" w14:textId="77777777" w:rsidR="001861DC" w:rsidRDefault="001861DC" w:rsidP="001861DC"/>
    <w:p w14:paraId="56ABAF72" w14:textId="77777777" w:rsidR="001861DC" w:rsidRDefault="001861DC" w:rsidP="001861DC">
      <w:r>
        <w:t>La estructura de las inversiones del ROP por tipo de instrumento muestra para el caso del MH un uso de un 30,92% del total de recursos para invertir en Títulos de Propiedad, los cuales son instrumentos con tasa fija. En segundo grado de importancia están los títulos TUDES que representan un 8,09% de recursos sujetos al límite. En tercer lugar los títulos tasa básica que representan un 6,33%. Los tres instrumentos comentados representan el 45,34% del total usado en el límite, es decir casi el 98,7% de lo invertido en este emisor está en tres instrumentos, el restante 1,3% se distribuye en emisiones de deuda externa cotizadas en mercados internacionales.</w:t>
      </w:r>
    </w:p>
    <w:p w14:paraId="1376822F" w14:textId="77777777" w:rsidR="001861DC" w:rsidRDefault="001861DC" w:rsidP="001861DC">
      <w:pPr>
        <w:spacing w:after="160" w:line="259" w:lineRule="auto"/>
        <w:jc w:val="left"/>
      </w:pPr>
      <w:r>
        <w:br w:type="page"/>
      </w:r>
    </w:p>
    <w:p w14:paraId="446CF4E1" w14:textId="77777777" w:rsidR="001861DC" w:rsidRDefault="001861DC" w:rsidP="001861DC"/>
    <w:p w14:paraId="22FB313C" w14:textId="77777777" w:rsidR="001861DC" w:rsidRDefault="001861DC" w:rsidP="001861DC">
      <w:pPr>
        <w:jc w:val="center"/>
      </w:pPr>
      <w:r w:rsidRPr="003A3F9D">
        <w:rPr>
          <w:b/>
        </w:rPr>
        <w:t>ROP:</w:t>
      </w:r>
      <w:r>
        <w:t xml:space="preserve"> Límite por emisor, instrumento y plazo</w:t>
      </w:r>
    </w:p>
    <w:p w14:paraId="199C87F1" w14:textId="77777777" w:rsidR="001861DC" w:rsidRDefault="001861DC" w:rsidP="001861DC">
      <w:pPr>
        <w:jc w:val="center"/>
      </w:pPr>
      <w:r>
        <w:t>Cifras porcentuales</w:t>
      </w:r>
    </w:p>
    <w:tbl>
      <w:tblPr>
        <w:tblW w:w="8136" w:type="dxa"/>
        <w:jc w:val="center"/>
        <w:tblCellMar>
          <w:left w:w="70" w:type="dxa"/>
          <w:right w:w="70" w:type="dxa"/>
        </w:tblCellMar>
        <w:tblLook w:val="04A0" w:firstRow="1" w:lastRow="0" w:firstColumn="1" w:lastColumn="0" w:noHBand="0" w:noVBand="1"/>
      </w:tblPr>
      <w:tblGrid>
        <w:gridCol w:w="1357"/>
        <w:gridCol w:w="879"/>
        <w:gridCol w:w="954"/>
        <w:gridCol w:w="851"/>
        <w:gridCol w:w="850"/>
        <w:gridCol w:w="993"/>
        <w:gridCol w:w="992"/>
        <w:gridCol w:w="1260"/>
      </w:tblGrid>
      <w:tr w:rsidR="001861DC" w:rsidRPr="007E07C7" w14:paraId="63C5962E" w14:textId="77777777" w:rsidTr="002E0516">
        <w:trPr>
          <w:trHeight w:val="300"/>
          <w:jc w:val="center"/>
        </w:trPr>
        <w:tc>
          <w:tcPr>
            <w:tcW w:w="1357" w:type="dxa"/>
            <w:tcBorders>
              <w:top w:val="single" w:sz="4" w:space="0" w:color="auto"/>
              <w:left w:val="nil"/>
              <w:bottom w:val="single" w:sz="4" w:space="0" w:color="auto"/>
              <w:right w:val="nil"/>
            </w:tcBorders>
            <w:shd w:val="clear" w:color="auto" w:fill="auto"/>
            <w:noWrap/>
            <w:vAlign w:val="bottom"/>
            <w:hideMark/>
          </w:tcPr>
          <w:p w14:paraId="2517E46C" w14:textId="77777777" w:rsidR="001861DC" w:rsidRPr="007E07C7" w:rsidRDefault="001861DC" w:rsidP="002E0516">
            <w:pPr>
              <w:jc w:val="center"/>
              <w:rPr>
                <w:rFonts w:ascii="Calibri" w:eastAsia="Times New Roman" w:hAnsi="Calibri" w:cs="Times New Roman"/>
                <w:b/>
                <w:bCs/>
                <w:color w:val="000000"/>
                <w:lang w:eastAsia="es-ES"/>
              </w:rPr>
            </w:pPr>
            <w:r w:rsidRPr="007E07C7">
              <w:rPr>
                <w:rFonts w:ascii="Calibri" w:eastAsia="Times New Roman" w:hAnsi="Calibri" w:cs="Times New Roman"/>
                <w:b/>
                <w:bCs/>
                <w:color w:val="000000"/>
                <w:lang w:eastAsia="es-ES"/>
              </w:rPr>
              <w:t> </w:t>
            </w:r>
          </w:p>
        </w:tc>
        <w:tc>
          <w:tcPr>
            <w:tcW w:w="879" w:type="dxa"/>
            <w:tcBorders>
              <w:top w:val="single" w:sz="4" w:space="0" w:color="auto"/>
              <w:left w:val="nil"/>
              <w:bottom w:val="single" w:sz="4" w:space="0" w:color="auto"/>
              <w:right w:val="nil"/>
            </w:tcBorders>
            <w:shd w:val="clear" w:color="auto" w:fill="auto"/>
            <w:noWrap/>
            <w:vAlign w:val="center"/>
            <w:hideMark/>
          </w:tcPr>
          <w:p w14:paraId="20A2BBBC" w14:textId="77777777" w:rsidR="001861DC" w:rsidRPr="007E07C7" w:rsidRDefault="001861DC" w:rsidP="002E0516">
            <w:pPr>
              <w:jc w:val="center"/>
              <w:rPr>
                <w:rFonts w:ascii="Calibri" w:eastAsia="Times New Roman" w:hAnsi="Calibri" w:cs="Times New Roman"/>
                <w:b/>
                <w:bCs/>
                <w:color w:val="000000"/>
                <w:lang w:eastAsia="es-ES"/>
              </w:rPr>
            </w:pPr>
            <w:r w:rsidRPr="007E07C7">
              <w:rPr>
                <w:rFonts w:ascii="Calibri" w:eastAsia="Times New Roman" w:hAnsi="Calibri" w:cs="Times New Roman"/>
                <w:b/>
                <w:bCs/>
                <w:color w:val="000000"/>
                <w:lang w:eastAsia="es-ES"/>
              </w:rPr>
              <w:t>0 a 6 meses</w:t>
            </w:r>
          </w:p>
        </w:tc>
        <w:tc>
          <w:tcPr>
            <w:tcW w:w="954" w:type="dxa"/>
            <w:tcBorders>
              <w:top w:val="single" w:sz="4" w:space="0" w:color="auto"/>
              <w:left w:val="nil"/>
              <w:bottom w:val="single" w:sz="4" w:space="0" w:color="auto"/>
              <w:right w:val="nil"/>
            </w:tcBorders>
            <w:shd w:val="clear" w:color="auto" w:fill="auto"/>
            <w:noWrap/>
            <w:vAlign w:val="center"/>
            <w:hideMark/>
          </w:tcPr>
          <w:p w14:paraId="1E08CD20" w14:textId="77777777" w:rsidR="001861DC" w:rsidRPr="007E07C7" w:rsidRDefault="001861DC" w:rsidP="002E0516">
            <w:pPr>
              <w:jc w:val="center"/>
              <w:rPr>
                <w:rFonts w:ascii="Calibri" w:eastAsia="Times New Roman" w:hAnsi="Calibri" w:cs="Times New Roman"/>
                <w:b/>
                <w:bCs/>
                <w:color w:val="000000"/>
                <w:lang w:eastAsia="es-ES"/>
              </w:rPr>
            </w:pPr>
            <w:r w:rsidRPr="007E07C7">
              <w:rPr>
                <w:rFonts w:ascii="Calibri" w:eastAsia="Times New Roman" w:hAnsi="Calibri" w:cs="Times New Roman"/>
                <w:b/>
                <w:bCs/>
                <w:color w:val="000000"/>
                <w:lang w:eastAsia="es-ES"/>
              </w:rPr>
              <w:t>6 meses a 1 año</w:t>
            </w:r>
          </w:p>
        </w:tc>
        <w:tc>
          <w:tcPr>
            <w:tcW w:w="851" w:type="dxa"/>
            <w:tcBorders>
              <w:top w:val="single" w:sz="4" w:space="0" w:color="auto"/>
              <w:left w:val="nil"/>
              <w:bottom w:val="single" w:sz="4" w:space="0" w:color="auto"/>
              <w:right w:val="nil"/>
            </w:tcBorders>
            <w:shd w:val="clear" w:color="auto" w:fill="auto"/>
            <w:noWrap/>
            <w:vAlign w:val="center"/>
            <w:hideMark/>
          </w:tcPr>
          <w:p w14:paraId="52B21672" w14:textId="77777777" w:rsidR="001861DC" w:rsidRPr="007E07C7" w:rsidRDefault="001861DC" w:rsidP="002E0516">
            <w:pPr>
              <w:jc w:val="center"/>
              <w:rPr>
                <w:rFonts w:ascii="Calibri" w:eastAsia="Times New Roman" w:hAnsi="Calibri" w:cs="Times New Roman"/>
                <w:b/>
                <w:bCs/>
                <w:color w:val="000000"/>
                <w:lang w:eastAsia="es-ES"/>
              </w:rPr>
            </w:pPr>
            <w:r w:rsidRPr="007E07C7">
              <w:rPr>
                <w:rFonts w:ascii="Calibri" w:eastAsia="Times New Roman" w:hAnsi="Calibri" w:cs="Times New Roman"/>
                <w:b/>
                <w:bCs/>
                <w:color w:val="000000"/>
                <w:lang w:eastAsia="es-ES"/>
              </w:rPr>
              <w:t>1 a 5 años</w:t>
            </w:r>
          </w:p>
        </w:tc>
        <w:tc>
          <w:tcPr>
            <w:tcW w:w="850" w:type="dxa"/>
            <w:tcBorders>
              <w:top w:val="single" w:sz="4" w:space="0" w:color="auto"/>
              <w:left w:val="nil"/>
              <w:bottom w:val="single" w:sz="4" w:space="0" w:color="auto"/>
              <w:right w:val="nil"/>
            </w:tcBorders>
            <w:shd w:val="clear" w:color="auto" w:fill="auto"/>
            <w:noWrap/>
            <w:vAlign w:val="center"/>
            <w:hideMark/>
          </w:tcPr>
          <w:p w14:paraId="1513FABE" w14:textId="77777777" w:rsidR="001861DC" w:rsidRPr="007E07C7" w:rsidRDefault="001861DC" w:rsidP="002E0516">
            <w:pPr>
              <w:jc w:val="center"/>
              <w:rPr>
                <w:rFonts w:ascii="Calibri" w:eastAsia="Times New Roman" w:hAnsi="Calibri" w:cs="Times New Roman"/>
                <w:b/>
                <w:bCs/>
                <w:color w:val="000000"/>
                <w:lang w:eastAsia="es-ES"/>
              </w:rPr>
            </w:pPr>
            <w:r w:rsidRPr="007E07C7">
              <w:rPr>
                <w:rFonts w:ascii="Calibri" w:eastAsia="Times New Roman" w:hAnsi="Calibri" w:cs="Times New Roman"/>
                <w:b/>
                <w:bCs/>
                <w:color w:val="000000"/>
                <w:lang w:eastAsia="es-ES"/>
              </w:rPr>
              <w:t>5 a 10 años</w:t>
            </w:r>
          </w:p>
        </w:tc>
        <w:tc>
          <w:tcPr>
            <w:tcW w:w="993" w:type="dxa"/>
            <w:tcBorders>
              <w:top w:val="single" w:sz="4" w:space="0" w:color="auto"/>
              <w:left w:val="nil"/>
              <w:bottom w:val="single" w:sz="4" w:space="0" w:color="auto"/>
              <w:right w:val="nil"/>
            </w:tcBorders>
            <w:shd w:val="clear" w:color="auto" w:fill="auto"/>
            <w:noWrap/>
            <w:vAlign w:val="center"/>
            <w:hideMark/>
          </w:tcPr>
          <w:p w14:paraId="3A871102" w14:textId="77777777" w:rsidR="001861DC" w:rsidRPr="007E07C7" w:rsidRDefault="001861DC" w:rsidP="002E0516">
            <w:pPr>
              <w:jc w:val="center"/>
              <w:rPr>
                <w:rFonts w:ascii="Calibri" w:eastAsia="Times New Roman" w:hAnsi="Calibri" w:cs="Times New Roman"/>
                <w:b/>
                <w:bCs/>
                <w:color w:val="000000"/>
                <w:lang w:eastAsia="es-ES"/>
              </w:rPr>
            </w:pPr>
            <w:r w:rsidRPr="007E07C7">
              <w:rPr>
                <w:rFonts w:ascii="Calibri" w:eastAsia="Times New Roman" w:hAnsi="Calibri" w:cs="Times New Roman"/>
                <w:b/>
                <w:bCs/>
                <w:color w:val="000000"/>
                <w:lang w:eastAsia="es-ES"/>
              </w:rPr>
              <w:t>10 a 15 años</w:t>
            </w:r>
          </w:p>
        </w:tc>
        <w:tc>
          <w:tcPr>
            <w:tcW w:w="992" w:type="dxa"/>
            <w:tcBorders>
              <w:top w:val="single" w:sz="4" w:space="0" w:color="auto"/>
              <w:left w:val="nil"/>
              <w:bottom w:val="single" w:sz="4" w:space="0" w:color="auto"/>
              <w:right w:val="nil"/>
            </w:tcBorders>
            <w:shd w:val="clear" w:color="auto" w:fill="auto"/>
            <w:noWrap/>
            <w:vAlign w:val="center"/>
            <w:hideMark/>
          </w:tcPr>
          <w:p w14:paraId="6AA4463A" w14:textId="77777777" w:rsidR="001861DC" w:rsidRPr="007E07C7" w:rsidRDefault="001861DC" w:rsidP="002E0516">
            <w:pPr>
              <w:jc w:val="center"/>
              <w:rPr>
                <w:rFonts w:ascii="Calibri" w:eastAsia="Times New Roman" w:hAnsi="Calibri" w:cs="Times New Roman"/>
                <w:b/>
                <w:bCs/>
                <w:color w:val="000000"/>
                <w:lang w:eastAsia="es-ES"/>
              </w:rPr>
            </w:pPr>
            <w:r>
              <w:rPr>
                <w:rFonts w:ascii="Calibri" w:eastAsia="Times New Roman" w:hAnsi="Calibri" w:cs="Times New Roman"/>
                <w:b/>
                <w:bCs/>
                <w:color w:val="000000"/>
                <w:lang w:eastAsia="es-ES"/>
              </w:rPr>
              <w:t>M</w:t>
            </w:r>
            <w:r w:rsidRPr="007E07C7">
              <w:rPr>
                <w:rFonts w:ascii="Calibri" w:eastAsia="Times New Roman" w:hAnsi="Calibri" w:cs="Times New Roman"/>
                <w:b/>
                <w:bCs/>
                <w:color w:val="000000"/>
                <w:lang w:eastAsia="es-ES"/>
              </w:rPr>
              <w:t>ayores de 15</w:t>
            </w:r>
          </w:p>
        </w:tc>
        <w:tc>
          <w:tcPr>
            <w:tcW w:w="1260" w:type="dxa"/>
            <w:tcBorders>
              <w:top w:val="single" w:sz="4" w:space="0" w:color="auto"/>
              <w:left w:val="nil"/>
              <w:bottom w:val="single" w:sz="4" w:space="0" w:color="auto"/>
              <w:right w:val="nil"/>
            </w:tcBorders>
            <w:shd w:val="clear" w:color="auto" w:fill="auto"/>
            <w:noWrap/>
            <w:vAlign w:val="center"/>
            <w:hideMark/>
          </w:tcPr>
          <w:p w14:paraId="3B270A5E" w14:textId="77777777" w:rsidR="001861DC" w:rsidRPr="007E07C7" w:rsidRDefault="001861DC" w:rsidP="002E0516">
            <w:pPr>
              <w:jc w:val="center"/>
              <w:rPr>
                <w:rFonts w:ascii="Calibri" w:eastAsia="Times New Roman" w:hAnsi="Calibri" w:cs="Times New Roman"/>
                <w:b/>
                <w:bCs/>
                <w:color w:val="000000"/>
                <w:lang w:eastAsia="es-ES"/>
              </w:rPr>
            </w:pPr>
            <w:r w:rsidRPr="007E07C7">
              <w:rPr>
                <w:rFonts w:ascii="Calibri" w:eastAsia="Times New Roman" w:hAnsi="Calibri" w:cs="Times New Roman"/>
                <w:b/>
                <w:bCs/>
                <w:color w:val="000000"/>
                <w:lang w:eastAsia="es-ES"/>
              </w:rPr>
              <w:t>Total</w:t>
            </w:r>
          </w:p>
        </w:tc>
      </w:tr>
      <w:tr w:rsidR="001861DC" w:rsidRPr="007E07C7" w14:paraId="2B913051" w14:textId="77777777" w:rsidTr="002E0516">
        <w:trPr>
          <w:trHeight w:val="300"/>
          <w:jc w:val="center"/>
        </w:trPr>
        <w:tc>
          <w:tcPr>
            <w:tcW w:w="1357" w:type="dxa"/>
            <w:tcBorders>
              <w:top w:val="nil"/>
              <w:left w:val="nil"/>
              <w:bottom w:val="nil"/>
              <w:right w:val="nil"/>
            </w:tcBorders>
            <w:shd w:val="clear" w:color="000000" w:fill="E7E6E6"/>
            <w:noWrap/>
            <w:vAlign w:val="bottom"/>
            <w:hideMark/>
          </w:tcPr>
          <w:p w14:paraId="2E1F6157" w14:textId="77777777" w:rsidR="001861DC" w:rsidRPr="007E07C7" w:rsidRDefault="001861DC" w:rsidP="002E0516">
            <w:pPr>
              <w:jc w:val="left"/>
              <w:rPr>
                <w:rFonts w:ascii="Calibri" w:eastAsia="Times New Roman" w:hAnsi="Calibri" w:cs="Times New Roman"/>
                <w:b/>
                <w:bCs/>
                <w:color w:val="000000"/>
                <w:lang w:eastAsia="es-ES"/>
              </w:rPr>
            </w:pPr>
            <w:r w:rsidRPr="007E07C7">
              <w:rPr>
                <w:rFonts w:ascii="Calibri" w:eastAsia="Times New Roman" w:hAnsi="Calibri" w:cs="Times New Roman"/>
                <w:b/>
                <w:bCs/>
                <w:color w:val="000000"/>
                <w:lang w:eastAsia="es-ES"/>
              </w:rPr>
              <w:t>BCCR</w:t>
            </w:r>
          </w:p>
        </w:tc>
        <w:tc>
          <w:tcPr>
            <w:tcW w:w="879" w:type="dxa"/>
            <w:tcBorders>
              <w:top w:val="nil"/>
              <w:left w:val="nil"/>
              <w:bottom w:val="nil"/>
              <w:right w:val="nil"/>
            </w:tcBorders>
            <w:shd w:val="clear" w:color="000000" w:fill="E7E6E6"/>
            <w:noWrap/>
            <w:vAlign w:val="bottom"/>
            <w:hideMark/>
          </w:tcPr>
          <w:p w14:paraId="04E61F66" w14:textId="77777777" w:rsidR="001861DC" w:rsidRPr="007E07C7" w:rsidRDefault="001861DC" w:rsidP="002E0516">
            <w:pPr>
              <w:jc w:val="center"/>
              <w:rPr>
                <w:rFonts w:ascii="Calibri" w:eastAsia="Times New Roman" w:hAnsi="Calibri" w:cs="Times New Roman"/>
                <w:b/>
                <w:bCs/>
                <w:color w:val="000000"/>
                <w:lang w:eastAsia="es-ES"/>
              </w:rPr>
            </w:pPr>
            <w:r w:rsidRPr="007E07C7">
              <w:rPr>
                <w:rFonts w:ascii="Calibri" w:eastAsia="Times New Roman" w:hAnsi="Calibri" w:cs="Times New Roman"/>
                <w:b/>
                <w:bCs/>
                <w:color w:val="000000"/>
                <w:lang w:eastAsia="es-ES"/>
              </w:rPr>
              <w:t>0,42</w:t>
            </w:r>
          </w:p>
        </w:tc>
        <w:tc>
          <w:tcPr>
            <w:tcW w:w="954" w:type="dxa"/>
            <w:tcBorders>
              <w:top w:val="nil"/>
              <w:left w:val="nil"/>
              <w:bottom w:val="nil"/>
              <w:right w:val="nil"/>
            </w:tcBorders>
            <w:shd w:val="clear" w:color="000000" w:fill="E7E6E6"/>
            <w:noWrap/>
            <w:vAlign w:val="bottom"/>
            <w:hideMark/>
          </w:tcPr>
          <w:p w14:paraId="0B4F48E6" w14:textId="77777777" w:rsidR="001861DC" w:rsidRPr="007E07C7" w:rsidRDefault="001861DC" w:rsidP="002E0516">
            <w:pPr>
              <w:jc w:val="center"/>
              <w:rPr>
                <w:rFonts w:ascii="Calibri" w:eastAsia="Times New Roman" w:hAnsi="Calibri" w:cs="Times New Roman"/>
                <w:b/>
                <w:bCs/>
                <w:color w:val="000000"/>
                <w:lang w:eastAsia="es-ES"/>
              </w:rPr>
            </w:pPr>
            <w:r w:rsidRPr="007E07C7">
              <w:rPr>
                <w:rFonts w:ascii="Calibri" w:eastAsia="Times New Roman" w:hAnsi="Calibri" w:cs="Times New Roman"/>
                <w:b/>
                <w:bCs/>
                <w:color w:val="000000"/>
                <w:lang w:eastAsia="es-ES"/>
              </w:rPr>
              <w:t>0,23</w:t>
            </w:r>
          </w:p>
        </w:tc>
        <w:tc>
          <w:tcPr>
            <w:tcW w:w="851" w:type="dxa"/>
            <w:tcBorders>
              <w:top w:val="nil"/>
              <w:left w:val="nil"/>
              <w:bottom w:val="nil"/>
              <w:right w:val="nil"/>
            </w:tcBorders>
            <w:shd w:val="clear" w:color="000000" w:fill="E7E6E6"/>
            <w:noWrap/>
            <w:vAlign w:val="bottom"/>
            <w:hideMark/>
          </w:tcPr>
          <w:p w14:paraId="7BAC65E9" w14:textId="77777777" w:rsidR="001861DC" w:rsidRPr="007E07C7" w:rsidRDefault="001861DC" w:rsidP="002E0516">
            <w:pPr>
              <w:jc w:val="center"/>
              <w:rPr>
                <w:rFonts w:ascii="Calibri" w:eastAsia="Times New Roman" w:hAnsi="Calibri" w:cs="Times New Roman"/>
                <w:b/>
                <w:bCs/>
                <w:color w:val="000000"/>
                <w:lang w:eastAsia="es-ES"/>
              </w:rPr>
            </w:pPr>
            <w:r w:rsidRPr="007E07C7">
              <w:rPr>
                <w:rFonts w:ascii="Calibri" w:eastAsia="Times New Roman" w:hAnsi="Calibri" w:cs="Times New Roman"/>
                <w:b/>
                <w:bCs/>
                <w:color w:val="000000"/>
                <w:lang w:eastAsia="es-ES"/>
              </w:rPr>
              <w:t>6,79</w:t>
            </w:r>
          </w:p>
        </w:tc>
        <w:tc>
          <w:tcPr>
            <w:tcW w:w="850" w:type="dxa"/>
            <w:tcBorders>
              <w:top w:val="nil"/>
              <w:left w:val="nil"/>
              <w:bottom w:val="nil"/>
              <w:right w:val="nil"/>
            </w:tcBorders>
            <w:shd w:val="clear" w:color="000000" w:fill="E7E6E6"/>
            <w:noWrap/>
            <w:vAlign w:val="bottom"/>
            <w:hideMark/>
          </w:tcPr>
          <w:p w14:paraId="1FCE8AFE" w14:textId="77777777" w:rsidR="001861DC" w:rsidRPr="007E07C7" w:rsidRDefault="001861DC" w:rsidP="002E0516">
            <w:pPr>
              <w:jc w:val="center"/>
              <w:rPr>
                <w:rFonts w:ascii="Calibri" w:eastAsia="Times New Roman" w:hAnsi="Calibri" w:cs="Times New Roman"/>
                <w:b/>
                <w:bCs/>
                <w:color w:val="000000"/>
                <w:lang w:eastAsia="es-ES"/>
              </w:rPr>
            </w:pPr>
            <w:r w:rsidRPr="007E07C7">
              <w:rPr>
                <w:rFonts w:ascii="Calibri" w:eastAsia="Times New Roman" w:hAnsi="Calibri" w:cs="Times New Roman"/>
                <w:b/>
                <w:bCs/>
                <w:color w:val="000000"/>
                <w:lang w:eastAsia="es-ES"/>
              </w:rPr>
              <w:t>3,92</w:t>
            </w:r>
          </w:p>
        </w:tc>
        <w:tc>
          <w:tcPr>
            <w:tcW w:w="993" w:type="dxa"/>
            <w:tcBorders>
              <w:top w:val="nil"/>
              <w:left w:val="nil"/>
              <w:bottom w:val="nil"/>
              <w:right w:val="nil"/>
            </w:tcBorders>
            <w:shd w:val="clear" w:color="000000" w:fill="E7E6E6"/>
            <w:noWrap/>
            <w:vAlign w:val="bottom"/>
            <w:hideMark/>
          </w:tcPr>
          <w:p w14:paraId="51B6E2C0" w14:textId="77777777" w:rsidR="001861DC" w:rsidRPr="007E07C7" w:rsidRDefault="001861DC" w:rsidP="002E0516">
            <w:pPr>
              <w:jc w:val="center"/>
              <w:rPr>
                <w:rFonts w:ascii="Calibri" w:eastAsia="Times New Roman" w:hAnsi="Calibri" w:cs="Times New Roman"/>
                <w:b/>
                <w:bCs/>
                <w:color w:val="000000"/>
                <w:lang w:eastAsia="es-ES"/>
              </w:rPr>
            </w:pPr>
            <w:r w:rsidRPr="007E07C7">
              <w:rPr>
                <w:rFonts w:ascii="Calibri" w:eastAsia="Times New Roman" w:hAnsi="Calibri" w:cs="Times New Roman"/>
                <w:b/>
                <w:bCs/>
                <w:color w:val="000000"/>
                <w:lang w:eastAsia="es-ES"/>
              </w:rPr>
              <w:t>0,38</w:t>
            </w:r>
          </w:p>
        </w:tc>
        <w:tc>
          <w:tcPr>
            <w:tcW w:w="992" w:type="dxa"/>
            <w:tcBorders>
              <w:top w:val="nil"/>
              <w:left w:val="nil"/>
              <w:bottom w:val="nil"/>
              <w:right w:val="nil"/>
            </w:tcBorders>
            <w:shd w:val="clear" w:color="000000" w:fill="E7E6E6"/>
            <w:noWrap/>
            <w:vAlign w:val="bottom"/>
            <w:hideMark/>
          </w:tcPr>
          <w:p w14:paraId="7025CD98" w14:textId="77777777" w:rsidR="001861DC" w:rsidRPr="007E07C7" w:rsidRDefault="001861DC" w:rsidP="002E0516">
            <w:pPr>
              <w:jc w:val="center"/>
              <w:rPr>
                <w:rFonts w:ascii="Calibri" w:eastAsia="Times New Roman" w:hAnsi="Calibri" w:cs="Times New Roman"/>
                <w:b/>
                <w:bCs/>
                <w:color w:val="000000"/>
                <w:lang w:eastAsia="es-ES"/>
              </w:rPr>
            </w:pPr>
            <w:r w:rsidRPr="007E07C7">
              <w:rPr>
                <w:rFonts w:ascii="Calibri" w:eastAsia="Times New Roman" w:hAnsi="Calibri" w:cs="Times New Roman"/>
                <w:b/>
                <w:bCs/>
                <w:color w:val="000000"/>
                <w:lang w:eastAsia="es-ES"/>
              </w:rPr>
              <w:t>1,15</w:t>
            </w:r>
          </w:p>
        </w:tc>
        <w:tc>
          <w:tcPr>
            <w:tcW w:w="1260" w:type="dxa"/>
            <w:tcBorders>
              <w:top w:val="nil"/>
              <w:left w:val="nil"/>
              <w:bottom w:val="nil"/>
              <w:right w:val="nil"/>
            </w:tcBorders>
            <w:shd w:val="clear" w:color="000000" w:fill="E7E6E6"/>
            <w:noWrap/>
            <w:vAlign w:val="bottom"/>
            <w:hideMark/>
          </w:tcPr>
          <w:p w14:paraId="754D24FF" w14:textId="77777777" w:rsidR="001861DC" w:rsidRPr="007E07C7" w:rsidRDefault="001861DC" w:rsidP="002E0516">
            <w:pPr>
              <w:jc w:val="center"/>
              <w:rPr>
                <w:rFonts w:ascii="Calibri" w:eastAsia="Times New Roman" w:hAnsi="Calibri" w:cs="Times New Roman"/>
                <w:b/>
                <w:bCs/>
                <w:color w:val="000000"/>
                <w:lang w:eastAsia="es-ES"/>
              </w:rPr>
            </w:pPr>
            <w:r w:rsidRPr="007E07C7">
              <w:rPr>
                <w:rFonts w:ascii="Calibri" w:eastAsia="Times New Roman" w:hAnsi="Calibri" w:cs="Times New Roman"/>
                <w:b/>
                <w:bCs/>
                <w:color w:val="000000"/>
                <w:lang w:eastAsia="es-ES"/>
              </w:rPr>
              <w:t>12,90</w:t>
            </w:r>
          </w:p>
        </w:tc>
      </w:tr>
      <w:tr w:rsidR="001861DC" w:rsidRPr="007E07C7" w14:paraId="75B4FD5C" w14:textId="77777777" w:rsidTr="002E0516">
        <w:trPr>
          <w:trHeight w:val="300"/>
          <w:jc w:val="center"/>
        </w:trPr>
        <w:tc>
          <w:tcPr>
            <w:tcW w:w="1357" w:type="dxa"/>
            <w:tcBorders>
              <w:top w:val="nil"/>
              <w:left w:val="nil"/>
              <w:bottom w:val="nil"/>
              <w:right w:val="nil"/>
            </w:tcBorders>
            <w:shd w:val="clear" w:color="auto" w:fill="auto"/>
            <w:noWrap/>
            <w:vAlign w:val="bottom"/>
            <w:hideMark/>
          </w:tcPr>
          <w:p w14:paraId="7BF759A1" w14:textId="77777777" w:rsidR="001861DC" w:rsidRPr="007E07C7" w:rsidRDefault="001861DC" w:rsidP="002E0516">
            <w:pPr>
              <w:ind w:firstLineChars="200" w:firstLine="440"/>
              <w:jc w:val="left"/>
              <w:rPr>
                <w:rFonts w:ascii="Calibri" w:eastAsia="Times New Roman" w:hAnsi="Calibri" w:cs="Times New Roman"/>
                <w:color w:val="000000"/>
                <w:lang w:eastAsia="es-ES"/>
              </w:rPr>
            </w:pPr>
            <w:r w:rsidRPr="007E07C7">
              <w:rPr>
                <w:rFonts w:ascii="Calibri" w:eastAsia="Times New Roman" w:hAnsi="Calibri" w:cs="Times New Roman"/>
                <w:color w:val="000000"/>
                <w:lang w:eastAsia="es-ES"/>
              </w:rPr>
              <w:t>bem</w:t>
            </w:r>
          </w:p>
        </w:tc>
        <w:tc>
          <w:tcPr>
            <w:tcW w:w="879" w:type="dxa"/>
            <w:tcBorders>
              <w:top w:val="nil"/>
              <w:left w:val="nil"/>
              <w:bottom w:val="nil"/>
              <w:right w:val="nil"/>
            </w:tcBorders>
            <w:shd w:val="clear" w:color="auto" w:fill="auto"/>
            <w:noWrap/>
            <w:vAlign w:val="bottom"/>
            <w:hideMark/>
          </w:tcPr>
          <w:p w14:paraId="5B367D42" w14:textId="77777777" w:rsidR="001861DC" w:rsidRPr="007E07C7" w:rsidRDefault="001861DC" w:rsidP="002E0516">
            <w:pPr>
              <w:jc w:val="center"/>
              <w:rPr>
                <w:rFonts w:ascii="Calibri" w:eastAsia="Times New Roman" w:hAnsi="Calibri" w:cs="Times New Roman"/>
                <w:color w:val="000000"/>
                <w:lang w:eastAsia="es-ES"/>
              </w:rPr>
            </w:pPr>
            <w:r w:rsidRPr="007E07C7">
              <w:rPr>
                <w:rFonts w:ascii="Calibri" w:eastAsia="Times New Roman" w:hAnsi="Calibri" w:cs="Times New Roman"/>
                <w:color w:val="000000"/>
                <w:lang w:eastAsia="es-ES"/>
              </w:rPr>
              <w:t>0,34</w:t>
            </w:r>
          </w:p>
        </w:tc>
        <w:tc>
          <w:tcPr>
            <w:tcW w:w="954" w:type="dxa"/>
            <w:tcBorders>
              <w:top w:val="nil"/>
              <w:left w:val="nil"/>
              <w:bottom w:val="nil"/>
              <w:right w:val="nil"/>
            </w:tcBorders>
            <w:shd w:val="clear" w:color="auto" w:fill="auto"/>
            <w:noWrap/>
            <w:vAlign w:val="bottom"/>
            <w:hideMark/>
          </w:tcPr>
          <w:p w14:paraId="54702BE9" w14:textId="77777777" w:rsidR="001861DC" w:rsidRPr="007E07C7" w:rsidRDefault="001861DC" w:rsidP="002E0516">
            <w:pPr>
              <w:jc w:val="center"/>
              <w:rPr>
                <w:rFonts w:ascii="Calibri" w:eastAsia="Times New Roman" w:hAnsi="Calibri" w:cs="Times New Roman"/>
                <w:color w:val="000000"/>
                <w:lang w:eastAsia="es-ES"/>
              </w:rPr>
            </w:pPr>
            <w:r w:rsidRPr="007E07C7">
              <w:rPr>
                <w:rFonts w:ascii="Calibri" w:eastAsia="Times New Roman" w:hAnsi="Calibri" w:cs="Times New Roman"/>
                <w:color w:val="000000"/>
                <w:lang w:eastAsia="es-ES"/>
              </w:rPr>
              <w:t>0,23</w:t>
            </w:r>
          </w:p>
        </w:tc>
        <w:tc>
          <w:tcPr>
            <w:tcW w:w="851" w:type="dxa"/>
            <w:tcBorders>
              <w:top w:val="nil"/>
              <w:left w:val="nil"/>
              <w:bottom w:val="nil"/>
              <w:right w:val="nil"/>
            </w:tcBorders>
            <w:shd w:val="clear" w:color="auto" w:fill="auto"/>
            <w:noWrap/>
            <w:vAlign w:val="bottom"/>
            <w:hideMark/>
          </w:tcPr>
          <w:p w14:paraId="6E5168CD" w14:textId="77777777" w:rsidR="001861DC" w:rsidRPr="007E07C7" w:rsidRDefault="001861DC" w:rsidP="002E0516">
            <w:pPr>
              <w:jc w:val="center"/>
              <w:rPr>
                <w:rFonts w:ascii="Calibri" w:eastAsia="Times New Roman" w:hAnsi="Calibri" w:cs="Times New Roman"/>
                <w:color w:val="000000"/>
                <w:lang w:eastAsia="es-ES"/>
              </w:rPr>
            </w:pPr>
            <w:r w:rsidRPr="007E07C7">
              <w:rPr>
                <w:rFonts w:ascii="Calibri" w:eastAsia="Times New Roman" w:hAnsi="Calibri" w:cs="Times New Roman"/>
                <w:color w:val="000000"/>
                <w:lang w:eastAsia="es-ES"/>
              </w:rPr>
              <w:t>5,88</w:t>
            </w:r>
          </w:p>
        </w:tc>
        <w:tc>
          <w:tcPr>
            <w:tcW w:w="850" w:type="dxa"/>
            <w:tcBorders>
              <w:top w:val="nil"/>
              <w:left w:val="nil"/>
              <w:bottom w:val="nil"/>
              <w:right w:val="nil"/>
            </w:tcBorders>
            <w:shd w:val="clear" w:color="auto" w:fill="auto"/>
            <w:noWrap/>
            <w:vAlign w:val="bottom"/>
            <w:hideMark/>
          </w:tcPr>
          <w:p w14:paraId="442E7489" w14:textId="77777777" w:rsidR="001861DC" w:rsidRPr="007E07C7" w:rsidRDefault="001861DC" w:rsidP="002E0516">
            <w:pPr>
              <w:jc w:val="center"/>
              <w:rPr>
                <w:rFonts w:ascii="Calibri" w:eastAsia="Times New Roman" w:hAnsi="Calibri" w:cs="Times New Roman"/>
                <w:color w:val="000000"/>
                <w:lang w:eastAsia="es-ES"/>
              </w:rPr>
            </w:pPr>
            <w:r w:rsidRPr="007E07C7">
              <w:rPr>
                <w:rFonts w:ascii="Calibri" w:eastAsia="Times New Roman" w:hAnsi="Calibri" w:cs="Times New Roman"/>
                <w:color w:val="000000"/>
                <w:lang w:eastAsia="es-ES"/>
              </w:rPr>
              <w:t>2,46</w:t>
            </w:r>
          </w:p>
        </w:tc>
        <w:tc>
          <w:tcPr>
            <w:tcW w:w="993" w:type="dxa"/>
            <w:tcBorders>
              <w:top w:val="nil"/>
              <w:left w:val="nil"/>
              <w:bottom w:val="nil"/>
              <w:right w:val="nil"/>
            </w:tcBorders>
            <w:shd w:val="clear" w:color="auto" w:fill="auto"/>
            <w:noWrap/>
            <w:vAlign w:val="bottom"/>
            <w:hideMark/>
          </w:tcPr>
          <w:p w14:paraId="4539938C" w14:textId="77777777" w:rsidR="001861DC" w:rsidRPr="007E07C7" w:rsidRDefault="001861DC" w:rsidP="002E0516">
            <w:pPr>
              <w:jc w:val="center"/>
              <w:rPr>
                <w:rFonts w:ascii="Calibri" w:eastAsia="Times New Roman" w:hAnsi="Calibri" w:cs="Times New Roman"/>
                <w:color w:val="000000"/>
                <w:lang w:eastAsia="es-ES"/>
              </w:rPr>
            </w:pPr>
            <w:r w:rsidRPr="007E07C7">
              <w:rPr>
                <w:rFonts w:ascii="Calibri" w:eastAsia="Times New Roman" w:hAnsi="Calibri" w:cs="Times New Roman"/>
                <w:color w:val="000000"/>
                <w:lang w:eastAsia="es-ES"/>
              </w:rPr>
              <w:t>0,38</w:t>
            </w:r>
          </w:p>
        </w:tc>
        <w:tc>
          <w:tcPr>
            <w:tcW w:w="992" w:type="dxa"/>
            <w:tcBorders>
              <w:top w:val="nil"/>
              <w:left w:val="nil"/>
              <w:bottom w:val="nil"/>
              <w:right w:val="nil"/>
            </w:tcBorders>
            <w:shd w:val="clear" w:color="auto" w:fill="auto"/>
            <w:noWrap/>
            <w:vAlign w:val="bottom"/>
            <w:hideMark/>
          </w:tcPr>
          <w:p w14:paraId="4CDE2B4A" w14:textId="77777777" w:rsidR="001861DC" w:rsidRPr="007E07C7" w:rsidRDefault="001861DC" w:rsidP="002E0516">
            <w:pPr>
              <w:jc w:val="center"/>
              <w:rPr>
                <w:rFonts w:ascii="Calibri" w:eastAsia="Times New Roman" w:hAnsi="Calibri" w:cs="Times New Roman"/>
                <w:color w:val="000000"/>
                <w:lang w:eastAsia="es-ES"/>
              </w:rPr>
            </w:pPr>
            <w:r w:rsidRPr="007E07C7">
              <w:rPr>
                <w:rFonts w:ascii="Calibri" w:eastAsia="Times New Roman" w:hAnsi="Calibri" w:cs="Times New Roman"/>
                <w:color w:val="000000"/>
                <w:lang w:eastAsia="es-ES"/>
              </w:rPr>
              <w:t>0,14</w:t>
            </w:r>
          </w:p>
        </w:tc>
        <w:tc>
          <w:tcPr>
            <w:tcW w:w="1260" w:type="dxa"/>
            <w:tcBorders>
              <w:top w:val="nil"/>
              <w:left w:val="nil"/>
              <w:bottom w:val="nil"/>
              <w:right w:val="nil"/>
            </w:tcBorders>
            <w:shd w:val="clear" w:color="auto" w:fill="auto"/>
            <w:noWrap/>
            <w:vAlign w:val="bottom"/>
            <w:hideMark/>
          </w:tcPr>
          <w:p w14:paraId="022F9007" w14:textId="77777777" w:rsidR="001861DC" w:rsidRPr="007E07C7" w:rsidRDefault="001861DC" w:rsidP="002E0516">
            <w:pPr>
              <w:jc w:val="center"/>
              <w:rPr>
                <w:rFonts w:ascii="Calibri" w:eastAsia="Times New Roman" w:hAnsi="Calibri" w:cs="Times New Roman"/>
                <w:color w:val="000000"/>
                <w:lang w:eastAsia="es-ES"/>
              </w:rPr>
            </w:pPr>
            <w:r w:rsidRPr="007E07C7">
              <w:rPr>
                <w:rFonts w:ascii="Calibri" w:eastAsia="Times New Roman" w:hAnsi="Calibri" w:cs="Times New Roman"/>
                <w:color w:val="000000"/>
                <w:lang w:eastAsia="es-ES"/>
              </w:rPr>
              <w:t>9,44</w:t>
            </w:r>
          </w:p>
        </w:tc>
      </w:tr>
      <w:tr w:rsidR="001861DC" w:rsidRPr="007E07C7" w14:paraId="0B4A0607" w14:textId="77777777" w:rsidTr="002E0516">
        <w:trPr>
          <w:trHeight w:val="300"/>
          <w:jc w:val="center"/>
        </w:trPr>
        <w:tc>
          <w:tcPr>
            <w:tcW w:w="1357" w:type="dxa"/>
            <w:tcBorders>
              <w:top w:val="nil"/>
              <w:left w:val="nil"/>
              <w:bottom w:val="nil"/>
              <w:right w:val="nil"/>
            </w:tcBorders>
            <w:shd w:val="clear" w:color="auto" w:fill="auto"/>
            <w:noWrap/>
            <w:vAlign w:val="bottom"/>
            <w:hideMark/>
          </w:tcPr>
          <w:p w14:paraId="3B68A1B1" w14:textId="77777777" w:rsidR="001861DC" w:rsidRPr="007E07C7" w:rsidRDefault="001861DC" w:rsidP="002E0516">
            <w:pPr>
              <w:ind w:firstLineChars="200" w:firstLine="440"/>
              <w:jc w:val="left"/>
              <w:rPr>
                <w:rFonts w:ascii="Calibri" w:eastAsia="Times New Roman" w:hAnsi="Calibri" w:cs="Times New Roman"/>
                <w:color w:val="000000"/>
                <w:lang w:eastAsia="es-ES"/>
              </w:rPr>
            </w:pPr>
            <w:r w:rsidRPr="007E07C7">
              <w:rPr>
                <w:rFonts w:ascii="Calibri" w:eastAsia="Times New Roman" w:hAnsi="Calibri" w:cs="Times New Roman"/>
                <w:color w:val="000000"/>
                <w:lang w:eastAsia="es-ES"/>
              </w:rPr>
              <w:t>bemud</w:t>
            </w:r>
          </w:p>
        </w:tc>
        <w:tc>
          <w:tcPr>
            <w:tcW w:w="879" w:type="dxa"/>
            <w:tcBorders>
              <w:top w:val="nil"/>
              <w:left w:val="nil"/>
              <w:bottom w:val="nil"/>
              <w:right w:val="nil"/>
            </w:tcBorders>
            <w:shd w:val="clear" w:color="auto" w:fill="auto"/>
            <w:noWrap/>
            <w:vAlign w:val="bottom"/>
          </w:tcPr>
          <w:p w14:paraId="380FEA07" w14:textId="77777777" w:rsidR="001861DC" w:rsidRPr="007E07C7" w:rsidRDefault="001861DC" w:rsidP="002E0516">
            <w:pPr>
              <w:jc w:val="center"/>
              <w:rPr>
                <w:rFonts w:ascii="Calibri" w:eastAsia="Times New Roman" w:hAnsi="Calibri" w:cs="Times New Roman"/>
                <w:color w:val="000000"/>
                <w:lang w:eastAsia="es-ES"/>
              </w:rPr>
            </w:pPr>
          </w:p>
        </w:tc>
        <w:tc>
          <w:tcPr>
            <w:tcW w:w="954" w:type="dxa"/>
            <w:tcBorders>
              <w:top w:val="nil"/>
              <w:left w:val="nil"/>
              <w:bottom w:val="nil"/>
              <w:right w:val="nil"/>
            </w:tcBorders>
            <w:shd w:val="clear" w:color="auto" w:fill="auto"/>
            <w:noWrap/>
            <w:vAlign w:val="bottom"/>
          </w:tcPr>
          <w:p w14:paraId="5591E981" w14:textId="77777777" w:rsidR="001861DC" w:rsidRPr="007E07C7" w:rsidRDefault="001861DC" w:rsidP="002E0516">
            <w:pPr>
              <w:jc w:val="center"/>
              <w:rPr>
                <w:rFonts w:ascii="Calibri" w:eastAsia="Times New Roman" w:hAnsi="Calibri" w:cs="Times New Roman"/>
                <w:color w:val="000000"/>
                <w:lang w:eastAsia="es-ES"/>
              </w:rPr>
            </w:pPr>
          </w:p>
        </w:tc>
        <w:tc>
          <w:tcPr>
            <w:tcW w:w="851" w:type="dxa"/>
            <w:tcBorders>
              <w:top w:val="nil"/>
              <w:left w:val="nil"/>
              <w:bottom w:val="nil"/>
              <w:right w:val="nil"/>
            </w:tcBorders>
            <w:shd w:val="clear" w:color="auto" w:fill="auto"/>
            <w:noWrap/>
            <w:vAlign w:val="bottom"/>
            <w:hideMark/>
          </w:tcPr>
          <w:p w14:paraId="59B7E755" w14:textId="77777777" w:rsidR="001861DC" w:rsidRPr="007E07C7" w:rsidRDefault="001861DC" w:rsidP="002E0516">
            <w:pPr>
              <w:jc w:val="center"/>
              <w:rPr>
                <w:rFonts w:ascii="Calibri" w:eastAsia="Times New Roman" w:hAnsi="Calibri" w:cs="Times New Roman"/>
                <w:color w:val="000000"/>
                <w:lang w:eastAsia="es-ES"/>
              </w:rPr>
            </w:pPr>
            <w:r w:rsidRPr="007E07C7">
              <w:rPr>
                <w:rFonts w:ascii="Calibri" w:eastAsia="Times New Roman" w:hAnsi="Calibri" w:cs="Times New Roman"/>
                <w:color w:val="000000"/>
                <w:lang w:eastAsia="es-ES"/>
              </w:rPr>
              <w:t>0,01</w:t>
            </w:r>
          </w:p>
        </w:tc>
        <w:tc>
          <w:tcPr>
            <w:tcW w:w="850" w:type="dxa"/>
            <w:tcBorders>
              <w:top w:val="nil"/>
              <w:left w:val="nil"/>
              <w:bottom w:val="nil"/>
              <w:right w:val="nil"/>
            </w:tcBorders>
            <w:shd w:val="clear" w:color="auto" w:fill="auto"/>
            <w:noWrap/>
            <w:vAlign w:val="bottom"/>
            <w:hideMark/>
          </w:tcPr>
          <w:p w14:paraId="7F32902D" w14:textId="77777777" w:rsidR="001861DC" w:rsidRPr="007E07C7" w:rsidRDefault="001861DC" w:rsidP="002E0516">
            <w:pPr>
              <w:jc w:val="center"/>
              <w:rPr>
                <w:rFonts w:ascii="Calibri" w:eastAsia="Times New Roman" w:hAnsi="Calibri" w:cs="Times New Roman"/>
                <w:color w:val="000000"/>
                <w:lang w:eastAsia="es-ES"/>
              </w:rPr>
            </w:pPr>
            <w:r w:rsidRPr="007E07C7">
              <w:rPr>
                <w:rFonts w:ascii="Calibri" w:eastAsia="Times New Roman" w:hAnsi="Calibri" w:cs="Times New Roman"/>
                <w:color w:val="000000"/>
                <w:lang w:eastAsia="es-ES"/>
              </w:rPr>
              <w:t>0,80</w:t>
            </w:r>
          </w:p>
        </w:tc>
        <w:tc>
          <w:tcPr>
            <w:tcW w:w="993" w:type="dxa"/>
            <w:tcBorders>
              <w:top w:val="nil"/>
              <w:left w:val="nil"/>
              <w:bottom w:val="nil"/>
              <w:right w:val="nil"/>
            </w:tcBorders>
            <w:shd w:val="clear" w:color="auto" w:fill="auto"/>
            <w:noWrap/>
            <w:vAlign w:val="bottom"/>
          </w:tcPr>
          <w:p w14:paraId="51D2088E" w14:textId="77777777" w:rsidR="001861DC" w:rsidRPr="007E07C7" w:rsidRDefault="001861DC" w:rsidP="002E0516">
            <w:pPr>
              <w:jc w:val="center"/>
              <w:rPr>
                <w:rFonts w:ascii="Calibri" w:eastAsia="Times New Roman" w:hAnsi="Calibri" w:cs="Times New Roman"/>
                <w:color w:val="000000"/>
                <w:lang w:eastAsia="es-ES"/>
              </w:rPr>
            </w:pPr>
          </w:p>
        </w:tc>
        <w:tc>
          <w:tcPr>
            <w:tcW w:w="992" w:type="dxa"/>
            <w:tcBorders>
              <w:top w:val="nil"/>
              <w:left w:val="nil"/>
              <w:bottom w:val="nil"/>
              <w:right w:val="nil"/>
            </w:tcBorders>
            <w:shd w:val="clear" w:color="auto" w:fill="auto"/>
            <w:noWrap/>
            <w:vAlign w:val="bottom"/>
            <w:hideMark/>
          </w:tcPr>
          <w:p w14:paraId="019F1352" w14:textId="77777777" w:rsidR="001861DC" w:rsidRPr="007E07C7" w:rsidRDefault="001861DC" w:rsidP="002E0516">
            <w:pPr>
              <w:jc w:val="center"/>
              <w:rPr>
                <w:rFonts w:ascii="Calibri" w:eastAsia="Times New Roman" w:hAnsi="Calibri" w:cs="Times New Roman"/>
                <w:color w:val="000000"/>
                <w:lang w:eastAsia="es-ES"/>
              </w:rPr>
            </w:pPr>
          </w:p>
        </w:tc>
        <w:tc>
          <w:tcPr>
            <w:tcW w:w="1260" w:type="dxa"/>
            <w:tcBorders>
              <w:top w:val="nil"/>
              <w:left w:val="nil"/>
              <w:bottom w:val="nil"/>
              <w:right w:val="nil"/>
            </w:tcBorders>
            <w:shd w:val="clear" w:color="auto" w:fill="auto"/>
            <w:noWrap/>
            <w:vAlign w:val="bottom"/>
            <w:hideMark/>
          </w:tcPr>
          <w:p w14:paraId="4EB4DB33" w14:textId="77777777" w:rsidR="001861DC" w:rsidRPr="007E07C7" w:rsidRDefault="001861DC" w:rsidP="002E0516">
            <w:pPr>
              <w:jc w:val="center"/>
              <w:rPr>
                <w:rFonts w:ascii="Calibri" w:eastAsia="Times New Roman" w:hAnsi="Calibri" w:cs="Times New Roman"/>
                <w:color w:val="000000"/>
                <w:lang w:eastAsia="es-ES"/>
              </w:rPr>
            </w:pPr>
            <w:r w:rsidRPr="007E07C7">
              <w:rPr>
                <w:rFonts w:ascii="Calibri" w:eastAsia="Times New Roman" w:hAnsi="Calibri" w:cs="Times New Roman"/>
                <w:color w:val="000000"/>
                <w:lang w:eastAsia="es-ES"/>
              </w:rPr>
              <w:t>0,81</w:t>
            </w:r>
          </w:p>
        </w:tc>
      </w:tr>
      <w:tr w:rsidR="001861DC" w:rsidRPr="007E07C7" w14:paraId="5528D654" w14:textId="77777777" w:rsidTr="002E0516">
        <w:trPr>
          <w:trHeight w:val="300"/>
          <w:jc w:val="center"/>
        </w:trPr>
        <w:tc>
          <w:tcPr>
            <w:tcW w:w="1357" w:type="dxa"/>
            <w:tcBorders>
              <w:top w:val="nil"/>
              <w:left w:val="nil"/>
              <w:bottom w:val="nil"/>
              <w:right w:val="nil"/>
            </w:tcBorders>
            <w:shd w:val="clear" w:color="auto" w:fill="auto"/>
            <w:noWrap/>
            <w:vAlign w:val="bottom"/>
            <w:hideMark/>
          </w:tcPr>
          <w:p w14:paraId="31D5F8F6" w14:textId="77777777" w:rsidR="001861DC" w:rsidRPr="007E07C7" w:rsidRDefault="001861DC" w:rsidP="002E0516">
            <w:pPr>
              <w:ind w:firstLineChars="200" w:firstLine="440"/>
              <w:jc w:val="left"/>
              <w:rPr>
                <w:rFonts w:ascii="Calibri" w:eastAsia="Times New Roman" w:hAnsi="Calibri" w:cs="Times New Roman"/>
                <w:color w:val="000000"/>
                <w:lang w:eastAsia="es-ES"/>
              </w:rPr>
            </w:pPr>
            <w:r w:rsidRPr="007E07C7">
              <w:rPr>
                <w:rFonts w:ascii="Calibri" w:eastAsia="Times New Roman" w:hAnsi="Calibri" w:cs="Times New Roman"/>
                <w:color w:val="000000"/>
                <w:lang w:eastAsia="es-ES"/>
              </w:rPr>
              <w:t>bemv</w:t>
            </w:r>
          </w:p>
        </w:tc>
        <w:tc>
          <w:tcPr>
            <w:tcW w:w="879" w:type="dxa"/>
            <w:tcBorders>
              <w:top w:val="nil"/>
              <w:left w:val="nil"/>
              <w:bottom w:val="nil"/>
              <w:right w:val="nil"/>
            </w:tcBorders>
            <w:shd w:val="clear" w:color="auto" w:fill="auto"/>
            <w:noWrap/>
            <w:vAlign w:val="bottom"/>
            <w:hideMark/>
          </w:tcPr>
          <w:p w14:paraId="78BCB49B" w14:textId="77777777" w:rsidR="001861DC" w:rsidRPr="007E07C7" w:rsidRDefault="001861DC" w:rsidP="002E0516">
            <w:pPr>
              <w:jc w:val="center"/>
              <w:rPr>
                <w:rFonts w:ascii="Calibri" w:eastAsia="Times New Roman" w:hAnsi="Calibri" w:cs="Times New Roman"/>
                <w:color w:val="000000"/>
                <w:lang w:eastAsia="es-ES"/>
              </w:rPr>
            </w:pPr>
            <w:r w:rsidRPr="007E07C7">
              <w:rPr>
                <w:rFonts w:ascii="Calibri" w:eastAsia="Times New Roman" w:hAnsi="Calibri" w:cs="Times New Roman"/>
                <w:color w:val="000000"/>
                <w:lang w:eastAsia="es-ES"/>
              </w:rPr>
              <w:t>0,07</w:t>
            </w:r>
          </w:p>
        </w:tc>
        <w:tc>
          <w:tcPr>
            <w:tcW w:w="954" w:type="dxa"/>
            <w:tcBorders>
              <w:top w:val="nil"/>
              <w:left w:val="nil"/>
              <w:bottom w:val="nil"/>
              <w:right w:val="nil"/>
            </w:tcBorders>
            <w:shd w:val="clear" w:color="auto" w:fill="auto"/>
            <w:noWrap/>
            <w:vAlign w:val="bottom"/>
            <w:hideMark/>
          </w:tcPr>
          <w:p w14:paraId="7A6983D5" w14:textId="77777777" w:rsidR="001861DC" w:rsidRPr="007E07C7" w:rsidRDefault="001861DC" w:rsidP="002E0516">
            <w:pPr>
              <w:jc w:val="center"/>
              <w:rPr>
                <w:rFonts w:ascii="Calibri" w:eastAsia="Times New Roman" w:hAnsi="Calibri" w:cs="Times New Roman"/>
                <w:color w:val="000000"/>
                <w:lang w:eastAsia="es-ES"/>
              </w:rPr>
            </w:pPr>
          </w:p>
        </w:tc>
        <w:tc>
          <w:tcPr>
            <w:tcW w:w="851" w:type="dxa"/>
            <w:tcBorders>
              <w:top w:val="nil"/>
              <w:left w:val="nil"/>
              <w:bottom w:val="nil"/>
              <w:right w:val="nil"/>
            </w:tcBorders>
            <w:shd w:val="clear" w:color="auto" w:fill="auto"/>
            <w:noWrap/>
            <w:vAlign w:val="bottom"/>
            <w:hideMark/>
          </w:tcPr>
          <w:p w14:paraId="3CF38761" w14:textId="77777777" w:rsidR="001861DC" w:rsidRPr="007E07C7" w:rsidRDefault="001861DC" w:rsidP="002E0516">
            <w:pPr>
              <w:jc w:val="center"/>
              <w:rPr>
                <w:rFonts w:ascii="Calibri" w:eastAsia="Times New Roman" w:hAnsi="Calibri" w:cs="Times New Roman"/>
                <w:color w:val="000000"/>
                <w:lang w:eastAsia="es-ES"/>
              </w:rPr>
            </w:pPr>
            <w:r w:rsidRPr="007E07C7">
              <w:rPr>
                <w:rFonts w:ascii="Calibri" w:eastAsia="Times New Roman" w:hAnsi="Calibri" w:cs="Times New Roman"/>
                <w:color w:val="000000"/>
                <w:lang w:eastAsia="es-ES"/>
              </w:rPr>
              <w:t>0,90</w:t>
            </w:r>
          </w:p>
        </w:tc>
        <w:tc>
          <w:tcPr>
            <w:tcW w:w="850" w:type="dxa"/>
            <w:tcBorders>
              <w:top w:val="nil"/>
              <w:left w:val="nil"/>
              <w:bottom w:val="nil"/>
              <w:right w:val="nil"/>
            </w:tcBorders>
            <w:shd w:val="clear" w:color="auto" w:fill="auto"/>
            <w:noWrap/>
            <w:vAlign w:val="bottom"/>
            <w:hideMark/>
          </w:tcPr>
          <w:p w14:paraId="659D5799" w14:textId="77777777" w:rsidR="001861DC" w:rsidRPr="007E07C7" w:rsidRDefault="001861DC" w:rsidP="002E0516">
            <w:pPr>
              <w:jc w:val="center"/>
              <w:rPr>
                <w:rFonts w:ascii="Calibri" w:eastAsia="Times New Roman" w:hAnsi="Calibri" w:cs="Times New Roman"/>
                <w:color w:val="000000"/>
                <w:lang w:eastAsia="es-ES"/>
              </w:rPr>
            </w:pPr>
            <w:r w:rsidRPr="007E07C7">
              <w:rPr>
                <w:rFonts w:ascii="Calibri" w:eastAsia="Times New Roman" w:hAnsi="Calibri" w:cs="Times New Roman"/>
                <w:color w:val="000000"/>
                <w:lang w:eastAsia="es-ES"/>
              </w:rPr>
              <w:t>0,66</w:t>
            </w:r>
          </w:p>
        </w:tc>
        <w:tc>
          <w:tcPr>
            <w:tcW w:w="993" w:type="dxa"/>
            <w:tcBorders>
              <w:top w:val="nil"/>
              <w:left w:val="nil"/>
              <w:bottom w:val="nil"/>
              <w:right w:val="nil"/>
            </w:tcBorders>
            <w:shd w:val="clear" w:color="auto" w:fill="auto"/>
            <w:noWrap/>
            <w:vAlign w:val="bottom"/>
          </w:tcPr>
          <w:p w14:paraId="60366DBC" w14:textId="77777777" w:rsidR="001861DC" w:rsidRPr="007E07C7" w:rsidRDefault="001861DC" w:rsidP="002E0516">
            <w:pPr>
              <w:jc w:val="center"/>
              <w:rPr>
                <w:rFonts w:ascii="Calibri" w:eastAsia="Times New Roman" w:hAnsi="Calibri" w:cs="Times New Roman"/>
                <w:color w:val="000000"/>
                <w:lang w:eastAsia="es-ES"/>
              </w:rPr>
            </w:pPr>
          </w:p>
        </w:tc>
        <w:tc>
          <w:tcPr>
            <w:tcW w:w="992" w:type="dxa"/>
            <w:tcBorders>
              <w:top w:val="nil"/>
              <w:left w:val="nil"/>
              <w:bottom w:val="nil"/>
              <w:right w:val="nil"/>
            </w:tcBorders>
            <w:shd w:val="clear" w:color="auto" w:fill="auto"/>
            <w:noWrap/>
            <w:vAlign w:val="bottom"/>
            <w:hideMark/>
          </w:tcPr>
          <w:p w14:paraId="231CA761" w14:textId="77777777" w:rsidR="001861DC" w:rsidRPr="007E07C7" w:rsidRDefault="001861DC" w:rsidP="002E0516">
            <w:pPr>
              <w:jc w:val="center"/>
              <w:rPr>
                <w:rFonts w:ascii="Calibri" w:eastAsia="Times New Roman" w:hAnsi="Calibri" w:cs="Times New Roman"/>
                <w:color w:val="000000"/>
                <w:lang w:eastAsia="es-ES"/>
              </w:rPr>
            </w:pPr>
            <w:r w:rsidRPr="007E07C7">
              <w:rPr>
                <w:rFonts w:ascii="Calibri" w:eastAsia="Times New Roman" w:hAnsi="Calibri" w:cs="Times New Roman"/>
                <w:color w:val="000000"/>
                <w:lang w:eastAsia="es-ES"/>
              </w:rPr>
              <w:t>1,01</w:t>
            </w:r>
          </w:p>
        </w:tc>
        <w:tc>
          <w:tcPr>
            <w:tcW w:w="1260" w:type="dxa"/>
            <w:tcBorders>
              <w:top w:val="nil"/>
              <w:left w:val="nil"/>
              <w:bottom w:val="nil"/>
              <w:right w:val="nil"/>
            </w:tcBorders>
            <w:shd w:val="clear" w:color="auto" w:fill="auto"/>
            <w:noWrap/>
            <w:vAlign w:val="bottom"/>
            <w:hideMark/>
          </w:tcPr>
          <w:p w14:paraId="1D4E052A" w14:textId="77777777" w:rsidR="001861DC" w:rsidRPr="007E07C7" w:rsidRDefault="001861DC" w:rsidP="002E0516">
            <w:pPr>
              <w:jc w:val="center"/>
              <w:rPr>
                <w:rFonts w:ascii="Calibri" w:eastAsia="Times New Roman" w:hAnsi="Calibri" w:cs="Times New Roman"/>
                <w:color w:val="000000"/>
                <w:lang w:eastAsia="es-ES"/>
              </w:rPr>
            </w:pPr>
            <w:r w:rsidRPr="007E07C7">
              <w:rPr>
                <w:rFonts w:ascii="Calibri" w:eastAsia="Times New Roman" w:hAnsi="Calibri" w:cs="Times New Roman"/>
                <w:color w:val="000000"/>
                <w:lang w:eastAsia="es-ES"/>
              </w:rPr>
              <w:t>2,65</w:t>
            </w:r>
          </w:p>
        </w:tc>
      </w:tr>
      <w:tr w:rsidR="001861DC" w:rsidRPr="007E07C7" w14:paraId="564C1733" w14:textId="77777777" w:rsidTr="002E0516">
        <w:trPr>
          <w:trHeight w:val="300"/>
          <w:jc w:val="center"/>
        </w:trPr>
        <w:tc>
          <w:tcPr>
            <w:tcW w:w="1357" w:type="dxa"/>
            <w:tcBorders>
              <w:top w:val="nil"/>
              <w:left w:val="nil"/>
              <w:bottom w:val="nil"/>
              <w:right w:val="nil"/>
            </w:tcBorders>
            <w:shd w:val="clear" w:color="000000" w:fill="E7E6E6"/>
            <w:noWrap/>
            <w:vAlign w:val="bottom"/>
            <w:hideMark/>
          </w:tcPr>
          <w:p w14:paraId="1AB32597" w14:textId="77777777" w:rsidR="001861DC" w:rsidRPr="007E07C7" w:rsidRDefault="001861DC" w:rsidP="002E0516">
            <w:pPr>
              <w:jc w:val="left"/>
              <w:rPr>
                <w:rFonts w:ascii="Calibri" w:eastAsia="Times New Roman" w:hAnsi="Calibri" w:cs="Times New Roman"/>
                <w:b/>
                <w:bCs/>
                <w:color w:val="000000"/>
                <w:lang w:eastAsia="es-ES"/>
              </w:rPr>
            </w:pPr>
            <w:r>
              <w:rPr>
                <w:rFonts w:ascii="Calibri" w:eastAsia="Times New Roman" w:hAnsi="Calibri" w:cs="Times New Roman"/>
                <w:b/>
                <w:bCs/>
                <w:color w:val="000000"/>
                <w:lang w:eastAsia="es-ES"/>
              </w:rPr>
              <w:t>MH</w:t>
            </w:r>
          </w:p>
        </w:tc>
        <w:tc>
          <w:tcPr>
            <w:tcW w:w="879" w:type="dxa"/>
            <w:tcBorders>
              <w:top w:val="nil"/>
              <w:left w:val="nil"/>
              <w:bottom w:val="nil"/>
              <w:right w:val="nil"/>
            </w:tcBorders>
            <w:shd w:val="clear" w:color="000000" w:fill="E7E6E6"/>
            <w:noWrap/>
            <w:vAlign w:val="bottom"/>
            <w:hideMark/>
          </w:tcPr>
          <w:p w14:paraId="65B5D9DC" w14:textId="77777777" w:rsidR="001861DC" w:rsidRPr="007E07C7" w:rsidRDefault="001861DC" w:rsidP="002E0516">
            <w:pPr>
              <w:jc w:val="center"/>
              <w:rPr>
                <w:rFonts w:ascii="Calibri" w:eastAsia="Times New Roman" w:hAnsi="Calibri" w:cs="Times New Roman"/>
                <w:b/>
                <w:bCs/>
                <w:color w:val="000000"/>
                <w:lang w:eastAsia="es-ES"/>
              </w:rPr>
            </w:pPr>
            <w:r w:rsidRPr="007E07C7">
              <w:rPr>
                <w:rFonts w:ascii="Calibri" w:eastAsia="Times New Roman" w:hAnsi="Calibri" w:cs="Times New Roman"/>
                <w:b/>
                <w:bCs/>
                <w:color w:val="000000"/>
                <w:lang w:eastAsia="es-ES"/>
              </w:rPr>
              <w:t>0,72</w:t>
            </w:r>
          </w:p>
        </w:tc>
        <w:tc>
          <w:tcPr>
            <w:tcW w:w="954" w:type="dxa"/>
            <w:tcBorders>
              <w:top w:val="nil"/>
              <w:left w:val="nil"/>
              <w:bottom w:val="nil"/>
              <w:right w:val="nil"/>
            </w:tcBorders>
            <w:shd w:val="clear" w:color="000000" w:fill="E7E6E6"/>
            <w:noWrap/>
            <w:vAlign w:val="bottom"/>
            <w:hideMark/>
          </w:tcPr>
          <w:p w14:paraId="0C73BC1E" w14:textId="77777777" w:rsidR="001861DC" w:rsidRPr="007E07C7" w:rsidRDefault="001861DC" w:rsidP="002E0516">
            <w:pPr>
              <w:jc w:val="center"/>
              <w:rPr>
                <w:rFonts w:ascii="Calibri" w:eastAsia="Times New Roman" w:hAnsi="Calibri" w:cs="Times New Roman"/>
                <w:b/>
                <w:bCs/>
                <w:color w:val="000000"/>
                <w:lang w:eastAsia="es-ES"/>
              </w:rPr>
            </w:pPr>
            <w:r w:rsidRPr="007E07C7">
              <w:rPr>
                <w:rFonts w:ascii="Calibri" w:eastAsia="Times New Roman" w:hAnsi="Calibri" w:cs="Times New Roman"/>
                <w:b/>
                <w:bCs/>
                <w:color w:val="000000"/>
                <w:lang w:eastAsia="es-ES"/>
              </w:rPr>
              <w:t>0,33</w:t>
            </w:r>
          </w:p>
        </w:tc>
        <w:tc>
          <w:tcPr>
            <w:tcW w:w="851" w:type="dxa"/>
            <w:tcBorders>
              <w:top w:val="nil"/>
              <w:left w:val="nil"/>
              <w:bottom w:val="nil"/>
              <w:right w:val="nil"/>
            </w:tcBorders>
            <w:shd w:val="clear" w:color="000000" w:fill="E7E6E6"/>
            <w:noWrap/>
            <w:vAlign w:val="bottom"/>
            <w:hideMark/>
          </w:tcPr>
          <w:p w14:paraId="4F0493A7" w14:textId="77777777" w:rsidR="001861DC" w:rsidRPr="007E07C7" w:rsidRDefault="001861DC" w:rsidP="002E0516">
            <w:pPr>
              <w:jc w:val="center"/>
              <w:rPr>
                <w:rFonts w:ascii="Calibri" w:eastAsia="Times New Roman" w:hAnsi="Calibri" w:cs="Times New Roman"/>
                <w:b/>
                <w:bCs/>
                <w:color w:val="000000"/>
                <w:lang w:eastAsia="es-ES"/>
              </w:rPr>
            </w:pPr>
            <w:r w:rsidRPr="007E07C7">
              <w:rPr>
                <w:rFonts w:ascii="Calibri" w:eastAsia="Times New Roman" w:hAnsi="Calibri" w:cs="Times New Roman"/>
                <w:b/>
                <w:bCs/>
                <w:color w:val="000000"/>
                <w:lang w:eastAsia="es-ES"/>
              </w:rPr>
              <w:t>14,13</w:t>
            </w:r>
          </w:p>
        </w:tc>
        <w:tc>
          <w:tcPr>
            <w:tcW w:w="850" w:type="dxa"/>
            <w:tcBorders>
              <w:top w:val="nil"/>
              <w:left w:val="nil"/>
              <w:bottom w:val="nil"/>
              <w:right w:val="nil"/>
            </w:tcBorders>
            <w:shd w:val="clear" w:color="000000" w:fill="E7E6E6"/>
            <w:noWrap/>
            <w:vAlign w:val="bottom"/>
            <w:hideMark/>
          </w:tcPr>
          <w:p w14:paraId="7DA155D1" w14:textId="77777777" w:rsidR="001861DC" w:rsidRPr="007E07C7" w:rsidRDefault="001861DC" w:rsidP="002E0516">
            <w:pPr>
              <w:jc w:val="center"/>
              <w:rPr>
                <w:rFonts w:ascii="Calibri" w:eastAsia="Times New Roman" w:hAnsi="Calibri" w:cs="Times New Roman"/>
                <w:b/>
                <w:bCs/>
                <w:color w:val="000000"/>
                <w:lang w:eastAsia="es-ES"/>
              </w:rPr>
            </w:pPr>
            <w:r w:rsidRPr="007E07C7">
              <w:rPr>
                <w:rFonts w:ascii="Calibri" w:eastAsia="Times New Roman" w:hAnsi="Calibri" w:cs="Times New Roman"/>
                <w:b/>
                <w:bCs/>
                <w:color w:val="000000"/>
                <w:lang w:eastAsia="es-ES"/>
              </w:rPr>
              <w:t>20,33</w:t>
            </w:r>
          </w:p>
        </w:tc>
        <w:tc>
          <w:tcPr>
            <w:tcW w:w="993" w:type="dxa"/>
            <w:tcBorders>
              <w:top w:val="nil"/>
              <w:left w:val="nil"/>
              <w:bottom w:val="nil"/>
              <w:right w:val="nil"/>
            </w:tcBorders>
            <w:shd w:val="clear" w:color="000000" w:fill="E7E6E6"/>
            <w:noWrap/>
            <w:vAlign w:val="bottom"/>
            <w:hideMark/>
          </w:tcPr>
          <w:p w14:paraId="31661F33" w14:textId="77777777" w:rsidR="001861DC" w:rsidRPr="007E07C7" w:rsidRDefault="001861DC" w:rsidP="002E0516">
            <w:pPr>
              <w:jc w:val="center"/>
              <w:rPr>
                <w:rFonts w:ascii="Calibri" w:eastAsia="Times New Roman" w:hAnsi="Calibri" w:cs="Times New Roman"/>
                <w:b/>
                <w:bCs/>
                <w:color w:val="000000"/>
                <w:lang w:eastAsia="es-ES"/>
              </w:rPr>
            </w:pPr>
            <w:r w:rsidRPr="007E07C7">
              <w:rPr>
                <w:rFonts w:ascii="Calibri" w:eastAsia="Times New Roman" w:hAnsi="Calibri" w:cs="Times New Roman"/>
                <w:b/>
                <w:bCs/>
                <w:color w:val="000000"/>
                <w:lang w:eastAsia="es-ES"/>
              </w:rPr>
              <w:t>6,03</w:t>
            </w:r>
          </w:p>
        </w:tc>
        <w:tc>
          <w:tcPr>
            <w:tcW w:w="992" w:type="dxa"/>
            <w:tcBorders>
              <w:top w:val="nil"/>
              <w:left w:val="nil"/>
              <w:bottom w:val="nil"/>
              <w:right w:val="nil"/>
            </w:tcBorders>
            <w:shd w:val="clear" w:color="000000" w:fill="E7E6E6"/>
            <w:noWrap/>
            <w:vAlign w:val="bottom"/>
            <w:hideMark/>
          </w:tcPr>
          <w:p w14:paraId="35C7AD23" w14:textId="77777777" w:rsidR="001861DC" w:rsidRPr="007E07C7" w:rsidRDefault="001861DC" w:rsidP="002E0516">
            <w:pPr>
              <w:jc w:val="center"/>
              <w:rPr>
                <w:rFonts w:ascii="Calibri" w:eastAsia="Times New Roman" w:hAnsi="Calibri" w:cs="Times New Roman"/>
                <w:b/>
                <w:bCs/>
                <w:color w:val="000000"/>
                <w:lang w:eastAsia="es-ES"/>
              </w:rPr>
            </w:pPr>
            <w:r w:rsidRPr="007E07C7">
              <w:rPr>
                <w:rFonts w:ascii="Calibri" w:eastAsia="Times New Roman" w:hAnsi="Calibri" w:cs="Times New Roman"/>
                <w:b/>
                <w:bCs/>
                <w:color w:val="000000"/>
                <w:lang w:eastAsia="es-ES"/>
              </w:rPr>
              <w:t>4,37</w:t>
            </w:r>
          </w:p>
        </w:tc>
        <w:tc>
          <w:tcPr>
            <w:tcW w:w="1260" w:type="dxa"/>
            <w:tcBorders>
              <w:top w:val="nil"/>
              <w:left w:val="nil"/>
              <w:bottom w:val="nil"/>
              <w:right w:val="nil"/>
            </w:tcBorders>
            <w:shd w:val="clear" w:color="000000" w:fill="E7E6E6"/>
            <w:noWrap/>
            <w:vAlign w:val="bottom"/>
            <w:hideMark/>
          </w:tcPr>
          <w:p w14:paraId="4849E7BD" w14:textId="77777777" w:rsidR="001861DC" w:rsidRPr="007E07C7" w:rsidRDefault="001861DC" w:rsidP="002E0516">
            <w:pPr>
              <w:jc w:val="center"/>
              <w:rPr>
                <w:rFonts w:ascii="Calibri" w:eastAsia="Times New Roman" w:hAnsi="Calibri" w:cs="Times New Roman"/>
                <w:b/>
                <w:bCs/>
                <w:color w:val="000000"/>
                <w:lang w:eastAsia="es-ES"/>
              </w:rPr>
            </w:pPr>
            <w:r w:rsidRPr="007E07C7">
              <w:rPr>
                <w:rFonts w:ascii="Calibri" w:eastAsia="Times New Roman" w:hAnsi="Calibri" w:cs="Times New Roman"/>
                <w:b/>
                <w:bCs/>
                <w:color w:val="000000"/>
                <w:lang w:eastAsia="es-ES"/>
              </w:rPr>
              <w:t>45,91</w:t>
            </w:r>
          </w:p>
        </w:tc>
      </w:tr>
      <w:tr w:rsidR="001861DC" w:rsidRPr="007E07C7" w14:paraId="0091062B" w14:textId="77777777" w:rsidTr="002E0516">
        <w:trPr>
          <w:trHeight w:val="300"/>
          <w:jc w:val="center"/>
        </w:trPr>
        <w:tc>
          <w:tcPr>
            <w:tcW w:w="1357" w:type="dxa"/>
            <w:tcBorders>
              <w:top w:val="nil"/>
              <w:left w:val="nil"/>
              <w:bottom w:val="nil"/>
              <w:right w:val="nil"/>
            </w:tcBorders>
            <w:shd w:val="clear" w:color="auto" w:fill="auto"/>
            <w:noWrap/>
            <w:vAlign w:val="bottom"/>
            <w:hideMark/>
          </w:tcPr>
          <w:p w14:paraId="4022DBB1" w14:textId="77777777" w:rsidR="001861DC" w:rsidRPr="007E07C7" w:rsidRDefault="001861DC" w:rsidP="002E0516">
            <w:pPr>
              <w:ind w:firstLineChars="200" w:firstLine="440"/>
              <w:jc w:val="left"/>
              <w:rPr>
                <w:rFonts w:ascii="Calibri" w:eastAsia="Times New Roman" w:hAnsi="Calibri" w:cs="Times New Roman"/>
                <w:color w:val="000000"/>
                <w:lang w:eastAsia="es-ES"/>
              </w:rPr>
            </w:pPr>
            <w:r w:rsidRPr="007E07C7">
              <w:rPr>
                <w:rFonts w:ascii="Calibri" w:eastAsia="Times New Roman" w:hAnsi="Calibri" w:cs="Times New Roman"/>
                <w:color w:val="000000"/>
                <w:lang w:eastAsia="es-ES"/>
              </w:rPr>
              <w:t>bde20</w:t>
            </w:r>
          </w:p>
        </w:tc>
        <w:tc>
          <w:tcPr>
            <w:tcW w:w="879" w:type="dxa"/>
            <w:tcBorders>
              <w:top w:val="nil"/>
              <w:left w:val="nil"/>
              <w:bottom w:val="nil"/>
              <w:right w:val="nil"/>
            </w:tcBorders>
            <w:shd w:val="clear" w:color="auto" w:fill="auto"/>
            <w:noWrap/>
            <w:vAlign w:val="bottom"/>
          </w:tcPr>
          <w:p w14:paraId="1452D8D0" w14:textId="77777777" w:rsidR="001861DC" w:rsidRPr="007E07C7" w:rsidRDefault="001861DC" w:rsidP="002E0516">
            <w:pPr>
              <w:jc w:val="center"/>
              <w:rPr>
                <w:rFonts w:ascii="Calibri" w:eastAsia="Times New Roman" w:hAnsi="Calibri" w:cs="Times New Roman"/>
                <w:color w:val="000000"/>
                <w:lang w:eastAsia="es-ES"/>
              </w:rPr>
            </w:pPr>
          </w:p>
        </w:tc>
        <w:tc>
          <w:tcPr>
            <w:tcW w:w="954" w:type="dxa"/>
            <w:tcBorders>
              <w:top w:val="nil"/>
              <w:left w:val="nil"/>
              <w:bottom w:val="nil"/>
              <w:right w:val="nil"/>
            </w:tcBorders>
            <w:shd w:val="clear" w:color="auto" w:fill="auto"/>
            <w:noWrap/>
            <w:vAlign w:val="bottom"/>
          </w:tcPr>
          <w:p w14:paraId="4954704A" w14:textId="77777777" w:rsidR="001861DC" w:rsidRPr="007E07C7" w:rsidRDefault="001861DC" w:rsidP="002E0516">
            <w:pPr>
              <w:jc w:val="center"/>
              <w:rPr>
                <w:rFonts w:ascii="Calibri" w:eastAsia="Times New Roman" w:hAnsi="Calibri" w:cs="Times New Roman"/>
                <w:color w:val="000000"/>
                <w:lang w:eastAsia="es-ES"/>
              </w:rPr>
            </w:pPr>
          </w:p>
        </w:tc>
        <w:tc>
          <w:tcPr>
            <w:tcW w:w="851" w:type="dxa"/>
            <w:tcBorders>
              <w:top w:val="nil"/>
              <w:left w:val="nil"/>
              <w:bottom w:val="nil"/>
              <w:right w:val="nil"/>
            </w:tcBorders>
            <w:shd w:val="clear" w:color="auto" w:fill="auto"/>
            <w:noWrap/>
            <w:vAlign w:val="bottom"/>
          </w:tcPr>
          <w:p w14:paraId="4764A0B9" w14:textId="77777777" w:rsidR="001861DC" w:rsidRPr="007E07C7" w:rsidRDefault="001861DC" w:rsidP="002E0516">
            <w:pPr>
              <w:jc w:val="center"/>
              <w:rPr>
                <w:rFonts w:ascii="Calibri" w:eastAsia="Times New Roman" w:hAnsi="Calibri" w:cs="Times New Roman"/>
                <w:color w:val="000000"/>
                <w:lang w:eastAsia="es-ES"/>
              </w:rPr>
            </w:pPr>
          </w:p>
        </w:tc>
        <w:tc>
          <w:tcPr>
            <w:tcW w:w="850" w:type="dxa"/>
            <w:tcBorders>
              <w:top w:val="nil"/>
              <w:left w:val="nil"/>
              <w:bottom w:val="nil"/>
              <w:right w:val="nil"/>
            </w:tcBorders>
            <w:shd w:val="clear" w:color="auto" w:fill="auto"/>
            <w:noWrap/>
            <w:vAlign w:val="bottom"/>
          </w:tcPr>
          <w:p w14:paraId="7A76AAE0" w14:textId="77777777" w:rsidR="001861DC" w:rsidRPr="007E07C7" w:rsidRDefault="001861DC" w:rsidP="002E0516">
            <w:pPr>
              <w:jc w:val="center"/>
              <w:rPr>
                <w:rFonts w:ascii="Calibri" w:eastAsia="Times New Roman" w:hAnsi="Calibri" w:cs="Times New Roman"/>
                <w:color w:val="000000"/>
                <w:lang w:eastAsia="es-ES"/>
              </w:rPr>
            </w:pPr>
          </w:p>
        </w:tc>
        <w:tc>
          <w:tcPr>
            <w:tcW w:w="993" w:type="dxa"/>
            <w:tcBorders>
              <w:top w:val="nil"/>
              <w:left w:val="nil"/>
              <w:bottom w:val="nil"/>
              <w:right w:val="nil"/>
            </w:tcBorders>
            <w:shd w:val="clear" w:color="auto" w:fill="auto"/>
            <w:noWrap/>
            <w:vAlign w:val="bottom"/>
          </w:tcPr>
          <w:p w14:paraId="35865321" w14:textId="77777777" w:rsidR="001861DC" w:rsidRPr="007E07C7" w:rsidRDefault="001861DC" w:rsidP="002E0516">
            <w:pPr>
              <w:jc w:val="center"/>
              <w:rPr>
                <w:rFonts w:ascii="Calibri" w:eastAsia="Times New Roman" w:hAnsi="Calibri" w:cs="Times New Roman"/>
                <w:color w:val="000000"/>
                <w:lang w:eastAsia="es-ES"/>
              </w:rPr>
            </w:pPr>
          </w:p>
        </w:tc>
        <w:tc>
          <w:tcPr>
            <w:tcW w:w="992" w:type="dxa"/>
            <w:tcBorders>
              <w:top w:val="nil"/>
              <w:left w:val="nil"/>
              <w:bottom w:val="nil"/>
              <w:right w:val="nil"/>
            </w:tcBorders>
            <w:shd w:val="clear" w:color="auto" w:fill="auto"/>
            <w:noWrap/>
            <w:vAlign w:val="bottom"/>
          </w:tcPr>
          <w:p w14:paraId="7D2FE749" w14:textId="77777777" w:rsidR="001861DC" w:rsidRPr="007E07C7" w:rsidRDefault="001861DC" w:rsidP="002E0516">
            <w:pPr>
              <w:jc w:val="center"/>
              <w:rPr>
                <w:rFonts w:ascii="Calibri" w:eastAsia="Times New Roman" w:hAnsi="Calibri" w:cs="Times New Roman"/>
                <w:color w:val="000000"/>
                <w:lang w:eastAsia="es-ES"/>
              </w:rPr>
            </w:pPr>
          </w:p>
        </w:tc>
        <w:tc>
          <w:tcPr>
            <w:tcW w:w="1260" w:type="dxa"/>
            <w:tcBorders>
              <w:top w:val="nil"/>
              <w:left w:val="nil"/>
              <w:bottom w:val="nil"/>
              <w:right w:val="nil"/>
            </w:tcBorders>
            <w:shd w:val="clear" w:color="auto" w:fill="auto"/>
            <w:noWrap/>
            <w:vAlign w:val="bottom"/>
          </w:tcPr>
          <w:p w14:paraId="31C8D49B" w14:textId="77777777" w:rsidR="001861DC" w:rsidRPr="007E07C7" w:rsidRDefault="001861DC" w:rsidP="002E0516">
            <w:pPr>
              <w:jc w:val="center"/>
              <w:rPr>
                <w:rFonts w:ascii="Calibri" w:eastAsia="Times New Roman" w:hAnsi="Calibri" w:cs="Times New Roman"/>
                <w:color w:val="000000"/>
                <w:lang w:eastAsia="es-ES"/>
              </w:rPr>
            </w:pPr>
          </w:p>
        </w:tc>
      </w:tr>
      <w:tr w:rsidR="001861DC" w:rsidRPr="007E07C7" w14:paraId="28C6D4C4" w14:textId="77777777" w:rsidTr="002E0516">
        <w:trPr>
          <w:trHeight w:val="300"/>
          <w:jc w:val="center"/>
        </w:trPr>
        <w:tc>
          <w:tcPr>
            <w:tcW w:w="1357" w:type="dxa"/>
            <w:tcBorders>
              <w:top w:val="nil"/>
              <w:left w:val="nil"/>
              <w:bottom w:val="nil"/>
              <w:right w:val="nil"/>
            </w:tcBorders>
            <w:shd w:val="clear" w:color="auto" w:fill="auto"/>
            <w:noWrap/>
            <w:vAlign w:val="bottom"/>
            <w:hideMark/>
          </w:tcPr>
          <w:p w14:paraId="56A65A84" w14:textId="77777777" w:rsidR="001861DC" w:rsidRPr="007E07C7" w:rsidRDefault="001861DC" w:rsidP="002E0516">
            <w:pPr>
              <w:ind w:firstLineChars="200" w:firstLine="440"/>
              <w:jc w:val="left"/>
              <w:rPr>
                <w:rFonts w:ascii="Calibri" w:eastAsia="Times New Roman" w:hAnsi="Calibri" w:cs="Times New Roman"/>
                <w:color w:val="000000"/>
                <w:lang w:eastAsia="es-ES"/>
              </w:rPr>
            </w:pPr>
            <w:r w:rsidRPr="007E07C7">
              <w:rPr>
                <w:rFonts w:ascii="Calibri" w:eastAsia="Times New Roman" w:hAnsi="Calibri" w:cs="Times New Roman"/>
                <w:color w:val="000000"/>
                <w:lang w:eastAsia="es-ES"/>
              </w:rPr>
              <w:t>bde25</w:t>
            </w:r>
          </w:p>
        </w:tc>
        <w:tc>
          <w:tcPr>
            <w:tcW w:w="879" w:type="dxa"/>
            <w:tcBorders>
              <w:top w:val="nil"/>
              <w:left w:val="nil"/>
              <w:bottom w:val="nil"/>
              <w:right w:val="nil"/>
            </w:tcBorders>
            <w:shd w:val="clear" w:color="auto" w:fill="auto"/>
            <w:noWrap/>
            <w:vAlign w:val="bottom"/>
          </w:tcPr>
          <w:p w14:paraId="46EB4AF4" w14:textId="77777777" w:rsidR="001861DC" w:rsidRPr="007E07C7" w:rsidRDefault="001861DC" w:rsidP="002E0516">
            <w:pPr>
              <w:jc w:val="center"/>
              <w:rPr>
                <w:rFonts w:ascii="Calibri" w:eastAsia="Times New Roman" w:hAnsi="Calibri" w:cs="Times New Roman"/>
                <w:color w:val="000000"/>
                <w:lang w:eastAsia="es-ES"/>
              </w:rPr>
            </w:pPr>
          </w:p>
        </w:tc>
        <w:tc>
          <w:tcPr>
            <w:tcW w:w="954" w:type="dxa"/>
            <w:tcBorders>
              <w:top w:val="nil"/>
              <w:left w:val="nil"/>
              <w:bottom w:val="nil"/>
              <w:right w:val="nil"/>
            </w:tcBorders>
            <w:shd w:val="clear" w:color="auto" w:fill="auto"/>
            <w:noWrap/>
            <w:vAlign w:val="bottom"/>
          </w:tcPr>
          <w:p w14:paraId="4BA73F24" w14:textId="77777777" w:rsidR="001861DC" w:rsidRPr="007E07C7" w:rsidRDefault="001861DC" w:rsidP="002E0516">
            <w:pPr>
              <w:jc w:val="center"/>
              <w:rPr>
                <w:rFonts w:ascii="Calibri" w:eastAsia="Times New Roman" w:hAnsi="Calibri" w:cs="Times New Roman"/>
                <w:color w:val="000000"/>
                <w:lang w:eastAsia="es-ES"/>
              </w:rPr>
            </w:pPr>
          </w:p>
        </w:tc>
        <w:tc>
          <w:tcPr>
            <w:tcW w:w="851" w:type="dxa"/>
            <w:tcBorders>
              <w:top w:val="nil"/>
              <w:left w:val="nil"/>
              <w:bottom w:val="nil"/>
              <w:right w:val="nil"/>
            </w:tcBorders>
            <w:shd w:val="clear" w:color="auto" w:fill="auto"/>
            <w:noWrap/>
            <w:vAlign w:val="bottom"/>
          </w:tcPr>
          <w:p w14:paraId="6A2E3360" w14:textId="77777777" w:rsidR="001861DC" w:rsidRPr="007E07C7" w:rsidRDefault="001861DC" w:rsidP="002E0516">
            <w:pPr>
              <w:jc w:val="center"/>
              <w:rPr>
                <w:rFonts w:ascii="Calibri" w:eastAsia="Times New Roman" w:hAnsi="Calibri" w:cs="Times New Roman"/>
                <w:color w:val="000000"/>
                <w:lang w:eastAsia="es-ES"/>
              </w:rPr>
            </w:pPr>
          </w:p>
        </w:tc>
        <w:tc>
          <w:tcPr>
            <w:tcW w:w="850" w:type="dxa"/>
            <w:tcBorders>
              <w:top w:val="nil"/>
              <w:left w:val="nil"/>
              <w:bottom w:val="nil"/>
              <w:right w:val="nil"/>
            </w:tcBorders>
            <w:shd w:val="clear" w:color="auto" w:fill="auto"/>
            <w:noWrap/>
            <w:vAlign w:val="bottom"/>
          </w:tcPr>
          <w:p w14:paraId="0975C7EA" w14:textId="77777777" w:rsidR="001861DC" w:rsidRPr="007E07C7" w:rsidRDefault="001861DC" w:rsidP="002E0516">
            <w:pPr>
              <w:jc w:val="center"/>
              <w:rPr>
                <w:rFonts w:ascii="Calibri" w:eastAsia="Times New Roman" w:hAnsi="Calibri" w:cs="Times New Roman"/>
                <w:color w:val="000000"/>
                <w:lang w:eastAsia="es-ES"/>
              </w:rPr>
            </w:pPr>
          </w:p>
        </w:tc>
        <w:tc>
          <w:tcPr>
            <w:tcW w:w="993" w:type="dxa"/>
            <w:tcBorders>
              <w:top w:val="nil"/>
              <w:left w:val="nil"/>
              <w:bottom w:val="nil"/>
              <w:right w:val="nil"/>
            </w:tcBorders>
            <w:shd w:val="clear" w:color="auto" w:fill="auto"/>
            <w:noWrap/>
            <w:vAlign w:val="bottom"/>
          </w:tcPr>
          <w:p w14:paraId="06830DEA" w14:textId="77777777" w:rsidR="001861DC" w:rsidRPr="007E07C7" w:rsidRDefault="001861DC" w:rsidP="002E0516">
            <w:pPr>
              <w:jc w:val="center"/>
              <w:rPr>
                <w:rFonts w:ascii="Calibri" w:eastAsia="Times New Roman" w:hAnsi="Calibri" w:cs="Times New Roman"/>
                <w:color w:val="000000"/>
                <w:lang w:eastAsia="es-ES"/>
              </w:rPr>
            </w:pPr>
          </w:p>
        </w:tc>
        <w:tc>
          <w:tcPr>
            <w:tcW w:w="992" w:type="dxa"/>
            <w:tcBorders>
              <w:top w:val="nil"/>
              <w:left w:val="nil"/>
              <w:bottom w:val="nil"/>
              <w:right w:val="nil"/>
            </w:tcBorders>
            <w:shd w:val="clear" w:color="auto" w:fill="auto"/>
            <w:noWrap/>
            <w:vAlign w:val="bottom"/>
          </w:tcPr>
          <w:p w14:paraId="6CB97C6F" w14:textId="77777777" w:rsidR="001861DC" w:rsidRPr="007E07C7" w:rsidRDefault="001861DC" w:rsidP="002E0516">
            <w:pPr>
              <w:jc w:val="center"/>
              <w:rPr>
                <w:rFonts w:ascii="Calibri" w:eastAsia="Times New Roman" w:hAnsi="Calibri" w:cs="Times New Roman"/>
                <w:color w:val="000000"/>
                <w:lang w:eastAsia="es-ES"/>
              </w:rPr>
            </w:pPr>
          </w:p>
        </w:tc>
        <w:tc>
          <w:tcPr>
            <w:tcW w:w="1260" w:type="dxa"/>
            <w:tcBorders>
              <w:top w:val="nil"/>
              <w:left w:val="nil"/>
              <w:bottom w:val="nil"/>
              <w:right w:val="nil"/>
            </w:tcBorders>
            <w:shd w:val="clear" w:color="auto" w:fill="auto"/>
            <w:noWrap/>
            <w:vAlign w:val="bottom"/>
          </w:tcPr>
          <w:p w14:paraId="22E79188" w14:textId="77777777" w:rsidR="001861DC" w:rsidRPr="007E07C7" w:rsidRDefault="001861DC" w:rsidP="002E0516">
            <w:pPr>
              <w:jc w:val="center"/>
              <w:rPr>
                <w:rFonts w:ascii="Calibri" w:eastAsia="Times New Roman" w:hAnsi="Calibri" w:cs="Times New Roman"/>
                <w:color w:val="000000"/>
                <w:lang w:eastAsia="es-ES"/>
              </w:rPr>
            </w:pPr>
          </w:p>
        </w:tc>
      </w:tr>
      <w:tr w:rsidR="001861DC" w:rsidRPr="007E07C7" w14:paraId="4E7E0BC4" w14:textId="77777777" w:rsidTr="002E0516">
        <w:trPr>
          <w:trHeight w:val="300"/>
          <w:jc w:val="center"/>
        </w:trPr>
        <w:tc>
          <w:tcPr>
            <w:tcW w:w="1357" w:type="dxa"/>
            <w:tcBorders>
              <w:top w:val="nil"/>
              <w:left w:val="nil"/>
              <w:bottom w:val="nil"/>
              <w:right w:val="nil"/>
            </w:tcBorders>
            <w:shd w:val="clear" w:color="auto" w:fill="auto"/>
            <w:noWrap/>
            <w:vAlign w:val="bottom"/>
            <w:hideMark/>
          </w:tcPr>
          <w:p w14:paraId="6EDD2C2E" w14:textId="77777777" w:rsidR="001861DC" w:rsidRPr="007E07C7" w:rsidRDefault="001861DC" w:rsidP="002E0516">
            <w:pPr>
              <w:ind w:firstLineChars="200" w:firstLine="440"/>
              <w:jc w:val="left"/>
              <w:rPr>
                <w:rFonts w:ascii="Calibri" w:eastAsia="Times New Roman" w:hAnsi="Calibri" w:cs="Times New Roman"/>
                <w:color w:val="000000"/>
                <w:lang w:eastAsia="es-ES"/>
              </w:rPr>
            </w:pPr>
            <w:r w:rsidRPr="007E07C7">
              <w:rPr>
                <w:rFonts w:ascii="Calibri" w:eastAsia="Times New Roman" w:hAnsi="Calibri" w:cs="Times New Roman"/>
                <w:color w:val="000000"/>
                <w:lang w:eastAsia="es-ES"/>
              </w:rPr>
              <w:t>bde45</w:t>
            </w:r>
          </w:p>
        </w:tc>
        <w:tc>
          <w:tcPr>
            <w:tcW w:w="879" w:type="dxa"/>
            <w:tcBorders>
              <w:top w:val="nil"/>
              <w:left w:val="nil"/>
              <w:bottom w:val="nil"/>
              <w:right w:val="nil"/>
            </w:tcBorders>
            <w:shd w:val="clear" w:color="auto" w:fill="auto"/>
            <w:noWrap/>
            <w:vAlign w:val="bottom"/>
          </w:tcPr>
          <w:p w14:paraId="35F4DDC4" w14:textId="77777777" w:rsidR="001861DC" w:rsidRPr="007E07C7" w:rsidRDefault="001861DC" w:rsidP="002E0516">
            <w:pPr>
              <w:jc w:val="center"/>
              <w:rPr>
                <w:rFonts w:ascii="Calibri" w:eastAsia="Times New Roman" w:hAnsi="Calibri" w:cs="Times New Roman"/>
                <w:color w:val="000000"/>
                <w:lang w:eastAsia="es-ES"/>
              </w:rPr>
            </w:pPr>
          </w:p>
        </w:tc>
        <w:tc>
          <w:tcPr>
            <w:tcW w:w="954" w:type="dxa"/>
            <w:tcBorders>
              <w:top w:val="nil"/>
              <w:left w:val="nil"/>
              <w:bottom w:val="nil"/>
              <w:right w:val="nil"/>
            </w:tcBorders>
            <w:shd w:val="clear" w:color="auto" w:fill="auto"/>
            <w:noWrap/>
            <w:vAlign w:val="bottom"/>
          </w:tcPr>
          <w:p w14:paraId="0DEC8831" w14:textId="77777777" w:rsidR="001861DC" w:rsidRPr="007E07C7" w:rsidRDefault="001861DC" w:rsidP="002E0516">
            <w:pPr>
              <w:jc w:val="center"/>
              <w:rPr>
                <w:rFonts w:ascii="Calibri" w:eastAsia="Times New Roman" w:hAnsi="Calibri" w:cs="Times New Roman"/>
                <w:color w:val="000000"/>
                <w:lang w:eastAsia="es-ES"/>
              </w:rPr>
            </w:pPr>
          </w:p>
        </w:tc>
        <w:tc>
          <w:tcPr>
            <w:tcW w:w="851" w:type="dxa"/>
            <w:tcBorders>
              <w:top w:val="nil"/>
              <w:left w:val="nil"/>
              <w:bottom w:val="nil"/>
              <w:right w:val="nil"/>
            </w:tcBorders>
            <w:shd w:val="clear" w:color="auto" w:fill="auto"/>
            <w:noWrap/>
            <w:vAlign w:val="bottom"/>
          </w:tcPr>
          <w:p w14:paraId="46316710" w14:textId="77777777" w:rsidR="001861DC" w:rsidRPr="007E07C7" w:rsidRDefault="001861DC" w:rsidP="002E0516">
            <w:pPr>
              <w:jc w:val="center"/>
              <w:rPr>
                <w:rFonts w:ascii="Calibri" w:eastAsia="Times New Roman" w:hAnsi="Calibri" w:cs="Times New Roman"/>
                <w:color w:val="000000"/>
                <w:lang w:eastAsia="es-ES"/>
              </w:rPr>
            </w:pPr>
          </w:p>
        </w:tc>
        <w:tc>
          <w:tcPr>
            <w:tcW w:w="850" w:type="dxa"/>
            <w:tcBorders>
              <w:top w:val="nil"/>
              <w:left w:val="nil"/>
              <w:bottom w:val="nil"/>
              <w:right w:val="nil"/>
            </w:tcBorders>
            <w:shd w:val="clear" w:color="auto" w:fill="auto"/>
            <w:noWrap/>
            <w:vAlign w:val="bottom"/>
          </w:tcPr>
          <w:p w14:paraId="704BB18B" w14:textId="77777777" w:rsidR="001861DC" w:rsidRPr="007E07C7" w:rsidRDefault="001861DC" w:rsidP="002E0516">
            <w:pPr>
              <w:jc w:val="center"/>
              <w:rPr>
                <w:rFonts w:ascii="Calibri" w:eastAsia="Times New Roman" w:hAnsi="Calibri" w:cs="Times New Roman"/>
                <w:color w:val="000000"/>
                <w:lang w:eastAsia="es-ES"/>
              </w:rPr>
            </w:pPr>
          </w:p>
        </w:tc>
        <w:tc>
          <w:tcPr>
            <w:tcW w:w="993" w:type="dxa"/>
            <w:tcBorders>
              <w:top w:val="nil"/>
              <w:left w:val="nil"/>
              <w:bottom w:val="nil"/>
              <w:right w:val="nil"/>
            </w:tcBorders>
            <w:shd w:val="clear" w:color="auto" w:fill="auto"/>
            <w:noWrap/>
            <w:vAlign w:val="bottom"/>
          </w:tcPr>
          <w:p w14:paraId="22E70E72" w14:textId="77777777" w:rsidR="001861DC" w:rsidRPr="007E07C7" w:rsidRDefault="001861DC" w:rsidP="002E0516">
            <w:pPr>
              <w:jc w:val="center"/>
              <w:rPr>
                <w:rFonts w:ascii="Calibri" w:eastAsia="Times New Roman" w:hAnsi="Calibri" w:cs="Times New Roman"/>
                <w:color w:val="000000"/>
                <w:lang w:eastAsia="es-ES"/>
              </w:rPr>
            </w:pPr>
          </w:p>
        </w:tc>
        <w:tc>
          <w:tcPr>
            <w:tcW w:w="992" w:type="dxa"/>
            <w:tcBorders>
              <w:top w:val="nil"/>
              <w:left w:val="nil"/>
              <w:bottom w:val="nil"/>
              <w:right w:val="nil"/>
            </w:tcBorders>
            <w:shd w:val="clear" w:color="auto" w:fill="auto"/>
            <w:noWrap/>
            <w:vAlign w:val="bottom"/>
            <w:hideMark/>
          </w:tcPr>
          <w:p w14:paraId="1521E317" w14:textId="77777777" w:rsidR="001861DC" w:rsidRPr="007E07C7" w:rsidRDefault="001861DC" w:rsidP="002E0516">
            <w:pPr>
              <w:jc w:val="center"/>
              <w:rPr>
                <w:rFonts w:ascii="Calibri" w:eastAsia="Times New Roman" w:hAnsi="Calibri" w:cs="Times New Roman"/>
                <w:color w:val="000000"/>
                <w:lang w:eastAsia="es-ES"/>
              </w:rPr>
            </w:pPr>
            <w:r w:rsidRPr="007E07C7">
              <w:rPr>
                <w:rFonts w:ascii="Calibri" w:eastAsia="Times New Roman" w:hAnsi="Calibri" w:cs="Times New Roman"/>
                <w:color w:val="000000"/>
                <w:lang w:eastAsia="es-ES"/>
              </w:rPr>
              <w:t>0,07</w:t>
            </w:r>
          </w:p>
        </w:tc>
        <w:tc>
          <w:tcPr>
            <w:tcW w:w="1260" w:type="dxa"/>
            <w:tcBorders>
              <w:top w:val="nil"/>
              <w:left w:val="nil"/>
              <w:bottom w:val="nil"/>
              <w:right w:val="nil"/>
            </w:tcBorders>
            <w:shd w:val="clear" w:color="auto" w:fill="auto"/>
            <w:noWrap/>
            <w:vAlign w:val="bottom"/>
            <w:hideMark/>
          </w:tcPr>
          <w:p w14:paraId="50119B42" w14:textId="77777777" w:rsidR="001861DC" w:rsidRPr="007E07C7" w:rsidRDefault="001861DC" w:rsidP="002E0516">
            <w:pPr>
              <w:jc w:val="center"/>
              <w:rPr>
                <w:rFonts w:ascii="Calibri" w:eastAsia="Times New Roman" w:hAnsi="Calibri" w:cs="Times New Roman"/>
                <w:color w:val="000000"/>
                <w:lang w:eastAsia="es-ES"/>
              </w:rPr>
            </w:pPr>
            <w:r w:rsidRPr="007E07C7">
              <w:rPr>
                <w:rFonts w:ascii="Calibri" w:eastAsia="Times New Roman" w:hAnsi="Calibri" w:cs="Times New Roman"/>
                <w:color w:val="000000"/>
                <w:lang w:eastAsia="es-ES"/>
              </w:rPr>
              <w:t>0,07</w:t>
            </w:r>
          </w:p>
        </w:tc>
      </w:tr>
      <w:tr w:rsidR="001861DC" w:rsidRPr="007E07C7" w14:paraId="0442EA1E" w14:textId="77777777" w:rsidTr="002E0516">
        <w:trPr>
          <w:trHeight w:val="300"/>
          <w:jc w:val="center"/>
        </w:trPr>
        <w:tc>
          <w:tcPr>
            <w:tcW w:w="1357" w:type="dxa"/>
            <w:tcBorders>
              <w:top w:val="nil"/>
              <w:left w:val="nil"/>
              <w:bottom w:val="nil"/>
              <w:right w:val="nil"/>
            </w:tcBorders>
            <w:shd w:val="clear" w:color="auto" w:fill="auto"/>
            <w:noWrap/>
            <w:vAlign w:val="bottom"/>
            <w:hideMark/>
          </w:tcPr>
          <w:p w14:paraId="54964168" w14:textId="77777777" w:rsidR="001861DC" w:rsidRPr="007E07C7" w:rsidRDefault="001861DC" w:rsidP="002E0516">
            <w:pPr>
              <w:ind w:firstLineChars="200" w:firstLine="440"/>
              <w:jc w:val="left"/>
              <w:rPr>
                <w:rFonts w:ascii="Calibri" w:eastAsia="Times New Roman" w:hAnsi="Calibri" w:cs="Times New Roman"/>
                <w:color w:val="000000"/>
                <w:lang w:eastAsia="es-ES"/>
              </w:rPr>
            </w:pPr>
            <w:r w:rsidRPr="007E07C7">
              <w:rPr>
                <w:rFonts w:ascii="Calibri" w:eastAsia="Times New Roman" w:hAnsi="Calibri" w:cs="Times New Roman"/>
                <w:color w:val="000000"/>
                <w:lang w:eastAsia="es-ES"/>
              </w:rPr>
              <w:t>tp</w:t>
            </w:r>
          </w:p>
        </w:tc>
        <w:tc>
          <w:tcPr>
            <w:tcW w:w="879" w:type="dxa"/>
            <w:tcBorders>
              <w:top w:val="nil"/>
              <w:left w:val="nil"/>
              <w:bottom w:val="nil"/>
              <w:right w:val="nil"/>
            </w:tcBorders>
            <w:shd w:val="clear" w:color="auto" w:fill="auto"/>
            <w:noWrap/>
            <w:vAlign w:val="bottom"/>
            <w:hideMark/>
          </w:tcPr>
          <w:p w14:paraId="23581F81" w14:textId="77777777" w:rsidR="001861DC" w:rsidRPr="007E07C7" w:rsidRDefault="001861DC" w:rsidP="002E0516">
            <w:pPr>
              <w:jc w:val="center"/>
              <w:rPr>
                <w:rFonts w:ascii="Calibri" w:eastAsia="Times New Roman" w:hAnsi="Calibri" w:cs="Times New Roman"/>
                <w:color w:val="000000"/>
                <w:lang w:eastAsia="es-ES"/>
              </w:rPr>
            </w:pPr>
            <w:r w:rsidRPr="007E07C7">
              <w:rPr>
                <w:rFonts w:ascii="Calibri" w:eastAsia="Times New Roman" w:hAnsi="Calibri" w:cs="Times New Roman"/>
                <w:color w:val="000000"/>
                <w:lang w:eastAsia="es-ES"/>
              </w:rPr>
              <w:t>0,65</w:t>
            </w:r>
          </w:p>
        </w:tc>
        <w:tc>
          <w:tcPr>
            <w:tcW w:w="954" w:type="dxa"/>
            <w:tcBorders>
              <w:top w:val="nil"/>
              <w:left w:val="nil"/>
              <w:bottom w:val="nil"/>
              <w:right w:val="nil"/>
            </w:tcBorders>
            <w:shd w:val="clear" w:color="auto" w:fill="auto"/>
            <w:noWrap/>
            <w:vAlign w:val="bottom"/>
            <w:hideMark/>
          </w:tcPr>
          <w:p w14:paraId="06BD60D9" w14:textId="77777777" w:rsidR="001861DC" w:rsidRPr="007E07C7" w:rsidRDefault="001861DC" w:rsidP="002E0516">
            <w:pPr>
              <w:jc w:val="center"/>
              <w:rPr>
                <w:rFonts w:ascii="Calibri" w:eastAsia="Times New Roman" w:hAnsi="Calibri" w:cs="Times New Roman"/>
                <w:color w:val="000000"/>
                <w:lang w:eastAsia="es-ES"/>
              </w:rPr>
            </w:pPr>
            <w:r w:rsidRPr="007E07C7">
              <w:rPr>
                <w:rFonts w:ascii="Calibri" w:eastAsia="Times New Roman" w:hAnsi="Calibri" w:cs="Times New Roman"/>
                <w:color w:val="000000"/>
                <w:lang w:eastAsia="es-ES"/>
              </w:rPr>
              <w:t>0,15</w:t>
            </w:r>
          </w:p>
        </w:tc>
        <w:tc>
          <w:tcPr>
            <w:tcW w:w="851" w:type="dxa"/>
            <w:tcBorders>
              <w:top w:val="nil"/>
              <w:left w:val="nil"/>
              <w:bottom w:val="nil"/>
              <w:right w:val="nil"/>
            </w:tcBorders>
            <w:shd w:val="clear" w:color="auto" w:fill="auto"/>
            <w:noWrap/>
            <w:vAlign w:val="bottom"/>
            <w:hideMark/>
          </w:tcPr>
          <w:p w14:paraId="2A39152A" w14:textId="77777777" w:rsidR="001861DC" w:rsidRPr="007E07C7" w:rsidRDefault="001861DC" w:rsidP="002E0516">
            <w:pPr>
              <w:jc w:val="center"/>
              <w:rPr>
                <w:rFonts w:ascii="Calibri" w:eastAsia="Times New Roman" w:hAnsi="Calibri" w:cs="Times New Roman"/>
                <w:color w:val="000000"/>
                <w:lang w:eastAsia="es-ES"/>
              </w:rPr>
            </w:pPr>
            <w:r w:rsidRPr="007E07C7">
              <w:rPr>
                <w:rFonts w:ascii="Calibri" w:eastAsia="Times New Roman" w:hAnsi="Calibri" w:cs="Times New Roman"/>
                <w:color w:val="000000"/>
                <w:lang w:eastAsia="es-ES"/>
              </w:rPr>
              <w:t>13,46</w:t>
            </w:r>
          </w:p>
        </w:tc>
        <w:tc>
          <w:tcPr>
            <w:tcW w:w="850" w:type="dxa"/>
            <w:tcBorders>
              <w:top w:val="nil"/>
              <w:left w:val="nil"/>
              <w:bottom w:val="nil"/>
              <w:right w:val="nil"/>
            </w:tcBorders>
            <w:shd w:val="clear" w:color="auto" w:fill="auto"/>
            <w:noWrap/>
            <w:vAlign w:val="bottom"/>
            <w:hideMark/>
          </w:tcPr>
          <w:p w14:paraId="6AEDA5CD" w14:textId="77777777" w:rsidR="001861DC" w:rsidRPr="007E07C7" w:rsidRDefault="001861DC" w:rsidP="002E0516">
            <w:pPr>
              <w:jc w:val="center"/>
              <w:rPr>
                <w:rFonts w:ascii="Calibri" w:eastAsia="Times New Roman" w:hAnsi="Calibri" w:cs="Times New Roman"/>
                <w:color w:val="000000"/>
                <w:lang w:eastAsia="es-ES"/>
              </w:rPr>
            </w:pPr>
            <w:r w:rsidRPr="007E07C7">
              <w:rPr>
                <w:rFonts w:ascii="Calibri" w:eastAsia="Times New Roman" w:hAnsi="Calibri" w:cs="Times New Roman"/>
                <w:color w:val="000000"/>
                <w:lang w:eastAsia="es-ES"/>
              </w:rPr>
              <w:t>14,64</w:t>
            </w:r>
          </w:p>
        </w:tc>
        <w:tc>
          <w:tcPr>
            <w:tcW w:w="993" w:type="dxa"/>
            <w:tcBorders>
              <w:top w:val="nil"/>
              <w:left w:val="nil"/>
              <w:bottom w:val="nil"/>
              <w:right w:val="nil"/>
            </w:tcBorders>
            <w:shd w:val="clear" w:color="auto" w:fill="auto"/>
            <w:noWrap/>
            <w:vAlign w:val="bottom"/>
            <w:hideMark/>
          </w:tcPr>
          <w:p w14:paraId="39FE967E" w14:textId="77777777" w:rsidR="001861DC" w:rsidRPr="007E07C7" w:rsidRDefault="001861DC" w:rsidP="002E0516">
            <w:pPr>
              <w:jc w:val="center"/>
              <w:rPr>
                <w:rFonts w:ascii="Calibri" w:eastAsia="Times New Roman" w:hAnsi="Calibri" w:cs="Times New Roman"/>
                <w:color w:val="000000"/>
                <w:lang w:eastAsia="es-ES"/>
              </w:rPr>
            </w:pPr>
            <w:r w:rsidRPr="007E07C7">
              <w:rPr>
                <w:rFonts w:ascii="Calibri" w:eastAsia="Times New Roman" w:hAnsi="Calibri" w:cs="Times New Roman"/>
                <w:color w:val="000000"/>
                <w:lang w:eastAsia="es-ES"/>
              </w:rPr>
              <w:t>1,47</w:t>
            </w:r>
          </w:p>
        </w:tc>
        <w:tc>
          <w:tcPr>
            <w:tcW w:w="992" w:type="dxa"/>
            <w:tcBorders>
              <w:top w:val="nil"/>
              <w:left w:val="nil"/>
              <w:bottom w:val="nil"/>
              <w:right w:val="nil"/>
            </w:tcBorders>
            <w:shd w:val="clear" w:color="auto" w:fill="auto"/>
            <w:noWrap/>
            <w:vAlign w:val="bottom"/>
            <w:hideMark/>
          </w:tcPr>
          <w:p w14:paraId="76E044B3" w14:textId="77777777" w:rsidR="001861DC" w:rsidRPr="007E07C7" w:rsidRDefault="001861DC" w:rsidP="002E0516">
            <w:pPr>
              <w:jc w:val="center"/>
              <w:rPr>
                <w:rFonts w:ascii="Calibri" w:eastAsia="Times New Roman" w:hAnsi="Calibri" w:cs="Times New Roman"/>
                <w:color w:val="000000"/>
                <w:lang w:eastAsia="es-ES"/>
              </w:rPr>
            </w:pPr>
            <w:r w:rsidRPr="007E07C7">
              <w:rPr>
                <w:rFonts w:ascii="Calibri" w:eastAsia="Times New Roman" w:hAnsi="Calibri" w:cs="Times New Roman"/>
                <w:color w:val="000000"/>
                <w:lang w:eastAsia="es-ES"/>
              </w:rPr>
              <w:t>0,54</w:t>
            </w:r>
          </w:p>
        </w:tc>
        <w:tc>
          <w:tcPr>
            <w:tcW w:w="1260" w:type="dxa"/>
            <w:tcBorders>
              <w:top w:val="nil"/>
              <w:left w:val="nil"/>
              <w:bottom w:val="nil"/>
              <w:right w:val="nil"/>
            </w:tcBorders>
            <w:shd w:val="clear" w:color="auto" w:fill="auto"/>
            <w:noWrap/>
            <w:vAlign w:val="bottom"/>
            <w:hideMark/>
          </w:tcPr>
          <w:p w14:paraId="14B87A92" w14:textId="77777777" w:rsidR="001861DC" w:rsidRPr="007E07C7" w:rsidRDefault="001861DC" w:rsidP="002E0516">
            <w:pPr>
              <w:jc w:val="center"/>
              <w:rPr>
                <w:rFonts w:ascii="Calibri" w:eastAsia="Times New Roman" w:hAnsi="Calibri" w:cs="Times New Roman"/>
                <w:color w:val="000000"/>
                <w:lang w:eastAsia="es-ES"/>
              </w:rPr>
            </w:pPr>
            <w:r w:rsidRPr="007E07C7">
              <w:rPr>
                <w:rFonts w:ascii="Calibri" w:eastAsia="Times New Roman" w:hAnsi="Calibri" w:cs="Times New Roman"/>
                <w:color w:val="000000"/>
                <w:lang w:eastAsia="es-ES"/>
              </w:rPr>
              <w:t>30,92</w:t>
            </w:r>
          </w:p>
        </w:tc>
      </w:tr>
      <w:tr w:rsidR="001861DC" w:rsidRPr="007E07C7" w14:paraId="6A2D5130" w14:textId="77777777" w:rsidTr="002E0516">
        <w:trPr>
          <w:trHeight w:val="300"/>
          <w:jc w:val="center"/>
        </w:trPr>
        <w:tc>
          <w:tcPr>
            <w:tcW w:w="1357" w:type="dxa"/>
            <w:tcBorders>
              <w:top w:val="nil"/>
              <w:left w:val="nil"/>
              <w:bottom w:val="nil"/>
              <w:right w:val="nil"/>
            </w:tcBorders>
            <w:shd w:val="clear" w:color="auto" w:fill="auto"/>
            <w:noWrap/>
            <w:vAlign w:val="bottom"/>
            <w:hideMark/>
          </w:tcPr>
          <w:p w14:paraId="161C216C" w14:textId="77777777" w:rsidR="001861DC" w:rsidRPr="007E07C7" w:rsidRDefault="001861DC" w:rsidP="002E0516">
            <w:pPr>
              <w:ind w:firstLineChars="200" w:firstLine="440"/>
              <w:jc w:val="left"/>
              <w:rPr>
                <w:rFonts w:ascii="Calibri" w:eastAsia="Times New Roman" w:hAnsi="Calibri" w:cs="Times New Roman"/>
                <w:color w:val="000000"/>
                <w:lang w:eastAsia="es-ES"/>
              </w:rPr>
            </w:pPr>
            <w:r w:rsidRPr="007E07C7">
              <w:rPr>
                <w:rFonts w:ascii="Calibri" w:eastAsia="Times New Roman" w:hAnsi="Calibri" w:cs="Times New Roman"/>
                <w:color w:val="000000"/>
                <w:lang w:eastAsia="es-ES"/>
              </w:rPr>
              <w:t>tp$</w:t>
            </w:r>
          </w:p>
        </w:tc>
        <w:tc>
          <w:tcPr>
            <w:tcW w:w="879" w:type="dxa"/>
            <w:tcBorders>
              <w:top w:val="nil"/>
              <w:left w:val="nil"/>
              <w:bottom w:val="nil"/>
              <w:right w:val="nil"/>
            </w:tcBorders>
            <w:shd w:val="clear" w:color="auto" w:fill="auto"/>
            <w:noWrap/>
            <w:vAlign w:val="bottom"/>
            <w:hideMark/>
          </w:tcPr>
          <w:p w14:paraId="503AD944" w14:textId="77777777" w:rsidR="001861DC" w:rsidRPr="007E07C7" w:rsidRDefault="001861DC" w:rsidP="002E0516">
            <w:pPr>
              <w:jc w:val="center"/>
              <w:rPr>
                <w:rFonts w:ascii="Calibri" w:eastAsia="Times New Roman" w:hAnsi="Calibri" w:cs="Times New Roman"/>
                <w:color w:val="000000"/>
                <w:lang w:eastAsia="es-ES"/>
              </w:rPr>
            </w:pPr>
            <w:r w:rsidRPr="007E07C7">
              <w:rPr>
                <w:rFonts w:ascii="Calibri" w:eastAsia="Times New Roman" w:hAnsi="Calibri" w:cs="Times New Roman"/>
                <w:color w:val="000000"/>
                <w:lang w:eastAsia="es-ES"/>
              </w:rPr>
              <w:t>0,07</w:t>
            </w:r>
          </w:p>
        </w:tc>
        <w:tc>
          <w:tcPr>
            <w:tcW w:w="954" w:type="dxa"/>
            <w:tcBorders>
              <w:top w:val="nil"/>
              <w:left w:val="nil"/>
              <w:bottom w:val="nil"/>
              <w:right w:val="nil"/>
            </w:tcBorders>
            <w:shd w:val="clear" w:color="auto" w:fill="auto"/>
            <w:noWrap/>
            <w:vAlign w:val="bottom"/>
            <w:hideMark/>
          </w:tcPr>
          <w:p w14:paraId="7CADE5E8" w14:textId="77777777" w:rsidR="001861DC" w:rsidRPr="007E07C7" w:rsidRDefault="001861DC" w:rsidP="002E0516">
            <w:pPr>
              <w:jc w:val="center"/>
              <w:rPr>
                <w:rFonts w:ascii="Calibri" w:eastAsia="Times New Roman" w:hAnsi="Calibri" w:cs="Times New Roman"/>
                <w:color w:val="000000"/>
                <w:lang w:eastAsia="es-ES"/>
              </w:rPr>
            </w:pPr>
            <w:r w:rsidRPr="007E07C7">
              <w:rPr>
                <w:rFonts w:ascii="Calibri" w:eastAsia="Times New Roman" w:hAnsi="Calibri" w:cs="Times New Roman"/>
                <w:color w:val="000000"/>
                <w:lang w:eastAsia="es-ES"/>
              </w:rPr>
              <w:t>0,03</w:t>
            </w:r>
          </w:p>
        </w:tc>
        <w:tc>
          <w:tcPr>
            <w:tcW w:w="851" w:type="dxa"/>
            <w:tcBorders>
              <w:top w:val="nil"/>
              <w:left w:val="nil"/>
              <w:bottom w:val="nil"/>
              <w:right w:val="nil"/>
            </w:tcBorders>
            <w:shd w:val="clear" w:color="auto" w:fill="auto"/>
            <w:noWrap/>
            <w:vAlign w:val="bottom"/>
            <w:hideMark/>
          </w:tcPr>
          <w:p w14:paraId="3659FE2D" w14:textId="77777777" w:rsidR="001861DC" w:rsidRPr="007E07C7" w:rsidRDefault="001861DC" w:rsidP="002E0516">
            <w:pPr>
              <w:jc w:val="center"/>
              <w:rPr>
                <w:rFonts w:ascii="Calibri" w:eastAsia="Times New Roman" w:hAnsi="Calibri" w:cs="Times New Roman"/>
                <w:color w:val="000000"/>
                <w:lang w:eastAsia="es-ES"/>
              </w:rPr>
            </w:pPr>
            <w:r w:rsidRPr="007E07C7">
              <w:rPr>
                <w:rFonts w:ascii="Calibri" w:eastAsia="Times New Roman" w:hAnsi="Calibri" w:cs="Times New Roman"/>
                <w:color w:val="000000"/>
                <w:lang w:eastAsia="es-ES"/>
              </w:rPr>
              <w:t>0,28</w:t>
            </w:r>
          </w:p>
        </w:tc>
        <w:tc>
          <w:tcPr>
            <w:tcW w:w="850" w:type="dxa"/>
            <w:tcBorders>
              <w:top w:val="nil"/>
              <w:left w:val="nil"/>
              <w:bottom w:val="nil"/>
              <w:right w:val="nil"/>
            </w:tcBorders>
            <w:shd w:val="clear" w:color="auto" w:fill="auto"/>
            <w:noWrap/>
            <w:vAlign w:val="bottom"/>
            <w:hideMark/>
          </w:tcPr>
          <w:p w14:paraId="3578D8CB" w14:textId="77777777" w:rsidR="001861DC" w:rsidRPr="007E07C7" w:rsidRDefault="001861DC" w:rsidP="002E0516">
            <w:pPr>
              <w:jc w:val="center"/>
              <w:rPr>
                <w:rFonts w:ascii="Calibri" w:eastAsia="Times New Roman" w:hAnsi="Calibri" w:cs="Times New Roman"/>
                <w:color w:val="000000"/>
                <w:lang w:eastAsia="es-ES"/>
              </w:rPr>
            </w:pPr>
            <w:r w:rsidRPr="007E07C7">
              <w:rPr>
                <w:rFonts w:ascii="Calibri" w:eastAsia="Times New Roman" w:hAnsi="Calibri" w:cs="Times New Roman"/>
                <w:color w:val="000000"/>
                <w:lang w:eastAsia="es-ES"/>
              </w:rPr>
              <w:t>0,12</w:t>
            </w:r>
          </w:p>
        </w:tc>
        <w:tc>
          <w:tcPr>
            <w:tcW w:w="993" w:type="dxa"/>
            <w:tcBorders>
              <w:top w:val="nil"/>
              <w:left w:val="nil"/>
              <w:bottom w:val="nil"/>
              <w:right w:val="nil"/>
            </w:tcBorders>
            <w:shd w:val="clear" w:color="auto" w:fill="auto"/>
            <w:noWrap/>
            <w:vAlign w:val="bottom"/>
          </w:tcPr>
          <w:p w14:paraId="7821B26B" w14:textId="77777777" w:rsidR="001861DC" w:rsidRPr="007E07C7" w:rsidRDefault="001861DC" w:rsidP="002E0516">
            <w:pPr>
              <w:jc w:val="center"/>
              <w:rPr>
                <w:rFonts w:ascii="Calibri" w:eastAsia="Times New Roman" w:hAnsi="Calibri" w:cs="Times New Roman"/>
                <w:color w:val="000000"/>
                <w:lang w:eastAsia="es-ES"/>
              </w:rPr>
            </w:pPr>
          </w:p>
        </w:tc>
        <w:tc>
          <w:tcPr>
            <w:tcW w:w="992" w:type="dxa"/>
            <w:tcBorders>
              <w:top w:val="nil"/>
              <w:left w:val="nil"/>
              <w:bottom w:val="nil"/>
              <w:right w:val="nil"/>
            </w:tcBorders>
            <w:shd w:val="clear" w:color="auto" w:fill="auto"/>
            <w:noWrap/>
            <w:vAlign w:val="bottom"/>
          </w:tcPr>
          <w:p w14:paraId="3FC6A86F" w14:textId="77777777" w:rsidR="001861DC" w:rsidRPr="007E07C7" w:rsidRDefault="001861DC" w:rsidP="002E0516">
            <w:pPr>
              <w:jc w:val="center"/>
              <w:rPr>
                <w:rFonts w:ascii="Calibri" w:eastAsia="Times New Roman" w:hAnsi="Calibri" w:cs="Times New Roman"/>
                <w:color w:val="000000"/>
                <w:lang w:eastAsia="es-ES"/>
              </w:rPr>
            </w:pPr>
          </w:p>
        </w:tc>
        <w:tc>
          <w:tcPr>
            <w:tcW w:w="1260" w:type="dxa"/>
            <w:tcBorders>
              <w:top w:val="nil"/>
              <w:left w:val="nil"/>
              <w:bottom w:val="nil"/>
              <w:right w:val="nil"/>
            </w:tcBorders>
            <w:shd w:val="clear" w:color="auto" w:fill="auto"/>
            <w:noWrap/>
            <w:vAlign w:val="bottom"/>
            <w:hideMark/>
          </w:tcPr>
          <w:p w14:paraId="43388403" w14:textId="77777777" w:rsidR="001861DC" w:rsidRPr="007E07C7" w:rsidRDefault="001861DC" w:rsidP="002E0516">
            <w:pPr>
              <w:jc w:val="center"/>
              <w:rPr>
                <w:rFonts w:ascii="Calibri" w:eastAsia="Times New Roman" w:hAnsi="Calibri" w:cs="Times New Roman"/>
                <w:color w:val="000000"/>
                <w:lang w:eastAsia="es-ES"/>
              </w:rPr>
            </w:pPr>
            <w:r w:rsidRPr="007E07C7">
              <w:rPr>
                <w:rFonts w:ascii="Calibri" w:eastAsia="Times New Roman" w:hAnsi="Calibri" w:cs="Times New Roman"/>
                <w:color w:val="000000"/>
                <w:lang w:eastAsia="es-ES"/>
              </w:rPr>
              <w:t>0,50</w:t>
            </w:r>
          </w:p>
        </w:tc>
      </w:tr>
      <w:tr w:rsidR="001861DC" w:rsidRPr="007E07C7" w14:paraId="44CEAC0D" w14:textId="77777777" w:rsidTr="002E0516">
        <w:trPr>
          <w:trHeight w:val="300"/>
          <w:jc w:val="center"/>
        </w:trPr>
        <w:tc>
          <w:tcPr>
            <w:tcW w:w="1357" w:type="dxa"/>
            <w:tcBorders>
              <w:top w:val="nil"/>
              <w:left w:val="nil"/>
              <w:bottom w:val="nil"/>
              <w:right w:val="nil"/>
            </w:tcBorders>
            <w:shd w:val="clear" w:color="auto" w:fill="auto"/>
            <w:noWrap/>
            <w:vAlign w:val="bottom"/>
            <w:hideMark/>
          </w:tcPr>
          <w:p w14:paraId="67908011" w14:textId="77777777" w:rsidR="001861DC" w:rsidRPr="007E07C7" w:rsidRDefault="001861DC" w:rsidP="002E0516">
            <w:pPr>
              <w:ind w:firstLineChars="200" w:firstLine="440"/>
              <w:jc w:val="left"/>
              <w:rPr>
                <w:rFonts w:ascii="Calibri" w:eastAsia="Times New Roman" w:hAnsi="Calibri" w:cs="Times New Roman"/>
                <w:color w:val="000000"/>
                <w:lang w:eastAsia="es-ES"/>
              </w:rPr>
            </w:pPr>
            <w:r w:rsidRPr="007E07C7">
              <w:rPr>
                <w:rFonts w:ascii="Calibri" w:eastAsia="Times New Roman" w:hAnsi="Calibri" w:cs="Times New Roman"/>
                <w:color w:val="000000"/>
                <w:lang w:eastAsia="es-ES"/>
              </w:rPr>
              <w:t>tptba</w:t>
            </w:r>
          </w:p>
        </w:tc>
        <w:tc>
          <w:tcPr>
            <w:tcW w:w="879" w:type="dxa"/>
            <w:tcBorders>
              <w:top w:val="nil"/>
              <w:left w:val="nil"/>
              <w:bottom w:val="nil"/>
              <w:right w:val="nil"/>
            </w:tcBorders>
            <w:shd w:val="clear" w:color="auto" w:fill="auto"/>
            <w:noWrap/>
            <w:vAlign w:val="bottom"/>
          </w:tcPr>
          <w:p w14:paraId="2D8E0004" w14:textId="77777777" w:rsidR="001861DC" w:rsidRPr="007E07C7" w:rsidRDefault="001861DC" w:rsidP="002E0516">
            <w:pPr>
              <w:jc w:val="center"/>
              <w:rPr>
                <w:rFonts w:ascii="Calibri" w:eastAsia="Times New Roman" w:hAnsi="Calibri" w:cs="Times New Roman"/>
                <w:color w:val="000000"/>
                <w:lang w:eastAsia="es-ES"/>
              </w:rPr>
            </w:pPr>
          </w:p>
        </w:tc>
        <w:tc>
          <w:tcPr>
            <w:tcW w:w="954" w:type="dxa"/>
            <w:tcBorders>
              <w:top w:val="nil"/>
              <w:left w:val="nil"/>
              <w:bottom w:val="nil"/>
              <w:right w:val="nil"/>
            </w:tcBorders>
            <w:shd w:val="clear" w:color="auto" w:fill="auto"/>
            <w:noWrap/>
            <w:vAlign w:val="bottom"/>
          </w:tcPr>
          <w:p w14:paraId="3BA36C40" w14:textId="77777777" w:rsidR="001861DC" w:rsidRPr="007E07C7" w:rsidRDefault="001861DC" w:rsidP="002E0516">
            <w:pPr>
              <w:jc w:val="center"/>
              <w:rPr>
                <w:rFonts w:ascii="Calibri" w:eastAsia="Times New Roman" w:hAnsi="Calibri" w:cs="Times New Roman"/>
                <w:color w:val="000000"/>
                <w:lang w:eastAsia="es-ES"/>
              </w:rPr>
            </w:pPr>
          </w:p>
        </w:tc>
        <w:tc>
          <w:tcPr>
            <w:tcW w:w="851" w:type="dxa"/>
            <w:tcBorders>
              <w:top w:val="nil"/>
              <w:left w:val="nil"/>
              <w:bottom w:val="nil"/>
              <w:right w:val="nil"/>
            </w:tcBorders>
            <w:shd w:val="clear" w:color="auto" w:fill="auto"/>
            <w:noWrap/>
            <w:vAlign w:val="bottom"/>
            <w:hideMark/>
          </w:tcPr>
          <w:p w14:paraId="077CA214" w14:textId="77777777" w:rsidR="001861DC" w:rsidRPr="007E07C7" w:rsidRDefault="001861DC" w:rsidP="002E0516">
            <w:pPr>
              <w:jc w:val="center"/>
              <w:rPr>
                <w:rFonts w:ascii="Calibri" w:eastAsia="Times New Roman" w:hAnsi="Calibri" w:cs="Times New Roman"/>
                <w:color w:val="000000"/>
                <w:lang w:eastAsia="es-ES"/>
              </w:rPr>
            </w:pPr>
            <w:r w:rsidRPr="007E07C7">
              <w:rPr>
                <w:rFonts w:ascii="Calibri" w:eastAsia="Times New Roman" w:hAnsi="Calibri" w:cs="Times New Roman"/>
                <w:color w:val="000000"/>
                <w:lang w:eastAsia="es-ES"/>
              </w:rPr>
              <w:t>0,02</w:t>
            </w:r>
          </w:p>
        </w:tc>
        <w:tc>
          <w:tcPr>
            <w:tcW w:w="850" w:type="dxa"/>
            <w:tcBorders>
              <w:top w:val="nil"/>
              <w:left w:val="nil"/>
              <w:bottom w:val="nil"/>
              <w:right w:val="nil"/>
            </w:tcBorders>
            <w:shd w:val="clear" w:color="auto" w:fill="auto"/>
            <w:noWrap/>
            <w:vAlign w:val="bottom"/>
            <w:hideMark/>
          </w:tcPr>
          <w:p w14:paraId="5362900A" w14:textId="77777777" w:rsidR="001861DC" w:rsidRPr="007E07C7" w:rsidRDefault="001861DC" w:rsidP="002E0516">
            <w:pPr>
              <w:jc w:val="center"/>
              <w:rPr>
                <w:rFonts w:ascii="Calibri" w:eastAsia="Times New Roman" w:hAnsi="Calibri" w:cs="Times New Roman"/>
                <w:color w:val="000000"/>
                <w:lang w:eastAsia="es-ES"/>
              </w:rPr>
            </w:pPr>
            <w:r w:rsidRPr="007E07C7">
              <w:rPr>
                <w:rFonts w:ascii="Calibri" w:eastAsia="Times New Roman" w:hAnsi="Calibri" w:cs="Times New Roman"/>
                <w:color w:val="000000"/>
                <w:lang w:eastAsia="es-ES"/>
              </w:rPr>
              <w:t>1,88</w:t>
            </w:r>
          </w:p>
        </w:tc>
        <w:tc>
          <w:tcPr>
            <w:tcW w:w="993" w:type="dxa"/>
            <w:tcBorders>
              <w:top w:val="nil"/>
              <w:left w:val="nil"/>
              <w:bottom w:val="nil"/>
              <w:right w:val="nil"/>
            </w:tcBorders>
            <w:shd w:val="clear" w:color="auto" w:fill="auto"/>
            <w:noWrap/>
            <w:vAlign w:val="bottom"/>
            <w:hideMark/>
          </w:tcPr>
          <w:p w14:paraId="073CA102" w14:textId="77777777" w:rsidR="001861DC" w:rsidRPr="007E07C7" w:rsidRDefault="001861DC" w:rsidP="002E0516">
            <w:pPr>
              <w:jc w:val="center"/>
              <w:rPr>
                <w:rFonts w:ascii="Calibri" w:eastAsia="Times New Roman" w:hAnsi="Calibri" w:cs="Times New Roman"/>
                <w:color w:val="000000"/>
                <w:lang w:eastAsia="es-ES"/>
              </w:rPr>
            </w:pPr>
            <w:r w:rsidRPr="007E07C7">
              <w:rPr>
                <w:rFonts w:ascii="Calibri" w:eastAsia="Times New Roman" w:hAnsi="Calibri" w:cs="Times New Roman"/>
                <w:color w:val="000000"/>
                <w:lang w:eastAsia="es-ES"/>
              </w:rPr>
              <w:t>2,58</w:t>
            </w:r>
          </w:p>
        </w:tc>
        <w:tc>
          <w:tcPr>
            <w:tcW w:w="992" w:type="dxa"/>
            <w:tcBorders>
              <w:top w:val="nil"/>
              <w:left w:val="nil"/>
              <w:bottom w:val="nil"/>
              <w:right w:val="nil"/>
            </w:tcBorders>
            <w:shd w:val="clear" w:color="auto" w:fill="auto"/>
            <w:noWrap/>
            <w:vAlign w:val="bottom"/>
            <w:hideMark/>
          </w:tcPr>
          <w:p w14:paraId="3BF9873E" w14:textId="77777777" w:rsidR="001861DC" w:rsidRPr="007E07C7" w:rsidRDefault="001861DC" w:rsidP="002E0516">
            <w:pPr>
              <w:jc w:val="center"/>
              <w:rPr>
                <w:rFonts w:ascii="Calibri" w:eastAsia="Times New Roman" w:hAnsi="Calibri" w:cs="Times New Roman"/>
                <w:color w:val="000000"/>
                <w:lang w:eastAsia="es-ES"/>
              </w:rPr>
            </w:pPr>
            <w:r w:rsidRPr="007E07C7">
              <w:rPr>
                <w:rFonts w:ascii="Calibri" w:eastAsia="Times New Roman" w:hAnsi="Calibri" w:cs="Times New Roman"/>
                <w:color w:val="000000"/>
                <w:lang w:eastAsia="es-ES"/>
              </w:rPr>
              <w:t>1,84</w:t>
            </w:r>
          </w:p>
        </w:tc>
        <w:tc>
          <w:tcPr>
            <w:tcW w:w="1260" w:type="dxa"/>
            <w:tcBorders>
              <w:top w:val="nil"/>
              <w:left w:val="nil"/>
              <w:bottom w:val="nil"/>
              <w:right w:val="nil"/>
            </w:tcBorders>
            <w:shd w:val="clear" w:color="auto" w:fill="auto"/>
            <w:noWrap/>
            <w:vAlign w:val="bottom"/>
            <w:hideMark/>
          </w:tcPr>
          <w:p w14:paraId="6EC6343B" w14:textId="77777777" w:rsidR="001861DC" w:rsidRPr="007E07C7" w:rsidRDefault="001861DC" w:rsidP="002E0516">
            <w:pPr>
              <w:jc w:val="center"/>
              <w:rPr>
                <w:rFonts w:ascii="Calibri" w:eastAsia="Times New Roman" w:hAnsi="Calibri" w:cs="Times New Roman"/>
                <w:color w:val="000000"/>
                <w:lang w:eastAsia="es-ES"/>
              </w:rPr>
            </w:pPr>
            <w:r w:rsidRPr="007E07C7">
              <w:rPr>
                <w:rFonts w:ascii="Calibri" w:eastAsia="Times New Roman" w:hAnsi="Calibri" w:cs="Times New Roman"/>
                <w:color w:val="000000"/>
                <w:lang w:eastAsia="es-ES"/>
              </w:rPr>
              <w:t>6,33</w:t>
            </w:r>
          </w:p>
        </w:tc>
      </w:tr>
      <w:tr w:rsidR="001861DC" w:rsidRPr="007E07C7" w14:paraId="14F29A77" w14:textId="77777777" w:rsidTr="002E0516">
        <w:trPr>
          <w:trHeight w:val="300"/>
          <w:jc w:val="center"/>
        </w:trPr>
        <w:tc>
          <w:tcPr>
            <w:tcW w:w="1357" w:type="dxa"/>
            <w:tcBorders>
              <w:top w:val="nil"/>
              <w:left w:val="nil"/>
              <w:bottom w:val="nil"/>
              <w:right w:val="nil"/>
            </w:tcBorders>
            <w:shd w:val="clear" w:color="auto" w:fill="auto"/>
            <w:noWrap/>
            <w:vAlign w:val="bottom"/>
            <w:hideMark/>
          </w:tcPr>
          <w:p w14:paraId="47AB48DC" w14:textId="77777777" w:rsidR="001861DC" w:rsidRPr="007E07C7" w:rsidRDefault="001861DC" w:rsidP="002E0516">
            <w:pPr>
              <w:ind w:firstLineChars="200" w:firstLine="440"/>
              <w:jc w:val="left"/>
              <w:rPr>
                <w:rFonts w:ascii="Calibri" w:eastAsia="Times New Roman" w:hAnsi="Calibri" w:cs="Times New Roman"/>
                <w:color w:val="000000"/>
                <w:lang w:eastAsia="es-ES"/>
              </w:rPr>
            </w:pPr>
            <w:r w:rsidRPr="007E07C7">
              <w:rPr>
                <w:rFonts w:ascii="Calibri" w:eastAsia="Times New Roman" w:hAnsi="Calibri" w:cs="Times New Roman"/>
                <w:color w:val="000000"/>
                <w:lang w:eastAsia="es-ES"/>
              </w:rPr>
              <w:t>tudes</w:t>
            </w:r>
          </w:p>
        </w:tc>
        <w:tc>
          <w:tcPr>
            <w:tcW w:w="879" w:type="dxa"/>
            <w:tcBorders>
              <w:top w:val="nil"/>
              <w:left w:val="nil"/>
              <w:bottom w:val="nil"/>
              <w:right w:val="nil"/>
            </w:tcBorders>
            <w:shd w:val="clear" w:color="auto" w:fill="auto"/>
            <w:noWrap/>
            <w:vAlign w:val="bottom"/>
            <w:hideMark/>
          </w:tcPr>
          <w:p w14:paraId="11170D78" w14:textId="77777777" w:rsidR="001861DC" w:rsidRPr="007E07C7" w:rsidRDefault="001861DC" w:rsidP="002E0516">
            <w:pPr>
              <w:jc w:val="center"/>
              <w:rPr>
                <w:rFonts w:ascii="Calibri" w:eastAsia="Times New Roman" w:hAnsi="Calibri" w:cs="Times New Roman"/>
                <w:color w:val="000000"/>
                <w:lang w:eastAsia="es-ES"/>
              </w:rPr>
            </w:pPr>
          </w:p>
        </w:tc>
        <w:tc>
          <w:tcPr>
            <w:tcW w:w="954" w:type="dxa"/>
            <w:tcBorders>
              <w:top w:val="nil"/>
              <w:left w:val="nil"/>
              <w:bottom w:val="nil"/>
              <w:right w:val="nil"/>
            </w:tcBorders>
            <w:shd w:val="clear" w:color="auto" w:fill="auto"/>
            <w:noWrap/>
            <w:vAlign w:val="bottom"/>
            <w:hideMark/>
          </w:tcPr>
          <w:p w14:paraId="3C6C7D80" w14:textId="77777777" w:rsidR="001861DC" w:rsidRPr="007E07C7" w:rsidRDefault="001861DC" w:rsidP="002E0516">
            <w:pPr>
              <w:jc w:val="center"/>
              <w:rPr>
                <w:rFonts w:ascii="Calibri" w:eastAsia="Times New Roman" w:hAnsi="Calibri" w:cs="Times New Roman"/>
                <w:color w:val="000000"/>
                <w:lang w:eastAsia="es-ES"/>
              </w:rPr>
            </w:pPr>
            <w:r w:rsidRPr="007E07C7">
              <w:rPr>
                <w:rFonts w:ascii="Calibri" w:eastAsia="Times New Roman" w:hAnsi="Calibri" w:cs="Times New Roman"/>
                <w:color w:val="000000"/>
                <w:lang w:eastAsia="es-ES"/>
              </w:rPr>
              <w:t>0,15</w:t>
            </w:r>
          </w:p>
        </w:tc>
        <w:tc>
          <w:tcPr>
            <w:tcW w:w="851" w:type="dxa"/>
            <w:tcBorders>
              <w:top w:val="nil"/>
              <w:left w:val="nil"/>
              <w:bottom w:val="nil"/>
              <w:right w:val="nil"/>
            </w:tcBorders>
            <w:shd w:val="clear" w:color="auto" w:fill="auto"/>
            <w:noWrap/>
            <w:vAlign w:val="bottom"/>
            <w:hideMark/>
          </w:tcPr>
          <w:p w14:paraId="2917673A" w14:textId="77777777" w:rsidR="001861DC" w:rsidRPr="007E07C7" w:rsidRDefault="001861DC" w:rsidP="002E0516">
            <w:pPr>
              <w:jc w:val="center"/>
              <w:rPr>
                <w:rFonts w:ascii="Calibri" w:eastAsia="Times New Roman" w:hAnsi="Calibri" w:cs="Times New Roman"/>
                <w:color w:val="000000"/>
                <w:lang w:eastAsia="es-ES"/>
              </w:rPr>
            </w:pPr>
            <w:r w:rsidRPr="007E07C7">
              <w:rPr>
                <w:rFonts w:ascii="Calibri" w:eastAsia="Times New Roman" w:hAnsi="Calibri" w:cs="Times New Roman"/>
                <w:color w:val="000000"/>
                <w:lang w:eastAsia="es-ES"/>
              </w:rPr>
              <w:t>0,36</w:t>
            </w:r>
          </w:p>
        </w:tc>
        <w:tc>
          <w:tcPr>
            <w:tcW w:w="850" w:type="dxa"/>
            <w:tcBorders>
              <w:top w:val="nil"/>
              <w:left w:val="nil"/>
              <w:bottom w:val="nil"/>
              <w:right w:val="nil"/>
            </w:tcBorders>
            <w:shd w:val="clear" w:color="auto" w:fill="auto"/>
            <w:noWrap/>
            <w:vAlign w:val="bottom"/>
            <w:hideMark/>
          </w:tcPr>
          <w:p w14:paraId="01DFD9BE" w14:textId="77777777" w:rsidR="001861DC" w:rsidRPr="007E07C7" w:rsidRDefault="001861DC" w:rsidP="002E0516">
            <w:pPr>
              <w:jc w:val="center"/>
              <w:rPr>
                <w:rFonts w:ascii="Calibri" w:eastAsia="Times New Roman" w:hAnsi="Calibri" w:cs="Times New Roman"/>
                <w:color w:val="000000"/>
                <w:lang w:eastAsia="es-ES"/>
              </w:rPr>
            </w:pPr>
            <w:r w:rsidRPr="007E07C7">
              <w:rPr>
                <w:rFonts w:ascii="Calibri" w:eastAsia="Times New Roman" w:hAnsi="Calibri" w:cs="Times New Roman"/>
                <w:color w:val="000000"/>
                <w:lang w:eastAsia="es-ES"/>
              </w:rPr>
              <w:t>3,69</w:t>
            </w:r>
          </w:p>
        </w:tc>
        <w:tc>
          <w:tcPr>
            <w:tcW w:w="993" w:type="dxa"/>
            <w:tcBorders>
              <w:top w:val="nil"/>
              <w:left w:val="nil"/>
              <w:bottom w:val="nil"/>
              <w:right w:val="nil"/>
            </w:tcBorders>
            <w:shd w:val="clear" w:color="auto" w:fill="auto"/>
            <w:noWrap/>
            <w:vAlign w:val="bottom"/>
            <w:hideMark/>
          </w:tcPr>
          <w:p w14:paraId="03B0EDF2" w14:textId="77777777" w:rsidR="001861DC" w:rsidRPr="007E07C7" w:rsidRDefault="001861DC" w:rsidP="002E0516">
            <w:pPr>
              <w:jc w:val="center"/>
              <w:rPr>
                <w:rFonts w:ascii="Calibri" w:eastAsia="Times New Roman" w:hAnsi="Calibri" w:cs="Times New Roman"/>
                <w:color w:val="000000"/>
                <w:lang w:eastAsia="es-ES"/>
              </w:rPr>
            </w:pPr>
            <w:r w:rsidRPr="007E07C7">
              <w:rPr>
                <w:rFonts w:ascii="Calibri" w:eastAsia="Times New Roman" w:hAnsi="Calibri" w:cs="Times New Roman"/>
                <w:color w:val="000000"/>
                <w:lang w:eastAsia="es-ES"/>
              </w:rPr>
              <w:t>1,97</w:t>
            </w:r>
          </w:p>
        </w:tc>
        <w:tc>
          <w:tcPr>
            <w:tcW w:w="992" w:type="dxa"/>
            <w:tcBorders>
              <w:top w:val="nil"/>
              <w:left w:val="nil"/>
              <w:bottom w:val="nil"/>
              <w:right w:val="nil"/>
            </w:tcBorders>
            <w:shd w:val="clear" w:color="auto" w:fill="auto"/>
            <w:noWrap/>
            <w:vAlign w:val="bottom"/>
            <w:hideMark/>
          </w:tcPr>
          <w:p w14:paraId="35A51EEE" w14:textId="77777777" w:rsidR="001861DC" w:rsidRPr="007E07C7" w:rsidRDefault="001861DC" w:rsidP="002E0516">
            <w:pPr>
              <w:jc w:val="center"/>
              <w:rPr>
                <w:rFonts w:ascii="Calibri" w:eastAsia="Times New Roman" w:hAnsi="Calibri" w:cs="Times New Roman"/>
                <w:color w:val="000000"/>
                <w:lang w:eastAsia="es-ES"/>
              </w:rPr>
            </w:pPr>
            <w:r w:rsidRPr="007E07C7">
              <w:rPr>
                <w:rFonts w:ascii="Calibri" w:eastAsia="Times New Roman" w:hAnsi="Calibri" w:cs="Times New Roman"/>
                <w:color w:val="000000"/>
                <w:lang w:eastAsia="es-ES"/>
              </w:rPr>
              <w:t>1,92</w:t>
            </w:r>
          </w:p>
        </w:tc>
        <w:tc>
          <w:tcPr>
            <w:tcW w:w="1260" w:type="dxa"/>
            <w:tcBorders>
              <w:top w:val="nil"/>
              <w:left w:val="nil"/>
              <w:bottom w:val="nil"/>
              <w:right w:val="nil"/>
            </w:tcBorders>
            <w:shd w:val="clear" w:color="auto" w:fill="auto"/>
            <w:noWrap/>
            <w:vAlign w:val="bottom"/>
            <w:hideMark/>
          </w:tcPr>
          <w:p w14:paraId="1AA05BE8" w14:textId="77777777" w:rsidR="001861DC" w:rsidRPr="007E07C7" w:rsidRDefault="001861DC" w:rsidP="002E0516">
            <w:pPr>
              <w:jc w:val="center"/>
              <w:rPr>
                <w:rFonts w:ascii="Calibri" w:eastAsia="Times New Roman" w:hAnsi="Calibri" w:cs="Times New Roman"/>
                <w:color w:val="000000"/>
                <w:lang w:eastAsia="es-ES"/>
              </w:rPr>
            </w:pPr>
            <w:r w:rsidRPr="007E07C7">
              <w:rPr>
                <w:rFonts w:ascii="Calibri" w:eastAsia="Times New Roman" w:hAnsi="Calibri" w:cs="Times New Roman"/>
                <w:color w:val="000000"/>
                <w:lang w:eastAsia="es-ES"/>
              </w:rPr>
              <w:t>8,09</w:t>
            </w:r>
          </w:p>
        </w:tc>
      </w:tr>
      <w:tr w:rsidR="001861DC" w:rsidRPr="007E07C7" w14:paraId="1598A56B" w14:textId="77777777" w:rsidTr="002E0516">
        <w:trPr>
          <w:trHeight w:val="300"/>
          <w:jc w:val="center"/>
        </w:trPr>
        <w:tc>
          <w:tcPr>
            <w:tcW w:w="1357" w:type="dxa"/>
            <w:tcBorders>
              <w:top w:val="nil"/>
              <w:left w:val="nil"/>
              <w:bottom w:val="single" w:sz="4" w:space="0" w:color="auto"/>
              <w:right w:val="nil"/>
            </w:tcBorders>
            <w:shd w:val="clear" w:color="000000" w:fill="E7E6E6"/>
            <w:noWrap/>
            <w:vAlign w:val="bottom"/>
            <w:hideMark/>
          </w:tcPr>
          <w:p w14:paraId="3A1C9023" w14:textId="77777777" w:rsidR="001861DC" w:rsidRPr="007E07C7" w:rsidRDefault="001861DC" w:rsidP="002E0516">
            <w:pPr>
              <w:jc w:val="left"/>
              <w:rPr>
                <w:rFonts w:ascii="Calibri" w:eastAsia="Times New Roman" w:hAnsi="Calibri" w:cs="Times New Roman"/>
                <w:b/>
                <w:bCs/>
                <w:color w:val="000000"/>
                <w:lang w:eastAsia="es-ES"/>
              </w:rPr>
            </w:pPr>
            <w:r w:rsidRPr="007E07C7">
              <w:rPr>
                <w:rFonts w:ascii="Calibri" w:eastAsia="Times New Roman" w:hAnsi="Calibri" w:cs="Times New Roman"/>
                <w:b/>
                <w:bCs/>
                <w:color w:val="000000"/>
                <w:lang w:eastAsia="es-ES"/>
              </w:rPr>
              <w:t>Otros</w:t>
            </w:r>
          </w:p>
        </w:tc>
        <w:tc>
          <w:tcPr>
            <w:tcW w:w="879" w:type="dxa"/>
            <w:tcBorders>
              <w:top w:val="nil"/>
              <w:left w:val="nil"/>
              <w:bottom w:val="single" w:sz="4" w:space="0" w:color="auto"/>
              <w:right w:val="nil"/>
            </w:tcBorders>
            <w:shd w:val="clear" w:color="000000" w:fill="E7E6E6"/>
            <w:noWrap/>
            <w:vAlign w:val="bottom"/>
            <w:hideMark/>
          </w:tcPr>
          <w:p w14:paraId="74D25E70" w14:textId="77777777" w:rsidR="001861DC" w:rsidRPr="007E07C7" w:rsidRDefault="001861DC" w:rsidP="002E0516">
            <w:pPr>
              <w:jc w:val="center"/>
              <w:rPr>
                <w:rFonts w:ascii="Calibri" w:eastAsia="Times New Roman" w:hAnsi="Calibri" w:cs="Times New Roman"/>
                <w:b/>
                <w:bCs/>
                <w:color w:val="000000"/>
                <w:lang w:eastAsia="es-ES"/>
              </w:rPr>
            </w:pPr>
            <w:r w:rsidRPr="007E07C7">
              <w:rPr>
                <w:rFonts w:ascii="Calibri" w:eastAsia="Times New Roman" w:hAnsi="Calibri" w:cs="Times New Roman"/>
                <w:b/>
                <w:bCs/>
                <w:color w:val="000000"/>
                <w:lang w:eastAsia="es-ES"/>
              </w:rPr>
              <w:t>5,81</w:t>
            </w:r>
          </w:p>
        </w:tc>
        <w:tc>
          <w:tcPr>
            <w:tcW w:w="954" w:type="dxa"/>
            <w:tcBorders>
              <w:top w:val="nil"/>
              <w:left w:val="nil"/>
              <w:bottom w:val="single" w:sz="4" w:space="0" w:color="auto"/>
              <w:right w:val="nil"/>
            </w:tcBorders>
            <w:shd w:val="clear" w:color="000000" w:fill="E7E6E6"/>
            <w:noWrap/>
            <w:vAlign w:val="bottom"/>
            <w:hideMark/>
          </w:tcPr>
          <w:p w14:paraId="457DD2B7" w14:textId="77777777" w:rsidR="001861DC" w:rsidRPr="007E07C7" w:rsidRDefault="001861DC" w:rsidP="002E0516">
            <w:pPr>
              <w:jc w:val="center"/>
              <w:rPr>
                <w:rFonts w:ascii="Calibri" w:eastAsia="Times New Roman" w:hAnsi="Calibri" w:cs="Times New Roman"/>
                <w:b/>
                <w:bCs/>
                <w:color w:val="000000"/>
                <w:lang w:eastAsia="es-ES"/>
              </w:rPr>
            </w:pPr>
            <w:r w:rsidRPr="007E07C7">
              <w:rPr>
                <w:rFonts w:ascii="Calibri" w:eastAsia="Times New Roman" w:hAnsi="Calibri" w:cs="Times New Roman"/>
                <w:b/>
                <w:bCs/>
                <w:color w:val="000000"/>
                <w:lang w:eastAsia="es-ES"/>
              </w:rPr>
              <w:t>8,78</w:t>
            </w:r>
          </w:p>
        </w:tc>
        <w:tc>
          <w:tcPr>
            <w:tcW w:w="851" w:type="dxa"/>
            <w:tcBorders>
              <w:top w:val="nil"/>
              <w:left w:val="nil"/>
              <w:bottom w:val="single" w:sz="4" w:space="0" w:color="auto"/>
              <w:right w:val="nil"/>
            </w:tcBorders>
            <w:shd w:val="clear" w:color="000000" w:fill="E7E6E6"/>
            <w:noWrap/>
            <w:vAlign w:val="bottom"/>
            <w:hideMark/>
          </w:tcPr>
          <w:p w14:paraId="0709A335" w14:textId="77777777" w:rsidR="001861DC" w:rsidRPr="007E07C7" w:rsidRDefault="001861DC" w:rsidP="002E0516">
            <w:pPr>
              <w:jc w:val="center"/>
              <w:rPr>
                <w:rFonts w:ascii="Calibri" w:eastAsia="Times New Roman" w:hAnsi="Calibri" w:cs="Times New Roman"/>
                <w:b/>
                <w:bCs/>
                <w:color w:val="000000"/>
                <w:lang w:eastAsia="es-ES"/>
              </w:rPr>
            </w:pPr>
            <w:r w:rsidRPr="007E07C7">
              <w:rPr>
                <w:rFonts w:ascii="Calibri" w:eastAsia="Times New Roman" w:hAnsi="Calibri" w:cs="Times New Roman"/>
                <w:b/>
                <w:bCs/>
                <w:color w:val="000000"/>
                <w:lang w:eastAsia="es-ES"/>
              </w:rPr>
              <w:t>10,78</w:t>
            </w:r>
          </w:p>
        </w:tc>
        <w:tc>
          <w:tcPr>
            <w:tcW w:w="850" w:type="dxa"/>
            <w:tcBorders>
              <w:top w:val="nil"/>
              <w:left w:val="nil"/>
              <w:bottom w:val="single" w:sz="4" w:space="0" w:color="auto"/>
              <w:right w:val="nil"/>
            </w:tcBorders>
            <w:shd w:val="clear" w:color="000000" w:fill="E7E6E6"/>
            <w:noWrap/>
            <w:vAlign w:val="bottom"/>
            <w:hideMark/>
          </w:tcPr>
          <w:p w14:paraId="17C6CAE0" w14:textId="77777777" w:rsidR="001861DC" w:rsidRPr="007E07C7" w:rsidRDefault="001861DC" w:rsidP="002E0516">
            <w:pPr>
              <w:jc w:val="center"/>
              <w:rPr>
                <w:rFonts w:ascii="Calibri" w:eastAsia="Times New Roman" w:hAnsi="Calibri" w:cs="Times New Roman"/>
                <w:b/>
                <w:bCs/>
                <w:color w:val="000000"/>
                <w:lang w:eastAsia="es-ES"/>
              </w:rPr>
            </w:pPr>
            <w:r w:rsidRPr="007E07C7">
              <w:rPr>
                <w:rFonts w:ascii="Calibri" w:eastAsia="Times New Roman" w:hAnsi="Calibri" w:cs="Times New Roman"/>
                <w:b/>
                <w:bCs/>
                <w:color w:val="000000"/>
                <w:lang w:eastAsia="es-ES"/>
              </w:rPr>
              <w:t>4,41</w:t>
            </w:r>
          </w:p>
        </w:tc>
        <w:tc>
          <w:tcPr>
            <w:tcW w:w="993" w:type="dxa"/>
            <w:tcBorders>
              <w:top w:val="nil"/>
              <w:left w:val="nil"/>
              <w:bottom w:val="single" w:sz="4" w:space="0" w:color="auto"/>
              <w:right w:val="nil"/>
            </w:tcBorders>
            <w:shd w:val="clear" w:color="000000" w:fill="E7E6E6"/>
            <w:noWrap/>
            <w:vAlign w:val="bottom"/>
            <w:hideMark/>
          </w:tcPr>
          <w:p w14:paraId="4061A3B4" w14:textId="77777777" w:rsidR="001861DC" w:rsidRPr="007E07C7" w:rsidRDefault="001861DC" w:rsidP="002E0516">
            <w:pPr>
              <w:jc w:val="center"/>
              <w:rPr>
                <w:rFonts w:ascii="Calibri" w:eastAsia="Times New Roman" w:hAnsi="Calibri" w:cs="Times New Roman"/>
                <w:b/>
                <w:bCs/>
                <w:color w:val="000000"/>
                <w:lang w:eastAsia="es-ES"/>
              </w:rPr>
            </w:pPr>
            <w:r w:rsidRPr="007E07C7">
              <w:rPr>
                <w:rFonts w:ascii="Calibri" w:eastAsia="Times New Roman" w:hAnsi="Calibri" w:cs="Times New Roman"/>
                <w:b/>
                <w:bCs/>
                <w:color w:val="000000"/>
                <w:lang w:eastAsia="es-ES"/>
              </w:rPr>
              <w:t>0,24</w:t>
            </w:r>
          </w:p>
        </w:tc>
        <w:tc>
          <w:tcPr>
            <w:tcW w:w="992" w:type="dxa"/>
            <w:tcBorders>
              <w:top w:val="nil"/>
              <w:left w:val="nil"/>
              <w:bottom w:val="single" w:sz="4" w:space="0" w:color="auto"/>
              <w:right w:val="nil"/>
            </w:tcBorders>
            <w:shd w:val="clear" w:color="000000" w:fill="E7E6E6"/>
            <w:noWrap/>
            <w:vAlign w:val="bottom"/>
            <w:hideMark/>
          </w:tcPr>
          <w:p w14:paraId="7CD2104C" w14:textId="77777777" w:rsidR="001861DC" w:rsidRPr="007E07C7" w:rsidRDefault="001861DC" w:rsidP="002E0516">
            <w:pPr>
              <w:jc w:val="center"/>
              <w:rPr>
                <w:rFonts w:ascii="Calibri" w:eastAsia="Times New Roman" w:hAnsi="Calibri" w:cs="Times New Roman"/>
                <w:b/>
                <w:bCs/>
                <w:color w:val="000000"/>
                <w:lang w:eastAsia="es-ES"/>
              </w:rPr>
            </w:pPr>
            <w:r w:rsidRPr="007E07C7">
              <w:rPr>
                <w:rFonts w:ascii="Calibri" w:eastAsia="Times New Roman" w:hAnsi="Calibri" w:cs="Times New Roman"/>
                <w:b/>
                <w:bCs/>
                <w:color w:val="000000"/>
                <w:lang w:eastAsia="es-ES"/>
              </w:rPr>
              <w:t>6,82</w:t>
            </w:r>
          </w:p>
        </w:tc>
        <w:tc>
          <w:tcPr>
            <w:tcW w:w="1260" w:type="dxa"/>
            <w:tcBorders>
              <w:top w:val="nil"/>
              <w:left w:val="nil"/>
              <w:bottom w:val="single" w:sz="4" w:space="0" w:color="auto"/>
              <w:right w:val="nil"/>
            </w:tcBorders>
            <w:shd w:val="clear" w:color="000000" w:fill="E7E6E6"/>
            <w:noWrap/>
            <w:vAlign w:val="bottom"/>
            <w:hideMark/>
          </w:tcPr>
          <w:p w14:paraId="21C820A2" w14:textId="77777777" w:rsidR="001861DC" w:rsidRPr="007E07C7" w:rsidRDefault="001861DC" w:rsidP="002E0516">
            <w:pPr>
              <w:jc w:val="center"/>
              <w:rPr>
                <w:rFonts w:ascii="Calibri" w:eastAsia="Times New Roman" w:hAnsi="Calibri" w:cs="Times New Roman"/>
                <w:b/>
                <w:bCs/>
                <w:color w:val="000000"/>
                <w:lang w:eastAsia="es-ES"/>
              </w:rPr>
            </w:pPr>
            <w:r w:rsidRPr="007E07C7">
              <w:rPr>
                <w:rFonts w:ascii="Calibri" w:eastAsia="Times New Roman" w:hAnsi="Calibri" w:cs="Times New Roman"/>
                <w:b/>
                <w:bCs/>
                <w:color w:val="000000"/>
                <w:lang w:eastAsia="es-ES"/>
              </w:rPr>
              <w:t>36,83</w:t>
            </w:r>
          </w:p>
        </w:tc>
      </w:tr>
      <w:tr w:rsidR="001861DC" w:rsidRPr="007E07C7" w14:paraId="26AB023D" w14:textId="77777777" w:rsidTr="002E0516">
        <w:trPr>
          <w:trHeight w:val="300"/>
          <w:jc w:val="center"/>
        </w:trPr>
        <w:tc>
          <w:tcPr>
            <w:tcW w:w="1357" w:type="dxa"/>
            <w:tcBorders>
              <w:top w:val="nil"/>
              <w:left w:val="nil"/>
              <w:bottom w:val="single" w:sz="4" w:space="0" w:color="auto"/>
              <w:right w:val="nil"/>
            </w:tcBorders>
            <w:shd w:val="clear" w:color="000000" w:fill="D0CECE"/>
            <w:noWrap/>
            <w:vAlign w:val="bottom"/>
            <w:hideMark/>
          </w:tcPr>
          <w:p w14:paraId="1C0EC70D" w14:textId="77777777" w:rsidR="001861DC" w:rsidRPr="007E07C7" w:rsidRDefault="001861DC" w:rsidP="002E0516">
            <w:pPr>
              <w:jc w:val="left"/>
              <w:rPr>
                <w:rFonts w:ascii="Calibri" w:eastAsia="Times New Roman" w:hAnsi="Calibri" w:cs="Times New Roman"/>
                <w:b/>
                <w:bCs/>
                <w:color w:val="000000"/>
                <w:lang w:eastAsia="es-ES"/>
              </w:rPr>
            </w:pPr>
            <w:r w:rsidRPr="007E07C7">
              <w:rPr>
                <w:rFonts w:ascii="Calibri" w:eastAsia="Times New Roman" w:hAnsi="Calibri" w:cs="Times New Roman"/>
                <w:b/>
                <w:bCs/>
                <w:color w:val="000000"/>
                <w:lang w:eastAsia="es-ES"/>
              </w:rPr>
              <w:t>Total</w:t>
            </w:r>
          </w:p>
        </w:tc>
        <w:tc>
          <w:tcPr>
            <w:tcW w:w="879" w:type="dxa"/>
            <w:tcBorders>
              <w:top w:val="nil"/>
              <w:left w:val="nil"/>
              <w:bottom w:val="single" w:sz="4" w:space="0" w:color="auto"/>
              <w:right w:val="nil"/>
            </w:tcBorders>
            <w:shd w:val="clear" w:color="000000" w:fill="D0CECE"/>
            <w:noWrap/>
            <w:vAlign w:val="bottom"/>
            <w:hideMark/>
          </w:tcPr>
          <w:p w14:paraId="7DF6F4A4" w14:textId="77777777" w:rsidR="001861DC" w:rsidRPr="007E07C7" w:rsidRDefault="001861DC" w:rsidP="002E0516">
            <w:pPr>
              <w:jc w:val="center"/>
              <w:rPr>
                <w:rFonts w:ascii="Calibri" w:eastAsia="Times New Roman" w:hAnsi="Calibri" w:cs="Times New Roman"/>
                <w:b/>
                <w:bCs/>
                <w:color w:val="000000"/>
                <w:lang w:eastAsia="es-ES"/>
              </w:rPr>
            </w:pPr>
            <w:r w:rsidRPr="007E07C7">
              <w:rPr>
                <w:rFonts w:ascii="Calibri" w:eastAsia="Times New Roman" w:hAnsi="Calibri" w:cs="Times New Roman"/>
                <w:b/>
                <w:bCs/>
                <w:color w:val="000000"/>
                <w:lang w:eastAsia="es-ES"/>
              </w:rPr>
              <w:t>6,95</w:t>
            </w:r>
          </w:p>
        </w:tc>
        <w:tc>
          <w:tcPr>
            <w:tcW w:w="954" w:type="dxa"/>
            <w:tcBorders>
              <w:top w:val="nil"/>
              <w:left w:val="nil"/>
              <w:bottom w:val="single" w:sz="4" w:space="0" w:color="auto"/>
              <w:right w:val="nil"/>
            </w:tcBorders>
            <w:shd w:val="clear" w:color="000000" w:fill="D0CECE"/>
            <w:noWrap/>
            <w:vAlign w:val="bottom"/>
            <w:hideMark/>
          </w:tcPr>
          <w:p w14:paraId="06143D41" w14:textId="77777777" w:rsidR="001861DC" w:rsidRPr="007E07C7" w:rsidRDefault="001861DC" w:rsidP="002E0516">
            <w:pPr>
              <w:jc w:val="center"/>
              <w:rPr>
                <w:rFonts w:ascii="Calibri" w:eastAsia="Times New Roman" w:hAnsi="Calibri" w:cs="Times New Roman"/>
                <w:b/>
                <w:bCs/>
                <w:color w:val="000000"/>
                <w:lang w:eastAsia="es-ES"/>
              </w:rPr>
            </w:pPr>
            <w:r w:rsidRPr="007E07C7">
              <w:rPr>
                <w:rFonts w:ascii="Calibri" w:eastAsia="Times New Roman" w:hAnsi="Calibri" w:cs="Times New Roman"/>
                <w:b/>
                <w:bCs/>
                <w:color w:val="000000"/>
                <w:lang w:eastAsia="es-ES"/>
              </w:rPr>
              <w:t>9,35</w:t>
            </w:r>
          </w:p>
        </w:tc>
        <w:tc>
          <w:tcPr>
            <w:tcW w:w="851" w:type="dxa"/>
            <w:tcBorders>
              <w:top w:val="nil"/>
              <w:left w:val="nil"/>
              <w:bottom w:val="single" w:sz="4" w:space="0" w:color="auto"/>
              <w:right w:val="nil"/>
            </w:tcBorders>
            <w:shd w:val="clear" w:color="000000" w:fill="D0CECE"/>
            <w:noWrap/>
            <w:vAlign w:val="bottom"/>
            <w:hideMark/>
          </w:tcPr>
          <w:p w14:paraId="517E9BE3" w14:textId="77777777" w:rsidR="001861DC" w:rsidRPr="007E07C7" w:rsidRDefault="001861DC" w:rsidP="002E0516">
            <w:pPr>
              <w:jc w:val="center"/>
              <w:rPr>
                <w:rFonts w:ascii="Calibri" w:eastAsia="Times New Roman" w:hAnsi="Calibri" w:cs="Times New Roman"/>
                <w:b/>
                <w:bCs/>
                <w:color w:val="000000"/>
                <w:lang w:eastAsia="es-ES"/>
              </w:rPr>
            </w:pPr>
            <w:r w:rsidRPr="007E07C7">
              <w:rPr>
                <w:rFonts w:ascii="Calibri" w:eastAsia="Times New Roman" w:hAnsi="Calibri" w:cs="Times New Roman"/>
                <w:b/>
                <w:bCs/>
                <w:color w:val="000000"/>
                <w:lang w:eastAsia="es-ES"/>
              </w:rPr>
              <w:t>31,70</w:t>
            </w:r>
          </w:p>
        </w:tc>
        <w:tc>
          <w:tcPr>
            <w:tcW w:w="850" w:type="dxa"/>
            <w:tcBorders>
              <w:top w:val="nil"/>
              <w:left w:val="nil"/>
              <w:bottom w:val="single" w:sz="4" w:space="0" w:color="auto"/>
              <w:right w:val="nil"/>
            </w:tcBorders>
            <w:shd w:val="clear" w:color="000000" w:fill="D0CECE"/>
            <w:noWrap/>
            <w:vAlign w:val="bottom"/>
            <w:hideMark/>
          </w:tcPr>
          <w:p w14:paraId="012F32ED" w14:textId="77777777" w:rsidR="001861DC" w:rsidRPr="007E07C7" w:rsidRDefault="001861DC" w:rsidP="002E0516">
            <w:pPr>
              <w:jc w:val="center"/>
              <w:rPr>
                <w:rFonts w:ascii="Calibri" w:eastAsia="Times New Roman" w:hAnsi="Calibri" w:cs="Times New Roman"/>
                <w:b/>
                <w:bCs/>
                <w:color w:val="000000"/>
                <w:lang w:eastAsia="es-ES"/>
              </w:rPr>
            </w:pPr>
            <w:r w:rsidRPr="007E07C7">
              <w:rPr>
                <w:rFonts w:ascii="Calibri" w:eastAsia="Times New Roman" w:hAnsi="Calibri" w:cs="Times New Roman"/>
                <w:b/>
                <w:bCs/>
                <w:color w:val="000000"/>
                <w:lang w:eastAsia="es-ES"/>
              </w:rPr>
              <w:t>28,67</w:t>
            </w:r>
          </w:p>
        </w:tc>
        <w:tc>
          <w:tcPr>
            <w:tcW w:w="993" w:type="dxa"/>
            <w:tcBorders>
              <w:top w:val="nil"/>
              <w:left w:val="nil"/>
              <w:bottom w:val="single" w:sz="4" w:space="0" w:color="auto"/>
              <w:right w:val="nil"/>
            </w:tcBorders>
            <w:shd w:val="clear" w:color="000000" w:fill="D0CECE"/>
            <w:noWrap/>
            <w:vAlign w:val="bottom"/>
            <w:hideMark/>
          </w:tcPr>
          <w:p w14:paraId="0AC17150" w14:textId="77777777" w:rsidR="001861DC" w:rsidRPr="007E07C7" w:rsidRDefault="001861DC" w:rsidP="002E0516">
            <w:pPr>
              <w:jc w:val="center"/>
              <w:rPr>
                <w:rFonts w:ascii="Calibri" w:eastAsia="Times New Roman" w:hAnsi="Calibri" w:cs="Times New Roman"/>
                <w:b/>
                <w:bCs/>
                <w:color w:val="000000"/>
                <w:lang w:eastAsia="es-ES"/>
              </w:rPr>
            </w:pPr>
            <w:r w:rsidRPr="007E07C7">
              <w:rPr>
                <w:rFonts w:ascii="Calibri" w:eastAsia="Times New Roman" w:hAnsi="Calibri" w:cs="Times New Roman"/>
                <w:b/>
                <w:bCs/>
                <w:color w:val="000000"/>
                <w:lang w:eastAsia="es-ES"/>
              </w:rPr>
              <w:t>6,65</w:t>
            </w:r>
          </w:p>
        </w:tc>
        <w:tc>
          <w:tcPr>
            <w:tcW w:w="992" w:type="dxa"/>
            <w:tcBorders>
              <w:top w:val="nil"/>
              <w:left w:val="nil"/>
              <w:bottom w:val="single" w:sz="4" w:space="0" w:color="auto"/>
              <w:right w:val="nil"/>
            </w:tcBorders>
            <w:shd w:val="clear" w:color="000000" w:fill="D0CECE"/>
            <w:noWrap/>
            <w:vAlign w:val="bottom"/>
            <w:hideMark/>
          </w:tcPr>
          <w:p w14:paraId="3A24BAEB" w14:textId="77777777" w:rsidR="001861DC" w:rsidRPr="007E07C7" w:rsidRDefault="001861DC" w:rsidP="002E0516">
            <w:pPr>
              <w:jc w:val="center"/>
              <w:rPr>
                <w:rFonts w:ascii="Calibri" w:eastAsia="Times New Roman" w:hAnsi="Calibri" w:cs="Times New Roman"/>
                <w:b/>
                <w:bCs/>
                <w:color w:val="000000"/>
                <w:lang w:eastAsia="es-ES"/>
              </w:rPr>
            </w:pPr>
            <w:r w:rsidRPr="007E07C7">
              <w:rPr>
                <w:rFonts w:ascii="Calibri" w:eastAsia="Times New Roman" w:hAnsi="Calibri" w:cs="Times New Roman"/>
                <w:b/>
                <w:bCs/>
                <w:color w:val="000000"/>
                <w:lang w:eastAsia="es-ES"/>
              </w:rPr>
              <w:t>12,33</w:t>
            </w:r>
          </w:p>
        </w:tc>
        <w:tc>
          <w:tcPr>
            <w:tcW w:w="1260" w:type="dxa"/>
            <w:tcBorders>
              <w:top w:val="nil"/>
              <w:left w:val="nil"/>
              <w:bottom w:val="single" w:sz="4" w:space="0" w:color="auto"/>
              <w:right w:val="nil"/>
            </w:tcBorders>
            <w:shd w:val="clear" w:color="000000" w:fill="D0CECE"/>
            <w:noWrap/>
            <w:vAlign w:val="bottom"/>
            <w:hideMark/>
          </w:tcPr>
          <w:p w14:paraId="2E2398D5" w14:textId="77777777" w:rsidR="001861DC" w:rsidRPr="007E07C7" w:rsidRDefault="001861DC" w:rsidP="002E0516">
            <w:pPr>
              <w:jc w:val="center"/>
              <w:rPr>
                <w:rFonts w:ascii="Calibri" w:eastAsia="Times New Roman" w:hAnsi="Calibri" w:cs="Times New Roman"/>
                <w:b/>
                <w:bCs/>
                <w:color w:val="000000"/>
                <w:lang w:eastAsia="es-ES"/>
              </w:rPr>
            </w:pPr>
            <w:r w:rsidRPr="007E07C7">
              <w:rPr>
                <w:rFonts w:ascii="Calibri" w:eastAsia="Times New Roman" w:hAnsi="Calibri" w:cs="Times New Roman"/>
                <w:b/>
                <w:bCs/>
                <w:color w:val="000000"/>
                <w:lang w:eastAsia="es-ES"/>
              </w:rPr>
              <w:t>95,64</w:t>
            </w:r>
          </w:p>
        </w:tc>
      </w:tr>
    </w:tbl>
    <w:p w14:paraId="0981B65B" w14:textId="77777777" w:rsidR="001861DC" w:rsidRDefault="001861DC" w:rsidP="001861DC">
      <w:r>
        <w:rPr>
          <w:rFonts w:eastAsia="Arial Unicode MS" w:cs="Arial Unicode MS"/>
          <w:color w:val="000000"/>
          <w:lang w:eastAsia="es-ES"/>
        </w:rPr>
        <w:t>Nota: Los porcentajes no suman 100% por tratarse del estado actual en los límites.</w:t>
      </w:r>
    </w:p>
    <w:p w14:paraId="503D6C84" w14:textId="77777777" w:rsidR="001861DC" w:rsidRDefault="001861DC" w:rsidP="001861DC"/>
    <w:p w14:paraId="5F78EB47" w14:textId="77777777" w:rsidR="001861DC" w:rsidRDefault="001861DC" w:rsidP="001861DC">
      <w:r>
        <w:t>La estructura de vencimientos de los instrumentos del MH está concentrada en rangos de 5 a 10 años (20,33% de todo lo disponible para invertir), por su parte los instrumentos del BCCR están más concentrados en instrumentos de 1 a 5 años (6,79% del total disponible para invertir). Tomando en cuenta todos los instrumentos se tiene que un 31,7% del total de recursos disponibles para invertir se encuentran en un rango de 1 a 5 años, un 28,67% en rangos de 5 a 10 años, un 6,65% en rangos de 10 a 15 años, lo que arroja un 67,02% del portafolio en instrumentos con vencimiento general entre 1 y 15 años.</w:t>
      </w:r>
    </w:p>
    <w:p w14:paraId="3CE6EF24" w14:textId="77777777" w:rsidR="001861DC" w:rsidRDefault="001861DC" w:rsidP="001861DC"/>
    <w:p w14:paraId="02710496" w14:textId="77777777" w:rsidR="001861DC" w:rsidRDefault="001861DC" w:rsidP="001861DC">
      <w:r>
        <w:t>De conformidad con el análisis de los datos de la Bolsa Nacional de Valores, del Registro Nacional de Valores e Intermediarios, así como de  la información remitida por las operadoras de pensiones, se observa que de las emisiones realizadas por el MH con vencimientos iguales o posteriores al año 2020; los fondos administrados por las operadoras de pensiones mantienen un 40% de los montos en circulación. Los fondos administrados han adquirido principalmente las que tienen rangos de vencimiento que van del 2020 al 2025, con un porcentaje del 61% del monto permitido para emitir. No obstante, el MH en los rangos que van del año 2025 al 2030 y del 2030 en adelante, únicamente ha colocado el 34% y el 31% de los montos autorizados a emitir.</w:t>
      </w:r>
    </w:p>
    <w:p w14:paraId="44C98D10" w14:textId="77777777" w:rsidR="001861DC" w:rsidRDefault="001861DC" w:rsidP="001861DC"/>
    <w:p w14:paraId="03357CDB" w14:textId="77777777" w:rsidR="001861DC" w:rsidRDefault="001861DC" w:rsidP="001861DC">
      <w:r>
        <w:t>La diferencia entre los montos emitidos y los montos realmente colocados, para las emisiones con vencimiento superior al año 2025, podría ser el resultado del escenario inflacionario actual, la caída en la tasa básica pasiva a niveles históricos y a las expectativas internacionales de futuros aumentos de tasas por parte de la Reserva Federal, lo que podría motivar a los gestores de los fondos administrados a mantener cautela en las inversiones a largo plazo.</w:t>
      </w:r>
    </w:p>
    <w:p w14:paraId="3603801A" w14:textId="77777777" w:rsidR="001861DC" w:rsidRDefault="001861DC" w:rsidP="001861DC">
      <w:pPr>
        <w:spacing w:after="160" w:line="259" w:lineRule="auto"/>
        <w:jc w:val="left"/>
      </w:pPr>
      <w:r>
        <w:br w:type="page"/>
      </w:r>
    </w:p>
    <w:p w14:paraId="3F56352C" w14:textId="77777777" w:rsidR="001861DC" w:rsidRDefault="001861DC" w:rsidP="001861DC"/>
    <w:p w14:paraId="6942ADA7" w14:textId="77777777" w:rsidR="001861DC" w:rsidRDefault="001861DC" w:rsidP="001861DC">
      <w:pPr>
        <w:pStyle w:val="Ttulo1"/>
      </w:pPr>
      <w:r>
        <w:t>Necesidades actuales</w:t>
      </w:r>
    </w:p>
    <w:p w14:paraId="3E0CC340" w14:textId="77777777" w:rsidR="001861DC" w:rsidRDefault="001861DC" w:rsidP="001861DC"/>
    <w:p w14:paraId="0AAB3117" w14:textId="77777777" w:rsidR="001861DC" w:rsidRDefault="001861DC" w:rsidP="001861DC">
      <w:r>
        <w:t xml:space="preserve">El Sistema Nacional de Pensiones dispone de una regulación que promueve mediante límites la diversificación de los portafolios. La aplicación de esta regulación es constantemente analizada. </w:t>
      </w:r>
    </w:p>
    <w:p w14:paraId="6486F3BA" w14:textId="77777777" w:rsidR="001861DC" w:rsidRDefault="001861DC" w:rsidP="001861DC"/>
    <w:p w14:paraId="28412580" w14:textId="77777777" w:rsidR="001861DC" w:rsidRDefault="001861DC" w:rsidP="001861DC">
      <w:r>
        <w:t xml:space="preserve">Actualmente uno de los principales problemas que enfrentan los gestores de los fondos de pensiones tiene que ver con una situación particular que caracteriza nuestro mercado financiero, el cual no dispone de suficientes emisores como para promover mayor diversificación en el ámbito local. El número de emisores privados que acuden a la Bolsa Nacional de Valores a financiarse pasó de 82 al finalizar el año 1998 a 40 inscritos al 31 de diciembre del año 2015, de los cuales 12 son públicos y 28 privados. </w:t>
      </w:r>
    </w:p>
    <w:p w14:paraId="66486DCC" w14:textId="77777777" w:rsidR="001861DC" w:rsidRDefault="001861DC" w:rsidP="001861DC"/>
    <w:p w14:paraId="03A92433" w14:textId="77777777" w:rsidR="001861DC" w:rsidRDefault="001861DC" w:rsidP="001861DC">
      <w:r>
        <w:t xml:space="preserve">Del total de emisiones transadas, a través de la Bolsa Nacional de Valores, en Mercado Primario y Secundario el 71,10% corresponde a bonos emitidos por el MH y el BCCR, es decir, estas dos instituciones son las que llevan el peso de nuestro mercado. Esta situación dificulta que esta Entidad presione a la industria para que diversifiquen por emisor, como se detalla a continuación: </w:t>
      </w:r>
    </w:p>
    <w:p w14:paraId="0ADE5A06" w14:textId="77777777" w:rsidR="001861DC" w:rsidRDefault="001861DC" w:rsidP="001861DC">
      <w:pPr>
        <w:pStyle w:val="Prrafodelista"/>
      </w:pPr>
    </w:p>
    <w:p w14:paraId="0F305314" w14:textId="77777777" w:rsidR="001861DC" w:rsidRDefault="001861DC" w:rsidP="001861DC">
      <w:pPr>
        <w:jc w:val="center"/>
        <w:rPr>
          <w:color w:val="1F497D"/>
        </w:rPr>
      </w:pPr>
      <w:r w:rsidRPr="00E074A5">
        <w:t>Bolsa N</w:t>
      </w:r>
      <w:r>
        <w:t>acional de</w:t>
      </w:r>
      <w:r w:rsidRPr="00E074A5">
        <w:t xml:space="preserve"> Valores</w:t>
      </w:r>
      <w:r w:rsidRPr="00135B3C">
        <w:rPr>
          <w:b/>
        </w:rPr>
        <w:t>:</w:t>
      </w:r>
      <w:r>
        <w:t xml:space="preserve"> </w:t>
      </w:r>
      <w:r w:rsidRPr="00297F2A">
        <w:t>Captaciones de Merc</w:t>
      </w:r>
      <w:r>
        <w:t>ado Primario y Secundario</w:t>
      </w:r>
    </w:p>
    <w:p w14:paraId="4BEFD0E6" w14:textId="77777777" w:rsidR="001861DC" w:rsidRDefault="001861DC" w:rsidP="001861DC">
      <w:pPr>
        <w:jc w:val="center"/>
      </w:pPr>
    </w:p>
    <w:p w14:paraId="4A2DEEF5" w14:textId="77777777" w:rsidR="001861DC" w:rsidRDefault="001861DC" w:rsidP="001861DC">
      <w:pPr>
        <w:jc w:val="center"/>
        <w:rPr>
          <w:rFonts w:ascii="Calibri" w:hAnsi="Calibri" w:cs="Times New Roman"/>
        </w:rPr>
      </w:pPr>
      <w:r>
        <w:t>Al 31 de Diciembre 2015, cifras porcentuales</w:t>
      </w:r>
    </w:p>
    <w:tbl>
      <w:tblPr>
        <w:tblW w:w="6445" w:type="dxa"/>
        <w:jc w:val="center"/>
        <w:tblCellMar>
          <w:left w:w="70" w:type="dxa"/>
          <w:right w:w="70" w:type="dxa"/>
        </w:tblCellMar>
        <w:tblLook w:val="04A0" w:firstRow="1" w:lastRow="0" w:firstColumn="1" w:lastColumn="0" w:noHBand="0" w:noVBand="1"/>
      </w:tblPr>
      <w:tblGrid>
        <w:gridCol w:w="2700"/>
        <w:gridCol w:w="1200"/>
        <w:gridCol w:w="1345"/>
        <w:gridCol w:w="1200"/>
      </w:tblGrid>
      <w:tr w:rsidR="001861DC" w:rsidRPr="006A09A4" w14:paraId="2C513AF2" w14:textId="77777777" w:rsidTr="002E0516">
        <w:trPr>
          <w:trHeight w:val="300"/>
          <w:jc w:val="center"/>
        </w:trPr>
        <w:tc>
          <w:tcPr>
            <w:tcW w:w="2700" w:type="dxa"/>
            <w:vMerge w:val="restart"/>
            <w:tcBorders>
              <w:top w:val="single" w:sz="4" w:space="0" w:color="auto"/>
              <w:left w:val="nil"/>
              <w:bottom w:val="single" w:sz="4" w:space="0" w:color="000000"/>
              <w:right w:val="nil"/>
            </w:tcBorders>
            <w:shd w:val="clear" w:color="auto" w:fill="auto"/>
            <w:noWrap/>
            <w:vAlign w:val="center"/>
            <w:hideMark/>
          </w:tcPr>
          <w:p w14:paraId="5F34F9F4" w14:textId="77777777" w:rsidR="001861DC" w:rsidRPr="006A09A4" w:rsidRDefault="001861DC" w:rsidP="002E0516">
            <w:pPr>
              <w:jc w:val="center"/>
              <w:rPr>
                <w:rFonts w:ascii="Calibri" w:eastAsia="Times New Roman" w:hAnsi="Calibri" w:cs="Times New Roman"/>
                <w:b/>
                <w:bCs/>
                <w:color w:val="000000"/>
                <w:lang w:eastAsia="es-ES"/>
              </w:rPr>
            </w:pPr>
            <w:r w:rsidRPr="006A09A4">
              <w:rPr>
                <w:rFonts w:ascii="Calibri" w:eastAsia="Times New Roman" w:hAnsi="Calibri" w:cs="Times New Roman"/>
                <w:b/>
                <w:bCs/>
                <w:color w:val="000000"/>
                <w:lang w:eastAsia="es-ES"/>
              </w:rPr>
              <w:t>Sector</w:t>
            </w:r>
          </w:p>
        </w:tc>
        <w:tc>
          <w:tcPr>
            <w:tcW w:w="2545" w:type="dxa"/>
            <w:gridSpan w:val="2"/>
            <w:tcBorders>
              <w:top w:val="single" w:sz="4" w:space="0" w:color="auto"/>
              <w:left w:val="nil"/>
              <w:bottom w:val="single" w:sz="4" w:space="0" w:color="auto"/>
              <w:right w:val="nil"/>
            </w:tcBorders>
            <w:shd w:val="clear" w:color="auto" w:fill="auto"/>
            <w:noWrap/>
            <w:vAlign w:val="bottom"/>
            <w:hideMark/>
          </w:tcPr>
          <w:p w14:paraId="0E65F463" w14:textId="77777777" w:rsidR="001861DC" w:rsidRPr="006A09A4" w:rsidRDefault="001861DC" w:rsidP="002E0516">
            <w:pPr>
              <w:jc w:val="center"/>
              <w:rPr>
                <w:rFonts w:ascii="Calibri" w:eastAsia="Times New Roman" w:hAnsi="Calibri" w:cs="Times New Roman"/>
                <w:b/>
                <w:bCs/>
                <w:color w:val="000000"/>
                <w:lang w:eastAsia="es-ES"/>
              </w:rPr>
            </w:pPr>
            <w:r w:rsidRPr="006A09A4">
              <w:rPr>
                <w:rFonts w:ascii="Calibri" w:eastAsia="Times New Roman" w:hAnsi="Calibri" w:cs="Times New Roman"/>
                <w:b/>
                <w:bCs/>
                <w:color w:val="000000"/>
                <w:lang w:eastAsia="es-ES"/>
              </w:rPr>
              <w:t>Mercado</w:t>
            </w:r>
          </w:p>
        </w:tc>
        <w:tc>
          <w:tcPr>
            <w:tcW w:w="1200" w:type="dxa"/>
            <w:vMerge w:val="restart"/>
            <w:tcBorders>
              <w:top w:val="single" w:sz="4" w:space="0" w:color="auto"/>
              <w:left w:val="nil"/>
              <w:bottom w:val="single" w:sz="4" w:space="0" w:color="000000"/>
              <w:right w:val="nil"/>
            </w:tcBorders>
            <w:shd w:val="clear" w:color="auto" w:fill="auto"/>
            <w:noWrap/>
            <w:vAlign w:val="center"/>
            <w:hideMark/>
          </w:tcPr>
          <w:p w14:paraId="785D3F45" w14:textId="77777777" w:rsidR="001861DC" w:rsidRPr="006A09A4" w:rsidRDefault="001861DC" w:rsidP="002E0516">
            <w:pPr>
              <w:jc w:val="center"/>
              <w:rPr>
                <w:rFonts w:ascii="Calibri" w:eastAsia="Times New Roman" w:hAnsi="Calibri" w:cs="Times New Roman"/>
                <w:b/>
                <w:bCs/>
                <w:color w:val="000000"/>
                <w:lang w:eastAsia="es-ES"/>
              </w:rPr>
            </w:pPr>
            <w:r w:rsidRPr="006A09A4">
              <w:rPr>
                <w:rFonts w:ascii="Calibri" w:eastAsia="Times New Roman" w:hAnsi="Calibri" w:cs="Times New Roman"/>
                <w:b/>
                <w:bCs/>
                <w:color w:val="000000"/>
                <w:lang w:eastAsia="es-ES"/>
              </w:rPr>
              <w:t>Total</w:t>
            </w:r>
          </w:p>
        </w:tc>
      </w:tr>
      <w:tr w:rsidR="001861DC" w:rsidRPr="006A09A4" w14:paraId="36D7ED0B" w14:textId="77777777" w:rsidTr="002E0516">
        <w:trPr>
          <w:trHeight w:val="300"/>
          <w:jc w:val="center"/>
        </w:trPr>
        <w:tc>
          <w:tcPr>
            <w:tcW w:w="2700" w:type="dxa"/>
            <w:vMerge/>
            <w:tcBorders>
              <w:top w:val="single" w:sz="4" w:space="0" w:color="auto"/>
              <w:left w:val="nil"/>
              <w:bottom w:val="single" w:sz="4" w:space="0" w:color="000000"/>
              <w:right w:val="nil"/>
            </w:tcBorders>
            <w:vAlign w:val="center"/>
            <w:hideMark/>
          </w:tcPr>
          <w:p w14:paraId="434F1993" w14:textId="77777777" w:rsidR="001861DC" w:rsidRPr="006A09A4" w:rsidRDefault="001861DC" w:rsidP="002E0516">
            <w:pPr>
              <w:jc w:val="left"/>
              <w:rPr>
                <w:rFonts w:ascii="Calibri" w:eastAsia="Times New Roman" w:hAnsi="Calibri" w:cs="Times New Roman"/>
                <w:b/>
                <w:bCs/>
                <w:color w:val="000000"/>
                <w:lang w:eastAsia="es-ES"/>
              </w:rPr>
            </w:pPr>
          </w:p>
        </w:tc>
        <w:tc>
          <w:tcPr>
            <w:tcW w:w="1200" w:type="dxa"/>
            <w:tcBorders>
              <w:top w:val="single" w:sz="4" w:space="0" w:color="auto"/>
              <w:left w:val="nil"/>
              <w:bottom w:val="single" w:sz="4" w:space="0" w:color="auto"/>
              <w:right w:val="nil"/>
            </w:tcBorders>
            <w:shd w:val="clear" w:color="auto" w:fill="auto"/>
            <w:noWrap/>
            <w:vAlign w:val="bottom"/>
            <w:hideMark/>
          </w:tcPr>
          <w:p w14:paraId="4C94F711" w14:textId="77777777" w:rsidR="001861DC" w:rsidRPr="006A09A4" w:rsidRDefault="001861DC" w:rsidP="002E0516">
            <w:pPr>
              <w:jc w:val="left"/>
              <w:rPr>
                <w:rFonts w:ascii="Calibri" w:eastAsia="Times New Roman" w:hAnsi="Calibri" w:cs="Times New Roman"/>
                <w:b/>
                <w:bCs/>
                <w:color w:val="000000"/>
                <w:lang w:eastAsia="es-ES"/>
              </w:rPr>
            </w:pPr>
            <w:r w:rsidRPr="006A09A4">
              <w:rPr>
                <w:rFonts w:ascii="Calibri" w:eastAsia="Times New Roman" w:hAnsi="Calibri" w:cs="Times New Roman"/>
                <w:b/>
                <w:bCs/>
                <w:color w:val="000000"/>
                <w:lang w:eastAsia="es-ES"/>
              </w:rPr>
              <w:t>Primario</w:t>
            </w:r>
          </w:p>
        </w:tc>
        <w:tc>
          <w:tcPr>
            <w:tcW w:w="1345" w:type="dxa"/>
            <w:tcBorders>
              <w:top w:val="single" w:sz="4" w:space="0" w:color="auto"/>
              <w:left w:val="nil"/>
              <w:bottom w:val="single" w:sz="4" w:space="0" w:color="auto"/>
              <w:right w:val="nil"/>
            </w:tcBorders>
            <w:shd w:val="clear" w:color="auto" w:fill="auto"/>
            <w:noWrap/>
            <w:vAlign w:val="bottom"/>
            <w:hideMark/>
          </w:tcPr>
          <w:p w14:paraId="09D718C7" w14:textId="77777777" w:rsidR="001861DC" w:rsidRPr="006A09A4" w:rsidRDefault="001861DC" w:rsidP="002E0516">
            <w:pPr>
              <w:jc w:val="left"/>
              <w:rPr>
                <w:rFonts w:ascii="Calibri" w:eastAsia="Times New Roman" w:hAnsi="Calibri" w:cs="Times New Roman"/>
                <w:b/>
                <w:bCs/>
                <w:color w:val="000000"/>
                <w:lang w:eastAsia="es-ES"/>
              </w:rPr>
            </w:pPr>
            <w:r w:rsidRPr="006A09A4">
              <w:rPr>
                <w:rFonts w:ascii="Calibri" w:eastAsia="Times New Roman" w:hAnsi="Calibri" w:cs="Times New Roman"/>
                <w:b/>
                <w:bCs/>
                <w:color w:val="000000"/>
                <w:lang w:eastAsia="es-ES"/>
              </w:rPr>
              <w:t>Secundario*</w:t>
            </w:r>
          </w:p>
        </w:tc>
        <w:tc>
          <w:tcPr>
            <w:tcW w:w="1200" w:type="dxa"/>
            <w:vMerge/>
            <w:tcBorders>
              <w:top w:val="single" w:sz="4" w:space="0" w:color="auto"/>
              <w:left w:val="nil"/>
              <w:bottom w:val="single" w:sz="4" w:space="0" w:color="000000"/>
              <w:right w:val="nil"/>
            </w:tcBorders>
            <w:vAlign w:val="center"/>
            <w:hideMark/>
          </w:tcPr>
          <w:p w14:paraId="1BDE365A" w14:textId="77777777" w:rsidR="001861DC" w:rsidRPr="006A09A4" w:rsidRDefault="001861DC" w:rsidP="002E0516">
            <w:pPr>
              <w:jc w:val="left"/>
              <w:rPr>
                <w:rFonts w:ascii="Calibri" w:eastAsia="Times New Roman" w:hAnsi="Calibri" w:cs="Times New Roman"/>
                <w:b/>
                <w:bCs/>
                <w:color w:val="000000"/>
                <w:lang w:eastAsia="es-ES"/>
              </w:rPr>
            </w:pPr>
          </w:p>
        </w:tc>
      </w:tr>
      <w:tr w:rsidR="001861DC" w:rsidRPr="006A09A4" w14:paraId="7109D131" w14:textId="77777777" w:rsidTr="002E0516">
        <w:trPr>
          <w:trHeight w:val="300"/>
          <w:jc w:val="center"/>
        </w:trPr>
        <w:tc>
          <w:tcPr>
            <w:tcW w:w="2700" w:type="dxa"/>
            <w:tcBorders>
              <w:top w:val="nil"/>
              <w:left w:val="nil"/>
              <w:bottom w:val="nil"/>
              <w:right w:val="nil"/>
            </w:tcBorders>
            <w:shd w:val="clear" w:color="auto" w:fill="auto"/>
            <w:noWrap/>
            <w:vAlign w:val="bottom"/>
            <w:hideMark/>
          </w:tcPr>
          <w:p w14:paraId="14AD8A60" w14:textId="77777777" w:rsidR="001861DC" w:rsidRPr="006A09A4" w:rsidRDefault="001861DC" w:rsidP="002E0516">
            <w:pPr>
              <w:jc w:val="left"/>
              <w:rPr>
                <w:rFonts w:ascii="Calibri" w:eastAsia="Times New Roman" w:hAnsi="Calibri" w:cs="Times New Roman"/>
                <w:color w:val="000000"/>
                <w:lang w:eastAsia="es-ES"/>
              </w:rPr>
            </w:pPr>
            <w:r w:rsidRPr="006A09A4">
              <w:rPr>
                <w:rFonts w:ascii="Calibri" w:eastAsia="Times New Roman" w:hAnsi="Calibri" w:cs="Times New Roman"/>
                <w:color w:val="000000"/>
                <w:lang w:eastAsia="es-ES"/>
              </w:rPr>
              <w:t>Bancos Privados</w:t>
            </w:r>
          </w:p>
        </w:tc>
        <w:tc>
          <w:tcPr>
            <w:tcW w:w="1200" w:type="dxa"/>
            <w:tcBorders>
              <w:top w:val="nil"/>
              <w:left w:val="nil"/>
              <w:bottom w:val="nil"/>
              <w:right w:val="nil"/>
            </w:tcBorders>
            <w:shd w:val="clear" w:color="auto" w:fill="auto"/>
            <w:noWrap/>
            <w:vAlign w:val="bottom"/>
            <w:hideMark/>
          </w:tcPr>
          <w:p w14:paraId="60A2545F" w14:textId="77777777" w:rsidR="001861DC" w:rsidRPr="006A09A4" w:rsidRDefault="001861DC" w:rsidP="002E0516">
            <w:pPr>
              <w:jc w:val="left"/>
              <w:rPr>
                <w:rFonts w:ascii="Calibri" w:eastAsia="Times New Roman" w:hAnsi="Calibri" w:cs="Times New Roman"/>
                <w:color w:val="000000"/>
                <w:lang w:eastAsia="es-ES"/>
              </w:rPr>
            </w:pPr>
            <w:r w:rsidRPr="006A09A4">
              <w:rPr>
                <w:rFonts w:ascii="Calibri" w:eastAsia="Times New Roman" w:hAnsi="Calibri" w:cs="Times New Roman"/>
                <w:color w:val="000000"/>
                <w:lang w:eastAsia="es-ES"/>
              </w:rPr>
              <w:t xml:space="preserve">6,58 </w:t>
            </w:r>
          </w:p>
        </w:tc>
        <w:tc>
          <w:tcPr>
            <w:tcW w:w="1345" w:type="dxa"/>
            <w:tcBorders>
              <w:top w:val="nil"/>
              <w:left w:val="nil"/>
              <w:bottom w:val="nil"/>
              <w:right w:val="nil"/>
            </w:tcBorders>
            <w:shd w:val="clear" w:color="auto" w:fill="auto"/>
            <w:noWrap/>
            <w:vAlign w:val="bottom"/>
            <w:hideMark/>
          </w:tcPr>
          <w:p w14:paraId="4E8BB600" w14:textId="77777777" w:rsidR="001861DC" w:rsidRPr="006A09A4" w:rsidRDefault="001861DC" w:rsidP="002E0516">
            <w:pPr>
              <w:jc w:val="left"/>
              <w:rPr>
                <w:rFonts w:ascii="Calibri" w:eastAsia="Times New Roman" w:hAnsi="Calibri" w:cs="Times New Roman"/>
                <w:color w:val="000000"/>
                <w:lang w:eastAsia="es-ES"/>
              </w:rPr>
            </w:pPr>
            <w:r w:rsidRPr="006A09A4">
              <w:rPr>
                <w:rFonts w:ascii="Calibri" w:eastAsia="Times New Roman" w:hAnsi="Calibri" w:cs="Times New Roman"/>
                <w:color w:val="000000"/>
                <w:lang w:eastAsia="es-ES"/>
              </w:rPr>
              <w:t xml:space="preserve">0,95 </w:t>
            </w:r>
          </w:p>
        </w:tc>
        <w:tc>
          <w:tcPr>
            <w:tcW w:w="1200" w:type="dxa"/>
            <w:tcBorders>
              <w:top w:val="nil"/>
              <w:left w:val="nil"/>
              <w:bottom w:val="nil"/>
              <w:right w:val="nil"/>
            </w:tcBorders>
            <w:shd w:val="clear" w:color="auto" w:fill="auto"/>
            <w:noWrap/>
            <w:vAlign w:val="bottom"/>
            <w:hideMark/>
          </w:tcPr>
          <w:p w14:paraId="60D1F0A5" w14:textId="77777777" w:rsidR="001861DC" w:rsidRPr="006A09A4" w:rsidRDefault="001861DC" w:rsidP="002E0516">
            <w:pPr>
              <w:jc w:val="left"/>
              <w:rPr>
                <w:rFonts w:ascii="Calibri" w:eastAsia="Times New Roman" w:hAnsi="Calibri" w:cs="Times New Roman"/>
                <w:color w:val="000000"/>
                <w:lang w:eastAsia="es-ES"/>
              </w:rPr>
            </w:pPr>
            <w:r w:rsidRPr="006A09A4">
              <w:rPr>
                <w:rFonts w:ascii="Calibri" w:eastAsia="Times New Roman" w:hAnsi="Calibri" w:cs="Times New Roman"/>
                <w:color w:val="000000"/>
                <w:lang w:eastAsia="es-ES"/>
              </w:rPr>
              <w:t xml:space="preserve">7,53 </w:t>
            </w:r>
          </w:p>
        </w:tc>
      </w:tr>
      <w:tr w:rsidR="001861DC" w:rsidRPr="006A09A4" w14:paraId="2BEA2D9E" w14:textId="77777777" w:rsidTr="002E0516">
        <w:trPr>
          <w:trHeight w:val="300"/>
          <w:jc w:val="center"/>
        </w:trPr>
        <w:tc>
          <w:tcPr>
            <w:tcW w:w="2700" w:type="dxa"/>
            <w:tcBorders>
              <w:top w:val="nil"/>
              <w:left w:val="nil"/>
              <w:bottom w:val="nil"/>
              <w:right w:val="nil"/>
            </w:tcBorders>
            <w:shd w:val="clear" w:color="auto" w:fill="auto"/>
            <w:noWrap/>
            <w:vAlign w:val="bottom"/>
            <w:hideMark/>
          </w:tcPr>
          <w:p w14:paraId="20AB2A2E" w14:textId="77777777" w:rsidR="001861DC" w:rsidRPr="006A09A4" w:rsidRDefault="001861DC" w:rsidP="002E0516">
            <w:pPr>
              <w:jc w:val="left"/>
              <w:rPr>
                <w:rFonts w:ascii="Calibri" w:eastAsia="Times New Roman" w:hAnsi="Calibri" w:cs="Times New Roman"/>
                <w:color w:val="000000"/>
                <w:lang w:eastAsia="es-ES"/>
              </w:rPr>
            </w:pPr>
            <w:r w:rsidRPr="006A09A4">
              <w:rPr>
                <w:rFonts w:ascii="Calibri" w:eastAsia="Times New Roman" w:hAnsi="Calibri" w:cs="Times New Roman"/>
                <w:color w:val="000000"/>
                <w:lang w:eastAsia="es-ES"/>
              </w:rPr>
              <w:t>Bancos Públicos</w:t>
            </w:r>
          </w:p>
        </w:tc>
        <w:tc>
          <w:tcPr>
            <w:tcW w:w="1200" w:type="dxa"/>
            <w:tcBorders>
              <w:top w:val="nil"/>
              <w:left w:val="nil"/>
              <w:bottom w:val="nil"/>
              <w:right w:val="nil"/>
            </w:tcBorders>
            <w:shd w:val="clear" w:color="auto" w:fill="auto"/>
            <w:noWrap/>
            <w:vAlign w:val="bottom"/>
            <w:hideMark/>
          </w:tcPr>
          <w:p w14:paraId="617DF768" w14:textId="77777777" w:rsidR="001861DC" w:rsidRPr="006A09A4" w:rsidRDefault="001861DC" w:rsidP="002E0516">
            <w:pPr>
              <w:jc w:val="left"/>
              <w:rPr>
                <w:rFonts w:ascii="Calibri" w:eastAsia="Times New Roman" w:hAnsi="Calibri" w:cs="Times New Roman"/>
                <w:color w:val="000000"/>
                <w:lang w:eastAsia="es-ES"/>
              </w:rPr>
            </w:pPr>
            <w:r w:rsidRPr="006A09A4">
              <w:rPr>
                <w:rFonts w:ascii="Calibri" w:eastAsia="Times New Roman" w:hAnsi="Calibri" w:cs="Times New Roman"/>
                <w:color w:val="000000"/>
                <w:lang w:eastAsia="es-ES"/>
              </w:rPr>
              <w:t xml:space="preserve">8,38 </w:t>
            </w:r>
          </w:p>
        </w:tc>
        <w:tc>
          <w:tcPr>
            <w:tcW w:w="1345" w:type="dxa"/>
            <w:tcBorders>
              <w:top w:val="nil"/>
              <w:left w:val="nil"/>
              <w:bottom w:val="nil"/>
              <w:right w:val="nil"/>
            </w:tcBorders>
            <w:shd w:val="clear" w:color="auto" w:fill="auto"/>
            <w:noWrap/>
            <w:vAlign w:val="bottom"/>
            <w:hideMark/>
          </w:tcPr>
          <w:p w14:paraId="388942AC" w14:textId="77777777" w:rsidR="001861DC" w:rsidRPr="006A09A4" w:rsidRDefault="001861DC" w:rsidP="002E0516">
            <w:pPr>
              <w:jc w:val="left"/>
              <w:rPr>
                <w:rFonts w:ascii="Calibri" w:eastAsia="Times New Roman" w:hAnsi="Calibri" w:cs="Times New Roman"/>
                <w:color w:val="000000"/>
                <w:lang w:eastAsia="es-ES"/>
              </w:rPr>
            </w:pPr>
            <w:r w:rsidRPr="006A09A4">
              <w:rPr>
                <w:rFonts w:ascii="Calibri" w:eastAsia="Times New Roman" w:hAnsi="Calibri" w:cs="Times New Roman"/>
                <w:color w:val="000000"/>
                <w:lang w:eastAsia="es-ES"/>
              </w:rPr>
              <w:t xml:space="preserve">8,19 </w:t>
            </w:r>
          </w:p>
        </w:tc>
        <w:tc>
          <w:tcPr>
            <w:tcW w:w="1200" w:type="dxa"/>
            <w:tcBorders>
              <w:top w:val="nil"/>
              <w:left w:val="nil"/>
              <w:bottom w:val="nil"/>
              <w:right w:val="nil"/>
            </w:tcBorders>
            <w:shd w:val="clear" w:color="auto" w:fill="auto"/>
            <w:noWrap/>
            <w:vAlign w:val="bottom"/>
            <w:hideMark/>
          </w:tcPr>
          <w:p w14:paraId="04CF9DED" w14:textId="77777777" w:rsidR="001861DC" w:rsidRPr="006A09A4" w:rsidRDefault="001861DC" w:rsidP="002E0516">
            <w:pPr>
              <w:jc w:val="left"/>
              <w:rPr>
                <w:rFonts w:ascii="Calibri" w:eastAsia="Times New Roman" w:hAnsi="Calibri" w:cs="Times New Roman"/>
                <w:color w:val="000000"/>
                <w:lang w:eastAsia="es-ES"/>
              </w:rPr>
            </w:pPr>
            <w:r w:rsidRPr="006A09A4">
              <w:rPr>
                <w:rFonts w:ascii="Calibri" w:eastAsia="Times New Roman" w:hAnsi="Calibri" w:cs="Times New Roman"/>
                <w:color w:val="000000"/>
                <w:lang w:eastAsia="es-ES"/>
              </w:rPr>
              <w:t xml:space="preserve">16,57 </w:t>
            </w:r>
          </w:p>
        </w:tc>
      </w:tr>
      <w:tr w:rsidR="001861DC" w:rsidRPr="006A09A4" w14:paraId="367F91C4" w14:textId="77777777" w:rsidTr="002E0516">
        <w:trPr>
          <w:trHeight w:val="300"/>
          <w:jc w:val="center"/>
        </w:trPr>
        <w:tc>
          <w:tcPr>
            <w:tcW w:w="2700" w:type="dxa"/>
            <w:tcBorders>
              <w:top w:val="nil"/>
              <w:left w:val="nil"/>
              <w:bottom w:val="nil"/>
              <w:right w:val="nil"/>
            </w:tcBorders>
            <w:shd w:val="clear" w:color="auto" w:fill="auto"/>
            <w:noWrap/>
            <w:vAlign w:val="bottom"/>
            <w:hideMark/>
          </w:tcPr>
          <w:p w14:paraId="51E4D9CB" w14:textId="77777777" w:rsidR="001861DC" w:rsidRPr="006A09A4" w:rsidRDefault="001861DC" w:rsidP="002E0516">
            <w:pPr>
              <w:jc w:val="left"/>
              <w:rPr>
                <w:rFonts w:ascii="Calibri" w:eastAsia="Times New Roman" w:hAnsi="Calibri" w:cs="Times New Roman"/>
                <w:color w:val="000000"/>
                <w:lang w:eastAsia="es-ES"/>
              </w:rPr>
            </w:pPr>
            <w:r w:rsidRPr="006A09A4">
              <w:rPr>
                <w:rFonts w:ascii="Calibri" w:eastAsia="Times New Roman" w:hAnsi="Calibri" w:cs="Times New Roman"/>
                <w:color w:val="000000"/>
                <w:lang w:eastAsia="es-ES"/>
              </w:rPr>
              <w:t>Fideicomisos</w:t>
            </w:r>
          </w:p>
        </w:tc>
        <w:tc>
          <w:tcPr>
            <w:tcW w:w="1200" w:type="dxa"/>
            <w:tcBorders>
              <w:top w:val="nil"/>
              <w:left w:val="nil"/>
              <w:bottom w:val="nil"/>
              <w:right w:val="nil"/>
            </w:tcBorders>
            <w:shd w:val="clear" w:color="auto" w:fill="auto"/>
            <w:noWrap/>
            <w:vAlign w:val="bottom"/>
            <w:hideMark/>
          </w:tcPr>
          <w:p w14:paraId="538420F4" w14:textId="77777777" w:rsidR="001861DC" w:rsidRPr="006A09A4" w:rsidRDefault="001861DC" w:rsidP="002E0516">
            <w:pPr>
              <w:jc w:val="left"/>
              <w:rPr>
                <w:rFonts w:ascii="Calibri" w:eastAsia="Times New Roman" w:hAnsi="Calibri" w:cs="Times New Roman"/>
                <w:color w:val="000000"/>
                <w:lang w:eastAsia="es-ES"/>
              </w:rPr>
            </w:pPr>
            <w:r w:rsidRPr="006A09A4">
              <w:rPr>
                <w:rFonts w:ascii="Calibri" w:eastAsia="Times New Roman" w:hAnsi="Calibri" w:cs="Times New Roman"/>
                <w:color w:val="000000"/>
                <w:lang w:eastAsia="es-ES"/>
              </w:rPr>
              <w:t xml:space="preserve">-   </w:t>
            </w:r>
          </w:p>
        </w:tc>
        <w:tc>
          <w:tcPr>
            <w:tcW w:w="1345" w:type="dxa"/>
            <w:tcBorders>
              <w:top w:val="nil"/>
              <w:left w:val="nil"/>
              <w:bottom w:val="nil"/>
              <w:right w:val="nil"/>
            </w:tcBorders>
            <w:shd w:val="clear" w:color="auto" w:fill="auto"/>
            <w:noWrap/>
            <w:vAlign w:val="bottom"/>
            <w:hideMark/>
          </w:tcPr>
          <w:p w14:paraId="0EF1132D" w14:textId="77777777" w:rsidR="001861DC" w:rsidRPr="006A09A4" w:rsidRDefault="001861DC" w:rsidP="002E0516">
            <w:pPr>
              <w:jc w:val="left"/>
              <w:rPr>
                <w:rFonts w:ascii="Calibri" w:eastAsia="Times New Roman" w:hAnsi="Calibri" w:cs="Times New Roman"/>
                <w:color w:val="000000"/>
                <w:lang w:eastAsia="es-ES"/>
              </w:rPr>
            </w:pPr>
            <w:r w:rsidRPr="006A09A4">
              <w:rPr>
                <w:rFonts w:ascii="Calibri" w:eastAsia="Times New Roman" w:hAnsi="Calibri" w:cs="Times New Roman"/>
                <w:color w:val="000000"/>
                <w:lang w:eastAsia="es-ES"/>
              </w:rPr>
              <w:t xml:space="preserve">0,40 </w:t>
            </w:r>
          </w:p>
        </w:tc>
        <w:tc>
          <w:tcPr>
            <w:tcW w:w="1200" w:type="dxa"/>
            <w:tcBorders>
              <w:top w:val="nil"/>
              <w:left w:val="nil"/>
              <w:bottom w:val="nil"/>
              <w:right w:val="nil"/>
            </w:tcBorders>
            <w:shd w:val="clear" w:color="auto" w:fill="auto"/>
            <w:noWrap/>
            <w:vAlign w:val="bottom"/>
            <w:hideMark/>
          </w:tcPr>
          <w:p w14:paraId="5179535A" w14:textId="77777777" w:rsidR="001861DC" w:rsidRPr="006A09A4" w:rsidRDefault="001861DC" w:rsidP="002E0516">
            <w:pPr>
              <w:jc w:val="left"/>
              <w:rPr>
                <w:rFonts w:ascii="Calibri" w:eastAsia="Times New Roman" w:hAnsi="Calibri" w:cs="Times New Roman"/>
                <w:color w:val="000000"/>
                <w:lang w:eastAsia="es-ES"/>
              </w:rPr>
            </w:pPr>
            <w:r w:rsidRPr="006A09A4">
              <w:rPr>
                <w:rFonts w:ascii="Calibri" w:eastAsia="Times New Roman" w:hAnsi="Calibri" w:cs="Times New Roman"/>
                <w:color w:val="000000"/>
                <w:lang w:eastAsia="es-ES"/>
              </w:rPr>
              <w:t xml:space="preserve">0,40 </w:t>
            </w:r>
          </w:p>
        </w:tc>
      </w:tr>
      <w:tr w:rsidR="001861DC" w:rsidRPr="006A09A4" w14:paraId="698C5993" w14:textId="77777777" w:rsidTr="002E0516">
        <w:trPr>
          <w:trHeight w:val="300"/>
          <w:jc w:val="center"/>
        </w:trPr>
        <w:tc>
          <w:tcPr>
            <w:tcW w:w="2700" w:type="dxa"/>
            <w:tcBorders>
              <w:top w:val="nil"/>
              <w:left w:val="nil"/>
              <w:bottom w:val="nil"/>
              <w:right w:val="nil"/>
            </w:tcBorders>
            <w:shd w:val="clear" w:color="auto" w:fill="auto"/>
            <w:noWrap/>
            <w:vAlign w:val="bottom"/>
            <w:hideMark/>
          </w:tcPr>
          <w:p w14:paraId="5707DF86" w14:textId="77777777" w:rsidR="001861DC" w:rsidRPr="006A09A4" w:rsidRDefault="001861DC" w:rsidP="002E0516">
            <w:pPr>
              <w:jc w:val="left"/>
              <w:rPr>
                <w:rFonts w:ascii="Calibri" w:eastAsia="Times New Roman" w:hAnsi="Calibri" w:cs="Times New Roman"/>
                <w:color w:val="000000"/>
                <w:lang w:eastAsia="es-ES"/>
              </w:rPr>
            </w:pPr>
            <w:r w:rsidRPr="006A09A4">
              <w:rPr>
                <w:rFonts w:ascii="Calibri" w:eastAsia="Times New Roman" w:hAnsi="Calibri" w:cs="Times New Roman"/>
                <w:color w:val="000000"/>
                <w:lang w:eastAsia="es-ES"/>
              </w:rPr>
              <w:t>Fondos de Inversión</w:t>
            </w:r>
          </w:p>
        </w:tc>
        <w:tc>
          <w:tcPr>
            <w:tcW w:w="1200" w:type="dxa"/>
            <w:tcBorders>
              <w:top w:val="nil"/>
              <w:left w:val="nil"/>
              <w:bottom w:val="nil"/>
              <w:right w:val="nil"/>
            </w:tcBorders>
            <w:shd w:val="clear" w:color="auto" w:fill="auto"/>
            <w:noWrap/>
            <w:vAlign w:val="bottom"/>
            <w:hideMark/>
          </w:tcPr>
          <w:p w14:paraId="6416F0EB" w14:textId="77777777" w:rsidR="001861DC" w:rsidRPr="006A09A4" w:rsidRDefault="001861DC" w:rsidP="002E0516">
            <w:pPr>
              <w:jc w:val="left"/>
              <w:rPr>
                <w:rFonts w:ascii="Calibri" w:eastAsia="Times New Roman" w:hAnsi="Calibri" w:cs="Times New Roman"/>
                <w:color w:val="000000"/>
                <w:lang w:eastAsia="es-ES"/>
              </w:rPr>
            </w:pPr>
            <w:r w:rsidRPr="006A09A4">
              <w:rPr>
                <w:rFonts w:ascii="Calibri" w:eastAsia="Times New Roman" w:hAnsi="Calibri" w:cs="Times New Roman"/>
                <w:color w:val="000000"/>
                <w:lang w:eastAsia="es-ES"/>
              </w:rPr>
              <w:t xml:space="preserve">0,45 </w:t>
            </w:r>
          </w:p>
        </w:tc>
        <w:tc>
          <w:tcPr>
            <w:tcW w:w="1345" w:type="dxa"/>
            <w:tcBorders>
              <w:top w:val="nil"/>
              <w:left w:val="nil"/>
              <w:bottom w:val="nil"/>
              <w:right w:val="nil"/>
            </w:tcBorders>
            <w:shd w:val="clear" w:color="auto" w:fill="auto"/>
            <w:noWrap/>
            <w:vAlign w:val="bottom"/>
            <w:hideMark/>
          </w:tcPr>
          <w:p w14:paraId="5F254E05" w14:textId="77777777" w:rsidR="001861DC" w:rsidRPr="006A09A4" w:rsidRDefault="001861DC" w:rsidP="002E0516">
            <w:pPr>
              <w:jc w:val="left"/>
              <w:rPr>
                <w:rFonts w:ascii="Calibri" w:eastAsia="Times New Roman" w:hAnsi="Calibri" w:cs="Times New Roman"/>
                <w:color w:val="000000"/>
                <w:lang w:eastAsia="es-ES"/>
              </w:rPr>
            </w:pPr>
            <w:r w:rsidRPr="006A09A4">
              <w:rPr>
                <w:rFonts w:ascii="Calibri" w:eastAsia="Times New Roman" w:hAnsi="Calibri" w:cs="Times New Roman"/>
                <w:color w:val="000000"/>
                <w:lang w:eastAsia="es-ES"/>
              </w:rPr>
              <w:t xml:space="preserve">-   </w:t>
            </w:r>
          </w:p>
        </w:tc>
        <w:tc>
          <w:tcPr>
            <w:tcW w:w="1200" w:type="dxa"/>
            <w:tcBorders>
              <w:top w:val="nil"/>
              <w:left w:val="nil"/>
              <w:bottom w:val="nil"/>
              <w:right w:val="nil"/>
            </w:tcBorders>
            <w:shd w:val="clear" w:color="auto" w:fill="auto"/>
            <w:noWrap/>
            <w:vAlign w:val="bottom"/>
            <w:hideMark/>
          </w:tcPr>
          <w:p w14:paraId="352F102D" w14:textId="77777777" w:rsidR="001861DC" w:rsidRPr="006A09A4" w:rsidRDefault="001861DC" w:rsidP="002E0516">
            <w:pPr>
              <w:jc w:val="left"/>
              <w:rPr>
                <w:rFonts w:ascii="Calibri" w:eastAsia="Times New Roman" w:hAnsi="Calibri" w:cs="Times New Roman"/>
                <w:color w:val="000000"/>
                <w:lang w:eastAsia="es-ES"/>
              </w:rPr>
            </w:pPr>
            <w:r w:rsidRPr="006A09A4">
              <w:rPr>
                <w:rFonts w:ascii="Calibri" w:eastAsia="Times New Roman" w:hAnsi="Calibri" w:cs="Times New Roman"/>
                <w:color w:val="000000"/>
                <w:lang w:eastAsia="es-ES"/>
              </w:rPr>
              <w:t xml:space="preserve">0,45 </w:t>
            </w:r>
          </w:p>
        </w:tc>
      </w:tr>
      <w:tr w:rsidR="001861DC" w:rsidRPr="006A09A4" w14:paraId="0B96B2B1" w14:textId="77777777" w:rsidTr="002E0516">
        <w:trPr>
          <w:trHeight w:val="300"/>
          <w:jc w:val="center"/>
        </w:trPr>
        <w:tc>
          <w:tcPr>
            <w:tcW w:w="2700" w:type="dxa"/>
            <w:tcBorders>
              <w:top w:val="nil"/>
              <w:left w:val="nil"/>
              <w:bottom w:val="nil"/>
              <w:right w:val="nil"/>
            </w:tcBorders>
            <w:shd w:val="clear" w:color="auto" w:fill="auto"/>
            <w:noWrap/>
            <w:vAlign w:val="bottom"/>
            <w:hideMark/>
          </w:tcPr>
          <w:p w14:paraId="48554454" w14:textId="77777777" w:rsidR="001861DC" w:rsidRPr="006A09A4" w:rsidRDefault="001861DC" w:rsidP="002E0516">
            <w:pPr>
              <w:jc w:val="left"/>
              <w:rPr>
                <w:rFonts w:ascii="Calibri" w:eastAsia="Times New Roman" w:hAnsi="Calibri" w:cs="Times New Roman"/>
                <w:color w:val="000000"/>
                <w:lang w:eastAsia="es-ES"/>
              </w:rPr>
            </w:pPr>
            <w:r w:rsidRPr="006A09A4">
              <w:rPr>
                <w:rFonts w:ascii="Calibri" w:eastAsia="Times New Roman" w:hAnsi="Calibri" w:cs="Times New Roman"/>
                <w:color w:val="000000"/>
                <w:lang w:eastAsia="es-ES"/>
              </w:rPr>
              <w:t>Internacional</w:t>
            </w:r>
          </w:p>
        </w:tc>
        <w:tc>
          <w:tcPr>
            <w:tcW w:w="1200" w:type="dxa"/>
            <w:tcBorders>
              <w:top w:val="nil"/>
              <w:left w:val="nil"/>
              <w:bottom w:val="nil"/>
              <w:right w:val="nil"/>
            </w:tcBorders>
            <w:shd w:val="clear" w:color="auto" w:fill="auto"/>
            <w:noWrap/>
            <w:vAlign w:val="bottom"/>
            <w:hideMark/>
          </w:tcPr>
          <w:p w14:paraId="0A2B21E3" w14:textId="77777777" w:rsidR="001861DC" w:rsidRPr="006A09A4" w:rsidRDefault="001861DC" w:rsidP="002E0516">
            <w:pPr>
              <w:jc w:val="left"/>
              <w:rPr>
                <w:rFonts w:ascii="Calibri" w:eastAsia="Times New Roman" w:hAnsi="Calibri" w:cs="Times New Roman"/>
                <w:color w:val="000000"/>
                <w:lang w:eastAsia="es-ES"/>
              </w:rPr>
            </w:pPr>
            <w:r w:rsidRPr="006A09A4">
              <w:rPr>
                <w:rFonts w:ascii="Calibri" w:eastAsia="Times New Roman" w:hAnsi="Calibri" w:cs="Times New Roman"/>
                <w:color w:val="000000"/>
                <w:lang w:eastAsia="es-ES"/>
              </w:rPr>
              <w:t xml:space="preserve">-   </w:t>
            </w:r>
          </w:p>
        </w:tc>
        <w:tc>
          <w:tcPr>
            <w:tcW w:w="1345" w:type="dxa"/>
            <w:tcBorders>
              <w:top w:val="nil"/>
              <w:left w:val="nil"/>
              <w:bottom w:val="nil"/>
              <w:right w:val="nil"/>
            </w:tcBorders>
            <w:shd w:val="clear" w:color="auto" w:fill="auto"/>
            <w:noWrap/>
            <w:vAlign w:val="bottom"/>
            <w:hideMark/>
          </w:tcPr>
          <w:p w14:paraId="33BFAD00" w14:textId="77777777" w:rsidR="001861DC" w:rsidRPr="006A09A4" w:rsidRDefault="001861DC" w:rsidP="002E0516">
            <w:pPr>
              <w:jc w:val="left"/>
              <w:rPr>
                <w:rFonts w:ascii="Calibri" w:eastAsia="Times New Roman" w:hAnsi="Calibri" w:cs="Times New Roman"/>
                <w:color w:val="000000"/>
                <w:lang w:eastAsia="es-ES"/>
              </w:rPr>
            </w:pPr>
            <w:r w:rsidRPr="006A09A4">
              <w:rPr>
                <w:rFonts w:ascii="Calibri" w:eastAsia="Times New Roman" w:hAnsi="Calibri" w:cs="Times New Roman"/>
                <w:color w:val="000000"/>
                <w:lang w:eastAsia="es-ES"/>
              </w:rPr>
              <w:t xml:space="preserve">0,01 </w:t>
            </w:r>
          </w:p>
        </w:tc>
        <w:tc>
          <w:tcPr>
            <w:tcW w:w="1200" w:type="dxa"/>
            <w:tcBorders>
              <w:top w:val="nil"/>
              <w:left w:val="nil"/>
              <w:bottom w:val="nil"/>
              <w:right w:val="nil"/>
            </w:tcBorders>
            <w:shd w:val="clear" w:color="auto" w:fill="auto"/>
            <w:noWrap/>
            <w:vAlign w:val="bottom"/>
            <w:hideMark/>
          </w:tcPr>
          <w:p w14:paraId="5B5CA0EE" w14:textId="77777777" w:rsidR="001861DC" w:rsidRPr="006A09A4" w:rsidRDefault="001861DC" w:rsidP="002E0516">
            <w:pPr>
              <w:jc w:val="left"/>
              <w:rPr>
                <w:rFonts w:ascii="Calibri" w:eastAsia="Times New Roman" w:hAnsi="Calibri" w:cs="Times New Roman"/>
                <w:color w:val="000000"/>
                <w:lang w:eastAsia="es-ES"/>
              </w:rPr>
            </w:pPr>
            <w:r w:rsidRPr="006A09A4">
              <w:rPr>
                <w:rFonts w:ascii="Calibri" w:eastAsia="Times New Roman" w:hAnsi="Calibri" w:cs="Times New Roman"/>
                <w:color w:val="000000"/>
                <w:lang w:eastAsia="es-ES"/>
              </w:rPr>
              <w:t xml:space="preserve">0,01 </w:t>
            </w:r>
          </w:p>
        </w:tc>
      </w:tr>
      <w:tr w:rsidR="001861DC" w:rsidRPr="006A09A4" w14:paraId="3E82CA54" w14:textId="77777777" w:rsidTr="002E0516">
        <w:trPr>
          <w:trHeight w:val="300"/>
          <w:jc w:val="center"/>
        </w:trPr>
        <w:tc>
          <w:tcPr>
            <w:tcW w:w="2700" w:type="dxa"/>
            <w:tcBorders>
              <w:top w:val="nil"/>
              <w:left w:val="nil"/>
              <w:bottom w:val="nil"/>
              <w:right w:val="nil"/>
            </w:tcBorders>
            <w:shd w:val="clear" w:color="auto" w:fill="auto"/>
            <w:noWrap/>
            <w:vAlign w:val="bottom"/>
            <w:hideMark/>
          </w:tcPr>
          <w:p w14:paraId="2F51D6D1" w14:textId="77777777" w:rsidR="001861DC" w:rsidRPr="006A09A4" w:rsidRDefault="001861DC" w:rsidP="002E0516">
            <w:pPr>
              <w:jc w:val="left"/>
              <w:rPr>
                <w:rFonts w:ascii="Calibri" w:eastAsia="Times New Roman" w:hAnsi="Calibri" w:cs="Times New Roman"/>
                <w:color w:val="000000"/>
                <w:lang w:eastAsia="es-ES"/>
              </w:rPr>
            </w:pPr>
            <w:r w:rsidRPr="006A09A4">
              <w:rPr>
                <w:rFonts w:ascii="Calibri" w:eastAsia="Times New Roman" w:hAnsi="Calibri" w:cs="Times New Roman"/>
                <w:color w:val="000000"/>
                <w:lang w:eastAsia="es-ES"/>
              </w:rPr>
              <w:t>Otras Instituciones Privadas</w:t>
            </w:r>
          </w:p>
        </w:tc>
        <w:tc>
          <w:tcPr>
            <w:tcW w:w="1200" w:type="dxa"/>
            <w:tcBorders>
              <w:top w:val="nil"/>
              <w:left w:val="nil"/>
              <w:bottom w:val="nil"/>
              <w:right w:val="nil"/>
            </w:tcBorders>
            <w:shd w:val="clear" w:color="auto" w:fill="auto"/>
            <w:noWrap/>
            <w:vAlign w:val="bottom"/>
            <w:hideMark/>
          </w:tcPr>
          <w:p w14:paraId="71AAD156" w14:textId="77777777" w:rsidR="001861DC" w:rsidRPr="006A09A4" w:rsidRDefault="001861DC" w:rsidP="002E0516">
            <w:pPr>
              <w:jc w:val="left"/>
              <w:rPr>
                <w:rFonts w:ascii="Calibri" w:eastAsia="Times New Roman" w:hAnsi="Calibri" w:cs="Times New Roman"/>
                <w:color w:val="000000"/>
                <w:lang w:eastAsia="es-ES"/>
              </w:rPr>
            </w:pPr>
            <w:r w:rsidRPr="006A09A4">
              <w:rPr>
                <w:rFonts w:ascii="Calibri" w:eastAsia="Times New Roman" w:hAnsi="Calibri" w:cs="Times New Roman"/>
                <w:color w:val="000000"/>
                <w:lang w:eastAsia="es-ES"/>
              </w:rPr>
              <w:t xml:space="preserve">1,38 </w:t>
            </w:r>
          </w:p>
        </w:tc>
        <w:tc>
          <w:tcPr>
            <w:tcW w:w="1345" w:type="dxa"/>
            <w:tcBorders>
              <w:top w:val="nil"/>
              <w:left w:val="nil"/>
              <w:bottom w:val="nil"/>
              <w:right w:val="nil"/>
            </w:tcBorders>
            <w:shd w:val="clear" w:color="auto" w:fill="auto"/>
            <w:noWrap/>
            <w:vAlign w:val="bottom"/>
            <w:hideMark/>
          </w:tcPr>
          <w:p w14:paraId="412DC009" w14:textId="77777777" w:rsidR="001861DC" w:rsidRPr="006A09A4" w:rsidRDefault="001861DC" w:rsidP="002E0516">
            <w:pPr>
              <w:jc w:val="left"/>
              <w:rPr>
                <w:rFonts w:ascii="Calibri" w:eastAsia="Times New Roman" w:hAnsi="Calibri" w:cs="Times New Roman"/>
                <w:color w:val="000000"/>
                <w:lang w:eastAsia="es-ES"/>
              </w:rPr>
            </w:pPr>
            <w:r w:rsidRPr="006A09A4">
              <w:rPr>
                <w:rFonts w:ascii="Calibri" w:eastAsia="Times New Roman" w:hAnsi="Calibri" w:cs="Times New Roman"/>
                <w:color w:val="000000"/>
                <w:lang w:eastAsia="es-ES"/>
              </w:rPr>
              <w:t xml:space="preserve">1,77 </w:t>
            </w:r>
          </w:p>
        </w:tc>
        <w:tc>
          <w:tcPr>
            <w:tcW w:w="1200" w:type="dxa"/>
            <w:tcBorders>
              <w:top w:val="nil"/>
              <w:left w:val="nil"/>
              <w:bottom w:val="nil"/>
              <w:right w:val="nil"/>
            </w:tcBorders>
            <w:shd w:val="clear" w:color="auto" w:fill="auto"/>
            <w:noWrap/>
            <w:vAlign w:val="bottom"/>
            <w:hideMark/>
          </w:tcPr>
          <w:p w14:paraId="132CF369" w14:textId="77777777" w:rsidR="001861DC" w:rsidRPr="006A09A4" w:rsidRDefault="001861DC" w:rsidP="002E0516">
            <w:pPr>
              <w:jc w:val="left"/>
              <w:rPr>
                <w:rFonts w:ascii="Calibri" w:eastAsia="Times New Roman" w:hAnsi="Calibri" w:cs="Times New Roman"/>
                <w:color w:val="000000"/>
                <w:lang w:eastAsia="es-ES"/>
              </w:rPr>
            </w:pPr>
            <w:r w:rsidRPr="006A09A4">
              <w:rPr>
                <w:rFonts w:ascii="Calibri" w:eastAsia="Times New Roman" w:hAnsi="Calibri" w:cs="Times New Roman"/>
                <w:color w:val="000000"/>
                <w:lang w:eastAsia="es-ES"/>
              </w:rPr>
              <w:t xml:space="preserve">3,15 </w:t>
            </w:r>
          </w:p>
        </w:tc>
      </w:tr>
      <w:tr w:rsidR="001861DC" w:rsidRPr="006A09A4" w14:paraId="1A9C869A" w14:textId="77777777" w:rsidTr="002E0516">
        <w:trPr>
          <w:trHeight w:val="300"/>
          <w:jc w:val="center"/>
        </w:trPr>
        <w:tc>
          <w:tcPr>
            <w:tcW w:w="2700" w:type="dxa"/>
            <w:tcBorders>
              <w:top w:val="nil"/>
              <w:left w:val="nil"/>
              <w:bottom w:val="nil"/>
              <w:right w:val="nil"/>
            </w:tcBorders>
            <w:shd w:val="clear" w:color="auto" w:fill="auto"/>
            <w:noWrap/>
            <w:vAlign w:val="bottom"/>
            <w:hideMark/>
          </w:tcPr>
          <w:p w14:paraId="3A98C16C" w14:textId="77777777" w:rsidR="001861DC" w:rsidRPr="006A09A4" w:rsidRDefault="001861DC" w:rsidP="002E0516">
            <w:pPr>
              <w:jc w:val="left"/>
              <w:rPr>
                <w:rFonts w:ascii="Calibri" w:eastAsia="Times New Roman" w:hAnsi="Calibri" w:cs="Times New Roman"/>
                <w:color w:val="000000"/>
                <w:lang w:eastAsia="es-ES"/>
              </w:rPr>
            </w:pPr>
            <w:r w:rsidRPr="006A09A4">
              <w:rPr>
                <w:rFonts w:ascii="Calibri" w:eastAsia="Times New Roman" w:hAnsi="Calibri" w:cs="Times New Roman"/>
                <w:color w:val="000000"/>
                <w:lang w:eastAsia="es-ES"/>
              </w:rPr>
              <w:t>Otras Instituciones Públicas</w:t>
            </w:r>
          </w:p>
        </w:tc>
        <w:tc>
          <w:tcPr>
            <w:tcW w:w="1200" w:type="dxa"/>
            <w:tcBorders>
              <w:top w:val="nil"/>
              <w:left w:val="nil"/>
              <w:bottom w:val="nil"/>
              <w:right w:val="nil"/>
            </w:tcBorders>
            <w:shd w:val="clear" w:color="auto" w:fill="auto"/>
            <w:noWrap/>
            <w:vAlign w:val="bottom"/>
            <w:hideMark/>
          </w:tcPr>
          <w:p w14:paraId="11411BF6" w14:textId="77777777" w:rsidR="001861DC" w:rsidRPr="006A09A4" w:rsidRDefault="001861DC" w:rsidP="002E0516">
            <w:pPr>
              <w:jc w:val="left"/>
              <w:rPr>
                <w:rFonts w:ascii="Calibri" w:eastAsia="Times New Roman" w:hAnsi="Calibri" w:cs="Times New Roman"/>
                <w:color w:val="000000"/>
                <w:lang w:eastAsia="es-ES"/>
              </w:rPr>
            </w:pPr>
            <w:r w:rsidRPr="006A09A4">
              <w:rPr>
                <w:rFonts w:ascii="Calibri" w:eastAsia="Times New Roman" w:hAnsi="Calibri" w:cs="Times New Roman"/>
                <w:color w:val="000000"/>
                <w:lang w:eastAsia="es-ES"/>
              </w:rPr>
              <w:t xml:space="preserve">0,29 </w:t>
            </w:r>
          </w:p>
        </w:tc>
        <w:tc>
          <w:tcPr>
            <w:tcW w:w="1345" w:type="dxa"/>
            <w:tcBorders>
              <w:top w:val="nil"/>
              <w:left w:val="nil"/>
              <w:bottom w:val="nil"/>
              <w:right w:val="nil"/>
            </w:tcBorders>
            <w:shd w:val="clear" w:color="auto" w:fill="auto"/>
            <w:noWrap/>
            <w:vAlign w:val="bottom"/>
            <w:hideMark/>
          </w:tcPr>
          <w:p w14:paraId="09DA6A09" w14:textId="77777777" w:rsidR="001861DC" w:rsidRPr="006A09A4" w:rsidRDefault="001861DC" w:rsidP="002E0516">
            <w:pPr>
              <w:jc w:val="left"/>
              <w:rPr>
                <w:rFonts w:ascii="Calibri" w:eastAsia="Times New Roman" w:hAnsi="Calibri" w:cs="Times New Roman"/>
                <w:color w:val="000000"/>
                <w:lang w:eastAsia="es-ES"/>
              </w:rPr>
            </w:pPr>
            <w:r w:rsidRPr="006A09A4">
              <w:rPr>
                <w:rFonts w:ascii="Calibri" w:eastAsia="Times New Roman" w:hAnsi="Calibri" w:cs="Times New Roman"/>
                <w:color w:val="000000"/>
                <w:lang w:eastAsia="es-ES"/>
              </w:rPr>
              <w:t xml:space="preserve">0,16 </w:t>
            </w:r>
          </w:p>
        </w:tc>
        <w:tc>
          <w:tcPr>
            <w:tcW w:w="1200" w:type="dxa"/>
            <w:tcBorders>
              <w:top w:val="nil"/>
              <w:left w:val="nil"/>
              <w:bottom w:val="nil"/>
              <w:right w:val="nil"/>
            </w:tcBorders>
            <w:shd w:val="clear" w:color="auto" w:fill="auto"/>
            <w:noWrap/>
            <w:vAlign w:val="bottom"/>
            <w:hideMark/>
          </w:tcPr>
          <w:p w14:paraId="1B22A18E" w14:textId="77777777" w:rsidR="001861DC" w:rsidRPr="006A09A4" w:rsidRDefault="001861DC" w:rsidP="002E0516">
            <w:pPr>
              <w:jc w:val="left"/>
              <w:rPr>
                <w:rFonts w:ascii="Calibri" w:eastAsia="Times New Roman" w:hAnsi="Calibri" w:cs="Times New Roman"/>
                <w:color w:val="000000"/>
                <w:lang w:eastAsia="es-ES"/>
              </w:rPr>
            </w:pPr>
            <w:r w:rsidRPr="006A09A4">
              <w:rPr>
                <w:rFonts w:ascii="Calibri" w:eastAsia="Times New Roman" w:hAnsi="Calibri" w:cs="Times New Roman"/>
                <w:color w:val="000000"/>
                <w:lang w:eastAsia="es-ES"/>
              </w:rPr>
              <w:t xml:space="preserve">0,45 </w:t>
            </w:r>
          </w:p>
        </w:tc>
      </w:tr>
      <w:tr w:rsidR="001861DC" w:rsidRPr="006A09A4" w14:paraId="743407F6" w14:textId="77777777" w:rsidTr="002E0516">
        <w:trPr>
          <w:trHeight w:val="300"/>
          <w:jc w:val="center"/>
        </w:trPr>
        <w:tc>
          <w:tcPr>
            <w:tcW w:w="2700" w:type="dxa"/>
            <w:tcBorders>
              <w:top w:val="nil"/>
              <w:left w:val="nil"/>
              <w:bottom w:val="nil"/>
              <w:right w:val="nil"/>
            </w:tcBorders>
            <w:shd w:val="clear" w:color="auto" w:fill="auto"/>
            <w:noWrap/>
            <w:vAlign w:val="bottom"/>
            <w:hideMark/>
          </w:tcPr>
          <w:p w14:paraId="01E47666" w14:textId="77777777" w:rsidR="001861DC" w:rsidRPr="006A09A4" w:rsidRDefault="001861DC" w:rsidP="002E0516">
            <w:pPr>
              <w:jc w:val="left"/>
              <w:rPr>
                <w:rFonts w:ascii="Calibri" w:eastAsia="Times New Roman" w:hAnsi="Calibri" w:cs="Times New Roman"/>
                <w:color w:val="000000"/>
                <w:lang w:eastAsia="es-ES"/>
              </w:rPr>
            </w:pPr>
            <w:r w:rsidRPr="006A09A4">
              <w:rPr>
                <w:rFonts w:ascii="Calibri" w:eastAsia="Times New Roman" w:hAnsi="Calibri" w:cs="Times New Roman"/>
                <w:color w:val="000000"/>
                <w:lang w:eastAsia="es-ES"/>
              </w:rPr>
              <w:t>Acciones</w:t>
            </w:r>
          </w:p>
        </w:tc>
        <w:tc>
          <w:tcPr>
            <w:tcW w:w="1200" w:type="dxa"/>
            <w:tcBorders>
              <w:top w:val="nil"/>
              <w:left w:val="nil"/>
              <w:bottom w:val="nil"/>
              <w:right w:val="nil"/>
            </w:tcBorders>
            <w:shd w:val="clear" w:color="auto" w:fill="auto"/>
            <w:noWrap/>
            <w:vAlign w:val="bottom"/>
            <w:hideMark/>
          </w:tcPr>
          <w:p w14:paraId="349EE03A" w14:textId="77777777" w:rsidR="001861DC" w:rsidRPr="006A09A4" w:rsidRDefault="001861DC" w:rsidP="002E0516">
            <w:pPr>
              <w:jc w:val="left"/>
              <w:rPr>
                <w:rFonts w:ascii="Calibri" w:eastAsia="Times New Roman" w:hAnsi="Calibri" w:cs="Times New Roman"/>
                <w:color w:val="000000"/>
                <w:lang w:eastAsia="es-ES"/>
              </w:rPr>
            </w:pPr>
            <w:r w:rsidRPr="006A09A4">
              <w:rPr>
                <w:rFonts w:ascii="Calibri" w:eastAsia="Times New Roman" w:hAnsi="Calibri" w:cs="Times New Roman"/>
                <w:color w:val="000000"/>
                <w:lang w:eastAsia="es-ES"/>
              </w:rPr>
              <w:t xml:space="preserve">-   </w:t>
            </w:r>
          </w:p>
        </w:tc>
        <w:tc>
          <w:tcPr>
            <w:tcW w:w="1345" w:type="dxa"/>
            <w:tcBorders>
              <w:top w:val="nil"/>
              <w:left w:val="nil"/>
              <w:bottom w:val="nil"/>
              <w:right w:val="nil"/>
            </w:tcBorders>
            <w:shd w:val="clear" w:color="auto" w:fill="auto"/>
            <w:noWrap/>
            <w:vAlign w:val="bottom"/>
            <w:hideMark/>
          </w:tcPr>
          <w:p w14:paraId="4E0CDB40" w14:textId="77777777" w:rsidR="001861DC" w:rsidRPr="006A09A4" w:rsidRDefault="001861DC" w:rsidP="002E0516">
            <w:pPr>
              <w:jc w:val="left"/>
              <w:rPr>
                <w:rFonts w:ascii="Calibri" w:eastAsia="Times New Roman" w:hAnsi="Calibri" w:cs="Times New Roman"/>
                <w:color w:val="000000"/>
                <w:lang w:eastAsia="es-ES"/>
              </w:rPr>
            </w:pPr>
            <w:r w:rsidRPr="006A09A4">
              <w:rPr>
                <w:rFonts w:ascii="Calibri" w:eastAsia="Times New Roman" w:hAnsi="Calibri" w:cs="Times New Roman"/>
                <w:color w:val="000000"/>
                <w:lang w:eastAsia="es-ES"/>
              </w:rPr>
              <w:t xml:space="preserve">0,34 </w:t>
            </w:r>
          </w:p>
        </w:tc>
        <w:tc>
          <w:tcPr>
            <w:tcW w:w="1200" w:type="dxa"/>
            <w:tcBorders>
              <w:top w:val="nil"/>
              <w:left w:val="nil"/>
              <w:bottom w:val="nil"/>
              <w:right w:val="nil"/>
            </w:tcBorders>
            <w:shd w:val="clear" w:color="auto" w:fill="auto"/>
            <w:noWrap/>
            <w:vAlign w:val="bottom"/>
            <w:hideMark/>
          </w:tcPr>
          <w:p w14:paraId="5E441059" w14:textId="77777777" w:rsidR="001861DC" w:rsidRPr="006A09A4" w:rsidRDefault="001861DC" w:rsidP="002E0516">
            <w:pPr>
              <w:jc w:val="left"/>
              <w:rPr>
                <w:rFonts w:ascii="Calibri" w:eastAsia="Times New Roman" w:hAnsi="Calibri" w:cs="Times New Roman"/>
                <w:color w:val="000000"/>
                <w:lang w:eastAsia="es-ES"/>
              </w:rPr>
            </w:pPr>
            <w:r w:rsidRPr="006A09A4">
              <w:rPr>
                <w:rFonts w:ascii="Calibri" w:eastAsia="Times New Roman" w:hAnsi="Calibri" w:cs="Times New Roman"/>
                <w:color w:val="000000"/>
                <w:lang w:eastAsia="es-ES"/>
              </w:rPr>
              <w:t xml:space="preserve">0,34 </w:t>
            </w:r>
          </w:p>
        </w:tc>
      </w:tr>
      <w:tr w:rsidR="001861DC" w:rsidRPr="006A09A4" w14:paraId="5BAC3C6A" w14:textId="77777777" w:rsidTr="002E0516">
        <w:trPr>
          <w:trHeight w:val="300"/>
          <w:jc w:val="center"/>
        </w:trPr>
        <w:tc>
          <w:tcPr>
            <w:tcW w:w="2700" w:type="dxa"/>
            <w:tcBorders>
              <w:top w:val="nil"/>
              <w:left w:val="nil"/>
              <w:bottom w:val="nil"/>
              <w:right w:val="nil"/>
            </w:tcBorders>
            <w:shd w:val="clear" w:color="auto" w:fill="auto"/>
            <w:noWrap/>
            <w:vAlign w:val="bottom"/>
            <w:hideMark/>
          </w:tcPr>
          <w:p w14:paraId="0B225C36" w14:textId="77777777" w:rsidR="001861DC" w:rsidRPr="006A09A4" w:rsidRDefault="001861DC" w:rsidP="002E0516">
            <w:pPr>
              <w:jc w:val="left"/>
              <w:rPr>
                <w:rFonts w:ascii="Calibri" w:eastAsia="Times New Roman" w:hAnsi="Calibri" w:cs="Times New Roman"/>
                <w:color w:val="000000"/>
                <w:lang w:eastAsia="es-ES"/>
              </w:rPr>
            </w:pPr>
            <w:r w:rsidRPr="006A09A4">
              <w:rPr>
                <w:rFonts w:ascii="Calibri" w:eastAsia="Times New Roman" w:hAnsi="Calibri" w:cs="Times New Roman"/>
                <w:color w:val="000000"/>
                <w:lang w:eastAsia="es-ES"/>
              </w:rPr>
              <w:t>Banco Central</w:t>
            </w:r>
          </w:p>
        </w:tc>
        <w:tc>
          <w:tcPr>
            <w:tcW w:w="1200" w:type="dxa"/>
            <w:tcBorders>
              <w:top w:val="nil"/>
              <w:left w:val="nil"/>
              <w:bottom w:val="nil"/>
              <w:right w:val="nil"/>
            </w:tcBorders>
            <w:shd w:val="clear" w:color="auto" w:fill="auto"/>
            <w:noWrap/>
            <w:vAlign w:val="bottom"/>
            <w:hideMark/>
          </w:tcPr>
          <w:p w14:paraId="40383033" w14:textId="77777777" w:rsidR="001861DC" w:rsidRPr="006A09A4" w:rsidRDefault="001861DC" w:rsidP="002E0516">
            <w:pPr>
              <w:jc w:val="left"/>
              <w:rPr>
                <w:rFonts w:ascii="Calibri" w:eastAsia="Times New Roman" w:hAnsi="Calibri" w:cs="Times New Roman"/>
                <w:color w:val="000000"/>
                <w:lang w:eastAsia="es-ES"/>
              </w:rPr>
            </w:pPr>
            <w:r w:rsidRPr="006A09A4">
              <w:rPr>
                <w:rFonts w:ascii="Calibri" w:eastAsia="Times New Roman" w:hAnsi="Calibri" w:cs="Times New Roman"/>
                <w:color w:val="000000"/>
                <w:lang w:eastAsia="es-ES"/>
              </w:rPr>
              <w:t xml:space="preserve">10,00 </w:t>
            </w:r>
          </w:p>
        </w:tc>
        <w:tc>
          <w:tcPr>
            <w:tcW w:w="1345" w:type="dxa"/>
            <w:tcBorders>
              <w:top w:val="nil"/>
              <w:left w:val="nil"/>
              <w:bottom w:val="nil"/>
              <w:right w:val="nil"/>
            </w:tcBorders>
            <w:shd w:val="clear" w:color="auto" w:fill="auto"/>
            <w:noWrap/>
            <w:vAlign w:val="bottom"/>
            <w:hideMark/>
          </w:tcPr>
          <w:p w14:paraId="469DF14A" w14:textId="77777777" w:rsidR="001861DC" w:rsidRPr="006A09A4" w:rsidRDefault="001861DC" w:rsidP="002E0516">
            <w:pPr>
              <w:jc w:val="left"/>
              <w:rPr>
                <w:rFonts w:ascii="Calibri" w:eastAsia="Times New Roman" w:hAnsi="Calibri" w:cs="Times New Roman"/>
                <w:color w:val="000000"/>
                <w:lang w:eastAsia="es-ES"/>
              </w:rPr>
            </w:pPr>
            <w:r w:rsidRPr="006A09A4">
              <w:rPr>
                <w:rFonts w:ascii="Calibri" w:eastAsia="Times New Roman" w:hAnsi="Calibri" w:cs="Times New Roman"/>
                <w:color w:val="000000"/>
                <w:lang w:eastAsia="es-ES"/>
              </w:rPr>
              <w:t xml:space="preserve">10,24 </w:t>
            </w:r>
          </w:p>
        </w:tc>
        <w:tc>
          <w:tcPr>
            <w:tcW w:w="1200" w:type="dxa"/>
            <w:tcBorders>
              <w:top w:val="nil"/>
              <w:left w:val="nil"/>
              <w:bottom w:val="nil"/>
              <w:right w:val="nil"/>
            </w:tcBorders>
            <w:shd w:val="clear" w:color="auto" w:fill="auto"/>
            <w:noWrap/>
            <w:vAlign w:val="bottom"/>
            <w:hideMark/>
          </w:tcPr>
          <w:p w14:paraId="343E78C7" w14:textId="77777777" w:rsidR="001861DC" w:rsidRPr="006A09A4" w:rsidRDefault="001861DC" w:rsidP="002E0516">
            <w:pPr>
              <w:jc w:val="left"/>
              <w:rPr>
                <w:rFonts w:ascii="Calibri" w:eastAsia="Times New Roman" w:hAnsi="Calibri" w:cs="Times New Roman"/>
                <w:color w:val="000000"/>
                <w:lang w:eastAsia="es-ES"/>
              </w:rPr>
            </w:pPr>
            <w:r w:rsidRPr="006A09A4">
              <w:rPr>
                <w:rFonts w:ascii="Calibri" w:eastAsia="Times New Roman" w:hAnsi="Calibri" w:cs="Times New Roman"/>
                <w:color w:val="000000"/>
                <w:lang w:eastAsia="es-ES"/>
              </w:rPr>
              <w:t xml:space="preserve">20,24 </w:t>
            </w:r>
          </w:p>
        </w:tc>
      </w:tr>
      <w:tr w:rsidR="001861DC" w:rsidRPr="006A09A4" w14:paraId="6A63E8E6" w14:textId="77777777" w:rsidTr="002E0516">
        <w:trPr>
          <w:trHeight w:val="300"/>
          <w:jc w:val="center"/>
        </w:trPr>
        <w:tc>
          <w:tcPr>
            <w:tcW w:w="2700" w:type="dxa"/>
            <w:tcBorders>
              <w:top w:val="nil"/>
              <w:left w:val="nil"/>
              <w:bottom w:val="single" w:sz="4" w:space="0" w:color="auto"/>
              <w:right w:val="nil"/>
            </w:tcBorders>
            <w:shd w:val="clear" w:color="auto" w:fill="auto"/>
            <w:noWrap/>
            <w:vAlign w:val="bottom"/>
            <w:hideMark/>
          </w:tcPr>
          <w:p w14:paraId="79968B57" w14:textId="77777777" w:rsidR="001861DC" w:rsidRPr="006A09A4" w:rsidRDefault="001861DC" w:rsidP="002E0516">
            <w:pPr>
              <w:jc w:val="left"/>
              <w:rPr>
                <w:rFonts w:ascii="Calibri" w:eastAsia="Times New Roman" w:hAnsi="Calibri" w:cs="Times New Roman"/>
                <w:color w:val="000000"/>
                <w:lang w:eastAsia="es-ES"/>
              </w:rPr>
            </w:pPr>
            <w:r w:rsidRPr="006A09A4">
              <w:rPr>
                <w:rFonts w:ascii="Calibri" w:eastAsia="Times New Roman" w:hAnsi="Calibri" w:cs="Times New Roman"/>
                <w:color w:val="000000"/>
                <w:lang w:eastAsia="es-ES"/>
              </w:rPr>
              <w:t>Hacienda</w:t>
            </w:r>
          </w:p>
        </w:tc>
        <w:tc>
          <w:tcPr>
            <w:tcW w:w="1200" w:type="dxa"/>
            <w:tcBorders>
              <w:top w:val="nil"/>
              <w:left w:val="nil"/>
              <w:bottom w:val="single" w:sz="4" w:space="0" w:color="auto"/>
              <w:right w:val="nil"/>
            </w:tcBorders>
            <w:shd w:val="clear" w:color="auto" w:fill="auto"/>
            <w:noWrap/>
            <w:vAlign w:val="bottom"/>
            <w:hideMark/>
          </w:tcPr>
          <w:p w14:paraId="1F6C8AD5" w14:textId="77777777" w:rsidR="001861DC" w:rsidRPr="006A09A4" w:rsidRDefault="001861DC" w:rsidP="002E0516">
            <w:pPr>
              <w:jc w:val="left"/>
              <w:rPr>
                <w:rFonts w:ascii="Calibri" w:eastAsia="Times New Roman" w:hAnsi="Calibri" w:cs="Times New Roman"/>
                <w:color w:val="000000"/>
                <w:lang w:eastAsia="es-ES"/>
              </w:rPr>
            </w:pPr>
            <w:r w:rsidRPr="006A09A4">
              <w:rPr>
                <w:rFonts w:ascii="Calibri" w:eastAsia="Times New Roman" w:hAnsi="Calibri" w:cs="Times New Roman"/>
                <w:color w:val="000000"/>
                <w:lang w:eastAsia="es-ES"/>
              </w:rPr>
              <w:t xml:space="preserve">23,67 </w:t>
            </w:r>
          </w:p>
        </w:tc>
        <w:tc>
          <w:tcPr>
            <w:tcW w:w="1345" w:type="dxa"/>
            <w:tcBorders>
              <w:top w:val="nil"/>
              <w:left w:val="nil"/>
              <w:bottom w:val="single" w:sz="4" w:space="0" w:color="auto"/>
              <w:right w:val="nil"/>
            </w:tcBorders>
            <w:shd w:val="clear" w:color="auto" w:fill="auto"/>
            <w:noWrap/>
            <w:vAlign w:val="bottom"/>
            <w:hideMark/>
          </w:tcPr>
          <w:p w14:paraId="2216DB88" w14:textId="77777777" w:rsidR="001861DC" w:rsidRPr="006A09A4" w:rsidRDefault="001861DC" w:rsidP="002E0516">
            <w:pPr>
              <w:jc w:val="left"/>
              <w:rPr>
                <w:rFonts w:ascii="Calibri" w:eastAsia="Times New Roman" w:hAnsi="Calibri" w:cs="Times New Roman"/>
                <w:color w:val="000000"/>
                <w:lang w:eastAsia="es-ES"/>
              </w:rPr>
            </w:pPr>
            <w:r w:rsidRPr="006A09A4">
              <w:rPr>
                <w:rFonts w:ascii="Calibri" w:eastAsia="Times New Roman" w:hAnsi="Calibri" w:cs="Times New Roman"/>
                <w:color w:val="000000"/>
                <w:lang w:eastAsia="es-ES"/>
              </w:rPr>
              <w:t xml:space="preserve">27,18 </w:t>
            </w:r>
          </w:p>
        </w:tc>
        <w:tc>
          <w:tcPr>
            <w:tcW w:w="1200" w:type="dxa"/>
            <w:tcBorders>
              <w:top w:val="nil"/>
              <w:left w:val="nil"/>
              <w:bottom w:val="single" w:sz="4" w:space="0" w:color="auto"/>
              <w:right w:val="nil"/>
            </w:tcBorders>
            <w:shd w:val="clear" w:color="auto" w:fill="auto"/>
            <w:noWrap/>
            <w:vAlign w:val="bottom"/>
            <w:hideMark/>
          </w:tcPr>
          <w:p w14:paraId="61F0B530" w14:textId="77777777" w:rsidR="001861DC" w:rsidRPr="006A09A4" w:rsidRDefault="001861DC" w:rsidP="002E0516">
            <w:pPr>
              <w:jc w:val="left"/>
              <w:rPr>
                <w:rFonts w:ascii="Calibri" w:eastAsia="Times New Roman" w:hAnsi="Calibri" w:cs="Times New Roman"/>
                <w:color w:val="000000"/>
                <w:lang w:eastAsia="es-ES"/>
              </w:rPr>
            </w:pPr>
            <w:r w:rsidRPr="006A09A4">
              <w:rPr>
                <w:rFonts w:ascii="Calibri" w:eastAsia="Times New Roman" w:hAnsi="Calibri" w:cs="Times New Roman"/>
                <w:color w:val="000000"/>
                <w:lang w:eastAsia="es-ES"/>
              </w:rPr>
              <w:t xml:space="preserve">50,86 </w:t>
            </w:r>
          </w:p>
        </w:tc>
      </w:tr>
      <w:tr w:rsidR="001861DC" w:rsidRPr="006A09A4" w14:paraId="0D9E0D00" w14:textId="77777777" w:rsidTr="002E0516">
        <w:trPr>
          <w:trHeight w:val="300"/>
          <w:jc w:val="center"/>
        </w:trPr>
        <w:tc>
          <w:tcPr>
            <w:tcW w:w="2700" w:type="dxa"/>
            <w:tcBorders>
              <w:top w:val="nil"/>
              <w:left w:val="nil"/>
              <w:bottom w:val="single" w:sz="4" w:space="0" w:color="auto"/>
              <w:right w:val="nil"/>
            </w:tcBorders>
            <w:shd w:val="clear" w:color="auto" w:fill="auto"/>
            <w:noWrap/>
            <w:vAlign w:val="bottom"/>
            <w:hideMark/>
          </w:tcPr>
          <w:p w14:paraId="15EAA011" w14:textId="77777777" w:rsidR="001861DC" w:rsidRPr="006A09A4" w:rsidRDefault="001861DC" w:rsidP="002E0516">
            <w:pPr>
              <w:jc w:val="left"/>
              <w:rPr>
                <w:rFonts w:ascii="Calibri" w:eastAsia="Times New Roman" w:hAnsi="Calibri" w:cs="Times New Roman"/>
                <w:b/>
                <w:bCs/>
                <w:color w:val="000000"/>
                <w:lang w:eastAsia="es-ES"/>
              </w:rPr>
            </w:pPr>
            <w:r w:rsidRPr="006A09A4">
              <w:rPr>
                <w:rFonts w:ascii="Calibri" w:eastAsia="Times New Roman" w:hAnsi="Calibri" w:cs="Times New Roman"/>
                <w:b/>
                <w:bCs/>
                <w:color w:val="000000"/>
                <w:lang w:eastAsia="es-ES"/>
              </w:rPr>
              <w:t xml:space="preserve">Total </w:t>
            </w:r>
          </w:p>
        </w:tc>
        <w:tc>
          <w:tcPr>
            <w:tcW w:w="1200" w:type="dxa"/>
            <w:tcBorders>
              <w:top w:val="nil"/>
              <w:left w:val="nil"/>
              <w:bottom w:val="single" w:sz="4" w:space="0" w:color="auto"/>
              <w:right w:val="nil"/>
            </w:tcBorders>
            <w:shd w:val="clear" w:color="auto" w:fill="auto"/>
            <w:noWrap/>
            <w:vAlign w:val="bottom"/>
            <w:hideMark/>
          </w:tcPr>
          <w:p w14:paraId="650B5DDA" w14:textId="77777777" w:rsidR="001861DC" w:rsidRPr="006A09A4" w:rsidRDefault="001861DC" w:rsidP="002E0516">
            <w:pPr>
              <w:jc w:val="left"/>
              <w:rPr>
                <w:rFonts w:ascii="Calibri" w:eastAsia="Times New Roman" w:hAnsi="Calibri" w:cs="Times New Roman"/>
                <w:b/>
                <w:bCs/>
                <w:color w:val="000000"/>
                <w:lang w:eastAsia="es-ES"/>
              </w:rPr>
            </w:pPr>
            <w:r w:rsidRPr="006A09A4">
              <w:rPr>
                <w:rFonts w:ascii="Calibri" w:eastAsia="Times New Roman" w:hAnsi="Calibri" w:cs="Times New Roman"/>
                <w:b/>
                <w:bCs/>
                <w:color w:val="000000"/>
                <w:lang w:eastAsia="es-ES"/>
              </w:rPr>
              <w:t xml:space="preserve">50,75 </w:t>
            </w:r>
          </w:p>
        </w:tc>
        <w:tc>
          <w:tcPr>
            <w:tcW w:w="1345" w:type="dxa"/>
            <w:tcBorders>
              <w:top w:val="nil"/>
              <w:left w:val="nil"/>
              <w:bottom w:val="single" w:sz="4" w:space="0" w:color="auto"/>
              <w:right w:val="nil"/>
            </w:tcBorders>
            <w:shd w:val="clear" w:color="auto" w:fill="auto"/>
            <w:noWrap/>
            <w:vAlign w:val="bottom"/>
            <w:hideMark/>
          </w:tcPr>
          <w:p w14:paraId="001C5E73" w14:textId="77777777" w:rsidR="001861DC" w:rsidRPr="006A09A4" w:rsidRDefault="001861DC" w:rsidP="002E0516">
            <w:pPr>
              <w:jc w:val="left"/>
              <w:rPr>
                <w:rFonts w:ascii="Calibri" w:eastAsia="Times New Roman" w:hAnsi="Calibri" w:cs="Times New Roman"/>
                <w:b/>
                <w:bCs/>
                <w:color w:val="000000"/>
                <w:lang w:eastAsia="es-ES"/>
              </w:rPr>
            </w:pPr>
            <w:r w:rsidRPr="006A09A4">
              <w:rPr>
                <w:rFonts w:ascii="Calibri" w:eastAsia="Times New Roman" w:hAnsi="Calibri" w:cs="Times New Roman"/>
                <w:b/>
                <w:bCs/>
                <w:color w:val="000000"/>
                <w:lang w:eastAsia="es-ES"/>
              </w:rPr>
              <w:t xml:space="preserve">49,25 </w:t>
            </w:r>
          </w:p>
        </w:tc>
        <w:tc>
          <w:tcPr>
            <w:tcW w:w="1200" w:type="dxa"/>
            <w:tcBorders>
              <w:top w:val="nil"/>
              <w:left w:val="nil"/>
              <w:bottom w:val="single" w:sz="4" w:space="0" w:color="auto"/>
              <w:right w:val="nil"/>
            </w:tcBorders>
            <w:shd w:val="clear" w:color="auto" w:fill="auto"/>
            <w:noWrap/>
            <w:vAlign w:val="bottom"/>
            <w:hideMark/>
          </w:tcPr>
          <w:p w14:paraId="5B60049E" w14:textId="77777777" w:rsidR="001861DC" w:rsidRPr="006A09A4" w:rsidRDefault="001861DC" w:rsidP="002E0516">
            <w:pPr>
              <w:jc w:val="left"/>
              <w:rPr>
                <w:rFonts w:ascii="Calibri" w:eastAsia="Times New Roman" w:hAnsi="Calibri" w:cs="Times New Roman"/>
                <w:b/>
                <w:bCs/>
                <w:color w:val="000000"/>
                <w:lang w:eastAsia="es-ES"/>
              </w:rPr>
            </w:pPr>
            <w:r w:rsidRPr="006A09A4">
              <w:rPr>
                <w:rFonts w:ascii="Calibri" w:eastAsia="Times New Roman" w:hAnsi="Calibri" w:cs="Times New Roman"/>
                <w:b/>
                <w:bCs/>
                <w:color w:val="000000"/>
                <w:lang w:eastAsia="es-ES"/>
              </w:rPr>
              <w:t xml:space="preserve">100,00 </w:t>
            </w:r>
          </w:p>
        </w:tc>
      </w:tr>
      <w:tr w:rsidR="001861DC" w:rsidRPr="006A09A4" w14:paraId="384776DB" w14:textId="77777777" w:rsidTr="002E0516">
        <w:trPr>
          <w:trHeight w:val="300"/>
          <w:jc w:val="center"/>
        </w:trPr>
        <w:tc>
          <w:tcPr>
            <w:tcW w:w="6445" w:type="dxa"/>
            <w:gridSpan w:val="4"/>
            <w:tcBorders>
              <w:top w:val="single" w:sz="4" w:space="0" w:color="auto"/>
              <w:left w:val="nil"/>
              <w:bottom w:val="nil"/>
              <w:right w:val="nil"/>
            </w:tcBorders>
            <w:shd w:val="clear" w:color="auto" w:fill="auto"/>
            <w:noWrap/>
            <w:vAlign w:val="bottom"/>
            <w:hideMark/>
          </w:tcPr>
          <w:p w14:paraId="03657492" w14:textId="77777777" w:rsidR="001861DC" w:rsidRDefault="001861DC" w:rsidP="002E0516">
            <w:pPr>
              <w:jc w:val="left"/>
              <w:rPr>
                <w:rFonts w:ascii="Calibri" w:eastAsia="Times New Roman" w:hAnsi="Calibri" w:cs="Times New Roman"/>
                <w:color w:val="000000"/>
                <w:lang w:eastAsia="es-ES"/>
              </w:rPr>
            </w:pPr>
            <w:r w:rsidRPr="006A09A4">
              <w:rPr>
                <w:rFonts w:ascii="Calibri" w:eastAsia="Times New Roman" w:hAnsi="Calibri" w:cs="Times New Roman"/>
                <w:color w:val="000000"/>
                <w:lang w:eastAsia="es-ES"/>
              </w:rPr>
              <w:t>*Deuda, Acciones, Participaciones</w:t>
            </w:r>
          </w:p>
          <w:p w14:paraId="6635C806" w14:textId="77777777" w:rsidR="001861DC" w:rsidRPr="006A09A4" w:rsidRDefault="001861DC" w:rsidP="002E0516">
            <w:pPr>
              <w:jc w:val="left"/>
              <w:rPr>
                <w:rFonts w:ascii="Calibri" w:eastAsia="Times New Roman" w:hAnsi="Calibri" w:cs="Times New Roman"/>
                <w:color w:val="000000"/>
                <w:lang w:eastAsia="es-ES"/>
              </w:rPr>
            </w:pPr>
            <w:r>
              <w:rPr>
                <w:rFonts w:ascii="Calibri" w:eastAsia="Times New Roman" w:hAnsi="Calibri" w:cs="Times New Roman"/>
                <w:color w:val="000000"/>
                <w:lang w:eastAsia="es-ES"/>
              </w:rPr>
              <w:t>Fuente:  Bolsa Nacional de Valores</w:t>
            </w:r>
          </w:p>
        </w:tc>
      </w:tr>
    </w:tbl>
    <w:p w14:paraId="28A77FE2" w14:textId="77777777" w:rsidR="001861DC" w:rsidRDefault="001861DC" w:rsidP="001861DC">
      <w:pPr>
        <w:jc w:val="center"/>
      </w:pPr>
    </w:p>
    <w:p w14:paraId="3CE1D027" w14:textId="77777777" w:rsidR="001861DC" w:rsidRPr="001315EF" w:rsidRDefault="001861DC" w:rsidP="001861DC">
      <w:r>
        <w:t>El problema detrás de esta situación de concentración en estos emisores tiene que ver con las expectativas de la industria respecto a la situación de tasas y el déficit del gobierno. Actualmente el mercado percibe que a futuro podrían existir buenas opciones de inversión en instrumentos del MH, dado que se prevé que estarían ofreciendo tasas mejores a las actuales, es decir, los gestores han sido prudentes en mantener las inversiones en instrumentos que puedan ser fácilmente sustituibles.</w:t>
      </w:r>
    </w:p>
    <w:p w14:paraId="3DFB33D9" w14:textId="77777777" w:rsidR="001861DC" w:rsidRDefault="001861DC" w:rsidP="001861DC">
      <w:pPr>
        <w:spacing w:after="160" w:line="259" w:lineRule="auto"/>
        <w:jc w:val="left"/>
      </w:pPr>
      <w:r>
        <w:br w:type="page"/>
      </w:r>
    </w:p>
    <w:p w14:paraId="6900D0D7" w14:textId="77777777" w:rsidR="001861DC" w:rsidRPr="002E54BE" w:rsidRDefault="001861DC" w:rsidP="001861DC"/>
    <w:p w14:paraId="5F58AD1B" w14:textId="77777777" w:rsidR="001861DC" w:rsidRDefault="001861DC" w:rsidP="001861DC">
      <w:pPr>
        <w:pStyle w:val="Ttulo1"/>
      </w:pPr>
      <w:r>
        <w:t>Recomendaciones Finales</w:t>
      </w:r>
    </w:p>
    <w:p w14:paraId="67F5DF50" w14:textId="77777777" w:rsidR="001861DC" w:rsidRPr="000D0577" w:rsidRDefault="001861DC" w:rsidP="001861DC"/>
    <w:p w14:paraId="5E84FF97" w14:textId="77777777" w:rsidR="001861DC" w:rsidRDefault="001861DC" w:rsidP="001861DC">
      <w:r>
        <w:t>Es criterio del Supervisor que las condiciones actuales de la economía costarricense justifican el continuar utilizando los límites como instrumento de promoción en la diversificación de los portafolios.</w:t>
      </w:r>
    </w:p>
    <w:p w14:paraId="2F4E238A" w14:textId="77777777" w:rsidR="001861DC" w:rsidRDefault="001861DC" w:rsidP="001861DC"/>
    <w:p w14:paraId="63B63D3F" w14:textId="77777777" w:rsidR="001861DC" w:rsidRDefault="001861DC" w:rsidP="001861DC">
      <w:r>
        <w:t xml:space="preserve">El monto establecido de 50% en instrumentos del MH y el BCCR tiene razonabilidad como meta a largo plazo, sin embargo las condiciones al año 2016 podrían dificultar acercarse al monto, dada la poca oferta de nuevos emisores en el mercado de valores.  </w:t>
      </w:r>
    </w:p>
    <w:p w14:paraId="61588B1A" w14:textId="77777777" w:rsidR="001861DC" w:rsidRDefault="001861DC" w:rsidP="001861DC"/>
    <w:p w14:paraId="1CDD4FE5" w14:textId="77777777" w:rsidR="001861DC" w:rsidRDefault="001861DC" w:rsidP="001861DC">
      <w:r>
        <w:t>Actualmente los límites permiten que se continúe comprando instrumentos del MH y el BCCR, sin embargo, consideramos que en el corto plazo se puedan presentar opciones de inversión con riesgo-rendimiento atractivas para los fondos de pensiones y la holgura existente se reduciría.</w:t>
      </w:r>
    </w:p>
    <w:p w14:paraId="714EC9CC" w14:textId="77777777" w:rsidR="001861DC" w:rsidRDefault="001861DC" w:rsidP="001861DC"/>
    <w:p w14:paraId="76A08D7E" w14:textId="77777777" w:rsidR="001861DC" w:rsidRDefault="001861DC" w:rsidP="001861DC">
      <w:r>
        <w:t>Es prudente que la regulación del Supervisor a futuro disponga, además de los límites, mediciones de riesgo que no dependan de umbrales fijados, sino de sanas prácticas de gestión, en el sentido de que se le permita a los administradores mayor rango de acción, cuando su madurez en el manejo de portafolios así lo determine.</w:t>
      </w:r>
    </w:p>
    <w:p w14:paraId="08611AAE" w14:textId="77777777" w:rsidR="001861DC" w:rsidRDefault="001861DC" w:rsidP="001861DC"/>
    <w:p w14:paraId="10493B16" w14:textId="77777777" w:rsidR="001861DC" w:rsidRDefault="001861DC" w:rsidP="001861DC">
      <w:r>
        <w:t>El tema del Transitorio IV del RIER para alcanzar el 50% del límite en MH y BCCR ha requerido hasta el momento ocho modificaciones en los últimos doce años, prueba de la complejidad de nuestro sistema, por lo que consideramos que se hace necesario que las futuras reformas incluyan elementos más flexibles que posibiliten manejar las coyunturas particulares y así no se requieren constantes cambios a las normas de inversión vigentes, dado el costo político y de recomposición de portafolios.</w:t>
      </w:r>
    </w:p>
    <w:p w14:paraId="646C8578" w14:textId="77777777" w:rsidR="001861DC" w:rsidRDefault="001861DC" w:rsidP="001861DC"/>
    <w:p w14:paraId="32493B90" w14:textId="77777777" w:rsidR="001861DC" w:rsidRDefault="001861DC" w:rsidP="001861DC">
      <w:r>
        <w:t>La diversificación de un portafolio es un principio que debe ser tomado en consideración en su gestión, sobre todo en el largo plazo, lo cual sería acorde con la naturaleza y objetivos de los fondos de pensiones.</w:t>
      </w:r>
    </w:p>
    <w:p w14:paraId="3E7EDD87" w14:textId="77777777" w:rsidR="001861DC" w:rsidRDefault="001861DC" w:rsidP="001861DC">
      <w:pPr>
        <w:spacing w:after="160" w:line="259" w:lineRule="auto"/>
        <w:jc w:val="left"/>
        <w:rPr>
          <w:rFonts w:asciiTheme="majorHAnsi" w:eastAsiaTheme="majorEastAsia" w:hAnsiTheme="majorHAnsi" w:cstheme="majorBidi"/>
          <w:smallCaps/>
          <w:color w:val="2E74B5" w:themeColor="accent1" w:themeShade="BF"/>
          <w:sz w:val="32"/>
          <w:szCs w:val="32"/>
        </w:rPr>
      </w:pPr>
      <w:r>
        <w:br w:type="page"/>
      </w:r>
    </w:p>
    <w:p w14:paraId="24055232" w14:textId="77777777" w:rsidR="001861DC" w:rsidRDefault="001861DC" w:rsidP="001861DC">
      <w:pPr>
        <w:pStyle w:val="Ttulo1"/>
      </w:pPr>
      <w:r>
        <w:lastRenderedPageBreak/>
        <w:t>Bibliografía</w:t>
      </w:r>
    </w:p>
    <w:p w14:paraId="7B2F0CF2" w14:textId="77777777" w:rsidR="001861DC" w:rsidRDefault="001861DC" w:rsidP="001861DC"/>
    <w:p w14:paraId="57109660" w14:textId="77777777" w:rsidR="001861DC" w:rsidRDefault="001861DC" w:rsidP="001861DC">
      <w:r>
        <w:t xml:space="preserve">[1] Superintendencia de Chile. Régimen de Inversión de los Fondos de Pensión. </w:t>
      </w:r>
      <w:hyperlink r:id="rId12" w:history="1">
        <w:r w:rsidRPr="00C92F74">
          <w:rPr>
            <w:rStyle w:val="Hipervnculo"/>
          </w:rPr>
          <w:t>https://www.spensiones.cl/portal/regulacion/582/articles-10257_recurso_1.pdf</w:t>
        </w:r>
      </w:hyperlink>
      <w:r>
        <w:t>. Consultado el 20 de enero de 2016.</w:t>
      </w:r>
    </w:p>
    <w:p w14:paraId="3265C175" w14:textId="77777777" w:rsidR="001861DC" w:rsidRDefault="001861DC" w:rsidP="001861DC"/>
    <w:p w14:paraId="04BB8484" w14:textId="77777777" w:rsidR="001861DC" w:rsidRDefault="001861DC" w:rsidP="001861DC">
      <w:r>
        <w:t xml:space="preserve">[2] CONSAR. Límites de Inversión. </w:t>
      </w:r>
      <w:hyperlink r:id="rId13" w:history="1">
        <w:r w:rsidRPr="00C92F74">
          <w:rPr>
            <w:rStyle w:val="Hipervnculo"/>
          </w:rPr>
          <w:t>http://www.consar.gob.mx/limite_inversion</w:t>
        </w:r>
      </w:hyperlink>
      <w:r>
        <w:t>. Consultado el 20 de enero de 2016</w:t>
      </w:r>
    </w:p>
    <w:p w14:paraId="28D77BB8" w14:textId="77777777" w:rsidR="001861DC" w:rsidRDefault="001861DC" w:rsidP="001861DC"/>
    <w:p w14:paraId="6DB20B6C" w14:textId="77777777" w:rsidR="001861DC" w:rsidRDefault="001861DC" w:rsidP="001861DC">
      <w:r>
        <w:t xml:space="preserve">[3] Superintendencia Financiera Colombia. Fondo de Pensiones Obligatorias. Portafolios de Inversión. </w:t>
      </w:r>
      <w:hyperlink r:id="rId14" w:history="1">
        <w:r w:rsidRPr="00E41A93">
          <w:rPr>
            <w:rStyle w:val="Hipervnculo"/>
          </w:rPr>
          <w:t>https://www.superfinanciera.gov.co/jsp/loader.jsf?lServicio=Publicaciones&amp;lTipo=publicaciones&amp;lFuncion=loadContenidoPublicacion&amp;id=9118</w:t>
        </w:r>
      </w:hyperlink>
      <w:r>
        <w:t xml:space="preserve"> Consultado el 22 de enero de 2016.</w:t>
      </w:r>
    </w:p>
    <w:p w14:paraId="626D164F" w14:textId="77777777" w:rsidR="001861DC" w:rsidRDefault="001861DC" w:rsidP="001861DC"/>
    <w:p w14:paraId="0DFDBA15" w14:textId="77777777" w:rsidR="001861DC" w:rsidRPr="00492E6B" w:rsidRDefault="001861DC" w:rsidP="001861DC">
      <w:r w:rsidRPr="00104AEF">
        <w:rPr>
          <w:lang w:val="en-US"/>
        </w:rPr>
        <w:t>[4] IOPS</w:t>
      </w:r>
      <w:r>
        <w:rPr>
          <w:lang w:val="en-US"/>
        </w:rPr>
        <w:t>.</w:t>
      </w:r>
      <w:r w:rsidRPr="00104AEF">
        <w:rPr>
          <w:lang w:val="en-US"/>
        </w:rPr>
        <w:t xml:space="preserve"> </w:t>
      </w:r>
      <w:r>
        <w:rPr>
          <w:lang w:val="en-US"/>
        </w:rPr>
        <w:t>Annual Survey of Investment Regulation o</w:t>
      </w:r>
      <w:r w:rsidRPr="00104AEF">
        <w:rPr>
          <w:lang w:val="en-US"/>
        </w:rPr>
        <w:t>f Pension Funds</w:t>
      </w:r>
      <w:r>
        <w:rPr>
          <w:lang w:val="en-US"/>
        </w:rPr>
        <w:t>.</w:t>
      </w:r>
      <w:r w:rsidRPr="00104AEF">
        <w:rPr>
          <w:lang w:val="en-US"/>
        </w:rPr>
        <w:t xml:space="preserve"> </w:t>
      </w:r>
      <w:r w:rsidRPr="00492E6B">
        <w:t>2013.</w:t>
      </w:r>
    </w:p>
    <w:p w14:paraId="59D861E3" w14:textId="77777777" w:rsidR="001861DC" w:rsidRPr="00492E6B" w:rsidRDefault="001861DC" w:rsidP="001861DC"/>
    <w:p w14:paraId="5D302C63" w14:textId="77777777" w:rsidR="001861DC" w:rsidRPr="00B9103A" w:rsidRDefault="001861DC" w:rsidP="001861DC">
      <w:r w:rsidRPr="00B9103A">
        <w:t>[5] Banco de Colombia. Ensayos Sobre Política</w:t>
      </w:r>
      <w:r>
        <w:t xml:space="preserve"> </w:t>
      </w:r>
      <w:r w:rsidRPr="00B9103A">
        <w:t xml:space="preserve">Económica. </w:t>
      </w:r>
      <w:r w:rsidRPr="00C3130A">
        <w:t xml:space="preserve">Regulación y </w:t>
      </w:r>
      <w:r>
        <w:t>V</w:t>
      </w:r>
      <w:r w:rsidRPr="00C3130A">
        <w:t xml:space="preserve">alor en </w:t>
      </w:r>
      <w:r>
        <w:t>R</w:t>
      </w:r>
      <w:r w:rsidRPr="00C3130A">
        <w:t xml:space="preserve">iesgo </w:t>
      </w:r>
      <w:r>
        <w:t>Vol. 29, Num</w:t>
      </w:r>
      <w:r w:rsidRPr="00B9103A">
        <w:t>. 64</w:t>
      </w:r>
      <w:r>
        <w:t>. 2011.</w:t>
      </w:r>
    </w:p>
    <w:p w14:paraId="1C23B386" w14:textId="77777777" w:rsidR="001861DC" w:rsidRDefault="001861DC" w:rsidP="001861DC"/>
    <w:p w14:paraId="20AAE230" w14:textId="77777777" w:rsidR="001861DC" w:rsidRDefault="001861DC" w:rsidP="001861DC">
      <w:r>
        <w:t>[6] Novaster. Estudio Técnico de Optimización de Cartera. Consultoría para la SUPEN. 2012</w:t>
      </w:r>
    </w:p>
    <w:p w14:paraId="56B4225A" w14:textId="77777777" w:rsidR="001861DC" w:rsidRPr="0063355B" w:rsidRDefault="001861DC" w:rsidP="001861DC">
      <w:pPr>
        <w:rPr>
          <w:color w:val="9CC2E5" w:themeColor="accent1" w:themeTint="99"/>
        </w:rPr>
      </w:pPr>
    </w:p>
    <w:p w14:paraId="5796CB82" w14:textId="77777777" w:rsidR="001861DC" w:rsidRPr="00875B83" w:rsidRDefault="001861DC" w:rsidP="001861DC">
      <w:r w:rsidRPr="00875B83">
        <w:t xml:space="preserve">[7] AIOS. Boletín Estadístico. </w:t>
      </w:r>
      <w:hyperlink r:id="rId15" w:history="1">
        <w:r w:rsidRPr="00875B83">
          <w:t>http://www.aiosfp.org/estadisticas/boletin-estadistico-aios/</w:t>
        </w:r>
      </w:hyperlink>
      <w:r w:rsidRPr="00875B83">
        <w:t xml:space="preserve"> Consultado el 22 de enero de 2016.</w:t>
      </w:r>
    </w:p>
    <w:p w14:paraId="04F73175" w14:textId="39BE0326" w:rsidR="00104AEF" w:rsidRPr="001861DC" w:rsidRDefault="00104AEF" w:rsidP="001861DC">
      <w:bookmarkStart w:id="2" w:name="_GoBack"/>
      <w:bookmarkEnd w:id="2"/>
    </w:p>
    <w:sectPr w:rsidR="00104AEF" w:rsidRPr="001861DC" w:rsidSect="00624568">
      <w:headerReference w:type="default" r:id="rId16"/>
      <w:footerReference w:type="default" r:id="rId17"/>
      <w:pgSz w:w="11906" w:h="16838"/>
      <w:pgMar w:top="1417" w:right="1701" w:bottom="1417"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2FBE24" w14:textId="77777777" w:rsidR="0041150A" w:rsidRDefault="0041150A" w:rsidP="00CB6C50">
      <w:r>
        <w:separator/>
      </w:r>
    </w:p>
  </w:endnote>
  <w:endnote w:type="continuationSeparator" w:id="0">
    <w:p w14:paraId="48991622" w14:textId="77777777" w:rsidR="0041150A" w:rsidRDefault="0041150A" w:rsidP="00CB6C50">
      <w:r>
        <w:continuationSeparator/>
      </w:r>
    </w:p>
  </w:endnote>
  <w:endnote w:type="continuationNotice" w:id="1">
    <w:p w14:paraId="08F864DB" w14:textId="77777777" w:rsidR="0041150A" w:rsidRDefault="004115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4852546"/>
      <w:docPartObj>
        <w:docPartGallery w:val="Page Numbers (Bottom of Page)"/>
        <w:docPartUnique/>
      </w:docPartObj>
    </w:sdtPr>
    <w:sdtEndPr/>
    <w:sdtContent>
      <w:p w14:paraId="6B9F6E57" w14:textId="7FD484A2" w:rsidR="0041150A" w:rsidRDefault="0041150A">
        <w:pPr>
          <w:pStyle w:val="Piedepgina"/>
          <w:jc w:val="center"/>
        </w:pPr>
        <w:r>
          <w:fldChar w:fldCharType="begin"/>
        </w:r>
        <w:r>
          <w:instrText>PAGE   \* MERGEFORMAT</w:instrText>
        </w:r>
        <w:r>
          <w:fldChar w:fldCharType="separate"/>
        </w:r>
        <w:r w:rsidR="00413A80">
          <w:rPr>
            <w:noProof/>
          </w:rPr>
          <w:t>16</w:t>
        </w:r>
        <w:r>
          <w:fldChar w:fldCharType="end"/>
        </w:r>
      </w:p>
    </w:sdtContent>
  </w:sdt>
  <w:p w14:paraId="2F5A21BA" w14:textId="77777777" w:rsidR="0041150A" w:rsidRDefault="0041150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38288B" w14:textId="77777777" w:rsidR="0041150A" w:rsidRDefault="0041150A" w:rsidP="00CB6C50">
      <w:r>
        <w:separator/>
      </w:r>
    </w:p>
  </w:footnote>
  <w:footnote w:type="continuationSeparator" w:id="0">
    <w:p w14:paraId="641186B3" w14:textId="77777777" w:rsidR="0041150A" w:rsidRDefault="0041150A" w:rsidP="00CB6C50">
      <w:r>
        <w:continuationSeparator/>
      </w:r>
    </w:p>
  </w:footnote>
  <w:footnote w:type="continuationNotice" w:id="1">
    <w:p w14:paraId="5A426C20" w14:textId="77777777" w:rsidR="0041150A" w:rsidRDefault="0041150A"/>
  </w:footnote>
  <w:footnote w:id="2">
    <w:p w14:paraId="56457F45" w14:textId="77777777" w:rsidR="001861DC" w:rsidRPr="00CB6C50" w:rsidRDefault="001861DC" w:rsidP="001861DC">
      <w:pPr>
        <w:pStyle w:val="Textonotapie"/>
        <w:rPr>
          <w:lang w:val="es-CR"/>
        </w:rPr>
      </w:pPr>
      <w:r>
        <w:rPr>
          <w:rStyle w:val="Refdenotaalpie"/>
        </w:rPr>
        <w:footnoteRef/>
      </w:r>
      <w:r>
        <w:t xml:space="preserve"> </w:t>
      </w:r>
      <w:r>
        <w:rPr>
          <w:lang w:val="es-CR"/>
        </w:rPr>
        <w:t>Documento e</w:t>
      </w:r>
      <w:r w:rsidRPr="00CB6C50">
        <w:rPr>
          <w:lang w:val="es-CR"/>
        </w:rPr>
        <w:t>laborado por la División de Planificación y Normativa</w:t>
      </w:r>
      <w:r>
        <w:rPr>
          <w:lang w:val="es-CR"/>
        </w:rPr>
        <w:t xml:space="preserve">. </w:t>
      </w:r>
      <w:r w:rsidRPr="00332192">
        <w:rPr>
          <w:lang w:val="es-CR"/>
        </w:rPr>
        <w:t>La información contenida en este do</w:t>
      </w:r>
      <w:r>
        <w:rPr>
          <w:lang w:val="es-CR"/>
        </w:rPr>
        <w:t xml:space="preserve">cumento es propiedad de la SUPEN y </w:t>
      </w:r>
      <w:r w:rsidRPr="00332192">
        <w:rPr>
          <w:lang w:val="es-CR"/>
        </w:rPr>
        <w:t>uso reservado para el Consejo Nacional de Supervisión de</w:t>
      </w:r>
      <w:r>
        <w:rPr>
          <w:lang w:val="es-CR"/>
        </w:rPr>
        <w:t>l Sistema Financiero (CONASSIF)</w:t>
      </w:r>
      <w:r w:rsidRPr="00332192">
        <w:rPr>
          <w:lang w:val="es-CR"/>
        </w:rPr>
        <w:t>.</w:t>
      </w:r>
    </w:p>
  </w:footnote>
  <w:footnote w:id="3">
    <w:p w14:paraId="43306A62" w14:textId="77777777" w:rsidR="001861DC" w:rsidRPr="00A473F6" w:rsidRDefault="001861DC" w:rsidP="001861DC">
      <w:pPr>
        <w:pStyle w:val="Textonotapie"/>
        <w:jc w:val="left"/>
      </w:pPr>
      <w:r>
        <w:rPr>
          <w:rStyle w:val="Refdenotaalpie"/>
        </w:rPr>
        <w:footnoteRef/>
      </w:r>
      <w:r w:rsidRPr="007216C0">
        <w:rPr>
          <w:lang w:val="en-US"/>
        </w:rPr>
        <w:t xml:space="preserve"> Enlace: </w:t>
      </w:r>
      <w:hyperlink r:id="rId1" w:history="1">
        <w:r w:rsidRPr="007216C0">
          <w:rPr>
            <w:rStyle w:val="Hipervnculo"/>
            <w:sz w:val="16"/>
            <w:lang w:val="en-US"/>
          </w:rPr>
          <w:t>https://www.supen.fi.cr/documents/10179/18110/Reglamento+de+inversiones+de+las+Entidades+reguladas</w:t>
        </w:r>
      </w:hyperlink>
      <w:r w:rsidRPr="007216C0">
        <w:rPr>
          <w:sz w:val="16"/>
          <w:lang w:val="en-US"/>
        </w:rPr>
        <w:t xml:space="preserve">. </w:t>
      </w:r>
      <w:r w:rsidRPr="00A473F6">
        <w:t>Documento consultado el 12 de enero de 2016.</w:t>
      </w:r>
    </w:p>
  </w:footnote>
  <w:footnote w:id="4">
    <w:p w14:paraId="336E1628" w14:textId="77777777" w:rsidR="001861DC" w:rsidRPr="00E73E59" w:rsidRDefault="001861DC" w:rsidP="001861DC">
      <w:pPr>
        <w:pStyle w:val="Textonotapie"/>
        <w:rPr>
          <w:lang w:val="es-CR"/>
        </w:rPr>
      </w:pPr>
      <w:r>
        <w:rPr>
          <w:rStyle w:val="Refdenotaalpie"/>
        </w:rPr>
        <w:footnoteRef/>
      </w:r>
      <w:r>
        <w:rPr>
          <w:lang w:val="es-CR"/>
        </w:rPr>
        <w:t xml:space="preserve">Tomado de </w:t>
      </w:r>
      <w:hyperlink r:id="rId2" w:history="1">
        <w:r w:rsidRPr="001C0864">
          <w:rPr>
            <w:rStyle w:val="Hipervnculo"/>
            <w:lang w:val="es-CR"/>
          </w:rPr>
          <w:t>http://www.banxico.org.mx/sistema-financiero/material-educativo/basico/fichas/indicadores-financieros/%7BB22F2DA4-55B2-F16E-FA06-CC3273F07379%7D.pdf</w:t>
        </w:r>
      </w:hyperlink>
      <w:r>
        <w:rPr>
          <w:lang w:val="es-CR"/>
        </w:rPr>
        <w:t xml:space="preserve">, consultado el 26 de enero de 2016.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99FC7" w14:textId="70EFD9C1" w:rsidR="0041150A" w:rsidRPr="00CB6C50" w:rsidRDefault="0041150A">
    <w:pPr>
      <w:pStyle w:val="Encabezado"/>
      <w:rPr>
        <w:lang w:val="es-CR"/>
      </w:rPr>
    </w:pPr>
    <w:r w:rsidRPr="00CB6C50">
      <w:rPr>
        <w:noProof/>
        <w:lang w:eastAsia="es-ES"/>
      </w:rPr>
      <mc:AlternateContent>
        <mc:Choice Requires="wps">
          <w:drawing>
            <wp:anchor distT="0" distB="0" distL="118745" distR="118745" simplePos="0" relativeHeight="251658240" behindDoc="1" locked="0" layoutInCell="1" allowOverlap="0" wp14:anchorId="3C81B9F9" wp14:editId="73E4DF9B">
              <wp:simplePos x="0" y="0"/>
              <wp:positionH relativeFrom="page">
                <wp:posOffset>0</wp:posOffset>
              </wp:positionH>
              <wp:positionV relativeFrom="page">
                <wp:align>top</wp:align>
              </wp:positionV>
              <wp:extent cx="7562850" cy="723900"/>
              <wp:effectExtent l="0" t="0" r="0" b="0"/>
              <wp:wrapSquare wrapText="bothSides"/>
              <wp:docPr id="197" name="Rectángulo 197"/>
              <wp:cNvGraphicFramePr/>
              <a:graphic xmlns:a="http://schemas.openxmlformats.org/drawingml/2006/main">
                <a:graphicData uri="http://schemas.microsoft.com/office/word/2010/wordprocessingShape">
                  <wps:wsp>
                    <wps:cNvSpPr/>
                    <wps:spPr>
                      <a:xfrm>
                        <a:off x="0" y="0"/>
                        <a:ext cx="7562850" cy="7239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40"/>
                            </w:rPr>
                            <w:alias w:val="Título"/>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65E62E25" w14:textId="71EFD1A9" w:rsidR="0041150A" w:rsidRPr="00A95C72" w:rsidRDefault="0041150A" w:rsidP="00CB6C50">
                              <w:pPr>
                                <w:pStyle w:val="Encabezado"/>
                                <w:jc w:val="left"/>
                                <w:rPr>
                                  <w:color w:val="FFFFFF" w:themeColor="background1"/>
                                  <w:sz w:val="40"/>
                                </w:rPr>
                              </w:pPr>
                              <w:r>
                                <w:rPr>
                                  <w:color w:val="FFFFFF" w:themeColor="background1"/>
                                  <w:sz w:val="40"/>
                                  <w:lang w:val="es-CR"/>
                                </w:rPr>
                                <w:t>SUPEN | Estudios e I</w:t>
                              </w:r>
                              <w:r w:rsidRPr="00A95C72">
                                <w:rPr>
                                  <w:color w:val="FFFFFF" w:themeColor="background1"/>
                                  <w:sz w:val="40"/>
                                  <w:lang w:val="es-CR"/>
                                </w:rPr>
                                <w:t>nvestigaciones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3C81B9F9" id="Rectángulo 197" o:spid="_x0000_s1026" style="position:absolute;left:0;text-align:left;margin-left:0;margin-top:0;width:595.5pt;height:57pt;z-index:-251658240;visibility:visible;mso-wrap-style:square;mso-width-percent:0;mso-height-percent:0;mso-wrap-distance-left:9.35pt;mso-wrap-distance-top:0;mso-wrap-distance-right:9.35pt;mso-wrap-distance-bottom:0;mso-position-horizontal:absolute;mso-position-horizontal-relative:page;mso-position-vertical:top;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" o:allowoverlap="f" fillcolor="#5b9bd5 [3204]" stroked="f" strokeweight="1pt">
              <v:textbox>
                <w:txbxContent>
                  <w:sdt>
                    <w:sdtPr>
                      <w:rPr>
                        <w:color w:val="FFFFFF" w:themeColor="background1"/>
                        <w:sz w:val="40"/>
                      </w:rPr>
                      <w:alias w:val="Título"/>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65E62E25" w14:textId="71EFD1A9" w:rsidR="0041150A" w:rsidRPr="00A95C72" w:rsidRDefault="0041150A" w:rsidP="00CB6C50">
                        <w:pPr>
                          <w:pStyle w:val="Encabezado"/>
                          <w:jc w:val="left"/>
                          <w:rPr>
                            <w:color w:val="FFFFFF" w:themeColor="background1"/>
                            <w:sz w:val="40"/>
                          </w:rPr>
                        </w:pPr>
                        <w:r>
                          <w:rPr>
                            <w:color w:val="FFFFFF" w:themeColor="background1"/>
                            <w:sz w:val="40"/>
                            <w:lang w:val="es-CR"/>
                          </w:rPr>
                          <w:t>SUPEN | Estudios e I</w:t>
                        </w:r>
                        <w:r w:rsidRPr="00A95C72">
                          <w:rPr>
                            <w:color w:val="FFFFFF" w:themeColor="background1"/>
                            <w:sz w:val="40"/>
                            <w:lang w:val="es-CR"/>
                          </w:rPr>
                          <w:t>nvestigaciones</w:t>
                        </w:r>
                      </w:p>
                    </w:sdtContent>
                  </w:sdt>
                </w:txbxContent>
              </v:textbox>
              <w10:wrap type="square"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D2E01"/>
    <w:multiLevelType w:val="hybridMultilevel"/>
    <w:tmpl w:val="14C62E3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08F61E3"/>
    <w:multiLevelType w:val="hybridMultilevel"/>
    <w:tmpl w:val="2CF88B6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2794F87"/>
    <w:multiLevelType w:val="hybridMultilevel"/>
    <w:tmpl w:val="530C46D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1803837"/>
    <w:multiLevelType w:val="hybridMultilevel"/>
    <w:tmpl w:val="9466A15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1C1693C"/>
    <w:multiLevelType w:val="hybridMultilevel"/>
    <w:tmpl w:val="5FE684EA"/>
    <w:lvl w:ilvl="0" w:tplc="0C0A0017">
      <w:start w:val="1"/>
      <w:numFmt w:val="lowerLetter"/>
      <w:lvlText w:val="%1)"/>
      <w:lvlJc w:val="left"/>
      <w:pPr>
        <w:ind w:left="720" w:hanging="360"/>
      </w:pPr>
    </w:lvl>
    <w:lvl w:ilvl="1" w:tplc="9D3CA050">
      <w:start w:val="1"/>
      <w:numFmt w:val="lowerRoman"/>
      <w:lvlText w:val="(%2)"/>
      <w:lvlJc w:val="left"/>
      <w:pPr>
        <w:ind w:left="1800" w:hanging="72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57B7311"/>
    <w:multiLevelType w:val="hybridMultilevel"/>
    <w:tmpl w:val="6E04FA3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9536E68"/>
    <w:multiLevelType w:val="hybridMultilevel"/>
    <w:tmpl w:val="95A67E0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F3A5377"/>
    <w:multiLevelType w:val="hybridMultilevel"/>
    <w:tmpl w:val="0EA056B0"/>
    <w:lvl w:ilvl="0" w:tplc="7E70F776">
      <w:start w:val="1"/>
      <w:numFmt w:val="decimal"/>
      <w:lvlText w:val="%1."/>
      <w:lvlJc w:val="left"/>
      <w:pPr>
        <w:ind w:left="705" w:hanging="705"/>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520F4221"/>
    <w:multiLevelType w:val="hybridMultilevel"/>
    <w:tmpl w:val="D3863B36"/>
    <w:lvl w:ilvl="0" w:tplc="9432CC14">
      <w:start w:val="1"/>
      <w:numFmt w:val="lowerLetter"/>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53B74859"/>
    <w:multiLevelType w:val="hybridMultilevel"/>
    <w:tmpl w:val="469ADF06"/>
    <w:lvl w:ilvl="0" w:tplc="7E70F776">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597B1A9A"/>
    <w:multiLevelType w:val="hybridMultilevel"/>
    <w:tmpl w:val="7AD22ED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6A4E0D80"/>
    <w:multiLevelType w:val="hybridMultilevel"/>
    <w:tmpl w:val="3568346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780C340A"/>
    <w:multiLevelType w:val="hybridMultilevel"/>
    <w:tmpl w:val="27F8AD5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7CD552D2"/>
    <w:multiLevelType w:val="hybridMultilevel"/>
    <w:tmpl w:val="119CD7A8"/>
    <w:lvl w:ilvl="0" w:tplc="0C0A0001">
      <w:start w:val="1"/>
      <w:numFmt w:val="bullet"/>
      <w:lvlText w:val=""/>
      <w:lvlJc w:val="left"/>
      <w:pPr>
        <w:ind w:left="720" w:hanging="360"/>
      </w:pPr>
      <w:rPr>
        <w:rFonts w:ascii="Symbol" w:hAnsi="Symbol" w:hint="default"/>
      </w:rPr>
    </w:lvl>
    <w:lvl w:ilvl="1" w:tplc="0C0A0017">
      <w:start w:val="1"/>
      <w:numFmt w:val="lowerLetter"/>
      <w:lvlText w:val="%2)"/>
      <w:lvlJc w:val="left"/>
      <w:pPr>
        <w:ind w:left="1440" w:hanging="360"/>
      </w:pPr>
      <w:rPr>
        <w:rFont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7D7A16FB"/>
    <w:multiLevelType w:val="hybridMultilevel"/>
    <w:tmpl w:val="876849B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8"/>
  </w:num>
  <w:num w:numId="5">
    <w:abstractNumId w:val="7"/>
  </w:num>
  <w:num w:numId="6">
    <w:abstractNumId w:val="9"/>
  </w:num>
  <w:num w:numId="7">
    <w:abstractNumId w:val="13"/>
  </w:num>
  <w:num w:numId="8">
    <w:abstractNumId w:val="11"/>
  </w:num>
  <w:num w:numId="9">
    <w:abstractNumId w:val="5"/>
  </w:num>
  <w:num w:numId="10">
    <w:abstractNumId w:val="6"/>
  </w:num>
  <w:num w:numId="11">
    <w:abstractNumId w:val="1"/>
  </w:num>
  <w:num w:numId="12">
    <w:abstractNumId w:val="12"/>
  </w:num>
  <w:num w:numId="13">
    <w:abstractNumId w:val="10"/>
  </w:num>
  <w:num w:numId="14">
    <w:abstractNumId w:val="1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hdrShapeDefaults>
    <o:shapedefaults v:ext="edit" spidmax="450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BEB"/>
    <w:rsid w:val="00003C5F"/>
    <w:rsid w:val="00004A19"/>
    <w:rsid w:val="00005054"/>
    <w:rsid w:val="00010441"/>
    <w:rsid w:val="00010920"/>
    <w:rsid w:val="00013768"/>
    <w:rsid w:val="00022E69"/>
    <w:rsid w:val="000260B7"/>
    <w:rsid w:val="0003052E"/>
    <w:rsid w:val="00034F21"/>
    <w:rsid w:val="000434B5"/>
    <w:rsid w:val="00046D03"/>
    <w:rsid w:val="00066BB0"/>
    <w:rsid w:val="00072AB7"/>
    <w:rsid w:val="00074B08"/>
    <w:rsid w:val="00076A31"/>
    <w:rsid w:val="000862DE"/>
    <w:rsid w:val="00092C82"/>
    <w:rsid w:val="000A462E"/>
    <w:rsid w:val="000B6019"/>
    <w:rsid w:val="000C422D"/>
    <w:rsid w:val="000C6E7F"/>
    <w:rsid w:val="000D0577"/>
    <w:rsid w:val="000D2AD8"/>
    <w:rsid w:val="000D7934"/>
    <w:rsid w:val="000E1A65"/>
    <w:rsid w:val="000E7BEE"/>
    <w:rsid w:val="000F4121"/>
    <w:rsid w:val="000F64AE"/>
    <w:rsid w:val="001013BF"/>
    <w:rsid w:val="001024FE"/>
    <w:rsid w:val="00104AEF"/>
    <w:rsid w:val="0011121D"/>
    <w:rsid w:val="001315EF"/>
    <w:rsid w:val="00133940"/>
    <w:rsid w:val="00135B3C"/>
    <w:rsid w:val="00136BFD"/>
    <w:rsid w:val="00144ACE"/>
    <w:rsid w:val="001509F8"/>
    <w:rsid w:val="00151F4A"/>
    <w:rsid w:val="00162BDB"/>
    <w:rsid w:val="0016355A"/>
    <w:rsid w:val="00166DD2"/>
    <w:rsid w:val="00177A8C"/>
    <w:rsid w:val="001861DC"/>
    <w:rsid w:val="0018743E"/>
    <w:rsid w:val="00191613"/>
    <w:rsid w:val="00195830"/>
    <w:rsid w:val="001978AB"/>
    <w:rsid w:val="001B1718"/>
    <w:rsid w:val="001B4E81"/>
    <w:rsid w:val="001C363D"/>
    <w:rsid w:val="001F0A7E"/>
    <w:rsid w:val="00202708"/>
    <w:rsid w:val="00203896"/>
    <w:rsid w:val="002077D3"/>
    <w:rsid w:val="002128FF"/>
    <w:rsid w:val="00212C84"/>
    <w:rsid w:val="00215F2E"/>
    <w:rsid w:val="00235D10"/>
    <w:rsid w:val="00236296"/>
    <w:rsid w:val="00253E33"/>
    <w:rsid w:val="00266BF2"/>
    <w:rsid w:val="00282588"/>
    <w:rsid w:val="002844C8"/>
    <w:rsid w:val="00290A36"/>
    <w:rsid w:val="00291240"/>
    <w:rsid w:val="002A1D75"/>
    <w:rsid w:val="002A3B9C"/>
    <w:rsid w:val="002B31E4"/>
    <w:rsid w:val="002B58BF"/>
    <w:rsid w:val="002E54BE"/>
    <w:rsid w:val="0030481A"/>
    <w:rsid w:val="003072D8"/>
    <w:rsid w:val="0030772E"/>
    <w:rsid w:val="0031097F"/>
    <w:rsid w:val="00326EE0"/>
    <w:rsid w:val="003315D6"/>
    <w:rsid w:val="00332192"/>
    <w:rsid w:val="00336BEB"/>
    <w:rsid w:val="0036085F"/>
    <w:rsid w:val="003748F3"/>
    <w:rsid w:val="0038663F"/>
    <w:rsid w:val="003873CD"/>
    <w:rsid w:val="00393A0A"/>
    <w:rsid w:val="00396FC5"/>
    <w:rsid w:val="003A3F9D"/>
    <w:rsid w:val="003B308A"/>
    <w:rsid w:val="003B4B34"/>
    <w:rsid w:val="003E2D39"/>
    <w:rsid w:val="003F3B2E"/>
    <w:rsid w:val="003F69B6"/>
    <w:rsid w:val="003F6E86"/>
    <w:rsid w:val="00402743"/>
    <w:rsid w:val="00406A59"/>
    <w:rsid w:val="0041150A"/>
    <w:rsid w:val="00413A80"/>
    <w:rsid w:val="00433331"/>
    <w:rsid w:val="0043631D"/>
    <w:rsid w:val="00440E29"/>
    <w:rsid w:val="0045099D"/>
    <w:rsid w:val="00455F18"/>
    <w:rsid w:val="004608E7"/>
    <w:rsid w:val="00464C0D"/>
    <w:rsid w:val="00465C11"/>
    <w:rsid w:val="0046798F"/>
    <w:rsid w:val="004743B8"/>
    <w:rsid w:val="004838C9"/>
    <w:rsid w:val="00490D58"/>
    <w:rsid w:val="00491B8C"/>
    <w:rsid w:val="00492E6B"/>
    <w:rsid w:val="004932FB"/>
    <w:rsid w:val="004939AE"/>
    <w:rsid w:val="004A2987"/>
    <w:rsid w:val="004A5606"/>
    <w:rsid w:val="004A6E7F"/>
    <w:rsid w:val="004B26C2"/>
    <w:rsid w:val="004C633C"/>
    <w:rsid w:val="004D2F4C"/>
    <w:rsid w:val="004D3393"/>
    <w:rsid w:val="004E3783"/>
    <w:rsid w:val="004E76A2"/>
    <w:rsid w:val="004F7097"/>
    <w:rsid w:val="0050149B"/>
    <w:rsid w:val="00501FC9"/>
    <w:rsid w:val="0052720F"/>
    <w:rsid w:val="00530CA2"/>
    <w:rsid w:val="0055382A"/>
    <w:rsid w:val="00554B6D"/>
    <w:rsid w:val="00554CEC"/>
    <w:rsid w:val="00561A88"/>
    <w:rsid w:val="00561CEE"/>
    <w:rsid w:val="00563134"/>
    <w:rsid w:val="00563E2D"/>
    <w:rsid w:val="00565D87"/>
    <w:rsid w:val="00567361"/>
    <w:rsid w:val="00592D77"/>
    <w:rsid w:val="005A5A46"/>
    <w:rsid w:val="005C653D"/>
    <w:rsid w:val="005D5A82"/>
    <w:rsid w:val="005F1B95"/>
    <w:rsid w:val="00620754"/>
    <w:rsid w:val="00624568"/>
    <w:rsid w:val="00625907"/>
    <w:rsid w:val="006320B8"/>
    <w:rsid w:val="0063759B"/>
    <w:rsid w:val="00661D74"/>
    <w:rsid w:val="00681458"/>
    <w:rsid w:val="006A09A4"/>
    <w:rsid w:val="006A573C"/>
    <w:rsid w:val="006B6A54"/>
    <w:rsid w:val="006D407E"/>
    <w:rsid w:val="006E72FF"/>
    <w:rsid w:val="006F7CEF"/>
    <w:rsid w:val="00706C1C"/>
    <w:rsid w:val="007159D5"/>
    <w:rsid w:val="007216C0"/>
    <w:rsid w:val="00723C9D"/>
    <w:rsid w:val="00726447"/>
    <w:rsid w:val="0073558B"/>
    <w:rsid w:val="00741F63"/>
    <w:rsid w:val="00756545"/>
    <w:rsid w:val="00762693"/>
    <w:rsid w:val="00762718"/>
    <w:rsid w:val="00780ECC"/>
    <w:rsid w:val="00782975"/>
    <w:rsid w:val="007829DE"/>
    <w:rsid w:val="00785ADF"/>
    <w:rsid w:val="00785B9B"/>
    <w:rsid w:val="00791B57"/>
    <w:rsid w:val="007A108F"/>
    <w:rsid w:val="007C327D"/>
    <w:rsid w:val="007C44D6"/>
    <w:rsid w:val="007E07C7"/>
    <w:rsid w:val="007E5FCB"/>
    <w:rsid w:val="007F3FDE"/>
    <w:rsid w:val="00807564"/>
    <w:rsid w:val="008116CC"/>
    <w:rsid w:val="00815A5A"/>
    <w:rsid w:val="00825BD9"/>
    <w:rsid w:val="00845646"/>
    <w:rsid w:val="008544B0"/>
    <w:rsid w:val="00866D23"/>
    <w:rsid w:val="00867782"/>
    <w:rsid w:val="00876335"/>
    <w:rsid w:val="008913ED"/>
    <w:rsid w:val="008933C5"/>
    <w:rsid w:val="00894ED6"/>
    <w:rsid w:val="00897BD3"/>
    <w:rsid w:val="008A41E3"/>
    <w:rsid w:val="008B2980"/>
    <w:rsid w:val="008B7D8E"/>
    <w:rsid w:val="008C14D0"/>
    <w:rsid w:val="008D0F9B"/>
    <w:rsid w:val="008D1184"/>
    <w:rsid w:val="009030E8"/>
    <w:rsid w:val="00916A26"/>
    <w:rsid w:val="0092098B"/>
    <w:rsid w:val="00926CEC"/>
    <w:rsid w:val="0095548C"/>
    <w:rsid w:val="00965574"/>
    <w:rsid w:val="00976791"/>
    <w:rsid w:val="00983C37"/>
    <w:rsid w:val="009B14DA"/>
    <w:rsid w:val="009B256C"/>
    <w:rsid w:val="009D0F64"/>
    <w:rsid w:val="009D4878"/>
    <w:rsid w:val="009D68C2"/>
    <w:rsid w:val="009D7A3A"/>
    <w:rsid w:val="009E4479"/>
    <w:rsid w:val="00A10DD8"/>
    <w:rsid w:val="00A26931"/>
    <w:rsid w:val="00A271B1"/>
    <w:rsid w:val="00A33D48"/>
    <w:rsid w:val="00A4456E"/>
    <w:rsid w:val="00A4646D"/>
    <w:rsid w:val="00A473F6"/>
    <w:rsid w:val="00A51821"/>
    <w:rsid w:val="00A6205E"/>
    <w:rsid w:val="00A64A1A"/>
    <w:rsid w:val="00A80004"/>
    <w:rsid w:val="00A804E1"/>
    <w:rsid w:val="00A838F7"/>
    <w:rsid w:val="00A85378"/>
    <w:rsid w:val="00A90FA5"/>
    <w:rsid w:val="00A95C72"/>
    <w:rsid w:val="00AA396E"/>
    <w:rsid w:val="00AB2582"/>
    <w:rsid w:val="00AC076B"/>
    <w:rsid w:val="00AC769B"/>
    <w:rsid w:val="00AD32EF"/>
    <w:rsid w:val="00AD426D"/>
    <w:rsid w:val="00AE0463"/>
    <w:rsid w:val="00AE11AF"/>
    <w:rsid w:val="00B03ED1"/>
    <w:rsid w:val="00B064A2"/>
    <w:rsid w:val="00B12817"/>
    <w:rsid w:val="00B2043E"/>
    <w:rsid w:val="00B20C2E"/>
    <w:rsid w:val="00B27C1C"/>
    <w:rsid w:val="00B3003C"/>
    <w:rsid w:val="00B37AF7"/>
    <w:rsid w:val="00B56F9F"/>
    <w:rsid w:val="00B60B4D"/>
    <w:rsid w:val="00B726DC"/>
    <w:rsid w:val="00B76082"/>
    <w:rsid w:val="00B85048"/>
    <w:rsid w:val="00B9103A"/>
    <w:rsid w:val="00BA0B0C"/>
    <w:rsid w:val="00BA2E54"/>
    <w:rsid w:val="00BA3061"/>
    <w:rsid w:val="00BB2270"/>
    <w:rsid w:val="00BB3075"/>
    <w:rsid w:val="00BB416A"/>
    <w:rsid w:val="00BB4590"/>
    <w:rsid w:val="00BC04DA"/>
    <w:rsid w:val="00BC3C73"/>
    <w:rsid w:val="00BD4AD4"/>
    <w:rsid w:val="00BE6CCB"/>
    <w:rsid w:val="00BE793C"/>
    <w:rsid w:val="00BF6A7B"/>
    <w:rsid w:val="00C06F13"/>
    <w:rsid w:val="00C1117E"/>
    <w:rsid w:val="00C146BA"/>
    <w:rsid w:val="00C3130A"/>
    <w:rsid w:val="00C40F60"/>
    <w:rsid w:val="00C51B12"/>
    <w:rsid w:val="00C53FEF"/>
    <w:rsid w:val="00C63FB5"/>
    <w:rsid w:val="00C65CD5"/>
    <w:rsid w:val="00C735C7"/>
    <w:rsid w:val="00C77C48"/>
    <w:rsid w:val="00C86A01"/>
    <w:rsid w:val="00C907F7"/>
    <w:rsid w:val="00CA2BB7"/>
    <w:rsid w:val="00CA55AF"/>
    <w:rsid w:val="00CB1A07"/>
    <w:rsid w:val="00CB6514"/>
    <w:rsid w:val="00CB6C50"/>
    <w:rsid w:val="00CC6C46"/>
    <w:rsid w:val="00CD0092"/>
    <w:rsid w:val="00CD6121"/>
    <w:rsid w:val="00CE29B8"/>
    <w:rsid w:val="00CE2C94"/>
    <w:rsid w:val="00CE7490"/>
    <w:rsid w:val="00CE79E4"/>
    <w:rsid w:val="00CF00FA"/>
    <w:rsid w:val="00CF11F8"/>
    <w:rsid w:val="00CF6B04"/>
    <w:rsid w:val="00D03B7B"/>
    <w:rsid w:val="00D079B3"/>
    <w:rsid w:val="00D11CF1"/>
    <w:rsid w:val="00D17D43"/>
    <w:rsid w:val="00D27B85"/>
    <w:rsid w:val="00D34FF7"/>
    <w:rsid w:val="00D535B9"/>
    <w:rsid w:val="00D61F2B"/>
    <w:rsid w:val="00D804EE"/>
    <w:rsid w:val="00D82436"/>
    <w:rsid w:val="00D83DE2"/>
    <w:rsid w:val="00D93C7C"/>
    <w:rsid w:val="00D9418D"/>
    <w:rsid w:val="00D96192"/>
    <w:rsid w:val="00DA562E"/>
    <w:rsid w:val="00DC3967"/>
    <w:rsid w:val="00DD05AE"/>
    <w:rsid w:val="00DD5831"/>
    <w:rsid w:val="00E008DB"/>
    <w:rsid w:val="00E21ADE"/>
    <w:rsid w:val="00E41740"/>
    <w:rsid w:val="00E51702"/>
    <w:rsid w:val="00E675B0"/>
    <w:rsid w:val="00E717CE"/>
    <w:rsid w:val="00E73E59"/>
    <w:rsid w:val="00E7418F"/>
    <w:rsid w:val="00E91F00"/>
    <w:rsid w:val="00E93BFC"/>
    <w:rsid w:val="00EA2C03"/>
    <w:rsid w:val="00EB3249"/>
    <w:rsid w:val="00EC79BC"/>
    <w:rsid w:val="00EC7E06"/>
    <w:rsid w:val="00ED08A1"/>
    <w:rsid w:val="00EE0E98"/>
    <w:rsid w:val="00EE3531"/>
    <w:rsid w:val="00EE3942"/>
    <w:rsid w:val="00EE3AAD"/>
    <w:rsid w:val="00EE5F7D"/>
    <w:rsid w:val="00EF2C1B"/>
    <w:rsid w:val="00EF3BB2"/>
    <w:rsid w:val="00EF737B"/>
    <w:rsid w:val="00F04C8B"/>
    <w:rsid w:val="00F17728"/>
    <w:rsid w:val="00F22418"/>
    <w:rsid w:val="00F24802"/>
    <w:rsid w:val="00F30D3F"/>
    <w:rsid w:val="00F446D0"/>
    <w:rsid w:val="00F44D4E"/>
    <w:rsid w:val="00F51690"/>
    <w:rsid w:val="00F51F78"/>
    <w:rsid w:val="00F530BF"/>
    <w:rsid w:val="00F53564"/>
    <w:rsid w:val="00F54438"/>
    <w:rsid w:val="00F713E7"/>
    <w:rsid w:val="00F71B46"/>
    <w:rsid w:val="00F74127"/>
    <w:rsid w:val="00F748FA"/>
    <w:rsid w:val="00F75288"/>
    <w:rsid w:val="00F75FB6"/>
    <w:rsid w:val="00F861DB"/>
    <w:rsid w:val="00FA2117"/>
    <w:rsid w:val="00FA463A"/>
    <w:rsid w:val="00FA6078"/>
    <w:rsid w:val="00FA68EA"/>
    <w:rsid w:val="00FA77AD"/>
    <w:rsid w:val="00FB24C5"/>
    <w:rsid w:val="00FB5599"/>
    <w:rsid w:val="00FC397B"/>
    <w:rsid w:val="00FC4F5D"/>
    <w:rsid w:val="00FD07E4"/>
    <w:rsid w:val="00FD34CF"/>
    <w:rsid w:val="00FD69EA"/>
    <w:rsid w:val="00FE2CB2"/>
    <w:rsid w:val="00FE4A4B"/>
    <w:rsid w:val="00FE6CBD"/>
    <w:rsid w:val="00FF0FCF"/>
    <w:rsid w:val="00FF555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2BDD36A9"/>
  <w15:chartTrackingRefBased/>
  <w15:docId w15:val="{93BD6993-1037-41BC-9749-25530A7D8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95C72"/>
    <w:pPr>
      <w:spacing w:after="0" w:line="240" w:lineRule="auto"/>
      <w:jc w:val="both"/>
    </w:pPr>
    <w:rPr>
      <w:rFonts w:ascii="Arial" w:hAnsi="Arial"/>
    </w:rPr>
  </w:style>
  <w:style w:type="paragraph" w:styleId="Ttulo1">
    <w:name w:val="heading 1"/>
    <w:basedOn w:val="Normal"/>
    <w:next w:val="Normal"/>
    <w:link w:val="Ttulo1Car"/>
    <w:uiPriority w:val="9"/>
    <w:qFormat/>
    <w:rsid w:val="00B85048"/>
    <w:pPr>
      <w:keepNext/>
      <w:keepLines/>
      <w:spacing w:before="240"/>
      <w:outlineLvl w:val="0"/>
    </w:pPr>
    <w:rPr>
      <w:rFonts w:asciiTheme="majorHAnsi" w:eastAsiaTheme="majorEastAsia" w:hAnsiTheme="majorHAnsi" w:cstheme="majorBidi"/>
      <w:smallCaps/>
      <w:color w:val="2E74B5" w:themeColor="accent1" w:themeShade="BF"/>
      <w:sz w:val="32"/>
      <w:szCs w:val="32"/>
    </w:rPr>
  </w:style>
  <w:style w:type="paragraph" w:styleId="Ttulo2">
    <w:name w:val="heading 2"/>
    <w:basedOn w:val="Normal"/>
    <w:next w:val="Normal"/>
    <w:link w:val="Ttulo2Car"/>
    <w:uiPriority w:val="9"/>
    <w:unhideWhenUsed/>
    <w:qFormat/>
    <w:rsid w:val="00A26931"/>
    <w:pPr>
      <w:keepNext/>
      <w:keepLines/>
      <w:jc w:val="center"/>
      <w:outlineLvl w:val="1"/>
    </w:pPr>
    <w:rPr>
      <w:rFonts w:asciiTheme="majorHAnsi" w:eastAsiaTheme="majorEastAsia" w:hAnsiTheme="majorHAnsi" w:cstheme="majorBidi"/>
      <w:b/>
      <w:caps/>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B6C50"/>
    <w:pPr>
      <w:tabs>
        <w:tab w:val="center" w:pos="4252"/>
        <w:tab w:val="right" w:pos="8504"/>
      </w:tabs>
    </w:pPr>
  </w:style>
  <w:style w:type="character" w:customStyle="1" w:styleId="EncabezadoCar">
    <w:name w:val="Encabezado Car"/>
    <w:basedOn w:val="Fuentedeprrafopredeter"/>
    <w:link w:val="Encabezado"/>
    <w:uiPriority w:val="99"/>
    <w:rsid w:val="00CB6C50"/>
  </w:style>
  <w:style w:type="paragraph" w:styleId="Piedepgina">
    <w:name w:val="footer"/>
    <w:basedOn w:val="Normal"/>
    <w:link w:val="PiedepginaCar"/>
    <w:uiPriority w:val="99"/>
    <w:unhideWhenUsed/>
    <w:rsid w:val="00CB6C50"/>
    <w:pPr>
      <w:tabs>
        <w:tab w:val="center" w:pos="4252"/>
        <w:tab w:val="right" w:pos="8504"/>
      </w:tabs>
    </w:pPr>
  </w:style>
  <w:style w:type="character" w:customStyle="1" w:styleId="PiedepginaCar">
    <w:name w:val="Pie de página Car"/>
    <w:basedOn w:val="Fuentedeprrafopredeter"/>
    <w:link w:val="Piedepgina"/>
    <w:uiPriority w:val="99"/>
    <w:rsid w:val="00CB6C50"/>
  </w:style>
  <w:style w:type="paragraph" w:styleId="Textonotapie">
    <w:name w:val="footnote text"/>
    <w:basedOn w:val="Normal"/>
    <w:link w:val="TextonotapieCar"/>
    <w:uiPriority w:val="99"/>
    <w:semiHidden/>
    <w:unhideWhenUsed/>
    <w:rsid w:val="00CB6C50"/>
    <w:rPr>
      <w:sz w:val="20"/>
      <w:szCs w:val="20"/>
    </w:rPr>
  </w:style>
  <w:style w:type="character" w:customStyle="1" w:styleId="TextonotapieCar">
    <w:name w:val="Texto nota pie Car"/>
    <w:basedOn w:val="Fuentedeprrafopredeter"/>
    <w:link w:val="Textonotapie"/>
    <w:uiPriority w:val="99"/>
    <w:semiHidden/>
    <w:rsid w:val="00CB6C50"/>
    <w:rPr>
      <w:sz w:val="20"/>
      <w:szCs w:val="20"/>
    </w:rPr>
  </w:style>
  <w:style w:type="character" w:styleId="Refdenotaalpie">
    <w:name w:val="footnote reference"/>
    <w:basedOn w:val="Fuentedeprrafopredeter"/>
    <w:uiPriority w:val="99"/>
    <w:semiHidden/>
    <w:unhideWhenUsed/>
    <w:rsid w:val="00CB6C50"/>
    <w:rPr>
      <w:vertAlign w:val="superscript"/>
    </w:rPr>
  </w:style>
  <w:style w:type="character" w:styleId="Hipervnculo">
    <w:name w:val="Hyperlink"/>
    <w:basedOn w:val="Fuentedeprrafopredeter"/>
    <w:uiPriority w:val="99"/>
    <w:unhideWhenUsed/>
    <w:rsid w:val="00332192"/>
    <w:rPr>
      <w:color w:val="0563C1" w:themeColor="hyperlink"/>
      <w:u w:val="single"/>
    </w:rPr>
  </w:style>
  <w:style w:type="character" w:customStyle="1" w:styleId="Ttulo1Car">
    <w:name w:val="Título 1 Car"/>
    <w:basedOn w:val="Fuentedeprrafopredeter"/>
    <w:link w:val="Ttulo1"/>
    <w:uiPriority w:val="9"/>
    <w:rsid w:val="00B85048"/>
    <w:rPr>
      <w:rFonts w:asciiTheme="majorHAnsi" w:eastAsiaTheme="majorEastAsia" w:hAnsiTheme="majorHAnsi" w:cstheme="majorBidi"/>
      <w:smallCaps/>
      <w:color w:val="2E74B5" w:themeColor="accent1" w:themeShade="BF"/>
      <w:sz w:val="32"/>
      <w:szCs w:val="32"/>
    </w:rPr>
  </w:style>
  <w:style w:type="character" w:styleId="Hipervnculovisitado">
    <w:name w:val="FollowedHyperlink"/>
    <w:basedOn w:val="Fuentedeprrafopredeter"/>
    <w:uiPriority w:val="99"/>
    <w:semiHidden/>
    <w:unhideWhenUsed/>
    <w:rsid w:val="00B76082"/>
    <w:rPr>
      <w:color w:val="954F72" w:themeColor="followedHyperlink"/>
      <w:u w:val="single"/>
    </w:rPr>
  </w:style>
  <w:style w:type="table" w:styleId="Tablaconcuadrcula">
    <w:name w:val="Table Grid"/>
    <w:basedOn w:val="Tablanormal"/>
    <w:uiPriority w:val="59"/>
    <w:rsid w:val="00CE79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90A36"/>
    <w:pPr>
      <w:ind w:left="720"/>
      <w:contextualSpacing/>
    </w:pPr>
  </w:style>
  <w:style w:type="character" w:customStyle="1" w:styleId="Ttulo2Car">
    <w:name w:val="Título 2 Car"/>
    <w:basedOn w:val="Fuentedeprrafopredeter"/>
    <w:link w:val="Ttulo2"/>
    <w:uiPriority w:val="9"/>
    <w:rsid w:val="00A26931"/>
    <w:rPr>
      <w:rFonts w:asciiTheme="majorHAnsi" w:eastAsiaTheme="majorEastAsia" w:hAnsiTheme="majorHAnsi" w:cstheme="majorBidi"/>
      <w:b/>
      <w:caps/>
      <w:color w:val="2E74B5" w:themeColor="accent1" w:themeShade="BF"/>
      <w:sz w:val="26"/>
      <w:szCs w:val="26"/>
    </w:rPr>
  </w:style>
  <w:style w:type="character" w:customStyle="1" w:styleId="hps">
    <w:name w:val="hps"/>
    <w:basedOn w:val="Fuentedeprrafopredeter"/>
    <w:rsid w:val="0050149B"/>
  </w:style>
  <w:style w:type="character" w:styleId="Refdecomentario">
    <w:name w:val="annotation reference"/>
    <w:basedOn w:val="Fuentedeprrafopredeter"/>
    <w:uiPriority w:val="99"/>
    <w:semiHidden/>
    <w:unhideWhenUsed/>
    <w:rsid w:val="0018743E"/>
    <w:rPr>
      <w:sz w:val="16"/>
      <w:szCs w:val="16"/>
    </w:rPr>
  </w:style>
  <w:style w:type="paragraph" w:styleId="Textocomentario">
    <w:name w:val="annotation text"/>
    <w:basedOn w:val="Normal"/>
    <w:link w:val="TextocomentarioCar"/>
    <w:uiPriority w:val="99"/>
    <w:semiHidden/>
    <w:unhideWhenUsed/>
    <w:rsid w:val="0018743E"/>
    <w:rPr>
      <w:sz w:val="20"/>
      <w:szCs w:val="20"/>
    </w:rPr>
  </w:style>
  <w:style w:type="character" w:customStyle="1" w:styleId="TextocomentarioCar">
    <w:name w:val="Texto comentario Car"/>
    <w:basedOn w:val="Fuentedeprrafopredeter"/>
    <w:link w:val="Textocomentario"/>
    <w:uiPriority w:val="99"/>
    <w:semiHidden/>
    <w:rsid w:val="0018743E"/>
    <w:rPr>
      <w:rFonts w:ascii="Arial" w:hAnsi="Arial"/>
      <w:sz w:val="20"/>
      <w:szCs w:val="20"/>
    </w:rPr>
  </w:style>
  <w:style w:type="paragraph" w:styleId="Asuntodelcomentario">
    <w:name w:val="annotation subject"/>
    <w:basedOn w:val="Textocomentario"/>
    <w:next w:val="Textocomentario"/>
    <w:link w:val="AsuntodelcomentarioCar"/>
    <w:uiPriority w:val="99"/>
    <w:semiHidden/>
    <w:unhideWhenUsed/>
    <w:rsid w:val="0018743E"/>
    <w:rPr>
      <w:b/>
      <w:bCs/>
    </w:rPr>
  </w:style>
  <w:style w:type="character" w:customStyle="1" w:styleId="AsuntodelcomentarioCar">
    <w:name w:val="Asunto del comentario Car"/>
    <w:basedOn w:val="TextocomentarioCar"/>
    <w:link w:val="Asuntodelcomentario"/>
    <w:uiPriority w:val="99"/>
    <w:semiHidden/>
    <w:rsid w:val="0018743E"/>
    <w:rPr>
      <w:rFonts w:ascii="Arial" w:hAnsi="Arial"/>
      <w:b/>
      <w:bCs/>
      <w:sz w:val="20"/>
      <w:szCs w:val="20"/>
    </w:rPr>
  </w:style>
  <w:style w:type="paragraph" w:styleId="Textodeglobo">
    <w:name w:val="Balloon Text"/>
    <w:basedOn w:val="Normal"/>
    <w:link w:val="TextodegloboCar"/>
    <w:uiPriority w:val="99"/>
    <w:semiHidden/>
    <w:unhideWhenUsed/>
    <w:rsid w:val="0018743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8743E"/>
    <w:rPr>
      <w:rFonts w:ascii="Segoe UI" w:hAnsi="Segoe UI" w:cs="Segoe UI"/>
      <w:sz w:val="18"/>
      <w:szCs w:val="18"/>
    </w:rPr>
  </w:style>
  <w:style w:type="table" w:styleId="Tabladecuadrcula1clara">
    <w:name w:val="Grid Table 1 Light"/>
    <w:basedOn w:val="Tablanormal"/>
    <w:uiPriority w:val="46"/>
    <w:rsid w:val="00A271B1"/>
    <w:pPr>
      <w:spacing w:after="0" w:line="240" w:lineRule="auto"/>
    </w:pPr>
    <w:rPr>
      <w:lang w:val="es-CR"/>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1">
    <w:name w:val="Tabla de cuadrícula 1 clara1"/>
    <w:basedOn w:val="Tablanormal"/>
    <w:uiPriority w:val="46"/>
    <w:rsid w:val="001861DC"/>
    <w:pPr>
      <w:spacing w:after="0" w:line="240" w:lineRule="auto"/>
    </w:pPr>
    <w:rPr>
      <w:lang w:val="es-CR"/>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917740">
      <w:bodyDiv w:val="1"/>
      <w:marLeft w:val="0"/>
      <w:marRight w:val="0"/>
      <w:marTop w:val="0"/>
      <w:marBottom w:val="0"/>
      <w:divBdr>
        <w:top w:val="none" w:sz="0" w:space="0" w:color="auto"/>
        <w:left w:val="none" w:sz="0" w:space="0" w:color="auto"/>
        <w:bottom w:val="none" w:sz="0" w:space="0" w:color="auto"/>
        <w:right w:val="none" w:sz="0" w:space="0" w:color="auto"/>
      </w:divBdr>
    </w:div>
    <w:div w:id="441997652">
      <w:bodyDiv w:val="1"/>
      <w:marLeft w:val="0"/>
      <w:marRight w:val="0"/>
      <w:marTop w:val="0"/>
      <w:marBottom w:val="0"/>
      <w:divBdr>
        <w:top w:val="none" w:sz="0" w:space="0" w:color="auto"/>
        <w:left w:val="none" w:sz="0" w:space="0" w:color="auto"/>
        <w:bottom w:val="none" w:sz="0" w:space="0" w:color="auto"/>
        <w:right w:val="none" w:sz="0" w:space="0" w:color="auto"/>
      </w:divBdr>
    </w:div>
    <w:div w:id="448932874">
      <w:bodyDiv w:val="1"/>
      <w:marLeft w:val="0"/>
      <w:marRight w:val="0"/>
      <w:marTop w:val="0"/>
      <w:marBottom w:val="0"/>
      <w:divBdr>
        <w:top w:val="none" w:sz="0" w:space="0" w:color="auto"/>
        <w:left w:val="none" w:sz="0" w:space="0" w:color="auto"/>
        <w:bottom w:val="none" w:sz="0" w:space="0" w:color="auto"/>
        <w:right w:val="none" w:sz="0" w:space="0" w:color="auto"/>
      </w:divBdr>
    </w:div>
    <w:div w:id="581721630">
      <w:bodyDiv w:val="1"/>
      <w:marLeft w:val="0"/>
      <w:marRight w:val="0"/>
      <w:marTop w:val="0"/>
      <w:marBottom w:val="0"/>
      <w:divBdr>
        <w:top w:val="none" w:sz="0" w:space="0" w:color="auto"/>
        <w:left w:val="none" w:sz="0" w:space="0" w:color="auto"/>
        <w:bottom w:val="none" w:sz="0" w:space="0" w:color="auto"/>
        <w:right w:val="none" w:sz="0" w:space="0" w:color="auto"/>
      </w:divBdr>
    </w:div>
    <w:div w:id="714432789">
      <w:bodyDiv w:val="1"/>
      <w:marLeft w:val="0"/>
      <w:marRight w:val="0"/>
      <w:marTop w:val="0"/>
      <w:marBottom w:val="0"/>
      <w:divBdr>
        <w:top w:val="none" w:sz="0" w:space="0" w:color="auto"/>
        <w:left w:val="none" w:sz="0" w:space="0" w:color="auto"/>
        <w:bottom w:val="none" w:sz="0" w:space="0" w:color="auto"/>
        <w:right w:val="none" w:sz="0" w:space="0" w:color="auto"/>
      </w:divBdr>
    </w:div>
    <w:div w:id="886068845">
      <w:bodyDiv w:val="1"/>
      <w:marLeft w:val="0"/>
      <w:marRight w:val="0"/>
      <w:marTop w:val="0"/>
      <w:marBottom w:val="0"/>
      <w:divBdr>
        <w:top w:val="none" w:sz="0" w:space="0" w:color="auto"/>
        <w:left w:val="none" w:sz="0" w:space="0" w:color="auto"/>
        <w:bottom w:val="none" w:sz="0" w:space="0" w:color="auto"/>
        <w:right w:val="none" w:sz="0" w:space="0" w:color="auto"/>
      </w:divBdr>
    </w:div>
    <w:div w:id="891384946">
      <w:bodyDiv w:val="1"/>
      <w:marLeft w:val="0"/>
      <w:marRight w:val="0"/>
      <w:marTop w:val="0"/>
      <w:marBottom w:val="0"/>
      <w:divBdr>
        <w:top w:val="none" w:sz="0" w:space="0" w:color="auto"/>
        <w:left w:val="none" w:sz="0" w:space="0" w:color="auto"/>
        <w:bottom w:val="none" w:sz="0" w:space="0" w:color="auto"/>
        <w:right w:val="none" w:sz="0" w:space="0" w:color="auto"/>
      </w:divBdr>
    </w:div>
    <w:div w:id="1135827748">
      <w:bodyDiv w:val="1"/>
      <w:marLeft w:val="0"/>
      <w:marRight w:val="0"/>
      <w:marTop w:val="0"/>
      <w:marBottom w:val="0"/>
      <w:divBdr>
        <w:top w:val="none" w:sz="0" w:space="0" w:color="auto"/>
        <w:left w:val="none" w:sz="0" w:space="0" w:color="auto"/>
        <w:bottom w:val="none" w:sz="0" w:space="0" w:color="auto"/>
        <w:right w:val="none" w:sz="0" w:space="0" w:color="auto"/>
      </w:divBdr>
    </w:div>
    <w:div w:id="1142846337">
      <w:bodyDiv w:val="1"/>
      <w:marLeft w:val="0"/>
      <w:marRight w:val="0"/>
      <w:marTop w:val="0"/>
      <w:marBottom w:val="0"/>
      <w:divBdr>
        <w:top w:val="none" w:sz="0" w:space="0" w:color="auto"/>
        <w:left w:val="none" w:sz="0" w:space="0" w:color="auto"/>
        <w:bottom w:val="none" w:sz="0" w:space="0" w:color="auto"/>
        <w:right w:val="none" w:sz="0" w:space="0" w:color="auto"/>
      </w:divBdr>
    </w:div>
    <w:div w:id="1191530528">
      <w:bodyDiv w:val="1"/>
      <w:marLeft w:val="0"/>
      <w:marRight w:val="0"/>
      <w:marTop w:val="0"/>
      <w:marBottom w:val="0"/>
      <w:divBdr>
        <w:top w:val="none" w:sz="0" w:space="0" w:color="auto"/>
        <w:left w:val="none" w:sz="0" w:space="0" w:color="auto"/>
        <w:bottom w:val="none" w:sz="0" w:space="0" w:color="auto"/>
        <w:right w:val="none" w:sz="0" w:space="0" w:color="auto"/>
      </w:divBdr>
    </w:div>
    <w:div w:id="1224024578">
      <w:bodyDiv w:val="1"/>
      <w:marLeft w:val="0"/>
      <w:marRight w:val="0"/>
      <w:marTop w:val="0"/>
      <w:marBottom w:val="0"/>
      <w:divBdr>
        <w:top w:val="none" w:sz="0" w:space="0" w:color="auto"/>
        <w:left w:val="none" w:sz="0" w:space="0" w:color="auto"/>
        <w:bottom w:val="none" w:sz="0" w:space="0" w:color="auto"/>
        <w:right w:val="none" w:sz="0" w:space="0" w:color="auto"/>
      </w:divBdr>
    </w:div>
    <w:div w:id="1522940544">
      <w:bodyDiv w:val="1"/>
      <w:marLeft w:val="0"/>
      <w:marRight w:val="0"/>
      <w:marTop w:val="0"/>
      <w:marBottom w:val="0"/>
      <w:divBdr>
        <w:top w:val="none" w:sz="0" w:space="0" w:color="auto"/>
        <w:left w:val="none" w:sz="0" w:space="0" w:color="auto"/>
        <w:bottom w:val="none" w:sz="0" w:space="0" w:color="auto"/>
        <w:right w:val="none" w:sz="0" w:space="0" w:color="auto"/>
      </w:divBdr>
    </w:div>
    <w:div w:id="1674991766">
      <w:bodyDiv w:val="1"/>
      <w:marLeft w:val="0"/>
      <w:marRight w:val="0"/>
      <w:marTop w:val="0"/>
      <w:marBottom w:val="0"/>
      <w:divBdr>
        <w:top w:val="none" w:sz="0" w:space="0" w:color="auto"/>
        <w:left w:val="none" w:sz="0" w:space="0" w:color="auto"/>
        <w:bottom w:val="none" w:sz="0" w:space="0" w:color="auto"/>
        <w:right w:val="none" w:sz="0" w:space="0" w:color="auto"/>
      </w:divBdr>
    </w:div>
    <w:div w:id="1749686762">
      <w:bodyDiv w:val="1"/>
      <w:marLeft w:val="0"/>
      <w:marRight w:val="0"/>
      <w:marTop w:val="0"/>
      <w:marBottom w:val="0"/>
      <w:divBdr>
        <w:top w:val="none" w:sz="0" w:space="0" w:color="auto"/>
        <w:left w:val="none" w:sz="0" w:space="0" w:color="auto"/>
        <w:bottom w:val="none" w:sz="0" w:space="0" w:color="auto"/>
        <w:right w:val="none" w:sz="0" w:space="0" w:color="auto"/>
      </w:divBdr>
    </w:div>
    <w:div w:id="1779328919">
      <w:bodyDiv w:val="1"/>
      <w:marLeft w:val="0"/>
      <w:marRight w:val="0"/>
      <w:marTop w:val="0"/>
      <w:marBottom w:val="0"/>
      <w:divBdr>
        <w:top w:val="none" w:sz="0" w:space="0" w:color="auto"/>
        <w:left w:val="none" w:sz="0" w:space="0" w:color="auto"/>
        <w:bottom w:val="none" w:sz="0" w:space="0" w:color="auto"/>
        <w:right w:val="none" w:sz="0" w:space="0" w:color="auto"/>
      </w:divBdr>
    </w:div>
    <w:div w:id="2010715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onsar.gob.mx/limite_inversio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pensiones.cl/portal/regulacion/582/articles-10257_recurso_1.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www.aiosfp.org/estadisticas/boletin-estadistico-aio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uperfinanciera.gov.co/jsp/loader.jsf?lServicio=Publicaciones&amp;lTipo=publicaciones&amp;lFuncion=loadContenidoPublicacion&amp;id=9118"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banxico.org.mx/sistema-financiero/material-educativo/basico/fichas/indicadores-financieros/%7BB22F2DA4-55B2-F16E-FA06-CC3273F07379%7D.pdf" TargetMode="External"/><Relationship Id="rId1" Type="http://schemas.openxmlformats.org/officeDocument/2006/relationships/hyperlink" Target="https://www.supen.fi.cr/documents/10179/18110/Reglamento+de+inversiones+de+las+Entidades+regulad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2AB0DC814BF8D4DA8F53531F2584D5A" ma:contentTypeVersion="6" ma:contentTypeDescription="Crear nuevo documento." ma:contentTypeScope="" ma:versionID="92a66a773203ee493e65df8409218705">
  <xsd:schema xmlns:xsd="http://www.w3.org/2001/XMLSchema" xmlns:xs="http://www.w3.org/2001/XMLSchema" xmlns:p="http://schemas.microsoft.com/office/2006/metadata/properties" xmlns:ns2="abcd77d0-6cc8-47bc-9c9c-502c201b5bcf" xmlns:ns3="0f01b33b-af6d-466e-808f-b63681c2fce0" targetNamespace="http://schemas.microsoft.com/office/2006/metadata/properties" ma:root="true" ma:fieldsID="167cfe42d72fb3b1dc6520a5ffea107f" ns2:_="" ns3:_="">
    <xsd:import namespace="abcd77d0-6cc8-47bc-9c9c-502c201b5bcf"/>
    <xsd:import namespace="0f01b33b-af6d-466e-808f-b63681c2fce0"/>
    <xsd:element name="properties">
      <xsd:complexType>
        <xsd:sequence>
          <xsd:element name="documentManagement">
            <xsd:complexType>
              <xsd:all>
                <xsd:element ref="ns2:SharedWithUsers" minOccurs="0"/>
                <xsd:element ref="ns2:SharingHintHash" minOccurs="0"/>
                <xsd:element ref="ns3:SharedWithDetails" minOccurs="0"/>
                <xsd:element ref="ns3:LastSharedByUser" minOccurs="0"/>
                <xsd:element ref="ns3: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cd77d0-6cc8-47bc-9c9c-502c201b5bcf"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ash de la sugerencia para compartir"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01b33b-af6d-466e-808f-b63681c2fce0" elementFormDefault="qualified">
    <xsd:import namespace="http://schemas.microsoft.com/office/2006/documentManagement/types"/>
    <xsd:import namespace="http://schemas.microsoft.com/office/infopath/2007/PartnerControls"/>
    <xsd:element name="SharedWithDetails" ma:index="10" nillable="true" ma:displayName="Detalles de uso compartido" ma:description="" ma:internalName="SharedWithDetails" ma:readOnly="true">
      <xsd:simpleType>
        <xsd:restriction base="dms:Note">
          <xsd:maxLength value="255"/>
        </xsd:restriction>
      </xsd:simpleType>
    </xsd:element>
    <xsd:element name="LastSharedByUser" ma:index="11" nillable="true" ma:displayName="Última vez que se compartió por usuario" ma:description="" ma:internalName="LastSharedByUser" ma:readOnly="true">
      <xsd:simpleType>
        <xsd:restriction base="dms:Note">
          <xsd:maxLength value="255"/>
        </xsd:restriction>
      </xsd:simpleType>
    </xsd:element>
    <xsd:element name="LastSharedByTime" ma:index="12" nillable="true" ma:displayName="Última vez que se compartió por hora"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abcd77d0-6cc8-47bc-9c9c-502c201b5bcf">
      <UserInfo>
        <DisplayName>Álvaro Ramos Chaves</DisplayName>
        <AccountId>235</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9B03DB-32CF-4583-96B9-685A3589D4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cd77d0-6cc8-47bc-9c9c-502c201b5bcf"/>
    <ds:schemaRef ds:uri="0f01b33b-af6d-466e-808f-b63681c2fc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11A71E-22FE-43CC-BBEC-5C5572A94A5B}">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0f01b33b-af6d-466e-808f-b63681c2fce0"/>
    <ds:schemaRef ds:uri="http://purl.org/dc/terms/"/>
    <ds:schemaRef ds:uri="http://schemas.openxmlformats.org/package/2006/metadata/core-properties"/>
    <ds:schemaRef ds:uri="abcd77d0-6cc8-47bc-9c9c-502c201b5bcf"/>
    <ds:schemaRef ds:uri="http://www.w3.org/XML/1998/namespace"/>
    <ds:schemaRef ds:uri="http://purl.org/dc/dcmitype/"/>
  </ds:schemaRefs>
</ds:datastoreItem>
</file>

<file path=customXml/itemProps3.xml><?xml version="1.0" encoding="utf-8"?>
<ds:datastoreItem xmlns:ds="http://schemas.openxmlformats.org/officeDocument/2006/customXml" ds:itemID="{71E65D75-43C6-4BF1-B98C-D90F0EE95F44}">
  <ds:schemaRefs>
    <ds:schemaRef ds:uri="http://schemas.microsoft.com/sharepoint/v3/contenttype/forms"/>
  </ds:schemaRefs>
</ds:datastoreItem>
</file>

<file path=customXml/itemProps4.xml><?xml version="1.0" encoding="utf-8"?>
<ds:datastoreItem xmlns:ds="http://schemas.openxmlformats.org/officeDocument/2006/customXml" ds:itemID="{D475B7E6-86AF-4907-A933-23DC7E045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5753</Words>
  <Characters>31642</Characters>
  <Application>Microsoft Office Word</Application>
  <DocSecurity>0</DocSecurity>
  <Lines>263</Lines>
  <Paragraphs>74</Paragraphs>
  <ScaleCrop>false</ScaleCrop>
  <HeadingPairs>
    <vt:vector size="2" baseType="variant">
      <vt:variant>
        <vt:lpstr>Título</vt:lpstr>
      </vt:variant>
      <vt:variant>
        <vt:i4>1</vt:i4>
      </vt:variant>
    </vt:vector>
  </HeadingPairs>
  <TitlesOfParts>
    <vt:vector size="1" baseType="lpstr">
      <vt:lpstr>SUPEN | Estudios e Investigaciones</vt:lpstr>
    </vt:vector>
  </TitlesOfParts>
  <Company/>
  <LinksUpToDate>false</LinksUpToDate>
  <CharactersWithSpaces>37321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SUPEN | Estudios e Investigaciones</dc:title>
  <dc:subject/>
  <dc:creator>Rudy Corrales Vega</dc:creator>
  <cp:keywords/>
  <dc:description/>
  <cp:lastModifiedBy>Rudy Corrales Vega</cp:lastModifiedBy>
  <cp:revision>2</cp:revision>
  <dcterms:created xsi:type="dcterms:W3CDTF">2017-04-04T16:30:00Z</dcterms:created>
  <dcterms:modified xsi:type="dcterms:W3CDTF">2017-04-04T16:30:00Z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0x01010042AB0DC814BF8D4DA8F53531F2584D5A</vt:lpwstr>
  </property>
</Properties>
</file>