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0B1CD" w14:textId="77777777" w:rsidR="000A2A59" w:rsidRPr="00134CCA" w:rsidRDefault="000A2A59" w:rsidP="009704B4">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SUPERINTENDENCIA DE PENSIONES</w:t>
      </w:r>
    </w:p>
    <w:p w14:paraId="6FF21170"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104DD5C3" w14:textId="0285A824"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150E5782"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623FDC82"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46FB4F9A"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3229A1C2" w14:textId="026D22FF"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INFORME</w:t>
      </w:r>
      <w:r w:rsidR="00AE0BEF"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A LA JUNTA DIRECTIVA DE LA </w:t>
      </w:r>
      <w:r w:rsidR="00EE003F"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CAJA COSTARRICENSE DE SEGURO SOCIAL</w:t>
      </w:r>
      <w:r w:rsidR="00AE0BEF"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w:t>
      </w:r>
      <w:r w:rsidR="00EE5FBD"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Y AL</w:t>
      </w:r>
      <w:r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COMITÉ DE VIGILANCIA </w:t>
      </w:r>
    </w:p>
    <w:p w14:paraId="022F6F04"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DEL RÉGIMEN DE INVALIDEZ, VEJEZ Y MUERTE</w:t>
      </w:r>
    </w:p>
    <w:p w14:paraId="70C29044"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73257A29" w14:textId="28898D82" w:rsidR="000A2A59" w:rsidRPr="00134CCA" w:rsidRDefault="004055B1"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ICV-201</w:t>
      </w:r>
      <w:r w:rsidR="008253BF">
        <w:rPr>
          <w:rFonts w:ascii="Times New Roman" w:hAnsi="Times New Roman" w:cs="Times New Roman"/>
          <w:b/>
          <w:sz w:val="28"/>
          <w:szCs w:val="28"/>
          <w14:shadow w14:blurRad="50800" w14:dist="38100" w14:dir="2700000" w14:sx="100000" w14:sy="100000" w14:kx="0" w14:ky="0" w14:algn="tl">
            <w14:srgbClr w14:val="000000">
              <w14:alpha w14:val="60000"/>
            </w14:srgbClr>
          </w14:shadow>
        </w:rPr>
        <w:t>6</w:t>
      </w:r>
      <w:r w:rsidR="000A2A59"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-01</w:t>
      </w:r>
    </w:p>
    <w:p w14:paraId="7FCC7898"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623B493E"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1775AA44"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1811A4E8"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77F02694"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5304F4D9" w14:textId="77777777" w:rsidR="000A2A59" w:rsidRPr="00134CCA" w:rsidRDefault="000A2A59"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0032170E" w14:textId="6116166E" w:rsidR="000A2A59" w:rsidRPr="00134CCA" w:rsidRDefault="005D4FAE"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OCTUBRE</w:t>
      </w:r>
      <w:r w:rsidR="00ED5B7F">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w:t>
      </w:r>
      <w:r w:rsidR="009D36FD" w:rsidRPr="00134CCA">
        <w:rPr>
          <w:rFonts w:ascii="Times New Roman" w:hAnsi="Times New Roman" w:cs="Times New Roman"/>
          <w:b/>
          <w:sz w:val="28"/>
          <w:szCs w:val="28"/>
          <w14:shadow w14:blurRad="50800" w14:dist="38100" w14:dir="2700000" w14:sx="100000" w14:sy="100000" w14:kx="0" w14:ky="0" w14:algn="tl">
            <w14:srgbClr w14:val="000000">
              <w14:alpha w14:val="60000"/>
            </w14:srgbClr>
          </w14:shadow>
        </w:rPr>
        <w:t>DE</w:t>
      </w:r>
      <w:r w:rsidR="00966165">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2017</w:t>
      </w:r>
    </w:p>
    <w:p w14:paraId="1CAB2EFB" w14:textId="77777777" w:rsidR="00207953" w:rsidRPr="00125F2A" w:rsidRDefault="00207953" w:rsidP="009704B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654D12AC" w14:textId="39E73D98" w:rsidR="001E221B" w:rsidRDefault="001E221B">
      <w:pPr>
        <w:rPr>
          <w:rFonts w:ascii="Times New Roman" w:hAnsi="Times New Roman" w:cs="Times New Roman"/>
          <w:sz w:val="24"/>
          <w:szCs w:val="24"/>
        </w:rPr>
      </w:pPr>
    </w:p>
    <w:p w14:paraId="7732CDE0" w14:textId="51CB7F99" w:rsidR="00FC245D" w:rsidRDefault="00FC245D">
      <w:pPr>
        <w:rPr>
          <w:rFonts w:ascii="Times New Roman" w:hAnsi="Times New Roman" w:cs="Times New Roman"/>
          <w:sz w:val="24"/>
          <w:szCs w:val="24"/>
        </w:rPr>
      </w:pPr>
    </w:p>
    <w:p w14:paraId="06EAF716" w14:textId="3275610A" w:rsidR="00FC245D" w:rsidRDefault="00FC245D">
      <w:pPr>
        <w:rPr>
          <w:rFonts w:ascii="Times New Roman" w:hAnsi="Times New Roman" w:cs="Times New Roman"/>
          <w:sz w:val="24"/>
          <w:szCs w:val="24"/>
        </w:rPr>
      </w:pPr>
    </w:p>
    <w:p w14:paraId="5C187F78" w14:textId="35827691" w:rsidR="00FC245D" w:rsidRDefault="00FC245D">
      <w:pPr>
        <w:rPr>
          <w:rFonts w:ascii="Times New Roman" w:hAnsi="Times New Roman" w:cs="Times New Roman"/>
          <w:sz w:val="24"/>
          <w:szCs w:val="24"/>
        </w:rPr>
      </w:pPr>
    </w:p>
    <w:p w14:paraId="690B6134" w14:textId="2CAF9A1F" w:rsidR="00FC245D" w:rsidRDefault="00FC245D">
      <w:pPr>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lang w:val="es-CR" w:eastAsia="ja-JP"/>
        </w:rPr>
        <w:id w:val="-705714482"/>
        <w:docPartObj>
          <w:docPartGallery w:val="Table of Contents"/>
          <w:docPartUnique/>
        </w:docPartObj>
      </w:sdtPr>
      <w:sdtEndPr/>
      <w:sdtContent>
        <w:p w14:paraId="11D420C8" w14:textId="77777777" w:rsidR="00FC245D" w:rsidRPr="00125F2A" w:rsidRDefault="00FC245D" w:rsidP="00FC245D">
          <w:pPr>
            <w:pStyle w:val="TtuloTDC"/>
            <w:rPr>
              <w:rFonts w:ascii="Times New Roman" w:hAnsi="Times New Roman" w:cs="Times New Roman"/>
              <w:color w:val="auto"/>
              <w:sz w:val="24"/>
              <w:szCs w:val="24"/>
            </w:rPr>
          </w:pPr>
          <w:r w:rsidRPr="00125F2A">
            <w:rPr>
              <w:rFonts w:ascii="Times New Roman" w:hAnsi="Times New Roman" w:cs="Times New Roman"/>
              <w:color w:val="auto"/>
              <w:sz w:val="24"/>
              <w:szCs w:val="24"/>
            </w:rPr>
            <w:t>Tabla de contenido</w:t>
          </w:r>
        </w:p>
        <w:p w14:paraId="11FA43AB" w14:textId="77777777" w:rsidR="00FC245D" w:rsidRPr="00125F2A" w:rsidRDefault="00FC245D" w:rsidP="00FC245D">
          <w:pPr>
            <w:rPr>
              <w:rFonts w:ascii="Times New Roman" w:hAnsi="Times New Roman" w:cs="Times New Roman"/>
              <w:sz w:val="24"/>
              <w:szCs w:val="24"/>
              <w:lang w:val="es-ES" w:eastAsia="es-ES"/>
            </w:rPr>
          </w:pPr>
        </w:p>
        <w:p w14:paraId="25BC8480" w14:textId="425C6B31" w:rsidR="00BE02FC" w:rsidRDefault="00FC245D">
          <w:pPr>
            <w:pStyle w:val="TDC1"/>
            <w:rPr>
              <w:rFonts w:asciiTheme="minorHAnsi" w:eastAsiaTheme="minorEastAsia" w:hAnsiTheme="minorHAnsi" w:cstheme="minorBidi"/>
              <w:b w:val="0"/>
              <w:bCs w:val="0"/>
              <w:i w:val="0"/>
              <w:iCs w:val="0"/>
              <w:noProof/>
              <w:sz w:val="22"/>
              <w:szCs w:val="22"/>
              <w:lang w:eastAsia="es-CR"/>
            </w:rPr>
          </w:pPr>
          <w:r w:rsidRPr="00125F2A">
            <w:rPr>
              <w:rFonts w:ascii="Times New Roman" w:hAnsi="Times New Roman"/>
            </w:rPr>
            <w:fldChar w:fldCharType="begin"/>
          </w:r>
          <w:r w:rsidRPr="00125F2A">
            <w:rPr>
              <w:rFonts w:ascii="Times New Roman" w:hAnsi="Times New Roman"/>
            </w:rPr>
            <w:instrText xml:space="preserve"> TOC \o "1-3" \h \z \u </w:instrText>
          </w:r>
          <w:r w:rsidRPr="00125F2A">
            <w:rPr>
              <w:rFonts w:ascii="Times New Roman" w:hAnsi="Times New Roman"/>
            </w:rPr>
            <w:fldChar w:fldCharType="separate"/>
          </w:r>
          <w:hyperlink w:anchor="_Toc496194177" w:history="1">
            <w:r w:rsidR="00BE02FC" w:rsidRPr="00D14E2A">
              <w:rPr>
                <w:rStyle w:val="Hipervnculo"/>
                <w:noProof/>
                <w:lang w:eastAsia="es-ES_tradnl"/>
              </w:rPr>
              <w:t>INTRODUCCIÓN</w:t>
            </w:r>
            <w:r w:rsidR="00BE02FC">
              <w:rPr>
                <w:noProof/>
                <w:webHidden/>
              </w:rPr>
              <w:tab/>
            </w:r>
            <w:r w:rsidR="00BE02FC">
              <w:rPr>
                <w:noProof/>
                <w:webHidden/>
              </w:rPr>
              <w:fldChar w:fldCharType="begin"/>
            </w:r>
            <w:r w:rsidR="00BE02FC">
              <w:rPr>
                <w:noProof/>
                <w:webHidden/>
              </w:rPr>
              <w:instrText xml:space="preserve"> PAGEREF _Toc496194177 \h </w:instrText>
            </w:r>
            <w:r w:rsidR="00BE02FC">
              <w:rPr>
                <w:noProof/>
                <w:webHidden/>
              </w:rPr>
            </w:r>
            <w:r w:rsidR="00BE02FC">
              <w:rPr>
                <w:noProof/>
                <w:webHidden/>
              </w:rPr>
              <w:fldChar w:fldCharType="separate"/>
            </w:r>
            <w:r w:rsidR="00BE02FC">
              <w:rPr>
                <w:noProof/>
                <w:webHidden/>
              </w:rPr>
              <w:t>3</w:t>
            </w:r>
            <w:r w:rsidR="00BE02FC">
              <w:rPr>
                <w:noProof/>
                <w:webHidden/>
              </w:rPr>
              <w:fldChar w:fldCharType="end"/>
            </w:r>
          </w:hyperlink>
        </w:p>
        <w:p w14:paraId="4C33F91E" w14:textId="3A1E98B2"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78" w:history="1">
            <w:r w:rsidR="00BE02FC" w:rsidRPr="00D14E2A">
              <w:rPr>
                <w:rStyle w:val="Hipervnculo"/>
                <w:noProof/>
                <w:lang w:eastAsia="es-ES_tradnl"/>
              </w:rPr>
              <w:t>I.</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ASPECTOS A RESALTAR RELACIONADOS CON EL BENEFICIO POR INVALIDEZ</w:t>
            </w:r>
            <w:r w:rsidR="00BE02FC">
              <w:rPr>
                <w:noProof/>
                <w:webHidden/>
              </w:rPr>
              <w:tab/>
            </w:r>
            <w:r w:rsidR="00BE02FC">
              <w:rPr>
                <w:noProof/>
                <w:webHidden/>
              </w:rPr>
              <w:fldChar w:fldCharType="begin"/>
            </w:r>
            <w:r w:rsidR="00BE02FC">
              <w:rPr>
                <w:noProof/>
                <w:webHidden/>
              </w:rPr>
              <w:instrText xml:space="preserve"> PAGEREF _Toc496194178 \h </w:instrText>
            </w:r>
            <w:r w:rsidR="00BE02FC">
              <w:rPr>
                <w:noProof/>
                <w:webHidden/>
              </w:rPr>
            </w:r>
            <w:r w:rsidR="00BE02FC">
              <w:rPr>
                <w:noProof/>
                <w:webHidden/>
              </w:rPr>
              <w:fldChar w:fldCharType="separate"/>
            </w:r>
            <w:r w:rsidR="00BE02FC">
              <w:rPr>
                <w:noProof/>
                <w:webHidden/>
              </w:rPr>
              <w:t>5</w:t>
            </w:r>
            <w:r w:rsidR="00BE02FC">
              <w:rPr>
                <w:noProof/>
                <w:webHidden/>
              </w:rPr>
              <w:fldChar w:fldCharType="end"/>
            </w:r>
          </w:hyperlink>
        </w:p>
        <w:p w14:paraId="00E8CCD8" w14:textId="41FF8AAD"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79" w:history="1">
            <w:r w:rsidR="00BE02FC" w:rsidRPr="00D14E2A">
              <w:rPr>
                <w:rStyle w:val="Hipervnculo"/>
                <w:noProof/>
                <w:lang w:eastAsia="es-ES_tradnl"/>
              </w:rPr>
              <w:t>II.</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GESTIÓN DE LA CARTERA DE CRÉDITOS HIPOTECARIOS</w:t>
            </w:r>
            <w:r w:rsidR="00BE02FC">
              <w:rPr>
                <w:noProof/>
                <w:webHidden/>
              </w:rPr>
              <w:tab/>
            </w:r>
            <w:r w:rsidR="00BE02FC">
              <w:rPr>
                <w:noProof/>
                <w:webHidden/>
              </w:rPr>
              <w:fldChar w:fldCharType="begin"/>
            </w:r>
            <w:r w:rsidR="00BE02FC">
              <w:rPr>
                <w:noProof/>
                <w:webHidden/>
              </w:rPr>
              <w:instrText xml:space="preserve"> PAGEREF _Toc496194179 \h </w:instrText>
            </w:r>
            <w:r w:rsidR="00BE02FC">
              <w:rPr>
                <w:noProof/>
                <w:webHidden/>
              </w:rPr>
            </w:r>
            <w:r w:rsidR="00BE02FC">
              <w:rPr>
                <w:noProof/>
                <w:webHidden/>
              </w:rPr>
              <w:fldChar w:fldCharType="separate"/>
            </w:r>
            <w:r w:rsidR="00BE02FC">
              <w:rPr>
                <w:noProof/>
                <w:webHidden/>
              </w:rPr>
              <w:t>5</w:t>
            </w:r>
            <w:r w:rsidR="00BE02FC">
              <w:rPr>
                <w:noProof/>
                <w:webHidden/>
              </w:rPr>
              <w:fldChar w:fldCharType="end"/>
            </w:r>
          </w:hyperlink>
        </w:p>
        <w:p w14:paraId="7E071EE1" w14:textId="558C6F22"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0" w:history="1">
            <w:r w:rsidR="00BE02FC" w:rsidRPr="00D14E2A">
              <w:rPr>
                <w:rStyle w:val="Hipervnculo"/>
                <w:noProof/>
                <w:lang w:eastAsia="es-ES_tradnl"/>
              </w:rPr>
              <w:t>III.</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INVERSIONES</w:t>
            </w:r>
            <w:r w:rsidR="00BE02FC">
              <w:rPr>
                <w:noProof/>
                <w:webHidden/>
              </w:rPr>
              <w:tab/>
            </w:r>
            <w:r w:rsidR="00BE02FC">
              <w:rPr>
                <w:noProof/>
                <w:webHidden/>
              </w:rPr>
              <w:fldChar w:fldCharType="begin"/>
            </w:r>
            <w:r w:rsidR="00BE02FC">
              <w:rPr>
                <w:noProof/>
                <w:webHidden/>
              </w:rPr>
              <w:instrText xml:space="preserve"> PAGEREF _Toc496194180 \h </w:instrText>
            </w:r>
            <w:r w:rsidR="00BE02FC">
              <w:rPr>
                <w:noProof/>
                <w:webHidden/>
              </w:rPr>
            </w:r>
            <w:r w:rsidR="00BE02FC">
              <w:rPr>
                <w:noProof/>
                <w:webHidden/>
              </w:rPr>
              <w:fldChar w:fldCharType="separate"/>
            </w:r>
            <w:r w:rsidR="00BE02FC">
              <w:rPr>
                <w:noProof/>
                <w:webHidden/>
              </w:rPr>
              <w:t>7</w:t>
            </w:r>
            <w:r w:rsidR="00BE02FC">
              <w:rPr>
                <w:noProof/>
                <w:webHidden/>
              </w:rPr>
              <w:fldChar w:fldCharType="end"/>
            </w:r>
          </w:hyperlink>
        </w:p>
        <w:p w14:paraId="7238A894" w14:textId="0B7DB338"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1" w:history="1">
            <w:r w:rsidR="00BE02FC" w:rsidRPr="00D14E2A">
              <w:rPr>
                <w:rStyle w:val="Hipervnculo"/>
                <w:noProof/>
                <w:lang w:eastAsia="es-ES_tradnl"/>
              </w:rPr>
              <w:t>a.</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Evolución y comportamiento de los productos financieros que genera la cartera</w:t>
            </w:r>
            <w:r w:rsidR="00BE02FC">
              <w:rPr>
                <w:noProof/>
                <w:webHidden/>
              </w:rPr>
              <w:tab/>
            </w:r>
            <w:r w:rsidR="00BE02FC">
              <w:rPr>
                <w:noProof/>
                <w:webHidden/>
              </w:rPr>
              <w:fldChar w:fldCharType="begin"/>
            </w:r>
            <w:r w:rsidR="00BE02FC">
              <w:rPr>
                <w:noProof/>
                <w:webHidden/>
              </w:rPr>
              <w:instrText xml:space="preserve"> PAGEREF _Toc496194181 \h </w:instrText>
            </w:r>
            <w:r w:rsidR="00BE02FC">
              <w:rPr>
                <w:noProof/>
                <w:webHidden/>
              </w:rPr>
            </w:r>
            <w:r w:rsidR="00BE02FC">
              <w:rPr>
                <w:noProof/>
                <w:webHidden/>
              </w:rPr>
              <w:fldChar w:fldCharType="separate"/>
            </w:r>
            <w:r w:rsidR="00BE02FC">
              <w:rPr>
                <w:noProof/>
                <w:webHidden/>
              </w:rPr>
              <w:t>7</w:t>
            </w:r>
            <w:r w:rsidR="00BE02FC">
              <w:rPr>
                <w:noProof/>
                <w:webHidden/>
              </w:rPr>
              <w:fldChar w:fldCharType="end"/>
            </w:r>
          </w:hyperlink>
        </w:p>
        <w:p w14:paraId="02A8317A" w14:textId="05028CB0"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2" w:history="1">
            <w:r w:rsidR="00BE02FC" w:rsidRPr="00D14E2A">
              <w:rPr>
                <w:rStyle w:val="Hipervnculo"/>
                <w:noProof/>
                <w:lang w:eastAsia="es-ES_tradnl"/>
              </w:rPr>
              <w:t>b.</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Concentración del Portafolio</w:t>
            </w:r>
            <w:r w:rsidR="00BE02FC">
              <w:rPr>
                <w:noProof/>
                <w:webHidden/>
              </w:rPr>
              <w:tab/>
            </w:r>
            <w:r w:rsidR="00BE02FC">
              <w:rPr>
                <w:noProof/>
                <w:webHidden/>
              </w:rPr>
              <w:fldChar w:fldCharType="begin"/>
            </w:r>
            <w:r w:rsidR="00BE02FC">
              <w:rPr>
                <w:noProof/>
                <w:webHidden/>
              </w:rPr>
              <w:instrText xml:space="preserve"> PAGEREF _Toc496194182 \h </w:instrText>
            </w:r>
            <w:r w:rsidR="00BE02FC">
              <w:rPr>
                <w:noProof/>
                <w:webHidden/>
              </w:rPr>
            </w:r>
            <w:r w:rsidR="00BE02FC">
              <w:rPr>
                <w:noProof/>
                <w:webHidden/>
              </w:rPr>
              <w:fldChar w:fldCharType="separate"/>
            </w:r>
            <w:r w:rsidR="00BE02FC">
              <w:rPr>
                <w:noProof/>
                <w:webHidden/>
              </w:rPr>
              <w:t>7</w:t>
            </w:r>
            <w:r w:rsidR="00BE02FC">
              <w:rPr>
                <w:noProof/>
                <w:webHidden/>
              </w:rPr>
              <w:fldChar w:fldCharType="end"/>
            </w:r>
          </w:hyperlink>
        </w:p>
        <w:p w14:paraId="097EC49B" w14:textId="641B6E79"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3" w:history="1">
            <w:r w:rsidR="00BE02FC" w:rsidRPr="00D14E2A">
              <w:rPr>
                <w:rStyle w:val="Hipervnculo"/>
                <w:noProof/>
                <w:lang w:eastAsia="es-ES_tradnl"/>
              </w:rPr>
              <w:t>c.</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Período de maduración de los instrumentos financieros que conforman el portafolio, según Balance de Situación al 31 de diciembre del 2015</w:t>
            </w:r>
            <w:r w:rsidR="00BE02FC">
              <w:rPr>
                <w:noProof/>
                <w:webHidden/>
              </w:rPr>
              <w:tab/>
            </w:r>
            <w:r w:rsidR="00BE02FC">
              <w:rPr>
                <w:noProof/>
                <w:webHidden/>
              </w:rPr>
              <w:fldChar w:fldCharType="begin"/>
            </w:r>
            <w:r w:rsidR="00BE02FC">
              <w:rPr>
                <w:noProof/>
                <w:webHidden/>
              </w:rPr>
              <w:instrText xml:space="preserve"> PAGEREF _Toc496194183 \h </w:instrText>
            </w:r>
            <w:r w:rsidR="00BE02FC">
              <w:rPr>
                <w:noProof/>
                <w:webHidden/>
              </w:rPr>
            </w:r>
            <w:r w:rsidR="00BE02FC">
              <w:rPr>
                <w:noProof/>
                <w:webHidden/>
              </w:rPr>
              <w:fldChar w:fldCharType="separate"/>
            </w:r>
            <w:r w:rsidR="00BE02FC">
              <w:rPr>
                <w:noProof/>
                <w:webHidden/>
              </w:rPr>
              <w:t>9</w:t>
            </w:r>
            <w:r w:rsidR="00BE02FC">
              <w:rPr>
                <w:noProof/>
                <w:webHidden/>
              </w:rPr>
              <w:fldChar w:fldCharType="end"/>
            </w:r>
          </w:hyperlink>
        </w:p>
        <w:p w14:paraId="5F491306" w14:textId="657E505A"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4" w:history="1">
            <w:r w:rsidR="00BE02FC" w:rsidRPr="00D14E2A">
              <w:rPr>
                <w:rStyle w:val="Hipervnculo"/>
                <w:noProof/>
                <w:lang w:eastAsia="es-ES_tradnl"/>
              </w:rPr>
              <w:t>d.</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Eventos observados en estudios efectuados en relación con el manejo de las inversiones</w:t>
            </w:r>
            <w:r w:rsidR="00BE02FC">
              <w:rPr>
                <w:noProof/>
                <w:webHidden/>
              </w:rPr>
              <w:tab/>
            </w:r>
            <w:r w:rsidR="00BE02FC">
              <w:rPr>
                <w:noProof/>
                <w:webHidden/>
              </w:rPr>
              <w:fldChar w:fldCharType="begin"/>
            </w:r>
            <w:r w:rsidR="00BE02FC">
              <w:rPr>
                <w:noProof/>
                <w:webHidden/>
              </w:rPr>
              <w:instrText xml:space="preserve"> PAGEREF _Toc496194184 \h </w:instrText>
            </w:r>
            <w:r w:rsidR="00BE02FC">
              <w:rPr>
                <w:noProof/>
                <w:webHidden/>
              </w:rPr>
            </w:r>
            <w:r w:rsidR="00BE02FC">
              <w:rPr>
                <w:noProof/>
                <w:webHidden/>
              </w:rPr>
              <w:fldChar w:fldCharType="separate"/>
            </w:r>
            <w:r w:rsidR="00BE02FC">
              <w:rPr>
                <w:noProof/>
                <w:webHidden/>
              </w:rPr>
              <w:t>10</w:t>
            </w:r>
            <w:r w:rsidR="00BE02FC">
              <w:rPr>
                <w:noProof/>
                <w:webHidden/>
              </w:rPr>
              <w:fldChar w:fldCharType="end"/>
            </w:r>
          </w:hyperlink>
        </w:p>
        <w:p w14:paraId="116BBE2A" w14:textId="3CC4CAA8"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5" w:history="1">
            <w:r w:rsidR="00BE02FC" w:rsidRPr="00D14E2A">
              <w:rPr>
                <w:rStyle w:val="Hipervnculo"/>
                <w:noProof/>
                <w:lang w:eastAsia="es-ES_tradnl"/>
              </w:rPr>
              <w:t>IV.</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CUENTAS POR COBRAR, MOROSIDAD Y AFILIACIÓN (Gerencia Financiera)</w:t>
            </w:r>
            <w:r w:rsidR="00BE02FC">
              <w:rPr>
                <w:noProof/>
                <w:webHidden/>
              </w:rPr>
              <w:tab/>
            </w:r>
            <w:r w:rsidR="00BE02FC">
              <w:rPr>
                <w:noProof/>
                <w:webHidden/>
              </w:rPr>
              <w:fldChar w:fldCharType="begin"/>
            </w:r>
            <w:r w:rsidR="00BE02FC">
              <w:rPr>
                <w:noProof/>
                <w:webHidden/>
              </w:rPr>
              <w:instrText xml:space="preserve"> PAGEREF _Toc496194185 \h </w:instrText>
            </w:r>
            <w:r w:rsidR="00BE02FC">
              <w:rPr>
                <w:noProof/>
                <w:webHidden/>
              </w:rPr>
            </w:r>
            <w:r w:rsidR="00BE02FC">
              <w:rPr>
                <w:noProof/>
                <w:webHidden/>
              </w:rPr>
              <w:fldChar w:fldCharType="separate"/>
            </w:r>
            <w:r w:rsidR="00BE02FC">
              <w:rPr>
                <w:noProof/>
                <w:webHidden/>
              </w:rPr>
              <w:t>10</w:t>
            </w:r>
            <w:r w:rsidR="00BE02FC">
              <w:rPr>
                <w:noProof/>
                <w:webHidden/>
              </w:rPr>
              <w:fldChar w:fldCharType="end"/>
            </w:r>
          </w:hyperlink>
        </w:p>
        <w:p w14:paraId="6D6B1883" w14:textId="6D3DEF49"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6" w:history="1">
            <w:r w:rsidR="00BE02FC" w:rsidRPr="00D14E2A">
              <w:rPr>
                <w:rStyle w:val="Hipervnculo"/>
                <w:noProof/>
                <w:lang w:eastAsia="es-ES_tradnl"/>
              </w:rPr>
              <w:t>a.</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Comportamiento de la morosidad</w:t>
            </w:r>
            <w:r w:rsidR="00BE02FC">
              <w:rPr>
                <w:noProof/>
                <w:webHidden/>
              </w:rPr>
              <w:tab/>
            </w:r>
            <w:r w:rsidR="00BE02FC">
              <w:rPr>
                <w:noProof/>
                <w:webHidden/>
              </w:rPr>
              <w:fldChar w:fldCharType="begin"/>
            </w:r>
            <w:r w:rsidR="00BE02FC">
              <w:rPr>
                <w:noProof/>
                <w:webHidden/>
              </w:rPr>
              <w:instrText xml:space="preserve"> PAGEREF _Toc496194186 \h </w:instrText>
            </w:r>
            <w:r w:rsidR="00BE02FC">
              <w:rPr>
                <w:noProof/>
                <w:webHidden/>
              </w:rPr>
            </w:r>
            <w:r w:rsidR="00BE02FC">
              <w:rPr>
                <w:noProof/>
                <w:webHidden/>
              </w:rPr>
              <w:fldChar w:fldCharType="separate"/>
            </w:r>
            <w:r w:rsidR="00BE02FC">
              <w:rPr>
                <w:noProof/>
                <w:webHidden/>
              </w:rPr>
              <w:t>10</w:t>
            </w:r>
            <w:r w:rsidR="00BE02FC">
              <w:rPr>
                <w:noProof/>
                <w:webHidden/>
              </w:rPr>
              <w:fldChar w:fldCharType="end"/>
            </w:r>
          </w:hyperlink>
        </w:p>
        <w:p w14:paraId="40984FD4" w14:textId="1188FE1A"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7" w:history="1">
            <w:r w:rsidR="00BE02FC" w:rsidRPr="00D14E2A">
              <w:rPr>
                <w:rStyle w:val="Hipervnculo"/>
                <w:noProof/>
                <w:lang w:eastAsia="es-ES_tradnl"/>
              </w:rPr>
              <w:t>b.</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Afiliación</w:t>
            </w:r>
            <w:r w:rsidR="00BE02FC">
              <w:rPr>
                <w:noProof/>
                <w:webHidden/>
              </w:rPr>
              <w:tab/>
            </w:r>
            <w:r w:rsidR="00BE02FC">
              <w:rPr>
                <w:noProof/>
                <w:webHidden/>
              </w:rPr>
              <w:fldChar w:fldCharType="begin"/>
            </w:r>
            <w:r w:rsidR="00BE02FC">
              <w:rPr>
                <w:noProof/>
                <w:webHidden/>
              </w:rPr>
              <w:instrText xml:space="preserve"> PAGEREF _Toc496194187 \h </w:instrText>
            </w:r>
            <w:r w:rsidR="00BE02FC">
              <w:rPr>
                <w:noProof/>
                <w:webHidden/>
              </w:rPr>
            </w:r>
            <w:r w:rsidR="00BE02FC">
              <w:rPr>
                <w:noProof/>
                <w:webHidden/>
              </w:rPr>
              <w:fldChar w:fldCharType="separate"/>
            </w:r>
            <w:r w:rsidR="00BE02FC">
              <w:rPr>
                <w:noProof/>
                <w:webHidden/>
              </w:rPr>
              <w:t>11</w:t>
            </w:r>
            <w:r w:rsidR="00BE02FC">
              <w:rPr>
                <w:noProof/>
                <w:webHidden/>
              </w:rPr>
              <w:fldChar w:fldCharType="end"/>
            </w:r>
          </w:hyperlink>
        </w:p>
        <w:p w14:paraId="2E3B43C5" w14:textId="6E8E3938"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8" w:history="1">
            <w:r w:rsidR="00BE02FC" w:rsidRPr="00D14E2A">
              <w:rPr>
                <w:rStyle w:val="Hipervnculo"/>
                <w:noProof/>
                <w:lang w:eastAsia="es-ES_tradnl"/>
              </w:rPr>
              <w:t>c.</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Evolución de asegurados directos e indirectos</w:t>
            </w:r>
            <w:r w:rsidR="00BE02FC">
              <w:rPr>
                <w:noProof/>
                <w:webHidden/>
              </w:rPr>
              <w:tab/>
            </w:r>
            <w:r w:rsidR="00BE02FC">
              <w:rPr>
                <w:noProof/>
                <w:webHidden/>
              </w:rPr>
              <w:fldChar w:fldCharType="begin"/>
            </w:r>
            <w:r w:rsidR="00BE02FC">
              <w:rPr>
                <w:noProof/>
                <w:webHidden/>
              </w:rPr>
              <w:instrText xml:space="preserve"> PAGEREF _Toc496194188 \h </w:instrText>
            </w:r>
            <w:r w:rsidR="00BE02FC">
              <w:rPr>
                <w:noProof/>
                <w:webHidden/>
              </w:rPr>
            </w:r>
            <w:r w:rsidR="00BE02FC">
              <w:rPr>
                <w:noProof/>
                <w:webHidden/>
              </w:rPr>
              <w:fldChar w:fldCharType="separate"/>
            </w:r>
            <w:r w:rsidR="00BE02FC">
              <w:rPr>
                <w:noProof/>
                <w:webHidden/>
              </w:rPr>
              <w:t>11</w:t>
            </w:r>
            <w:r w:rsidR="00BE02FC">
              <w:rPr>
                <w:noProof/>
                <w:webHidden/>
              </w:rPr>
              <w:fldChar w:fldCharType="end"/>
            </w:r>
          </w:hyperlink>
        </w:p>
        <w:p w14:paraId="32A3A88B" w14:textId="6800F913"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89" w:history="1">
            <w:r w:rsidR="00BE02FC" w:rsidRPr="00D14E2A">
              <w:rPr>
                <w:rStyle w:val="Hipervnculo"/>
                <w:noProof/>
              </w:rPr>
              <w:t>V.</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rPr>
              <w:t>INFRAESTRUCTURA TECNOLÓGICA, CONTABLE Y GESTIÓN DE RIESGOS</w:t>
            </w:r>
            <w:r w:rsidR="00BE02FC">
              <w:rPr>
                <w:noProof/>
                <w:webHidden/>
              </w:rPr>
              <w:tab/>
            </w:r>
            <w:r w:rsidR="00BE02FC">
              <w:rPr>
                <w:noProof/>
                <w:webHidden/>
              </w:rPr>
              <w:fldChar w:fldCharType="begin"/>
            </w:r>
            <w:r w:rsidR="00BE02FC">
              <w:rPr>
                <w:noProof/>
                <w:webHidden/>
              </w:rPr>
              <w:instrText xml:space="preserve"> PAGEREF _Toc496194189 \h </w:instrText>
            </w:r>
            <w:r w:rsidR="00BE02FC">
              <w:rPr>
                <w:noProof/>
                <w:webHidden/>
              </w:rPr>
            </w:r>
            <w:r w:rsidR="00BE02FC">
              <w:rPr>
                <w:noProof/>
                <w:webHidden/>
              </w:rPr>
              <w:fldChar w:fldCharType="separate"/>
            </w:r>
            <w:r w:rsidR="00BE02FC">
              <w:rPr>
                <w:noProof/>
                <w:webHidden/>
              </w:rPr>
              <w:t>12</w:t>
            </w:r>
            <w:r w:rsidR="00BE02FC">
              <w:rPr>
                <w:noProof/>
                <w:webHidden/>
              </w:rPr>
              <w:fldChar w:fldCharType="end"/>
            </w:r>
          </w:hyperlink>
        </w:p>
        <w:p w14:paraId="4B85BD61" w14:textId="6C0F96C6"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90" w:history="1">
            <w:r w:rsidR="00BE02FC" w:rsidRPr="00D14E2A">
              <w:rPr>
                <w:rStyle w:val="Hipervnculo"/>
                <w:noProof/>
                <w:lang w:eastAsia="es-ES_tradnl"/>
              </w:rPr>
              <w:t>a.</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Plataforma informática desactualizada</w:t>
            </w:r>
            <w:r w:rsidR="00BE02FC">
              <w:rPr>
                <w:noProof/>
                <w:webHidden/>
              </w:rPr>
              <w:tab/>
            </w:r>
            <w:r w:rsidR="00BE02FC">
              <w:rPr>
                <w:noProof/>
                <w:webHidden/>
              </w:rPr>
              <w:fldChar w:fldCharType="begin"/>
            </w:r>
            <w:r w:rsidR="00BE02FC">
              <w:rPr>
                <w:noProof/>
                <w:webHidden/>
              </w:rPr>
              <w:instrText xml:space="preserve"> PAGEREF _Toc496194190 \h </w:instrText>
            </w:r>
            <w:r w:rsidR="00BE02FC">
              <w:rPr>
                <w:noProof/>
                <w:webHidden/>
              </w:rPr>
            </w:r>
            <w:r w:rsidR="00BE02FC">
              <w:rPr>
                <w:noProof/>
                <w:webHidden/>
              </w:rPr>
              <w:fldChar w:fldCharType="separate"/>
            </w:r>
            <w:r w:rsidR="00BE02FC">
              <w:rPr>
                <w:noProof/>
                <w:webHidden/>
              </w:rPr>
              <w:t>12</w:t>
            </w:r>
            <w:r w:rsidR="00BE02FC">
              <w:rPr>
                <w:noProof/>
                <w:webHidden/>
              </w:rPr>
              <w:fldChar w:fldCharType="end"/>
            </w:r>
          </w:hyperlink>
        </w:p>
        <w:p w14:paraId="64BF06C1" w14:textId="5A53BEDF"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91" w:history="1">
            <w:r w:rsidR="00BE02FC" w:rsidRPr="00D14E2A">
              <w:rPr>
                <w:rStyle w:val="Hipervnculo"/>
                <w:noProof/>
                <w:lang w:eastAsia="ja-JP"/>
              </w:rPr>
              <w:t>b.</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ja-JP"/>
              </w:rPr>
              <w:t>Debilidades de control financiero-contable y de gestión</w:t>
            </w:r>
            <w:r w:rsidR="00BE02FC">
              <w:rPr>
                <w:noProof/>
                <w:webHidden/>
              </w:rPr>
              <w:tab/>
            </w:r>
            <w:r w:rsidR="00BE02FC">
              <w:rPr>
                <w:noProof/>
                <w:webHidden/>
              </w:rPr>
              <w:fldChar w:fldCharType="begin"/>
            </w:r>
            <w:r w:rsidR="00BE02FC">
              <w:rPr>
                <w:noProof/>
                <w:webHidden/>
              </w:rPr>
              <w:instrText xml:space="preserve"> PAGEREF _Toc496194191 \h </w:instrText>
            </w:r>
            <w:r w:rsidR="00BE02FC">
              <w:rPr>
                <w:noProof/>
                <w:webHidden/>
              </w:rPr>
            </w:r>
            <w:r w:rsidR="00BE02FC">
              <w:rPr>
                <w:noProof/>
                <w:webHidden/>
              </w:rPr>
              <w:fldChar w:fldCharType="separate"/>
            </w:r>
            <w:r w:rsidR="00BE02FC">
              <w:rPr>
                <w:noProof/>
                <w:webHidden/>
              </w:rPr>
              <w:t>13</w:t>
            </w:r>
            <w:r w:rsidR="00BE02FC">
              <w:rPr>
                <w:noProof/>
                <w:webHidden/>
              </w:rPr>
              <w:fldChar w:fldCharType="end"/>
            </w:r>
          </w:hyperlink>
        </w:p>
        <w:p w14:paraId="0F73161F" w14:textId="03AA76AB"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92" w:history="1">
            <w:r w:rsidR="00BE02FC" w:rsidRPr="00D14E2A">
              <w:rPr>
                <w:rStyle w:val="Hipervnculo"/>
                <w:noProof/>
                <w:lang w:eastAsia="es-ES_tradnl"/>
              </w:rPr>
              <w:t>c.</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Gestión de riesgos</w:t>
            </w:r>
            <w:r w:rsidR="00BE02FC">
              <w:rPr>
                <w:noProof/>
                <w:webHidden/>
              </w:rPr>
              <w:tab/>
            </w:r>
            <w:r w:rsidR="00BE02FC">
              <w:rPr>
                <w:noProof/>
                <w:webHidden/>
              </w:rPr>
              <w:fldChar w:fldCharType="begin"/>
            </w:r>
            <w:r w:rsidR="00BE02FC">
              <w:rPr>
                <w:noProof/>
                <w:webHidden/>
              </w:rPr>
              <w:instrText xml:space="preserve"> PAGEREF _Toc496194192 \h </w:instrText>
            </w:r>
            <w:r w:rsidR="00BE02FC">
              <w:rPr>
                <w:noProof/>
                <w:webHidden/>
              </w:rPr>
            </w:r>
            <w:r w:rsidR="00BE02FC">
              <w:rPr>
                <w:noProof/>
                <w:webHidden/>
              </w:rPr>
              <w:fldChar w:fldCharType="separate"/>
            </w:r>
            <w:r w:rsidR="00BE02FC">
              <w:rPr>
                <w:noProof/>
                <w:webHidden/>
              </w:rPr>
              <w:t>14</w:t>
            </w:r>
            <w:r w:rsidR="00BE02FC">
              <w:rPr>
                <w:noProof/>
                <w:webHidden/>
              </w:rPr>
              <w:fldChar w:fldCharType="end"/>
            </w:r>
          </w:hyperlink>
        </w:p>
        <w:p w14:paraId="4D246E57" w14:textId="71668110"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93" w:history="1">
            <w:r w:rsidR="00BE02FC" w:rsidRPr="00D14E2A">
              <w:rPr>
                <w:rStyle w:val="Hipervnculo"/>
                <w:noProof/>
              </w:rPr>
              <w:t>VI.</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rPr>
              <w:t>SEGUIMIENTO A LOS INFORMES A LA JUNTA DIRECTIVA Y AL COMITÉ DE VIGILANCIA</w:t>
            </w:r>
            <w:r w:rsidR="00BE02FC">
              <w:rPr>
                <w:noProof/>
                <w:webHidden/>
              </w:rPr>
              <w:tab/>
            </w:r>
            <w:r w:rsidR="00BE02FC">
              <w:rPr>
                <w:noProof/>
                <w:webHidden/>
              </w:rPr>
              <w:fldChar w:fldCharType="begin"/>
            </w:r>
            <w:r w:rsidR="00BE02FC">
              <w:rPr>
                <w:noProof/>
                <w:webHidden/>
              </w:rPr>
              <w:instrText xml:space="preserve"> PAGEREF _Toc496194193 \h </w:instrText>
            </w:r>
            <w:r w:rsidR="00BE02FC">
              <w:rPr>
                <w:noProof/>
                <w:webHidden/>
              </w:rPr>
            </w:r>
            <w:r w:rsidR="00BE02FC">
              <w:rPr>
                <w:noProof/>
                <w:webHidden/>
              </w:rPr>
              <w:fldChar w:fldCharType="separate"/>
            </w:r>
            <w:r w:rsidR="00BE02FC">
              <w:rPr>
                <w:noProof/>
                <w:webHidden/>
              </w:rPr>
              <w:t>15</w:t>
            </w:r>
            <w:r w:rsidR="00BE02FC">
              <w:rPr>
                <w:noProof/>
                <w:webHidden/>
              </w:rPr>
              <w:fldChar w:fldCharType="end"/>
            </w:r>
          </w:hyperlink>
        </w:p>
        <w:p w14:paraId="09A9D999" w14:textId="39709E1B"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94" w:history="1">
            <w:r w:rsidR="00BE02FC" w:rsidRPr="00D14E2A">
              <w:rPr>
                <w:rStyle w:val="Hipervnculo"/>
                <w:noProof/>
              </w:rPr>
              <w:t>VII.</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rPr>
              <w:t>SEGUIMIENTO AL ARTÍCULO 78 DE LA LEY DE PROTECCIÓN AL TRABAJADOR (LPT)</w:t>
            </w:r>
            <w:r w:rsidR="00BE02FC">
              <w:rPr>
                <w:noProof/>
                <w:webHidden/>
              </w:rPr>
              <w:tab/>
            </w:r>
            <w:r w:rsidR="00BE02FC">
              <w:rPr>
                <w:noProof/>
                <w:webHidden/>
              </w:rPr>
              <w:fldChar w:fldCharType="begin"/>
            </w:r>
            <w:r w:rsidR="00BE02FC">
              <w:rPr>
                <w:noProof/>
                <w:webHidden/>
              </w:rPr>
              <w:instrText xml:space="preserve"> PAGEREF _Toc496194194 \h </w:instrText>
            </w:r>
            <w:r w:rsidR="00BE02FC">
              <w:rPr>
                <w:noProof/>
                <w:webHidden/>
              </w:rPr>
            </w:r>
            <w:r w:rsidR="00BE02FC">
              <w:rPr>
                <w:noProof/>
                <w:webHidden/>
              </w:rPr>
              <w:fldChar w:fldCharType="separate"/>
            </w:r>
            <w:r w:rsidR="00BE02FC">
              <w:rPr>
                <w:noProof/>
                <w:webHidden/>
              </w:rPr>
              <w:t>17</w:t>
            </w:r>
            <w:r w:rsidR="00BE02FC">
              <w:rPr>
                <w:noProof/>
                <w:webHidden/>
              </w:rPr>
              <w:fldChar w:fldCharType="end"/>
            </w:r>
          </w:hyperlink>
        </w:p>
        <w:p w14:paraId="540D7BD4" w14:textId="00C27547"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95" w:history="1">
            <w:r w:rsidR="00BE02FC" w:rsidRPr="00D14E2A">
              <w:rPr>
                <w:rStyle w:val="Hipervnculo"/>
                <w:noProof/>
              </w:rPr>
              <w:t>VIII.</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rPr>
              <w:t>SOSTENIBILIDAD FINANCIERA Y ACTUARIAL</w:t>
            </w:r>
            <w:r w:rsidR="00BE02FC">
              <w:rPr>
                <w:noProof/>
                <w:webHidden/>
              </w:rPr>
              <w:tab/>
            </w:r>
            <w:r w:rsidR="00BE02FC">
              <w:rPr>
                <w:noProof/>
                <w:webHidden/>
              </w:rPr>
              <w:fldChar w:fldCharType="begin"/>
            </w:r>
            <w:r w:rsidR="00BE02FC">
              <w:rPr>
                <w:noProof/>
                <w:webHidden/>
              </w:rPr>
              <w:instrText xml:space="preserve"> PAGEREF _Toc496194195 \h </w:instrText>
            </w:r>
            <w:r w:rsidR="00BE02FC">
              <w:rPr>
                <w:noProof/>
                <w:webHidden/>
              </w:rPr>
            </w:r>
            <w:r w:rsidR="00BE02FC">
              <w:rPr>
                <w:noProof/>
                <w:webHidden/>
              </w:rPr>
              <w:fldChar w:fldCharType="separate"/>
            </w:r>
            <w:r w:rsidR="00BE02FC">
              <w:rPr>
                <w:noProof/>
                <w:webHidden/>
              </w:rPr>
              <w:t>18</w:t>
            </w:r>
            <w:r w:rsidR="00BE02FC">
              <w:rPr>
                <w:noProof/>
                <w:webHidden/>
              </w:rPr>
              <w:fldChar w:fldCharType="end"/>
            </w:r>
          </w:hyperlink>
        </w:p>
        <w:p w14:paraId="2454452A" w14:textId="489DA244"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96" w:history="1">
            <w:r w:rsidR="00BE02FC" w:rsidRPr="00D14E2A">
              <w:rPr>
                <w:rStyle w:val="Hipervnculo"/>
                <w:noProof/>
              </w:rPr>
              <w:t>IX.</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lang w:eastAsia="es-ES_tradnl"/>
              </w:rPr>
              <w:t>CONCLUSIONES</w:t>
            </w:r>
            <w:r w:rsidR="00BE02FC">
              <w:rPr>
                <w:noProof/>
                <w:webHidden/>
              </w:rPr>
              <w:tab/>
            </w:r>
            <w:r w:rsidR="00BE02FC">
              <w:rPr>
                <w:noProof/>
                <w:webHidden/>
              </w:rPr>
              <w:fldChar w:fldCharType="begin"/>
            </w:r>
            <w:r w:rsidR="00BE02FC">
              <w:rPr>
                <w:noProof/>
                <w:webHidden/>
              </w:rPr>
              <w:instrText xml:space="preserve"> PAGEREF _Toc496194196 \h </w:instrText>
            </w:r>
            <w:r w:rsidR="00BE02FC">
              <w:rPr>
                <w:noProof/>
                <w:webHidden/>
              </w:rPr>
            </w:r>
            <w:r w:rsidR="00BE02FC">
              <w:rPr>
                <w:noProof/>
                <w:webHidden/>
              </w:rPr>
              <w:fldChar w:fldCharType="separate"/>
            </w:r>
            <w:r w:rsidR="00BE02FC">
              <w:rPr>
                <w:noProof/>
                <w:webHidden/>
              </w:rPr>
              <w:t>20</w:t>
            </w:r>
            <w:r w:rsidR="00BE02FC">
              <w:rPr>
                <w:noProof/>
                <w:webHidden/>
              </w:rPr>
              <w:fldChar w:fldCharType="end"/>
            </w:r>
          </w:hyperlink>
        </w:p>
        <w:p w14:paraId="4FEE2B3B" w14:textId="5669D070" w:rsidR="00BE02FC" w:rsidRDefault="00126FF2">
          <w:pPr>
            <w:pStyle w:val="TDC1"/>
            <w:rPr>
              <w:rFonts w:asciiTheme="minorHAnsi" w:eastAsiaTheme="minorEastAsia" w:hAnsiTheme="minorHAnsi" w:cstheme="minorBidi"/>
              <w:b w:val="0"/>
              <w:bCs w:val="0"/>
              <w:i w:val="0"/>
              <w:iCs w:val="0"/>
              <w:noProof/>
              <w:sz w:val="22"/>
              <w:szCs w:val="22"/>
              <w:lang w:eastAsia="es-CR"/>
            </w:rPr>
          </w:pPr>
          <w:hyperlink w:anchor="_Toc496194197" w:history="1">
            <w:r w:rsidR="00BE02FC" w:rsidRPr="00D14E2A">
              <w:rPr>
                <w:rStyle w:val="Hipervnculo"/>
                <w:noProof/>
              </w:rPr>
              <w:t>X.</w:t>
            </w:r>
            <w:r w:rsidR="00BE02FC">
              <w:rPr>
                <w:rFonts w:asciiTheme="minorHAnsi" w:eastAsiaTheme="minorEastAsia" w:hAnsiTheme="minorHAnsi" w:cstheme="minorBidi"/>
                <w:b w:val="0"/>
                <w:bCs w:val="0"/>
                <w:i w:val="0"/>
                <w:iCs w:val="0"/>
                <w:noProof/>
                <w:sz w:val="22"/>
                <w:szCs w:val="22"/>
                <w:lang w:eastAsia="es-CR"/>
              </w:rPr>
              <w:tab/>
            </w:r>
            <w:r w:rsidR="00BE02FC" w:rsidRPr="00D14E2A">
              <w:rPr>
                <w:rStyle w:val="Hipervnculo"/>
                <w:noProof/>
              </w:rPr>
              <w:t>RECOMENDACIONES</w:t>
            </w:r>
            <w:r w:rsidR="00BE02FC">
              <w:rPr>
                <w:noProof/>
                <w:webHidden/>
              </w:rPr>
              <w:tab/>
            </w:r>
            <w:r w:rsidR="00BE02FC">
              <w:rPr>
                <w:noProof/>
                <w:webHidden/>
              </w:rPr>
              <w:fldChar w:fldCharType="begin"/>
            </w:r>
            <w:r w:rsidR="00BE02FC">
              <w:rPr>
                <w:noProof/>
                <w:webHidden/>
              </w:rPr>
              <w:instrText xml:space="preserve"> PAGEREF _Toc496194197 \h </w:instrText>
            </w:r>
            <w:r w:rsidR="00BE02FC">
              <w:rPr>
                <w:noProof/>
                <w:webHidden/>
              </w:rPr>
            </w:r>
            <w:r w:rsidR="00BE02FC">
              <w:rPr>
                <w:noProof/>
                <w:webHidden/>
              </w:rPr>
              <w:fldChar w:fldCharType="separate"/>
            </w:r>
            <w:r w:rsidR="00BE02FC">
              <w:rPr>
                <w:noProof/>
                <w:webHidden/>
              </w:rPr>
              <w:t>23</w:t>
            </w:r>
            <w:r w:rsidR="00BE02FC">
              <w:rPr>
                <w:noProof/>
                <w:webHidden/>
              </w:rPr>
              <w:fldChar w:fldCharType="end"/>
            </w:r>
          </w:hyperlink>
        </w:p>
        <w:p w14:paraId="0DA966B9" w14:textId="3ACB565A" w:rsidR="00FC245D" w:rsidRDefault="00FC245D" w:rsidP="00FC245D">
          <w:pPr>
            <w:rPr>
              <w:rFonts w:ascii="Times New Roman" w:hAnsi="Times New Roman" w:cs="Times New Roman"/>
              <w:sz w:val="24"/>
              <w:szCs w:val="24"/>
            </w:rPr>
          </w:pPr>
          <w:r w:rsidRPr="00125F2A">
            <w:rPr>
              <w:rFonts w:ascii="Times New Roman" w:hAnsi="Times New Roman" w:cs="Times New Roman"/>
              <w:b/>
              <w:bCs/>
              <w:sz w:val="24"/>
              <w:szCs w:val="24"/>
            </w:rPr>
            <w:fldChar w:fldCharType="end"/>
          </w:r>
        </w:p>
      </w:sdtContent>
    </w:sdt>
    <w:p w14:paraId="67B85CA5" w14:textId="77777777" w:rsidR="00FC245D" w:rsidRDefault="00FC245D">
      <w:pPr>
        <w:rPr>
          <w:rFonts w:ascii="Times New Roman" w:hAnsi="Times New Roman" w:cs="Times New Roman"/>
          <w:sz w:val="24"/>
          <w:szCs w:val="24"/>
        </w:rPr>
      </w:pPr>
    </w:p>
    <w:p w14:paraId="514ED372" w14:textId="77777777" w:rsidR="00732B14" w:rsidRDefault="00732B14">
      <w:pPr>
        <w:rPr>
          <w:rFonts w:ascii="Times New Roman" w:hAnsi="Times New Roman" w:cs="Times New Roman"/>
          <w:sz w:val="24"/>
          <w:szCs w:val="24"/>
        </w:rPr>
      </w:pPr>
    </w:p>
    <w:p w14:paraId="581299A0" w14:textId="77777777" w:rsidR="00732B14" w:rsidRDefault="00732B14">
      <w:pPr>
        <w:rPr>
          <w:rFonts w:ascii="Times New Roman" w:hAnsi="Times New Roman" w:cs="Times New Roman"/>
          <w:sz w:val="24"/>
          <w:szCs w:val="24"/>
        </w:rPr>
      </w:pPr>
    </w:p>
    <w:p w14:paraId="5C9C6777" w14:textId="77777777" w:rsidR="00732B14" w:rsidRPr="00125F2A" w:rsidRDefault="00732B14">
      <w:pPr>
        <w:rPr>
          <w:rFonts w:ascii="Times New Roman" w:hAnsi="Times New Roman" w:cs="Times New Roman"/>
          <w:sz w:val="24"/>
          <w:szCs w:val="24"/>
        </w:rPr>
      </w:pPr>
    </w:p>
    <w:p w14:paraId="16F5870B" w14:textId="77777777" w:rsidR="000A2A59" w:rsidRPr="00125F2A" w:rsidRDefault="000A2A59" w:rsidP="0062627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sz w:val="24"/>
          <w:szCs w:val="24"/>
        </w:rPr>
      </w:pPr>
      <w:r w:rsidRPr="00125F2A">
        <w:rPr>
          <w:rFonts w:ascii="Times New Roman" w:hAnsi="Times New Roman" w:cs="Times New Roman"/>
          <w:b/>
          <w:sz w:val="24"/>
          <w:szCs w:val="24"/>
        </w:rPr>
        <w:lastRenderedPageBreak/>
        <w:t xml:space="preserve">INFORME AL COMITÉ DE VIGILANCIA </w:t>
      </w:r>
    </w:p>
    <w:p w14:paraId="644A77A7" w14:textId="77777777" w:rsidR="000A2A59" w:rsidRPr="00125F2A" w:rsidRDefault="000A2A59" w:rsidP="0062627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sz w:val="24"/>
          <w:szCs w:val="24"/>
        </w:rPr>
      </w:pPr>
      <w:r w:rsidRPr="00125F2A">
        <w:rPr>
          <w:rFonts w:ascii="Times New Roman" w:hAnsi="Times New Roman" w:cs="Times New Roman"/>
          <w:b/>
          <w:sz w:val="24"/>
          <w:szCs w:val="24"/>
        </w:rPr>
        <w:t>DEL RÉGIMEN DE INVALIDEZ, VEJEZ Y MUERTE</w:t>
      </w:r>
    </w:p>
    <w:p w14:paraId="17DD2686" w14:textId="77777777" w:rsidR="000A2A59" w:rsidRPr="00125F2A" w:rsidRDefault="000A2A59" w:rsidP="001E221B">
      <w:pPr>
        <w:pStyle w:val="TDC1"/>
        <w:rPr>
          <w:rStyle w:val="Hipervnculo"/>
          <w:rFonts w:ascii="Times New Roman" w:hAnsi="Times New Roman"/>
          <w:noProof/>
          <w:color w:val="auto"/>
        </w:rPr>
      </w:pPr>
    </w:p>
    <w:p w14:paraId="1A1BA8E4" w14:textId="77777777" w:rsidR="000A2A59" w:rsidRPr="00125F2A" w:rsidRDefault="000A2A59" w:rsidP="00387600">
      <w:pPr>
        <w:pStyle w:val="Ttulo1"/>
        <w:spacing w:before="120" w:after="240"/>
        <w:rPr>
          <w:i w:val="0"/>
          <w:iCs w:val="0"/>
          <w:lang w:eastAsia="es-ES_tradnl"/>
        </w:rPr>
      </w:pPr>
      <w:bookmarkStart w:id="0" w:name="_Toc128543959"/>
      <w:bookmarkStart w:id="1" w:name="_Toc261273979"/>
      <w:bookmarkStart w:id="2" w:name="_Toc496194177"/>
      <w:r w:rsidRPr="00125F2A">
        <w:rPr>
          <w:i w:val="0"/>
          <w:iCs w:val="0"/>
          <w:lang w:eastAsia="es-ES_tradnl"/>
        </w:rPr>
        <w:t>INTRODUCCIÓN</w:t>
      </w:r>
      <w:bookmarkEnd w:id="0"/>
      <w:bookmarkEnd w:id="1"/>
      <w:bookmarkEnd w:id="2"/>
    </w:p>
    <w:p w14:paraId="322AEDDF" w14:textId="14F19D20" w:rsidR="00505522" w:rsidRPr="00125F2A" w:rsidRDefault="00BB2590" w:rsidP="008D0CF7">
      <w:pPr>
        <w:spacing w:after="240"/>
        <w:jc w:val="both"/>
        <w:rPr>
          <w:rFonts w:ascii="Times New Roman" w:hAnsi="Times New Roman" w:cs="Times New Roman"/>
          <w:sz w:val="24"/>
          <w:szCs w:val="24"/>
        </w:rPr>
      </w:pPr>
      <w:r>
        <w:rPr>
          <w:rFonts w:ascii="Times New Roman" w:hAnsi="Times New Roman" w:cs="Times New Roman"/>
          <w:sz w:val="24"/>
          <w:szCs w:val="24"/>
        </w:rPr>
        <w:t xml:space="preserve">De conformidad con lo establecido </w:t>
      </w:r>
      <w:r w:rsidR="001760D1">
        <w:rPr>
          <w:rFonts w:ascii="Times New Roman" w:hAnsi="Times New Roman" w:cs="Times New Roman"/>
          <w:sz w:val="24"/>
          <w:szCs w:val="24"/>
        </w:rPr>
        <w:t>en e</w:t>
      </w:r>
      <w:r w:rsidR="000A2A59" w:rsidRPr="00125F2A">
        <w:rPr>
          <w:rFonts w:ascii="Times New Roman" w:hAnsi="Times New Roman" w:cs="Times New Roman"/>
          <w:sz w:val="24"/>
          <w:szCs w:val="24"/>
        </w:rPr>
        <w:t xml:space="preserve">l </w:t>
      </w:r>
      <w:r w:rsidR="00025673" w:rsidRPr="00125F2A">
        <w:rPr>
          <w:rFonts w:ascii="Times New Roman" w:hAnsi="Times New Roman" w:cs="Times New Roman"/>
          <w:sz w:val="24"/>
          <w:szCs w:val="24"/>
        </w:rPr>
        <w:t>artículo 37, literal</w:t>
      </w:r>
      <w:r w:rsidR="00E2003C" w:rsidRPr="00125F2A">
        <w:rPr>
          <w:rFonts w:ascii="Times New Roman" w:hAnsi="Times New Roman" w:cs="Times New Roman"/>
          <w:sz w:val="24"/>
          <w:szCs w:val="24"/>
        </w:rPr>
        <w:t xml:space="preserve"> a) de la L</w:t>
      </w:r>
      <w:r w:rsidR="000A2A59" w:rsidRPr="00125F2A">
        <w:rPr>
          <w:rFonts w:ascii="Times New Roman" w:hAnsi="Times New Roman" w:cs="Times New Roman"/>
          <w:sz w:val="24"/>
          <w:szCs w:val="24"/>
        </w:rPr>
        <w:t xml:space="preserve">ey </w:t>
      </w:r>
      <w:r w:rsidR="00E2003C" w:rsidRPr="00125F2A">
        <w:rPr>
          <w:rFonts w:ascii="Times New Roman" w:hAnsi="Times New Roman" w:cs="Times New Roman"/>
          <w:sz w:val="24"/>
          <w:szCs w:val="24"/>
        </w:rPr>
        <w:t>N°</w:t>
      </w:r>
      <w:r w:rsidR="000A2A59" w:rsidRPr="00125F2A">
        <w:rPr>
          <w:rFonts w:ascii="Times New Roman" w:hAnsi="Times New Roman" w:cs="Times New Roman"/>
          <w:sz w:val="24"/>
          <w:szCs w:val="24"/>
        </w:rPr>
        <w:t xml:space="preserve">7523, Régimen Privado de Pensiones Complementarias, </w:t>
      </w:r>
      <w:r w:rsidR="001760D1">
        <w:rPr>
          <w:rFonts w:ascii="Times New Roman" w:hAnsi="Times New Roman" w:cs="Times New Roman"/>
          <w:sz w:val="24"/>
          <w:szCs w:val="24"/>
        </w:rPr>
        <w:t>a</w:t>
      </w:r>
      <w:r w:rsidR="000A2A59" w:rsidRPr="00125F2A">
        <w:rPr>
          <w:rFonts w:ascii="Times New Roman" w:hAnsi="Times New Roman" w:cs="Times New Roman"/>
          <w:sz w:val="24"/>
          <w:szCs w:val="24"/>
        </w:rPr>
        <w:t xml:space="preserve"> la Superintendencia de Pensiones</w:t>
      </w:r>
      <w:r w:rsidR="004E6592" w:rsidRPr="00125F2A">
        <w:rPr>
          <w:rFonts w:ascii="Times New Roman" w:hAnsi="Times New Roman" w:cs="Times New Roman"/>
          <w:sz w:val="24"/>
          <w:szCs w:val="24"/>
        </w:rPr>
        <w:t xml:space="preserve"> (</w:t>
      </w:r>
      <w:r w:rsidR="001A3D24" w:rsidRPr="00125F2A">
        <w:rPr>
          <w:rFonts w:ascii="Times New Roman" w:hAnsi="Times New Roman" w:cs="Times New Roman"/>
          <w:sz w:val="24"/>
          <w:szCs w:val="24"/>
        </w:rPr>
        <w:t>SUPEN</w:t>
      </w:r>
      <w:r w:rsidR="004E6592" w:rsidRPr="00125F2A">
        <w:rPr>
          <w:rFonts w:ascii="Times New Roman" w:hAnsi="Times New Roman" w:cs="Times New Roman"/>
          <w:sz w:val="24"/>
          <w:szCs w:val="24"/>
        </w:rPr>
        <w:t>)</w:t>
      </w:r>
      <w:r w:rsidR="000A2A59" w:rsidRPr="00125F2A">
        <w:rPr>
          <w:rFonts w:ascii="Times New Roman" w:hAnsi="Times New Roman" w:cs="Times New Roman"/>
          <w:sz w:val="24"/>
          <w:szCs w:val="24"/>
        </w:rPr>
        <w:t xml:space="preserve"> </w:t>
      </w:r>
      <w:r w:rsidR="001760D1">
        <w:rPr>
          <w:rFonts w:ascii="Times New Roman" w:hAnsi="Times New Roman" w:cs="Times New Roman"/>
          <w:sz w:val="24"/>
          <w:szCs w:val="24"/>
        </w:rPr>
        <w:t xml:space="preserve">le corresponde </w:t>
      </w:r>
      <w:r w:rsidR="000A2A59" w:rsidRPr="00125F2A">
        <w:rPr>
          <w:rFonts w:ascii="Times New Roman" w:hAnsi="Times New Roman" w:cs="Times New Roman"/>
          <w:sz w:val="24"/>
          <w:szCs w:val="24"/>
        </w:rPr>
        <w:t xml:space="preserve">presentar a </w:t>
      </w:r>
      <w:r w:rsidR="00CB05CA">
        <w:rPr>
          <w:rFonts w:ascii="Times New Roman" w:hAnsi="Times New Roman" w:cs="Times New Roman"/>
          <w:sz w:val="24"/>
          <w:szCs w:val="24"/>
        </w:rPr>
        <w:t>la Junta Directiva y al</w:t>
      </w:r>
      <w:r w:rsidR="000A2A59" w:rsidRPr="00125F2A">
        <w:rPr>
          <w:rFonts w:ascii="Times New Roman" w:hAnsi="Times New Roman" w:cs="Times New Roman"/>
          <w:sz w:val="24"/>
          <w:szCs w:val="24"/>
        </w:rPr>
        <w:t xml:space="preserve"> Comité de Vigilancia</w:t>
      </w:r>
      <w:r w:rsidR="001A2B88" w:rsidRPr="00125F2A">
        <w:rPr>
          <w:rFonts w:ascii="Times New Roman" w:hAnsi="Times New Roman" w:cs="Times New Roman"/>
          <w:sz w:val="24"/>
          <w:szCs w:val="24"/>
        </w:rPr>
        <w:t xml:space="preserve"> de la Caja Costarricense de Seguro Social (CCSS)</w:t>
      </w:r>
      <w:r w:rsidR="000A2A59" w:rsidRPr="00125F2A">
        <w:rPr>
          <w:rFonts w:ascii="Times New Roman" w:hAnsi="Times New Roman" w:cs="Times New Roman"/>
          <w:sz w:val="24"/>
          <w:szCs w:val="24"/>
        </w:rPr>
        <w:t>, un informe anual sobre la situación del Régimen de Invalidez, Vejez y Muerte (RIVM), así como las recomendaciones para mejorar su administración y su equilibrio actuarial</w:t>
      </w:r>
      <w:r w:rsidR="00505522" w:rsidRPr="00125F2A">
        <w:rPr>
          <w:rFonts w:ascii="Times New Roman" w:hAnsi="Times New Roman" w:cs="Times New Roman"/>
          <w:sz w:val="24"/>
          <w:szCs w:val="24"/>
        </w:rPr>
        <w:t>.</w:t>
      </w:r>
    </w:p>
    <w:p w14:paraId="63CDFFCA" w14:textId="73C3FCE1" w:rsidR="007031F0" w:rsidRPr="00CC586E" w:rsidRDefault="00CB05CA" w:rsidP="008D0CF7">
      <w:pPr>
        <w:spacing w:after="240"/>
        <w:jc w:val="both"/>
        <w:rPr>
          <w:rFonts w:ascii="Times New Roman" w:hAnsi="Times New Roman" w:cs="Times New Roman"/>
          <w:sz w:val="24"/>
          <w:szCs w:val="24"/>
        </w:rPr>
      </w:pPr>
      <w:r>
        <w:rPr>
          <w:rFonts w:ascii="Times New Roman" w:hAnsi="Times New Roman" w:cs="Times New Roman"/>
          <w:sz w:val="24"/>
          <w:szCs w:val="24"/>
        </w:rPr>
        <w:t xml:space="preserve">En </w:t>
      </w:r>
      <w:r w:rsidR="00380935">
        <w:rPr>
          <w:rFonts w:ascii="Times New Roman" w:hAnsi="Times New Roman" w:cs="Times New Roman"/>
          <w:sz w:val="24"/>
          <w:szCs w:val="24"/>
        </w:rPr>
        <w:t>cumplimiento</w:t>
      </w:r>
      <w:r>
        <w:rPr>
          <w:rFonts w:ascii="Times New Roman" w:hAnsi="Times New Roman" w:cs="Times New Roman"/>
          <w:sz w:val="24"/>
          <w:szCs w:val="24"/>
        </w:rPr>
        <w:t xml:space="preserve"> de </w:t>
      </w:r>
      <w:r w:rsidR="003F4EE6">
        <w:rPr>
          <w:rFonts w:ascii="Times New Roman" w:hAnsi="Times New Roman" w:cs="Times New Roman"/>
          <w:sz w:val="24"/>
          <w:szCs w:val="24"/>
        </w:rPr>
        <w:t>este mandato legal</w:t>
      </w:r>
      <w:r>
        <w:rPr>
          <w:rFonts w:ascii="Times New Roman" w:hAnsi="Times New Roman" w:cs="Times New Roman"/>
          <w:sz w:val="24"/>
          <w:szCs w:val="24"/>
        </w:rPr>
        <w:t xml:space="preserve">, </w:t>
      </w:r>
      <w:r w:rsidR="000A2A59" w:rsidRPr="00125F2A">
        <w:rPr>
          <w:rFonts w:ascii="Times New Roman" w:hAnsi="Times New Roman" w:cs="Times New Roman"/>
          <w:sz w:val="24"/>
          <w:szCs w:val="24"/>
        </w:rPr>
        <w:t xml:space="preserve">se </w:t>
      </w:r>
      <w:r w:rsidR="003F4EE6">
        <w:rPr>
          <w:rFonts w:ascii="Times New Roman" w:hAnsi="Times New Roman" w:cs="Times New Roman"/>
          <w:sz w:val="24"/>
          <w:szCs w:val="24"/>
        </w:rPr>
        <w:t>elaboró</w:t>
      </w:r>
      <w:r w:rsidR="000A2A59" w:rsidRPr="00125F2A">
        <w:rPr>
          <w:rFonts w:ascii="Times New Roman" w:hAnsi="Times New Roman" w:cs="Times New Roman"/>
          <w:sz w:val="24"/>
          <w:szCs w:val="24"/>
        </w:rPr>
        <w:t xml:space="preserve"> el </w:t>
      </w:r>
      <w:r w:rsidR="007A689C">
        <w:rPr>
          <w:rFonts w:ascii="Times New Roman" w:hAnsi="Times New Roman" w:cs="Times New Roman"/>
          <w:sz w:val="24"/>
          <w:szCs w:val="24"/>
        </w:rPr>
        <w:t>informe para e</w:t>
      </w:r>
      <w:r w:rsidR="004B7B34" w:rsidRPr="00125F2A">
        <w:rPr>
          <w:rFonts w:ascii="Times New Roman" w:hAnsi="Times New Roman" w:cs="Times New Roman"/>
          <w:sz w:val="24"/>
          <w:szCs w:val="24"/>
        </w:rPr>
        <w:t xml:space="preserve">l año </w:t>
      </w:r>
      <w:r w:rsidR="00684D55" w:rsidRPr="00125F2A">
        <w:rPr>
          <w:rFonts w:ascii="Times New Roman" w:hAnsi="Times New Roman" w:cs="Times New Roman"/>
          <w:sz w:val="24"/>
          <w:szCs w:val="24"/>
        </w:rPr>
        <w:t>201</w:t>
      </w:r>
      <w:r w:rsidR="00BB2590">
        <w:rPr>
          <w:rFonts w:ascii="Times New Roman" w:hAnsi="Times New Roman" w:cs="Times New Roman"/>
          <w:sz w:val="24"/>
          <w:szCs w:val="24"/>
        </w:rPr>
        <w:t>6</w:t>
      </w:r>
      <w:r w:rsidR="007A689C">
        <w:rPr>
          <w:rFonts w:ascii="Times New Roman" w:hAnsi="Times New Roman" w:cs="Times New Roman"/>
          <w:sz w:val="24"/>
          <w:szCs w:val="24"/>
        </w:rPr>
        <w:t xml:space="preserve">, el cual incorpora </w:t>
      </w:r>
      <w:r w:rsidR="007A689C" w:rsidRPr="00125F2A">
        <w:rPr>
          <w:rFonts w:ascii="Times New Roman" w:hAnsi="Times New Roman" w:cs="Times New Roman"/>
          <w:sz w:val="24"/>
          <w:szCs w:val="24"/>
        </w:rPr>
        <w:t>eventos</w:t>
      </w:r>
      <w:r w:rsidR="00025673" w:rsidRPr="00125F2A">
        <w:rPr>
          <w:rFonts w:ascii="Times New Roman" w:hAnsi="Times New Roman" w:cs="Times New Roman"/>
          <w:sz w:val="24"/>
          <w:szCs w:val="24"/>
        </w:rPr>
        <w:t xml:space="preserve"> subsecuentes al </w:t>
      </w:r>
      <w:r w:rsidR="009A03B7" w:rsidRPr="005D4FAE">
        <w:rPr>
          <w:rFonts w:ascii="Times New Roman" w:hAnsi="Times New Roman" w:cs="Times New Roman"/>
          <w:sz w:val="24"/>
          <w:szCs w:val="24"/>
        </w:rPr>
        <w:t>31</w:t>
      </w:r>
      <w:r w:rsidR="00232AFB" w:rsidRPr="005D4FAE">
        <w:rPr>
          <w:rFonts w:ascii="Times New Roman" w:hAnsi="Times New Roman" w:cs="Times New Roman"/>
          <w:sz w:val="24"/>
          <w:szCs w:val="24"/>
        </w:rPr>
        <w:t xml:space="preserve"> de </w:t>
      </w:r>
      <w:r w:rsidR="00C63584" w:rsidRPr="005D4FAE">
        <w:rPr>
          <w:rFonts w:ascii="Times New Roman" w:hAnsi="Times New Roman" w:cs="Times New Roman"/>
          <w:sz w:val="24"/>
          <w:szCs w:val="24"/>
        </w:rPr>
        <w:t>agosto</w:t>
      </w:r>
      <w:r w:rsidR="00A32A06" w:rsidRPr="005D4FAE">
        <w:rPr>
          <w:rFonts w:ascii="Times New Roman" w:hAnsi="Times New Roman" w:cs="Times New Roman"/>
          <w:sz w:val="24"/>
          <w:szCs w:val="24"/>
        </w:rPr>
        <w:t xml:space="preserve"> de </w:t>
      </w:r>
      <w:r w:rsidR="000A4538" w:rsidRPr="005D4FAE">
        <w:rPr>
          <w:rFonts w:ascii="Times New Roman" w:hAnsi="Times New Roman" w:cs="Times New Roman"/>
          <w:sz w:val="24"/>
          <w:szCs w:val="24"/>
        </w:rPr>
        <w:t>201</w:t>
      </w:r>
      <w:r w:rsidR="003F4EE6" w:rsidRPr="005D4FAE">
        <w:rPr>
          <w:rFonts w:ascii="Times New Roman" w:hAnsi="Times New Roman" w:cs="Times New Roman"/>
          <w:sz w:val="24"/>
          <w:szCs w:val="24"/>
        </w:rPr>
        <w:t>7</w:t>
      </w:r>
      <w:r w:rsidR="00CC586E" w:rsidRPr="006D3493">
        <w:rPr>
          <w:rFonts w:ascii="Times New Roman" w:hAnsi="Times New Roman" w:cs="Times New Roman"/>
          <w:sz w:val="24"/>
          <w:szCs w:val="24"/>
        </w:rPr>
        <w:t xml:space="preserve">, </w:t>
      </w:r>
      <w:r w:rsidR="00851B57">
        <w:rPr>
          <w:rFonts w:ascii="Times New Roman" w:hAnsi="Times New Roman" w:cs="Times New Roman"/>
          <w:sz w:val="24"/>
          <w:szCs w:val="24"/>
        </w:rPr>
        <w:t>así como</w:t>
      </w:r>
      <w:r w:rsidR="004747BF">
        <w:rPr>
          <w:rFonts w:ascii="Times New Roman" w:hAnsi="Times New Roman" w:cs="Times New Roman"/>
          <w:sz w:val="24"/>
          <w:szCs w:val="24"/>
        </w:rPr>
        <w:t xml:space="preserve"> </w:t>
      </w:r>
      <w:r w:rsidR="00CC586E" w:rsidRPr="006D3493">
        <w:rPr>
          <w:rFonts w:ascii="Times New Roman" w:hAnsi="Times New Roman" w:cs="Times New Roman"/>
          <w:sz w:val="24"/>
          <w:szCs w:val="24"/>
        </w:rPr>
        <w:t>información más reciente</w:t>
      </w:r>
      <w:r w:rsidR="000B4D83" w:rsidRPr="006D3493">
        <w:rPr>
          <w:rFonts w:ascii="Times New Roman" w:hAnsi="Times New Roman" w:cs="Times New Roman"/>
          <w:sz w:val="24"/>
          <w:szCs w:val="24"/>
        </w:rPr>
        <w:t>,</w:t>
      </w:r>
      <w:r w:rsidR="00CC586E" w:rsidRPr="006D3493">
        <w:rPr>
          <w:rFonts w:ascii="Times New Roman" w:hAnsi="Times New Roman" w:cs="Times New Roman"/>
          <w:sz w:val="24"/>
          <w:szCs w:val="24"/>
        </w:rPr>
        <w:t xml:space="preserve"> suministrada por la </w:t>
      </w:r>
      <w:r w:rsidR="003F4EE6">
        <w:rPr>
          <w:rFonts w:ascii="Times New Roman" w:hAnsi="Times New Roman" w:cs="Times New Roman"/>
          <w:sz w:val="24"/>
          <w:szCs w:val="24"/>
        </w:rPr>
        <w:t>CCSS</w:t>
      </w:r>
      <w:r w:rsidR="00CC586E" w:rsidRPr="006D3493">
        <w:rPr>
          <w:rFonts w:ascii="Times New Roman" w:hAnsi="Times New Roman" w:cs="Times New Roman"/>
          <w:sz w:val="24"/>
          <w:szCs w:val="24"/>
        </w:rPr>
        <w:t>.</w:t>
      </w:r>
      <w:r w:rsidR="00D85F5A" w:rsidRPr="00CC586E">
        <w:rPr>
          <w:rFonts w:ascii="Times New Roman" w:hAnsi="Times New Roman" w:cs="Times New Roman"/>
          <w:sz w:val="24"/>
          <w:szCs w:val="24"/>
        </w:rPr>
        <w:t xml:space="preserve"> </w:t>
      </w:r>
    </w:p>
    <w:p w14:paraId="7DE16CE7" w14:textId="181ADAF3" w:rsidR="00044BBC" w:rsidRDefault="00851B57" w:rsidP="008D0CF7">
      <w:pPr>
        <w:spacing w:after="240"/>
        <w:jc w:val="both"/>
        <w:rPr>
          <w:rFonts w:ascii="Times New Roman" w:hAnsi="Times New Roman" w:cs="Times New Roman"/>
          <w:sz w:val="24"/>
          <w:szCs w:val="24"/>
        </w:rPr>
      </w:pPr>
      <w:r>
        <w:rPr>
          <w:rFonts w:ascii="Times New Roman" w:hAnsi="Times New Roman" w:cs="Times New Roman"/>
          <w:sz w:val="24"/>
          <w:szCs w:val="24"/>
        </w:rPr>
        <w:t xml:space="preserve">En </w:t>
      </w:r>
      <w:r w:rsidR="00816ED8">
        <w:rPr>
          <w:rFonts w:ascii="Times New Roman" w:hAnsi="Times New Roman" w:cs="Times New Roman"/>
          <w:sz w:val="24"/>
          <w:szCs w:val="24"/>
        </w:rPr>
        <w:t>esta ocasión</w:t>
      </w:r>
      <w:r w:rsidR="00DA3627">
        <w:rPr>
          <w:rFonts w:ascii="Times New Roman" w:hAnsi="Times New Roman" w:cs="Times New Roman"/>
          <w:sz w:val="24"/>
          <w:szCs w:val="24"/>
        </w:rPr>
        <w:t xml:space="preserve"> </w:t>
      </w:r>
      <w:r w:rsidR="004747BF">
        <w:rPr>
          <w:rFonts w:ascii="Times New Roman" w:hAnsi="Times New Roman" w:cs="Times New Roman"/>
          <w:sz w:val="24"/>
          <w:szCs w:val="24"/>
        </w:rPr>
        <w:t xml:space="preserve">la SUPEN tuvo la oportunidad </w:t>
      </w:r>
      <w:r>
        <w:rPr>
          <w:rFonts w:ascii="Times New Roman" w:hAnsi="Times New Roman" w:cs="Times New Roman"/>
          <w:sz w:val="24"/>
          <w:szCs w:val="24"/>
        </w:rPr>
        <w:t xml:space="preserve">de </w:t>
      </w:r>
      <w:r w:rsidR="004747BF">
        <w:rPr>
          <w:rFonts w:ascii="Times New Roman" w:hAnsi="Times New Roman" w:cs="Times New Roman"/>
          <w:sz w:val="24"/>
          <w:szCs w:val="24"/>
        </w:rPr>
        <w:t>revisar y analizar</w:t>
      </w:r>
      <w:r w:rsidR="004747BF" w:rsidRPr="004747BF">
        <w:rPr>
          <w:rFonts w:ascii="Times New Roman" w:hAnsi="Times New Roman" w:cs="Times New Roman"/>
          <w:sz w:val="24"/>
          <w:szCs w:val="24"/>
        </w:rPr>
        <w:t xml:space="preserve"> el Estudio Actuarial del </w:t>
      </w:r>
      <w:r w:rsidR="004747BF">
        <w:rPr>
          <w:rFonts w:ascii="Times New Roman" w:hAnsi="Times New Roman" w:cs="Times New Roman"/>
          <w:sz w:val="24"/>
          <w:szCs w:val="24"/>
        </w:rPr>
        <w:t>RIVM</w:t>
      </w:r>
      <w:r w:rsidR="004747BF" w:rsidRPr="004747BF">
        <w:rPr>
          <w:rFonts w:ascii="Times New Roman" w:hAnsi="Times New Roman" w:cs="Times New Roman"/>
          <w:sz w:val="24"/>
          <w:szCs w:val="24"/>
        </w:rPr>
        <w:t xml:space="preserve">, con corte al 31 de diciembre de 2015, elaborado por la Universidad de Costa </w:t>
      </w:r>
      <w:r w:rsidR="004747BF">
        <w:rPr>
          <w:rFonts w:ascii="Times New Roman" w:hAnsi="Times New Roman" w:cs="Times New Roman"/>
          <w:sz w:val="24"/>
          <w:szCs w:val="24"/>
        </w:rPr>
        <w:t>Rica</w:t>
      </w:r>
      <w:r>
        <w:rPr>
          <w:rFonts w:ascii="Times New Roman" w:hAnsi="Times New Roman" w:cs="Times New Roman"/>
          <w:sz w:val="24"/>
          <w:szCs w:val="24"/>
        </w:rPr>
        <w:t>,</w:t>
      </w:r>
      <w:r w:rsidR="004747BF">
        <w:rPr>
          <w:rFonts w:ascii="Times New Roman" w:hAnsi="Times New Roman" w:cs="Times New Roman"/>
          <w:sz w:val="24"/>
          <w:szCs w:val="24"/>
        </w:rPr>
        <w:t xml:space="preserve"> sobre el cual se reseñan aspectos de interés observados.</w:t>
      </w:r>
      <w:r w:rsidR="00E00F3A" w:rsidRPr="006650B1">
        <w:rPr>
          <w:rFonts w:ascii="Times New Roman" w:hAnsi="Times New Roman" w:cs="Times New Roman"/>
          <w:sz w:val="24"/>
          <w:szCs w:val="24"/>
        </w:rPr>
        <w:t xml:space="preserve"> </w:t>
      </w:r>
    </w:p>
    <w:p w14:paraId="604EE1CD" w14:textId="3BC28E66" w:rsidR="00C6288A" w:rsidRPr="0063700D" w:rsidRDefault="00C6288A" w:rsidP="00C6288A">
      <w:pPr>
        <w:spacing w:after="240"/>
        <w:jc w:val="both"/>
        <w:rPr>
          <w:rFonts w:ascii="Times New Roman" w:hAnsi="Times New Roman" w:cs="Times New Roman"/>
          <w:sz w:val="24"/>
          <w:szCs w:val="24"/>
        </w:rPr>
      </w:pPr>
      <w:r>
        <w:rPr>
          <w:rFonts w:ascii="Times New Roman" w:hAnsi="Times New Roman" w:cs="Times New Roman"/>
          <w:sz w:val="24"/>
          <w:szCs w:val="24"/>
        </w:rPr>
        <w:t>Similar a</w:t>
      </w:r>
      <w:r w:rsidR="00851B57">
        <w:rPr>
          <w:rFonts w:ascii="Times New Roman" w:hAnsi="Times New Roman" w:cs="Times New Roman"/>
          <w:sz w:val="24"/>
          <w:szCs w:val="24"/>
        </w:rPr>
        <w:t xml:space="preserve"> </w:t>
      </w:r>
      <w:r>
        <w:rPr>
          <w:rFonts w:ascii="Times New Roman" w:hAnsi="Times New Roman" w:cs="Times New Roman"/>
          <w:sz w:val="24"/>
          <w:szCs w:val="24"/>
        </w:rPr>
        <w:t>l</w:t>
      </w:r>
      <w:r w:rsidR="00851B57">
        <w:rPr>
          <w:rFonts w:ascii="Times New Roman" w:hAnsi="Times New Roman" w:cs="Times New Roman"/>
          <w:sz w:val="24"/>
          <w:szCs w:val="24"/>
        </w:rPr>
        <w:t>o sucedido con el informe presentado en el año 2016,</w:t>
      </w:r>
      <w:r w:rsidR="00DA3627">
        <w:rPr>
          <w:rFonts w:ascii="Times New Roman" w:hAnsi="Times New Roman" w:cs="Times New Roman"/>
          <w:sz w:val="24"/>
          <w:szCs w:val="24"/>
        </w:rPr>
        <w:t xml:space="preserve"> </w:t>
      </w:r>
      <w:r>
        <w:rPr>
          <w:rFonts w:ascii="Times New Roman" w:hAnsi="Times New Roman" w:cs="Times New Roman"/>
          <w:sz w:val="24"/>
          <w:szCs w:val="24"/>
        </w:rPr>
        <w:t>en esta oportunidad</w:t>
      </w:r>
      <w:r w:rsidRPr="00044BBC">
        <w:rPr>
          <w:rFonts w:ascii="Times New Roman" w:hAnsi="Times New Roman" w:cs="Times New Roman"/>
          <w:sz w:val="24"/>
          <w:szCs w:val="24"/>
        </w:rPr>
        <w:t xml:space="preserve"> </w:t>
      </w:r>
      <w:r w:rsidR="00851B57">
        <w:rPr>
          <w:rFonts w:ascii="Times New Roman" w:hAnsi="Times New Roman" w:cs="Times New Roman"/>
          <w:sz w:val="24"/>
          <w:szCs w:val="24"/>
        </w:rPr>
        <w:t>tampoco</w:t>
      </w:r>
      <w:r w:rsidR="00851B57" w:rsidRPr="005D4FAE">
        <w:rPr>
          <w:rFonts w:ascii="Times New Roman" w:hAnsi="Times New Roman" w:cs="Times New Roman"/>
          <w:sz w:val="24"/>
          <w:szCs w:val="24"/>
        </w:rPr>
        <w:t xml:space="preserve"> </w:t>
      </w:r>
      <w:r w:rsidRPr="005D4FAE">
        <w:rPr>
          <w:rFonts w:ascii="Times New Roman" w:hAnsi="Times New Roman" w:cs="Times New Roman"/>
          <w:sz w:val="24"/>
          <w:szCs w:val="24"/>
        </w:rPr>
        <w:t>fue posible tener a disposición</w:t>
      </w:r>
      <w:r>
        <w:rPr>
          <w:rFonts w:ascii="Times New Roman" w:hAnsi="Times New Roman" w:cs="Times New Roman"/>
          <w:sz w:val="24"/>
          <w:szCs w:val="24"/>
        </w:rPr>
        <w:t xml:space="preserve"> los </w:t>
      </w:r>
      <w:r w:rsidRPr="0063700D">
        <w:rPr>
          <w:rFonts w:ascii="Times New Roman" w:hAnsi="Times New Roman" w:cs="Times New Roman"/>
          <w:sz w:val="24"/>
          <w:szCs w:val="24"/>
        </w:rPr>
        <w:t xml:space="preserve">Estados financieros auditados del RIVM al 31 de diciembre de 2016, </w:t>
      </w:r>
      <w:r w:rsidR="00EE55F4">
        <w:rPr>
          <w:rFonts w:ascii="Times New Roman" w:hAnsi="Times New Roman" w:cs="Times New Roman"/>
          <w:sz w:val="24"/>
          <w:szCs w:val="24"/>
        </w:rPr>
        <w:t>cuya presentación fue recordada mediante</w:t>
      </w:r>
      <w:r w:rsidRPr="0063700D">
        <w:rPr>
          <w:rFonts w:ascii="Times New Roman" w:hAnsi="Times New Roman" w:cs="Times New Roman"/>
          <w:sz w:val="24"/>
          <w:szCs w:val="24"/>
        </w:rPr>
        <w:t xml:space="preserve"> el</w:t>
      </w:r>
      <w:r w:rsidRPr="0063700D">
        <w:t xml:space="preserve"> </w:t>
      </w:r>
      <w:r w:rsidRPr="002443B4">
        <w:rPr>
          <w:rFonts w:ascii="Times New Roman" w:hAnsi="Times New Roman" w:cs="Times New Roman"/>
          <w:sz w:val="24"/>
          <w:szCs w:val="24"/>
        </w:rPr>
        <w:t>SP-190</w:t>
      </w:r>
      <w:r>
        <w:rPr>
          <w:rFonts w:ascii="Times New Roman" w:hAnsi="Times New Roman" w:cs="Times New Roman"/>
          <w:sz w:val="24"/>
          <w:szCs w:val="24"/>
        </w:rPr>
        <w:t>-2017 del 16 de fe</w:t>
      </w:r>
      <w:r w:rsidR="00EE55F4">
        <w:rPr>
          <w:rFonts w:ascii="Times New Roman" w:hAnsi="Times New Roman" w:cs="Times New Roman"/>
          <w:sz w:val="24"/>
          <w:szCs w:val="24"/>
        </w:rPr>
        <w:t xml:space="preserve">brero de 2017 y </w:t>
      </w:r>
      <w:r>
        <w:rPr>
          <w:rFonts w:ascii="Times New Roman" w:hAnsi="Times New Roman" w:cs="Times New Roman"/>
          <w:sz w:val="24"/>
          <w:szCs w:val="24"/>
        </w:rPr>
        <w:t xml:space="preserve">el </w:t>
      </w:r>
      <w:r w:rsidRPr="00F05330">
        <w:rPr>
          <w:rFonts w:ascii="Times New Roman" w:hAnsi="Times New Roman" w:cs="Times New Roman"/>
          <w:sz w:val="24"/>
          <w:szCs w:val="24"/>
        </w:rPr>
        <w:t>SP-548-2017 del 16 de junio de 201</w:t>
      </w:r>
      <w:r>
        <w:rPr>
          <w:rFonts w:ascii="Times New Roman" w:hAnsi="Times New Roman" w:cs="Times New Roman"/>
          <w:sz w:val="24"/>
          <w:szCs w:val="24"/>
        </w:rPr>
        <w:t xml:space="preserve">7; aspecto que atenta contra la transparencia, dado que ninguna organización moderna en el mundo tarda tanto tiempo para revisar y aprobar los estados financieros auditados. </w:t>
      </w:r>
    </w:p>
    <w:p w14:paraId="7FA6A5E8" w14:textId="52824F88" w:rsidR="00D16063" w:rsidRDefault="00200BA1" w:rsidP="00420DCF">
      <w:pPr>
        <w:spacing w:after="240"/>
        <w:jc w:val="both"/>
        <w:rPr>
          <w:rFonts w:ascii="Times New Roman" w:hAnsi="Times New Roman" w:cs="Times New Roman"/>
          <w:sz w:val="24"/>
          <w:szCs w:val="24"/>
        </w:rPr>
      </w:pPr>
      <w:r>
        <w:rPr>
          <w:rFonts w:ascii="Times New Roman" w:hAnsi="Times New Roman" w:cs="Times New Roman"/>
          <w:sz w:val="24"/>
          <w:szCs w:val="24"/>
        </w:rPr>
        <w:t>En línea con informes anteriores elaborados</w:t>
      </w:r>
      <w:r w:rsidR="009E5B77">
        <w:rPr>
          <w:rFonts w:ascii="Times New Roman" w:hAnsi="Times New Roman" w:cs="Times New Roman"/>
          <w:sz w:val="24"/>
          <w:szCs w:val="24"/>
        </w:rPr>
        <w:t xml:space="preserve">, la SUPEN procura </w:t>
      </w:r>
      <w:r>
        <w:rPr>
          <w:rFonts w:ascii="Times New Roman" w:hAnsi="Times New Roman" w:cs="Times New Roman"/>
          <w:sz w:val="24"/>
          <w:szCs w:val="24"/>
        </w:rPr>
        <w:t>resaltar</w:t>
      </w:r>
      <w:r w:rsidR="009E5B77" w:rsidRPr="009E5B77">
        <w:rPr>
          <w:rFonts w:ascii="Times New Roman" w:hAnsi="Times New Roman" w:cs="Times New Roman"/>
          <w:sz w:val="24"/>
          <w:szCs w:val="24"/>
        </w:rPr>
        <w:t xml:space="preserve"> </w:t>
      </w:r>
      <w:r>
        <w:rPr>
          <w:rFonts w:ascii="Times New Roman" w:hAnsi="Times New Roman" w:cs="Times New Roman"/>
          <w:sz w:val="24"/>
          <w:szCs w:val="24"/>
        </w:rPr>
        <w:t>aspectos</w:t>
      </w:r>
      <w:r w:rsidR="009E5B77" w:rsidRPr="009E5B77">
        <w:rPr>
          <w:rFonts w:ascii="Times New Roman" w:hAnsi="Times New Roman" w:cs="Times New Roman"/>
          <w:sz w:val="24"/>
          <w:szCs w:val="24"/>
        </w:rPr>
        <w:t xml:space="preserve"> que son de especial preocupación </w:t>
      </w:r>
      <w:r w:rsidR="00686777">
        <w:rPr>
          <w:rFonts w:ascii="Times New Roman" w:hAnsi="Times New Roman" w:cs="Times New Roman"/>
          <w:sz w:val="24"/>
          <w:szCs w:val="24"/>
        </w:rPr>
        <w:t>respecto a la situación del RIVM</w:t>
      </w:r>
      <w:r w:rsidR="009E5B77" w:rsidRPr="009E5B77">
        <w:rPr>
          <w:rFonts w:ascii="Times New Roman" w:hAnsi="Times New Roman" w:cs="Times New Roman"/>
          <w:sz w:val="24"/>
          <w:szCs w:val="24"/>
        </w:rPr>
        <w:t xml:space="preserve">, </w:t>
      </w:r>
      <w:r>
        <w:rPr>
          <w:rFonts w:ascii="Times New Roman" w:hAnsi="Times New Roman" w:cs="Times New Roman"/>
          <w:sz w:val="24"/>
          <w:szCs w:val="24"/>
        </w:rPr>
        <w:t>describiendo</w:t>
      </w:r>
      <w:r w:rsidR="00686777">
        <w:rPr>
          <w:rFonts w:ascii="Times New Roman" w:hAnsi="Times New Roman" w:cs="Times New Roman"/>
          <w:sz w:val="24"/>
          <w:szCs w:val="24"/>
        </w:rPr>
        <w:t xml:space="preserve"> </w:t>
      </w:r>
      <w:r w:rsidR="009E5B77" w:rsidRPr="009E5B77">
        <w:rPr>
          <w:rFonts w:ascii="Times New Roman" w:hAnsi="Times New Roman" w:cs="Times New Roman"/>
          <w:sz w:val="24"/>
          <w:szCs w:val="24"/>
        </w:rPr>
        <w:t xml:space="preserve">situaciones de riesgo </w:t>
      </w:r>
      <w:r>
        <w:rPr>
          <w:rFonts w:ascii="Times New Roman" w:hAnsi="Times New Roman" w:cs="Times New Roman"/>
          <w:sz w:val="24"/>
          <w:szCs w:val="24"/>
        </w:rPr>
        <w:t>determinadas</w:t>
      </w:r>
      <w:r w:rsidR="009E5B77" w:rsidRPr="009E5B77">
        <w:rPr>
          <w:rFonts w:ascii="Times New Roman" w:hAnsi="Times New Roman" w:cs="Times New Roman"/>
          <w:sz w:val="24"/>
          <w:szCs w:val="24"/>
        </w:rPr>
        <w:t xml:space="preserve">, </w:t>
      </w:r>
      <w:r w:rsidR="00CC7CD8">
        <w:rPr>
          <w:rFonts w:ascii="Times New Roman" w:hAnsi="Times New Roman" w:cs="Times New Roman"/>
          <w:sz w:val="24"/>
          <w:szCs w:val="24"/>
        </w:rPr>
        <w:t>esperando se</w:t>
      </w:r>
      <w:r w:rsidR="009E5B77" w:rsidRPr="009E5B77">
        <w:rPr>
          <w:rFonts w:ascii="Times New Roman" w:hAnsi="Times New Roman" w:cs="Times New Roman"/>
          <w:sz w:val="24"/>
          <w:szCs w:val="24"/>
        </w:rPr>
        <w:t xml:space="preserve"> </w:t>
      </w:r>
      <w:r w:rsidR="00CC7CD8">
        <w:rPr>
          <w:rFonts w:ascii="Times New Roman" w:hAnsi="Times New Roman" w:cs="Times New Roman"/>
          <w:sz w:val="24"/>
          <w:szCs w:val="24"/>
        </w:rPr>
        <w:t>adopten</w:t>
      </w:r>
      <w:r w:rsidR="009E5B77" w:rsidRPr="009E5B77">
        <w:rPr>
          <w:rFonts w:ascii="Times New Roman" w:hAnsi="Times New Roman" w:cs="Times New Roman"/>
          <w:sz w:val="24"/>
          <w:szCs w:val="24"/>
        </w:rPr>
        <w:t xml:space="preserve"> acciones de mejora o mitigación de los riesgos por pa</w:t>
      </w:r>
      <w:r w:rsidR="00D16063">
        <w:rPr>
          <w:rFonts w:ascii="Times New Roman" w:hAnsi="Times New Roman" w:cs="Times New Roman"/>
          <w:sz w:val="24"/>
          <w:szCs w:val="24"/>
        </w:rPr>
        <w:t>rte de la administración activa</w:t>
      </w:r>
      <w:r w:rsidR="009E5B77" w:rsidRPr="009E5B77">
        <w:rPr>
          <w:rFonts w:ascii="Times New Roman" w:hAnsi="Times New Roman" w:cs="Times New Roman"/>
          <w:sz w:val="24"/>
          <w:szCs w:val="24"/>
        </w:rPr>
        <w:t>.</w:t>
      </w:r>
      <w:r w:rsidR="00420DCF">
        <w:rPr>
          <w:rFonts w:ascii="Times New Roman" w:hAnsi="Times New Roman" w:cs="Times New Roman"/>
          <w:sz w:val="24"/>
          <w:szCs w:val="24"/>
        </w:rPr>
        <w:t xml:space="preserve"> </w:t>
      </w:r>
      <w:r w:rsidR="00D16063">
        <w:rPr>
          <w:rFonts w:ascii="Times New Roman" w:hAnsi="Times New Roman" w:cs="Times New Roman"/>
          <w:sz w:val="24"/>
          <w:szCs w:val="24"/>
        </w:rPr>
        <w:t xml:space="preserve">Por lo tanto, conforme a lo </w:t>
      </w:r>
      <w:r w:rsidR="00E8425E">
        <w:rPr>
          <w:rFonts w:ascii="Times New Roman" w:hAnsi="Times New Roman" w:cs="Times New Roman"/>
          <w:sz w:val="24"/>
          <w:szCs w:val="24"/>
        </w:rPr>
        <w:t>estipulado</w:t>
      </w:r>
      <w:r w:rsidR="00D16063">
        <w:rPr>
          <w:rFonts w:ascii="Times New Roman" w:hAnsi="Times New Roman" w:cs="Times New Roman"/>
          <w:sz w:val="24"/>
          <w:szCs w:val="24"/>
        </w:rPr>
        <w:t xml:space="preserve"> en el precitado artículo 37, se describen en este informe algunas</w:t>
      </w:r>
      <w:r w:rsidR="00D16063" w:rsidRPr="00D16063">
        <w:rPr>
          <w:rFonts w:ascii="Times New Roman" w:hAnsi="Times New Roman" w:cs="Times New Roman"/>
          <w:sz w:val="24"/>
          <w:szCs w:val="24"/>
        </w:rPr>
        <w:t xml:space="preserve"> recomendaciones</w:t>
      </w:r>
      <w:r w:rsidR="00D16063">
        <w:rPr>
          <w:rFonts w:ascii="Times New Roman" w:hAnsi="Times New Roman" w:cs="Times New Roman"/>
          <w:sz w:val="24"/>
          <w:szCs w:val="24"/>
        </w:rPr>
        <w:t xml:space="preserve">, </w:t>
      </w:r>
      <w:r w:rsidR="00E8425E">
        <w:rPr>
          <w:rFonts w:ascii="Times New Roman" w:hAnsi="Times New Roman" w:cs="Times New Roman"/>
          <w:sz w:val="24"/>
          <w:szCs w:val="24"/>
        </w:rPr>
        <w:t xml:space="preserve">esperando sean de utilidad para </w:t>
      </w:r>
      <w:r w:rsidR="00D16063">
        <w:rPr>
          <w:rFonts w:ascii="Times New Roman" w:hAnsi="Times New Roman" w:cs="Times New Roman"/>
          <w:sz w:val="24"/>
          <w:szCs w:val="24"/>
        </w:rPr>
        <w:t>la</w:t>
      </w:r>
      <w:r w:rsidR="00D16063" w:rsidRPr="00D16063">
        <w:rPr>
          <w:rFonts w:ascii="Times New Roman" w:hAnsi="Times New Roman" w:cs="Times New Roman"/>
          <w:sz w:val="24"/>
          <w:szCs w:val="24"/>
        </w:rPr>
        <w:t xml:space="preserve"> administración y equilibrio actuarial</w:t>
      </w:r>
      <w:r w:rsidR="00D16063">
        <w:rPr>
          <w:rFonts w:ascii="Times New Roman" w:hAnsi="Times New Roman" w:cs="Times New Roman"/>
          <w:sz w:val="24"/>
          <w:szCs w:val="24"/>
        </w:rPr>
        <w:t xml:space="preserve"> del RIVM</w:t>
      </w:r>
      <w:r w:rsidR="00D16063" w:rsidRPr="00D16063">
        <w:rPr>
          <w:rFonts w:ascii="Times New Roman" w:hAnsi="Times New Roman" w:cs="Times New Roman"/>
          <w:sz w:val="24"/>
          <w:szCs w:val="24"/>
        </w:rPr>
        <w:t>.</w:t>
      </w:r>
    </w:p>
    <w:p w14:paraId="269E40E6" w14:textId="40C93495" w:rsidR="007C4460" w:rsidRDefault="007D084E" w:rsidP="00420DCF">
      <w:pPr>
        <w:spacing w:after="240"/>
        <w:jc w:val="both"/>
        <w:rPr>
          <w:rFonts w:ascii="Times New Roman" w:hAnsi="Times New Roman" w:cs="Times New Roman"/>
          <w:sz w:val="24"/>
          <w:szCs w:val="24"/>
        </w:rPr>
      </w:pPr>
      <w:r>
        <w:rPr>
          <w:rFonts w:ascii="Times New Roman" w:hAnsi="Times New Roman" w:cs="Times New Roman"/>
          <w:sz w:val="24"/>
          <w:szCs w:val="24"/>
        </w:rPr>
        <w:t>No obstante</w:t>
      </w:r>
      <w:r w:rsidR="00D85F5A" w:rsidRPr="00125F2A">
        <w:rPr>
          <w:rFonts w:ascii="Times New Roman" w:hAnsi="Times New Roman" w:cs="Times New Roman"/>
          <w:sz w:val="24"/>
          <w:szCs w:val="24"/>
        </w:rPr>
        <w:t>,</w:t>
      </w:r>
      <w:r w:rsidR="00E62D24" w:rsidRPr="00125F2A">
        <w:rPr>
          <w:rFonts w:ascii="Times New Roman" w:hAnsi="Times New Roman" w:cs="Times New Roman"/>
          <w:sz w:val="24"/>
          <w:szCs w:val="24"/>
        </w:rPr>
        <w:t xml:space="preserve"> </w:t>
      </w:r>
      <w:r>
        <w:rPr>
          <w:rFonts w:ascii="Times New Roman" w:hAnsi="Times New Roman" w:cs="Times New Roman"/>
          <w:sz w:val="24"/>
          <w:szCs w:val="24"/>
        </w:rPr>
        <w:t xml:space="preserve">aun cuando se ha observado </w:t>
      </w:r>
      <w:r w:rsidR="00F020F6">
        <w:rPr>
          <w:rFonts w:ascii="Times New Roman" w:hAnsi="Times New Roman" w:cs="Times New Roman"/>
          <w:sz w:val="24"/>
          <w:szCs w:val="24"/>
        </w:rPr>
        <w:t xml:space="preserve">que la Junta Directiva de la CCSS ha emitido acuerdos </w:t>
      </w:r>
      <w:r w:rsidR="007C4460">
        <w:rPr>
          <w:rFonts w:ascii="Times New Roman" w:hAnsi="Times New Roman" w:cs="Times New Roman"/>
          <w:sz w:val="24"/>
          <w:szCs w:val="24"/>
        </w:rPr>
        <w:t xml:space="preserve">solicitando </w:t>
      </w:r>
      <w:r w:rsidR="00D47403">
        <w:rPr>
          <w:rFonts w:ascii="Times New Roman" w:hAnsi="Times New Roman" w:cs="Times New Roman"/>
          <w:sz w:val="24"/>
          <w:szCs w:val="24"/>
        </w:rPr>
        <w:t xml:space="preserve">a dependencias internas de esa </w:t>
      </w:r>
      <w:r>
        <w:rPr>
          <w:rFonts w:ascii="Times New Roman" w:hAnsi="Times New Roman" w:cs="Times New Roman"/>
          <w:sz w:val="24"/>
          <w:szCs w:val="24"/>
        </w:rPr>
        <w:t>institución</w:t>
      </w:r>
      <w:r w:rsidR="007C4460">
        <w:rPr>
          <w:rFonts w:ascii="Times New Roman" w:hAnsi="Times New Roman" w:cs="Times New Roman"/>
          <w:sz w:val="24"/>
          <w:szCs w:val="24"/>
        </w:rPr>
        <w:t xml:space="preserve">, que atiendan sugerencias de mejora planteadas por </w:t>
      </w:r>
      <w:r w:rsidR="00D47403">
        <w:rPr>
          <w:rFonts w:ascii="Times New Roman" w:hAnsi="Times New Roman" w:cs="Times New Roman"/>
          <w:sz w:val="24"/>
          <w:szCs w:val="24"/>
        </w:rPr>
        <w:t>la SUPEN</w:t>
      </w:r>
      <w:r w:rsidR="00210E22">
        <w:rPr>
          <w:rFonts w:ascii="Times New Roman" w:hAnsi="Times New Roman" w:cs="Times New Roman"/>
          <w:sz w:val="24"/>
          <w:szCs w:val="24"/>
        </w:rPr>
        <w:t>, en este tipo de informes y en estudios particulares efectuados</w:t>
      </w:r>
      <w:r w:rsidR="007C4460">
        <w:rPr>
          <w:rFonts w:ascii="Times New Roman" w:hAnsi="Times New Roman" w:cs="Times New Roman"/>
          <w:sz w:val="24"/>
          <w:szCs w:val="24"/>
        </w:rPr>
        <w:t xml:space="preserve">, se </w:t>
      </w:r>
      <w:r>
        <w:rPr>
          <w:rFonts w:ascii="Times New Roman" w:hAnsi="Times New Roman" w:cs="Times New Roman"/>
          <w:sz w:val="24"/>
          <w:szCs w:val="24"/>
        </w:rPr>
        <w:t>ha determinado</w:t>
      </w:r>
      <w:r w:rsidR="007C4460">
        <w:rPr>
          <w:rFonts w:ascii="Times New Roman" w:hAnsi="Times New Roman" w:cs="Times New Roman"/>
          <w:sz w:val="24"/>
          <w:szCs w:val="24"/>
        </w:rPr>
        <w:t xml:space="preserve"> que las medidas de corrección o mejora, no son implementadas </w:t>
      </w:r>
      <w:r w:rsidR="00F868C2" w:rsidRPr="00FB31C7">
        <w:rPr>
          <w:rFonts w:ascii="Times New Roman" w:hAnsi="Times New Roman" w:cs="Times New Roman"/>
          <w:sz w:val="24"/>
          <w:szCs w:val="24"/>
        </w:rPr>
        <w:t>a tiempo</w:t>
      </w:r>
      <w:r w:rsidR="007C4460" w:rsidRPr="00FB31C7">
        <w:rPr>
          <w:rFonts w:ascii="Times New Roman" w:hAnsi="Times New Roman" w:cs="Times New Roman"/>
          <w:sz w:val="24"/>
          <w:szCs w:val="24"/>
        </w:rPr>
        <w:t xml:space="preserve"> o del todo no se atienden, </w:t>
      </w:r>
      <w:r>
        <w:rPr>
          <w:rFonts w:ascii="Times New Roman" w:hAnsi="Times New Roman" w:cs="Times New Roman"/>
          <w:sz w:val="24"/>
          <w:szCs w:val="24"/>
        </w:rPr>
        <w:t>lo que ocasiona</w:t>
      </w:r>
      <w:r w:rsidR="00281139">
        <w:rPr>
          <w:rFonts w:ascii="Times New Roman" w:hAnsi="Times New Roman" w:cs="Times New Roman"/>
          <w:sz w:val="24"/>
          <w:szCs w:val="24"/>
        </w:rPr>
        <w:t xml:space="preserve"> que</w:t>
      </w:r>
      <w:r w:rsidR="007C4460" w:rsidRPr="00FB31C7">
        <w:rPr>
          <w:rFonts w:ascii="Times New Roman" w:hAnsi="Times New Roman" w:cs="Times New Roman"/>
          <w:sz w:val="24"/>
          <w:szCs w:val="24"/>
        </w:rPr>
        <w:t xml:space="preserve"> </w:t>
      </w:r>
      <w:r w:rsidR="00281139">
        <w:rPr>
          <w:rFonts w:ascii="Times New Roman" w:hAnsi="Times New Roman" w:cs="Times New Roman"/>
          <w:sz w:val="24"/>
          <w:szCs w:val="24"/>
        </w:rPr>
        <w:t xml:space="preserve">se reiteren </w:t>
      </w:r>
      <w:r w:rsidR="007C4460" w:rsidRPr="00FB31C7">
        <w:rPr>
          <w:rFonts w:ascii="Times New Roman" w:hAnsi="Times New Roman" w:cs="Times New Roman"/>
          <w:sz w:val="24"/>
          <w:szCs w:val="24"/>
        </w:rPr>
        <w:t xml:space="preserve">eventos </w:t>
      </w:r>
      <w:r w:rsidR="00422739" w:rsidRPr="00FB31C7">
        <w:rPr>
          <w:rFonts w:ascii="Times New Roman" w:hAnsi="Times New Roman" w:cs="Times New Roman"/>
          <w:sz w:val="24"/>
          <w:szCs w:val="24"/>
        </w:rPr>
        <w:t>expuestos</w:t>
      </w:r>
      <w:r w:rsidR="007C4460" w:rsidRPr="00FB31C7">
        <w:rPr>
          <w:rFonts w:ascii="Times New Roman" w:hAnsi="Times New Roman" w:cs="Times New Roman"/>
          <w:sz w:val="24"/>
          <w:szCs w:val="24"/>
        </w:rPr>
        <w:t xml:space="preserve"> en informes anteriores.</w:t>
      </w:r>
    </w:p>
    <w:p w14:paraId="3CC3F29D" w14:textId="4B6A09C4" w:rsidR="005F1278" w:rsidRDefault="00F868C2" w:rsidP="00420DCF">
      <w:pPr>
        <w:spacing w:after="240"/>
        <w:jc w:val="both"/>
        <w:rPr>
          <w:rFonts w:ascii="Times New Roman" w:hAnsi="Times New Roman" w:cs="Times New Roman"/>
          <w:sz w:val="24"/>
          <w:szCs w:val="24"/>
        </w:rPr>
      </w:pPr>
      <w:r>
        <w:rPr>
          <w:rFonts w:ascii="Times New Roman" w:hAnsi="Times New Roman" w:cs="Times New Roman"/>
          <w:sz w:val="24"/>
          <w:szCs w:val="24"/>
        </w:rPr>
        <w:t>E</w:t>
      </w:r>
      <w:r w:rsidR="003F61FF" w:rsidRPr="006E0998">
        <w:rPr>
          <w:rFonts w:ascii="Times New Roman" w:hAnsi="Times New Roman" w:cs="Times New Roman"/>
          <w:sz w:val="24"/>
          <w:szCs w:val="24"/>
        </w:rPr>
        <w:t>n</w:t>
      </w:r>
      <w:r w:rsidR="00D2128F" w:rsidRPr="006E0998">
        <w:rPr>
          <w:rFonts w:ascii="Times New Roman" w:hAnsi="Times New Roman" w:cs="Times New Roman"/>
          <w:sz w:val="24"/>
          <w:szCs w:val="24"/>
        </w:rPr>
        <w:t xml:space="preserve"> los </w:t>
      </w:r>
      <w:r w:rsidR="005B311E" w:rsidRPr="006E0998">
        <w:rPr>
          <w:rFonts w:ascii="Times New Roman" w:hAnsi="Times New Roman" w:cs="Times New Roman"/>
          <w:sz w:val="24"/>
          <w:szCs w:val="24"/>
        </w:rPr>
        <w:t>capítulos</w:t>
      </w:r>
      <w:r w:rsidR="00DB6AE9">
        <w:rPr>
          <w:rFonts w:ascii="Times New Roman" w:hAnsi="Times New Roman" w:cs="Times New Roman"/>
          <w:sz w:val="24"/>
          <w:szCs w:val="24"/>
        </w:rPr>
        <w:t xml:space="preserve"> de este informe</w:t>
      </w:r>
      <w:r w:rsidR="005B311E" w:rsidRPr="006E0998">
        <w:rPr>
          <w:rFonts w:ascii="Times New Roman" w:hAnsi="Times New Roman" w:cs="Times New Roman"/>
          <w:sz w:val="24"/>
          <w:szCs w:val="24"/>
        </w:rPr>
        <w:t xml:space="preserve"> se identifican y comentan</w:t>
      </w:r>
      <w:r w:rsidR="003F61FF" w:rsidRPr="006E0998">
        <w:rPr>
          <w:rFonts w:ascii="Times New Roman" w:hAnsi="Times New Roman" w:cs="Times New Roman"/>
          <w:sz w:val="24"/>
          <w:szCs w:val="24"/>
        </w:rPr>
        <w:t xml:space="preserve"> las situaciones </w:t>
      </w:r>
      <w:r w:rsidR="003F61FF" w:rsidRPr="002F2194">
        <w:rPr>
          <w:rFonts w:ascii="Times New Roman" w:hAnsi="Times New Roman" w:cs="Times New Roman"/>
          <w:sz w:val="24"/>
          <w:szCs w:val="24"/>
        </w:rPr>
        <w:t xml:space="preserve">que se ubican en esa condición y posteriormente, se detallan las conclusiones y </w:t>
      </w:r>
      <w:r w:rsidR="00422739" w:rsidRPr="002F2194">
        <w:rPr>
          <w:rFonts w:ascii="Times New Roman" w:hAnsi="Times New Roman" w:cs="Times New Roman"/>
          <w:sz w:val="24"/>
          <w:szCs w:val="24"/>
        </w:rPr>
        <w:t xml:space="preserve">las </w:t>
      </w:r>
      <w:r w:rsidR="003F61FF" w:rsidRPr="002F2194">
        <w:rPr>
          <w:rFonts w:ascii="Times New Roman" w:hAnsi="Times New Roman" w:cs="Times New Roman"/>
          <w:sz w:val="24"/>
          <w:szCs w:val="24"/>
        </w:rPr>
        <w:t>recomendaciones</w:t>
      </w:r>
      <w:r w:rsidR="00422739" w:rsidRPr="002F2194">
        <w:rPr>
          <w:rFonts w:ascii="Times New Roman" w:hAnsi="Times New Roman" w:cs="Times New Roman"/>
          <w:sz w:val="24"/>
          <w:szCs w:val="24"/>
        </w:rPr>
        <w:t xml:space="preserve"> </w:t>
      </w:r>
      <w:r w:rsidR="003F61FF" w:rsidRPr="002F2194">
        <w:rPr>
          <w:rFonts w:ascii="Times New Roman" w:hAnsi="Times New Roman" w:cs="Times New Roman"/>
          <w:sz w:val="24"/>
          <w:szCs w:val="24"/>
        </w:rPr>
        <w:t xml:space="preserve">a que llega </w:t>
      </w:r>
      <w:r w:rsidR="00FC3782">
        <w:rPr>
          <w:rFonts w:ascii="Times New Roman" w:hAnsi="Times New Roman" w:cs="Times New Roman"/>
          <w:sz w:val="24"/>
          <w:szCs w:val="24"/>
        </w:rPr>
        <w:t>esta S</w:t>
      </w:r>
      <w:r w:rsidRPr="002F2194">
        <w:rPr>
          <w:rFonts w:ascii="Times New Roman" w:hAnsi="Times New Roman" w:cs="Times New Roman"/>
          <w:sz w:val="24"/>
          <w:szCs w:val="24"/>
        </w:rPr>
        <w:t>uperintendencia</w:t>
      </w:r>
      <w:r w:rsidR="003F61FF" w:rsidRPr="002F2194">
        <w:rPr>
          <w:rFonts w:ascii="Times New Roman" w:hAnsi="Times New Roman" w:cs="Times New Roman"/>
          <w:sz w:val="24"/>
          <w:szCs w:val="24"/>
        </w:rPr>
        <w:t>.</w:t>
      </w:r>
    </w:p>
    <w:p w14:paraId="4D1C150F" w14:textId="2E732321" w:rsidR="00387600" w:rsidRPr="00125F2A" w:rsidRDefault="00001A50" w:rsidP="0056098F">
      <w:pPr>
        <w:pStyle w:val="Ttulo1"/>
        <w:numPr>
          <w:ilvl w:val="0"/>
          <w:numId w:val="1"/>
        </w:numPr>
        <w:tabs>
          <w:tab w:val="num" w:pos="540"/>
        </w:tabs>
        <w:spacing w:before="120"/>
        <w:ind w:left="539" w:hanging="539"/>
        <w:rPr>
          <w:iCs w:val="0"/>
          <w:lang w:eastAsia="es-ES_tradnl"/>
        </w:rPr>
      </w:pPr>
      <w:bookmarkStart w:id="3" w:name="_Toc496194178"/>
      <w:r>
        <w:rPr>
          <w:iCs w:val="0"/>
          <w:lang w:eastAsia="es-ES_tradnl"/>
        </w:rPr>
        <w:lastRenderedPageBreak/>
        <w:t xml:space="preserve">ASPECTOS </w:t>
      </w:r>
      <w:r w:rsidR="00E66A7B">
        <w:rPr>
          <w:iCs w:val="0"/>
          <w:lang w:eastAsia="es-ES_tradnl"/>
        </w:rPr>
        <w:t>A RESALTAR</w:t>
      </w:r>
      <w:r>
        <w:rPr>
          <w:iCs w:val="0"/>
          <w:lang w:eastAsia="es-ES_tradnl"/>
        </w:rPr>
        <w:t xml:space="preserve"> RELACIONADOS CON EL BENEFICIO</w:t>
      </w:r>
      <w:r w:rsidR="00A62DDF">
        <w:rPr>
          <w:iCs w:val="0"/>
          <w:lang w:eastAsia="es-ES_tradnl"/>
        </w:rPr>
        <w:t xml:space="preserve"> POR INVALIDEZ</w:t>
      </w:r>
      <w:bookmarkEnd w:id="3"/>
    </w:p>
    <w:p w14:paraId="50D16E2D" w14:textId="77777777" w:rsidR="00F05B34" w:rsidRPr="00640D9E" w:rsidRDefault="00F05B34" w:rsidP="00640D9E">
      <w:pPr>
        <w:pStyle w:val="Prrafodelista"/>
        <w:ind w:left="273"/>
        <w:jc w:val="both"/>
        <w:rPr>
          <w:rFonts w:ascii="Times New Roman" w:hAnsi="Times New Roman" w:cs="Times New Roman"/>
          <w:b/>
          <w:sz w:val="24"/>
          <w:szCs w:val="24"/>
          <w:highlight w:val="lightGray"/>
        </w:rPr>
      </w:pPr>
    </w:p>
    <w:p w14:paraId="3CEE591F" w14:textId="79D10184" w:rsidR="00AC2422" w:rsidRPr="00AC2422" w:rsidRDefault="00167351" w:rsidP="00AC2422">
      <w:pPr>
        <w:jc w:val="both"/>
        <w:rPr>
          <w:rFonts w:ascii="Times New Roman" w:hAnsi="Times New Roman" w:cs="Times New Roman"/>
          <w:sz w:val="24"/>
          <w:szCs w:val="24"/>
          <w:lang w:eastAsia="es-ES_tradnl"/>
        </w:rPr>
      </w:pPr>
      <w:r>
        <w:rPr>
          <w:rFonts w:ascii="Times New Roman" w:hAnsi="Times New Roman" w:cs="Times New Roman"/>
          <w:sz w:val="24"/>
          <w:szCs w:val="24"/>
          <w:lang w:eastAsia="es-ES_tradnl"/>
        </w:rPr>
        <w:t>De conformidad con los</w:t>
      </w:r>
      <w:r w:rsidR="004575B7">
        <w:rPr>
          <w:rFonts w:ascii="Times New Roman" w:hAnsi="Times New Roman" w:cs="Times New Roman"/>
          <w:sz w:val="24"/>
          <w:szCs w:val="24"/>
          <w:lang w:eastAsia="es-ES_tradnl"/>
        </w:rPr>
        <w:t xml:space="preserve"> informes </w:t>
      </w:r>
      <w:r w:rsidR="00AC23A8">
        <w:rPr>
          <w:rFonts w:ascii="Times New Roman" w:hAnsi="Times New Roman" w:cs="Times New Roman"/>
          <w:sz w:val="24"/>
          <w:szCs w:val="24"/>
          <w:lang w:eastAsia="es-ES_tradnl"/>
        </w:rPr>
        <w:t xml:space="preserve">recibidos de la </w:t>
      </w:r>
      <w:r w:rsidR="004D6D36" w:rsidRPr="004D6D36">
        <w:rPr>
          <w:rFonts w:ascii="Times New Roman" w:hAnsi="Times New Roman" w:cs="Times New Roman"/>
          <w:sz w:val="24"/>
          <w:szCs w:val="24"/>
          <w:lang w:eastAsia="es-ES_tradnl"/>
        </w:rPr>
        <w:t>Dirección de Califica</w:t>
      </w:r>
      <w:r w:rsidR="004D6D36">
        <w:rPr>
          <w:rFonts w:ascii="Times New Roman" w:hAnsi="Times New Roman" w:cs="Times New Roman"/>
          <w:sz w:val="24"/>
          <w:szCs w:val="24"/>
          <w:lang w:eastAsia="es-ES_tradnl"/>
        </w:rPr>
        <w:t>ción de la Invalidez de la CCSS</w:t>
      </w:r>
      <w:r w:rsidR="004575B7">
        <w:rPr>
          <w:rFonts w:ascii="Times New Roman" w:hAnsi="Times New Roman" w:cs="Times New Roman"/>
          <w:sz w:val="24"/>
          <w:szCs w:val="24"/>
          <w:lang w:eastAsia="es-ES_tradnl"/>
        </w:rPr>
        <w:t xml:space="preserve">, </w:t>
      </w:r>
      <w:r>
        <w:rPr>
          <w:rFonts w:ascii="Times New Roman" w:hAnsi="Times New Roman" w:cs="Times New Roman"/>
          <w:sz w:val="24"/>
          <w:szCs w:val="24"/>
          <w:lang w:eastAsia="es-ES_tradnl"/>
        </w:rPr>
        <w:t>están por concluirse</w:t>
      </w:r>
      <w:r w:rsidR="003B6B1F">
        <w:rPr>
          <w:rFonts w:ascii="Times New Roman" w:hAnsi="Times New Roman" w:cs="Times New Roman"/>
          <w:sz w:val="24"/>
          <w:szCs w:val="24"/>
          <w:lang w:eastAsia="es-ES_tradnl"/>
        </w:rPr>
        <w:t xml:space="preserve"> las </w:t>
      </w:r>
      <w:r w:rsidR="003B6B1F" w:rsidRPr="00C14B46">
        <w:rPr>
          <w:rFonts w:ascii="Times New Roman" w:hAnsi="Times New Roman" w:cs="Times New Roman"/>
          <w:i/>
          <w:sz w:val="24"/>
          <w:szCs w:val="24"/>
          <w:lang w:eastAsia="es-ES_tradnl"/>
        </w:rPr>
        <w:t>“</w:t>
      </w:r>
      <w:r w:rsidR="0015170C" w:rsidRPr="00C14B46">
        <w:rPr>
          <w:rFonts w:ascii="Times New Roman" w:hAnsi="Times New Roman" w:cs="Times New Roman"/>
          <w:i/>
          <w:sz w:val="24"/>
          <w:szCs w:val="24"/>
          <w:lang w:eastAsia="es-ES_tradnl"/>
        </w:rPr>
        <w:t>Guías de Calificación de la Invalidez y la Discapacidad</w:t>
      </w:r>
      <w:r w:rsidR="00295551" w:rsidRPr="00C14B46">
        <w:rPr>
          <w:rFonts w:ascii="Times New Roman" w:hAnsi="Times New Roman" w:cs="Times New Roman"/>
          <w:i/>
          <w:sz w:val="24"/>
          <w:szCs w:val="24"/>
          <w:lang w:eastAsia="es-ES_tradnl"/>
        </w:rPr>
        <w:t>”</w:t>
      </w:r>
      <w:r w:rsidR="00F358B4" w:rsidRPr="00C14B46">
        <w:rPr>
          <w:rFonts w:ascii="Times New Roman" w:hAnsi="Times New Roman" w:cs="Times New Roman"/>
          <w:i/>
          <w:sz w:val="24"/>
          <w:szCs w:val="24"/>
          <w:lang w:eastAsia="es-ES_tradnl"/>
        </w:rPr>
        <w:t>.</w:t>
      </w:r>
      <w:r w:rsidR="00F358B4" w:rsidRPr="00D47403">
        <w:rPr>
          <w:rFonts w:ascii="Times New Roman" w:hAnsi="Times New Roman" w:cs="Times New Roman"/>
          <w:sz w:val="24"/>
          <w:szCs w:val="24"/>
          <w:lang w:eastAsia="es-ES_tradnl"/>
        </w:rPr>
        <w:t xml:space="preserve"> </w:t>
      </w:r>
      <w:r w:rsidR="001A783D" w:rsidRPr="00D47403">
        <w:rPr>
          <w:rFonts w:ascii="Times New Roman" w:hAnsi="Times New Roman" w:cs="Times New Roman"/>
          <w:sz w:val="24"/>
          <w:szCs w:val="24"/>
          <w:lang w:eastAsia="es-ES_tradnl"/>
        </w:rPr>
        <w:t xml:space="preserve"> </w:t>
      </w:r>
      <w:r w:rsidR="00AC2422">
        <w:rPr>
          <w:rFonts w:ascii="Times New Roman" w:hAnsi="Times New Roman" w:cs="Times New Roman"/>
          <w:sz w:val="24"/>
          <w:szCs w:val="24"/>
          <w:lang w:eastAsia="es-ES_tradnl"/>
        </w:rPr>
        <w:t>En el último informe de segui</w:t>
      </w:r>
      <w:r w:rsidR="00227F86">
        <w:rPr>
          <w:rFonts w:ascii="Times New Roman" w:hAnsi="Times New Roman" w:cs="Times New Roman"/>
          <w:sz w:val="24"/>
          <w:szCs w:val="24"/>
          <w:lang w:eastAsia="es-ES_tradnl"/>
        </w:rPr>
        <w:t>miento</w:t>
      </w:r>
      <w:r w:rsidR="00851B57">
        <w:rPr>
          <w:rFonts w:ascii="Times New Roman" w:hAnsi="Times New Roman" w:cs="Times New Roman"/>
          <w:sz w:val="24"/>
          <w:szCs w:val="24"/>
          <w:lang w:eastAsia="es-ES_tradnl"/>
        </w:rPr>
        <w:t>,</w:t>
      </w:r>
      <w:r w:rsidR="00227F86">
        <w:rPr>
          <w:rFonts w:ascii="Times New Roman" w:hAnsi="Times New Roman" w:cs="Times New Roman"/>
          <w:sz w:val="24"/>
          <w:szCs w:val="24"/>
          <w:lang w:eastAsia="es-ES_tradnl"/>
        </w:rPr>
        <w:t xml:space="preserve"> de fecha base 30</w:t>
      </w:r>
      <w:r w:rsidR="00AC2422">
        <w:rPr>
          <w:rFonts w:ascii="Times New Roman" w:hAnsi="Times New Roman" w:cs="Times New Roman"/>
          <w:sz w:val="24"/>
          <w:szCs w:val="24"/>
          <w:lang w:eastAsia="es-ES_tradnl"/>
        </w:rPr>
        <w:t xml:space="preserve"> de </w:t>
      </w:r>
      <w:r w:rsidR="00227F86">
        <w:rPr>
          <w:rFonts w:ascii="Times New Roman" w:hAnsi="Times New Roman" w:cs="Times New Roman"/>
          <w:sz w:val="24"/>
          <w:szCs w:val="24"/>
          <w:lang w:eastAsia="es-ES_tradnl"/>
        </w:rPr>
        <w:t>junio</w:t>
      </w:r>
      <w:r w:rsidR="00AC2422">
        <w:rPr>
          <w:rFonts w:ascii="Times New Roman" w:hAnsi="Times New Roman" w:cs="Times New Roman"/>
          <w:sz w:val="24"/>
          <w:szCs w:val="24"/>
          <w:lang w:eastAsia="es-ES_tradnl"/>
        </w:rPr>
        <w:t xml:space="preserve"> de </w:t>
      </w:r>
      <w:r w:rsidR="00DB6AE9">
        <w:rPr>
          <w:rFonts w:ascii="Times New Roman" w:hAnsi="Times New Roman" w:cs="Times New Roman"/>
          <w:sz w:val="24"/>
          <w:szCs w:val="24"/>
          <w:lang w:eastAsia="es-ES_tradnl"/>
        </w:rPr>
        <w:t>2017</w:t>
      </w:r>
      <w:r w:rsidR="00AC2422">
        <w:rPr>
          <w:rFonts w:ascii="Times New Roman" w:hAnsi="Times New Roman" w:cs="Times New Roman"/>
          <w:sz w:val="24"/>
          <w:szCs w:val="24"/>
          <w:lang w:eastAsia="es-ES_tradnl"/>
        </w:rPr>
        <w:t xml:space="preserve">, se </w:t>
      </w:r>
      <w:r w:rsidR="00851B57">
        <w:rPr>
          <w:rFonts w:ascii="Times New Roman" w:hAnsi="Times New Roman" w:cs="Times New Roman"/>
          <w:sz w:val="24"/>
          <w:szCs w:val="24"/>
          <w:lang w:eastAsia="es-ES_tradnl"/>
        </w:rPr>
        <w:t xml:space="preserve">comunicó </w:t>
      </w:r>
      <w:r w:rsidR="00AC2422" w:rsidRPr="00AC2422">
        <w:rPr>
          <w:rFonts w:ascii="Times New Roman" w:hAnsi="Times New Roman" w:cs="Times New Roman"/>
          <w:sz w:val="24"/>
          <w:szCs w:val="24"/>
          <w:lang w:eastAsia="es-ES_tradnl"/>
        </w:rPr>
        <w:t xml:space="preserve">que ya se concluyeron y revisaron la totalidad de capítulos de </w:t>
      </w:r>
      <w:r w:rsidR="00AC2422">
        <w:rPr>
          <w:rFonts w:ascii="Times New Roman" w:hAnsi="Times New Roman" w:cs="Times New Roman"/>
          <w:sz w:val="24"/>
          <w:szCs w:val="24"/>
          <w:lang w:eastAsia="es-ES_tradnl"/>
        </w:rPr>
        <w:t>estas</w:t>
      </w:r>
      <w:r w:rsidR="00227F86">
        <w:rPr>
          <w:rFonts w:ascii="Times New Roman" w:hAnsi="Times New Roman" w:cs="Times New Roman"/>
          <w:sz w:val="24"/>
          <w:szCs w:val="24"/>
          <w:lang w:eastAsia="es-ES_tradnl"/>
        </w:rPr>
        <w:t xml:space="preserve"> Guías y que esa </w:t>
      </w:r>
      <w:r w:rsidR="00D9431C">
        <w:rPr>
          <w:rFonts w:ascii="Times New Roman" w:hAnsi="Times New Roman" w:cs="Times New Roman"/>
          <w:sz w:val="24"/>
          <w:szCs w:val="24"/>
          <w:lang w:eastAsia="es-ES_tradnl"/>
        </w:rPr>
        <w:t>Dirección</w:t>
      </w:r>
      <w:r w:rsidR="00D9431C" w:rsidRPr="00227F86">
        <w:t xml:space="preserve"> </w:t>
      </w:r>
      <w:r w:rsidR="00D9431C">
        <w:rPr>
          <w:rFonts w:ascii="Times New Roman" w:hAnsi="Times New Roman" w:cs="Times New Roman"/>
          <w:sz w:val="24"/>
          <w:szCs w:val="24"/>
          <w:lang w:eastAsia="es-ES_tradnl"/>
        </w:rPr>
        <w:t>se</w:t>
      </w:r>
      <w:r w:rsidR="00227F86">
        <w:rPr>
          <w:rFonts w:ascii="Times New Roman" w:hAnsi="Times New Roman" w:cs="Times New Roman"/>
          <w:sz w:val="24"/>
          <w:szCs w:val="24"/>
          <w:lang w:eastAsia="es-ES_tradnl"/>
        </w:rPr>
        <w:t xml:space="preserve"> encuentra</w:t>
      </w:r>
      <w:r w:rsidR="00227F86" w:rsidRPr="00227F86">
        <w:rPr>
          <w:rFonts w:ascii="Times New Roman" w:hAnsi="Times New Roman" w:cs="Times New Roman"/>
          <w:sz w:val="24"/>
          <w:szCs w:val="24"/>
          <w:lang w:eastAsia="es-ES_tradnl"/>
        </w:rPr>
        <w:t xml:space="preserve"> en el proceso de revisión de estructura, levantamiento de texto y consolidación de los capítulos en el formato indicado por </w:t>
      </w:r>
      <w:r w:rsidR="00227F86">
        <w:rPr>
          <w:rFonts w:ascii="Times New Roman" w:hAnsi="Times New Roman" w:cs="Times New Roman"/>
          <w:sz w:val="24"/>
          <w:szCs w:val="24"/>
          <w:lang w:eastAsia="es-ES_tradnl"/>
        </w:rPr>
        <w:t xml:space="preserve">la </w:t>
      </w:r>
      <w:r w:rsidR="00227F86" w:rsidRPr="00227F86">
        <w:rPr>
          <w:rFonts w:ascii="Times New Roman" w:hAnsi="Times New Roman" w:cs="Times New Roman"/>
          <w:sz w:val="24"/>
          <w:szCs w:val="24"/>
          <w:lang w:eastAsia="es-ES_tradnl"/>
        </w:rPr>
        <w:t>Dirección de Servicios de Salud</w:t>
      </w:r>
      <w:r w:rsidR="00227F86" w:rsidRPr="00227F86">
        <w:t xml:space="preserve"> </w:t>
      </w:r>
      <w:r w:rsidR="00227F86" w:rsidRPr="00227F86">
        <w:rPr>
          <w:rFonts w:ascii="Times New Roman" w:hAnsi="Times New Roman" w:cs="Times New Roman"/>
          <w:sz w:val="24"/>
          <w:szCs w:val="24"/>
          <w:lang w:eastAsia="es-ES_tradnl"/>
        </w:rPr>
        <w:t>de la Gerencia Médica</w:t>
      </w:r>
      <w:r w:rsidR="00AC2422" w:rsidRPr="00AC2422">
        <w:rPr>
          <w:rFonts w:ascii="Times New Roman" w:hAnsi="Times New Roman" w:cs="Times New Roman"/>
          <w:sz w:val="24"/>
          <w:szCs w:val="24"/>
          <w:lang w:eastAsia="es-ES_tradnl"/>
        </w:rPr>
        <w:t>.</w:t>
      </w:r>
    </w:p>
    <w:p w14:paraId="0CC6D857" w14:textId="7C10D567" w:rsidR="00D87FB5" w:rsidRDefault="00865F62" w:rsidP="00462C99">
      <w:pPr>
        <w:jc w:val="both"/>
        <w:rPr>
          <w:rFonts w:ascii="Times New Roman" w:hAnsi="Times New Roman" w:cs="Times New Roman"/>
          <w:sz w:val="24"/>
          <w:szCs w:val="24"/>
          <w:lang w:eastAsia="es-ES_tradnl"/>
        </w:rPr>
      </w:pPr>
      <w:r>
        <w:rPr>
          <w:rFonts w:ascii="Times New Roman" w:hAnsi="Times New Roman" w:cs="Times New Roman"/>
          <w:sz w:val="24"/>
          <w:szCs w:val="24"/>
          <w:lang w:eastAsia="es-ES_tradnl"/>
        </w:rPr>
        <w:t xml:space="preserve">Debe enfatizarse que este </w:t>
      </w:r>
      <w:r w:rsidR="00F358B4" w:rsidRPr="00D47403">
        <w:rPr>
          <w:rFonts w:ascii="Times New Roman" w:hAnsi="Times New Roman" w:cs="Times New Roman"/>
          <w:sz w:val="24"/>
          <w:szCs w:val="24"/>
          <w:lang w:eastAsia="es-ES_tradnl"/>
        </w:rPr>
        <w:t xml:space="preserve">proyecto lleva varios años </w:t>
      </w:r>
      <w:r w:rsidR="00837C83" w:rsidRPr="00D47403">
        <w:rPr>
          <w:rFonts w:ascii="Times New Roman" w:hAnsi="Times New Roman" w:cs="Times New Roman"/>
          <w:sz w:val="24"/>
          <w:szCs w:val="24"/>
          <w:lang w:eastAsia="es-ES_tradnl"/>
        </w:rPr>
        <w:t>en proceso</w:t>
      </w:r>
      <w:r>
        <w:rPr>
          <w:rFonts w:ascii="Times New Roman" w:hAnsi="Times New Roman" w:cs="Times New Roman"/>
          <w:sz w:val="24"/>
          <w:szCs w:val="24"/>
          <w:lang w:eastAsia="es-ES_tradnl"/>
        </w:rPr>
        <w:t xml:space="preserve"> y</w:t>
      </w:r>
      <w:r w:rsidR="00F358B4" w:rsidRPr="00125F2A">
        <w:rPr>
          <w:rFonts w:ascii="Times New Roman" w:hAnsi="Times New Roman" w:cs="Times New Roman"/>
          <w:sz w:val="24"/>
          <w:szCs w:val="24"/>
          <w:lang w:eastAsia="es-ES_tradnl"/>
        </w:rPr>
        <w:t xml:space="preserve"> se considera </w:t>
      </w:r>
      <w:r w:rsidR="0092696C">
        <w:rPr>
          <w:rFonts w:ascii="Times New Roman" w:hAnsi="Times New Roman" w:cs="Times New Roman"/>
          <w:sz w:val="24"/>
          <w:szCs w:val="24"/>
          <w:lang w:eastAsia="es-ES_tradnl"/>
        </w:rPr>
        <w:t>esencial</w:t>
      </w:r>
      <w:r w:rsidR="00F358B4" w:rsidRPr="00125F2A">
        <w:rPr>
          <w:rFonts w:ascii="Times New Roman" w:hAnsi="Times New Roman" w:cs="Times New Roman"/>
          <w:sz w:val="24"/>
          <w:szCs w:val="24"/>
          <w:lang w:eastAsia="es-ES_tradnl"/>
        </w:rPr>
        <w:t xml:space="preserve"> para </w:t>
      </w:r>
      <w:r w:rsidR="0092696C">
        <w:rPr>
          <w:rFonts w:ascii="Times New Roman" w:hAnsi="Times New Roman" w:cs="Times New Roman"/>
          <w:sz w:val="24"/>
          <w:szCs w:val="24"/>
          <w:lang w:eastAsia="es-ES_tradnl"/>
        </w:rPr>
        <w:t xml:space="preserve">la concesión de </w:t>
      </w:r>
      <w:r w:rsidRPr="00865F62">
        <w:rPr>
          <w:rFonts w:ascii="Times New Roman" w:hAnsi="Times New Roman" w:cs="Times New Roman"/>
          <w:sz w:val="24"/>
          <w:szCs w:val="24"/>
          <w:lang w:eastAsia="es-ES_tradnl"/>
        </w:rPr>
        <w:t>pensiones por invalidez</w:t>
      </w:r>
      <w:r w:rsidR="00F26404">
        <w:rPr>
          <w:rFonts w:ascii="Times New Roman" w:hAnsi="Times New Roman" w:cs="Times New Roman"/>
          <w:sz w:val="24"/>
          <w:szCs w:val="24"/>
          <w:lang w:eastAsia="es-ES_tradnl"/>
        </w:rPr>
        <w:t>, lo cual permitirá</w:t>
      </w:r>
      <w:r w:rsidR="00F26404" w:rsidRPr="00F26404">
        <w:rPr>
          <w:rFonts w:ascii="Times New Roman" w:hAnsi="Times New Roman" w:cs="Times New Roman"/>
          <w:sz w:val="24"/>
          <w:szCs w:val="24"/>
          <w:lang w:eastAsia="es-ES_tradnl"/>
        </w:rPr>
        <w:t xml:space="preserve"> </w:t>
      </w:r>
      <w:r w:rsidR="00D87FB5" w:rsidRPr="00F26404">
        <w:rPr>
          <w:rFonts w:ascii="Times New Roman" w:hAnsi="Times New Roman" w:cs="Times New Roman"/>
          <w:sz w:val="24"/>
          <w:szCs w:val="24"/>
          <w:lang w:eastAsia="es-ES_tradnl"/>
        </w:rPr>
        <w:t>lograr una</w:t>
      </w:r>
      <w:r w:rsidR="00F26404" w:rsidRPr="00F26404">
        <w:rPr>
          <w:rFonts w:ascii="Times New Roman" w:hAnsi="Times New Roman" w:cs="Times New Roman"/>
          <w:sz w:val="24"/>
          <w:szCs w:val="24"/>
          <w:lang w:eastAsia="es-ES_tradnl"/>
        </w:rPr>
        <w:t xml:space="preserve"> mayor estandarización con la medicina legal, que contribuirá en un mejor control, respecto al comportamiento del incremento observado</w:t>
      </w:r>
      <w:r w:rsidR="00F26404">
        <w:rPr>
          <w:rFonts w:ascii="Times New Roman" w:hAnsi="Times New Roman" w:cs="Times New Roman"/>
          <w:sz w:val="24"/>
          <w:szCs w:val="24"/>
          <w:lang w:eastAsia="es-ES_tradnl"/>
        </w:rPr>
        <w:t xml:space="preserve"> en años anteriores</w:t>
      </w:r>
      <w:r w:rsidR="00F26404" w:rsidRPr="00F26404">
        <w:rPr>
          <w:rFonts w:ascii="Times New Roman" w:hAnsi="Times New Roman" w:cs="Times New Roman"/>
          <w:sz w:val="24"/>
          <w:szCs w:val="24"/>
          <w:lang w:eastAsia="es-ES_tradnl"/>
        </w:rPr>
        <w:t>, de pensiones concedidas en la vía judicial.</w:t>
      </w:r>
      <w:r w:rsidR="0092696C">
        <w:rPr>
          <w:rFonts w:ascii="Times New Roman" w:hAnsi="Times New Roman" w:cs="Times New Roman"/>
          <w:sz w:val="24"/>
          <w:szCs w:val="24"/>
          <w:lang w:eastAsia="es-ES_tradnl"/>
        </w:rPr>
        <w:t xml:space="preserve"> </w:t>
      </w:r>
      <w:r w:rsidR="00D87FB5">
        <w:rPr>
          <w:rFonts w:ascii="Times New Roman" w:hAnsi="Times New Roman" w:cs="Times New Roman"/>
          <w:sz w:val="24"/>
          <w:szCs w:val="24"/>
          <w:lang w:eastAsia="es-ES_tradnl"/>
        </w:rPr>
        <w:t>Aunque, d</w:t>
      </w:r>
      <w:r w:rsidR="00D87FB5" w:rsidRPr="00D87FB5">
        <w:rPr>
          <w:rFonts w:ascii="Times New Roman" w:hAnsi="Times New Roman" w:cs="Times New Roman"/>
          <w:sz w:val="24"/>
          <w:szCs w:val="24"/>
          <w:lang w:eastAsia="es-ES_tradnl"/>
        </w:rPr>
        <w:t xml:space="preserve">ebe </w:t>
      </w:r>
      <w:r w:rsidR="00DF6E96">
        <w:rPr>
          <w:rFonts w:ascii="Times New Roman" w:hAnsi="Times New Roman" w:cs="Times New Roman"/>
          <w:sz w:val="24"/>
          <w:szCs w:val="24"/>
          <w:lang w:eastAsia="es-ES_tradnl"/>
        </w:rPr>
        <w:t>indicarse</w:t>
      </w:r>
      <w:r w:rsidR="00D87FB5" w:rsidRPr="00D87FB5">
        <w:rPr>
          <w:rFonts w:ascii="Times New Roman" w:hAnsi="Times New Roman" w:cs="Times New Roman"/>
          <w:sz w:val="24"/>
          <w:szCs w:val="24"/>
          <w:lang w:eastAsia="es-ES_tradnl"/>
        </w:rPr>
        <w:t xml:space="preserve"> que los casos de pensión de invalidez que se otorgan en sede judicial, son una variable no controlab</w:t>
      </w:r>
      <w:r w:rsidR="00D87FB5">
        <w:rPr>
          <w:rFonts w:ascii="Times New Roman" w:hAnsi="Times New Roman" w:cs="Times New Roman"/>
          <w:sz w:val="24"/>
          <w:szCs w:val="24"/>
          <w:lang w:eastAsia="es-ES_tradnl"/>
        </w:rPr>
        <w:t>le por la Gerencia de Pensiones.</w:t>
      </w:r>
    </w:p>
    <w:p w14:paraId="57B97B97" w14:textId="75189484" w:rsidR="008D3300" w:rsidRPr="00F56E62" w:rsidRDefault="00DF6E96" w:rsidP="00462C99">
      <w:pPr>
        <w:jc w:val="both"/>
        <w:rPr>
          <w:rFonts w:ascii="Times New Roman" w:hAnsi="Times New Roman" w:cs="Times New Roman"/>
          <w:sz w:val="24"/>
          <w:szCs w:val="24"/>
          <w:lang w:eastAsia="es-ES_tradnl"/>
        </w:rPr>
      </w:pPr>
      <w:r>
        <w:rPr>
          <w:rFonts w:ascii="Times New Roman" w:hAnsi="Times New Roman" w:cs="Times New Roman"/>
          <w:sz w:val="24"/>
          <w:szCs w:val="24"/>
          <w:lang w:eastAsia="es-ES_tradnl"/>
        </w:rPr>
        <w:t>E</w:t>
      </w:r>
      <w:r w:rsidR="00F26404">
        <w:rPr>
          <w:rFonts w:ascii="Times New Roman" w:hAnsi="Times New Roman" w:cs="Times New Roman"/>
          <w:sz w:val="24"/>
          <w:szCs w:val="24"/>
          <w:lang w:eastAsia="es-ES_tradnl"/>
        </w:rPr>
        <w:t>s</w:t>
      </w:r>
      <w:r w:rsidR="00865F62">
        <w:rPr>
          <w:rFonts w:ascii="Times New Roman" w:hAnsi="Times New Roman" w:cs="Times New Roman"/>
          <w:sz w:val="24"/>
          <w:szCs w:val="24"/>
          <w:lang w:eastAsia="es-ES_tradnl"/>
        </w:rPr>
        <w:t xml:space="preserve"> </w:t>
      </w:r>
      <w:r w:rsidR="00F56E62">
        <w:rPr>
          <w:rFonts w:ascii="Times New Roman" w:hAnsi="Times New Roman" w:cs="Times New Roman"/>
          <w:sz w:val="24"/>
          <w:szCs w:val="24"/>
          <w:lang w:eastAsia="es-ES_tradnl"/>
        </w:rPr>
        <w:t>muy importante</w:t>
      </w:r>
      <w:r w:rsidR="0092696C">
        <w:rPr>
          <w:rFonts w:ascii="Times New Roman" w:hAnsi="Times New Roman" w:cs="Times New Roman"/>
          <w:sz w:val="24"/>
          <w:szCs w:val="24"/>
          <w:lang w:eastAsia="es-ES_tradnl"/>
        </w:rPr>
        <w:t xml:space="preserve"> que existan directrices a seguir por las distintas entidades</w:t>
      </w:r>
      <w:r w:rsidR="00F358B4" w:rsidRPr="00125F2A">
        <w:rPr>
          <w:rFonts w:ascii="Times New Roman" w:hAnsi="Times New Roman" w:cs="Times New Roman"/>
          <w:sz w:val="24"/>
          <w:szCs w:val="24"/>
          <w:lang w:eastAsia="es-ES_tradnl"/>
        </w:rPr>
        <w:t xml:space="preserve"> </w:t>
      </w:r>
      <w:r w:rsidR="0092696C">
        <w:rPr>
          <w:rFonts w:ascii="Times New Roman" w:hAnsi="Times New Roman" w:cs="Times New Roman"/>
          <w:sz w:val="24"/>
          <w:szCs w:val="24"/>
          <w:lang w:eastAsia="es-ES_tradnl"/>
        </w:rPr>
        <w:t xml:space="preserve">que participan en ese proceso, como </w:t>
      </w:r>
      <w:r w:rsidR="002C32A1">
        <w:rPr>
          <w:rFonts w:ascii="Times New Roman" w:hAnsi="Times New Roman" w:cs="Times New Roman"/>
          <w:sz w:val="24"/>
          <w:szCs w:val="24"/>
          <w:lang w:eastAsia="es-ES_tradnl"/>
        </w:rPr>
        <w:t>por ejemplo</w:t>
      </w:r>
      <w:r w:rsidR="0092696C">
        <w:rPr>
          <w:rFonts w:ascii="Times New Roman" w:hAnsi="Times New Roman" w:cs="Times New Roman"/>
          <w:sz w:val="24"/>
          <w:szCs w:val="24"/>
          <w:lang w:eastAsia="es-ES_tradnl"/>
        </w:rPr>
        <w:t xml:space="preserve"> </w:t>
      </w:r>
      <w:r w:rsidR="00F358B4" w:rsidRPr="00125F2A">
        <w:rPr>
          <w:rFonts w:ascii="Times New Roman" w:hAnsi="Times New Roman" w:cs="Times New Roman"/>
          <w:sz w:val="24"/>
          <w:szCs w:val="24"/>
          <w:lang w:eastAsia="es-ES_tradnl"/>
        </w:rPr>
        <w:t xml:space="preserve">la Comisión de Calificación de la </w:t>
      </w:r>
      <w:r w:rsidR="002C32A1" w:rsidRPr="00125F2A">
        <w:rPr>
          <w:rFonts w:ascii="Times New Roman" w:hAnsi="Times New Roman" w:cs="Times New Roman"/>
          <w:sz w:val="24"/>
          <w:szCs w:val="24"/>
          <w:lang w:eastAsia="es-ES_tradnl"/>
        </w:rPr>
        <w:t>Invalidez de</w:t>
      </w:r>
      <w:r w:rsidR="00F358B4" w:rsidRPr="00125F2A">
        <w:rPr>
          <w:rFonts w:ascii="Times New Roman" w:hAnsi="Times New Roman" w:cs="Times New Roman"/>
          <w:sz w:val="24"/>
          <w:szCs w:val="24"/>
          <w:lang w:eastAsia="es-ES_tradnl"/>
        </w:rPr>
        <w:t xml:space="preserve"> la CCSS y la Medicatura Forense del Poder Judicial.</w:t>
      </w:r>
      <w:r w:rsidR="00462C99">
        <w:rPr>
          <w:rFonts w:ascii="Times New Roman" w:hAnsi="Times New Roman" w:cs="Times New Roman"/>
          <w:sz w:val="24"/>
          <w:szCs w:val="24"/>
          <w:lang w:eastAsia="es-ES_tradnl"/>
        </w:rPr>
        <w:t xml:space="preserve"> La SUPEN</w:t>
      </w:r>
      <w:r w:rsidR="00851B57">
        <w:rPr>
          <w:rFonts w:ascii="Times New Roman" w:hAnsi="Times New Roman" w:cs="Times New Roman"/>
          <w:sz w:val="24"/>
          <w:szCs w:val="24"/>
          <w:lang w:eastAsia="es-ES_tradnl"/>
        </w:rPr>
        <w:t>,</w:t>
      </w:r>
      <w:r w:rsidR="00462C99">
        <w:rPr>
          <w:rFonts w:ascii="Times New Roman" w:hAnsi="Times New Roman" w:cs="Times New Roman"/>
          <w:sz w:val="24"/>
          <w:szCs w:val="24"/>
          <w:lang w:eastAsia="es-ES_tradnl"/>
        </w:rPr>
        <w:t xml:space="preserve"> en </w:t>
      </w:r>
      <w:r w:rsidR="00F26404">
        <w:rPr>
          <w:rFonts w:ascii="Times New Roman" w:hAnsi="Times New Roman" w:cs="Times New Roman"/>
          <w:sz w:val="24"/>
          <w:szCs w:val="24"/>
          <w:lang w:eastAsia="es-ES_tradnl"/>
        </w:rPr>
        <w:t>reiteradas ocasiones, ha</w:t>
      </w:r>
      <w:r w:rsidR="00462C99">
        <w:rPr>
          <w:rFonts w:ascii="Times New Roman" w:hAnsi="Times New Roman" w:cs="Times New Roman"/>
          <w:sz w:val="24"/>
          <w:szCs w:val="24"/>
          <w:lang w:eastAsia="es-ES_tradnl"/>
        </w:rPr>
        <w:t xml:space="preserve"> insistido ante </w:t>
      </w:r>
      <w:r w:rsidR="00D167F6" w:rsidRPr="00F56E62">
        <w:rPr>
          <w:rFonts w:ascii="Times New Roman" w:hAnsi="Times New Roman" w:cs="Times New Roman"/>
          <w:sz w:val="24"/>
          <w:szCs w:val="24"/>
          <w:lang w:eastAsia="es-ES_tradnl"/>
        </w:rPr>
        <w:t>la Gerencia de Pensiones</w:t>
      </w:r>
      <w:r w:rsidR="00462C99">
        <w:rPr>
          <w:rFonts w:ascii="Times New Roman" w:hAnsi="Times New Roman" w:cs="Times New Roman"/>
          <w:sz w:val="24"/>
          <w:szCs w:val="24"/>
          <w:lang w:eastAsia="es-ES_tradnl"/>
        </w:rPr>
        <w:t>, para que</w:t>
      </w:r>
      <w:r w:rsidR="00D167F6" w:rsidRPr="00F56E62">
        <w:rPr>
          <w:rFonts w:ascii="Times New Roman" w:hAnsi="Times New Roman" w:cs="Times New Roman"/>
          <w:sz w:val="24"/>
          <w:szCs w:val="24"/>
          <w:lang w:eastAsia="es-ES_tradnl"/>
        </w:rPr>
        <w:t xml:space="preserve"> </w:t>
      </w:r>
      <w:r w:rsidR="00462C99">
        <w:rPr>
          <w:rFonts w:ascii="Times New Roman" w:hAnsi="Times New Roman" w:cs="Times New Roman"/>
          <w:sz w:val="24"/>
          <w:szCs w:val="24"/>
          <w:lang w:eastAsia="es-ES_tradnl"/>
        </w:rPr>
        <w:t>comunique</w:t>
      </w:r>
      <w:r w:rsidR="00BD5695" w:rsidRPr="00F56E62">
        <w:rPr>
          <w:rFonts w:ascii="Times New Roman" w:hAnsi="Times New Roman" w:cs="Times New Roman"/>
          <w:sz w:val="24"/>
          <w:szCs w:val="24"/>
          <w:lang w:eastAsia="es-ES_tradnl"/>
        </w:rPr>
        <w:t>,</w:t>
      </w:r>
      <w:r w:rsidR="008D3300" w:rsidRPr="00F56E62">
        <w:rPr>
          <w:rFonts w:ascii="Times New Roman" w:hAnsi="Times New Roman" w:cs="Times New Roman"/>
          <w:sz w:val="24"/>
          <w:szCs w:val="24"/>
          <w:lang w:eastAsia="es-ES_tradnl"/>
        </w:rPr>
        <w:t xml:space="preserve"> </w:t>
      </w:r>
      <w:r w:rsidR="00BD5695" w:rsidRPr="00F56E62">
        <w:rPr>
          <w:rFonts w:ascii="Times New Roman" w:hAnsi="Times New Roman" w:cs="Times New Roman"/>
          <w:sz w:val="24"/>
          <w:szCs w:val="24"/>
          <w:lang w:eastAsia="es-ES_tradnl"/>
        </w:rPr>
        <w:t xml:space="preserve">en definitiva, </w:t>
      </w:r>
      <w:r w:rsidR="008D3300" w:rsidRPr="00F56E62">
        <w:rPr>
          <w:rFonts w:ascii="Times New Roman" w:hAnsi="Times New Roman" w:cs="Times New Roman"/>
          <w:sz w:val="24"/>
          <w:szCs w:val="24"/>
          <w:lang w:eastAsia="es-ES_tradnl"/>
        </w:rPr>
        <w:t xml:space="preserve">la fecha final de conclusión y aprobación de </w:t>
      </w:r>
      <w:r w:rsidR="00462C99">
        <w:rPr>
          <w:rFonts w:ascii="Times New Roman" w:hAnsi="Times New Roman" w:cs="Times New Roman"/>
          <w:sz w:val="24"/>
          <w:szCs w:val="24"/>
          <w:lang w:eastAsia="es-ES_tradnl"/>
        </w:rPr>
        <w:t>este documento</w:t>
      </w:r>
      <w:r w:rsidR="008D3300" w:rsidRPr="00F56E62">
        <w:rPr>
          <w:rFonts w:ascii="Times New Roman" w:hAnsi="Times New Roman" w:cs="Times New Roman"/>
          <w:sz w:val="24"/>
          <w:szCs w:val="24"/>
          <w:lang w:eastAsia="es-ES_tradnl"/>
        </w:rPr>
        <w:t>.</w:t>
      </w:r>
      <w:r w:rsidR="00E2003C" w:rsidRPr="00F56E62">
        <w:rPr>
          <w:rFonts w:ascii="Times New Roman" w:hAnsi="Times New Roman" w:cs="Times New Roman"/>
          <w:sz w:val="24"/>
          <w:szCs w:val="24"/>
          <w:lang w:eastAsia="es-ES_tradnl"/>
        </w:rPr>
        <w:t xml:space="preserve">  </w:t>
      </w:r>
    </w:p>
    <w:p w14:paraId="57D61E7B" w14:textId="1B336A56" w:rsidR="0064488D" w:rsidRDefault="003E109A" w:rsidP="004938B0">
      <w:pPr>
        <w:spacing w:after="240"/>
        <w:jc w:val="both"/>
        <w:rPr>
          <w:rFonts w:ascii="Times New Roman" w:hAnsi="Times New Roman" w:cs="Times New Roman"/>
          <w:sz w:val="24"/>
          <w:szCs w:val="24"/>
          <w:lang w:eastAsia="es-ES_tradnl"/>
        </w:rPr>
      </w:pPr>
      <w:r>
        <w:rPr>
          <w:rFonts w:ascii="Times New Roman" w:hAnsi="Times New Roman" w:cs="Times New Roman"/>
          <w:sz w:val="24"/>
          <w:szCs w:val="24"/>
          <w:lang w:eastAsia="es-ES_tradnl"/>
        </w:rPr>
        <w:t>E</w:t>
      </w:r>
      <w:r w:rsidR="003C00CC">
        <w:rPr>
          <w:rFonts w:ascii="Times New Roman" w:hAnsi="Times New Roman" w:cs="Times New Roman"/>
          <w:sz w:val="24"/>
          <w:szCs w:val="24"/>
          <w:lang w:eastAsia="es-ES_tradnl"/>
        </w:rPr>
        <w:t xml:space="preserve">s conveniente recordar, según información suministrada por la </w:t>
      </w:r>
      <w:r w:rsidR="003C00CC" w:rsidRPr="003C00CC">
        <w:rPr>
          <w:rFonts w:ascii="Times New Roman" w:hAnsi="Times New Roman" w:cs="Times New Roman"/>
          <w:sz w:val="24"/>
          <w:szCs w:val="24"/>
          <w:lang w:eastAsia="es-ES_tradnl"/>
        </w:rPr>
        <w:t>Dirección de la Calificación de la Invalidez</w:t>
      </w:r>
      <w:r w:rsidR="003C00CC">
        <w:rPr>
          <w:rFonts w:ascii="Times New Roman" w:hAnsi="Times New Roman" w:cs="Times New Roman"/>
          <w:sz w:val="24"/>
          <w:szCs w:val="24"/>
          <w:lang w:eastAsia="es-ES_tradnl"/>
        </w:rPr>
        <w:t xml:space="preserve">, </w:t>
      </w:r>
      <w:r w:rsidR="00E02E85" w:rsidRPr="00E02E85">
        <w:rPr>
          <w:rFonts w:ascii="Times New Roman" w:hAnsi="Times New Roman" w:cs="Times New Roman"/>
          <w:sz w:val="24"/>
          <w:szCs w:val="24"/>
          <w:lang w:eastAsia="es-ES_tradnl"/>
        </w:rPr>
        <w:t xml:space="preserve">que se han hecho reformas de la normativa </w:t>
      </w:r>
      <w:r w:rsidR="00E02E85">
        <w:rPr>
          <w:rFonts w:ascii="Times New Roman" w:hAnsi="Times New Roman" w:cs="Times New Roman"/>
          <w:sz w:val="24"/>
          <w:szCs w:val="24"/>
          <w:lang w:eastAsia="es-ES_tradnl"/>
        </w:rPr>
        <w:t>que debe aplicar</w:t>
      </w:r>
      <w:r w:rsidR="00B07AB2">
        <w:rPr>
          <w:rFonts w:ascii="Times New Roman" w:hAnsi="Times New Roman" w:cs="Times New Roman"/>
          <w:sz w:val="24"/>
          <w:szCs w:val="24"/>
          <w:lang w:eastAsia="es-ES_tradnl"/>
        </w:rPr>
        <w:t>se</w:t>
      </w:r>
      <w:r w:rsidR="00E02E85" w:rsidRPr="00E02E85">
        <w:rPr>
          <w:rFonts w:ascii="Times New Roman" w:hAnsi="Times New Roman" w:cs="Times New Roman"/>
          <w:sz w:val="24"/>
          <w:szCs w:val="24"/>
          <w:lang w:eastAsia="es-ES_tradnl"/>
        </w:rPr>
        <w:t xml:space="preserve">, </w:t>
      </w:r>
      <w:r w:rsidR="00BB60FD">
        <w:rPr>
          <w:rFonts w:ascii="Times New Roman" w:hAnsi="Times New Roman" w:cs="Times New Roman"/>
          <w:sz w:val="24"/>
          <w:szCs w:val="24"/>
          <w:lang w:eastAsia="es-ES_tradnl"/>
        </w:rPr>
        <w:t xml:space="preserve">lo </w:t>
      </w:r>
      <w:r w:rsidR="005464D3">
        <w:rPr>
          <w:rFonts w:ascii="Times New Roman" w:hAnsi="Times New Roman" w:cs="Times New Roman"/>
          <w:sz w:val="24"/>
          <w:szCs w:val="24"/>
          <w:lang w:eastAsia="es-ES_tradnl"/>
        </w:rPr>
        <w:t>cual ha</w:t>
      </w:r>
      <w:r w:rsidR="00E02E85" w:rsidRPr="00E02E85">
        <w:rPr>
          <w:rFonts w:ascii="Times New Roman" w:hAnsi="Times New Roman" w:cs="Times New Roman"/>
          <w:sz w:val="24"/>
          <w:szCs w:val="24"/>
          <w:lang w:eastAsia="es-ES_tradnl"/>
        </w:rPr>
        <w:t xml:space="preserve"> </w:t>
      </w:r>
      <w:r w:rsidR="00E02E85">
        <w:rPr>
          <w:rFonts w:ascii="Times New Roman" w:hAnsi="Times New Roman" w:cs="Times New Roman"/>
          <w:sz w:val="24"/>
          <w:szCs w:val="24"/>
          <w:lang w:eastAsia="es-ES_tradnl"/>
        </w:rPr>
        <w:t>contribuido</w:t>
      </w:r>
      <w:r w:rsidR="00E02E85" w:rsidRPr="00E02E85">
        <w:rPr>
          <w:rFonts w:ascii="Times New Roman" w:hAnsi="Times New Roman" w:cs="Times New Roman"/>
          <w:sz w:val="24"/>
          <w:szCs w:val="24"/>
          <w:lang w:eastAsia="es-ES_tradnl"/>
        </w:rPr>
        <w:t xml:space="preserve"> </w:t>
      </w:r>
      <w:r w:rsidR="00837C83">
        <w:rPr>
          <w:rFonts w:ascii="Times New Roman" w:hAnsi="Times New Roman" w:cs="Times New Roman"/>
          <w:sz w:val="24"/>
          <w:szCs w:val="24"/>
          <w:lang w:eastAsia="es-ES_tradnl"/>
        </w:rPr>
        <w:t>a</w:t>
      </w:r>
      <w:r w:rsidR="00837C83" w:rsidRPr="00E02E85">
        <w:rPr>
          <w:rFonts w:ascii="Times New Roman" w:hAnsi="Times New Roman" w:cs="Times New Roman"/>
          <w:sz w:val="24"/>
          <w:szCs w:val="24"/>
          <w:lang w:eastAsia="es-ES_tradnl"/>
        </w:rPr>
        <w:t xml:space="preserve"> </w:t>
      </w:r>
      <w:r w:rsidR="00E02E85" w:rsidRPr="00E02E85">
        <w:rPr>
          <w:rFonts w:ascii="Times New Roman" w:hAnsi="Times New Roman" w:cs="Times New Roman"/>
          <w:sz w:val="24"/>
          <w:szCs w:val="24"/>
          <w:lang w:eastAsia="es-ES_tradnl"/>
        </w:rPr>
        <w:t>que los plazos de atención de casos recibidos se reduzcan</w:t>
      </w:r>
      <w:r w:rsidR="00F67FEC">
        <w:rPr>
          <w:rFonts w:ascii="Times New Roman" w:hAnsi="Times New Roman" w:cs="Times New Roman"/>
          <w:sz w:val="24"/>
          <w:szCs w:val="24"/>
          <w:lang w:eastAsia="es-ES_tradnl"/>
        </w:rPr>
        <w:t>.</w:t>
      </w:r>
    </w:p>
    <w:p w14:paraId="712C0C6F" w14:textId="77777777" w:rsidR="00DB6D8F" w:rsidRPr="004938B0" w:rsidRDefault="00DB6D8F" w:rsidP="004938B0">
      <w:pPr>
        <w:spacing w:after="240"/>
        <w:jc w:val="both"/>
        <w:rPr>
          <w:rFonts w:ascii="Times New Roman" w:hAnsi="Times New Roman" w:cs="Times New Roman"/>
          <w:sz w:val="24"/>
          <w:szCs w:val="24"/>
          <w:lang w:eastAsia="es-ES_tradnl"/>
        </w:rPr>
      </w:pPr>
    </w:p>
    <w:p w14:paraId="4C5C2C0D" w14:textId="529EDEA4" w:rsidR="00005269" w:rsidRPr="0047408B" w:rsidRDefault="00005269" w:rsidP="000A3198">
      <w:pPr>
        <w:pStyle w:val="Ttulo1"/>
        <w:numPr>
          <w:ilvl w:val="0"/>
          <w:numId w:val="1"/>
        </w:numPr>
        <w:tabs>
          <w:tab w:val="num" w:pos="540"/>
        </w:tabs>
        <w:spacing w:before="120"/>
        <w:ind w:left="539" w:hanging="539"/>
        <w:rPr>
          <w:iCs w:val="0"/>
          <w:lang w:eastAsia="es-ES_tradnl"/>
        </w:rPr>
      </w:pPr>
      <w:bookmarkStart w:id="4" w:name="_Toc496194179"/>
      <w:r w:rsidRPr="0047408B">
        <w:rPr>
          <w:iCs w:val="0"/>
          <w:lang w:eastAsia="es-ES_tradnl"/>
        </w:rPr>
        <w:t>GESTIÓN DE LA CARTERA DE CRÉDITOS HIPOTECARIOS</w:t>
      </w:r>
      <w:bookmarkEnd w:id="4"/>
    </w:p>
    <w:p w14:paraId="0712C0A0" w14:textId="77777777" w:rsidR="00B23D10" w:rsidRPr="00640D9E" w:rsidRDefault="00B23D10" w:rsidP="00640D9E">
      <w:pPr>
        <w:pStyle w:val="Prrafodelista"/>
        <w:ind w:left="273"/>
        <w:jc w:val="both"/>
        <w:rPr>
          <w:rFonts w:ascii="Times New Roman" w:hAnsi="Times New Roman" w:cs="Times New Roman"/>
          <w:b/>
          <w:sz w:val="24"/>
          <w:szCs w:val="24"/>
          <w:highlight w:val="lightGray"/>
        </w:rPr>
      </w:pPr>
    </w:p>
    <w:p w14:paraId="7ECA888B" w14:textId="77777777" w:rsidR="0047408B" w:rsidRPr="00044BBC" w:rsidRDefault="0047408B" w:rsidP="0047408B">
      <w:pPr>
        <w:jc w:val="both"/>
        <w:rPr>
          <w:rFonts w:ascii="Times New Roman" w:hAnsi="Times New Roman" w:cs="Times New Roman"/>
          <w:sz w:val="24"/>
          <w:szCs w:val="24"/>
          <w:lang w:eastAsia="es-ES_tradnl"/>
        </w:rPr>
      </w:pPr>
      <w:r w:rsidRPr="00BD1C4C">
        <w:rPr>
          <w:rFonts w:ascii="Times New Roman" w:hAnsi="Times New Roman" w:cs="Times New Roman"/>
          <w:sz w:val="24"/>
          <w:szCs w:val="24"/>
          <w:lang w:eastAsia="es-ES_tradnl"/>
        </w:rPr>
        <w:t>La cartera de créditos hipotecarios del RIVM representa un 2.72% del total de activos del RIVM y ha mostrado un incremento significativo en los últimos años, según se observa en el gráfico 2.  Del año 2012 al año 2016 esta cartera creció un 18.6%; sin embargo, del año 2015 al 2016 se presentó un incremento de un 2.1%.</w:t>
      </w:r>
      <w:r w:rsidRPr="00044BBC">
        <w:rPr>
          <w:rFonts w:ascii="Times New Roman" w:hAnsi="Times New Roman" w:cs="Times New Roman"/>
          <w:sz w:val="24"/>
          <w:szCs w:val="24"/>
          <w:lang w:eastAsia="es-ES_tradnl"/>
        </w:rPr>
        <w:t xml:space="preserve"> </w:t>
      </w:r>
    </w:p>
    <w:p w14:paraId="69368601" w14:textId="77777777" w:rsidR="002E0834" w:rsidRDefault="002E0834">
      <w:pPr>
        <w:rPr>
          <w:rFonts w:ascii="Times New Roman" w:hAnsi="Times New Roman" w:cs="Times New Roman"/>
          <w:b/>
          <w:sz w:val="24"/>
          <w:szCs w:val="24"/>
          <w:lang w:eastAsia="es-ES_tradnl"/>
        </w:rPr>
      </w:pPr>
      <w:r>
        <w:rPr>
          <w:rFonts w:ascii="Times New Roman" w:hAnsi="Times New Roman" w:cs="Times New Roman"/>
          <w:b/>
          <w:sz w:val="24"/>
          <w:szCs w:val="24"/>
          <w:lang w:eastAsia="es-ES_tradnl"/>
        </w:rPr>
        <w:br w:type="page"/>
      </w:r>
    </w:p>
    <w:p w14:paraId="6DFB3595" w14:textId="243CE6A0" w:rsidR="00A3116B" w:rsidRPr="0047408B" w:rsidRDefault="00A3116B" w:rsidP="00A3116B">
      <w:pPr>
        <w:jc w:val="center"/>
        <w:rPr>
          <w:rFonts w:ascii="Times New Roman" w:hAnsi="Times New Roman" w:cs="Times New Roman"/>
          <w:b/>
          <w:sz w:val="24"/>
          <w:szCs w:val="24"/>
          <w:lang w:eastAsia="es-ES_tradnl"/>
        </w:rPr>
      </w:pPr>
      <w:r w:rsidRPr="0047408B">
        <w:rPr>
          <w:rFonts w:ascii="Times New Roman" w:hAnsi="Times New Roman" w:cs="Times New Roman"/>
          <w:b/>
          <w:sz w:val="24"/>
          <w:szCs w:val="24"/>
          <w:lang w:eastAsia="es-ES_tradnl"/>
        </w:rPr>
        <w:lastRenderedPageBreak/>
        <w:t xml:space="preserve">Gráfico </w:t>
      </w:r>
      <w:r w:rsidR="0047408B" w:rsidRPr="0047408B">
        <w:rPr>
          <w:rFonts w:ascii="Times New Roman" w:hAnsi="Times New Roman" w:cs="Times New Roman"/>
          <w:b/>
          <w:sz w:val="24"/>
          <w:szCs w:val="24"/>
          <w:lang w:eastAsia="es-ES_tradnl"/>
        </w:rPr>
        <w:t>1</w:t>
      </w:r>
    </w:p>
    <w:p w14:paraId="2BF10424" w14:textId="1D5DE00C" w:rsidR="005D3124" w:rsidRPr="00E467FC" w:rsidRDefault="0047408B" w:rsidP="00A3116B">
      <w:pPr>
        <w:jc w:val="center"/>
        <w:rPr>
          <w:rFonts w:ascii="Times New Roman" w:hAnsi="Times New Roman" w:cs="Times New Roman"/>
          <w:sz w:val="24"/>
          <w:szCs w:val="24"/>
          <w:highlight w:val="yellow"/>
          <w:lang w:eastAsia="es-ES_tradnl"/>
        </w:rPr>
      </w:pPr>
      <w:r>
        <w:rPr>
          <w:rFonts w:ascii="Times New Roman" w:hAnsi="Times New Roman" w:cs="Times New Roman"/>
          <w:noProof/>
          <w:sz w:val="24"/>
          <w:szCs w:val="24"/>
          <w:highlight w:val="yellow"/>
          <w:lang w:val="es-ES" w:eastAsia="es-ES"/>
        </w:rPr>
        <w:drawing>
          <wp:inline distT="0" distB="0" distL="0" distR="0" wp14:anchorId="3568EB00" wp14:editId="150C3326">
            <wp:extent cx="4337914" cy="2087425"/>
            <wp:effectExtent l="0" t="0" r="571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1390" cy="2098722"/>
                    </a:xfrm>
                    <a:prstGeom prst="rect">
                      <a:avLst/>
                    </a:prstGeom>
                    <a:noFill/>
                  </pic:spPr>
                </pic:pic>
              </a:graphicData>
            </a:graphic>
          </wp:inline>
        </w:drawing>
      </w:r>
    </w:p>
    <w:p w14:paraId="4D47C92E" w14:textId="3B1FB420" w:rsidR="003A4EAC" w:rsidRPr="00B876DC" w:rsidRDefault="003A4EAC" w:rsidP="00B876DC">
      <w:pPr>
        <w:spacing w:after="0" w:line="240" w:lineRule="auto"/>
        <w:jc w:val="center"/>
        <w:rPr>
          <w:rFonts w:ascii="Times New Roman" w:hAnsi="Times New Roman" w:cs="Times New Roman"/>
          <w:sz w:val="20"/>
          <w:szCs w:val="20"/>
          <w:lang w:eastAsia="es-ES_tradnl"/>
        </w:rPr>
      </w:pPr>
      <w:r w:rsidRPr="0047408B">
        <w:rPr>
          <w:rFonts w:ascii="Times New Roman" w:hAnsi="Times New Roman" w:cs="Times New Roman"/>
          <w:sz w:val="20"/>
          <w:szCs w:val="20"/>
          <w:lang w:eastAsia="es-ES_tradnl"/>
        </w:rPr>
        <w:t xml:space="preserve">Fuente: </w:t>
      </w:r>
      <w:r w:rsidR="0057308D" w:rsidRPr="0047408B">
        <w:rPr>
          <w:rFonts w:ascii="Times New Roman" w:hAnsi="Times New Roman" w:cs="Times New Roman"/>
          <w:i/>
          <w:sz w:val="20"/>
          <w:szCs w:val="20"/>
          <w:lang w:eastAsia="es-ES_tradnl"/>
        </w:rPr>
        <w:t>Estados Financieros remitidos por la CCSS</w:t>
      </w:r>
      <w:r w:rsidR="00F777FB" w:rsidRPr="0047408B">
        <w:rPr>
          <w:rFonts w:ascii="Times New Roman" w:hAnsi="Times New Roman" w:cs="Times New Roman"/>
          <w:i/>
          <w:sz w:val="20"/>
          <w:szCs w:val="20"/>
          <w:lang w:eastAsia="es-ES_tradnl"/>
        </w:rPr>
        <w:t>.</w:t>
      </w:r>
    </w:p>
    <w:p w14:paraId="55FDBDEE" w14:textId="77777777" w:rsidR="003A4EAC" w:rsidRPr="00125F2A" w:rsidRDefault="003A4EAC" w:rsidP="003A4EAC">
      <w:pPr>
        <w:spacing w:after="0" w:line="240" w:lineRule="auto"/>
        <w:rPr>
          <w:rFonts w:ascii="Times New Roman" w:hAnsi="Times New Roman" w:cs="Times New Roman"/>
          <w:sz w:val="24"/>
          <w:szCs w:val="24"/>
          <w:lang w:eastAsia="es-ES_tradnl"/>
        </w:rPr>
      </w:pPr>
    </w:p>
    <w:p w14:paraId="65DEB6E9" w14:textId="7868E2AB" w:rsidR="005A2300" w:rsidRPr="00D47403" w:rsidRDefault="003219C0" w:rsidP="00B03FB5">
      <w:pPr>
        <w:jc w:val="both"/>
        <w:rPr>
          <w:rFonts w:ascii="Times New Roman" w:hAnsi="Times New Roman" w:cs="Times New Roman"/>
          <w:sz w:val="24"/>
          <w:szCs w:val="24"/>
          <w:lang w:eastAsia="es-ES_tradnl"/>
        </w:rPr>
      </w:pPr>
      <w:r>
        <w:rPr>
          <w:rFonts w:ascii="Times New Roman" w:hAnsi="Times New Roman" w:cs="Times New Roman"/>
          <w:sz w:val="24"/>
          <w:szCs w:val="24"/>
          <w:lang w:eastAsia="es-ES_tradnl"/>
        </w:rPr>
        <w:t>Como antecedente de este apartado, es importante señalar que l</w:t>
      </w:r>
      <w:r w:rsidR="00C4614C" w:rsidRPr="00125F2A">
        <w:rPr>
          <w:rFonts w:ascii="Times New Roman" w:hAnsi="Times New Roman" w:cs="Times New Roman"/>
          <w:sz w:val="24"/>
          <w:szCs w:val="24"/>
          <w:lang w:eastAsia="es-ES_tradnl"/>
        </w:rPr>
        <w:t>a Junta Directiva de l</w:t>
      </w:r>
      <w:r w:rsidR="00791D16" w:rsidRPr="00125F2A">
        <w:rPr>
          <w:rFonts w:ascii="Times New Roman" w:hAnsi="Times New Roman" w:cs="Times New Roman"/>
          <w:sz w:val="24"/>
          <w:szCs w:val="24"/>
          <w:lang w:eastAsia="es-ES_tradnl"/>
        </w:rPr>
        <w:t>a CCSS</w:t>
      </w:r>
      <w:r w:rsidR="00BE02FC">
        <w:rPr>
          <w:rFonts w:ascii="Times New Roman" w:hAnsi="Times New Roman" w:cs="Times New Roman"/>
          <w:sz w:val="24"/>
          <w:szCs w:val="24"/>
          <w:lang w:eastAsia="es-ES_tradnl"/>
        </w:rPr>
        <w:t>,</w:t>
      </w:r>
      <w:r w:rsidR="00791D16" w:rsidRPr="00125F2A">
        <w:rPr>
          <w:rFonts w:ascii="Times New Roman" w:hAnsi="Times New Roman" w:cs="Times New Roman"/>
          <w:sz w:val="24"/>
          <w:szCs w:val="24"/>
          <w:lang w:eastAsia="es-ES_tradnl"/>
        </w:rPr>
        <w:t xml:space="preserve"> en </w:t>
      </w:r>
      <w:r>
        <w:rPr>
          <w:rFonts w:ascii="Times New Roman" w:hAnsi="Times New Roman" w:cs="Times New Roman"/>
          <w:sz w:val="24"/>
          <w:szCs w:val="24"/>
          <w:lang w:eastAsia="es-ES_tradnl"/>
        </w:rPr>
        <w:t>la s</w:t>
      </w:r>
      <w:r w:rsidR="00FE062C">
        <w:rPr>
          <w:rFonts w:ascii="Times New Roman" w:hAnsi="Times New Roman" w:cs="Times New Roman"/>
          <w:sz w:val="24"/>
          <w:szCs w:val="24"/>
          <w:lang w:eastAsia="es-ES_tradnl"/>
        </w:rPr>
        <w:t xml:space="preserve">esión </w:t>
      </w:r>
      <w:r w:rsidR="00EE55F4">
        <w:rPr>
          <w:rFonts w:ascii="Times New Roman" w:hAnsi="Times New Roman" w:cs="Times New Roman"/>
          <w:sz w:val="24"/>
          <w:szCs w:val="24"/>
          <w:lang w:eastAsia="es-ES_tradnl"/>
        </w:rPr>
        <w:t>n</w:t>
      </w:r>
      <w:r w:rsidR="00FE062C">
        <w:rPr>
          <w:rFonts w:ascii="Times New Roman" w:hAnsi="Times New Roman" w:cs="Times New Roman"/>
          <w:sz w:val="24"/>
          <w:szCs w:val="24"/>
          <w:lang w:eastAsia="es-ES_tradnl"/>
        </w:rPr>
        <w:t>º 8689, a</w:t>
      </w:r>
      <w:r w:rsidR="00791D16" w:rsidRPr="00125F2A">
        <w:rPr>
          <w:rFonts w:ascii="Times New Roman" w:hAnsi="Times New Roman" w:cs="Times New Roman"/>
          <w:sz w:val="24"/>
          <w:szCs w:val="24"/>
          <w:lang w:eastAsia="es-ES_tradnl"/>
        </w:rPr>
        <w:t>rtículo 16º del 16 de e</w:t>
      </w:r>
      <w:r w:rsidR="00C4614C" w:rsidRPr="00125F2A">
        <w:rPr>
          <w:rFonts w:ascii="Times New Roman" w:hAnsi="Times New Roman" w:cs="Times New Roman"/>
          <w:sz w:val="24"/>
          <w:szCs w:val="24"/>
          <w:lang w:eastAsia="es-ES_tradnl"/>
        </w:rPr>
        <w:t>nero de 2014</w:t>
      </w:r>
      <w:r w:rsidR="00FE062C">
        <w:rPr>
          <w:rFonts w:ascii="Times New Roman" w:hAnsi="Times New Roman" w:cs="Times New Roman"/>
          <w:sz w:val="24"/>
          <w:szCs w:val="24"/>
          <w:lang w:eastAsia="es-ES_tradnl"/>
        </w:rPr>
        <w:t>,</w:t>
      </w:r>
      <w:r w:rsidR="00C4614C" w:rsidRPr="00125F2A">
        <w:rPr>
          <w:rFonts w:ascii="Times New Roman" w:hAnsi="Times New Roman" w:cs="Times New Roman"/>
          <w:sz w:val="24"/>
          <w:szCs w:val="24"/>
          <w:lang w:eastAsia="es-ES_tradnl"/>
        </w:rPr>
        <w:t xml:space="preserve"> </w:t>
      </w:r>
      <w:r w:rsidR="00791D16" w:rsidRPr="00125F2A">
        <w:rPr>
          <w:rFonts w:ascii="Times New Roman" w:hAnsi="Times New Roman" w:cs="Times New Roman"/>
          <w:sz w:val="24"/>
          <w:szCs w:val="24"/>
          <w:lang w:eastAsia="es-ES_tradnl"/>
        </w:rPr>
        <w:t xml:space="preserve">dispuso desarrollar un proyecto tendiente al fortalecimiento de los Créditos Hipotecarios del </w:t>
      </w:r>
      <w:r w:rsidR="00E467FC">
        <w:rPr>
          <w:rFonts w:ascii="Times New Roman" w:hAnsi="Times New Roman" w:cs="Times New Roman"/>
          <w:sz w:val="24"/>
          <w:szCs w:val="24"/>
          <w:lang w:eastAsia="es-ES_tradnl"/>
        </w:rPr>
        <w:t>R</w:t>
      </w:r>
      <w:r w:rsidR="00791D16" w:rsidRPr="00125F2A">
        <w:rPr>
          <w:rFonts w:ascii="Times New Roman" w:hAnsi="Times New Roman" w:cs="Times New Roman"/>
          <w:sz w:val="24"/>
          <w:szCs w:val="24"/>
          <w:lang w:eastAsia="es-ES_tradnl"/>
        </w:rPr>
        <w:t xml:space="preserve">IVM, como una forma de diversificar el portafolio de inversiones, </w:t>
      </w:r>
      <w:r w:rsidR="00791D16" w:rsidRPr="00D47403">
        <w:rPr>
          <w:rFonts w:ascii="Times New Roman" w:hAnsi="Times New Roman" w:cs="Times New Roman"/>
          <w:sz w:val="24"/>
          <w:szCs w:val="24"/>
          <w:lang w:eastAsia="es-ES_tradnl"/>
        </w:rPr>
        <w:t>c</w:t>
      </w:r>
      <w:r w:rsidR="00C4614C" w:rsidRPr="00D47403">
        <w:rPr>
          <w:rFonts w:ascii="Times New Roman" w:hAnsi="Times New Roman" w:cs="Times New Roman"/>
          <w:sz w:val="24"/>
          <w:szCs w:val="24"/>
          <w:lang w:eastAsia="es-ES_tradnl"/>
        </w:rPr>
        <w:t xml:space="preserve">on base en las consideraciones del </w:t>
      </w:r>
      <w:r w:rsidR="00FC11F1" w:rsidRPr="003219C0">
        <w:rPr>
          <w:rFonts w:ascii="Times New Roman" w:hAnsi="Times New Roman" w:cs="Times New Roman"/>
          <w:i/>
          <w:sz w:val="24"/>
          <w:szCs w:val="24"/>
          <w:lang w:eastAsia="es-ES_tradnl"/>
        </w:rPr>
        <w:t>“</w:t>
      </w:r>
      <w:r w:rsidR="00C4614C" w:rsidRPr="003219C0">
        <w:rPr>
          <w:rFonts w:ascii="Times New Roman" w:hAnsi="Times New Roman" w:cs="Times New Roman"/>
          <w:i/>
          <w:sz w:val="24"/>
          <w:szCs w:val="24"/>
          <w:lang w:eastAsia="es-ES_tradnl"/>
        </w:rPr>
        <w:t>Estudio Costo-Beneficio de los Créditos Hipotecarios del Régimen de Invalidez, Vejez y Muerte</w:t>
      </w:r>
      <w:r w:rsidR="00FC11F1" w:rsidRPr="00D47403">
        <w:rPr>
          <w:rFonts w:ascii="Times New Roman" w:hAnsi="Times New Roman" w:cs="Times New Roman"/>
          <w:sz w:val="24"/>
          <w:szCs w:val="24"/>
          <w:lang w:eastAsia="es-ES_tradnl"/>
        </w:rPr>
        <w:t>”</w:t>
      </w:r>
      <w:r w:rsidR="00791D16" w:rsidRPr="00D47403">
        <w:rPr>
          <w:rFonts w:ascii="Times New Roman" w:hAnsi="Times New Roman" w:cs="Times New Roman"/>
          <w:sz w:val="24"/>
          <w:szCs w:val="24"/>
          <w:lang w:eastAsia="es-ES_tradnl"/>
        </w:rPr>
        <w:t>.</w:t>
      </w:r>
      <w:r w:rsidR="00C4614C" w:rsidRPr="00D47403">
        <w:rPr>
          <w:rFonts w:ascii="Times New Roman" w:hAnsi="Times New Roman" w:cs="Times New Roman"/>
          <w:sz w:val="24"/>
          <w:szCs w:val="24"/>
          <w:lang w:eastAsia="es-ES_tradnl"/>
        </w:rPr>
        <w:t xml:space="preserve"> </w:t>
      </w:r>
    </w:p>
    <w:p w14:paraId="478B4ED2" w14:textId="2081C798" w:rsidR="001E035A" w:rsidRPr="00125F2A" w:rsidRDefault="003219C0" w:rsidP="00B03FB5">
      <w:pPr>
        <w:jc w:val="both"/>
        <w:rPr>
          <w:rFonts w:ascii="Times New Roman" w:hAnsi="Times New Roman" w:cs="Times New Roman"/>
          <w:sz w:val="24"/>
          <w:szCs w:val="24"/>
          <w:lang w:eastAsia="es-ES_tradnl"/>
        </w:rPr>
      </w:pPr>
      <w:r>
        <w:rPr>
          <w:rFonts w:ascii="Times New Roman" w:hAnsi="Times New Roman" w:cs="Times New Roman"/>
          <w:sz w:val="24"/>
          <w:szCs w:val="24"/>
          <w:lang w:eastAsia="es-ES_tradnl"/>
        </w:rPr>
        <w:t>No obstante</w:t>
      </w:r>
      <w:r w:rsidR="00FE062C">
        <w:rPr>
          <w:rFonts w:ascii="Times New Roman" w:hAnsi="Times New Roman" w:cs="Times New Roman"/>
          <w:sz w:val="24"/>
          <w:szCs w:val="24"/>
          <w:lang w:eastAsia="es-ES_tradnl"/>
        </w:rPr>
        <w:t xml:space="preserve">, </w:t>
      </w:r>
      <w:r>
        <w:rPr>
          <w:rFonts w:ascii="Times New Roman" w:hAnsi="Times New Roman" w:cs="Times New Roman"/>
          <w:sz w:val="24"/>
          <w:szCs w:val="24"/>
          <w:lang w:eastAsia="es-ES_tradnl"/>
        </w:rPr>
        <w:t xml:space="preserve">como se ha señalado en </w:t>
      </w:r>
      <w:r w:rsidR="00851B57">
        <w:rPr>
          <w:rFonts w:ascii="Times New Roman" w:hAnsi="Times New Roman" w:cs="Times New Roman"/>
          <w:sz w:val="24"/>
          <w:szCs w:val="24"/>
          <w:lang w:eastAsia="es-ES_tradnl"/>
        </w:rPr>
        <w:t xml:space="preserve">anteriores </w:t>
      </w:r>
      <w:r>
        <w:rPr>
          <w:rFonts w:ascii="Times New Roman" w:hAnsi="Times New Roman" w:cs="Times New Roman"/>
          <w:sz w:val="24"/>
          <w:szCs w:val="24"/>
          <w:lang w:eastAsia="es-ES_tradnl"/>
        </w:rPr>
        <w:t xml:space="preserve">informes emitidos, </w:t>
      </w:r>
      <w:r w:rsidR="00EC308B" w:rsidRPr="00125F2A">
        <w:rPr>
          <w:rFonts w:ascii="Times New Roman" w:hAnsi="Times New Roman" w:cs="Times New Roman"/>
          <w:sz w:val="24"/>
          <w:szCs w:val="24"/>
          <w:lang w:eastAsia="es-ES_tradnl"/>
        </w:rPr>
        <w:t>la</w:t>
      </w:r>
      <w:r w:rsidR="001E035A" w:rsidRPr="00125F2A">
        <w:rPr>
          <w:rFonts w:ascii="Times New Roman" w:hAnsi="Times New Roman" w:cs="Times New Roman"/>
          <w:sz w:val="24"/>
          <w:szCs w:val="24"/>
          <w:lang w:eastAsia="es-ES_tradnl"/>
        </w:rPr>
        <w:t xml:space="preserve"> gestión de crédito hipotecario ha sido uno de los problemas</w:t>
      </w:r>
      <w:r w:rsidR="00533140" w:rsidRPr="00125F2A">
        <w:rPr>
          <w:rFonts w:ascii="Times New Roman" w:hAnsi="Times New Roman" w:cs="Times New Roman"/>
          <w:sz w:val="24"/>
          <w:szCs w:val="24"/>
          <w:lang w:eastAsia="es-ES_tradnl"/>
        </w:rPr>
        <w:t xml:space="preserve"> más relevantes</w:t>
      </w:r>
      <w:r w:rsidR="00893FF1" w:rsidRPr="00125F2A">
        <w:rPr>
          <w:rFonts w:ascii="Times New Roman" w:hAnsi="Times New Roman" w:cs="Times New Roman"/>
          <w:sz w:val="24"/>
          <w:szCs w:val="24"/>
          <w:lang w:eastAsia="es-ES_tradnl"/>
        </w:rPr>
        <w:t xml:space="preserve"> </w:t>
      </w:r>
      <w:r w:rsidR="001926AB">
        <w:rPr>
          <w:rFonts w:ascii="Times New Roman" w:hAnsi="Times New Roman" w:cs="Times New Roman"/>
          <w:sz w:val="24"/>
          <w:szCs w:val="24"/>
          <w:lang w:eastAsia="es-ES_tradnl"/>
        </w:rPr>
        <w:t>del manejo de recursos de este régimen</w:t>
      </w:r>
      <w:r w:rsidR="00B02207">
        <w:rPr>
          <w:rFonts w:ascii="Times New Roman" w:hAnsi="Times New Roman" w:cs="Times New Roman"/>
          <w:sz w:val="24"/>
          <w:szCs w:val="24"/>
          <w:lang w:eastAsia="es-ES_tradnl"/>
        </w:rPr>
        <w:t xml:space="preserve">; </w:t>
      </w:r>
      <w:r w:rsidR="008F4DDF">
        <w:rPr>
          <w:rFonts w:ascii="Times New Roman" w:hAnsi="Times New Roman" w:cs="Times New Roman"/>
          <w:sz w:val="24"/>
          <w:szCs w:val="24"/>
          <w:lang w:eastAsia="es-ES_tradnl"/>
        </w:rPr>
        <w:t xml:space="preserve">desde sus inicios </w:t>
      </w:r>
      <w:r w:rsidR="008F4DDF" w:rsidRPr="00FC3782">
        <w:rPr>
          <w:rFonts w:ascii="Times New Roman" w:hAnsi="Times New Roman" w:cs="Times New Roman"/>
          <w:sz w:val="24"/>
          <w:szCs w:val="24"/>
          <w:lang w:eastAsia="es-ES_tradnl"/>
        </w:rPr>
        <w:t xml:space="preserve">el </w:t>
      </w:r>
      <w:r w:rsidR="00FC3782" w:rsidRPr="00FC3782">
        <w:rPr>
          <w:rFonts w:ascii="Times New Roman" w:hAnsi="Times New Roman" w:cs="Times New Roman"/>
          <w:sz w:val="24"/>
          <w:szCs w:val="24"/>
          <w:lang w:eastAsia="es-ES_tradnl"/>
        </w:rPr>
        <w:t xml:space="preserve">Sistema </w:t>
      </w:r>
      <w:r w:rsidR="00D9431C" w:rsidRPr="00FC3782">
        <w:rPr>
          <w:rFonts w:ascii="Times New Roman" w:hAnsi="Times New Roman" w:cs="Times New Roman"/>
          <w:sz w:val="24"/>
          <w:szCs w:val="24"/>
          <w:lang w:eastAsia="es-ES_tradnl"/>
        </w:rPr>
        <w:t xml:space="preserve">Integrado </w:t>
      </w:r>
      <w:r w:rsidR="00D47403" w:rsidRPr="00FC3782">
        <w:rPr>
          <w:rFonts w:ascii="Times New Roman" w:hAnsi="Times New Roman" w:cs="Times New Roman"/>
          <w:sz w:val="24"/>
          <w:szCs w:val="24"/>
          <w:lang w:eastAsia="es-ES_tradnl"/>
        </w:rPr>
        <w:t>para C</w:t>
      </w:r>
      <w:r w:rsidR="00D9431C" w:rsidRPr="00FC3782">
        <w:rPr>
          <w:rFonts w:ascii="Times New Roman" w:hAnsi="Times New Roman" w:cs="Times New Roman"/>
          <w:sz w:val="24"/>
          <w:szCs w:val="24"/>
          <w:lang w:eastAsia="es-ES_tradnl"/>
        </w:rPr>
        <w:t>réditos</w:t>
      </w:r>
      <w:r w:rsidR="008F4DDF" w:rsidRPr="00FC3782">
        <w:rPr>
          <w:rFonts w:ascii="Times New Roman" w:hAnsi="Times New Roman" w:cs="Times New Roman"/>
          <w:sz w:val="24"/>
          <w:szCs w:val="24"/>
          <w:lang w:eastAsia="es-ES_tradnl"/>
        </w:rPr>
        <w:t xml:space="preserve"> </w:t>
      </w:r>
      <w:r w:rsidR="00D9431C" w:rsidRPr="00FC3782">
        <w:rPr>
          <w:rFonts w:ascii="Times New Roman" w:hAnsi="Times New Roman" w:cs="Times New Roman"/>
          <w:sz w:val="24"/>
          <w:szCs w:val="24"/>
          <w:lang w:eastAsia="es-ES_tradnl"/>
        </w:rPr>
        <w:t xml:space="preserve">(SICRE) </w:t>
      </w:r>
      <w:r w:rsidR="008F4DDF" w:rsidRPr="00FC3782">
        <w:rPr>
          <w:rFonts w:ascii="Times New Roman" w:hAnsi="Times New Roman" w:cs="Times New Roman"/>
          <w:sz w:val="24"/>
          <w:szCs w:val="24"/>
          <w:lang w:eastAsia="es-ES_tradnl"/>
        </w:rPr>
        <w:t>presentó problemas</w:t>
      </w:r>
      <w:r w:rsidR="00893FF1" w:rsidRPr="00FC3782">
        <w:rPr>
          <w:rFonts w:ascii="Times New Roman" w:hAnsi="Times New Roman" w:cs="Times New Roman"/>
          <w:sz w:val="24"/>
          <w:szCs w:val="24"/>
          <w:lang w:eastAsia="es-ES_tradnl"/>
        </w:rPr>
        <w:t xml:space="preserve"> </w:t>
      </w:r>
      <w:r w:rsidR="00893FF1" w:rsidRPr="00125F2A">
        <w:rPr>
          <w:rFonts w:ascii="Times New Roman" w:hAnsi="Times New Roman" w:cs="Times New Roman"/>
          <w:sz w:val="24"/>
          <w:szCs w:val="24"/>
          <w:lang w:eastAsia="es-ES_tradnl"/>
        </w:rPr>
        <w:t xml:space="preserve">que </w:t>
      </w:r>
      <w:r w:rsidR="00533140" w:rsidRPr="00125F2A">
        <w:rPr>
          <w:rFonts w:ascii="Times New Roman" w:hAnsi="Times New Roman" w:cs="Times New Roman"/>
          <w:sz w:val="24"/>
          <w:szCs w:val="24"/>
          <w:lang w:eastAsia="es-ES_tradnl"/>
        </w:rPr>
        <w:t>incrementa</w:t>
      </w:r>
      <w:r w:rsidR="00C97BA3">
        <w:rPr>
          <w:rFonts w:ascii="Times New Roman" w:hAnsi="Times New Roman" w:cs="Times New Roman"/>
          <w:sz w:val="24"/>
          <w:szCs w:val="24"/>
          <w:lang w:eastAsia="es-ES_tradnl"/>
        </w:rPr>
        <w:t>n</w:t>
      </w:r>
      <w:r w:rsidR="00533140" w:rsidRPr="00125F2A">
        <w:rPr>
          <w:rFonts w:ascii="Times New Roman" w:hAnsi="Times New Roman" w:cs="Times New Roman"/>
          <w:sz w:val="24"/>
          <w:szCs w:val="24"/>
          <w:lang w:eastAsia="es-ES_tradnl"/>
        </w:rPr>
        <w:t xml:space="preserve"> el</w:t>
      </w:r>
      <w:r w:rsidR="001E035A" w:rsidRPr="00125F2A">
        <w:rPr>
          <w:rFonts w:ascii="Times New Roman" w:hAnsi="Times New Roman" w:cs="Times New Roman"/>
          <w:sz w:val="24"/>
          <w:szCs w:val="24"/>
          <w:lang w:eastAsia="es-ES_tradnl"/>
        </w:rPr>
        <w:t xml:space="preserve"> riesgo operacional </w:t>
      </w:r>
      <w:r>
        <w:rPr>
          <w:rFonts w:ascii="Times New Roman" w:hAnsi="Times New Roman" w:cs="Times New Roman"/>
          <w:sz w:val="24"/>
          <w:szCs w:val="24"/>
          <w:lang w:eastAsia="es-ES_tradnl"/>
        </w:rPr>
        <w:t>del RIVM</w:t>
      </w:r>
      <w:r w:rsidR="001E035A" w:rsidRPr="00125F2A">
        <w:rPr>
          <w:rFonts w:ascii="Times New Roman" w:hAnsi="Times New Roman" w:cs="Times New Roman"/>
          <w:sz w:val="24"/>
          <w:szCs w:val="24"/>
          <w:lang w:eastAsia="es-ES_tradnl"/>
        </w:rPr>
        <w:t>, dada la incertidumbre sobre la veracidad de los saldos mostrados en cada operación de crédito y las múltiples y reiteradas debilidades de control interno</w:t>
      </w:r>
      <w:r w:rsidR="00DA0E09">
        <w:rPr>
          <w:rFonts w:ascii="Times New Roman" w:hAnsi="Times New Roman" w:cs="Times New Roman"/>
          <w:sz w:val="24"/>
          <w:szCs w:val="24"/>
          <w:lang w:eastAsia="es-ES_tradnl"/>
        </w:rPr>
        <w:t xml:space="preserve"> evidenciadas</w:t>
      </w:r>
      <w:r w:rsidR="00893FF1" w:rsidRPr="00125F2A">
        <w:rPr>
          <w:rFonts w:ascii="Times New Roman" w:hAnsi="Times New Roman" w:cs="Times New Roman"/>
          <w:sz w:val="24"/>
          <w:szCs w:val="24"/>
          <w:lang w:eastAsia="es-ES_tradnl"/>
        </w:rPr>
        <w:t xml:space="preserve">, </w:t>
      </w:r>
      <w:r w:rsidR="000E14D4" w:rsidRPr="00125F2A">
        <w:rPr>
          <w:rFonts w:ascii="Times New Roman" w:hAnsi="Times New Roman" w:cs="Times New Roman"/>
          <w:sz w:val="24"/>
          <w:szCs w:val="24"/>
          <w:lang w:eastAsia="es-ES_tradnl"/>
        </w:rPr>
        <w:t>sumado</w:t>
      </w:r>
      <w:r w:rsidR="00893FF1" w:rsidRPr="00125F2A">
        <w:rPr>
          <w:rFonts w:ascii="Times New Roman" w:hAnsi="Times New Roman" w:cs="Times New Roman"/>
          <w:sz w:val="24"/>
          <w:szCs w:val="24"/>
          <w:lang w:eastAsia="es-ES_tradnl"/>
        </w:rPr>
        <w:t xml:space="preserve"> a </w:t>
      </w:r>
      <w:r w:rsidR="00B02207">
        <w:rPr>
          <w:rFonts w:ascii="Times New Roman" w:hAnsi="Times New Roman" w:cs="Times New Roman"/>
          <w:sz w:val="24"/>
          <w:szCs w:val="24"/>
          <w:lang w:eastAsia="es-ES_tradnl"/>
        </w:rPr>
        <w:t>que a la fecha</w:t>
      </w:r>
      <w:r w:rsidR="001E035A" w:rsidRPr="00125F2A">
        <w:rPr>
          <w:rFonts w:ascii="Times New Roman" w:hAnsi="Times New Roman" w:cs="Times New Roman"/>
          <w:sz w:val="24"/>
          <w:szCs w:val="24"/>
          <w:lang w:eastAsia="es-ES_tradnl"/>
        </w:rPr>
        <w:t xml:space="preserve"> no se ha concluido por completo con los planes para log</w:t>
      </w:r>
      <w:r w:rsidR="00350388">
        <w:rPr>
          <w:rFonts w:ascii="Times New Roman" w:hAnsi="Times New Roman" w:cs="Times New Roman"/>
          <w:sz w:val="24"/>
          <w:szCs w:val="24"/>
          <w:lang w:eastAsia="es-ES_tradnl"/>
        </w:rPr>
        <w:t>rar la depuración de los saldos.</w:t>
      </w:r>
    </w:p>
    <w:p w14:paraId="496FA7D3" w14:textId="71F8C4E9" w:rsidR="00790233" w:rsidRDefault="00237340" w:rsidP="00B03FB5">
      <w:pPr>
        <w:jc w:val="both"/>
        <w:rPr>
          <w:rFonts w:ascii="Times New Roman" w:hAnsi="Times New Roman" w:cs="Times New Roman"/>
          <w:sz w:val="24"/>
          <w:szCs w:val="24"/>
          <w:lang w:eastAsia="es-ES_tradnl"/>
        </w:rPr>
      </w:pPr>
      <w:r w:rsidRPr="001049B9">
        <w:rPr>
          <w:rFonts w:ascii="Times New Roman" w:hAnsi="Times New Roman" w:cs="Times New Roman"/>
          <w:sz w:val="24"/>
          <w:szCs w:val="24"/>
          <w:lang w:eastAsia="es-ES_tradnl"/>
        </w:rPr>
        <w:t>A</w:t>
      </w:r>
      <w:r w:rsidR="00B02207" w:rsidRPr="001049B9">
        <w:rPr>
          <w:rFonts w:ascii="Times New Roman" w:hAnsi="Times New Roman" w:cs="Times New Roman"/>
          <w:sz w:val="24"/>
          <w:szCs w:val="24"/>
          <w:lang w:eastAsia="es-ES_tradnl"/>
        </w:rPr>
        <w:t>nte</w:t>
      </w:r>
      <w:r w:rsidR="00C6646B" w:rsidRPr="001049B9">
        <w:rPr>
          <w:rFonts w:ascii="Times New Roman" w:hAnsi="Times New Roman" w:cs="Times New Roman"/>
          <w:sz w:val="24"/>
          <w:szCs w:val="24"/>
          <w:lang w:eastAsia="es-ES_tradnl"/>
        </w:rPr>
        <w:t xml:space="preserve"> esta </w:t>
      </w:r>
      <w:r w:rsidR="00307D00" w:rsidRPr="001049B9">
        <w:rPr>
          <w:rFonts w:ascii="Times New Roman" w:hAnsi="Times New Roman" w:cs="Times New Roman"/>
          <w:sz w:val="24"/>
          <w:szCs w:val="24"/>
          <w:lang w:eastAsia="es-ES_tradnl"/>
        </w:rPr>
        <w:t>situación</w:t>
      </w:r>
      <w:r w:rsidR="00C6646B" w:rsidRPr="001049B9">
        <w:rPr>
          <w:rFonts w:ascii="Times New Roman" w:hAnsi="Times New Roman" w:cs="Times New Roman"/>
          <w:sz w:val="24"/>
          <w:szCs w:val="24"/>
          <w:lang w:eastAsia="es-ES_tradnl"/>
        </w:rPr>
        <w:t xml:space="preserve"> de inconsistencias </w:t>
      </w:r>
      <w:r w:rsidRPr="001049B9">
        <w:rPr>
          <w:rFonts w:ascii="Times New Roman" w:hAnsi="Times New Roman" w:cs="Times New Roman"/>
          <w:sz w:val="24"/>
          <w:szCs w:val="24"/>
          <w:lang w:eastAsia="es-ES_tradnl"/>
        </w:rPr>
        <w:t xml:space="preserve">en el manejo de la cartera de créditos, </w:t>
      </w:r>
      <w:r w:rsidR="00C6646B" w:rsidRPr="001049B9">
        <w:rPr>
          <w:rFonts w:ascii="Times New Roman" w:hAnsi="Times New Roman" w:cs="Times New Roman"/>
          <w:sz w:val="24"/>
          <w:szCs w:val="24"/>
          <w:lang w:eastAsia="es-ES_tradnl"/>
        </w:rPr>
        <w:t xml:space="preserve">en </w:t>
      </w:r>
      <w:r w:rsidR="00274C78" w:rsidRPr="001049B9">
        <w:rPr>
          <w:rFonts w:ascii="Times New Roman" w:hAnsi="Times New Roman" w:cs="Times New Roman"/>
          <w:sz w:val="24"/>
          <w:szCs w:val="24"/>
          <w:lang w:eastAsia="es-ES_tradnl"/>
        </w:rPr>
        <w:t xml:space="preserve">diversos comunicados de la </w:t>
      </w:r>
      <w:r w:rsidR="00791D16" w:rsidRPr="001049B9">
        <w:rPr>
          <w:rFonts w:ascii="Times New Roman" w:hAnsi="Times New Roman" w:cs="Times New Roman"/>
          <w:sz w:val="24"/>
          <w:szCs w:val="24"/>
          <w:lang w:eastAsia="es-ES_tradnl"/>
        </w:rPr>
        <w:t>SUPEN</w:t>
      </w:r>
      <w:r w:rsidR="00274C78" w:rsidRPr="001049B9">
        <w:rPr>
          <w:rFonts w:ascii="Times New Roman" w:hAnsi="Times New Roman" w:cs="Times New Roman"/>
          <w:sz w:val="24"/>
          <w:szCs w:val="24"/>
          <w:lang w:eastAsia="es-ES_tradnl"/>
        </w:rPr>
        <w:t xml:space="preserve"> se ha insistido </w:t>
      </w:r>
      <w:r w:rsidR="00790233" w:rsidRPr="001049B9">
        <w:rPr>
          <w:rFonts w:ascii="Times New Roman" w:hAnsi="Times New Roman" w:cs="Times New Roman"/>
          <w:sz w:val="24"/>
          <w:szCs w:val="24"/>
          <w:lang w:eastAsia="es-ES_tradnl"/>
        </w:rPr>
        <w:t>en su regularización y corrección</w:t>
      </w:r>
      <w:r w:rsidR="00DB5EA0">
        <w:rPr>
          <w:rFonts w:ascii="Times New Roman" w:hAnsi="Times New Roman" w:cs="Times New Roman"/>
          <w:sz w:val="24"/>
          <w:szCs w:val="24"/>
          <w:lang w:eastAsia="es-ES_tradnl"/>
        </w:rPr>
        <w:t xml:space="preserve">.  La </w:t>
      </w:r>
      <w:r w:rsidR="000A144A" w:rsidRPr="001049B9">
        <w:rPr>
          <w:rFonts w:ascii="Times New Roman" w:hAnsi="Times New Roman" w:cs="Times New Roman"/>
          <w:sz w:val="24"/>
          <w:szCs w:val="24"/>
          <w:lang w:eastAsia="es-ES_tradnl"/>
        </w:rPr>
        <w:t>Gerencia de Pensiones</w:t>
      </w:r>
      <w:r w:rsidR="00DB5EA0">
        <w:rPr>
          <w:rFonts w:ascii="Times New Roman" w:hAnsi="Times New Roman" w:cs="Times New Roman"/>
          <w:sz w:val="24"/>
          <w:szCs w:val="24"/>
          <w:lang w:eastAsia="es-ES_tradnl"/>
        </w:rPr>
        <w:t xml:space="preserve"> informó</w:t>
      </w:r>
      <w:r w:rsidR="000A144A" w:rsidRPr="001049B9">
        <w:rPr>
          <w:rFonts w:ascii="Times New Roman" w:hAnsi="Times New Roman" w:cs="Times New Roman"/>
          <w:sz w:val="24"/>
          <w:szCs w:val="24"/>
          <w:lang w:eastAsia="es-ES_tradnl"/>
        </w:rPr>
        <w:t xml:space="preserve">, </w:t>
      </w:r>
      <w:r w:rsidR="00790233" w:rsidRPr="001049B9">
        <w:rPr>
          <w:rFonts w:ascii="Times New Roman" w:hAnsi="Times New Roman" w:cs="Times New Roman"/>
          <w:sz w:val="24"/>
          <w:szCs w:val="24"/>
          <w:lang w:eastAsia="es-ES_tradnl"/>
        </w:rPr>
        <w:t>entre otros aspectos, que</w:t>
      </w:r>
      <w:r w:rsidR="001049B9" w:rsidRPr="001049B9">
        <w:rPr>
          <w:rFonts w:ascii="Times New Roman" w:hAnsi="Times New Roman" w:cs="Times New Roman"/>
          <w:sz w:val="24"/>
          <w:szCs w:val="24"/>
          <w:lang w:eastAsia="es-ES_tradnl"/>
        </w:rPr>
        <w:t xml:space="preserve"> el </w:t>
      </w:r>
      <w:r w:rsidR="00D9431C">
        <w:rPr>
          <w:rFonts w:ascii="Times New Roman" w:hAnsi="Times New Roman" w:cs="Times New Roman"/>
          <w:sz w:val="24"/>
          <w:szCs w:val="24"/>
          <w:lang w:eastAsia="es-ES_tradnl"/>
        </w:rPr>
        <w:t>SICRE</w:t>
      </w:r>
      <w:r w:rsidR="001049B9" w:rsidRPr="001049B9">
        <w:rPr>
          <w:rFonts w:ascii="Times New Roman" w:hAnsi="Times New Roman" w:cs="Times New Roman"/>
          <w:sz w:val="24"/>
          <w:szCs w:val="24"/>
          <w:lang w:eastAsia="es-ES_tradnl"/>
        </w:rPr>
        <w:t>, está en constante monitoreo, con valoraciones de riesgo que son reportadas al Comité de Riesgos. Adicionalmente, respecto a la depuración de operaciones,</w:t>
      </w:r>
      <w:r w:rsidR="00790233" w:rsidRPr="001049B9">
        <w:rPr>
          <w:rFonts w:ascii="Times New Roman" w:hAnsi="Times New Roman" w:cs="Times New Roman"/>
          <w:sz w:val="24"/>
          <w:szCs w:val="24"/>
          <w:lang w:eastAsia="es-ES_tradnl"/>
        </w:rPr>
        <w:t xml:space="preserve"> se han creado dos grandes grupos de trabajo relacionados con el SICRE, a saber, el Comité de Calidad de Datos y el Área de Contabilidad </w:t>
      </w:r>
      <w:r w:rsidR="007C020E" w:rsidRPr="001049B9">
        <w:rPr>
          <w:rFonts w:ascii="Times New Roman" w:hAnsi="Times New Roman" w:cs="Times New Roman"/>
          <w:sz w:val="24"/>
          <w:szCs w:val="24"/>
          <w:lang w:eastAsia="es-ES_tradnl"/>
        </w:rPr>
        <w:t>R</w:t>
      </w:r>
      <w:r w:rsidR="00790233" w:rsidRPr="001049B9">
        <w:rPr>
          <w:rFonts w:ascii="Times New Roman" w:hAnsi="Times New Roman" w:cs="Times New Roman"/>
          <w:sz w:val="24"/>
          <w:szCs w:val="24"/>
          <w:lang w:eastAsia="es-ES_tradnl"/>
        </w:rPr>
        <w:t>IVM, cuya función es la reconstrucción de operaciones y ajustes contables, todo con la idea de que una vez migrada la actual plataforma tecnológica que soporta el SICRE a un nuevo sistema, los saldos de la cartera estén debidamente adecuados</w:t>
      </w:r>
      <w:r w:rsidR="00790233" w:rsidRPr="00790233">
        <w:rPr>
          <w:rFonts w:ascii="Times New Roman" w:hAnsi="Times New Roman" w:cs="Times New Roman"/>
          <w:sz w:val="24"/>
          <w:szCs w:val="24"/>
          <w:lang w:eastAsia="es-ES_tradnl"/>
        </w:rPr>
        <w:t>.</w:t>
      </w:r>
    </w:p>
    <w:p w14:paraId="30323DC0" w14:textId="3FDEEF06" w:rsidR="0012796C" w:rsidRPr="005E0DC8" w:rsidRDefault="00C84372" w:rsidP="0012796C">
      <w:pPr>
        <w:jc w:val="both"/>
        <w:rPr>
          <w:rFonts w:ascii="Times New Roman" w:hAnsi="Times New Roman" w:cs="Times New Roman"/>
          <w:sz w:val="24"/>
          <w:szCs w:val="24"/>
          <w:lang w:eastAsia="es-ES_tradnl"/>
        </w:rPr>
      </w:pPr>
      <w:r>
        <w:rPr>
          <w:rFonts w:ascii="Times New Roman" w:hAnsi="Times New Roman" w:cs="Times New Roman"/>
          <w:sz w:val="24"/>
          <w:szCs w:val="24"/>
          <w:lang w:eastAsia="es-ES_tradnl"/>
        </w:rPr>
        <w:t xml:space="preserve">Sin embargo, </w:t>
      </w:r>
      <w:r w:rsidR="0012796C" w:rsidRPr="005E0DC8">
        <w:rPr>
          <w:rFonts w:ascii="Times New Roman" w:hAnsi="Times New Roman" w:cs="Times New Roman"/>
          <w:sz w:val="24"/>
          <w:szCs w:val="24"/>
          <w:lang w:eastAsia="es-ES_tradnl"/>
        </w:rPr>
        <w:t xml:space="preserve">a la fecha de emisión de este informe, persisten las inconsistencias evidenciadas en el manejo de la cartera de créditos y aún no </w:t>
      </w:r>
      <w:r w:rsidR="00D47403" w:rsidRPr="005E0DC8">
        <w:rPr>
          <w:rFonts w:ascii="Times New Roman" w:hAnsi="Times New Roman" w:cs="Times New Roman"/>
          <w:sz w:val="24"/>
          <w:szCs w:val="24"/>
          <w:lang w:eastAsia="es-ES_tradnl"/>
        </w:rPr>
        <w:t>se</w:t>
      </w:r>
      <w:r w:rsidR="00D47403">
        <w:rPr>
          <w:rFonts w:ascii="Times New Roman" w:hAnsi="Times New Roman" w:cs="Times New Roman"/>
          <w:sz w:val="24"/>
          <w:szCs w:val="24"/>
          <w:lang w:eastAsia="es-ES_tradnl"/>
        </w:rPr>
        <w:t xml:space="preserve"> ha</w:t>
      </w:r>
      <w:r w:rsidR="0012796C" w:rsidRPr="005E0DC8">
        <w:rPr>
          <w:rFonts w:ascii="Times New Roman" w:hAnsi="Times New Roman" w:cs="Times New Roman"/>
          <w:sz w:val="24"/>
          <w:szCs w:val="24"/>
          <w:lang w:eastAsia="es-ES_tradnl"/>
        </w:rPr>
        <w:t xml:space="preserve"> formalizado la sustitución del </w:t>
      </w:r>
      <w:r w:rsidR="00D9431C">
        <w:rPr>
          <w:rFonts w:ascii="Times New Roman" w:hAnsi="Times New Roman" w:cs="Times New Roman"/>
          <w:sz w:val="24"/>
          <w:szCs w:val="24"/>
          <w:lang w:eastAsia="es-ES_tradnl"/>
        </w:rPr>
        <w:t>SICRE</w:t>
      </w:r>
      <w:r w:rsidR="0012796C" w:rsidRPr="005E0DC8">
        <w:rPr>
          <w:rFonts w:ascii="Times New Roman" w:hAnsi="Times New Roman" w:cs="Times New Roman"/>
          <w:sz w:val="24"/>
          <w:szCs w:val="24"/>
          <w:lang w:eastAsia="es-ES_tradnl"/>
        </w:rPr>
        <w:t>.</w:t>
      </w:r>
    </w:p>
    <w:p w14:paraId="05A1D8C1" w14:textId="77777777" w:rsidR="00207953" w:rsidRDefault="00207953" w:rsidP="0012796C">
      <w:pPr>
        <w:spacing w:after="0" w:line="240" w:lineRule="auto"/>
        <w:jc w:val="both"/>
        <w:rPr>
          <w:rFonts w:ascii="Times New Roman" w:hAnsi="Times New Roman" w:cs="Times New Roman"/>
          <w:b/>
          <w:sz w:val="24"/>
          <w:szCs w:val="24"/>
        </w:rPr>
      </w:pPr>
    </w:p>
    <w:p w14:paraId="277484F3" w14:textId="77777777" w:rsidR="004A5319" w:rsidRDefault="004A5319" w:rsidP="0012796C">
      <w:pPr>
        <w:spacing w:after="0" w:line="240" w:lineRule="auto"/>
        <w:jc w:val="both"/>
        <w:rPr>
          <w:rFonts w:ascii="Times New Roman" w:hAnsi="Times New Roman" w:cs="Times New Roman"/>
          <w:b/>
          <w:sz w:val="24"/>
          <w:szCs w:val="24"/>
        </w:rPr>
      </w:pPr>
    </w:p>
    <w:p w14:paraId="2D05102C" w14:textId="4AB4C5AB" w:rsidR="00B23D10" w:rsidRPr="00CC0B35" w:rsidRDefault="00520488" w:rsidP="000A3198">
      <w:pPr>
        <w:pStyle w:val="Ttulo1"/>
        <w:numPr>
          <w:ilvl w:val="0"/>
          <w:numId w:val="1"/>
        </w:numPr>
        <w:tabs>
          <w:tab w:val="num" w:pos="540"/>
        </w:tabs>
        <w:spacing w:before="120"/>
        <w:ind w:left="539" w:hanging="539"/>
        <w:rPr>
          <w:iCs w:val="0"/>
          <w:lang w:eastAsia="es-ES_tradnl"/>
        </w:rPr>
      </w:pPr>
      <w:bookmarkStart w:id="5" w:name="_Toc496194180"/>
      <w:r w:rsidRPr="00CC0B35">
        <w:rPr>
          <w:iCs w:val="0"/>
          <w:lang w:eastAsia="es-ES_tradnl"/>
        </w:rPr>
        <w:lastRenderedPageBreak/>
        <w:t>INVERSIONES</w:t>
      </w:r>
      <w:bookmarkEnd w:id="5"/>
      <w:r w:rsidR="00C6264B" w:rsidRPr="00CC0B35">
        <w:rPr>
          <w:iCs w:val="0"/>
          <w:lang w:eastAsia="es-ES_tradnl"/>
        </w:rPr>
        <w:t xml:space="preserve"> </w:t>
      </w:r>
    </w:p>
    <w:p w14:paraId="3A1753BF" w14:textId="77777777" w:rsidR="003E339A" w:rsidRPr="00120A5E" w:rsidRDefault="003E339A" w:rsidP="003E339A">
      <w:pPr>
        <w:rPr>
          <w:lang w:eastAsia="es-ES_tradnl"/>
        </w:rPr>
      </w:pPr>
    </w:p>
    <w:p w14:paraId="364A3A55" w14:textId="3445B062" w:rsidR="00D21412" w:rsidRPr="0047408B" w:rsidRDefault="00D21412" w:rsidP="003E339A">
      <w:pPr>
        <w:pStyle w:val="Ttulo1"/>
        <w:numPr>
          <w:ilvl w:val="1"/>
          <w:numId w:val="1"/>
        </w:numPr>
        <w:spacing w:before="120"/>
        <w:ind w:left="714" w:hanging="357"/>
        <w:rPr>
          <w:i w:val="0"/>
          <w:iCs w:val="0"/>
          <w:lang w:eastAsia="es-ES_tradnl"/>
        </w:rPr>
      </w:pPr>
      <w:bookmarkStart w:id="6" w:name="_Toc496194181"/>
      <w:r w:rsidRPr="0047408B">
        <w:rPr>
          <w:i w:val="0"/>
          <w:iCs w:val="0"/>
          <w:lang w:eastAsia="es-ES_tradnl"/>
        </w:rPr>
        <w:t>Evolución</w:t>
      </w:r>
      <w:r w:rsidR="003E339A" w:rsidRPr="0047408B">
        <w:rPr>
          <w:i w:val="0"/>
          <w:iCs w:val="0"/>
          <w:lang w:eastAsia="es-ES_tradnl"/>
        </w:rPr>
        <w:t xml:space="preserve"> y comportamiento de los productos financieros que genera la cartera</w:t>
      </w:r>
      <w:bookmarkEnd w:id="6"/>
    </w:p>
    <w:p w14:paraId="58AC9A41" w14:textId="77777777" w:rsidR="00B23D10" w:rsidRPr="00640D9E" w:rsidRDefault="00B23D10" w:rsidP="00640D9E">
      <w:pPr>
        <w:pStyle w:val="Prrafodelista"/>
        <w:ind w:left="273"/>
        <w:jc w:val="both"/>
        <w:rPr>
          <w:rFonts w:ascii="Times New Roman" w:hAnsi="Times New Roman" w:cs="Times New Roman"/>
          <w:b/>
          <w:sz w:val="24"/>
          <w:szCs w:val="24"/>
          <w:highlight w:val="lightGray"/>
        </w:rPr>
      </w:pPr>
    </w:p>
    <w:p w14:paraId="1738CAC5" w14:textId="77777777" w:rsidR="0047408B" w:rsidRPr="006156CF" w:rsidRDefault="0047408B" w:rsidP="0047408B">
      <w:pPr>
        <w:jc w:val="both"/>
        <w:rPr>
          <w:rFonts w:ascii="Times New Roman" w:hAnsi="Times New Roman" w:cs="Times New Roman"/>
          <w:sz w:val="24"/>
          <w:szCs w:val="24"/>
          <w:lang w:eastAsia="es-ES_tradnl"/>
        </w:rPr>
      </w:pPr>
      <w:r w:rsidRPr="006156CF">
        <w:rPr>
          <w:rFonts w:ascii="Times New Roman" w:hAnsi="Times New Roman" w:cs="Times New Roman"/>
          <w:sz w:val="24"/>
          <w:szCs w:val="24"/>
          <w:lang w:eastAsia="es-ES_tradnl"/>
        </w:rPr>
        <w:t>El portafolio de inversiones del RIVM es el de mayor tamaño dentro de los regímenes básicos de pensiones; al 31 diciembre 2016 este portafolio presentaba un saldo de ¢1.879.192,6 millones, con un crecimiento interanual de 4,5% con respecto a diciembre de 2015. Esta cartera de inversiones representa aproximadamente un 5.9% del Producto Interno Bruto (PIB).</w:t>
      </w:r>
      <w:r w:rsidRPr="006156CF">
        <w:rPr>
          <w:rFonts w:ascii="Times New Roman" w:hAnsi="Times New Roman" w:cs="Times New Roman"/>
          <w:sz w:val="24"/>
          <w:szCs w:val="24"/>
          <w:lang w:eastAsia="es-ES_tradnl"/>
        </w:rPr>
        <w:tab/>
      </w:r>
    </w:p>
    <w:p w14:paraId="78C7AF7F" w14:textId="779402C9" w:rsidR="0047408B" w:rsidRPr="001E3B74" w:rsidRDefault="0047408B" w:rsidP="0047408B">
      <w:pPr>
        <w:jc w:val="both"/>
        <w:rPr>
          <w:rFonts w:ascii="Times New Roman" w:hAnsi="Times New Roman" w:cs="Times New Roman"/>
          <w:sz w:val="24"/>
          <w:szCs w:val="24"/>
          <w:lang w:eastAsia="es-ES_tradnl"/>
        </w:rPr>
      </w:pPr>
      <w:r w:rsidRPr="001E3B74">
        <w:rPr>
          <w:rFonts w:ascii="Times New Roman" w:hAnsi="Times New Roman" w:cs="Times New Roman"/>
          <w:sz w:val="24"/>
          <w:szCs w:val="24"/>
          <w:lang w:eastAsia="es-ES_tradnl"/>
        </w:rPr>
        <w:t xml:space="preserve">Los productos financieros del RIVM han presentado un incremento importante en los últimos años, </w:t>
      </w:r>
      <w:r w:rsidR="00BE02FC">
        <w:rPr>
          <w:rFonts w:ascii="Times New Roman" w:hAnsi="Times New Roman" w:cs="Times New Roman"/>
          <w:sz w:val="24"/>
          <w:szCs w:val="24"/>
          <w:lang w:eastAsia="es-ES_tradnl"/>
        </w:rPr>
        <w:t xml:space="preserve">en términos nominales, </w:t>
      </w:r>
      <w:r w:rsidRPr="001E3B74">
        <w:rPr>
          <w:rFonts w:ascii="Times New Roman" w:hAnsi="Times New Roman" w:cs="Times New Roman"/>
          <w:sz w:val="24"/>
          <w:szCs w:val="24"/>
          <w:lang w:eastAsia="es-ES_tradnl"/>
        </w:rPr>
        <w:t xml:space="preserve">según se observa en el gráfico </w:t>
      </w:r>
      <w:r w:rsidR="005D4FAE">
        <w:rPr>
          <w:rFonts w:ascii="Times New Roman" w:hAnsi="Times New Roman" w:cs="Times New Roman"/>
          <w:sz w:val="24"/>
          <w:szCs w:val="24"/>
          <w:lang w:eastAsia="es-ES_tradnl"/>
        </w:rPr>
        <w:t>2</w:t>
      </w:r>
      <w:r w:rsidRPr="001E3B74">
        <w:rPr>
          <w:rFonts w:ascii="Times New Roman" w:hAnsi="Times New Roman" w:cs="Times New Roman"/>
          <w:sz w:val="24"/>
          <w:szCs w:val="24"/>
          <w:lang w:eastAsia="es-ES_tradnl"/>
        </w:rPr>
        <w:t>; del año 2012 al 2016 aumentaron un 19.9%.  En el 2016 los productos financieros crecieron un 8.3% (¢12.340.8 millones).</w:t>
      </w:r>
    </w:p>
    <w:p w14:paraId="1112D669" w14:textId="015DFC57" w:rsidR="00615F61" w:rsidRPr="004230B0" w:rsidRDefault="004A3511" w:rsidP="004A3511">
      <w:pPr>
        <w:tabs>
          <w:tab w:val="center" w:pos="4394"/>
          <w:tab w:val="right" w:pos="8789"/>
        </w:tabs>
        <w:rPr>
          <w:rFonts w:ascii="Times New Roman" w:hAnsi="Times New Roman" w:cs="Times New Roman"/>
          <w:b/>
          <w:sz w:val="24"/>
          <w:szCs w:val="24"/>
          <w:highlight w:val="yellow"/>
          <w:lang w:eastAsia="es-ES_tradnl"/>
        </w:rPr>
      </w:pPr>
      <w:r w:rsidRPr="00120A5E">
        <w:rPr>
          <w:rFonts w:ascii="Times New Roman" w:hAnsi="Times New Roman" w:cs="Times New Roman"/>
          <w:b/>
          <w:sz w:val="24"/>
          <w:szCs w:val="24"/>
          <w:lang w:eastAsia="es-ES_tradnl"/>
        </w:rPr>
        <w:tab/>
      </w:r>
      <w:r w:rsidR="00615F61" w:rsidRPr="005D58B0">
        <w:rPr>
          <w:rFonts w:ascii="Times New Roman" w:hAnsi="Times New Roman" w:cs="Times New Roman"/>
          <w:b/>
          <w:sz w:val="24"/>
          <w:szCs w:val="24"/>
          <w:lang w:eastAsia="es-ES_tradnl"/>
        </w:rPr>
        <w:t xml:space="preserve">Gráfico </w:t>
      </w:r>
      <w:r w:rsidR="0047408B" w:rsidRPr="005D58B0">
        <w:rPr>
          <w:rFonts w:ascii="Times New Roman" w:hAnsi="Times New Roman" w:cs="Times New Roman"/>
          <w:b/>
          <w:sz w:val="24"/>
          <w:szCs w:val="24"/>
          <w:lang w:eastAsia="es-ES_tradnl"/>
        </w:rPr>
        <w:t>2</w:t>
      </w:r>
      <w:r w:rsidRPr="005D58B0">
        <w:rPr>
          <w:rFonts w:ascii="Times New Roman" w:hAnsi="Times New Roman" w:cs="Times New Roman"/>
          <w:b/>
          <w:sz w:val="24"/>
          <w:szCs w:val="24"/>
          <w:lang w:eastAsia="es-ES_tradnl"/>
        </w:rPr>
        <w:tab/>
      </w:r>
    </w:p>
    <w:p w14:paraId="1DC94ADE" w14:textId="77777777" w:rsidR="009F1822" w:rsidRPr="004230B0" w:rsidRDefault="009F1822" w:rsidP="00615F61">
      <w:pPr>
        <w:pStyle w:val="para"/>
        <w:spacing w:before="0" w:after="0"/>
        <w:jc w:val="center"/>
        <w:rPr>
          <w:noProof/>
          <w:sz w:val="24"/>
          <w:szCs w:val="24"/>
          <w:highlight w:val="yellow"/>
          <w:lang w:val="es-ES"/>
        </w:rPr>
      </w:pPr>
    </w:p>
    <w:p w14:paraId="4E49EE94" w14:textId="551595D0" w:rsidR="009F1822" w:rsidRPr="004230B0" w:rsidRDefault="0047408B" w:rsidP="00615F61">
      <w:pPr>
        <w:pStyle w:val="para"/>
        <w:spacing w:before="0" w:after="0"/>
        <w:jc w:val="center"/>
        <w:rPr>
          <w:noProof/>
          <w:sz w:val="24"/>
          <w:szCs w:val="24"/>
          <w:highlight w:val="yellow"/>
          <w:lang w:val="es-ES"/>
        </w:rPr>
      </w:pPr>
      <w:r w:rsidRPr="001E3B74">
        <w:rPr>
          <w:noProof/>
          <w:sz w:val="24"/>
          <w:szCs w:val="24"/>
          <w:lang w:val="es-ES"/>
        </w:rPr>
        <w:drawing>
          <wp:inline distT="0" distB="0" distL="0" distR="0" wp14:anchorId="3821352A" wp14:editId="6D01559C">
            <wp:extent cx="5017135" cy="2414270"/>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7135" cy="2414270"/>
                    </a:xfrm>
                    <a:prstGeom prst="rect">
                      <a:avLst/>
                    </a:prstGeom>
                    <a:noFill/>
                  </pic:spPr>
                </pic:pic>
              </a:graphicData>
            </a:graphic>
          </wp:inline>
        </w:drawing>
      </w:r>
    </w:p>
    <w:p w14:paraId="324389F8" w14:textId="0D6E956C" w:rsidR="003A0582" w:rsidRPr="005D58B0" w:rsidRDefault="00937C6F" w:rsidP="008F0724">
      <w:pPr>
        <w:pStyle w:val="para"/>
        <w:spacing w:before="0" w:after="0"/>
        <w:ind w:firstLine="708"/>
        <w:jc w:val="center"/>
        <w:rPr>
          <w:rFonts w:eastAsiaTheme="minorHAnsi"/>
          <w:i/>
          <w:sz w:val="20"/>
          <w:szCs w:val="20"/>
          <w:lang w:eastAsia="en-US"/>
        </w:rPr>
      </w:pPr>
      <w:r w:rsidRPr="005D58B0">
        <w:rPr>
          <w:rFonts w:eastAsiaTheme="minorEastAsia"/>
          <w:sz w:val="20"/>
          <w:szCs w:val="20"/>
          <w:lang w:eastAsia="es-ES_tradnl"/>
        </w:rPr>
        <w:t>Fuente:</w:t>
      </w:r>
      <w:r w:rsidR="003A0582" w:rsidRPr="005D58B0">
        <w:rPr>
          <w:rFonts w:eastAsiaTheme="minorHAnsi"/>
          <w:i/>
          <w:sz w:val="20"/>
          <w:szCs w:val="20"/>
          <w:lang w:eastAsia="en-US"/>
        </w:rPr>
        <w:t xml:space="preserve"> Estados Fi</w:t>
      </w:r>
      <w:r w:rsidR="00E37A73" w:rsidRPr="005D58B0">
        <w:rPr>
          <w:rFonts w:eastAsiaTheme="minorHAnsi"/>
          <w:i/>
          <w:sz w:val="20"/>
          <w:szCs w:val="20"/>
          <w:lang w:eastAsia="en-US"/>
        </w:rPr>
        <w:t>nancieros remitidos por la CCSS</w:t>
      </w:r>
    </w:p>
    <w:p w14:paraId="37CCCEC4" w14:textId="4452F517" w:rsidR="009D380F" w:rsidRPr="004230B0" w:rsidRDefault="009D380F" w:rsidP="008F0724">
      <w:pPr>
        <w:pStyle w:val="para"/>
        <w:spacing w:before="0" w:after="0"/>
        <w:jc w:val="center"/>
        <w:rPr>
          <w:rFonts w:eastAsiaTheme="minorHAnsi"/>
          <w:sz w:val="20"/>
          <w:szCs w:val="20"/>
          <w:highlight w:val="yellow"/>
          <w:lang w:eastAsia="en-US"/>
        </w:rPr>
      </w:pPr>
    </w:p>
    <w:p w14:paraId="12871611" w14:textId="77777777" w:rsidR="00344572" w:rsidRPr="004230B0" w:rsidRDefault="00344572" w:rsidP="00120A0D">
      <w:pPr>
        <w:pStyle w:val="para"/>
        <w:spacing w:before="0" w:after="0"/>
        <w:jc w:val="both"/>
        <w:rPr>
          <w:rFonts w:eastAsiaTheme="minorHAnsi"/>
          <w:sz w:val="24"/>
          <w:szCs w:val="24"/>
          <w:highlight w:val="yellow"/>
          <w:lang w:eastAsia="en-US"/>
        </w:rPr>
      </w:pPr>
    </w:p>
    <w:p w14:paraId="47250C32" w14:textId="77777777" w:rsidR="00BC1550" w:rsidRPr="005D58B0" w:rsidRDefault="00BC1550" w:rsidP="00715DC0">
      <w:pPr>
        <w:pStyle w:val="Ttulo1"/>
        <w:numPr>
          <w:ilvl w:val="1"/>
          <w:numId w:val="1"/>
        </w:numPr>
        <w:spacing w:before="120"/>
        <w:ind w:left="714" w:hanging="357"/>
        <w:rPr>
          <w:i w:val="0"/>
          <w:iCs w:val="0"/>
          <w:lang w:eastAsia="es-ES_tradnl"/>
        </w:rPr>
      </w:pPr>
      <w:bookmarkStart w:id="7" w:name="_Toc496194182"/>
      <w:r w:rsidRPr="005D58B0">
        <w:rPr>
          <w:i w:val="0"/>
          <w:iCs w:val="0"/>
          <w:lang w:eastAsia="es-ES_tradnl"/>
        </w:rPr>
        <w:t>Concentración del Portafolio</w:t>
      </w:r>
      <w:bookmarkEnd w:id="7"/>
    </w:p>
    <w:p w14:paraId="7351AF94" w14:textId="77777777" w:rsidR="00D21412" w:rsidRPr="004230B0" w:rsidRDefault="00D21412" w:rsidP="00D21412">
      <w:pPr>
        <w:rPr>
          <w:rFonts w:ascii="Times New Roman" w:hAnsi="Times New Roman" w:cs="Times New Roman"/>
          <w:sz w:val="24"/>
          <w:szCs w:val="24"/>
          <w:highlight w:val="yellow"/>
          <w:lang w:eastAsia="es-ES_tradnl"/>
        </w:rPr>
      </w:pPr>
    </w:p>
    <w:p w14:paraId="172B9CCF" w14:textId="328188C3" w:rsidR="005D58B0" w:rsidRPr="00E70B67" w:rsidRDefault="005D58B0" w:rsidP="005D58B0">
      <w:pPr>
        <w:spacing w:after="240"/>
        <w:jc w:val="both"/>
        <w:rPr>
          <w:rFonts w:ascii="Times New Roman" w:hAnsi="Times New Roman" w:cs="Times New Roman"/>
          <w:sz w:val="24"/>
          <w:szCs w:val="24"/>
          <w:lang w:eastAsia="es-ES_tradnl"/>
        </w:rPr>
      </w:pPr>
      <w:r w:rsidRPr="00E70B67">
        <w:rPr>
          <w:rFonts w:ascii="Times New Roman" w:hAnsi="Times New Roman" w:cs="Times New Roman"/>
          <w:sz w:val="24"/>
          <w:szCs w:val="24"/>
          <w:lang w:eastAsia="es-ES_tradnl"/>
        </w:rPr>
        <w:t>El portafolio de inversiones del RIVM se encuentra altamente concentrado en emisiones del Sector Público; en el período 2016 las inversiones en instrumentos del Banco Central de Costa Rica y el Ministerio de Hacienda representaron más del 94,</w:t>
      </w:r>
      <w:r>
        <w:rPr>
          <w:rFonts w:ascii="Times New Roman" w:hAnsi="Times New Roman" w:cs="Times New Roman"/>
          <w:sz w:val="24"/>
          <w:szCs w:val="24"/>
          <w:lang w:eastAsia="es-ES_tradnl"/>
        </w:rPr>
        <w:t>3</w:t>
      </w:r>
      <w:r w:rsidRPr="00E70B67">
        <w:rPr>
          <w:rFonts w:ascii="Times New Roman" w:hAnsi="Times New Roman" w:cs="Times New Roman"/>
          <w:sz w:val="24"/>
          <w:szCs w:val="24"/>
          <w:lang w:eastAsia="es-ES_tradnl"/>
        </w:rPr>
        <w:t xml:space="preserve">% del total de la cartera del RIVM. </w:t>
      </w:r>
      <w:r w:rsidR="00FC4E78">
        <w:rPr>
          <w:rFonts w:ascii="Times New Roman" w:hAnsi="Times New Roman" w:cs="Times New Roman"/>
          <w:sz w:val="24"/>
          <w:szCs w:val="24"/>
          <w:lang w:eastAsia="es-ES_tradnl"/>
        </w:rPr>
        <w:t>Al respecto, l</w:t>
      </w:r>
      <w:r w:rsidRPr="00E70B67">
        <w:rPr>
          <w:rFonts w:ascii="Times New Roman" w:hAnsi="Times New Roman" w:cs="Times New Roman"/>
          <w:sz w:val="24"/>
          <w:szCs w:val="24"/>
          <w:lang w:eastAsia="es-ES_tradnl"/>
        </w:rPr>
        <w:t xml:space="preserve">os funcionarios del Departamento de Inversiones del RIVM consideran la diversificación de las inversiones como una tarea compleja, a raíz de las condiciones estructurales del mercado de valores costarricense. </w:t>
      </w:r>
    </w:p>
    <w:p w14:paraId="7F2B614D" w14:textId="77777777" w:rsidR="005D58B0" w:rsidRPr="00340623" w:rsidRDefault="005D58B0" w:rsidP="005D58B0">
      <w:pPr>
        <w:spacing w:after="240"/>
        <w:jc w:val="both"/>
        <w:rPr>
          <w:rFonts w:ascii="Times New Roman" w:hAnsi="Times New Roman" w:cs="Times New Roman"/>
          <w:sz w:val="24"/>
          <w:szCs w:val="24"/>
          <w:lang w:eastAsia="es-ES_tradnl"/>
        </w:rPr>
      </w:pPr>
      <w:r w:rsidRPr="00565A99">
        <w:rPr>
          <w:rFonts w:ascii="Times New Roman" w:hAnsi="Times New Roman" w:cs="Times New Roman"/>
          <w:sz w:val="24"/>
          <w:szCs w:val="24"/>
          <w:lang w:eastAsia="es-ES_tradnl"/>
        </w:rPr>
        <w:t xml:space="preserve">De conformidad con lo expuesto existe una exposición a potenciales pérdidas por cambios en la economía nacional e internacional o por una desmejora en la calificación crediticia de </w:t>
      </w:r>
      <w:r w:rsidRPr="00565A99">
        <w:rPr>
          <w:rFonts w:ascii="Times New Roman" w:hAnsi="Times New Roman" w:cs="Times New Roman"/>
          <w:sz w:val="24"/>
          <w:szCs w:val="24"/>
          <w:lang w:eastAsia="es-ES_tradnl"/>
        </w:rPr>
        <w:lastRenderedPageBreak/>
        <w:t xml:space="preserve">los emisores o cesación de pagos, con lo cual podría verse impactada la disponibilidad de recursos para atender los beneficios otorgados. Asimismo, se considera que se podrían generar pérdidas por los movimientos adversos de los precios de los activos financieros, con </w:t>
      </w:r>
      <w:r w:rsidRPr="00340623">
        <w:rPr>
          <w:rFonts w:ascii="Times New Roman" w:hAnsi="Times New Roman" w:cs="Times New Roman"/>
          <w:sz w:val="24"/>
          <w:szCs w:val="24"/>
          <w:lang w:eastAsia="es-ES_tradnl"/>
        </w:rPr>
        <w:t>lo cual se propicia el riesgo de volatilidad de los rendimientos.</w:t>
      </w:r>
    </w:p>
    <w:p w14:paraId="3E40B857" w14:textId="078C3B42" w:rsidR="005D58B0" w:rsidRPr="00340623" w:rsidRDefault="005D58B0" w:rsidP="005D58B0">
      <w:pPr>
        <w:spacing w:after="240"/>
        <w:jc w:val="both"/>
        <w:rPr>
          <w:rFonts w:ascii="Times New Roman" w:hAnsi="Times New Roman" w:cs="Times New Roman"/>
          <w:sz w:val="24"/>
          <w:szCs w:val="24"/>
          <w:lang w:eastAsia="es-ES_tradnl"/>
        </w:rPr>
      </w:pPr>
      <w:r w:rsidRPr="00340623">
        <w:rPr>
          <w:rFonts w:ascii="Times New Roman" w:hAnsi="Times New Roman" w:cs="Times New Roman"/>
          <w:sz w:val="24"/>
          <w:szCs w:val="24"/>
          <w:lang w:eastAsia="es-ES_tradnl"/>
        </w:rPr>
        <w:t>Con respecto a la concentración por instrumento, a diciembre 2016 la tenencia de TUDES</w:t>
      </w:r>
      <w:r w:rsidR="00BE02FC">
        <w:rPr>
          <w:rStyle w:val="Refdenotaalpie"/>
          <w:rFonts w:ascii="Times New Roman" w:hAnsi="Times New Roman" w:cs="Times New Roman"/>
          <w:sz w:val="24"/>
          <w:szCs w:val="24"/>
          <w:lang w:eastAsia="es-ES_tradnl"/>
        </w:rPr>
        <w:footnoteReference w:id="1"/>
      </w:r>
      <w:r w:rsidRPr="00340623">
        <w:rPr>
          <w:rFonts w:ascii="Times New Roman" w:hAnsi="Times New Roman" w:cs="Times New Roman"/>
          <w:sz w:val="24"/>
          <w:szCs w:val="24"/>
          <w:lang w:eastAsia="es-ES_tradnl"/>
        </w:rPr>
        <w:t xml:space="preserve"> muestra una reducción significativa, comportamiento similar al presentado durante el año 2015, la inversión en estos instrumentos a diciembre de 2015 era de ¢462,186.9 millones, mientras que en diciembre de 201</w:t>
      </w:r>
      <w:r>
        <w:rPr>
          <w:rFonts w:ascii="Times New Roman" w:hAnsi="Times New Roman" w:cs="Times New Roman"/>
          <w:sz w:val="24"/>
          <w:szCs w:val="24"/>
          <w:lang w:eastAsia="es-ES_tradnl"/>
        </w:rPr>
        <w:t>6</w:t>
      </w:r>
      <w:r w:rsidRPr="00340623">
        <w:rPr>
          <w:rFonts w:ascii="Times New Roman" w:hAnsi="Times New Roman" w:cs="Times New Roman"/>
          <w:sz w:val="24"/>
          <w:szCs w:val="24"/>
          <w:lang w:eastAsia="es-ES_tradnl"/>
        </w:rPr>
        <w:t xml:space="preserve"> se ubicaba en ¢274,287.5 representando un 14.2</w:t>
      </w:r>
      <w:r w:rsidRPr="00340623">
        <w:rPr>
          <w:rFonts w:ascii="Times New Roman" w:hAnsi="Times New Roman" w:cs="Times New Roman"/>
          <w:bCs/>
          <w:sz w:val="24"/>
          <w:szCs w:val="24"/>
          <w:lang w:eastAsia="es-ES_tradnl"/>
        </w:rPr>
        <w:t>%</w:t>
      </w:r>
      <w:r w:rsidRPr="00340623">
        <w:rPr>
          <w:rFonts w:ascii="Times New Roman" w:hAnsi="Times New Roman" w:cs="Times New Roman"/>
          <w:sz w:val="24"/>
          <w:szCs w:val="24"/>
          <w:lang w:eastAsia="es-ES_tradnl"/>
        </w:rPr>
        <w:t xml:space="preserve"> de las inversiones bursátiles del RIVM. Asimismo, la concentración en Títulos de Propiedad se incrementó al pasar de un 45.1% a un 47.4% en dicho período. </w:t>
      </w:r>
    </w:p>
    <w:p w14:paraId="254971A3" w14:textId="6EC80334" w:rsidR="00BC1550" w:rsidRPr="005D58B0" w:rsidRDefault="00615F61" w:rsidP="005D58B0">
      <w:pPr>
        <w:tabs>
          <w:tab w:val="center" w:pos="4394"/>
          <w:tab w:val="right" w:pos="8789"/>
        </w:tabs>
        <w:jc w:val="center"/>
        <w:rPr>
          <w:rFonts w:ascii="Times New Roman" w:hAnsi="Times New Roman" w:cs="Times New Roman"/>
          <w:b/>
          <w:sz w:val="24"/>
          <w:szCs w:val="24"/>
          <w:lang w:eastAsia="es-ES_tradnl"/>
        </w:rPr>
      </w:pPr>
      <w:r w:rsidRPr="005D58B0">
        <w:rPr>
          <w:rFonts w:ascii="Times New Roman" w:hAnsi="Times New Roman" w:cs="Times New Roman"/>
          <w:b/>
          <w:sz w:val="24"/>
          <w:szCs w:val="24"/>
          <w:lang w:eastAsia="es-ES_tradnl"/>
        </w:rPr>
        <w:t xml:space="preserve">Gráfico </w:t>
      </w:r>
      <w:r w:rsidR="005D58B0" w:rsidRPr="005D58B0">
        <w:rPr>
          <w:rFonts w:ascii="Times New Roman" w:hAnsi="Times New Roman" w:cs="Times New Roman"/>
          <w:b/>
          <w:sz w:val="24"/>
          <w:szCs w:val="24"/>
          <w:lang w:eastAsia="es-ES_tradnl"/>
        </w:rPr>
        <w:t>3</w:t>
      </w:r>
    </w:p>
    <w:p w14:paraId="3F1E7C9A" w14:textId="518186A1" w:rsidR="00B5633E" w:rsidRPr="004230B0" w:rsidRDefault="005D58B0" w:rsidP="00E61840">
      <w:pPr>
        <w:spacing w:after="240"/>
        <w:jc w:val="center"/>
        <w:rPr>
          <w:rFonts w:ascii="Times New Roman" w:hAnsi="Times New Roman" w:cs="Times New Roman"/>
          <w:sz w:val="24"/>
          <w:szCs w:val="24"/>
          <w:highlight w:val="yellow"/>
          <w:lang w:eastAsia="es-ES_tradnl"/>
        </w:rPr>
      </w:pPr>
      <w:r>
        <w:rPr>
          <w:rFonts w:ascii="Times New Roman" w:hAnsi="Times New Roman" w:cs="Times New Roman"/>
          <w:noProof/>
          <w:sz w:val="24"/>
          <w:szCs w:val="24"/>
          <w:highlight w:val="yellow"/>
          <w:lang w:val="es-ES" w:eastAsia="es-ES"/>
        </w:rPr>
        <w:drawing>
          <wp:inline distT="0" distB="0" distL="0" distR="0" wp14:anchorId="7116B789" wp14:editId="0F8BF5F0">
            <wp:extent cx="4224655" cy="3572510"/>
            <wp:effectExtent l="0" t="0" r="444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4655" cy="3572510"/>
                    </a:xfrm>
                    <a:prstGeom prst="rect">
                      <a:avLst/>
                    </a:prstGeom>
                    <a:noFill/>
                  </pic:spPr>
                </pic:pic>
              </a:graphicData>
            </a:graphic>
          </wp:inline>
        </w:drawing>
      </w:r>
    </w:p>
    <w:p w14:paraId="65343A4B" w14:textId="77777777" w:rsidR="003A0582" w:rsidRPr="005D58B0" w:rsidRDefault="003A0582" w:rsidP="008F0724">
      <w:pPr>
        <w:spacing w:after="240"/>
        <w:ind w:firstLine="708"/>
        <w:jc w:val="center"/>
        <w:rPr>
          <w:rFonts w:ascii="Times New Roman" w:hAnsi="Times New Roman" w:cs="Times New Roman"/>
          <w:i/>
          <w:sz w:val="20"/>
          <w:szCs w:val="20"/>
        </w:rPr>
      </w:pPr>
      <w:r w:rsidRPr="005D58B0">
        <w:rPr>
          <w:rFonts w:ascii="Times New Roman" w:hAnsi="Times New Roman" w:cs="Times New Roman"/>
          <w:i/>
          <w:sz w:val="20"/>
          <w:szCs w:val="20"/>
        </w:rPr>
        <w:t>Fuente: Portafolio de inversiones remitido por la CCSS.</w:t>
      </w:r>
    </w:p>
    <w:p w14:paraId="3DE1C48D" w14:textId="2254D42A" w:rsidR="005D58B0" w:rsidRPr="004230B0" w:rsidRDefault="005D58B0" w:rsidP="005D58B0">
      <w:pPr>
        <w:spacing w:after="240"/>
        <w:jc w:val="both"/>
        <w:rPr>
          <w:rFonts w:ascii="Times New Roman" w:hAnsi="Times New Roman" w:cs="Times New Roman"/>
          <w:sz w:val="24"/>
          <w:szCs w:val="24"/>
          <w:highlight w:val="yellow"/>
        </w:rPr>
      </w:pPr>
      <w:r w:rsidRPr="003E2B46">
        <w:rPr>
          <w:rFonts w:ascii="Times New Roman" w:hAnsi="Times New Roman" w:cs="Times New Roman"/>
          <w:sz w:val="24"/>
          <w:szCs w:val="24"/>
        </w:rPr>
        <w:t xml:space="preserve">Por lo anterior, se reitera la exposición al riesgo por concentración que presenta el portafolio del régimen; en las políticas y estrategias de inversión para el 2016 se estableció </w:t>
      </w:r>
      <w:r w:rsidRPr="003E2B46">
        <w:rPr>
          <w:rFonts w:ascii="Times New Roman" w:hAnsi="Times New Roman" w:cs="Times New Roman"/>
          <w:sz w:val="24"/>
          <w:szCs w:val="24"/>
          <w:lang w:eastAsia="es-ES_tradnl"/>
        </w:rPr>
        <w:t>el límite por sector en instrumentos emitidos por el Ministerio de Hacienda y Banco Central de Costa Rica en un 94%. Aunque al RIVM no le aplica el</w:t>
      </w:r>
      <w:r w:rsidRPr="003E2B46">
        <w:rPr>
          <w:rFonts w:ascii="Times New Roman" w:hAnsi="Times New Roman" w:cs="Times New Roman"/>
          <w:sz w:val="24"/>
          <w:szCs w:val="24"/>
        </w:rPr>
        <w:t xml:space="preserve"> Re</w:t>
      </w:r>
      <w:r w:rsidR="00D9431C">
        <w:rPr>
          <w:rFonts w:ascii="Times New Roman" w:hAnsi="Times New Roman" w:cs="Times New Roman"/>
          <w:sz w:val="24"/>
          <w:szCs w:val="24"/>
        </w:rPr>
        <w:t>glamento de Inversiones de las Entidades R</w:t>
      </w:r>
      <w:r w:rsidRPr="003E2B46">
        <w:rPr>
          <w:rFonts w:ascii="Times New Roman" w:hAnsi="Times New Roman" w:cs="Times New Roman"/>
          <w:sz w:val="24"/>
          <w:szCs w:val="24"/>
        </w:rPr>
        <w:t>eguladas, se estima que es referencia a considerar, como una sana práctica, el porcentaje establecido en el Transitor</w:t>
      </w:r>
      <w:r w:rsidR="00D9431C">
        <w:rPr>
          <w:rFonts w:ascii="Times New Roman" w:hAnsi="Times New Roman" w:cs="Times New Roman"/>
          <w:sz w:val="24"/>
          <w:szCs w:val="24"/>
        </w:rPr>
        <w:t>io IV del R</w:t>
      </w:r>
      <w:r w:rsidRPr="003E2B46">
        <w:rPr>
          <w:rFonts w:ascii="Times New Roman" w:hAnsi="Times New Roman" w:cs="Times New Roman"/>
          <w:sz w:val="24"/>
          <w:szCs w:val="24"/>
        </w:rPr>
        <w:t xml:space="preserve">eglamento citado, de un 66.0 % al 31 de diciembre de 2016. </w:t>
      </w:r>
    </w:p>
    <w:p w14:paraId="193E2B18" w14:textId="72DD5BC0" w:rsidR="005D58B0" w:rsidRPr="003E2B46" w:rsidRDefault="005D58B0" w:rsidP="005D58B0">
      <w:pPr>
        <w:spacing w:after="240"/>
        <w:jc w:val="both"/>
        <w:rPr>
          <w:rFonts w:ascii="Times New Roman" w:hAnsi="Times New Roman" w:cs="Times New Roman"/>
          <w:sz w:val="24"/>
          <w:szCs w:val="24"/>
        </w:rPr>
      </w:pPr>
      <w:r w:rsidRPr="003E2B46">
        <w:rPr>
          <w:rFonts w:ascii="Times New Roman" w:hAnsi="Times New Roman" w:cs="Times New Roman"/>
          <w:sz w:val="24"/>
          <w:szCs w:val="24"/>
        </w:rPr>
        <w:lastRenderedPageBreak/>
        <w:t>Al 3</w:t>
      </w:r>
      <w:r w:rsidR="00DD185F">
        <w:rPr>
          <w:rFonts w:ascii="Times New Roman" w:hAnsi="Times New Roman" w:cs="Times New Roman"/>
          <w:sz w:val="24"/>
          <w:szCs w:val="24"/>
        </w:rPr>
        <w:t>1</w:t>
      </w:r>
      <w:r w:rsidRPr="003E2B46">
        <w:rPr>
          <w:rFonts w:ascii="Times New Roman" w:hAnsi="Times New Roman" w:cs="Times New Roman"/>
          <w:sz w:val="24"/>
          <w:szCs w:val="24"/>
        </w:rPr>
        <w:t xml:space="preserve"> de ju</w:t>
      </w:r>
      <w:r w:rsidR="00DD185F">
        <w:rPr>
          <w:rFonts w:ascii="Times New Roman" w:hAnsi="Times New Roman" w:cs="Times New Roman"/>
          <w:sz w:val="24"/>
          <w:szCs w:val="24"/>
        </w:rPr>
        <w:t>l</w:t>
      </w:r>
      <w:r w:rsidRPr="003E2B46">
        <w:rPr>
          <w:rFonts w:ascii="Times New Roman" w:hAnsi="Times New Roman" w:cs="Times New Roman"/>
          <w:sz w:val="24"/>
          <w:szCs w:val="24"/>
        </w:rPr>
        <w:t>io de 201</w:t>
      </w:r>
      <w:r w:rsidR="00DD185F">
        <w:rPr>
          <w:rFonts w:ascii="Times New Roman" w:hAnsi="Times New Roman" w:cs="Times New Roman"/>
          <w:sz w:val="24"/>
          <w:szCs w:val="24"/>
        </w:rPr>
        <w:t>7</w:t>
      </w:r>
      <w:r w:rsidRPr="003E2B46">
        <w:rPr>
          <w:rFonts w:ascii="Times New Roman" w:hAnsi="Times New Roman" w:cs="Times New Roman"/>
          <w:sz w:val="24"/>
          <w:szCs w:val="24"/>
        </w:rPr>
        <w:t xml:space="preserve"> las inversiones en instrumentos emitidos por el Ministerio de Hacienda y el Banco Central de Costa Rica alcanzan el 9</w:t>
      </w:r>
      <w:r w:rsidR="00DD185F">
        <w:rPr>
          <w:rFonts w:ascii="Times New Roman" w:hAnsi="Times New Roman" w:cs="Times New Roman"/>
          <w:sz w:val="24"/>
          <w:szCs w:val="24"/>
        </w:rPr>
        <w:t>1</w:t>
      </w:r>
      <w:r w:rsidRPr="003E2B46">
        <w:rPr>
          <w:rFonts w:ascii="Times New Roman" w:hAnsi="Times New Roman" w:cs="Times New Roman"/>
          <w:sz w:val="24"/>
          <w:szCs w:val="24"/>
        </w:rPr>
        <w:t>.</w:t>
      </w:r>
      <w:r w:rsidR="00DD185F">
        <w:rPr>
          <w:rFonts w:ascii="Times New Roman" w:hAnsi="Times New Roman" w:cs="Times New Roman"/>
          <w:sz w:val="24"/>
          <w:szCs w:val="24"/>
        </w:rPr>
        <w:t>7</w:t>
      </w:r>
      <w:r w:rsidRPr="003E2B46">
        <w:rPr>
          <w:rFonts w:ascii="Times New Roman" w:hAnsi="Times New Roman" w:cs="Times New Roman"/>
          <w:sz w:val="24"/>
          <w:szCs w:val="24"/>
        </w:rPr>
        <w:t>% del portafolio de inversiones.</w:t>
      </w:r>
    </w:p>
    <w:p w14:paraId="0107F158" w14:textId="255C2C62" w:rsidR="005D58B0" w:rsidRPr="003E2B46" w:rsidRDefault="005D58B0" w:rsidP="005D58B0">
      <w:pPr>
        <w:spacing w:after="240"/>
        <w:jc w:val="both"/>
        <w:rPr>
          <w:rFonts w:ascii="Times New Roman" w:hAnsi="Times New Roman" w:cs="Times New Roman"/>
          <w:sz w:val="24"/>
          <w:szCs w:val="24"/>
        </w:rPr>
      </w:pPr>
      <w:r w:rsidRPr="003E2B46">
        <w:rPr>
          <w:rFonts w:ascii="Times New Roman" w:hAnsi="Times New Roman" w:cs="Times New Roman"/>
          <w:sz w:val="24"/>
          <w:szCs w:val="24"/>
        </w:rPr>
        <w:t xml:space="preserve">En reiteradas oportunidades la SUPEN ha informado a las autoridades de la CCSS que no es conveniente la alta concentración que mantiene el régimen en </w:t>
      </w:r>
      <w:r w:rsidR="001D00C9">
        <w:rPr>
          <w:rFonts w:ascii="Times New Roman" w:hAnsi="Times New Roman" w:cs="Times New Roman"/>
          <w:sz w:val="24"/>
          <w:szCs w:val="24"/>
        </w:rPr>
        <w:t>tales instrumentos,</w:t>
      </w:r>
      <w:r w:rsidRPr="003E2B46">
        <w:rPr>
          <w:rFonts w:ascii="Times New Roman" w:hAnsi="Times New Roman" w:cs="Times New Roman"/>
          <w:sz w:val="24"/>
          <w:szCs w:val="24"/>
        </w:rPr>
        <w:t xml:space="preserve"> razón por la cual se comparte una recomendación emitida por </w:t>
      </w:r>
      <w:r w:rsidR="00DA1E35">
        <w:rPr>
          <w:rFonts w:ascii="Times New Roman" w:hAnsi="Times New Roman" w:cs="Times New Roman"/>
          <w:sz w:val="24"/>
          <w:szCs w:val="24"/>
        </w:rPr>
        <w:t>el</w:t>
      </w:r>
      <w:r w:rsidR="00DA1E35" w:rsidRPr="003E2B46">
        <w:rPr>
          <w:rFonts w:ascii="Times New Roman" w:hAnsi="Times New Roman" w:cs="Times New Roman"/>
          <w:sz w:val="24"/>
          <w:szCs w:val="24"/>
        </w:rPr>
        <w:t xml:space="preserve"> </w:t>
      </w:r>
      <w:r w:rsidRPr="003E2B46">
        <w:rPr>
          <w:rFonts w:ascii="Times New Roman" w:hAnsi="Times New Roman" w:cs="Times New Roman"/>
          <w:sz w:val="24"/>
          <w:szCs w:val="24"/>
        </w:rPr>
        <w:t>Comité de Vigilancia a la Junta Directiva de la CCSS (CVRIVM-005-2015 del 12 de marzo de 2015), en el sentido de solicitar a la administración un plan de mitigación del riesgo de concentración y para que se contrate una auditoría de riesgos que tome en consideración una valoración y análisis al sistema de información, que incluya además un análisis de la calidad de los insumos que utiliza el Área de Riesgos de la CCSS, así como de los resultados que se obtienen en los estudios e informes de riesgo.</w:t>
      </w:r>
    </w:p>
    <w:p w14:paraId="28C2643C" w14:textId="18A8278F" w:rsidR="005D58B0" w:rsidRPr="00590375" w:rsidRDefault="005D58B0" w:rsidP="005D58B0">
      <w:pPr>
        <w:spacing w:after="240"/>
        <w:jc w:val="both"/>
        <w:rPr>
          <w:rFonts w:ascii="Times New Roman" w:hAnsi="Times New Roman" w:cs="Times New Roman"/>
          <w:i/>
          <w:iCs/>
          <w:sz w:val="24"/>
          <w:szCs w:val="24"/>
          <w:lang w:eastAsia="es-ES_tradnl"/>
        </w:rPr>
      </w:pPr>
      <w:r w:rsidRPr="00590375">
        <w:rPr>
          <w:rFonts w:ascii="Times New Roman" w:hAnsi="Times New Roman" w:cs="Times New Roman"/>
          <w:sz w:val="24"/>
          <w:szCs w:val="24"/>
        </w:rPr>
        <w:t xml:space="preserve">No obstante, debe resaltarse que, en la Política de Inversiones </w:t>
      </w:r>
      <w:r w:rsidR="001817E4" w:rsidRPr="00590375">
        <w:rPr>
          <w:rFonts w:ascii="Times New Roman" w:hAnsi="Times New Roman" w:cs="Times New Roman"/>
          <w:sz w:val="24"/>
          <w:szCs w:val="24"/>
        </w:rPr>
        <w:t>vigente</w:t>
      </w:r>
      <w:r w:rsidRPr="00590375">
        <w:rPr>
          <w:rFonts w:ascii="Times New Roman" w:hAnsi="Times New Roman" w:cs="Times New Roman"/>
          <w:sz w:val="24"/>
          <w:szCs w:val="24"/>
        </w:rPr>
        <w:t>, se incorpora la posibilidad de invertir en obra pública, en títulos valores producto de titularizaciones o fideicomisos y en inversiones en mercados internacionales.</w:t>
      </w:r>
    </w:p>
    <w:p w14:paraId="3643CA89" w14:textId="77777777" w:rsidR="003F7AEB" w:rsidRPr="00C0629E" w:rsidRDefault="003F7AEB" w:rsidP="003F7AEB">
      <w:pPr>
        <w:spacing w:after="0" w:line="240" w:lineRule="auto"/>
        <w:jc w:val="both"/>
        <w:rPr>
          <w:rFonts w:ascii="Times New Roman" w:hAnsi="Times New Roman" w:cs="Times New Roman"/>
          <w:i/>
          <w:iCs/>
          <w:sz w:val="24"/>
          <w:szCs w:val="24"/>
          <w:lang w:eastAsia="es-ES_tradnl"/>
        </w:rPr>
      </w:pPr>
    </w:p>
    <w:p w14:paraId="75529B22" w14:textId="6AF3B702" w:rsidR="003B50A4" w:rsidRPr="005D58B0" w:rsidRDefault="003B50A4" w:rsidP="00B75F1E">
      <w:pPr>
        <w:pStyle w:val="Ttulo1"/>
        <w:numPr>
          <w:ilvl w:val="1"/>
          <w:numId w:val="1"/>
        </w:numPr>
        <w:spacing w:before="120"/>
        <w:ind w:left="714" w:hanging="357"/>
        <w:rPr>
          <w:i w:val="0"/>
          <w:iCs w:val="0"/>
          <w:lang w:eastAsia="es-ES_tradnl"/>
        </w:rPr>
      </w:pPr>
      <w:bookmarkStart w:id="8" w:name="_Toc496194183"/>
      <w:r w:rsidRPr="005D58B0">
        <w:rPr>
          <w:i w:val="0"/>
          <w:iCs w:val="0"/>
          <w:lang w:eastAsia="es-ES_tradnl"/>
        </w:rPr>
        <w:t>Período de maduración de los instrumentos</w:t>
      </w:r>
      <w:r w:rsidR="008A038D" w:rsidRPr="005D58B0">
        <w:rPr>
          <w:i w:val="0"/>
          <w:iCs w:val="0"/>
          <w:lang w:eastAsia="es-ES_tradnl"/>
        </w:rPr>
        <w:t xml:space="preserve"> financieros</w:t>
      </w:r>
      <w:r w:rsidRPr="005D58B0">
        <w:rPr>
          <w:i w:val="0"/>
          <w:iCs w:val="0"/>
          <w:lang w:eastAsia="es-ES_tradnl"/>
        </w:rPr>
        <w:t xml:space="preserve"> que conforman el portafolio</w:t>
      </w:r>
      <w:r w:rsidR="000C49D3" w:rsidRPr="005D58B0">
        <w:rPr>
          <w:i w:val="0"/>
          <w:iCs w:val="0"/>
          <w:lang w:eastAsia="es-ES_tradnl"/>
        </w:rPr>
        <w:t>, s</w:t>
      </w:r>
      <w:r w:rsidR="00780320" w:rsidRPr="005D58B0">
        <w:rPr>
          <w:i w:val="0"/>
          <w:iCs w:val="0"/>
          <w:lang w:eastAsia="es-ES_tradnl"/>
        </w:rPr>
        <w:t xml:space="preserve">egún Balance de Situación al 31 de diciembre del </w:t>
      </w:r>
      <w:r w:rsidR="000C49D3" w:rsidRPr="005D58B0">
        <w:rPr>
          <w:i w:val="0"/>
          <w:iCs w:val="0"/>
          <w:lang w:eastAsia="es-ES_tradnl"/>
        </w:rPr>
        <w:t>201</w:t>
      </w:r>
      <w:r w:rsidR="00881D86" w:rsidRPr="005D58B0">
        <w:rPr>
          <w:i w:val="0"/>
          <w:iCs w:val="0"/>
          <w:lang w:eastAsia="es-ES_tradnl"/>
        </w:rPr>
        <w:t>5</w:t>
      </w:r>
      <w:bookmarkEnd w:id="8"/>
    </w:p>
    <w:p w14:paraId="7D165E09" w14:textId="77777777" w:rsidR="003B50A4" w:rsidRPr="00640D9E" w:rsidRDefault="003B50A4" w:rsidP="00640D9E">
      <w:pPr>
        <w:pStyle w:val="Prrafodelista"/>
        <w:ind w:left="273"/>
        <w:jc w:val="both"/>
        <w:rPr>
          <w:rFonts w:ascii="Times New Roman" w:hAnsi="Times New Roman" w:cs="Times New Roman"/>
          <w:b/>
          <w:sz w:val="24"/>
          <w:szCs w:val="24"/>
          <w:highlight w:val="lightGray"/>
        </w:rPr>
      </w:pPr>
    </w:p>
    <w:p w14:paraId="1DE4CFE9" w14:textId="755A635E" w:rsidR="001B340E" w:rsidRPr="00234FEE" w:rsidRDefault="001B340E" w:rsidP="001B340E">
      <w:pPr>
        <w:spacing w:after="240"/>
        <w:jc w:val="both"/>
        <w:rPr>
          <w:rFonts w:ascii="Times New Roman" w:hAnsi="Times New Roman" w:cs="Times New Roman"/>
          <w:sz w:val="24"/>
          <w:szCs w:val="24"/>
        </w:rPr>
      </w:pPr>
      <w:r w:rsidRPr="00234FEE">
        <w:rPr>
          <w:rFonts w:ascii="Times New Roman" w:hAnsi="Times New Roman" w:cs="Times New Roman"/>
          <w:sz w:val="24"/>
          <w:szCs w:val="24"/>
        </w:rPr>
        <w:t xml:space="preserve">Las inversiones en instrumentos financieros en el corto plazo corresponden a un importe de ¢46.096,8 millones que representan el 2,5% del total y en el largo plazo (desde 1 año hasta más de 5 años) muestran un monto por ¢1.833.095,7 millones que representan el 97,5% del total, como se puede observar en el gráfico </w:t>
      </w:r>
      <w:r w:rsidR="00FC4E78">
        <w:rPr>
          <w:rFonts w:ascii="Times New Roman" w:hAnsi="Times New Roman" w:cs="Times New Roman"/>
          <w:sz w:val="24"/>
          <w:szCs w:val="24"/>
        </w:rPr>
        <w:t>4</w:t>
      </w:r>
      <w:r w:rsidRPr="00234FEE">
        <w:rPr>
          <w:rFonts w:ascii="Times New Roman" w:hAnsi="Times New Roman" w:cs="Times New Roman"/>
          <w:sz w:val="24"/>
          <w:szCs w:val="24"/>
        </w:rPr>
        <w:t>.</w:t>
      </w:r>
    </w:p>
    <w:p w14:paraId="70848DCE" w14:textId="2C4B3FA7" w:rsidR="00D46DA1" w:rsidRPr="001B340E" w:rsidRDefault="001B340E" w:rsidP="00D46DA1">
      <w:pPr>
        <w:spacing w:after="240"/>
        <w:jc w:val="center"/>
        <w:rPr>
          <w:rFonts w:ascii="Times New Roman" w:hAnsi="Times New Roman" w:cs="Times New Roman"/>
          <w:b/>
          <w:sz w:val="24"/>
          <w:szCs w:val="24"/>
        </w:rPr>
      </w:pPr>
      <w:r>
        <w:rPr>
          <w:rFonts w:ascii="Times New Roman" w:hAnsi="Times New Roman" w:cs="Times New Roman"/>
          <w:b/>
          <w:sz w:val="24"/>
          <w:szCs w:val="24"/>
        </w:rPr>
        <w:t>G</w:t>
      </w:r>
      <w:r w:rsidR="00D46DA1" w:rsidRPr="001B340E">
        <w:rPr>
          <w:rFonts w:ascii="Times New Roman" w:hAnsi="Times New Roman" w:cs="Times New Roman"/>
          <w:b/>
          <w:sz w:val="24"/>
          <w:szCs w:val="24"/>
        </w:rPr>
        <w:t xml:space="preserve">ráfico </w:t>
      </w:r>
      <w:r w:rsidRPr="001B340E">
        <w:rPr>
          <w:rFonts w:ascii="Times New Roman" w:hAnsi="Times New Roman" w:cs="Times New Roman"/>
          <w:b/>
          <w:sz w:val="24"/>
          <w:szCs w:val="24"/>
        </w:rPr>
        <w:t>4</w:t>
      </w:r>
    </w:p>
    <w:p w14:paraId="7C324C4A" w14:textId="5F878F1F" w:rsidR="00881D86" w:rsidRPr="00993B32" w:rsidRDefault="001B340E" w:rsidP="0055459E">
      <w:pPr>
        <w:spacing w:after="240"/>
        <w:jc w:val="center"/>
        <w:rPr>
          <w:rFonts w:ascii="Times New Roman" w:hAnsi="Times New Roman" w:cs="Times New Roman"/>
          <w:sz w:val="24"/>
          <w:szCs w:val="24"/>
          <w:highlight w:val="yellow"/>
        </w:rPr>
      </w:pPr>
      <w:r w:rsidRPr="004605DC">
        <w:rPr>
          <w:rFonts w:ascii="Times New Roman" w:hAnsi="Times New Roman" w:cs="Times New Roman"/>
          <w:noProof/>
          <w:sz w:val="24"/>
          <w:szCs w:val="24"/>
          <w:lang w:val="es-ES" w:eastAsia="es-ES"/>
        </w:rPr>
        <w:drawing>
          <wp:inline distT="0" distB="0" distL="0" distR="0" wp14:anchorId="6E8A703A" wp14:editId="5000445A">
            <wp:extent cx="4578350" cy="26581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8350" cy="2658110"/>
                    </a:xfrm>
                    <a:prstGeom prst="rect">
                      <a:avLst/>
                    </a:prstGeom>
                    <a:noFill/>
                  </pic:spPr>
                </pic:pic>
              </a:graphicData>
            </a:graphic>
          </wp:inline>
        </w:drawing>
      </w:r>
    </w:p>
    <w:p w14:paraId="0BD27CFB" w14:textId="4EE8221E" w:rsidR="00F96609" w:rsidRPr="008F0724" w:rsidRDefault="00881D86" w:rsidP="008F0724">
      <w:pPr>
        <w:pStyle w:val="para"/>
        <w:spacing w:before="0" w:after="0"/>
        <w:ind w:left="708" w:firstLine="708"/>
        <w:jc w:val="center"/>
        <w:rPr>
          <w:rFonts w:eastAsiaTheme="minorHAnsi"/>
          <w:i/>
          <w:sz w:val="20"/>
          <w:szCs w:val="20"/>
          <w:lang w:eastAsia="en-US"/>
        </w:rPr>
      </w:pPr>
      <w:r w:rsidRPr="001B340E">
        <w:rPr>
          <w:rFonts w:eastAsiaTheme="minorEastAsia"/>
          <w:i/>
          <w:sz w:val="20"/>
          <w:szCs w:val="20"/>
          <w:lang w:eastAsia="ja-JP"/>
        </w:rPr>
        <w:t>F</w:t>
      </w:r>
      <w:r w:rsidR="00937C6F" w:rsidRPr="001B340E">
        <w:rPr>
          <w:rFonts w:eastAsiaTheme="minorEastAsia"/>
          <w:i/>
          <w:sz w:val="20"/>
          <w:szCs w:val="20"/>
          <w:lang w:eastAsia="ja-JP"/>
        </w:rPr>
        <w:t>uente:</w:t>
      </w:r>
      <w:r w:rsidR="00F96609" w:rsidRPr="001B340E">
        <w:rPr>
          <w:noProof/>
          <w:sz w:val="20"/>
          <w:szCs w:val="20"/>
          <w:lang w:val="es-ES"/>
        </w:rPr>
        <w:t xml:space="preserve"> </w:t>
      </w:r>
      <w:r w:rsidR="00F96609" w:rsidRPr="001B340E">
        <w:rPr>
          <w:rFonts w:eastAsiaTheme="minorHAnsi"/>
          <w:i/>
          <w:sz w:val="20"/>
          <w:szCs w:val="20"/>
          <w:lang w:eastAsia="en-US"/>
        </w:rPr>
        <w:t>Estados Fi</w:t>
      </w:r>
      <w:r w:rsidR="00E37A73" w:rsidRPr="001B340E">
        <w:rPr>
          <w:rFonts w:eastAsiaTheme="minorHAnsi"/>
          <w:i/>
          <w:sz w:val="20"/>
          <w:szCs w:val="20"/>
          <w:lang w:eastAsia="en-US"/>
        </w:rPr>
        <w:t>nancieros remitidos por la CCSS</w:t>
      </w:r>
    </w:p>
    <w:p w14:paraId="66AA5724" w14:textId="77777777" w:rsidR="00780320" w:rsidRPr="008F0724" w:rsidRDefault="00780320" w:rsidP="008F0724">
      <w:pPr>
        <w:pStyle w:val="para"/>
        <w:spacing w:before="0" w:after="0"/>
        <w:ind w:left="708" w:firstLine="708"/>
        <w:jc w:val="center"/>
        <w:rPr>
          <w:rFonts w:eastAsiaTheme="minorHAnsi"/>
          <w:i/>
          <w:sz w:val="20"/>
          <w:szCs w:val="20"/>
          <w:lang w:eastAsia="en-US"/>
        </w:rPr>
      </w:pPr>
    </w:p>
    <w:p w14:paraId="695ED9C7" w14:textId="1A2BAB58" w:rsidR="00A20CCA" w:rsidRDefault="00A20CCA" w:rsidP="00937C6F">
      <w:pPr>
        <w:spacing w:after="0"/>
        <w:rPr>
          <w:rFonts w:ascii="Times New Roman" w:hAnsi="Times New Roman" w:cs="Times New Roman"/>
          <w:noProof/>
          <w:sz w:val="24"/>
          <w:szCs w:val="24"/>
          <w:lang w:val="es-ES" w:eastAsia="es-ES"/>
        </w:rPr>
      </w:pPr>
    </w:p>
    <w:p w14:paraId="215C8A30" w14:textId="77777777" w:rsidR="007F165F" w:rsidRDefault="007F165F" w:rsidP="00937C6F">
      <w:pPr>
        <w:spacing w:after="0"/>
        <w:rPr>
          <w:rFonts w:ascii="Times New Roman" w:hAnsi="Times New Roman" w:cs="Times New Roman"/>
          <w:noProof/>
          <w:sz w:val="24"/>
          <w:szCs w:val="24"/>
          <w:lang w:val="es-ES" w:eastAsia="es-ES"/>
        </w:rPr>
      </w:pPr>
    </w:p>
    <w:p w14:paraId="10C86569" w14:textId="77777777" w:rsidR="007F165F" w:rsidRDefault="007F165F" w:rsidP="00937C6F">
      <w:pPr>
        <w:spacing w:after="0"/>
        <w:rPr>
          <w:rFonts w:ascii="Times New Roman" w:hAnsi="Times New Roman" w:cs="Times New Roman"/>
          <w:noProof/>
          <w:sz w:val="24"/>
          <w:szCs w:val="24"/>
          <w:lang w:val="es-ES" w:eastAsia="es-ES"/>
        </w:rPr>
      </w:pPr>
    </w:p>
    <w:p w14:paraId="01ACF715" w14:textId="1A611F99" w:rsidR="00120A0D" w:rsidRPr="00125F2A" w:rsidRDefault="00FF71C2" w:rsidP="00362391">
      <w:pPr>
        <w:pStyle w:val="Ttulo1"/>
        <w:numPr>
          <w:ilvl w:val="1"/>
          <w:numId w:val="1"/>
        </w:numPr>
        <w:spacing w:before="120"/>
        <w:ind w:left="714" w:hanging="357"/>
        <w:rPr>
          <w:i w:val="0"/>
          <w:iCs w:val="0"/>
          <w:lang w:eastAsia="es-ES_tradnl"/>
        </w:rPr>
      </w:pPr>
      <w:bookmarkStart w:id="9" w:name="_Toc496194184"/>
      <w:r w:rsidRPr="00125F2A">
        <w:rPr>
          <w:i w:val="0"/>
          <w:iCs w:val="0"/>
          <w:lang w:eastAsia="es-ES_tradnl"/>
        </w:rPr>
        <w:t xml:space="preserve">Eventos observados </w:t>
      </w:r>
      <w:r w:rsidR="00CB7AAF">
        <w:rPr>
          <w:i w:val="0"/>
          <w:iCs w:val="0"/>
          <w:lang w:eastAsia="es-ES_tradnl"/>
        </w:rPr>
        <w:t xml:space="preserve">en estudios </w:t>
      </w:r>
      <w:r w:rsidR="003413E1">
        <w:rPr>
          <w:i w:val="0"/>
          <w:iCs w:val="0"/>
          <w:lang w:eastAsia="es-ES_tradnl"/>
        </w:rPr>
        <w:t>efectuados</w:t>
      </w:r>
      <w:r w:rsidR="00CB7AAF">
        <w:rPr>
          <w:i w:val="0"/>
          <w:iCs w:val="0"/>
          <w:lang w:eastAsia="es-ES_tradnl"/>
        </w:rPr>
        <w:t xml:space="preserve"> en relación con e</w:t>
      </w:r>
      <w:r w:rsidRPr="00125F2A">
        <w:rPr>
          <w:i w:val="0"/>
          <w:iCs w:val="0"/>
          <w:lang w:eastAsia="es-ES_tradnl"/>
        </w:rPr>
        <w:t>l manejo de las inversiones</w:t>
      </w:r>
      <w:bookmarkEnd w:id="9"/>
    </w:p>
    <w:p w14:paraId="638F97C6" w14:textId="77777777" w:rsidR="00404B69" w:rsidRPr="00640D9E" w:rsidRDefault="00404B69" w:rsidP="00640D9E">
      <w:pPr>
        <w:pStyle w:val="Prrafodelista"/>
        <w:ind w:left="273"/>
        <w:jc w:val="both"/>
        <w:rPr>
          <w:rFonts w:ascii="Times New Roman" w:hAnsi="Times New Roman" w:cs="Times New Roman"/>
          <w:b/>
          <w:sz w:val="24"/>
          <w:szCs w:val="24"/>
          <w:highlight w:val="lightGray"/>
        </w:rPr>
      </w:pPr>
    </w:p>
    <w:p w14:paraId="71C8E156" w14:textId="08CCEAC0" w:rsidR="00B111B4" w:rsidRPr="00590375" w:rsidRDefault="0011581F" w:rsidP="00B111B4">
      <w:pPr>
        <w:spacing w:after="240"/>
        <w:jc w:val="both"/>
        <w:rPr>
          <w:rFonts w:ascii="Times New Roman" w:hAnsi="Times New Roman" w:cs="Times New Roman"/>
          <w:sz w:val="24"/>
          <w:szCs w:val="24"/>
        </w:rPr>
      </w:pPr>
      <w:r w:rsidRPr="00590375">
        <w:rPr>
          <w:rFonts w:ascii="Times New Roman" w:hAnsi="Times New Roman" w:cs="Times New Roman"/>
          <w:sz w:val="24"/>
          <w:szCs w:val="24"/>
        </w:rPr>
        <w:t xml:space="preserve">En </w:t>
      </w:r>
      <w:r w:rsidR="00036D34" w:rsidRPr="00590375">
        <w:rPr>
          <w:rFonts w:ascii="Times New Roman" w:hAnsi="Times New Roman" w:cs="Times New Roman"/>
          <w:sz w:val="24"/>
          <w:szCs w:val="24"/>
        </w:rPr>
        <w:t>los</w:t>
      </w:r>
      <w:r w:rsidR="00571846" w:rsidRPr="00590375">
        <w:rPr>
          <w:rFonts w:ascii="Times New Roman" w:hAnsi="Times New Roman" w:cs="Times New Roman"/>
          <w:sz w:val="24"/>
          <w:szCs w:val="24"/>
        </w:rPr>
        <w:t xml:space="preserve"> oficio</w:t>
      </w:r>
      <w:r w:rsidR="00036D34" w:rsidRPr="00590375">
        <w:rPr>
          <w:rFonts w:ascii="Times New Roman" w:hAnsi="Times New Roman" w:cs="Times New Roman"/>
          <w:sz w:val="24"/>
          <w:szCs w:val="24"/>
        </w:rPr>
        <w:t>s</w:t>
      </w:r>
      <w:r w:rsidR="00571846" w:rsidRPr="00590375">
        <w:rPr>
          <w:rFonts w:ascii="Times New Roman" w:hAnsi="Times New Roman" w:cs="Times New Roman"/>
          <w:sz w:val="24"/>
          <w:szCs w:val="24"/>
        </w:rPr>
        <w:t xml:space="preserve"> SP-334-2015 del 13 de marzo de 2015</w:t>
      </w:r>
      <w:r w:rsidR="00590375" w:rsidRPr="00590375">
        <w:rPr>
          <w:rFonts w:ascii="Times New Roman" w:hAnsi="Times New Roman" w:cs="Times New Roman"/>
          <w:sz w:val="24"/>
          <w:szCs w:val="24"/>
        </w:rPr>
        <w:t xml:space="preserve">, </w:t>
      </w:r>
      <w:r w:rsidRPr="00590375">
        <w:rPr>
          <w:rFonts w:ascii="Times New Roman" w:hAnsi="Times New Roman" w:cs="Times New Roman"/>
          <w:sz w:val="24"/>
          <w:szCs w:val="24"/>
        </w:rPr>
        <w:t>SP-1220-2</w:t>
      </w:r>
      <w:r w:rsidR="00590375" w:rsidRPr="00590375">
        <w:rPr>
          <w:rFonts w:ascii="Times New Roman" w:hAnsi="Times New Roman" w:cs="Times New Roman"/>
          <w:sz w:val="24"/>
          <w:szCs w:val="24"/>
        </w:rPr>
        <w:t>015 del 2 de noviembre de 2015, SP-176-2016 del 11 de febrero de 2016, SP-136-2017 del 2 de febrero de 2017</w:t>
      </w:r>
      <w:r w:rsidR="00590375" w:rsidRPr="00590375">
        <w:t xml:space="preserve"> y </w:t>
      </w:r>
      <w:r w:rsidR="00590375" w:rsidRPr="00590375">
        <w:rPr>
          <w:rFonts w:ascii="Times New Roman" w:hAnsi="Times New Roman" w:cs="Times New Roman"/>
          <w:sz w:val="24"/>
          <w:szCs w:val="24"/>
        </w:rPr>
        <w:t xml:space="preserve">SP-548-2017 del 16 de junio de 2017 </w:t>
      </w:r>
      <w:r w:rsidRPr="00590375">
        <w:rPr>
          <w:rFonts w:ascii="Times New Roman" w:hAnsi="Times New Roman" w:cs="Times New Roman"/>
          <w:sz w:val="24"/>
          <w:szCs w:val="24"/>
        </w:rPr>
        <w:t xml:space="preserve">se </w:t>
      </w:r>
      <w:r w:rsidR="00B6497C" w:rsidRPr="00590375">
        <w:rPr>
          <w:rFonts w:ascii="Times New Roman" w:hAnsi="Times New Roman" w:cs="Times New Roman"/>
          <w:sz w:val="24"/>
          <w:szCs w:val="24"/>
        </w:rPr>
        <w:t>insiste</w:t>
      </w:r>
      <w:r w:rsidRPr="00590375">
        <w:rPr>
          <w:rFonts w:ascii="Times New Roman" w:hAnsi="Times New Roman" w:cs="Times New Roman"/>
          <w:sz w:val="24"/>
          <w:szCs w:val="24"/>
        </w:rPr>
        <w:t>, entre otros aspectos</w:t>
      </w:r>
      <w:r w:rsidR="00F90B18" w:rsidRPr="00590375">
        <w:rPr>
          <w:rFonts w:ascii="Times New Roman" w:hAnsi="Times New Roman" w:cs="Times New Roman"/>
          <w:sz w:val="24"/>
          <w:szCs w:val="24"/>
        </w:rPr>
        <w:t xml:space="preserve">, </w:t>
      </w:r>
      <w:r w:rsidR="00A3130B" w:rsidRPr="00590375">
        <w:rPr>
          <w:rFonts w:ascii="Times New Roman" w:hAnsi="Times New Roman" w:cs="Times New Roman"/>
          <w:sz w:val="24"/>
          <w:szCs w:val="24"/>
        </w:rPr>
        <w:t>que la Geren</w:t>
      </w:r>
      <w:r w:rsidR="00A463BF" w:rsidRPr="00590375">
        <w:rPr>
          <w:rFonts w:ascii="Times New Roman" w:hAnsi="Times New Roman" w:cs="Times New Roman"/>
          <w:sz w:val="24"/>
          <w:szCs w:val="24"/>
        </w:rPr>
        <w:t>cia de Pensiones informe en qué</w:t>
      </w:r>
      <w:r w:rsidR="00A3130B" w:rsidRPr="00590375">
        <w:rPr>
          <w:rFonts w:ascii="Times New Roman" w:hAnsi="Times New Roman" w:cs="Times New Roman"/>
          <w:sz w:val="24"/>
          <w:szCs w:val="24"/>
        </w:rPr>
        <w:t xml:space="preserve"> proceso de resolución se </w:t>
      </w:r>
      <w:r w:rsidR="009648D0" w:rsidRPr="00590375">
        <w:rPr>
          <w:rFonts w:ascii="Times New Roman" w:hAnsi="Times New Roman" w:cs="Times New Roman"/>
          <w:sz w:val="24"/>
          <w:szCs w:val="24"/>
        </w:rPr>
        <w:t>encuentra la</w:t>
      </w:r>
      <w:r w:rsidR="00A3130B" w:rsidRPr="00590375">
        <w:rPr>
          <w:rFonts w:ascii="Times New Roman" w:hAnsi="Times New Roman" w:cs="Times New Roman"/>
          <w:sz w:val="24"/>
          <w:szCs w:val="24"/>
        </w:rPr>
        <w:t xml:space="preserve"> </w:t>
      </w:r>
      <w:r w:rsidR="00CB376F" w:rsidRPr="00590375">
        <w:rPr>
          <w:rFonts w:ascii="Times New Roman" w:hAnsi="Times New Roman" w:cs="Times New Roman"/>
          <w:sz w:val="24"/>
          <w:szCs w:val="24"/>
        </w:rPr>
        <w:t xml:space="preserve">investigación que </w:t>
      </w:r>
      <w:r w:rsidR="00A3130B" w:rsidRPr="00590375">
        <w:rPr>
          <w:rFonts w:ascii="Times New Roman" w:hAnsi="Times New Roman" w:cs="Times New Roman"/>
          <w:sz w:val="24"/>
          <w:szCs w:val="24"/>
        </w:rPr>
        <w:t>se estaba</w:t>
      </w:r>
      <w:r w:rsidR="00CB376F" w:rsidRPr="00590375">
        <w:rPr>
          <w:rFonts w:ascii="Times New Roman" w:hAnsi="Times New Roman" w:cs="Times New Roman"/>
          <w:sz w:val="24"/>
          <w:szCs w:val="24"/>
        </w:rPr>
        <w:t xml:space="preserve"> llevando a cabo para determinar la eventual responsabilidad administrativa, por no suministrar las actas del Comité de Inversiones de las sesiones 120 a la 129-2010 y de la 130 a la 138-2011</w:t>
      </w:r>
      <w:r w:rsidR="004B7563" w:rsidRPr="00590375">
        <w:rPr>
          <w:rFonts w:ascii="Times New Roman" w:hAnsi="Times New Roman" w:cs="Times New Roman"/>
          <w:sz w:val="24"/>
          <w:szCs w:val="24"/>
        </w:rPr>
        <w:t xml:space="preserve"> a la SUPEN</w:t>
      </w:r>
      <w:r w:rsidR="00CB376F" w:rsidRPr="00590375">
        <w:rPr>
          <w:rFonts w:ascii="Times New Roman" w:hAnsi="Times New Roman" w:cs="Times New Roman"/>
          <w:sz w:val="24"/>
          <w:szCs w:val="24"/>
        </w:rPr>
        <w:t>.</w:t>
      </w:r>
      <w:r w:rsidR="00B111B4" w:rsidRPr="00590375">
        <w:t xml:space="preserve"> </w:t>
      </w:r>
    </w:p>
    <w:p w14:paraId="1DC3C56E" w14:textId="1A0212CD" w:rsidR="007A3ACA" w:rsidRPr="00590375" w:rsidRDefault="006C64A8" w:rsidP="007A3ACA">
      <w:pPr>
        <w:spacing w:after="240"/>
        <w:jc w:val="both"/>
        <w:rPr>
          <w:rFonts w:ascii="Times New Roman" w:hAnsi="Times New Roman" w:cs="Times New Roman"/>
          <w:sz w:val="24"/>
          <w:szCs w:val="24"/>
        </w:rPr>
      </w:pPr>
      <w:r w:rsidRPr="00590375">
        <w:rPr>
          <w:rFonts w:ascii="Times New Roman" w:hAnsi="Times New Roman" w:cs="Times New Roman"/>
          <w:sz w:val="24"/>
          <w:szCs w:val="24"/>
        </w:rPr>
        <w:t>Finalmente, mediante</w:t>
      </w:r>
      <w:r w:rsidR="00E0640A" w:rsidRPr="00590375">
        <w:rPr>
          <w:rFonts w:ascii="Times New Roman" w:hAnsi="Times New Roman" w:cs="Times New Roman"/>
          <w:sz w:val="24"/>
          <w:szCs w:val="24"/>
        </w:rPr>
        <w:t xml:space="preserve"> GP-50331-2017 del 21 de junio de 2017</w:t>
      </w:r>
      <w:r w:rsidR="00910D7B" w:rsidRPr="00590375">
        <w:rPr>
          <w:rFonts w:ascii="Times New Roman" w:hAnsi="Times New Roman" w:cs="Times New Roman"/>
          <w:sz w:val="24"/>
          <w:szCs w:val="24"/>
        </w:rPr>
        <w:t xml:space="preserve"> la Gerencia de Pensiones informa que</w:t>
      </w:r>
      <w:r w:rsidR="00BE02FC" w:rsidRPr="00590375">
        <w:rPr>
          <w:rFonts w:ascii="Times New Roman" w:hAnsi="Times New Roman" w:cs="Times New Roman"/>
          <w:sz w:val="24"/>
          <w:szCs w:val="24"/>
        </w:rPr>
        <w:t>,</w:t>
      </w:r>
      <w:r w:rsidR="00910D7B" w:rsidRPr="00590375">
        <w:rPr>
          <w:rFonts w:ascii="Times New Roman" w:hAnsi="Times New Roman" w:cs="Times New Roman"/>
          <w:sz w:val="24"/>
          <w:szCs w:val="24"/>
        </w:rPr>
        <w:t xml:space="preserve"> </w:t>
      </w:r>
      <w:r w:rsidR="00390EA4" w:rsidRPr="00590375">
        <w:rPr>
          <w:rFonts w:ascii="Times New Roman" w:hAnsi="Times New Roman" w:cs="Times New Roman"/>
          <w:sz w:val="24"/>
          <w:szCs w:val="24"/>
        </w:rPr>
        <w:t>sobre</w:t>
      </w:r>
      <w:r w:rsidR="00910D7B" w:rsidRPr="00590375">
        <w:rPr>
          <w:rFonts w:ascii="Times New Roman" w:hAnsi="Times New Roman" w:cs="Times New Roman"/>
          <w:sz w:val="24"/>
          <w:szCs w:val="24"/>
        </w:rPr>
        <w:t xml:space="preserve"> </w:t>
      </w:r>
      <w:r w:rsidR="00390EA4" w:rsidRPr="00590375">
        <w:rPr>
          <w:rFonts w:ascii="Times New Roman" w:hAnsi="Times New Roman" w:cs="Times New Roman"/>
          <w:sz w:val="24"/>
          <w:szCs w:val="24"/>
        </w:rPr>
        <w:t>este asunto, esa entidad no podrá referirse hasta en la última etapa, que concluye con la notificación de la resolución final de la investigación a las partes</w:t>
      </w:r>
      <w:r w:rsidR="00FC4E78" w:rsidRPr="00590375">
        <w:rPr>
          <w:rFonts w:ascii="Times New Roman" w:hAnsi="Times New Roman" w:cs="Times New Roman"/>
          <w:sz w:val="24"/>
          <w:szCs w:val="24"/>
        </w:rPr>
        <w:t>;</w:t>
      </w:r>
      <w:r w:rsidR="007A3ACA" w:rsidRPr="00590375">
        <w:rPr>
          <w:rFonts w:ascii="Times New Roman" w:hAnsi="Times New Roman" w:cs="Times New Roman"/>
          <w:sz w:val="24"/>
          <w:szCs w:val="24"/>
        </w:rPr>
        <w:t xml:space="preserve"> lo que llama la atención es la </w:t>
      </w:r>
      <w:r w:rsidR="00DA1E35" w:rsidRPr="00590375">
        <w:rPr>
          <w:rFonts w:ascii="Times New Roman" w:hAnsi="Times New Roman" w:cs="Times New Roman"/>
          <w:sz w:val="24"/>
          <w:szCs w:val="24"/>
        </w:rPr>
        <w:t xml:space="preserve">lentitud, porque </w:t>
      </w:r>
      <w:r w:rsidR="007A3ACA" w:rsidRPr="00590375">
        <w:rPr>
          <w:rFonts w:ascii="Times New Roman" w:hAnsi="Times New Roman" w:cs="Times New Roman"/>
          <w:sz w:val="24"/>
          <w:szCs w:val="24"/>
        </w:rPr>
        <w:t>el asunto lleva años sin resolverse.</w:t>
      </w:r>
    </w:p>
    <w:p w14:paraId="2F359E23" w14:textId="1B847E4F" w:rsidR="009433C2" w:rsidRDefault="005A1AAB" w:rsidP="008503B0">
      <w:pPr>
        <w:spacing w:after="240"/>
        <w:jc w:val="both"/>
        <w:rPr>
          <w:rFonts w:ascii="Times New Roman" w:hAnsi="Times New Roman" w:cs="Times New Roman"/>
          <w:sz w:val="24"/>
          <w:szCs w:val="24"/>
        </w:rPr>
      </w:pPr>
      <w:r>
        <w:rPr>
          <w:rFonts w:ascii="Times New Roman" w:hAnsi="Times New Roman" w:cs="Times New Roman"/>
          <w:sz w:val="24"/>
          <w:szCs w:val="24"/>
        </w:rPr>
        <w:t>Cabe</w:t>
      </w:r>
      <w:r w:rsidR="00E71880" w:rsidRPr="00044BBC">
        <w:rPr>
          <w:rFonts w:ascii="Times New Roman" w:hAnsi="Times New Roman" w:cs="Times New Roman"/>
          <w:sz w:val="24"/>
          <w:szCs w:val="24"/>
        </w:rPr>
        <w:t xml:space="preserve"> destacar </w:t>
      </w:r>
      <w:r w:rsidR="00073B9B" w:rsidRPr="00044BBC">
        <w:rPr>
          <w:rFonts w:ascii="Times New Roman" w:hAnsi="Times New Roman" w:cs="Times New Roman"/>
          <w:sz w:val="24"/>
          <w:szCs w:val="24"/>
        </w:rPr>
        <w:t>que,</w:t>
      </w:r>
      <w:r w:rsidR="008503B0" w:rsidRPr="00044BBC">
        <w:rPr>
          <w:rFonts w:ascii="Times New Roman" w:hAnsi="Times New Roman" w:cs="Times New Roman"/>
          <w:sz w:val="24"/>
          <w:szCs w:val="24"/>
        </w:rPr>
        <w:t xml:space="preserve"> en </w:t>
      </w:r>
      <w:r w:rsidR="00044BBC" w:rsidRPr="00044BBC">
        <w:rPr>
          <w:rFonts w:ascii="Times New Roman" w:hAnsi="Times New Roman" w:cs="Times New Roman"/>
          <w:sz w:val="24"/>
          <w:szCs w:val="24"/>
        </w:rPr>
        <w:t xml:space="preserve">agosto de 2016 </w:t>
      </w:r>
      <w:r w:rsidR="00D305D1" w:rsidRPr="00044BBC">
        <w:rPr>
          <w:rFonts w:ascii="Times New Roman" w:hAnsi="Times New Roman" w:cs="Times New Roman"/>
          <w:sz w:val="24"/>
          <w:szCs w:val="24"/>
        </w:rPr>
        <w:t xml:space="preserve">se concluyó </w:t>
      </w:r>
      <w:r>
        <w:rPr>
          <w:rFonts w:ascii="Times New Roman" w:hAnsi="Times New Roman" w:cs="Times New Roman"/>
          <w:sz w:val="24"/>
          <w:szCs w:val="24"/>
        </w:rPr>
        <w:t>un estudio</w:t>
      </w:r>
      <w:r w:rsidR="008503B0" w:rsidRPr="00044BBC">
        <w:rPr>
          <w:rFonts w:ascii="Times New Roman" w:hAnsi="Times New Roman" w:cs="Times New Roman"/>
          <w:sz w:val="24"/>
          <w:szCs w:val="24"/>
        </w:rPr>
        <w:t xml:space="preserve"> con el </w:t>
      </w:r>
      <w:r>
        <w:rPr>
          <w:rFonts w:ascii="Times New Roman" w:hAnsi="Times New Roman" w:cs="Times New Roman"/>
          <w:sz w:val="24"/>
          <w:szCs w:val="24"/>
        </w:rPr>
        <w:t>objetivo</w:t>
      </w:r>
      <w:r w:rsidR="008503B0" w:rsidRPr="00044BBC">
        <w:rPr>
          <w:rFonts w:ascii="Times New Roman" w:hAnsi="Times New Roman" w:cs="Times New Roman"/>
          <w:sz w:val="24"/>
          <w:szCs w:val="24"/>
        </w:rPr>
        <w:t xml:space="preserve"> de hacer un análisis de la gestión de riesgos del </w:t>
      </w:r>
      <w:r w:rsidR="00047324" w:rsidRPr="00044BBC">
        <w:rPr>
          <w:rFonts w:ascii="Times New Roman" w:hAnsi="Times New Roman" w:cs="Times New Roman"/>
          <w:sz w:val="24"/>
          <w:szCs w:val="24"/>
        </w:rPr>
        <w:t>RIVM</w:t>
      </w:r>
      <w:r w:rsidR="003E31AB" w:rsidRPr="00044BBC">
        <w:rPr>
          <w:rFonts w:ascii="Times New Roman" w:hAnsi="Times New Roman" w:cs="Times New Roman"/>
          <w:sz w:val="24"/>
          <w:szCs w:val="24"/>
        </w:rPr>
        <w:t xml:space="preserve">.  </w:t>
      </w:r>
    </w:p>
    <w:p w14:paraId="05C17871" w14:textId="44EE6980" w:rsidR="008503B0" w:rsidRDefault="003E31AB" w:rsidP="008503B0">
      <w:pPr>
        <w:spacing w:after="240"/>
        <w:jc w:val="both"/>
        <w:rPr>
          <w:rFonts w:ascii="Times New Roman" w:hAnsi="Times New Roman" w:cs="Times New Roman"/>
          <w:sz w:val="24"/>
          <w:szCs w:val="24"/>
        </w:rPr>
      </w:pPr>
      <w:r w:rsidRPr="00044BBC">
        <w:rPr>
          <w:rFonts w:ascii="Times New Roman" w:hAnsi="Times New Roman" w:cs="Times New Roman"/>
          <w:sz w:val="24"/>
          <w:szCs w:val="24"/>
        </w:rPr>
        <w:t xml:space="preserve">Algunos aspectos </w:t>
      </w:r>
      <w:r w:rsidR="009433C2">
        <w:rPr>
          <w:rFonts w:ascii="Times New Roman" w:hAnsi="Times New Roman" w:cs="Times New Roman"/>
          <w:sz w:val="24"/>
          <w:szCs w:val="24"/>
        </w:rPr>
        <w:t>analizados</w:t>
      </w:r>
      <w:r w:rsidRPr="00044BBC">
        <w:rPr>
          <w:rFonts w:ascii="Times New Roman" w:hAnsi="Times New Roman" w:cs="Times New Roman"/>
          <w:sz w:val="24"/>
          <w:szCs w:val="24"/>
        </w:rPr>
        <w:t xml:space="preserve">, relacionados con el manejo de las inversiones, se reseñan en </w:t>
      </w:r>
      <w:r w:rsidRPr="003E31AB">
        <w:rPr>
          <w:rFonts w:ascii="Times New Roman" w:hAnsi="Times New Roman" w:cs="Times New Roman"/>
          <w:sz w:val="24"/>
          <w:szCs w:val="24"/>
        </w:rPr>
        <w:t xml:space="preserve">el </w:t>
      </w:r>
      <w:r w:rsidR="009433C2">
        <w:rPr>
          <w:rFonts w:ascii="Times New Roman" w:hAnsi="Times New Roman" w:cs="Times New Roman"/>
          <w:sz w:val="24"/>
          <w:szCs w:val="24"/>
        </w:rPr>
        <w:t>apartado V de este informe, en el punto</w:t>
      </w:r>
      <w:r w:rsidRPr="003E31AB">
        <w:rPr>
          <w:rFonts w:ascii="Times New Roman" w:hAnsi="Times New Roman" w:cs="Times New Roman"/>
          <w:sz w:val="24"/>
          <w:szCs w:val="24"/>
        </w:rPr>
        <w:t xml:space="preserve"> “c. Gestión de riesgos”.</w:t>
      </w:r>
    </w:p>
    <w:p w14:paraId="2185986A" w14:textId="77777777" w:rsidR="00937904" w:rsidRPr="003E31AB" w:rsidRDefault="00937904" w:rsidP="008503B0">
      <w:pPr>
        <w:spacing w:after="240"/>
        <w:jc w:val="both"/>
        <w:rPr>
          <w:rFonts w:ascii="Times New Roman" w:hAnsi="Times New Roman" w:cs="Times New Roman"/>
          <w:sz w:val="24"/>
          <w:szCs w:val="24"/>
        </w:rPr>
      </w:pPr>
    </w:p>
    <w:p w14:paraId="671207EA" w14:textId="77777777" w:rsidR="009C7630" w:rsidRPr="00125F2A" w:rsidRDefault="009C7630" w:rsidP="0056098F">
      <w:pPr>
        <w:pStyle w:val="Ttulo1"/>
        <w:numPr>
          <w:ilvl w:val="0"/>
          <w:numId w:val="1"/>
        </w:numPr>
        <w:tabs>
          <w:tab w:val="num" w:pos="540"/>
        </w:tabs>
        <w:spacing w:before="120"/>
        <w:ind w:left="539" w:hanging="539"/>
        <w:rPr>
          <w:iCs w:val="0"/>
          <w:lang w:eastAsia="es-ES_tradnl"/>
        </w:rPr>
      </w:pPr>
      <w:bookmarkStart w:id="10" w:name="_Toc496194185"/>
      <w:r w:rsidRPr="00125F2A">
        <w:rPr>
          <w:iCs w:val="0"/>
          <w:lang w:eastAsia="es-ES_tradnl"/>
        </w:rPr>
        <w:t>CUENTAS POR COBRAR, MOROSIDAD Y AFILIACIÓN (Gerencia Financiera)</w:t>
      </w:r>
      <w:bookmarkEnd w:id="10"/>
    </w:p>
    <w:p w14:paraId="39C68B0D" w14:textId="77777777" w:rsidR="008C625D" w:rsidRPr="00125F2A" w:rsidRDefault="008C625D" w:rsidP="009C7630">
      <w:pPr>
        <w:pStyle w:val="Prrafodelista"/>
        <w:ind w:left="273"/>
        <w:jc w:val="both"/>
        <w:rPr>
          <w:rFonts w:ascii="Times New Roman" w:hAnsi="Times New Roman" w:cs="Times New Roman"/>
          <w:b/>
          <w:sz w:val="24"/>
          <w:szCs w:val="24"/>
          <w:highlight w:val="lightGray"/>
        </w:rPr>
      </w:pPr>
    </w:p>
    <w:p w14:paraId="368558EC" w14:textId="70A7BAD1" w:rsidR="009A64AD" w:rsidRPr="009A64AD" w:rsidRDefault="00FE132D" w:rsidP="009A64AD">
      <w:pPr>
        <w:spacing w:after="0"/>
        <w:jc w:val="both"/>
        <w:rPr>
          <w:rFonts w:ascii="Times New Roman" w:hAnsi="Times New Roman" w:cs="Times New Roman"/>
          <w:sz w:val="24"/>
          <w:szCs w:val="24"/>
        </w:rPr>
      </w:pPr>
      <w:r w:rsidRPr="00044BBC">
        <w:rPr>
          <w:rFonts w:ascii="Times New Roman" w:hAnsi="Times New Roman" w:cs="Times New Roman"/>
          <w:sz w:val="24"/>
          <w:szCs w:val="24"/>
        </w:rPr>
        <w:t>En</w:t>
      </w:r>
      <w:r w:rsidR="00C131C1" w:rsidRPr="00044BBC">
        <w:rPr>
          <w:rFonts w:ascii="Times New Roman" w:hAnsi="Times New Roman" w:cs="Times New Roman"/>
          <w:sz w:val="24"/>
          <w:szCs w:val="24"/>
        </w:rPr>
        <w:t xml:space="preserve"> el </w:t>
      </w:r>
      <w:r w:rsidR="00755049">
        <w:rPr>
          <w:rFonts w:ascii="Times New Roman" w:hAnsi="Times New Roman" w:cs="Times New Roman"/>
          <w:sz w:val="24"/>
          <w:szCs w:val="24"/>
        </w:rPr>
        <w:t xml:space="preserve">precitado </w:t>
      </w:r>
      <w:r w:rsidR="00044BBC" w:rsidRPr="00044BBC">
        <w:rPr>
          <w:rFonts w:ascii="Times New Roman" w:hAnsi="Times New Roman" w:cs="Times New Roman"/>
          <w:sz w:val="24"/>
          <w:szCs w:val="24"/>
          <w:lang w:eastAsia="es-ES_tradnl"/>
        </w:rPr>
        <w:t>oficio</w:t>
      </w:r>
      <w:r w:rsidR="00E54360" w:rsidRPr="00044BBC">
        <w:rPr>
          <w:rFonts w:ascii="Times New Roman" w:hAnsi="Times New Roman" w:cs="Times New Roman"/>
          <w:sz w:val="24"/>
          <w:szCs w:val="24"/>
          <w:lang w:eastAsia="es-ES_tradnl"/>
        </w:rPr>
        <w:t xml:space="preserve"> SP-334-2015 </w:t>
      </w:r>
      <w:r w:rsidR="00C131C1" w:rsidRPr="00044BBC">
        <w:rPr>
          <w:rFonts w:ascii="Times New Roman" w:hAnsi="Times New Roman" w:cs="Times New Roman"/>
          <w:sz w:val="24"/>
          <w:szCs w:val="24"/>
        </w:rPr>
        <w:t>se reiteran varios</w:t>
      </w:r>
      <w:r w:rsidR="00D54C73" w:rsidRPr="00044BBC">
        <w:rPr>
          <w:rFonts w:ascii="Times New Roman" w:hAnsi="Times New Roman" w:cs="Times New Roman"/>
          <w:sz w:val="24"/>
          <w:szCs w:val="24"/>
        </w:rPr>
        <w:t xml:space="preserve"> requerimientos</w:t>
      </w:r>
      <w:r w:rsidR="00111ADB" w:rsidRPr="00044BBC">
        <w:rPr>
          <w:rFonts w:ascii="Times New Roman" w:hAnsi="Times New Roman" w:cs="Times New Roman"/>
          <w:sz w:val="24"/>
          <w:szCs w:val="24"/>
        </w:rPr>
        <w:t xml:space="preserve"> y se le </w:t>
      </w:r>
      <w:r w:rsidR="009559EE" w:rsidRPr="00044BBC">
        <w:rPr>
          <w:rFonts w:ascii="Times New Roman" w:hAnsi="Times New Roman" w:cs="Times New Roman"/>
          <w:sz w:val="24"/>
          <w:szCs w:val="24"/>
        </w:rPr>
        <w:t>aclara</w:t>
      </w:r>
      <w:r w:rsidR="00111ADB" w:rsidRPr="00044BBC">
        <w:rPr>
          <w:rFonts w:ascii="Times New Roman" w:hAnsi="Times New Roman" w:cs="Times New Roman"/>
          <w:sz w:val="24"/>
          <w:szCs w:val="24"/>
        </w:rPr>
        <w:t xml:space="preserve"> </w:t>
      </w:r>
      <w:r w:rsidR="00C131C1" w:rsidRPr="00044BBC">
        <w:rPr>
          <w:rFonts w:ascii="Times New Roman" w:hAnsi="Times New Roman" w:cs="Times New Roman"/>
          <w:sz w:val="24"/>
          <w:szCs w:val="24"/>
        </w:rPr>
        <w:t xml:space="preserve">a la Gerencia de </w:t>
      </w:r>
      <w:r w:rsidR="00C131C1" w:rsidRPr="000239F8">
        <w:rPr>
          <w:rFonts w:ascii="Times New Roman" w:hAnsi="Times New Roman" w:cs="Times New Roman"/>
          <w:sz w:val="24"/>
          <w:szCs w:val="24"/>
        </w:rPr>
        <w:t>Pension</w:t>
      </w:r>
      <w:r w:rsidR="00A463BF">
        <w:rPr>
          <w:rFonts w:ascii="Times New Roman" w:hAnsi="Times New Roman" w:cs="Times New Roman"/>
          <w:sz w:val="24"/>
          <w:szCs w:val="24"/>
        </w:rPr>
        <w:t xml:space="preserve">es, como gestor del RIVM, su </w:t>
      </w:r>
      <w:r w:rsidR="00D54C73" w:rsidRPr="000239F8">
        <w:rPr>
          <w:rFonts w:ascii="Times New Roman" w:hAnsi="Times New Roman" w:cs="Times New Roman"/>
          <w:sz w:val="24"/>
          <w:szCs w:val="24"/>
        </w:rPr>
        <w:t>responsab</w:t>
      </w:r>
      <w:r w:rsidR="00A463BF">
        <w:rPr>
          <w:rFonts w:ascii="Times New Roman" w:hAnsi="Times New Roman" w:cs="Times New Roman"/>
          <w:sz w:val="24"/>
          <w:szCs w:val="24"/>
        </w:rPr>
        <w:t>ilidad</w:t>
      </w:r>
      <w:r w:rsidR="00D54C73" w:rsidRPr="000239F8">
        <w:rPr>
          <w:rFonts w:ascii="Times New Roman" w:hAnsi="Times New Roman" w:cs="Times New Roman"/>
          <w:sz w:val="24"/>
          <w:szCs w:val="24"/>
        </w:rPr>
        <w:t xml:space="preserve"> de </w:t>
      </w:r>
      <w:r w:rsidR="00C131C1" w:rsidRPr="000239F8">
        <w:rPr>
          <w:rFonts w:ascii="Times New Roman" w:hAnsi="Times New Roman" w:cs="Times New Roman"/>
          <w:sz w:val="24"/>
          <w:szCs w:val="24"/>
        </w:rPr>
        <w:t>darle el seguimiento correspondiente</w:t>
      </w:r>
      <w:r w:rsidR="009A64AD">
        <w:rPr>
          <w:rFonts w:ascii="Times New Roman" w:hAnsi="Times New Roman" w:cs="Times New Roman"/>
          <w:sz w:val="24"/>
          <w:szCs w:val="24"/>
        </w:rPr>
        <w:t xml:space="preserve"> (se </w:t>
      </w:r>
      <w:r w:rsidR="005248E5">
        <w:rPr>
          <w:rFonts w:ascii="Times New Roman" w:hAnsi="Times New Roman" w:cs="Times New Roman"/>
          <w:sz w:val="24"/>
          <w:szCs w:val="24"/>
        </w:rPr>
        <w:t>comenta de nuevo</w:t>
      </w:r>
      <w:r w:rsidR="009A64AD">
        <w:rPr>
          <w:rFonts w:ascii="Times New Roman" w:hAnsi="Times New Roman" w:cs="Times New Roman"/>
          <w:sz w:val="24"/>
          <w:szCs w:val="24"/>
        </w:rPr>
        <w:t xml:space="preserve"> en el </w:t>
      </w:r>
      <w:r w:rsidR="00036D34">
        <w:rPr>
          <w:rFonts w:ascii="Times New Roman" w:hAnsi="Times New Roman" w:cs="Times New Roman"/>
          <w:sz w:val="24"/>
          <w:szCs w:val="24"/>
        </w:rPr>
        <w:t xml:space="preserve">oficio </w:t>
      </w:r>
      <w:r w:rsidR="009A64AD" w:rsidRPr="009A64AD">
        <w:rPr>
          <w:rFonts w:ascii="Times New Roman" w:hAnsi="Times New Roman" w:cs="Times New Roman"/>
          <w:sz w:val="24"/>
          <w:szCs w:val="24"/>
        </w:rPr>
        <w:t>SP-176-2016</w:t>
      </w:r>
      <w:r w:rsidR="009A64AD">
        <w:rPr>
          <w:rFonts w:ascii="Times New Roman" w:hAnsi="Times New Roman" w:cs="Times New Roman"/>
          <w:sz w:val="24"/>
          <w:szCs w:val="24"/>
        </w:rPr>
        <w:t>)</w:t>
      </w:r>
      <w:r w:rsidR="00824F71" w:rsidRPr="000239F8">
        <w:rPr>
          <w:rFonts w:ascii="Times New Roman" w:hAnsi="Times New Roman" w:cs="Times New Roman"/>
          <w:sz w:val="24"/>
          <w:szCs w:val="24"/>
        </w:rPr>
        <w:t xml:space="preserve">, en aras de disponer de información precisa, completa y oportuna, la cual es de fundamental importancia para la labor </w:t>
      </w:r>
      <w:r w:rsidR="00111ADB" w:rsidRPr="000239F8">
        <w:rPr>
          <w:rFonts w:ascii="Times New Roman" w:hAnsi="Times New Roman" w:cs="Times New Roman"/>
          <w:sz w:val="24"/>
          <w:szCs w:val="24"/>
        </w:rPr>
        <w:t xml:space="preserve">de esa Gerencia y para la </w:t>
      </w:r>
      <w:r w:rsidR="00824F71" w:rsidRPr="000239F8">
        <w:rPr>
          <w:rFonts w:ascii="Times New Roman" w:hAnsi="Times New Roman" w:cs="Times New Roman"/>
          <w:sz w:val="24"/>
          <w:szCs w:val="24"/>
        </w:rPr>
        <w:t xml:space="preserve">supervisión que le compete a </w:t>
      </w:r>
      <w:r w:rsidR="00111ADB" w:rsidRPr="000239F8">
        <w:rPr>
          <w:rFonts w:ascii="Times New Roman" w:hAnsi="Times New Roman" w:cs="Times New Roman"/>
          <w:sz w:val="24"/>
          <w:szCs w:val="24"/>
        </w:rPr>
        <w:t>la SUPEN</w:t>
      </w:r>
      <w:r w:rsidR="00824F71" w:rsidRPr="00230C47">
        <w:rPr>
          <w:rFonts w:ascii="Times New Roman" w:hAnsi="Times New Roman" w:cs="Times New Roman"/>
          <w:sz w:val="24"/>
          <w:szCs w:val="24"/>
        </w:rPr>
        <w:t>.</w:t>
      </w:r>
      <w:r w:rsidR="00EF3FFB" w:rsidRPr="00230C47">
        <w:rPr>
          <w:rFonts w:ascii="Times New Roman" w:hAnsi="Times New Roman" w:cs="Times New Roman"/>
          <w:sz w:val="24"/>
          <w:szCs w:val="24"/>
        </w:rPr>
        <w:t xml:space="preserve"> </w:t>
      </w:r>
    </w:p>
    <w:p w14:paraId="59A0442E" w14:textId="027E9997" w:rsidR="00C131C1" w:rsidRPr="000239F8" w:rsidRDefault="00C131C1" w:rsidP="001A0D69">
      <w:pPr>
        <w:spacing w:after="0"/>
        <w:jc w:val="both"/>
        <w:rPr>
          <w:rFonts w:ascii="Times New Roman" w:hAnsi="Times New Roman" w:cs="Times New Roman"/>
          <w:sz w:val="24"/>
          <w:szCs w:val="24"/>
        </w:rPr>
      </w:pPr>
    </w:p>
    <w:p w14:paraId="4966584F" w14:textId="77777777" w:rsidR="00DE100D" w:rsidRPr="00125F2A" w:rsidRDefault="00DE100D" w:rsidP="001A0D69">
      <w:pPr>
        <w:spacing w:after="0"/>
        <w:jc w:val="both"/>
        <w:rPr>
          <w:rFonts w:ascii="Times New Roman" w:hAnsi="Times New Roman" w:cs="Times New Roman"/>
          <w:sz w:val="24"/>
          <w:szCs w:val="24"/>
          <w:highlight w:val="green"/>
          <w:lang w:eastAsia="es-ES_tradnl"/>
        </w:rPr>
      </w:pPr>
    </w:p>
    <w:p w14:paraId="22D4F693" w14:textId="79B7F297" w:rsidR="009E1387" w:rsidRPr="00CF136D" w:rsidRDefault="004A5CE5" w:rsidP="00283A51">
      <w:pPr>
        <w:pStyle w:val="Ttulo1"/>
        <w:numPr>
          <w:ilvl w:val="0"/>
          <w:numId w:val="3"/>
        </w:numPr>
        <w:spacing w:before="120"/>
        <w:rPr>
          <w:i w:val="0"/>
          <w:iCs w:val="0"/>
          <w:lang w:eastAsia="es-ES_tradnl"/>
        </w:rPr>
      </w:pPr>
      <w:bookmarkStart w:id="11" w:name="_Toc496194186"/>
      <w:r w:rsidRPr="00CF136D">
        <w:rPr>
          <w:i w:val="0"/>
          <w:iCs w:val="0"/>
          <w:lang w:eastAsia="es-ES_tradnl"/>
        </w:rPr>
        <w:t>Comportamiento de la m</w:t>
      </w:r>
      <w:r w:rsidR="00100AF5" w:rsidRPr="00CF136D">
        <w:rPr>
          <w:i w:val="0"/>
          <w:iCs w:val="0"/>
          <w:lang w:eastAsia="es-ES_tradnl"/>
        </w:rPr>
        <w:t>orosidad</w:t>
      </w:r>
      <w:bookmarkEnd w:id="11"/>
    </w:p>
    <w:p w14:paraId="5F04295C" w14:textId="77777777" w:rsidR="005511DC" w:rsidRPr="00E66A31" w:rsidRDefault="005511DC" w:rsidP="005511DC">
      <w:pPr>
        <w:rPr>
          <w:rFonts w:ascii="Times New Roman" w:hAnsi="Times New Roman" w:cs="Times New Roman"/>
          <w:sz w:val="24"/>
          <w:szCs w:val="24"/>
          <w:highlight w:val="yellow"/>
          <w:lang w:eastAsia="es-ES_tradnl"/>
        </w:rPr>
      </w:pPr>
    </w:p>
    <w:p w14:paraId="72EECAF6" w14:textId="41426650" w:rsidR="001B340E" w:rsidRPr="008423F5" w:rsidRDefault="001B340E" w:rsidP="001B340E">
      <w:pPr>
        <w:spacing w:after="240"/>
        <w:jc w:val="both"/>
        <w:rPr>
          <w:rFonts w:ascii="Times New Roman" w:hAnsi="Times New Roman" w:cs="Times New Roman"/>
          <w:sz w:val="24"/>
          <w:szCs w:val="24"/>
          <w:lang w:eastAsia="es-ES_tradnl"/>
        </w:rPr>
      </w:pPr>
      <w:r w:rsidRPr="008423F5">
        <w:rPr>
          <w:rFonts w:ascii="Times New Roman" w:hAnsi="Times New Roman" w:cs="Times New Roman"/>
          <w:sz w:val="24"/>
          <w:szCs w:val="24"/>
          <w:lang w:eastAsia="es-ES_tradnl"/>
        </w:rPr>
        <w:t>Sobre esta temática, los estados financieros a mayo de 2017 muestran, los siguientes aspectos relevantes:</w:t>
      </w:r>
    </w:p>
    <w:p w14:paraId="4DED287E" w14:textId="09523450" w:rsidR="001B340E" w:rsidRPr="008423F5" w:rsidRDefault="001B340E" w:rsidP="001B340E">
      <w:pPr>
        <w:pStyle w:val="Prrafodelista"/>
        <w:numPr>
          <w:ilvl w:val="0"/>
          <w:numId w:val="25"/>
        </w:numPr>
        <w:spacing w:after="240"/>
        <w:jc w:val="both"/>
        <w:rPr>
          <w:rFonts w:ascii="Times New Roman" w:hAnsi="Times New Roman" w:cs="Times New Roman"/>
          <w:sz w:val="24"/>
          <w:szCs w:val="24"/>
          <w:lang w:eastAsia="es-ES_tradnl"/>
        </w:rPr>
      </w:pPr>
      <w:r w:rsidRPr="008423F5">
        <w:rPr>
          <w:rFonts w:ascii="Times New Roman" w:hAnsi="Times New Roman" w:cs="Times New Roman"/>
          <w:sz w:val="24"/>
          <w:szCs w:val="24"/>
          <w:lang w:eastAsia="es-ES_tradnl"/>
        </w:rPr>
        <w:t>Un monto de ¢53.082 millones de morosidad patronal, que representa un 20.1% del total por cobrar y corresponde a 64.490 patronos.</w:t>
      </w:r>
    </w:p>
    <w:p w14:paraId="1E373D9F" w14:textId="77777777" w:rsidR="001B340E" w:rsidRDefault="001B340E" w:rsidP="001B340E">
      <w:pPr>
        <w:pStyle w:val="Prrafodelista"/>
        <w:numPr>
          <w:ilvl w:val="0"/>
          <w:numId w:val="25"/>
        </w:numPr>
        <w:spacing w:after="240"/>
        <w:jc w:val="both"/>
        <w:rPr>
          <w:rFonts w:ascii="Times New Roman" w:hAnsi="Times New Roman" w:cs="Times New Roman"/>
          <w:sz w:val="24"/>
          <w:szCs w:val="24"/>
          <w:lang w:eastAsia="es-ES_tradnl"/>
        </w:rPr>
      </w:pPr>
      <w:r w:rsidRPr="008423F5">
        <w:rPr>
          <w:rFonts w:ascii="Times New Roman" w:hAnsi="Times New Roman" w:cs="Times New Roman"/>
          <w:sz w:val="24"/>
          <w:szCs w:val="24"/>
          <w:lang w:eastAsia="es-ES_tradnl"/>
        </w:rPr>
        <w:lastRenderedPageBreak/>
        <w:t>Un saldo de ¢72.419 millones de morosidad de trabajadores independientes, que conforma el 27.4% del total por cobrar y que corresponde a 141.877 trabajadores.</w:t>
      </w:r>
    </w:p>
    <w:p w14:paraId="63EC41F2" w14:textId="77777777" w:rsidR="00FE6433" w:rsidRPr="00DC6CB0" w:rsidRDefault="00FE6433" w:rsidP="00283A51">
      <w:pPr>
        <w:pStyle w:val="Ttulo1"/>
        <w:numPr>
          <w:ilvl w:val="0"/>
          <w:numId w:val="3"/>
        </w:numPr>
        <w:rPr>
          <w:i w:val="0"/>
          <w:iCs w:val="0"/>
          <w:lang w:eastAsia="es-ES_tradnl"/>
        </w:rPr>
      </w:pPr>
      <w:bookmarkStart w:id="12" w:name="_Toc496194187"/>
      <w:r w:rsidRPr="00DC6CB0">
        <w:rPr>
          <w:i w:val="0"/>
          <w:iCs w:val="0"/>
          <w:lang w:eastAsia="es-ES_tradnl"/>
        </w:rPr>
        <w:t>Afiliación</w:t>
      </w:r>
      <w:bookmarkEnd w:id="12"/>
    </w:p>
    <w:p w14:paraId="79AABD73" w14:textId="77777777" w:rsidR="00B05933" w:rsidRPr="00B728DD" w:rsidRDefault="00B05933" w:rsidP="0066237F">
      <w:pPr>
        <w:spacing w:after="0" w:line="240" w:lineRule="auto"/>
        <w:jc w:val="both"/>
        <w:rPr>
          <w:rFonts w:ascii="Times New Roman" w:hAnsi="Times New Roman" w:cs="Times New Roman"/>
          <w:b/>
          <w:bCs/>
          <w:sz w:val="24"/>
          <w:szCs w:val="24"/>
          <w:highlight w:val="yellow"/>
        </w:rPr>
      </w:pPr>
    </w:p>
    <w:p w14:paraId="05A78FA0" w14:textId="68D54574" w:rsidR="00F70A60" w:rsidRPr="00BE4947" w:rsidRDefault="00341368" w:rsidP="00E8790C">
      <w:pPr>
        <w:spacing w:after="240"/>
        <w:jc w:val="both"/>
        <w:rPr>
          <w:rFonts w:ascii="Times New Roman" w:hAnsi="Times New Roman" w:cs="Times New Roman"/>
          <w:bCs/>
          <w:sz w:val="24"/>
          <w:szCs w:val="24"/>
        </w:rPr>
      </w:pPr>
      <w:r w:rsidRPr="00BE4947">
        <w:rPr>
          <w:rFonts w:ascii="Times New Roman" w:hAnsi="Times New Roman" w:cs="Times New Roman"/>
          <w:bCs/>
          <w:sz w:val="24"/>
          <w:szCs w:val="24"/>
        </w:rPr>
        <w:t>La CCSS ha</w:t>
      </w:r>
      <w:r w:rsidR="00B825DF" w:rsidRPr="00BE4947">
        <w:rPr>
          <w:rFonts w:ascii="Times New Roman" w:hAnsi="Times New Roman" w:cs="Times New Roman"/>
          <w:bCs/>
          <w:sz w:val="24"/>
          <w:szCs w:val="24"/>
        </w:rPr>
        <w:t xml:space="preserve"> informado a la </w:t>
      </w:r>
      <w:r w:rsidR="006F586D" w:rsidRPr="00BE4947">
        <w:rPr>
          <w:rFonts w:ascii="Times New Roman" w:hAnsi="Times New Roman" w:cs="Times New Roman"/>
          <w:bCs/>
          <w:sz w:val="24"/>
          <w:szCs w:val="24"/>
        </w:rPr>
        <w:t>SUPEN</w:t>
      </w:r>
      <w:r w:rsidRPr="00BE4947">
        <w:rPr>
          <w:rFonts w:ascii="Times New Roman" w:hAnsi="Times New Roman" w:cs="Times New Roman"/>
          <w:bCs/>
          <w:sz w:val="24"/>
          <w:szCs w:val="24"/>
        </w:rPr>
        <w:t xml:space="preserve"> </w:t>
      </w:r>
      <w:r w:rsidR="009D1117" w:rsidRPr="00BE4947">
        <w:rPr>
          <w:rFonts w:ascii="Times New Roman" w:hAnsi="Times New Roman" w:cs="Times New Roman"/>
          <w:bCs/>
          <w:sz w:val="24"/>
          <w:szCs w:val="24"/>
        </w:rPr>
        <w:t>las</w:t>
      </w:r>
      <w:r w:rsidR="00B825DF" w:rsidRPr="00BE4947">
        <w:rPr>
          <w:rFonts w:ascii="Times New Roman" w:hAnsi="Times New Roman" w:cs="Times New Roman"/>
          <w:bCs/>
          <w:sz w:val="24"/>
          <w:szCs w:val="24"/>
        </w:rPr>
        <w:t xml:space="preserve"> acciones adoptadas</w:t>
      </w:r>
      <w:r w:rsidR="001D545F" w:rsidRPr="00BE4947">
        <w:rPr>
          <w:rFonts w:ascii="Times New Roman" w:hAnsi="Times New Roman" w:cs="Times New Roman"/>
          <w:bCs/>
          <w:sz w:val="24"/>
          <w:szCs w:val="24"/>
        </w:rPr>
        <w:t xml:space="preserve"> tendientes a incrementar la cobertura</w:t>
      </w:r>
      <w:r w:rsidR="00B825DF" w:rsidRPr="00BE4947">
        <w:rPr>
          <w:rFonts w:ascii="Times New Roman" w:hAnsi="Times New Roman" w:cs="Times New Roman"/>
          <w:bCs/>
          <w:sz w:val="24"/>
          <w:szCs w:val="24"/>
        </w:rPr>
        <w:t>, particula</w:t>
      </w:r>
      <w:r w:rsidR="00E8790C" w:rsidRPr="00BE4947">
        <w:rPr>
          <w:rFonts w:ascii="Times New Roman" w:hAnsi="Times New Roman" w:cs="Times New Roman"/>
          <w:bCs/>
          <w:sz w:val="24"/>
          <w:szCs w:val="24"/>
        </w:rPr>
        <w:t>rmente lo relativo a</w:t>
      </w:r>
      <w:r w:rsidR="00B825DF" w:rsidRPr="00BE4947">
        <w:rPr>
          <w:rFonts w:ascii="Times New Roman" w:hAnsi="Times New Roman" w:cs="Times New Roman"/>
          <w:bCs/>
          <w:sz w:val="24"/>
          <w:szCs w:val="24"/>
        </w:rPr>
        <w:t xml:space="preserve"> trabajadores independientes y asegurados voluntarios</w:t>
      </w:r>
      <w:r w:rsidR="00E8790C" w:rsidRPr="00BE4947">
        <w:rPr>
          <w:rFonts w:ascii="Times New Roman" w:hAnsi="Times New Roman" w:cs="Times New Roman"/>
          <w:bCs/>
          <w:sz w:val="24"/>
          <w:szCs w:val="24"/>
        </w:rPr>
        <w:t xml:space="preserve">, aspecto que se considera positivo. </w:t>
      </w:r>
      <w:r w:rsidR="009D1117" w:rsidRPr="00BE4947">
        <w:rPr>
          <w:rFonts w:ascii="Times New Roman" w:hAnsi="Times New Roman" w:cs="Times New Roman"/>
          <w:bCs/>
          <w:sz w:val="24"/>
          <w:szCs w:val="24"/>
        </w:rPr>
        <w:t xml:space="preserve"> </w:t>
      </w:r>
      <w:r w:rsidR="00E8790C" w:rsidRPr="00BE4947">
        <w:rPr>
          <w:rFonts w:ascii="Times New Roman" w:hAnsi="Times New Roman" w:cs="Times New Roman"/>
          <w:bCs/>
          <w:sz w:val="24"/>
          <w:szCs w:val="24"/>
        </w:rPr>
        <w:t xml:space="preserve">No obstante, </w:t>
      </w:r>
      <w:r w:rsidR="00EE5C98" w:rsidRPr="00BE4947">
        <w:rPr>
          <w:rFonts w:ascii="Times New Roman" w:hAnsi="Times New Roman" w:cs="Times New Roman"/>
          <w:bCs/>
          <w:sz w:val="24"/>
          <w:szCs w:val="24"/>
        </w:rPr>
        <w:t>si bien se amplía la cobertura</w:t>
      </w:r>
      <w:r w:rsidR="00190618" w:rsidRPr="00BE4947">
        <w:rPr>
          <w:rFonts w:ascii="Times New Roman" w:hAnsi="Times New Roman" w:cs="Times New Roman"/>
          <w:bCs/>
          <w:sz w:val="24"/>
          <w:szCs w:val="24"/>
        </w:rPr>
        <w:t xml:space="preserve"> de la población</w:t>
      </w:r>
      <w:r w:rsidR="00EE5C98" w:rsidRPr="00BE4947">
        <w:rPr>
          <w:rFonts w:ascii="Times New Roman" w:hAnsi="Times New Roman" w:cs="Times New Roman"/>
          <w:bCs/>
          <w:sz w:val="24"/>
          <w:szCs w:val="24"/>
        </w:rPr>
        <w:t xml:space="preserve">, </w:t>
      </w:r>
      <w:r w:rsidR="00FC4E78">
        <w:rPr>
          <w:rFonts w:ascii="Times New Roman" w:hAnsi="Times New Roman" w:cs="Times New Roman"/>
          <w:bCs/>
          <w:sz w:val="24"/>
          <w:szCs w:val="24"/>
        </w:rPr>
        <w:t xml:space="preserve">esto </w:t>
      </w:r>
      <w:r w:rsidR="00EE5C98" w:rsidRPr="00BE4947">
        <w:rPr>
          <w:rFonts w:ascii="Times New Roman" w:hAnsi="Times New Roman" w:cs="Times New Roman"/>
          <w:bCs/>
          <w:sz w:val="24"/>
          <w:szCs w:val="24"/>
        </w:rPr>
        <w:t xml:space="preserve">se </w:t>
      </w:r>
      <w:r w:rsidR="00190618" w:rsidRPr="00BE4947">
        <w:rPr>
          <w:rFonts w:ascii="Times New Roman" w:hAnsi="Times New Roman" w:cs="Times New Roman"/>
          <w:bCs/>
          <w:sz w:val="24"/>
          <w:szCs w:val="24"/>
        </w:rPr>
        <w:t xml:space="preserve">podría estar </w:t>
      </w:r>
      <w:r w:rsidR="00442084" w:rsidRPr="00BE4947">
        <w:rPr>
          <w:rFonts w:ascii="Times New Roman" w:hAnsi="Times New Roman" w:cs="Times New Roman"/>
          <w:bCs/>
          <w:sz w:val="24"/>
          <w:szCs w:val="24"/>
        </w:rPr>
        <w:t>realizando</w:t>
      </w:r>
      <w:r w:rsidR="00EE5C98" w:rsidRPr="00BE4947">
        <w:rPr>
          <w:rFonts w:ascii="Times New Roman" w:hAnsi="Times New Roman" w:cs="Times New Roman"/>
          <w:bCs/>
          <w:sz w:val="24"/>
          <w:szCs w:val="24"/>
        </w:rPr>
        <w:t xml:space="preserve"> en detrimento de la cotización</w:t>
      </w:r>
      <w:r w:rsidR="00190618" w:rsidRPr="00BE4947">
        <w:rPr>
          <w:rFonts w:ascii="Times New Roman" w:hAnsi="Times New Roman" w:cs="Times New Roman"/>
          <w:bCs/>
          <w:sz w:val="24"/>
          <w:szCs w:val="24"/>
        </w:rPr>
        <w:t xml:space="preserve"> </w:t>
      </w:r>
      <w:r w:rsidR="00FA689B" w:rsidRPr="00BE4947">
        <w:rPr>
          <w:rFonts w:ascii="Times New Roman" w:hAnsi="Times New Roman" w:cs="Times New Roman"/>
          <w:bCs/>
          <w:sz w:val="24"/>
          <w:szCs w:val="24"/>
        </w:rPr>
        <w:t>real</w:t>
      </w:r>
      <w:r w:rsidR="00190618" w:rsidRPr="00BE4947">
        <w:rPr>
          <w:rFonts w:ascii="Times New Roman" w:hAnsi="Times New Roman" w:cs="Times New Roman"/>
          <w:bCs/>
          <w:sz w:val="24"/>
          <w:szCs w:val="24"/>
        </w:rPr>
        <w:t>,</w:t>
      </w:r>
      <w:r w:rsidR="00EE5C98" w:rsidRPr="00BE4947">
        <w:rPr>
          <w:rFonts w:ascii="Times New Roman" w:hAnsi="Times New Roman" w:cs="Times New Roman"/>
          <w:bCs/>
          <w:sz w:val="24"/>
          <w:szCs w:val="24"/>
        </w:rPr>
        <w:t xml:space="preserve"> </w:t>
      </w:r>
      <w:r w:rsidR="00352559" w:rsidRPr="00BE4947">
        <w:rPr>
          <w:rFonts w:ascii="Times New Roman" w:hAnsi="Times New Roman" w:cs="Times New Roman"/>
          <w:bCs/>
          <w:sz w:val="24"/>
          <w:szCs w:val="24"/>
        </w:rPr>
        <w:t>debido a</w:t>
      </w:r>
      <w:r w:rsidR="00EE5C98" w:rsidRPr="00BE4947">
        <w:rPr>
          <w:rFonts w:ascii="Times New Roman" w:hAnsi="Times New Roman" w:cs="Times New Roman"/>
          <w:bCs/>
          <w:sz w:val="24"/>
          <w:szCs w:val="24"/>
        </w:rPr>
        <w:t xml:space="preserve"> que la base de declaración para trabajadores independientes y afiliados voluntarios</w:t>
      </w:r>
      <w:r w:rsidR="00F03CCC" w:rsidRPr="00BE4947">
        <w:rPr>
          <w:rFonts w:ascii="Times New Roman" w:hAnsi="Times New Roman" w:cs="Times New Roman"/>
          <w:bCs/>
          <w:sz w:val="24"/>
          <w:szCs w:val="24"/>
        </w:rPr>
        <w:t xml:space="preserve">, según se </w:t>
      </w:r>
      <w:r w:rsidR="004B65AF" w:rsidRPr="00BE4947">
        <w:rPr>
          <w:rFonts w:ascii="Times New Roman" w:hAnsi="Times New Roman" w:cs="Times New Roman"/>
          <w:bCs/>
          <w:sz w:val="24"/>
          <w:szCs w:val="24"/>
        </w:rPr>
        <w:t xml:space="preserve">ha </w:t>
      </w:r>
      <w:r w:rsidR="00F03CCC" w:rsidRPr="00BE4947">
        <w:rPr>
          <w:rFonts w:ascii="Times New Roman" w:hAnsi="Times New Roman" w:cs="Times New Roman"/>
          <w:bCs/>
          <w:sz w:val="24"/>
          <w:szCs w:val="24"/>
        </w:rPr>
        <w:t>determin</w:t>
      </w:r>
      <w:r w:rsidR="004B65AF" w:rsidRPr="00BE4947">
        <w:rPr>
          <w:rFonts w:ascii="Times New Roman" w:hAnsi="Times New Roman" w:cs="Times New Roman"/>
          <w:bCs/>
          <w:sz w:val="24"/>
          <w:szCs w:val="24"/>
        </w:rPr>
        <w:t xml:space="preserve">ado en estudios de años anteriores </w:t>
      </w:r>
      <w:r w:rsidR="00F03CCC" w:rsidRPr="00BE4947">
        <w:rPr>
          <w:rFonts w:ascii="Times New Roman" w:hAnsi="Times New Roman" w:cs="Times New Roman"/>
          <w:bCs/>
          <w:sz w:val="24"/>
          <w:szCs w:val="24"/>
        </w:rPr>
        <w:t>efectuado</w:t>
      </w:r>
      <w:r w:rsidR="004B65AF" w:rsidRPr="00BE4947">
        <w:rPr>
          <w:rFonts w:ascii="Times New Roman" w:hAnsi="Times New Roman" w:cs="Times New Roman"/>
          <w:bCs/>
          <w:sz w:val="24"/>
          <w:szCs w:val="24"/>
        </w:rPr>
        <w:t>s</w:t>
      </w:r>
      <w:r w:rsidR="00F03CCC" w:rsidRPr="00BE4947">
        <w:rPr>
          <w:rFonts w:ascii="Times New Roman" w:hAnsi="Times New Roman" w:cs="Times New Roman"/>
          <w:bCs/>
          <w:sz w:val="24"/>
          <w:szCs w:val="24"/>
        </w:rPr>
        <w:t xml:space="preserve"> por la </w:t>
      </w:r>
      <w:r w:rsidR="006F586D" w:rsidRPr="00BE4947">
        <w:rPr>
          <w:rFonts w:ascii="Times New Roman" w:hAnsi="Times New Roman" w:cs="Times New Roman"/>
          <w:bCs/>
          <w:sz w:val="24"/>
          <w:szCs w:val="24"/>
        </w:rPr>
        <w:t>SUPEN</w:t>
      </w:r>
      <w:r w:rsidR="00F03CCC" w:rsidRPr="00BE4947">
        <w:rPr>
          <w:rFonts w:ascii="Times New Roman" w:hAnsi="Times New Roman" w:cs="Times New Roman"/>
          <w:bCs/>
          <w:sz w:val="24"/>
          <w:szCs w:val="24"/>
        </w:rPr>
        <w:t>,</w:t>
      </w:r>
      <w:r w:rsidR="00EE5C98" w:rsidRPr="00BE4947">
        <w:rPr>
          <w:rFonts w:ascii="Times New Roman" w:hAnsi="Times New Roman" w:cs="Times New Roman"/>
          <w:bCs/>
          <w:sz w:val="24"/>
          <w:szCs w:val="24"/>
        </w:rPr>
        <w:t xml:space="preserve"> </w:t>
      </w:r>
      <w:r w:rsidR="00FA689B" w:rsidRPr="00BE4947">
        <w:rPr>
          <w:rFonts w:ascii="Times New Roman" w:hAnsi="Times New Roman" w:cs="Times New Roman"/>
          <w:bCs/>
          <w:sz w:val="24"/>
          <w:szCs w:val="24"/>
        </w:rPr>
        <w:t>tiende</w:t>
      </w:r>
      <w:r w:rsidR="00DA0351" w:rsidRPr="00BE4947">
        <w:rPr>
          <w:rFonts w:ascii="Times New Roman" w:hAnsi="Times New Roman" w:cs="Times New Roman"/>
          <w:bCs/>
          <w:sz w:val="24"/>
          <w:szCs w:val="24"/>
        </w:rPr>
        <w:t xml:space="preserve"> a declarar el ingreso </w:t>
      </w:r>
      <w:r w:rsidR="00EE5C98" w:rsidRPr="00BE4947">
        <w:rPr>
          <w:rFonts w:ascii="Times New Roman" w:hAnsi="Times New Roman" w:cs="Times New Roman"/>
          <w:bCs/>
          <w:sz w:val="24"/>
          <w:szCs w:val="24"/>
        </w:rPr>
        <w:t>mínimo</w:t>
      </w:r>
      <w:r w:rsidR="005E1C97" w:rsidRPr="00BE4947">
        <w:rPr>
          <w:rFonts w:ascii="Times New Roman" w:hAnsi="Times New Roman" w:cs="Times New Roman"/>
          <w:bCs/>
          <w:sz w:val="24"/>
          <w:szCs w:val="24"/>
        </w:rPr>
        <w:t xml:space="preserve"> </w:t>
      </w:r>
      <w:r w:rsidR="00190618" w:rsidRPr="00BE4947">
        <w:rPr>
          <w:rFonts w:ascii="Times New Roman" w:hAnsi="Times New Roman" w:cs="Times New Roman"/>
          <w:bCs/>
          <w:sz w:val="24"/>
          <w:szCs w:val="24"/>
        </w:rPr>
        <w:t>y no los ingresos reales</w:t>
      </w:r>
      <w:r w:rsidR="000614E5" w:rsidRPr="00BE4947">
        <w:rPr>
          <w:rFonts w:ascii="Times New Roman" w:hAnsi="Times New Roman" w:cs="Times New Roman"/>
          <w:bCs/>
          <w:sz w:val="24"/>
          <w:szCs w:val="24"/>
        </w:rPr>
        <w:t xml:space="preserve">. </w:t>
      </w:r>
    </w:p>
    <w:p w14:paraId="083DB06A" w14:textId="59DDFAFF" w:rsidR="00D5088E" w:rsidRPr="00DC6CB0" w:rsidRDefault="00D5088E" w:rsidP="00D5088E">
      <w:pPr>
        <w:spacing w:after="240"/>
        <w:jc w:val="both"/>
        <w:rPr>
          <w:rFonts w:ascii="Times New Roman" w:hAnsi="Times New Roman" w:cs="Times New Roman"/>
          <w:sz w:val="24"/>
          <w:szCs w:val="24"/>
        </w:rPr>
      </w:pPr>
      <w:r w:rsidRPr="00DC6CB0">
        <w:rPr>
          <w:rFonts w:ascii="Times New Roman" w:hAnsi="Times New Roman" w:cs="Times New Roman"/>
          <w:sz w:val="24"/>
          <w:szCs w:val="24"/>
        </w:rPr>
        <w:t>A diciembre de 201</w:t>
      </w:r>
      <w:r w:rsidR="00113078" w:rsidRPr="00DC6CB0">
        <w:rPr>
          <w:rFonts w:ascii="Times New Roman" w:hAnsi="Times New Roman" w:cs="Times New Roman"/>
          <w:sz w:val="24"/>
          <w:szCs w:val="24"/>
        </w:rPr>
        <w:t>6</w:t>
      </w:r>
      <w:r w:rsidRPr="00DC6CB0">
        <w:rPr>
          <w:rFonts w:ascii="Times New Roman" w:hAnsi="Times New Roman" w:cs="Times New Roman"/>
          <w:sz w:val="24"/>
          <w:szCs w:val="24"/>
        </w:rPr>
        <w:t xml:space="preserve">, el ingreso promedio de los afiliados asalariados ronda los </w:t>
      </w:r>
      <w:r w:rsidRPr="00DC6CB0">
        <w:rPr>
          <w:rFonts w:ascii="Times New Roman" w:hAnsi="Times New Roman" w:cs="Times New Roman"/>
          <w:bCs/>
          <w:sz w:val="24"/>
          <w:szCs w:val="24"/>
        </w:rPr>
        <w:t>¢</w:t>
      </w:r>
      <w:r w:rsidR="007566E3" w:rsidRPr="00DC6CB0">
        <w:rPr>
          <w:rFonts w:ascii="Times New Roman" w:hAnsi="Times New Roman" w:cs="Times New Roman"/>
          <w:bCs/>
          <w:sz w:val="24"/>
          <w:szCs w:val="24"/>
        </w:rPr>
        <w:t>5</w:t>
      </w:r>
      <w:r w:rsidR="00113078" w:rsidRPr="00DC6CB0">
        <w:rPr>
          <w:rFonts w:ascii="Times New Roman" w:hAnsi="Times New Roman" w:cs="Times New Roman"/>
          <w:bCs/>
          <w:sz w:val="24"/>
          <w:szCs w:val="24"/>
        </w:rPr>
        <w:t>35</w:t>
      </w:r>
      <w:r w:rsidRPr="00DC6CB0">
        <w:rPr>
          <w:rFonts w:ascii="Times New Roman" w:hAnsi="Times New Roman" w:cs="Times New Roman"/>
          <w:bCs/>
          <w:sz w:val="24"/>
          <w:szCs w:val="24"/>
        </w:rPr>
        <w:t>.</w:t>
      </w:r>
      <w:r w:rsidR="00113078" w:rsidRPr="00DC6CB0">
        <w:rPr>
          <w:rFonts w:ascii="Times New Roman" w:hAnsi="Times New Roman" w:cs="Times New Roman"/>
          <w:bCs/>
          <w:sz w:val="24"/>
          <w:szCs w:val="24"/>
        </w:rPr>
        <w:t>873</w:t>
      </w:r>
      <w:r w:rsidR="00916BB5" w:rsidRPr="00DC6CB0">
        <w:rPr>
          <w:rStyle w:val="Refdenotaalpie"/>
          <w:rFonts w:ascii="Times New Roman" w:hAnsi="Times New Roman" w:cs="Times New Roman"/>
          <w:bCs/>
          <w:sz w:val="24"/>
          <w:szCs w:val="24"/>
        </w:rPr>
        <w:footnoteReference w:id="2"/>
      </w:r>
      <w:r w:rsidRPr="00DC6CB0">
        <w:rPr>
          <w:rFonts w:ascii="Times New Roman" w:hAnsi="Times New Roman" w:cs="Times New Roman"/>
          <w:sz w:val="24"/>
          <w:szCs w:val="24"/>
        </w:rPr>
        <w:t>y</w:t>
      </w:r>
      <w:r w:rsidRPr="00DC6CB0">
        <w:rPr>
          <w:rFonts w:ascii="Times New Roman" w:hAnsi="Times New Roman" w:cs="Times New Roman"/>
          <w:bCs/>
          <w:sz w:val="24"/>
          <w:szCs w:val="24"/>
        </w:rPr>
        <w:t xml:space="preserve"> </w:t>
      </w:r>
      <w:r w:rsidRPr="00DC6CB0">
        <w:rPr>
          <w:rFonts w:ascii="Times New Roman" w:hAnsi="Times New Roman" w:cs="Times New Roman"/>
          <w:sz w:val="24"/>
          <w:szCs w:val="24"/>
        </w:rPr>
        <w:t xml:space="preserve">el ingreso promedio de los afiliados por cuenta propia es de aproximadamente </w:t>
      </w:r>
      <w:r w:rsidRPr="00DC6CB0">
        <w:rPr>
          <w:rFonts w:ascii="Times New Roman" w:hAnsi="Times New Roman" w:cs="Times New Roman"/>
          <w:bCs/>
          <w:sz w:val="24"/>
          <w:szCs w:val="24"/>
        </w:rPr>
        <w:t>¢</w:t>
      </w:r>
      <w:r w:rsidR="00DC6CB0" w:rsidRPr="00DC6CB0">
        <w:rPr>
          <w:rFonts w:ascii="Times New Roman" w:hAnsi="Times New Roman" w:cs="Times New Roman"/>
          <w:bCs/>
          <w:sz w:val="24"/>
          <w:szCs w:val="24"/>
        </w:rPr>
        <w:t>333</w:t>
      </w:r>
      <w:r w:rsidRPr="00DC6CB0">
        <w:rPr>
          <w:rFonts w:ascii="Times New Roman" w:hAnsi="Times New Roman" w:cs="Times New Roman"/>
          <w:bCs/>
          <w:sz w:val="24"/>
          <w:szCs w:val="24"/>
        </w:rPr>
        <w:t>,</w:t>
      </w:r>
      <w:r w:rsidR="00DC6CB0" w:rsidRPr="00DC6CB0">
        <w:rPr>
          <w:rFonts w:ascii="Times New Roman" w:hAnsi="Times New Roman" w:cs="Times New Roman"/>
          <w:bCs/>
          <w:sz w:val="24"/>
          <w:szCs w:val="24"/>
        </w:rPr>
        <w:t>131</w:t>
      </w:r>
      <w:r w:rsidRPr="00DC6CB0">
        <w:rPr>
          <w:rFonts w:ascii="Times New Roman" w:hAnsi="Times New Roman" w:cs="Times New Roman"/>
          <w:sz w:val="24"/>
          <w:szCs w:val="24"/>
        </w:rPr>
        <w:t xml:space="preserve">, </w:t>
      </w:r>
      <w:r w:rsidR="00226B51" w:rsidRPr="00DC6CB0">
        <w:rPr>
          <w:rFonts w:ascii="Times New Roman" w:hAnsi="Times New Roman" w:cs="Times New Roman"/>
          <w:sz w:val="24"/>
          <w:szCs w:val="24"/>
        </w:rPr>
        <w:t>restándose</w:t>
      </w:r>
      <w:r w:rsidRPr="00DC6CB0">
        <w:rPr>
          <w:rFonts w:ascii="Times New Roman" w:hAnsi="Times New Roman" w:cs="Times New Roman"/>
          <w:sz w:val="24"/>
          <w:szCs w:val="24"/>
        </w:rPr>
        <w:t xml:space="preserve"> recursos tanto al Seguro de Pen</w:t>
      </w:r>
      <w:r w:rsidR="00226B51" w:rsidRPr="00DC6CB0">
        <w:rPr>
          <w:rFonts w:ascii="Times New Roman" w:hAnsi="Times New Roman" w:cs="Times New Roman"/>
          <w:sz w:val="24"/>
          <w:szCs w:val="24"/>
        </w:rPr>
        <w:t>siones como al Seguro de Salud, por la cotización con base en este último.</w:t>
      </w:r>
    </w:p>
    <w:p w14:paraId="476A6612" w14:textId="750A9C56" w:rsidR="008462BD" w:rsidRDefault="009D1117" w:rsidP="00646D44">
      <w:pPr>
        <w:spacing w:after="240"/>
        <w:jc w:val="both"/>
        <w:rPr>
          <w:rFonts w:ascii="Times New Roman" w:hAnsi="Times New Roman" w:cs="Times New Roman"/>
          <w:sz w:val="24"/>
          <w:szCs w:val="24"/>
        </w:rPr>
      </w:pPr>
      <w:r w:rsidRPr="00DC6CB0">
        <w:rPr>
          <w:rFonts w:ascii="Times New Roman" w:hAnsi="Times New Roman" w:cs="Times New Roman"/>
          <w:sz w:val="24"/>
          <w:szCs w:val="24"/>
        </w:rPr>
        <w:t xml:space="preserve">El tema de afiliación presenta oportunidades de mejora, como lo ha señalado la SUPEN </w:t>
      </w:r>
      <w:r w:rsidR="007566E3" w:rsidRPr="00DC6CB0">
        <w:rPr>
          <w:rFonts w:ascii="Times New Roman" w:hAnsi="Times New Roman" w:cs="Times New Roman"/>
          <w:sz w:val="24"/>
          <w:szCs w:val="24"/>
        </w:rPr>
        <w:t>a</w:t>
      </w:r>
      <w:r w:rsidR="00AE6CB8" w:rsidRPr="00DC6CB0">
        <w:rPr>
          <w:rFonts w:ascii="Times New Roman" w:hAnsi="Times New Roman" w:cs="Times New Roman"/>
          <w:sz w:val="24"/>
          <w:szCs w:val="24"/>
        </w:rPr>
        <w:t xml:space="preserve"> la CCSS</w:t>
      </w:r>
      <w:r w:rsidR="008462BD" w:rsidRPr="00DC6CB0">
        <w:rPr>
          <w:rFonts w:ascii="Times New Roman" w:hAnsi="Times New Roman" w:cs="Times New Roman"/>
          <w:sz w:val="24"/>
          <w:szCs w:val="24"/>
        </w:rPr>
        <w:t xml:space="preserve"> en</w:t>
      </w:r>
      <w:r w:rsidR="00AE6CB8" w:rsidRPr="00DC6CB0">
        <w:rPr>
          <w:rFonts w:ascii="Times New Roman" w:hAnsi="Times New Roman" w:cs="Times New Roman"/>
          <w:sz w:val="24"/>
          <w:szCs w:val="24"/>
        </w:rPr>
        <w:t xml:space="preserve"> </w:t>
      </w:r>
      <w:r w:rsidR="00646D44" w:rsidRPr="00DC6CB0">
        <w:rPr>
          <w:rFonts w:ascii="Times New Roman" w:hAnsi="Times New Roman" w:cs="Times New Roman"/>
          <w:sz w:val="24"/>
          <w:szCs w:val="24"/>
        </w:rPr>
        <w:t>informes</w:t>
      </w:r>
      <w:r w:rsidR="00FC4E78">
        <w:rPr>
          <w:rFonts w:ascii="Times New Roman" w:hAnsi="Times New Roman" w:cs="Times New Roman"/>
          <w:sz w:val="24"/>
          <w:szCs w:val="24"/>
        </w:rPr>
        <w:t xml:space="preserve"> de años anteriores</w:t>
      </w:r>
      <w:r w:rsidR="00BE02FC">
        <w:rPr>
          <w:rFonts w:ascii="Times New Roman" w:hAnsi="Times New Roman" w:cs="Times New Roman"/>
          <w:sz w:val="24"/>
          <w:szCs w:val="24"/>
        </w:rPr>
        <w:t xml:space="preserve"> comunicados a la Junta Directiva de la CCSS y al Comité de Vigilancia</w:t>
      </w:r>
      <w:r w:rsidR="00D33FFC" w:rsidRPr="00DC6CB0">
        <w:rPr>
          <w:rFonts w:ascii="Times New Roman" w:hAnsi="Times New Roman" w:cs="Times New Roman"/>
          <w:sz w:val="24"/>
          <w:szCs w:val="24"/>
        </w:rPr>
        <w:t>.</w:t>
      </w:r>
      <w:r w:rsidR="002D3E0F" w:rsidRPr="00125F2A">
        <w:rPr>
          <w:rFonts w:ascii="Times New Roman" w:hAnsi="Times New Roman" w:cs="Times New Roman"/>
          <w:sz w:val="24"/>
          <w:szCs w:val="24"/>
        </w:rPr>
        <w:t xml:space="preserve"> </w:t>
      </w:r>
    </w:p>
    <w:p w14:paraId="73ADC964" w14:textId="63B6DA55" w:rsidR="00DF773D" w:rsidRPr="00C54679" w:rsidRDefault="00DF773D" w:rsidP="00283A51">
      <w:pPr>
        <w:pStyle w:val="Ttulo1"/>
        <w:numPr>
          <w:ilvl w:val="0"/>
          <w:numId w:val="3"/>
        </w:numPr>
        <w:spacing w:before="120"/>
        <w:rPr>
          <w:i w:val="0"/>
          <w:iCs w:val="0"/>
          <w:lang w:eastAsia="es-ES_tradnl"/>
        </w:rPr>
      </w:pPr>
      <w:bookmarkStart w:id="13" w:name="_Toc496194188"/>
      <w:r w:rsidRPr="00C54679">
        <w:rPr>
          <w:i w:val="0"/>
          <w:iCs w:val="0"/>
          <w:lang w:eastAsia="es-ES_tradnl"/>
        </w:rPr>
        <w:t>Evolución de asegurados directos e indirectos</w:t>
      </w:r>
      <w:bookmarkEnd w:id="13"/>
    </w:p>
    <w:p w14:paraId="6D13E548" w14:textId="77777777" w:rsidR="00FA468C" w:rsidRPr="00E143AF" w:rsidRDefault="00FA468C" w:rsidP="00A81AE0">
      <w:pPr>
        <w:spacing w:after="0" w:line="240" w:lineRule="auto"/>
        <w:jc w:val="both"/>
        <w:rPr>
          <w:rFonts w:ascii="Times New Roman" w:hAnsi="Times New Roman" w:cs="Times New Roman"/>
          <w:sz w:val="24"/>
          <w:szCs w:val="24"/>
          <w:highlight w:val="yellow"/>
          <w:lang w:eastAsia="es-ES_tradnl"/>
        </w:rPr>
      </w:pPr>
    </w:p>
    <w:p w14:paraId="2F4FE0FC" w14:textId="4691CC30" w:rsidR="00DF773D" w:rsidRPr="00C54679" w:rsidRDefault="00DF773D" w:rsidP="00DF773D">
      <w:pPr>
        <w:spacing w:after="240"/>
        <w:jc w:val="both"/>
        <w:rPr>
          <w:rFonts w:ascii="Times New Roman" w:hAnsi="Times New Roman" w:cs="Times New Roman"/>
          <w:sz w:val="24"/>
          <w:szCs w:val="24"/>
          <w:lang w:eastAsia="es-ES_tradnl"/>
        </w:rPr>
      </w:pPr>
      <w:r w:rsidRPr="00C54679">
        <w:rPr>
          <w:rFonts w:ascii="Times New Roman" w:hAnsi="Times New Roman" w:cs="Times New Roman"/>
          <w:sz w:val="24"/>
          <w:szCs w:val="24"/>
          <w:lang w:eastAsia="es-ES_tradnl"/>
        </w:rPr>
        <w:t>En el periodo comprendido entre el año 20</w:t>
      </w:r>
      <w:r w:rsidR="000247E9" w:rsidRPr="00C54679">
        <w:rPr>
          <w:rFonts w:ascii="Times New Roman" w:hAnsi="Times New Roman" w:cs="Times New Roman"/>
          <w:sz w:val="24"/>
          <w:szCs w:val="24"/>
          <w:lang w:eastAsia="es-ES_tradnl"/>
        </w:rPr>
        <w:t>1</w:t>
      </w:r>
      <w:r w:rsidR="00C54679" w:rsidRPr="00C54679">
        <w:rPr>
          <w:rFonts w:ascii="Times New Roman" w:hAnsi="Times New Roman" w:cs="Times New Roman"/>
          <w:sz w:val="24"/>
          <w:szCs w:val="24"/>
          <w:lang w:eastAsia="es-ES_tradnl"/>
        </w:rPr>
        <w:t>1</w:t>
      </w:r>
      <w:r w:rsidRPr="00C54679">
        <w:rPr>
          <w:rFonts w:ascii="Times New Roman" w:hAnsi="Times New Roman" w:cs="Times New Roman"/>
          <w:sz w:val="24"/>
          <w:szCs w:val="24"/>
          <w:lang w:eastAsia="es-ES_tradnl"/>
        </w:rPr>
        <w:t xml:space="preserve"> y 201</w:t>
      </w:r>
      <w:r w:rsidR="00C54679" w:rsidRPr="00C54679">
        <w:rPr>
          <w:rFonts w:ascii="Times New Roman" w:hAnsi="Times New Roman" w:cs="Times New Roman"/>
          <w:sz w:val="24"/>
          <w:szCs w:val="24"/>
          <w:lang w:eastAsia="es-ES_tradnl"/>
        </w:rPr>
        <w:t>6</w:t>
      </w:r>
      <w:r w:rsidRPr="00C54679">
        <w:rPr>
          <w:rFonts w:ascii="Times New Roman" w:hAnsi="Times New Roman" w:cs="Times New Roman"/>
          <w:sz w:val="24"/>
          <w:szCs w:val="24"/>
          <w:lang w:eastAsia="es-ES_tradnl"/>
        </w:rPr>
        <w:t xml:space="preserve">, </w:t>
      </w:r>
      <w:r w:rsidR="004B65AF" w:rsidRPr="00C54679">
        <w:rPr>
          <w:rFonts w:ascii="Times New Roman" w:hAnsi="Times New Roman" w:cs="Times New Roman"/>
          <w:sz w:val="24"/>
          <w:szCs w:val="24"/>
          <w:lang w:eastAsia="es-ES_tradnl"/>
        </w:rPr>
        <w:t>hubo un aumento de trabajadores independientes</w:t>
      </w:r>
      <w:r w:rsidRPr="00C54679">
        <w:rPr>
          <w:rFonts w:ascii="Times New Roman" w:hAnsi="Times New Roman" w:cs="Times New Roman"/>
          <w:sz w:val="24"/>
          <w:szCs w:val="24"/>
          <w:lang w:eastAsia="es-ES_tradnl"/>
        </w:rPr>
        <w:t xml:space="preserve"> </w:t>
      </w:r>
      <w:r w:rsidR="004B65AF" w:rsidRPr="00C54679">
        <w:rPr>
          <w:rFonts w:ascii="Times New Roman" w:hAnsi="Times New Roman" w:cs="Times New Roman"/>
          <w:sz w:val="24"/>
          <w:szCs w:val="24"/>
          <w:lang w:eastAsia="es-ES_tradnl"/>
        </w:rPr>
        <w:t>de</w:t>
      </w:r>
      <w:r w:rsidRPr="00C54679">
        <w:rPr>
          <w:rFonts w:ascii="Times New Roman" w:hAnsi="Times New Roman" w:cs="Times New Roman"/>
          <w:sz w:val="24"/>
          <w:szCs w:val="24"/>
          <w:lang w:eastAsia="es-ES_tradnl"/>
        </w:rPr>
        <w:t xml:space="preserve"> un </w:t>
      </w:r>
      <w:r w:rsidR="000247E9" w:rsidRPr="00C54679">
        <w:rPr>
          <w:rFonts w:ascii="Times New Roman" w:hAnsi="Times New Roman" w:cs="Times New Roman"/>
          <w:sz w:val="24"/>
          <w:szCs w:val="24"/>
          <w:lang w:eastAsia="es-ES_tradnl"/>
        </w:rPr>
        <w:t>1</w:t>
      </w:r>
      <w:r w:rsidR="00C54679" w:rsidRPr="00C54679">
        <w:rPr>
          <w:rFonts w:ascii="Times New Roman" w:hAnsi="Times New Roman" w:cs="Times New Roman"/>
          <w:sz w:val="24"/>
          <w:szCs w:val="24"/>
          <w:lang w:eastAsia="es-ES_tradnl"/>
        </w:rPr>
        <w:t>2</w:t>
      </w:r>
      <w:r w:rsidRPr="00C54679">
        <w:rPr>
          <w:rFonts w:ascii="Times New Roman" w:hAnsi="Times New Roman" w:cs="Times New Roman"/>
          <w:sz w:val="24"/>
          <w:szCs w:val="24"/>
          <w:lang w:eastAsia="es-ES_tradnl"/>
        </w:rPr>
        <w:t>,</w:t>
      </w:r>
      <w:r w:rsidR="00C54679" w:rsidRPr="00C54679">
        <w:rPr>
          <w:rFonts w:ascii="Times New Roman" w:hAnsi="Times New Roman" w:cs="Times New Roman"/>
          <w:sz w:val="24"/>
          <w:szCs w:val="24"/>
          <w:lang w:eastAsia="es-ES_tradnl"/>
        </w:rPr>
        <w:t>2</w:t>
      </w:r>
      <w:r w:rsidR="008B2E95" w:rsidRPr="00C54679">
        <w:rPr>
          <w:rFonts w:ascii="Times New Roman" w:hAnsi="Times New Roman" w:cs="Times New Roman"/>
          <w:sz w:val="24"/>
          <w:szCs w:val="24"/>
          <w:lang w:eastAsia="es-ES_tradnl"/>
        </w:rPr>
        <w:t>% (</w:t>
      </w:r>
      <w:r w:rsidR="00C54679" w:rsidRPr="00C54679">
        <w:rPr>
          <w:rFonts w:ascii="Times New Roman" w:hAnsi="Times New Roman" w:cs="Times New Roman"/>
          <w:sz w:val="24"/>
          <w:szCs w:val="24"/>
          <w:lang w:eastAsia="es-ES_tradnl"/>
        </w:rPr>
        <w:t>39</w:t>
      </w:r>
      <w:r w:rsidRPr="00C54679">
        <w:rPr>
          <w:rFonts w:ascii="Times New Roman" w:hAnsi="Times New Roman" w:cs="Times New Roman"/>
          <w:sz w:val="24"/>
          <w:szCs w:val="24"/>
          <w:lang w:eastAsia="es-ES_tradnl"/>
        </w:rPr>
        <w:t>.</w:t>
      </w:r>
      <w:r w:rsidR="00C54679" w:rsidRPr="00C54679">
        <w:rPr>
          <w:rFonts w:ascii="Times New Roman" w:hAnsi="Times New Roman" w:cs="Times New Roman"/>
          <w:sz w:val="24"/>
          <w:szCs w:val="24"/>
          <w:lang w:eastAsia="es-ES_tradnl"/>
        </w:rPr>
        <w:t>485</w:t>
      </w:r>
      <w:r w:rsidRPr="00C54679">
        <w:rPr>
          <w:rFonts w:ascii="Times New Roman" w:hAnsi="Times New Roman" w:cs="Times New Roman"/>
          <w:sz w:val="24"/>
          <w:szCs w:val="24"/>
          <w:lang w:eastAsia="es-ES_tradnl"/>
        </w:rPr>
        <w:t xml:space="preserve"> personas); </w:t>
      </w:r>
      <w:r w:rsidR="00CB28FC" w:rsidRPr="00C54679">
        <w:rPr>
          <w:rFonts w:ascii="Times New Roman" w:hAnsi="Times New Roman" w:cs="Times New Roman"/>
          <w:sz w:val="24"/>
          <w:szCs w:val="24"/>
          <w:lang w:eastAsia="es-ES_tradnl"/>
        </w:rPr>
        <w:t>mientras que</w:t>
      </w:r>
      <w:r w:rsidRPr="00C54679">
        <w:rPr>
          <w:rFonts w:ascii="Times New Roman" w:hAnsi="Times New Roman" w:cs="Times New Roman"/>
          <w:sz w:val="24"/>
          <w:szCs w:val="24"/>
          <w:lang w:eastAsia="es-ES_tradnl"/>
        </w:rPr>
        <w:t xml:space="preserve"> los trabajadores asalariados aumentaron un </w:t>
      </w:r>
      <w:r w:rsidR="00CB28FC" w:rsidRPr="00C54679">
        <w:rPr>
          <w:rFonts w:ascii="Times New Roman" w:hAnsi="Times New Roman" w:cs="Times New Roman"/>
          <w:sz w:val="24"/>
          <w:szCs w:val="24"/>
          <w:lang w:eastAsia="es-ES_tradnl"/>
        </w:rPr>
        <w:t>1</w:t>
      </w:r>
      <w:r w:rsidR="00C54679" w:rsidRPr="00C54679">
        <w:rPr>
          <w:rFonts w:ascii="Times New Roman" w:hAnsi="Times New Roman" w:cs="Times New Roman"/>
          <w:sz w:val="24"/>
          <w:szCs w:val="24"/>
          <w:lang w:eastAsia="es-ES_tradnl"/>
        </w:rPr>
        <w:t>1</w:t>
      </w:r>
      <w:r w:rsidRPr="00C54679">
        <w:rPr>
          <w:rFonts w:ascii="Times New Roman" w:hAnsi="Times New Roman" w:cs="Times New Roman"/>
          <w:sz w:val="24"/>
          <w:szCs w:val="24"/>
          <w:lang w:eastAsia="es-ES_tradnl"/>
        </w:rPr>
        <w:t>,</w:t>
      </w:r>
      <w:r w:rsidR="00C54679" w:rsidRPr="00C54679">
        <w:rPr>
          <w:rFonts w:ascii="Times New Roman" w:hAnsi="Times New Roman" w:cs="Times New Roman"/>
          <w:sz w:val="24"/>
          <w:szCs w:val="24"/>
          <w:lang w:eastAsia="es-ES_tradnl"/>
        </w:rPr>
        <w:t>8</w:t>
      </w:r>
      <w:r w:rsidRPr="00C54679">
        <w:rPr>
          <w:rFonts w:ascii="Times New Roman" w:hAnsi="Times New Roman" w:cs="Times New Roman"/>
          <w:sz w:val="24"/>
          <w:szCs w:val="24"/>
          <w:lang w:eastAsia="es-ES_tradnl"/>
        </w:rPr>
        <w:t>% (</w:t>
      </w:r>
      <w:r w:rsidR="00CB28FC" w:rsidRPr="00C54679">
        <w:rPr>
          <w:rFonts w:ascii="Times New Roman" w:hAnsi="Times New Roman" w:cs="Times New Roman"/>
          <w:sz w:val="24"/>
          <w:szCs w:val="24"/>
          <w:lang w:eastAsia="es-ES_tradnl"/>
        </w:rPr>
        <w:t>12</w:t>
      </w:r>
      <w:r w:rsidR="00C54679" w:rsidRPr="00C54679">
        <w:rPr>
          <w:rFonts w:ascii="Times New Roman" w:hAnsi="Times New Roman" w:cs="Times New Roman"/>
          <w:sz w:val="24"/>
          <w:szCs w:val="24"/>
          <w:lang w:eastAsia="es-ES_tradnl"/>
        </w:rPr>
        <w:t>1</w:t>
      </w:r>
      <w:r w:rsidRPr="00C54679">
        <w:rPr>
          <w:rFonts w:ascii="Times New Roman" w:hAnsi="Times New Roman" w:cs="Times New Roman"/>
          <w:sz w:val="24"/>
          <w:szCs w:val="24"/>
          <w:lang w:eastAsia="es-ES_tradnl"/>
        </w:rPr>
        <w:t>.</w:t>
      </w:r>
      <w:r w:rsidR="00C54679" w:rsidRPr="00C54679">
        <w:rPr>
          <w:rFonts w:ascii="Times New Roman" w:hAnsi="Times New Roman" w:cs="Times New Roman"/>
          <w:sz w:val="24"/>
          <w:szCs w:val="24"/>
          <w:lang w:eastAsia="es-ES_tradnl"/>
        </w:rPr>
        <w:t>52</w:t>
      </w:r>
      <w:r w:rsidR="00A81751" w:rsidRPr="00C54679">
        <w:rPr>
          <w:rFonts w:ascii="Times New Roman" w:hAnsi="Times New Roman" w:cs="Times New Roman"/>
          <w:sz w:val="24"/>
          <w:szCs w:val="24"/>
          <w:lang w:eastAsia="es-ES_tradnl"/>
        </w:rPr>
        <w:t>8</w:t>
      </w:r>
      <w:r w:rsidRPr="00C54679">
        <w:rPr>
          <w:rFonts w:ascii="Times New Roman" w:hAnsi="Times New Roman" w:cs="Times New Roman"/>
          <w:sz w:val="24"/>
          <w:szCs w:val="24"/>
          <w:lang w:eastAsia="es-ES_tradnl"/>
        </w:rPr>
        <w:t xml:space="preserve"> personas).</w:t>
      </w:r>
    </w:p>
    <w:p w14:paraId="2676F7B1" w14:textId="778B3284" w:rsidR="00DF773D" w:rsidRPr="007B2B3A" w:rsidRDefault="00DF773D" w:rsidP="00DF773D">
      <w:pPr>
        <w:spacing w:after="240"/>
        <w:jc w:val="both"/>
        <w:rPr>
          <w:rFonts w:ascii="Times New Roman" w:hAnsi="Times New Roman" w:cs="Times New Roman"/>
          <w:sz w:val="24"/>
          <w:szCs w:val="24"/>
          <w:lang w:eastAsia="es-ES_tradnl"/>
        </w:rPr>
      </w:pPr>
      <w:r w:rsidRPr="007B2B3A">
        <w:rPr>
          <w:rFonts w:ascii="Times New Roman" w:hAnsi="Times New Roman" w:cs="Times New Roman"/>
          <w:sz w:val="24"/>
          <w:szCs w:val="24"/>
          <w:lang w:eastAsia="es-ES_tradnl"/>
        </w:rPr>
        <w:t>La situación expuesta incide directamente en los ingresos del RIVM, debido a que los trabajadores independientes, por lo general, presentan una mayor volatilidad en el pago de las cotizaciones y una parte sustantiva</w:t>
      </w:r>
      <w:r w:rsidR="00C90BB7" w:rsidRPr="007B2B3A">
        <w:rPr>
          <w:rFonts w:ascii="Times New Roman" w:hAnsi="Times New Roman" w:cs="Times New Roman"/>
          <w:sz w:val="24"/>
          <w:szCs w:val="24"/>
          <w:lang w:eastAsia="es-ES_tradnl"/>
        </w:rPr>
        <w:t xml:space="preserve"> </w:t>
      </w:r>
      <w:r w:rsidRPr="007B2B3A">
        <w:rPr>
          <w:rFonts w:ascii="Times New Roman" w:hAnsi="Times New Roman" w:cs="Times New Roman"/>
          <w:sz w:val="24"/>
          <w:szCs w:val="24"/>
          <w:lang w:eastAsia="es-ES_tradnl"/>
        </w:rPr>
        <w:t>de los aportes</w:t>
      </w:r>
      <w:r w:rsidR="00A724B6" w:rsidRPr="007B2B3A">
        <w:rPr>
          <w:rFonts w:ascii="Times New Roman" w:hAnsi="Times New Roman" w:cs="Times New Roman"/>
          <w:sz w:val="24"/>
          <w:szCs w:val="24"/>
          <w:lang w:eastAsia="es-ES_tradnl"/>
        </w:rPr>
        <w:t xml:space="preserve"> </w:t>
      </w:r>
      <w:r w:rsidR="00765D3B" w:rsidRPr="007B2B3A">
        <w:rPr>
          <w:rFonts w:ascii="Times New Roman" w:hAnsi="Times New Roman" w:cs="Times New Roman"/>
          <w:sz w:val="24"/>
          <w:szCs w:val="24"/>
          <w:lang w:eastAsia="es-ES_tradnl"/>
        </w:rPr>
        <w:t>está a cargo</w:t>
      </w:r>
      <w:r w:rsidR="00C90BB7" w:rsidRPr="007B2B3A">
        <w:rPr>
          <w:rFonts w:ascii="Times New Roman" w:hAnsi="Times New Roman" w:cs="Times New Roman"/>
          <w:sz w:val="24"/>
          <w:szCs w:val="24"/>
          <w:lang w:eastAsia="es-ES_tradnl"/>
        </w:rPr>
        <w:t xml:space="preserve"> del Estad</w:t>
      </w:r>
      <w:r w:rsidR="00A724B6" w:rsidRPr="007B2B3A">
        <w:rPr>
          <w:rFonts w:ascii="Times New Roman" w:hAnsi="Times New Roman" w:cs="Times New Roman"/>
          <w:sz w:val="24"/>
          <w:szCs w:val="24"/>
          <w:lang w:eastAsia="es-ES_tradnl"/>
        </w:rPr>
        <w:t xml:space="preserve">o; </w:t>
      </w:r>
      <w:r w:rsidR="00D97213" w:rsidRPr="007B2B3A">
        <w:rPr>
          <w:rFonts w:ascii="Times New Roman" w:hAnsi="Times New Roman" w:cs="Times New Roman"/>
          <w:sz w:val="24"/>
          <w:szCs w:val="24"/>
          <w:lang w:eastAsia="es-ES_tradnl"/>
        </w:rPr>
        <w:t>por ejemplo, en la primera categoría de la escala contributiva, un 4.</w:t>
      </w:r>
      <w:r w:rsidR="007B2B3A" w:rsidRPr="007B2B3A">
        <w:rPr>
          <w:rFonts w:ascii="Times New Roman" w:hAnsi="Times New Roman" w:cs="Times New Roman"/>
          <w:sz w:val="24"/>
          <w:szCs w:val="24"/>
          <w:lang w:eastAsia="es-ES_tradnl"/>
        </w:rPr>
        <w:t>64</w:t>
      </w:r>
      <w:r w:rsidR="00D97213" w:rsidRPr="007B2B3A">
        <w:rPr>
          <w:rFonts w:ascii="Times New Roman" w:hAnsi="Times New Roman" w:cs="Times New Roman"/>
          <w:sz w:val="24"/>
          <w:szCs w:val="24"/>
          <w:lang w:eastAsia="es-ES_tradnl"/>
        </w:rPr>
        <w:t>%.</w:t>
      </w:r>
    </w:p>
    <w:p w14:paraId="3D091A77" w14:textId="4BA3D0CA" w:rsidR="00FE53FB" w:rsidRPr="00590375" w:rsidRDefault="00646D44" w:rsidP="00833385">
      <w:pPr>
        <w:spacing w:after="240"/>
        <w:jc w:val="both"/>
        <w:rPr>
          <w:rFonts w:ascii="Times New Roman" w:hAnsi="Times New Roman" w:cs="Times New Roman"/>
          <w:sz w:val="24"/>
          <w:szCs w:val="24"/>
          <w:lang w:eastAsia="es-ES_tradnl"/>
        </w:rPr>
      </w:pPr>
      <w:r w:rsidRPr="00590375">
        <w:rPr>
          <w:rFonts w:ascii="Times New Roman" w:hAnsi="Times New Roman" w:cs="Times New Roman"/>
          <w:sz w:val="24"/>
          <w:szCs w:val="24"/>
          <w:lang w:eastAsia="es-ES_tradnl"/>
        </w:rPr>
        <w:t>Aunque se reconoce que el aseguramiento voluntario</w:t>
      </w:r>
      <w:r w:rsidR="00FE53FB" w:rsidRPr="00590375">
        <w:rPr>
          <w:rFonts w:ascii="Times New Roman" w:hAnsi="Times New Roman" w:cs="Times New Roman"/>
          <w:sz w:val="24"/>
          <w:szCs w:val="24"/>
          <w:lang w:eastAsia="es-ES_tradnl"/>
        </w:rPr>
        <w:t xml:space="preserve"> o por cuenta propia con </w:t>
      </w:r>
      <w:r w:rsidRPr="00590375">
        <w:rPr>
          <w:rFonts w:ascii="Times New Roman" w:hAnsi="Times New Roman" w:cs="Times New Roman"/>
          <w:sz w:val="24"/>
          <w:szCs w:val="24"/>
          <w:lang w:eastAsia="es-ES_tradnl"/>
        </w:rPr>
        <w:t>la figura del trabajador independiente es muy importante</w:t>
      </w:r>
      <w:r w:rsidR="007C00AF" w:rsidRPr="00590375">
        <w:rPr>
          <w:rFonts w:ascii="Times New Roman" w:hAnsi="Times New Roman" w:cs="Times New Roman"/>
          <w:sz w:val="24"/>
          <w:szCs w:val="24"/>
          <w:lang w:eastAsia="es-ES_tradnl"/>
        </w:rPr>
        <w:t xml:space="preserve"> para la universalización de las pensiones</w:t>
      </w:r>
      <w:r w:rsidRPr="00590375">
        <w:rPr>
          <w:rFonts w:ascii="Times New Roman" w:hAnsi="Times New Roman" w:cs="Times New Roman"/>
          <w:sz w:val="24"/>
          <w:szCs w:val="24"/>
          <w:lang w:eastAsia="es-ES_tradnl"/>
        </w:rPr>
        <w:t xml:space="preserve">, eventualmente </w:t>
      </w:r>
      <w:r w:rsidR="00FE53FB" w:rsidRPr="00590375">
        <w:rPr>
          <w:rFonts w:ascii="Times New Roman" w:hAnsi="Times New Roman" w:cs="Times New Roman"/>
          <w:sz w:val="24"/>
          <w:szCs w:val="24"/>
          <w:lang w:eastAsia="es-ES_tradnl"/>
        </w:rPr>
        <w:t xml:space="preserve">esta modalidad </w:t>
      </w:r>
      <w:r w:rsidR="007D7B18" w:rsidRPr="00590375">
        <w:rPr>
          <w:rFonts w:ascii="Times New Roman" w:hAnsi="Times New Roman" w:cs="Times New Roman"/>
          <w:sz w:val="24"/>
          <w:szCs w:val="24"/>
          <w:lang w:eastAsia="es-ES_tradnl"/>
        </w:rPr>
        <w:t xml:space="preserve">podría </w:t>
      </w:r>
      <w:r w:rsidR="00A724B6" w:rsidRPr="00590375">
        <w:rPr>
          <w:rFonts w:ascii="Times New Roman" w:hAnsi="Times New Roman" w:cs="Times New Roman"/>
          <w:sz w:val="24"/>
          <w:szCs w:val="24"/>
          <w:lang w:eastAsia="es-ES_tradnl"/>
        </w:rPr>
        <w:t>estar siendo aprovechada</w:t>
      </w:r>
      <w:r w:rsidR="00E31E9F" w:rsidRPr="00590375">
        <w:rPr>
          <w:rFonts w:ascii="Times New Roman" w:hAnsi="Times New Roman" w:cs="Times New Roman"/>
          <w:sz w:val="24"/>
          <w:szCs w:val="24"/>
          <w:lang w:eastAsia="es-ES_tradnl"/>
        </w:rPr>
        <w:t xml:space="preserve"> (Ver cuadro 1)</w:t>
      </w:r>
      <w:r w:rsidRPr="00590375">
        <w:rPr>
          <w:rFonts w:ascii="Times New Roman" w:hAnsi="Times New Roman" w:cs="Times New Roman"/>
          <w:sz w:val="24"/>
          <w:szCs w:val="24"/>
          <w:lang w:eastAsia="es-ES_tradnl"/>
        </w:rPr>
        <w:t>, por ejemplo</w:t>
      </w:r>
      <w:r w:rsidR="00A724B6" w:rsidRPr="00590375">
        <w:rPr>
          <w:rFonts w:ascii="Times New Roman" w:hAnsi="Times New Roman" w:cs="Times New Roman"/>
          <w:sz w:val="24"/>
          <w:szCs w:val="24"/>
          <w:lang w:eastAsia="es-ES_tradnl"/>
        </w:rPr>
        <w:t>, por</w:t>
      </w:r>
      <w:r w:rsidRPr="00590375">
        <w:rPr>
          <w:rFonts w:ascii="Times New Roman" w:hAnsi="Times New Roman" w:cs="Times New Roman"/>
          <w:sz w:val="24"/>
          <w:szCs w:val="24"/>
          <w:lang w:eastAsia="es-ES_tradnl"/>
        </w:rPr>
        <w:t xml:space="preserve"> los profesionales o trabajadores con ingresos altos</w:t>
      </w:r>
      <w:r w:rsidR="00FE53FB" w:rsidRPr="00590375">
        <w:rPr>
          <w:rFonts w:ascii="Times New Roman" w:hAnsi="Times New Roman" w:cs="Times New Roman"/>
          <w:sz w:val="24"/>
          <w:szCs w:val="24"/>
          <w:lang w:eastAsia="es-ES_tradnl"/>
        </w:rPr>
        <w:t xml:space="preserve">, </w:t>
      </w:r>
      <w:r w:rsidR="00A724B6" w:rsidRPr="00590375">
        <w:rPr>
          <w:rFonts w:ascii="Times New Roman" w:hAnsi="Times New Roman" w:cs="Times New Roman"/>
          <w:sz w:val="24"/>
          <w:szCs w:val="24"/>
          <w:lang w:eastAsia="es-ES_tradnl"/>
        </w:rPr>
        <w:t>quienes incurrirían en</w:t>
      </w:r>
      <w:r w:rsidR="00FE53FB" w:rsidRPr="00590375">
        <w:rPr>
          <w:rFonts w:ascii="Times New Roman" w:hAnsi="Times New Roman" w:cs="Times New Roman"/>
          <w:sz w:val="24"/>
          <w:szCs w:val="24"/>
          <w:lang w:eastAsia="es-ES_tradnl"/>
        </w:rPr>
        <w:t xml:space="preserve"> una </w:t>
      </w:r>
      <w:r w:rsidR="00EE5FBD" w:rsidRPr="00590375">
        <w:rPr>
          <w:rFonts w:ascii="Times New Roman" w:hAnsi="Times New Roman" w:cs="Times New Roman"/>
          <w:sz w:val="24"/>
          <w:szCs w:val="24"/>
          <w:lang w:eastAsia="es-ES_tradnl"/>
        </w:rPr>
        <w:t>su</w:t>
      </w:r>
      <w:r w:rsidR="0014116B" w:rsidRPr="00590375">
        <w:rPr>
          <w:rFonts w:ascii="Times New Roman" w:hAnsi="Times New Roman" w:cs="Times New Roman"/>
          <w:sz w:val="24"/>
          <w:szCs w:val="24"/>
          <w:lang w:eastAsia="es-ES_tradnl"/>
        </w:rPr>
        <w:t>b</w:t>
      </w:r>
      <w:r w:rsidR="00EE5FBD" w:rsidRPr="00590375">
        <w:rPr>
          <w:rFonts w:ascii="Times New Roman" w:hAnsi="Times New Roman" w:cs="Times New Roman"/>
          <w:sz w:val="24"/>
          <w:szCs w:val="24"/>
          <w:lang w:eastAsia="es-ES_tradnl"/>
        </w:rPr>
        <w:t>declaración</w:t>
      </w:r>
      <w:r w:rsidR="00A724B6" w:rsidRPr="00590375">
        <w:rPr>
          <w:rFonts w:ascii="Times New Roman" w:hAnsi="Times New Roman" w:cs="Times New Roman"/>
          <w:sz w:val="24"/>
          <w:szCs w:val="24"/>
          <w:lang w:eastAsia="es-ES_tradnl"/>
        </w:rPr>
        <w:t xml:space="preserve"> de los ingresos</w:t>
      </w:r>
      <w:r w:rsidR="00FE53FB" w:rsidRPr="00590375">
        <w:rPr>
          <w:rFonts w:ascii="Times New Roman" w:hAnsi="Times New Roman" w:cs="Times New Roman"/>
          <w:sz w:val="24"/>
          <w:szCs w:val="24"/>
          <w:lang w:eastAsia="es-ES_tradnl"/>
        </w:rPr>
        <w:t>.</w:t>
      </w:r>
      <w:r w:rsidRPr="00590375">
        <w:rPr>
          <w:rFonts w:ascii="Times New Roman" w:hAnsi="Times New Roman" w:cs="Times New Roman"/>
          <w:sz w:val="24"/>
          <w:szCs w:val="24"/>
          <w:lang w:eastAsia="es-ES_tradnl"/>
        </w:rPr>
        <w:t xml:space="preserve"> </w:t>
      </w:r>
    </w:p>
    <w:p w14:paraId="214926EB" w14:textId="63595403" w:rsidR="000100C7" w:rsidRPr="00590375" w:rsidRDefault="00FE53FB" w:rsidP="00833385">
      <w:pPr>
        <w:spacing w:after="240"/>
        <w:jc w:val="both"/>
        <w:rPr>
          <w:rFonts w:ascii="Times New Roman" w:hAnsi="Times New Roman" w:cs="Times New Roman"/>
          <w:sz w:val="24"/>
          <w:szCs w:val="24"/>
          <w:lang w:eastAsia="es-ES_tradnl"/>
        </w:rPr>
      </w:pPr>
      <w:r w:rsidRPr="00590375">
        <w:rPr>
          <w:rFonts w:ascii="Times New Roman" w:hAnsi="Times New Roman" w:cs="Times New Roman"/>
          <w:sz w:val="24"/>
          <w:szCs w:val="24"/>
          <w:lang w:eastAsia="es-ES_tradnl"/>
        </w:rPr>
        <w:t>El mecanismo</w:t>
      </w:r>
      <w:r w:rsidR="007C00AF" w:rsidRPr="00590375">
        <w:rPr>
          <w:rFonts w:ascii="Times New Roman" w:hAnsi="Times New Roman" w:cs="Times New Roman"/>
          <w:sz w:val="24"/>
          <w:szCs w:val="24"/>
          <w:lang w:eastAsia="es-ES_tradnl"/>
        </w:rPr>
        <w:t xml:space="preserve"> de aseguramiento</w:t>
      </w:r>
      <w:r w:rsidRPr="00590375">
        <w:rPr>
          <w:rFonts w:ascii="Times New Roman" w:hAnsi="Times New Roman" w:cs="Times New Roman"/>
          <w:sz w:val="24"/>
          <w:szCs w:val="24"/>
          <w:lang w:eastAsia="es-ES_tradnl"/>
        </w:rPr>
        <w:t xml:space="preserve"> antes indicado</w:t>
      </w:r>
      <w:r w:rsidR="00B32E39" w:rsidRPr="00590375">
        <w:rPr>
          <w:rFonts w:ascii="Times New Roman" w:hAnsi="Times New Roman" w:cs="Times New Roman"/>
          <w:sz w:val="24"/>
          <w:szCs w:val="24"/>
          <w:lang w:eastAsia="es-ES_tradnl"/>
        </w:rPr>
        <w:t xml:space="preserve">, también </w:t>
      </w:r>
      <w:r w:rsidRPr="00590375">
        <w:rPr>
          <w:rFonts w:ascii="Times New Roman" w:hAnsi="Times New Roman" w:cs="Times New Roman"/>
          <w:sz w:val="24"/>
          <w:szCs w:val="24"/>
          <w:lang w:eastAsia="es-ES_tradnl"/>
        </w:rPr>
        <w:t xml:space="preserve">podría estar siendo utilizado </w:t>
      </w:r>
      <w:r w:rsidR="00646D44" w:rsidRPr="00590375">
        <w:rPr>
          <w:rFonts w:ascii="Times New Roman" w:hAnsi="Times New Roman" w:cs="Times New Roman"/>
          <w:sz w:val="24"/>
          <w:szCs w:val="24"/>
          <w:lang w:eastAsia="es-ES_tradnl"/>
        </w:rPr>
        <w:t xml:space="preserve">por parte de algunos de los patronos para disminuir la carga impositiva </w:t>
      </w:r>
      <w:r w:rsidRPr="00590375">
        <w:rPr>
          <w:rFonts w:ascii="Times New Roman" w:hAnsi="Times New Roman" w:cs="Times New Roman"/>
          <w:sz w:val="24"/>
          <w:szCs w:val="24"/>
          <w:lang w:eastAsia="es-ES_tradnl"/>
        </w:rPr>
        <w:t>y evadir el</w:t>
      </w:r>
      <w:r w:rsidR="00646D44" w:rsidRPr="00590375">
        <w:rPr>
          <w:rFonts w:ascii="Times New Roman" w:hAnsi="Times New Roman" w:cs="Times New Roman"/>
          <w:sz w:val="24"/>
          <w:szCs w:val="24"/>
          <w:lang w:eastAsia="es-ES_tradnl"/>
        </w:rPr>
        <w:t xml:space="preserve"> pago de las cuotas a l</w:t>
      </w:r>
      <w:r w:rsidR="00B32E39" w:rsidRPr="00590375">
        <w:rPr>
          <w:rFonts w:ascii="Times New Roman" w:hAnsi="Times New Roman" w:cs="Times New Roman"/>
          <w:sz w:val="24"/>
          <w:szCs w:val="24"/>
          <w:lang w:eastAsia="es-ES_tradnl"/>
        </w:rPr>
        <w:t>a seguridad social, al obtener</w:t>
      </w:r>
      <w:r w:rsidR="00646D44" w:rsidRPr="00590375">
        <w:rPr>
          <w:rFonts w:ascii="Times New Roman" w:hAnsi="Times New Roman" w:cs="Times New Roman"/>
          <w:sz w:val="24"/>
          <w:szCs w:val="24"/>
          <w:lang w:eastAsia="es-ES_tradnl"/>
        </w:rPr>
        <w:t xml:space="preserve"> acuerdos </w:t>
      </w:r>
      <w:r w:rsidR="00B32E39" w:rsidRPr="00590375">
        <w:rPr>
          <w:rFonts w:ascii="Times New Roman" w:hAnsi="Times New Roman" w:cs="Times New Roman"/>
          <w:sz w:val="24"/>
          <w:szCs w:val="24"/>
          <w:lang w:eastAsia="es-ES_tradnl"/>
        </w:rPr>
        <w:t xml:space="preserve">con los </w:t>
      </w:r>
      <w:r w:rsidR="00646D44" w:rsidRPr="00590375">
        <w:rPr>
          <w:rFonts w:ascii="Times New Roman" w:hAnsi="Times New Roman" w:cs="Times New Roman"/>
          <w:sz w:val="24"/>
          <w:szCs w:val="24"/>
          <w:lang w:eastAsia="es-ES_tradnl"/>
        </w:rPr>
        <w:t>trabajadores</w:t>
      </w:r>
      <w:r w:rsidR="00B32E39" w:rsidRPr="00590375">
        <w:rPr>
          <w:rFonts w:ascii="Times New Roman" w:hAnsi="Times New Roman" w:cs="Times New Roman"/>
          <w:sz w:val="24"/>
          <w:szCs w:val="24"/>
          <w:lang w:eastAsia="es-ES_tradnl"/>
        </w:rPr>
        <w:t xml:space="preserve"> asalariados </w:t>
      </w:r>
      <w:r w:rsidR="00646D44" w:rsidRPr="00590375">
        <w:rPr>
          <w:rFonts w:ascii="Times New Roman" w:hAnsi="Times New Roman" w:cs="Times New Roman"/>
          <w:sz w:val="24"/>
          <w:szCs w:val="24"/>
          <w:lang w:eastAsia="es-ES_tradnl"/>
        </w:rPr>
        <w:t xml:space="preserve">para que la relación laboral de naturaleza permanente se </w:t>
      </w:r>
      <w:r w:rsidR="00352559" w:rsidRPr="00590375">
        <w:rPr>
          <w:rFonts w:ascii="Times New Roman" w:hAnsi="Times New Roman" w:cs="Times New Roman"/>
          <w:sz w:val="24"/>
          <w:szCs w:val="24"/>
          <w:lang w:eastAsia="es-ES_tradnl"/>
        </w:rPr>
        <w:t>cambie</w:t>
      </w:r>
      <w:r w:rsidR="00646D44" w:rsidRPr="00590375">
        <w:rPr>
          <w:rFonts w:ascii="Times New Roman" w:hAnsi="Times New Roman" w:cs="Times New Roman"/>
          <w:sz w:val="24"/>
          <w:szCs w:val="24"/>
          <w:lang w:eastAsia="es-ES_tradnl"/>
        </w:rPr>
        <w:t xml:space="preserve"> (</w:t>
      </w:r>
      <w:r w:rsidR="00352559" w:rsidRPr="00590375">
        <w:rPr>
          <w:rFonts w:ascii="Times New Roman" w:hAnsi="Times New Roman" w:cs="Times New Roman"/>
          <w:sz w:val="24"/>
          <w:szCs w:val="24"/>
          <w:lang w:eastAsia="es-ES_tradnl"/>
        </w:rPr>
        <w:t xml:space="preserve">el tema de </w:t>
      </w:r>
      <w:r w:rsidR="00646D44" w:rsidRPr="00590375">
        <w:rPr>
          <w:rFonts w:ascii="Times New Roman" w:hAnsi="Times New Roman" w:cs="Times New Roman"/>
          <w:sz w:val="24"/>
          <w:szCs w:val="24"/>
          <w:lang w:eastAsia="es-ES_tradnl"/>
        </w:rPr>
        <w:t xml:space="preserve">las cargas sociales podría </w:t>
      </w:r>
      <w:r w:rsidR="00646D44" w:rsidRPr="00590375">
        <w:rPr>
          <w:rFonts w:ascii="Times New Roman" w:hAnsi="Times New Roman" w:cs="Times New Roman"/>
          <w:sz w:val="24"/>
          <w:szCs w:val="24"/>
          <w:lang w:eastAsia="es-ES_tradnl"/>
        </w:rPr>
        <w:lastRenderedPageBreak/>
        <w:t>ser el motivo para buscar otras modalidades de contratación laboral o para utilizar</w:t>
      </w:r>
      <w:r w:rsidR="00352559" w:rsidRPr="00590375">
        <w:rPr>
          <w:rFonts w:ascii="Times New Roman" w:hAnsi="Times New Roman" w:cs="Times New Roman"/>
          <w:sz w:val="24"/>
          <w:szCs w:val="24"/>
          <w:lang w:eastAsia="es-ES_tradnl"/>
        </w:rPr>
        <w:t xml:space="preserve"> otros</w:t>
      </w:r>
      <w:r w:rsidR="00646D44" w:rsidRPr="00590375">
        <w:rPr>
          <w:rFonts w:ascii="Times New Roman" w:hAnsi="Times New Roman" w:cs="Times New Roman"/>
          <w:sz w:val="24"/>
          <w:szCs w:val="24"/>
          <w:lang w:eastAsia="es-ES_tradnl"/>
        </w:rPr>
        <w:t xml:space="preserve"> mecanismos</w:t>
      </w:r>
      <w:r w:rsidR="00352559" w:rsidRPr="00590375">
        <w:rPr>
          <w:rFonts w:ascii="Times New Roman" w:hAnsi="Times New Roman" w:cs="Times New Roman"/>
          <w:sz w:val="24"/>
          <w:szCs w:val="24"/>
          <w:lang w:eastAsia="es-ES_tradnl"/>
        </w:rPr>
        <w:t xml:space="preserve"> donde </w:t>
      </w:r>
      <w:r w:rsidR="00C860FA" w:rsidRPr="00590375">
        <w:rPr>
          <w:rFonts w:ascii="Times New Roman" w:hAnsi="Times New Roman" w:cs="Times New Roman"/>
          <w:sz w:val="24"/>
          <w:szCs w:val="24"/>
          <w:lang w:eastAsia="es-ES_tradnl"/>
        </w:rPr>
        <w:t xml:space="preserve">no </w:t>
      </w:r>
      <w:r w:rsidR="00102B5E" w:rsidRPr="00590375">
        <w:rPr>
          <w:rFonts w:ascii="Times New Roman" w:hAnsi="Times New Roman" w:cs="Times New Roman"/>
          <w:sz w:val="24"/>
          <w:szCs w:val="24"/>
          <w:lang w:eastAsia="es-ES_tradnl"/>
        </w:rPr>
        <w:t>existe</w:t>
      </w:r>
      <w:r w:rsidR="00646D44" w:rsidRPr="00590375">
        <w:rPr>
          <w:rFonts w:ascii="Times New Roman" w:hAnsi="Times New Roman" w:cs="Times New Roman"/>
          <w:sz w:val="24"/>
          <w:szCs w:val="24"/>
          <w:lang w:eastAsia="es-ES_tradnl"/>
        </w:rPr>
        <w:t xml:space="preserve"> </w:t>
      </w:r>
      <w:r w:rsidR="00352559" w:rsidRPr="00590375">
        <w:rPr>
          <w:rFonts w:ascii="Times New Roman" w:hAnsi="Times New Roman" w:cs="Times New Roman"/>
          <w:sz w:val="24"/>
          <w:szCs w:val="24"/>
          <w:lang w:eastAsia="es-ES_tradnl"/>
        </w:rPr>
        <w:t>en la</w:t>
      </w:r>
      <w:r w:rsidR="00646D44" w:rsidRPr="00590375">
        <w:rPr>
          <w:rFonts w:ascii="Times New Roman" w:hAnsi="Times New Roman" w:cs="Times New Roman"/>
          <w:sz w:val="24"/>
          <w:szCs w:val="24"/>
          <w:lang w:eastAsia="es-ES_tradnl"/>
        </w:rPr>
        <w:t xml:space="preserve"> relación laboral, con el objetivo de </w:t>
      </w:r>
      <w:r w:rsidR="00352559" w:rsidRPr="00590375">
        <w:rPr>
          <w:rFonts w:ascii="Times New Roman" w:hAnsi="Times New Roman" w:cs="Times New Roman"/>
          <w:sz w:val="24"/>
          <w:szCs w:val="24"/>
          <w:lang w:eastAsia="es-ES_tradnl"/>
        </w:rPr>
        <w:t>disminuir</w:t>
      </w:r>
      <w:r w:rsidR="00646D44" w:rsidRPr="00590375">
        <w:rPr>
          <w:rFonts w:ascii="Times New Roman" w:hAnsi="Times New Roman" w:cs="Times New Roman"/>
          <w:sz w:val="24"/>
          <w:szCs w:val="24"/>
          <w:lang w:eastAsia="es-ES_tradnl"/>
        </w:rPr>
        <w:t xml:space="preserve"> costos).</w:t>
      </w:r>
    </w:p>
    <w:p w14:paraId="0E66B720" w14:textId="77777777" w:rsidR="00E31E9F" w:rsidRPr="007B2B3A" w:rsidRDefault="00E31E9F" w:rsidP="00E31E9F">
      <w:pPr>
        <w:jc w:val="center"/>
        <w:rPr>
          <w:rFonts w:ascii="Times New Roman" w:hAnsi="Times New Roman" w:cs="Times New Roman"/>
          <w:b/>
          <w:sz w:val="24"/>
          <w:szCs w:val="24"/>
        </w:rPr>
      </w:pPr>
      <w:r w:rsidRPr="007B2B3A">
        <w:rPr>
          <w:rFonts w:ascii="Times New Roman" w:hAnsi="Times New Roman" w:cs="Times New Roman"/>
          <w:b/>
          <w:sz w:val="24"/>
          <w:szCs w:val="24"/>
        </w:rPr>
        <w:t>Cuadro 1</w:t>
      </w:r>
    </w:p>
    <w:p w14:paraId="158C117B" w14:textId="19DC70D5" w:rsidR="00E31E9F" w:rsidRPr="007B2B3A" w:rsidRDefault="00E31E9F" w:rsidP="00E31E9F">
      <w:pPr>
        <w:jc w:val="center"/>
        <w:rPr>
          <w:rFonts w:ascii="Times New Roman" w:eastAsia="Calibri" w:hAnsi="Times New Roman" w:cs="Times New Roman"/>
          <w:b/>
          <w:sz w:val="24"/>
          <w:szCs w:val="24"/>
        </w:rPr>
      </w:pPr>
      <w:r w:rsidRPr="007B2B3A">
        <w:rPr>
          <w:rFonts w:ascii="Times New Roman" w:eastAsia="Calibri" w:hAnsi="Times New Roman" w:cs="Times New Roman"/>
          <w:b/>
          <w:sz w:val="24"/>
          <w:szCs w:val="24"/>
        </w:rPr>
        <w:t>Estr</w:t>
      </w:r>
      <w:r w:rsidR="004879CB" w:rsidRPr="007B2B3A">
        <w:rPr>
          <w:rFonts w:ascii="Times New Roman" w:eastAsia="Calibri" w:hAnsi="Times New Roman" w:cs="Times New Roman"/>
          <w:b/>
          <w:sz w:val="24"/>
          <w:szCs w:val="24"/>
        </w:rPr>
        <w:t>uctura c</w:t>
      </w:r>
      <w:r w:rsidRPr="007B2B3A">
        <w:rPr>
          <w:rFonts w:ascii="Times New Roman" w:eastAsia="Calibri" w:hAnsi="Times New Roman" w:cs="Times New Roman"/>
          <w:b/>
          <w:sz w:val="24"/>
          <w:szCs w:val="24"/>
        </w:rPr>
        <w:t>ontributiva para los trabajadores independientes y asegurados voluntarios</w:t>
      </w:r>
      <w:r w:rsidR="00A77CF5" w:rsidRPr="007B2B3A">
        <w:rPr>
          <w:rFonts w:ascii="Times New Roman" w:eastAsia="Calibri" w:hAnsi="Times New Roman" w:cs="Times New Roman"/>
          <w:b/>
          <w:sz w:val="24"/>
          <w:szCs w:val="24"/>
        </w:rPr>
        <w:t xml:space="preserve"> </w:t>
      </w:r>
      <w:r w:rsidR="00E7722E" w:rsidRPr="007B2B3A">
        <w:rPr>
          <w:rFonts w:ascii="Times New Roman" w:eastAsia="Calibri" w:hAnsi="Times New Roman" w:cs="Times New Roman"/>
          <w:b/>
          <w:sz w:val="24"/>
          <w:szCs w:val="24"/>
        </w:rPr>
        <w:t>(de</w:t>
      </w:r>
      <w:r w:rsidR="0038616A" w:rsidRPr="007B2B3A">
        <w:rPr>
          <w:rFonts w:ascii="Times New Roman" w:eastAsia="Calibri" w:hAnsi="Times New Roman" w:cs="Times New Roman"/>
          <w:b/>
          <w:sz w:val="24"/>
          <w:szCs w:val="24"/>
        </w:rPr>
        <w:t xml:space="preserve"> </w:t>
      </w:r>
      <w:r w:rsidR="007B2B3A" w:rsidRPr="007B2B3A">
        <w:rPr>
          <w:rFonts w:ascii="Times New Roman" w:eastAsia="Calibri" w:hAnsi="Times New Roman" w:cs="Times New Roman"/>
          <w:b/>
          <w:sz w:val="24"/>
          <w:szCs w:val="24"/>
        </w:rPr>
        <w:t>enero a setiembre de 2</w:t>
      </w:r>
      <w:r w:rsidR="00E7722E" w:rsidRPr="007B2B3A">
        <w:rPr>
          <w:rFonts w:ascii="Times New Roman" w:eastAsia="Calibri" w:hAnsi="Times New Roman" w:cs="Times New Roman"/>
          <w:b/>
          <w:sz w:val="24"/>
          <w:szCs w:val="24"/>
        </w:rPr>
        <w:t>01</w:t>
      </w:r>
      <w:r w:rsidR="007B2B3A" w:rsidRPr="007B2B3A">
        <w:rPr>
          <w:rFonts w:ascii="Times New Roman" w:eastAsia="Calibri" w:hAnsi="Times New Roman" w:cs="Times New Roman"/>
          <w:b/>
          <w:sz w:val="24"/>
          <w:szCs w:val="24"/>
        </w:rPr>
        <w:t>7</w:t>
      </w:r>
      <w:r w:rsidR="00E7722E" w:rsidRPr="007B2B3A">
        <w:rPr>
          <w:rFonts w:ascii="Times New Roman" w:eastAsia="Calibri" w:hAnsi="Times New Roman" w:cs="Times New Roman"/>
          <w:b/>
          <w:sz w:val="24"/>
          <w:szCs w:val="24"/>
        </w:rPr>
        <w:t>)</w:t>
      </w:r>
    </w:p>
    <w:tbl>
      <w:tblPr>
        <w:tblStyle w:val="Tablaconcuadrcula"/>
        <w:tblW w:w="0" w:type="auto"/>
        <w:tblLook w:val="04A0" w:firstRow="1" w:lastRow="0" w:firstColumn="1" w:lastColumn="0" w:noHBand="0" w:noVBand="1"/>
      </w:tblPr>
      <w:tblGrid>
        <w:gridCol w:w="1813"/>
        <w:gridCol w:w="1016"/>
        <w:gridCol w:w="1162"/>
        <w:gridCol w:w="1217"/>
        <w:gridCol w:w="1192"/>
        <w:gridCol w:w="1162"/>
        <w:gridCol w:w="1217"/>
      </w:tblGrid>
      <w:tr w:rsidR="00A73A13" w:rsidRPr="007B2B3A" w14:paraId="19982B2D" w14:textId="77777777" w:rsidTr="004879CB">
        <w:trPr>
          <w:trHeight w:val="246"/>
        </w:trPr>
        <w:tc>
          <w:tcPr>
            <w:tcW w:w="8779" w:type="dxa"/>
            <w:gridSpan w:val="7"/>
            <w:tcBorders>
              <w:bottom w:val="single" w:sz="4" w:space="0" w:color="auto"/>
            </w:tcBorders>
            <w:shd w:val="clear" w:color="auto" w:fill="F2DBDB" w:themeFill="accent2" w:themeFillTint="33"/>
          </w:tcPr>
          <w:p w14:paraId="3D1DF06D" w14:textId="77777777" w:rsidR="004879CB" w:rsidRPr="007B2B3A" w:rsidRDefault="004879CB" w:rsidP="004879CB">
            <w:pPr>
              <w:jc w:val="center"/>
              <w:rPr>
                <w:rFonts w:eastAsia="Calibri"/>
                <w:sz w:val="24"/>
                <w:szCs w:val="24"/>
              </w:rPr>
            </w:pPr>
          </w:p>
          <w:p w14:paraId="398760C5" w14:textId="45EB6CDE" w:rsidR="004879CB" w:rsidRPr="007B2B3A" w:rsidRDefault="004879CB" w:rsidP="004879CB">
            <w:pPr>
              <w:jc w:val="center"/>
              <w:rPr>
                <w:rFonts w:eastAsia="Calibri"/>
                <w:sz w:val="24"/>
                <w:szCs w:val="24"/>
              </w:rPr>
            </w:pPr>
            <w:r w:rsidRPr="007B2B3A">
              <w:rPr>
                <w:rFonts w:eastAsia="Calibri"/>
                <w:sz w:val="24"/>
                <w:szCs w:val="24"/>
              </w:rPr>
              <w:t>NIVEL DE INGRESO                                                                                                       CONTRIBUCIÓN</w:t>
            </w:r>
          </w:p>
        </w:tc>
      </w:tr>
      <w:tr w:rsidR="007B2B3A" w:rsidRPr="007B2B3A" w14:paraId="63AD1FA4" w14:textId="77777777" w:rsidTr="004879CB">
        <w:tc>
          <w:tcPr>
            <w:tcW w:w="1844" w:type="dxa"/>
            <w:shd w:val="clear" w:color="auto" w:fill="DAEEF3" w:themeFill="accent5" w:themeFillTint="33"/>
          </w:tcPr>
          <w:p w14:paraId="5586B091" w14:textId="77777777" w:rsidR="004879CB" w:rsidRPr="007B2B3A" w:rsidRDefault="004879CB" w:rsidP="00E31E9F">
            <w:pPr>
              <w:jc w:val="center"/>
              <w:rPr>
                <w:rFonts w:eastAsia="Calibri"/>
                <w:sz w:val="24"/>
                <w:szCs w:val="24"/>
              </w:rPr>
            </w:pPr>
          </w:p>
          <w:p w14:paraId="7DBD2D5E" w14:textId="0C8CC39A" w:rsidR="00E31E9F" w:rsidRPr="007B2B3A" w:rsidRDefault="007B2B3A" w:rsidP="00084D13">
            <w:pPr>
              <w:rPr>
                <w:rFonts w:eastAsia="Calibri"/>
                <w:sz w:val="24"/>
                <w:szCs w:val="24"/>
              </w:rPr>
            </w:pPr>
            <w:r w:rsidRPr="007B2B3A">
              <w:rPr>
                <w:rFonts w:eastAsia="Calibri"/>
                <w:sz w:val="24"/>
                <w:szCs w:val="24"/>
              </w:rPr>
              <w:t>CATEGORIA</w:t>
            </w:r>
          </w:p>
        </w:tc>
        <w:tc>
          <w:tcPr>
            <w:tcW w:w="3277" w:type="dxa"/>
            <w:gridSpan w:val="3"/>
            <w:tcBorders>
              <w:bottom w:val="single" w:sz="4" w:space="0" w:color="auto"/>
            </w:tcBorders>
            <w:shd w:val="clear" w:color="auto" w:fill="DAEEF3" w:themeFill="accent5" w:themeFillTint="33"/>
          </w:tcPr>
          <w:p w14:paraId="5D826F0D" w14:textId="77777777" w:rsidR="00E31E9F" w:rsidRPr="007B2B3A" w:rsidRDefault="00E31E9F" w:rsidP="00E31E9F">
            <w:pPr>
              <w:jc w:val="center"/>
              <w:rPr>
                <w:rFonts w:eastAsia="Calibri"/>
                <w:sz w:val="24"/>
                <w:szCs w:val="24"/>
              </w:rPr>
            </w:pPr>
          </w:p>
          <w:p w14:paraId="6FEB21F5" w14:textId="77777777" w:rsidR="00E31E9F" w:rsidRPr="007B2B3A" w:rsidRDefault="00E31E9F" w:rsidP="00E31E9F">
            <w:pPr>
              <w:jc w:val="center"/>
              <w:rPr>
                <w:rFonts w:eastAsia="Calibri"/>
                <w:sz w:val="24"/>
                <w:szCs w:val="24"/>
              </w:rPr>
            </w:pPr>
            <w:r w:rsidRPr="007B2B3A">
              <w:rPr>
                <w:rFonts w:eastAsia="Calibri"/>
                <w:sz w:val="24"/>
                <w:szCs w:val="24"/>
              </w:rPr>
              <w:t>SEGURO DE SALUD</w:t>
            </w:r>
          </w:p>
        </w:tc>
        <w:tc>
          <w:tcPr>
            <w:tcW w:w="3658" w:type="dxa"/>
            <w:gridSpan w:val="3"/>
            <w:tcBorders>
              <w:bottom w:val="single" w:sz="4" w:space="0" w:color="auto"/>
            </w:tcBorders>
            <w:shd w:val="clear" w:color="auto" w:fill="DAEEF3" w:themeFill="accent5" w:themeFillTint="33"/>
          </w:tcPr>
          <w:p w14:paraId="2A82A4D9" w14:textId="77777777" w:rsidR="00E31E9F" w:rsidRPr="007B2B3A" w:rsidRDefault="00E31E9F" w:rsidP="00E31E9F">
            <w:pPr>
              <w:jc w:val="center"/>
              <w:rPr>
                <w:rFonts w:eastAsia="Calibri"/>
                <w:sz w:val="24"/>
                <w:szCs w:val="24"/>
              </w:rPr>
            </w:pPr>
          </w:p>
          <w:p w14:paraId="70FAE196" w14:textId="77777777" w:rsidR="00E31E9F" w:rsidRPr="007B2B3A" w:rsidRDefault="00E31E9F" w:rsidP="00E31E9F">
            <w:pPr>
              <w:jc w:val="center"/>
              <w:rPr>
                <w:rFonts w:eastAsia="Calibri"/>
                <w:sz w:val="24"/>
                <w:szCs w:val="24"/>
              </w:rPr>
            </w:pPr>
            <w:r w:rsidRPr="007B2B3A">
              <w:rPr>
                <w:rFonts w:eastAsia="Calibri"/>
                <w:sz w:val="24"/>
                <w:szCs w:val="24"/>
              </w:rPr>
              <w:t>SEGURO DE IVM</w:t>
            </w:r>
          </w:p>
        </w:tc>
      </w:tr>
      <w:tr w:rsidR="007B2B3A" w:rsidRPr="007B2B3A" w14:paraId="397E301D" w14:textId="77777777" w:rsidTr="004879CB">
        <w:trPr>
          <w:trHeight w:val="235"/>
        </w:trPr>
        <w:tc>
          <w:tcPr>
            <w:tcW w:w="1844" w:type="dxa"/>
          </w:tcPr>
          <w:p w14:paraId="03A3C301" w14:textId="77777777" w:rsidR="00E31E9F" w:rsidRPr="007B2B3A" w:rsidRDefault="00E31E9F" w:rsidP="00E31E9F">
            <w:pPr>
              <w:jc w:val="center"/>
              <w:rPr>
                <w:rFonts w:eastAsia="Calibri"/>
                <w:sz w:val="24"/>
                <w:szCs w:val="24"/>
              </w:rPr>
            </w:pPr>
          </w:p>
        </w:tc>
        <w:tc>
          <w:tcPr>
            <w:tcW w:w="837" w:type="dxa"/>
            <w:shd w:val="clear" w:color="auto" w:fill="EAF1DD" w:themeFill="accent3" w:themeFillTint="33"/>
          </w:tcPr>
          <w:p w14:paraId="3C7CAA78" w14:textId="77777777" w:rsidR="00E31E9F" w:rsidRPr="007B2B3A" w:rsidRDefault="00E31E9F" w:rsidP="00E31E9F">
            <w:pPr>
              <w:jc w:val="center"/>
              <w:rPr>
                <w:rFonts w:eastAsia="Calibri"/>
                <w:sz w:val="24"/>
                <w:szCs w:val="24"/>
              </w:rPr>
            </w:pPr>
            <w:r w:rsidRPr="007B2B3A">
              <w:rPr>
                <w:rFonts w:eastAsia="Calibri"/>
                <w:sz w:val="24"/>
                <w:szCs w:val="24"/>
              </w:rPr>
              <w:t>Afiliado</w:t>
            </w:r>
          </w:p>
        </w:tc>
        <w:tc>
          <w:tcPr>
            <w:tcW w:w="1205" w:type="dxa"/>
            <w:shd w:val="clear" w:color="auto" w:fill="EAF1DD" w:themeFill="accent3" w:themeFillTint="33"/>
          </w:tcPr>
          <w:p w14:paraId="15A4A4C6" w14:textId="77777777" w:rsidR="00E31E9F" w:rsidRPr="007B2B3A" w:rsidRDefault="00E31E9F" w:rsidP="00E31E9F">
            <w:pPr>
              <w:jc w:val="center"/>
              <w:rPr>
                <w:rFonts w:eastAsia="Calibri"/>
                <w:sz w:val="24"/>
                <w:szCs w:val="24"/>
              </w:rPr>
            </w:pPr>
            <w:r w:rsidRPr="007B2B3A">
              <w:rPr>
                <w:rFonts w:eastAsia="Calibri"/>
                <w:sz w:val="24"/>
                <w:szCs w:val="24"/>
              </w:rPr>
              <w:t>Estado</w:t>
            </w:r>
          </w:p>
        </w:tc>
        <w:tc>
          <w:tcPr>
            <w:tcW w:w="1235" w:type="dxa"/>
            <w:shd w:val="clear" w:color="auto" w:fill="EAF1DD" w:themeFill="accent3" w:themeFillTint="33"/>
          </w:tcPr>
          <w:p w14:paraId="6851F7F9" w14:textId="77777777" w:rsidR="00E31E9F" w:rsidRPr="007B2B3A" w:rsidRDefault="00E31E9F" w:rsidP="00E31E9F">
            <w:pPr>
              <w:jc w:val="center"/>
              <w:rPr>
                <w:rFonts w:eastAsia="Calibri"/>
                <w:sz w:val="24"/>
                <w:szCs w:val="24"/>
              </w:rPr>
            </w:pPr>
            <w:r w:rsidRPr="007B2B3A">
              <w:rPr>
                <w:rFonts w:eastAsia="Calibri"/>
                <w:sz w:val="24"/>
                <w:szCs w:val="24"/>
              </w:rPr>
              <w:t>Conjunta</w:t>
            </w:r>
          </w:p>
        </w:tc>
        <w:tc>
          <w:tcPr>
            <w:tcW w:w="1218" w:type="dxa"/>
            <w:shd w:val="clear" w:color="auto" w:fill="EAF1DD" w:themeFill="accent3" w:themeFillTint="33"/>
          </w:tcPr>
          <w:p w14:paraId="2BA30691" w14:textId="77777777" w:rsidR="00E31E9F" w:rsidRPr="007B2B3A" w:rsidRDefault="00E31E9F" w:rsidP="00E31E9F">
            <w:pPr>
              <w:jc w:val="center"/>
              <w:rPr>
                <w:rFonts w:eastAsia="Calibri"/>
                <w:sz w:val="24"/>
                <w:szCs w:val="24"/>
              </w:rPr>
            </w:pPr>
            <w:r w:rsidRPr="007B2B3A">
              <w:rPr>
                <w:rFonts w:eastAsia="Calibri"/>
                <w:sz w:val="24"/>
                <w:szCs w:val="24"/>
              </w:rPr>
              <w:t>Afiliado</w:t>
            </w:r>
          </w:p>
        </w:tc>
        <w:tc>
          <w:tcPr>
            <w:tcW w:w="1205" w:type="dxa"/>
            <w:shd w:val="clear" w:color="auto" w:fill="EAF1DD" w:themeFill="accent3" w:themeFillTint="33"/>
          </w:tcPr>
          <w:p w14:paraId="283FACDD" w14:textId="77777777" w:rsidR="00E31E9F" w:rsidRPr="007B2B3A" w:rsidRDefault="00E31E9F" w:rsidP="00E31E9F">
            <w:pPr>
              <w:jc w:val="center"/>
              <w:rPr>
                <w:rFonts w:eastAsia="Calibri"/>
                <w:sz w:val="24"/>
                <w:szCs w:val="24"/>
              </w:rPr>
            </w:pPr>
            <w:r w:rsidRPr="007B2B3A">
              <w:rPr>
                <w:rFonts w:eastAsia="Calibri"/>
                <w:sz w:val="24"/>
                <w:szCs w:val="24"/>
              </w:rPr>
              <w:t>Estado</w:t>
            </w:r>
          </w:p>
        </w:tc>
        <w:tc>
          <w:tcPr>
            <w:tcW w:w="1235" w:type="dxa"/>
            <w:shd w:val="clear" w:color="auto" w:fill="EAF1DD" w:themeFill="accent3" w:themeFillTint="33"/>
          </w:tcPr>
          <w:p w14:paraId="2DD75900" w14:textId="77777777" w:rsidR="00E31E9F" w:rsidRPr="007B2B3A" w:rsidRDefault="00E31E9F" w:rsidP="00E31E9F">
            <w:pPr>
              <w:jc w:val="center"/>
              <w:rPr>
                <w:rFonts w:eastAsia="Calibri"/>
                <w:sz w:val="24"/>
                <w:szCs w:val="24"/>
              </w:rPr>
            </w:pPr>
            <w:r w:rsidRPr="007B2B3A">
              <w:rPr>
                <w:rFonts w:eastAsia="Calibri"/>
                <w:sz w:val="24"/>
                <w:szCs w:val="24"/>
              </w:rPr>
              <w:t>Conjunta</w:t>
            </w:r>
          </w:p>
        </w:tc>
      </w:tr>
      <w:tr w:rsidR="007B2B3A" w:rsidRPr="007B2B3A" w14:paraId="7DDBA3F1" w14:textId="77777777" w:rsidTr="004879CB">
        <w:tc>
          <w:tcPr>
            <w:tcW w:w="1844" w:type="dxa"/>
          </w:tcPr>
          <w:p w14:paraId="39089D94" w14:textId="3A0985B4" w:rsidR="00E31E9F" w:rsidRPr="007B2B3A" w:rsidRDefault="007B2B3A" w:rsidP="00B1239F">
            <w:pPr>
              <w:jc w:val="center"/>
              <w:rPr>
                <w:rFonts w:eastAsia="Calibri"/>
                <w:sz w:val="24"/>
                <w:szCs w:val="24"/>
              </w:rPr>
            </w:pPr>
            <w:r w:rsidRPr="007B2B3A">
              <w:rPr>
                <w:rFonts w:eastAsia="Calibri"/>
                <w:sz w:val="24"/>
                <w:szCs w:val="24"/>
              </w:rPr>
              <w:t>1</w:t>
            </w:r>
          </w:p>
        </w:tc>
        <w:tc>
          <w:tcPr>
            <w:tcW w:w="837" w:type="dxa"/>
          </w:tcPr>
          <w:p w14:paraId="1A9216D4" w14:textId="5F806D17" w:rsidR="00E31E9F" w:rsidRPr="007B2B3A" w:rsidRDefault="00B1239F" w:rsidP="008561EB">
            <w:pPr>
              <w:jc w:val="center"/>
              <w:rPr>
                <w:rFonts w:eastAsia="Calibri"/>
                <w:sz w:val="24"/>
                <w:szCs w:val="24"/>
              </w:rPr>
            </w:pPr>
            <w:r w:rsidRPr="007B2B3A">
              <w:rPr>
                <w:rFonts w:eastAsia="Calibri"/>
                <w:sz w:val="24"/>
                <w:szCs w:val="24"/>
              </w:rPr>
              <w:t>3</w:t>
            </w:r>
            <w:r w:rsidR="00E31E9F" w:rsidRPr="007B2B3A">
              <w:rPr>
                <w:rFonts w:eastAsia="Calibri"/>
                <w:sz w:val="24"/>
                <w:szCs w:val="24"/>
              </w:rPr>
              <w:t>,</w:t>
            </w:r>
            <w:r w:rsidR="007B2B3A" w:rsidRPr="007B2B3A">
              <w:rPr>
                <w:rFonts w:eastAsia="Calibri"/>
                <w:sz w:val="24"/>
                <w:szCs w:val="24"/>
              </w:rPr>
              <w:t>1</w:t>
            </w:r>
            <w:r w:rsidR="008561EB" w:rsidRPr="007B2B3A">
              <w:rPr>
                <w:rFonts w:eastAsia="Calibri"/>
                <w:sz w:val="24"/>
                <w:szCs w:val="24"/>
              </w:rPr>
              <w:t>5</w:t>
            </w:r>
            <w:r w:rsidR="00E31E9F" w:rsidRPr="007B2B3A">
              <w:rPr>
                <w:rFonts w:eastAsia="Calibri"/>
                <w:sz w:val="24"/>
                <w:szCs w:val="24"/>
              </w:rPr>
              <w:t>%</w:t>
            </w:r>
          </w:p>
        </w:tc>
        <w:tc>
          <w:tcPr>
            <w:tcW w:w="1205" w:type="dxa"/>
          </w:tcPr>
          <w:p w14:paraId="7182713E" w14:textId="7CA42102" w:rsidR="00E31E9F" w:rsidRPr="007B2B3A" w:rsidRDefault="00E31E9F" w:rsidP="008561EB">
            <w:pPr>
              <w:jc w:val="center"/>
              <w:rPr>
                <w:rFonts w:eastAsia="Calibri"/>
                <w:sz w:val="24"/>
                <w:szCs w:val="24"/>
              </w:rPr>
            </w:pPr>
            <w:r w:rsidRPr="007B2B3A">
              <w:rPr>
                <w:rFonts w:eastAsia="Calibri"/>
                <w:sz w:val="24"/>
                <w:szCs w:val="24"/>
              </w:rPr>
              <w:t>8,</w:t>
            </w:r>
            <w:r w:rsidR="007B2B3A" w:rsidRPr="007B2B3A">
              <w:rPr>
                <w:rFonts w:eastAsia="Calibri"/>
                <w:sz w:val="24"/>
                <w:szCs w:val="24"/>
              </w:rPr>
              <w:t>8</w:t>
            </w:r>
            <w:r w:rsidR="008561EB" w:rsidRPr="007B2B3A">
              <w:rPr>
                <w:rFonts w:eastAsia="Calibri"/>
                <w:sz w:val="24"/>
                <w:szCs w:val="24"/>
              </w:rPr>
              <w:t>5</w:t>
            </w:r>
            <w:r w:rsidR="00B1239F" w:rsidRPr="007B2B3A">
              <w:rPr>
                <w:rFonts w:eastAsia="Calibri"/>
                <w:sz w:val="24"/>
                <w:szCs w:val="24"/>
              </w:rPr>
              <w:t>%</w:t>
            </w:r>
          </w:p>
        </w:tc>
        <w:tc>
          <w:tcPr>
            <w:tcW w:w="1235" w:type="dxa"/>
          </w:tcPr>
          <w:p w14:paraId="343F5A80" w14:textId="77777777" w:rsidR="00E31E9F" w:rsidRPr="007B2B3A" w:rsidRDefault="00E31E9F" w:rsidP="00E31E9F">
            <w:pPr>
              <w:jc w:val="center"/>
              <w:rPr>
                <w:rFonts w:eastAsia="Calibri"/>
                <w:sz w:val="24"/>
                <w:szCs w:val="24"/>
              </w:rPr>
            </w:pPr>
            <w:r w:rsidRPr="007B2B3A">
              <w:rPr>
                <w:rFonts w:eastAsia="Calibri"/>
                <w:sz w:val="24"/>
                <w:szCs w:val="24"/>
              </w:rPr>
              <w:t>12,00%</w:t>
            </w:r>
          </w:p>
        </w:tc>
        <w:tc>
          <w:tcPr>
            <w:tcW w:w="1218" w:type="dxa"/>
          </w:tcPr>
          <w:p w14:paraId="7D7FA774" w14:textId="2123C91F" w:rsidR="00E31E9F" w:rsidRPr="007B2B3A" w:rsidRDefault="00B1239F" w:rsidP="008561EB">
            <w:pPr>
              <w:jc w:val="center"/>
              <w:rPr>
                <w:rFonts w:eastAsia="Calibri"/>
                <w:sz w:val="24"/>
                <w:szCs w:val="24"/>
              </w:rPr>
            </w:pPr>
            <w:r w:rsidRPr="007B2B3A">
              <w:rPr>
                <w:rFonts w:eastAsia="Calibri"/>
                <w:sz w:val="24"/>
                <w:szCs w:val="24"/>
              </w:rPr>
              <w:t>3</w:t>
            </w:r>
            <w:r w:rsidR="00E31E9F" w:rsidRPr="007B2B3A">
              <w:rPr>
                <w:rFonts w:eastAsia="Calibri"/>
                <w:sz w:val="24"/>
                <w:szCs w:val="24"/>
              </w:rPr>
              <w:t>,</w:t>
            </w:r>
            <w:r w:rsidR="007B2B3A" w:rsidRPr="007B2B3A">
              <w:rPr>
                <w:rFonts w:eastAsia="Calibri"/>
                <w:sz w:val="24"/>
                <w:szCs w:val="24"/>
              </w:rPr>
              <w:t>28</w:t>
            </w:r>
            <w:r w:rsidR="00E31E9F" w:rsidRPr="007B2B3A">
              <w:rPr>
                <w:rFonts w:eastAsia="Calibri"/>
                <w:sz w:val="24"/>
                <w:szCs w:val="24"/>
              </w:rPr>
              <w:t>%</w:t>
            </w:r>
          </w:p>
        </w:tc>
        <w:tc>
          <w:tcPr>
            <w:tcW w:w="1205" w:type="dxa"/>
          </w:tcPr>
          <w:p w14:paraId="25480DDF" w14:textId="27FD4C31" w:rsidR="00E31E9F" w:rsidRPr="007B2B3A" w:rsidRDefault="008561EB" w:rsidP="008561EB">
            <w:pPr>
              <w:jc w:val="center"/>
              <w:rPr>
                <w:rFonts w:eastAsia="Calibri"/>
                <w:sz w:val="24"/>
                <w:szCs w:val="24"/>
              </w:rPr>
            </w:pPr>
            <w:r w:rsidRPr="007B2B3A">
              <w:rPr>
                <w:rFonts w:eastAsia="Calibri"/>
                <w:sz w:val="24"/>
                <w:szCs w:val="24"/>
              </w:rPr>
              <w:t>4</w:t>
            </w:r>
            <w:r w:rsidR="00E31E9F" w:rsidRPr="007B2B3A">
              <w:rPr>
                <w:rFonts w:eastAsia="Calibri"/>
                <w:sz w:val="24"/>
                <w:szCs w:val="24"/>
              </w:rPr>
              <w:t>,</w:t>
            </w:r>
            <w:r w:rsidR="007B2B3A" w:rsidRPr="007B2B3A">
              <w:rPr>
                <w:rFonts w:eastAsia="Calibri"/>
                <w:sz w:val="24"/>
                <w:szCs w:val="24"/>
              </w:rPr>
              <w:t>64</w:t>
            </w:r>
            <w:r w:rsidR="00E31E9F" w:rsidRPr="007B2B3A">
              <w:rPr>
                <w:rFonts w:eastAsia="Calibri"/>
                <w:sz w:val="24"/>
                <w:szCs w:val="24"/>
              </w:rPr>
              <w:t>%</w:t>
            </w:r>
          </w:p>
        </w:tc>
        <w:tc>
          <w:tcPr>
            <w:tcW w:w="1235" w:type="dxa"/>
          </w:tcPr>
          <w:p w14:paraId="5848D9E2" w14:textId="548B413C" w:rsidR="00E31E9F" w:rsidRPr="007B2B3A" w:rsidRDefault="00E31E9F" w:rsidP="008561EB">
            <w:pPr>
              <w:jc w:val="center"/>
              <w:rPr>
                <w:rFonts w:eastAsia="Calibri"/>
                <w:sz w:val="24"/>
                <w:szCs w:val="24"/>
              </w:rPr>
            </w:pPr>
            <w:r w:rsidRPr="007B2B3A">
              <w:rPr>
                <w:rFonts w:eastAsia="Calibri"/>
                <w:sz w:val="24"/>
                <w:szCs w:val="24"/>
              </w:rPr>
              <w:t>7,</w:t>
            </w:r>
            <w:r w:rsidR="008561EB" w:rsidRPr="007B2B3A">
              <w:rPr>
                <w:rFonts w:eastAsia="Calibri"/>
                <w:sz w:val="24"/>
                <w:szCs w:val="24"/>
              </w:rPr>
              <w:t>92</w:t>
            </w:r>
            <w:r w:rsidRPr="007B2B3A">
              <w:rPr>
                <w:rFonts w:eastAsia="Calibri"/>
                <w:sz w:val="24"/>
                <w:szCs w:val="24"/>
              </w:rPr>
              <w:t>%</w:t>
            </w:r>
          </w:p>
        </w:tc>
      </w:tr>
      <w:tr w:rsidR="007B2B3A" w:rsidRPr="007B2B3A" w14:paraId="7DB556FB" w14:textId="77777777" w:rsidTr="004879CB">
        <w:tc>
          <w:tcPr>
            <w:tcW w:w="1844" w:type="dxa"/>
          </w:tcPr>
          <w:p w14:paraId="6E2D4384" w14:textId="2E7BC208" w:rsidR="00E31E9F" w:rsidRPr="007B2B3A" w:rsidRDefault="007B2B3A" w:rsidP="00084D13">
            <w:pPr>
              <w:jc w:val="center"/>
              <w:rPr>
                <w:rFonts w:eastAsia="Calibri"/>
                <w:sz w:val="24"/>
                <w:szCs w:val="24"/>
              </w:rPr>
            </w:pPr>
            <w:r w:rsidRPr="007B2B3A">
              <w:rPr>
                <w:rFonts w:eastAsia="Calibri"/>
                <w:sz w:val="24"/>
                <w:szCs w:val="24"/>
              </w:rPr>
              <w:t>2</w:t>
            </w:r>
          </w:p>
        </w:tc>
        <w:tc>
          <w:tcPr>
            <w:tcW w:w="837" w:type="dxa"/>
          </w:tcPr>
          <w:p w14:paraId="59841F9B" w14:textId="662461BE" w:rsidR="00E31E9F" w:rsidRPr="007B2B3A" w:rsidRDefault="007B2B3A" w:rsidP="008561EB">
            <w:pPr>
              <w:jc w:val="center"/>
              <w:rPr>
                <w:rFonts w:eastAsia="Calibri"/>
                <w:sz w:val="24"/>
                <w:szCs w:val="24"/>
              </w:rPr>
            </w:pPr>
            <w:r w:rsidRPr="007B2B3A">
              <w:rPr>
                <w:rFonts w:eastAsia="Calibri"/>
                <w:sz w:val="24"/>
                <w:szCs w:val="24"/>
              </w:rPr>
              <w:t>4</w:t>
            </w:r>
            <w:r w:rsidR="00E31E9F" w:rsidRPr="007B2B3A">
              <w:rPr>
                <w:rFonts w:eastAsia="Calibri"/>
                <w:sz w:val="24"/>
                <w:szCs w:val="24"/>
              </w:rPr>
              <w:t>,</w:t>
            </w:r>
            <w:r w:rsidRPr="007B2B3A">
              <w:rPr>
                <w:rFonts w:eastAsia="Calibri"/>
                <w:sz w:val="24"/>
                <w:szCs w:val="24"/>
              </w:rPr>
              <w:t>72</w:t>
            </w:r>
            <w:r w:rsidR="00E31E9F" w:rsidRPr="007B2B3A">
              <w:rPr>
                <w:rFonts w:eastAsia="Calibri"/>
                <w:sz w:val="24"/>
                <w:szCs w:val="24"/>
              </w:rPr>
              <w:t>%</w:t>
            </w:r>
          </w:p>
        </w:tc>
        <w:tc>
          <w:tcPr>
            <w:tcW w:w="1205" w:type="dxa"/>
          </w:tcPr>
          <w:p w14:paraId="3CBD5281" w14:textId="7E41E518" w:rsidR="00E31E9F" w:rsidRPr="007B2B3A" w:rsidRDefault="007B2B3A" w:rsidP="008561EB">
            <w:pPr>
              <w:jc w:val="center"/>
              <w:rPr>
                <w:rFonts w:eastAsia="Calibri"/>
                <w:sz w:val="24"/>
                <w:szCs w:val="24"/>
              </w:rPr>
            </w:pPr>
            <w:r w:rsidRPr="007B2B3A">
              <w:rPr>
                <w:rFonts w:eastAsia="Calibri"/>
                <w:sz w:val="24"/>
                <w:szCs w:val="24"/>
              </w:rPr>
              <w:t>7</w:t>
            </w:r>
            <w:r w:rsidR="00E31E9F" w:rsidRPr="007B2B3A">
              <w:rPr>
                <w:rFonts w:eastAsia="Calibri"/>
                <w:sz w:val="24"/>
                <w:szCs w:val="24"/>
              </w:rPr>
              <w:t>,</w:t>
            </w:r>
            <w:r w:rsidRPr="007B2B3A">
              <w:rPr>
                <w:rFonts w:eastAsia="Calibri"/>
                <w:sz w:val="24"/>
                <w:szCs w:val="24"/>
              </w:rPr>
              <w:t>2</w:t>
            </w:r>
            <w:r w:rsidR="008561EB" w:rsidRPr="007B2B3A">
              <w:rPr>
                <w:rFonts w:eastAsia="Calibri"/>
                <w:sz w:val="24"/>
                <w:szCs w:val="24"/>
              </w:rPr>
              <w:t>8</w:t>
            </w:r>
            <w:r w:rsidR="00B1239F" w:rsidRPr="007B2B3A">
              <w:rPr>
                <w:rFonts w:eastAsia="Calibri"/>
                <w:sz w:val="24"/>
                <w:szCs w:val="24"/>
              </w:rPr>
              <w:t>%</w:t>
            </w:r>
          </w:p>
        </w:tc>
        <w:tc>
          <w:tcPr>
            <w:tcW w:w="1235" w:type="dxa"/>
          </w:tcPr>
          <w:p w14:paraId="4612E67F" w14:textId="77777777" w:rsidR="00E31E9F" w:rsidRPr="007B2B3A" w:rsidRDefault="00E31E9F" w:rsidP="00E31E9F">
            <w:pPr>
              <w:jc w:val="center"/>
              <w:rPr>
                <w:rFonts w:eastAsia="Calibri"/>
                <w:sz w:val="24"/>
                <w:szCs w:val="24"/>
              </w:rPr>
            </w:pPr>
            <w:r w:rsidRPr="007B2B3A">
              <w:rPr>
                <w:rFonts w:eastAsia="Calibri"/>
                <w:sz w:val="24"/>
                <w:szCs w:val="24"/>
              </w:rPr>
              <w:t>12,00%</w:t>
            </w:r>
          </w:p>
        </w:tc>
        <w:tc>
          <w:tcPr>
            <w:tcW w:w="1218" w:type="dxa"/>
          </w:tcPr>
          <w:p w14:paraId="5E21627D" w14:textId="14DE3D30" w:rsidR="00E31E9F" w:rsidRPr="007B2B3A" w:rsidRDefault="007B2B3A" w:rsidP="008561EB">
            <w:pPr>
              <w:jc w:val="center"/>
              <w:rPr>
                <w:rFonts w:eastAsia="Calibri"/>
                <w:sz w:val="24"/>
                <w:szCs w:val="24"/>
              </w:rPr>
            </w:pPr>
            <w:r w:rsidRPr="007B2B3A">
              <w:rPr>
                <w:rFonts w:eastAsia="Calibri"/>
                <w:sz w:val="24"/>
                <w:szCs w:val="24"/>
              </w:rPr>
              <w:t>4</w:t>
            </w:r>
            <w:r w:rsidR="00E31E9F" w:rsidRPr="007B2B3A">
              <w:rPr>
                <w:rFonts w:eastAsia="Calibri"/>
                <w:sz w:val="24"/>
                <w:szCs w:val="24"/>
              </w:rPr>
              <w:t>,</w:t>
            </w:r>
            <w:r w:rsidRPr="007B2B3A">
              <w:rPr>
                <w:rFonts w:eastAsia="Calibri"/>
                <w:sz w:val="24"/>
                <w:szCs w:val="24"/>
              </w:rPr>
              <w:t>58</w:t>
            </w:r>
            <w:r w:rsidR="00E31E9F" w:rsidRPr="007B2B3A">
              <w:rPr>
                <w:rFonts w:eastAsia="Calibri"/>
                <w:sz w:val="24"/>
                <w:szCs w:val="24"/>
              </w:rPr>
              <w:t>%</w:t>
            </w:r>
          </w:p>
        </w:tc>
        <w:tc>
          <w:tcPr>
            <w:tcW w:w="1205" w:type="dxa"/>
          </w:tcPr>
          <w:p w14:paraId="41CC32C5" w14:textId="5A8313DC" w:rsidR="00E31E9F" w:rsidRPr="007B2B3A" w:rsidRDefault="007B2B3A" w:rsidP="008561EB">
            <w:pPr>
              <w:jc w:val="center"/>
              <w:rPr>
                <w:rFonts w:eastAsia="Calibri"/>
                <w:sz w:val="24"/>
                <w:szCs w:val="24"/>
              </w:rPr>
            </w:pPr>
            <w:r w:rsidRPr="007B2B3A">
              <w:rPr>
                <w:rFonts w:eastAsia="Calibri"/>
                <w:sz w:val="24"/>
                <w:szCs w:val="24"/>
              </w:rPr>
              <w:t>3</w:t>
            </w:r>
            <w:r w:rsidR="00E31E9F" w:rsidRPr="007B2B3A">
              <w:rPr>
                <w:rFonts w:eastAsia="Calibri"/>
                <w:sz w:val="24"/>
                <w:szCs w:val="24"/>
              </w:rPr>
              <w:t>,</w:t>
            </w:r>
            <w:r w:rsidRPr="007B2B3A">
              <w:rPr>
                <w:rFonts w:eastAsia="Calibri"/>
                <w:sz w:val="24"/>
                <w:szCs w:val="24"/>
              </w:rPr>
              <w:t>34</w:t>
            </w:r>
            <w:r w:rsidR="00E31E9F" w:rsidRPr="007B2B3A">
              <w:rPr>
                <w:rFonts w:eastAsia="Calibri"/>
                <w:sz w:val="24"/>
                <w:szCs w:val="24"/>
              </w:rPr>
              <w:t>%</w:t>
            </w:r>
          </w:p>
        </w:tc>
        <w:tc>
          <w:tcPr>
            <w:tcW w:w="1235" w:type="dxa"/>
          </w:tcPr>
          <w:p w14:paraId="51C495D8" w14:textId="2573C692" w:rsidR="00E31E9F" w:rsidRPr="007B2B3A" w:rsidRDefault="008561EB" w:rsidP="008561EB">
            <w:pPr>
              <w:jc w:val="center"/>
              <w:rPr>
                <w:rFonts w:eastAsia="Calibri"/>
                <w:sz w:val="24"/>
                <w:szCs w:val="24"/>
              </w:rPr>
            </w:pPr>
            <w:r w:rsidRPr="007B2B3A">
              <w:rPr>
                <w:rFonts w:eastAsia="Calibri"/>
                <w:sz w:val="24"/>
                <w:szCs w:val="24"/>
              </w:rPr>
              <w:t>7</w:t>
            </w:r>
            <w:r w:rsidR="00E31E9F" w:rsidRPr="007B2B3A">
              <w:rPr>
                <w:rFonts w:eastAsia="Calibri"/>
                <w:sz w:val="24"/>
                <w:szCs w:val="24"/>
              </w:rPr>
              <w:t>,</w:t>
            </w:r>
            <w:r w:rsidRPr="007B2B3A">
              <w:rPr>
                <w:rFonts w:eastAsia="Calibri"/>
                <w:sz w:val="24"/>
                <w:szCs w:val="24"/>
              </w:rPr>
              <w:t>92</w:t>
            </w:r>
            <w:r w:rsidR="00E31E9F" w:rsidRPr="007B2B3A">
              <w:rPr>
                <w:rFonts w:eastAsia="Calibri"/>
                <w:sz w:val="24"/>
                <w:szCs w:val="24"/>
              </w:rPr>
              <w:t>%</w:t>
            </w:r>
          </w:p>
        </w:tc>
      </w:tr>
      <w:tr w:rsidR="007B2B3A" w:rsidRPr="007B2B3A" w14:paraId="25C16367" w14:textId="77777777" w:rsidTr="004879CB">
        <w:tc>
          <w:tcPr>
            <w:tcW w:w="1844" w:type="dxa"/>
          </w:tcPr>
          <w:p w14:paraId="30D6E162" w14:textId="6391000E" w:rsidR="00E31E9F" w:rsidRPr="007B2B3A" w:rsidRDefault="007B2B3A" w:rsidP="00A77CF5">
            <w:pPr>
              <w:jc w:val="center"/>
              <w:rPr>
                <w:rFonts w:eastAsia="Calibri"/>
                <w:sz w:val="24"/>
                <w:szCs w:val="24"/>
              </w:rPr>
            </w:pPr>
            <w:r w:rsidRPr="007B2B3A">
              <w:rPr>
                <w:rFonts w:eastAsia="Calibri"/>
                <w:sz w:val="24"/>
                <w:szCs w:val="24"/>
              </w:rPr>
              <w:t>3</w:t>
            </w:r>
          </w:p>
        </w:tc>
        <w:tc>
          <w:tcPr>
            <w:tcW w:w="837" w:type="dxa"/>
          </w:tcPr>
          <w:p w14:paraId="3E912C5E" w14:textId="61AFCF84" w:rsidR="00E31E9F" w:rsidRPr="007B2B3A" w:rsidRDefault="00B1239F" w:rsidP="00B1239F">
            <w:pPr>
              <w:jc w:val="center"/>
              <w:rPr>
                <w:rFonts w:eastAsia="Calibri"/>
                <w:sz w:val="24"/>
                <w:szCs w:val="24"/>
              </w:rPr>
            </w:pPr>
            <w:r w:rsidRPr="007B2B3A">
              <w:rPr>
                <w:rFonts w:eastAsia="Calibri"/>
                <w:sz w:val="24"/>
                <w:szCs w:val="24"/>
              </w:rPr>
              <w:t>6</w:t>
            </w:r>
            <w:r w:rsidR="00E31E9F" w:rsidRPr="007B2B3A">
              <w:rPr>
                <w:rFonts w:eastAsia="Calibri"/>
                <w:sz w:val="24"/>
                <w:szCs w:val="24"/>
              </w:rPr>
              <w:t>,</w:t>
            </w:r>
            <w:r w:rsidRPr="007B2B3A">
              <w:rPr>
                <w:rFonts w:eastAsia="Calibri"/>
                <w:sz w:val="24"/>
                <w:szCs w:val="24"/>
              </w:rPr>
              <w:t>24</w:t>
            </w:r>
            <w:r w:rsidR="00E31E9F" w:rsidRPr="007B2B3A">
              <w:rPr>
                <w:rFonts w:eastAsia="Calibri"/>
                <w:sz w:val="24"/>
                <w:szCs w:val="24"/>
              </w:rPr>
              <w:t>%</w:t>
            </w:r>
          </w:p>
        </w:tc>
        <w:tc>
          <w:tcPr>
            <w:tcW w:w="1205" w:type="dxa"/>
          </w:tcPr>
          <w:p w14:paraId="625FDBBA" w14:textId="398A1C2A" w:rsidR="00E31E9F" w:rsidRPr="007B2B3A" w:rsidRDefault="00E31E9F" w:rsidP="00B1239F">
            <w:pPr>
              <w:jc w:val="center"/>
              <w:rPr>
                <w:rFonts w:eastAsia="Calibri"/>
                <w:sz w:val="24"/>
                <w:szCs w:val="24"/>
              </w:rPr>
            </w:pPr>
            <w:r w:rsidRPr="007B2B3A">
              <w:rPr>
                <w:rFonts w:eastAsia="Calibri"/>
                <w:sz w:val="24"/>
                <w:szCs w:val="24"/>
              </w:rPr>
              <w:t>5,</w:t>
            </w:r>
            <w:r w:rsidR="00B1239F" w:rsidRPr="007B2B3A">
              <w:rPr>
                <w:rFonts w:eastAsia="Calibri"/>
                <w:sz w:val="24"/>
                <w:szCs w:val="24"/>
              </w:rPr>
              <w:t>76%</w:t>
            </w:r>
          </w:p>
        </w:tc>
        <w:tc>
          <w:tcPr>
            <w:tcW w:w="1235" w:type="dxa"/>
          </w:tcPr>
          <w:p w14:paraId="127D56A6" w14:textId="77777777" w:rsidR="00E31E9F" w:rsidRPr="007B2B3A" w:rsidRDefault="00E31E9F" w:rsidP="00E31E9F">
            <w:pPr>
              <w:jc w:val="center"/>
              <w:rPr>
                <w:rFonts w:eastAsia="Calibri"/>
                <w:sz w:val="24"/>
                <w:szCs w:val="24"/>
              </w:rPr>
            </w:pPr>
            <w:r w:rsidRPr="007B2B3A">
              <w:rPr>
                <w:rFonts w:eastAsia="Calibri"/>
                <w:sz w:val="24"/>
                <w:szCs w:val="24"/>
              </w:rPr>
              <w:t>12,00%</w:t>
            </w:r>
          </w:p>
        </w:tc>
        <w:tc>
          <w:tcPr>
            <w:tcW w:w="1218" w:type="dxa"/>
          </w:tcPr>
          <w:p w14:paraId="6D71DD3E" w14:textId="12D769D4" w:rsidR="00E31E9F" w:rsidRPr="007B2B3A" w:rsidRDefault="00E31E9F" w:rsidP="00B1239F">
            <w:pPr>
              <w:jc w:val="center"/>
              <w:rPr>
                <w:rFonts w:eastAsia="Calibri"/>
                <w:sz w:val="24"/>
                <w:szCs w:val="24"/>
              </w:rPr>
            </w:pPr>
            <w:r w:rsidRPr="007B2B3A">
              <w:rPr>
                <w:rFonts w:eastAsia="Calibri"/>
                <w:sz w:val="24"/>
                <w:szCs w:val="24"/>
              </w:rPr>
              <w:t>6,</w:t>
            </w:r>
            <w:r w:rsidR="00B1239F" w:rsidRPr="007B2B3A">
              <w:rPr>
                <w:rFonts w:eastAsia="Calibri"/>
                <w:sz w:val="24"/>
                <w:szCs w:val="24"/>
              </w:rPr>
              <w:t>04</w:t>
            </w:r>
            <w:r w:rsidRPr="007B2B3A">
              <w:rPr>
                <w:rFonts w:eastAsia="Calibri"/>
                <w:sz w:val="24"/>
                <w:szCs w:val="24"/>
              </w:rPr>
              <w:t>%</w:t>
            </w:r>
          </w:p>
        </w:tc>
        <w:tc>
          <w:tcPr>
            <w:tcW w:w="1205" w:type="dxa"/>
          </w:tcPr>
          <w:p w14:paraId="4441838B" w14:textId="282395F8" w:rsidR="00E31E9F" w:rsidRPr="007B2B3A" w:rsidRDefault="00E31E9F" w:rsidP="00B1239F">
            <w:pPr>
              <w:jc w:val="center"/>
              <w:rPr>
                <w:rFonts w:eastAsia="Calibri"/>
                <w:sz w:val="24"/>
                <w:szCs w:val="24"/>
              </w:rPr>
            </w:pPr>
            <w:r w:rsidRPr="007B2B3A">
              <w:rPr>
                <w:rFonts w:eastAsia="Calibri"/>
                <w:sz w:val="24"/>
                <w:szCs w:val="24"/>
              </w:rPr>
              <w:t>1,</w:t>
            </w:r>
            <w:r w:rsidR="00B1239F" w:rsidRPr="007B2B3A">
              <w:rPr>
                <w:rFonts w:eastAsia="Calibri"/>
                <w:sz w:val="24"/>
                <w:szCs w:val="24"/>
              </w:rPr>
              <w:t>88</w:t>
            </w:r>
            <w:r w:rsidRPr="007B2B3A">
              <w:rPr>
                <w:rFonts w:eastAsia="Calibri"/>
                <w:sz w:val="24"/>
                <w:szCs w:val="24"/>
              </w:rPr>
              <w:t>%</w:t>
            </w:r>
          </w:p>
        </w:tc>
        <w:tc>
          <w:tcPr>
            <w:tcW w:w="1235" w:type="dxa"/>
          </w:tcPr>
          <w:p w14:paraId="20603441" w14:textId="3D6EACC2" w:rsidR="00E31E9F" w:rsidRPr="007B2B3A" w:rsidRDefault="008561EB" w:rsidP="008561EB">
            <w:pPr>
              <w:jc w:val="center"/>
              <w:rPr>
                <w:rFonts w:eastAsia="Calibri"/>
                <w:sz w:val="24"/>
                <w:szCs w:val="24"/>
              </w:rPr>
            </w:pPr>
            <w:r w:rsidRPr="007B2B3A">
              <w:rPr>
                <w:rFonts w:eastAsia="Calibri"/>
                <w:sz w:val="24"/>
                <w:szCs w:val="24"/>
              </w:rPr>
              <w:t>7</w:t>
            </w:r>
            <w:r w:rsidR="00B1239F" w:rsidRPr="007B2B3A">
              <w:rPr>
                <w:rFonts w:eastAsia="Calibri"/>
                <w:sz w:val="24"/>
                <w:szCs w:val="24"/>
              </w:rPr>
              <w:t>,</w:t>
            </w:r>
            <w:r w:rsidRPr="007B2B3A">
              <w:rPr>
                <w:rFonts w:eastAsia="Calibri"/>
                <w:sz w:val="24"/>
                <w:szCs w:val="24"/>
              </w:rPr>
              <w:t>92</w:t>
            </w:r>
            <w:r w:rsidR="00E31E9F" w:rsidRPr="007B2B3A">
              <w:rPr>
                <w:rFonts w:eastAsia="Calibri"/>
                <w:sz w:val="24"/>
                <w:szCs w:val="24"/>
              </w:rPr>
              <w:t>%</w:t>
            </w:r>
          </w:p>
        </w:tc>
      </w:tr>
      <w:tr w:rsidR="007B2B3A" w:rsidRPr="007B2B3A" w14:paraId="5E5EDA83" w14:textId="77777777" w:rsidTr="004879CB">
        <w:tc>
          <w:tcPr>
            <w:tcW w:w="1844" w:type="dxa"/>
          </w:tcPr>
          <w:p w14:paraId="070F2C54" w14:textId="3240EC9F" w:rsidR="00E31E9F" w:rsidRPr="007B2B3A" w:rsidRDefault="007B2B3A" w:rsidP="00A77CF5">
            <w:pPr>
              <w:jc w:val="center"/>
              <w:rPr>
                <w:rFonts w:eastAsia="Calibri"/>
                <w:sz w:val="24"/>
                <w:szCs w:val="24"/>
              </w:rPr>
            </w:pPr>
            <w:r w:rsidRPr="007B2B3A">
              <w:rPr>
                <w:rFonts w:eastAsia="Calibri"/>
                <w:sz w:val="24"/>
                <w:szCs w:val="24"/>
              </w:rPr>
              <w:t>4</w:t>
            </w:r>
          </w:p>
        </w:tc>
        <w:tc>
          <w:tcPr>
            <w:tcW w:w="837" w:type="dxa"/>
          </w:tcPr>
          <w:p w14:paraId="6C24580C" w14:textId="4FDF4E42" w:rsidR="00E31E9F" w:rsidRPr="007B2B3A" w:rsidRDefault="00B1239F" w:rsidP="00B1239F">
            <w:pPr>
              <w:jc w:val="center"/>
              <w:rPr>
                <w:rFonts w:eastAsia="Calibri"/>
                <w:sz w:val="24"/>
                <w:szCs w:val="24"/>
              </w:rPr>
            </w:pPr>
            <w:r w:rsidRPr="007B2B3A">
              <w:rPr>
                <w:rFonts w:eastAsia="Calibri"/>
                <w:sz w:val="24"/>
                <w:szCs w:val="24"/>
              </w:rPr>
              <w:t>8</w:t>
            </w:r>
            <w:r w:rsidR="00E31E9F" w:rsidRPr="007B2B3A">
              <w:rPr>
                <w:rFonts w:eastAsia="Calibri"/>
                <w:sz w:val="24"/>
                <w:szCs w:val="24"/>
              </w:rPr>
              <w:t>,0</w:t>
            </w:r>
            <w:r w:rsidRPr="007B2B3A">
              <w:rPr>
                <w:rFonts w:eastAsia="Calibri"/>
                <w:sz w:val="24"/>
                <w:szCs w:val="24"/>
              </w:rPr>
              <w:t>2</w:t>
            </w:r>
            <w:r w:rsidR="00E31E9F" w:rsidRPr="007B2B3A">
              <w:rPr>
                <w:rFonts w:eastAsia="Calibri"/>
                <w:sz w:val="24"/>
                <w:szCs w:val="24"/>
              </w:rPr>
              <w:t>%</w:t>
            </w:r>
          </w:p>
        </w:tc>
        <w:tc>
          <w:tcPr>
            <w:tcW w:w="1205" w:type="dxa"/>
          </w:tcPr>
          <w:p w14:paraId="4952B3C7" w14:textId="02673D52" w:rsidR="00E31E9F" w:rsidRPr="007B2B3A" w:rsidRDefault="00E31E9F" w:rsidP="00B1239F">
            <w:pPr>
              <w:jc w:val="center"/>
              <w:rPr>
                <w:rFonts w:eastAsia="Calibri"/>
                <w:sz w:val="24"/>
                <w:szCs w:val="24"/>
              </w:rPr>
            </w:pPr>
            <w:r w:rsidRPr="007B2B3A">
              <w:rPr>
                <w:rFonts w:eastAsia="Calibri"/>
                <w:sz w:val="24"/>
                <w:szCs w:val="24"/>
              </w:rPr>
              <w:t>3,</w:t>
            </w:r>
            <w:r w:rsidR="00B1239F" w:rsidRPr="007B2B3A">
              <w:rPr>
                <w:rFonts w:eastAsia="Calibri"/>
                <w:sz w:val="24"/>
                <w:szCs w:val="24"/>
              </w:rPr>
              <w:t>98%</w:t>
            </w:r>
          </w:p>
        </w:tc>
        <w:tc>
          <w:tcPr>
            <w:tcW w:w="1235" w:type="dxa"/>
          </w:tcPr>
          <w:p w14:paraId="04C7B708" w14:textId="77777777" w:rsidR="00E31E9F" w:rsidRPr="007B2B3A" w:rsidRDefault="00E31E9F" w:rsidP="00E31E9F">
            <w:pPr>
              <w:jc w:val="center"/>
              <w:rPr>
                <w:rFonts w:eastAsia="Calibri"/>
                <w:sz w:val="24"/>
                <w:szCs w:val="24"/>
              </w:rPr>
            </w:pPr>
            <w:r w:rsidRPr="007B2B3A">
              <w:rPr>
                <w:rFonts w:eastAsia="Calibri"/>
                <w:sz w:val="24"/>
                <w:szCs w:val="24"/>
              </w:rPr>
              <w:t>12,00%</w:t>
            </w:r>
          </w:p>
        </w:tc>
        <w:tc>
          <w:tcPr>
            <w:tcW w:w="1218" w:type="dxa"/>
          </w:tcPr>
          <w:p w14:paraId="7CC56A4C" w14:textId="0588264A" w:rsidR="00E31E9F" w:rsidRPr="007B2B3A" w:rsidRDefault="00B1239F" w:rsidP="00B1239F">
            <w:pPr>
              <w:jc w:val="center"/>
              <w:rPr>
                <w:rFonts w:eastAsia="Calibri"/>
                <w:sz w:val="24"/>
                <w:szCs w:val="24"/>
              </w:rPr>
            </w:pPr>
            <w:r w:rsidRPr="007B2B3A">
              <w:rPr>
                <w:rFonts w:eastAsia="Calibri"/>
                <w:sz w:val="24"/>
                <w:szCs w:val="24"/>
              </w:rPr>
              <w:t>6</w:t>
            </w:r>
            <w:r w:rsidR="00E31E9F" w:rsidRPr="007B2B3A">
              <w:rPr>
                <w:rFonts w:eastAsia="Calibri"/>
                <w:sz w:val="24"/>
                <w:szCs w:val="24"/>
              </w:rPr>
              <w:t>,</w:t>
            </w:r>
            <w:r w:rsidRPr="007B2B3A">
              <w:rPr>
                <w:rFonts w:eastAsia="Calibri"/>
                <w:sz w:val="24"/>
                <w:szCs w:val="24"/>
              </w:rPr>
              <w:t>4</w:t>
            </w:r>
            <w:r w:rsidR="00E31E9F" w:rsidRPr="007B2B3A">
              <w:rPr>
                <w:rFonts w:eastAsia="Calibri"/>
                <w:sz w:val="24"/>
                <w:szCs w:val="24"/>
              </w:rPr>
              <w:t>9%</w:t>
            </w:r>
          </w:p>
        </w:tc>
        <w:tc>
          <w:tcPr>
            <w:tcW w:w="1205" w:type="dxa"/>
          </w:tcPr>
          <w:p w14:paraId="3C8BCEE2" w14:textId="2AE38E47" w:rsidR="00E31E9F" w:rsidRPr="007B2B3A" w:rsidRDefault="00B1239F" w:rsidP="00B1239F">
            <w:pPr>
              <w:jc w:val="center"/>
              <w:rPr>
                <w:rFonts w:eastAsia="Calibri"/>
                <w:sz w:val="24"/>
                <w:szCs w:val="24"/>
              </w:rPr>
            </w:pPr>
            <w:r w:rsidRPr="007B2B3A">
              <w:rPr>
                <w:rFonts w:eastAsia="Calibri"/>
                <w:sz w:val="24"/>
                <w:szCs w:val="24"/>
              </w:rPr>
              <w:t>1</w:t>
            </w:r>
            <w:r w:rsidR="00E31E9F" w:rsidRPr="007B2B3A">
              <w:rPr>
                <w:rFonts w:eastAsia="Calibri"/>
                <w:sz w:val="24"/>
                <w:szCs w:val="24"/>
              </w:rPr>
              <w:t>,</w:t>
            </w:r>
            <w:r w:rsidRPr="007B2B3A">
              <w:rPr>
                <w:rFonts w:eastAsia="Calibri"/>
                <w:sz w:val="24"/>
                <w:szCs w:val="24"/>
              </w:rPr>
              <w:t>43</w:t>
            </w:r>
            <w:r w:rsidR="00E31E9F" w:rsidRPr="007B2B3A">
              <w:rPr>
                <w:rFonts w:eastAsia="Calibri"/>
                <w:sz w:val="24"/>
                <w:szCs w:val="24"/>
              </w:rPr>
              <w:t>%</w:t>
            </w:r>
          </w:p>
        </w:tc>
        <w:tc>
          <w:tcPr>
            <w:tcW w:w="1235" w:type="dxa"/>
          </w:tcPr>
          <w:p w14:paraId="5A8C95E2" w14:textId="276092EB" w:rsidR="00E31E9F" w:rsidRPr="007B2B3A" w:rsidRDefault="008561EB" w:rsidP="008561EB">
            <w:pPr>
              <w:jc w:val="center"/>
              <w:rPr>
                <w:rFonts w:eastAsia="Calibri"/>
                <w:sz w:val="24"/>
                <w:szCs w:val="24"/>
              </w:rPr>
            </w:pPr>
            <w:r w:rsidRPr="007B2B3A">
              <w:rPr>
                <w:rFonts w:eastAsia="Calibri"/>
                <w:sz w:val="24"/>
                <w:szCs w:val="24"/>
              </w:rPr>
              <w:t>7</w:t>
            </w:r>
            <w:r w:rsidR="00E31E9F" w:rsidRPr="007B2B3A">
              <w:rPr>
                <w:rFonts w:eastAsia="Calibri"/>
                <w:sz w:val="24"/>
                <w:szCs w:val="24"/>
              </w:rPr>
              <w:t>,</w:t>
            </w:r>
            <w:r w:rsidRPr="007B2B3A">
              <w:rPr>
                <w:rFonts w:eastAsia="Calibri"/>
                <w:sz w:val="24"/>
                <w:szCs w:val="24"/>
              </w:rPr>
              <w:t>92</w:t>
            </w:r>
            <w:r w:rsidR="00E31E9F" w:rsidRPr="007B2B3A">
              <w:rPr>
                <w:rFonts w:eastAsia="Calibri"/>
                <w:sz w:val="24"/>
                <w:szCs w:val="24"/>
              </w:rPr>
              <w:t>%</w:t>
            </w:r>
          </w:p>
        </w:tc>
      </w:tr>
      <w:tr w:rsidR="007B2B3A" w:rsidRPr="007B2B3A" w14:paraId="79F0EB8E" w14:textId="77777777" w:rsidTr="004879CB">
        <w:tc>
          <w:tcPr>
            <w:tcW w:w="1844" w:type="dxa"/>
          </w:tcPr>
          <w:p w14:paraId="77F1C481" w14:textId="19CE33FD" w:rsidR="00E31E9F" w:rsidRPr="007B2B3A" w:rsidRDefault="007B2B3A" w:rsidP="00A77CF5">
            <w:pPr>
              <w:jc w:val="center"/>
              <w:rPr>
                <w:rFonts w:eastAsia="Calibri"/>
                <w:sz w:val="24"/>
                <w:szCs w:val="24"/>
              </w:rPr>
            </w:pPr>
            <w:r w:rsidRPr="007B2B3A">
              <w:rPr>
                <w:rFonts w:eastAsia="Calibri"/>
                <w:sz w:val="24"/>
                <w:szCs w:val="24"/>
              </w:rPr>
              <w:t>5</w:t>
            </w:r>
          </w:p>
        </w:tc>
        <w:tc>
          <w:tcPr>
            <w:tcW w:w="837" w:type="dxa"/>
          </w:tcPr>
          <w:p w14:paraId="110C7ECE" w14:textId="6D60F849" w:rsidR="00E31E9F" w:rsidRPr="007B2B3A" w:rsidRDefault="00E31E9F" w:rsidP="00B1239F">
            <w:pPr>
              <w:jc w:val="center"/>
              <w:rPr>
                <w:rFonts w:eastAsia="Calibri"/>
                <w:sz w:val="24"/>
                <w:szCs w:val="24"/>
              </w:rPr>
            </w:pPr>
            <w:r w:rsidRPr="007B2B3A">
              <w:rPr>
                <w:rFonts w:eastAsia="Calibri"/>
                <w:sz w:val="24"/>
                <w:szCs w:val="24"/>
              </w:rPr>
              <w:t>1</w:t>
            </w:r>
            <w:r w:rsidR="00B1239F" w:rsidRPr="007B2B3A">
              <w:rPr>
                <w:rFonts w:eastAsia="Calibri"/>
                <w:sz w:val="24"/>
                <w:szCs w:val="24"/>
              </w:rPr>
              <w:t>0</w:t>
            </w:r>
            <w:r w:rsidRPr="007B2B3A">
              <w:rPr>
                <w:rFonts w:eastAsia="Calibri"/>
                <w:sz w:val="24"/>
                <w:szCs w:val="24"/>
              </w:rPr>
              <w:t>,</w:t>
            </w:r>
            <w:r w:rsidR="00B1239F" w:rsidRPr="007B2B3A">
              <w:rPr>
                <w:rFonts w:eastAsia="Calibri"/>
                <w:sz w:val="24"/>
                <w:szCs w:val="24"/>
              </w:rPr>
              <w:t>69</w:t>
            </w:r>
            <w:r w:rsidRPr="007B2B3A">
              <w:rPr>
                <w:rFonts w:eastAsia="Calibri"/>
                <w:sz w:val="24"/>
                <w:szCs w:val="24"/>
              </w:rPr>
              <w:t>%</w:t>
            </w:r>
          </w:p>
        </w:tc>
        <w:tc>
          <w:tcPr>
            <w:tcW w:w="1205" w:type="dxa"/>
          </w:tcPr>
          <w:p w14:paraId="276954B8" w14:textId="4DA81FE5" w:rsidR="00E31E9F" w:rsidRPr="007B2B3A" w:rsidRDefault="00B1239F" w:rsidP="00B1239F">
            <w:pPr>
              <w:jc w:val="center"/>
              <w:rPr>
                <w:rFonts w:eastAsia="Calibri"/>
                <w:sz w:val="24"/>
                <w:szCs w:val="24"/>
              </w:rPr>
            </w:pPr>
            <w:r w:rsidRPr="007B2B3A">
              <w:rPr>
                <w:rFonts w:eastAsia="Calibri"/>
                <w:sz w:val="24"/>
                <w:szCs w:val="24"/>
              </w:rPr>
              <w:t>1</w:t>
            </w:r>
            <w:r w:rsidR="00E31E9F" w:rsidRPr="007B2B3A">
              <w:rPr>
                <w:rFonts w:eastAsia="Calibri"/>
                <w:sz w:val="24"/>
                <w:szCs w:val="24"/>
              </w:rPr>
              <w:t>,</w:t>
            </w:r>
            <w:r w:rsidRPr="007B2B3A">
              <w:rPr>
                <w:rFonts w:eastAsia="Calibri"/>
                <w:sz w:val="24"/>
                <w:szCs w:val="24"/>
              </w:rPr>
              <w:t>31%</w:t>
            </w:r>
          </w:p>
        </w:tc>
        <w:tc>
          <w:tcPr>
            <w:tcW w:w="1235" w:type="dxa"/>
          </w:tcPr>
          <w:p w14:paraId="0EE3CCF2" w14:textId="77777777" w:rsidR="00E31E9F" w:rsidRPr="007B2B3A" w:rsidRDefault="00E31E9F" w:rsidP="00E31E9F">
            <w:pPr>
              <w:jc w:val="center"/>
              <w:rPr>
                <w:rFonts w:eastAsia="Calibri"/>
                <w:sz w:val="24"/>
                <w:szCs w:val="24"/>
              </w:rPr>
            </w:pPr>
            <w:r w:rsidRPr="007B2B3A">
              <w:rPr>
                <w:rFonts w:eastAsia="Calibri"/>
                <w:sz w:val="24"/>
                <w:szCs w:val="24"/>
              </w:rPr>
              <w:t>12,00%</w:t>
            </w:r>
          </w:p>
        </w:tc>
        <w:tc>
          <w:tcPr>
            <w:tcW w:w="1218" w:type="dxa"/>
          </w:tcPr>
          <w:p w14:paraId="543A18EF" w14:textId="0326EFA2" w:rsidR="00E31E9F" w:rsidRPr="007B2B3A" w:rsidRDefault="00B1239F" w:rsidP="00B1239F">
            <w:pPr>
              <w:jc w:val="center"/>
              <w:rPr>
                <w:rFonts w:eastAsia="Calibri"/>
                <w:sz w:val="24"/>
                <w:szCs w:val="24"/>
              </w:rPr>
            </w:pPr>
            <w:r w:rsidRPr="007B2B3A">
              <w:rPr>
                <w:rFonts w:eastAsia="Calibri"/>
                <w:sz w:val="24"/>
                <w:szCs w:val="24"/>
              </w:rPr>
              <w:t>6</w:t>
            </w:r>
            <w:r w:rsidR="00E31E9F" w:rsidRPr="007B2B3A">
              <w:rPr>
                <w:rFonts w:eastAsia="Calibri"/>
                <w:sz w:val="24"/>
                <w:szCs w:val="24"/>
              </w:rPr>
              <w:t>,</w:t>
            </w:r>
            <w:r w:rsidRPr="007B2B3A">
              <w:rPr>
                <w:rFonts w:eastAsia="Calibri"/>
                <w:sz w:val="24"/>
                <w:szCs w:val="24"/>
              </w:rPr>
              <w:t>93</w:t>
            </w:r>
            <w:r w:rsidR="00E31E9F" w:rsidRPr="007B2B3A">
              <w:rPr>
                <w:rFonts w:eastAsia="Calibri"/>
                <w:sz w:val="24"/>
                <w:szCs w:val="24"/>
              </w:rPr>
              <w:t>%</w:t>
            </w:r>
          </w:p>
        </w:tc>
        <w:tc>
          <w:tcPr>
            <w:tcW w:w="1205" w:type="dxa"/>
          </w:tcPr>
          <w:p w14:paraId="53DB6B6E" w14:textId="6CA616F8" w:rsidR="00E31E9F" w:rsidRPr="007B2B3A" w:rsidRDefault="00E31E9F" w:rsidP="00B1239F">
            <w:pPr>
              <w:jc w:val="center"/>
              <w:rPr>
                <w:rFonts w:eastAsia="Calibri"/>
                <w:sz w:val="24"/>
                <w:szCs w:val="24"/>
              </w:rPr>
            </w:pPr>
            <w:r w:rsidRPr="007B2B3A">
              <w:rPr>
                <w:rFonts w:eastAsia="Calibri"/>
                <w:sz w:val="24"/>
                <w:szCs w:val="24"/>
              </w:rPr>
              <w:t>0,</w:t>
            </w:r>
            <w:r w:rsidR="00B1239F" w:rsidRPr="007B2B3A">
              <w:rPr>
                <w:rFonts w:eastAsia="Calibri"/>
                <w:sz w:val="24"/>
                <w:szCs w:val="24"/>
              </w:rPr>
              <w:t>99</w:t>
            </w:r>
            <w:r w:rsidRPr="007B2B3A">
              <w:rPr>
                <w:rFonts w:eastAsia="Calibri"/>
                <w:sz w:val="24"/>
                <w:szCs w:val="24"/>
              </w:rPr>
              <w:t>%</w:t>
            </w:r>
          </w:p>
        </w:tc>
        <w:tc>
          <w:tcPr>
            <w:tcW w:w="1235" w:type="dxa"/>
          </w:tcPr>
          <w:p w14:paraId="23B5364D" w14:textId="45A8C25F" w:rsidR="00E31E9F" w:rsidRPr="007B2B3A" w:rsidRDefault="008561EB" w:rsidP="008561EB">
            <w:pPr>
              <w:jc w:val="center"/>
              <w:rPr>
                <w:rFonts w:eastAsia="Calibri"/>
                <w:sz w:val="24"/>
                <w:szCs w:val="24"/>
              </w:rPr>
            </w:pPr>
            <w:r w:rsidRPr="007B2B3A">
              <w:rPr>
                <w:rFonts w:eastAsia="Calibri"/>
                <w:sz w:val="24"/>
                <w:szCs w:val="24"/>
              </w:rPr>
              <w:t>7</w:t>
            </w:r>
            <w:r w:rsidR="00E31E9F" w:rsidRPr="007B2B3A">
              <w:rPr>
                <w:rFonts w:eastAsia="Calibri"/>
                <w:sz w:val="24"/>
                <w:szCs w:val="24"/>
              </w:rPr>
              <w:t>,</w:t>
            </w:r>
            <w:r w:rsidRPr="007B2B3A">
              <w:rPr>
                <w:rFonts w:eastAsia="Calibri"/>
                <w:sz w:val="24"/>
                <w:szCs w:val="24"/>
              </w:rPr>
              <w:t>92</w:t>
            </w:r>
            <w:r w:rsidR="00E31E9F" w:rsidRPr="007B2B3A">
              <w:rPr>
                <w:rFonts w:eastAsia="Calibri"/>
                <w:sz w:val="24"/>
                <w:szCs w:val="24"/>
              </w:rPr>
              <w:t>%</w:t>
            </w:r>
          </w:p>
        </w:tc>
      </w:tr>
    </w:tbl>
    <w:p w14:paraId="6C36984F" w14:textId="014D5394" w:rsidR="00FA468C" w:rsidRPr="007B2B3A" w:rsidRDefault="00B413E7" w:rsidP="00833385">
      <w:pPr>
        <w:spacing w:after="240"/>
        <w:jc w:val="both"/>
        <w:rPr>
          <w:rFonts w:ascii="Times New Roman" w:eastAsia="Calibri" w:hAnsi="Times New Roman" w:cs="Times New Roman"/>
          <w:sz w:val="20"/>
          <w:szCs w:val="20"/>
        </w:rPr>
      </w:pPr>
      <w:r w:rsidRPr="007B2B3A">
        <w:rPr>
          <w:rFonts w:ascii="Times New Roman" w:eastAsia="Calibri" w:hAnsi="Times New Roman" w:cs="Times New Roman"/>
          <w:sz w:val="20"/>
          <w:szCs w:val="20"/>
        </w:rPr>
        <w:t>Fuente: Información suministrada por la CCSS</w:t>
      </w:r>
    </w:p>
    <w:p w14:paraId="057E06D0" w14:textId="39CC65FB" w:rsidR="006159E6" w:rsidRDefault="006159E6" w:rsidP="00833385">
      <w:pPr>
        <w:spacing w:after="240"/>
        <w:jc w:val="both"/>
        <w:rPr>
          <w:rFonts w:ascii="Times New Roman" w:hAnsi="Times New Roman" w:cs="Times New Roman"/>
          <w:sz w:val="24"/>
          <w:szCs w:val="24"/>
          <w:lang w:eastAsia="es-ES_tradnl"/>
        </w:rPr>
      </w:pPr>
      <w:r w:rsidRPr="007B2B3A">
        <w:rPr>
          <w:rFonts w:ascii="Times New Roman" w:hAnsi="Times New Roman" w:cs="Times New Roman"/>
          <w:sz w:val="24"/>
          <w:szCs w:val="24"/>
          <w:lang w:eastAsia="es-ES_tradnl"/>
        </w:rPr>
        <w:t>La CCSS pretende que se incremente la base mínima contributiva de trabajadores independientes y asegurados voluntarios</w:t>
      </w:r>
      <w:r w:rsidR="00FA468C" w:rsidRPr="007B2B3A">
        <w:rPr>
          <w:rFonts w:ascii="Times New Roman" w:hAnsi="Times New Roman" w:cs="Times New Roman"/>
          <w:sz w:val="24"/>
          <w:szCs w:val="24"/>
          <w:lang w:eastAsia="es-ES_tradnl"/>
        </w:rPr>
        <w:t>,</w:t>
      </w:r>
      <w:r w:rsidRPr="007B2B3A">
        <w:rPr>
          <w:rFonts w:ascii="Times New Roman" w:hAnsi="Times New Roman" w:cs="Times New Roman"/>
          <w:sz w:val="24"/>
          <w:szCs w:val="24"/>
          <w:lang w:eastAsia="es-ES_tradnl"/>
        </w:rPr>
        <w:t xml:space="preserve"> a un salario completo del trabajador no calificado</w:t>
      </w:r>
      <w:r w:rsidR="00C860FA" w:rsidRPr="007B2B3A">
        <w:rPr>
          <w:rFonts w:ascii="Times New Roman" w:hAnsi="Times New Roman" w:cs="Times New Roman"/>
          <w:sz w:val="24"/>
          <w:szCs w:val="24"/>
          <w:lang w:eastAsia="es-ES_tradnl"/>
        </w:rPr>
        <w:t>. E</w:t>
      </w:r>
      <w:r w:rsidRPr="007B2B3A">
        <w:rPr>
          <w:rFonts w:ascii="Times New Roman" w:hAnsi="Times New Roman" w:cs="Times New Roman"/>
          <w:sz w:val="24"/>
          <w:szCs w:val="24"/>
          <w:lang w:eastAsia="es-ES_tradnl"/>
        </w:rPr>
        <w:t xml:space="preserve">l objetivo que se </w:t>
      </w:r>
      <w:r w:rsidR="00A93B72" w:rsidRPr="007B2B3A">
        <w:rPr>
          <w:rFonts w:ascii="Times New Roman" w:hAnsi="Times New Roman" w:cs="Times New Roman"/>
          <w:sz w:val="24"/>
          <w:szCs w:val="24"/>
          <w:lang w:eastAsia="es-ES_tradnl"/>
        </w:rPr>
        <w:t>proyecta</w:t>
      </w:r>
      <w:r w:rsidR="00FA468C" w:rsidRPr="007B2B3A">
        <w:rPr>
          <w:rFonts w:ascii="Times New Roman" w:hAnsi="Times New Roman" w:cs="Times New Roman"/>
          <w:sz w:val="24"/>
          <w:szCs w:val="24"/>
          <w:lang w:eastAsia="es-ES_tradnl"/>
        </w:rPr>
        <w:t xml:space="preserve"> alcanzar con esto</w:t>
      </w:r>
      <w:r w:rsidRPr="007B2B3A">
        <w:rPr>
          <w:rFonts w:ascii="Times New Roman" w:hAnsi="Times New Roman" w:cs="Times New Roman"/>
          <w:sz w:val="24"/>
          <w:szCs w:val="24"/>
          <w:lang w:eastAsia="es-ES_tradnl"/>
        </w:rPr>
        <w:t xml:space="preserve"> es que dichas personas contribuyan con una tasa equivalente a la que aportan los asalariados</w:t>
      </w:r>
      <w:r w:rsidR="0001745B" w:rsidRPr="007B2B3A">
        <w:rPr>
          <w:rFonts w:ascii="Times New Roman" w:hAnsi="Times New Roman" w:cs="Times New Roman"/>
          <w:sz w:val="24"/>
          <w:szCs w:val="24"/>
          <w:lang w:eastAsia="es-ES_tradnl"/>
        </w:rPr>
        <w:t>.</w:t>
      </w:r>
    </w:p>
    <w:p w14:paraId="6D273B41" w14:textId="77777777" w:rsidR="00084D13" w:rsidRPr="00125F2A" w:rsidRDefault="00084D13" w:rsidP="00A81AE0">
      <w:pPr>
        <w:spacing w:after="0" w:line="240" w:lineRule="auto"/>
        <w:jc w:val="both"/>
        <w:rPr>
          <w:rFonts w:ascii="Times New Roman" w:hAnsi="Times New Roman" w:cs="Times New Roman"/>
          <w:sz w:val="24"/>
          <w:szCs w:val="24"/>
          <w:lang w:eastAsia="es-ES_tradnl"/>
        </w:rPr>
      </w:pPr>
    </w:p>
    <w:p w14:paraId="5275FEEC" w14:textId="650149C6" w:rsidR="00E56476" w:rsidRPr="00125F2A" w:rsidRDefault="00C359D1" w:rsidP="0056098F">
      <w:pPr>
        <w:pStyle w:val="Ttulo1"/>
        <w:numPr>
          <w:ilvl w:val="0"/>
          <w:numId w:val="1"/>
        </w:numPr>
        <w:tabs>
          <w:tab w:val="num" w:pos="540"/>
        </w:tabs>
        <w:spacing w:before="120"/>
        <w:ind w:left="539" w:hanging="539"/>
      </w:pPr>
      <w:bookmarkStart w:id="14" w:name="_Toc496194189"/>
      <w:r w:rsidRPr="00125F2A">
        <w:t>INFRAESTRUCTURA TECNOLÓGICA, CONTABLE Y GESTIÓ</w:t>
      </w:r>
      <w:r w:rsidR="00C038D2" w:rsidRPr="00125F2A">
        <w:t>N DE RIESGOS</w:t>
      </w:r>
      <w:bookmarkEnd w:id="14"/>
    </w:p>
    <w:p w14:paraId="13C1921B" w14:textId="68F13715" w:rsidR="001C2B4E" w:rsidRDefault="001C2B4E" w:rsidP="001C2B4E">
      <w:pPr>
        <w:rPr>
          <w:rFonts w:ascii="Times New Roman" w:hAnsi="Times New Roman" w:cs="Times New Roman"/>
          <w:sz w:val="24"/>
          <w:szCs w:val="24"/>
          <w:lang w:eastAsia="es-ES"/>
        </w:rPr>
      </w:pPr>
    </w:p>
    <w:p w14:paraId="040EDEA5" w14:textId="17A1D9DB" w:rsidR="00A727BF" w:rsidRPr="00125F2A" w:rsidRDefault="00A727BF" w:rsidP="00283A51">
      <w:pPr>
        <w:pStyle w:val="Ttulo1"/>
        <w:numPr>
          <w:ilvl w:val="0"/>
          <w:numId w:val="4"/>
        </w:numPr>
        <w:rPr>
          <w:i w:val="0"/>
          <w:iCs w:val="0"/>
          <w:lang w:eastAsia="es-ES_tradnl"/>
        </w:rPr>
      </w:pPr>
      <w:bookmarkStart w:id="15" w:name="_Toc261273983"/>
      <w:bookmarkStart w:id="16" w:name="_Toc496194190"/>
      <w:r w:rsidRPr="00125F2A">
        <w:rPr>
          <w:i w:val="0"/>
          <w:iCs w:val="0"/>
          <w:lang w:eastAsia="es-ES_tradnl"/>
        </w:rPr>
        <w:t>Plataforma informática desactualizada</w:t>
      </w:r>
      <w:bookmarkEnd w:id="15"/>
      <w:bookmarkEnd w:id="16"/>
    </w:p>
    <w:p w14:paraId="49800255" w14:textId="77777777" w:rsidR="001C2B4E" w:rsidRPr="00125F2A" w:rsidRDefault="001C2B4E" w:rsidP="001C2B4E">
      <w:pPr>
        <w:spacing w:after="0"/>
        <w:rPr>
          <w:rFonts w:ascii="Times New Roman" w:hAnsi="Times New Roman" w:cs="Times New Roman"/>
          <w:sz w:val="24"/>
          <w:szCs w:val="24"/>
          <w:lang w:eastAsia="es-ES_tradnl"/>
        </w:rPr>
      </w:pPr>
    </w:p>
    <w:p w14:paraId="4EE65F07" w14:textId="5DA23928" w:rsidR="00A727BF" w:rsidRPr="00C860FA" w:rsidRDefault="00E025EC" w:rsidP="00442084">
      <w:pPr>
        <w:spacing w:after="240"/>
        <w:jc w:val="both"/>
        <w:rPr>
          <w:rFonts w:ascii="Times New Roman" w:hAnsi="Times New Roman" w:cs="Times New Roman"/>
          <w:color w:val="365F91" w:themeColor="accent1" w:themeShade="BF"/>
          <w:sz w:val="24"/>
          <w:szCs w:val="24"/>
          <w:lang w:eastAsia="es-ES_tradnl"/>
        </w:rPr>
      </w:pPr>
      <w:r>
        <w:rPr>
          <w:rFonts w:ascii="Times New Roman" w:hAnsi="Times New Roman" w:cs="Times New Roman"/>
          <w:sz w:val="24"/>
          <w:szCs w:val="24"/>
          <w:lang w:eastAsia="es-ES_tradnl"/>
        </w:rPr>
        <w:t xml:space="preserve">Según ha quedado evidenciado en </w:t>
      </w:r>
      <w:r w:rsidR="00BC79F7">
        <w:rPr>
          <w:rFonts w:ascii="Times New Roman" w:hAnsi="Times New Roman" w:cs="Times New Roman"/>
          <w:sz w:val="24"/>
          <w:szCs w:val="24"/>
          <w:lang w:eastAsia="es-ES_tradnl"/>
        </w:rPr>
        <w:t>estudios ejecutado</w:t>
      </w:r>
      <w:r w:rsidR="001C1D9B" w:rsidRPr="001C1D9B">
        <w:rPr>
          <w:rFonts w:ascii="Times New Roman" w:hAnsi="Times New Roman" w:cs="Times New Roman"/>
          <w:sz w:val="24"/>
          <w:szCs w:val="24"/>
          <w:lang w:eastAsia="es-ES_tradnl"/>
        </w:rPr>
        <w:t>s por la SUPEN</w:t>
      </w:r>
      <w:r w:rsidR="004664E1">
        <w:rPr>
          <w:rFonts w:ascii="Times New Roman" w:hAnsi="Times New Roman" w:cs="Times New Roman"/>
          <w:sz w:val="24"/>
          <w:szCs w:val="24"/>
          <w:lang w:eastAsia="es-ES_tradnl"/>
        </w:rPr>
        <w:t xml:space="preserve"> en años anteriores</w:t>
      </w:r>
      <w:r w:rsidR="00D62B4A" w:rsidRPr="001C1D9B">
        <w:rPr>
          <w:rFonts w:ascii="Times New Roman" w:hAnsi="Times New Roman" w:cs="Times New Roman"/>
          <w:sz w:val="24"/>
          <w:szCs w:val="24"/>
          <w:lang w:eastAsia="es-ES_tradnl"/>
        </w:rPr>
        <w:t xml:space="preserve">, se </w:t>
      </w:r>
      <w:r>
        <w:rPr>
          <w:rFonts w:ascii="Times New Roman" w:hAnsi="Times New Roman" w:cs="Times New Roman"/>
          <w:sz w:val="24"/>
          <w:szCs w:val="24"/>
          <w:lang w:eastAsia="es-ES_tradnl"/>
        </w:rPr>
        <w:t>determinó que</w:t>
      </w:r>
      <w:r w:rsidR="00C860FA">
        <w:rPr>
          <w:rFonts w:ascii="Times New Roman" w:hAnsi="Times New Roman" w:cs="Times New Roman"/>
          <w:sz w:val="24"/>
          <w:szCs w:val="24"/>
          <w:lang w:eastAsia="es-ES_tradnl"/>
        </w:rPr>
        <w:t xml:space="preserve"> </w:t>
      </w:r>
      <w:r w:rsidR="00D62B4A" w:rsidRPr="001C1D9B">
        <w:rPr>
          <w:rFonts w:ascii="Times New Roman" w:hAnsi="Times New Roman" w:cs="Times New Roman"/>
          <w:sz w:val="24"/>
          <w:szCs w:val="24"/>
          <w:lang w:eastAsia="es-ES_tradnl"/>
        </w:rPr>
        <w:t>l</w:t>
      </w:r>
      <w:r w:rsidR="00A727BF" w:rsidRPr="001C1D9B">
        <w:rPr>
          <w:rFonts w:ascii="Times New Roman" w:hAnsi="Times New Roman" w:cs="Times New Roman"/>
          <w:sz w:val="24"/>
          <w:szCs w:val="24"/>
          <w:lang w:eastAsia="es-ES_tradnl"/>
        </w:rPr>
        <w:t xml:space="preserve">os sistemas de información </w:t>
      </w:r>
      <w:r w:rsidR="00956935" w:rsidRPr="001C1D9B">
        <w:rPr>
          <w:rFonts w:ascii="Times New Roman" w:hAnsi="Times New Roman" w:cs="Times New Roman"/>
          <w:sz w:val="24"/>
          <w:szCs w:val="24"/>
          <w:lang w:eastAsia="es-ES_tradnl"/>
        </w:rPr>
        <w:t>de la CCSS</w:t>
      </w:r>
      <w:r w:rsidR="00F26213" w:rsidRPr="001C1D9B">
        <w:rPr>
          <w:rFonts w:ascii="Times New Roman" w:hAnsi="Times New Roman" w:cs="Times New Roman"/>
          <w:sz w:val="24"/>
          <w:szCs w:val="24"/>
          <w:lang w:eastAsia="es-ES_tradnl"/>
        </w:rPr>
        <w:t>,</w:t>
      </w:r>
      <w:r w:rsidR="00A727BF" w:rsidRPr="001C1D9B">
        <w:rPr>
          <w:rFonts w:ascii="Times New Roman" w:hAnsi="Times New Roman" w:cs="Times New Roman"/>
          <w:sz w:val="24"/>
          <w:szCs w:val="24"/>
          <w:lang w:eastAsia="es-ES_tradnl"/>
        </w:rPr>
        <w:t xml:space="preserve"> </w:t>
      </w:r>
      <w:r w:rsidR="004F57F9">
        <w:rPr>
          <w:rFonts w:ascii="Times New Roman" w:hAnsi="Times New Roman" w:cs="Times New Roman"/>
          <w:sz w:val="24"/>
          <w:szCs w:val="24"/>
          <w:lang w:eastAsia="es-ES_tradnl"/>
        </w:rPr>
        <w:t xml:space="preserve">en </w:t>
      </w:r>
      <w:r w:rsidR="0049388B" w:rsidRPr="001C1D9B">
        <w:rPr>
          <w:rFonts w:ascii="Times New Roman" w:hAnsi="Times New Roman" w:cs="Times New Roman"/>
          <w:sz w:val="24"/>
          <w:szCs w:val="24"/>
          <w:lang w:eastAsia="es-ES_tradnl"/>
        </w:rPr>
        <w:t>algunos procesos</w:t>
      </w:r>
      <w:r w:rsidR="00F87720">
        <w:rPr>
          <w:rFonts w:ascii="Times New Roman" w:hAnsi="Times New Roman" w:cs="Times New Roman"/>
          <w:sz w:val="24"/>
          <w:szCs w:val="24"/>
          <w:lang w:eastAsia="es-ES_tradnl"/>
        </w:rPr>
        <w:t>,</w:t>
      </w:r>
      <w:r w:rsidR="0049388B" w:rsidRPr="001C1D9B">
        <w:rPr>
          <w:rFonts w:ascii="Times New Roman" w:hAnsi="Times New Roman" w:cs="Times New Roman"/>
          <w:sz w:val="24"/>
          <w:szCs w:val="24"/>
          <w:lang w:eastAsia="es-ES_tradnl"/>
        </w:rPr>
        <w:t xml:space="preserve"> </w:t>
      </w:r>
      <w:r w:rsidR="00A727BF" w:rsidRPr="001C1D9B">
        <w:rPr>
          <w:rFonts w:ascii="Times New Roman" w:hAnsi="Times New Roman" w:cs="Times New Roman"/>
          <w:sz w:val="24"/>
          <w:szCs w:val="24"/>
          <w:lang w:eastAsia="es-ES_tradnl"/>
        </w:rPr>
        <w:t>son obsoletos y poco flexibles</w:t>
      </w:r>
      <w:r w:rsidR="00B448F0" w:rsidRPr="001C1D9B">
        <w:rPr>
          <w:rFonts w:ascii="Times New Roman" w:hAnsi="Times New Roman" w:cs="Times New Roman"/>
          <w:sz w:val="24"/>
          <w:szCs w:val="24"/>
          <w:lang w:eastAsia="es-ES_tradnl"/>
        </w:rPr>
        <w:t xml:space="preserve"> (ejemplo contabilidad, inversiones y créditos)</w:t>
      </w:r>
      <w:r w:rsidR="004F57F9">
        <w:rPr>
          <w:rFonts w:ascii="Times New Roman" w:hAnsi="Times New Roman" w:cs="Times New Roman"/>
          <w:sz w:val="24"/>
          <w:szCs w:val="24"/>
          <w:lang w:eastAsia="es-ES_tradnl"/>
        </w:rPr>
        <w:t xml:space="preserve"> </w:t>
      </w:r>
      <w:r w:rsidR="00F87720">
        <w:rPr>
          <w:rFonts w:ascii="Times New Roman" w:hAnsi="Times New Roman" w:cs="Times New Roman"/>
          <w:sz w:val="24"/>
          <w:szCs w:val="24"/>
          <w:lang w:eastAsia="es-ES_tradnl"/>
        </w:rPr>
        <w:t xml:space="preserve">así como </w:t>
      </w:r>
      <w:r w:rsidR="00A52425" w:rsidRPr="001C1D9B">
        <w:rPr>
          <w:rFonts w:ascii="Times New Roman" w:hAnsi="Times New Roman" w:cs="Times New Roman"/>
          <w:sz w:val="24"/>
          <w:szCs w:val="24"/>
          <w:lang w:eastAsia="es-ES_tradnl"/>
        </w:rPr>
        <w:t xml:space="preserve">que </w:t>
      </w:r>
      <w:r w:rsidR="0049388B" w:rsidRPr="001C1D9B">
        <w:rPr>
          <w:rFonts w:ascii="Times New Roman" w:hAnsi="Times New Roman" w:cs="Times New Roman"/>
          <w:sz w:val="24"/>
          <w:szCs w:val="24"/>
          <w:lang w:eastAsia="es-ES_tradnl"/>
        </w:rPr>
        <w:t xml:space="preserve">no se encuentran integrados, </w:t>
      </w:r>
      <w:r w:rsidR="00A727BF" w:rsidRPr="001C1D9B">
        <w:rPr>
          <w:rFonts w:ascii="Times New Roman" w:hAnsi="Times New Roman" w:cs="Times New Roman"/>
          <w:sz w:val="24"/>
          <w:szCs w:val="24"/>
          <w:lang w:eastAsia="es-ES_tradnl"/>
        </w:rPr>
        <w:t xml:space="preserve">lo que dificulta la correcta gestión de la </w:t>
      </w:r>
      <w:r w:rsidR="000100C7" w:rsidRPr="001C1D9B">
        <w:rPr>
          <w:rFonts w:ascii="Times New Roman" w:hAnsi="Times New Roman" w:cs="Times New Roman"/>
          <w:sz w:val="24"/>
          <w:szCs w:val="24"/>
          <w:lang w:eastAsia="es-ES_tradnl"/>
        </w:rPr>
        <w:t>información</w:t>
      </w:r>
      <w:r w:rsidR="000100C7" w:rsidRPr="001C1D9B">
        <w:rPr>
          <w:rFonts w:ascii="Times New Roman" w:hAnsi="Times New Roman" w:cs="Times New Roman"/>
          <w:sz w:val="24"/>
          <w:szCs w:val="24"/>
        </w:rPr>
        <w:t xml:space="preserve"> </w:t>
      </w:r>
      <w:r w:rsidR="000100C7" w:rsidRPr="001C1D9B">
        <w:rPr>
          <w:rFonts w:ascii="Times New Roman" w:hAnsi="Times New Roman" w:cs="Times New Roman"/>
          <w:sz w:val="24"/>
          <w:szCs w:val="24"/>
          <w:lang w:eastAsia="es-ES_tradnl"/>
        </w:rPr>
        <w:t>e</w:t>
      </w:r>
      <w:r w:rsidR="00956935" w:rsidRPr="001C1D9B">
        <w:rPr>
          <w:rFonts w:ascii="Times New Roman" w:hAnsi="Times New Roman" w:cs="Times New Roman"/>
          <w:sz w:val="24"/>
          <w:szCs w:val="24"/>
          <w:lang w:eastAsia="es-ES_tradnl"/>
        </w:rPr>
        <w:t xml:space="preserve"> incide desfavorablemente en el accionar del RIVM</w:t>
      </w:r>
      <w:r w:rsidR="00A727BF" w:rsidRPr="001C1D9B">
        <w:rPr>
          <w:rFonts w:ascii="Times New Roman" w:hAnsi="Times New Roman" w:cs="Times New Roman"/>
          <w:sz w:val="24"/>
          <w:szCs w:val="24"/>
          <w:lang w:eastAsia="es-ES_tradnl"/>
        </w:rPr>
        <w:t xml:space="preserve">. Esta deficiencia trae aparejada alta exposición al riesgo de deterioro o pérdida de integridad de los datos e incluso a la manipulación de la información, lo que podría afectar el proceso de toma de </w:t>
      </w:r>
      <w:r w:rsidR="00A727BF" w:rsidRPr="00DA0351">
        <w:rPr>
          <w:rFonts w:ascii="Times New Roman" w:hAnsi="Times New Roman" w:cs="Times New Roman"/>
          <w:sz w:val="24"/>
          <w:szCs w:val="24"/>
          <w:lang w:eastAsia="es-ES_tradnl"/>
        </w:rPr>
        <w:t>decisiones y derivar en pérdidas financieras</w:t>
      </w:r>
      <w:r w:rsidR="00DA0351" w:rsidRPr="00DA0351">
        <w:rPr>
          <w:rFonts w:ascii="Times New Roman" w:hAnsi="Times New Roman" w:cs="Times New Roman"/>
          <w:sz w:val="24"/>
          <w:szCs w:val="24"/>
          <w:lang w:eastAsia="es-ES_tradnl"/>
        </w:rPr>
        <w:t xml:space="preserve"> y riesgo reputacional</w:t>
      </w:r>
      <w:r w:rsidR="00A727BF" w:rsidRPr="00DA0351">
        <w:rPr>
          <w:rFonts w:ascii="Times New Roman" w:hAnsi="Times New Roman" w:cs="Times New Roman"/>
          <w:sz w:val="24"/>
          <w:szCs w:val="24"/>
          <w:lang w:eastAsia="es-ES_tradnl"/>
        </w:rPr>
        <w:t>.</w:t>
      </w:r>
    </w:p>
    <w:p w14:paraId="1D14FC5E" w14:textId="3377910B" w:rsidR="00702D60" w:rsidRPr="00590375" w:rsidRDefault="00E662EF" w:rsidP="00702D60">
      <w:pPr>
        <w:spacing w:after="0"/>
        <w:jc w:val="both"/>
        <w:rPr>
          <w:rFonts w:ascii="Times New Roman" w:hAnsi="Times New Roman" w:cs="Times New Roman"/>
          <w:sz w:val="24"/>
          <w:szCs w:val="24"/>
        </w:rPr>
      </w:pPr>
      <w:r w:rsidRPr="00590375">
        <w:rPr>
          <w:rFonts w:ascii="Times New Roman" w:hAnsi="Times New Roman" w:cs="Times New Roman"/>
          <w:sz w:val="24"/>
          <w:szCs w:val="24"/>
        </w:rPr>
        <w:t xml:space="preserve">En </w:t>
      </w:r>
      <w:r w:rsidR="004F57F9" w:rsidRPr="00590375">
        <w:rPr>
          <w:rFonts w:ascii="Times New Roman" w:hAnsi="Times New Roman" w:cs="Times New Roman"/>
          <w:sz w:val="24"/>
          <w:szCs w:val="24"/>
        </w:rPr>
        <w:t>la visita concluida</w:t>
      </w:r>
      <w:r w:rsidR="00B32E39" w:rsidRPr="00590375">
        <w:rPr>
          <w:rFonts w:ascii="Times New Roman" w:hAnsi="Times New Roman" w:cs="Times New Roman"/>
          <w:sz w:val="24"/>
          <w:szCs w:val="24"/>
        </w:rPr>
        <w:t xml:space="preserve"> en agosto de 2016</w:t>
      </w:r>
      <w:r w:rsidRPr="00590375">
        <w:rPr>
          <w:rFonts w:ascii="Times New Roman" w:hAnsi="Times New Roman" w:cs="Times New Roman"/>
          <w:sz w:val="24"/>
          <w:szCs w:val="24"/>
        </w:rPr>
        <w:t>,</w:t>
      </w:r>
      <w:r w:rsidR="00282B81" w:rsidRPr="00590375">
        <w:rPr>
          <w:rFonts w:ascii="Times New Roman" w:hAnsi="Times New Roman" w:cs="Times New Roman"/>
          <w:sz w:val="24"/>
          <w:szCs w:val="24"/>
        </w:rPr>
        <w:t xml:space="preserve"> con el </w:t>
      </w:r>
      <w:r w:rsidR="00E81093" w:rsidRPr="00590375">
        <w:rPr>
          <w:rFonts w:ascii="Times New Roman" w:hAnsi="Times New Roman" w:cs="Times New Roman"/>
          <w:sz w:val="24"/>
          <w:szCs w:val="24"/>
        </w:rPr>
        <w:t>objetivo</w:t>
      </w:r>
      <w:r w:rsidR="00282B81" w:rsidRPr="00590375">
        <w:rPr>
          <w:rFonts w:ascii="Times New Roman" w:hAnsi="Times New Roman" w:cs="Times New Roman"/>
          <w:sz w:val="24"/>
          <w:szCs w:val="24"/>
        </w:rPr>
        <w:t xml:space="preserve"> de hacer un análisis de la gestión de riesgos del RIVM, se propuso a la Gerencia de Pensiones </w:t>
      </w:r>
      <w:r w:rsidR="00B32E39" w:rsidRPr="00590375">
        <w:rPr>
          <w:rFonts w:ascii="Times New Roman" w:hAnsi="Times New Roman" w:cs="Times New Roman"/>
          <w:sz w:val="24"/>
          <w:szCs w:val="24"/>
        </w:rPr>
        <w:t>que suministrara</w:t>
      </w:r>
      <w:r w:rsidR="00D62AAA" w:rsidRPr="00590375">
        <w:rPr>
          <w:rFonts w:ascii="Times New Roman" w:hAnsi="Times New Roman" w:cs="Times New Roman"/>
          <w:sz w:val="24"/>
          <w:szCs w:val="24"/>
        </w:rPr>
        <w:t xml:space="preserve"> información previamente solici</w:t>
      </w:r>
      <w:r w:rsidR="00B32E39" w:rsidRPr="00590375">
        <w:rPr>
          <w:rFonts w:ascii="Times New Roman" w:hAnsi="Times New Roman" w:cs="Times New Roman"/>
          <w:sz w:val="24"/>
          <w:szCs w:val="24"/>
        </w:rPr>
        <w:t xml:space="preserve">tada, con el objetivo </w:t>
      </w:r>
      <w:r w:rsidR="00D62AAA" w:rsidRPr="00590375">
        <w:rPr>
          <w:rFonts w:ascii="Times New Roman" w:hAnsi="Times New Roman" w:cs="Times New Roman"/>
          <w:sz w:val="24"/>
          <w:szCs w:val="24"/>
        </w:rPr>
        <w:t xml:space="preserve">de </w:t>
      </w:r>
      <w:r w:rsidR="000A776B" w:rsidRPr="00590375">
        <w:rPr>
          <w:rFonts w:ascii="Times New Roman" w:hAnsi="Times New Roman" w:cs="Times New Roman"/>
          <w:sz w:val="24"/>
          <w:szCs w:val="24"/>
        </w:rPr>
        <w:t xml:space="preserve">establecer un perfil tecnológico, </w:t>
      </w:r>
      <w:r w:rsidR="00C80654" w:rsidRPr="00590375">
        <w:rPr>
          <w:rFonts w:ascii="Times New Roman" w:hAnsi="Times New Roman" w:cs="Times New Roman"/>
          <w:sz w:val="24"/>
          <w:szCs w:val="24"/>
        </w:rPr>
        <w:t>sobre</w:t>
      </w:r>
      <w:r w:rsidR="000A776B" w:rsidRPr="00590375">
        <w:rPr>
          <w:rFonts w:ascii="Times New Roman" w:hAnsi="Times New Roman" w:cs="Times New Roman"/>
          <w:sz w:val="24"/>
          <w:szCs w:val="24"/>
        </w:rPr>
        <w:t xml:space="preserve"> los procesos de </w:t>
      </w:r>
      <w:r w:rsidR="00D62AAA" w:rsidRPr="00590375">
        <w:rPr>
          <w:rFonts w:ascii="Times New Roman" w:hAnsi="Times New Roman" w:cs="Times New Roman"/>
          <w:sz w:val="24"/>
          <w:szCs w:val="24"/>
        </w:rPr>
        <w:t>tecnologías de información (</w:t>
      </w:r>
      <w:r w:rsidR="000A776B" w:rsidRPr="00590375">
        <w:rPr>
          <w:rFonts w:ascii="Times New Roman" w:hAnsi="Times New Roman" w:cs="Times New Roman"/>
          <w:sz w:val="24"/>
          <w:szCs w:val="24"/>
        </w:rPr>
        <w:t>TI</w:t>
      </w:r>
      <w:r w:rsidR="00D62AAA" w:rsidRPr="00590375">
        <w:rPr>
          <w:rFonts w:ascii="Times New Roman" w:hAnsi="Times New Roman" w:cs="Times New Roman"/>
          <w:sz w:val="24"/>
          <w:szCs w:val="24"/>
        </w:rPr>
        <w:t>)</w:t>
      </w:r>
      <w:r w:rsidR="000A776B" w:rsidRPr="00590375">
        <w:rPr>
          <w:rFonts w:ascii="Times New Roman" w:hAnsi="Times New Roman" w:cs="Times New Roman"/>
          <w:sz w:val="24"/>
          <w:szCs w:val="24"/>
        </w:rPr>
        <w:t>, aplicativos que soportan la operación, infraestructura disponible</w:t>
      </w:r>
      <w:r w:rsidR="00D62AAA" w:rsidRPr="00590375">
        <w:rPr>
          <w:rFonts w:ascii="Times New Roman" w:hAnsi="Times New Roman" w:cs="Times New Roman"/>
          <w:sz w:val="24"/>
          <w:szCs w:val="24"/>
        </w:rPr>
        <w:t xml:space="preserve"> y la gestión de recursos de TI y no fue posible</w:t>
      </w:r>
      <w:r w:rsidR="004664E1" w:rsidRPr="00590375">
        <w:rPr>
          <w:rFonts w:ascii="Times New Roman" w:hAnsi="Times New Roman" w:cs="Times New Roman"/>
          <w:sz w:val="24"/>
          <w:szCs w:val="24"/>
        </w:rPr>
        <w:t xml:space="preserve">. </w:t>
      </w:r>
      <w:r w:rsidR="00D62AAA" w:rsidRPr="00590375">
        <w:rPr>
          <w:rFonts w:ascii="Times New Roman" w:hAnsi="Times New Roman" w:cs="Times New Roman"/>
          <w:sz w:val="24"/>
          <w:szCs w:val="24"/>
        </w:rPr>
        <w:t xml:space="preserve"> </w:t>
      </w:r>
      <w:r w:rsidR="004664E1" w:rsidRPr="00590375">
        <w:rPr>
          <w:rFonts w:ascii="Times New Roman" w:hAnsi="Times New Roman" w:cs="Times New Roman"/>
          <w:sz w:val="24"/>
          <w:szCs w:val="24"/>
        </w:rPr>
        <w:t>L</w:t>
      </w:r>
      <w:r w:rsidR="001D07A1" w:rsidRPr="00590375">
        <w:rPr>
          <w:rFonts w:ascii="Times New Roman" w:hAnsi="Times New Roman" w:cs="Times New Roman"/>
          <w:sz w:val="24"/>
          <w:szCs w:val="24"/>
        </w:rPr>
        <w:t>a Gerencia de Pensiones</w:t>
      </w:r>
      <w:r w:rsidR="00D62AAA" w:rsidRPr="00590375">
        <w:rPr>
          <w:rFonts w:ascii="Times New Roman" w:hAnsi="Times New Roman" w:cs="Times New Roman"/>
          <w:sz w:val="24"/>
          <w:szCs w:val="24"/>
        </w:rPr>
        <w:t xml:space="preserve"> </w:t>
      </w:r>
      <w:r w:rsidR="001D07A1" w:rsidRPr="00590375">
        <w:rPr>
          <w:rFonts w:ascii="Times New Roman" w:hAnsi="Times New Roman" w:cs="Times New Roman"/>
          <w:sz w:val="24"/>
          <w:szCs w:val="24"/>
        </w:rPr>
        <w:t>argumentó</w:t>
      </w:r>
      <w:r w:rsidR="00D62AAA" w:rsidRPr="00590375">
        <w:rPr>
          <w:rFonts w:ascii="Times New Roman" w:hAnsi="Times New Roman" w:cs="Times New Roman"/>
          <w:sz w:val="24"/>
          <w:szCs w:val="24"/>
        </w:rPr>
        <w:t xml:space="preserve">, que la </w:t>
      </w:r>
      <w:r w:rsidR="003401D9" w:rsidRPr="00590375">
        <w:rPr>
          <w:rFonts w:ascii="Times New Roman" w:hAnsi="Times New Roman" w:cs="Times New Roman"/>
          <w:sz w:val="24"/>
          <w:szCs w:val="24"/>
        </w:rPr>
        <w:t>información</w:t>
      </w:r>
      <w:r w:rsidR="00D62AAA" w:rsidRPr="00590375">
        <w:rPr>
          <w:rFonts w:ascii="Times New Roman" w:hAnsi="Times New Roman" w:cs="Times New Roman"/>
          <w:sz w:val="24"/>
          <w:szCs w:val="24"/>
        </w:rPr>
        <w:t xml:space="preserve"> </w:t>
      </w:r>
      <w:r w:rsidR="003401D9" w:rsidRPr="00590375">
        <w:rPr>
          <w:rFonts w:ascii="Times New Roman" w:hAnsi="Times New Roman" w:cs="Times New Roman"/>
          <w:sz w:val="24"/>
          <w:szCs w:val="24"/>
        </w:rPr>
        <w:t xml:space="preserve">solicitada </w:t>
      </w:r>
      <w:r w:rsidR="00237A77" w:rsidRPr="00590375">
        <w:rPr>
          <w:rFonts w:ascii="Times New Roman" w:hAnsi="Times New Roman" w:cs="Times New Roman"/>
          <w:sz w:val="24"/>
          <w:szCs w:val="24"/>
        </w:rPr>
        <w:t>no se encuentra definida dentro de los a</w:t>
      </w:r>
      <w:r w:rsidR="00B32E39" w:rsidRPr="00590375">
        <w:rPr>
          <w:rFonts w:ascii="Times New Roman" w:hAnsi="Times New Roman" w:cs="Times New Roman"/>
          <w:sz w:val="24"/>
          <w:szCs w:val="24"/>
        </w:rPr>
        <w:t xml:space="preserve">spectos que </w:t>
      </w:r>
      <w:r w:rsidR="00B32E39" w:rsidRPr="00590375">
        <w:rPr>
          <w:rFonts w:ascii="Times New Roman" w:hAnsi="Times New Roman" w:cs="Times New Roman"/>
          <w:sz w:val="24"/>
          <w:szCs w:val="24"/>
        </w:rPr>
        <w:lastRenderedPageBreak/>
        <w:t>pueden ser supervisados</w:t>
      </w:r>
      <w:r w:rsidR="00237A77" w:rsidRPr="00590375">
        <w:rPr>
          <w:rFonts w:ascii="Times New Roman" w:hAnsi="Times New Roman" w:cs="Times New Roman"/>
          <w:sz w:val="24"/>
          <w:szCs w:val="24"/>
        </w:rPr>
        <w:t xml:space="preserve"> por la SUPEN a la CCSS, según criterio de la Procuraduría General de la República C-212-2010.</w:t>
      </w:r>
    </w:p>
    <w:p w14:paraId="6DC0D997" w14:textId="77777777" w:rsidR="000A776B" w:rsidRPr="00036D34" w:rsidRDefault="000A776B" w:rsidP="00702D60">
      <w:pPr>
        <w:spacing w:after="0"/>
        <w:jc w:val="both"/>
        <w:rPr>
          <w:rFonts w:ascii="Times New Roman" w:hAnsi="Times New Roman" w:cs="Times New Roman"/>
          <w:color w:val="365F91" w:themeColor="accent1" w:themeShade="BF"/>
          <w:sz w:val="24"/>
          <w:szCs w:val="24"/>
        </w:rPr>
      </w:pPr>
    </w:p>
    <w:p w14:paraId="3CC18C7E" w14:textId="29A64B83" w:rsidR="004765D5" w:rsidRDefault="004F57F9" w:rsidP="004765D5">
      <w:pPr>
        <w:spacing w:after="0"/>
        <w:jc w:val="both"/>
        <w:rPr>
          <w:rFonts w:ascii="Times New Roman" w:hAnsi="Times New Roman" w:cs="Times New Roman"/>
          <w:sz w:val="24"/>
          <w:szCs w:val="24"/>
        </w:rPr>
      </w:pPr>
      <w:r w:rsidRPr="00CA167D">
        <w:rPr>
          <w:rFonts w:ascii="Times New Roman" w:hAnsi="Times New Roman" w:cs="Times New Roman"/>
          <w:sz w:val="24"/>
          <w:szCs w:val="24"/>
        </w:rPr>
        <w:t>Al respecto</w:t>
      </w:r>
      <w:r w:rsidR="00D7093F" w:rsidRPr="00CA167D">
        <w:rPr>
          <w:rFonts w:ascii="Times New Roman" w:hAnsi="Times New Roman" w:cs="Times New Roman"/>
          <w:sz w:val="24"/>
          <w:szCs w:val="24"/>
        </w:rPr>
        <w:t xml:space="preserve">, se </w:t>
      </w:r>
      <w:r w:rsidR="001C1D9B" w:rsidRPr="00CA167D">
        <w:rPr>
          <w:rFonts w:ascii="Times New Roman" w:hAnsi="Times New Roman" w:cs="Times New Roman"/>
          <w:sz w:val="24"/>
          <w:szCs w:val="24"/>
        </w:rPr>
        <w:t>estima</w:t>
      </w:r>
      <w:r w:rsidR="00D7093F" w:rsidRPr="00CA167D">
        <w:rPr>
          <w:rFonts w:ascii="Times New Roman" w:hAnsi="Times New Roman" w:cs="Times New Roman"/>
          <w:sz w:val="24"/>
          <w:szCs w:val="24"/>
        </w:rPr>
        <w:t xml:space="preserve"> que </w:t>
      </w:r>
      <w:r w:rsidR="00F87720" w:rsidRPr="00CA167D">
        <w:rPr>
          <w:rFonts w:ascii="Times New Roman" w:hAnsi="Times New Roman" w:cs="Times New Roman"/>
          <w:sz w:val="24"/>
          <w:szCs w:val="24"/>
        </w:rPr>
        <w:t>la infraestructura tecnológica es necesaria para administrar los datos que producen la información financiera</w:t>
      </w:r>
      <w:r w:rsidR="00045264" w:rsidRPr="00CA167D">
        <w:rPr>
          <w:rFonts w:ascii="Times New Roman" w:hAnsi="Times New Roman" w:cs="Times New Roman"/>
          <w:sz w:val="24"/>
          <w:szCs w:val="24"/>
        </w:rPr>
        <w:t xml:space="preserve">, por lo cual debería ser objeto de supervisión.  </w:t>
      </w:r>
      <w:r w:rsidR="00F87720">
        <w:rPr>
          <w:rFonts w:ascii="Times New Roman" w:hAnsi="Times New Roman" w:cs="Times New Roman"/>
          <w:sz w:val="24"/>
          <w:szCs w:val="24"/>
        </w:rPr>
        <w:t xml:space="preserve">Asimismo, </w:t>
      </w:r>
      <w:r w:rsidR="00D7093F" w:rsidRPr="001C1D9B">
        <w:rPr>
          <w:rFonts w:ascii="Times New Roman" w:hAnsi="Times New Roman" w:cs="Times New Roman"/>
          <w:sz w:val="24"/>
          <w:szCs w:val="24"/>
        </w:rPr>
        <w:t>de</w:t>
      </w:r>
      <w:r w:rsidR="00237A77" w:rsidRPr="001C1D9B">
        <w:rPr>
          <w:rFonts w:ascii="Times New Roman" w:hAnsi="Times New Roman" w:cs="Times New Roman"/>
          <w:sz w:val="24"/>
          <w:szCs w:val="24"/>
        </w:rPr>
        <w:t xml:space="preserve"> haberse podido </w:t>
      </w:r>
      <w:r w:rsidR="00B32E39">
        <w:rPr>
          <w:rFonts w:ascii="Times New Roman" w:hAnsi="Times New Roman" w:cs="Times New Roman"/>
          <w:sz w:val="24"/>
          <w:szCs w:val="24"/>
        </w:rPr>
        <w:t>alcanzar ese objetivo</w:t>
      </w:r>
      <w:r w:rsidR="00237A77" w:rsidRPr="001C1D9B">
        <w:rPr>
          <w:rFonts w:ascii="Times New Roman" w:hAnsi="Times New Roman" w:cs="Times New Roman"/>
          <w:sz w:val="24"/>
          <w:szCs w:val="24"/>
        </w:rPr>
        <w:t xml:space="preserve">, </w:t>
      </w:r>
      <w:r w:rsidR="00D7093F" w:rsidRPr="001C1D9B">
        <w:rPr>
          <w:rFonts w:ascii="Times New Roman" w:hAnsi="Times New Roman" w:cs="Times New Roman"/>
          <w:sz w:val="24"/>
          <w:szCs w:val="24"/>
        </w:rPr>
        <w:t>se hubiera</w:t>
      </w:r>
      <w:r w:rsidR="00237A77" w:rsidRPr="001C1D9B">
        <w:rPr>
          <w:rFonts w:ascii="Times New Roman" w:hAnsi="Times New Roman" w:cs="Times New Roman"/>
          <w:sz w:val="24"/>
          <w:szCs w:val="24"/>
        </w:rPr>
        <w:t xml:space="preserve"> logrado tener </w:t>
      </w:r>
      <w:r w:rsidR="00E515F0">
        <w:rPr>
          <w:rFonts w:ascii="Times New Roman" w:hAnsi="Times New Roman" w:cs="Times New Roman"/>
          <w:sz w:val="24"/>
          <w:szCs w:val="24"/>
        </w:rPr>
        <w:t>un “diagnóstico” más reciente</w:t>
      </w:r>
      <w:r w:rsidR="00E365E9" w:rsidRPr="001C1D9B">
        <w:rPr>
          <w:rFonts w:ascii="Times New Roman" w:hAnsi="Times New Roman" w:cs="Times New Roman"/>
          <w:sz w:val="24"/>
          <w:szCs w:val="24"/>
        </w:rPr>
        <w:t>,</w:t>
      </w:r>
      <w:r w:rsidR="000A776B" w:rsidRPr="001C1D9B">
        <w:rPr>
          <w:rFonts w:ascii="Times New Roman" w:hAnsi="Times New Roman" w:cs="Times New Roman"/>
          <w:sz w:val="24"/>
          <w:szCs w:val="24"/>
        </w:rPr>
        <w:t xml:space="preserve"> </w:t>
      </w:r>
      <w:r w:rsidR="00237A77" w:rsidRPr="001C1D9B">
        <w:rPr>
          <w:rFonts w:ascii="Times New Roman" w:hAnsi="Times New Roman" w:cs="Times New Roman"/>
          <w:sz w:val="24"/>
          <w:szCs w:val="24"/>
        </w:rPr>
        <w:t>en temas de TI</w:t>
      </w:r>
      <w:r w:rsidR="00B37F9E" w:rsidRPr="001C1D9B">
        <w:rPr>
          <w:rFonts w:ascii="Times New Roman" w:hAnsi="Times New Roman" w:cs="Times New Roman"/>
          <w:sz w:val="24"/>
          <w:szCs w:val="24"/>
        </w:rPr>
        <w:t xml:space="preserve"> del RIVM</w:t>
      </w:r>
      <w:r w:rsidR="00B32E39">
        <w:rPr>
          <w:rFonts w:ascii="Times New Roman" w:hAnsi="Times New Roman" w:cs="Times New Roman"/>
          <w:sz w:val="24"/>
          <w:szCs w:val="24"/>
        </w:rPr>
        <w:t>, que le permitiría al</w:t>
      </w:r>
      <w:r w:rsidR="000A776B" w:rsidRPr="001C1D9B">
        <w:rPr>
          <w:rFonts w:ascii="Times New Roman" w:hAnsi="Times New Roman" w:cs="Times New Roman"/>
          <w:sz w:val="24"/>
          <w:szCs w:val="24"/>
        </w:rPr>
        <w:t xml:space="preserve"> régimen </w:t>
      </w:r>
      <w:r w:rsidR="00E515F0">
        <w:rPr>
          <w:rFonts w:ascii="Times New Roman" w:hAnsi="Times New Roman" w:cs="Times New Roman"/>
          <w:sz w:val="24"/>
          <w:szCs w:val="24"/>
        </w:rPr>
        <w:t>determinar</w:t>
      </w:r>
      <w:r w:rsidR="000A776B" w:rsidRPr="001C1D9B">
        <w:rPr>
          <w:rFonts w:ascii="Times New Roman" w:hAnsi="Times New Roman" w:cs="Times New Roman"/>
          <w:sz w:val="24"/>
          <w:szCs w:val="24"/>
        </w:rPr>
        <w:t xml:space="preserve"> áreas de riesgo</w:t>
      </w:r>
      <w:r w:rsidR="00B32E39">
        <w:rPr>
          <w:rFonts w:ascii="Times New Roman" w:hAnsi="Times New Roman" w:cs="Times New Roman"/>
          <w:sz w:val="24"/>
          <w:szCs w:val="24"/>
        </w:rPr>
        <w:t xml:space="preserve"> y gestionarlas adecuadamente</w:t>
      </w:r>
      <w:r w:rsidR="00DA0351">
        <w:rPr>
          <w:rFonts w:ascii="Times New Roman" w:hAnsi="Times New Roman" w:cs="Times New Roman"/>
          <w:sz w:val="24"/>
          <w:szCs w:val="24"/>
        </w:rPr>
        <w:t xml:space="preserve"> y para la </w:t>
      </w:r>
      <w:r w:rsidR="00B37F9E" w:rsidRPr="00DA0351">
        <w:rPr>
          <w:rFonts w:ascii="Times New Roman" w:hAnsi="Times New Roman" w:cs="Times New Roman"/>
          <w:sz w:val="24"/>
          <w:szCs w:val="24"/>
        </w:rPr>
        <w:t>SUPEN</w:t>
      </w:r>
      <w:r w:rsidR="000A776B" w:rsidRPr="00DA0351">
        <w:rPr>
          <w:rFonts w:ascii="Times New Roman" w:hAnsi="Times New Roman" w:cs="Times New Roman"/>
          <w:sz w:val="24"/>
          <w:szCs w:val="24"/>
        </w:rPr>
        <w:t xml:space="preserve"> </w:t>
      </w:r>
      <w:r w:rsidR="00B32E39" w:rsidRPr="00DA0351">
        <w:rPr>
          <w:rFonts w:ascii="Times New Roman" w:hAnsi="Times New Roman" w:cs="Times New Roman"/>
          <w:sz w:val="24"/>
          <w:szCs w:val="24"/>
        </w:rPr>
        <w:t xml:space="preserve">hubiera sido útil </w:t>
      </w:r>
      <w:r w:rsidR="00DA0351">
        <w:rPr>
          <w:rFonts w:ascii="Times New Roman" w:hAnsi="Times New Roman" w:cs="Times New Roman"/>
          <w:sz w:val="24"/>
          <w:szCs w:val="24"/>
        </w:rPr>
        <w:t xml:space="preserve">esta información </w:t>
      </w:r>
      <w:r w:rsidR="000A776B" w:rsidRPr="00DA0351">
        <w:rPr>
          <w:rFonts w:ascii="Times New Roman" w:hAnsi="Times New Roman" w:cs="Times New Roman"/>
          <w:sz w:val="24"/>
          <w:szCs w:val="24"/>
        </w:rPr>
        <w:t>para enfocar</w:t>
      </w:r>
      <w:r w:rsidR="00B464A9">
        <w:rPr>
          <w:rFonts w:ascii="Times New Roman" w:hAnsi="Times New Roman" w:cs="Times New Roman"/>
          <w:sz w:val="24"/>
          <w:szCs w:val="24"/>
        </w:rPr>
        <w:t>, en esa materia</w:t>
      </w:r>
      <w:r w:rsidR="000A776B" w:rsidRPr="00DA0351">
        <w:rPr>
          <w:rFonts w:ascii="Times New Roman" w:hAnsi="Times New Roman" w:cs="Times New Roman"/>
          <w:sz w:val="24"/>
          <w:szCs w:val="24"/>
        </w:rPr>
        <w:t xml:space="preserve"> </w:t>
      </w:r>
      <w:r w:rsidR="00B464A9">
        <w:rPr>
          <w:rFonts w:ascii="Times New Roman" w:hAnsi="Times New Roman" w:cs="Times New Roman"/>
          <w:sz w:val="24"/>
          <w:szCs w:val="24"/>
        </w:rPr>
        <w:t xml:space="preserve">con mayor precisión, los esfuerzos de </w:t>
      </w:r>
      <w:r w:rsidR="00721085">
        <w:rPr>
          <w:rFonts w:ascii="Times New Roman" w:hAnsi="Times New Roman" w:cs="Times New Roman"/>
          <w:sz w:val="24"/>
          <w:szCs w:val="24"/>
        </w:rPr>
        <w:t>supervisión.</w:t>
      </w:r>
    </w:p>
    <w:p w14:paraId="6BABB841" w14:textId="60E83399" w:rsidR="00CA167D" w:rsidRDefault="00CA167D" w:rsidP="004765D5">
      <w:pPr>
        <w:spacing w:after="0"/>
        <w:jc w:val="both"/>
        <w:rPr>
          <w:rFonts w:ascii="Times New Roman" w:hAnsi="Times New Roman" w:cs="Times New Roman"/>
          <w:sz w:val="24"/>
          <w:szCs w:val="24"/>
        </w:rPr>
      </w:pPr>
    </w:p>
    <w:p w14:paraId="471050AB" w14:textId="613C2E8E" w:rsidR="00CA167D" w:rsidRDefault="00CA167D" w:rsidP="004765D5">
      <w:pPr>
        <w:spacing w:after="0"/>
        <w:jc w:val="both"/>
        <w:rPr>
          <w:rFonts w:ascii="Times New Roman" w:hAnsi="Times New Roman" w:cs="Times New Roman"/>
          <w:sz w:val="24"/>
          <w:szCs w:val="24"/>
        </w:rPr>
      </w:pPr>
      <w:r>
        <w:rPr>
          <w:rFonts w:ascii="Times New Roman" w:hAnsi="Times New Roman" w:cs="Times New Roman"/>
          <w:sz w:val="24"/>
          <w:szCs w:val="24"/>
        </w:rPr>
        <w:t xml:space="preserve">Por otra parte, conforme al criterio emitido por la División Jurídica de SUPEN número PJD-10-2017, en el cual recomienda definir algunos aspectos para suscribir un convenio que nos permita utilizar alguna información del </w:t>
      </w:r>
      <w:r w:rsidRPr="00CA167D">
        <w:rPr>
          <w:rFonts w:ascii="Times New Roman" w:hAnsi="Times New Roman" w:cs="Times New Roman"/>
          <w:sz w:val="24"/>
          <w:szCs w:val="24"/>
        </w:rPr>
        <w:t>Sistema Integrado de Pensiones</w:t>
      </w:r>
      <w:r>
        <w:rPr>
          <w:rFonts w:ascii="Times New Roman" w:hAnsi="Times New Roman" w:cs="Times New Roman"/>
          <w:sz w:val="24"/>
          <w:szCs w:val="24"/>
        </w:rPr>
        <w:t xml:space="preserve"> del RIVM, </w:t>
      </w:r>
      <w:r w:rsidRPr="00CA167D">
        <w:rPr>
          <w:rFonts w:ascii="Times New Roman" w:hAnsi="Times New Roman" w:cs="Times New Roman"/>
          <w:sz w:val="24"/>
          <w:szCs w:val="24"/>
        </w:rPr>
        <w:t xml:space="preserve"> </w:t>
      </w:r>
      <w:r>
        <w:rPr>
          <w:rFonts w:ascii="Times New Roman" w:hAnsi="Times New Roman" w:cs="Times New Roman"/>
          <w:sz w:val="24"/>
          <w:szCs w:val="24"/>
        </w:rPr>
        <w:t>de forma similar a como lo hacen el Poder Judicial y JUPEMA.</w:t>
      </w:r>
    </w:p>
    <w:p w14:paraId="1F0661F6" w14:textId="77777777" w:rsidR="004765D5" w:rsidRDefault="004765D5" w:rsidP="004765D5">
      <w:pPr>
        <w:spacing w:after="0"/>
        <w:jc w:val="both"/>
        <w:rPr>
          <w:rFonts w:ascii="Times New Roman" w:hAnsi="Times New Roman" w:cs="Times New Roman"/>
          <w:sz w:val="24"/>
          <w:szCs w:val="24"/>
        </w:rPr>
      </w:pPr>
    </w:p>
    <w:p w14:paraId="492271B9" w14:textId="5EE052F9" w:rsidR="00AE4B39" w:rsidRPr="00125F2A" w:rsidRDefault="00BD39AA" w:rsidP="00283A51">
      <w:pPr>
        <w:pStyle w:val="Ttulo1"/>
        <w:numPr>
          <w:ilvl w:val="0"/>
          <w:numId w:val="4"/>
        </w:numPr>
        <w:rPr>
          <w:rFonts w:eastAsiaTheme="minorEastAsia"/>
          <w:i w:val="0"/>
          <w:iCs w:val="0"/>
          <w:lang w:eastAsia="ja-JP"/>
        </w:rPr>
      </w:pPr>
      <w:bookmarkStart w:id="17" w:name="_Toc496194191"/>
      <w:r>
        <w:rPr>
          <w:rFonts w:eastAsiaTheme="minorEastAsia"/>
          <w:i w:val="0"/>
          <w:iCs w:val="0"/>
          <w:lang w:eastAsia="ja-JP"/>
        </w:rPr>
        <w:t>Debilidades de c</w:t>
      </w:r>
      <w:r w:rsidR="002B3932" w:rsidRPr="00125F2A">
        <w:rPr>
          <w:rFonts w:eastAsiaTheme="minorEastAsia"/>
          <w:i w:val="0"/>
          <w:iCs w:val="0"/>
          <w:lang w:eastAsia="ja-JP"/>
        </w:rPr>
        <w:t xml:space="preserve">ontrol </w:t>
      </w:r>
      <w:r>
        <w:rPr>
          <w:rFonts w:eastAsiaTheme="minorEastAsia"/>
          <w:i w:val="0"/>
          <w:iCs w:val="0"/>
          <w:lang w:eastAsia="ja-JP"/>
        </w:rPr>
        <w:t>financiero-c</w:t>
      </w:r>
      <w:r w:rsidR="009B5551" w:rsidRPr="00125F2A">
        <w:rPr>
          <w:rFonts w:eastAsiaTheme="minorEastAsia"/>
          <w:i w:val="0"/>
          <w:iCs w:val="0"/>
          <w:lang w:eastAsia="ja-JP"/>
        </w:rPr>
        <w:t>ontable</w:t>
      </w:r>
      <w:r>
        <w:rPr>
          <w:rFonts w:eastAsiaTheme="minorEastAsia"/>
          <w:i w:val="0"/>
          <w:iCs w:val="0"/>
          <w:lang w:eastAsia="ja-JP"/>
        </w:rPr>
        <w:t xml:space="preserve"> y de g</w:t>
      </w:r>
      <w:r w:rsidR="00ED188A" w:rsidRPr="00125F2A">
        <w:rPr>
          <w:rFonts w:eastAsiaTheme="minorEastAsia"/>
          <w:i w:val="0"/>
          <w:iCs w:val="0"/>
          <w:lang w:eastAsia="ja-JP"/>
        </w:rPr>
        <w:t>estión</w:t>
      </w:r>
      <w:bookmarkEnd w:id="17"/>
    </w:p>
    <w:p w14:paraId="49719C4D" w14:textId="77777777" w:rsidR="0042330E" w:rsidRPr="00125F2A" w:rsidRDefault="0042330E" w:rsidP="00702D60">
      <w:pPr>
        <w:pStyle w:val="Ttulo2"/>
        <w:tabs>
          <w:tab w:val="left" w:pos="1620"/>
        </w:tabs>
        <w:jc w:val="both"/>
        <w:rPr>
          <w:rFonts w:ascii="Times New Roman" w:eastAsiaTheme="minorEastAsia" w:hAnsi="Times New Roman" w:cs="Times New Roman"/>
          <w:sz w:val="24"/>
          <w:lang w:eastAsia="ja-JP"/>
        </w:rPr>
      </w:pPr>
    </w:p>
    <w:p w14:paraId="3CE858B9" w14:textId="23C27BBE" w:rsidR="00C500F4" w:rsidRDefault="00332E7C" w:rsidP="00702D60">
      <w:pPr>
        <w:spacing w:after="0"/>
        <w:jc w:val="both"/>
        <w:rPr>
          <w:rFonts w:ascii="Times New Roman" w:hAnsi="Times New Roman" w:cs="Times New Roman"/>
          <w:sz w:val="24"/>
          <w:szCs w:val="24"/>
        </w:rPr>
      </w:pPr>
      <w:bookmarkStart w:id="18" w:name="_Toc290044147"/>
      <w:r>
        <w:rPr>
          <w:rFonts w:ascii="Times New Roman" w:hAnsi="Times New Roman" w:cs="Times New Roman"/>
          <w:sz w:val="24"/>
          <w:szCs w:val="24"/>
        </w:rPr>
        <w:t>E</w:t>
      </w:r>
      <w:r w:rsidR="00822A41" w:rsidRPr="00125F2A">
        <w:rPr>
          <w:rFonts w:ascii="Times New Roman" w:hAnsi="Times New Roman" w:cs="Times New Roman"/>
          <w:sz w:val="24"/>
          <w:szCs w:val="24"/>
        </w:rPr>
        <w:t xml:space="preserve">n </w:t>
      </w:r>
      <w:r>
        <w:rPr>
          <w:rFonts w:ascii="Times New Roman" w:hAnsi="Times New Roman" w:cs="Times New Roman"/>
          <w:sz w:val="24"/>
          <w:szCs w:val="24"/>
        </w:rPr>
        <w:t>diversos comunicados de estudios efectuados, l</w:t>
      </w:r>
      <w:r w:rsidRPr="00125F2A">
        <w:rPr>
          <w:rFonts w:ascii="Times New Roman" w:hAnsi="Times New Roman" w:cs="Times New Roman"/>
          <w:sz w:val="24"/>
          <w:szCs w:val="24"/>
        </w:rPr>
        <w:t xml:space="preserve">a SUPEN </w:t>
      </w:r>
      <w:r>
        <w:rPr>
          <w:rFonts w:ascii="Times New Roman" w:hAnsi="Times New Roman" w:cs="Times New Roman"/>
          <w:sz w:val="24"/>
          <w:szCs w:val="24"/>
        </w:rPr>
        <w:t>ha señalado serias</w:t>
      </w:r>
      <w:r w:rsidR="00822A41" w:rsidRPr="00125F2A">
        <w:rPr>
          <w:rFonts w:ascii="Times New Roman" w:hAnsi="Times New Roman" w:cs="Times New Roman"/>
          <w:sz w:val="24"/>
          <w:szCs w:val="24"/>
        </w:rPr>
        <w:t xml:space="preserve"> </w:t>
      </w:r>
      <w:r w:rsidR="00A62301" w:rsidRPr="00125F2A">
        <w:rPr>
          <w:rFonts w:ascii="Times New Roman" w:hAnsi="Times New Roman" w:cs="Times New Roman"/>
          <w:sz w:val="24"/>
          <w:szCs w:val="24"/>
        </w:rPr>
        <w:t xml:space="preserve">debilidades de control interno financiero-contable </w:t>
      </w:r>
      <w:r w:rsidR="003A729C" w:rsidRPr="00125F2A">
        <w:rPr>
          <w:rFonts w:ascii="Times New Roman" w:hAnsi="Times New Roman" w:cs="Times New Roman"/>
          <w:sz w:val="24"/>
          <w:szCs w:val="24"/>
        </w:rPr>
        <w:t xml:space="preserve">y de gestión </w:t>
      </w:r>
      <w:r w:rsidR="00A62301" w:rsidRPr="00125F2A">
        <w:rPr>
          <w:rFonts w:ascii="Times New Roman" w:hAnsi="Times New Roman" w:cs="Times New Roman"/>
          <w:sz w:val="24"/>
          <w:szCs w:val="24"/>
        </w:rPr>
        <w:t xml:space="preserve">en la </w:t>
      </w:r>
      <w:r>
        <w:rPr>
          <w:rFonts w:ascii="Times New Roman" w:hAnsi="Times New Roman" w:cs="Times New Roman"/>
          <w:sz w:val="24"/>
          <w:szCs w:val="24"/>
        </w:rPr>
        <w:t>CCSS</w:t>
      </w:r>
      <w:r w:rsidR="005930E9" w:rsidRPr="00125F2A">
        <w:rPr>
          <w:rFonts w:ascii="Times New Roman" w:hAnsi="Times New Roman" w:cs="Times New Roman"/>
          <w:sz w:val="24"/>
          <w:szCs w:val="24"/>
        </w:rPr>
        <w:t xml:space="preserve">, </w:t>
      </w:r>
      <w:r w:rsidR="001A1A99">
        <w:rPr>
          <w:rFonts w:ascii="Times New Roman" w:hAnsi="Times New Roman" w:cs="Times New Roman"/>
          <w:sz w:val="24"/>
          <w:szCs w:val="24"/>
        </w:rPr>
        <w:t>entre ellas</w:t>
      </w:r>
      <w:r w:rsidR="00E85F6A">
        <w:rPr>
          <w:rFonts w:ascii="Times New Roman" w:hAnsi="Times New Roman" w:cs="Times New Roman"/>
          <w:sz w:val="24"/>
          <w:szCs w:val="24"/>
        </w:rPr>
        <w:t>,</w:t>
      </w:r>
      <w:r w:rsidR="001A1A99">
        <w:rPr>
          <w:rFonts w:ascii="Times New Roman" w:hAnsi="Times New Roman" w:cs="Times New Roman"/>
          <w:sz w:val="24"/>
          <w:szCs w:val="24"/>
        </w:rPr>
        <w:t xml:space="preserve"> por </w:t>
      </w:r>
      <w:r w:rsidR="00C500F4">
        <w:rPr>
          <w:rFonts w:ascii="Times New Roman" w:hAnsi="Times New Roman" w:cs="Times New Roman"/>
          <w:sz w:val="24"/>
          <w:szCs w:val="24"/>
        </w:rPr>
        <w:t>ejemplo, las siguientes:</w:t>
      </w:r>
    </w:p>
    <w:p w14:paraId="7711EF6E" w14:textId="77777777" w:rsidR="0020407F" w:rsidRDefault="0020407F" w:rsidP="00702D60">
      <w:pPr>
        <w:spacing w:after="0"/>
        <w:jc w:val="both"/>
        <w:rPr>
          <w:rFonts w:ascii="Times New Roman" w:hAnsi="Times New Roman" w:cs="Times New Roman"/>
          <w:sz w:val="24"/>
          <w:szCs w:val="24"/>
        </w:rPr>
      </w:pPr>
    </w:p>
    <w:p w14:paraId="340F8588" w14:textId="3F60F1C3" w:rsidR="00C500F4" w:rsidRPr="00C500F4" w:rsidRDefault="00C500F4" w:rsidP="00C500F4">
      <w:pPr>
        <w:pStyle w:val="Prrafodelista"/>
        <w:numPr>
          <w:ilvl w:val="0"/>
          <w:numId w:val="16"/>
        </w:numPr>
        <w:spacing w:after="0"/>
        <w:jc w:val="both"/>
        <w:rPr>
          <w:rFonts w:ascii="Times New Roman" w:hAnsi="Times New Roman" w:cs="Times New Roman"/>
          <w:sz w:val="24"/>
          <w:szCs w:val="24"/>
        </w:rPr>
      </w:pPr>
      <w:bookmarkStart w:id="19" w:name="_Toc290044148"/>
      <w:bookmarkEnd w:id="18"/>
      <w:r>
        <w:rPr>
          <w:rFonts w:ascii="Times New Roman" w:hAnsi="Times New Roman" w:cs="Times New Roman"/>
          <w:sz w:val="24"/>
          <w:szCs w:val="24"/>
        </w:rPr>
        <w:t>C</w:t>
      </w:r>
      <w:r w:rsidRPr="00C500F4">
        <w:rPr>
          <w:rFonts w:ascii="Times New Roman" w:hAnsi="Times New Roman" w:cs="Times New Roman"/>
          <w:sz w:val="24"/>
          <w:szCs w:val="24"/>
        </w:rPr>
        <w:t>uentas que presentan saldos contrarios a su naturaleza.</w:t>
      </w:r>
    </w:p>
    <w:p w14:paraId="267E3408" w14:textId="16785C4F" w:rsidR="000C634D" w:rsidRPr="00C518DE" w:rsidRDefault="005155BC" w:rsidP="000C634D">
      <w:pPr>
        <w:pStyle w:val="Prrafodelista"/>
        <w:numPr>
          <w:ilvl w:val="0"/>
          <w:numId w:val="16"/>
        </w:numPr>
        <w:spacing w:after="240"/>
        <w:jc w:val="both"/>
        <w:rPr>
          <w:rFonts w:ascii="Times New Roman" w:hAnsi="Times New Roman" w:cs="Times New Roman"/>
          <w:sz w:val="24"/>
          <w:szCs w:val="24"/>
        </w:rPr>
      </w:pPr>
      <w:r w:rsidRPr="00C518DE">
        <w:rPr>
          <w:rFonts w:ascii="Times New Roman" w:hAnsi="Times New Roman" w:cs="Times New Roman"/>
          <w:sz w:val="24"/>
          <w:szCs w:val="24"/>
        </w:rPr>
        <w:t xml:space="preserve">Registro inadecuado de las provisiones por </w:t>
      </w:r>
      <w:r w:rsidR="000C634D" w:rsidRPr="00C518DE">
        <w:rPr>
          <w:rFonts w:ascii="Times New Roman" w:hAnsi="Times New Roman" w:cs="Times New Roman"/>
          <w:sz w:val="24"/>
          <w:szCs w:val="24"/>
        </w:rPr>
        <w:t xml:space="preserve">vacaciones, </w:t>
      </w:r>
      <w:r w:rsidRPr="00C518DE">
        <w:rPr>
          <w:rFonts w:ascii="Times New Roman" w:hAnsi="Times New Roman" w:cs="Times New Roman"/>
          <w:sz w:val="24"/>
          <w:szCs w:val="24"/>
        </w:rPr>
        <w:t>aguinaldo y prestaciones legales</w:t>
      </w:r>
      <w:r w:rsidR="000C634D" w:rsidRPr="00C518DE">
        <w:rPr>
          <w:rFonts w:ascii="Times New Roman" w:hAnsi="Times New Roman" w:cs="Times New Roman"/>
          <w:sz w:val="24"/>
          <w:szCs w:val="24"/>
        </w:rPr>
        <w:t>.</w:t>
      </w:r>
    </w:p>
    <w:p w14:paraId="417EFFA2" w14:textId="77777777" w:rsidR="002C2831" w:rsidRDefault="00A97E88" w:rsidP="005A1A10">
      <w:pPr>
        <w:pStyle w:val="Prrafodelista"/>
        <w:numPr>
          <w:ilvl w:val="0"/>
          <w:numId w:val="16"/>
        </w:numPr>
        <w:spacing w:after="240"/>
        <w:jc w:val="both"/>
        <w:rPr>
          <w:rFonts w:ascii="Times New Roman" w:hAnsi="Times New Roman" w:cs="Times New Roman"/>
          <w:sz w:val="24"/>
          <w:szCs w:val="24"/>
        </w:rPr>
      </w:pPr>
      <w:r w:rsidRPr="00DA0351">
        <w:rPr>
          <w:rFonts w:ascii="Times New Roman" w:hAnsi="Times New Roman" w:cs="Times New Roman"/>
          <w:sz w:val="24"/>
          <w:szCs w:val="24"/>
        </w:rPr>
        <w:t xml:space="preserve">Lenta recuperación de las cuentas por cobrar </w:t>
      </w:r>
      <w:r w:rsidR="00DA0351" w:rsidRPr="00DA0351">
        <w:rPr>
          <w:rFonts w:ascii="Times New Roman" w:hAnsi="Times New Roman" w:cs="Times New Roman"/>
          <w:sz w:val="24"/>
          <w:szCs w:val="24"/>
        </w:rPr>
        <w:t xml:space="preserve">a los patronos y trabajadores independientes </w:t>
      </w:r>
      <w:r w:rsidRPr="00DA0351">
        <w:rPr>
          <w:rFonts w:ascii="Times New Roman" w:hAnsi="Times New Roman" w:cs="Times New Roman"/>
          <w:sz w:val="24"/>
          <w:szCs w:val="24"/>
        </w:rPr>
        <w:t xml:space="preserve">y presentación de cuentas por cobrar que no han tenido movimiento </w:t>
      </w:r>
      <w:r w:rsidR="00295BF9" w:rsidRPr="00DA0351">
        <w:rPr>
          <w:rFonts w:ascii="Times New Roman" w:hAnsi="Times New Roman" w:cs="Times New Roman"/>
          <w:sz w:val="24"/>
          <w:szCs w:val="24"/>
        </w:rPr>
        <w:t>en varios ejercicios económicos</w:t>
      </w:r>
      <w:r w:rsidR="00732FD4" w:rsidRPr="00DA0351">
        <w:rPr>
          <w:rFonts w:ascii="Times New Roman" w:hAnsi="Times New Roman" w:cs="Times New Roman"/>
          <w:sz w:val="24"/>
          <w:szCs w:val="24"/>
        </w:rPr>
        <w:t>.</w:t>
      </w:r>
      <w:r w:rsidR="00CB0316">
        <w:rPr>
          <w:rFonts w:ascii="Times New Roman" w:hAnsi="Times New Roman" w:cs="Times New Roman"/>
          <w:sz w:val="24"/>
          <w:szCs w:val="24"/>
        </w:rPr>
        <w:t xml:space="preserve"> Sobre este último aspecto, en mayo de este año, se </w:t>
      </w:r>
      <w:r w:rsidR="004E689D">
        <w:rPr>
          <w:rFonts w:ascii="Times New Roman" w:hAnsi="Times New Roman" w:cs="Times New Roman"/>
          <w:sz w:val="24"/>
          <w:szCs w:val="24"/>
        </w:rPr>
        <w:t xml:space="preserve">remitió un </w:t>
      </w:r>
      <w:r w:rsidR="001D6F1D">
        <w:rPr>
          <w:rFonts w:ascii="Times New Roman" w:hAnsi="Times New Roman" w:cs="Times New Roman"/>
          <w:sz w:val="24"/>
          <w:szCs w:val="24"/>
        </w:rPr>
        <w:t xml:space="preserve">nuevo </w:t>
      </w:r>
      <w:r w:rsidR="004E689D">
        <w:rPr>
          <w:rFonts w:ascii="Times New Roman" w:hAnsi="Times New Roman" w:cs="Times New Roman"/>
          <w:sz w:val="24"/>
          <w:szCs w:val="24"/>
        </w:rPr>
        <w:t>comunicado (SP-457-2017) en el cual se detallan cuentas en esa condición, considerando los es</w:t>
      </w:r>
      <w:r w:rsidR="005A1A10">
        <w:rPr>
          <w:rFonts w:ascii="Times New Roman" w:hAnsi="Times New Roman" w:cs="Times New Roman"/>
          <w:sz w:val="24"/>
          <w:szCs w:val="24"/>
        </w:rPr>
        <w:t>tados financieros de enero 2017</w:t>
      </w:r>
      <w:r w:rsidR="002C2831">
        <w:rPr>
          <w:rFonts w:ascii="Times New Roman" w:hAnsi="Times New Roman" w:cs="Times New Roman"/>
          <w:sz w:val="24"/>
          <w:szCs w:val="24"/>
        </w:rPr>
        <w:t>.</w:t>
      </w:r>
    </w:p>
    <w:p w14:paraId="5DB9C0D1" w14:textId="3BFCDBBF" w:rsidR="00A97E88" w:rsidRPr="002C2831" w:rsidRDefault="002C2831" w:rsidP="002411C2">
      <w:pPr>
        <w:spacing w:after="240"/>
        <w:jc w:val="both"/>
        <w:rPr>
          <w:rFonts w:ascii="Times New Roman" w:hAnsi="Times New Roman" w:cs="Times New Roman"/>
          <w:sz w:val="24"/>
          <w:szCs w:val="24"/>
        </w:rPr>
      </w:pPr>
      <w:r>
        <w:rPr>
          <w:rFonts w:ascii="Times New Roman" w:hAnsi="Times New Roman" w:cs="Times New Roman"/>
          <w:sz w:val="24"/>
          <w:szCs w:val="24"/>
        </w:rPr>
        <w:t xml:space="preserve">Cabe resaltar que, </w:t>
      </w:r>
      <w:r w:rsidR="005A1A10" w:rsidRPr="002C2831">
        <w:rPr>
          <w:rFonts w:ascii="Times New Roman" w:hAnsi="Times New Roman" w:cs="Times New Roman"/>
          <w:sz w:val="24"/>
          <w:szCs w:val="24"/>
        </w:rPr>
        <w:t>en el SP-548-2017 del 16 de junio de 2017</w:t>
      </w:r>
      <w:r w:rsidR="003E1984">
        <w:rPr>
          <w:rFonts w:ascii="Times New Roman" w:hAnsi="Times New Roman" w:cs="Times New Roman"/>
          <w:sz w:val="24"/>
          <w:szCs w:val="24"/>
        </w:rPr>
        <w:t>,</w:t>
      </w:r>
      <w:r w:rsidR="005A1A10" w:rsidRPr="002C2831">
        <w:rPr>
          <w:rFonts w:ascii="Times New Roman" w:hAnsi="Times New Roman" w:cs="Times New Roman"/>
          <w:sz w:val="24"/>
          <w:szCs w:val="24"/>
        </w:rPr>
        <w:t xml:space="preserve"> se reiteran algunas de es</w:t>
      </w:r>
      <w:r w:rsidR="002411C2">
        <w:rPr>
          <w:rFonts w:ascii="Times New Roman" w:hAnsi="Times New Roman" w:cs="Times New Roman"/>
          <w:sz w:val="24"/>
          <w:szCs w:val="24"/>
        </w:rPr>
        <w:t>t</w:t>
      </w:r>
      <w:r w:rsidR="005A1A10" w:rsidRPr="002C2831">
        <w:rPr>
          <w:rFonts w:ascii="Times New Roman" w:hAnsi="Times New Roman" w:cs="Times New Roman"/>
          <w:sz w:val="24"/>
          <w:szCs w:val="24"/>
        </w:rPr>
        <w:t>as situaciones.</w:t>
      </w:r>
    </w:p>
    <w:p w14:paraId="1E1A34E7" w14:textId="77777777" w:rsidR="00551050" w:rsidRPr="00125F2A" w:rsidRDefault="00551050" w:rsidP="00D57A6D">
      <w:pPr>
        <w:spacing w:after="0" w:line="240" w:lineRule="auto"/>
        <w:ind w:left="357"/>
        <w:jc w:val="both"/>
        <w:rPr>
          <w:rFonts w:ascii="Times New Roman" w:hAnsi="Times New Roman" w:cs="Times New Roman"/>
          <w:sz w:val="24"/>
          <w:szCs w:val="24"/>
        </w:rPr>
      </w:pPr>
    </w:p>
    <w:p w14:paraId="15499A79" w14:textId="64712575" w:rsidR="00833FEC" w:rsidRPr="002E481A" w:rsidRDefault="00C01500" w:rsidP="00283A51">
      <w:pPr>
        <w:pStyle w:val="Ttulo1"/>
        <w:numPr>
          <w:ilvl w:val="0"/>
          <w:numId w:val="4"/>
        </w:numPr>
        <w:rPr>
          <w:i w:val="0"/>
          <w:iCs w:val="0"/>
          <w:lang w:eastAsia="es-ES_tradnl"/>
        </w:rPr>
      </w:pPr>
      <w:bookmarkStart w:id="20" w:name="_Toc496194192"/>
      <w:bookmarkEnd w:id="19"/>
      <w:r w:rsidRPr="002E481A">
        <w:rPr>
          <w:i w:val="0"/>
          <w:iCs w:val="0"/>
          <w:lang w:eastAsia="es-ES_tradnl"/>
        </w:rPr>
        <w:t>Gestión de r</w:t>
      </w:r>
      <w:r w:rsidR="00833FEC" w:rsidRPr="002E481A">
        <w:rPr>
          <w:i w:val="0"/>
          <w:iCs w:val="0"/>
          <w:lang w:eastAsia="es-ES_tradnl"/>
        </w:rPr>
        <w:t>iesgos</w:t>
      </w:r>
      <w:bookmarkEnd w:id="20"/>
    </w:p>
    <w:p w14:paraId="43B7C1F7" w14:textId="77777777" w:rsidR="00010B68" w:rsidRPr="00125F2A" w:rsidRDefault="00010B68" w:rsidP="00034602">
      <w:pPr>
        <w:pStyle w:val="Ttulo2"/>
        <w:tabs>
          <w:tab w:val="left" w:pos="1620"/>
        </w:tabs>
        <w:jc w:val="both"/>
        <w:rPr>
          <w:rFonts w:ascii="Times New Roman" w:eastAsiaTheme="minorEastAsia" w:hAnsi="Times New Roman" w:cs="Times New Roman"/>
          <w:b w:val="0"/>
          <w:sz w:val="24"/>
          <w:lang w:eastAsia="ja-JP"/>
        </w:rPr>
      </w:pPr>
    </w:p>
    <w:p w14:paraId="581B7274" w14:textId="4591B128" w:rsidR="00F73770" w:rsidRPr="00DA0351" w:rsidRDefault="002E481A" w:rsidP="00DA0351">
      <w:p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bCs/>
          <w:sz w:val="24"/>
          <w:szCs w:val="24"/>
        </w:rPr>
        <w:t xml:space="preserve">En el citado estudio de agosto 2016, </w:t>
      </w:r>
      <w:r w:rsidR="00EB6810" w:rsidRPr="00EB6810">
        <w:rPr>
          <w:rFonts w:ascii="Times New Roman" w:hAnsi="Times New Roman" w:cs="Times New Roman"/>
          <w:bCs/>
          <w:sz w:val="24"/>
          <w:szCs w:val="24"/>
        </w:rPr>
        <w:t>relativo a un</w:t>
      </w:r>
      <w:r w:rsidR="00EB6810">
        <w:rPr>
          <w:rFonts w:ascii="Times New Roman" w:hAnsi="Times New Roman" w:cs="Times New Roman"/>
          <w:bCs/>
          <w:sz w:val="24"/>
          <w:szCs w:val="24"/>
        </w:rPr>
        <w:t>a</w:t>
      </w:r>
      <w:r w:rsidR="00EB6810" w:rsidRPr="00EB6810">
        <w:rPr>
          <w:rFonts w:ascii="Times New Roman" w:hAnsi="Times New Roman" w:cs="Times New Roman"/>
          <w:bCs/>
          <w:sz w:val="24"/>
          <w:szCs w:val="24"/>
        </w:rPr>
        <w:t xml:space="preserve"> </w:t>
      </w:r>
      <w:r w:rsidR="00EB6810">
        <w:rPr>
          <w:rFonts w:ascii="Times New Roman" w:hAnsi="Times New Roman" w:cs="Times New Roman"/>
          <w:bCs/>
          <w:sz w:val="24"/>
          <w:szCs w:val="24"/>
        </w:rPr>
        <w:t>valoración</w:t>
      </w:r>
      <w:r w:rsidR="00EB6810" w:rsidRPr="00EB6810">
        <w:rPr>
          <w:rFonts w:ascii="Times New Roman" w:hAnsi="Times New Roman" w:cs="Times New Roman"/>
          <w:bCs/>
          <w:sz w:val="24"/>
          <w:szCs w:val="24"/>
        </w:rPr>
        <w:t xml:space="preserve"> de la gestión de riesgos del RIVM,</w:t>
      </w:r>
      <w:r w:rsidR="00EB6810">
        <w:rPr>
          <w:rFonts w:ascii="Times New Roman" w:hAnsi="Times New Roman" w:cs="Times New Roman"/>
          <w:bCs/>
          <w:sz w:val="24"/>
          <w:szCs w:val="24"/>
        </w:rPr>
        <w:t xml:space="preserve"> </w:t>
      </w:r>
      <w:r>
        <w:rPr>
          <w:rFonts w:ascii="Times New Roman" w:hAnsi="Times New Roman" w:cs="Times New Roman"/>
          <w:bCs/>
          <w:sz w:val="24"/>
          <w:szCs w:val="24"/>
        </w:rPr>
        <w:t>s</w:t>
      </w:r>
      <w:r w:rsidR="00070E03" w:rsidRPr="00DA0351">
        <w:rPr>
          <w:rFonts w:ascii="Times New Roman" w:hAnsi="Times New Roman" w:cs="Times New Roman"/>
          <w:bCs/>
          <w:sz w:val="24"/>
          <w:szCs w:val="24"/>
        </w:rPr>
        <w:t xml:space="preserve">e </w:t>
      </w:r>
      <w:r>
        <w:rPr>
          <w:rFonts w:ascii="Times New Roman" w:hAnsi="Times New Roman" w:cs="Times New Roman"/>
          <w:bCs/>
          <w:sz w:val="24"/>
          <w:szCs w:val="24"/>
        </w:rPr>
        <w:t xml:space="preserve">observó </w:t>
      </w:r>
      <w:r w:rsidR="00013BEE" w:rsidRPr="00DA0351">
        <w:rPr>
          <w:rFonts w:ascii="Times New Roman" w:hAnsi="Times New Roman" w:cs="Times New Roman"/>
          <w:bCs/>
          <w:sz w:val="24"/>
          <w:szCs w:val="24"/>
        </w:rPr>
        <w:t>que la</w:t>
      </w:r>
      <w:r w:rsidR="00AF3370" w:rsidRPr="00DA0351">
        <w:rPr>
          <w:rFonts w:ascii="Times New Roman" w:hAnsi="Times New Roman" w:cs="Times New Roman"/>
          <w:bCs/>
          <w:sz w:val="24"/>
          <w:szCs w:val="24"/>
        </w:rPr>
        <w:t xml:space="preserve"> </w:t>
      </w:r>
      <w:r w:rsidR="00B50712" w:rsidRPr="00DA0351">
        <w:rPr>
          <w:rFonts w:ascii="Times New Roman" w:hAnsi="Times New Roman" w:cs="Times New Roman"/>
          <w:bCs/>
          <w:sz w:val="24"/>
          <w:szCs w:val="24"/>
        </w:rPr>
        <w:t>dependencia</w:t>
      </w:r>
      <w:r w:rsidR="00013BEE" w:rsidRPr="00DA0351">
        <w:rPr>
          <w:rFonts w:ascii="Times New Roman" w:hAnsi="Times New Roman" w:cs="Times New Roman"/>
          <w:bCs/>
          <w:sz w:val="24"/>
          <w:szCs w:val="24"/>
        </w:rPr>
        <w:t xml:space="preserve"> encarga</w:t>
      </w:r>
      <w:r w:rsidR="00CB5653" w:rsidRPr="00DA0351">
        <w:rPr>
          <w:rFonts w:ascii="Times New Roman" w:hAnsi="Times New Roman" w:cs="Times New Roman"/>
          <w:bCs/>
          <w:sz w:val="24"/>
          <w:szCs w:val="24"/>
        </w:rPr>
        <w:t>da</w:t>
      </w:r>
      <w:r w:rsidR="00013BEE" w:rsidRPr="00DA0351">
        <w:rPr>
          <w:rFonts w:ascii="Times New Roman" w:hAnsi="Times New Roman" w:cs="Times New Roman"/>
          <w:bCs/>
          <w:sz w:val="24"/>
          <w:szCs w:val="24"/>
        </w:rPr>
        <w:t xml:space="preserve"> del análisis de los riesgos</w:t>
      </w:r>
      <w:r w:rsidR="00B50712" w:rsidRPr="00DA0351">
        <w:rPr>
          <w:rFonts w:ascii="Times New Roman" w:hAnsi="Times New Roman" w:cs="Times New Roman"/>
          <w:bCs/>
          <w:sz w:val="24"/>
          <w:szCs w:val="24"/>
        </w:rPr>
        <w:t xml:space="preserve"> responde a</w:t>
      </w:r>
      <w:r w:rsidR="00E85F6A" w:rsidRPr="00DA0351">
        <w:rPr>
          <w:rFonts w:ascii="Times New Roman" w:hAnsi="Times New Roman" w:cs="Times New Roman"/>
          <w:bCs/>
          <w:sz w:val="24"/>
          <w:szCs w:val="24"/>
        </w:rPr>
        <w:t xml:space="preserve"> la</w:t>
      </w:r>
      <w:r w:rsidR="00B50712" w:rsidRPr="00DA0351">
        <w:rPr>
          <w:rFonts w:ascii="Times New Roman" w:hAnsi="Times New Roman" w:cs="Times New Roman"/>
          <w:bCs/>
          <w:sz w:val="24"/>
          <w:szCs w:val="24"/>
        </w:rPr>
        <w:t xml:space="preserve"> Dirección Actuarial </w:t>
      </w:r>
      <w:r w:rsidR="003B3234" w:rsidRPr="00DA0351">
        <w:rPr>
          <w:rFonts w:ascii="Times New Roman" w:hAnsi="Times New Roman" w:cs="Times New Roman"/>
          <w:bCs/>
          <w:sz w:val="24"/>
          <w:szCs w:val="24"/>
        </w:rPr>
        <w:t xml:space="preserve">y Planificación Económica </w:t>
      </w:r>
      <w:r w:rsidR="00B50712" w:rsidRPr="00DA0351">
        <w:rPr>
          <w:rFonts w:ascii="Times New Roman" w:hAnsi="Times New Roman" w:cs="Times New Roman"/>
          <w:bCs/>
          <w:sz w:val="24"/>
          <w:szCs w:val="24"/>
        </w:rPr>
        <w:t xml:space="preserve">de la CCSS, </w:t>
      </w:r>
      <w:r w:rsidR="00013BEE" w:rsidRPr="00DA0351">
        <w:rPr>
          <w:rFonts w:ascii="Times New Roman" w:hAnsi="Times New Roman" w:cs="Times New Roman"/>
          <w:bCs/>
          <w:sz w:val="24"/>
          <w:szCs w:val="24"/>
        </w:rPr>
        <w:t>situación que no concuerda con lo que se indica</w:t>
      </w:r>
      <w:r w:rsidR="00F73770" w:rsidRPr="00DA0351">
        <w:rPr>
          <w:rFonts w:ascii="Times New Roman" w:hAnsi="Times New Roman" w:cs="Times New Roman"/>
          <w:bCs/>
          <w:sz w:val="24"/>
          <w:szCs w:val="24"/>
        </w:rPr>
        <w:t xml:space="preserve"> en el literal c) del</w:t>
      </w:r>
      <w:r w:rsidR="00013BEE" w:rsidRPr="00DA0351">
        <w:rPr>
          <w:rFonts w:ascii="Times New Roman" w:hAnsi="Times New Roman" w:cs="Times New Roman"/>
          <w:bCs/>
          <w:sz w:val="24"/>
          <w:szCs w:val="24"/>
        </w:rPr>
        <w:t xml:space="preserve"> artículo 9 del </w:t>
      </w:r>
      <w:r w:rsidR="006832F8" w:rsidRPr="00DA0351">
        <w:rPr>
          <w:rFonts w:ascii="Times New Roman" w:hAnsi="Times New Roman" w:cs="Times New Roman"/>
          <w:bCs/>
          <w:sz w:val="24"/>
          <w:szCs w:val="24"/>
        </w:rPr>
        <w:t>“</w:t>
      </w:r>
      <w:r w:rsidR="00CB5653" w:rsidRPr="00BE50BC">
        <w:rPr>
          <w:rFonts w:ascii="Times New Roman" w:hAnsi="Times New Roman" w:cs="Times New Roman"/>
          <w:bCs/>
          <w:i/>
          <w:sz w:val="24"/>
          <w:szCs w:val="24"/>
        </w:rPr>
        <w:t>Reglamento</w:t>
      </w:r>
      <w:r w:rsidR="006832F8" w:rsidRPr="00BE50BC">
        <w:rPr>
          <w:rFonts w:ascii="Times New Roman" w:hAnsi="Times New Roman" w:cs="Times New Roman"/>
          <w:bCs/>
          <w:i/>
          <w:sz w:val="24"/>
          <w:szCs w:val="24"/>
        </w:rPr>
        <w:t xml:space="preserve"> para la Administración Integral </w:t>
      </w:r>
      <w:r w:rsidR="00CB5653" w:rsidRPr="00BE50BC">
        <w:rPr>
          <w:rFonts w:ascii="Times New Roman" w:hAnsi="Times New Roman" w:cs="Times New Roman"/>
          <w:bCs/>
          <w:i/>
          <w:sz w:val="24"/>
          <w:szCs w:val="24"/>
        </w:rPr>
        <w:t xml:space="preserve"> de Riesgos </w:t>
      </w:r>
      <w:r w:rsidR="006832F8" w:rsidRPr="00BE50BC">
        <w:rPr>
          <w:rFonts w:ascii="Times New Roman" w:hAnsi="Times New Roman" w:cs="Times New Roman"/>
          <w:bCs/>
          <w:i/>
          <w:sz w:val="24"/>
          <w:szCs w:val="24"/>
        </w:rPr>
        <w:t>Financieros de los Fondos Institucionales”</w:t>
      </w:r>
      <w:r w:rsidR="00F73770" w:rsidRPr="00DA0351">
        <w:rPr>
          <w:rFonts w:ascii="Times New Roman" w:hAnsi="Times New Roman" w:cs="Times New Roman"/>
          <w:bCs/>
          <w:sz w:val="24"/>
          <w:szCs w:val="24"/>
        </w:rPr>
        <w:t xml:space="preserve"> en donde se indica: </w:t>
      </w:r>
      <w:r w:rsidR="00F73770" w:rsidRPr="002E481A">
        <w:rPr>
          <w:rFonts w:ascii="Times New Roman" w:hAnsi="Times New Roman" w:cs="Times New Roman"/>
          <w:bCs/>
          <w:i/>
          <w:sz w:val="24"/>
          <w:szCs w:val="24"/>
        </w:rPr>
        <w:t xml:space="preserve">“El Jefe del </w:t>
      </w:r>
      <w:r w:rsidR="00F73770" w:rsidRPr="002E481A">
        <w:rPr>
          <w:rFonts w:ascii="Times New Roman" w:hAnsi="Times New Roman" w:cs="Times New Roman" w:hint="eastAsia"/>
          <w:bCs/>
          <w:i/>
          <w:sz w:val="24"/>
          <w:szCs w:val="24"/>
        </w:rPr>
        <w:t>Á</w:t>
      </w:r>
      <w:r w:rsidR="00F73770" w:rsidRPr="002E481A">
        <w:rPr>
          <w:rFonts w:ascii="Times New Roman" w:hAnsi="Times New Roman" w:cs="Times New Roman"/>
          <w:bCs/>
          <w:i/>
          <w:sz w:val="24"/>
          <w:szCs w:val="24"/>
        </w:rPr>
        <w:t>rea Administraci</w:t>
      </w:r>
      <w:r w:rsidR="00F73770" w:rsidRPr="002E481A">
        <w:rPr>
          <w:rFonts w:ascii="Times New Roman" w:hAnsi="Times New Roman" w:cs="Times New Roman" w:hint="eastAsia"/>
          <w:bCs/>
          <w:i/>
          <w:sz w:val="24"/>
          <w:szCs w:val="24"/>
        </w:rPr>
        <w:t>ó</w:t>
      </w:r>
      <w:r w:rsidR="00F73770" w:rsidRPr="002E481A">
        <w:rPr>
          <w:rFonts w:ascii="Times New Roman" w:hAnsi="Times New Roman" w:cs="Times New Roman"/>
          <w:bCs/>
          <w:i/>
          <w:sz w:val="24"/>
          <w:szCs w:val="24"/>
        </w:rPr>
        <w:t>n del Riesgo de la Gerencia de Pensiones, quien tendr</w:t>
      </w:r>
      <w:r w:rsidR="00F73770" w:rsidRPr="002E481A">
        <w:rPr>
          <w:rFonts w:ascii="Times New Roman" w:hAnsi="Times New Roman" w:cs="Times New Roman" w:hint="eastAsia"/>
          <w:bCs/>
          <w:i/>
          <w:sz w:val="24"/>
          <w:szCs w:val="24"/>
        </w:rPr>
        <w:t>á</w:t>
      </w:r>
      <w:r w:rsidR="00F73770" w:rsidRPr="002E481A">
        <w:rPr>
          <w:rFonts w:ascii="Times New Roman" w:hAnsi="Times New Roman" w:cs="Times New Roman"/>
          <w:bCs/>
          <w:i/>
          <w:sz w:val="24"/>
          <w:szCs w:val="24"/>
        </w:rPr>
        <w:t xml:space="preserve"> voz pero no voto”</w:t>
      </w:r>
      <w:r w:rsidR="00DF56AE" w:rsidRPr="00DA0351">
        <w:rPr>
          <w:rFonts w:ascii="Times New Roman" w:hAnsi="Times New Roman" w:cs="Times New Roman"/>
          <w:bCs/>
          <w:sz w:val="24"/>
          <w:szCs w:val="24"/>
        </w:rPr>
        <w:t xml:space="preserve"> es decir, lo que se indica no concuerda con la estructura organizacional</w:t>
      </w:r>
      <w:r w:rsidR="00F73770" w:rsidRPr="00DA0351">
        <w:rPr>
          <w:rFonts w:ascii="Times New Roman" w:hAnsi="Times New Roman" w:cs="Times New Roman"/>
          <w:bCs/>
          <w:sz w:val="24"/>
          <w:szCs w:val="24"/>
        </w:rPr>
        <w:t xml:space="preserve">. Además, </w:t>
      </w:r>
      <w:r w:rsidR="00566F84" w:rsidRPr="00DA0351">
        <w:rPr>
          <w:rFonts w:ascii="Times New Roman" w:hAnsi="Times New Roman" w:cs="Times New Roman"/>
          <w:bCs/>
          <w:sz w:val="24"/>
          <w:szCs w:val="24"/>
        </w:rPr>
        <w:t>en el literal a) se menciona</w:t>
      </w:r>
      <w:r w:rsidR="00E85F6A" w:rsidRPr="00DA0351">
        <w:rPr>
          <w:rFonts w:ascii="Times New Roman" w:hAnsi="Times New Roman" w:cs="Times New Roman"/>
          <w:bCs/>
          <w:sz w:val="24"/>
          <w:szCs w:val="24"/>
        </w:rPr>
        <w:t>,</w:t>
      </w:r>
      <w:r w:rsidR="00566F84" w:rsidRPr="00DA0351">
        <w:rPr>
          <w:rFonts w:ascii="Times New Roman" w:hAnsi="Times New Roman" w:cs="Times New Roman"/>
          <w:bCs/>
          <w:sz w:val="24"/>
          <w:szCs w:val="24"/>
        </w:rPr>
        <w:t xml:space="preserve"> en cuanto a la conformación del Comité de Riesgos</w:t>
      </w:r>
      <w:r w:rsidR="00E85F6A" w:rsidRPr="00DA0351">
        <w:rPr>
          <w:rFonts w:ascii="Times New Roman" w:hAnsi="Times New Roman" w:cs="Times New Roman"/>
          <w:bCs/>
          <w:sz w:val="24"/>
          <w:szCs w:val="24"/>
        </w:rPr>
        <w:t>,</w:t>
      </w:r>
      <w:r w:rsidR="00566F84" w:rsidRPr="00DA0351">
        <w:rPr>
          <w:rFonts w:ascii="Times New Roman" w:hAnsi="Times New Roman" w:cs="Times New Roman"/>
          <w:bCs/>
          <w:sz w:val="24"/>
          <w:szCs w:val="24"/>
        </w:rPr>
        <w:t xml:space="preserve"> que participaría un </w:t>
      </w:r>
      <w:r w:rsidR="00566F84" w:rsidRPr="00DA0351">
        <w:rPr>
          <w:rFonts w:ascii="Times New Roman" w:hAnsi="Times New Roman" w:cs="Times New Roman"/>
          <w:bCs/>
          <w:sz w:val="24"/>
          <w:szCs w:val="24"/>
        </w:rPr>
        <w:lastRenderedPageBreak/>
        <w:t>representante designado por la Dirección Actuarial y Planificación Económica, aspecto a considerar en virtud del tema de eventual conflicto de interés.</w:t>
      </w:r>
    </w:p>
    <w:p w14:paraId="7BF06997" w14:textId="5427DD32" w:rsidR="00AF09C0" w:rsidRPr="00AF09C0" w:rsidRDefault="00EB6810" w:rsidP="00605BEB">
      <w:pPr>
        <w:spacing w:after="240"/>
        <w:jc w:val="both"/>
        <w:rPr>
          <w:rFonts w:ascii="Times New Roman" w:hAnsi="Times New Roman" w:cs="Times New Roman"/>
          <w:bCs/>
          <w:sz w:val="24"/>
          <w:szCs w:val="24"/>
        </w:rPr>
      </w:pPr>
      <w:r>
        <w:rPr>
          <w:rFonts w:ascii="Times New Roman" w:hAnsi="Times New Roman" w:cs="Times New Roman"/>
          <w:bCs/>
          <w:sz w:val="24"/>
          <w:szCs w:val="24"/>
        </w:rPr>
        <w:t>No obstante, se determinó</w:t>
      </w:r>
      <w:r w:rsidR="00CB5653">
        <w:rPr>
          <w:rFonts w:ascii="Times New Roman" w:hAnsi="Times New Roman" w:cs="Times New Roman"/>
          <w:bCs/>
          <w:sz w:val="24"/>
          <w:szCs w:val="24"/>
        </w:rPr>
        <w:t xml:space="preserve"> que el Área de </w:t>
      </w:r>
      <w:r w:rsidR="00AF09C0">
        <w:rPr>
          <w:rFonts w:ascii="Times New Roman" w:hAnsi="Times New Roman" w:cs="Times New Roman"/>
          <w:bCs/>
          <w:sz w:val="24"/>
          <w:szCs w:val="24"/>
        </w:rPr>
        <w:t>Administración del Riesgo</w:t>
      </w:r>
      <w:r w:rsidR="00CB5653">
        <w:rPr>
          <w:rFonts w:ascii="Times New Roman" w:hAnsi="Times New Roman" w:cs="Times New Roman"/>
          <w:bCs/>
          <w:sz w:val="24"/>
          <w:szCs w:val="24"/>
        </w:rPr>
        <w:t xml:space="preserve"> realiza un esfuerzo con el objetivo de que se incremente el compromiso de la organización c</w:t>
      </w:r>
      <w:r w:rsidR="00E84164">
        <w:rPr>
          <w:rFonts w:ascii="Times New Roman" w:hAnsi="Times New Roman" w:cs="Times New Roman"/>
          <w:bCs/>
          <w:sz w:val="24"/>
          <w:szCs w:val="24"/>
        </w:rPr>
        <w:t xml:space="preserve">on la gestión de riesgo y como parte de </w:t>
      </w:r>
      <w:r w:rsidR="00CB5653">
        <w:rPr>
          <w:rFonts w:ascii="Times New Roman" w:hAnsi="Times New Roman" w:cs="Times New Roman"/>
          <w:bCs/>
          <w:sz w:val="24"/>
          <w:szCs w:val="24"/>
        </w:rPr>
        <w:t>los instrumentos técnicos emitieron</w:t>
      </w:r>
      <w:r w:rsidR="0070180C">
        <w:rPr>
          <w:rFonts w:ascii="Times New Roman" w:hAnsi="Times New Roman" w:cs="Times New Roman"/>
          <w:bCs/>
          <w:sz w:val="24"/>
          <w:szCs w:val="24"/>
        </w:rPr>
        <w:t xml:space="preserve"> procedimientos y</w:t>
      </w:r>
      <w:r w:rsidR="00CB5653">
        <w:rPr>
          <w:rFonts w:ascii="Times New Roman" w:hAnsi="Times New Roman" w:cs="Times New Roman"/>
          <w:bCs/>
          <w:sz w:val="24"/>
          <w:szCs w:val="24"/>
        </w:rPr>
        <w:t xml:space="preserve"> </w:t>
      </w:r>
      <w:r w:rsidR="00AF09C0">
        <w:rPr>
          <w:rFonts w:ascii="Times New Roman" w:hAnsi="Times New Roman" w:cs="Times New Roman"/>
          <w:bCs/>
          <w:sz w:val="24"/>
          <w:szCs w:val="24"/>
        </w:rPr>
        <w:t xml:space="preserve">una </w:t>
      </w:r>
      <w:r w:rsidR="00AF09C0" w:rsidRPr="00BE50BC">
        <w:rPr>
          <w:rFonts w:ascii="Times New Roman" w:hAnsi="Times New Roman" w:cs="Times New Roman"/>
          <w:bCs/>
          <w:i/>
          <w:sz w:val="24"/>
          <w:szCs w:val="24"/>
        </w:rPr>
        <w:t>“Política Institucional del Riesgo”</w:t>
      </w:r>
      <w:r w:rsidR="0070180C">
        <w:rPr>
          <w:rFonts w:ascii="Times New Roman" w:hAnsi="Times New Roman" w:cs="Times New Roman"/>
          <w:bCs/>
          <w:sz w:val="24"/>
          <w:szCs w:val="24"/>
        </w:rPr>
        <w:t>,</w:t>
      </w:r>
      <w:r w:rsidR="00AF09C0" w:rsidRPr="00AF09C0">
        <w:rPr>
          <w:rFonts w:ascii="Times New Roman" w:hAnsi="Times New Roman" w:cs="Times New Roman"/>
          <w:bCs/>
          <w:sz w:val="24"/>
          <w:szCs w:val="24"/>
        </w:rPr>
        <w:t xml:space="preserve"> con el </w:t>
      </w:r>
      <w:r w:rsidR="00AF09C0">
        <w:rPr>
          <w:rFonts w:ascii="Times New Roman" w:hAnsi="Times New Roman" w:cs="Times New Roman"/>
          <w:bCs/>
          <w:sz w:val="24"/>
          <w:szCs w:val="24"/>
        </w:rPr>
        <w:t>objetivo de que se realice una valoración del riesgo lo más proactiva posible y que se propicien b</w:t>
      </w:r>
      <w:r w:rsidR="00E84164">
        <w:rPr>
          <w:rFonts w:ascii="Times New Roman" w:hAnsi="Times New Roman" w:cs="Times New Roman"/>
          <w:bCs/>
          <w:sz w:val="24"/>
          <w:szCs w:val="24"/>
        </w:rPr>
        <w:t>uenas prácticas administrativas. P</w:t>
      </w:r>
      <w:r w:rsidR="00AF09C0">
        <w:rPr>
          <w:rFonts w:ascii="Times New Roman" w:hAnsi="Times New Roman" w:cs="Times New Roman"/>
          <w:bCs/>
          <w:sz w:val="24"/>
          <w:szCs w:val="24"/>
        </w:rPr>
        <w:t>or ejemplo</w:t>
      </w:r>
      <w:r w:rsidR="00E84164">
        <w:rPr>
          <w:rFonts w:ascii="Times New Roman" w:hAnsi="Times New Roman" w:cs="Times New Roman"/>
          <w:bCs/>
          <w:sz w:val="24"/>
          <w:szCs w:val="24"/>
        </w:rPr>
        <w:t>,</w:t>
      </w:r>
      <w:r w:rsidR="00AF09C0">
        <w:rPr>
          <w:rFonts w:ascii="Times New Roman" w:hAnsi="Times New Roman" w:cs="Times New Roman"/>
          <w:bCs/>
          <w:sz w:val="24"/>
          <w:szCs w:val="24"/>
        </w:rPr>
        <w:t xml:space="preserve"> han evaluado el riesgo operativo en los procesos</w:t>
      </w:r>
      <w:r w:rsidR="00E84164">
        <w:rPr>
          <w:rFonts w:ascii="Times New Roman" w:hAnsi="Times New Roman" w:cs="Times New Roman"/>
          <w:bCs/>
          <w:sz w:val="24"/>
          <w:szCs w:val="24"/>
        </w:rPr>
        <w:t xml:space="preserve"> de</w:t>
      </w:r>
      <w:r w:rsidR="00AF09C0">
        <w:rPr>
          <w:rFonts w:ascii="Times New Roman" w:hAnsi="Times New Roman" w:cs="Times New Roman"/>
          <w:bCs/>
          <w:sz w:val="24"/>
          <w:szCs w:val="24"/>
        </w:rPr>
        <w:t xml:space="preserve"> las inversiones del RIVM identificando la necesidad de la renovación de la plataforma t</w:t>
      </w:r>
      <w:r w:rsidR="00605BEB">
        <w:rPr>
          <w:rFonts w:ascii="Times New Roman" w:hAnsi="Times New Roman" w:cs="Times New Roman"/>
          <w:bCs/>
          <w:sz w:val="24"/>
          <w:szCs w:val="24"/>
        </w:rPr>
        <w:t>e</w:t>
      </w:r>
      <w:r w:rsidR="00AF09C0">
        <w:rPr>
          <w:rFonts w:ascii="Times New Roman" w:hAnsi="Times New Roman" w:cs="Times New Roman"/>
          <w:bCs/>
          <w:sz w:val="24"/>
          <w:szCs w:val="24"/>
        </w:rPr>
        <w:t>cnológica del Sistema del Control de Inversiones, tanto en el motor de la base de datos como en el lenguaje de desarrollo</w:t>
      </w:r>
      <w:r w:rsidR="00E84164">
        <w:rPr>
          <w:rFonts w:ascii="Times New Roman" w:hAnsi="Times New Roman" w:cs="Times New Roman"/>
          <w:bCs/>
          <w:sz w:val="24"/>
          <w:szCs w:val="24"/>
        </w:rPr>
        <w:t>, por</w:t>
      </w:r>
      <w:r w:rsidR="00605BEB">
        <w:rPr>
          <w:rFonts w:ascii="Times New Roman" w:hAnsi="Times New Roman" w:cs="Times New Roman"/>
          <w:bCs/>
          <w:sz w:val="24"/>
          <w:szCs w:val="24"/>
        </w:rPr>
        <w:t xml:space="preserve">que consideran que el Sistema de Control de Inversiones es básico y se encuentra limitado en posibilidades de vida </w:t>
      </w:r>
      <w:r w:rsidR="007D1325">
        <w:rPr>
          <w:rFonts w:ascii="Times New Roman" w:hAnsi="Times New Roman" w:cs="Times New Roman"/>
          <w:bCs/>
          <w:sz w:val="24"/>
          <w:szCs w:val="24"/>
        </w:rPr>
        <w:t>útil.</w:t>
      </w:r>
      <w:r w:rsidR="00605BEB">
        <w:rPr>
          <w:rFonts w:ascii="Times New Roman" w:hAnsi="Times New Roman" w:cs="Times New Roman"/>
          <w:bCs/>
          <w:sz w:val="24"/>
          <w:szCs w:val="24"/>
        </w:rPr>
        <w:t xml:space="preserve"> </w:t>
      </w:r>
    </w:p>
    <w:p w14:paraId="400DB51C" w14:textId="24E76164" w:rsidR="007A435B" w:rsidRDefault="00605BEB" w:rsidP="00D1022D">
      <w:pPr>
        <w:spacing w:after="240"/>
        <w:jc w:val="both"/>
        <w:rPr>
          <w:rFonts w:ascii="Times New Roman" w:hAnsi="Times New Roman" w:cs="Times New Roman"/>
          <w:bCs/>
          <w:sz w:val="24"/>
          <w:szCs w:val="24"/>
        </w:rPr>
      </w:pPr>
      <w:r>
        <w:rPr>
          <w:rFonts w:ascii="Times New Roman" w:hAnsi="Times New Roman" w:cs="Times New Roman"/>
          <w:bCs/>
          <w:sz w:val="24"/>
          <w:szCs w:val="24"/>
        </w:rPr>
        <w:t>De igual forma la SUPEN</w:t>
      </w:r>
      <w:r w:rsidR="00E84164">
        <w:rPr>
          <w:rFonts w:ascii="Times New Roman" w:hAnsi="Times New Roman" w:cs="Times New Roman"/>
          <w:bCs/>
          <w:sz w:val="24"/>
          <w:szCs w:val="24"/>
        </w:rPr>
        <w:t>,</w:t>
      </w:r>
      <w:r>
        <w:rPr>
          <w:rFonts w:ascii="Times New Roman" w:hAnsi="Times New Roman" w:cs="Times New Roman"/>
          <w:bCs/>
          <w:sz w:val="24"/>
          <w:szCs w:val="24"/>
        </w:rPr>
        <w:t xml:space="preserve"> en el estudio mencionado anteriormente,</w:t>
      </w:r>
      <w:r w:rsidR="007A435B" w:rsidRPr="00E44240">
        <w:rPr>
          <w:rFonts w:ascii="Times New Roman" w:hAnsi="Times New Roman" w:cs="Times New Roman"/>
          <w:bCs/>
          <w:sz w:val="24"/>
          <w:szCs w:val="24"/>
        </w:rPr>
        <w:t xml:space="preserve"> </w:t>
      </w:r>
      <w:r w:rsidR="00923E31" w:rsidRPr="004664E1">
        <w:rPr>
          <w:rFonts w:ascii="Times New Roman" w:hAnsi="Times New Roman" w:cs="Times New Roman"/>
          <w:bCs/>
          <w:sz w:val="24"/>
          <w:szCs w:val="24"/>
        </w:rPr>
        <w:t>considerando directrices</w:t>
      </w:r>
      <w:r w:rsidR="00A23FFB" w:rsidRPr="004664E1">
        <w:rPr>
          <w:rFonts w:ascii="Times New Roman" w:hAnsi="Times New Roman" w:cs="Times New Roman"/>
          <w:bCs/>
          <w:sz w:val="24"/>
          <w:szCs w:val="24"/>
        </w:rPr>
        <w:t xml:space="preserve"> </w:t>
      </w:r>
      <w:r w:rsidR="00D64315">
        <w:rPr>
          <w:rFonts w:ascii="Times New Roman" w:hAnsi="Times New Roman" w:cs="Times New Roman"/>
          <w:bCs/>
          <w:sz w:val="24"/>
          <w:szCs w:val="24"/>
        </w:rPr>
        <w:t>contenidas</w:t>
      </w:r>
      <w:r w:rsidR="00A23FFB" w:rsidRPr="004664E1">
        <w:rPr>
          <w:rFonts w:ascii="Times New Roman" w:hAnsi="Times New Roman" w:cs="Times New Roman"/>
          <w:bCs/>
          <w:sz w:val="24"/>
          <w:szCs w:val="24"/>
        </w:rPr>
        <w:t xml:space="preserve"> en el </w:t>
      </w:r>
      <w:r w:rsidR="00A23FFB" w:rsidRPr="00BE50BC">
        <w:rPr>
          <w:rFonts w:ascii="Times New Roman" w:hAnsi="Times New Roman" w:cs="Times New Roman"/>
          <w:bCs/>
          <w:i/>
          <w:sz w:val="24"/>
          <w:szCs w:val="24"/>
        </w:rPr>
        <w:t>“Reglamento para calificar la situación financiera de los fondos administrados por los entes regulados</w:t>
      </w:r>
      <w:r w:rsidR="00A23FFB" w:rsidRPr="004664E1">
        <w:rPr>
          <w:rFonts w:ascii="Times New Roman" w:hAnsi="Times New Roman" w:cs="Times New Roman"/>
          <w:bCs/>
          <w:sz w:val="24"/>
          <w:szCs w:val="24"/>
        </w:rPr>
        <w:t>”</w:t>
      </w:r>
      <w:r w:rsidR="008D767F">
        <w:rPr>
          <w:rStyle w:val="Refdenotaalpie"/>
          <w:rFonts w:ascii="Times New Roman" w:hAnsi="Times New Roman" w:cs="Times New Roman"/>
          <w:bCs/>
          <w:sz w:val="24"/>
          <w:szCs w:val="24"/>
        </w:rPr>
        <w:footnoteReference w:id="3"/>
      </w:r>
      <w:r w:rsidR="00A23FFB" w:rsidRPr="004664E1">
        <w:rPr>
          <w:rFonts w:ascii="Times New Roman" w:hAnsi="Times New Roman" w:cs="Times New Roman"/>
          <w:bCs/>
          <w:sz w:val="24"/>
          <w:szCs w:val="24"/>
        </w:rPr>
        <w:t xml:space="preserve">, </w:t>
      </w:r>
      <w:r w:rsidR="007E65D7">
        <w:rPr>
          <w:rFonts w:ascii="Times New Roman" w:hAnsi="Times New Roman" w:cs="Times New Roman"/>
          <w:bCs/>
          <w:sz w:val="24"/>
          <w:szCs w:val="24"/>
        </w:rPr>
        <w:t xml:space="preserve">resaltó en el comunicado tramitado </w:t>
      </w:r>
      <w:r w:rsidR="007E65D7" w:rsidRPr="007E65D7">
        <w:rPr>
          <w:rFonts w:ascii="Times New Roman" w:hAnsi="Times New Roman" w:cs="Times New Roman"/>
          <w:bCs/>
          <w:sz w:val="24"/>
          <w:szCs w:val="24"/>
        </w:rPr>
        <w:t>(SP-1042-2016</w:t>
      </w:r>
      <w:r w:rsidR="00923E31" w:rsidRPr="007E65D7">
        <w:rPr>
          <w:rFonts w:ascii="Times New Roman" w:hAnsi="Times New Roman" w:cs="Times New Roman"/>
          <w:bCs/>
          <w:sz w:val="24"/>
          <w:szCs w:val="24"/>
        </w:rPr>
        <w:t>)</w:t>
      </w:r>
      <w:r w:rsidR="00923E31">
        <w:rPr>
          <w:rFonts w:ascii="Times New Roman" w:hAnsi="Times New Roman" w:cs="Times New Roman"/>
          <w:bCs/>
          <w:sz w:val="24"/>
          <w:szCs w:val="24"/>
        </w:rPr>
        <w:t>, algunas</w:t>
      </w:r>
      <w:r w:rsidR="007E65D7">
        <w:rPr>
          <w:rFonts w:ascii="Times New Roman" w:hAnsi="Times New Roman" w:cs="Times New Roman"/>
          <w:bCs/>
          <w:sz w:val="24"/>
          <w:szCs w:val="24"/>
        </w:rPr>
        <w:t xml:space="preserve"> recomendaciones</w:t>
      </w:r>
      <w:r w:rsidR="000E1CC5">
        <w:rPr>
          <w:rFonts w:ascii="Times New Roman" w:hAnsi="Times New Roman" w:cs="Times New Roman"/>
          <w:bCs/>
          <w:sz w:val="24"/>
          <w:szCs w:val="24"/>
        </w:rPr>
        <w:t xml:space="preserve">, como oportunidades de mejora, en relación con la administración del RIVM </w:t>
      </w:r>
      <w:r w:rsidR="007E65D7">
        <w:rPr>
          <w:rFonts w:ascii="Times New Roman" w:hAnsi="Times New Roman" w:cs="Times New Roman"/>
          <w:bCs/>
          <w:sz w:val="24"/>
          <w:szCs w:val="24"/>
        </w:rPr>
        <w:t>sobre los siguientes aspectos observados</w:t>
      </w:r>
      <w:r w:rsidR="00134D41" w:rsidRPr="004664E1">
        <w:rPr>
          <w:rFonts w:ascii="Times New Roman" w:hAnsi="Times New Roman" w:cs="Times New Roman"/>
          <w:bCs/>
          <w:sz w:val="24"/>
          <w:szCs w:val="24"/>
        </w:rPr>
        <w:t>:</w:t>
      </w:r>
    </w:p>
    <w:p w14:paraId="47EFC87B" w14:textId="7B5C4A2C" w:rsidR="0018420A" w:rsidRPr="00EE55F4" w:rsidRDefault="00CA167D" w:rsidP="00B66EB7">
      <w:pPr>
        <w:pStyle w:val="Prrafodelista"/>
        <w:numPr>
          <w:ilvl w:val="0"/>
          <w:numId w:val="24"/>
        </w:numPr>
        <w:spacing w:after="120" w:line="240" w:lineRule="auto"/>
        <w:ind w:left="714" w:hanging="357"/>
        <w:contextualSpacing w:val="0"/>
        <w:jc w:val="both"/>
        <w:rPr>
          <w:rFonts w:ascii="Times New Roman" w:eastAsia="Century Schoolbook" w:hAnsi="Times New Roman" w:cs="Times New Roman"/>
          <w:sz w:val="24"/>
          <w:szCs w:val="24"/>
          <w:lang w:val="es-ES_tradnl" w:eastAsia="es-ES"/>
        </w:rPr>
      </w:pPr>
      <w:r w:rsidRPr="00EE55F4">
        <w:rPr>
          <w:rFonts w:ascii="Times New Roman" w:eastAsia="Century Schoolbook" w:hAnsi="Times New Roman" w:cs="Times New Roman"/>
          <w:sz w:val="24"/>
          <w:szCs w:val="24"/>
          <w:lang w:val="es-ES_tradnl" w:eastAsia="es-ES"/>
        </w:rPr>
        <w:t>La</w:t>
      </w:r>
      <w:r w:rsidR="000E1CC5" w:rsidRPr="00EE55F4">
        <w:rPr>
          <w:rFonts w:ascii="Times New Roman" w:eastAsia="Century Schoolbook" w:hAnsi="Times New Roman" w:cs="Times New Roman"/>
          <w:sz w:val="24"/>
          <w:szCs w:val="24"/>
          <w:lang w:val="es-ES_tradnl" w:eastAsia="es-ES"/>
        </w:rPr>
        <w:t xml:space="preserve"> “Política de Liquidez”</w:t>
      </w:r>
      <w:r w:rsidRPr="00EE55F4">
        <w:rPr>
          <w:rFonts w:ascii="Times New Roman" w:eastAsia="Century Schoolbook" w:hAnsi="Times New Roman" w:cs="Times New Roman"/>
          <w:sz w:val="24"/>
          <w:szCs w:val="24"/>
          <w:lang w:val="es-ES_tradnl" w:eastAsia="es-ES"/>
        </w:rPr>
        <w:t xml:space="preserve"> no está</w:t>
      </w:r>
      <w:r w:rsidR="000E1CC5" w:rsidRPr="00EE55F4">
        <w:rPr>
          <w:rFonts w:ascii="Times New Roman" w:eastAsia="Century Schoolbook" w:hAnsi="Times New Roman" w:cs="Times New Roman"/>
          <w:sz w:val="24"/>
          <w:szCs w:val="24"/>
          <w:lang w:val="es-ES_tradnl" w:eastAsia="es-ES"/>
        </w:rPr>
        <w:t xml:space="preserve"> </w:t>
      </w:r>
      <w:r w:rsidR="0018420A" w:rsidRPr="00EE55F4">
        <w:rPr>
          <w:rFonts w:ascii="Times New Roman" w:eastAsia="Century Schoolbook" w:hAnsi="Times New Roman" w:cs="Times New Roman"/>
          <w:sz w:val="24"/>
          <w:szCs w:val="24"/>
          <w:lang w:val="es-ES_tradnl" w:eastAsia="es-ES"/>
        </w:rPr>
        <w:t xml:space="preserve">actualizada, </w:t>
      </w:r>
      <w:r w:rsidRPr="00EE55F4">
        <w:rPr>
          <w:rFonts w:ascii="Times New Roman" w:eastAsia="Century Schoolbook" w:hAnsi="Times New Roman" w:cs="Times New Roman"/>
          <w:sz w:val="24"/>
          <w:szCs w:val="24"/>
          <w:lang w:val="es-ES_tradnl" w:eastAsia="es-ES"/>
        </w:rPr>
        <w:t>y presenta</w:t>
      </w:r>
      <w:r w:rsidR="0018420A" w:rsidRPr="00EE55F4">
        <w:rPr>
          <w:rFonts w:ascii="Times New Roman" w:eastAsia="Century Schoolbook" w:hAnsi="Times New Roman" w:cs="Times New Roman"/>
          <w:sz w:val="24"/>
          <w:szCs w:val="24"/>
          <w:lang w:val="es-ES_tradnl" w:eastAsia="es-ES"/>
        </w:rPr>
        <w:t xml:space="preserve"> incumplimientos en algunos </w:t>
      </w:r>
      <w:r w:rsidR="00EE55F4" w:rsidRPr="00EE55F4">
        <w:rPr>
          <w:rFonts w:ascii="Times New Roman" w:eastAsia="Century Schoolbook" w:hAnsi="Times New Roman" w:cs="Times New Roman"/>
          <w:sz w:val="24"/>
          <w:szCs w:val="24"/>
          <w:lang w:val="es-ES_tradnl" w:eastAsia="es-ES"/>
        </w:rPr>
        <w:t xml:space="preserve">de los </w:t>
      </w:r>
      <w:r w:rsidR="0018420A" w:rsidRPr="00EE55F4">
        <w:rPr>
          <w:rFonts w:ascii="Times New Roman" w:eastAsia="Century Schoolbook" w:hAnsi="Times New Roman" w:cs="Times New Roman"/>
          <w:sz w:val="24"/>
          <w:szCs w:val="24"/>
          <w:lang w:val="es-ES_tradnl" w:eastAsia="es-ES"/>
        </w:rPr>
        <w:t>meses</w:t>
      </w:r>
      <w:r w:rsidR="00C14A5C" w:rsidRPr="00EE55F4">
        <w:rPr>
          <w:rFonts w:ascii="Times New Roman" w:eastAsia="Century Schoolbook" w:hAnsi="Times New Roman" w:cs="Times New Roman"/>
          <w:sz w:val="24"/>
          <w:szCs w:val="24"/>
          <w:lang w:val="es-ES_tradnl" w:eastAsia="es-ES"/>
        </w:rPr>
        <w:t xml:space="preserve"> evaluados</w:t>
      </w:r>
      <w:r w:rsidR="0018420A" w:rsidRPr="00EE55F4">
        <w:rPr>
          <w:rFonts w:ascii="Times New Roman" w:eastAsia="Century Schoolbook" w:hAnsi="Times New Roman" w:cs="Times New Roman"/>
          <w:sz w:val="24"/>
          <w:szCs w:val="24"/>
          <w:lang w:val="es-ES_tradnl" w:eastAsia="es-ES"/>
        </w:rPr>
        <w:t xml:space="preserve">. </w:t>
      </w:r>
    </w:p>
    <w:p w14:paraId="54EAE296" w14:textId="247871C6" w:rsidR="0018420A" w:rsidRPr="00C14A5C" w:rsidRDefault="0018420A" w:rsidP="00B66EB7">
      <w:pPr>
        <w:pStyle w:val="Prrafodelista"/>
        <w:numPr>
          <w:ilvl w:val="0"/>
          <w:numId w:val="24"/>
        </w:numPr>
        <w:spacing w:after="120" w:line="240" w:lineRule="auto"/>
        <w:ind w:left="714" w:hanging="357"/>
        <w:contextualSpacing w:val="0"/>
        <w:jc w:val="both"/>
        <w:rPr>
          <w:rFonts w:ascii="Times New Roman" w:eastAsia="Century Schoolbook" w:hAnsi="Times New Roman" w:cs="Times New Roman"/>
          <w:sz w:val="24"/>
          <w:szCs w:val="24"/>
          <w:lang w:val="es-ES_tradnl" w:eastAsia="es-ES"/>
        </w:rPr>
      </w:pPr>
      <w:r w:rsidRPr="004664E1">
        <w:rPr>
          <w:rFonts w:ascii="Times New Roman" w:eastAsia="Century Schoolbook" w:hAnsi="Times New Roman" w:cs="Times New Roman"/>
          <w:sz w:val="24"/>
          <w:szCs w:val="24"/>
          <w:lang w:val="es-ES_tradnl" w:eastAsia="es-ES"/>
        </w:rPr>
        <w:t xml:space="preserve">No se dispone de un procedimiento para la elaboración del flujo de efectivo y los supuestos que se utilizan para su </w:t>
      </w:r>
      <w:r w:rsidR="002561F3">
        <w:rPr>
          <w:rFonts w:ascii="Times New Roman" w:eastAsia="Century Schoolbook" w:hAnsi="Times New Roman" w:cs="Times New Roman"/>
          <w:sz w:val="24"/>
          <w:szCs w:val="24"/>
          <w:lang w:val="es-ES_tradnl" w:eastAsia="es-ES"/>
        </w:rPr>
        <w:t>preparación</w:t>
      </w:r>
      <w:r w:rsidRPr="004664E1">
        <w:rPr>
          <w:rFonts w:ascii="Times New Roman" w:eastAsia="Century Schoolbook" w:hAnsi="Times New Roman" w:cs="Times New Roman"/>
          <w:sz w:val="24"/>
          <w:szCs w:val="24"/>
          <w:lang w:val="es-ES_tradnl" w:eastAsia="es-ES"/>
        </w:rPr>
        <w:t xml:space="preserve"> no consideran aspectos demográficos y </w:t>
      </w:r>
      <w:r w:rsidRPr="00C14A5C">
        <w:rPr>
          <w:rFonts w:ascii="Times New Roman" w:eastAsia="Century Schoolbook" w:hAnsi="Times New Roman" w:cs="Times New Roman"/>
          <w:sz w:val="24"/>
          <w:szCs w:val="24"/>
          <w:lang w:val="es-ES_tradnl" w:eastAsia="es-ES"/>
        </w:rPr>
        <w:t>socioeconómicos para la proyección.</w:t>
      </w:r>
    </w:p>
    <w:p w14:paraId="52036E68" w14:textId="66E04DA5" w:rsidR="0018420A" w:rsidRPr="00C14A5C" w:rsidRDefault="000E1CC5" w:rsidP="00B66EB7">
      <w:pPr>
        <w:pStyle w:val="Prrafodelista"/>
        <w:numPr>
          <w:ilvl w:val="0"/>
          <w:numId w:val="24"/>
        </w:numPr>
        <w:spacing w:after="120" w:line="240" w:lineRule="auto"/>
        <w:ind w:left="714" w:hanging="357"/>
        <w:contextualSpacing w:val="0"/>
        <w:jc w:val="both"/>
        <w:rPr>
          <w:rFonts w:ascii="Times New Roman" w:eastAsia="Century Schoolbook" w:hAnsi="Times New Roman" w:cs="Times New Roman"/>
          <w:sz w:val="24"/>
          <w:szCs w:val="24"/>
          <w:lang w:val="es-ES_tradnl" w:eastAsia="es-ES"/>
        </w:rPr>
      </w:pPr>
      <w:r>
        <w:rPr>
          <w:rFonts w:ascii="Times New Roman" w:eastAsia="Century Schoolbook" w:hAnsi="Times New Roman" w:cs="Times New Roman"/>
          <w:sz w:val="24"/>
          <w:szCs w:val="24"/>
          <w:lang w:val="es-ES_tradnl" w:eastAsia="es-ES"/>
        </w:rPr>
        <w:t>U</w:t>
      </w:r>
      <w:r w:rsidR="0018420A" w:rsidRPr="00C14A5C">
        <w:rPr>
          <w:rFonts w:ascii="Times New Roman" w:eastAsia="Century Schoolbook" w:hAnsi="Times New Roman" w:cs="Times New Roman"/>
          <w:sz w:val="24"/>
          <w:szCs w:val="24"/>
          <w:lang w:val="es-ES_tradnl" w:eastAsia="es-ES"/>
        </w:rPr>
        <w:t xml:space="preserve">so </w:t>
      </w:r>
      <w:r>
        <w:rPr>
          <w:rFonts w:ascii="Times New Roman" w:eastAsia="Century Schoolbook" w:hAnsi="Times New Roman" w:cs="Times New Roman"/>
          <w:sz w:val="24"/>
          <w:szCs w:val="24"/>
          <w:lang w:val="es-ES_tradnl" w:eastAsia="es-ES"/>
        </w:rPr>
        <w:t xml:space="preserve">reiterado </w:t>
      </w:r>
      <w:r w:rsidR="0018420A" w:rsidRPr="00C14A5C">
        <w:rPr>
          <w:rFonts w:ascii="Times New Roman" w:eastAsia="Century Schoolbook" w:hAnsi="Times New Roman" w:cs="Times New Roman"/>
          <w:sz w:val="24"/>
          <w:szCs w:val="24"/>
          <w:lang w:val="es-ES_tradnl" w:eastAsia="es-ES"/>
        </w:rPr>
        <w:t>de los intereses de la reserva para atender el pago de las obligaciones</w:t>
      </w:r>
      <w:r w:rsidR="00C14A5C" w:rsidRPr="00C14A5C">
        <w:rPr>
          <w:rFonts w:ascii="Times New Roman" w:eastAsia="Century Schoolbook" w:hAnsi="Times New Roman" w:cs="Times New Roman"/>
          <w:sz w:val="24"/>
          <w:szCs w:val="24"/>
          <w:lang w:val="es-ES_tradnl" w:eastAsia="es-ES"/>
        </w:rPr>
        <w:t>.</w:t>
      </w:r>
    </w:p>
    <w:p w14:paraId="2835EAB1" w14:textId="77777777" w:rsidR="000E1CC5" w:rsidRDefault="000E1CC5" w:rsidP="00B66EB7">
      <w:pPr>
        <w:pStyle w:val="Prrafodelista"/>
        <w:numPr>
          <w:ilvl w:val="0"/>
          <w:numId w:val="24"/>
        </w:numPr>
        <w:spacing w:after="120" w:line="240" w:lineRule="auto"/>
        <w:ind w:left="714" w:hanging="357"/>
        <w:contextualSpacing w:val="0"/>
        <w:jc w:val="both"/>
        <w:rPr>
          <w:rFonts w:ascii="Times New Roman" w:eastAsia="Century Schoolbook" w:hAnsi="Times New Roman" w:cs="Times New Roman"/>
          <w:sz w:val="24"/>
          <w:szCs w:val="24"/>
          <w:lang w:val="es-ES_tradnl" w:eastAsia="es-ES"/>
        </w:rPr>
      </w:pPr>
      <w:r>
        <w:rPr>
          <w:rFonts w:ascii="Times New Roman" w:eastAsia="Century Schoolbook" w:hAnsi="Times New Roman" w:cs="Times New Roman"/>
          <w:sz w:val="24"/>
          <w:szCs w:val="24"/>
          <w:lang w:val="es-ES_tradnl" w:eastAsia="es-ES"/>
        </w:rPr>
        <w:t>A</w:t>
      </w:r>
      <w:r w:rsidR="0018420A" w:rsidRPr="004664E1">
        <w:rPr>
          <w:rFonts w:ascii="Times New Roman" w:eastAsia="Century Schoolbook" w:hAnsi="Times New Roman" w:cs="Times New Roman"/>
          <w:sz w:val="24"/>
          <w:szCs w:val="24"/>
          <w:lang w:val="es-ES_tradnl" w:eastAsia="es-ES"/>
        </w:rPr>
        <w:t xml:space="preserve">lta </w:t>
      </w:r>
      <w:r w:rsidR="00704F45">
        <w:rPr>
          <w:rFonts w:ascii="Times New Roman" w:eastAsia="Century Schoolbook" w:hAnsi="Times New Roman" w:cs="Times New Roman"/>
          <w:sz w:val="24"/>
          <w:szCs w:val="24"/>
          <w:lang w:val="es-ES_tradnl" w:eastAsia="es-ES"/>
        </w:rPr>
        <w:t>concentración de la cartera en Sector P</w:t>
      </w:r>
      <w:r w:rsidR="0018420A" w:rsidRPr="004664E1">
        <w:rPr>
          <w:rFonts w:ascii="Times New Roman" w:eastAsia="Century Schoolbook" w:hAnsi="Times New Roman" w:cs="Times New Roman"/>
          <w:sz w:val="24"/>
          <w:szCs w:val="24"/>
          <w:lang w:val="es-ES_tradnl" w:eastAsia="es-ES"/>
        </w:rPr>
        <w:t xml:space="preserve">úblico y </w:t>
      </w:r>
      <w:r>
        <w:rPr>
          <w:rFonts w:ascii="Times New Roman" w:eastAsia="Century Schoolbook" w:hAnsi="Times New Roman" w:cs="Times New Roman"/>
          <w:sz w:val="24"/>
          <w:szCs w:val="24"/>
          <w:lang w:val="es-ES_tradnl" w:eastAsia="es-ES"/>
        </w:rPr>
        <w:t>exponiendo</w:t>
      </w:r>
      <w:r w:rsidR="0018420A" w:rsidRPr="004664E1">
        <w:rPr>
          <w:rFonts w:ascii="Times New Roman" w:eastAsia="Century Schoolbook" w:hAnsi="Times New Roman" w:cs="Times New Roman"/>
          <w:sz w:val="24"/>
          <w:szCs w:val="24"/>
          <w:lang w:val="es-ES_tradnl" w:eastAsia="es-ES"/>
        </w:rPr>
        <w:t xml:space="preserve"> al régimen a una alta correlación entre las diferentes inversiones por emisor, asociado al riesgo país y las políticas de gobierno que les afecta.  Dicha correlación no está siendo valorada por el Área de Administración Integral de Riesgos.  </w:t>
      </w:r>
    </w:p>
    <w:p w14:paraId="68AF646B" w14:textId="2AA087A5" w:rsidR="0018420A" w:rsidRPr="004664E1" w:rsidRDefault="000E1CC5" w:rsidP="00B66EB7">
      <w:pPr>
        <w:pStyle w:val="Prrafodelista"/>
        <w:numPr>
          <w:ilvl w:val="0"/>
          <w:numId w:val="24"/>
        </w:numPr>
        <w:spacing w:after="120" w:line="240" w:lineRule="auto"/>
        <w:ind w:left="714" w:hanging="357"/>
        <w:contextualSpacing w:val="0"/>
        <w:jc w:val="both"/>
        <w:rPr>
          <w:rFonts w:ascii="Times New Roman" w:eastAsia="Century Schoolbook" w:hAnsi="Times New Roman" w:cs="Times New Roman"/>
          <w:sz w:val="24"/>
          <w:szCs w:val="24"/>
          <w:lang w:val="es-ES_tradnl" w:eastAsia="es-ES"/>
        </w:rPr>
      </w:pPr>
      <w:r>
        <w:rPr>
          <w:rFonts w:ascii="Times New Roman" w:eastAsia="Century Schoolbook" w:hAnsi="Times New Roman" w:cs="Times New Roman"/>
          <w:sz w:val="24"/>
          <w:szCs w:val="24"/>
          <w:lang w:val="es-ES_tradnl" w:eastAsia="es-ES"/>
        </w:rPr>
        <w:t>No</w:t>
      </w:r>
      <w:r w:rsidR="0018420A" w:rsidRPr="004664E1">
        <w:rPr>
          <w:rFonts w:ascii="Times New Roman" w:eastAsia="Century Schoolbook" w:hAnsi="Times New Roman" w:cs="Times New Roman"/>
          <w:sz w:val="24"/>
          <w:szCs w:val="24"/>
          <w:lang w:val="es-ES_tradnl" w:eastAsia="es-ES"/>
        </w:rPr>
        <w:t xml:space="preserve"> se realizan pruebas de simulación para cuantificar las posibles pérdidas por incumplimiento de pagos o cambio en la calificación de riesgo de un emisor.</w:t>
      </w:r>
    </w:p>
    <w:p w14:paraId="2BAC5881" w14:textId="103E0AD3" w:rsidR="0018420A" w:rsidRPr="004664E1" w:rsidRDefault="0018420A" w:rsidP="00B66EB7">
      <w:pPr>
        <w:pStyle w:val="Prrafodelista"/>
        <w:numPr>
          <w:ilvl w:val="0"/>
          <w:numId w:val="24"/>
        </w:numPr>
        <w:spacing w:after="120" w:line="240" w:lineRule="auto"/>
        <w:ind w:left="714" w:hanging="357"/>
        <w:contextualSpacing w:val="0"/>
        <w:jc w:val="both"/>
        <w:rPr>
          <w:rFonts w:ascii="Times New Roman" w:eastAsia="Century Schoolbook" w:hAnsi="Times New Roman" w:cs="Times New Roman"/>
          <w:sz w:val="24"/>
          <w:szCs w:val="24"/>
          <w:lang w:val="es-ES_tradnl" w:eastAsia="es-ES"/>
        </w:rPr>
      </w:pPr>
      <w:r w:rsidRPr="004664E1">
        <w:rPr>
          <w:rFonts w:ascii="Times New Roman" w:eastAsia="Century Schoolbook" w:hAnsi="Times New Roman" w:cs="Times New Roman"/>
          <w:sz w:val="24"/>
          <w:szCs w:val="24"/>
          <w:lang w:val="es-ES_tradnl" w:eastAsia="es-ES"/>
        </w:rPr>
        <w:t xml:space="preserve">No existe un procedimiento para la elaboración de las valuaciones actuariales.  </w:t>
      </w:r>
      <w:r w:rsidR="00373763" w:rsidRPr="004664E1">
        <w:rPr>
          <w:rFonts w:ascii="Times New Roman" w:eastAsia="Century Schoolbook" w:hAnsi="Times New Roman" w:cs="Times New Roman"/>
          <w:sz w:val="24"/>
          <w:szCs w:val="24"/>
          <w:lang w:val="es-ES_tradnl" w:eastAsia="es-ES"/>
        </w:rPr>
        <w:t>Tampoco se observan</w:t>
      </w:r>
      <w:r w:rsidRPr="004664E1">
        <w:rPr>
          <w:rFonts w:ascii="Times New Roman" w:eastAsia="Century Schoolbook" w:hAnsi="Times New Roman" w:cs="Times New Roman"/>
          <w:sz w:val="24"/>
          <w:szCs w:val="24"/>
          <w:lang w:val="es-ES_tradnl" w:eastAsia="es-ES"/>
        </w:rPr>
        <w:t xml:space="preserve"> informes de seguimiento sobre la implementación de recomendaciones de la valuación actuarial y que estos sean conocidos y aprobados por la Junta Directiva de la </w:t>
      </w:r>
      <w:r w:rsidR="009D4585">
        <w:rPr>
          <w:rFonts w:ascii="Times New Roman" w:eastAsia="Century Schoolbook" w:hAnsi="Times New Roman" w:cs="Times New Roman"/>
          <w:sz w:val="24"/>
          <w:szCs w:val="24"/>
          <w:lang w:val="es-ES_tradnl" w:eastAsia="es-ES"/>
        </w:rPr>
        <w:t>CCS</w:t>
      </w:r>
      <w:r w:rsidR="005033CB">
        <w:rPr>
          <w:rFonts w:ascii="Times New Roman" w:eastAsia="Century Schoolbook" w:hAnsi="Times New Roman" w:cs="Times New Roman"/>
          <w:sz w:val="24"/>
          <w:szCs w:val="24"/>
          <w:lang w:val="es-ES_tradnl" w:eastAsia="es-ES"/>
        </w:rPr>
        <w:t>S</w:t>
      </w:r>
      <w:r w:rsidRPr="004664E1">
        <w:rPr>
          <w:rFonts w:ascii="Times New Roman" w:eastAsia="Century Schoolbook" w:hAnsi="Times New Roman" w:cs="Times New Roman"/>
          <w:sz w:val="24"/>
          <w:szCs w:val="24"/>
          <w:lang w:val="es-ES_tradnl" w:eastAsia="es-ES"/>
        </w:rPr>
        <w:t>.</w:t>
      </w:r>
    </w:p>
    <w:p w14:paraId="0DCC1B77" w14:textId="77777777" w:rsidR="0018420A" w:rsidRPr="004664E1" w:rsidRDefault="0018420A" w:rsidP="00B66EB7">
      <w:pPr>
        <w:pStyle w:val="Prrafodelista"/>
        <w:numPr>
          <w:ilvl w:val="0"/>
          <w:numId w:val="24"/>
        </w:numPr>
        <w:spacing w:after="120" w:line="240" w:lineRule="auto"/>
        <w:ind w:left="714" w:hanging="357"/>
        <w:contextualSpacing w:val="0"/>
        <w:jc w:val="both"/>
        <w:rPr>
          <w:rFonts w:ascii="Times New Roman" w:eastAsia="Century Schoolbook" w:hAnsi="Times New Roman" w:cs="Times New Roman"/>
          <w:sz w:val="24"/>
          <w:szCs w:val="24"/>
          <w:lang w:val="es-ES_tradnl" w:eastAsia="es-ES"/>
        </w:rPr>
      </w:pPr>
      <w:r w:rsidRPr="004664E1">
        <w:rPr>
          <w:rFonts w:ascii="Times New Roman" w:eastAsia="Century Schoolbook" w:hAnsi="Times New Roman" w:cs="Times New Roman"/>
          <w:sz w:val="24"/>
          <w:szCs w:val="24"/>
          <w:lang w:val="es-ES_tradnl" w:eastAsia="es-ES"/>
        </w:rPr>
        <w:t xml:space="preserve">No se realizan evaluaciones de los riesgos de solvencia, estratégico y de gobierno corporativo a los que está expuesto el RIVM, como parte de las sanas prácticas de mitigación de riesgos.  </w:t>
      </w:r>
    </w:p>
    <w:p w14:paraId="6A466C76" w14:textId="7BC7A206" w:rsidR="0018420A" w:rsidRPr="004664E1" w:rsidRDefault="007D08B6" w:rsidP="00B66EB7">
      <w:pPr>
        <w:pStyle w:val="Prrafodelista"/>
        <w:numPr>
          <w:ilvl w:val="0"/>
          <w:numId w:val="24"/>
        </w:numPr>
        <w:spacing w:after="120" w:line="240" w:lineRule="auto"/>
        <w:ind w:left="714" w:hanging="357"/>
        <w:contextualSpacing w:val="0"/>
        <w:jc w:val="both"/>
        <w:rPr>
          <w:rFonts w:ascii="Times New Roman" w:eastAsia="Century Schoolbook" w:hAnsi="Times New Roman" w:cs="Times New Roman"/>
          <w:sz w:val="24"/>
          <w:szCs w:val="24"/>
          <w:lang w:val="es-ES_tradnl" w:eastAsia="es-ES"/>
        </w:rPr>
      </w:pPr>
      <w:r>
        <w:rPr>
          <w:rFonts w:ascii="Times New Roman" w:eastAsia="Century Schoolbook" w:hAnsi="Times New Roman" w:cs="Times New Roman"/>
          <w:sz w:val="24"/>
          <w:szCs w:val="24"/>
          <w:lang w:val="es-ES_tradnl" w:eastAsia="es-ES"/>
        </w:rPr>
        <w:lastRenderedPageBreak/>
        <w:t>Existencia de</w:t>
      </w:r>
      <w:r w:rsidR="0018420A" w:rsidRPr="004664E1">
        <w:rPr>
          <w:rFonts w:ascii="Times New Roman" w:eastAsia="Century Schoolbook" w:hAnsi="Times New Roman" w:cs="Times New Roman"/>
          <w:sz w:val="24"/>
          <w:szCs w:val="24"/>
          <w:lang w:val="es-ES_tradnl" w:eastAsia="es-ES"/>
        </w:rPr>
        <w:t xml:space="preserve"> debilidades en el control interno que ponen en evidencia la exposición a riesgos operativos</w:t>
      </w:r>
      <w:r>
        <w:rPr>
          <w:rFonts w:ascii="Times New Roman" w:eastAsia="Century Schoolbook" w:hAnsi="Times New Roman" w:cs="Times New Roman"/>
          <w:sz w:val="24"/>
          <w:szCs w:val="24"/>
          <w:lang w:val="es-ES_tradnl" w:eastAsia="es-ES"/>
        </w:rPr>
        <w:t>,</w:t>
      </w:r>
      <w:r w:rsidR="0018420A" w:rsidRPr="004664E1">
        <w:rPr>
          <w:rFonts w:ascii="Times New Roman" w:eastAsia="Century Schoolbook" w:hAnsi="Times New Roman" w:cs="Times New Roman"/>
          <w:sz w:val="24"/>
          <w:szCs w:val="24"/>
          <w:lang w:val="es-ES_tradnl" w:eastAsia="es-ES"/>
        </w:rPr>
        <w:t xml:space="preserve"> dada la falta de instrumentos que normalicen la gestión del RIVM y que sirvan para implementar, monitorear y controlar los riesgos.</w:t>
      </w:r>
    </w:p>
    <w:p w14:paraId="60EDEED2" w14:textId="77777777" w:rsidR="0018420A" w:rsidRPr="00125F2A" w:rsidRDefault="0018420A" w:rsidP="00AF182D">
      <w:pPr>
        <w:spacing w:after="0" w:line="240" w:lineRule="auto"/>
        <w:jc w:val="both"/>
        <w:rPr>
          <w:rFonts w:ascii="Times New Roman" w:hAnsi="Times New Roman" w:cs="Times New Roman"/>
          <w:b/>
          <w:bCs/>
          <w:color w:val="FF0000"/>
          <w:sz w:val="24"/>
          <w:szCs w:val="24"/>
        </w:rPr>
      </w:pPr>
    </w:p>
    <w:p w14:paraId="5E475323" w14:textId="140DFD59" w:rsidR="008418AA" w:rsidRDefault="00D759B3" w:rsidP="00CA3063">
      <w:pPr>
        <w:spacing w:after="240"/>
        <w:jc w:val="both"/>
        <w:rPr>
          <w:rFonts w:ascii="Times New Roman" w:hAnsi="Times New Roman" w:cs="Times New Roman"/>
          <w:bCs/>
          <w:sz w:val="24"/>
          <w:szCs w:val="24"/>
        </w:rPr>
      </w:pPr>
      <w:r>
        <w:rPr>
          <w:rFonts w:ascii="Times New Roman" w:hAnsi="Times New Roman" w:cs="Times New Roman"/>
          <w:bCs/>
          <w:sz w:val="24"/>
          <w:szCs w:val="24"/>
        </w:rPr>
        <w:t xml:space="preserve">No obstante, en la respuesta recibida </w:t>
      </w:r>
      <w:r w:rsidR="0086668B">
        <w:rPr>
          <w:rFonts w:ascii="Times New Roman" w:hAnsi="Times New Roman" w:cs="Times New Roman"/>
          <w:bCs/>
          <w:sz w:val="24"/>
          <w:szCs w:val="24"/>
        </w:rPr>
        <w:t>al oficio tramitado (SP-1042-2016)</w:t>
      </w:r>
      <w:r w:rsidR="00392C72">
        <w:rPr>
          <w:rFonts w:ascii="Times New Roman" w:hAnsi="Times New Roman" w:cs="Times New Roman"/>
          <w:bCs/>
          <w:sz w:val="24"/>
          <w:szCs w:val="24"/>
        </w:rPr>
        <w:t>, aproximadamente dos meses después del plazo dispuesto (</w:t>
      </w:r>
      <w:r w:rsidR="00F73E95">
        <w:rPr>
          <w:rFonts w:ascii="Times New Roman" w:hAnsi="Times New Roman" w:cs="Times New Roman"/>
          <w:bCs/>
          <w:sz w:val="24"/>
          <w:szCs w:val="24"/>
        </w:rPr>
        <w:t xml:space="preserve">notas </w:t>
      </w:r>
      <w:r w:rsidR="003960DC" w:rsidRPr="003960DC">
        <w:rPr>
          <w:rFonts w:ascii="Times New Roman" w:hAnsi="Times New Roman" w:cs="Times New Roman"/>
          <w:bCs/>
          <w:sz w:val="24"/>
          <w:szCs w:val="24"/>
        </w:rPr>
        <w:t xml:space="preserve">GP-63052 </w:t>
      </w:r>
      <w:r w:rsidR="00392C72">
        <w:rPr>
          <w:rFonts w:ascii="Times New Roman" w:hAnsi="Times New Roman" w:cs="Times New Roman"/>
          <w:bCs/>
          <w:sz w:val="24"/>
          <w:szCs w:val="24"/>
        </w:rPr>
        <w:t xml:space="preserve">y </w:t>
      </w:r>
      <w:r w:rsidR="003960DC" w:rsidRPr="003960DC">
        <w:rPr>
          <w:rFonts w:ascii="Times New Roman" w:hAnsi="Times New Roman" w:cs="Times New Roman"/>
          <w:bCs/>
          <w:sz w:val="24"/>
          <w:szCs w:val="24"/>
        </w:rPr>
        <w:t>GP-63019-2016</w:t>
      </w:r>
      <w:r w:rsidR="002561F3">
        <w:rPr>
          <w:rFonts w:ascii="Times New Roman" w:hAnsi="Times New Roman" w:cs="Times New Roman"/>
          <w:bCs/>
          <w:sz w:val="24"/>
          <w:szCs w:val="24"/>
        </w:rPr>
        <w:t>), no</w:t>
      </w:r>
      <w:r w:rsidR="003960DC" w:rsidRPr="003960DC">
        <w:rPr>
          <w:rFonts w:ascii="Times New Roman" w:hAnsi="Times New Roman" w:cs="Times New Roman"/>
          <w:bCs/>
          <w:sz w:val="24"/>
          <w:szCs w:val="24"/>
        </w:rPr>
        <w:t xml:space="preserve"> </w:t>
      </w:r>
      <w:r w:rsidR="00392C72">
        <w:rPr>
          <w:rFonts w:ascii="Times New Roman" w:hAnsi="Times New Roman" w:cs="Times New Roman"/>
          <w:bCs/>
          <w:sz w:val="24"/>
          <w:szCs w:val="24"/>
        </w:rPr>
        <w:t>se</w:t>
      </w:r>
      <w:r w:rsidR="008418AA">
        <w:rPr>
          <w:rFonts w:ascii="Times New Roman" w:hAnsi="Times New Roman" w:cs="Times New Roman"/>
          <w:bCs/>
          <w:sz w:val="24"/>
          <w:szCs w:val="24"/>
        </w:rPr>
        <w:t xml:space="preserve"> atienden puntualmente las recomendaciones planteadas.</w:t>
      </w:r>
      <w:r w:rsidR="00392C72">
        <w:rPr>
          <w:rFonts w:ascii="Times New Roman" w:hAnsi="Times New Roman" w:cs="Times New Roman"/>
          <w:bCs/>
          <w:sz w:val="24"/>
          <w:szCs w:val="24"/>
        </w:rPr>
        <w:t xml:space="preserve"> </w:t>
      </w:r>
    </w:p>
    <w:p w14:paraId="44FA2233" w14:textId="489342AE" w:rsidR="00E3772D" w:rsidRDefault="00EE6707" w:rsidP="00D1022D">
      <w:pPr>
        <w:spacing w:after="240"/>
        <w:jc w:val="both"/>
        <w:rPr>
          <w:rFonts w:ascii="Times New Roman" w:hAnsi="Times New Roman" w:cs="Times New Roman"/>
          <w:bCs/>
          <w:sz w:val="24"/>
          <w:szCs w:val="24"/>
        </w:rPr>
      </w:pPr>
      <w:r w:rsidRPr="00F73E95">
        <w:rPr>
          <w:rFonts w:ascii="Times New Roman" w:hAnsi="Times New Roman" w:cs="Times New Roman"/>
          <w:bCs/>
          <w:sz w:val="24"/>
          <w:szCs w:val="24"/>
        </w:rPr>
        <w:t>Cabe resaltar que</w:t>
      </w:r>
      <w:r w:rsidR="008418AA" w:rsidRPr="00F73E95">
        <w:rPr>
          <w:rFonts w:ascii="Times New Roman" w:hAnsi="Times New Roman" w:cs="Times New Roman"/>
          <w:bCs/>
          <w:sz w:val="24"/>
          <w:szCs w:val="24"/>
        </w:rPr>
        <w:t xml:space="preserve"> la totalidad de</w:t>
      </w:r>
      <w:r w:rsidRPr="00F73E95">
        <w:rPr>
          <w:rFonts w:ascii="Times New Roman" w:hAnsi="Times New Roman" w:cs="Times New Roman"/>
          <w:bCs/>
          <w:sz w:val="24"/>
          <w:szCs w:val="24"/>
        </w:rPr>
        <w:t xml:space="preserve"> </w:t>
      </w:r>
      <w:r w:rsidR="00664A11" w:rsidRPr="00F73E95">
        <w:rPr>
          <w:rFonts w:ascii="Times New Roman" w:hAnsi="Times New Roman" w:cs="Times New Roman"/>
          <w:bCs/>
          <w:sz w:val="24"/>
          <w:szCs w:val="24"/>
        </w:rPr>
        <w:t xml:space="preserve">los hallazgos y </w:t>
      </w:r>
      <w:r w:rsidR="008418AA" w:rsidRPr="00F73E95">
        <w:rPr>
          <w:rFonts w:ascii="Times New Roman" w:hAnsi="Times New Roman" w:cs="Times New Roman"/>
          <w:bCs/>
          <w:sz w:val="24"/>
          <w:szCs w:val="24"/>
        </w:rPr>
        <w:t>recomendaciones fueron comentada</w:t>
      </w:r>
      <w:r w:rsidR="00664A11" w:rsidRPr="00F73E95">
        <w:rPr>
          <w:rFonts w:ascii="Times New Roman" w:hAnsi="Times New Roman" w:cs="Times New Roman"/>
          <w:bCs/>
          <w:sz w:val="24"/>
          <w:szCs w:val="24"/>
        </w:rPr>
        <w:t xml:space="preserve">s </w:t>
      </w:r>
      <w:r w:rsidR="00CA3063" w:rsidRPr="00F73E95">
        <w:rPr>
          <w:rFonts w:ascii="Times New Roman" w:hAnsi="Times New Roman" w:cs="Times New Roman"/>
          <w:bCs/>
          <w:sz w:val="24"/>
          <w:szCs w:val="24"/>
        </w:rPr>
        <w:t xml:space="preserve">al Lic. </w:t>
      </w:r>
      <w:r w:rsidR="00704F45" w:rsidRPr="00F73E95">
        <w:rPr>
          <w:rFonts w:ascii="Times New Roman" w:hAnsi="Times New Roman" w:cs="Times New Roman"/>
          <w:bCs/>
          <w:sz w:val="24"/>
          <w:szCs w:val="24"/>
        </w:rPr>
        <w:t>Jaime Barrantes E., Gerente de P</w:t>
      </w:r>
      <w:r w:rsidR="00CA3063" w:rsidRPr="00F73E95">
        <w:rPr>
          <w:rFonts w:ascii="Times New Roman" w:hAnsi="Times New Roman" w:cs="Times New Roman"/>
          <w:bCs/>
          <w:sz w:val="24"/>
          <w:szCs w:val="24"/>
        </w:rPr>
        <w:t xml:space="preserve">ensiones y algunos de sus colaboradores, </w:t>
      </w:r>
      <w:r w:rsidR="00664A11" w:rsidRPr="00F73E95">
        <w:rPr>
          <w:rFonts w:ascii="Times New Roman" w:hAnsi="Times New Roman" w:cs="Times New Roman"/>
          <w:bCs/>
          <w:sz w:val="24"/>
          <w:szCs w:val="24"/>
        </w:rPr>
        <w:t>en reunión efectuada el 24 de agosto de 2016</w:t>
      </w:r>
      <w:r w:rsidR="00D1022D" w:rsidRPr="00F73E95">
        <w:rPr>
          <w:rFonts w:ascii="Times New Roman" w:hAnsi="Times New Roman" w:cs="Times New Roman"/>
          <w:bCs/>
          <w:sz w:val="24"/>
          <w:szCs w:val="24"/>
        </w:rPr>
        <w:t>.</w:t>
      </w:r>
    </w:p>
    <w:p w14:paraId="76CC0BE7" w14:textId="7694C944" w:rsidR="00F40917" w:rsidRPr="00125F2A" w:rsidRDefault="008F082F" w:rsidP="00D1022D">
      <w:pPr>
        <w:spacing w:after="240"/>
        <w:jc w:val="both"/>
        <w:rPr>
          <w:rFonts w:ascii="Times New Roman" w:hAnsi="Times New Roman" w:cs="Times New Roman"/>
          <w:bCs/>
          <w:sz w:val="24"/>
          <w:szCs w:val="24"/>
        </w:rPr>
      </w:pPr>
      <w:r w:rsidRPr="00125F2A">
        <w:rPr>
          <w:rFonts w:ascii="Times New Roman" w:hAnsi="Times New Roman" w:cs="Times New Roman"/>
          <w:bCs/>
          <w:sz w:val="24"/>
          <w:szCs w:val="24"/>
        </w:rPr>
        <w:t xml:space="preserve"> </w:t>
      </w:r>
    </w:p>
    <w:p w14:paraId="094D597A" w14:textId="776A031A" w:rsidR="00772B41" w:rsidRPr="00125F2A" w:rsidRDefault="006D6658" w:rsidP="005E11F9">
      <w:pPr>
        <w:pStyle w:val="Ttulo1"/>
        <w:numPr>
          <w:ilvl w:val="0"/>
          <w:numId w:val="1"/>
        </w:numPr>
        <w:tabs>
          <w:tab w:val="num" w:pos="540"/>
        </w:tabs>
        <w:spacing w:before="120"/>
        <w:ind w:left="539" w:hanging="539"/>
      </w:pPr>
      <w:bookmarkStart w:id="21" w:name="_Toc496194193"/>
      <w:r w:rsidRPr="00125F2A">
        <w:t>SEGUIMIENTO</w:t>
      </w:r>
      <w:r w:rsidR="00CA0B08" w:rsidRPr="00125F2A">
        <w:t xml:space="preserve"> A LOS INFORMES A LA JUNTA DIRECTIVA Y AL COMITÉ DE VIGILANCIA</w:t>
      </w:r>
      <w:bookmarkEnd w:id="21"/>
    </w:p>
    <w:p w14:paraId="6602BCE8" w14:textId="77777777" w:rsidR="00A020D6" w:rsidRPr="00125F2A" w:rsidRDefault="00A020D6" w:rsidP="00E3772D">
      <w:pPr>
        <w:spacing w:after="0" w:line="240" w:lineRule="auto"/>
        <w:rPr>
          <w:rFonts w:ascii="Times New Roman" w:hAnsi="Times New Roman" w:cs="Times New Roman"/>
          <w:sz w:val="24"/>
          <w:szCs w:val="24"/>
          <w:lang w:eastAsia="es-ES"/>
        </w:rPr>
      </w:pPr>
    </w:p>
    <w:p w14:paraId="6977B2EC" w14:textId="5FE00AAA" w:rsidR="005115C0" w:rsidRPr="00E30901" w:rsidRDefault="005115C0" w:rsidP="005115C0">
      <w:pPr>
        <w:jc w:val="both"/>
        <w:rPr>
          <w:rFonts w:ascii="Times New Roman" w:hAnsi="Times New Roman" w:cs="Times New Roman"/>
          <w:bCs/>
          <w:sz w:val="24"/>
          <w:szCs w:val="24"/>
        </w:rPr>
      </w:pPr>
      <w:r w:rsidRPr="00E30901">
        <w:rPr>
          <w:rFonts w:ascii="Times New Roman" w:hAnsi="Times New Roman" w:cs="Times New Roman"/>
          <w:bCs/>
          <w:sz w:val="24"/>
          <w:szCs w:val="24"/>
        </w:rPr>
        <w:t>Como ha sido usual, en la remisión por parte de la SUPEN de este tipo de informe se hace</w:t>
      </w:r>
      <w:r w:rsidR="00CA167D" w:rsidRPr="00E30901">
        <w:rPr>
          <w:rFonts w:ascii="Times New Roman" w:hAnsi="Times New Roman" w:cs="Times New Roman"/>
          <w:bCs/>
          <w:sz w:val="24"/>
          <w:szCs w:val="24"/>
        </w:rPr>
        <w:t xml:space="preserve"> una excitativa a la Presidencia </w:t>
      </w:r>
      <w:r w:rsidRPr="00E30901">
        <w:rPr>
          <w:rFonts w:ascii="Times New Roman" w:hAnsi="Times New Roman" w:cs="Times New Roman"/>
          <w:bCs/>
          <w:sz w:val="24"/>
          <w:szCs w:val="24"/>
        </w:rPr>
        <w:t>Ejecutiva de la Caja Costarricense del Seguro Social y al Comité de Vigilancia para que remitan, si lo consideran conveniente, observaciones y comentarios de su contenido, en un plazo de un mes a partir del recibo del documento.</w:t>
      </w:r>
    </w:p>
    <w:p w14:paraId="4F4B56A2" w14:textId="726CF41A" w:rsidR="00744C56" w:rsidRPr="00744C56" w:rsidRDefault="00744C56" w:rsidP="007473E4">
      <w:pPr>
        <w:jc w:val="both"/>
        <w:rPr>
          <w:rFonts w:ascii="Times New Roman" w:hAnsi="Times New Roman" w:cs="Times New Roman"/>
          <w:bCs/>
          <w:sz w:val="24"/>
          <w:szCs w:val="24"/>
        </w:rPr>
      </w:pPr>
      <w:r w:rsidRPr="00744C56">
        <w:rPr>
          <w:rFonts w:ascii="Times New Roman" w:hAnsi="Times New Roman" w:cs="Times New Roman"/>
          <w:bCs/>
          <w:sz w:val="24"/>
          <w:szCs w:val="24"/>
        </w:rPr>
        <w:t xml:space="preserve">A la fecha de </w:t>
      </w:r>
      <w:r>
        <w:rPr>
          <w:rFonts w:ascii="Times New Roman" w:hAnsi="Times New Roman" w:cs="Times New Roman"/>
          <w:bCs/>
          <w:sz w:val="24"/>
          <w:szCs w:val="24"/>
        </w:rPr>
        <w:t>elaboración</w:t>
      </w:r>
      <w:r w:rsidRPr="00744C56">
        <w:rPr>
          <w:rFonts w:ascii="Times New Roman" w:hAnsi="Times New Roman" w:cs="Times New Roman"/>
          <w:bCs/>
          <w:sz w:val="24"/>
          <w:szCs w:val="24"/>
        </w:rPr>
        <w:t xml:space="preserve"> de este </w:t>
      </w:r>
      <w:r w:rsidR="003F540A">
        <w:rPr>
          <w:rFonts w:ascii="Times New Roman" w:hAnsi="Times New Roman" w:cs="Times New Roman"/>
          <w:bCs/>
          <w:sz w:val="24"/>
          <w:szCs w:val="24"/>
        </w:rPr>
        <w:t>documento</w:t>
      </w:r>
      <w:r w:rsidRPr="00744C56">
        <w:rPr>
          <w:rFonts w:ascii="Times New Roman" w:hAnsi="Times New Roman" w:cs="Times New Roman"/>
          <w:bCs/>
          <w:sz w:val="24"/>
          <w:szCs w:val="24"/>
        </w:rPr>
        <w:t xml:space="preserve"> no se ha recibido </w:t>
      </w:r>
      <w:r w:rsidR="00C70EF6">
        <w:rPr>
          <w:rFonts w:ascii="Times New Roman" w:hAnsi="Times New Roman" w:cs="Times New Roman"/>
          <w:bCs/>
          <w:sz w:val="24"/>
          <w:szCs w:val="24"/>
        </w:rPr>
        <w:t>ningún comentario formal</w:t>
      </w:r>
      <w:r w:rsidR="0062008B">
        <w:rPr>
          <w:rFonts w:ascii="Times New Roman" w:hAnsi="Times New Roman" w:cs="Times New Roman"/>
          <w:bCs/>
          <w:sz w:val="24"/>
          <w:szCs w:val="24"/>
        </w:rPr>
        <w:t xml:space="preserve"> de la Presidencia Ejecutiva o bien del Comité de Vigilancia</w:t>
      </w:r>
      <w:r w:rsidR="0062008B" w:rsidRPr="0062008B">
        <w:rPr>
          <w:rFonts w:ascii="Times New Roman" w:hAnsi="Times New Roman" w:cs="Times New Roman"/>
          <w:bCs/>
          <w:sz w:val="24"/>
          <w:szCs w:val="24"/>
        </w:rPr>
        <w:t xml:space="preserve"> </w:t>
      </w:r>
      <w:r w:rsidR="0062008B" w:rsidRPr="00744C56">
        <w:rPr>
          <w:rFonts w:ascii="Times New Roman" w:hAnsi="Times New Roman" w:cs="Times New Roman"/>
          <w:bCs/>
          <w:sz w:val="24"/>
          <w:szCs w:val="24"/>
        </w:rPr>
        <w:t>de la CCSS</w:t>
      </w:r>
      <w:r w:rsidR="00C70EF6">
        <w:rPr>
          <w:rFonts w:ascii="Times New Roman" w:hAnsi="Times New Roman" w:cs="Times New Roman"/>
          <w:bCs/>
          <w:sz w:val="24"/>
          <w:szCs w:val="24"/>
        </w:rPr>
        <w:t xml:space="preserve">, en relación con el </w:t>
      </w:r>
      <w:r w:rsidRPr="00744C56">
        <w:rPr>
          <w:rFonts w:ascii="Times New Roman" w:hAnsi="Times New Roman" w:cs="Times New Roman"/>
          <w:bCs/>
          <w:sz w:val="24"/>
          <w:szCs w:val="24"/>
        </w:rPr>
        <w:t xml:space="preserve">anterior informe para </w:t>
      </w:r>
      <w:r w:rsidR="0062008B">
        <w:rPr>
          <w:rFonts w:ascii="Times New Roman" w:hAnsi="Times New Roman" w:cs="Times New Roman"/>
          <w:bCs/>
          <w:sz w:val="24"/>
          <w:szCs w:val="24"/>
        </w:rPr>
        <w:t>ese comité</w:t>
      </w:r>
      <w:r w:rsidRPr="00744C56">
        <w:rPr>
          <w:rFonts w:ascii="Times New Roman" w:hAnsi="Times New Roman" w:cs="Times New Roman"/>
          <w:bCs/>
          <w:sz w:val="24"/>
          <w:szCs w:val="24"/>
        </w:rPr>
        <w:t xml:space="preserve">, </w:t>
      </w:r>
      <w:r>
        <w:rPr>
          <w:rFonts w:ascii="Times New Roman" w:hAnsi="Times New Roman" w:cs="Times New Roman"/>
          <w:bCs/>
          <w:sz w:val="24"/>
          <w:szCs w:val="24"/>
        </w:rPr>
        <w:t>que iba adjunto al</w:t>
      </w:r>
      <w:r w:rsidRPr="00744C56">
        <w:rPr>
          <w:rFonts w:ascii="Times New Roman" w:hAnsi="Times New Roman" w:cs="Times New Roman"/>
          <w:bCs/>
          <w:sz w:val="24"/>
          <w:szCs w:val="24"/>
        </w:rPr>
        <w:t xml:space="preserve"> SP-1092-2016 del 7 de octubre de 2016, </w:t>
      </w:r>
      <w:r>
        <w:rPr>
          <w:rFonts w:ascii="Times New Roman" w:hAnsi="Times New Roman" w:cs="Times New Roman"/>
          <w:bCs/>
          <w:sz w:val="24"/>
          <w:szCs w:val="24"/>
        </w:rPr>
        <w:t>identificado como</w:t>
      </w:r>
      <w:r w:rsidRPr="00744C56">
        <w:rPr>
          <w:rFonts w:ascii="Times New Roman" w:hAnsi="Times New Roman" w:cs="Times New Roman"/>
          <w:bCs/>
          <w:sz w:val="24"/>
          <w:szCs w:val="24"/>
        </w:rPr>
        <w:t xml:space="preserve"> </w:t>
      </w:r>
      <w:r w:rsidRPr="00744C56">
        <w:rPr>
          <w:rFonts w:ascii="Times New Roman" w:hAnsi="Times New Roman" w:cs="Times New Roman"/>
          <w:bCs/>
          <w:i/>
          <w:sz w:val="24"/>
          <w:szCs w:val="24"/>
        </w:rPr>
        <w:t>“Informe al Comité de Vigilancia del Régimen de Invalidez, Vejez y Muerte (CCSS), ICV-2015-01 correspondiente a la situación del RIVM al 31 de diciembre de 2015 y hechos subsecuentes al 31 de agosto de 20</w:t>
      </w:r>
      <w:r>
        <w:rPr>
          <w:rFonts w:ascii="Times New Roman" w:hAnsi="Times New Roman" w:cs="Times New Roman"/>
          <w:bCs/>
          <w:i/>
          <w:sz w:val="24"/>
          <w:szCs w:val="24"/>
        </w:rPr>
        <w:t xml:space="preserve">16”. </w:t>
      </w:r>
    </w:p>
    <w:p w14:paraId="474BCD81" w14:textId="67F35357" w:rsidR="00A31B58" w:rsidRDefault="00A31B58" w:rsidP="00A31B58">
      <w:pPr>
        <w:jc w:val="both"/>
        <w:rPr>
          <w:rFonts w:ascii="Times New Roman" w:hAnsi="Times New Roman" w:cs="Times New Roman"/>
          <w:bCs/>
          <w:sz w:val="24"/>
          <w:szCs w:val="24"/>
        </w:rPr>
      </w:pPr>
      <w:r>
        <w:rPr>
          <w:rFonts w:ascii="Times New Roman" w:hAnsi="Times New Roman" w:cs="Times New Roman"/>
          <w:bCs/>
          <w:sz w:val="24"/>
          <w:szCs w:val="24"/>
        </w:rPr>
        <w:t xml:space="preserve">Solo se ha </w:t>
      </w:r>
      <w:r w:rsidR="00132707">
        <w:rPr>
          <w:rFonts w:ascii="Times New Roman" w:hAnsi="Times New Roman" w:cs="Times New Roman"/>
          <w:bCs/>
          <w:sz w:val="24"/>
          <w:szCs w:val="24"/>
        </w:rPr>
        <w:t>remitido</w:t>
      </w:r>
      <w:r w:rsidRPr="006B6930">
        <w:rPr>
          <w:rFonts w:ascii="Times New Roman" w:hAnsi="Times New Roman" w:cs="Times New Roman"/>
          <w:bCs/>
          <w:sz w:val="24"/>
          <w:szCs w:val="24"/>
        </w:rPr>
        <w:t xml:space="preserve"> el oficio PE-638213-2016 del 18 de octubre de </w:t>
      </w:r>
      <w:r>
        <w:rPr>
          <w:rFonts w:ascii="Times New Roman" w:hAnsi="Times New Roman" w:cs="Times New Roman"/>
          <w:bCs/>
          <w:sz w:val="24"/>
          <w:szCs w:val="24"/>
        </w:rPr>
        <w:t>2016</w:t>
      </w:r>
      <w:r w:rsidRPr="006B6930">
        <w:rPr>
          <w:rFonts w:ascii="Times New Roman" w:hAnsi="Times New Roman" w:cs="Times New Roman"/>
          <w:bCs/>
          <w:sz w:val="24"/>
          <w:szCs w:val="24"/>
        </w:rPr>
        <w:t xml:space="preserve">, en el cual se instruye a la Gerencia de Pensiones, que realice un análisis de ese documento y que sea presentado en el seno </w:t>
      </w:r>
      <w:r>
        <w:rPr>
          <w:rFonts w:ascii="Times New Roman" w:hAnsi="Times New Roman" w:cs="Times New Roman"/>
          <w:bCs/>
          <w:sz w:val="24"/>
          <w:szCs w:val="24"/>
        </w:rPr>
        <w:t>de la Junta Dir</w:t>
      </w:r>
      <w:r w:rsidR="0086691E">
        <w:rPr>
          <w:rFonts w:ascii="Times New Roman" w:hAnsi="Times New Roman" w:cs="Times New Roman"/>
          <w:bCs/>
          <w:sz w:val="24"/>
          <w:szCs w:val="24"/>
        </w:rPr>
        <w:t>ectiva de la CCSS a la brevedad, lo que demuestra la falta de oportunidad en la toma de decisiones y la falta de alineamiento a las mejores prácticas de Gobierno Corporativo.</w:t>
      </w:r>
    </w:p>
    <w:p w14:paraId="25552E06" w14:textId="2E8DC1BC" w:rsidR="00EE20FB" w:rsidRPr="000721C7" w:rsidRDefault="00EE20FB" w:rsidP="00F262D8">
      <w:pPr>
        <w:jc w:val="both"/>
        <w:rPr>
          <w:rFonts w:ascii="Times New Roman" w:hAnsi="Times New Roman" w:cs="Times New Roman"/>
          <w:bCs/>
          <w:sz w:val="24"/>
          <w:szCs w:val="24"/>
        </w:rPr>
      </w:pPr>
      <w:r>
        <w:rPr>
          <w:rFonts w:ascii="Times New Roman" w:hAnsi="Times New Roman" w:cs="Times New Roman"/>
          <w:bCs/>
          <w:sz w:val="24"/>
          <w:szCs w:val="24"/>
        </w:rPr>
        <w:t>En relación con el informe del 2014</w:t>
      </w:r>
      <w:r w:rsidR="002815B0">
        <w:rPr>
          <w:rFonts w:ascii="Times New Roman" w:hAnsi="Times New Roman" w:cs="Times New Roman"/>
          <w:bCs/>
          <w:sz w:val="24"/>
          <w:szCs w:val="24"/>
        </w:rPr>
        <w:t xml:space="preserve"> remitido el </w:t>
      </w:r>
      <w:r w:rsidR="00E00DAE" w:rsidRPr="00E00DAE">
        <w:rPr>
          <w:rFonts w:ascii="Times New Roman" w:hAnsi="Times New Roman" w:cs="Times New Roman"/>
          <w:bCs/>
          <w:sz w:val="24"/>
          <w:szCs w:val="24"/>
        </w:rPr>
        <w:t>22 de octubre de 2015</w:t>
      </w:r>
      <w:r>
        <w:rPr>
          <w:rFonts w:ascii="Times New Roman" w:hAnsi="Times New Roman" w:cs="Times New Roman"/>
          <w:bCs/>
          <w:sz w:val="24"/>
          <w:szCs w:val="24"/>
        </w:rPr>
        <w:t xml:space="preserve">, </w:t>
      </w:r>
      <w:r w:rsidR="00A31B58">
        <w:rPr>
          <w:rFonts w:ascii="Times New Roman" w:hAnsi="Times New Roman" w:cs="Times New Roman"/>
          <w:bCs/>
          <w:sz w:val="24"/>
          <w:szCs w:val="24"/>
        </w:rPr>
        <w:t>únicamente</w:t>
      </w:r>
      <w:r>
        <w:rPr>
          <w:rFonts w:ascii="Times New Roman" w:hAnsi="Times New Roman" w:cs="Times New Roman"/>
          <w:bCs/>
          <w:sz w:val="24"/>
          <w:szCs w:val="24"/>
        </w:rPr>
        <w:t xml:space="preserve"> se </w:t>
      </w:r>
      <w:r w:rsidR="003F540A">
        <w:rPr>
          <w:rFonts w:ascii="Times New Roman" w:hAnsi="Times New Roman" w:cs="Times New Roman"/>
          <w:bCs/>
          <w:sz w:val="24"/>
          <w:szCs w:val="24"/>
        </w:rPr>
        <w:t>presentó</w:t>
      </w:r>
      <w:r w:rsidR="00E00DAE">
        <w:rPr>
          <w:rFonts w:ascii="Times New Roman" w:hAnsi="Times New Roman" w:cs="Times New Roman"/>
          <w:bCs/>
          <w:sz w:val="24"/>
          <w:szCs w:val="24"/>
        </w:rPr>
        <w:t xml:space="preserve"> el 2 de noviembre 2016, más de un año </w:t>
      </w:r>
      <w:r w:rsidR="003F540A">
        <w:rPr>
          <w:rFonts w:ascii="Times New Roman" w:hAnsi="Times New Roman" w:cs="Times New Roman"/>
          <w:bCs/>
          <w:sz w:val="24"/>
          <w:szCs w:val="24"/>
        </w:rPr>
        <w:t>de</w:t>
      </w:r>
      <w:r w:rsidR="00BD6507">
        <w:rPr>
          <w:rFonts w:ascii="Times New Roman" w:hAnsi="Times New Roman" w:cs="Times New Roman"/>
          <w:bCs/>
          <w:sz w:val="24"/>
          <w:szCs w:val="24"/>
        </w:rPr>
        <w:t>spués de</w:t>
      </w:r>
      <w:r w:rsidR="003F540A">
        <w:rPr>
          <w:rFonts w:ascii="Times New Roman" w:hAnsi="Times New Roman" w:cs="Times New Roman"/>
          <w:bCs/>
          <w:sz w:val="24"/>
          <w:szCs w:val="24"/>
        </w:rPr>
        <w:t xml:space="preserve"> emitido</w:t>
      </w:r>
      <w:r w:rsidR="00E00DAE">
        <w:rPr>
          <w:rFonts w:ascii="Times New Roman" w:hAnsi="Times New Roman" w:cs="Times New Roman"/>
          <w:bCs/>
          <w:sz w:val="24"/>
          <w:szCs w:val="24"/>
        </w:rPr>
        <w:t>,</w:t>
      </w:r>
      <w:r>
        <w:rPr>
          <w:rFonts w:ascii="Times New Roman" w:hAnsi="Times New Roman" w:cs="Times New Roman"/>
          <w:bCs/>
          <w:sz w:val="24"/>
          <w:szCs w:val="24"/>
        </w:rPr>
        <w:t xml:space="preserve"> </w:t>
      </w:r>
      <w:r w:rsidR="00A77C28">
        <w:rPr>
          <w:rFonts w:ascii="Times New Roman" w:hAnsi="Times New Roman" w:cs="Times New Roman"/>
          <w:bCs/>
          <w:sz w:val="24"/>
          <w:szCs w:val="24"/>
        </w:rPr>
        <w:t>por parte de la secretaria de la Junta Directiva de la CCSS,</w:t>
      </w:r>
      <w:r w:rsidR="002815B0">
        <w:rPr>
          <w:rFonts w:ascii="Times New Roman" w:hAnsi="Times New Roman" w:cs="Times New Roman"/>
          <w:bCs/>
          <w:sz w:val="24"/>
          <w:szCs w:val="24"/>
        </w:rPr>
        <w:t xml:space="preserve"> en cumplimiento del artículo 3 de la sesión 8870 del 24 de octubre de 2016, un</w:t>
      </w:r>
      <w:r w:rsidR="00A77C28">
        <w:rPr>
          <w:rFonts w:ascii="Times New Roman" w:hAnsi="Times New Roman" w:cs="Times New Roman"/>
          <w:bCs/>
          <w:sz w:val="24"/>
          <w:szCs w:val="24"/>
        </w:rPr>
        <w:t xml:space="preserve"> anexo </w:t>
      </w:r>
      <w:r w:rsidR="003F540A">
        <w:rPr>
          <w:rFonts w:ascii="Times New Roman" w:hAnsi="Times New Roman" w:cs="Times New Roman"/>
          <w:bCs/>
          <w:sz w:val="24"/>
          <w:szCs w:val="24"/>
        </w:rPr>
        <w:t>elaborado</w:t>
      </w:r>
      <w:r w:rsidR="00A77C28">
        <w:rPr>
          <w:rFonts w:ascii="Times New Roman" w:hAnsi="Times New Roman" w:cs="Times New Roman"/>
          <w:bCs/>
          <w:sz w:val="24"/>
          <w:szCs w:val="24"/>
        </w:rPr>
        <w:t xml:space="preserve"> por la Gerencia de Pensiones, en el cual se consignan comentarios en relación con las trece recomendaciones que se expusieron en </w:t>
      </w:r>
      <w:r w:rsidR="0099249C">
        <w:rPr>
          <w:rFonts w:ascii="Times New Roman" w:hAnsi="Times New Roman" w:cs="Times New Roman"/>
          <w:bCs/>
          <w:sz w:val="24"/>
          <w:szCs w:val="24"/>
        </w:rPr>
        <w:t>esa ocasión</w:t>
      </w:r>
      <w:r w:rsidR="00A77C28">
        <w:rPr>
          <w:rFonts w:ascii="Times New Roman" w:hAnsi="Times New Roman" w:cs="Times New Roman"/>
          <w:bCs/>
          <w:sz w:val="24"/>
          <w:szCs w:val="24"/>
        </w:rPr>
        <w:t xml:space="preserve">. </w:t>
      </w:r>
      <w:r w:rsidR="0099249C">
        <w:rPr>
          <w:rFonts w:ascii="Times New Roman" w:hAnsi="Times New Roman" w:cs="Times New Roman"/>
          <w:bCs/>
          <w:sz w:val="24"/>
          <w:szCs w:val="24"/>
        </w:rPr>
        <w:t>Al respecto</w:t>
      </w:r>
      <w:r w:rsidR="000D2BAB" w:rsidRPr="000D2BAB">
        <w:rPr>
          <w:rFonts w:ascii="Times New Roman" w:hAnsi="Times New Roman" w:cs="Times New Roman"/>
          <w:bCs/>
          <w:sz w:val="24"/>
          <w:szCs w:val="24"/>
        </w:rPr>
        <w:t>, según consideración de la Gerencia de Pensiones, ocho recomendaciones queda</w:t>
      </w:r>
      <w:r w:rsidR="000D2BAB">
        <w:rPr>
          <w:rFonts w:ascii="Times New Roman" w:hAnsi="Times New Roman" w:cs="Times New Roman"/>
          <w:bCs/>
          <w:sz w:val="24"/>
          <w:szCs w:val="24"/>
        </w:rPr>
        <w:t>ro</w:t>
      </w:r>
      <w:r w:rsidR="000D2BAB" w:rsidRPr="000D2BAB">
        <w:rPr>
          <w:rFonts w:ascii="Times New Roman" w:hAnsi="Times New Roman" w:cs="Times New Roman"/>
          <w:bCs/>
          <w:sz w:val="24"/>
          <w:szCs w:val="24"/>
        </w:rPr>
        <w:t xml:space="preserve">n en proceso, tres </w:t>
      </w:r>
      <w:r w:rsidR="000D2BAB">
        <w:rPr>
          <w:rFonts w:ascii="Times New Roman" w:hAnsi="Times New Roman" w:cs="Times New Roman"/>
          <w:bCs/>
          <w:sz w:val="24"/>
          <w:szCs w:val="24"/>
        </w:rPr>
        <w:t>las estiman</w:t>
      </w:r>
      <w:r w:rsidR="000D2BAB" w:rsidRPr="000D2BAB">
        <w:rPr>
          <w:rFonts w:ascii="Times New Roman" w:hAnsi="Times New Roman" w:cs="Times New Roman"/>
          <w:bCs/>
          <w:sz w:val="24"/>
          <w:szCs w:val="24"/>
        </w:rPr>
        <w:t xml:space="preserve"> atendidas y un par de casos no indican en qué proceso de atención queda</w:t>
      </w:r>
      <w:r w:rsidR="000D2BAB">
        <w:rPr>
          <w:rFonts w:ascii="Times New Roman" w:hAnsi="Times New Roman" w:cs="Times New Roman"/>
          <w:bCs/>
          <w:sz w:val="24"/>
          <w:szCs w:val="24"/>
        </w:rPr>
        <w:t>ro</w:t>
      </w:r>
      <w:r w:rsidR="000D2BAB" w:rsidRPr="000D2BAB">
        <w:rPr>
          <w:rFonts w:ascii="Times New Roman" w:hAnsi="Times New Roman" w:cs="Times New Roman"/>
          <w:bCs/>
          <w:sz w:val="24"/>
          <w:szCs w:val="24"/>
        </w:rPr>
        <w:t>n.</w:t>
      </w:r>
      <w:r w:rsidR="0099249C" w:rsidRPr="0099249C">
        <w:rPr>
          <w:rFonts w:ascii="Times New Roman" w:hAnsi="Times New Roman" w:cs="Times New Roman"/>
          <w:bCs/>
          <w:sz w:val="24"/>
          <w:szCs w:val="24"/>
        </w:rPr>
        <w:t xml:space="preserve"> </w:t>
      </w:r>
    </w:p>
    <w:p w14:paraId="6BA579A8" w14:textId="1DEF2196" w:rsidR="00C2182B" w:rsidRPr="00F74429" w:rsidRDefault="004A3DB6" w:rsidP="00D1022D">
      <w:pPr>
        <w:spacing w:after="240"/>
        <w:jc w:val="both"/>
        <w:rPr>
          <w:rFonts w:ascii="Times New Roman" w:hAnsi="Times New Roman" w:cs="Times New Roman"/>
          <w:bCs/>
          <w:sz w:val="24"/>
          <w:szCs w:val="24"/>
        </w:rPr>
      </w:pPr>
      <w:r w:rsidRPr="00F74429">
        <w:rPr>
          <w:rFonts w:ascii="Times New Roman" w:hAnsi="Times New Roman" w:cs="Times New Roman"/>
          <w:bCs/>
          <w:sz w:val="24"/>
          <w:szCs w:val="24"/>
        </w:rPr>
        <w:t xml:space="preserve">Por considerarlo de relevancia, a </w:t>
      </w:r>
      <w:r w:rsidR="00B44E60" w:rsidRPr="00F74429">
        <w:rPr>
          <w:rFonts w:ascii="Times New Roman" w:hAnsi="Times New Roman" w:cs="Times New Roman"/>
          <w:bCs/>
          <w:sz w:val="24"/>
          <w:szCs w:val="24"/>
        </w:rPr>
        <w:t>continuación,</w:t>
      </w:r>
      <w:r w:rsidRPr="00F74429">
        <w:rPr>
          <w:rFonts w:ascii="Times New Roman" w:hAnsi="Times New Roman" w:cs="Times New Roman"/>
          <w:bCs/>
          <w:sz w:val="24"/>
          <w:szCs w:val="24"/>
        </w:rPr>
        <w:t xml:space="preserve"> se </w:t>
      </w:r>
      <w:r w:rsidR="00785E6B" w:rsidRPr="00F74429">
        <w:rPr>
          <w:rFonts w:ascii="Times New Roman" w:hAnsi="Times New Roman" w:cs="Times New Roman"/>
          <w:bCs/>
          <w:sz w:val="24"/>
          <w:szCs w:val="24"/>
        </w:rPr>
        <w:t>transcriben recomendaciones descritas</w:t>
      </w:r>
      <w:r w:rsidRPr="00F74429">
        <w:rPr>
          <w:rFonts w:ascii="Times New Roman" w:hAnsi="Times New Roman" w:cs="Times New Roman"/>
          <w:bCs/>
          <w:sz w:val="24"/>
          <w:szCs w:val="24"/>
        </w:rPr>
        <w:t xml:space="preserve"> en el </w:t>
      </w:r>
      <w:r w:rsidR="00C909B2" w:rsidRPr="00F74429">
        <w:rPr>
          <w:rFonts w:ascii="Times New Roman" w:hAnsi="Times New Roman" w:cs="Times New Roman"/>
          <w:bCs/>
          <w:sz w:val="24"/>
          <w:szCs w:val="24"/>
        </w:rPr>
        <w:t xml:space="preserve">informe </w:t>
      </w:r>
      <w:r w:rsidR="00D752C8" w:rsidRPr="00F74429">
        <w:rPr>
          <w:rFonts w:ascii="Times New Roman" w:hAnsi="Times New Roman" w:cs="Times New Roman"/>
          <w:bCs/>
          <w:sz w:val="24"/>
          <w:szCs w:val="24"/>
        </w:rPr>
        <w:t xml:space="preserve">en comentario </w:t>
      </w:r>
      <w:r w:rsidR="00575BFB">
        <w:rPr>
          <w:rFonts w:ascii="Times New Roman" w:hAnsi="Times New Roman" w:cs="Times New Roman"/>
          <w:bCs/>
          <w:sz w:val="24"/>
          <w:szCs w:val="24"/>
        </w:rPr>
        <w:t>ICV-2015</w:t>
      </w:r>
      <w:r w:rsidR="00D45CF2" w:rsidRPr="00F74429">
        <w:rPr>
          <w:rFonts w:ascii="Times New Roman" w:hAnsi="Times New Roman" w:cs="Times New Roman"/>
          <w:bCs/>
          <w:sz w:val="24"/>
          <w:szCs w:val="24"/>
        </w:rPr>
        <w:t>-01</w:t>
      </w:r>
      <w:r w:rsidR="00F95796" w:rsidRPr="00F74429">
        <w:rPr>
          <w:rFonts w:ascii="Times New Roman" w:hAnsi="Times New Roman" w:cs="Times New Roman"/>
          <w:bCs/>
          <w:sz w:val="24"/>
          <w:szCs w:val="24"/>
        </w:rPr>
        <w:t xml:space="preserve">, </w:t>
      </w:r>
      <w:r w:rsidR="00373763">
        <w:rPr>
          <w:rFonts w:ascii="Times New Roman" w:hAnsi="Times New Roman" w:cs="Times New Roman"/>
          <w:bCs/>
          <w:sz w:val="24"/>
          <w:szCs w:val="24"/>
        </w:rPr>
        <w:t>algunas de ellas</w:t>
      </w:r>
      <w:r w:rsidR="00F95796" w:rsidRPr="00F74429">
        <w:rPr>
          <w:rFonts w:ascii="Times New Roman" w:hAnsi="Times New Roman" w:cs="Times New Roman"/>
          <w:bCs/>
          <w:sz w:val="24"/>
          <w:szCs w:val="24"/>
        </w:rPr>
        <w:t xml:space="preserve"> reiterativas</w:t>
      </w:r>
      <w:r w:rsidR="00762EA9" w:rsidRPr="00F74429">
        <w:rPr>
          <w:rFonts w:ascii="Times New Roman" w:hAnsi="Times New Roman" w:cs="Times New Roman"/>
          <w:bCs/>
          <w:sz w:val="24"/>
          <w:szCs w:val="24"/>
        </w:rPr>
        <w:t>:</w:t>
      </w:r>
    </w:p>
    <w:p w14:paraId="20F91848" w14:textId="77777777"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lastRenderedPageBreak/>
        <w:t xml:space="preserve">Girar las instrucciones necesarias para que, en definitiva, se concluyan las </w:t>
      </w:r>
      <w:r w:rsidRPr="00AA1E92">
        <w:rPr>
          <w:rFonts w:ascii="Times New Roman" w:hAnsi="Times New Roman" w:cs="Times New Roman"/>
          <w:bCs/>
          <w:i/>
          <w:sz w:val="24"/>
          <w:szCs w:val="24"/>
        </w:rPr>
        <w:t>"Guías de Calificación de la Invalidez y la Discapacidad".</w:t>
      </w:r>
    </w:p>
    <w:p w14:paraId="0BCF39C3" w14:textId="13E584D2"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Dar seguimiento y apoyo a la Gerencia de Pensiones respecto a la atención de los diferentes requerimientos realizados por la SUPEN, con el objetivo de corregir deficiencias en diversos procesos operativos.</w:t>
      </w:r>
    </w:p>
    <w:p w14:paraId="7B135E61" w14:textId="2CB78FF4"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Implementar acciones correctivas con el propósito de mejorar el proceso de la recuperación de las cuentas en cobro judicial de trabajadores independientes, los convenios y arreglos de pago.</w:t>
      </w:r>
    </w:p>
    <w:p w14:paraId="1C2BE712" w14:textId="464EC55A"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Comunicar, en definitiva, la fecha en que se estará formalizando, en la contabilidad del RIVM, el registro de la valoración a precios de mercado del portafolio de inversiones, y la implementación de método de amortización de tasa de interés efectiva.</w:t>
      </w:r>
    </w:p>
    <w:p w14:paraId="1DEBC8AA" w14:textId="0BE52A31"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 xml:space="preserve">Continuar con el fortalecimiento de la gestión de riesgos ante la evidente necesidad que el RIVM mejore sus procesos de identificación, cuantificación y medición de los riesgos. Se reitera observar, como una sana práctica, las directrices establecidas en el Reglamento para calificar la situación financiera de los fondos administrados por los entes regulados.  </w:t>
      </w:r>
    </w:p>
    <w:p w14:paraId="6EA8EB17" w14:textId="4D3162CB"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Valorar la modificación del literal c) del artículo 9 del Reglamento para la Administración Integral de Riesgos Financieros de los Fondos Institucionales para que concuerde con la estructura organizacional vigente, así como revisar el tema de eventual conflicto de interés con la adscripción jerárquica del Área de Riesgos al Departamento Actuarial y de Planificación Económica, así como en relación con la conformación de los miembros del Comité de Riesgos.</w:t>
      </w:r>
    </w:p>
    <w:p w14:paraId="4DD6B051" w14:textId="30DDA9E7"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En línea con nuevas directrices incorporadas en la política de inversiones del RIVM para el 2016, continuar en la búsqueda de alternativas de inversión que permitan una mayor diversificación del portafolio de inversiones de este régimen.</w:t>
      </w:r>
    </w:p>
    <w:p w14:paraId="173EAF9C" w14:textId="0FEE0AF5"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Comunicar el resultado final de la investigación que se realiza, por la eventual responsabilidad administrativa de funcionarios de la CCSS; por la no entrega de las actas del Comité de Inversiones de las sesiones 120 a la 129-2010 y de la 130 a la 138-2011.</w:t>
      </w:r>
    </w:p>
    <w:p w14:paraId="6BC98061" w14:textId="38154589"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 xml:space="preserve">Considerar a la SUPEN como una institución auxiliar y aliada en el análisis y medición de la situación general del RIVM y aprovechar la información proveniente de este ente supervisor para vigilar la operación del régimen. </w:t>
      </w:r>
    </w:p>
    <w:p w14:paraId="6B055597" w14:textId="5426C362" w:rsidR="00575BFB"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Continuar con el análisis de los ingresos y egresos del RIVM, con el objetivo de buscar mecanismos para contención del gasto y generar mayores ingresos mediante el control de la evasión y aumento de la cobertura. Además, fortalecer las estrategias de control de la morosidad patronal y de los trabajadores independientes.</w:t>
      </w:r>
    </w:p>
    <w:p w14:paraId="0064593B" w14:textId="18F83CD0" w:rsidR="00A81AE0" w:rsidRPr="00AA1E92" w:rsidRDefault="00575BFB" w:rsidP="00575BFB">
      <w:pPr>
        <w:pStyle w:val="Prrafodelista"/>
        <w:numPr>
          <w:ilvl w:val="0"/>
          <w:numId w:val="21"/>
        </w:numPr>
        <w:spacing w:after="120"/>
        <w:jc w:val="both"/>
        <w:rPr>
          <w:rFonts w:ascii="Times New Roman" w:hAnsi="Times New Roman" w:cs="Times New Roman"/>
          <w:bCs/>
          <w:sz w:val="24"/>
          <w:szCs w:val="24"/>
        </w:rPr>
      </w:pPr>
      <w:r w:rsidRPr="00AA1E92">
        <w:rPr>
          <w:rFonts w:ascii="Times New Roman" w:hAnsi="Times New Roman" w:cs="Times New Roman"/>
          <w:bCs/>
          <w:sz w:val="24"/>
          <w:szCs w:val="24"/>
        </w:rPr>
        <w:t>Remitir el Informe de Gestión correspondiente al año 2015.</w:t>
      </w:r>
    </w:p>
    <w:p w14:paraId="27E9E760" w14:textId="77777777" w:rsidR="00D24BFA" w:rsidRPr="00AA1E92" w:rsidRDefault="00D24BFA" w:rsidP="00693385">
      <w:pPr>
        <w:jc w:val="both"/>
        <w:rPr>
          <w:rFonts w:ascii="Times New Roman" w:hAnsi="Times New Roman" w:cs="Times New Roman"/>
          <w:bCs/>
          <w:sz w:val="24"/>
          <w:szCs w:val="24"/>
        </w:rPr>
      </w:pPr>
    </w:p>
    <w:p w14:paraId="4B762865" w14:textId="502D2937" w:rsidR="00D24BFA" w:rsidRPr="002E01B7" w:rsidRDefault="00D24BFA" w:rsidP="002E01B7">
      <w:pPr>
        <w:pStyle w:val="Ttulo1"/>
        <w:numPr>
          <w:ilvl w:val="0"/>
          <w:numId w:val="1"/>
        </w:numPr>
        <w:tabs>
          <w:tab w:val="num" w:pos="540"/>
        </w:tabs>
        <w:spacing w:before="120"/>
        <w:ind w:left="539" w:hanging="539"/>
      </w:pPr>
      <w:bookmarkStart w:id="22" w:name="_Toc496194194"/>
      <w:r w:rsidRPr="002E01B7">
        <w:lastRenderedPageBreak/>
        <w:t>SEGUIMIENTO AL ARTÍCULO 78 DE LA LEY DE PROTECCIÓN AL TRABAJADOR (LPT)</w:t>
      </w:r>
      <w:bookmarkEnd w:id="22"/>
    </w:p>
    <w:p w14:paraId="54BC67F0" w14:textId="766505DE" w:rsidR="00027348" w:rsidRPr="000B4322" w:rsidRDefault="00D24BFA" w:rsidP="00272391">
      <w:pPr>
        <w:spacing w:before="240" w:after="120"/>
        <w:jc w:val="both"/>
        <w:rPr>
          <w:rFonts w:ascii="Times New Roman" w:hAnsi="Times New Roman" w:cs="Times New Roman"/>
          <w:sz w:val="24"/>
          <w:szCs w:val="24"/>
        </w:rPr>
      </w:pPr>
      <w:r w:rsidRPr="000B4322">
        <w:rPr>
          <w:rFonts w:ascii="Times New Roman" w:hAnsi="Times New Roman" w:cs="Times New Roman"/>
          <w:bCs/>
          <w:sz w:val="24"/>
          <w:szCs w:val="24"/>
        </w:rPr>
        <w:t xml:space="preserve">La Superintendencia </w:t>
      </w:r>
      <w:r w:rsidR="000B4322">
        <w:rPr>
          <w:rFonts w:ascii="Times New Roman" w:hAnsi="Times New Roman" w:cs="Times New Roman"/>
          <w:bCs/>
          <w:sz w:val="24"/>
          <w:szCs w:val="24"/>
        </w:rPr>
        <w:t xml:space="preserve">desde la promulgación del artículo 78 de la Ley de Protección al Trabajador </w:t>
      </w:r>
      <w:r w:rsidRPr="000B4322">
        <w:rPr>
          <w:rFonts w:ascii="Times New Roman" w:hAnsi="Times New Roman" w:cs="Times New Roman"/>
          <w:bCs/>
          <w:sz w:val="24"/>
          <w:szCs w:val="24"/>
        </w:rPr>
        <w:t xml:space="preserve">ha realizado esfuerzos para que se cumpla con lo </w:t>
      </w:r>
      <w:r w:rsidR="000B4322">
        <w:rPr>
          <w:rFonts w:ascii="Times New Roman" w:hAnsi="Times New Roman" w:cs="Times New Roman"/>
          <w:bCs/>
          <w:sz w:val="24"/>
          <w:szCs w:val="24"/>
        </w:rPr>
        <w:t xml:space="preserve">establecido en </w:t>
      </w:r>
      <w:r w:rsidRPr="000B4322">
        <w:rPr>
          <w:rFonts w:ascii="Times New Roman" w:hAnsi="Times New Roman" w:cs="Times New Roman"/>
          <w:bCs/>
          <w:sz w:val="24"/>
          <w:szCs w:val="24"/>
        </w:rPr>
        <w:t>dicha normativa y las acciones emprendidas h</w:t>
      </w:r>
      <w:r w:rsidR="000B4322">
        <w:rPr>
          <w:rFonts w:ascii="Times New Roman" w:hAnsi="Times New Roman" w:cs="Times New Roman"/>
          <w:bCs/>
          <w:sz w:val="24"/>
          <w:szCs w:val="24"/>
        </w:rPr>
        <w:t xml:space="preserve">an sido reiteradas y constantes. Desde </w:t>
      </w:r>
      <w:r w:rsidRPr="000B4322">
        <w:rPr>
          <w:rFonts w:ascii="Times New Roman" w:hAnsi="Times New Roman" w:cs="Times New Roman"/>
          <w:bCs/>
          <w:sz w:val="24"/>
          <w:szCs w:val="24"/>
        </w:rPr>
        <w:t xml:space="preserve">el año 2002 hasta la fecha, se ha </w:t>
      </w:r>
      <w:r w:rsidR="00CD67D1" w:rsidRPr="000B4322">
        <w:rPr>
          <w:rFonts w:ascii="Times New Roman" w:hAnsi="Times New Roman" w:cs="Times New Roman"/>
          <w:bCs/>
          <w:sz w:val="24"/>
          <w:szCs w:val="24"/>
        </w:rPr>
        <w:t>instado</w:t>
      </w:r>
      <w:r w:rsidRPr="000B4322">
        <w:rPr>
          <w:rFonts w:ascii="Times New Roman" w:hAnsi="Times New Roman" w:cs="Times New Roman"/>
          <w:bCs/>
          <w:sz w:val="24"/>
          <w:szCs w:val="24"/>
        </w:rPr>
        <w:t xml:space="preserve"> al RIVM para que se dé el cumplimiento del mandato legal establecido en la Ley 7983</w:t>
      </w:r>
      <w:r w:rsidR="00272391" w:rsidRPr="000B4322">
        <w:rPr>
          <w:rFonts w:ascii="Times New Roman" w:hAnsi="Times New Roman" w:cs="Times New Roman"/>
          <w:bCs/>
          <w:sz w:val="24"/>
          <w:szCs w:val="24"/>
        </w:rPr>
        <w:t xml:space="preserve">, ejemplo de dichas gestiones realizadas </w:t>
      </w:r>
      <w:r w:rsidR="00CD67D1" w:rsidRPr="000B4322">
        <w:rPr>
          <w:rFonts w:ascii="Times New Roman" w:hAnsi="Times New Roman" w:cs="Times New Roman"/>
          <w:bCs/>
          <w:sz w:val="24"/>
          <w:szCs w:val="24"/>
        </w:rPr>
        <w:t>son los oficios</w:t>
      </w:r>
      <w:r w:rsidR="00272391" w:rsidRPr="000B4322">
        <w:rPr>
          <w:rFonts w:ascii="Times New Roman" w:hAnsi="Times New Roman" w:cs="Times New Roman"/>
          <w:bCs/>
          <w:sz w:val="24"/>
          <w:szCs w:val="24"/>
        </w:rPr>
        <w:t xml:space="preserve"> </w:t>
      </w:r>
      <w:r w:rsidR="00272391" w:rsidRPr="000B4322">
        <w:rPr>
          <w:rFonts w:ascii="Times New Roman" w:hAnsi="Times New Roman" w:cs="Times New Roman"/>
          <w:sz w:val="24"/>
          <w:szCs w:val="24"/>
        </w:rPr>
        <w:t>SP-323-2002, SP-1385-2010, SP-2139-2010, SP-892-2013</w:t>
      </w:r>
      <w:r w:rsidR="00027348" w:rsidRPr="000B4322">
        <w:rPr>
          <w:rFonts w:ascii="Times New Roman" w:hAnsi="Times New Roman" w:cs="Times New Roman"/>
          <w:sz w:val="24"/>
          <w:szCs w:val="24"/>
        </w:rPr>
        <w:t>,</w:t>
      </w:r>
      <w:r w:rsidR="00272391" w:rsidRPr="000B4322">
        <w:rPr>
          <w:rFonts w:ascii="Times New Roman" w:hAnsi="Times New Roman" w:cs="Times New Roman"/>
          <w:sz w:val="24"/>
          <w:szCs w:val="24"/>
        </w:rPr>
        <w:t xml:space="preserve"> </w:t>
      </w:r>
      <w:r w:rsidR="00027348" w:rsidRPr="000B4322">
        <w:rPr>
          <w:rFonts w:ascii="Times New Roman" w:hAnsi="Times New Roman" w:cs="Times New Roman"/>
          <w:sz w:val="24"/>
          <w:szCs w:val="24"/>
        </w:rPr>
        <w:t>SP-334-2015, así como en los informes a la Junta Directiva y al Comité de Vigilancia, con el oficio SP-1965-2012.</w:t>
      </w:r>
    </w:p>
    <w:p w14:paraId="47355279" w14:textId="48A38032" w:rsidR="00027348" w:rsidRPr="00027348" w:rsidRDefault="000B4322" w:rsidP="00027348">
      <w:pPr>
        <w:pStyle w:val="Default"/>
        <w:jc w:val="both"/>
        <w:rPr>
          <w:rFonts w:ascii="Calibri" w:hAnsi="Calibri" w:cs="Calibri"/>
        </w:rPr>
      </w:pPr>
      <w:r>
        <w:rPr>
          <w:rFonts w:ascii="Times New Roman" w:hAnsi="Times New Roman" w:cs="Times New Roman"/>
        </w:rPr>
        <w:t xml:space="preserve">Al respecto </w:t>
      </w:r>
      <w:r w:rsidR="00027348">
        <w:rPr>
          <w:rFonts w:ascii="Times New Roman" w:hAnsi="Times New Roman" w:cs="Times New Roman"/>
        </w:rPr>
        <w:t>se</w:t>
      </w:r>
      <w:r w:rsidR="00CD67D1">
        <w:rPr>
          <w:rFonts w:ascii="Times New Roman" w:hAnsi="Times New Roman" w:cs="Times New Roman"/>
        </w:rPr>
        <w:t xml:space="preserve"> destaca lo señalado</w:t>
      </w:r>
      <w:r w:rsidR="00027348">
        <w:rPr>
          <w:rFonts w:ascii="Times New Roman" w:hAnsi="Times New Roman" w:cs="Times New Roman"/>
        </w:rPr>
        <w:t xml:space="preserve"> </w:t>
      </w:r>
      <w:r w:rsidR="00CD67D1">
        <w:rPr>
          <w:rFonts w:ascii="Times New Roman" w:hAnsi="Times New Roman" w:cs="Times New Roman"/>
        </w:rPr>
        <w:t>en el</w:t>
      </w:r>
      <w:r w:rsidR="00027348">
        <w:rPr>
          <w:rFonts w:ascii="Times New Roman" w:hAnsi="Times New Roman" w:cs="Times New Roman"/>
        </w:rPr>
        <w:t xml:space="preserve"> oficio ASF-147-2017 de la Auditoría Interna de la CCSS fechado 09-11-2016, </w:t>
      </w:r>
      <w:r>
        <w:rPr>
          <w:rFonts w:ascii="Times New Roman" w:hAnsi="Times New Roman" w:cs="Times New Roman"/>
        </w:rPr>
        <w:t xml:space="preserve">que también le ha dado seguimiento a esta situación: </w:t>
      </w:r>
    </w:p>
    <w:p w14:paraId="5F39878D" w14:textId="77777777" w:rsidR="00027348" w:rsidRDefault="00027348" w:rsidP="00027348">
      <w:pPr>
        <w:autoSpaceDE w:val="0"/>
        <w:autoSpaceDN w:val="0"/>
        <w:adjustRightInd w:val="0"/>
        <w:spacing w:after="0" w:line="240" w:lineRule="auto"/>
        <w:rPr>
          <w:rFonts w:ascii="Calibri" w:hAnsi="Calibri" w:cs="Calibri"/>
          <w:color w:val="000000"/>
          <w:sz w:val="24"/>
          <w:szCs w:val="24"/>
          <w:lang w:val="es-ES"/>
        </w:rPr>
      </w:pPr>
    </w:p>
    <w:p w14:paraId="3D121CFE" w14:textId="1F428B5B" w:rsidR="00027348" w:rsidRPr="000B4322" w:rsidRDefault="00027348" w:rsidP="00837F5D">
      <w:pPr>
        <w:pStyle w:val="Prrafodelista"/>
        <w:numPr>
          <w:ilvl w:val="0"/>
          <w:numId w:val="30"/>
        </w:numPr>
        <w:autoSpaceDE w:val="0"/>
        <w:autoSpaceDN w:val="0"/>
        <w:adjustRightInd w:val="0"/>
        <w:spacing w:after="0" w:line="240" w:lineRule="auto"/>
        <w:jc w:val="both"/>
        <w:rPr>
          <w:rFonts w:ascii="Times New Roman" w:hAnsi="Times New Roman" w:cs="Times New Roman"/>
          <w:bCs/>
          <w:sz w:val="24"/>
          <w:szCs w:val="24"/>
        </w:rPr>
      </w:pPr>
      <w:r w:rsidRPr="000B4322">
        <w:rPr>
          <w:rFonts w:ascii="Times New Roman" w:hAnsi="Times New Roman" w:cs="Times New Roman"/>
          <w:bCs/>
          <w:sz w:val="24"/>
          <w:szCs w:val="24"/>
        </w:rPr>
        <w:t>El artículo 78 de la Ley de Protección al Trabajador no establece de manera clara la distribución y uso de los recursos establecidos en el Decreto Ejecutivo 37127-MTSS; siendo así, que tanto a nivel de la Junta Directiva CCSS, como de la Administración Activa, han estado delibera</w:t>
      </w:r>
      <w:r w:rsidR="00CD67D1" w:rsidRPr="000B4322">
        <w:rPr>
          <w:rFonts w:ascii="Times New Roman" w:hAnsi="Times New Roman" w:cs="Times New Roman"/>
          <w:bCs/>
          <w:sz w:val="24"/>
          <w:szCs w:val="24"/>
        </w:rPr>
        <w:t>n</w:t>
      </w:r>
      <w:r w:rsidRPr="000B4322">
        <w:rPr>
          <w:rFonts w:ascii="Times New Roman" w:hAnsi="Times New Roman" w:cs="Times New Roman"/>
          <w:bCs/>
          <w:sz w:val="24"/>
          <w:szCs w:val="24"/>
        </w:rPr>
        <w:t>do diferentes posiciones relacionadas con la distribución de los dineros, y en la actualidad aún no se tiene definida la gestión y/u operatividad de los mismos</w:t>
      </w:r>
      <w:r w:rsidR="00837F5D" w:rsidRPr="000B4322">
        <w:rPr>
          <w:rFonts w:ascii="Times New Roman" w:hAnsi="Times New Roman" w:cs="Times New Roman"/>
          <w:bCs/>
          <w:sz w:val="24"/>
          <w:szCs w:val="24"/>
        </w:rPr>
        <w:t>.</w:t>
      </w:r>
    </w:p>
    <w:p w14:paraId="5EA76763" w14:textId="77777777" w:rsidR="00027348" w:rsidRPr="000B4322" w:rsidRDefault="00027348" w:rsidP="00837F5D">
      <w:pPr>
        <w:autoSpaceDE w:val="0"/>
        <w:autoSpaceDN w:val="0"/>
        <w:adjustRightInd w:val="0"/>
        <w:spacing w:after="0" w:line="240" w:lineRule="auto"/>
        <w:jc w:val="both"/>
        <w:rPr>
          <w:rFonts w:ascii="Times New Roman" w:hAnsi="Times New Roman" w:cs="Times New Roman"/>
          <w:bCs/>
          <w:sz w:val="24"/>
          <w:szCs w:val="24"/>
        </w:rPr>
      </w:pPr>
    </w:p>
    <w:p w14:paraId="3312925D" w14:textId="33ABFDB7" w:rsidR="00027348" w:rsidRPr="000B4322" w:rsidRDefault="00837F5D" w:rsidP="00837F5D">
      <w:pPr>
        <w:pStyle w:val="Prrafodelista"/>
        <w:numPr>
          <w:ilvl w:val="0"/>
          <w:numId w:val="30"/>
        </w:numPr>
        <w:autoSpaceDE w:val="0"/>
        <w:autoSpaceDN w:val="0"/>
        <w:adjustRightInd w:val="0"/>
        <w:spacing w:after="0" w:line="240" w:lineRule="auto"/>
        <w:jc w:val="both"/>
        <w:rPr>
          <w:rFonts w:ascii="Times New Roman" w:hAnsi="Times New Roman" w:cs="Times New Roman"/>
          <w:bCs/>
          <w:sz w:val="24"/>
          <w:szCs w:val="24"/>
        </w:rPr>
      </w:pPr>
      <w:r w:rsidRPr="000B4322">
        <w:rPr>
          <w:rFonts w:ascii="Times New Roman" w:hAnsi="Times New Roman" w:cs="Times New Roman"/>
          <w:bCs/>
          <w:sz w:val="24"/>
          <w:szCs w:val="24"/>
        </w:rPr>
        <w:t>Dado el vacío legal y normativo, los primeros recursos recibidos de las empresas públicas, aproximadamente ¢5.973 millones de colones ingresados en las arcas del Seguro de Pensiones en el 2014 y en el primer trimestre del 2015, estuvieron dentro del flujo de efectivo del régimen, en inversiones a la vista, administrados por la Tesorería General CCSS.</w:t>
      </w:r>
    </w:p>
    <w:p w14:paraId="67B8B000" w14:textId="77777777" w:rsidR="00837F5D" w:rsidRPr="000B4322" w:rsidRDefault="00837F5D" w:rsidP="00837F5D">
      <w:pPr>
        <w:autoSpaceDE w:val="0"/>
        <w:autoSpaceDN w:val="0"/>
        <w:adjustRightInd w:val="0"/>
        <w:spacing w:after="0" w:line="240" w:lineRule="auto"/>
        <w:jc w:val="both"/>
        <w:rPr>
          <w:rFonts w:ascii="Times New Roman" w:hAnsi="Times New Roman" w:cs="Times New Roman"/>
          <w:bCs/>
          <w:sz w:val="24"/>
          <w:szCs w:val="24"/>
        </w:rPr>
      </w:pPr>
    </w:p>
    <w:p w14:paraId="41FE5FA2" w14:textId="77777777" w:rsidR="00837F5D" w:rsidRPr="000B4322" w:rsidRDefault="00837F5D" w:rsidP="00DA1E35">
      <w:pPr>
        <w:pStyle w:val="Prrafodelista"/>
        <w:numPr>
          <w:ilvl w:val="0"/>
          <w:numId w:val="30"/>
        </w:numPr>
        <w:autoSpaceDE w:val="0"/>
        <w:autoSpaceDN w:val="0"/>
        <w:adjustRightInd w:val="0"/>
        <w:spacing w:after="0" w:line="240" w:lineRule="auto"/>
        <w:jc w:val="both"/>
        <w:rPr>
          <w:rFonts w:ascii="Times New Roman" w:hAnsi="Times New Roman" w:cs="Times New Roman"/>
          <w:bCs/>
          <w:sz w:val="24"/>
          <w:szCs w:val="24"/>
        </w:rPr>
      </w:pPr>
      <w:r w:rsidRPr="000B4322">
        <w:rPr>
          <w:rFonts w:ascii="Times New Roman" w:hAnsi="Times New Roman" w:cs="Times New Roman"/>
          <w:bCs/>
          <w:sz w:val="24"/>
          <w:szCs w:val="24"/>
        </w:rPr>
        <w:t xml:space="preserve">Otro aspecto de análisis por parte de la Administración Activa, es si la totalidad de los recursos ingresados de las empresas públicas, pueden ser utilizados y distribuidos, una vez, se tenga aprobado el escenario actuarial, eso por cuanto existen procesos contenciosos administrativos abiertos e interpuestos por el Banco Crédito Agrícola de Cartago, Banco de Costa Rica y Banco Nacional de Costa Rica, y en caso de salir a favor de esos demandantes, se estarían devolviendo a las partes interesadas, no solo el monto del principal, sino que también los intereses generados por la colocación de los mismos. </w:t>
      </w:r>
    </w:p>
    <w:p w14:paraId="787BEC41" w14:textId="77777777" w:rsidR="00837F5D" w:rsidRPr="00837F5D" w:rsidRDefault="00837F5D" w:rsidP="00837F5D">
      <w:pPr>
        <w:pStyle w:val="Prrafodelista"/>
        <w:rPr>
          <w:rFonts w:ascii="Times New Roman" w:hAnsi="Times New Roman" w:cs="Times New Roman"/>
          <w:bCs/>
          <w:sz w:val="24"/>
          <w:szCs w:val="24"/>
        </w:rPr>
      </w:pPr>
    </w:p>
    <w:p w14:paraId="6E370402" w14:textId="77777777" w:rsidR="00837F5D" w:rsidRDefault="00837F5D" w:rsidP="00DA1E35">
      <w:pPr>
        <w:pStyle w:val="Prrafodelista"/>
        <w:numPr>
          <w:ilvl w:val="0"/>
          <w:numId w:val="30"/>
        </w:numPr>
        <w:autoSpaceDE w:val="0"/>
        <w:autoSpaceDN w:val="0"/>
        <w:adjustRightInd w:val="0"/>
        <w:spacing w:after="0" w:line="240" w:lineRule="auto"/>
        <w:jc w:val="both"/>
        <w:rPr>
          <w:rFonts w:ascii="Times New Roman" w:hAnsi="Times New Roman" w:cs="Times New Roman"/>
          <w:bCs/>
          <w:sz w:val="24"/>
          <w:szCs w:val="24"/>
        </w:rPr>
      </w:pPr>
      <w:r w:rsidRPr="00837F5D">
        <w:rPr>
          <w:rFonts w:ascii="Times New Roman" w:hAnsi="Times New Roman" w:cs="Times New Roman"/>
          <w:bCs/>
          <w:sz w:val="24"/>
          <w:szCs w:val="24"/>
        </w:rPr>
        <w:t xml:space="preserve">Se ha evidenciado que las entidades, en algunos periodos no generan utilidades, sino más bien pérdidas financieras, por ende, no podría existir cobro alguno, tal situación de déficit recaería en el propio Estado Costarricense, según dicta el artículo 177 de la Constitución Política de Costa Rica. </w:t>
      </w:r>
    </w:p>
    <w:p w14:paraId="096813C0" w14:textId="77777777" w:rsidR="00837F5D" w:rsidRPr="00837F5D" w:rsidRDefault="00837F5D" w:rsidP="00837F5D">
      <w:pPr>
        <w:pStyle w:val="Prrafodelista"/>
        <w:rPr>
          <w:rFonts w:ascii="Times New Roman" w:hAnsi="Times New Roman" w:cs="Times New Roman"/>
          <w:bCs/>
          <w:sz w:val="24"/>
          <w:szCs w:val="24"/>
        </w:rPr>
      </w:pPr>
    </w:p>
    <w:p w14:paraId="29AD22F7" w14:textId="3EC183A5" w:rsidR="00027348" w:rsidRDefault="00837F5D" w:rsidP="00DA1E35">
      <w:pPr>
        <w:pStyle w:val="Prrafodelista"/>
        <w:numPr>
          <w:ilvl w:val="0"/>
          <w:numId w:val="30"/>
        </w:numPr>
        <w:autoSpaceDE w:val="0"/>
        <w:autoSpaceDN w:val="0"/>
        <w:adjustRightInd w:val="0"/>
        <w:spacing w:after="0" w:line="240" w:lineRule="auto"/>
        <w:jc w:val="both"/>
        <w:rPr>
          <w:rFonts w:ascii="Times New Roman" w:hAnsi="Times New Roman" w:cs="Times New Roman"/>
          <w:bCs/>
          <w:sz w:val="24"/>
          <w:szCs w:val="24"/>
        </w:rPr>
      </w:pPr>
      <w:r w:rsidRPr="00837F5D">
        <w:rPr>
          <w:rFonts w:ascii="Times New Roman" w:hAnsi="Times New Roman" w:cs="Times New Roman"/>
          <w:bCs/>
          <w:sz w:val="24"/>
          <w:szCs w:val="24"/>
        </w:rPr>
        <w:t>Los recursos que están ingresando o cobrándose a las empresas públicas son muy volátiles, inciertos y/o se ha determinado que</w:t>
      </w:r>
      <w:r w:rsidR="005115C0">
        <w:rPr>
          <w:rFonts w:ascii="Times New Roman" w:hAnsi="Times New Roman" w:cs="Times New Roman"/>
          <w:bCs/>
          <w:sz w:val="24"/>
          <w:szCs w:val="24"/>
        </w:rPr>
        <w:t>,</w:t>
      </w:r>
      <w:r w:rsidRPr="00837F5D">
        <w:rPr>
          <w:rFonts w:ascii="Times New Roman" w:hAnsi="Times New Roman" w:cs="Times New Roman"/>
          <w:bCs/>
          <w:sz w:val="24"/>
          <w:szCs w:val="24"/>
        </w:rPr>
        <w:t xml:space="preserve"> en caso de cerrar sus estados financieros con déficit, no se les puede realizar cobro alguno.</w:t>
      </w:r>
    </w:p>
    <w:p w14:paraId="61F3EF23" w14:textId="77777777" w:rsidR="00837F5D" w:rsidRPr="00837F5D" w:rsidRDefault="00837F5D" w:rsidP="00837F5D">
      <w:pPr>
        <w:pStyle w:val="Prrafodelista"/>
        <w:rPr>
          <w:rFonts w:ascii="Times New Roman" w:hAnsi="Times New Roman" w:cs="Times New Roman"/>
          <w:bCs/>
          <w:sz w:val="24"/>
          <w:szCs w:val="24"/>
        </w:rPr>
      </w:pPr>
    </w:p>
    <w:p w14:paraId="20CD6F09" w14:textId="77777777" w:rsidR="007B043F" w:rsidRPr="007B043F" w:rsidRDefault="00837F5D" w:rsidP="007B043F">
      <w:pPr>
        <w:pStyle w:val="Prrafodelista"/>
        <w:numPr>
          <w:ilvl w:val="0"/>
          <w:numId w:val="30"/>
        </w:numPr>
        <w:autoSpaceDE w:val="0"/>
        <w:autoSpaceDN w:val="0"/>
        <w:adjustRightInd w:val="0"/>
        <w:spacing w:after="0" w:line="240" w:lineRule="auto"/>
        <w:jc w:val="both"/>
        <w:rPr>
          <w:rFonts w:ascii="Times New Roman" w:hAnsi="Times New Roman" w:cs="Times New Roman"/>
          <w:bCs/>
          <w:sz w:val="24"/>
          <w:szCs w:val="24"/>
        </w:rPr>
      </w:pPr>
      <w:r w:rsidRPr="00837F5D">
        <w:rPr>
          <w:rFonts w:ascii="Times New Roman" w:hAnsi="Times New Roman" w:cs="Times New Roman"/>
          <w:bCs/>
          <w:sz w:val="24"/>
          <w:szCs w:val="24"/>
        </w:rPr>
        <w:t xml:space="preserve">Dentro de las debilidades de control interno, </w:t>
      </w:r>
      <w:r w:rsidRPr="007B043F">
        <w:rPr>
          <w:rFonts w:ascii="Times New Roman" w:hAnsi="Times New Roman" w:cs="Times New Roman"/>
          <w:bCs/>
          <w:sz w:val="24"/>
          <w:szCs w:val="24"/>
        </w:rPr>
        <w:t xml:space="preserve">se encuentra que la Dirección de Inversiones del IVM, unidad encargada de la colocación de los recursos financieros que ingresan al Seguro de Pensiones, no fue considerada desde un principio dentro </w:t>
      </w:r>
      <w:r w:rsidRPr="007B043F">
        <w:rPr>
          <w:rFonts w:ascii="Times New Roman" w:hAnsi="Times New Roman" w:cs="Times New Roman"/>
          <w:bCs/>
          <w:sz w:val="24"/>
          <w:szCs w:val="24"/>
        </w:rPr>
        <w:lastRenderedPageBreak/>
        <w:t>de las unidades responsables del proceso de gestión relacionado con la aplicación del artículo 78; la participación de esa unidad es a partir de marzo del 2015.</w:t>
      </w:r>
      <w:r w:rsidR="007B043F" w:rsidRPr="007B043F">
        <w:t xml:space="preserve"> </w:t>
      </w:r>
    </w:p>
    <w:p w14:paraId="46F6BE42" w14:textId="77777777" w:rsidR="007B043F" w:rsidRDefault="007B043F" w:rsidP="007B043F">
      <w:pPr>
        <w:pStyle w:val="Prrafodelista"/>
      </w:pPr>
    </w:p>
    <w:p w14:paraId="3C97F9CA" w14:textId="3F31E4F9" w:rsidR="00272391" w:rsidRPr="007B043F" w:rsidRDefault="007B043F" w:rsidP="007B043F">
      <w:pPr>
        <w:pStyle w:val="Prrafodelista"/>
        <w:numPr>
          <w:ilvl w:val="0"/>
          <w:numId w:val="30"/>
        </w:numPr>
        <w:autoSpaceDE w:val="0"/>
        <w:autoSpaceDN w:val="0"/>
        <w:adjustRightInd w:val="0"/>
        <w:spacing w:after="0" w:line="240" w:lineRule="auto"/>
        <w:jc w:val="both"/>
        <w:rPr>
          <w:rFonts w:ascii="Times New Roman" w:hAnsi="Times New Roman" w:cs="Times New Roman"/>
          <w:bCs/>
          <w:sz w:val="24"/>
          <w:szCs w:val="24"/>
        </w:rPr>
      </w:pPr>
      <w:r w:rsidRPr="007B043F">
        <w:rPr>
          <w:rFonts w:ascii="Times New Roman" w:hAnsi="Times New Roman" w:cs="Times New Roman"/>
          <w:bCs/>
          <w:sz w:val="24"/>
          <w:szCs w:val="24"/>
        </w:rPr>
        <w:t>La Dirección de Inversiones, debe elaborar una estrategia de liquidez, que le permit</w:t>
      </w:r>
      <w:r w:rsidR="00CD67D1">
        <w:rPr>
          <w:rFonts w:ascii="Times New Roman" w:hAnsi="Times New Roman" w:cs="Times New Roman"/>
          <w:bCs/>
          <w:sz w:val="24"/>
          <w:szCs w:val="24"/>
        </w:rPr>
        <w:t>a</w:t>
      </w:r>
      <w:r w:rsidRPr="007B043F">
        <w:rPr>
          <w:rFonts w:ascii="Times New Roman" w:hAnsi="Times New Roman" w:cs="Times New Roman"/>
          <w:bCs/>
          <w:sz w:val="24"/>
          <w:szCs w:val="24"/>
        </w:rPr>
        <w:t xml:space="preserve"> responder de manera oportuna, ante la eventualidad de tener el criterio actuarial relacionado con la distribución y uso de los recursos de las empresas públicas.</w:t>
      </w:r>
    </w:p>
    <w:p w14:paraId="0EF891B9" w14:textId="77777777" w:rsidR="00D24BFA" w:rsidRPr="007B043F" w:rsidRDefault="00D24BFA" w:rsidP="007B043F">
      <w:pPr>
        <w:autoSpaceDE w:val="0"/>
        <w:autoSpaceDN w:val="0"/>
        <w:adjustRightInd w:val="0"/>
        <w:spacing w:after="0" w:line="240" w:lineRule="auto"/>
        <w:jc w:val="both"/>
        <w:rPr>
          <w:rFonts w:ascii="Times New Roman" w:hAnsi="Times New Roman" w:cs="Times New Roman"/>
          <w:bCs/>
          <w:sz w:val="24"/>
          <w:szCs w:val="24"/>
        </w:rPr>
      </w:pPr>
    </w:p>
    <w:p w14:paraId="35967B20" w14:textId="5C272D51" w:rsidR="00C77A07" w:rsidRPr="009A6C83" w:rsidRDefault="00FC147B" w:rsidP="00FC290C">
      <w:pPr>
        <w:pStyle w:val="Ttulo1"/>
        <w:numPr>
          <w:ilvl w:val="0"/>
          <w:numId w:val="1"/>
        </w:numPr>
        <w:tabs>
          <w:tab w:val="num" w:pos="540"/>
        </w:tabs>
        <w:spacing w:before="120"/>
        <w:ind w:left="539" w:hanging="539"/>
      </w:pPr>
      <w:r>
        <w:t xml:space="preserve"> </w:t>
      </w:r>
      <w:bookmarkStart w:id="23" w:name="_Toc496194195"/>
      <w:r w:rsidR="00B61083" w:rsidRPr="009A6C83">
        <w:t>S</w:t>
      </w:r>
      <w:r w:rsidR="00C77A07" w:rsidRPr="009A6C83">
        <w:t>OSTENIBILIDAD</w:t>
      </w:r>
      <w:r w:rsidR="006B00BF" w:rsidRPr="009A6C83">
        <w:t xml:space="preserve"> FINANCIERA Y</w:t>
      </w:r>
      <w:r w:rsidR="00C77A07" w:rsidRPr="009A6C83">
        <w:t xml:space="preserve"> ACTUARIAL</w:t>
      </w:r>
      <w:bookmarkEnd w:id="23"/>
    </w:p>
    <w:p w14:paraId="6C41E83A" w14:textId="77777777" w:rsidR="004E74D8" w:rsidRDefault="004E74D8" w:rsidP="001818EE">
      <w:pPr>
        <w:autoSpaceDE w:val="0"/>
        <w:autoSpaceDN w:val="0"/>
        <w:adjustRightInd w:val="0"/>
        <w:spacing w:after="0" w:line="240" w:lineRule="auto"/>
        <w:jc w:val="both"/>
        <w:rPr>
          <w:rFonts w:ascii="Times New Roman" w:hAnsi="Times New Roman" w:cs="Times New Roman"/>
          <w:bCs/>
          <w:sz w:val="24"/>
          <w:szCs w:val="24"/>
        </w:rPr>
      </w:pPr>
    </w:p>
    <w:p w14:paraId="16C83C4D" w14:textId="68F81F11" w:rsidR="004E74D8" w:rsidRDefault="00DC5EB3" w:rsidP="0007211B">
      <w:pPr>
        <w:spacing w:before="240" w:after="120"/>
        <w:jc w:val="both"/>
        <w:rPr>
          <w:rFonts w:ascii="Times New Roman" w:hAnsi="Times New Roman" w:cs="Times New Roman"/>
          <w:bCs/>
          <w:sz w:val="24"/>
          <w:szCs w:val="24"/>
        </w:rPr>
      </w:pPr>
      <w:r>
        <w:rPr>
          <w:rFonts w:ascii="Times New Roman" w:hAnsi="Times New Roman" w:cs="Times New Roman"/>
          <w:bCs/>
          <w:sz w:val="24"/>
          <w:szCs w:val="24"/>
        </w:rPr>
        <w:t xml:space="preserve">De conformidad con los resultados obtenidos en la valuación actuarial de largo plazo del Régimen de Invalidez, Vejez y Muerte, </w:t>
      </w:r>
      <w:r w:rsidRPr="00DC5EB3">
        <w:rPr>
          <w:rFonts w:ascii="Times New Roman" w:hAnsi="Times New Roman" w:cs="Times New Roman"/>
          <w:bCs/>
          <w:sz w:val="24"/>
          <w:szCs w:val="24"/>
        </w:rPr>
        <w:t>con corte al 31 de diciembre de 2015, elaborada por la Universidad de Costa Rica (UCR)</w:t>
      </w:r>
      <w:r>
        <w:rPr>
          <w:rFonts w:ascii="Times New Roman" w:hAnsi="Times New Roman" w:cs="Times New Roman"/>
          <w:bCs/>
          <w:sz w:val="24"/>
          <w:szCs w:val="24"/>
        </w:rPr>
        <w:t xml:space="preserve">, </w:t>
      </w:r>
      <w:r w:rsidR="004E74D8" w:rsidRPr="004E74D8">
        <w:rPr>
          <w:rFonts w:ascii="Times New Roman" w:hAnsi="Times New Roman" w:cs="Times New Roman"/>
          <w:bCs/>
          <w:sz w:val="24"/>
          <w:szCs w:val="24"/>
        </w:rPr>
        <w:t>los técnicos de la UCR proponen cuatro escenarios de reforma que tienen como objetivo darle solvencia actuarial al Régimen</w:t>
      </w:r>
      <w:r w:rsidR="004E74D8">
        <w:rPr>
          <w:rFonts w:ascii="Times New Roman" w:hAnsi="Times New Roman" w:cs="Times New Roman"/>
          <w:bCs/>
          <w:sz w:val="24"/>
          <w:szCs w:val="24"/>
        </w:rPr>
        <w:t>.</w:t>
      </w:r>
    </w:p>
    <w:p w14:paraId="447EE2D8" w14:textId="0F4E2876" w:rsidR="00FF7BD6" w:rsidRDefault="00FF7BD6" w:rsidP="004E74D8">
      <w:pPr>
        <w:spacing w:before="240" w:after="120"/>
        <w:jc w:val="both"/>
        <w:rPr>
          <w:rFonts w:ascii="Times New Roman" w:hAnsi="Times New Roman" w:cs="Times New Roman"/>
          <w:bCs/>
          <w:sz w:val="24"/>
          <w:szCs w:val="24"/>
        </w:rPr>
      </w:pPr>
      <w:r w:rsidRPr="004E74D8">
        <w:rPr>
          <w:rFonts w:ascii="Times New Roman" w:hAnsi="Times New Roman" w:cs="Times New Roman"/>
          <w:bCs/>
          <w:sz w:val="24"/>
          <w:szCs w:val="24"/>
        </w:rPr>
        <w:t>El estudio en comentario, consigna recomendaciones para la Junta Directiva de la CCSS, entre otras que es urgente se tomen medidas para dotar al RIVM de equilibrio financiero y actuarial en el mediano y largo plazo y que se aproveche al máximo la cooperación técnica y recomendaciones de la SUPEN y el Comité de Vigilancia, en materia de gestión de riesgos del Régimen</w:t>
      </w:r>
      <w:r>
        <w:rPr>
          <w:rFonts w:ascii="Times New Roman" w:hAnsi="Times New Roman" w:cs="Times New Roman"/>
          <w:bCs/>
          <w:sz w:val="24"/>
          <w:szCs w:val="24"/>
        </w:rPr>
        <w:t>.</w:t>
      </w:r>
    </w:p>
    <w:p w14:paraId="5340D57C" w14:textId="4B1710A1" w:rsidR="004E74D8" w:rsidRDefault="004E74D8" w:rsidP="004E74D8">
      <w:pPr>
        <w:spacing w:before="240" w:after="120"/>
        <w:jc w:val="both"/>
        <w:rPr>
          <w:rFonts w:ascii="Times New Roman" w:hAnsi="Times New Roman" w:cs="Times New Roman"/>
          <w:bCs/>
          <w:sz w:val="24"/>
          <w:szCs w:val="24"/>
        </w:rPr>
      </w:pPr>
      <w:r>
        <w:rPr>
          <w:rFonts w:ascii="Times New Roman" w:hAnsi="Times New Roman" w:cs="Times New Roman"/>
          <w:bCs/>
          <w:sz w:val="24"/>
          <w:szCs w:val="24"/>
        </w:rPr>
        <w:t>Adicionalmente,</w:t>
      </w:r>
      <w:r w:rsidR="00FF7BD6">
        <w:rPr>
          <w:rFonts w:ascii="Times New Roman" w:hAnsi="Times New Roman" w:cs="Times New Roman"/>
          <w:bCs/>
          <w:sz w:val="24"/>
          <w:szCs w:val="24"/>
        </w:rPr>
        <w:t xml:space="preserve"> </w:t>
      </w:r>
      <w:r w:rsidRPr="004E74D8">
        <w:rPr>
          <w:rFonts w:ascii="Times New Roman" w:hAnsi="Times New Roman" w:cs="Times New Roman"/>
          <w:bCs/>
          <w:sz w:val="24"/>
          <w:szCs w:val="24"/>
        </w:rPr>
        <w:t>debe recordarse que los estudios actuariales desarrollados, han evidenciado que la estructura de beneficios y de inversión no permite mantener los beneficios actuales y futuros</w:t>
      </w:r>
      <w:r w:rsidR="006E5415">
        <w:rPr>
          <w:rFonts w:ascii="Times New Roman" w:hAnsi="Times New Roman" w:cs="Times New Roman"/>
          <w:bCs/>
          <w:sz w:val="24"/>
          <w:szCs w:val="24"/>
        </w:rPr>
        <w:t>;</w:t>
      </w:r>
      <w:r w:rsidR="00BE02FC">
        <w:rPr>
          <w:rFonts w:ascii="Times New Roman" w:hAnsi="Times New Roman" w:cs="Times New Roman"/>
          <w:bCs/>
          <w:sz w:val="24"/>
          <w:szCs w:val="24"/>
        </w:rPr>
        <w:t xml:space="preserve"> </w:t>
      </w:r>
      <w:r w:rsidRPr="004E74D8">
        <w:rPr>
          <w:rFonts w:ascii="Times New Roman" w:hAnsi="Times New Roman" w:cs="Times New Roman"/>
          <w:bCs/>
          <w:sz w:val="24"/>
          <w:szCs w:val="24"/>
        </w:rPr>
        <w:t>además</w:t>
      </w:r>
      <w:r w:rsidR="005115C0">
        <w:rPr>
          <w:rFonts w:ascii="Times New Roman" w:hAnsi="Times New Roman" w:cs="Times New Roman"/>
          <w:bCs/>
          <w:sz w:val="24"/>
          <w:szCs w:val="24"/>
        </w:rPr>
        <w:t>,</w:t>
      </w:r>
      <w:r w:rsidRPr="004E74D8">
        <w:rPr>
          <w:rFonts w:ascii="Times New Roman" w:hAnsi="Times New Roman" w:cs="Times New Roman"/>
          <w:bCs/>
          <w:sz w:val="24"/>
          <w:szCs w:val="24"/>
        </w:rPr>
        <w:t xml:space="preserve"> que no se tiene evidencia de que haya un proceso formal para la gestión del riesgo de solvencia. Durante los últimos 10 años la relación de ingresos y gastos corrientes ha sido superavitaria; sin embargo, la tasa de crecimiento se ha venido reduciendo en los últimos años.</w:t>
      </w:r>
    </w:p>
    <w:p w14:paraId="11CCCC89" w14:textId="2A38421A" w:rsidR="004E74D8" w:rsidRDefault="004E74D8" w:rsidP="004E74D8">
      <w:pPr>
        <w:spacing w:before="240" w:after="120"/>
        <w:jc w:val="both"/>
        <w:rPr>
          <w:rFonts w:ascii="Times New Roman" w:hAnsi="Times New Roman" w:cs="Times New Roman"/>
          <w:bCs/>
          <w:sz w:val="24"/>
          <w:szCs w:val="24"/>
        </w:rPr>
      </w:pPr>
      <w:r>
        <w:rPr>
          <w:rFonts w:ascii="Times New Roman" w:hAnsi="Times New Roman" w:cs="Times New Roman"/>
          <w:bCs/>
          <w:sz w:val="24"/>
          <w:szCs w:val="24"/>
        </w:rPr>
        <w:t>Del precitado estudio se destacan los siguientes indicadores críticos:</w:t>
      </w:r>
    </w:p>
    <w:p w14:paraId="5A3064FE" w14:textId="77777777" w:rsidR="004E74D8" w:rsidRDefault="004E74D8" w:rsidP="001818EE">
      <w:pPr>
        <w:autoSpaceDE w:val="0"/>
        <w:autoSpaceDN w:val="0"/>
        <w:adjustRightInd w:val="0"/>
        <w:spacing w:after="0" w:line="240" w:lineRule="auto"/>
        <w:jc w:val="both"/>
        <w:rPr>
          <w:rFonts w:ascii="Times New Roman" w:hAnsi="Times New Roman" w:cs="Times New Roman"/>
          <w:bCs/>
          <w:sz w:val="24"/>
          <w:szCs w:val="24"/>
        </w:rPr>
      </w:pPr>
    </w:p>
    <w:p w14:paraId="7911D642" w14:textId="3A24E883" w:rsidR="0064347F" w:rsidRPr="001818EE" w:rsidRDefault="0064347F" w:rsidP="001818EE">
      <w:pPr>
        <w:pStyle w:val="Prrafodelista"/>
        <w:numPr>
          <w:ilvl w:val="0"/>
          <w:numId w:val="28"/>
        </w:numPr>
        <w:autoSpaceDE w:val="0"/>
        <w:autoSpaceDN w:val="0"/>
        <w:adjustRightInd w:val="0"/>
        <w:spacing w:after="0" w:line="240" w:lineRule="auto"/>
        <w:jc w:val="both"/>
        <w:rPr>
          <w:rFonts w:ascii="Times New Roman" w:hAnsi="Times New Roman" w:cs="Times New Roman"/>
          <w:bCs/>
          <w:sz w:val="24"/>
          <w:szCs w:val="24"/>
        </w:rPr>
      </w:pPr>
      <w:r w:rsidRPr="001818EE">
        <w:rPr>
          <w:rFonts w:ascii="Times New Roman" w:hAnsi="Times New Roman" w:cs="Times New Roman"/>
          <w:bCs/>
          <w:sz w:val="24"/>
          <w:szCs w:val="24"/>
        </w:rPr>
        <w:t>Actualmente los costos superan las cuotas recaudadas.</w:t>
      </w:r>
    </w:p>
    <w:p w14:paraId="33FE21D1" w14:textId="77777777" w:rsidR="001818EE" w:rsidRDefault="001818EE" w:rsidP="001818EE">
      <w:pPr>
        <w:autoSpaceDE w:val="0"/>
        <w:autoSpaceDN w:val="0"/>
        <w:adjustRightInd w:val="0"/>
        <w:spacing w:after="0" w:line="240" w:lineRule="auto"/>
        <w:jc w:val="both"/>
        <w:rPr>
          <w:rFonts w:ascii="Times New Roman" w:hAnsi="Times New Roman" w:cs="Times New Roman"/>
          <w:bCs/>
          <w:sz w:val="24"/>
          <w:szCs w:val="24"/>
        </w:rPr>
      </w:pPr>
    </w:p>
    <w:p w14:paraId="4BBB7326" w14:textId="58C08692" w:rsidR="00DC5EB3" w:rsidRDefault="00BA1CBB" w:rsidP="001818EE">
      <w:pPr>
        <w:pStyle w:val="Prrafodelista"/>
        <w:numPr>
          <w:ilvl w:val="0"/>
          <w:numId w:val="28"/>
        </w:numPr>
        <w:autoSpaceDE w:val="0"/>
        <w:autoSpaceDN w:val="0"/>
        <w:adjustRightInd w:val="0"/>
        <w:spacing w:after="0" w:line="240" w:lineRule="auto"/>
        <w:jc w:val="both"/>
        <w:rPr>
          <w:rFonts w:ascii="Times New Roman" w:hAnsi="Times New Roman" w:cs="Times New Roman"/>
          <w:bCs/>
          <w:sz w:val="24"/>
          <w:szCs w:val="24"/>
        </w:rPr>
      </w:pPr>
      <w:r w:rsidRPr="001818EE">
        <w:rPr>
          <w:rFonts w:ascii="Times New Roman" w:hAnsi="Times New Roman" w:cs="Times New Roman"/>
          <w:bCs/>
          <w:sz w:val="24"/>
          <w:szCs w:val="24"/>
        </w:rPr>
        <w:t>Los excedentes han venido decreciendo desde el año 2008, tendencia que en el escenario base continuaría hasta que en el año 2024 los ingresos de operación no alcanzarían para hacer frente a los gastos.</w:t>
      </w:r>
    </w:p>
    <w:p w14:paraId="1A924E70" w14:textId="77777777" w:rsidR="004E74D8" w:rsidRPr="004E74D8" w:rsidRDefault="004E74D8" w:rsidP="004E74D8">
      <w:pPr>
        <w:pStyle w:val="Prrafodelista"/>
        <w:rPr>
          <w:rFonts w:ascii="Times New Roman" w:hAnsi="Times New Roman" w:cs="Times New Roman"/>
          <w:bCs/>
          <w:sz w:val="24"/>
          <w:szCs w:val="24"/>
        </w:rPr>
      </w:pPr>
    </w:p>
    <w:p w14:paraId="746A22B0" w14:textId="77777777" w:rsidR="004E74D8" w:rsidRDefault="00BA1CBB" w:rsidP="00027348">
      <w:pPr>
        <w:pStyle w:val="Prrafodelista"/>
        <w:numPr>
          <w:ilvl w:val="0"/>
          <w:numId w:val="28"/>
        </w:numPr>
        <w:spacing w:before="240" w:after="120" w:line="240" w:lineRule="auto"/>
        <w:jc w:val="both"/>
        <w:rPr>
          <w:rFonts w:ascii="Times New Roman" w:hAnsi="Times New Roman" w:cs="Times New Roman"/>
          <w:bCs/>
          <w:sz w:val="24"/>
          <w:szCs w:val="24"/>
        </w:rPr>
      </w:pPr>
      <w:r w:rsidRPr="004E74D8">
        <w:rPr>
          <w:rFonts w:ascii="Times New Roman" w:hAnsi="Times New Roman" w:cs="Times New Roman"/>
          <w:bCs/>
          <w:sz w:val="24"/>
          <w:szCs w:val="24"/>
        </w:rPr>
        <w:t>El cociente de reserva se viene reduciendo</w:t>
      </w:r>
      <w:r w:rsidR="00A539FB" w:rsidRPr="004E74D8">
        <w:rPr>
          <w:rFonts w:ascii="Times New Roman" w:hAnsi="Times New Roman" w:cs="Times New Roman"/>
          <w:bCs/>
          <w:sz w:val="24"/>
          <w:szCs w:val="24"/>
        </w:rPr>
        <w:t xml:space="preserve">, en año </w:t>
      </w:r>
      <w:r w:rsidRPr="004E74D8">
        <w:rPr>
          <w:rFonts w:ascii="Times New Roman" w:hAnsi="Times New Roman" w:cs="Times New Roman"/>
          <w:bCs/>
          <w:sz w:val="24"/>
          <w:szCs w:val="24"/>
        </w:rPr>
        <w:t>2005</w:t>
      </w:r>
      <w:r w:rsidR="00A539FB" w:rsidRPr="004E74D8">
        <w:rPr>
          <w:rFonts w:ascii="Times New Roman" w:hAnsi="Times New Roman" w:cs="Times New Roman"/>
          <w:bCs/>
          <w:sz w:val="24"/>
          <w:szCs w:val="24"/>
        </w:rPr>
        <w:t xml:space="preserve"> era de 3,6 veces los gastos del año y para el año 2030 se estará ubicando en 0.07.</w:t>
      </w:r>
    </w:p>
    <w:p w14:paraId="718A6356" w14:textId="77777777" w:rsidR="004E74D8" w:rsidRPr="004E74D8" w:rsidRDefault="004E74D8" w:rsidP="004E74D8">
      <w:pPr>
        <w:pStyle w:val="Prrafodelista"/>
        <w:rPr>
          <w:rFonts w:ascii="Times New Roman" w:hAnsi="Times New Roman" w:cs="Times New Roman"/>
          <w:bCs/>
          <w:sz w:val="24"/>
          <w:szCs w:val="24"/>
        </w:rPr>
      </w:pPr>
    </w:p>
    <w:p w14:paraId="0CBDCC7F" w14:textId="75B199A6" w:rsidR="001818EE" w:rsidRPr="004E74D8" w:rsidRDefault="002939B6" w:rsidP="00027348">
      <w:pPr>
        <w:pStyle w:val="Prrafodelista"/>
        <w:numPr>
          <w:ilvl w:val="0"/>
          <w:numId w:val="28"/>
        </w:numPr>
        <w:spacing w:before="240" w:after="120" w:line="240" w:lineRule="auto"/>
        <w:jc w:val="both"/>
        <w:rPr>
          <w:rFonts w:ascii="Times New Roman" w:hAnsi="Times New Roman" w:cs="Times New Roman"/>
          <w:bCs/>
          <w:sz w:val="24"/>
          <w:szCs w:val="24"/>
        </w:rPr>
      </w:pPr>
      <w:r w:rsidRPr="004E74D8">
        <w:rPr>
          <w:rFonts w:ascii="Times New Roman" w:hAnsi="Times New Roman" w:cs="Times New Roman"/>
          <w:bCs/>
          <w:sz w:val="24"/>
          <w:szCs w:val="24"/>
        </w:rPr>
        <w:t>Los costos sobre los salarios representan el indicador más importante para el Régimen de Invalidez, Vejez y Muerte; en el año 2000 tenía un valor de 6,69% y la prima vigente era 7,5%, por lo que quedó un saldo a favor del régimen de 0,81% sobre los salarios, el cual aumentó la reserva; sin embargo,</w:t>
      </w:r>
      <w:r w:rsidR="005115C0">
        <w:rPr>
          <w:rFonts w:ascii="Times New Roman" w:hAnsi="Times New Roman" w:cs="Times New Roman"/>
          <w:bCs/>
          <w:sz w:val="24"/>
          <w:szCs w:val="24"/>
        </w:rPr>
        <w:t xml:space="preserve"> en</w:t>
      </w:r>
      <w:r w:rsidRPr="004E74D8">
        <w:rPr>
          <w:rFonts w:ascii="Times New Roman" w:hAnsi="Times New Roman" w:cs="Times New Roman"/>
          <w:bCs/>
          <w:sz w:val="24"/>
          <w:szCs w:val="24"/>
        </w:rPr>
        <w:t xml:space="preserve"> el </w:t>
      </w:r>
      <w:r w:rsidR="00DD148D" w:rsidRPr="004E74D8">
        <w:rPr>
          <w:rFonts w:ascii="Times New Roman" w:hAnsi="Times New Roman" w:cs="Times New Roman"/>
          <w:bCs/>
          <w:sz w:val="24"/>
          <w:szCs w:val="24"/>
        </w:rPr>
        <w:t>año 2015</w:t>
      </w:r>
      <w:r w:rsidR="005115C0">
        <w:rPr>
          <w:rFonts w:ascii="Times New Roman" w:hAnsi="Times New Roman" w:cs="Times New Roman"/>
          <w:bCs/>
          <w:sz w:val="24"/>
          <w:szCs w:val="24"/>
        </w:rPr>
        <w:t>,</w:t>
      </w:r>
      <w:r w:rsidRPr="004E74D8">
        <w:rPr>
          <w:rFonts w:ascii="Times New Roman" w:hAnsi="Times New Roman" w:cs="Times New Roman"/>
          <w:bCs/>
          <w:sz w:val="24"/>
          <w:szCs w:val="24"/>
        </w:rPr>
        <w:t xml:space="preserve"> a pesar de que la prima aumentó a 8,5% sobre los salarios, el costo fue de 8,96%, o sea, hubo otro faltante de 0,46% sobre los salarios.</w:t>
      </w:r>
    </w:p>
    <w:p w14:paraId="005C1038" w14:textId="77777777" w:rsidR="001818EE" w:rsidRPr="001818EE" w:rsidRDefault="001818EE" w:rsidP="001818EE">
      <w:pPr>
        <w:pStyle w:val="Prrafodelista"/>
        <w:rPr>
          <w:rFonts w:ascii="Times New Roman" w:hAnsi="Times New Roman" w:cs="Times New Roman"/>
          <w:bCs/>
          <w:sz w:val="24"/>
          <w:szCs w:val="24"/>
          <w:highlight w:val="yellow"/>
        </w:rPr>
      </w:pPr>
    </w:p>
    <w:p w14:paraId="6101E572" w14:textId="085D71B8" w:rsidR="001818EE" w:rsidRPr="000B4322" w:rsidRDefault="001818EE" w:rsidP="00027348">
      <w:pPr>
        <w:pStyle w:val="Prrafodelista"/>
        <w:numPr>
          <w:ilvl w:val="0"/>
          <w:numId w:val="28"/>
        </w:numPr>
        <w:spacing w:before="240" w:after="120" w:line="240" w:lineRule="auto"/>
        <w:jc w:val="both"/>
        <w:rPr>
          <w:rFonts w:ascii="Times New Roman" w:hAnsi="Times New Roman" w:cs="Times New Roman"/>
          <w:bCs/>
          <w:sz w:val="24"/>
          <w:szCs w:val="24"/>
        </w:rPr>
      </w:pPr>
      <w:r w:rsidRPr="000B4322">
        <w:rPr>
          <w:rFonts w:ascii="Times New Roman" w:hAnsi="Times New Roman" w:cs="Times New Roman"/>
          <w:bCs/>
          <w:sz w:val="24"/>
          <w:szCs w:val="24"/>
        </w:rPr>
        <w:lastRenderedPageBreak/>
        <w:t xml:space="preserve">En el gráfico 79 del </w:t>
      </w:r>
      <w:r w:rsidR="000B4322" w:rsidRPr="000B4322">
        <w:rPr>
          <w:rFonts w:ascii="Times New Roman" w:hAnsi="Times New Roman" w:cs="Times New Roman"/>
          <w:bCs/>
          <w:sz w:val="24"/>
          <w:szCs w:val="24"/>
        </w:rPr>
        <w:t>Estudio Actuarial realizado por la Escuela de Matemática de la Universidad de Costa Rica</w:t>
      </w:r>
      <w:r w:rsidRPr="000B4322">
        <w:rPr>
          <w:rFonts w:ascii="Times New Roman" w:hAnsi="Times New Roman" w:cs="Times New Roman"/>
          <w:bCs/>
          <w:sz w:val="24"/>
          <w:szCs w:val="24"/>
        </w:rPr>
        <w:t>, se muestran las primas de reparto estimadas para cada año, donde se puede observar que prácticamente</w:t>
      </w:r>
      <w:r w:rsidR="005115C0" w:rsidRPr="000B4322">
        <w:rPr>
          <w:rFonts w:ascii="Times New Roman" w:hAnsi="Times New Roman" w:cs="Times New Roman"/>
          <w:bCs/>
          <w:sz w:val="24"/>
          <w:szCs w:val="24"/>
        </w:rPr>
        <w:t xml:space="preserve"> en</w:t>
      </w:r>
      <w:r w:rsidRPr="000B4322">
        <w:rPr>
          <w:rFonts w:ascii="Times New Roman" w:hAnsi="Times New Roman" w:cs="Times New Roman"/>
          <w:bCs/>
          <w:sz w:val="24"/>
          <w:szCs w:val="24"/>
        </w:rPr>
        <w:t xml:space="preserve"> todos los años de proyección, el costo de los beneficios está por encima del porcentaje de cotización establecido:</w:t>
      </w:r>
    </w:p>
    <w:p w14:paraId="090B36F9" w14:textId="77777777" w:rsidR="001818EE" w:rsidRDefault="001818EE" w:rsidP="001818EE">
      <w:pPr>
        <w:spacing w:after="0" w:line="240" w:lineRule="auto"/>
        <w:jc w:val="both"/>
        <w:rPr>
          <w:rFonts w:ascii="Times New Roman" w:hAnsi="Times New Roman" w:cs="Times New Roman"/>
          <w:bCs/>
          <w:sz w:val="24"/>
          <w:szCs w:val="24"/>
        </w:rPr>
      </w:pPr>
    </w:p>
    <w:p w14:paraId="65B03AA2" w14:textId="0508ABF2" w:rsidR="001818EE" w:rsidRDefault="001818EE" w:rsidP="001818EE">
      <w:pPr>
        <w:spacing w:after="0" w:line="240" w:lineRule="auto"/>
        <w:jc w:val="center"/>
        <w:rPr>
          <w:rFonts w:ascii="Times New Roman" w:hAnsi="Times New Roman" w:cs="Times New Roman"/>
          <w:bCs/>
          <w:sz w:val="24"/>
          <w:szCs w:val="24"/>
        </w:rPr>
      </w:pPr>
      <w:r w:rsidRPr="00672D1E">
        <w:rPr>
          <w:noProof/>
          <w:color w:val="C00000"/>
          <w:highlight w:val="yellow"/>
          <w:lang w:val="es-ES" w:eastAsia="es-ES"/>
        </w:rPr>
        <w:drawing>
          <wp:inline distT="0" distB="0" distL="0" distR="0" wp14:anchorId="38B9290C" wp14:editId="32688BCD">
            <wp:extent cx="5276850" cy="3381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6850" cy="3381375"/>
                    </a:xfrm>
                    <a:prstGeom prst="rect">
                      <a:avLst/>
                    </a:prstGeom>
                  </pic:spPr>
                </pic:pic>
              </a:graphicData>
            </a:graphic>
          </wp:inline>
        </w:drawing>
      </w:r>
    </w:p>
    <w:p w14:paraId="34C64BB8" w14:textId="77777777" w:rsidR="001818EE" w:rsidRDefault="001818EE" w:rsidP="001818EE">
      <w:pPr>
        <w:spacing w:after="0" w:line="240" w:lineRule="auto"/>
        <w:jc w:val="both"/>
        <w:rPr>
          <w:rFonts w:ascii="Times New Roman" w:hAnsi="Times New Roman" w:cs="Times New Roman"/>
          <w:bCs/>
          <w:sz w:val="24"/>
          <w:szCs w:val="24"/>
        </w:rPr>
      </w:pPr>
    </w:p>
    <w:p w14:paraId="365396C7" w14:textId="77777777" w:rsidR="001818EE" w:rsidRDefault="001818EE" w:rsidP="001818EE">
      <w:pPr>
        <w:spacing w:after="0" w:line="240" w:lineRule="auto"/>
        <w:jc w:val="both"/>
        <w:rPr>
          <w:rFonts w:ascii="Times New Roman" w:hAnsi="Times New Roman" w:cs="Times New Roman"/>
          <w:bCs/>
          <w:sz w:val="24"/>
          <w:szCs w:val="24"/>
        </w:rPr>
      </w:pPr>
    </w:p>
    <w:p w14:paraId="13211F82" w14:textId="7817FDF2" w:rsidR="002939B6" w:rsidRPr="001818EE" w:rsidRDefault="001818EE" w:rsidP="001818EE">
      <w:pPr>
        <w:pStyle w:val="Prrafodelista"/>
        <w:numPr>
          <w:ilvl w:val="0"/>
          <w:numId w:val="28"/>
        </w:numPr>
        <w:spacing w:after="0" w:line="240" w:lineRule="auto"/>
        <w:jc w:val="both"/>
        <w:rPr>
          <w:rFonts w:ascii="Times New Roman" w:hAnsi="Times New Roman" w:cs="Times New Roman"/>
          <w:bCs/>
          <w:sz w:val="24"/>
          <w:szCs w:val="24"/>
        </w:rPr>
      </w:pPr>
      <w:r w:rsidRPr="001818EE">
        <w:rPr>
          <w:rFonts w:ascii="Times New Roman" w:hAnsi="Times New Roman" w:cs="Times New Roman"/>
          <w:bCs/>
          <w:sz w:val="24"/>
          <w:szCs w:val="24"/>
        </w:rPr>
        <w:t>En el escenario base el déficit en valor presente al 31/12/2015 es de ¢76.839.549 millones</w:t>
      </w:r>
      <w:r w:rsidR="00D24BFA">
        <w:rPr>
          <w:rFonts w:ascii="Times New Roman" w:hAnsi="Times New Roman" w:cs="Times New Roman"/>
          <w:bCs/>
          <w:sz w:val="24"/>
          <w:szCs w:val="24"/>
        </w:rPr>
        <w:t>.</w:t>
      </w:r>
    </w:p>
    <w:p w14:paraId="30C42BB6" w14:textId="77777777" w:rsidR="00DC5EB3" w:rsidRDefault="00DC5EB3" w:rsidP="001818EE">
      <w:pPr>
        <w:spacing w:after="0" w:line="240" w:lineRule="auto"/>
        <w:jc w:val="both"/>
        <w:rPr>
          <w:rFonts w:ascii="Times New Roman" w:hAnsi="Times New Roman" w:cs="Times New Roman"/>
          <w:bCs/>
          <w:sz w:val="24"/>
          <w:szCs w:val="24"/>
        </w:rPr>
      </w:pPr>
    </w:p>
    <w:p w14:paraId="56A0D89E" w14:textId="6B1EAC24" w:rsidR="001818EE" w:rsidRPr="00DD148D" w:rsidRDefault="001818EE" w:rsidP="001818EE">
      <w:pPr>
        <w:pStyle w:val="Prrafodelista"/>
        <w:numPr>
          <w:ilvl w:val="0"/>
          <w:numId w:val="28"/>
        </w:numPr>
        <w:spacing w:after="0" w:line="240" w:lineRule="auto"/>
        <w:jc w:val="both"/>
        <w:rPr>
          <w:rFonts w:ascii="Times New Roman" w:hAnsi="Times New Roman" w:cs="Times New Roman"/>
          <w:bCs/>
          <w:sz w:val="24"/>
          <w:szCs w:val="24"/>
        </w:rPr>
      </w:pPr>
      <w:r w:rsidRPr="00DD148D">
        <w:rPr>
          <w:rFonts w:ascii="Times New Roman" w:hAnsi="Times New Roman" w:cs="Times New Roman"/>
          <w:bCs/>
          <w:sz w:val="24"/>
          <w:szCs w:val="24"/>
        </w:rPr>
        <w:t xml:space="preserve">Los momentos críticos que se mencionan son: </w:t>
      </w:r>
      <w:r w:rsidR="005115C0" w:rsidRPr="00DD148D">
        <w:rPr>
          <w:rFonts w:ascii="Times New Roman" w:hAnsi="Times New Roman" w:cs="Times New Roman"/>
          <w:bCs/>
          <w:sz w:val="24"/>
          <w:szCs w:val="24"/>
        </w:rPr>
        <w:t xml:space="preserve"> a)</w:t>
      </w:r>
      <w:r w:rsidR="00BE02FC" w:rsidRPr="00DD148D">
        <w:rPr>
          <w:rFonts w:ascii="Times New Roman" w:hAnsi="Times New Roman" w:cs="Times New Roman"/>
          <w:bCs/>
          <w:sz w:val="24"/>
          <w:szCs w:val="24"/>
        </w:rPr>
        <w:t xml:space="preserve"> </w:t>
      </w:r>
      <w:r w:rsidR="005115C0" w:rsidRPr="00DD148D">
        <w:rPr>
          <w:rFonts w:ascii="Times New Roman" w:hAnsi="Times New Roman" w:cs="Times New Roman"/>
          <w:bCs/>
          <w:sz w:val="24"/>
          <w:szCs w:val="24"/>
        </w:rPr>
        <w:t>el</w:t>
      </w:r>
      <w:r w:rsidRPr="00DD148D">
        <w:rPr>
          <w:rFonts w:ascii="Times New Roman" w:hAnsi="Times New Roman" w:cs="Times New Roman"/>
          <w:bCs/>
          <w:sz w:val="24"/>
          <w:szCs w:val="24"/>
        </w:rPr>
        <w:t xml:space="preserve"> </w:t>
      </w:r>
      <w:r w:rsidR="00DD148D" w:rsidRPr="00DD148D">
        <w:rPr>
          <w:rFonts w:ascii="Times New Roman" w:hAnsi="Times New Roman" w:cs="Times New Roman"/>
          <w:bCs/>
          <w:sz w:val="24"/>
          <w:szCs w:val="24"/>
        </w:rPr>
        <w:t>año 2012</w:t>
      </w:r>
      <w:r w:rsidR="005115C0" w:rsidRPr="00DD148D">
        <w:rPr>
          <w:rFonts w:ascii="Times New Roman" w:hAnsi="Times New Roman" w:cs="Times New Roman"/>
          <w:bCs/>
          <w:sz w:val="24"/>
          <w:szCs w:val="24"/>
        </w:rPr>
        <w:t>, en el cual</w:t>
      </w:r>
      <w:r w:rsidR="00BE02FC" w:rsidRPr="00DD148D">
        <w:rPr>
          <w:rFonts w:ascii="Times New Roman" w:hAnsi="Times New Roman" w:cs="Times New Roman"/>
          <w:bCs/>
          <w:sz w:val="24"/>
          <w:szCs w:val="24"/>
        </w:rPr>
        <w:t xml:space="preserve"> </w:t>
      </w:r>
      <w:r w:rsidRPr="00DD148D">
        <w:rPr>
          <w:rFonts w:ascii="Times New Roman" w:hAnsi="Times New Roman" w:cs="Times New Roman"/>
          <w:bCs/>
          <w:sz w:val="24"/>
          <w:szCs w:val="24"/>
        </w:rPr>
        <w:t xml:space="preserve">se empiezan a utilizar rendimientos de la reserva; </w:t>
      </w:r>
      <w:r w:rsidR="005115C0" w:rsidRPr="00DD148D">
        <w:rPr>
          <w:rFonts w:ascii="Times New Roman" w:hAnsi="Times New Roman" w:cs="Times New Roman"/>
          <w:bCs/>
          <w:sz w:val="24"/>
          <w:szCs w:val="24"/>
        </w:rPr>
        <w:t>b) el</w:t>
      </w:r>
      <w:r w:rsidRPr="00DD148D">
        <w:rPr>
          <w:rFonts w:ascii="Times New Roman" w:hAnsi="Times New Roman" w:cs="Times New Roman"/>
          <w:bCs/>
          <w:sz w:val="24"/>
          <w:szCs w:val="24"/>
        </w:rPr>
        <w:t xml:space="preserve"> año 2024</w:t>
      </w:r>
      <w:r w:rsidR="005115C0" w:rsidRPr="00DD148D">
        <w:rPr>
          <w:rFonts w:ascii="Times New Roman" w:hAnsi="Times New Roman" w:cs="Times New Roman"/>
          <w:bCs/>
          <w:sz w:val="24"/>
          <w:szCs w:val="24"/>
        </w:rPr>
        <w:t xml:space="preserve"> en el </w:t>
      </w:r>
      <w:r w:rsidRPr="00DD148D">
        <w:rPr>
          <w:rFonts w:ascii="Times New Roman" w:hAnsi="Times New Roman" w:cs="Times New Roman"/>
          <w:bCs/>
          <w:sz w:val="24"/>
          <w:szCs w:val="24"/>
        </w:rPr>
        <w:t xml:space="preserve">que se comienza a utilizar la reserva y </w:t>
      </w:r>
      <w:r w:rsidR="005115C0" w:rsidRPr="00DD148D">
        <w:rPr>
          <w:rFonts w:ascii="Times New Roman" w:hAnsi="Times New Roman" w:cs="Times New Roman"/>
          <w:bCs/>
          <w:sz w:val="24"/>
          <w:szCs w:val="24"/>
        </w:rPr>
        <w:t>c) el</w:t>
      </w:r>
      <w:r w:rsidR="00BE02FC" w:rsidRPr="00DD148D">
        <w:rPr>
          <w:rFonts w:ascii="Times New Roman" w:hAnsi="Times New Roman" w:cs="Times New Roman"/>
          <w:bCs/>
          <w:sz w:val="24"/>
          <w:szCs w:val="24"/>
        </w:rPr>
        <w:t xml:space="preserve"> </w:t>
      </w:r>
      <w:r w:rsidRPr="00DD148D">
        <w:rPr>
          <w:rFonts w:ascii="Times New Roman" w:hAnsi="Times New Roman" w:cs="Times New Roman"/>
          <w:bCs/>
          <w:sz w:val="24"/>
          <w:szCs w:val="24"/>
        </w:rPr>
        <w:t>año 2030</w:t>
      </w:r>
      <w:r w:rsidR="005115C0" w:rsidRPr="00DD148D">
        <w:rPr>
          <w:rFonts w:ascii="Times New Roman" w:hAnsi="Times New Roman" w:cs="Times New Roman"/>
          <w:bCs/>
          <w:sz w:val="24"/>
          <w:szCs w:val="24"/>
        </w:rPr>
        <w:t xml:space="preserve">, en el cual se agotaría </w:t>
      </w:r>
      <w:r w:rsidRPr="00DD148D">
        <w:rPr>
          <w:rFonts w:ascii="Times New Roman" w:hAnsi="Times New Roman" w:cs="Times New Roman"/>
          <w:bCs/>
          <w:sz w:val="24"/>
          <w:szCs w:val="24"/>
        </w:rPr>
        <w:t xml:space="preserve">la reserva. A </w:t>
      </w:r>
      <w:r w:rsidR="00DD148D" w:rsidRPr="00DD148D">
        <w:rPr>
          <w:rFonts w:ascii="Times New Roman" w:hAnsi="Times New Roman" w:cs="Times New Roman"/>
          <w:bCs/>
          <w:sz w:val="24"/>
          <w:szCs w:val="24"/>
        </w:rPr>
        <w:t>continuación,</w:t>
      </w:r>
      <w:r w:rsidRPr="00DD148D">
        <w:rPr>
          <w:rFonts w:ascii="Times New Roman" w:hAnsi="Times New Roman" w:cs="Times New Roman"/>
          <w:bCs/>
          <w:sz w:val="24"/>
          <w:szCs w:val="24"/>
        </w:rPr>
        <w:t xml:space="preserve"> se presenta un resumen </w:t>
      </w:r>
      <w:r w:rsidR="005115C0" w:rsidRPr="00DD148D">
        <w:rPr>
          <w:rFonts w:ascii="Times New Roman" w:hAnsi="Times New Roman" w:cs="Times New Roman"/>
          <w:bCs/>
          <w:sz w:val="24"/>
          <w:szCs w:val="24"/>
        </w:rPr>
        <w:t xml:space="preserve">de </w:t>
      </w:r>
      <w:r w:rsidRPr="00DD148D">
        <w:rPr>
          <w:rFonts w:ascii="Times New Roman" w:hAnsi="Times New Roman" w:cs="Times New Roman"/>
          <w:bCs/>
          <w:sz w:val="24"/>
          <w:szCs w:val="24"/>
        </w:rPr>
        <w:t>los resultados más relevantes para los escenarios Esperado, Bajo y Alto:</w:t>
      </w:r>
    </w:p>
    <w:p w14:paraId="693ED14B" w14:textId="77777777" w:rsidR="00DC5EB3" w:rsidRDefault="00DC5EB3" w:rsidP="00101381">
      <w:pPr>
        <w:spacing w:after="0" w:line="240" w:lineRule="auto"/>
        <w:jc w:val="both"/>
        <w:rPr>
          <w:rFonts w:ascii="Times New Roman" w:hAnsi="Times New Roman" w:cs="Times New Roman"/>
          <w:bCs/>
          <w:sz w:val="24"/>
          <w:szCs w:val="24"/>
        </w:rPr>
      </w:pPr>
    </w:p>
    <w:p w14:paraId="42935CC3" w14:textId="77777777" w:rsidR="005B3422" w:rsidRPr="004E74D8" w:rsidRDefault="005B3422" w:rsidP="00101381">
      <w:pPr>
        <w:spacing w:after="0" w:line="240" w:lineRule="auto"/>
        <w:jc w:val="both"/>
        <w:rPr>
          <w:rFonts w:ascii="Times New Roman" w:hAnsi="Times New Roman" w:cs="Times New Roman"/>
          <w:bCs/>
          <w:sz w:val="24"/>
          <w:szCs w:val="24"/>
        </w:rPr>
      </w:pPr>
    </w:p>
    <w:p w14:paraId="3E5E92D6" w14:textId="73E704EB" w:rsidR="0004480C" w:rsidRPr="004E74D8" w:rsidRDefault="0004480C" w:rsidP="0004480C">
      <w:pPr>
        <w:spacing w:before="240" w:after="120" w:line="240" w:lineRule="auto"/>
        <w:contextualSpacing/>
        <w:jc w:val="center"/>
        <w:rPr>
          <w:rFonts w:ascii="Times New Roman" w:hAnsi="Times New Roman" w:cs="Times New Roman"/>
          <w:bCs/>
          <w:sz w:val="24"/>
          <w:szCs w:val="24"/>
        </w:rPr>
      </w:pPr>
      <w:r w:rsidRPr="004E74D8">
        <w:rPr>
          <w:rFonts w:ascii="Times New Roman" w:hAnsi="Times New Roman" w:cs="Times New Roman"/>
          <w:bCs/>
          <w:sz w:val="24"/>
          <w:szCs w:val="24"/>
        </w:rPr>
        <w:t xml:space="preserve">Cuadro </w:t>
      </w:r>
      <w:r w:rsidR="00A204C1" w:rsidRPr="004E74D8">
        <w:rPr>
          <w:rFonts w:ascii="Times New Roman" w:hAnsi="Times New Roman" w:cs="Times New Roman"/>
          <w:bCs/>
          <w:sz w:val="24"/>
          <w:szCs w:val="24"/>
        </w:rPr>
        <w:t>2</w:t>
      </w:r>
      <w:r w:rsidRPr="004E74D8">
        <w:rPr>
          <w:rFonts w:ascii="Times New Roman" w:hAnsi="Times New Roman" w:cs="Times New Roman"/>
          <w:bCs/>
          <w:sz w:val="24"/>
          <w:szCs w:val="24"/>
        </w:rPr>
        <w:t xml:space="preserve"> Resultados Valuación Actuarial </w:t>
      </w:r>
      <w:r w:rsidR="004F077D" w:rsidRPr="004E74D8">
        <w:rPr>
          <w:rFonts w:ascii="Times New Roman" w:hAnsi="Times New Roman" w:cs="Times New Roman"/>
          <w:bCs/>
          <w:sz w:val="24"/>
          <w:szCs w:val="24"/>
        </w:rPr>
        <w:t>R</w:t>
      </w:r>
      <w:r w:rsidRPr="004E74D8">
        <w:rPr>
          <w:rFonts w:ascii="Times New Roman" w:hAnsi="Times New Roman" w:cs="Times New Roman"/>
          <w:bCs/>
          <w:sz w:val="24"/>
          <w:szCs w:val="24"/>
        </w:rPr>
        <w:t>IVM</w:t>
      </w:r>
    </w:p>
    <w:p w14:paraId="057C0BDA" w14:textId="77777777" w:rsidR="004F077D" w:rsidRPr="004E74D8" w:rsidRDefault="004F077D" w:rsidP="0004480C">
      <w:pPr>
        <w:spacing w:before="240" w:after="120" w:line="240" w:lineRule="auto"/>
        <w:contextualSpacing/>
        <w:jc w:val="center"/>
        <w:rPr>
          <w:rFonts w:ascii="Times New Roman" w:hAnsi="Times New Roman" w:cs="Times New Roman"/>
          <w:bCs/>
          <w:sz w:val="24"/>
          <w:szCs w:val="24"/>
        </w:rPr>
      </w:pPr>
    </w:p>
    <w:tbl>
      <w:tblPr>
        <w:tblStyle w:val="Tablaconcuadrcula"/>
        <w:tblW w:w="0" w:type="auto"/>
        <w:jc w:val="center"/>
        <w:tblLook w:val="04A0" w:firstRow="1" w:lastRow="0" w:firstColumn="1" w:lastColumn="0" w:noHBand="0" w:noVBand="1"/>
      </w:tblPr>
      <w:tblGrid>
        <w:gridCol w:w="1716"/>
        <w:gridCol w:w="1496"/>
        <w:gridCol w:w="1616"/>
        <w:gridCol w:w="1496"/>
      </w:tblGrid>
      <w:tr w:rsidR="009A6C83" w:rsidRPr="004E74D8" w14:paraId="0D7255F3" w14:textId="77777777" w:rsidTr="004F077D">
        <w:trPr>
          <w:trHeight w:val="300"/>
          <w:jc w:val="center"/>
        </w:trPr>
        <w:tc>
          <w:tcPr>
            <w:tcW w:w="1716" w:type="dxa"/>
            <w:shd w:val="clear" w:color="auto" w:fill="F2F2F2" w:themeFill="background1" w:themeFillShade="F2"/>
            <w:noWrap/>
            <w:vAlign w:val="center"/>
            <w:hideMark/>
          </w:tcPr>
          <w:p w14:paraId="3E56E71D" w14:textId="1DE38D85" w:rsidR="00727C90" w:rsidRPr="004E74D8" w:rsidRDefault="00727C90" w:rsidP="0004480C">
            <w:pPr>
              <w:spacing w:before="240" w:after="120"/>
              <w:contextualSpacing/>
              <w:jc w:val="center"/>
              <w:rPr>
                <w:rFonts w:eastAsiaTheme="minorEastAsia"/>
                <w:b/>
                <w:bCs/>
                <w:sz w:val="24"/>
                <w:szCs w:val="24"/>
                <w:lang w:val="es-ES" w:eastAsia="ja-JP"/>
              </w:rPr>
            </w:pPr>
            <w:r w:rsidRPr="004E74D8">
              <w:rPr>
                <w:rFonts w:eastAsiaTheme="minorEastAsia"/>
                <w:b/>
                <w:bCs/>
                <w:sz w:val="24"/>
                <w:szCs w:val="24"/>
                <w:lang w:val="es-ES" w:eastAsia="ja-JP"/>
              </w:rPr>
              <w:t>Escenario</w:t>
            </w:r>
          </w:p>
        </w:tc>
        <w:tc>
          <w:tcPr>
            <w:tcW w:w="1496" w:type="dxa"/>
            <w:shd w:val="clear" w:color="auto" w:fill="F2F2F2" w:themeFill="background1" w:themeFillShade="F2"/>
            <w:noWrap/>
            <w:vAlign w:val="center"/>
            <w:hideMark/>
          </w:tcPr>
          <w:p w14:paraId="26ED1BBB" w14:textId="77777777" w:rsidR="00727C90" w:rsidRPr="004E74D8" w:rsidRDefault="00727C90" w:rsidP="0004480C">
            <w:pPr>
              <w:spacing w:before="240" w:after="120"/>
              <w:contextualSpacing/>
              <w:jc w:val="center"/>
              <w:rPr>
                <w:rFonts w:eastAsiaTheme="minorEastAsia"/>
                <w:b/>
                <w:bCs/>
                <w:sz w:val="24"/>
                <w:szCs w:val="24"/>
                <w:lang w:val="es-ES" w:eastAsia="ja-JP"/>
              </w:rPr>
            </w:pPr>
            <w:r w:rsidRPr="004E74D8">
              <w:rPr>
                <w:rFonts w:eastAsiaTheme="minorEastAsia"/>
                <w:b/>
                <w:bCs/>
                <w:sz w:val="24"/>
                <w:szCs w:val="24"/>
                <w:lang w:val="es-ES" w:eastAsia="ja-JP"/>
              </w:rPr>
              <w:t>Esperado</w:t>
            </w:r>
          </w:p>
        </w:tc>
        <w:tc>
          <w:tcPr>
            <w:tcW w:w="1616" w:type="dxa"/>
            <w:shd w:val="clear" w:color="auto" w:fill="F2F2F2" w:themeFill="background1" w:themeFillShade="F2"/>
            <w:noWrap/>
            <w:vAlign w:val="center"/>
            <w:hideMark/>
          </w:tcPr>
          <w:p w14:paraId="714D9764" w14:textId="77777777" w:rsidR="00727C90" w:rsidRPr="004E74D8" w:rsidRDefault="00727C90" w:rsidP="0004480C">
            <w:pPr>
              <w:spacing w:before="240" w:after="120"/>
              <w:contextualSpacing/>
              <w:jc w:val="center"/>
              <w:rPr>
                <w:rFonts w:eastAsiaTheme="minorEastAsia"/>
                <w:b/>
                <w:bCs/>
                <w:sz w:val="24"/>
                <w:szCs w:val="24"/>
                <w:lang w:val="es-ES" w:eastAsia="ja-JP"/>
              </w:rPr>
            </w:pPr>
            <w:r w:rsidRPr="004E74D8">
              <w:rPr>
                <w:rFonts w:eastAsiaTheme="minorEastAsia"/>
                <w:b/>
                <w:bCs/>
                <w:sz w:val="24"/>
                <w:szCs w:val="24"/>
                <w:lang w:val="es-ES" w:eastAsia="ja-JP"/>
              </w:rPr>
              <w:t>Bajo</w:t>
            </w:r>
          </w:p>
        </w:tc>
        <w:tc>
          <w:tcPr>
            <w:tcW w:w="1496" w:type="dxa"/>
            <w:shd w:val="clear" w:color="auto" w:fill="F2F2F2" w:themeFill="background1" w:themeFillShade="F2"/>
            <w:noWrap/>
            <w:vAlign w:val="center"/>
            <w:hideMark/>
          </w:tcPr>
          <w:p w14:paraId="48B5DBF3" w14:textId="77777777" w:rsidR="00727C90" w:rsidRPr="004E74D8" w:rsidRDefault="00727C90" w:rsidP="0004480C">
            <w:pPr>
              <w:spacing w:before="240" w:after="120"/>
              <w:contextualSpacing/>
              <w:jc w:val="center"/>
              <w:rPr>
                <w:rFonts w:eastAsiaTheme="minorEastAsia"/>
                <w:b/>
                <w:bCs/>
                <w:sz w:val="24"/>
                <w:szCs w:val="24"/>
                <w:lang w:val="es-ES" w:eastAsia="ja-JP"/>
              </w:rPr>
            </w:pPr>
            <w:r w:rsidRPr="004E74D8">
              <w:rPr>
                <w:rFonts w:eastAsiaTheme="minorEastAsia"/>
                <w:b/>
                <w:bCs/>
                <w:sz w:val="24"/>
                <w:szCs w:val="24"/>
                <w:lang w:val="es-ES" w:eastAsia="ja-JP"/>
              </w:rPr>
              <w:t>Alto</w:t>
            </w:r>
          </w:p>
        </w:tc>
      </w:tr>
      <w:tr w:rsidR="009A6C83" w:rsidRPr="004E74D8" w14:paraId="3018209E" w14:textId="77777777" w:rsidTr="0004480C">
        <w:trPr>
          <w:trHeight w:val="300"/>
          <w:jc w:val="center"/>
        </w:trPr>
        <w:tc>
          <w:tcPr>
            <w:tcW w:w="1716" w:type="dxa"/>
            <w:noWrap/>
            <w:vAlign w:val="center"/>
            <w:hideMark/>
          </w:tcPr>
          <w:p w14:paraId="765800FF" w14:textId="77777777" w:rsidR="00727C90" w:rsidRPr="004E74D8" w:rsidRDefault="00727C90" w:rsidP="0004480C">
            <w:pPr>
              <w:spacing w:before="240" w:after="120"/>
              <w:contextualSpacing/>
              <w:rPr>
                <w:rFonts w:eastAsiaTheme="minorEastAsia"/>
                <w:b/>
                <w:bCs/>
                <w:sz w:val="24"/>
                <w:szCs w:val="24"/>
                <w:lang w:val="es-ES" w:eastAsia="ja-JP"/>
              </w:rPr>
            </w:pPr>
            <w:r w:rsidRPr="004E74D8">
              <w:rPr>
                <w:rFonts w:eastAsiaTheme="minorEastAsia"/>
                <w:b/>
                <w:bCs/>
                <w:sz w:val="24"/>
                <w:szCs w:val="24"/>
                <w:lang w:val="es-ES" w:eastAsia="ja-JP"/>
              </w:rPr>
              <w:t>Prima (*)</w:t>
            </w:r>
          </w:p>
        </w:tc>
        <w:tc>
          <w:tcPr>
            <w:tcW w:w="1496" w:type="dxa"/>
            <w:noWrap/>
            <w:vAlign w:val="center"/>
            <w:hideMark/>
          </w:tcPr>
          <w:p w14:paraId="292B3FE8"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24,19%</w:t>
            </w:r>
          </w:p>
        </w:tc>
        <w:tc>
          <w:tcPr>
            <w:tcW w:w="1616" w:type="dxa"/>
            <w:noWrap/>
            <w:vAlign w:val="center"/>
            <w:hideMark/>
          </w:tcPr>
          <w:p w14:paraId="7B3F7820"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30,15%</w:t>
            </w:r>
          </w:p>
        </w:tc>
        <w:tc>
          <w:tcPr>
            <w:tcW w:w="1496" w:type="dxa"/>
            <w:noWrap/>
            <w:vAlign w:val="center"/>
            <w:hideMark/>
          </w:tcPr>
          <w:p w14:paraId="4CF06374"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19,57%</w:t>
            </w:r>
          </w:p>
        </w:tc>
      </w:tr>
      <w:tr w:rsidR="009A6C83" w:rsidRPr="004E74D8" w14:paraId="227D096E" w14:textId="77777777" w:rsidTr="0004480C">
        <w:trPr>
          <w:trHeight w:val="300"/>
          <w:jc w:val="center"/>
        </w:trPr>
        <w:tc>
          <w:tcPr>
            <w:tcW w:w="1716" w:type="dxa"/>
            <w:noWrap/>
            <w:vAlign w:val="center"/>
            <w:hideMark/>
          </w:tcPr>
          <w:p w14:paraId="28A81183" w14:textId="580B7632" w:rsidR="00727C90" w:rsidRPr="004E74D8" w:rsidRDefault="00727C90" w:rsidP="0004480C">
            <w:pPr>
              <w:spacing w:before="240" w:after="120"/>
              <w:contextualSpacing/>
              <w:rPr>
                <w:rFonts w:eastAsiaTheme="minorEastAsia"/>
                <w:b/>
                <w:bCs/>
                <w:sz w:val="24"/>
                <w:szCs w:val="24"/>
                <w:lang w:val="es-ES" w:eastAsia="ja-JP"/>
              </w:rPr>
            </w:pPr>
            <w:r w:rsidRPr="004E74D8">
              <w:rPr>
                <w:rFonts w:eastAsiaTheme="minorEastAsia"/>
                <w:b/>
                <w:bCs/>
                <w:sz w:val="24"/>
                <w:szCs w:val="24"/>
                <w:lang w:val="es-ES" w:eastAsia="ja-JP"/>
              </w:rPr>
              <w:t>Sup / Déf (**)</w:t>
            </w:r>
            <w:r w:rsidR="00B44FAB" w:rsidRPr="004E74D8">
              <w:rPr>
                <w:rStyle w:val="Refdenotaalpie"/>
                <w:rFonts w:eastAsiaTheme="minorEastAsia"/>
                <w:bCs/>
                <w:sz w:val="24"/>
                <w:szCs w:val="24"/>
                <w:lang w:val="es-ES" w:eastAsia="ja-JP"/>
              </w:rPr>
              <w:footnoteReference w:id="4"/>
            </w:r>
          </w:p>
        </w:tc>
        <w:tc>
          <w:tcPr>
            <w:tcW w:w="1496" w:type="dxa"/>
            <w:noWrap/>
            <w:vAlign w:val="center"/>
            <w:hideMark/>
          </w:tcPr>
          <w:p w14:paraId="52B48656"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-76.166.898</w:t>
            </w:r>
          </w:p>
        </w:tc>
        <w:tc>
          <w:tcPr>
            <w:tcW w:w="1616" w:type="dxa"/>
            <w:noWrap/>
            <w:vAlign w:val="center"/>
            <w:hideMark/>
          </w:tcPr>
          <w:p w14:paraId="72927079"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-109.014.696</w:t>
            </w:r>
          </w:p>
        </w:tc>
        <w:tc>
          <w:tcPr>
            <w:tcW w:w="1496" w:type="dxa"/>
            <w:noWrap/>
            <w:vAlign w:val="center"/>
            <w:hideMark/>
          </w:tcPr>
          <w:p w14:paraId="76F1CCFC" w14:textId="2DA7F699"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-49.353.373</w:t>
            </w:r>
          </w:p>
        </w:tc>
      </w:tr>
      <w:tr w:rsidR="009A6C83" w:rsidRPr="004E74D8" w14:paraId="4CDDB229" w14:textId="77777777" w:rsidTr="0004480C">
        <w:trPr>
          <w:trHeight w:val="300"/>
          <w:jc w:val="center"/>
        </w:trPr>
        <w:tc>
          <w:tcPr>
            <w:tcW w:w="1716" w:type="dxa"/>
            <w:noWrap/>
            <w:vAlign w:val="center"/>
            <w:hideMark/>
          </w:tcPr>
          <w:p w14:paraId="31DF7410" w14:textId="77777777" w:rsidR="00727C90" w:rsidRPr="004E74D8" w:rsidRDefault="00727C90" w:rsidP="0004480C">
            <w:pPr>
              <w:spacing w:before="240" w:after="120"/>
              <w:contextualSpacing/>
              <w:rPr>
                <w:rFonts w:eastAsiaTheme="minorEastAsia"/>
                <w:b/>
                <w:bCs/>
                <w:sz w:val="24"/>
                <w:szCs w:val="24"/>
                <w:lang w:val="es-ES" w:eastAsia="ja-JP"/>
              </w:rPr>
            </w:pPr>
            <w:r w:rsidRPr="004E74D8">
              <w:rPr>
                <w:rFonts w:eastAsiaTheme="minorEastAsia"/>
                <w:b/>
                <w:bCs/>
                <w:sz w:val="24"/>
                <w:szCs w:val="24"/>
                <w:lang w:val="es-ES" w:eastAsia="ja-JP"/>
              </w:rPr>
              <w:t>(**) / Pasivo</w:t>
            </w:r>
          </w:p>
        </w:tc>
        <w:tc>
          <w:tcPr>
            <w:tcW w:w="1496" w:type="dxa"/>
            <w:noWrap/>
            <w:vAlign w:val="center"/>
            <w:hideMark/>
          </w:tcPr>
          <w:p w14:paraId="64745F01"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-57,09%</w:t>
            </w:r>
          </w:p>
        </w:tc>
        <w:tc>
          <w:tcPr>
            <w:tcW w:w="1616" w:type="dxa"/>
            <w:noWrap/>
            <w:vAlign w:val="center"/>
            <w:hideMark/>
          </w:tcPr>
          <w:p w14:paraId="5F6D975B"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-65,39%</w:t>
            </w:r>
          </w:p>
        </w:tc>
        <w:tc>
          <w:tcPr>
            <w:tcW w:w="1496" w:type="dxa"/>
            <w:noWrap/>
            <w:vAlign w:val="center"/>
            <w:hideMark/>
          </w:tcPr>
          <w:p w14:paraId="0A5470C7"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-47,26%</w:t>
            </w:r>
          </w:p>
        </w:tc>
      </w:tr>
      <w:tr w:rsidR="009A6C83" w:rsidRPr="004E74D8" w14:paraId="1BFC7128" w14:textId="77777777" w:rsidTr="0004480C">
        <w:trPr>
          <w:trHeight w:val="300"/>
          <w:jc w:val="center"/>
        </w:trPr>
        <w:tc>
          <w:tcPr>
            <w:tcW w:w="1716" w:type="dxa"/>
            <w:noWrap/>
            <w:vAlign w:val="center"/>
            <w:hideMark/>
          </w:tcPr>
          <w:p w14:paraId="7008A668" w14:textId="77777777" w:rsidR="00727C90" w:rsidRPr="004E74D8" w:rsidRDefault="00727C90" w:rsidP="0004480C">
            <w:pPr>
              <w:spacing w:before="240" w:after="120"/>
              <w:contextualSpacing/>
              <w:rPr>
                <w:rFonts w:eastAsiaTheme="minorEastAsia"/>
                <w:b/>
                <w:bCs/>
                <w:sz w:val="24"/>
                <w:szCs w:val="24"/>
                <w:lang w:val="es-ES" w:eastAsia="ja-JP"/>
              </w:rPr>
            </w:pPr>
            <w:r w:rsidRPr="004E74D8">
              <w:rPr>
                <w:rFonts w:eastAsiaTheme="minorEastAsia"/>
                <w:b/>
                <w:bCs/>
                <w:sz w:val="24"/>
                <w:szCs w:val="24"/>
                <w:lang w:val="es-ES" w:eastAsia="ja-JP"/>
              </w:rPr>
              <w:t>Año crít 1</w:t>
            </w:r>
          </w:p>
        </w:tc>
        <w:tc>
          <w:tcPr>
            <w:tcW w:w="1496" w:type="dxa"/>
            <w:noWrap/>
            <w:vAlign w:val="center"/>
            <w:hideMark/>
          </w:tcPr>
          <w:p w14:paraId="16E4E9FB"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2012</w:t>
            </w:r>
          </w:p>
        </w:tc>
        <w:tc>
          <w:tcPr>
            <w:tcW w:w="1616" w:type="dxa"/>
            <w:noWrap/>
            <w:vAlign w:val="center"/>
            <w:hideMark/>
          </w:tcPr>
          <w:p w14:paraId="66F101F2"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2012</w:t>
            </w:r>
          </w:p>
        </w:tc>
        <w:tc>
          <w:tcPr>
            <w:tcW w:w="1496" w:type="dxa"/>
            <w:noWrap/>
            <w:vAlign w:val="center"/>
            <w:hideMark/>
          </w:tcPr>
          <w:p w14:paraId="46E490DB"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2012</w:t>
            </w:r>
          </w:p>
        </w:tc>
      </w:tr>
      <w:tr w:rsidR="009A6C83" w:rsidRPr="004E74D8" w14:paraId="6A749E29" w14:textId="77777777" w:rsidTr="0004480C">
        <w:trPr>
          <w:trHeight w:val="300"/>
          <w:jc w:val="center"/>
        </w:trPr>
        <w:tc>
          <w:tcPr>
            <w:tcW w:w="1716" w:type="dxa"/>
            <w:noWrap/>
            <w:vAlign w:val="center"/>
            <w:hideMark/>
          </w:tcPr>
          <w:p w14:paraId="3E8DD530" w14:textId="77777777" w:rsidR="00727C90" w:rsidRPr="004E74D8" w:rsidRDefault="00727C90" w:rsidP="0004480C">
            <w:pPr>
              <w:spacing w:before="240" w:after="120"/>
              <w:contextualSpacing/>
              <w:rPr>
                <w:rFonts w:eastAsiaTheme="minorEastAsia"/>
                <w:b/>
                <w:bCs/>
                <w:sz w:val="24"/>
                <w:szCs w:val="24"/>
                <w:lang w:val="es-ES" w:eastAsia="ja-JP"/>
              </w:rPr>
            </w:pPr>
            <w:r w:rsidRPr="004E74D8">
              <w:rPr>
                <w:rFonts w:eastAsiaTheme="minorEastAsia"/>
                <w:b/>
                <w:bCs/>
                <w:sz w:val="24"/>
                <w:szCs w:val="24"/>
                <w:lang w:val="es-ES" w:eastAsia="ja-JP"/>
              </w:rPr>
              <w:t>Año crít 2</w:t>
            </w:r>
          </w:p>
        </w:tc>
        <w:tc>
          <w:tcPr>
            <w:tcW w:w="1496" w:type="dxa"/>
            <w:noWrap/>
            <w:vAlign w:val="center"/>
            <w:hideMark/>
          </w:tcPr>
          <w:p w14:paraId="62385B1E"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2024</w:t>
            </w:r>
          </w:p>
        </w:tc>
        <w:tc>
          <w:tcPr>
            <w:tcW w:w="1616" w:type="dxa"/>
            <w:noWrap/>
            <w:vAlign w:val="center"/>
            <w:hideMark/>
          </w:tcPr>
          <w:p w14:paraId="270C6F15"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2022</w:t>
            </w:r>
          </w:p>
        </w:tc>
        <w:tc>
          <w:tcPr>
            <w:tcW w:w="1496" w:type="dxa"/>
            <w:noWrap/>
            <w:vAlign w:val="center"/>
            <w:hideMark/>
          </w:tcPr>
          <w:p w14:paraId="230E42A9"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2028</w:t>
            </w:r>
          </w:p>
        </w:tc>
      </w:tr>
      <w:tr w:rsidR="009A6C83" w:rsidRPr="004E74D8" w14:paraId="3F95005D" w14:textId="77777777" w:rsidTr="0004480C">
        <w:trPr>
          <w:trHeight w:val="300"/>
          <w:jc w:val="center"/>
        </w:trPr>
        <w:tc>
          <w:tcPr>
            <w:tcW w:w="1716" w:type="dxa"/>
            <w:noWrap/>
            <w:vAlign w:val="center"/>
            <w:hideMark/>
          </w:tcPr>
          <w:p w14:paraId="16E47D50" w14:textId="77777777" w:rsidR="00727C90" w:rsidRPr="004E74D8" w:rsidRDefault="00727C90" w:rsidP="0004480C">
            <w:pPr>
              <w:spacing w:before="240" w:after="120"/>
              <w:contextualSpacing/>
              <w:rPr>
                <w:rFonts w:eastAsiaTheme="minorEastAsia"/>
                <w:b/>
                <w:bCs/>
                <w:sz w:val="24"/>
                <w:szCs w:val="24"/>
                <w:lang w:val="es-ES" w:eastAsia="ja-JP"/>
              </w:rPr>
            </w:pPr>
            <w:r w:rsidRPr="004E74D8">
              <w:rPr>
                <w:rFonts w:eastAsiaTheme="minorEastAsia"/>
                <w:b/>
                <w:bCs/>
                <w:sz w:val="24"/>
                <w:szCs w:val="24"/>
                <w:lang w:val="es-ES" w:eastAsia="ja-JP"/>
              </w:rPr>
              <w:t>Año crít 3</w:t>
            </w:r>
          </w:p>
        </w:tc>
        <w:tc>
          <w:tcPr>
            <w:tcW w:w="1496" w:type="dxa"/>
            <w:noWrap/>
            <w:vAlign w:val="center"/>
            <w:hideMark/>
          </w:tcPr>
          <w:p w14:paraId="56A8278C"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2030</w:t>
            </w:r>
          </w:p>
        </w:tc>
        <w:tc>
          <w:tcPr>
            <w:tcW w:w="1616" w:type="dxa"/>
            <w:noWrap/>
            <w:vAlign w:val="center"/>
            <w:hideMark/>
          </w:tcPr>
          <w:p w14:paraId="0C021CA0"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2027</w:t>
            </w:r>
          </w:p>
        </w:tc>
        <w:tc>
          <w:tcPr>
            <w:tcW w:w="1496" w:type="dxa"/>
            <w:noWrap/>
            <w:vAlign w:val="center"/>
            <w:hideMark/>
          </w:tcPr>
          <w:p w14:paraId="4810D5C7" w14:textId="77777777" w:rsidR="00727C90" w:rsidRPr="004E74D8" w:rsidRDefault="00727C90" w:rsidP="0004480C">
            <w:pPr>
              <w:spacing w:before="240" w:after="120"/>
              <w:contextualSpacing/>
              <w:jc w:val="right"/>
              <w:rPr>
                <w:rFonts w:eastAsiaTheme="minorEastAsia"/>
                <w:bCs/>
                <w:sz w:val="24"/>
                <w:szCs w:val="24"/>
                <w:lang w:val="es-ES" w:eastAsia="ja-JP"/>
              </w:rPr>
            </w:pPr>
            <w:r w:rsidRPr="004E74D8">
              <w:rPr>
                <w:rFonts w:eastAsiaTheme="minorEastAsia"/>
                <w:bCs/>
                <w:sz w:val="24"/>
                <w:szCs w:val="24"/>
                <w:lang w:val="es-ES" w:eastAsia="ja-JP"/>
              </w:rPr>
              <w:t>2034</w:t>
            </w:r>
          </w:p>
        </w:tc>
      </w:tr>
    </w:tbl>
    <w:p w14:paraId="0F14CF1F" w14:textId="5074CD5B" w:rsidR="0088742A" w:rsidRPr="004E74D8" w:rsidRDefault="0088742A" w:rsidP="0088742A">
      <w:pPr>
        <w:ind w:left="708" w:firstLine="708"/>
        <w:jc w:val="both"/>
        <w:rPr>
          <w:rFonts w:ascii="Times New Roman" w:hAnsi="Times New Roman" w:cs="Times New Roman"/>
          <w:sz w:val="20"/>
          <w:szCs w:val="20"/>
        </w:rPr>
      </w:pPr>
      <w:r w:rsidRPr="004E74D8">
        <w:rPr>
          <w:rFonts w:ascii="Times New Roman" w:hAnsi="Times New Roman" w:cs="Times New Roman"/>
          <w:sz w:val="20"/>
          <w:szCs w:val="20"/>
        </w:rPr>
        <w:t>Fuente: Valuación Actuarial IVM</w:t>
      </w:r>
      <w:r w:rsidR="005115C0">
        <w:rPr>
          <w:rFonts w:ascii="Times New Roman" w:hAnsi="Times New Roman" w:cs="Times New Roman"/>
          <w:sz w:val="20"/>
          <w:szCs w:val="20"/>
        </w:rPr>
        <w:t xml:space="preserve"> </w:t>
      </w:r>
      <w:r w:rsidR="00B10C55">
        <w:rPr>
          <w:rFonts w:ascii="Times New Roman" w:hAnsi="Times New Roman" w:cs="Times New Roman"/>
          <w:sz w:val="20"/>
          <w:szCs w:val="20"/>
        </w:rPr>
        <w:t>2015</w:t>
      </w:r>
      <w:r w:rsidRPr="004E74D8">
        <w:rPr>
          <w:rFonts w:ascii="Times New Roman" w:hAnsi="Times New Roman" w:cs="Times New Roman"/>
          <w:sz w:val="20"/>
          <w:szCs w:val="20"/>
        </w:rPr>
        <w:t>.</w:t>
      </w:r>
    </w:p>
    <w:p w14:paraId="463769C4" w14:textId="77777777" w:rsidR="00405017" w:rsidRPr="004E74D8" w:rsidRDefault="00405017" w:rsidP="002D5E49">
      <w:pPr>
        <w:spacing w:line="240" w:lineRule="auto"/>
        <w:contextualSpacing/>
        <w:jc w:val="both"/>
        <w:rPr>
          <w:rFonts w:ascii="Times New Roman" w:hAnsi="Times New Roman" w:cs="Times New Roman"/>
          <w:color w:val="C00000"/>
          <w:sz w:val="20"/>
          <w:szCs w:val="20"/>
        </w:rPr>
      </w:pPr>
    </w:p>
    <w:p w14:paraId="297CEDB3" w14:textId="3A17FCCA" w:rsidR="00794D16" w:rsidRPr="007C5358" w:rsidRDefault="00794D16" w:rsidP="00794D16">
      <w:pPr>
        <w:pStyle w:val="Ttulo1"/>
        <w:numPr>
          <w:ilvl w:val="0"/>
          <w:numId w:val="1"/>
        </w:numPr>
        <w:tabs>
          <w:tab w:val="num" w:pos="540"/>
        </w:tabs>
        <w:spacing w:before="120"/>
        <w:ind w:left="539" w:hanging="539"/>
      </w:pPr>
      <w:bookmarkStart w:id="24" w:name="_Toc496194196"/>
      <w:r w:rsidRPr="007C5358">
        <w:rPr>
          <w:iCs w:val="0"/>
          <w:lang w:eastAsia="es-ES_tradnl"/>
        </w:rPr>
        <w:t>CONCLUSIONES</w:t>
      </w:r>
      <w:bookmarkEnd w:id="24"/>
      <w:r w:rsidRPr="007C5358">
        <w:t xml:space="preserve"> </w:t>
      </w:r>
    </w:p>
    <w:p w14:paraId="4BB966C5" w14:textId="77777777" w:rsidR="006E3306" w:rsidRPr="000B4322" w:rsidRDefault="006E3306" w:rsidP="00E76849">
      <w:pPr>
        <w:pStyle w:val="Prrafodelista"/>
        <w:spacing w:after="0"/>
        <w:rPr>
          <w:rFonts w:ascii="Times New Roman" w:hAnsi="Times New Roman" w:cs="Times New Roman"/>
          <w:sz w:val="24"/>
          <w:szCs w:val="24"/>
        </w:rPr>
      </w:pPr>
    </w:p>
    <w:p w14:paraId="774963BF" w14:textId="20849C98" w:rsidR="009A42F2" w:rsidRPr="000B4322" w:rsidRDefault="009A42F2" w:rsidP="009A42F2">
      <w:pPr>
        <w:pStyle w:val="Prrafodelista"/>
        <w:numPr>
          <w:ilvl w:val="0"/>
          <w:numId w:val="18"/>
        </w:numPr>
        <w:spacing w:after="0"/>
        <w:ind w:left="714" w:hanging="357"/>
        <w:jc w:val="both"/>
        <w:rPr>
          <w:rFonts w:ascii="Times New Roman" w:hAnsi="Times New Roman" w:cs="Times New Roman"/>
          <w:sz w:val="24"/>
          <w:szCs w:val="24"/>
        </w:rPr>
      </w:pPr>
      <w:r w:rsidRPr="000B4322">
        <w:rPr>
          <w:rFonts w:ascii="Times New Roman" w:hAnsi="Times New Roman" w:cs="Times New Roman"/>
          <w:sz w:val="24"/>
          <w:szCs w:val="24"/>
        </w:rPr>
        <w:t>No ha sido posible</w:t>
      </w:r>
      <w:r w:rsidR="00B10C55" w:rsidRPr="000B4322">
        <w:rPr>
          <w:rFonts w:ascii="Times New Roman" w:hAnsi="Times New Roman" w:cs="Times New Roman"/>
          <w:sz w:val="24"/>
          <w:szCs w:val="24"/>
        </w:rPr>
        <w:t xml:space="preserve"> </w:t>
      </w:r>
      <w:r w:rsidRPr="000B4322">
        <w:rPr>
          <w:rFonts w:ascii="Times New Roman" w:hAnsi="Times New Roman" w:cs="Times New Roman"/>
          <w:sz w:val="24"/>
          <w:szCs w:val="24"/>
        </w:rPr>
        <w:t xml:space="preserve">suscribir un convenio con la CCSS, a efecto de que la SUPEN cuente con acceso, en modo de consulta, </w:t>
      </w:r>
      <w:r w:rsidR="00F20F5A">
        <w:rPr>
          <w:rFonts w:ascii="Times New Roman" w:hAnsi="Times New Roman" w:cs="Times New Roman"/>
          <w:sz w:val="24"/>
          <w:szCs w:val="24"/>
        </w:rPr>
        <w:t>de algunos apartados de</w:t>
      </w:r>
      <w:r w:rsidRPr="000B4322">
        <w:rPr>
          <w:rFonts w:ascii="Times New Roman" w:hAnsi="Times New Roman" w:cs="Times New Roman"/>
          <w:sz w:val="24"/>
          <w:szCs w:val="24"/>
        </w:rPr>
        <w:t>l Sistema Integrado de Pensiones de la Caja Costarricense de Seguro Social.</w:t>
      </w:r>
    </w:p>
    <w:p w14:paraId="0D33FA32" w14:textId="77777777" w:rsidR="009A42F2" w:rsidRPr="007B476C" w:rsidRDefault="009A42F2" w:rsidP="009A42F2">
      <w:pPr>
        <w:spacing w:after="0"/>
        <w:ind w:left="357"/>
        <w:jc w:val="both"/>
        <w:rPr>
          <w:rFonts w:ascii="Times New Roman" w:hAnsi="Times New Roman" w:cs="Times New Roman"/>
          <w:sz w:val="24"/>
          <w:szCs w:val="24"/>
          <w:highlight w:val="yellow"/>
        </w:rPr>
      </w:pPr>
    </w:p>
    <w:p w14:paraId="0BD3F261" w14:textId="340074CC" w:rsidR="00CB5BEB" w:rsidRPr="00CB5BEB" w:rsidRDefault="00CB5BEB" w:rsidP="00CB5BEB">
      <w:pPr>
        <w:pStyle w:val="Prrafodelista"/>
        <w:numPr>
          <w:ilvl w:val="0"/>
          <w:numId w:val="1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Aunque se ha avanzado, no se han concluido y puesto en ejecución aún </w:t>
      </w:r>
      <w:r w:rsidRPr="00CB5BEB">
        <w:rPr>
          <w:rFonts w:ascii="Times New Roman" w:hAnsi="Times New Roman" w:cs="Times New Roman"/>
          <w:sz w:val="24"/>
          <w:szCs w:val="24"/>
        </w:rPr>
        <w:t>las "Guías de Calificación de la Invalidez y la Discapacidad</w:t>
      </w:r>
      <w:r w:rsidR="0062547B">
        <w:rPr>
          <w:rFonts w:ascii="Times New Roman" w:hAnsi="Times New Roman" w:cs="Times New Roman"/>
          <w:sz w:val="24"/>
          <w:szCs w:val="24"/>
        </w:rPr>
        <w:t>”.</w:t>
      </w:r>
    </w:p>
    <w:p w14:paraId="4A3A334C" w14:textId="77777777" w:rsidR="00CB5BEB" w:rsidRPr="00CB5BEB" w:rsidRDefault="00CB5BEB" w:rsidP="00CB5BEB">
      <w:pPr>
        <w:pStyle w:val="Prrafodelista"/>
        <w:rPr>
          <w:rFonts w:ascii="Times New Roman" w:hAnsi="Times New Roman" w:cs="Times New Roman"/>
          <w:sz w:val="24"/>
          <w:szCs w:val="24"/>
        </w:rPr>
      </w:pPr>
    </w:p>
    <w:p w14:paraId="7D3AF46F" w14:textId="590A76AD" w:rsidR="00794D16" w:rsidRPr="00AA3524" w:rsidRDefault="00794D16" w:rsidP="007B476C">
      <w:pPr>
        <w:pStyle w:val="Prrafodelista"/>
        <w:numPr>
          <w:ilvl w:val="0"/>
          <w:numId w:val="18"/>
        </w:numPr>
        <w:spacing w:after="0"/>
        <w:ind w:left="714" w:hanging="357"/>
        <w:jc w:val="both"/>
        <w:rPr>
          <w:rFonts w:ascii="Times New Roman" w:hAnsi="Times New Roman" w:cs="Times New Roman"/>
          <w:sz w:val="24"/>
          <w:szCs w:val="24"/>
        </w:rPr>
      </w:pPr>
      <w:r w:rsidRPr="00AA3524">
        <w:rPr>
          <w:rFonts w:ascii="Times New Roman" w:hAnsi="Times New Roman" w:cs="Times New Roman"/>
          <w:sz w:val="24"/>
          <w:szCs w:val="24"/>
        </w:rPr>
        <w:t xml:space="preserve">Se encuentran </w:t>
      </w:r>
      <w:r w:rsidR="00BC419B">
        <w:rPr>
          <w:rFonts w:ascii="Times New Roman" w:hAnsi="Times New Roman" w:cs="Times New Roman"/>
          <w:sz w:val="24"/>
          <w:szCs w:val="24"/>
        </w:rPr>
        <w:t xml:space="preserve">aún </w:t>
      </w:r>
      <w:r w:rsidRPr="00AA3524">
        <w:rPr>
          <w:rFonts w:ascii="Times New Roman" w:hAnsi="Times New Roman" w:cs="Times New Roman"/>
          <w:sz w:val="24"/>
          <w:szCs w:val="24"/>
        </w:rPr>
        <w:t>en proceso de corrección diversas</w:t>
      </w:r>
      <w:r w:rsidR="00DE5293" w:rsidRPr="00AA3524">
        <w:rPr>
          <w:rFonts w:ascii="Times New Roman" w:hAnsi="Times New Roman" w:cs="Times New Roman"/>
          <w:sz w:val="24"/>
          <w:szCs w:val="24"/>
        </w:rPr>
        <w:t xml:space="preserve"> </w:t>
      </w:r>
      <w:r w:rsidRPr="00AA3524">
        <w:rPr>
          <w:rFonts w:ascii="Times New Roman" w:hAnsi="Times New Roman" w:cs="Times New Roman"/>
          <w:sz w:val="24"/>
          <w:szCs w:val="24"/>
        </w:rPr>
        <w:t>debilidades de control interno y mitigación</w:t>
      </w:r>
      <w:r w:rsidR="006E3306" w:rsidRPr="00AA3524">
        <w:rPr>
          <w:rFonts w:ascii="Times New Roman" w:hAnsi="Times New Roman" w:cs="Times New Roman"/>
          <w:sz w:val="24"/>
          <w:szCs w:val="24"/>
        </w:rPr>
        <w:t xml:space="preserve"> de</w:t>
      </w:r>
      <w:r w:rsidR="00BC419B">
        <w:rPr>
          <w:rFonts w:ascii="Times New Roman" w:hAnsi="Times New Roman" w:cs="Times New Roman"/>
          <w:sz w:val="24"/>
          <w:szCs w:val="24"/>
        </w:rPr>
        <w:t xml:space="preserve"> riesgos, señalada</w:t>
      </w:r>
      <w:r w:rsidRPr="00AA3524">
        <w:rPr>
          <w:rFonts w:ascii="Times New Roman" w:hAnsi="Times New Roman" w:cs="Times New Roman"/>
          <w:sz w:val="24"/>
          <w:szCs w:val="24"/>
        </w:rPr>
        <w:t>s por la SUPEN</w:t>
      </w:r>
      <w:r w:rsidR="007B476C" w:rsidRPr="00AA3524">
        <w:rPr>
          <w:rFonts w:ascii="Times New Roman" w:hAnsi="Times New Roman" w:cs="Times New Roman"/>
          <w:sz w:val="24"/>
          <w:szCs w:val="24"/>
        </w:rPr>
        <w:t>, entre otra</w:t>
      </w:r>
      <w:r w:rsidRPr="00AA3524">
        <w:rPr>
          <w:rFonts w:ascii="Times New Roman" w:hAnsi="Times New Roman" w:cs="Times New Roman"/>
          <w:sz w:val="24"/>
          <w:szCs w:val="24"/>
        </w:rPr>
        <w:t xml:space="preserve">s, </w:t>
      </w:r>
      <w:r w:rsidR="001C4168" w:rsidRPr="00AA3524">
        <w:rPr>
          <w:rFonts w:ascii="Times New Roman" w:hAnsi="Times New Roman" w:cs="Times New Roman"/>
          <w:sz w:val="24"/>
          <w:szCs w:val="24"/>
        </w:rPr>
        <w:t>inconsistencias</w:t>
      </w:r>
      <w:r w:rsidRPr="00AA3524">
        <w:rPr>
          <w:rFonts w:ascii="Times New Roman" w:hAnsi="Times New Roman" w:cs="Times New Roman"/>
          <w:sz w:val="24"/>
          <w:szCs w:val="24"/>
        </w:rPr>
        <w:t xml:space="preserve"> en el manejo de la cartera de créditos</w:t>
      </w:r>
      <w:r w:rsidR="00350388" w:rsidRPr="00AA3524">
        <w:rPr>
          <w:rFonts w:ascii="Times New Roman" w:hAnsi="Times New Roman" w:cs="Times New Roman"/>
          <w:sz w:val="24"/>
          <w:szCs w:val="24"/>
        </w:rPr>
        <w:t xml:space="preserve"> (SICRE)</w:t>
      </w:r>
      <w:r w:rsidRPr="00AA3524">
        <w:rPr>
          <w:rFonts w:ascii="Times New Roman" w:hAnsi="Times New Roman" w:cs="Times New Roman"/>
          <w:sz w:val="24"/>
          <w:szCs w:val="24"/>
        </w:rPr>
        <w:t>, formalización del cobro del servicio por la gestión de las inversiones del S</w:t>
      </w:r>
      <w:r w:rsidR="00AA3524">
        <w:rPr>
          <w:rFonts w:ascii="Times New Roman" w:hAnsi="Times New Roman" w:cs="Times New Roman"/>
          <w:sz w:val="24"/>
          <w:szCs w:val="24"/>
        </w:rPr>
        <w:t xml:space="preserve">eguro de </w:t>
      </w:r>
      <w:r w:rsidRPr="00AA3524">
        <w:rPr>
          <w:rFonts w:ascii="Times New Roman" w:hAnsi="Times New Roman" w:cs="Times New Roman"/>
          <w:sz w:val="24"/>
          <w:szCs w:val="24"/>
        </w:rPr>
        <w:t>E</w:t>
      </w:r>
      <w:r w:rsidR="00AA3524">
        <w:rPr>
          <w:rFonts w:ascii="Times New Roman" w:hAnsi="Times New Roman" w:cs="Times New Roman"/>
          <w:sz w:val="24"/>
          <w:szCs w:val="24"/>
        </w:rPr>
        <w:t xml:space="preserve">nfermedad y </w:t>
      </w:r>
      <w:r w:rsidRPr="00AA3524">
        <w:rPr>
          <w:rFonts w:ascii="Times New Roman" w:hAnsi="Times New Roman" w:cs="Times New Roman"/>
          <w:sz w:val="24"/>
          <w:szCs w:val="24"/>
        </w:rPr>
        <w:t>M</w:t>
      </w:r>
      <w:r w:rsidR="00AA3524">
        <w:rPr>
          <w:rFonts w:ascii="Times New Roman" w:hAnsi="Times New Roman" w:cs="Times New Roman"/>
          <w:sz w:val="24"/>
          <w:szCs w:val="24"/>
        </w:rPr>
        <w:t>aternidad</w:t>
      </w:r>
      <w:r w:rsidR="00BC419B">
        <w:rPr>
          <w:rFonts w:ascii="Times New Roman" w:hAnsi="Times New Roman" w:cs="Times New Roman"/>
          <w:sz w:val="24"/>
          <w:szCs w:val="24"/>
        </w:rPr>
        <w:t xml:space="preserve">, </w:t>
      </w:r>
      <w:r w:rsidRPr="00AA3524">
        <w:rPr>
          <w:rFonts w:ascii="Times New Roman" w:hAnsi="Times New Roman" w:cs="Times New Roman"/>
          <w:sz w:val="24"/>
          <w:szCs w:val="24"/>
        </w:rPr>
        <w:t>sistemas de información obsoletos</w:t>
      </w:r>
      <w:r w:rsidR="00DA1A55" w:rsidRPr="00AA3524">
        <w:rPr>
          <w:rFonts w:ascii="Times New Roman" w:hAnsi="Times New Roman" w:cs="Times New Roman"/>
          <w:sz w:val="24"/>
          <w:szCs w:val="24"/>
        </w:rPr>
        <w:t xml:space="preserve">, </w:t>
      </w:r>
      <w:r w:rsidRPr="00AA3524">
        <w:rPr>
          <w:rFonts w:ascii="Times New Roman" w:hAnsi="Times New Roman" w:cs="Times New Roman"/>
          <w:sz w:val="24"/>
          <w:szCs w:val="24"/>
        </w:rPr>
        <w:t>poco flexibles y que no se encuentran integrados,</w:t>
      </w:r>
      <w:r w:rsidR="00DA1A55" w:rsidRPr="00AA3524">
        <w:rPr>
          <w:rFonts w:ascii="Times New Roman" w:hAnsi="Times New Roman" w:cs="Times New Roman"/>
          <w:sz w:val="24"/>
          <w:szCs w:val="24"/>
        </w:rPr>
        <w:t xml:space="preserve"> </w:t>
      </w:r>
      <w:r w:rsidRPr="00AA3524">
        <w:rPr>
          <w:rFonts w:ascii="Times New Roman" w:hAnsi="Times New Roman" w:cs="Times New Roman"/>
          <w:sz w:val="24"/>
          <w:szCs w:val="24"/>
        </w:rPr>
        <w:t xml:space="preserve">registros inadecuados de algunas provisiones y falta de controles operativos y contables sobre las cuentas por cobrar. </w:t>
      </w:r>
    </w:p>
    <w:p w14:paraId="59C0543D" w14:textId="77777777" w:rsidR="00794D16" w:rsidRPr="00AA3524" w:rsidRDefault="00794D16" w:rsidP="00E76849">
      <w:pPr>
        <w:pStyle w:val="Prrafodelista"/>
        <w:spacing w:after="0"/>
        <w:ind w:left="1080"/>
        <w:jc w:val="both"/>
        <w:rPr>
          <w:rFonts w:ascii="Times New Roman" w:hAnsi="Times New Roman" w:cs="Times New Roman"/>
          <w:sz w:val="24"/>
          <w:szCs w:val="24"/>
          <w:lang w:eastAsia="es-ES_tradnl"/>
        </w:rPr>
      </w:pPr>
    </w:p>
    <w:p w14:paraId="7B673D1F" w14:textId="45D46402" w:rsidR="00794D16" w:rsidRDefault="002D029F" w:rsidP="00E944D3">
      <w:pPr>
        <w:pStyle w:val="Prrafodelista"/>
        <w:numPr>
          <w:ilvl w:val="0"/>
          <w:numId w:val="18"/>
        </w:numPr>
        <w:spacing w:after="0"/>
        <w:ind w:left="714" w:hanging="357"/>
        <w:jc w:val="both"/>
        <w:rPr>
          <w:rFonts w:ascii="Times New Roman" w:hAnsi="Times New Roman" w:cs="Times New Roman"/>
          <w:sz w:val="24"/>
          <w:szCs w:val="24"/>
        </w:rPr>
      </w:pPr>
      <w:r w:rsidRPr="002D029F">
        <w:rPr>
          <w:rFonts w:ascii="Times New Roman" w:hAnsi="Times New Roman" w:cs="Times New Roman"/>
          <w:sz w:val="24"/>
          <w:szCs w:val="24"/>
        </w:rPr>
        <w:t>Sigue pendiente</w:t>
      </w:r>
      <w:r w:rsidR="00794D16" w:rsidRPr="002D029F">
        <w:rPr>
          <w:rFonts w:ascii="Times New Roman" w:hAnsi="Times New Roman" w:cs="Times New Roman"/>
          <w:sz w:val="24"/>
          <w:szCs w:val="24"/>
        </w:rPr>
        <w:t xml:space="preserve"> la decisión de formalizar, en la contabilidad del RIVM, el registro de la valoración a precios de mercado del portafolio de inversiones y la implementación de método de amortización de tasa de interés efectiva.</w:t>
      </w:r>
    </w:p>
    <w:p w14:paraId="1A3C0294" w14:textId="77777777" w:rsidR="006B237E" w:rsidRPr="006B237E" w:rsidRDefault="006B237E" w:rsidP="006B237E">
      <w:pPr>
        <w:pStyle w:val="Prrafodelista"/>
        <w:rPr>
          <w:rFonts w:ascii="Times New Roman" w:hAnsi="Times New Roman" w:cs="Times New Roman"/>
          <w:sz w:val="24"/>
          <w:szCs w:val="24"/>
        </w:rPr>
      </w:pPr>
    </w:p>
    <w:p w14:paraId="000D7387" w14:textId="1349C394" w:rsidR="006B237E" w:rsidRDefault="002C7163" w:rsidP="00E944D3">
      <w:pPr>
        <w:pStyle w:val="Prrafodelista"/>
        <w:numPr>
          <w:ilvl w:val="0"/>
          <w:numId w:val="1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En </w:t>
      </w:r>
      <w:r w:rsidR="00565CEE">
        <w:rPr>
          <w:rFonts w:ascii="Times New Roman" w:hAnsi="Times New Roman" w:cs="Times New Roman"/>
          <w:sz w:val="24"/>
          <w:szCs w:val="24"/>
        </w:rPr>
        <w:t>visita</w:t>
      </w:r>
      <w:r w:rsidR="008B5323">
        <w:rPr>
          <w:rFonts w:ascii="Times New Roman" w:hAnsi="Times New Roman" w:cs="Times New Roman"/>
          <w:sz w:val="24"/>
          <w:szCs w:val="24"/>
        </w:rPr>
        <w:t xml:space="preserve"> </w:t>
      </w:r>
      <w:r w:rsidR="00565CEE">
        <w:rPr>
          <w:rFonts w:ascii="Times New Roman" w:hAnsi="Times New Roman" w:cs="Times New Roman"/>
          <w:sz w:val="24"/>
          <w:szCs w:val="24"/>
        </w:rPr>
        <w:t>concluida</w:t>
      </w:r>
      <w:r w:rsidR="008B5323">
        <w:rPr>
          <w:rFonts w:ascii="Times New Roman" w:hAnsi="Times New Roman" w:cs="Times New Roman"/>
          <w:sz w:val="24"/>
          <w:szCs w:val="24"/>
        </w:rPr>
        <w:t xml:space="preserve"> </w:t>
      </w:r>
      <w:r w:rsidR="00083EAE">
        <w:rPr>
          <w:rFonts w:ascii="Times New Roman" w:hAnsi="Times New Roman" w:cs="Times New Roman"/>
          <w:sz w:val="24"/>
          <w:szCs w:val="24"/>
        </w:rPr>
        <w:t xml:space="preserve">en </w:t>
      </w:r>
      <w:r w:rsidR="008B5323">
        <w:rPr>
          <w:rFonts w:ascii="Times New Roman" w:hAnsi="Times New Roman" w:cs="Times New Roman"/>
          <w:sz w:val="24"/>
          <w:szCs w:val="24"/>
        </w:rPr>
        <w:t>agosto de 2016,</w:t>
      </w:r>
      <w:r>
        <w:rPr>
          <w:rFonts w:ascii="Times New Roman" w:hAnsi="Times New Roman" w:cs="Times New Roman"/>
          <w:sz w:val="24"/>
          <w:szCs w:val="24"/>
        </w:rPr>
        <w:t xml:space="preserve"> </w:t>
      </w:r>
      <w:r w:rsidR="008B5323">
        <w:rPr>
          <w:rFonts w:ascii="Times New Roman" w:hAnsi="Times New Roman" w:cs="Times New Roman"/>
          <w:sz w:val="24"/>
          <w:szCs w:val="24"/>
        </w:rPr>
        <w:t>sobre</w:t>
      </w:r>
      <w:r w:rsidR="006B237E" w:rsidRPr="006B237E">
        <w:rPr>
          <w:rFonts w:ascii="Times New Roman" w:hAnsi="Times New Roman" w:cs="Times New Roman"/>
          <w:sz w:val="24"/>
          <w:szCs w:val="24"/>
        </w:rPr>
        <w:t xml:space="preserve"> la gestión de riesgos </w:t>
      </w:r>
      <w:r w:rsidR="008B5323">
        <w:rPr>
          <w:rFonts w:ascii="Times New Roman" w:hAnsi="Times New Roman" w:cs="Times New Roman"/>
          <w:sz w:val="24"/>
          <w:szCs w:val="24"/>
        </w:rPr>
        <w:t>de este régimen</w:t>
      </w:r>
      <w:r w:rsidR="006B237E" w:rsidRPr="006B237E">
        <w:rPr>
          <w:rFonts w:ascii="Times New Roman" w:hAnsi="Times New Roman" w:cs="Times New Roman"/>
          <w:sz w:val="24"/>
          <w:szCs w:val="24"/>
        </w:rPr>
        <w:t xml:space="preserve">, </w:t>
      </w:r>
      <w:r w:rsidR="008B5323">
        <w:rPr>
          <w:rFonts w:ascii="Times New Roman" w:hAnsi="Times New Roman" w:cs="Times New Roman"/>
          <w:sz w:val="24"/>
          <w:szCs w:val="24"/>
        </w:rPr>
        <w:t>se observaron entre otras, las siguientes si</w:t>
      </w:r>
      <w:r w:rsidR="00DA37DE">
        <w:rPr>
          <w:rFonts w:ascii="Times New Roman" w:hAnsi="Times New Roman" w:cs="Times New Roman"/>
          <w:sz w:val="24"/>
          <w:szCs w:val="24"/>
        </w:rPr>
        <w:t>tuaciones, que constituyen</w:t>
      </w:r>
      <w:r w:rsidR="008B5323">
        <w:rPr>
          <w:rFonts w:ascii="Times New Roman" w:hAnsi="Times New Roman" w:cs="Times New Roman"/>
          <w:sz w:val="24"/>
          <w:szCs w:val="24"/>
        </w:rPr>
        <w:t xml:space="preserve"> oportunidades de mejora:</w:t>
      </w:r>
    </w:p>
    <w:p w14:paraId="73BAF0C1" w14:textId="77777777" w:rsidR="00323FBB" w:rsidRPr="00323FBB" w:rsidRDefault="00323FBB" w:rsidP="00323FBB">
      <w:pPr>
        <w:pStyle w:val="Prrafodelista"/>
        <w:rPr>
          <w:rFonts w:ascii="Times New Roman" w:hAnsi="Times New Roman" w:cs="Times New Roman"/>
          <w:sz w:val="24"/>
          <w:szCs w:val="24"/>
        </w:rPr>
      </w:pPr>
    </w:p>
    <w:p w14:paraId="4477EDC3" w14:textId="77777777" w:rsidR="00D77F93" w:rsidRPr="00D77F93" w:rsidRDefault="00D77F93" w:rsidP="00D77F93">
      <w:pPr>
        <w:pStyle w:val="Prrafodelista"/>
        <w:numPr>
          <w:ilvl w:val="1"/>
          <w:numId w:val="18"/>
        </w:numPr>
        <w:jc w:val="both"/>
        <w:rPr>
          <w:rFonts w:ascii="Times New Roman" w:hAnsi="Times New Roman" w:cs="Times New Roman"/>
          <w:sz w:val="24"/>
          <w:szCs w:val="24"/>
        </w:rPr>
      </w:pPr>
      <w:r w:rsidRPr="00D77F93">
        <w:rPr>
          <w:rFonts w:ascii="Times New Roman" w:hAnsi="Times New Roman" w:cs="Times New Roman"/>
          <w:sz w:val="24"/>
          <w:szCs w:val="24"/>
        </w:rPr>
        <w:t xml:space="preserve">No se realizan evaluaciones de los riesgos de solvencia, estratégico y de gobierno corporativo a los que está expuesto el RIVM, como parte de las sanas prácticas de mitigación de riesgos.  </w:t>
      </w:r>
    </w:p>
    <w:p w14:paraId="63310FFF" w14:textId="0ACD87B3" w:rsidR="00D16822" w:rsidRDefault="00CF5F5D" w:rsidP="00CF5F5D">
      <w:pPr>
        <w:pStyle w:val="Prrafodelista"/>
        <w:numPr>
          <w:ilvl w:val="1"/>
          <w:numId w:val="18"/>
        </w:numPr>
        <w:jc w:val="both"/>
        <w:rPr>
          <w:rFonts w:ascii="Times New Roman" w:hAnsi="Times New Roman" w:cs="Times New Roman"/>
          <w:sz w:val="24"/>
          <w:szCs w:val="24"/>
        </w:rPr>
      </w:pPr>
      <w:r w:rsidRPr="00CF5F5D">
        <w:rPr>
          <w:rFonts w:ascii="Times New Roman" w:hAnsi="Times New Roman" w:cs="Times New Roman"/>
          <w:sz w:val="24"/>
          <w:szCs w:val="24"/>
        </w:rPr>
        <w:t xml:space="preserve">Existe una alta concentración de la cartera en </w:t>
      </w:r>
      <w:r w:rsidR="00C0169C">
        <w:rPr>
          <w:rFonts w:ascii="Times New Roman" w:hAnsi="Times New Roman" w:cs="Times New Roman"/>
          <w:sz w:val="24"/>
          <w:szCs w:val="24"/>
        </w:rPr>
        <w:t>el Sector P</w:t>
      </w:r>
      <w:r w:rsidRPr="00CF5F5D">
        <w:rPr>
          <w:rFonts w:ascii="Times New Roman" w:hAnsi="Times New Roman" w:cs="Times New Roman"/>
          <w:sz w:val="24"/>
          <w:szCs w:val="24"/>
        </w:rPr>
        <w:t xml:space="preserve">úblico y se expone al régimen a una alta correlación entre las diferentes inversiones por emisor, asociado al riesgo país y las políticas de gobierno que les afecta.  </w:t>
      </w:r>
    </w:p>
    <w:p w14:paraId="34CB05EF" w14:textId="1C6C3D1A" w:rsidR="00CF5F5D" w:rsidRPr="00CF5F5D" w:rsidRDefault="00D16822" w:rsidP="00CF5F5D">
      <w:pPr>
        <w:pStyle w:val="Prrafodelista"/>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No </w:t>
      </w:r>
      <w:r w:rsidR="00CF5F5D" w:rsidRPr="00CF5F5D">
        <w:rPr>
          <w:rFonts w:ascii="Times New Roman" w:hAnsi="Times New Roman" w:cs="Times New Roman"/>
          <w:sz w:val="24"/>
          <w:szCs w:val="24"/>
        </w:rPr>
        <w:t>se realizan pruebas de simulación para cuantificar las posibles pérdidas por incumplimiento de pagos o cambio en la calificación de riesgo de un emisor.</w:t>
      </w:r>
    </w:p>
    <w:p w14:paraId="356B21B0" w14:textId="77777777" w:rsidR="00001C31" w:rsidRPr="00001C31" w:rsidRDefault="00001C31" w:rsidP="00E31B6A">
      <w:pPr>
        <w:pStyle w:val="Prrafodelista"/>
        <w:numPr>
          <w:ilvl w:val="1"/>
          <w:numId w:val="18"/>
        </w:numPr>
        <w:jc w:val="both"/>
        <w:rPr>
          <w:rFonts w:ascii="Times New Roman" w:hAnsi="Times New Roman" w:cs="Times New Roman"/>
          <w:sz w:val="24"/>
          <w:szCs w:val="24"/>
        </w:rPr>
      </w:pPr>
      <w:r w:rsidRPr="00001C31">
        <w:rPr>
          <w:rFonts w:ascii="Times New Roman" w:hAnsi="Times New Roman" w:cs="Times New Roman"/>
          <w:sz w:val="24"/>
          <w:szCs w:val="24"/>
        </w:rPr>
        <w:t>Se identificaron debilidades en el control interno que ponen en evidencia la exposición a riesgos operativos dada la falta de instrumentos que normalicen la gestión del RIVM y que sirvan para implementar, monitorear y controlar los riesgos.</w:t>
      </w:r>
    </w:p>
    <w:p w14:paraId="6DAC7D81" w14:textId="77777777" w:rsidR="00794D16" w:rsidRPr="005D4784" w:rsidRDefault="00794D16" w:rsidP="00E76849">
      <w:pPr>
        <w:pStyle w:val="Prrafodelista"/>
        <w:spacing w:after="0"/>
        <w:ind w:left="1080"/>
        <w:jc w:val="both"/>
        <w:rPr>
          <w:rFonts w:ascii="Times New Roman" w:hAnsi="Times New Roman" w:cs="Times New Roman"/>
          <w:sz w:val="24"/>
          <w:szCs w:val="24"/>
          <w:highlight w:val="yellow"/>
        </w:rPr>
      </w:pPr>
    </w:p>
    <w:p w14:paraId="71B4D528" w14:textId="6E8401C6" w:rsidR="00D870E8" w:rsidRDefault="00D870E8" w:rsidP="00D870E8">
      <w:pPr>
        <w:pStyle w:val="Prrafodelista"/>
        <w:numPr>
          <w:ilvl w:val="0"/>
          <w:numId w:val="1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Se observa una revelación en el literal c) del artículo 9 del </w:t>
      </w:r>
      <w:r w:rsidRPr="009E457A">
        <w:rPr>
          <w:rFonts w:ascii="Times New Roman" w:hAnsi="Times New Roman" w:cs="Times New Roman"/>
          <w:sz w:val="24"/>
          <w:szCs w:val="24"/>
        </w:rPr>
        <w:t>Reglamento para la Administración Integral de Riesgos Financieros de los Fondos Institucionales</w:t>
      </w:r>
      <w:r>
        <w:rPr>
          <w:rFonts w:ascii="Times New Roman" w:hAnsi="Times New Roman" w:cs="Times New Roman"/>
          <w:sz w:val="24"/>
          <w:szCs w:val="24"/>
        </w:rPr>
        <w:t xml:space="preserve"> que no concuerda con estructura organizacional vigente, debido a que el Área de Adminis</w:t>
      </w:r>
      <w:r w:rsidR="002F06E6">
        <w:rPr>
          <w:rFonts w:ascii="Times New Roman" w:hAnsi="Times New Roman" w:cs="Times New Roman"/>
          <w:sz w:val="24"/>
          <w:szCs w:val="24"/>
        </w:rPr>
        <w:t>tración de Riesgos está adscrita</w:t>
      </w:r>
      <w:r>
        <w:rPr>
          <w:rFonts w:ascii="Times New Roman" w:hAnsi="Times New Roman" w:cs="Times New Roman"/>
          <w:sz w:val="24"/>
          <w:szCs w:val="24"/>
        </w:rPr>
        <w:t xml:space="preserve"> a la Dirección Actuarial y no a la Gerencia </w:t>
      </w:r>
      <w:r>
        <w:rPr>
          <w:rFonts w:ascii="Times New Roman" w:hAnsi="Times New Roman" w:cs="Times New Roman"/>
          <w:sz w:val="24"/>
          <w:szCs w:val="24"/>
        </w:rPr>
        <w:lastRenderedPageBreak/>
        <w:t xml:space="preserve">de Pensiones. Adicionalmente, es importante </w:t>
      </w:r>
      <w:r w:rsidR="00C0169C">
        <w:rPr>
          <w:rFonts w:ascii="Times New Roman" w:hAnsi="Times New Roman" w:cs="Times New Roman"/>
          <w:sz w:val="24"/>
          <w:szCs w:val="24"/>
        </w:rPr>
        <w:t xml:space="preserve">que </w:t>
      </w:r>
      <w:r>
        <w:rPr>
          <w:rFonts w:ascii="Times New Roman" w:hAnsi="Times New Roman" w:cs="Times New Roman"/>
          <w:sz w:val="24"/>
          <w:szCs w:val="24"/>
        </w:rPr>
        <w:t>se considere el tema del eventual conflicto de interés ocasionado con la integración de los miembros del Comité de Riesgos y la adscripción jerárquica del Área de Riesgos.</w:t>
      </w:r>
    </w:p>
    <w:p w14:paraId="345BD3CB" w14:textId="77777777" w:rsidR="00D870E8" w:rsidRPr="00D870E8" w:rsidRDefault="00D870E8" w:rsidP="00D870E8">
      <w:pPr>
        <w:spacing w:after="0"/>
        <w:ind w:left="357"/>
        <w:jc w:val="both"/>
        <w:rPr>
          <w:rFonts w:ascii="Times New Roman" w:hAnsi="Times New Roman" w:cs="Times New Roman"/>
          <w:sz w:val="24"/>
          <w:szCs w:val="24"/>
        </w:rPr>
      </w:pPr>
    </w:p>
    <w:p w14:paraId="0D57BCB8" w14:textId="491E9CCF" w:rsidR="00794D16" w:rsidRPr="00AD23BC" w:rsidRDefault="005F73CF" w:rsidP="00E944D3">
      <w:pPr>
        <w:pStyle w:val="Prrafodelista"/>
        <w:numPr>
          <w:ilvl w:val="0"/>
          <w:numId w:val="1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La alta concentración que s</w:t>
      </w:r>
      <w:r w:rsidR="003C6A97">
        <w:rPr>
          <w:rFonts w:ascii="Times New Roman" w:hAnsi="Times New Roman" w:cs="Times New Roman"/>
          <w:sz w:val="24"/>
          <w:szCs w:val="24"/>
        </w:rPr>
        <w:t xml:space="preserve">e mantiene </w:t>
      </w:r>
      <w:r>
        <w:rPr>
          <w:rFonts w:ascii="Times New Roman" w:hAnsi="Times New Roman" w:cs="Times New Roman"/>
          <w:sz w:val="24"/>
          <w:szCs w:val="24"/>
        </w:rPr>
        <w:t>en el</w:t>
      </w:r>
      <w:r w:rsidR="003C6A97">
        <w:rPr>
          <w:rFonts w:ascii="Times New Roman" w:hAnsi="Times New Roman" w:cs="Times New Roman"/>
          <w:sz w:val="24"/>
          <w:szCs w:val="24"/>
        </w:rPr>
        <w:t xml:space="preserve"> </w:t>
      </w:r>
      <w:r w:rsidR="00794D16" w:rsidRPr="00AD23BC">
        <w:rPr>
          <w:rFonts w:ascii="Times New Roman" w:hAnsi="Times New Roman" w:cs="Times New Roman"/>
          <w:sz w:val="24"/>
          <w:szCs w:val="24"/>
        </w:rPr>
        <w:t xml:space="preserve">portafolio de inversiones </w:t>
      </w:r>
      <w:r w:rsidR="001C4168" w:rsidRPr="00AD23BC">
        <w:rPr>
          <w:rFonts w:ascii="Times New Roman" w:hAnsi="Times New Roman" w:cs="Times New Roman"/>
          <w:sz w:val="24"/>
          <w:szCs w:val="24"/>
        </w:rPr>
        <w:t xml:space="preserve">del </w:t>
      </w:r>
      <w:r w:rsidR="00C0169C">
        <w:rPr>
          <w:rFonts w:ascii="Times New Roman" w:hAnsi="Times New Roman" w:cs="Times New Roman"/>
          <w:sz w:val="24"/>
          <w:szCs w:val="24"/>
        </w:rPr>
        <w:t>Sector P</w:t>
      </w:r>
      <w:r w:rsidR="00794D16" w:rsidRPr="00AD23BC">
        <w:rPr>
          <w:rFonts w:ascii="Times New Roman" w:hAnsi="Times New Roman" w:cs="Times New Roman"/>
          <w:sz w:val="24"/>
          <w:szCs w:val="24"/>
        </w:rPr>
        <w:t xml:space="preserve">úblico, </w:t>
      </w:r>
      <w:r w:rsidR="00252254">
        <w:rPr>
          <w:rFonts w:ascii="Times New Roman" w:hAnsi="Times New Roman" w:cs="Times New Roman"/>
          <w:sz w:val="24"/>
          <w:szCs w:val="24"/>
        </w:rPr>
        <w:t xml:space="preserve">expone al </w:t>
      </w:r>
      <w:r w:rsidR="00D035AF">
        <w:rPr>
          <w:rFonts w:ascii="Times New Roman" w:hAnsi="Times New Roman" w:cs="Times New Roman"/>
          <w:sz w:val="24"/>
          <w:szCs w:val="24"/>
        </w:rPr>
        <w:t xml:space="preserve">régimen </w:t>
      </w:r>
      <w:r w:rsidR="00D035AF" w:rsidRPr="00AD23BC">
        <w:rPr>
          <w:rFonts w:ascii="Times New Roman" w:hAnsi="Times New Roman" w:cs="Times New Roman"/>
          <w:sz w:val="24"/>
          <w:szCs w:val="24"/>
        </w:rPr>
        <w:t>a</w:t>
      </w:r>
      <w:r w:rsidR="00794D16" w:rsidRPr="00AD23BC">
        <w:rPr>
          <w:rFonts w:ascii="Times New Roman" w:hAnsi="Times New Roman" w:cs="Times New Roman"/>
          <w:sz w:val="24"/>
          <w:szCs w:val="24"/>
        </w:rPr>
        <w:t xml:space="preserve"> potenciales pérdidas por cambios en la economía nacional e internacional o por una desmejora en la calificación crediticia de los emisores o cesación de pagos.</w:t>
      </w:r>
    </w:p>
    <w:p w14:paraId="79EFA63F" w14:textId="77777777" w:rsidR="00794D16" w:rsidRPr="005D4784" w:rsidRDefault="00794D16" w:rsidP="00E76849">
      <w:pPr>
        <w:pStyle w:val="Prrafodelista"/>
        <w:spacing w:after="0"/>
        <w:ind w:left="1080"/>
        <w:jc w:val="both"/>
        <w:rPr>
          <w:rFonts w:ascii="Times New Roman" w:hAnsi="Times New Roman" w:cs="Times New Roman"/>
          <w:sz w:val="24"/>
          <w:szCs w:val="24"/>
          <w:highlight w:val="yellow"/>
        </w:rPr>
      </w:pPr>
    </w:p>
    <w:p w14:paraId="79C9C30F" w14:textId="5F4EEA5D" w:rsidR="00794D16" w:rsidRPr="00D035AF" w:rsidRDefault="00D035AF" w:rsidP="00E944D3">
      <w:pPr>
        <w:pStyle w:val="Prrafodelista"/>
        <w:numPr>
          <w:ilvl w:val="0"/>
          <w:numId w:val="18"/>
        </w:numPr>
        <w:spacing w:after="0"/>
        <w:ind w:left="714" w:hanging="357"/>
        <w:jc w:val="both"/>
        <w:rPr>
          <w:rFonts w:ascii="Times New Roman" w:hAnsi="Times New Roman" w:cs="Times New Roman"/>
          <w:sz w:val="24"/>
          <w:szCs w:val="24"/>
        </w:rPr>
      </w:pPr>
      <w:r w:rsidRPr="00D035AF">
        <w:rPr>
          <w:rFonts w:ascii="Times New Roman" w:hAnsi="Times New Roman" w:cs="Times New Roman"/>
          <w:sz w:val="24"/>
          <w:szCs w:val="24"/>
        </w:rPr>
        <w:t>Continúa pendiente el</w:t>
      </w:r>
      <w:r w:rsidR="00794D16" w:rsidRPr="00D035AF">
        <w:rPr>
          <w:rFonts w:ascii="Times New Roman" w:hAnsi="Times New Roman" w:cs="Times New Roman"/>
          <w:sz w:val="24"/>
          <w:szCs w:val="24"/>
        </w:rPr>
        <w:t xml:space="preserve"> comunicado </w:t>
      </w:r>
      <w:r w:rsidRPr="00D035AF">
        <w:rPr>
          <w:rFonts w:ascii="Times New Roman" w:hAnsi="Times New Roman" w:cs="Times New Roman"/>
          <w:sz w:val="24"/>
          <w:szCs w:val="24"/>
        </w:rPr>
        <w:t>d</w:t>
      </w:r>
      <w:r w:rsidR="00794D16" w:rsidRPr="00D035AF">
        <w:rPr>
          <w:rFonts w:ascii="Times New Roman" w:hAnsi="Times New Roman" w:cs="Times New Roman"/>
          <w:sz w:val="24"/>
          <w:szCs w:val="24"/>
        </w:rPr>
        <w:t>el resultado final de la investigación</w:t>
      </w:r>
      <w:r w:rsidR="00FE4C0A">
        <w:rPr>
          <w:rFonts w:ascii="Times New Roman" w:hAnsi="Times New Roman" w:cs="Times New Roman"/>
          <w:sz w:val="24"/>
          <w:szCs w:val="24"/>
        </w:rPr>
        <w:t xml:space="preserve"> iniciada,</w:t>
      </w:r>
      <w:r w:rsidR="00794D16" w:rsidRPr="00D035AF">
        <w:rPr>
          <w:rFonts w:ascii="Times New Roman" w:hAnsi="Times New Roman" w:cs="Times New Roman"/>
          <w:sz w:val="24"/>
          <w:szCs w:val="24"/>
        </w:rPr>
        <w:t xml:space="preserve"> para determinar la eventual responsabilidad administrativa, por no suministrar las actas del Comité de Inversiones de las sesiones 120 a la 129-2010 y de la 130 a la 138-2011.</w:t>
      </w:r>
    </w:p>
    <w:p w14:paraId="4C4D002C" w14:textId="77777777" w:rsidR="00794D16" w:rsidRPr="005D4784" w:rsidRDefault="00794D16" w:rsidP="00E76849">
      <w:pPr>
        <w:pStyle w:val="Prrafodelista"/>
        <w:spacing w:after="0"/>
        <w:ind w:left="1080"/>
        <w:jc w:val="both"/>
        <w:rPr>
          <w:rFonts w:ascii="Times New Roman" w:hAnsi="Times New Roman" w:cs="Times New Roman"/>
          <w:sz w:val="24"/>
          <w:szCs w:val="24"/>
          <w:highlight w:val="yellow"/>
        </w:rPr>
      </w:pPr>
    </w:p>
    <w:p w14:paraId="16A01879" w14:textId="383A94BA" w:rsidR="007B043F" w:rsidRDefault="006113CE" w:rsidP="00C41FE4">
      <w:pPr>
        <w:pStyle w:val="Prrafodelista"/>
        <w:numPr>
          <w:ilvl w:val="0"/>
          <w:numId w:val="18"/>
        </w:numPr>
        <w:spacing w:after="0"/>
        <w:ind w:left="714" w:hanging="357"/>
        <w:jc w:val="both"/>
        <w:rPr>
          <w:rFonts w:ascii="Times New Roman" w:hAnsi="Times New Roman" w:cs="Times New Roman"/>
          <w:sz w:val="24"/>
          <w:szCs w:val="24"/>
        </w:rPr>
      </w:pPr>
      <w:r w:rsidRPr="00F20F5A">
        <w:rPr>
          <w:rFonts w:ascii="Times New Roman" w:hAnsi="Times New Roman" w:cs="Times New Roman"/>
          <w:sz w:val="24"/>
          <w:szCs w:val="24"/>
        </w:rPr>
        <w:t xml:space="preserve">Se mantiene </w:t>
      </w:r>
      <w:r w:rsidR="0090799A" w:rsidRPr="00F20F5A">
        <w:rPr>
          <w:rFonts w:ascii="Times New Roman" w:hAnsi="Times New Roman" w:cs="Times New Roman"/>
          <w:sz w:val="24"/>
          <w:szCs w:val="24"/>
        </w:rPr>
        <w:t xml:space="preserve">una actitud lenta por parte de la </w:t>
      </w:r>
      <w:r w:rsidR="00794D16" w:rsidRPr="00F20F5A">
        <w:rPr>
          <w:rFonts w:ascii="Times New Roman" w:hAnsi="Times New Roman" w:cs="Times New Roman"/>
          <w:sz w:val="24"/>
          <w:szCs w:val="24"/>
        </w:rPr>
        <w:t xml:space="preserve">CCSS </w:t>
      </w:r>
      <w:r w:rsidR="0090799A" w:rsidRPr="00F20F5A">
        <w:rPr>
          <w:rFonts w:ascii="Times New Roman" w:hAnsi="Times New Roman" w:cs="Times New Roman"/>
          <w:sz w:val="24"/>
          <w:szCs w:val="24"/>
        </w:rPr>
        <w:t>en la</w:t>
      </w:r>
      <w:r w:rsidR="00794D16" w:rsidRPr="00F20F5A">
        <w:rPr>
          <w:rFonts w:ascii="Times New Roman" w:hAnsi="Times New Roman" w:cs="Times New Roman"/>
          <w:sz w:val="24"/>
          <w:szCs w:val="24"/>
        </w:rPr>
        <w:t xml:space="preserve"> atención oportuna de las recomendaciones que realiza la SUPEN, el Comité de Vigilancia y otros órganos de control.</w:t>
      </w:r>
      <w:r w:rsidR="00A505DA" w:rsidRPr="00F20F5A">
        <w:rPr>
          <w:rFonts w:ascii="Times New Roman" w:hAnsi="Times New Roman" w:cs="Times New Roman"/>
          <w:sz w:val="24"/>
          <w:szCs w:val="24"/>
        </w:rPr>
        <w:t xml:space="preserve"> </w:t>
      </w:r>
      <w:r w:rsidR="00623583" w:rsidRPr="00F20F5A">
        <w:rPr>
          <w:rFonts w:ascii="Times New Roman" w:hAnsi="Times New Roman" w:cs="Times New Roman"/>
          <w:sz w:val="24"/>
          <w:szCs w:val="24"/>
        </w:rPr>
        <w:t xml:space="preserve">Como se resalta en el informe, </w:t>
      </w:r>
      <w:r w:rsidR="00CB0955" w:rsidRPr="00F20F5A">
        <w:rPr>
          <w:rFonts w:ascii="Times New Roman" w:hAnsi="Times New Roman" w:cs="Times New Roman"/>
          <w:sz w:val="24"/>
          <w:szCs w:val="24"/>
        </w:rPr>
        <w:t>e</w:t>
      </w:r>
      <w:r w:rsidR="00623583" w:rsidRPr="00F20F5A">
        <w:rPr>
          <w:rFonts w:ascii="Times New Roman" w:hAnsi="Times New Roman" w:cs="Times New Roman"/>
          <w:sz w:val="24"/>
          <w:szCs w:val="24"/>
        </w:rPr>
        <w:t xml:space="preserve">n la visita concluida en agosto de 2016, con el objetivo de hacer un análisis de la gestión de riesgos del RIVM, se propuso a la Gerencia de Pensiones, que suministrara información, con el objetivo de establecer un perfil tecnológico, sobre los procesos de tecnologías de información (TI), aplicativos que soportan la operación, infraestructura disponible y la gestión de recursos de TI y no fue posible.  </w:t>
      </w:r>
    </w:p>
    <w:p w14:paraId="3A686B81" w14:textId="77777777" w:rsidR="00F20F5A" w:rsidRPr="00F20F5A" w:rsidRDefault="00F20F5A" w:rsidP="00F20F5A">
      <w:pPr>
        <w:pStyle w:val="Prrafodelista"/>
        <w:spacing w:after="0"/>
        <w:ind w:left="714"/>
        <w:jc w:val="both"/>
        <w:rPr>
          <w:rFonts w:ascii="Times New Roman" w:hAnsi="Times New Roman" w:cs="Times New Roman"/>
          <w:sz w:val="24"/>
          <w:szCs w:val="24"/>
        </w:rPr>
      </w:pPr>
    </w:p>
    <w:p w14:paraId="4B5DFD80" w14:textId="45832680" w:rsidR="00292020" w:rsidRPr="00EE55F4" w:rsidRDefault="007B043F" w:rsidP="00DA3627">
      <w:pPr>
        <w:pStyle w:val="Prrafodelista"/>
        <w:numPr>
          <w:ilvl w:val="0"/>
          <w:numId w:val="18"/>
        </w:numPr>
        <w:spacing w:after="0"/>
        <w:ind w:left="714" w:hanging="357"/>
        <w:jc w:val="both"/>
        <w:rPr>
          <w:rFonts w:ascii="Times New Roman" w:hAnsi="Times New Roman" w:cs="Times New Roman"/>
          <w:sz w:val="24"/>
          <w:szCs w:val="24"/>
        </w:rPr>
      </w:pPr>
      <w:r w:rsidRPr="00EE55F4">
        <w:rPr>
          <w:rFonts w:ascii="Times New Roman" w:hAnsi="Times New Roman" w:cs="Times New Roman"/>
          <w:sz w:val="24"/>
          <w:szCs w:val="24"/>
        </w:rPr>
        <w:t xml:space="preserve">De conformidad con el seguimiento que se le da al tema del artículo 78 de la Ley de Protección (LPT) se </w:t>
      </w:r>
      <w:r w:rsidR="00EE55F4" w:rsidRPr="00EE55F4">
        <w:rPr>
          <w:rFonts w:ascii="Times New Roman" w:hAnsi="Times New Roman" w:cs="Times New Roman"/>
          <w:sz w:val="24"/>
          <w:szCs w:val="24"/>
        </w:rPr>
        <w:t>conocieron</w:t>
      </w:r>
      <w:r w:rsidRPr="00EE55F4">
        <w:rPr>
          <w:rFonts w:ascii="Times New Roman" w:hAnsi="Times New Roman" w:cs="Times New Roman"/>
          <w:sz w:val="24"/>
          <w:szCs w:val="24"/>
        </w:rPr>
        <w:t xml:space="preserve"> hechos importantes identificados por la Auditoría Interna de la CC</w:t>
      </w:r>
      <w:r w:rsidR="00E41FA3" w:rsidRPr="00EE55F4">
        <w:rPr>
          <w:rFonts w:ascii="Times New Roman" w:hAnsi="Times New Roman" w:cs="Times New Roman"/>
          <w:sz w:val="24"/>
          <w:szCs w:val="24"/>
        </w:rPr>
        <w:t>SS</w:t>
      </w:r>
      <w:r w:rsidR="00EE55F4" w:rsidRPr="00EE55F4">
        <w:rPr>
          <w:rFonts w:ascii="Times New Roman" w:hAnsi="Times New Roman" w:cs="Times New Roman"/>
          <w:sz w:val="24"/>
          <w:szCs w:val="24"/>
        </w:rPr>
        <w:t xml:space="preserve">: i) </w:t>
      </w:r>
      <w:r w:rsidRPr="00EE55F4">
        <w:rPr>
          <w:rFonts w:ascii="Times New Roman" w:hAnsi="Times New Roman" w:cs="Times New Roman"/>
          <w:sz w:val="24"/>
          <w:szCs w:val="24"/>
        </w:rPr>
        <w:t xml:space="preserve">el precitado artículo no establece de manera clara la distribución y uso de los recursos establecidos en el Decreto Ejecutivo 37127-MTSS, </w:t>
      </w:r>
      <w:r w:rsidR="00EE55F4" w:rsidRPr="00EE55F4">
        <w:rPr>
          <w:rFonts w:ascii="Times New Roman" w:hAnsi="Times New Roman" w:cs="Times New Roman"/>
          <w:sz w:val="24"/>
          <w:szCs w:val="24"/>
        </w:rPr>
        <w:t>ii) existencia de</w:t>
      </w:r>
      <w:r w:rsidR="00292020" w:rsidRPr="00EE55F4">
        <w:rPr>
          <w:rFonts w:ascii="Times New Roman" w:hAnsi="Times New Roman" w:cs="Times New Roman"/>
          <w:sz w:val="24"/>
          <w:szCs w:val="24"/>
        </w:rPr>
        <w:t xml:space="preserve"> debilidades de control interno, en donde se destaca que la Dirección de Inversiones del IVM, unidad encargada de la colocación de los recursos financieros que ingresan al Seguro de Pensiones, no fue considerada desde un principio dentro de las unidades responsables del proceso de gestión relacionado con la aplicación del artículo 78; la participación de esa unidad es a partir de marzo del 2015. </w:t>
      </w:r>
    </w:p>
    <w:p w14:paraId="78FAD52C" w14:textId="77777777" w:rsidR="005B5636" w:rsidRPr="00CD67D1" w:rsidRDefault="005B5636" w:rsidP="005B5636">
      <w:pPr>
        <w:pStyle w:val="Prrafodelista"/>
        <w:rPr>
          <w:rFonts w:ascii="Times New Roman" w:hAnsi="Times New Roman" w:cs="Times New Roman"/>
          <w:sz w:val="24"/>
          <w:szCs w:val="24"/>
        </w:rPr>
      </w:pPr>
    </w:p>
    <w:p w14:paraId="22ABA180" w14:textId="031F851B" w:rsidR="005B5636" w:rsidRPr="00F20F5A" w:rsidRDefault="00815B04" w:rsidP="005B5636">
      <w:pPr>
        <w:pStyle w:val="Prrafodelista"/>
        <w:numPr>
          <w:ilvl w:val="0"/>
          <w:numId w:val="1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Es preocupante la cantidad de trabajadores independientes en estado de morosidad, así como </w:t>
      </w:r>
      <w:r w:rsidR="00A011FC">
        <w:rPr>
          <w:rFonts w:ascii="Times New Roman" w:hAnsi="Times New Roman" w:cs="Times New Roman"/>
          <w:sz w:val="24"/>
          <w:szCs w:val="24"/>
        </w:rPr>
        <w:t>es</w:t>
      </w:r>
      <w:r>
        <w:rPr>
          <w:rFonts w:ascii="Times New Roman" w:hAnsi="Times New Roman" w:cs="Times New Roman"/>
          <w:sz w:val="24"/>
          <w:szCs w:val="24"/>
        </w:rPr>
        <w:t xml:space="preserve"> relevante un saldo moroso por ¢72.419 millones, el cual representa el 27.4% de las cuentas por cobrar.  La morosidad patronal también representa al mes </w:t>
      </w:r>
      <w:r w:rsidRPr="00F20F5A">
        <w:rPr>
          <w:rFonts w:ascii="Times New Roman" w:hAnsi="Times New Roman" w:cs="Times New Roman"/>
          <w:sz w:val="24"/>
          <w:szCs w:val="24"/>
        </w:rPr>
        <w:t xml:space="preserve">de mayo del año </w:t>
      </w:r>
      <w:r w:rsidR="00B10C55" w:rsidRPr="00F20F5A">
        <w:rPr>
          <w:rFonts w:ascii="Times New Roman" w:hAnsi="Times New Roman" w:cs="Times New Roman"/>
          <w:sz w:val="24"/>
          <w:szCs w:val="24"/>
        </w:rPr>
        <w:t>2017</w:t>
      </w:r>
      <w:r w:rsidR="00A011FC" w:rsidRPr="00F20F5A">
        <w:rPr>
          <w:rFonts w:ascii="Times New Roman" w:hAnsi="Times New Roman" w:cs="Times New Roman"/>
          <w:sz w:val="24"/>
          <w:szCs w:val="24"/>
        </w:rPr>
        <w:t>,</w:t>
      </w:r>
      <w:r w:rsidRPr="00F20F5A">
        <w:rPr>
          <w:rFonts w:ascii="Times New Roman" w:hAnsi="Times New Roman" w:cs="Times New Roman"/>
          <w:sz w:val="24"/>
          <w:szCs w:val="24"/>
        </w:rPr>
        <w:t xml:space="preserve"> una suma importante por ¢52.082 millones.</w:t>
      </w:r>
    </w:p>
    <w:p w14:paraId="7932B439" w14:textId="77777777" w:rsidR="00815B04" w:rsidRPr="00C0169C" w:rsidRDefault="00815B04" w:rsidP="00815B04">
      <w:pPr>
        <w:spacing w:after="0"/>
        <w:ind w:left="357"/>
        <w:jc w:val="both"/>
        <w:rPr>
          <w:rFonts w:ascii="Times New Roman" w:hAnsi="Times New Roman" w:cs="Times New Roman"/>
          <w:color w:val="365F91" w:themeColor="accent1" w:themeShade="BF"/>
          <w:sz w:val="24"/>
          <w:szCs w:val="24"/>
        </w:rPr>
      </w:pPr>
    </w:p>
    <w:p w14:paraId="615F37C1" w14:textId="5E343F21" w:rsidR="00815B04" w:rsidRPr="00815B04" w:rsidRDefault="00815B04" w:rsidP="00815B04">
      <w:pPr>
        <w:pStyle w:val="Prrafodelista"/>
        <w:numPr>
          <w:ilvl w:val="0"/>
          <w:numId w:val="18"/>
        </w:numPr>
        <w:spacing w:after="0"/>
        <w:ind w:left="714" w:hanging="357"/>
        <w:jc w:val="both"/>
        <w:rPr>
          <w:rFonts w:ascii="Times New Roman" w:hAnsi="Times New Roman" w:cs="Times New Roman"/>
          <w:sz w:val="24"/>
          <w:szCs w:val="24"/>
        </w:rPr>
      </w:pPr>
      <w:r w:rsidRPr="002D4751">
        <w:rPr>
          <w:rFonts w:ascii="Times New Roman" w:hAnsi="Times New Roman" w:cs="Times New Roman"/>
          <w:bCs/>
          <w:sz w:val="24"/>
          <w:szCs w:val="24"/>
        </w:rPr>
        <w:t xml:space="preserve">Se </w:t>
      </w:r>
      <w:r w:rsidR="00C0169C" w:rsidRPr="002D4751">
        <w:rPr>
          <w:rFonts w:ascii="Times New Roman" w:hAnsi="Times New Roman" w:cs="Times New Roman"/>
          <w:bCs/>
          <w:sz w:val="24"/>
          <w:szCs w:val="24"/>
        </w:rPr>
        <w:t>confirma</w:t>
      </w:r>
      <w:r w:rsidR="00C0169C">
        <w:rPr>
          <w:rFonts w:ascii="Times New Roman" w:hAnsi="Times New Roman" w:cs="Times New Roman"/>
          <w:bCs/>
          <w:sz w:val="24"/>
          <w:szCs w:val="24"/>
        </w:rPr>
        <w:t xml:space="preserve">, </w:t>
      </w:r>
      <w:r w:rsidR="00C0169C" w:rsidRPr="002D4751">
        <w:rPr>
          <w:rFonts w:ascii="Times New Roman" w:hAnsi="Times New Roman" w:cs="Times New Roman"/>
          <w:bCs/>
          <w:sz w:val="24"/>
          <w:szCs w:val="24"/>
        </w:rPr>
        <w:t>con</w:t>
      </w:r>
      <w:r w:rsidRPr="002D4751">
        <w:rPr>
          <w:rFonts w:ascii="Times New Roman" w:hAnsi="Times New Roman" w:cs="Times New Roman"/>
          <w:bCs/>
          <w:sz w:val="24"/>
          <w:szCs w:val="24"/>
        </w:rPr>
        <w:t xml:space="preserve"> la valuación actuarial elaborada por la Universidad de Costa Rica de fecha corte 31 de diciembre de 2015, que la estructura de beneficios y de inversión del RIVM, no permite mantener los beneficios actuales y futuros.</w:t>
      </w:r>
    </w:p>
    <w:p w14:paraId="05F5DB86" w14:textId="77777777" w:rsidR="004F689C" w:rsidRPr="007E1D94" w:rsidRDefault="004F689C" w:rsidP="004F689C">
      <w:pPr>
        <w:pStyle w:val="Prrafodelista"/>
        <w:spacing w:after="0"/>
        <w:ind w:left="714"/>
        <w:jc w:val="both"/>
        <w:rPr>
          <w:rFonts w:ascii="Times New Roman" w:hAnsi="Times New Roman" w:cs="Times New Roman"/>
          <w:sz w:val="24"/>
          <w:szCs w:val="24"/>
        </w:rPr>
      </w:pPr>
    </w:p>
    <w:p w14:paraId="48A98E39" w14:textId="252AAD9B" w:rsidR="00503584" w:rsidRPr="007E1D94" w:rsidRDefault="00352DDE" w:rsidP="00352DDE">
      <w:pPr>
        <w:pStyle w:val="Prrafodelista"/>
        <w:numPr>
          <w:ilvl w:val="0"/>
          <w:numId w:val="18"/>
        </w:numPr>
        <w:spacing w:after="0"/>
        <w:ind w:left="714" w:hanging="357"/>
        <w:jc w:val="both"/>
        <w:rPr>
          <w:rFonts w:ascii="Times New Roman" w:hAnsi="Times New Roman" w:cs="Times New Roman"/>
          <w:sz w:val="24"/>
          <w:szCs w:val="24"/>
        </w:rPr>
      </w:pPr>
      <w:r w:rsidRPr="007E1D94">
        <w:rPr>
          <w:rFonts w:ascii="Times New Roman" w:hAnsi="Times New Roman" w:cs="Times New Roman"/>
          <w:sz w:val="24"/>
          <w:szCs w:val="24"/>
        </w:rPr>
        <w:lastRenderedPageBreak/>
        <w:t>No se ha</w:t>
      </w:r>
      <w:r w:rsidR="00B10C55">
        <w:rPr>
          <w:rFonts w:ascii="Times New Roman" w:hAnsi="Times New Roman" w:cs="Times New Roman"/>
          <w:sz w:val="24"/>
          <w:szCs w:val="24"/>
        </w:rPr>
        <w:t>n</w:t>
      </w:r>
      <w:r w:rsidR="00A45FAF" w:rsidRPr="007E1D94">
        <w:rPr>
          <w:rFonts w:ascii="Times New Roman" w:hAnsi="Times New Roman" w:cs="Times New Roman"/>
          <w:sz w:val="24"/>
          <w:szCs w:val="24"/>
        </w:rPr>
        <w:t xml:space="preserve"> presentado</w:t>
      </w:r>
      <w:r w:rsidR="00B10C55">
        <w:rPr>
          <w:rFonts w:ascii="Times New Roman" w:hAnsi="Times New Roman" w:cs="Times New Roman"/>
          <w:sz w:val="24"/>
          <w:szCs w:val="24"/>
        </w:rPr>
        <w:t xml:space="preserve"> a la SUPEN</w:t>
      </w:r>
      <w:r w:rsidR="00612750" w:rsidRPr="007E1D94">
        <w:rPr>
          <w:rFonts w:ascii="Times New Roman" w:hAnsi="Times New Roman" w:cs="Times New Roman"/>
          <w:sz w:val="24"/>
          <w:szCs w:val="24"/>
        </w:rPr>
        <w:t>,</w:t>
      </w:r>
      <w:r w:rsidR="00A45FAF" w:rsidRPr="007E1D94">
        <w:rPr>
          <w:rFonts w:ascii="Times New Roman" w:hAnsi="Times New Roman" w:cs="Times New Roman"/>
          <w:sz w:val="24"/>
          <w:szCs w:val="24"/>
        </w:rPr>
        <w:t xml:space="preserve"> a pesar de las gestiones efectuadas, </w:t>
      </w:r>
      <w:r w:rsidRPr="007E1D94">
        <w:rPr>
          <w:rFonts w:ascii="Times New Roman" w:hAnsi="Times New Roman" w:cs="Times New Roman"/>
          <w:sz w:val="24"/>
          <w:szCs w:val="24"/>
        </w:rPr>
        <w:t xml:space="preserve">los </w:t>
      </w:r>
      <w:r w:rsidR="00503584" w:rsidRPr="007E1D94">
        <w:rPr>
          <w:rFonts w:ascii="Times New Roman" w:hAnsi="Times New Roman" w:cs="Times New Roman"/>
          <w:sz w:val="24"/>
          <w:szCs w:val="24"/>
        </w:rPr>
        <w:t xml:space="preserve">Estados </w:t>
      </w:r>
      <w:r w:rsidR="00C0169C">
        <w:rPr>
          <w:rFonts w:ascii="Times New Roman" w:hAnsi="Times New Roman" w:cs="Times New Roman"/>
          <w:sz w:val="24"/>
          <w:szCs w:val="24"/>
        </w:rPr>
        <w:t>Financieros A</w:t>
      </w:r>
      <w:r w:rsidR="00503584" w:rsidRPr="007E1D94">
        <w:rPr>
          <w:rFonts w:ascii="Times New Roman" w:hAnsi="Times New Roman" w:cs="Times New Roman"/>
          <w:sz w:val="24"/>
          <w:szCs w:val="24"/>
        </w:rPr>
        <w:t xml:space="preserve">uditados del </w:t>
      </w:r>
      <w:r w:rsidR="006D6191">
        <w:rPr>
          <w:rFonts w:ascii="Times New Roman" w:hAnsi="Times New Roman" w:cs="Times New Roman"/>
          <w:sz w:val="24"/>
          <w:szCs w:val="24"/>
        </w:rPr>
        <w:t xml:space="preserve">RIVM al 31 de diciembre de 2016; actitud </w:t>
      </w:r>
      <w:r w:rsidR="00520896">
        <w:rPr>
          <w:rFonts w:ascii="Times New Roman" w:hAnsi="Times New Roman" w:cs="Times New Roman"/>
          <w:sz w:val="24"/>
          <w:szCs w:val="24"/>
        </w:rPr>
        <w:t xml:space="preserve">que es </w:t>
      </w:r>
      <w:r w:rsidR="006D6191">
        <w:rPr>
          <w:rFonts w:ascii="Times New Roman" w:hAnsi="Times New Roman" w:cs="Times New Roman"/>
          <w:sz w:val="24"/>
          <w:szCs w:val="24"/>
        </w:rPr>
        <w:t>recurrente todos los años, por parte de la administración de este régimen.</w:t>
      </w:r>
    </w:p>
    <w:p w14:paraId="2D72C68D" w14:textId="28EA7AAE" w:rsidR="004F689C" w:rsidRPr="007E1D94" w:rsidRDefault="004F689C" w:rsidP="007E1D94">
      <w:pPr>
        <w:spacing w:after="0"/>
        <w:jc w:val="both"/>
        <w:rPr>
          <w:rFonts w:ascii="Times New Roman" w:hAnsi="Times New Roman" w:cs="Times New Roman"/>
          <w:sz w:val="24"/>
          <w:szCs w:val="24"/>
          <w:highlight w:val="yellow"/>
        </w:rPr>
      </w:pPr>
    </w:p>
    <w:p w14:paraId="62720743" w14:textId="77777777" w:rsidR="009E457A" w:rsidRPr="007E1D94" w:rsidRDefault="009E457A" w:rsidP="009E457A">
      <w:pPr>
        <w:pStyle w:val="Prrafodelista"/>
        <w:rPr>
          <w:rFonts w:ascii="Times New Roman" w:hAnsi="Times New Roman" w:cs="Times New Roman"/>
          <w:sz w:val="24"/>
          <w:szCs w:val="24"/>
        </w:rPr>
      </w:pPr>
    </w:p>
    <w:p w14:paraId="267B5322" w14:textId="1AF23642" w:rsidR="004C3E0D" w:rsidRDefault="004C3E0D">
      <w:pPr>
        <w:rPr>
          <w:rFonts w:ascii="Times New Roman" w:hAnsi="Times New Roman" w:cs="Times New Roman"/>
          <w:sz w:val="24"/>
          <w:szCs w:val="24"/>
        </w:rPr>
      </w:pPr>
      <w:r>
        <w:rPr>
          <w:rFonts w:ascii="Times New Roman" w:hAnsi="Times New Roman" w:cs="Times New Roman"/>
          <w:sz w:val="24"/>
          <w:szCs w:val="24"/>
        </w:rPr>
        <w:br w:type="page"/>
      </w:r>
    </w:p>
    <w:p w14:paraId="38F07B9F" w14:textId="77777777" w:rsidR="00B01098" w:rsidRPr="00273416" w:rsidRDefault="00B01098" w:rsidP="00E76849">
      <w:pPr>
        <w:pStyle w:val="Ttulo1"/>
        <w:numPr>
          <w:ilvl w:val="0"/>
          <w:numId w:val="1"/>
        </w:numPr>
        <w:tabs>
          <w:tab w:val="num" w:pos="540"/>
        </w:tabs>
        <w:ind w:left="539" w:hanging="539"/>
      </w:pPr>
      <w:bookmarkStart w:id="25" w:name="_Toc496194197"/>
      <w:r w:rsidRPr="00273416">
        <w:lastRenderedPageBreak/>
        <w:t>RECOMENDACIONES</w:t>
      </w:r>
      <w:bookmarkEnd w:id="25"/>
    </w:p>
    <w:p w14:paraId="7CC356D4" w14:textId="77777777" w:rsidR="00B01098" w:rsidRPr="00947937" w:rsidRDefault="00B01098" w:rsidP="00E76849">
      <w:pPr>
        <w:spacing w:after="0"/>
        <w:jc w:val="both"/>
        <w:rPr>
          <w:rFonts w:ascii="Times New Roman" w:hAnsi="Times New Roman" w:cs="Times New Roman"/>
          <w:sz w:val="24"/>
          <w:szCs w:val="24"/>
          <w:highlight w:val="yellow"/>
          <w:lang w:eastAsia="es-ES"/>
        </w:rPr>
      </w:pPr>
      <w:bookmarkStart w:id="26" w:name="_Toc233004068"/>
    </w:p>
    <w:bookmarkEnd w:id="26"/>
    <w:p w14:paraId="3ED68FEA" w14:textId="30EC89F7" w:rsidR="00757227" w:rsidRPr="000B4322" w:rsidRDefault="000B4322" w:rsidP="006B6141">
      <w:pPr>
        <w:pStyle w:val="Prrafodelista"/>
        <w:numPr>
          <w:ilvl w:val="0"/>
          <w:numId w:val="5"/>
        </w:numPr>
        <w:spacing w:after="0"/>
        <w:jc w:val="both"/>
        <w:rPr>
          <w:rFonts w:ascii="Times New Roman" w:hAnsi="Times New Roman" w:cs="Times New Roman"/>
          <w:sz w:val="24"/>
          <w:szCs w:val="24"/>
          <w:lang w:eastAsia="es-ES"/>
        </w:rPr>
      </w:pPr>
      <w:r w:rsidRPr="000B4322">
        <w:rPr>
          <w:rFonts w:ascii="Times New Roman" w:hAnsi="Times New Roman" w:cs="Times New Roman"/>
          <w:sz w:val="24"/>
          <w:szCs w:val="24"/>
          <w:lang w:eastAsia="es-ES"/>
        </w:rPr>
        <w:t>Gestionar con</w:t>
      </w:r>
      <w:r w:rsidR="00757227" w:rsidRPr="000B4322">
        <w:rPr>
          <w:rFonts w:ascii="Times New Roman" w:hAnsi="Times New Roman" w:cs="Times New Roman"/>
          <w:sz w:val="24"/>
          <w:szCs w:val="24"/>
          <w:lang w:eastAsia="es-ES"/>
        </w:rPr>
        <w:t xml:space="preserve"> la Gerencia de Pensiones, </w:t>
      </w:r>
      <w:r w:rsidRPr="000B4322">
        <w:rPr>
          <w:rFonts w:ascii="Times New Roman" w:hAnsi="Times New Roman" w:cs="Times New Roman"/>
          <w:sz w:val="24"/>
          <w:szCs w:val="24"/>
          <w:lang w:eastAsia="es-ES"/>
        </w:rPr>
        <w:t xml:space="preserve">la suscripción de </w:t>
      </w:r>
      <w:r w:rsidR="00757227" w:rsidRPr="000B4322">
        <w:rPr>
          <w:rFonts w:ascii="Times New Roman" w:hAnsi="Times New Roman" w:cs="Times New Roman"/>
          <w:sz w:val="24"/>
          <w:szCs w:val="24"/>
          <w:lang w:eastAsia="es-ES"/>
        </w:rPr>
        <w:t>un convenio entre la CCSS</w:t>
      </w:r>
      <w:r w:rsidR="00BE02FC" w:rsidRPr="000B4322">
        <w:rPr>
          <w:rStyle w:val="Refdenotaalpie"/>
          <w:rFonts w:ascii="Times New Roman" w:hAnsi="Times New Roman" w:cs="Times New Roman"/>
          <w:sz w:val="24"/>
          <w:szCs w:val="24"/>
          <w:lang w:eastAsia="es-ES"/>
        </w:rPr>
        <w:footnoteReference w:id="5"/>
      </w:r>
      <w:r w:rsidR="00757227" w:rsidRPr="000B4322">
        <w:rPr>
          <w:rFonts w:ascii="Times New Roman" w:hAnsi="Times New Roman" w:cs="Times New Roman"/>
          <w:sz w:val="24"/>
          <w:szCs w:val="24"/>
          <w:lang w:eastAsia="es-ES"/>
        </w:rPr>
        <w:t xml:space="preserve"> y la SUPEN, con el propósito de que este ente supervisor, disponga, en modo de consulta, del Sistema Integrado de Pensiones de la Caja Costarricense de Seguro Social</w:t>
      </w:r>
      <w:r w:rsidRPr="000B4322">
        <w:rPr>
          <w:rFonts w:ascii="Times New Roman" w:hAnsi="Times New Roman" w:cs="Times New Roman"/>
          <w:sz w:val="24"/>
          <w:szCs w:val="24"/>
          <w:lang w:eastAsia="es-ES"/>
        </w:rPr>
        <w:t xml:space="preserve">. </w:t>
      </w:r>
    </w:p>
    <w:p w14:paraId="7D758A11" w14:textId="77777777" w:rsidR="000B4322" w:rsidRPr="00757227" w:rsidRDefault="000B4322" w:rsidP="000B4322">
      <w:pPr>
        <w:pStyle w:val="Prrafodelista"/>
        <w:spacing w:after="0"/>
        <w:jc w:val="both"/>
        <w:rPr>
          <w:rFonts w:ascii="Times New Roman" w:hAnsi="Times New Roman" w:cs="Times New Roman"/>
          <w:sz w:val="24"/>
          <w:szCs w:val="24"/>
          <w:highlight w:val="yellow"/>
          <w:lang w:eastAsia="es-ES"/>
        </w:rPr>
      </w:pPr>
    </w:p>
    <w:p w14:paraId="73531AF0" w14:textId="75698D5B" w:rsidR="00B01098" w:rsidRPr="00947937" w:rsidRDefault="003557F5" w:rsidP="00E76849">
      <w:pPr>
        <w:pStyle w:val="Prrafodelista"/>
        <w:numPr>
          <w:ilvl w:val="0"/>
          <w:numId w:val="5"/>
        </w:numPr>
        <w:spacing w:after="0"/>
        <w:jc w:val="both"/>
        <w:rPr>
          <w:rFonts w:ascii="Times New Roman" w:hAnsi="Times New Roman" w:cs="Times New Roman"/>
          <w:sz w:val="24"/>
          <w:szCs w:val="24"/>
          <w:lang w:eastAsia="es-ES"/>
        </w:rPr>
      </w:pPr>
      <w:r>
        <w:rPr>
          <w:rFonts w:ascii="Times New Roman" w:hAnsi="Times New Roman" w:cs="Times New Roman"/>
          <w:sz w:val="24"/>
          <w:szCs w:val="24"/>
          <w:lang w:eastAsia="es-ES"/>
        </w:rPr>
        <w:t>Concluir e implementar las</w:t>
      </w:r>
      <w:r w:rsidR="00B01098" w:rsidRPr="00947937">
        <w:rPr>
          <w:rFonts w:ascii="Times New Roman" w:hAnsi="Times New Roman" w:cs="Times New Roman"/>
          <w:sz w:val="24"/>
          <w:szCs w:val="24"/>
          <w:lang w:eastAsia="es-ES"/>
        </w:rPr>
        <w:t xml:space="preserve"> </w:t>
      </w:r>
      <w:r w:rsidR="00B01098" w:rsidRPr="00947937">
        <w:rPr>
          <w:rFonts w:ascii="Times New Roman" w:hAnsi="Times New Roman" w:cs="Times New Roman"/>
          <w:i/>
          <w:sz w:val="24"/>
          <w:szCs w:val="24"/>
          <w:lang w:eastAsia="es-ES"/>
        </w:rPr>
        <w:t>"Guías de Calificación de la Invalidez y la Discapacidad"</w:t>
      </w:r>
      <w:r w:rsidR="00B01098" w:rsidRPr="00947937">
        <w:rPr>
          <w:rFonts w:ascii="Times New Roman" w:hAnsi="Times New Roman" w:cs="Times New Roman"/>
          <w:sz w:val="24"/>
          <w:szCs w:val="24"/>
          <w:lang w:eastAsia="es-ES"/>
        </w:rPr>
        <w:t>.</w:t>
      </w:r>
    </w:p>
    <w:p w14:paraId="563D60D9" w14:textId="77777777" w:rsidR="00B01098" w:rsidRPr="005D4784" w:rsidRDefault="00B01098" w:rsidP="00E76849">
      <w:pPr>
        <w:spacing w:after="0"/>
        <w:jc w:val="both"/>
        <w:rPr>
          <w:rFonts w:ascii="Times New Roman" w:hAnsi="Times New Roman" w:cs="Times New Roman"/>
          <w:sz w:val="24"/>
          <w:szCs w:val="24"/>
          <w:highlight w:val="yellow"/>
          <w:lang w:eastAsia="es-ES"/>
        </w:rPr>
      </w:pPr>
    </w:p>
    <w:p w14:paraId="036D1D55" w14:textId="6ECC54EC" w:rsidR="00B01098" w:rsidRPr="00965D45" w:rsidRDefault="00B01098" w:rsidP="00965D45">
      <w:pPr>
        <w:pStyle w:val="Prrafodelista"/>
        <w:numPr>
          <w:ilvl w:val="0"/>
          <w:numId w:val="5"/>
        </w:numPr>
        <w:spacing w:after="0"/>
        <w:jc w:val="both"/>
        <w:rPr>
          <w:rFonts w:ascii="Times New Roman" w:hAnsi="Times New Roman" w:cs="Times New Roman"/>
          <w:sz w:val="24"/>
          <w:szCs w:val="24"/>
          <w:lang w:eastAsia="es-ES"/>
        </w:rPr>
      </w:pPr>
      <w:r w:rsidRPr="00D8720C">
        <w:rPr>
          <w:rFonts w:ascii="Times New Roman" w:hAnsi="Times New Roman" w:cs="Times New Roman"/>
          <w:sz w:val="24"/>
          <w:szCs w:val="24"/>
          <w:lang w:eastAsia="es-ES"/>
        </w:rPr>
        <w:t>Dar seguimiento y apoyo a la Gerencia de Pensiones respecto a la atención de los diferentes requerimientos real</w:t>
      </w:r>
      <w:r w:rsidR="001C4168" w:rsidRPr="00D8720C">
        <w:rPr>
          <w:rFonts w:ascii="Times New Roman" w:hAnsi="Times New Roman" w:cs="Times New Roman"/>
          <w:sz w:val="24"/>
          <w:szCs w:val="24"/>
          <w:lang w:eastAsia="es-ES"/>
        </w:rPr>
        <w:t>izados por la SUPEN</w:t>
      </w:r>
      <w:r w:rsidRPr="00D8720C">
        <w:rPr>
          <w:rFonts w:ascii="Times New Roman" w:hAnsi="Times New Roman" w:cs="Times New Roman"/>
          <w:sz w:val="24"/>
          <w:szCs w:val="24"/>
          <w:lang w:eastAsia="es-ES"/>
        </w:rPr>
        <w:t xml:space="preserve">, </w:t>
      </w:r>
      <w:r w:rsidR="00AE1EE2" w:rsidRPr="00D8720C">
        <w:rPr>
          <w:rFonts w:ascii="Times New Roman" w:hAnsi="Times New Roman" w:cs="Times New Roman"/>
          <w:sz w:val="24"/>
          <w:szCs w:val="24"/>
          <w:lang w:eastAsia="es-ES"/>
        </w:rPr>
        <w:t>con el objetivo</w:t>
      </w:r>
      <w:r w:rsidRPr="00D8720C">
        <w:rPr>
          <w:rFonts w:ascii="Times New Roman" w:hAnsi="Times New Roman" w:cs="Times New Roman"/>
          <w:sz w:val="24"/>
          <w:szCs w:val="24"/>
          <w:lang w:eastAsia="es-ES"/>
        </w:rPr>
        <w:t xml:space="preserve"> de corregir deficiencias en diversos procesos operativos.</w:t>
      </w:r>
    </w:p>
    <w:p w14:paraId="6790444F" w14:textId="4E348C2C" w:rsidR="00B01098" w:rsidRPr="00A264EE" w:rsidRDefault="00B01098" w:rsidP="00A264EE">
      <w:pPr>
        <w:pStyle w:val="Prrafodelista"/>
        <w:tabs>
          <w:tab w:val="left" w:pos="1848"/>
        </w:tabs>
        <w:spacing w:after="0"/>
        <w:rPr>
          <w:rFonts w:ascii="Times New Roman" w:hAnsi="Times New Roman" w:cs="Times New Roman"/>
          <w:sz w:val="24"/>
          <w:szCs w:val="24"/>
        </w:rPr>
      </w:pPr>
      <w:r w:rsidRPr="00757561">
        <w:rPr>
          <w:rFonts w:ascii="Times New Roman" w:hAnsi="Times New Roman" w:cs="Times New Roman"/>
          <w:sz w:val="24"/>
          <w:szCs w:val="24"/>
        </w:rPr>
        <w:tab/>
      </w:r>
    </w:p>
    <w:p w14:paraId="24996D88" w14:textId="77777777" w:rsidR="00B01098" w:rsidRPr="002B109D" w:rsidRDefault="00B01098" w:rsidP="00E76849">
      <w:pPr>
        <w:pStyle w:val="Prrafodelista"/>
        <w:numPr>
          <w:ilvl w:val="0"/>
          <w:numId w:val="5"/>
        </w:numPr>
        <w:spacing w:after="0" w:line="240" w:lineRule="auto"/>
        <w:ind w:left="714" w:hanging="357"/>
        <w:jc w:val="both"/>
        <w:rPr>
          <w:rFonts w:ascii="Times New Roman" w:hAnsi="Times New Roman" w:cs="Times New Roman"/>
          <w:sz w:val="24"/>
          <w:szCs w:val="24"/>
        </w:rPr>
      </w:pPr>
      <w:r w:rsidRPr="002B109D">
        <w:rPr>
          <w:rFonts w:ascii="Times New Roman" w:hAnsi="Times New Roman" w:cs="Times New Roman"/>
          <w:sz w:val="24"/>
          <w:szCs w:val="24"/>
        </w:rPr>
        <w:t>Comunicar, en definitiva, la fecha en que se estará formalizando, en la contabilidad del RIVM, el registro de la valoración a precios de mercado del portafolio de inversiones, y la implementación de método de amortización de tasa de interés efectiva.</w:t>
      </w:r>
    </w:p>
    <w:p w14:paraId="2D0BC449" w14:textId="77777777" w:rsidR="00B01098" w:rsidRPr="005D4784" w:rsidRDefault="00B01098" w:rsidP="00E76849">
      <w:pPr>
        <w:pStyle w:val="Prrafodelista"/>
        <w:spacing w:after="0"/>
        <w:rPr>
          <w:rFonts w:ascii="Times New Roman" w:hAnsi="Times New Roman" w:cs="Times New Roman"/>
          <w:sz w:val="24"/>
          <w:szCs w:val="24"/>
          <w:highlight w:val="yellow"/>
        </w:rPr>
      </w:pPr>
    </w:p>
    <w:p w14:paraId="3776021B" w14:textId="02C5847D" w:rsidR="00B01098" w:rsidRPr="00950EA2" w:rsidRDefault="00B01098" w:rsidP="00950EA2">
      <w:pPr>
        <w:pStyle w:val="Prrafodelista"/>
        <w:numPr>
          <w:ilvl w:val="0"/>
          <w:numId w:val="5"/>
        </w:numPr>
        <w:spacing w:after="0"/>
        <w:jc w:val="both"/>
        <w:rPr>
          <w:rFonts w:ascii="Times New Roman" w:hAnsi="Times New Roman" w:cs="Times New Roman"/>
          <w:sz w:val="24"/>
          <w:szCs w:val="24"/>
          <w:lang w:eastAsia="es-ES"/>
        </w:rPr>
      </w:pPr>
      <w:r w:rsidRPr="00950EA2">
        <w:rPr>
          <w:rFonts w:ascii="Times New Roman" w:hAnsi="Times New Roman" w:cs="Times New Roman"/>
          <w:sz w:val="24"/>
          <w:szCs w:val="24"/>
          <w:lang w:eastAsia="es-ES"/>
        </w:rPr>
        <w:t xml:space="preserve">Continuar con el fortalecimiento de la gestión de riesgos ante la evidente necesidad que el RIVM mejore sus procesos de identificación, cuantificación y medición de los riesgos. </w:t>
      </w:r>
      <w:r w:rsidR="00BA0F38" w:rsidRPr="00950EA2">
        <w:rPr>
          <w:rFonts w:ascii="Times New Roman" w:hAnsi="Times New Roman" w:cs="Times New Roman"/>
          <w:sz w:val="24"/>
          <w:szCs w:val="24"/>
          <w:lang w:eastAsia="es-ES"/>
        </w:rPr>
        <w:t>S</w:t>
      </w:r>
      <w:r w:rsidRPr="00950EA2">
        <w:rPr>
          <w:rFonts w:ascii="Times New Roman" w:hAnsi="Times New Roman" w:cs="Times New Roman"/>
          <w:sz w:val="24"/>
          <w:szCs w:val="24"/>
          <w:lang w:eastAsia="es-ES"/>
        </w:rPr>
        <w:t xml:space="preserve">e </w:t>
      </w:r>
      <w:r w:rsidR="00371557" w:rsidRPr="00950EA2">
        <w:rPr>
          <w:rFonts w:ascii="Times New Roman" w:hAnsi="Times New Roman" w:cs="Times New Roman"/>
          <w:sz w:val="24"/>
          <w:szCs w:val="24"/>
          <w:lang w:eastAsia="es-ES"/>
        </w:rPr>
        <w:t>sugiere</w:t>
      </w:r>
      <w:r w:rsidRPr="00950EA2">
        <w:rPr>
          <w:rFonts w:ascii="Times New Roman" w:hAnsi="Times New Roman" w:cs="Times New Roman"/>
          <w:sz w:val="24"/>
          <w:szCs w:val="24"/>
          <w:lang w:eastAsia="es-ES"/>
        </w:rPr>
        <w:t xml:space="preserve"> observar</w:t>
      </w:r>
      <w:r w:rsidR="001D6F3A" w:rsidRPr="00950EA2">
        <w:rPr>
          <w:rFonts w:ascii="Times New Roman" w:hAnsi="Times New Roman" w:cs="Times New Roman"/>
          <w:sz w:val="24"/>
          <w:szCs w:val="24"/>
          <w:lang w:eastAsia="es-ES"/>
        </w:rPr>
        <w:t>, como una sana práctica,</w:t>
      </w:r>
      <w:r w:rsidRPr="00950EA2">
        <w:rPr>
          <w:rFonts w:ascii="Times New Roman" w:hAnsi="Times New Roman" w:cs="Times New Roman"/>
          <w:sz w:val="24"/>
          <w:szCs w:val="24"/>
          <w:lang w:eastAsia="es-ES"/>
        </w:rPr>
        <w:t xml:space="preserve"> </w:t>
      </w:r>
      <w:r w:rsidR="00C30E12" w:rsidRPr="00950EA2">
        <w:rPr>
          <w:rFonts w:ascii="Times New Roman" w:hAnsi="Times New Roman" w:cs="Times New Roman"/>
          <w:sz w:val="24"/>
          <w:szCs w:val="24"/>
          <w:lang w:eastAsia="es-ES"/>
        </w:rPr>
        <w:t xml:space="preserve">las </w:t>
      </w:r>
      <w:r w:rsidRPr="00950EA2">
        <w:rPr>
          <w:rFonts w:ascii="Times New Roman" w:hAnsi="Times New Roman" w:cs="Times New Roman"/>
          <w:sz w:val="24"/>
          <w:szCs w:val="24"/>
          <w:lang w:eastAsia="es-ES"/>
        </w:rPr>
        <w:t xml:space="preserve">directrices establecidas en </w:t>
      </w:r>
      <w:r w:rsidR="00C30E12" w:rsidRPr="00950EA2">
        <w:rPr>
          <w:rFonts w:ascii="Times New Roman" w:hAnsi="Times New Roman" w:cs="Times New Roman"/>
          <w:sz w:val="24"/>
          <w:szCs w:val="24"/>
          <w:lang w:eastAsia="es-ES"/>
        </w:rPr>
        <w:t xml:space="preserve">el </w:t>
      </w:r>
      <w:r w:rsidR="0080250D" w:rsidRPr="00950EA2">
        <w:rPr>
          <w:rFonts w:ascii="Times New Roman" w:hAnsi="Times New Roman" w:cs="Times New Roman"/>
          <w:b/>
          <w:i/>
          <w:sz w:val="24"/>
          <w:szCs w:val="24"/>
          <w:lang w:eastAsia="es-ES"/>
        </w:rPr>
        <w:t>Reglamento de Riesgos</w:t>
      </w:r>
      <w:r w:rsidR="00371557" w:rsidRPr="00950EA2">
        <w:rPr>
          <w:rFonts w:ascii="Times New Roman" w:hAnsi="Times New Roman" w:cs="Times New Roman"/>
          <w:sz w:val="24"/>
          <w:szCs w:val="24"/>
          <w:lang w:eastAsia="es-ES"/>
        </w:rPr>
        <w:t xml:space="preserve"> aprobado </w:t>
      </w:r>
      <w:r w:rsidR="00950EA2" w:rsidRPr="00950EA2">
        <w:rPr>
          <w:rFonts w:ascii="Times New Roman" w:hAnsi="Times New Roman" w:cs="Times New Roman"/>
          <w:sz w:val="24"/>
          <w:szCs w:val="24"/>
          <w:lang w:eastAsia="es-ES"/>
        </w:rPr>
        <w:t xml:space="preserve">el 16 de mayo del 2017 </w:t>
      </w:r>
      <w:r w:rsidR="00371557" w:rsidRPr="00950EA2">
        <w:rPr>
          <w:rFonts w:ascii="Times New Roman" w:hAnsi="Times New Roman" w:cs="Times New Roman"/>
          <w:sz w:val="24"/>
          <w:szCs w:val="24"/>
          <w:lang w:eastAsia="es-ES"/>
        </w:rPr>
        <w:t>por el Consejo Nacional de Supervisión del Sistema Financiero</w:t>
      </w:r>
      <w:r w:rsidR="00950EA2">
        <w:rPr>
          <w:rFonts w:ascii="Times New Roman" w:hAnsi="Times New Roman" w:cs="Times New Roman"/>
          <w:sz w:val="24"/>
          <w:szCs w:val="24"/>
          <w:lang w:eastAsia="es-ES"/>
        </w:rPr>
        <w:t>,</w:t>
      </w:r>
      <w:r w:rsidR="00950EA2" w:rsidRPr="00950EA2">
        <w:rPr>
          <w:rFonts w:ascii="Times New Roman" w:hAnsi="Times New Roman" w:cs="Times New Roman"/>
          <w:sz w:val="24"/>
          <w:szCs w:val="24"/>
          <w:lang w:eastAsia="es-ES"/>
        </w:rPr>
        <w:t xml:space="preserve"> </w:t>
      </w:r>
      <w:r w:rsidR="00837651" w:rsidRPr="00950EA2">
        <w:rPr>
          <w:rFonts w:ascii="Times New Roman" w:hAnsi="Times New Roman" w:cs="Times New Roman"/>
          <w:sz w:val="24"/>
          <w:szCs w:val="24"/>
          <w:lang w:eastAsia="es-ES"/>
        </w:rPr>
        <w:t>el cual viene a sustituir el anterior reglamento sobre esta materia denominado:</w:t>
      </w:r>
      <w:r w:rsidR="00837651" w:rsidRPr="00950EA2">
        <w:t xml:space="preserve"> </w:t>
      </w:r>
      <w:r w:rsidR="00837651" w:rsidRPr="00950EA2">
        <w:rPr>
          <w:i/>
        </w:rPr>
        <w:t>“</w:t>
      </w:r>
      <w:r w:rsidR="00837651" w:rsidRPr="00950EA2">
        <w:rPr>
          <w:rFonts w:ascii="Times New Roman" w:hAnsi="Times New Roman" w:cs="Times New Roman"/>
          <w:i/>
          <w:sz w:val="24"/>
          <w:szCs w:val="24"/>
          <w:lang w:eastAsia="es-ES"/>
        </w:rPr>
        <w:t>Reglamento para calificar la situación financiera de los fondos administrados por los entes regulados”.</w:t>
      </w:r>
      <w:r w:rsidR="00837651" w:rsidRPr="00950EA2">
        <w:rPr>
          <w:rFonts w:ascii="Times New Roman" w:hAnsi="Times New Roman" w:cs="Times New Roman"/>
          <w:sz w:val="24"/>
          <w:szCs w:val="24"/>
          <w:lang w:eastAsia="es-ES"/>
        </w:rPr>
        <w:t xml:space="preserve"> </w:t>
      </w:r>
    </w:p>
    <w:p w14:paraId="242C1281" w14:textId="77777777" w:rsidR="00B856D9" w:rsidRPr="00B856D9" w:rsidRDefault="00B856D9" w:rsidP="00B856D9">
      <w:pPr>
        <w:pStyle w:val="Prrafodelista"/>
        <w:rPr>
          <w:rFonts w:ascii="Times New Roman" w:hAnsi="Times New Roman" w:cs="Times New Roman"/>
          <w:sz w:val="24"/>
          <w:szCs w:val="24"/>
          <w:lang w:eastAsia="es-ES"/>
        </w:rPr>
      </w:pPr>
    </w:p>
    <w:p w14:paraId="5C3D48AB" w14:textId="127A3B05" w:rsidR="00B856D9" w:rsidRDefault="00B856D9" w:rsidP="00B856D9">
      <w:pPr>
        <w:pStyle w:val="Prrafodelist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Valorar la modificación del literal c) del artículo 9 del </w:t>
      </w:r>
      <w:r w:rsidRPr="009E457A">
        <w:rPr>
          <w:rFonts w:ascii="Times New Roman" w:hAnsi="Times New Roman" w:cs="Times New Roman"/>
          <w:sz w:val="24"/>
          <w:szCs w:val="24"/>
        </w:rPr>
        <w:t xml:space="preserve">Reglamento para la Administración </w:t>
      </w:r>
      <w:r w:rsidR="00D11B8A" w:rsidRPr="009E457A">
        <w:rPr>
          <w:rFonts w:ascii="Times New Roman" w:hAnsi="Times New Roman" w:cs="Times New Roman"/>
          <w:sz w:val="24"/>
          <w:szCs w:val="24"/>
        </w:rPr>
        <w:t>Integral de</w:t>
      </w:r>
      <w:r w:rsidRPr="009E457A">
        <w:rPr>
          <w:rFonts w:ascii="Times New Roman" w:hAnsi="Times New Roman" w:cs="Times New Roman"/>
          <w:sz w:val="24"/>
          <w:szCs w:val="24"/>
        </w:rPr>
        <w:t xml:space="preserve"> Riesgos Financieros de los Fondos Institucionales</w:t>
      </w:r>
      <w:r>
        <w:rPr>
          <w:rFonts w:ascii="Times New Roman" w:hAnsi="Times New Roman" w:cs="Times New Roman"/>
          <w:sz w:val="24"/>
          <w:szCs w:val="24"/>
        </w:rPr>
        <w:t xml:space="preserve"> para que concuerde con la est</w:t>
      </w:r>
      <w:r w:rsidR="009F3A4D">
        <w:rPr>
          <w:rFonts w:ascii="Times New Roman" w:hAnsi="Times New Roman" w:cs="Times New Roman"/>
          <w:sz w:val="24"/>
          <w:szCs w:val="24"/>
        </w:rPr>
        <w:t xml:space="preserve">ructura organizacional vigente y </w:t>
      </w:r>
      <w:r>
        <w:rPr>
          <w:rFonts w:ascii="Times New Roman" w:hAnsi="Times New Roman" w:cs="Times New Roman"/>
          <w:sz w:val="24"/>
          <w:szCs w:val="24"/>
        </w:rPr>
        <w:t>revisar el tema de eventual conflicto de interés con la adscripción jerárquica del Área de Riesgos al Departamento Actuarial y de Planificación Económica, así como en relación con la conformación de los miembros del Comité de Riesgos.</w:t>
      </w:r>
    </w:p>
    <w:p w14:paraId="104D4D35" w14:textId="77777777" w:rsidR="00B856D9" w:rsidRPr="00B856D9" w:rsidRDefault="00B856D9" w:rsidP="00B856D9">
      <w:pPr>
        <w:pStyle w:val="Prrafodelista"/>
        <w:rPr>
          <w:rFonts w:ascii="Times New Roman" w:hAnsi="Times New Roman" w:cs="Times New Roman"/>
          <w:sz w:val="24"/>
          <w:szCs w:val="24"/>
        </w:rPr>
      </w:pPr>
    </w:p>
    <w:p w14:paraId="45EA0C42" w14:textId="4597EC63" w:rsidR="00B01098" w:rsidRPr="000844EA" w:rsidRDefault="000844EA" w:rsidP="00E76849">
      <w:pPr>
        <w:pStyle w:val="Prrafodelista"/>
        <w:numPr>
          <w:ilvl w:val="0"/>
          <w:numId w:val="5"/>
        </w:numPr>
        <w:spacing w:after="0"/>
        <w:jc w:val="both"/>
        <w:rPr>
          <w:rFonts w:ascii="Times New Roman" w:hAnsi="Times New Roman" w:cs="Times New Roman"/>
          <w:sz w:val="24"/>
          <w:szCs w:val="24"/>
          <w:lang w:eastAsia="es-ES"/>
        </w:rPr>
      </w:pPr>
      <w:r w:rsidRPr="000844EA">
        <w:rPr>
          <w:rFonts w:ascii="Times New Roman" w:hAnsi="Times New Roman" w:cs="Times New Roman"/>
          <w:sz w:val="24"/>
          <w:szCs w:val="24"/>
          <w:lang w:eastAsia="es-ES"/>
        </w:rPr>
        <w:t>C</w:t>
      </w:r>
      <w:r w:rsidR="00B01098" w:rsidRPr="000844EA">
        <w:rPr>
          <w:rFonts w:ascii="Times New Roman" w:hAnsi="Times New Roman" w:cs="Times New Roman"/>
          <w:sz w:val="24"/>
          <w:szCs w:val="24"/>
          <w:lang w:eastAsia="es-ES"/>
        </w:rPr>
        <w:t xml:space="preserve">ontinuar en la búsqueda de alternativas de inversión que permitan una mayor diversificación del portafolio de inversiones </w:t>
      </w:r>
      <w:r w:rsidR="0028251C" w:rsidRPr="000844EA">
        <w:rPr>
          <w:rFonts w:ascii="Times New Roman" w:hAnsi="Times New Roman" w:cs="Times New Roman"/>
          <w:sz w:val="24"/>
          <w:szCs w:val="24"/>
          <w:lang w:eastAsia="es-ES"/>
        </w:rPr>
        <w:t>de este régimen</w:t>
      </w:r>
      <w:r w:rsidR="00A3709F" w:rsidRPr="000844EA">
        <w:rPr>
          <w:rFonts w:ascii="Times New Roman" w:hAnsi="Times New Roman" w:cs="Times New Roman"/>
          <w:sz w:val="24"/>
          <w:szCs w:val="24"/>
          <w:lang w:eastAsia="es-ES"/>
        </w:rPr>
        <w:t>.</w:t>
      </w:r>
    </w:p>
    <w:p w14:paraId="3EE51180" w14:textId="77777777" w:rsidR="00B01098" w:rsidRPr="005D4784" w:rsidRDefault="00B01098" w:rsidP="00E76849">
      <w:pPr>
        <w:pStyle w:val="Prrafodelista"/>
        <w:spacing w:after="0"/>
        <w:rPr>
          <w:rFonts w:ascii="Times New Roman" w:hAnsi="Times New Roman" w:cs="Times New Roman"/>
          <w:sz w:val="24"/>
          <w:szCs w:val="24"/>
          <w:highlight w:val="yellow"/>
          <w:lang w:eastAsia="es-ES"/>
        </w:rPr>
      </w:pPr>
      <w:r w:rsidRPr="005D4784">
        <w:rPr>
          <w:rFonts w:ascii="Times New Roman" w:hAnsi="Times New Roman" w:cs="Times New Roman"/>
          <w:sz w:val="24"/>
          <w:szCs w:val="24"/>
          <w:highlight w:val="yellow"/>
          <w:lang w:eastAsia="es-ES"/>
        </w:rPr>
        <w:t xml:space="preserve"> </w:t>
      </w:r>
    </w:p>
    <w:p w14:paraId="1D9F159C" w14:textId="77777777" w:rsidR="0067110D" w:rsidRDefault="00B01098" w:rsidP="00E76849">
      <w:pPr>
        <w:pStyle w:val="Prrafodelista"/>
        <w:numPr>
          <w:ilvl w:val="0"/>
          <w:numId w:val="5"/>
        </w:numPr>
        <w:spacing w:after="0"/>
        <w:jc w:val="both"/>
        <w:rPr>
          <w:rFonts w:ascii="Times New Roman" w:hAnsi="Times New Roman" w:cs="Times New Roman"/>
          <w:sz w:val="24"/>
          <w:szCs w:val="24"/>
          <w:lang w:eastAsia="es-ES"/>
        </w:rPr>
      </w:pPr>
      <w:r w:rsidRPr="0028251C">
        <w:rPr>
          <w:rFonts w:ascii="Times New Roman" w:hAnsi="Times New Roman" w:cs="Times New Roman"/>
          <w:sz w:val="24"/>
          <w:szCs w:val="24"/>
          <w:lang w:eastAsia="es-ES"/>
        </w:rPr>
        <w:t>Comunicar el resultado final de la investigación que se realiza, por la eventual responsabilidad administrativa de funcionarios de la CCSS; por la no entrega de las actas del Comité de Inversiones de las sesiones 120 a la 129-2010 y de la 130 a la 138-2011.</w:t>
      </w:r>
    </w:p>
    <w:p w14:paraId="468E584C" w14:textId="77777777" w:rsidR="00B73F19" w:rsidRPr="00B73F19" w:rsidRDefault="00B73F19" w:rsidP="00B73F19">
      <w:pPr>
        <w:pStyle w:val="Prrafodelista"/>
        <w:rPr>
          <w:rFonts w:ascii="Times New Roman" w:hAnsi="Times New Roman" w:cs="Times New Roman"/>
          <w:sz w:val="24"/>
          <w:szCs w:val="24"/>
          <w:lang w:eastAsia="es-ES"/>
        </w:rPr>
      </w:pPr>
    </w:p>
    <w:p w14:paraId="7B01B1D9" w14:textId="4646C6A8" w:rsidR="00B73F19" w:rsidRPr="00B73F19" w:rsidRDefault="00B73F19" w:rsidP="00DA1E35">
      <w:pPr>
        <w:pStyle w:val="Prrafodelista"/>
        <w:numPr>
          <w:ilvl w:val="0"/>
          <w:numId w:val="5"/>
        </w:numPr>
        <w:spacing w:after="240"/>
        <w:jc w:val="both"/>
        <w:rPr>
          <w:rFonts w:ascii="Times New Roman" w:hAnsi="Times New Roman" w:cs="Times New Roman"/>
          <w:sz w:val="24"/>
          <w:szCs w:val="24"/>
          <w:lang w:eastAsia="es-ES_tradnl"/>
        </w:rPr>
      </w:pPr>
      <w:r w:rsidRPr="00B73F19">
        <w:rPr>
          <w:rFonts w:ascii="Times New Roman" w:hAnsi="Times New Roman" w:cs="Times New Roman"/>
          <w:sz w:val="24"/>
          <w:szCs w:val="24"/>
          <w:lang w:eastAsia="es-ES_tradnl"/>
        </w:rPr>
        <w:lastRenderedPageBreak/>
        <w:t>Informar</w:t>
      </w:r>
      <w:r w:rsidR="00B10C55">
        <w:rPr>
          <w:rFonts w:ascii="Times New Roman" w:hAnsi="Times New Roman" w:cs="Times New Roman"/>
          <w:sz w:val="24"/>
          <w:szCs w:val="24"/>
          <w:lang w:eastAsia="es-ES_tradnl"/>
        </w:rPr>
        <w:t>,</w:t>
      </w:r>
      <w:r w:rsidRPr="00B73F19">
        <w:rPr>
          <w:rFonts w:ascii="Times New Roman" w:hAnsi="Times New Roman" w:cs="Times New Roman"/>
          <w:sz w:val="24"/>
          <w:szCs w:val="24"/>
          <w:lang w:eastAsia="es-ES_tradnl"/>
        </w:rPr>
        <w:t xml:space="preserve"> por tratarse de un tema eminentemente financiero</w:t>
      </w:r>
      <w:r>
        <w:rPr>
          <w:rFonts w:ascii="Times New Roman" w:hAnsi="Times New Roman" w:cs="Times New Roman"/>
          <w:sz w:val="24"/>
          <w:szCs w:val="24"/>
          <w:lang w:eastAsia="es-ES_tradnl"/>
        </w:rPr>
        <w:t xml:space="preserve"> y de interés público</w:t>
      </w:r>
      <w:r w:rsidR="00B10C55">
        <w:rPr>
          <w:rFonts w:ascii="Times New Roman" w:hAnsi="Times New Roman" w:cs="Times New Roman"/>
          <w:sz w:val="24"/>
          <w:szCs w:val="24"/>
          <w:lang w:eastAsia="es-ES_tradnl"/>
        </w:rPr>
        <w:t>,</w:t>
      </w:r>
      <w:r w:rsidRPr="00B73F19">
        <w:rPr>
          <w:rFonts w:ascii="Times New Roman" w:hAnsi="Times New Roman" w:cs="Times New Roman"/>
          <w:sz w:val="24"/>
          <w:szCs w:val="24"/>
          <w:lang w:eastAsia="es-ES_tradnl"/>
        </w:rPr>
        <w:t xml:space="preserve"> las acciones que </w:t>
      </w:r>
      <w:r w:rsidR="00B10C55">
        <w:rPr>
          <w:rFonts w:ascii="Times New Roman" w:hAnsi="Times New Roman" w:cs="Times New Roman"/>
          <w:sz w:val="24"/>
          <w:szCs w:val="24"/>
          <w:lang w:eastAsia="es-ES_tradnl"/>
        </w:rPr>
        <w:t xml:space="preserve">se </w:t>
      </w:r>
      <w:r w:rsidRPr="00B73F19">
        <w:rPr>
          <w:rFonts w:ascii="Times New Roman" w:hAnsi="Times New Roman" w:cs="Times New Roman"/>
          <w:sz w:val="24"/>
          <w:szCs w:val="24"/>
          <w:lang w:eastAsia="es-ES_tradnl"/>
        </w:rPr>
        <w:t xml:space="preserve">están realizando para recuperar el monto de ¢53.082 millones de morosidad patronal y la morosidad de trabajadores independientes cuyo saldo al mes </w:t>
      </w:r>
      <w:r w:rsidR="00180870">
        <w:rPr>
          <w:rFonts w:ascii="Times New Roman" w:hAnsi="Times New Roman" w:cs="Times New Roman"/>
          <w:sz w:val="24"/>
          <w:szCs w:val="24"/>
          <w:lang w:eastAsia="es-ES_tradnl"/>
        </w:rPr>
        <w:t xml:space="preserve">de mayo </w:t>
      </w:r>
      <w:r w:rsidR="00B10C55">
        <w:rPr>
          <w:rFonts w:ascii="Times New Roman" w:hAnsi="Times New Roman" w:cs="Times New Roman"/>
          <w:sz w:val="24"/>
          <w:szCs w:val="24"/>
          <w:lang w:eastAsia="es-ES_tradnl"/>
        </w:rPr>
        <w:t xml:space="preserve">2017 </w:t>
      </w:r>
      <w:r>
        <w:rPr>
          <w:rFonts w:ascii="Times New Roman" w:hAnsi="Times New Roman" w:cs="Times New Roman"/>
          <w:sz w:val="24"/>
          <w:szCs w:val="24"/>
          <w:lang w:eastAsia="es-ES_tradnl"/>
        </w:rPr>
        <w:t>es</w:t>
      </w:r>
      <w:r w:rsidRPr="00B73F19">
        <w:rPr>
          <w:rFonts w:ascii="Times New Roman" w:hAnsi="Times New Roman" w:cs="Times New Roman"/>
          <w:sz w:val="24"/>
          <w:szCs w:val="24"/>
          <w:lang w:eastAsia="es-ES_tradnl"/>
        </w:rPr>
        <w:t xml:space="preserve"> de ¢72.419 millones</w:t>
      </w:r>
      <w:r>
        <w:rPr>
          <w:rFonts w:ascii="Times New Roman" w:hAnsi="Times New Roman" w:cs="Times New Roman"/>
          <w:sz w:val="24"/>
          <w:szCs w:val="24"/>
          <w:lang w:eastAsia="es-ES_tradnl"/>
        </w:rPr>
        <w:t>.</w:t>
      </w:r>
    </w:p>
    <w:p w14:paraId="3BCCB9ED" w14:textId="77777777" w:rsidR="0067110D" w:rsidRPr="0067110D" w:rsidRDefault="0067110D" w:rsidP="0067110D">
      <w:pPr>
        <w:pStyle w:val="Prrafodelista"/>
        <w:rPr>
          <w:rFonts w:ascii="Times New Roman" w:hAnsi="Times New Roman" w:cs="Times New Roman"/>
          <w:sz w:val="24"/>
          <w:szCs w:val="24"/>
          <w:lang w:eastAsia="es-ES"/>
        </w:rPr>
      </w:pPr>
    </w:p>
    <w:p w14:paraId="462462A4" w14:textId="47BAF057" w:rsidR="0015303C" w:rsidRDefault="0074285D" w:rsidP="0067110D">
      <w:pPr>
        <w:pStyle w:val="Prrafodelista"/>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De conformidad con lo establecido en el artículo 39 de la Ley Orgánica de la Caja Costarricense del Seguro Social, c</w:t>
      </w:r>
      <w:r w:rsidR="0067110D" w:rsidRPr="0067110D">
        <w:rPr>
          <w:rFonts w:ascii="Times New Roman" w:hAnsi="Times New Roman" w:cs="Times New Roman"/>
          <w:sz w:val="24"/>
          <w:szCs w:val="24"/>
        </w:rPr>
        <w:t>onsiderar a la SUPEN como una institución auxiliar y aliada en el análisis y medición de la situación general del RIVM y aprovechar la información proveniente de este ente supervisor para vigilar la operación del régimen.</w:t>
      </w:r>
    </w:p>
    <w:p w14:paraId="271E38E9" w14:textId="77777777" w:rsidR="00E41FA3" w:rsidRPr="00E41FA3" w:rsidRDefault="00E41FA3" w:rsidP="00E41FA3">
      <w:pPr>
        <w:pStyle w:val="Prrafodelista"/>
        <w:rPr>
          <w:rFonts w:ascii="Times New Roman" w:hAnsi="Times New Roman" w:cs="Times New Roman"/>
          <w:sz w:val="24"/>
          <w:szCs w:val="24"/>
        </w:rPr>
      </w:pPr>
    </w:p>
    <w:p w14:paraId="5113E7A5" w14:textId="59895E54" w:rsidR="00E41FA3" w:rsidRDefault="00B10C55" w:rsidP="0067110D">
      <w:pPr>
        <w:pStyle w:val="Prrafodelista"/>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Continuar</w:t>
      </w:r>
      <w:r w:rsidR="00E41FA3">
        <w:rPr>
          <w:rFonts w:ascii="Times New Roman" w:hAnsi="Times New Roman" w:cs="Times New Roman"/>
          <w:sz w:val="24"/>
          <w:szCs w:val="24"/>
        </w:rPr>
        <w:t xml:space="preserve"> implementando lo que dispone el artículo</w:t>
      </w:r>
      <w:r w:rsidR="00FC614C">
        <w:rPr>
          <w:rFonts w:ascii="Times New Roman" w:hAnsi="Times New Roman" w:cs="Times New Roman"/>
          <w:sz w:val="24"/>
          <w:szCs w:val="24"/>
        </w:rPr>
        <w:t xml:space="preserve"> </w:t>
      </w:r>
      <w:r w:rsidR="00E41FA3">
        <w:rPr>
          <w:rFonts w:ascii="Times New Roman" w:hAnsi="Times New Roman" w:cs="Times New Roman"/>
          <w:sz w:val="24"/>
          <w:szCs w:val="24"/>
        </w:rPr>
        <w:t>78</w:t>
      </w:r>
      <w:r w:rsidR="00443361" w:rsidRPr="00443361">
        <w:rPr>
          <w:rFonts w:ascii="Times New Roman" w:hAnsi="Times New Roman" w:cs="Times New Roman"/>
          <w:sz w:val="24"/>
          <w:szCs w:val="24"/>
        </w:rPr>
        <w:t xml:space="preserve"> </w:t>
      </w:r>
      <w:r w:rsidR="00443361">
        <w:rPr>
          <w:rFonts w:ascii="Times New Roman" w:hAnsi="Times New Roman" w:cs="Times New Roman"/>
          <w:sz w:val="24"/>
          <w:szCs w:val="24"/>
        </w:rPr>
        <w:t>de la</w:t>
      </w:r>
      <w:r w:rsidR="00FC614C">
        <w:rPr>
          <w:rFonts w:ascii="Times New Roman" w:hAnsi="Times New Roman" w:cs="Times New Roman"/>
          <w:sz w:val="24"/>
          <w:szCs w:val="24"/>
        </w:rPr>
        <w:t xml:space="preserve"> LPT</w:t>
      </w:r>
      <w:r w:rsidR="00E41FA3">
        <w:rPr>
          <w:rFonts w:ascii="Times New Roman" w:hAnsi="Times New Roman" w:cs="Times New Roman"/>
          <w:sz w:val="24"/>
          <w:szCs w:val="24"/>
        </w:rPr>
        <w:t xml:space="preserve"> y realizando las gestiones cobratorias correspondientes.</w:t>
      </w:r>
    </w:p>
    <w:p w14:paraId="7457D89E" w14:textId="77777777" w:rsidR="0015303C" w:rsidRPr="000844EA" w:rsidRDefault="0015303C" w:rsidP="0015303C">
      <w:pPr>
        <w:pStyle w:val="Prrafodelista"/>
        <w:rPr>
          <w:rFonts w:ascii="Times New Roman" w:hAnsi="Times New Roman" w:cs="Times New Roman"/>
          <w:sz w:val="24"/>
          <w:szCs w:val="24"/>
          <w:lang w:eastAsia="es-ES"/>
        </w:rPr>
      </w:pPr>
    </w:p>
    <w:p w14:paraId="74DD26F3" w14:textId="36CC7D45" w:rsidR="00B01098" w:rsidRPr="000844EA" w:rsidRDefault="0015303C" w:rsidP="0015303C">
      <w:pPr>
        <w:pStyle w:val="Prrafodelista"/>
        <w:numPr>
          <w:ilvl w:val="0"/>
          <w:numId w:val="5"/>
        </w:numPr>
        <w:spacing w:before="240" w:after="120"/>
        <w:jc w:val="both"/>
        <w:rPr>
          <w:rFonts w:ascii="Times New Roman" w:hAnsi="Times New Roman" w:cs="Times New Roman"/>
          <w:bCs/>
          <w:sz w:val="24"/>
          <w:szCs w:val="24"/>
        </w:rPr>
      </w:pPr>
      <w:r w:rsidRPr="000844EA">
        <w:rPr>
          <w:rFonts w:ascii="Times New Roman" w:hAnsi="Times New Roman" w:cs="Times New Roman"/>
          <w:bCs/>
          <w:sz w:val="24"/>
          <w:szCs w:val="24"/>
        </w:rPr>
        <w:t>Tomar las medidas necesarias para dotar al RIVM del equilibrio financiero y actuarial en el mediano y largo plazo.</w:t>
      </w:r>
      <w:r w:rsidR="00B01098" w:rsidRPr="000844EA">
        <w:rPr>
          <w:rFonts w:ascii="Times New Roman" w:hAnsi="Times New Roman" w:cs="Times New Roman"/>
          <w:sz w:val="24"/>
          <w:szCs w:val="24"/>
          <w:lang w:eastAsia="es-ES"/>
        </w:rPr>
        <w:t xml:space="preserve"> </w:t>
      </w:r>
    </w:p>
    <w:p w14:paraId="01A9D71D" w14:textId="77777777" w:rsidR="00B01098" w:rsidRPr="005D4784" w:rsidRDefault="00B01098" w:rsidP="00E76849">
      <w:pPr>
        <w:pStyle w:val="Prrafodelista"/>
        <w:spacing w:after="0"/>
        <w:rPr>
          <w:rFonts w:ascii="Times New Roman" w:hAnsi="Times New Roman" w:cs="Times New Roman"/>
          <w:sz w:val="24"/>
          <w:szCs w:val="24"/>
          <w:highlight w:val="yellow"/>
        </w:rPr>
      </w:pPr>
    </w:p>
    <w:p w14:paraId="50B8074F" w14:textId="6274158D" w:rsidR="00AF0C01" w:rsidRPr="00AF0C01" w:rsidRDefault="006E5991" w:rsidP="00774B76">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Implementar las acciones correctivas necesarias, con el propósito de que </w:t>
      </w:r>
      <w:r w:rsidR="00AF0C01">
        <w:rPr>
          <w:rFonts w:ascii="Times New Roman" w:hAnsi="Times New Roman" w:cs="Times New Roman"/>
          <w:sz w:val="24"/>
          <w:szCs w:val="24"/>
        </w:rPr>
        <w:t xml:space="preserve">los </w:t>
      </w:r>
      <w:r w:rsidR="00AF0C01" w:rsidRPr="00AF0C01">
        <w:rPr>
          <w:rFonts w:ascii="Times New Roman" w:hAnsi="Times New Roman" w:cs="Times New Roman"/>
          <w:sz w:val="24"/>
          <w:szCs w:val="24"/>
        </w:rPr>
        <w:t xml:space="preserve">Estados financieros auditados del RIVM </w:t>
      </w:r>
      <w:r>
        <w:rPr>
          <w:rFonts w:ascii="Times New Roman" w:hAnsi="Times New Roman" w:cs="Times New Roman"/>
          <w:sz w:val="24"/>
          <w:szCs w:val="24"/>
        </w:rPr>
        <w:t>se reciban oportunamente.</w:t>
      </w:r>
    </w:p>
    <w:p w14:paraId="47C4B6AC" w14:textId="77777777" w:rsidR="00237F82" w:rsidRPr="00244802" w:rsidRDefault="00237F82" w:rsidP="00E76849">
      <w:pPr>
        <w:pStyle w:val="Prrafodelista"/>
        <w:spacing w:after="0"/>
        <w:rPr>
          <w:rFonts w:ascii="Times New Roman" w:hAnsi="Times New Roman" w:cs="Times New Roman"/>
          <w:sz w:val="24"/>
          <w:szCs w:val="24"/>
        </w:rPr>
      </w:pPr>
      <w:bookmarkStart w:id="27" w:name="_GoBack"/>
      <w:bookmarkEnd w:id="27"/>
    </w:p>
    <w:sectPr w:rsidR="00237F82" w:rsidRPr="00244802" w:rsidSect="007215FC">
      <w:footerReference w:type="default" r:id="rId16"/>
      <w:type w:val="continuous"/>
      <w:pgSz w:w="11906" w:h="16838"/>
      <w:pgMar w:top="1417" w:right="141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30A8" w14:textId="77777777" w:rsidR="00325FE2" w:rsidRDefault="00325FE2" w:rsidP="000A2A59">
      <w:pPr>
        <w:spacing w:after="0" w:line="240" w:lineRule="auto"/>
      </w:pPr>
      <w:r>
        <w:separator/>
      </w:r>
    </w:p>
  </w:endnote>
  <w:endnote w:type="continuationSeparator" w:id="0">
    <w:p w14:paraId="048FA7AD" w14:textId="77777777" w:rsidR="00325FE2" w:rsidRDefault="00325FE2" w:rsidP="000A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4"/>
      <w:gridCol w:w="7875"/>
    </w:tblGrid>
    <w:tr w:rsidR="00B07AB2" w14:paraId="4FCEB42C" w14:textId="77777777">
      <w:tc>
        <w:tcPr>
          <w:tcW w:w="918" w:type="dxa"/>
        </w:tcPr>
        <w:p w14:paraId="4582FD56" w14:textId="1581D84F" w:rsidR="00B07AB2" w:rsidRDefault="00B07AB2">
          <w:pPr>
            <w:pStyle w:val="Piedepgina"/>
            <w:jc w:val="right"/>
            <w:rPr>
              <w:b/>
              <w:color w:val="4F81BD" w:themeColor="accent1"/>
              <w:sz w:val="32"/>
              <w:szCs w:val="32"/>
            </w:rPr>
          </w:pPr>
          <w:r>
            <w:fldChar w:fldCharType="begin"/>
          </w:r>
          <w:r>
            <w:instrText xml:space="preserve"> PAGE   \* MERGEFORMAT </w:instrText>
          </w:r>
          <w:r>
            <w:fldChar w:fldCharType="separate"/>
          </w:r>
          <w:r w:rsidR="00126FF2" w:rsidRPr="00126FF2">
            <w:rPr>
              <w:b/>
              <w:noProof/>
              <w:color w:val="4F81BD" w:themeColor="accent1"/>
              <w:sz w:val="32"/>
              <w:szCs w:val="32"/>
            </w:rPr>
            <w:t>22</w:t>
          </w:r>
          <w:r>
            <w:rPr>
              <w:b/>
              <w:noProof/>
              <w:color w:val="4F81BD" w:themeColor="accent1"/>
              <w:sz w:val="32"/>
              <w:szCs w:val="32"/>
            </w:rPr>
            <w:fldChar w:fldCharType="end"/>
          </w:r>
        </w:p>
      </w:tc>
      <w:tc>
        <w:tcPr>
          <w:tcW w:w="7938" w:type="dxa"/>
        </w:tcPr>
        <w:p w14:paraId="4D3D9D77" w14:textId="77777777" w:rsidR="00B07AB2" w:rsidRDefault="00B07AB2">
          <w:pPr>
            <w:pStyle w:val="Piedepgina"/>
          </w:pPr>
        </w:p>
      </w:tc>
    </w:tr>
  </w:tbl>
  <w:p w14:paraId="47E2E2F0" w14:textId="77777777" w:rsidR="00B07AB2" w:rsidRDefault="00B07A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8A9C6" w14:textId="77777777" w:rsidR="00325FE2" w:rsidRDefault="00325FE2" w:rsidP="000A2A59">
      <w:pPr>
        <w:spacing w:after="0" w:line="240" w:lineRule="auto"/>
      </w:pPr>
      <w:r>
        <w:separator/>
      </w:r>
    </w:p>
  </w:footnote>
  <w:footnote w:type="continuationSeparator" w:id="0">
    <w:p w14:paraId="6BAAC925" w14:textId="77777777" w:rsidR="00325FE2" w:rsidRDefault="00325FE2" w:rsidP="000A2A59">
      <w:pPr>
        <w:spacing w:after="0" w:line="240" w:lineRule="auto"/>
      </w:pPr>
      <w:r>
        <w:continuationSeparator/>
      </w:r>
    </w:p>
  </w:footnote>
  <w:footnote w:id="1">
    <w:p w14:paraId="29C9F49F" w14:textId="61152C6A" w:rsidR="00BE02FC" w:rsidRPr="00BE02FC" w:rsidRDefault="00BE02FC" w:rsidP="00BE02FC">
      <w:pPr>
        <w:pStyle w:val="Textonotapie"/>
        <w:jc w:val="both"/>
      </w:pPr>
      <w:r>
        <w:rPr>
          <w:rStyle w:val="Refdenotaalpie"/>
        </w:rPr>
        <w:footnoteRef/>
      </w:r>
      <w:r>
        <w:t xml:space="preserve"> Los TUDES bajaron su rendimiento por la reducción </w:t>
      </w:r>
      <w:r w:rsidR="00D9431C">
        <w:t>en la</w:t>
      </w:r>
      <w:r>
        <w:t xml:space="preserve"> inflación y las tasas de interés.</w:t>
      </w:r>
    </w:p>
  </w:footnote>
  <w:footnote w:id="2">
    <w:p w14:paraId="12F95CBF" w14:textId="0FA0A986" w:rsidR="00B07AB2" w:rsidRDefault="00B07AB2">
      <w:pPr>
        <w:pStyle w:val="Textonotapie"/>
      </w:pPr>
      <w:r>
        <w:rPr>
          <w:rStyle w:val="Refdenotaalpie"/>
        </w:rPr>
        <w:footnoteRef/>
      </w:r>
      <w:r>
        <w:t xml:space="preserve"> </w:t>
      </w:r>
      <w:r w:rsidRPr="00C860FA">
        <w:rPr>
          <w:color w:val="000000"/>
        </w:rPr>
        <w:t>Fuente: Estadística de patronos, trabajadores y salarios, CCSS</w:t>
      </w:r>
    </w:p>
  </w:footnote>
  <w:footnote w:id="3">
    <w:p w14:paraId="5B8FEE73" w14:textId="3D6F160E" w:rsidR="00B07AB2" w:rsidRDefault="00B07AB2" w:rsidP="000E575B">
      <w:pPr>
        <w:pStyle w:val="Textonotapie"/>
        <w:jc w:val="both"/>
      </w:pPr>
      <w:r>
        <w:rPr>
          <w:rStyle w:val="Refdenotaalpie"/>
        </w:rPr>
        <w:footnoteRef/>
      </w:r>
      <w:r>
        <w:t xml:space="preserve"> Fue derogado con la emisión </w:t>
      </w:r>
      <w:r w:rsidRPr="00781FB3">
        <w:t>del Reglamento de Riesgos</w:t>
      </w:r>
      <w:r>
        <w:t xml:space="preserve"> (artículo 38)</w:t>
      </w:r>
      <w:r w:rsidRPr="00781FB3">
        <w:t>, que fue aprobado por el CONASSIF el 16 de mayo del 2017</w:t>
      </w:r>
      <w:r>
        <w:t xml:space="preserve"> y publicado en La Gaceta el 23 de junio de 2017</w:t>
      </w:r>
      <w:r w:rsidRPr="00781FB3">
        <w:t>.</w:t>
      </w:r>
    </w:p>
  </w:footnote>
  <w:footnote w:id="4">
    <w:p w14:paraId="4AC24656" w14:textId="77777777" w:rsidR="00B07AB2" w:rsidRPr="0078747E" w:rsidRDefault="00B07AB2" w:rsidP="00B44FAB">
      <w:pPr>
        <w:pStyle w:val="Textonotapie"/>
      </w:pPr>
      <w:r w:rsidRPr="0078747E">
        <w:rPr>
          <w:rStyle w:val="Refdenotaalpie"/>
        </w:rPr>
        <w:footnoteRef/>
      </w:r>
      <w:r w:rsidRPr="0078747E">
        <w:t xml:space="preserve"> En millones de colones.</w:t>
      </w:r>
    </w:p>
  </w:footnote>
  <w:footnote w:id="5">
    <w:p w14:paraId="6000EE2B" w14:textId="1D9B9BC3" w:rsidR="00BE02FC" w:rsidRPr="00BE02FC" w:rsidRDefault="00BE02FC" w:rsidP="00BE02FC">
      <w:pPr>
        <w:pStyle w:val="Textonotapie"/>
        <w:jc w:val="both"/>
        <w:rPr>
          <w:lang w:val="es-ES"/>
        </w:rPr>
      </w:pPr>
      <w:r>
        <w:rPr>
          <w:rStyle w:val="Refdenotaalpie"/>
        </w:rPr>
        <w:footnoteRef/>
      </w:r>
      <w:r>
        <w:t xml:space="preserve"> </w:t>
      </w:r>
      <w:r w:rsidRPr="00BE02FC">
        <w:rPr>
          <w:szCs w:val="24"/>
        </w:rPr>
        <w:t>De manera similar a como se ha hecho con el Poder Judicial y con JUPEMA</w:t>
      </w:r>
      <w:r>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AC5"/>
    <w:multiLevelType w:val="hybridMultilevel"/>
    <w:tmpl w:val="F0F0F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43AC2"/>
    <w:multiLevelType w:val="hybridMultilevel"/>
    <w:tmpl w:val="B894B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8A6031"/>
    <w:multiLevelType w:val="hybridMultilevel"/>
    <w:tmpl w:val="BFBAF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33424"/>
    <w:multiLevelType w:val="hybridMultilevel"/>
    <w:tmpl w:val="892033D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171FBA"/>
    <w:multiLevelType w:val="hybridMultilevel"/>
    <w:tmpl w:val="3922446A"/>
    <w:lvl w:ilvl="0" w:tplc="5792F4AC">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B1A063E"/>
    <w:multiLevelType w:val="hybridMultilevel"/>
    <w:tmpl w:val="6E203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1615EA"/>
    <w:multiLevelType w:val="hybridMultilevel"/>
    <w:tmpl w:val="B3F679EC"/>
    <w:lvl w:ilvl="0" w:tplc="140A0001">
      <w:start w:val="1"/>
      <w:numFmt w:val="bullet"/>
      <w:lvlText w:val=""/>
      <w:lvlJc w:val="left"/>
      <w:pPr>
        <w:ind w:left="1068" w:hanging="360"/>
      </w:pPr>
      <w:rPr>
        <w:rFonts w:ascii="Symbol" w:hAnsi="Symbol"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ABA12AD"/>
    <w:multiLevelType w:val="hybridMultilevel"/>
    <w:tmpl w:val="533819A4"/>
    <w:lvl w:ilvl="0" w:tplc="C322735C">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FD446B8"/>
    <w:multiLevelType w:val="multilevel"/>
    <w:tmpl w:val="9FFC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444A7"/>
    <w:multiLevelType w:val="hybridMultilevel"/>
    <w:tmpl w:val="15C2F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9854E2"/>
    <w:multiLevelType w:val="hybridMultilevel"/>
    <w:tmpl w:val="35DA5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83447D"/>
    <w:multiLevelType w:val="hybridMultilevel"/>
    <w:tmpl w:val="CE46E1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B9E2CB9"/>
    <w:multiLevelType w:val="hybridMultilevel"/>
    <w:tmpl w:val="A762E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BB350AD"/>
    <w:multiLevelType w:val="hybridMultilevel"/>
    <w:tmpl w:val="9FECC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190AFF"/>
    <w:multiLevelType w:val="hybridMultilevel"/>
    <w:tmpl w:val="BFDCF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38D008B"/>
    <w:multiLevelType w:val="hybridMultilevel"/>
    <w:tmpl w:val="F586BF16"/>
    <w:lvl w:ilvl="0" w:tplc="5792F4A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C15666"/>
    <w:multiLevelType w:val="hybridMultilevel"/>
    <w:tmpl w:val="62F6F1B0"/>
    <w:lvl w:ilvl="0" w:tplc="14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E40C91"/>
    <w:multiLevelType w:val="hybridMultilevel"/>
    <w:tmpl w:val="884A02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6280896"/>
    <w:multiLevelType w:val="hybridMultilevel"/>
    <w:tmpl w:val="310E323E"/>
    <w:lvl w:ilvl="0" w:tplc="140A0001">
      <w:start w:val="1"/>
      <w:numFmt w:val="bullet"/>
      <w:lvlText w:val=""/>
      <w:lvlJc w:val="left"/>
      <w:pPr>
        <w:ind w:left="1077" w:hanging="360"/>
      </w:pPr>
      <w:rPr>
        <w:rFonts w:ascii="Symbol" w:hAnsi="Symbol" w:hint="default"/>
      </w:rPr>
    </w:lvl>
    <w:lvl w:ilvl="1" w:tplc="140A0003" w:tentative="1">
      <w:start w:val="1"/>
      <w:numFmt w:val="bullet"/>
      <w:lvlText w:val="o"/>
      <w:lvlJc w:val="left"/>
      <w:pPr>
        <w:ind w:left="1797" w:hanging="360"/>
      </w:pPr>
      <w:rPr>
        <w:rFonts w:ascii="Courier New" w:hAnsi="Courier New" w:cs="Courier New" w:hint="default"/>
      </w:rPr>
    </w:lvl>
    <w:lvl w:ilvl="2" w:tplc="140A0005" w:tentative="1">
      <w:start w:val="1"/>
      <w:numFmt w:val="bullet"/>
      <w:lvlText w:val=""/>
      <w:lvlJc w:val="left"/>
      <w:pPr>
        <w:ind w:left="2517" w:hanging="360"/>
      </w:pPr>
      <w:rPr>
        <w:rFonts w:ascii="Wingdings" w:hAnsi="Wingdings" w:hint="default"/>
      </w:rPr>
    </w:lvl>
    <w:lvl w:ilvl="3" w:tplc="140A0001" w:tentative="1">
      <w:start w:val="1"/>
      <w:numFmt w:val="bullet"/>
      <w:lvlText w:val=""/>
      <w:lvlJc w:val="left"/>
      <w:pPr>
        <w:ind w:left="3237" w:hanging="360"/>
      </w:pPr>
      <w:rPr>
        <w:rFonts w:ascii="Symbol" w:hAnsi="Symbol" w:hint="default"/>
      </w:rPr>
    </w:lvl>
    <w:lvl w:ilvl="4" w:tplc="140A0003" w:tentative="1">
      <w:start w:val="1"/>
      <w:numFmt w:val="bullet"/>
      <w:lvlText w:val="o"/>
      <w:lvlJc w:val="left"/>
      <w:pPr>
        <w:ind w:left="3957" w:hanging="360"/>
      </w:pPr>
      <w:rPr>
        <w:rFonts w:ascii="Courier New" w:hAnsi="Courier New" w:cs="Courier New" w:hint="default"/>
      </w:rPr>
    </w:lvl>
    <w:lvl w:ilvl="5" w:tplc="140A0005" w:tentative="1">
      <w:start w:val="1"/>
      <w:numFmt w:val="bullet"/>
      <w:lvlText w:val=""/>
      <w:lvlJc w:val="left"/>
      <w:pPr>
        <w:ind w:left="4677" w:hanging="360"/>
      </w:pPr>
      <w:rPr>
        <w:rFonts w:ascii="Wingdings" w:hAnsi="Wingdings" w:hint="default"/>
      </w:rPr>
    </w:lvl>
    <w:lvl w:ilvl="6" w:tplc="140A0001" w:tentative="1">
      <w:start w:val="1"/>
      <w:numFmt w:val="bullet"/>
      <w:lvlText w:val=""/>
      <w:lvlJc w:val="left"/>
      <w:pPr>
        <w:ind w:left="5397" w:hanging="360"/>
      </w:pPr>
      <w:rPr>
        <w:rFonts w:ascii="Symbol" w:hAnsi="Symbol" w:hint="default"/>
      </w:rPr>
    </w:lvl>
    <w:lvl w:ilvl="7" w:tplc="140A0003" w:tentative="1">
      <w:start w:val="1"/>
      <w:numFmt w:val="bullet"/>
      <w:lvlText w:val="o"/>
      <w:lvlJc w:val="left"/>
      <w:pPr>
        <w:ind w:left="6117" w:hanging="360"/>
      </w:pPr>
      <w:rPr>
        <w:rFonts w:ascii="Courier New" w:hAnsi="Courier New" w:cs="Courier New" w:hint="default"/>
      </w:rPr>
    </w:lvl>
    <w:lvl w:ilvl="8" w:tplc="140A0005" w:tentative="1">
      <w:start w:val="1"/>
      <w:numFmt w:val="bullet"/>
      <w:lvlText w:val=""/>
      <w:lvlJc w:val="left"/>
      <w:pPr>
        <w:ind w:left="6837" w:hanging="360"/>
      </w:pPr>
      <w:rPr>
        <w:rFonts w:ascii="Wingdings" w:hAnsi="Wingdings" w:hint="default"/>
      </w:rPr>
    </w:lvl>
  </w:abstractNum>
  <w:abstractNum w:abstractNumId="19" w15:restartNumberingAfterBreak="0">
    <w:nsid w:val="572D230E"/>
    <w:multiLevelType w:val="hybridMultilevel"/>
    <w:tmpl w:val="0D943B54"/>
    <w:lvl w:ilvl="0" w:tplc="5792F4AC">
      <w:start w:val="1"/>
      <w:numFmt w:val="decimal"/>
      <w:lvlText w:val="%1."/>
      <w:lvlJc w:val="left"/>
      <w:pPr>
        <w:ind w:left="720" w:hanging="720"/>
      </w:pPr>
      <w:rPr>
        <w:rFonts w:hint="default"/>
        <w:b/>
        <w:i w:val="0"/>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E96496"/>
    <w:multiLevelType w:val="hybridMultilevel"/>
    <w:tmpl w:val="3CBC6B76"/>
    <w:lvl w:ilvl="0" w:tplc="0C0A0001">
      <w:start w:val="1"/>
      <w:numFmt w:val="bullet"/>
      <w:lvlText w:val=""/>
      <w:lvlJc w:val="left"/>
      <w:pPr>
        <w:ind w:left="720" w:hanging="360"/>
      </w:pPr>
      <w:rPr>
        <w:rFonts w:ascii="Symbol" w:hAnsi="Symbol"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CF2B43"/>
    <w:multiLevelType w:val="hybridMultilevel"/>
    <w:tmpl w:val="CA0CE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FF3A05"/>
    <w:multiLevelType w:val="hybridMultilevel"/>
    <w:tmpl w:val="C4906B8C"/>
    <w:lvl w:ilvl="0" w:tplc="BEE6345E">
      <w:start w:val="1"/>
      <w:numFmt w:val="upperRoman"/>
      <w:lvlText w:val="%1."/>
      <w:lvlJc w:val="left"/>
      <w:pPr>
        <w:tabs>
          <w:tab w:val="num" w:pos="3413"/>
        </w:tabs>
        <w:ind w:left="3413" w:hanging="720"/>
      </w:pPr>
      <w:rPr>
        <w:rFonts w:hint="default"/>
        <w:b/>
        <w:i w:val="0"/>
      </w:rPr>
    </w:lvl>
    <w:lvl w:ilvl="1" w:tplc="BC548A06">
      <w:start w:val="1"/>
      <w:numFmt w:val="lowerLetter"/>
      <w:lvlText w:val="%2."/>
      <w:lvlJc w:val="left"/>
      <w:pPr>
        <w:tabs>
          <w:tab w:val="num" w:pos="4765"/>
        </w:tabs>
        <w:ind w:left="4765" w:hanging="360"/>
      </w:pPr>
      <w:rPr>
        <w:rFonts w:hint="default"/>
      </w:rPr>
    </w:lvl>
    <w:lvl w:ilvl="2" w:tplc="0C0A001B" w:tentative="1">
      <w:start w:val="1"/>
      <w:numFmt w:val="lowerRoman"/>
      <w:lvlText w:val="%3."/>
      <w:lvlJc w:val="right"/>
      <w:pPr>
        <w:tabs>
          <w:tab w:val="num" w:pos="5485"/>
        </w:tabs>
        <w:ind w:left="5485" w:hanging="180"/>
      </w:pPr>
    </w:lvl>
    <w:lvl w:ilvl="3" w:tplc="0C0A000F" w:tentative="1">
      <w:start w:val="1"/>
      <w:numFmt w:val="decimal"/>
      <w:lvlText w:val="%4."/>
      <w:lvlJc w:val="left"/>
      <w:pPr>
        <w:tabs>
          <w:tab w:val="num" w:pos="6205"/>
        </w:tabs>
        <w:ind w:left="6205" w:hanging="360"/>
      </w:pPr>
    </w:lvl>
    <w:lvl w:ilvl="4" w:tplc="0C0A0019" w:tentative="1">
      <w:start w:val="1"/>
      <w:numFmt w:val="lowerLetter"/>
      <w:lvlText w:val="%5."/>
      <w:lvlJc w:val="left"/>
      <w:pPr>
        <w:tabs>
          <w:tab w:val="num" w:pos="6925"/>
        </w:tabs>
        <w:ind w:left="6925" w:hanging="360"/>
      </w:pPr>
    </w:lvl>
    <w:lvl w:ilvl="5" w:tplc="0C0A001B" w:tentative="1">
      <w:start w:val="1"/>
      <w:numFmt w:val="lowerRoman"/>
      <w:lvlText w:val="%6."/>
      <w:lvlJc w:val="right"/>
      <w:pPr>
        <w:tabs>
          <w:tab w:val="num" w:pos="7645"/>
        </w:tabs>
        <w:ind w:left="7645" w:hanging="180"/>
      </w:pPr>
    </w:lvl>
    <w:lvl w:ilvl="6" w:tplc="0C0A000F" w:tentative="1">
      <w:start w:val="1"/>
      <w:numFmt w:val="decimal"/>
      <w:lvlText w:val="%7."/>
      <w:lvlJc w:val="left"/>
      <w:pPr>
        <w:tabs>
          <w:tab w:val="num" w:pos="8365"/>
        </w:tabs>
        <w:ind w:left="8365" w:hanging="360"/>
      </w:pPr>
    </w:lvl>
    <w:lvl w:ilvl="7" w:tplc="0C0A0019" w:tentative="1">
      <w:start w:val="1"/>
      <w:numFmt w:val="lowerLetter"/>
      <w:lvlText w:val="%8."/>
      <w:lvlJc w:val="left"/>
      <w:pPr>
        <w:tabs>
          <w:tab w:val="num" w:pos="9085"/>
        </w:tabs>
        <w:ind w:left="9085" w:hanging="360"/>
      </w:pPr>
    </w:lvl>
    <w:lvl w:ilvl="8" w:tplc="0C0A001B" w:tentative="1">
      <w:start w:val="1"/>
      <w:numFmt w:val="lowerRoman"/>
      <w:lvlText w:val="%9."/>
      <w:lvlJc w:val="right"/>
      <w:pPr>
        <w:tabs>
          <w:tab w:val="num" w:pos="9805"/>
        </w:tabs>
        <w:ind w:left="9805" w:hanging="180"/>
      </w:pPr>
    </w:lvl>
  </w:abstractNum>
  <w:abstractNum w:abstractNumId="23" w15:restartNumberingAfterBreak="0">
    <w:nsid w:val="605D2DDC"/>
    <w:multiLevelType w:val="hybridMultilevel"/>
    <w:tmpl w:val="0B1C776C"/>
    <w:lvl w:ilvl="0" w:tplc="34342CFC">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8A0767"/>
    <w:multiLevelType w:val="hybridMultilevel"/>
    <w:tmpl w:val="747AE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CA37C7"/>
    <w:multiLevelType w:val="hybridMultilevel"/>
    <w:tmpl w:val="074EB51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A1A4230"/>
    <w:multiLevelType w:val="hybridMultilevel"/>
    <w:tmpl w:val="5C663966"/>
    <w:lvl w:ilvl="0" w:tplc="5E507B5E">
      <w:start w:val="1"/>
      <w:numFmt w:val="lowerLetter"/>
      <w:lvlText w:val="%1."/>
      <w:lvlJc w:val="left"/>
      <w:pPr>
        <w:ind w:left="1683" w:hanging="975"/>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7" w15:restartNumberingAfterBreak="0">
    <w:nsid w:val="6B81124C"/>
    <w:multiLevelType w:val="hybridMultilevel"/>
    <w:tmpl w:val="2F880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FF5095"/>
    <w:multiLevelType w:val="hybridMultilevel"/>
    <w:tmpl w:val="A7644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9A76EF"/>
    <w:multiLevelType w:val="multilevel"/>
    <w:tmpl w:val="004C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592ED6"/>
    <w:multiLevelType w:val="hybridMultilevel"/>
    <w:tmpl w:val="F0BAB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AF2565D"/>
    <w:multiLevelType w:val="hybridMultilevel"/>
    <w:tmpl w:val="DE945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7"/>
  </w:num>
  <w:num w:numId="4">
    <w:abstractNumId w:val="23"/>
  </w:num>
  <w:num w:numId="5">
    <w:abstractNumId w:val="15"/>
  </w:num>
  <w:num w:numId="6">
    <w:abstractNumId w:val="30"/>
  </w:num>
  <w:num w:numId="7">
    <w:abstractNumId w:val="4"/>
  </w:num>
  <w:num w:numId="8">
    <w:abstractNumId w:val="26"/>
  </w:num>
  <w:num w:numId="9">
    <w:abstractNumId w:val="16"/>
  </w:num>
  <w:num w:numId="10">
    <w:abstractNumId w:val="2"/>
  </w:num>
  <w:num w:numId="11">
    <w:abstractNumId w:val="21"/>
  </w:num>
  <w:num w:numId="12">
    <w:abstractNumId w:val="13"/>
  </w:num>
  <w:num w:numId="13">
    <w:abstractNumId w:val="10"/>
  </w:num>
  <w:num w:numId="14">
    <w:abstractNumId w:val="0"/>
  </w:num>
  <w:num w:numId="15">
    <w:abstractNumId w:val="24"/>
  </w:num>
  <w:num w:numId="16">
    <w:abstractNumId w:val="9"/>
  </w:num>
  <w:num w:numId="17">
    <w:abstractNumId w:val="12"/>
  </w:num>
  <w:num w:numId="18">
    <w:abstractNumId w:val="19"/>
  </w:num>
  <w:num w:numId="19">
    <w:abstractNumId w:val="5"/>
  </w:num>
  <w:num w:numId="20">
    <w:abstractNumId w:val="27"/>
  </w:num>
  <w:num w:numId="21">
    <w:abstractNumId w:val="20"/>
  </w:num>
  <w:num w:numId="22">
    <w:abstractNumId w:val="11"/>
  </w:num>
  <w:num w:numId="23">
    <w:abstractNumId w:val="14"/>
  </w:num>
  <w:num w:numId="24">
    <w:abstractNumId w:val="25"/>
  </w:num>
  <w:num w:numId="25">
    <w:abstractNumId w:val="17"/>
  </w:num>
  <w:num w:numId="26">
    <w:abstractNumId w:val="18"/>
  </w:num>
  <w:num w:numId="27">
    <w:abstractNumId w:val="6"/>
  </w:num>
  <w:num w:numId="28">
    <w:abstractNumId w:val="1"/>
  </w:num>
  <w:num w:numId="29">
    <w:abstractNumId w:val="31"/>
  </w:num>
  <w:num w:numId="30">
    <w:abstractNumId w:val="28"/>
  </w:num>
  <w:num w:numId="31">
    <w:abstractNumId w:val="8"/>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59"/>
    <w:rsid w:val="00000341"/>
    <w:rsid w:val="000003FD"/>
    <w:rsid w:val="000009EA"/>
    <w:rsid w:val="00000C0C"/>
    <w:rsid w:val="00000F1E"/>
    <w:rsid w:val="00001721"/>
    <w:rsid w:val="00001A50"/>
    <w:rsid w:val="00001C31"/>
    <w:rsid w:val="00001C9E"/>
    <w:rsid w:val="00002129"/>
    <w:rsid w:val="00003267"/>
    <w:rsid w:val="00003C79"/>
    <w:rsid w:val="00005269"/>
    <w:rsid w:val="0000534E"/>
    <w:rsid w:val="000055FE"/>
    <w:rsid w:val="0000591A"/>
    <w:rsid w:val="00005E6D"/>
    <w:rsid w:val="00005E79"/>
    <w:rsid w:val="00006838"/>
    <w:rsid w:val="000071C3"/>
    <w:rsid w:val="0000727C"/>
    <w:rsid w:val="000100C7"/>
    <w:rsid w:val="00010B68"/>
    <w:rsid w:val="00010C74"/>
    <w:rsid w:val="00010DCC"/>
    <w:rsid w:val="00011784"/>
    <w:rsid w:val="000119E5"/>
    <w:rsid w:val="00011D41"/>
    <w:rsid w:val="00012311"/>
    <w:rsid w:val="000123F2"/>
    <w:rsid w:val="000129DB"/>
    <w:rsid w:val="000136EB"/>
    <w:rsid w:val="00013BEE"/>
    <w:rsid w:val="00013D30"/>
    <w:rsid w:val="0001477F"/>
    <w:rsid w:val="00014B8F"/>
    <w:rsid w:val="00016297"/>
    <w:rsid w:val="00016DE2"/>
    <w:rsid w:val="00016FBA"/>
    <w:rsid w:val="00016FEB"/>
    <w:rsid w:val="0001745B"/>
    <w:rsid w:val="000208E9"/>
    <w:rsid w:val="00020992"/>
    <w:rsid w:val="000211BB"/>
    <w:rsid w:val="00021303"/>
    <w:rsid w:val="00021C88"/>
    <w:rsid w:val="000223E2"/>
    <w:rsid w:val="00022D16"/>
    <w:rsid w:val="0002384F"/>
    <w:rsid w:val="000239F8"/>
    <w:rsid w:val="00023D9F"/>
    <w:rsid w:val="000247E9"/>
    <w:rsid w:val="000253EA"/>
    <w:rsid w:val="00025673"/>
    <w:rsid w:val="000257AF"/>
    <w:rsid w:val="00025E7F"/>
    <w:rsid w:val="00026383"/>
    <w:rsid w:val="000263CD"/>
    <w:rsid w:val="00026A51"/>
    <w:rsid w:val="00026A6D"/>
    <w:rsid w:val="00026E4E"/>
    <w:rsid w:val="00027348"/>
    <w:rsid w:val="00027B1B"/>
    <w:rsid w:val="00027BEF"/>
    <w:rsid w:val="00030088"/>
    <w:rsid w:val="00030452"/>
    <w:rsid w:val="00030684"/>
    <w:rsid w:val="0003070D"/>
    <w:rsid w:val="0003081D"/>
    <w:rsid w:val="00031594"/>
    <w:rsid w:val="00031FB0"/>
    <w:rsid w:val="00032586"/>
    <w:rsid w:val="0003264B"/>
    <w:rsid w:val="000327DD"/>
    <w:rsid w:val="00032B9F"/>
    <w:rsid w:val="00033317"/>
    <w:rsid w:val="000334CB"/>
    <w:rsid w:val="0003375C"/>
    <w:rsid w:val="00033773"/>
    <w:rsid w:val="00033B55"/>
    <w:rsid w:val="00034602"/>
    <w:rsid w:val="00034AFE"/>
    <w:rsid w:val="00035713"/>
    <w:rsid w:val="0003581C"/>
    <w:rsid w:val="00035AAC"/>
    <w:rsid w:val="0003696E"/>
    <w:rsid w:val="00036C1F"/>
    <w:rsid w:val="00036C4B"/>
    <w:rsid w:val="00036D34"/>
    <w:rsid w:val="00037B66"/>
    <w:rsid w:val="000408CE"/>
    <w:rsid w:val="00040D00"/>
    <w:rsid w:val="00041278"/>
    <w:rsid w:val="0004199E"/>
    <w:rsid w:val="00041B2B"/>
    <w:rsid w:val="00041E8F"/>
    <w:rsid w:val="0004241C"/>
    <w:rsid w:val="0004272F"/>
    <w:rsid w:val="000435D3"/>
    <w:rsid w:val="000435DB"/>
    <w:rsid w:val="0004385E"/>
    <w:rsid w:val="0004397B"/>
    <w:rsid w:val="00043B94"/>
    <w:rsid w:val="0004460E"/>
    <w:rsid w:val="0004480C"/>
    <w:rsid w:val="00044BBC"/>
    <w:rsid w:val="00044DE6"/>
    <w:rsid w:val="000450AF"/>
    <w:rsid w:val="00045264"/>
    <w:rsid w:val="00045EE0"/>
    <w:rsid w:val="00046A65"/>
    <w:rsid w:val="00046B20"/>
    <w:rsid w:val="00047324"/>
    <w:rsid w:val="00050027"/>
    <w:rsid w:val="000500A7"/>
    <w:rsid w:val="00050A0E"/>
    <w:rsid w:val="00050D13"/>
    <w:rsid w:val="00051254"/>
    <w:rsid w:val="000514FB"/>
    <w:rsid w:val="000534EB"/>
    <w:rsid w:val="00053B6B"/>
    <w:rsid w:val="00053ED2"/>
    <w:rsid w:val="000547BD"/>
    <w:rsid w:val="00054C71"/>
    <w:rsid w:val="00055499"/>
    <w:rsid w:val="00055A5F"/>
    <w:rsid w:val="00055AC2"/>
    <w:rsid w:val="00055DCA"/>
    <w:rsid w:val="0005646A"/>
    <w:rsid w:val="00056524"/>
    <w:rsid w:val="00056E15"/>
    <w:rsid w:val="000570FA"/>
    <w:rsid w:val="00057AA1"/>
    <w:rsid w:val="00057C34"/>
    <w:rsid w:val="00060297"/>
    <w:rsid w:val="00060424"/>
    <w:rsid w:val="0006143C"/>
    <w:rsid w:val="000614E5"/>
    <w:rsid w:val="00061E28"/>
    <w:rsid w:val="00061F43"/>
    <w:rsid w:val="00062039"/>
    <w:rsid w:val="00062202"/>
    <w:rsid w:val="000631E6"/>
    <w:rsid w:val="000641D8"/>
    <w:rsid w:val="000643E1"/>
    <w:rsid w:val="00066F2A"/>
    <w:rsid w:val="00067047"/>
    <w:rsid w:val="00070343"/>
    <w:rsid w:val="00070E03"/>
    <w:rsid w:val="00070F47"/>
    <w:rsid w:val="00071946"/>
    <w:rsid w:val="00071B4D"/>
    <w:rsid w:val="00071F87"/>
    <w:rsid w:val="0007211B"/>
    <w:rsid w:val="000721C7"/>
    <w:rsid w:val="00072565"/>
    <w:rsid w:val="0007268B"/>
    <w:rsid w:val="000729CD"/>
    <w:rsid w:val="0007338D"/>
    <w:rsid w:val="000735BF"/>
    <w:rsid w:val="0007366E"/>
    <w:rsid w:val="00073912"/>
    <w:rsid w:val="00073B9B"/>
    <w:rsid w:val="00073F64"/>
    <w:rsid w:val="000741BF"/>
    <w:rsid w:val="00074461"/>
    <w:rsid w:val="000746E5"/>
    <w:rsid w:val="00074F8C"/>
    <w:rsid w:val="0007513B"/>
    <w:rsid w:val="00075436"/>
    <w:rsid w:val="000761E4"/>
    <w:rsid w:val="0007627F"/>
    <w:rsid w:val="0007680E"/>
    <w:rsid w:val="00076D8E"/>
    <w:rsid w:val="00077BF1"/>
    <w:rsid w:val="00077D07"/>
    <w:rsid w:val="000802EC"/>
    <w:rsid w:val="00080877"/>
    <w:rsid w:val="00080DC5"/>
    <w:rsid w:val="000814F8"/>
    <w:rsid w:val="00082F10"/>
    <w:rsid w:val="00082F73"/>
    <w:rsid w:val="000835DD"/>
    <w:rsid w:val="00083E13"/>
    <w:rsid w:val="00083EAE"/>
    <w:rsid w:val="00084130"/>
    <w:rsid w:val="000844EA"/>
    <w:rsid w:val="00084D13"/>
    <w:rsid w:val="00085CAE"/>
    <w:rsid w:val="000862E5"/>
    <w:rsid w:val="00086CE9"/>
    <w:rsid w:val="000876D6"/>
    <w:rsid w:val="00087BBC"/>
    <w:rsid w:val="000906D9"/>
    <w:rsid w:val="00090A78"/>
    <w:rsid w:val="00090F3C"/>
    <w:rsid w:val="000923F6"/>
    <w:rsid w:val="00092634"/>
    <w:rsid w:val="000926BE"/>
    <w:rsid w:val="000931C1"/>
    <w:rsid w:val="00093500"/>
    <w:rsid w:val="00093666"/>
    <w:rsid w:val="00093977"/>
    <w:rsid w:val="000943FD"/>
    <w:rsid w:val="00094559"/>
    <w:rsid w:val="0009493E"/>
    <w:rsid w:val="0009544A"/>
    <w:rsid w:val="00095942"/>
    <w:rsid w:val="00095D33"/>
    <w:rsid w:val="00095FE1"/>
    <w:rsid w:val="0009660C"/>
    <w:rsid w:val="00096B29"/>
    <w:rsid w:val="00097349"/>
    <w:rsid w:val="00097CF1"/>
    <w:rsid w:val="000A0372"/>
    <w:rsid w:val="000A04DA"/>
    <w:rsid w:val="000A1259"/>
    <w:rsid w:val="000A144A"/>
    <w:rsid w:val="000A1595"/>
    <w:rsid w:val="000A17DD"/>
    <w:rsid w:val="000A1DDB"/>
    <w:rsid w:val="000A2A59"/>
    <w:rsid w:val="000A3198"/>
    <w:rsid w:val="000A363D"/>
    <w:rsid w:val="000A3A41"/>
    <w:rsid w:val="000A3C05"/>
    <w:rsid w:val="000A3D59"/>
    <w:rsid w:val="000A4538"/>
    <w:rsid w:val="000A5295"/>
    <w:rsid w:val="000A56CD"/>
    <w:rsid w:val="000A57A5"/>
    <w:rsid w:val="000A666E"/>
    <w:rsid w:val="000A671C"/>
    <w:rsid w:val="000A6F3E"/>
    <w:rsid w:val="000A776B"/>
    <w:rsid w:val="000B039F"/>
    <w:rsid w:val="000B0AE4"/>
    <w:rsid w:val="000B0EE3"/>
    <w:rsid w:val="000B1B0D"/>
    <w:rsid w:val="000B1C2E"/>
    <w:rsid w:val="000B1FD7"/>
    <w:rsid w:val="000B248E"/>
    <w:rsid w:val="000B2FC9"/>
    <w:rsid w:val="000B37A7"/>
    <w:rsid w:val="000B398A"/>
    <w:rsid w:val="000B411B"/>
    <w:rsid w:val="000B4322"/>
    <w:rsid w:val="000B45BD"/>
    <w:rsid w:val="000B4D79"/>
    <w:rsid w:val="000B4D83"/>
    <w:rsid w:val="000B51D4"/>
    <w:rsid w:val="000B5823"/>
    <w:rsid w:val="000B5A20"/>
    <w:rsid w:val="000B65F4"/>
    <w:rsid w:val="000B7158"/>
    <w:rsid w:val="000B7A8C"/>
    <w:rsid w:val="000C01CC"/>
    <w:rsid w:val="000C145E"/>
    <w:rsid w:val="000C18D9"/>
    <w:rsid w:val="000C2D2F"/>
    <w:rsid w:val="000C3694"/>
    <w:rsid w:val="000C3A77"/>
    <w:rsid w:val="000C45C1"/>
    <w:rsid w:val="000C468A"/>
    <w:rsid w:val="000C4699"/>
    <w:rsid w:val="000C4903"/>
    <w:rsid w:val="000C49D3"/>
    <w:rsid w:val="000C4B60"/>
    <w:rsid w:val="000C4F4E"/>
    <w:rsid w:val="000C5B52"/>
    <w:rsid w:val="000C5E14"/>
    <w:rsid w:val="000C6151"/>
    <w:rsid w:val="000C634D"/>
    <w:rsid w:val="000C6350"/>
    <w:rsid w:val="000C670A"/>
    <w:rsid w:val="000C6C3F"/>
    <w:rsid w:val="000C7B8A"/>
    <w:rsid w:val="000D0EF9"/>
    <w:rsid w:val="000D237D"/>
    <w:rsid w:val="000D2380"/>
    <w:rsid w:val="000D239B"/>
    <w:rsid w:val="000D2469"/>
    <w:rsid w:val="000D2B86"/>
    <w:rsid w:val="000D2BAB"/>
    <w:rsid w:val="000D308C"/>
    <w:rsid w:val="000D3260"/>
    <w:rsid w:val="000D4237"/>
    <w:rsid w:val="000D42C5"/>
    <w:rsid w:val="000D44EB"/>
    <w:rsid w:val="000D519B"/>
    <w:rsid w:val="000D535F"/>
    <w:rsid w:val="000D57B2"/>
    <w:rsid w:val="000D5D41"/>
    <w:rsid w:val="000D5D4A"/>
    <w:rsid w:val="000D61A2"/>
    <w:rsid w:val="000D746B"/>
    <w:rsid w:val="000D778F"/>
    <w:rsid w:val="000D7FF4"/>
    <w:rsid w:val="000E01E1"/>
    <w:rsid w:val="000E0413"/>
    <w:rsid w:val="000E0BAE"/>
    <w:rsid w:val="000E0E75"/>
    <w:rsid w:val="000E0E9E"/>
    <w:rsid w:val="000E132D"/>
    <w:rsid w:val="000E14D4"/>
    <w:rsid w:val="000E1974"/>
    <w:rsid w:val="000E1B77"/>
    <w:rsid w:val="000E1CC5"/>
    <w:rsid w:val="000E27F3"/>
    <w:rsid w:val="000E3151"/>
    <w:rsid w:val="000E33B9"/>
    <w:rsid w:val="000E3DBD"/>
    <w:rsid w:val="000E3EBA"/>
    <w:rsid w:val="000E3EDA"/>
    <w:rsid w:val="000E4548"/>
    <w:rsid w:val="000E4694"/>
    <w:rsid w:val="000E4B16"/>
    <w:rsid w:val="000E4F96"/>
    <w:rsid w:val="000E5738"/>
    <w:rsid w:val="000E575B"/>
    <w:rsid w:val="000E5B7C"/>
    <w:rsid w:val="000E5E1B"/>
    <w:rsid w:val="000E6AF1"/>
    <w:rsid w:val="000E74FF"/>
    <w:rsid w:val="000E7693"/>
    <w:rsid w:val="000E7BB7"/>
    <w:rsid w:val="000E7E22"/>
    <w:rsid w:val="000F0648"/>
    <w:rsid w:val="000F109D"/>
    <w:rsid w:val="000F1D0D"/>
    <w:rsid w:val="000F1DCA"/>
    <w:rsid w:val="000F22B7"/>
    <w:rsid w:val="000F3560"/>
    <w:rsid w:val="000F42B1"/>
    <w:rsid w:val="000F43BB"/>
    <w:rsid w:val="000F4758"/>
    <w:rsid w:val="000F4ACA"/>
    <w:rsid w:val="000F4F5F"/>
    <w:rsid w:val="000F508C"/>
    <w:rsid w:val="000F657D"/>
    <w:rsid w:val="000F66BF"/>
    <w:rsid w:val="000F6B8D"/>
    <w:rsid w:val="000F6C03"/>
    <w:rsid w:val="000F78DC"/>
    <w:rsid w:val="000F7B2D"/>
    <w:rsid w:val="0010008C"/>
    <w:rsid w:val="00100942"/>
    <w:rsid w:val="00100AF5"/>
    <w:rsid w:val="0010112C"/>
    <w:rsid w:val="00101381"/>
    <w:rsid w:val="00101C3F"/>
    <w:rsid w:val="00101DB3"/>
    <w:rsid w:val="00102B5E"/>
    <w:rsid w:val="00102F68"/>
    <w:rsid w:val="00102F87"/>
    <w:rsid w:val="001032A3"/>
    <w:rsid w:val="00103C3B"/>
    <w:rsid w:val="00104761"/>
    <w:rsid w:val="001049B9"/>
    <w:rsid w:val="00105584"/>
    <w:rsid w:val="0010587F"/>
    <w:rsid w:val="00105983"/>
    <w:rsid w:val="001059BE"/>
    <w:rsid w:val="00105DEA"/>
    <w:rsid w:val="00105F15"/>
    <w:rsid w:val="00106132"/>
    <w:rsid w:val="001066A6"/>
    <w:rsid w:val="00107B68"/>
    <w:rsid w:val="00107C3E"/>
    <w:rsid w:val="00107FEC"/>
    <w:rsid w:val="00110C21"/>
    <w:rsid w:val="001111A7"/>
    <w:rsid w:val="00111964"/>
    <w:rsid w:val="00111ADB"/>
    <w:rsid w:val="00111E21"/>
    <w:rsid w:val="00112F3A"/>
    <w:rsid w:val="00113078"/>
    <w:rsid w:val="00113692"/>
    <w:rsid w:val="00113791"/>
    <w:rsid w:val="00114F83"/>
    <w:rsid w:val="001151B5"/>
    <w:rsid w:val="0011581F"/>
    <w:rsid w:val="00115D13"/>
    <w:rsid w:val="001160E3"/>
    <w:rsid w:val="00116990"/>
    <w:rsid w:val="001177FC"/>
    <w:rsid w:val="00120454"/>
    <w:rsid w:val="00120A0D"/>
    <w:rsid w:val="00120A5E"/>
    <w:rsid w:val="0012193C"/>
    <w:rsid w:val="001219F5"/>
    <w:rsid w:val="00121EE1"/>
    <w:rsid w:val="00122524"/>
    <w:rsid w:val="00122578"/>
    <w:rsid w:val="0012335A"/>
    <w:rsid w:val="00123547"/>
    <w:rsid w:val="001238E1"/>
    <w:rsid w:val="0012401D"/>
    <w:rsid w:val="001242B6"/>
    <w:rsid w:val="00124F03"/>
    <w:rsid w:val="00125C35"/>
    <w:rsid w:val="00125F2A"/>
    <w:rsid w:val="001269EE"/>
    <w:rsid w:val="00126FF2"/>
    <w:rsid w:val="0012748A"/>
    <w:rsid w:val="0012763B"/>
    <w:rsid w:val="0012796C"/>
    <w:rsid w:val="00127B34"/>
    <w:rsid w:val="00130194"/>
    <w:rsid w:val="0013027A"/>
    <w:rsid w:val="00130A07"/>
    <w:rsid w:val="00130A84"/>
    <w:rsid w:val="00130E80"/>
    <w:rsid w:val="00131284"/>
    <w:rsid w:val="00131364"/>
    <w:rsid w:val="00131F39"/>
    <w:rsid w:val="00132527"/>
    <w:rsid w:val="001326F7"/>
    <w:rsid w:val="00132707"/>
    <w:rsid w:val="00133476"/>
    <w:rsid w:val="00133D02"/>
    <w:rsid w:val="0013422D"/>
    <w:rsid w:val="00134CCA"/>
    <w:rsid w:val="00134D41"/>
    <w:rsid w:val="00134FCE"/>
    <w:rsid w:val="00135086"/>
    <w:rsid w:val="001351FA"/>
    <w:rsid w:val="001352B4"/>
    <w:rsid w:val="0013584F"/>
    <w:rsid w:val="00135D62"/>
    <w:rsid w:val="00135E41"/>
    <w:rsid w:val="001363DA"/>
    <w:rsid w:val="00136959"/>
    <w:rsid w:val="00136B5E"/>
    <w:rsid w:val="00136C49"/>
    <w:rsid w:val="00136D07"/>
    <w:rsid w:val="00137A43"/>
    <w:rsid w:val="00137CBC"/>
    <w:rsid w:val="00137FA8"/>
    <w:rsid w:val="00140234"/>
    <w:rsid w:val="00140647"/>
    <w:rsid w:val="00140942"/>
    <w:rsid w:val="0014116B"/>
    <w:rsid w:val="0014117A"/>
    <w:rsid w:val="00141C67"/>
    <w:rsid w:val="00141C9B"/>
    <w:rsid w:val="00142393"/>
    <w:rsid w:val="00143560"/>
    <w:rsid w:val="00145682"/>
    <w:rsid w:val="00145BFA"/>
    <w:rsid w:val="00145D19"/>
    <w:rsid w:val="00147075"/>
    <w:rsid w:val="00150DCF"/>
    <w:rsid w:val="00151493"/>
    <w:rsid w:val="00151688"/>
    <w:rsid w:val="0015170C"/>
    <w:rsid w:val="00151CD4"/>
    <w:rsid w:val="001524FD"/>
    <w:rsid w:val="0015303C"/>
    <w:rsid w:val="00153612"/>
    <w:rsid w:val="00153D1E"/>
    <w:rsid w:val="00154121"/>
    <w:rsid w:val="0015482E"/>
    <w:rsid w:val="00154C92"/>
    <w:rsid w:val="00154E6F"/>
    <w:rsid w:val="00155308"/>
    <w:rsid w:val="001554D2"/>
    <w:rsid w:val="00155E1C"/>
    <w:rsid w:val="00156768"/>
    <w:rsid w:val="00156B73"/>
    <w:rsid w:val="001600A8"/>
    <w:rsid w:val="00160732"/>
    <w:rsid w:val="00160BD1"/>
    <w:rsid w:val="00161DF8"/>
    <w:rsid w:val="0016253D"/>
    <w:rsid w:val="001627CC"/>
    <w:rsid w:val="0016306C"/>
    <w:rsid w:val="00165D2F"/>
    <w:rsid w:val="00166F5A"/>
    <w:rsid w:val="00167351"/>
    <w:rsid w:val="0016746E"/>
    <w:rsid w:val="00167A73"/>
    <w:rsid w:val="001705A6"/>
    <w:rsid w:val="00170FF2"/>
    <w:rsid w:val="001716FE"/>
    <w:rsid w:val="00171844"/>
    <w:rsid w:val="00172957"/>
    <w:rsid w:val="001729B7"/>
    <w:rsid w:val="00172AD9"/>
    <w:rsid w:val="00172D35"/>
    <w:rsid w:val="00172EDD"/>
    <w:rsid w:val="00173D0F"/>
    <w:rsid w:val="00173F23"/>
    <w:rsid w:val="00174494"/>
    <w:rsid w:val="00174898"/>
    <w:rsid w:val="001750E0"/>
    <w:rsid w:val="00175D6D"/>
    <w:rsid w:val="001760D1"/>
    <w:rsid w:val="001774D0"/>
    <w:rsid w:val="00177534"/>
    <w:rsid w:val="001779BF"/>
    <w:rsid w:val="001804F1"/>
    <w:rsid w:val="00180870"/>
    <w:rsid w:val="00180B6A"/>
    <w:rsid w:val="00181387"/>
    <w:rsid w:val="001817E4"/>
    <w:rsid w:val="001818EE"/>
    <w:rsid w:val="00181B16"/>
    <w:rsid w:val="0018217A"/>
    <w:rsid w:val="001829B2"/>
    <w:rsid w:val="00182AD3"/>
    <w:rsid w:val="00183036"/>
    <w:rsid w:val="001830B7"/>
    <w:rsid w:val="0018320F"/>
    <w:rsid w:val="00183310"/>
    <w:rsid w:val="00183A06"/>
    <w:rsid w:val="00183F39"/>
    <w:rsid w:val="0018420A"/>
    <w:rsid w:val="00184308"/>
    <w:rsid w:val="001846E9"/>
    <w:rsid w:val="001848CF"/>
    <w:rsid w:val="00184C98"/>
    <w:rsid w:val="0018521E"/>
    <w:rsid w:val="0018526C"/>
    <w:rsid w:val="00185639"/>
    <w:rsid w:val="001856A1"/>
    <w:rsid w:val="00186128"/>
    <w:rsid w:val="001861CC"/>
    <w:rsid w:val="00186A44"/>
    <w:rsid w:val="00187320"/>
    <w:rsid w:val="00187744"/>
    <w:rsid w:val="00187747"/>
    <w:rsid w:val="00190222"/>
    <w:rsid w:val="001904D9"/>
    <w:rsid w:val="00190618"/>
    <w:rsid w:val="001906EE"/>
    <w:rsid w:val="00190986"/>
    <w:rsid w:val="00191082"/>
    <w:rsid w:val="0019117C"/>
    <w:rsid w:val="0019132C"/>
    <w:rsid w:val="001916B3"/>
    <w:rsid w:val="00191B3E"/>
    <w:rsid w:val="00191B87"/>
    <w:rsid w:val="00191F51"/>
    <w:rsid w:val="00192005"/>
    <w:rsid w:val="00192618"/>
    <w:rsid w:val="001926AB"/>
    <w:rsid w:val="00192AE4"/>
    <w:rsid w:val="00192B1E"/>
    <w:rsid w:val="00192E5A"/>
    <w:rsid w:val="00193C5A"/>
    <w:rsid w:val="001951D2"/>
    <w:rsid w:val="001952CC"/>
    <w:rsid w:val="00196397"/>
    <w:rsid w:val="00196EF4"/>
    <w:rsid w:val="00197D00"/>
    <w:rsid w:val="001A08A4"/>
    <w:rsid w:val="001A0D69"/>
    <w:rsid w:val="001A1A99"/>
    <w:rsid w:val="001A20B2"/>
    <w:rsid w:val="001A2258"/>
    <w:rsid w:val="001A2B88"/>
    <w:rsid w:val="001A3937"/>
    <w:rsid w:val="001A3D24"/>
    <w:rsid w:val="001A3EEF"/>
    <w:rsid w:val="001A4033"/>
    <w:rsid w:val="001A4446"/>
    <w:rsid w:val="001A4751"/>
    <w:rsid w:val="001A55CC"/>
    <w:rsid w:val="001A5761"/>
    <w:rsid w:val="001A6523"/>
    <w:rsid w:val="001A710C"/>
    <w:rsid w:val="001A783D"/>
    <w:rsid w:val="001A78DA"/>
    <w:rsid w:val="001A78E7"/>
    <w:rsid w:val="001A796F"/>
    <w:rsid w:val="001B057A"/>
    <w:rsid w:val="001B0C39"/>
    <w:rsid w:val="001B0EF8"/>
    <w:rsid w:val="001B147D"/>
    <w:rsid w:val="001B181A"/>
    <w:rsid w:val="001B1BB7"/>
    <w:rsid w:val="001B23C8"/>
    <w:rsid w:val="001B2A2E"/>
    <w:rsid w:val="001B340E"/>
    <w:rsid w:val="001B36EB"/>
    <w:rsid w:val="001B3CBD"/>
    <w:rsid w:val="001B3D4F"/>
    <w:rsid w:val="001B46FE"/>
    <w:rsid w:val="001B4E4A"/>
    <w:rsid w:val="001B4F7A"/>
    <w:rsid w:val="001B60CB"/>
    <w:rsid w:val="001B644A"/>
    <w:rsid w:val="001B64FD"/>
    <w:rsid w:val="001B6E58"/>
    <w:rsid w:val="001B71F4"/>
    <w:rsid w:val="001B758D"/>
    <w:rsid w:val="001B7CFA"/>
    <w:rsid w:val="001B7E2E"/>
    <w:rsid w:val="001C0280"/>
    <w:rsid w:val="001C08DF"/>
    <w:rsid w:val="001C0B65"/>
    <w:rsid w:val="001C0ED2"/>
    <w:rsid w:val="001C14D8"/>
    <w:rsid w:val="001C1D9B"/>
    <w:rsid w:val="001C2164"/>
    <w:rsid w:val="001C23C5"/>
    <w:rsid w:val="001C2750"/>
    <w:rsid w:val="001C2B4E"/>
    <w:rsid w:val="001C2EE6"/>
    <w:rsid w:val="001C3557"/>
    <w:rsid w:val="001C4168"/>
    <w:rsid w:val="001C56F5"/>
    <w:rsid w:val="001C6059"/>
    <w:rsid w:val="001C6D1E"/>
    <w:rsid w:val="001C6F70"/>
    <w:rsid w:val="001C6F90"/>
    <w:rsid w:val="001C7392"/>
    <w:rsid w:val="001C77DA"/>
    <w:rsid w:val="001D00C9"/>
    <w:rsid w:val="001D02FC"/>
    <w:rsid w:val="001D07A1"/>
    <w:rsid w:val="001D08D0"/>
    <w:rsid w:val="001D1156"/>
    <w:rsid w:val="001D1E21"/>
    <w:rsid w:val="001D200E"/>
    <w:rsid w:val="001D20A4"/>
    <w:rsid w:val="001D292A"/>
    <w:rsid w:val="001D2A22"/>
    <w:rsid w:val="001D328A"/>
    <w:rsid w:val="001D451F"/>
    <w:rsid w:val="001D48C4"/>
    <w:rsid w:val="001D5215"/>
    <w:rsid w:val="001D545F"/>
    <w:rsid w:val="001D598E"/>
    <w:rsid w:val="001D5C75"/>
    <w:rsid w:val="001D620D"/>
    <w:rsid w:val="001D6D62"/>
    <w:rsid w:val="001D6DF5"/>
    <w:rsid w:val="001D6E59"/>
    <w:rsid w:val="001D6F1D"/>
    <w:rsid w:val="001D6F3A"/>
    <w:rsid w:val="001E02E1"/>
    <w:rsid w:val="001E035A"/>
    <w:rsid w:val="001E12DC"/>
    <w:rsid w:val="001E13CD"/>
    <w:rsid w:val="001E1572"/>
    <w:rsid w:val="001E2159"/>
    <w:rsid w:val="001E221B"/>
    <w:rsid w:val="001E2CF1"/>
    <w:rsid w:val="001E3232"/>
    <w:rsid w:val="001E3279"/>
    <w:rsid w:val="001E3FB5"/>
    <w:rsid w:val="001E4007"/>
    <w:rsid w:val="001E467B"/>
    <w:rsid w:val="001E468B"/>
    <w:rsid w:val="001E4833"/>
    <w:rsid w:val="001E4F95"/>
    <w:rsid w:val="001E5608"/>
    <w:rsid w:val="001E57C8"/>
    <w:rsid w:val="001E60BD"/>
    <w:rsid w:val="001E69AA"/>
    <w:rsid w:val="001E71E7"/>
    <w:rsid w:val="001E7628"/>
    <w:rsid w:val="001F03D3"/>
    <w:rsid w:val="001F0877"/>
    <w:rsid w:val="001F0AE1"/>
    <w:rsid w:val="001F0CCD"/>
    <w:rsid w:val="001F0D15"/>
    <w:rsid w:val="001F0D25"/>
    <w:rsid w:val="001F13CB"/>
    <w:rsid w:val="001F21B0"/>
    <w:rsid w:val="001F359D"/>
    <w:rsid w:val="001F38F4"/>
    <w:rsid w:val="001F3C07"/>
    <w:rsid w:val="001F4041"/>
    <w:rsid w:val="001F41EC"/>
    <w:rsid w:val="001F531B"/>
    <w:rsid w:val="001F5772"/>
    <w:rsid w:val="001F57E4"/>
    <w:rsid w:val="001F6431"/>
    <w:rsid w:val="001F6677"/>
    <w:rsid w:val="001F7556"/>
    <w:rsid w:val="00200896"/>
    <w:rsid w:val="00200BA1"/>
    <w:rsid w:val="00200DF8"/>
    <w:rsid w:val="00200E98"/>
    <w:rsid w:val="00202B79"/>
    <w:rsid w:val="0020314D"/>
    <w:rsid w:val="00203F75"/>
    <w:rsid w:val="0020407F"/>
    <w:rsid w:val="00204353"/>
    <w:rsid w:val="002044F0"/>
    <w:rsid w:val="0020488C"/>
    <w:rsid w:val="00204CA7"/>
    <w:rsid w:val="00205120"/>
    <w:rsid w:val="00205498"/>
    <w:rsid w:val="0020560C"/>
    <w:rsid w:val="00205815"/>
    <w:rsid w:val="00205C60"/>
    <w:rsid w:val="00206189"/>
    <w:rsid w:val="0020626F"/>
    <w:rsid w:val="002065CB"/>
    <w:rsid w:val="00206689"/>
    <w:rsid w:val="00206B30"/>
    <w:rsid w:val="0020742E"/>
    <w:rsid w:val="00207953"/>
    <w:rsid w:val="00207B41"/>
    <w:rsid w:val="0021031B"/>
    <w:rsid w:val="002106E8"/>
    <w:rsid w:val="00210E22"/>
    <w:rsid w:val="002119D6"/>
    <w:rsid w:val="00212056"/>
    <w:rsid w:val="002121C6"/>
    <w:rsid w:val="00212703"/>
    <w:rsid w:val="00212BF2"/>
    <w:rsid w:val="0021312F"/>
    <w:rsid w:val="00214030"/>
    <w:rsid w:val="00214378"/>
    <w:rsid w:val="002144F7"/>
    <w:rsid w:val="002145AA"/>
    <w:rsid w:val="0021468E"/>
    <w:rsid w:val="00214C69"/>
    <w:rsid w:val="0021553B"/>
    <w:rsid w:val="00215D98"/>
    <w:rsid w:val="00216023"/>
    <w:rsid w:val="002161A7"/>
    <w:rsid w:val="00216AF6"/>
    <w:rsid w:val="00220B6F"/>
    <w:rsid w:val="002216E0"/>
    <w:rsid w:val="00221754"/>
    <w:rsid w:val="0022197D"/>
    <w:rsid w:val="002220B3"/>
    <w:rsid w:val="002223B5"/>
    <w:rsid w:val="00222E0D"/>
    <w:rsid w:val="00223729"/>
    <w:rsid w:val="00223A79"/>
    <w:rsid w:val="00223ACC"/>
    <w:rsid w:val="00223C39"/>
    <w:rsid w:val="002245F3"/>
    <w:rsid w:val="00224632"/>
    <w:rsid w:val="00225FF8"/>
    <w:rsid w:val="00226B51"/>
    <w:rsid w:val="00226E87"/>
    <w:rsid w:val="00226FAB"/>
    <w:rsid w:val="00226FE9"/>
    <w:rsid w:val="00227DBF"/>
    <w:rsid w:val="00227E63"/>
    <w:rsid w:val="00227F86"/>
    <w:rsid w:val="002302CD"/>
    <w:rsid w:val="00230C47"/>
    <w:rsid w:val="00230D42"/>
    <w:rsid w:val="00230DE8"/>
    <w:rsid w:val="00231B98"/>
    <w:rsid w:val="00231C2F"/>
    <w:rsid w:val="00231DCD"/>
    <w:rsid w:val="002324E7"/>
    <w:rsid w:val="00232AFB"/>
    <w:rsid w:val="0023325D"/>
    <w:rsid w:val="002336AB"/>
    <w:rsid w:val="0023408E"/>
    <w:rsid w:val="00234098"/>
    <w:rsid w:val="00234A15"/>
    <w:rsid w:val="002361C0"/>
    <w:rsid w:val="002368D0"/>
    <w:rsid w:val="002372ED"/>
    <w:rsid w:val="00237340"/>
    <w:rsid w:val="002373DC"/>
    <w:rsid w:val="00237A77"/>
    <w:rsid w:val="00237AB9"/>
    <w:rsid w:val="00237F82"/>
    <w:rsid w:val="00240385"/>
    <w:rsid w:val="002409A5"/>
    <w:rsid w:val="00240A40"/>
    <w:rsid w:val="00240A68"/>
    <w:rsid w:val="00240EEF"/>
    <w:rsid w:val="002411C2"/>
    <w:rsid w:val="00241658"/>
    <w:rsid w:val="00241D16"/>
    <w:rsid w:val="002421F4"/>
    <w:rsid w:val="00242A69"/>
    <w:rsid w:val="00242D07"/>
    <w:rsid w:val="00243E63"/>
    <w:rsid w:val="002442FF"/>
    <w:rsid w:val="002443B4"/>
    <w:rsid w:val="002445DA"/>
    <w:rsid w:val="00244802"/>
    <w:rsid w:val="00244D3F"/>
    <w:rsid w:val="00244DDC"/>
    <w:rsid w:val="00245155"/>
    <w:rsid w:val="002452D9"/>
    <w:rsid w:val="002453F2"/>
    <w:rsid w:val="0024570D"/>
    <w:rsid w:val="00245983"/>
    <w:rsid w:val="00245D73"/>
    <w:rsid w:val="00245FA1"/>
    <w:rsid w:val="0024637A"/>
    <w:rsid w:val="002464B1"/>
    <w:rsid w:val="00247894"/>
    <w:rsid w:val="00247F8D"/>
    <w:rsid w:val="0025129E"/>
    <w:rsid w:val="002513EB"/>
    <w:rsid w:val="002519D4"/>
    <w:rsid w:val="00251A22"/>
    <w:rsid w:val="00251B48"/>
    <w:rsid w:val="00251D7F"/>
    <w:rsid w:val="00252254"/>
    <w:rsid w:val="00253472"/>
    <w:rsid w:val="00253815"/>
    <w:rsid w:val="00253883"/>
    <w:rsid w:val="002538D8"/>
    <w:rsid w:val="002548FF"/>
    <w:rsid w:val="002559CF"/>
    <w:rsid w:val="00255D6B"/>
    <w:rsid w:val="002560C2"/>
    <w:rsid w:val="002561D6"/>
    <w:rsid w:val="002561F3"/>
    <w:rsid w:val="002564A5"/>
    <w:rsid w:val="002569EB"/>
    <w:rsid w:val="002569F3"/>
    <w:rsid w:val="00257978"/>
    <w:rsid w:val="00257E4B"/>
    <w:rsid w:val="00260685"/>
    <w:rsid w:val="0026187A"/>
    <w:rsid w:val="00261DC7"/>
    <w:rsid w:val="0026200F"/>
    <w:rsid w:val="0026223A"/>
    <w:rsid w:val="00262C34"/>
    <w:rsid w:val="002633AC"/>
    <w:rsid w:val="00264A0D"/>
    <w:rsid w:val="00264AE4"/>
    <w:rsid w:val="00264CC1"/>
    <w:rsid w:val="00265047"/>
    <w:rsid w:val="00265ACE"/>
    <w:rsid w:val="00265DB5"/>
    <w:rsid w:val="00265EBA"/>
    <w:rsid w:val="00266532"/>
    <w:rsid w:val="0026729A"/>
    <w:rsid w:val="00267DB4"/>
    <w:rsid w:val="002701CD"/>
    <w:rsid w:val="00270E68"/>
    <w:rsid w:val="00271510"/>
    <w:rsid w:val="00271CFB"/>
    <w:rsid w:val="00272391"/>
    <w:rsid w:val="0027242E"/>
    <w:rsid w:val="00272FE8"/>
    <w:rsid w:val="0027314F"/>
    <w:rsid w:val="00273416"/>
    <w:rsid w:val="002734D7"/>
    <w:rsid w:val="002736A3"/>
    <w:rsid w:val="00273DE1"/>
    <w:rsid w:val="00274040"/>
    <w:rsid w:val="00274C78"/>
    <w:rsid w:val="002751B1"/>
    <w:rsid w:val="0027531A"/>
    <w:rsid w:val="00275478"/>
    <w:rsid w:val="00275860"/>
    <w:rsid w:val="0027675D"/>
    <w:rsid w:val="002769F5"/>
    <w:rsid w:val="00276C4A"/>
    <w:rsid w:val="00276E59"/>
    <w:rsid w:val="002772FF"/>
    <w:rsid w:val="0027754F"/>
    <w:rsid w:val="00277658"/>
    <w:rsid w:val="002777F1"/>
    <w:rsid w:val="00280A13"/>
    <w:rsid w:val="00280D1D"/>
    <w:rsid w:val="00281139"/>
    <w:rsid w:val="002815B0"/>
    <w:rsid w:val="00281929"/>
    <w:rsid w:val="0028251C"/>
    <w:rsid w:val="00282B81"/>
    <w:rsid w:val="0028312D"/>
    <w:rsid w:val="00283A51"/>
    <w:rsid w:val="00284695"/>
    <w:rsid w:val="00284B08"/>
    <w:rsid w:val="002855EF"/>
    <w:rsid w:val="00286496"/>
    <w:rsid w:val="00286F0B"/>
    <w:rsid w:val="0028719E"/>
    <w:rsid w:val="002872B0"/>
    <w:rsid w:val="00287401"/>
    <w:rsid w:val="00287916"/>
    <w:rsid w:val="00287B85"/>
    <w:rsid w:val="00290365"/>
    <w:rsid w:val="00292020"/>
    <w:rsid w:val="00292A53"/>
    <w:rsid w:val="00293707"/>
    <w:rsid w:val="002939B6"/>
    <w:rsid w:val="00293C24"/>
    <w:rsid w:val="00293C9A"/>
    <w:rsid w:val="002947E3"/>
    <w:rsid w:val="00294ECC"/>
    <w:rsid w:val="00295420"/>
    <w:rsid w:val="00295551"/>
    <w:rsid w:val="0029569F"/>
    <w:rsid w:val="00295BF9"/>
    <w:rsid w:val="002964BD"/>
    <w:rsid w:val="00296663"/>
    <w:rsid w:val="002979DA"/>
    <w:rsid w:val="00297C28"/>
    <w:rsid w:val="002A03D4"/>
    <w:rsid w:val="002A06A8"/>
    <w:rsid w:val="002A0CEA"/>
    <w:rsid w:val="002A0E02"/>
    <w:rsid w:val="002A231C"/>
    <w:rsid w:val="002A3010"/>
    <w:rsid w:val="002A40E3"/>
    <w:rsid w:val="002A4358"/>
    <w:rsid w:val="002A45DE"/>
    <w:rsid w:val="002A4911"/>
    <w:rsid w:val="002A58F4"/>
    <w:rsid w:val="002A5BF8"/>
    <w:rsid w:val="002A5C19"/>
    <w:rsid w:val="002A64D7"/>
    <w:rsid w:val="002A681E"/>
    <w:rsid w:val="002A7057"/>
    <w:rsid w:val="002B0386"/>
    <w:rsid w:val="002B0672"/>
    <w:rsid w:val="002B109D"/>
    <w:rsid w:val="002B13DE"/>
    <w:rsid w:val="002B24E1"/>
    <w:rsid w:val="002B2769"/>
    <w:rsid w:val="002B27EE"/>
    <w:rsid w:val="002B2E90"/>
    <w:rsid w:val="002B3064"/>
    <w:rsid w:val="002B3259"/>
    <w:rsid w:val="002B3919"/>
    <w:rsid w:val="002B3932"/>
    <w:rsid w:val="002B4ADD"/>
    <w:rsid w:val="002B4EF1"/>
    <w:rsid w:val="002B5838"/>
    <w:rsid w:val="002B6017"/>
    <w:rsid w:val="002B6752"/>
    <w:rsid w:val="002B7592"/>
    <w:rsid w:val="002B78A6"/>
    <w:rsid w:val="002C030F"/>
    <w:rsid w:val="002C1043"/>
    <w:rsid w:val="002C1455"/>
    <w:rsid w:val="002C1BAE"/>
    <w:rsid w:val="002C2831"/>
    <w:rsid w:val="002C32A1"/>
    <w:rsid w:val="002C3808"/>
    <w:rsid w:val="002C3A61"/>
    <w:rsid w:val="002C412C"/>
    <w:rsid w:val="002C4833"/>
    <w:rsid w:val="002C5660"/>
    <w:rsid w:val="002C57AA"/>
    <w:rsid w:val="002C60EF"/>
    <w:rsid w:val="002C64B0"/>
    <w:rsid w:val="002C687A"/>
    <w:rsid w:val="002C7163"/>
    <w:rsid w:val="002C72D0"/>
    <w:rsid w:val="002C7A83"/>
    <w:rsid w:val="002D029F"/>
    <w:rsid w:val="002D0558"/>
    <w:rsid w:val="002D0DC4"/>
    <w:rsid w:val="002D1300"/>
    <w:rsid w:val="002D193E"/>
    <w:rsid w:val="002D2ECA"/>
    <w:rsid w:val="002D3512"/>
    <w:rsid w:val="002D3E0F"/>
    <w:rsid w:val="002D4751"/>
    <w:rsid w:val="002D4D8B"/>
    <w:rsid w:val="002D4D98"/>
    <w:rsid w:val="002D4FCB"/>
    <w:rsid w:val="002D590D"/>
    <w:rsid w:val="002D5D80"/>
    <w:rsid w:val="002D5E49"/>
    <w:rsid w:val="002D62A3"/>
    <w:rsid w:val="002D64D2"/>
    <w:rsid w:val="002D659A"/>
    <w:rsid w:val="002D67D1"/>
    <w:rsid w:val="002D691A"/>
    <w:rsid w:val="002D717C"/>
    <w:rsid w:val="002D762F"/>
    <w:rsid w:val="002D78AE"/>
    <w:rsid w:val="002D7C60"/>
    <w:rsid w:val="002D7DB8"/>
    <w:rsid w:val="002E01B7"/>
    <w:rsid w:val="002E0834"/>
    <w:rsid w:val="002E0884"/>
    <w:rsid w:val="002E0974"/>
    <w:rsid w:val="002E0E5A"/>
    <w:rsid w:val="002E1FFA"/>
    <w:rsid w:val="002E3056"/>
    <w:rsid w:val="002E343A"/>
    <w:rsid w:val="002E3A11"/>
    <w:rsid w:val="002E481A"/>
    <w:rsid w:val="002E491C"/>
    <w:rsid w:val="002E58E9"/>
    <w:rsid w:val="002E7128"/>
    <w:rsid w:val="002E7FD4"/>
    <w:rsid w:val="002F031E"/>
    <w:rsid w:val="002F06E6"/>
    <w:rsid w:val="002F141A"/>
    <w:rsid w:val="002F1693"/>
    <w:rsid w:val="002F1C37"/>
    <w:rsid w:val="002F1C9F"/>
    <w:rsid w:val="002F2194"/>
    <w:rsid w:val="002F22C8"/>
    <w:rsid w:val="002F2B9D"/>
    <w:rsid w:val="002F2E37"/>
    <w:rsid w:val="002F363A"/>
    <w:rsid w:val="002F47C4"/>
    <w:rsid w:val="002F50B2"/>
    <w:rsid w:val="002F5E95"/>
    <w:rsid w:val="002F6BFD"/>
    <w:rsid w:val="002F7BD6"/>
    <w:rsid w:val="0030015A"/>
    <w:rsid w:val="003007CB"/>
    <w:rsid w:val="003007E6"/>
    <w:rsid w:val="00300CE9"/>
    <w:rsid w:val="00301350"/>
    <w:rsid w:val="003014A1"/>
    <w:rsid w:val="00301782"/>
    <w:rsid w:val="003017F7"/>
    <w:rsid w:val="00301B1F"/>
    <w:rsid w:val="00301C4F"/>
    <w:rsid w:val="00302847"/>
    <w:rsid w:val="003036CA"/>
    <w:rsid w:val="00303C12"/>
    <w:rsid w:val="003041D2"/>
    <w:rsid w:val="00304B54"/>
    <w:rsid w:val="0030597B"/>
    <w:rsid w:val="00306884"/>
    <w:rsid w:val="00306D80"/>
    <w:rsid w:val="0030735D"/>
    <w:rsid w:val="00307A50"/>
    <w:rsid w:val="00307D00"/>
    <w:rsid w:val="00307D5E"/>
    <w:rsid w:val="00310C47"/>
    <w:rsid w:val="00310DF0"/>
    <w:rsid w:val="0031165D"/>
    <w:rsid w:val="003119DC"/>
    <w:rsid w:val="003133F9"/>
    <w:rsid w:val="00313BF5"/>
    <w:rsid w:val="00313FF3"/>
    <w:rsid w:val="0031435C"/>
    <w:rsid w:val="00314B80"/>
    <w:rsid w:val="00315542"/>
    <w:rsid w:val="003160D2"/>
    <w:rsid w:val="00316D9C"/>
    <w:rsid w:val="00320A3B"/>
    <w:rsid w:val="00320F32"/>
    <w:rsid w:val="003219C0"/>
    <w:rsid w:val="003231FA"/>
    <w:rsid w:val="00323FBB"/>
    <w:rsid w:val="00325013"/>
    <w:rsid w:val="00325240"/>
    <w:rsid w:val="0032570C"/>
    <w:rsid w:val="00325FE2"/>
    <w:rsid w:val="003263EB"/>
    <w:rsid w:val="00326D0A"/>
    <w:rsid w:val="0032717D"/>
    <w:rsid w:val="00327B1A"/>
    <w:rsid w:val="00327DED"/>
    <w:rsid w:val="003300A2"/>
    <w:rsid w:val="003305DD"/>
    <w:rsid w:val="00330743"/>
    <w:rsid w:val="003316DB"/>
    <w:rsid w:val="00331741"/>
    <w:rsid w:val="0033191D"/>
    <w:rsid w:val="003322B0"/>
    <w:rsid w:val="00332599"/>
    <w:rsid w:val="00332799"/>
    <w:rsid w:val="0033283D"/>
    <w:rsid w:val="00332B10"/>
    <w:rsid w:val="00332E7C"/>
    <w:rsid w:val="00333391"/>
    <w:rsid w:val="00333C90"/>
    <w:rsid w:val="0033437F"/>
    <w:rsid w:val="003347E1"/>
    <w:rsid w:val="00334AD0"/>
    <w:rsid w:val="00334AD3"/>
    <w:rsid w:val="003360F8"/>
    <w:rsid w:val="003362EE"/>
    <w:rsid w:val="00336859"/>
    <w:rsid w:val="00336A58"/>
    <w:rsid w:val="003379E4"/>
    <w:rsid w:val="003401D9"/>
    <w:rsid w:val="00341368"/>
    <w:rsid w:val="003413E1"/>
    <w:rsid w:val="00342552"/>
    <w:rsid w:val="00343447"/>
    <w:rsid w:val="00343D6E"/>
    <w:rsid w:val="00343F42"/>
    <w:rsid w:val="00344572"/>
    <w:rsid w:val="003450C0"/>
    <w:rsid w:val="00346EDD"/>
    <w:rsid w:val="00347112"/>
    <w:rsid w:val="00347D58"/>
    <w:rsid w:val="00347DD8"/>
    <w:rsid w:val="00347EF9"/>
    <w:rsid w:val="00350388"/>
    <w:rsid w:val="003509C5"/>
    <w:rsid w:val="00350F8A"/>
    <w:rsid w:val="00351CBC"/>
    <w:rsid w:val="00352559"/>
    <w:rsid w:val="00352DDE"/>
    <w:rsid w:val="00353356"/>
    <w:rsid w:val="003538F6"/>
    <w:rsid w:val="00353E9D"/>
    <w:rsid w:val="00353FA4"/>
    <w:rsid w:val="0035427B"/>
    <w:rsid w:val="003546E1"/>
    <w:rsid w:val="00354705"/>
    <w:rsid w:val="00354AB0"/>
    <w:rsid w:val="00354C55"/>
    <w:rsid w:val="00354EDC"/>
    <w:rsid w:val="00355380"/>
    <w:rsid w:val="003557F5"/>
    <w:rsid w:val="0035597A"/>
    <w:rsid w:val="00356596"/>
    <w:rsid w:val="00356B09"/>
    <w:rsid w:val="00356F8C"/>
    <w:rsid w:val="00357731"/>
    <w:rsid w:val="00357C64"/>
    <w:rsid w:val="00357ED3"/>
    <w:rsid w:val="00360314"/>
    <w:rsid w:val="0036215D"/>
    <w:rsid w:val="00362391"/>
    <w:rsid w:val="00363363"/>
    <w:rsid w:val="003647DD"/>
    <w:rsid w:val="00364BE5"/>
    <w:rsid w:val="0036534A"/>
    <w:rsid w:val="00365600"/>
    <w:rsid w:val="003656CD"/>
    <w:rsid w:val="00365C03"/>
    <w:rsid w:val="00366389"/>
    <w:rsid w:val="0036695D"/>
    <w:rsid w:val="003670CB"/>
    <w:rsid w:val="003675D7"/>
    <w:rsid w:val="003677F8"/>
    <w:rsid w:val="0036786D"/>
    <w:rsid w:val="00367CE4"/>
    <w:rsid w:val="0037005B"/>
    <w:rsid w:val="003702B9"/>
    <w:rsid w:val="00371204"/>
    <w:rsid w:val="00371557"/>
    <w:rsid w:val="00371A10"/>
    <w:rsid w:val="00371B43"/>
    <w:rsid w:val="00372A55"/>
    <w:rsid w:val="00372B90"/>
    <w:rsid w:val="00372C42"/>
    <w:rsid w:val="00372C8E"/>
    <w:rsid w:val="00372CD2"/>
    <w:rsid w:val="00373763"/>
    <w:rsid w:val="0037397F"/>
    <w:rsid w:val="00373B47"/>
    <w:rsid w:val="00374806"/>
    <w:rsid w:val="00374BD4"/>
    <w:rsid w:val="00374EE2"/>
    <w:rsid w:val="00375F84"/>
    <w:rsid w:val="003762C3"/>
    <w:rsid w:val="00376994"/>
    <w:rsid w:val="003770E6"/>
    <w:rsid w:val="003778CC"/>
    <w:rsid w:val="00377C14"/>
    <w:rsid w:val="00377DF4"/>
    <w:rsid w:val="00380935"/>
    <w:rsid w:val="003814B7"/>
    <w:rsid w:val="00381E0E"/>
    <w:rsid w:val="003822EB"/>
    <w:rsid w:val="003823F3"/>
    <w:rsid w:val="00383257"/>
    <w:rsid w:val="0038339A"/>
    <w:rsid w:val="00383739"/>
    <w:rsid w:val="0038394E"/>
    <w:rsid w:val="00383A89"/>
    <w:rsid w:val="003842E1"/>
    <w:rsid w:val="00384BCA"/>
    <w:rsid w:val="00384E7E"/>
    <w:rsid w:val="00385552"/>
    <w:rsid w:val="0038616A"/>
    <w:rsid w:val="00386225"/>
    <w:rsid w:val="00386E68"/>
    <w:rsid w:val="003871A8"/>
    <w:rsid w:val="00387600"/>
    <w:rsid w:val="003876C8"/>
    <w:rsid w:val="00387BEE"/>
    <w:rsid w:val="003907F6"/>
    <w:rsid w:val="00390EA4"/>
    <w:rsid w:val="00391732"/>
    <w:rsid w:val="00391E1E"/>
    <w:rsid w:val="00392C72"/>
    <w:rsid w:val="00392D09"/>
    <w:rsid w:val="00392D97"/>
    <w:rsid w:val="00394BAD"/>
    <w:rsid w:val="00394DF4"/>
    <w:rsid w:val="003951EB"/>
    <w:rsid w:val="00395372"/>
    <w:rsid w:val="00395543"/>
    <w:rsid w:val="003960DC"/>
    <w:rsid w:val="00396263"/>
    <w:rsid w:val="00396393"/>
    <w:rsid w:val="00397A0C"/>
    <w:rsid w:val="00397E83"/>
    <w:rsid w:val="003A0422"/>
    <w:rsid w:val="003A0582"/>
    <w:rsid w:val="003A06DF"/>
    <w:rsid w:val="003A14B3"/>
    <w:rsid w:val="003A2781"/>
    <w:rsid w:val="003A3876"/>
    <w:rsid w:val="003A4EAC"/>
    <w:rsid w:val="003A58A9"/>
    <w:rsid w:val="003A5D6B"/>
    <w:rsid w:val="003A6ABE"/>
    <w:rsid w:val="003A6E15"/>
    <w:rsid w:val="003A7243"/>
    <w:rsid w:val="003A729C"/>
    <w:rsid w:val="003A77E7"/>
    <w:rsid w:val="003A7BD5"/>
    <w:rsid w:val="003B0150"/>
    <w:rsid w:val="003B020D"/>
    <w:rsid w:val="003B0750"/>
    <w:rsid w:val="003B07C3"/>
    <w:rsid w:val="003B1810"/>
    <w:rsid w:val="003B188D"/>
    <w:rsid w:val="003B27BB"/>
    <w:rsid w:val="003B2B6A"/>
    <w:rsid w:val="003B30EC"/>
    <w:rsid w:val="003B3234"/>
    <w:rsid w:val="003B3902"/>
    <w:rsid w:val="003B45F1"/>
    <w:rsid w:val="003B4CBA"/>
    <w:rsid w:val="003B50A4"/>
    <w:rsid w:val="003B58FE"/>
    <w:rsid w:val="003B5ABE"/>
    <w:rsid w:val="003B5C26"/>
    <w:rsid w:val="003B6009"/>
    <w:rsid w:val="003B62BE"/>
    <w:rsid w:val="003B6B1F"/>
    <w:rsid w:val="003B6CDA"/>
    <w:rsid w:val="003B6E7E"/>
    <w:rsid w:val="003B7BF7"/>
    <w:rsid w:val="003C00CC"/>
    <w:rsid w:val="003C05AC"/>
    <w:rsid w:val="003C0CBD"/>
    <w:rsid w:val="003C155B"/>
    <w:rsid w:val="003C18C2"/>
    <w:rsid w:val="003C1DA7"/>
    <w:rsid w:val="003C1EA5"/>
    <w:rsid w:val="003C21D7"/>
    <w:rsid w:val="003C2AED"/>
    <w:rsid w:val="003C2B93"/>
    <w:rsid w:val="003C332F"/>
    <w:rsid w:val="003C38D1"/>
    <w:rsid w:val="003C392F"/>
    <w:rsid w:val="003C3D7A"/>
    <w:rsid w:val="003C3D8B"/>
    <w:rsid w:val="003C3E80"/>
    <w:rsid w:val="003C4153"/>
    <w:rsid w:val="003C4A33"/>
    <w:rsid w:val="003C4C2E"/>
    <w:rsid w:val="003C4CAD"/>
    <w:rsid w:val="003C506D"/>
    <w:rsid w:val="003C58E5"/>
    <w:rsid w:val="003C6422"/>
    <w:rsid w:val="003C6645"/>
    <w:rsid w:val="003C6A97"/>
    <w:rsid w:val="003C70EE"/>
    <w:rsid w:val="003C737D"/>
    <w:rsid w:val="003D01F0"/>
    <w:rsid w:val="003D10A5"/>
    <w:rsid w:val="003D13C5"/>
    <w:rsid w:val="003D1C21"/>
    <w:rsid w:val="003D2802"/>
    <w:rsid w:val="003D2C70"/>
    <w:rsid w:val="003D3239"/>
    <w:rsid w:val="003D32E1"/>
    <w:rsid w:val="003D3561"/>
    <w:rsid w:val="003D3630"/>
    <w:rsid w:val="003D4889"/>
    <w:rsid w:val="003D4A5A"/>
    <w:rsid w:val="003D4CC4"/>
    <w:rsid w:val="003D5080"/>
    <w:rsid w:val="003D53BD"/>
    <w:rsid w:val="003D6EE8"/>
    <w:rsid w:val="003D7020"/>
    <w:rsid w:val="003D750A"/>
    <w:rsid w:val="003E02F3"/>
    <w:rsid w:val="003E0762"/>
    <w:rsid w:val="003E0FA6"/>
    <w:rsid w:val="003E109A"/>
    <w:rsid w:val="003E132E"/>
    <w:rsid w:val="003E1984"/>
    <w:rsid w:val="003E1C9F"/>
    <w:rsid w:val="003E24F0"/>
    <w:rsid w:val="003E2842"/>
    <w:rsid w:val="003E2903"/>
    <w:rsid w:val="003E29E5"/>
    <w:rsid w:val="003E2A0A"/>
    <w:rsid w:val="003E31AB"/>
    <w:rsid w:val="003E339A"/>
    <w:rsid w:val="003E34CE"/>
    <w:rsid w:val="003E3DB3"/>
    <w:rsid w:val="003E4448"/>
    <w:rsid w:val="003E44EB"/>
    <w:rsid w:val="003E4F0D"/>
    <w:rsid w:val="003E557D"/>
    <w:rsid w:val="003E699B"/>
    <w:rsid w:val="003E73AE"/>
    <w:rsid w:val="003E7A7D"/>
    <w:rsid w:val="003F0290"/>
    <w:rsid w:val="003F05F8"/>
    <w:rsid w:val="003F0E76"/>
    <w:rsid w:val="003F0F2D"/>
    <w:rsid w:val="003F2C1F"/>
    <w:rsid w:val="003F417A"/>
    <w:rsid w:val="003F4289"/>
    <w:rsid w:val="003F4573"/>
    <w:rsid w:val="003F45B3"/>
    <w:rsid w:val="003F4CD2"/>
    <w:rsid w:val="003F4EE6"/>
    <w:rsid w:val="003F540A"/>
    <w:rsid w:val="003F61FF"/>
    <w:rsid w:val="003F6447"/>
    <w:rsid w:val="003F6AE8"/>
    <w:rsid w:val="003F7082"/>
    <w:rsid w:val="003F70DA"/>
    <w:rsid w:val="003F77DA"/>
    <w:rsid w:val="003F7AEB"/>
    <w:rsid w:val="00400189"/>
    <w:rsid w:val="00400ECF"/>
    <w:rsid w:val="004010B4"/>
    <w:rsid w:val="00401517"/>
    <w:rsid w:val="004024EB"/>
    <w:rsid w:val="004027B6"/>
    <w:rsid w:val="004038F1"/>
    <w:rsid w:val="00403AA6"/>
    <w:rsid w:val="00403E99"/>
    <w:rsid w:val="00404B69"/>
    <w:rsid w:val="00405017"/>
    <w:rsid w:val="00405450"/>
    <w:rsid w:val="004055B1"/>
    <w:rsid w:val="0040579F"/>
    <w:rsid w:val="00406561"/>
    <w:rsid w:val="00406595"/>
    <w:rsid w:val="00406718"/>
    <w:rsid w:val="00406CE6"/>
    <w:rsid w:val="004077E5"/>
    <w:rsid w:val="0040795E"/>
    <w:rsid w:val="00407C0C"/>
    <w:rsid w:val="00407C5C"/>
    <w:rsid w:val="00407DEC"/>
    <w:rsid w:val="00410788"/>
    <w:rsid w:val="004107D5"/>
    <w:rsid w:val="00410999"/>
    <w:rsid w:val="00410A78"/>
    <w:rsid w:val="00410D43"/>
    <w:rsid w:val="004111DB"/>
    <w:rsid w:val="0041252E"/>
    <w:rsid w:val="004127F2"/>
    <w:rsid w:val="00412B7B"/>
    <w:rsid w:val="00413130"/>
    <w:rsid w:val="00413265"/>
    <w:rsid w:val="004145C5"/>
    <w:rsid w:val="0041480B"/>
    <w:rsid w:val="00414F5C"/>
    <w:rsid w:val="00415407"/>
    <w:rsid w:val="00415AE4"/>
    <w:rsid w:val="004167FD"/>
    <w:rsid w:val="00417352"/>
    <w:rsid w:val="004175EA"/>
    <w:rsid w:val="00417B11"/>
    <w:rsid w:val="004201AE"/>
    <w:rsid w:val="00420634"/>
    <w:rsid w:val="00420C9C"/>
    <w:rsid w:val="00420DCF"/>
    <w:rsid w:val="004210CD"/>
    <w:rsid w:val="00422739"/>
    <w:rsid w:val="00422BEB"/>
    <w:rsid w:val="004230B0"/>
    <w:rsid w:val="00423125"/>
    <w:rsid w:val="0042330E"/>
    <w:rsid w:val="0042337B"/>
    <w:rsid w:val="00423420"/>
    <w:rsid w:val="0042393C"/>
    <w:rsid w:val="00423E7A"/>
    <w:rsid w:val="004249DB"/>
    <w:rsid w:val="00424C7B"/>
    <w:rsid w:val="004253F6"/>
    <w:rsid w:val="004259BC"/>
    <w:rsid w:val="004267E1"/>
    <w:rsid w:val="00426ED0"/>
    <w:rsid w:val="0042734B"/>
    <w:rsid w:val="00430145"/>
    <w:rsid w:val="00430BE1"/>
    <w:rsid w:val="00430BEC"/>
    <w:rsid w:val="00431011"/>
    <w:rsid w:val="00431054"/>
    <w:rsid w:val="00431875"/>
    <w:rsid w:val="004327B4"/>
    <w:rsid w:val="0043280E"/>
    <w:rsid w:val="00433464"/>
    <w:rsid w:val="00433ADB"/>
    <w:rsid w:val="00433BE8"/>
    <w:rsid w:val="00433BED"/>
    <w:rsid w:val="00433E2B"/>
    <w:rsid w:val="00434248"/>
    <w:rsid w:val="004347AA"/>
    <w:rsid w:val="0043494A"/>
    <w:rsid w:val="00434A7A"/>
    <w:rsid w:val="00435B7D"/>
    <w:rsid w:val="00436D1D"/>
    <w:rsid w:val="00436FAA"/>
    <w:rsid w:val="00437A25"/>
    <w:rsid w:val="00437A61"/>
    <w:rsid w:val="00437D7C"/>
    <w:rsid w:val="00440672"/>
    <w:rsid w:val="00440830"/>
    <w:rsid w:val="0044097F"/>
    <w:rsid w:val="00440A6C"/>
    <w:rsid w:val="00440D5D"/>
    <w:rsid w:val="00440FDA"/>
    <w:rsid w:val="00441B00"/>
    <w:rsid w:val="00442084"/>
    <w:rsid w:val="00442415"/>
    <w:rsid w:val="004431AD"/>
    <w:rsid w:val="00443361"/>
    <w:rsid w:val="0044361A"/>
    <w:rsid w:val="00443999"/>
    <w:rsid w:val="004442ED"/>
    <w:rsid w:val="0044437B"/>
    <w:rsid w:val="004445AB"/>
    <w:rsid w:val="004445E0"/>
    <w:rsid w:val="00444AC3"/>
    <w:rsid w:val="00444AF1"/>
    <w:rsid w:val="004451A2"/>
    <w:rsid w:val="00445603"/>
    <w:rsid w:val="00445D05"/>
    <w:rsid w:val="00445D6F"/>
    <w:rsid w:val="00445E5B"/>
    <w:rsid w:val="00447241"/>
    <w:rsid w:val="0044724D"/>
    <w:rsid w:val="004475B7"/>
    <w:rsid w:val="004478EB"/>
    <w:rsid w:val="00447C22"/>
    <w:rsid w:val="004500BB"/>
    <w:rsid w:val="00450101"/>
    <w:rsid w:val="00450B36"/>
    <w:rsid w:val="00451017"/>
    <w:rsid w:val="004514C9"/>
    <w:rsid w:val="00451E18"/>
    <w:rsid w:val="0045363F"/>
    <w:rsid w:val="00453FF1"/>
    <w:rsid w:val="00454160"/>
    <w:rsid w:val="00454223"/>
    <w:rsid w:val="00454C6A"/>
    <w:rsid w:val="00454EB0"/>
    <w:rsid w:val="00455041"/>
    <w:rsid w:val="00455114"/>
    <w:rsid w:val="00455330"/>
    <w:rsid w:val="00455E8F"/>
    <w:rsid w:val="00455F72"/>
    <w:rsid w:val="00456463"/>
    <w:rsid w:val="004567B0"/>
    <w:rsid w:val="00456EC2"/>
    <w:rsid w:val="00457254"/>
    <w:rsid w:val="004575B7"/>
    <w:rsid w:val="00457B18"/>
    <w:rsid w:val="00457C60"/>
    <w:rsid w:val="0046048C"/>
    <w:rsid w:val="00460595"/>
    <w:rsid w:val="004605E3"/>
    <w:rsid w:val="00460928"/>
    <w:rsid w:val="00460B3B"/>
    <w:rsid w:val="00460C51"/>
    <w:rsid w:val="00460EC3"/>
    <w:rsid w:val="00460F77"/>
    <w:rsid w:val="004615F7"/>
    <w:rsid w:val="004622DA"/>
    <w:rsid w:val="00462C99"/>
    <w:rsid w:val="00462CBA"/>
    <w:rsid w:val="004630A2"/>
    <w:rsid w:val="00463823"/>
    <w:rsid w:val="004641C1"/>
    <w:rsid w:val="00464E64"/>
    <w:rsid w:val="00465022"/>
    <w:rsid w:val="0046631D"/>
    <w:rsid w:val="004664E1"/>
    <w:rsid w:val="00466B1D"/>
    <w:rsid w:val="00466E65"/>
    <w:rsid w:val="00466F02"/>
    <w:rsid w:val="0046714B"/>
    <w:rsid w:val="004679BD"/>
    <w:rsid w:val="00467AC8"/>
    <w:rsid w:val="00467EB1"/>
    <w:rsid w:val="00467F57"/>
    <w:rsid w:val="0047113E"/>
    <w:rsid w:val="0047129F"/>
    <w:rsid w:val="00471D14"/>
    <w:rsid w:val="00472FCD"/>
    <w:rsid w:val="0047408B"/>
    <w:rsid w:val="00474488"/>
    <w:rsid w:val="004747BF"/>
    <w:rsid w:val="00474832"/>
    <w:rsid w:val="00474B5C"/>
    <w:rsid w:val="00475B31"/>
    <w:rsid w:val="00475BF7"/>
    <w:rsid w:val="00476427"/>
    <w:rsid w:val="004765D5"/>
    <w:rsid w:val="0047709A"/>
    <w:rsid w:val="00480377"/>
    <w:rsid w:val="00480AAA"/>
    <w:rsid w:val="00480CC5"/>
    <w:rsid w:val="0048125F"/>
    <w:rsid w:val="00481B73"/>
    <w:rsid w:val="00482A23"/>
    <w:rsid w:val="00482A4A"/>
    <w:rsid w:val="00484034"/>
    <w:rsid w:val="00484717"/>
    <w:rsid w:val="004855B1"/>
    <w:rsid w:val="004858B8"/>
    <w:rsid w:val="00485BCE"/>
    <w:rsid w:val="004867BB"/>
    <w:rsid w:val="004875D6"/>
    <w:rsid w:val="004879CB"/>
    <w:rsid w:val="00487D00"/>
    <w:rsid w:val="00491253"/>
    <w:rsid w:val="00491418"/>
    <w:rsid w:val="0049201E"/>
    <w:rsid w:val="00492647"/>
    <w:rsid w:val="0049388B"/>
    <w:rsid w:val="004938B0"/>
    <w:rsid w:val="00493D4E"/>
    <w:rsid w:val="004956C4"/>
    <w:rsid w:val="004956ED"/>
    <w:rsid w:val="00495B85"/>
    <w:rsid w:val="00495ED6"/>
    <w:rsid w:val="00495EEC"/>
    <w:rsid w:val="00496539"/>
    <w:rsid w:val="00496D9E"/>
    <w:rsid w:val="00496DC2"/>
    <w:rsid w:val="004973DF"/>
    <w:rsid w:val="00497D44"/>
    <w:rsid w:val="004A0C27"/>
    <w:rsid w:val="004A13EA"/>
    <w:rsid w:val="004A160C"/>
    <w:rsid w:val="004A226D"/>
    <w:rsid w:val="004A2366"/>
    <w:rsid w:val="004A271F"/>
    <w:rsid w:val="004A280F"/>
    <w:rsid w:val="004A290A"/>
    <w:rsid w:val="004A3511"/>
    <w:rsid w:val="004A3584"/>
    <w:rsid w:val="004A3DB6"/>
    <w:rsid w:val="004A3EFC"/>
    <w:rsid w:val="004A4D9D"/>
    <w:rsid w:val="004A5319"/>
    <w:rsid w:val="004A5CE5"/>
    <w:rsid w:val="004A6F29"/>
    <w:rsid w:val="004A720B"/>
    <w:rsid w:val="004A7347"/>
    <w:rsid w:val="004B1B48"/>
    <w:rsid w:val="004B281D"/>
    <w:rsid w:val="004B34B8"/>
    <w:rsid w:val="004B374C"/>
    <w:rsid w:val="004B4313"/>
    <w:rsid w:val="004B43E9"/>
    <w:rsid w:val="004B4882"/>
    <w:rsid w:val="004B4973"/>
    <w:rsid w:val="004B4EB6"/>
    <w:rsid w:val="004B501F"/>
    <w:rsid w:val="004B50A1"/>
    <w:rsid w:val="004B65AF"/>
    <w:rsid w:val="004B67EC"/>
    <w:rsid w:val="004B6FE6"/>
    <w:rsid w:val="004B7563"/>
    <w:rsid w:val="004B75BD"/>
    <w:rsid w:val="004B760A"/>
    <w:rsid w:val="004B7ADD"/>
    <w:rsid w:val="004B7B34"/>
    <w:rsid w:val="004C0278"/>
    <w:rsid w:val="004C1132"/>
    <w:rsid w:val="004C1582"/>
    <w:rsid w:val="004C174B"/>
    <w:rsid w:val="004C1784"/>
    <w:rsid w:val="004C19B4"/>
    <w:rsid w:val="004C1AAD"/>
    <w:rsid w:val="004C36C7"/>
    <w:rsid w:val="004C3E0D"/>
    <w:rsid w:val="004C3E31"/>
    <w:rsid w:val="004C415A"/>
    <w:rsid w:val="004C4237"/>
    <w:rsid w:val="004C4A08"/>
    <w:rsid w:val="004C4AF5"/>
    <w:rsid w:val="004C4CC6"/>
    <w:rsid w:val="004C4DDD"/>
    <w:rsid w:val="004C4F5D"/>
    <w:rsid w:val="004C5011"/>
    <w:rsid w:val="004C52FF"/>
    <w:rsid w:val="004C6025"/>
    <w:rsid w:val="004C6979"/>
    <w:rsid w:val="004C747A"/>
    <w:rsid w:val="004C7C19"/>
    <w:rsid w:val="004C7D47"/>
    <w:rsid w:val="004D00C1"/>
    <w:rsid w:val="004D070B"/>
    <w:rsid w:val="004D0D9E"/>
    <w:rsid w:val="004D0F94"/>
    <w:rsid w:val="004D1055"/>
    <w:rsid w:val="004D2314"/>
    <w:rsid w:val="004D23B7"/>
    <w:rsid w:val="004D3334"/>
    <w:rsid w:val="004D350F"/>
    <w:rsid w:val="004D4026"/>
    <w:rsid w:val="004D405E"/>
    <w:rsid w:val="004D4277"/>
    <w:rsid w:val="004D49BB"/>
    <w:rsid w:val="004D4E9C"/>
    <w:rsid w:val="004D5A61"/>
    <w:rsid w:val="004D6D36"/>
    <w:rsid w:val="004D776A"/>
    <w:rsid w:val="004D7D37"/>
    <w:rsid w:val="004D7DD2"/>
    <w:rsid w:val="004E0054"/>
    <w:rsid w:val="004E0F20"/>
    <w:rsid w:val="004E1465"/>
    <w:rsid w:val="004E35FB"/>
    <w:rsid w:val="004E3A37"/>
    <w:rsid w:val="004E45A9"/>
    <w:rsid w:val="004E4E52"/>
    <w:rsid w:val="004E4F6D"/>
    <w:rsid w:val="004E554B"/>
    <w:rsid w:val="004E55D9"/>
    <w:rsid w:val="004E58D3"/>
    <w:rsid w:val="004E629F"/>
    <w:rsid w:val="004E63F0"/>
    <w:rsid w:val="004E6592"/>
    <w:rsid w:val="004E689D"/>
    <w:rsid w:val="004E6B74"/>
    <w:rsid w:val="004E71F4"/>
    <w:rsid w:val="004E74D8"/>
    <w:rsid w:val="004E74E5"/>
    <w:rsid w:val="004E7D8F"/>
    <w:rsid w:val="004F0113"/>
    <w:rsid w:val="004F077D"/>
    <w:rsid w:val="004F0F0D"/>
    <w:rsid w:val="004F1235"/>
    <w:rsid w:val="004F1FDE"/>
    <w:rsid w:val="004F200D"/>
    <w:rsid w:val="004F2010"/>
    <w:rsid w:val="004F21A8"/>
    <w:rsid w:val="004F382E"/>
    <w:rsid w:val="004F39F1"/>
    <w:rsid w:val="004F4647"/>
    <w:rsid w:val="004F4DAD"/>
    <w:rsid w:val="004F4DED"/>
    <w:rsid w:val="004F57F9"/>
    <w:rsid w:val="004F5BE6"/>
    <w:rsid w:val="004F6025"/>
    <w:rsid w:val="004F6874"/>
    <w:rsid w:val="004F689C"/>
    <w:rsid w:val="004F7234"/>
    <w:rsid w:val="004F76C5"/>
    <w:rsid w:val="004F79BF"/>
    <w:rsid w:val="005001CE"/>
    <w:rsid w:val="0050096D"/>
    <w:rsid w:val="0050260E"/>
    <w:rsid w:val="00502934"/>
    <w:rsid w:val="0050293E"/>
    <w:rsid w:val="00503046"/>
    <w:rsid w:val="0050329F"/>
    <w:rsid w:val="005033CB"/>
    <w:rsid w:val="00503584"/>
    <w:rsid w:val="005042AA"/>
    <w:rsid w:val="00504B4F"/>
    <w:rsid w:val="00504E20"/>
    <w:rsid w:val="00505522"/>
    <w:rsid w:val="00505940"/>
    <w:rsid w:val="00505A43"/>
    <w:rsid w:val="00505C2D"/>
    <w:rsid w:val="005068C2"/>
    <w:rsid w:val="00506997"/>
    <w:rsid w:val="00506C6F"/>
    <w:rsid w:val="00506D6D"/>
    <w:rsid w:val="00507507"/>
    <w:rsid w:val="00507DCE"/>
    <w:rsid w:val="00510923"/>
    <w:rsid w:val="00510B91"/>
    <w:rsid w:val="00510E9F"/>
    <w:rsid w:val="005115C0"/>
    <w:rsid w:val="005115D4"/>
    <w:rsid w:val="00511A91"/>
    <w:rsid w:val="00512CCD"/>
    <w:rsid w:val="00513F6A"/>
    <w:rsid w:val="0051425A"/>
    <w:rsid w:val="005143F8"/>
    <w:rsid w:val="005155BC"/>
    <w:rsid w:val="00515EA3"/>
    <w:rsid w:val="0051637B"/>
    <w:rsid w:val="005165C3"/>
    <w:rsid w:val="00516A8D"/>
    <w:rsid w:val="00516C23"/>
    <w:rsid w:val="00517763"/>
    <w:rsid w:val="00517FAF"/>
    <w:rsid w:val="00520488"/>
    <w:rsid w:val="00520896"/>
    <w:rsid w:val="00520A02"/>
    <w:rsid w:val="00521295"/>
    <w:rsid w:val="0052186C"/>
    <w:rsid w:val="00521A6A"/>
    <w:rsid w:val="0052249D"/>
    <w:rsid w:val="0052274A"/>
    <w:rsid w:val="00522ABC"/>
    <w:rsid w:val="00522AD8"/>
    <w:rsid w:val="00522C91"/>
    <w:rsid w:val="00523059"/>
    <w:rsid w:val="00523320"/>
    <w:rsid w:val="00524451"/>
    <w:rsid w:val="005248E5"/>
    <w:rsid w:val="00525A53"/>
    <w:rsid w:val="0052620B"/>
    <w:rsid w:val="00526A17"/>
    <w:rsid w:val="00527A32"/>
    <w:rsid w:val="00527D07"/>
    <w:rsid w:val="00527E62"/>
    <w:rsid w:val="00527EC2"/>
    <w:rsid w:val="00530D62"/>
    <w:rsid w:val="00530F61"/>
    <w:rsid w:val="00531464"/>
    <w:rsid w:val="00531D39"/>
    <w:rsid w:val="00532961"/>
    <w:rsid w:val="00533140"/>
    <w:rsid w:val="0053385E"/>
    <w:rsid w:val="00533B33"/>
    <w:rsid w:val="00535397"/>
    <w:rsid w:val="005354CD"/>
    <w:rsid w:val="00535A81"/>
    <w:rsid w:val="005373C1"/>
    <w:rsid w:val="00540CB7"/>
    <w:rsid w:val="00540E2A"/>
    <w:rsid w:val="00540EEB"/>
    <w:rsid w:val="00541C4E"/>
    <w:rsid w:val="00542080"/>
    <w:rsid w:val="00542176"/>
    <w:rsid w:val="00542966"/>
    <w:rsid w:val="005429A4"/>
    <w:rsid w:val="00542A9C"/>
    <w:rsid w:val="005432F5"/>
    <w:rsid w:val="00543402"/>
    <w:rsid w:val="005439BB"/>
    <w:rsid w:val="005439EC"/>
    <w:rsid w:val="00544411"/>
    <w:rsid w:val="005446EE"/>
    <w:rsid w:val="005447CA"/>
    <w:rsid w:val="00544C66"/>
    <w:rsid w:val="00544EE9"/>
    <w:rsid w:val="005454F2"/>
    <w:rsid w:val="0054565C"/>
    <w:rsid w:val="00546462"/>
    <w:rsid w:val="005464D3"/>
    <w:rsid w:val="00547A25"/>
    <w:rsid w:val="00547A82"/>
    <w:rsid w:val="00547B7E"/>
    <w:rsid w:val="005507F8"/>
    <w:rsid w:val="00551050"/>
    <w:rsid w:val="0055107B"/>
    <w:rsid w:val="005511DC"/>
    <w:rsid w:val="00551713"/>
    <w:rsid w:val="0055224A"/>
    <w:rsid w:val="005528C8"/>
    <w:rsid w:val="005528F0"/>
    <w:rsid w:val="00552D55"/>
    <w:rsid w:val="00552DA6"/>
    <w:rsid w:val="00553626"/>
    <w:rsid w:val="005537E7"/>
    <w:rsid w:val="00553D39"/>
    <w:rsid w:val="0055459E"/>
    <w:rsid w:val="005549D6"/>
    <w:rsid w:val="005549E5"/>
    <w:rsid w:val="005562B9"/>
    <w:rsid w:val="00556E85"/>
    <w:rsid w:val="00557051"/>
    <w:rsid w:val="00557ECF"/>
    <w:rsid w:val="00557F2D"/>
    <w:rsid w:val="005604F3"/>
    <w:rsid w:val="005605A2"/>
    <w:rsid w:val="005605B3"/>
    <w:rsid w:val="0056098F"/>
    <w:rsid w:val="00562751"/>
    <w:rsid w:val="0056323D"/>
    <w:rsid w:val="00563924"/>
    <w:rsid w:val="00563DCA"/>
    <w:rsid w:val="00564941"/>
    <w:rsid w:val="00564ABD"/>
    <w:rsid w:val="00565CEE"/>
    <w:rsid w:val="00565D46"/>
    <w:rsid w:val="00566106"/>
    <w:rsid w:val="005664BE"/>
    <w:rsid w:val="00566A09"/>
    <w:rsid w:val="00566AA2"/>
    <w:rsid w:val="00566E3B"/>
    <w:rsid w:val="00566F84"/>
    <w:rsid w:val="00567625"/>
    <w:rsid w:val="0056788A"/>
    <w:rsid w:val="005678D3"/>
    <w:rsid w:val="00567E3D"/>
    <w:rsid w:val="0057051B"/>
    <w:rsid w:val="005706C3"/>
    <w:rsid w:val="00570D9E"/>
    <w:rsid w:val="0057159D"/>
    <w:rsid w:val="00571846"/>
    <w:rsid w:val="00571960"/>
    <w:rsid w:val="00571DB4"/>
    <w:rsid w:val="005723D5"/>
    <w:rsid w:val="0057308D"/>
    <w:rsid w:val="00574A3A"/>
    <w:rsid w:val="0057564E"/>
    <w:rsid w:val="00575BFB"/>
    <w:rsid w:val="00575C8E"/>
    <w:rsid w:val="00575EE7"/>
    <w:rsid w:val="00576652"/>
    <w:rsid w:val="005777A7"/>
    <w:rsid w:val="00580183"/>
    <w:rsid w:val="00580D3E"/>
    <w:rsid w:val="005814AE"/>
    <w:rsid w:val="00581658"/>
    <w:rsid w:val="005837E3"/>
    <w:rsid w:val="005838A8"/>
    <w:rsid w:val="0058434B"/>
    <w:rsid w:val="00584375"/>
    <w:rsid w:val="0058447F"/>
    <w:rsid w:val="00584AA3"/>
    <w:rsid w:val="005858E1"/>
    <w:rsid w:val="005862CA"/>
    <w:rsid w:val="0058677F"/>
    <w:rsid w:val="00586CC2"/>
    <w:rsid w:val="005870AE"/>
    <w:rsid w:val="00587481"/>
    <w:rsid w:val="005877CB"/>
    <w:rsid w:val="00587B0B"/>
    <w:rsid w:val="00590375"/>
    <w:rsid w:val="005903F3"/>
    <w:rsid w:val="00590A96"/>
    <w:rsid w:val="00590C69"/>
    <w:rsid w:val="005930E9"/>
    <w:rsid w:val="005938A9"/>
    <w:rsid w:val="00594243"/>
    <w:rsid w:val="00594870"/>
    <w:rsid w:val="0059488A"/>
    <w:rsid w:val="00594A51"/>
    <w:rsid w:val="00594B7E"/>
    <w:rsid w:val="00595021"/>
    <w:rsid w:val="00595234"/>
    <w:rsid w:val="00595297"/>
    <w:rsid w:val="00595299"/>
    <w:rsid w:val="00595A54"/>
    <w:rsid w:val="005963C1"/>
    <w:rsid w:val="00596E1A"/>
    <w:rsid w:val="00596E23"/>
    <w:rsid w:val="005A0439"/>
    <w:rsid w:val="005A0738"/>
    <w:rsid w:val="005A1A10"/>
    <w:rsid w:val="005A1AAB"/>
    <w:rsid w:val="005A20CD"/>
    <w:rsid w:val="005A2300"/>
    <w:rsid w:val="005A2385"/>
    <w:rsid w:val="005A23D9"/>
    <w:rsid w:val="005A2403"/>
    <w:rsid w:val="005A2421"/>
    <w:rsid w:val="005A2B6C"/>
    <w:rsid w:val="005A3035"/>
    <w:rsid w:val="005A3428"/>
    <w:rsid w:val="005A3792"/>
    <w:rsid w:val="005A3EF0"/>
    <w:rsid w:val="005A40C2"/>
    <w:rsid w:val="005A44C5"/>
    <w:rsid w:val="005A528B"/>
    <w:rsid w:val="005A6010"/>
    <w:rsid w:val="005A6DBC"/>
    <w:rsid w:val="005A7C29"/>
    <w:rsid w:val="005B0846"/>
    <w:rsid w:val="005B1579"/>
    <w:rsid w:val="005B1601"/>
    <w:rsid w:val="005B1C0D"/>
    <w:rsid w:val="005B2A59"/>
    <w:rsid w:val="005B2B44"/>
    <w:rsid w:val="005B311E"/>
    <w:rsid w:val="005B33E3"/>
    <w:rsid w:val="005B3422"/>
    <w:rsid w:val="005B347C"/>
    <w:rsid w:val="005B3549"/>
    <w:rsid w:val="005B3810"/>
    <w:rsid w:val="005B3EA0"/>
    <w:rsid w:val="005B42DF"/>
    <w:rsid w:val="005B559B"/>
    <w:rsid w:val="005B5636"/>
    <w:rsid w:val="005B5DB4"/>
    <w:rsid w:val="005B601F"/>
    <w:rsid w:val="005B711D"/>
    <w:rsid w:val="005B77AE"/>
    <w:rsid w:val="005B77AF"/>
    <w:rsid w:val="005B7976"/>
    <w:rsid w:val="005B7F0C"/>
    <w:rsid w:val="005C0952"/>
    <w:rsid w:val="005C149D"/>
    <w:rsid w:val="005C1E7C"/>
    <w:rsid w:val="005C2608"/>
    <w:rsid w:val="005C280B"/>
    <w:rsid w:val="005C2FA6"/>
    <w:rsid w:val="005C35E5"/>
    <w:rsid w:val="005C3734"/>
    <w:rsid w:val="005C38B5"/>
    <w:rsid w:val="005C3B7D"/>
    <w:rsid w:val="005C3CA1"/>
    <w:rsid w:val="005C46E1"/>
    <w:rsid w:val="005C4A43"/>
    <w:rsid w:val="005C5763"/>
    <w:rsid w:val="005C58EE"/>
    <w:rsid w:val="005C5BFA"/>
    <w:rsid w:val="005C7557"/>
    <w:rsid w:val="005C7D92"/>
    <w:rsid w:val="005D06BC"/>
    <w:rsid w:val="005D14A0"/>
    <w:rsid w:val="005D1666"/>
    <w:rsid w:val="005D1751"/>
    <w:rsid w:val="005D1890"/>
    <w:rsid w:val="005D1895"/>
    <w:rsid w:val="005D1AD5"/>
    <w:rsid w:val="005D2518"/>
    <w:rsid w:val="005D28C2"/>
    <w:rsid w:val="005D2904"/>
    <w:rsid w:val="005D2E62"/>
    <w:rsid w:val="005D3124"/>
    <w:rsid w:val="005D31FD"/>
    <w:rsid w:val="005D3328"/>
    <w:rsid w:val="005D368D"/>
    <w:rsid w:val="005D457D"/>
    <w:rsid w:val="005D46A6"/>
    <w:rsid w:val="005D4784"/>
    <w:rsid w:val="005D49FA"/>
    <w:rsid w:val="005D4C1A"/>
    <w:rsid w:val="005D4FAE"/>
    <w:rsid w:val="005D5274"/>
    <w:rsid w:val="005D56BD"/>
    <w:rsid w:val="005D58B0"/>
    <w:rsid w:val="005D59CF"/>
    <w:rsid w:val="005D5CE7"/>
    <w:rsid w:val="005D650B"/>
    <w:rsid w:val="005D73F5"/>
    <w:rsid w:val="005D7A43"/>
    <w:rsid w:val="005D7C80"/>
    <w:rsid w:val="005D7CAB"/>
    <w:rsid w:val="005D7CB1"/>
    <w:rsid w:val="005E0573"/>
    <w:rsid w:val="005E0DC8"/>
    <w:rsid w:val="005E11F9"/>
    <w:rsid w:val="005E1BEB"/>
    <w:rsid w:val="005E1C6B"/>
    <w:rsid w:val="005E1C97"/>
    <w:rsid w:val="005E1DF4"/>
    <w:rsid w:val="005E2571"/>
    <w:rsid w:val="005E3097"/>
    <w:rsid w:val="005E31BD"/>
    <w:rsid w:val="005E37D8"/>
    <w:rsid w:val="005E3862"/>
    <w:rsid w:val="005E4A2F"/>
    <w:rsid w:val="005E516F"/>
    <w:rsid w:val="005E6BEC"/>
    <w:rsid w:val="005E6CAC"/>
    <w:rsid w:val="005E6CDC"/>
    <w:rsid w:val="005E740D"/>
    <w:rsid w:val="005E7987"/>
    <w:rsid w:val="005E79C3"/>
    <w:rsid w:val="005F00EB"/>
    <w:rsid w:val="005F0E54"/>
    <w:rsid w:val="005F1278"/>
    <w:rsid w:val="005F22DA"/>
    <w:rsid w:val="005F2311"/>
    <w:rsid w:val="005F2342"/>
    <w:rsid w:val="005F2B2D"/>
    <w:rsid w:val="005F3C33"/>
    <w:rsid w:val="005F3CC5"/>
    <w:rsid w:val="005F3FB2"/>
    <w:rsid w:val="005F47F7"/>
    <w:rsid w:val="005F4E25"/>
    <w:rsid w:val="005F5187"/>
    <w:rsid w:val="005F5462"/>
    <w:rsid w:val="005F5470"/>
    <w:rsid w:val="005F57A3"/>
    <w:rsid w:val="005F5A46"/>
    <w:rsid w:val="005F66EB"/>
    <w:rsid w:val="005F703F"/>
    <w:rsid w:val="005F73CF"/>
    <w:rsid w:val="0060179F"/>
    <w:rsid w:val="00601E42"/>
    <w:rsid w:val="00601F8C"/>
    <w:rsid w:val="00603249"/>
    <w:rsid w:val="00603B0D"/>
    <w:rsid w:val="00603BFF"/>
    <w:rsid w:val="006042EA"/>
    <w:rsid w:val="006045D6"/>
    <w:rsid w:val="006048D0"/>
    <w:rsid w:val="00605B25"/>
    <w:rsid w:val="00605B79"/>
    <w:rsid w:val="00605BEB"/>
    <w:rsid w:val="00606110"/>
    <w:rsid w:val="00606271"/>
    <w:rsid w:val="00606485"/>
    <w:rsid w:val="00606A2E"/>
    <w:rsid w:val="00606AF9"/>
    <w:rsid w:val="00606E86"/>
    <w:rsid w:val="006070ED"/>
    <w:rsid w:val="00607893"/>
    <w:rsid w:val="00607915"/>
    <w:rsid w:val="0061016E"/>
    <w:rsid w:val="006113CE"/>
    <w:rsid w:val="00612164"/>
    <w:rsid w:val="006122CC"/>
    <w:rsid w:val="00612750"/>
    <w:rsid w:val="0061287E"/>
    <w:rsid w:val="00612F2C"/>
    <w:rsid w:val="00612F43"/>
    <w:rsid w:val="006130D8"/>
    <w:rsid w:val="006130F9"/>
    <w:rsid w:val="006135E5"/>
    <w:rsid w:val="00613E28"/>
    <w:rsid w:val="00614558"/>
    <w:rsid w:val="006145F4"/>
    <w:rsid w:val="00614B13"/>
    <w:rsid w:val="006150E4"/>
    <w:rsid w:val="00615562"/>
    <w:rsid w:val="006159E6"/>
    <w:rsid w:val="00615B3F"/>
    <w:rsid w:val="00615F61"/>
    <w:rsid w:val="006164AE"/>
    <w:rsid w:val="00616A1F"/>
    <w:rsid w:val="00616E30"/>
    <w:rsid w:val="006172A6"/>
    <w:rsid w:val="006174CB"/>
    <w:rsid w:val="0061755E"/>
    <w:rsid w:val="006176BE"/>
    <w:rsid w:val="0062008B"/>
    <w:rsid w:val="006207F1"/>
    <w:rsid w:val="00620861"/>
    <w:rsid w:val="00620DC2"/>
    <w:rsid w:val="00621114"/>
    <w:rsid w:val="00621152"/>
    <w:rsid w:val="0062156F"/>
    <w:rsid w:val="006217DD"/>
    <w:rsid w:val="00621ABE"/>
    <w:rsid w:val="006226F0"/>
    <w:rsid w:val="00622C85"/>
    <w:rsid w:val="0062332B"/>
    <w:rsid w:val="00623583"/>
    <w:rsid w:val="00623B3A"/>
    <w:rsid w:val="00623E45"/>
    <w:rsid w:val="00623FDD"/>
    <w:rsid w:val="00624DF4"/>
    <w:rsid w:val="0062547B"/>
    <w:rsid w:val="00625B63"/>
    <w:rsid w:val="00625FC3"/>
    <w:rsid w:val="00626275"/>
    <w:rsid w:val="00626444"/>
    <w:rsid w:val="006264AB"/>
    <w:rsid w:val="00626512"/>
    <w:rsid w:val="00627176"/>
    <w:rsid w:val="00627316"/>
    <w:rsid w:val="00627667"/>
    <w:rsid w:val="0063075E"/>
    <w:rsid w:val="006308B0"/>
    <w:rsid w:val="00630BBE"/>
    <w:rsid w:val="00631611"/>
    <w:rsid w:val="006329F6"/>
    <w:rsid w:val="00632E4F"/>
    <w:rsid w:val="006337B3"/>
    <w:rsid w:val="00633D5E"/>
    <w:rsid w:val="00633F4D"/>
    <w:rsid w:val="006350F7"/>
    <w:rsid w:val="0063549E"/>
    <w:rsid w:val="00635B5D"/>
    <w:rsid w:val="00635ED2"/>
    <w:rsid w:val="00635F66"/>
    <w:rsid w:val="006363B8"/>
    <w:rsid w:val="00636F6D"/>
    <w:rsid w:val="0063700D"/>
    <w:rsid w:val="0063720B"/>
    <w:rsid w:val="006378F6"/>
    <w:rsid w:val="00640163"/>
    <w:rsid w:val="006407EB"/>
    <w:rsid w:val="00640A10"/>
    <w:rsid w:val="00640CF6"/>
    <w:rsid w:val="00640D9E"/>
    <w:rsid w:val="00640FD6"/>
    <w:rsid w:val="0064162D"/>
    <w:rsid w:val="0064183E"/>
    <w:rsid w:val="006418C9"/>
    <w:rsid w:val="00641BF9"/>
    <w:rsid w:val="00642124"/>
    <w:rsid w:val="006421F3"/>
    <w:rsid w:val="00642F40"/>
    <w:rsid w:val="0064347F"/>
    <w:rsid w:val="0064488D"/>
    <w:rsid w:val="00644F6A"/>
    <w:rsid w:val="006459FB"/>
    <w:rsid w:val="00645A2D"/>
    <w:rsid w:val="006460BC"/>
    <w:rsid w:val="006465B5"/>
    <w:rsid w:val="006466A0"/>
    <w:rsid w:val="00646958"/>
    <w:rsid w:val="00646B88"/>
    <w:rsid w:val="00646D44"/>
    <w:rsid w:val="00647672"/>
    <w:rsid w:val="006476F5"/>
    <w:rsid w:val="00647AA6"/>
    <w:rsid w:val="00647B72"/>
    <w:rsid w:val="00647B90"/>
    <w:rsid w:val="00647BF9"/>
    <w:rsid w:val="006501E2"/>
    <w:rsid w:val="0065078D"/>
    <w:rsid w:val="00651F78"/>
    <w:rsid w:val="0065220E"/>
    <w:rsid w:val="0065295B"/>
    <w:rsid w:val="006532F7"/>
    <w:rsid w:val="00653BED"/>
    <w:rsid w:val="006540C7"/>
    <w:rsid w:val="006542DF"/>
    <w:rsid w:val="00655599"/>
    <w:rsid w:val="0065592D"/>
    <w:rsid w:val="00656C13"/>
    <w:rsid w:val="006576FE"/>
    <w:rsid w:val="00657CB2"/>
    <w:rsid w:val="00660FAA"/>
    <w:rsid w:val="0066212A"/>
    <w:rsid w:val="0066214C"/>
    <w:rsid w:val="0066235B"/>
    <w:rsid w:val="0066237F"/>
    <w:rsid w:val="00662FCC"/>
    <w:rsid w:val="00663011"/>
    <w:rsid w:val="00663807"/>
    <w:rsid w:val="006644A1"/>
    <w:rsid w:val="0066462A"/>
    <w:rsid w:val="00664A11"/>
    <w:rsid w:val="006650B1"/>
    <w:rsid w:val="00665279"/>
    <w:rsid w:val="006653A3"/>
    <w:rsid w:val="006653A6"/>
    <w:rsid w:val="0066565F"/>
    <w:rsid w:val="0066606C"/>
    <w:rsid w:val="006668AE"/>
    <w:rsid w:val="00666A98"/>
    <w:rsid w:val="00666E1F"/>
    <w:rsid w:val="006672ED"/>
    <w:rsid w:val="0066741C"/>
    <w:rsid w:val="0066773E"/>
    <w:rsid w:val="00667C0F"/>
    <w:rsid w:val="00670048"/>
    <w:rsid w:val="00670294"/>
    <w:rsid w:val="0067093A"/>
    <w:rsid w:val="00670FA9"/>
    <w:rsid w:val="0067110D"/>
    <w:rsid w:val="0067135E"/>
    <w:rsid w:val="00672085"/>
    <w:rsid w:val="0067221C"/>
    <w:rsid w:val="006729B2"/>
    <w:rsid w:val="00672D1E"/>
    <w:rsid w:val="006731A2"/>
    <w:rsid w:val="00673431"/>
    <w:rsid w:val="006739C2"/>
    <w:rsid w:val="00674143"/>
    <w:rsid w:val="00674225"/>
    <w:rsid w:val="006747E6"/>
    <w:rsid w:val="00675819"/>
    <w:rsid w:val="006759D3"/>
    <w:rsid w:val="00675B48"/>
    <w:rsid w:val="00676060"/>
    <w:rsid w:val="006760BE"/>
    <w:rsid w:val="006761AC"/>
    <w:rsid w:val="006763E8"/>
    <w:rsid w:val="0067691D"/>
    <w:rsid w:val="00676928"/>
    <w:rsid w:val="00676A87"/>
    <w:rsid w:val="006777F5"/>
    <w:rsid w:val="00677FFC"/>
    <w:rsid w:val="00680659"/>
    <w:rsid w:val="006819C9"/>
    <w:rsid w:val="00681CE7"/>
    <w:rsid w:val="00682F78"/>
    <w:rsid w:val="006832F8"/>
    <w:rsid w:val="00683C24"/>
    <w:rsid w:val="00684A9F"/>
    <w:rsid w:val="00684D55"/>
    <w:rsid w:val="0068557A"/>
    <w:rsid w:val="0068564C"/>
    <w:rsid w:val="006856DE"/>
    <w:rsid w:val="00686777"/>
    <w:rsid w:val="00686DAF"/>
    <w:rsid w:val="00687177"/>
    <w:rsid w:val="0068788F"/>
    <w:rsid w:val="00692DF3"/>
    <w:rsid w:val="00693385"/>
    <w:rsid w:val="00693B78"/>
    <w:rsid w:val="00694408"/>
    <w:rsid w:val="006946DB"/>
    <w:rsid w:val="00694D09"/>
    <w:rsid w:val="00696782"/>
    <w:rsid w:val="006972EF"/>
    <w:rsid w:val="006A06BE"/>
    <w:rsid w:val="006A09B7"/>
    <w:rsid w:val="006A1064"/>
    <w:rsid w:val="006A2B51"/>
    <w:rsid w:val="006A300E"/>
    <w:rsid w:val="006A3554"/>
    <w:rsid w:val="006A38CB"/>
    <w:rsid w:val="006A41D5"/>
    <w:rsid w:val="006A538D"/>
    <w:rsid w:val="006A55C3"/>
    <w:rsid w:val="006A55F3"/>
    <w:rsid w:val="006A594A"/>
    <w:rsid w:val="006A7589"/>
    <w:rsid w:val="006A7779"/>
    <w:rsid w:val="006A7A46"/>
    <w:rsid w:val="006B00BF"/>
    <w:rsid w:val="006B0533"/>
    <w:rsid w:val="006B0616"/>
    <w:rsid w:val="006B0830"/>
    <w:rsid w:val="006B09CA"/>
    <w:rsid w:val="006B0BF3"/>
    <w:rsid w:val="006B13CA"/>
    <w:rsid w:val="006B1613"/>
    <w:rsid w:val="006B1C2E"/>
    <w:rsid w:val="006B237E"/>
    <w:rsid w:val="006B2D3C"/>
    <w:rsid w:val="006B3281"/>
    <w:rsid w:val="006B368E"/>
    <w:rsid w:val="006B3878"/>
    <w:rsid w:val="006B3A88"/>
    <w:rsid w:val="006B40AF"/>
    <w:rsid w:val="006B460E"/>
    <w:rsid w:val="006B47DA"/>
    <w:rsid w:val="006B49F0"/>
    <w:rsid w:val="006B4FB7"/>
    <w:rsid w:val="006B52B7"/>
    <w:rsid w:val="006B5951"/>
    <w:rsid w:val="006B6625"/>
    <w:rsid w:val="006B673F"/>
    <w:rsid w:val="006B684C"/>
    <w:rsid w:val="006B68F2"/>
    <w:rsid w:val="006B6930"/>
    <w:rsid w:val="006B6937"/>
    <w:rsid w:val="006B6ACB"/>
    <w:rsid w:val="006B6C97"/>
    <w:rsid w:val="006B6FD6"/>
    <w:rsid w:val="006B71FC"/>
    <w:rsid w:val="006B7200"/>
    <w:rsid w:val="006B74CD"/>
    <w:rsid w:val="006B7A2A"/>
    <w:rsid w:val="006C00F6"/>
    <w:rsid w:val="006C07FA"/>
    <w:rsid w:val="006C0DA8"/>
    <w:rsid w:val="006C1A9D"/>
    <w:rsid w:val="006C1BAA"/>
    <w:rsid w:val="006C1F4E"/>
    <w:rsid w:val="006C27D1"/>
    <w:rsid w:val="006C2E39"/>
    <w:rsid w:val="006C5D27"/>
    <w:rsid w:val="006C6407"/>
    <w:rsid w:val="006C6415"/>
    <w:rsid w:val="006C64A8"/>
    <w:rsid w:val="006C6E6B"/>
    <w:rsid w:val="006C7810"/>
    <w:rsid w:val="006C7CA7"/>
    <w:rsid w:val="006C7EE5"/>
    <w:rsid w:val="006D0D8A"/>
    <w:rsid w:val="006D2BCA"/>
    <w:rsid w:val="006D3493"/>
    <w:rsid w:val="006D36D9"/>
    <w:rsid w:val="006D36DA"/>
    <w:rsid w:val="006D3B65"/>
    <w:rsid w:val="006D40E1"/>
    <w:rsid w:val="006D4AF0"/>
    <w:rsid w:val="006D4DA1"/>
    <w:rsid w:val="006D56E6"/>
    <w:rsid w:val="006D5BA2"/>
    <w:rsid w:val="006D6191"/>
    <w:rsid w:val="006D6658"/>
    <w:rsid w:val="006D6E67"/>
    <w:rsid w:val="006D6FA2"/>
    <w:rsid w:val="006D759C"/>
    <w:rsid w:val="006D7944"/>
    <w:rsid w:val="006D7BF2"/>
    <w:rsid w:val="006D7C85"/>
    <w:rsid w:val="006D7F4B"/>
    <w:rsid w:val="006E004A"/>
    <w:rsid w:val="006E0620"/>
    <w:rsid w:val="006E0998"/>
    <w:rsid w:val="006E0E35"/>
    <w:rsid w:val="006E0F13"/>
    <w:rsid w:val="006E0FB7"/>
    <w:rsid w:val="006E175D"/>
    <w:rsid w:val="006E2547"/>
    <w:rsid w:val="006E30B0"/>
    <w:rsid w:val="006E3306"/>
    <w:rsid w:val="006E3361"/>
    <w:rsid w:val="006E3A7A"/>
    <w:rsid w:val="006E3B0F"/>
    <w:rsid w:val="006E408B"/>
    <w:rsid w:val="006E46A4"/>
    <w:rsid w:val="006E4F29"/>
    <w:rsid w:val="006E4F35"/>
    <w:rsid w:val="006E5415"/>
    <w:rsid w:val="006E55E6"/>
    <w:rsid w:val="006E5991"/>
    <w:rsid w:val="006E5A67"/>
    <w:rsid w:val="006E5C40"/>
    <w:rsid w:val="006E627A"/>
    <w:rsid w:val="006E6374"/>
    <w:rsid w:val="006E6588"/>
    <w:rsid w:val="006E6A00"/>
    <w:rsid w:val="006E768B"/>
    <w:rsid w:val="006F000F"/>
    <w:rsid w:val="006F0B3A"/>
    <w:rsid w:val="006F0ED0"/>
    <w:rsid w:val="006F0F88"/>
    <w:rsid w:val="006F1DAC"/>
    <w:rsid w:val="006F2630"/>
    <w:rsid w:val="006F30A5"/>
    <w:rsid w:val="006F41B7"/>
    <w:rsid w:val="006F5108"/>
    <w:rsid w:val="006F51B4"/>
    <w:rsid w:val="006F586D"/>
    <w:rsid w:val="006F6155"/>
    <w:rsid w:val="006F63F8"/>
    <w:rsid w:val="006F655B"/>
    <w:rsid w:val="006F6CDD"/>
    <w:rsid w:val="006F702E"/>
    <w:rsid w:val="007006CF"/>
    <w:rsid w:val="007008C0"/>
    <w:rsid w:val="0070180C"/>
    <w:rsid w:val="00702320"/>
    <w:rsid w:val="00702D04"/>
    <w:rsid w:val="00702D60"/>
    <w:rsid w:val="007031F0"/>
    <w:rsid w:val="0070383C"/>
    <w:rsid w:val="00703A52"/>
    <w:rsid w:val="00703AE9"/>
    <w:rsid w:val="00703C20"/>
    <w:rsid w:val="00704223"/>
    <w:rsid w:val="00704466"/>
    <w:rsid w:val="00704F45"/>
    <w:rsid w:val="007054C1"/>
    <w:rsid w:val="00705719"/>
    <w:rsid w:val="00706975"/>
    <w:rsid w:val="00706A8E"/>
    <w:rsid w:val="0070776A"/>
    <w:rsid w:val="00711605"/>
    <w:rsid w:val="00711626"/>
    <w:rsid w:val="0071178F"/>
    <w:rsid w:val="0071293B"/>
    <w:rsid w:val="007137B7"/>
    <w:rsid w:val="00713E28"/>
    <w:rsid w:val="00714089"/>
    <w:rsid w:val="00714253"/>
    <w:rsid w:val="007143B1"/>
    <w:rsid w:val="00714F3D"/>
    <w:rsid w:val="007150F7"/>
    <w:rsid w:val="0071548F"/>
    <w:rsid w:val="007154DA"/>
    <w:rsid w:val="00715DC0"/>
    <w:rsid w:val="00716168"/>
    <w:rsid w:val="00716399"/>
    <w:rsid w:val="00716615"/>
    <w:rsid w:val="007166C9"/>
    <w:rsid w:val="00717562"/>
    <w:rsid w:val="007178C8"/>
    <w:rsid w:val="00717F45"/>
    <w:rsid w:val="00720C25"/>
    <w:rsid w:val="00721085"/>
    <w:rsid w:val="007215FC"/>
    <w:rsid w:val="00721914"/>
    <w:rsid w:val="00721E3B"/>
    <w:rsid w:val="00722B0A"/>
    <w:rsid w:val="00722C30"/>
    <w:rsid w:val="007235E3"/>
    <w:rsid w:val="007236F9"/>
    <w:rsid w:val="00725E7A"/>
    <w:rsid w:val="007272E4"/>
    <w:rsid w:val="00727C90"/>
    <w:rsid w:val="00727D34"/>
    <w:rsid w:val="00727F0D"/>
    <w:rsid w:val="007301BC"/>
    <w:rsid w:val="007301D1"/>
    <w:rsid w:val="00730696"/>
    <w:rsid w:val="00730770"/>
    <w:rsid w:val="00731162"/>
    <w:rsid w:val="00731363"/>
    <w:rsid w:val="0073146B"/>
    <w:rsid w:val="00731782"/>
    <w:rsid w:val="00731FF4"/>
    <w:rsid w:val="00732B14"/>
    <w:rsid w:val="00732F76"/>
    <w:rsid w:val="00732FD4"/>
    <w:rsid w:val="00734554"/>
    <w:rsid w:val="007345F6"/>
    <w:rsid w:val="00734A58"/>
    <w:rsid w:val="0073554C"/>
    <w:rsid w:val="00735627"/>
    <w:rsid w:val="0073581C"/>
    <w:rsid w:val="007358B9"/>
    <w:rsid w:val="007358CA"/>
    <w:rsid w:val="00735F41"/>
    <w:rsid w:val="0073616C"/>
    <w:rsid w:val="00736827"/>
    <w:rsid w:val="00736836"/>
    <w:rsid w:val="00736C3C"/>
    <w:rsid w:val="00736F46"/>
    <w:rsid w:val="0073702A"/>
    <w:rsid w:val="0073795F"/>
    <w:rsid w:val="0074051B"/>
    <w:rsid w:val="00740542"/>
    <w:rsid w:val="00740C8A"/>
    <w:rsid w:val="007414B0"/>
    <w:rsid w:val="00741847"/>
    <w:rsid w:val="0074285D"/>
    <w:rsid w:val="00743543"/>
    <w:rsid w:val="007444A4"/>
    <w:rsid w:val="007447A6"/>
    <w:rsid w:val="007448CB"/>
    <w:rsid w:val="00744C56"/>
    <w:rsid w:val="007460F7"/>
    <w:rsid w:val="007473E4"/>
    <w:rsid w:val="00747ECF"/>
    <w:rsid w:val="0075044C"/>
    <w:rsid w:val="00750D03"/>
    <w:rsid w:val="00751A6B"/>
    <w:rsid w:val="00751AD7"/>
    <w:rsid w:val="00751DD7"/>
    <w:rsid w:val="00751DEE"/>
    <w:rsid w:val="00751E32"/>
    <w:rsid w:val="007528AE"/>
    <w:rsid w:val="0075306A"/>
    <w:rsid w:val="007532D7"/>
    <w:rsid w:val="00753736"/>
    <w:rsid w:val="00753AE9"/>
    <w:rsid w:val="0075482B"/>
    <w:rsid w:val="00754FDF"/>
    <w:rsid w:val="00755049"/>
    <w:rsid w:val="007556E9"/>
    <w:rsid w:val="00755724"/>
    <w:rsid w:val="00755AD1"/>
    <w:rsid w:val="00756290"/>
    <w:rsid w:val="007566B2"/>
    <w:rsid w:val="007566C0"/>
    <w:rsid w:val="007566E3"/>
    <w:rsid w:val="00757227"/>
    <w:rsid w:val="00757561"/>
    <w:rsid w:val="00757834"/>
    <w:rsid w:val="00757B70"/>
    <w:rsid w:val="007600A4"/>
    <w:rsid w:val="00760158"/>
    <w:rsid w:val="00760F96"/>
    <w:rsid w:val="00761BF6"/>
    <w:rsid w:val="00761CF6"/>
    <w:rsid w:val="00762185"/>
    <w:rsid w:val="00762797"/>
    <w:rsid w:val="00762BA2"/>
    <w:rsid w:val="00762D25"/>
    <w:rsid w:val="00762EA9"/>
    <w:rsid w:val="00763014"/>
    <w:rsid w:val="007658FC"/>
    <w:rsid w:val="00765D3B"/>
    <w:rsid w:val="0076614C"/>
    <w:rsid w:val="00766B8B"/>
    <w:rsid w:val="00766BAE"/>
    <w:rsid w:val="007711D0"/>
    <w:rsid w:val="00771400"/>
    <w:rsid w:val="00771B00"/>
    <w:rsid w:val="00771F62"/>
    <w:rsid w:val="0077210F"/>
    <w:rsid w:val="0077244A"/>
    <w:rsid w:val="00772B41"/>
    <w:rsid w:val="007737E8"/>
    <w:rsid w:val="00773CC9"/>
    <w:rsid w:val="00774020"/>
    <w:rsid w:val="0077446F"/>
    <w:rsid w:val="00774B76"/>
    <w:rsid w:val="00774E4E"/>
    <w:rsid w:val="0077529F"/>
    <w:rsid w:val="00775A21"/>
    <w:rsid w:val="00776D24"/>
    <w:rsid w:val="00777362"/>
    <w:rsid w:val="00777456"/>
    <w:rsid w:val="0077798F"/>
    <w:rsid w:val="00777D30"/>
    <w:rsid w:val="00780320"/>
    <w:rsid w:val="0078092A"/>
    <w:rsid w:val="00780C24"/>
    <w:rsid w:val="00780F16"/>
    <w:rsid w:val="007814E0"/>
    <w:rsid w:val="0078157A"/>
    <w:rsid w:val="00781D69"/>
    <w:rsid w:val="00781FB3"/>
    <w:rsid w:val="00782133"/>
    <w:rsid w:val="0078221B"/>
    <w:rsid w:val="0078269A"/>
    <w:rsid w:val="0078291F"/>
    <w:rsid w:val="00783BB7"/>
    <w:rsid w:val="00783E17"/>
    <w:rsid w:val="0078443A"/>
    <w:rsid w:val="00784559"/>
    <w:rsid w:val="00784A63"/>
    <w:rsid w:val="00784C95"/>
    <w:rsid w:val="0078502D"/>
    <w:rsid w:val="00785459"/>
    <w:rsid w:val="007859C4"/>
    <w:rsid w:val="00785C63"/>
    <w:rsid w:val="00785E6B"/>
    <w:rsid w:val="00786F29"/>
    <w:rsid w:val="00787099"/>
    <w:rsid w:val="0078747E"/>
    <w:rsid w:val="00790233"/>
    <w:rsid w:val="00790535"/>
    <w:rsid w:val="007905D7"/>
    <w:rsid w:val="0079078A"/>
    <w:rsid w:val="00790C62"/>
    <w:rsid w:val="00790E68"/>
    <w:rsid w:val="007917AE"/>
    <w:rsid w:val="00791A9F"/>
    <w:rsid w:val="00791D16"/>
    <w:rsid w:val="00791F42"/>
    <w:rsid w:val="007929D8"/>
    <w:rsid w:val="0079311D"/>
    <w:rsid w:val="00793AC9"/>
    <w:rsid w:val="007942DF"/>
    <w:rsid w:val="00794BB6"/>
    <w:rsid w:val="00794D16"/>
    <w:rsid w:val="007955FE"/>
    <w:rsid w:val="00796985"/>
    <w:rsid w:val="00796E79"/>
    <w:rsid w:val="0079700A"/>
    <w:rsid w:val="007A2014"/>
    <w:rsid w:val="007A3ACA"/>
    <w:rsid w:val="007A40F3"/>
    <w:rsid w:val="007A435B"/>
    <w:rsid w:val="007A464E"/>
    <w:rsid w:val="007A4D70"/>
    <w:rsid w:val="007A5B7F"/>
    <w:rsid w:val="007A684F"/>
    <w:rsid w:val="007A689C"/>
    <w:rsid w:val="007A69F1"/>
    <w:rsid w:val="007A6E93"/>
    <w:rsid w:val="007B043F"/>
    <w:rsid w:val="007B06B3"/>
    <w:rsid w:val="007B0828"/>
    <w:rsid w:val="007B17EA"/>
    <w:rsid w:val="007B20A3"/>
    <w:rsid w:val="007B21B6"/>
    <w:rsid w:val="007B2474"/>
    <w:rsid w:val="007B24A7"/>
    <w:rsid w:val="007B2B3A"/>
    <w:rsid w:val="007B2ED9"/>
    <w:rsid w:val="007B32F6"/>
    <w:rsid w:val="007B4569"/>
    <w:rsid w:val="007B476C"/>
    <w:rsid w:val="007B4785"/>
    <w:rsid w:val="007B4EFC"/>
    <w:rsid w:val="007B54C5"/>
    <w:rsid w:val="007B5829"/>
    <w:rsid w:val="007B5B21"/>
    <w:rsid w:val="007B633D"/>
    <w:rsid w:val="007B64D8"/>
    <w:rsid w:val="007B6839"/>
    <w:rsid w:val="007B6D44"/>
    <w:rsid w:val="007B6FF8"/>
    <w:rsid w:val="007B72E4"/>
    <w:rsid w:val="007B7FBE"/>
    <w:rsid w:val="007C00AF"/>
    <w:rsid w:val="007C020E"/>
    <w:rsid w:val="007C0881"/>
    <w:rsid w:val="007C0CB6"/>
    <w:rsid w:val="007C0CDE"/>
    <w:rsid w:val="007C0D4B"/>
    <w:rsid w:val="007C0DF0"/>
    <w:rsid w:val="007C1A79"/>
    <w:rsid w:val="007C1B4A"/>
    <w:rsid w:val="007C1F96"/>
    <w:rsid w:val="007C2174"/>
    <w:rsid w:val="007C2705"/>
    <w:rsid w:val="007C2723"/>
    <w:rsid w:val="007C28FF"/>
    <w:rsid w:val="007C2BCC"/>
    <w:rsid w:val="007C3023"/>
    <w:rsid w:val="007C4035"/>
    <w:rsid w:val="007C4460"/>
    <w:rsid w:val="007C47FD"/>
    <w:rsid w:val="007C4B71"/>
    <w:rsid w:val="007C5358"/>
    <w:rsid w:val="007C5625"/>
    <w:rsid w:val="007C6BAF"/>
    <w:rsid w:val="007C6C4B"/>
    <w:rsid w:val="007C6D89"/>
    <w:rsid w:val="007C76B6"/>
    <w:rsid w:val="007C798C"/>
    <w:rsid w:val="007C7B3C"/>
    <w:rsid w:val="007D0479"/>
    <w:rsid w:val="007D064D"/>
    <w:rsid w:val="007D06A9"/>
    <w:rsid w:val="007D084E"/>
    <w:rsid w:val="007D08B6"/>
    <w:rsid w:val="007D0974"/>
    <w:rsid w:val="007D0C52"/>
    <w:rsid w:val="007D0FF7"/>
    <w:rsid w:val="007D113B"/>
    <w:rsid w:val="007D1325"/>
    <w:rsid w:val="007D2393"/>
    <w:rsid w:val="007D2930"/>
    <w:rsid w:val="007D2BD2"/>
    <w:rsid w:val="007D327D"/>
    <w:rsid w:val="007D3347"/>
    <w:rsid w:val="007D35C5"/>
    <w:rsid w:val="007D3928"/>
    <w:rsid w:val="007D3B64"/>
    <w:rsid w:val="007D3F29"/>
    <w:rsid w:val="007D4CE0"/>
    <w:rsid w:val="007D5146"/>
    <w:rsid w:val="007D6E74"/>
    <w:rsid w:val="007D7741"/>
    <w:rsid w:val="007D7A40"/>
    <w:rsid w:val="007D7B18"/>
    <w:rsid w:val="007D7D42"/>
    <w:rsid w:val="007D7E64"/>
    <w:rsid w:val="007D7EE4"/>
    <w:rsid w:val="007E0557"/>
    <w:rsid w:val="007E08BB"/>
    <w:rsid w:val="007E1D94"/>
    <w:rsid w:val="007E23EF"/>
    <w:rsid w:val="007E3E55"/>
    <w:rsid w:val="007E45F6"/>
    <w:rsid w:val="007E4727"/>
    <w:rsid w:val="007E4922"/>
    <w:rsid w:val="007E52E1"/>
    <w:rsid w:val="007E5812"/>
    <w:rsid w:val="007E5B3E"/>
    <w:rsid w:val="007E65D7"/>
    <w:rsid w:val="007E6674"/>
    <w:rsid w:val="007E66C9"/>
    <w:rsid w:val="007E722A"/>
    <w:rsid w:val="007E7282"/>
    <w:rsid w:val="007E7572"/>
    <w:rsid w:val="007E7A82"/>
    <w:rsid w:val="007F0BC5"/>
    <w:rsid w:val="007F0EBA"/>
    <w:rsid w:val="007F165F"/>
    <w:rsid w:val="007F1C5E"/>
    <w:rsid w:val="007F1F55"/>
    <w:rsid w:val="007F2254"/>
    <w:rsid w:val="007F33EF"/>
    <w:rsid w:val="007F3AD2"/>
    <w:rsid w:val="007F3E7B"/>
    <w:rsid w:val="007F3F46"/>
    <w:rsid w:val="007F4457"/>
    <w:rsid w:val="007F453D"/>
    <w:rsid w:val="007F4596"/>
    <w:rsid w:val="007F473E"/>
    <w:rsid w:val="007F5634"/>
    <w:rsid w:val="007F5981"/>
    <w:rsid w:val="007F5EA4"/>
    <w:rsid w:val="007F65B8"/>
    <w:rsid w:val="007F6FCB"/>
    <w:rsid w:val="007F7137"/>
    <w:rsid w:val="007F725E"/>
    <w:rsid w:val="007F7F95"/>
    <w:rsid w:val="00800FAD"/>
    <w:rsid w:val="008012EB"/>
    <w:rsid w:val="0080250D"/>
    <w:rsid w:val="0080273B"/>
    <w:rsid w:val="008030B0"/>
    <w:rsid w:val="00803606"/>
    <w:rsid w:val="00804AEE"/>
    <w:rsid w:val="00804B42"/>
    <w:rsid w:val="008058BC"/>
    <w:rsid w:val="00805E61"/>
    <w:rsid w:val="00805EE6"/>
    <w:rsid w:val="008060AC"/>
    <w:rsid w:val="0080687B"/>
    <w:rsid w:val="00806A36"/>
    <w:rsid w:val="00806D29"/>
    <w:rsid w:val="00806E81"/>
    <w:rsid w:val="008079D1"/>
    <w:rsid w:val="00810042"/>
    <w:rsid w:val="00810247"/>
    <w:rsid w:val="00810BF8"/>
    <w:rsid w:val="00811834"/>
    <w:rsid w:val="0081186C"/>
    <w:rsid w:val="008125F3"/>
    <w:rsid w:val="0081293D"/>
    <w:rsid w:val="00812AA6"/>
    <w:rsid w:val="00812B8A"/>
    <w:rsid w:val="00813384"/>
    <w:rsid w:val="00813703"/>
    <w:rsid w:val="00813B5B"/>
    <w:rsid w:val="00814297"/>
    <w:rsid w:val="008142F5"/>
    <w:rsid w:val="008144A4"/>
    <w:rsid w:val="00814750"/>
    <w:rsid w:val="00814C45"/>
    <w:rsid w:val="00814C55"/>
    <w:rsid w:val="00814DC6"/>
    <w:rsid w:val="00815621"/>
    <w:rsid w:val="00815B04"/>
    <w:rsid w:val="00816202"/>
    <w:rsid w:val="00816ED8"/>
    <w:rsid w:val="008174C9"/>
    <w:rsid w:val="0081777F"/>
    <w:rsid w:val="00817F6B"/>
    <w:rsid w:val="0082023D"/>
    <w:rsid w:val="008207D9"/>
    <w:rsid w:val="008213EB"/>
    <w:rsid w:val="00821437"/>
    <w:rsid w:val="0082172F"/>
    <w:rsid w:val="00821921"/>
    <w:rsid w:val="00821EE5"/>
    <w:rsid w:val="00822938"/>
    <w:rsid w:val="00822A41"/>
    <w:rsid w:val="00822ED3"/>
    <w:rsid w:val="00822F77"/>
    <w:rsid w:val="008231FE"/>
    <w:rsid w:val="008232EC"/>
    <w:rsid w:val="00823596"/>
    <w:rsid w:val="00823E88"/>
    <w:rsid w:val="00823FEA"/>
    <w:rsid w:val="00824D6F"/>
    <w:rsid w:val="00824F71"/>
    <w:rsid w:val="008253BF"/>
    <w:rsid w:val="0082551B"/>
    <w:rsid w:val="00825E87"/>
    <w:rsid w:val="00825FE1"/>
    <w:rsid w:val="0082691E"/>
    <w:rsid w:val="00826AE1"/>
    <w:rsid w:val="008271B4"/>
    <w:rsid w:val="0082753D"/>
    <w:rsid w:val="00827679"/>
    <w:rsid w:val="00827D1B"/>
    <w:rsid w:val="00827E75"/>
    <w:rsid w:val="008303EA"/>
    <w:rsid w:val="00830EF5"/>
    <w:rsid w:val="00831C85"/>
    <w:rsid w:val="00832224"/>
    <w:rsid w:val="00832271"/>
    <w:rsid w:val="00833032"/>
    <w:rsid w:val="008332BE"/>
    <w:rsid w:val="00833385"/>
    <w:rsid w:val="00833743"/>
    <w:rsid w:val="00833FEC"/>
    <w:rsid w:val="00834079"/>
    <w:rsid w:val="008345AA"/>
    <w:rsid w:val="00834BA7"/>
    <w:rsid w:val="00835164"/>
    <w:rsid w:val="00835D8E"/>
    <w:rsid w:val="00836428"/>
    <w:rsid w:val="00836BD1"/>
    <w:rsid w:val="00837651"/>
    <w:rsid w:val="00837C83"/>
    <w:rsid w:val="00837CDA"/>
    <w:rsid w:val="00837F5D"/>
    <w:rsid w:val="008418AA"/>
    <w:rsid w:val="00841BD0"/>
    <w:rsid w:val="00841DA8"/>
    <w:rsid w:val="0084261F"/>
    <w:rsid w:val="008426EB"/>
    <w:rsid w:val="00842AE0"/>
    <w:rsid w:val="00842B29"/>
    <w:rsid w:val="00842B7F"/>
    <w:rsid w:val="00842EF4"/>
    <w:rsid w:val="008435A1"/>
    <w:rsid w:val="008435DB"/>
    <w:rsid w:val="0084369D"/>
    <w:rsid w:val="00845116"/>
    <w:rsid w:val="00845A60"/>
    <w:rsid w:val="008462BD"/>
    <w:rsid w:val="0084655B"/>
    <w:rsid w:val="0084691B"/>
    <w:rsid w:val="00846A48"/>
    <w:rsid w:val="00846FBE"/>
    <w:rsid w:val="008477EF"/>
    <w:rsid w:val="00847C6D"/>
    <w:rsid w:val="00850111"/>
    <w:rsid w:val="008503B0"/>
    <w:rsid w:val="00850E71"/>
    <w:rsid w:val="008515E6"/>
    <w:rsid w:val="00851B57"/>
    <w:rsid w:val="00851D8D"/>
    <w:rsid w:val="00852035"/>
    <w:rsid w:val="00852547"/>
    <w:rsid w:val="008526A0"/>
    <w:rsid w:val="00852CB1"/>
    <w:rsid w:val="00853876"/>
    <w:rsid w:val="0085389A"/>
    <w:rsid w:val="0085413E"/>
    <w:rsid w:val="00854763"/>
    <w:rsid w:val="00855E77"/>
    <w:rsid w:val="00855EF1"/>
    <w:rsid w:val="008561EB"/>
    <w:rsid w:val="008572AC"/>
    <w:rsid w:val="00857E29"/>
    <w:rsid w:val="00860113"/>
    <w:rsid w:val="008601EF"/>
    <w:rsid w:val="008615AA"/>
    <w:rsid w:val="00861738"/>
    <w:rsid w:val="00861C75"/>
    <w:rsid w:val="00861EA7"/>
    <w:rsid w:val="00861F4F"/>
    <w:rsid w:val="00862E2D"/>
    <w:rsid w:val="008631F8"/>
    <w:rsid w:val="0086326E"/>
    <w:rsid w:val="008637C7"/>
    <w:rsid w:val="00864033"/>
    <w:rsid w:val="00864CAD"/>
    <w:rsid w:val="00864D0F"/>
    <w:rsid w:val="00865534"/>
    <w:rsid w:val="008656D6"/>
    <w:rsid w:val="00865D8E"/>
    <w:rsid w:val="00865F29"/>
    <w:rsid w:val="00865F40"/>
    <w:rsid w:val="00865F62"/>
    <w:rsid w:val="0086668B"/>
    <w:rsid w:val="0086691E"/>
    <w:rsid w:val="00866A46"/>
    <w:rsid w:val="00866AA0"/>
    <w:rsid w:val="00866E11"/>
    <w:rsid w:val="008670DA"/>
    <w:rsid w:val="00867336"/>
    <w:rsid w:val="0086781A"/>
    <w:rsid w:val="00870CA5"/>
    <w:rsid w:val="00870DFB"/>
    <w:rsid w:val="00870E30"/>
    <w:rsid w:val="00872903"/>
    <w:rsid w:val="00872F0F"/>
    <w:rsid w:val="00872FFC"/>
    <w:rsid w:val="00873800"/>
    <w:rsid w:val="008738FF"/>
    <w:rsid w:val="00873A6E"/>
    <w:rsid w:val="00873B4E"/>
    <w:rsid w:val="00873B82"/>
    <w:rsid w:val="0087404A"/>
    <w:rsid w:val="008748C4"/>
    <w:rsid w:val="00874B8D"/>
    <w:rsid w:val="00876163"/>
    <w:rsid w:val="00876B0E"/>
    <w:rsid w:val="00876B4F"/>
    <w:rsid w:val="008779CE"/>
    <w:rsid w:val="00880469"/>
    <w:rsid w:val="00881ADF"/>
    <w:rsid w:val="00881C5C"/>
    <w:rsid w:val="00881D86"/>
    <w:rsid w:val="008824CA"/>
    <w:rsid w:val="00883B34"/>
    <w:rsid w:val="00883E1B"/>
    <w:rsid w:val="00883FF2"/>
    <w:rsid w:val="00884510"/>
    <w:rsid w:val="00885A15"/>
    <w:rsid w:val="0088636D"/>
    <w:rsid w:val="0088670F"/>
    <w:rsid w:val="008867F8"/>
    <w:rsid w:val="0088742A"/>
    <w:rsid w:val="00887493"/>
    <w:rsid w:val="00887910"/>
    <w:rsid w:val="008901DF"/>
    <w:rsid w:val="0089026B"/>
    <w:rsid w:val="008905FB"/>
    <w:rsid w:val="0089119E"/>
    <w:rsid w:val="00892900"/>
    <w:rsid w:val="00892F82"/>
    <w:rsid w:val="00893614"/>
    <w:rsid w:val="00893FF1"/>
    <w:rsid w:val="008947D4"/>
    <w:rsid w:val="0089494C"/>
    <w:rsid w:val="008958C0"/>
    <w:rsid w:val="00896206"/>
    <w:rsid w:val="00896A85"/>
    <w:rsid w:val="00897D24"/>
    <w:rsid w:val="008A038D"/>
    <w:rsid w:val="008A0C43"/>
    <w:rsid w:val="008A0D7C"/>
    <w:rsid w:val="008A0F0A"/>
    <w:rsid w:val="008A10BD"/>
    <w:rsid w:val="008A1150"/>
    <w:rsid w:val="008A340D"/>
    <w:rsid w:val="008A3929"/>
    <w:rsid w:val="008A3E77"/>
    <w:rsid w:val="008A4535"/>
    <w:rsid w:val="008A4A4C"/>
    <w:rsid w:val="008A4EB0"/>
    <w:rsid w:val="008A5B48"/>
    <w:rsid w:val="008A5B75"/>
    <w:rsid w:val="008A5BA0"/>
    <w:rsid w:val="008A646F"/>
    <w:rsid w:val="008A6615"/>
    <w:rsid w:val="008A6793"/>
    <w:rsid w:val="008A6B47"/>
    <w:rsid w:val="008A7DC3"/>
    <w:rsid w:val="008B0F48"/>
    <w:rsid w:val="008B1CB9"/>
    <w:rsid w:val="008B1D4B"/>
    <w:rsid w:val="008B207F"/>
    <w:rsid w:val="008B21E3"/>
    <w:rsid w:val="008B2805"/>
    <w:rsid w:val="008B2C1A"/>
    <w:rsid w:val="008B2E95"/>
    <w:rsid w:val="008B34EB"/>
    <w:rsid w:val="008B4248"/>
    <w:rsid w:val="008B436D"/>
    <w:rsid w:val="008B450B"/>
    <w:rsid w:val="008B5323"/>
    <w:rsid w:val="008B5443"/>
    <w:rsid w:val="008B5778"/>
    <w:rsid w:val="008B5B0C"/>
    <w:rsid w:val="008B644B"/>
    <w:rsid w:val="008B6519"/>
    <w:rsid w:val="008B6785"/>
    <w:rsid w:val="008B679C"/>
    <w:rsid w:val="008B744D"/>
    <w:rsid w:val="008B74CF"/>
    <w:rsid w:val="008B78C2"/>
    <w:rsid w:val="008B7E3D"/>
    <w:rsid w:val="008C0DE6"/>
    <w:rsid w:val="008C13A1"/>
    <w:rsid w:val="008C1EB0"/>
    <w:rsid w:val="008C1F68"/>
    <w:rsid w:val="008C2735"/>
    <w:rsid w:val="008C35A4"/>
    <w:rsid w:val="008C3B35"/>
    <w:rsid w:val="008C3CB3"/>
    <w:rsid w:val="008C46A7"/>
    <w:rsid w:val="008C4C38"/>
    <w:rsid w:val="008C5769"/>
    <w:rsid w:val="008C5FBB"/>
    <w:rsid w:val="008C625D"/>
    <w:rsid w:val="008C6448"/>
    <w:rsid w:val="008C64F0"/>
    <w:rsid w:val="008C66E5"/>
    <w:rsid w:val="008C6AC4"/>
    <w:rsid w:val="008C6CFC"/>
    <w:rsid w:val="008C6D98"/>
    <w:rsid w:val="008C6FBE"/>
    <w:rsid w:val="008D03D7"/>
    <w:rsid w:val="008D0946"/>
    <w:rsid w:val="008D0CF7"/>
    <w:rsid w:val="008D115E"/>
    <w:rsid w:val="008D1642"/>
    <w:rsid w:val="008D165E"/>
    <w:rsid w:val="008D23DE"/>
    <w:rsid w:val="008D2845"/>
    <w:rsid w:val="008D3300"/>
    <w:rsid w:val="008D3592"/>
    <w:rsid w:val="008D4332"/>
    <w:rsid w:val="008D503E"/>
    <w:rsid w:val="008D5F0E"/>
    <w:rsid w:val="008D62AE"/>
    <w:rsid w:val="008D6923"/>
    <w:rsid w:val="008D6B91"/>
    <w:rsid w:val="008D6C8C"/>
    <w:rsid w:val="008D767F"/>
    <w:rsid w:val="008D7B7A"/>
    <w:rsid w:val="008D7F51"/>
    <w:rsid w:val="008E122B"/>
    <w:rsid w:val="008E141F"/>
    <w:rsid w:val="008E28D3"/>
    <w:rsid w:val="008E2ACC"/>
    <w:rsid w:val="008E2CF3"/>
    <w:rsid w:val="008E38DA"/>
    <w:rsid w:val="008E49C5"/>
    <w:rsid w:val="008E4F07"/>
    <w:rsid w:val="008E6A4F"/>
    <w:rsid w:val="008E6C3E"/>
    <w:rsid w:val="008E6F81"/>
    <w:rsid w:val="008E710C"/>
    <w:rsid w:val="008E76B3"/>
    <w:rsid w:val="008E78FC"/>
    <w:rsid w:val="008F021A"/>
    <w:rsid w:val="008F0724"/>
    <w:rsid w:val="008F082F"/>
    <w:rsid w:val="008F181E"/>
    <w:rsid w:val="008F1D63"/>
    <w:rsid w:val="008F231F"/>
    <w:rsid w:val="008F2698"/>
    <w:rsid w:val="008F2C84"/>
    <w:rsid w:val="008F2ED8"/>
    <w:rsid w:val="008F3617"/>
    <w:rsid w:val="008F3650"/>
    <w:rsid w:val="008F37F6"/>
    <w:rsid w:val="008F382D"/>
    <w:rsid w:val="008F3EAF"/>
    <w:rsid w:val="008F3FFA"/>
    <w:rsid w:val="008F421B"/>
    <w:rsid w:val="008F4CF5"/>
    <w:rsid w:val="008F4D7B"/>
    <w:rsid w:val="008F4DDF"/>
    <w:rsid w:val="008F4E6E"/>
    <w:rsid w:val="008F5143"/>
    <w:rsid w:val="008F57B8"/>
    <w:rsid w:val="008F58BF"/>
    <w:rsid w:val="008F5FA8"/>
    <w:rsid w:val="008F69DD"/>
    <w:rsid w:val="008F7283"/>
    <w:rsid w:val="008F7392"/>
    <w:rsid w:val="008F7C29"/>
    <w:rsid w:val="008F7E8B"/>
    <w:rsid w:val="009005A4"/>
    <w:rsid w:val="00900CDF"/>
    <w:rsid w:val="009013D3"/>
    <w:rsid w:val="00901825"/>
    <w:rsid w:val="00901A36"/>
    <w:rsid w:val="00902F45"/>
    <w:rsid w:val="00902F6F"/>
    <w:rsid w:val="00903536"/>
    <w:rsid w:val="009037C5"/>
    <w:rsid w:val="00903F24"/>
    <w:rsid w:val="00904320"/>
    <w:rsid w:val="009044C4"/>
    <w:rsid w:val="009057EE"/>
    <w:rsid w:val="009062D4"/>
    <w:rsid w:val="00906315"/>
    <w:rsid w:val="009064A8"/>
    <w:rsid w:val="00906DD9"/>
    <w:rsid w:val="0090799A"/>
    <w:rsid w:val="00910D7B"/>
    <w:rsid w:val="0091178A"/>
    <w:rsid w:val="009121DC"/>
    <w:rsid w:val="009122FA"/>
    <w:rsid w:val="00913961"/>
    <w:rsid w:val="00913D5A"/>
    <w:rsid w:val="009143FB"/>
    <w:rsid w:val="00914CC8"/>
    <w:rsid w:val="009158E6"/>
    <w:rsid w:val="009159A8"/>
    <w:rsid w:val="00915A65"/>
    <w:rsid w:val="00915D77"/>
    <w:rsid w:val="00916BB5"/>
    <w:rsid w:val="00916C52"/>
    <w:rsid w:val="00917065"/>
    <w:rsid w:val="009178B7"/>
    <w:rsid w:val="009178F6"/>
    <w:rsid w:val="009202D5"/>
    <w:rsid w:val="00920758"/>
    <w:rsid w:val="009207FA"/>
    <w:rsid w:val="00920B7E"/>
    <w:rsid w:val="00920C12"/>
    <w:rsid w:val="00920DB2"/>
    <w:rsid w:val="00921C73"/>
    <w:rsid w:val="00922076"/>
    <w:rsid w:val="00922155"/>
    <w:rsid w:val="0092311E"/>
    <w:rsid w:val="00923723"/>
    <w:rsid w:val="00923C9E"/>
    <w:rsid w:val="00923DE3"/>
    <w:rsid w:val="00923E31"/>
    <w:rsid w:val="00923E97"/>
    <w:rsid w:val="0092430F"/>
    <w:rsid w:val="00924618"/>
    <w:rsid w:val="00924768"/>
    <w:rsid w:val="00924C1B"/>
    <w:rsid w:val="0092518D"/>
    <w:rsid w:val="009258D1"/>
    <w:rsid w:val="0092644F"/>
    <w:rsid w:val="0092696C"/>
    <w:rsid w:val="00926974"/>
    <w:rsid w:val="009270AC"/>
    <w:rsid w:val="0092796C"/>
    <w:rsid w:val="00930832"/>
    <w:rsid w:val="00930F86"/>
    <w:rsid w:val="00932609"/>
    <w:rsid w:val="009326E4"/>
    <w:rsid w:val="0093271E"/>
    <w:rsid w:val="009327E0"/>
    <w:rsid w:val="00932C89"/>
    <w:rsid w:val="0093359B"/>
    <w:rsid w:val="00933B40"/>
    <w:rsid w:val="0093492B"/>
    <w:rsid w:val="00934C9F"/>
    <w:rsid w:val="00934FF0"/>
    <w:rsid w:val="0093560B"/>
    <w:rsid w:val="0093575B"/>
    <w:rsid w:val="00936C6D"/>
    <w:rsid w:val="00936F46"/>
    <w:rsid w:val="00937655"/>
    <w:rsid w:val="00937904"/>
    <w:rsid w:val="00937C6F"/>
    <w:rsid w:val="00937E54"/>
    <w:rsid w:val="00937FF0"/>
    <w:rsid w:val="00940109"/>
    <w:rsid w:val="00940BD9"/>
    <w:rsid w:val="00940FA0"/>
    <w:rsid w:val="00941F1F"/>
    <w:rsid w:val="00942188"/>
    <w:rsid w:val="00942718"/>
    <w:rsid w:val="00942C2E"/>
    <w:rsid w:val="009433C2"/>
    <w:rsid w:val="0094370D"/>
    <w:rsid w:val="00943880"/>
    <w:rsid w:val="0094389E"/>
    <w:rsid w:val="00944490"/>
    <w:rsid w:val="009445F3"/>
    <w:rsid w:val="00944801"/>
    <w:rsid w:val="00945077"/>
    <w:rsid w:val="00945660"/>
    <w:rsid w:val="00945731"/>
    <w:rsid w:val="00945989"/>
    <w:rsid w:val="00947072"/>
    <w:rsid w:val="00947431"/>
    <w:rsid w:val="00947937"/>
    <w:rsid w:val="0095051B"/>
    <w:rsid w:val="0095088D"/>
    <w:rsid w:val="00950EA2"/>
    <w:rsid w:val="0095147C"/>
    <w:rsid w:val="00951BB7"/>
    <w:rsid w:val="0095231E"/>
    <w:rsid w:val="00952D71"/>
    <w:rsid w:val="00953101"/>
    <w:rsid w:val="00953500"/>
    <w:rsid w:val="009535AB"/>
    <w:rsid w:val="00953AF5"/>
    <w:rsid w:val="00953E20"/>
    <w:rsid w:val="009546F7"/>
    <w:rsid w:val="00954E88"/>
    <w:rsid w:val="00955317"/>
    <w:rsid w:val="00955682"/>
    <w:rsid w:val="009559EE"/>
    <w:rsid w:val="00955C0A"/>
    <w:rsid w:val="00955DD8"/>
    <w:rsid w:val="009563DA"/>
    <w:rsid w:val="00956495"/>
    <w:rsid w:val="00956935"/>
    <w:rsid w:val="00956DCC"/>
    <w:rsid w:val="00957538"/>
    <w:rsid w:val="00957FD6"/>
    <w:rsid w:val="00960A34"/>
    <w:rsid w:val="00961969"/>
    <w:rsid w:val="00962446"/>
    <w:rsid w:val="00962853"/>
    <w:rsid w:val="009629E7"/>
    <w:rsid w:val="00962D29"/>
    <w:rsid w:val="00962E20"/>
    <w:rsid w:val="00963822"/>
    <w:rsid w:val="00963862"/>
    <w:rsid w:val="009641E2"/>
    <w:rsid w:val="009641E6"/>
    <w:rsid w:val="009643B3"/>
    <w:rsid w:val="009648D0"/>
    <w:rsid w:val="009658E1"/>
    <w:rsid w:val="00965D45"/>
    <w:rsid w:val="00966165"/>
    <w:rsid w:val="00966D2A"/>
    <w:rsid w:val="009678FB"/>
    <w:rsid w:val="00967DE0"/>
    <w:rsid w:val="0097015B"/>
    <w:rsid w:val="009703F8"/>
    <w:rsid w:val="009704B4"/>
    <w:rsid w:val="00970AFB"/>
    <w:rsid w:val="009721EB"/>
    <w:rsid w:val="0097248A"/>
    <w:rsid w:val="00972674"/>
    <w:rsid w:val="00972FE9"/>
    <w:rsid w:val="009730B5"/>
    <w:rsid w:val="00973650"/>
    <w:rsid w:val="00973C0F"/>
    <w:rsid w:val="00973F58"/>
    <w:rsid w:val="00974332"/>
    <w:rsid w:val="0097440A"/>
    <w:rsid w:val="0097455B"/>
    <w:rsid w:val="009749EA"/>
    <w:rsid w:val="00974C29"/>
    <w:rsid w:val="00974FCE"/>
    <w:rsid w:val="0097528E"/>
    <w:rsid w:val="00975391"/>
    <w:rsid w:val="009757D9"/>
    <w:rsid w:val="00975B7F"/>
    <w:rsid w:val="00975C70"/>
    <w:rsid w:val="0097665B"/>
    <w:rsid w:val="009777E4"/>
    <w:rsid w:val="00977979"/>
    <w:rsid w:val="00977F22"/>
    <w:rsid w:val="0098036C"/>
    <w:rsid w:val="009804E0"/>
    <w:rsid w:val="00980A36"/>
    <w:rsid w:val="009813F9"/>
    <w:rsid w:val="0098282C"/>
    <w:rsid w:val="009833EB"/>
    <w:rsid w:val="00983536"/>
    <w:rsid w:val="00983D41"/>
    <w:rsid w:val="00983FBC"/>
    <w:rsid w:val="009840AF"/>
    <w:rsid w:val="00984F81"/>
    <w:rsid w:val="00985297"/>
    <w:rsid w:val="009853FC"/>
    <w:rsid w:val="00985B01"/>
    <w:rsid w:val="00985D2B"/>
    <w:rsid w:val="00985E14"/>
    <w:rsid w:val="00985EA8"/>
    <w:rsid w:val="0098641C"/>
    <w:rsid w:val="009867F9"/>
    <w:rsid w:val="00986A25"/>
    <w:rsid w:val="00986A8B"/>
    <w:rsid w:val="00986DE5"/>
    <w:rsid w:val="009871AB"/>
    <w:rsid w:val="009874EB"/>
    <w:rsid w:val="009877CA"/>
    <w:rsid w:val="009877EA"/>
    <w:rsid w:val="00987B7D"/>
    <w:rsid w:val="009900E5"/>
    <w:rsid w:val="00991109"/>
    <w:rsid w:val="009912A1"/>
    <w:rsid w:val="00991C57"/>
    <w:rsid w:val="00991DC3"/>
    <w:rsid w:val="0099219F"/>
    <w:rsid w:val="0099249C"/>
    <w:rsid w:val="009924BF"/>
    <w:rsid w:val="00992837"/>
    <w:rsid w:val="0099332F"/>
    <w:rsid w:val="00993855"/>
    <w:rsid w:val="00993A9A"/>
    <w:rsid w:val="00993B32"/>
    <w:rsid w:val="00993E0A"/>
    <w:rsid w:val="009946FF"/>
    <w:rsid w:val="009953DE"/>
    <w:rsid w:val="009958DC"/>
    <w:rsid w:val="00995C52"/>
    <w:rsid w:val="009965A6"/>
    <w:rsid w:val="00996E03"/>
    <w:rsid w:val="009976AB"/>
    <w:rsid w:val="009A00A9"/>
    <w:rsid w:val="009A03B7"/>
    <w:rsid w:val="009A0A89"/>
    <w:rsid w:val="009A0E48"/>
    <w:rsid w:val="009A158D"/>
    <w:rsid w:val="009A1AB2"/>
    <w:rsid w:val="009A1CC9"/>
    <w:rsid w:val="009A1EAF"/>
    <w:rsid w:val="009A2FDD"/>
    <w:rsid w:val="009A30CE"/>
    <w:rsid w:val="009A3341"/>
    <w:rsid w:val="009A3887"/>
    <w:rsid w:val="009A42E8"/>
    <w:rsid w:val="009A42F2"/>
    <w:rsid w:val="009A457A"/>
    <w:rsid w:val="009A507B"/>
    <w:rsid w:val="009A5442"/>
    <w:rsid w:val="009A57A5"/>
    <w:rsid w:val="009A5A8B"/>
    <w:rsid w:val="009A5D33"/>
    <w:rsid w:val="009A64AD"/>
    <w:rsid w:val="009A65E7"/>
    <w:rsid w:val="009A6C83"/>
    <w:rsid w:val="009A6E73"/>
    <w:rsid w:val="009A7374"/>
    <w:rsid w:val="009A74EF"/>
    <w:rsid w:val="009B01FA"/>
    <w:rsid w:val="009B03AF"/>
    <w:rsid w:val="009B0847"/>
    <w:rsid w:val="009B0D6C"/>
    <w:rsid w:val="009B1103"/>
    <w:rsid w:val="009B1462"/>
    <w:rsid w:val="009B149C"/>
    <w:rsid w:val="009B1736"/>
    <w:rsid w:val="009B1DF6"/>
    <w:rsid w:val="009B1E8A"/>
    <w:rsid w:val="009B2445"/>
    <w:rsid w:val="009B2683"/>
    <w:rsid w:val="009B2B7E"/>
    <w:rsid w:val="009B3EA9"/>
    <w:rsid w:val="009B4255"/>
    <w:rsid w:val="009B42B9"/>
    <w:rsid w:val="009B4567"/>
    <w:rsid w:val="009B47AE"/>
    <w:rsid w:val="009B4F63"/>
    <w:rsid w:val="009B524D"/>
    <w:rsid w:val="009B52B2"/>
    <w:rsid w:val="009B5368"/>
    <w:rsid w:val="009B5551"/>
    <w:rsid w:val="009B6865"/>
    <w:rsid w:val="009B6A06"/>
    <w:rsid w:val="009B7B93"/>
    <w:rsid w:val="009C01EF"/>
    <w:rsid w:val="009C0E75"/>
    <w:rsid w:val="009C1004"/>
    <w:rsid w:val="009C19EF"/>
    <w:rsid w:val="009C2447"/>
    <w:rsid w:val="009C287D"/>
    <w:rsid w:val="009C3191"/>
    <w:rsid w:val="009C324B"/>
    <w:rsid w:val="009C3D65"/>
    <w:rsid w:val="009C53A0"/>
    <w:rsid w:val="009C56D1"/>
    <w:rsid w:val="009C652D"/>
    <w:rsid w:val="009C6849"/>
    <w:rsid w:val="009C6855"/>
    <w:rsid w:val="009C6CEB"/>
    <w:rsid w:val="009C7630"/>
    <w:rsid w:val="009D03EE"/>
    <w:rsid w:val="009D0D8E"/>
    <w:rsid w:val="009D1117"/>
    <w:rsid w:val="009D1633"/>
    <w:rsid w:val="009D22C4"/>
    <w:rsid w:val="009D23DB"/>
    <w:rsid w:val="009D2634"/>
    <w:rsid w:val="009D3180"/>
    <w:rsid w:val="009D31BE"/>
    <w:rsid w:val="009D36FD"/>
    <w:rsid w:val="009D380F"/>
    <w:rsid w:val="009D38FA"/>
    <w:rsid w:val="009D3E5C"/>
    <w:rsid w:val="009D424D"/>
    <w:rsid w:val="009D436C"/>
    <w:rsid w:val="009D4585"/>
    <w:rsid w:val="009D45BE"/>
    <w:rsid w:val="009D4831"/>
    <w:rsid w:val="009D5072"/>
    <w:rsid w:val="009D591E"/>
    <w:rsid w:val="009D6E97"/>
    <w:rsid w:val="009D727B"/>
    <w:rsid w:val="009D7A06"/>
    <w:rsid w:val="009D7D63"/>
    <w:rsid w:val="009D7EAA"/>
    <w:rsid w:val="009D7EFD"/>
    <w:rsid w:val="009E0157"/>
    <w:rsid w:val="009E0512"/>
    <w:rsid w:val="009E0DBB"/>
    <w:rsid w:val="009E1387"/>
    <w:rsid w:val="009E14C0"/>
    <w:rsid w:val="009E1EBC"/>
    <w:rsid w:val="009E24D0"/>
    <w:rsid w:val="009E27E1"/>
    <w:rsid w:val="009E351B"/>
    <w:rsid w:val="009E3771"/>
    <w:rsid w:val="009E3E19"/>
    <w:rsid w:val="009E4388"/>
    <w:rsid w:val="009E457A"/>
    <w:rsid w:val="009E4698"/>
    <w:rsid w:val="009E4B98"/>
    <w:rsid w:val="009E574C"/>
    <w:rsid w:val="009E59E9"/>
    <w:rsid w:val="009E5B77"/>
    <w:rsid w:val="009E5CC8"/>
    <w:rsid w:val="009E63F7"/>
    <w:rsid w:val="009E6C22"/>
    <w:rsid w:val="009E6C78"/>
    <w:rsid w:val="009E705D"/>
    <w:rsid w:val="009E7099"/>
    <w:rsid w:val="009E7413"/>
    <w:rsid w:val="009E762F"/>
    <w:rsid w:val="009E79AA"/>
    <w:rsid w:val="009F029E"/>
    <w:rsid w:val="009F03B1"/>
    <w:rsid w:val="009F1822"/>
    <w:rsid w:val="009F193B"/>
    <w:rsid w:val="009F19B0"/>
    <w:rsid w:val="009F1A15"/>
    <w:rsid w:val="009F276E"/>
    <w:rsid w:val="009F28D4"/>
    <w:rsid w:val="009F317E"/>
    <w:rsid w:val="009F3296"/>
    <w:rsid w:val="009F34EB"/>
    <w:rsid w:val="009F3A4D"/>
    <w:rsid w:val="009F3C17"/>
    <w:rsid w:val="009F48D9"/>
    <w:rsid w:val="009F5A7E"/>
    <w:rsid w:val="009F5C1C"/>
    <w:rsid w:val="009F6374"/>
    <w:rsid w:val="009F6731"/>
    <w:rsid w:val="009F6F0B"/>
    <w:rsid w:val="009F7546"/>
    <w:rsid w:val="00A002C9"/>
    <w:rsid w:val="00A0097B"/>
    <w:rsid w:val="00A00DD1"/>
    <w:rsid w:val="00A011FC"/>
    <w:rsid w:val="00A01A1C"/>
    <w:rsid w:val="00A020D6"/>
    <w:rsid w:val="00A0215F"/>
    <w:rsid w:val="00A023A6"/>
    <w:rsid w:val="00A0287D"/>
    <w:rsid w:val="00A0435B"/>
    <w:rsid w:val="00A047EB"/>
    <w:rsid w:val="00A04900"/>
    <w:rsid w:val="00A04C69"/>
    <w:rsid w:val="00A05905"/>
    <w:rsid w:val="00A06554"/>
    <w:rsid w:val="00A06CB2"/>
    <w:rsid w:val="00A07243"/>
    <w:rsid w:val="00A106A6"/>
    <w:rsid w:val="00A10A17"/>
    <w:rsid w:val="00A10B94"/>
    <w:rsid w:val="00A1108A"/>
    <w:rsid w:val="00A112C6"/>
    <w:rsid w:val="00A115C1"/>
    <w:rsid w:val="00A13186"/>
    <w:rsid w:val="00A13B38"/>
    <w:rsid w:val="00A1431E"/>
    <w:rsid w:val="00A14931"/>
    <w:rsid w:val="00A14B6F"/>
    <w:rsid w:val="00A14B96"/>
    <w:rsid w:val="00A14C03"/>
    <w:rsid w:val="00A15168"/>
    <w:rsid w:val="00A15617"/>
    <w:rsid w:val="00A156F1"/>
    <w:rsid w:val="00A15839"/>
    <w:rsid w:val="00A15853"/>
    <w:rsid w:val="00A15A3D"/>
    <w:rsid w:val="00A15DC8"/>
    <w:rsid w:val="00A15F41"/>
    <w:rsid w:val="00A15FEB"/>
    <w:rsid w:val="00A161F2"/>
    <w:rsid w:val="00A165AA"/>
    <w:rsid w:val="00A16E8C"/>
    <w:rsid w:val="00A171A6"/>
    <w:rsid w:val="00A1735E"/>
    <w:rsid w:val="00A17367"/>
    <w:rsid w:val="00A17375"/>
    <w:rsid w:val="00A178EB"/>
    <w:rsid w:val="00A204C1"/>
    <w:rsid w:val="00A20CCA"/>
    <w:rsid w:val="00A21245"/>
    <w:rsid w:val="00A2135B"/>
    <w:rsid w:val="00A214ED"/>
    <w:rsid w:val="00A2198A"/>
    <w:rsid w:val="00A21C37"/>
    <w:rsid w:val="00A21DAF"/>
    <w:rsid w:val="00A22298"/>
    <w:rsid w:val="00A22529"/>
    <w:rsid w:val="00A2317E"/>
    <w:rsid w:val="00A23254"/>
    <w:rsid w:val="00A23319"/>
    <w:rsid w:val="00A2388A"/>
    <w:rsid w:val="00A23AB0"/>
    <w:rsid w:val="00A23FFB"/>
    <w:rsid w:val="00A24035"/>
    <w:rsid w:val="00A24AA8"/>
    <w:rsid w:val="00A24C40"/>
    <w:rsid w:val="00A25B12"/>
    <w:rsid w:val="00A25F68"/>
    <w:rsid w:val="00A263B0"/>
    <w:rsid w:val="00A264EE"/>
    <w:rsid w:val="00A26666"/>
    <w:rsid w:val="00A268AC"/>
    <w:rsid w:val="00A26AAF"/>
    <w:rsid w:val="00A27F3A"/>
    <w:rsid w:val="00A30316"/>
    <w:rsid w:val="00A305C2"/>
    <w:rsid w:val="00A3116B"/>
    <w:rsid w:val="00A3120D"/>
    <w:rsid w:val="00A3130B"/>
    <w:rsid w:val="00A31B58"/>
    <w:rsid w:val="00A32A06"/>
    <w:rsid w:val="00A3301B"/>
    <w:rsid w:val="00A337E5"/>
    <w:rsid w:val="00A34937"/>
    <w:rsid w:val="00A349BA"/>
    <w:rsid w:val="00A35B77"/>
    <w:rsid w:val="00A35E7C"/>
    <w:rsid w:val="00A3709F"/>
    <w:rsid w:val="00A37BB4"/>
    <w:rsid w:val="00A37FA8"/>
    <w:rsid w:val="00A402B5"/>
    <w:rsid w:val="00A4089D"/>
    <w:rsid w:val="00A41293"/>
    <w:rsid w:val="00A41C9F"/>
    <w:rsid w:val="00A41D03"/>
    <w:rsid w:val="00A42416"/>
    <w:rsid w:val="00A43165"/>
    <w:rsid w:val="00A43601"/>
    <w:rsid w:val="00A44D8B"/>
    <w:rsid w:val="00A4578A"/>
    <w:rsid w:val="00A45C21"/>
    <w:rsid w:val="00A45CBA"/>
    <w:rsid w:val="00A45FAF"/>
    <w:rsid w:val="00A463BF"/>
    <w:rsid w:val="00A4662C"/>
    <w:rsid w:val="00A46D03"/>
    <w:rsid w:val="00A47A2D"/>
    <w:rsid w:val="00A50190"/>
    <w:rsid w:val="00A505DA"/>
    <w:rsid w:val="00A50981"/>
    <w:rsid w:val="00A518FA"/>
    <w:rsid w:val="00A518FD"/>
    <w:rsid w:val="00A52425"/>
    <w:rsid w:val="00A52B72"/>
    <w:rsid w:val="00A52BD0"/>
    <w:rsid w:val="00A52F86"/>
    <w:rsid w:val="00A539A5"/>
    <w:rsid w:val="00A539FB"/>
    <w:rsid w:val="00A53B33"/>
    <w:rsid w:val="00A53D0E"/>
    <w:rsid w:val="00A54333"/>
    <w:rsid w:val="00A547F0"/>
    <w:rsid w:val="00A54F8A"/>
    <w:rsid w:val="00A552F9"/>
    <w:rsid w:val="00A55DFC"/>
    <w:rsid w:val="00A5624C"/>
    <w:rsid w:val="00A5641A"/>
    <w:rsid w:val="00A5699A"/>
    <w:rsid w:val="00A57567"/>
    <w:rsid w:val="00A57A35"/>
    <w:rsid w:val="00A607D6"/>
    <w:rsid w:val="00A60A99"/>
    <w:rsid w:val="00A61318"/>
    <w:rsid w:val="00A61484"/>
    <w:rsid w:val="00A61B05"/>
    <w:rsid w:val="00A61E01"/>
    <w:rsid w:val="00A61E13"/>
    <w:rsid w:val="00A62301"/>
    <w:rsid w:val="00A62462"/>
    <w:rsid w:val="00A62626"/>
    <w:rsid w:val="00A629B3"/>
    <w:rsid w:val="00A62DC9"/>
    <w:rsid w:val="00A62DDF"/>
    <w:rsid w:val="00A6316F"/>
    <w:rsid w:val="00A64CCB"/>
    <w:rsid w:val="00A65873"/>
    <w:rsid w:val="00A6594E"/>
    <w:rsid w:val="00A659BC"/>
    <w:rsid w:val="00A65AFB"/>
    <w:rsid w:val="00A65C6D"/>
    <w:rsid w:val="00A66E30"/>
    <w:rsid w:val="00A67CC7"/>
    <w:rsid w:val="00A70DD4"/>
    <w:rsid w:val="00A7191B"/>
    <w:rsid w:val="00A724B6"/>
    <w:rsid w:val="00A72613"/>
    <w:rsid w:val="00A727BF"/>
    <w:rsid w:val="00A72E86"/>
    <w:rsid w:val="00A73A13"/>
    <w:rsid w:val="00A73A45"/>
    <w:rsid w:val="00A73DB5"/>
    <w:rsid w:val="00A74DF9"/>
    <w:rsid w:val="00A75A26"/>
    <w:rsid w:val="00A77C28"/>
    <w:rsid w:val="00A77CF5"/>
    <w:rsid w:val="00A80325"/>
    <w:rsid w:val="00A806CB"/>
    <w:rsid w:val="00A80B57"/>
    <w:rsid w:val="00A80CD1"/>
    <w:rsid w:val="00A815B9"/>
    <w:rsid w:val="00A81751"/>
    <w:rsid w:val="00A81AE0"/>
    <w:rsid w:val="00A8276B"/>
    <w:rsid w:val="00A83738"/>
    <w:rsid w:val="00A83C50"/>
    <w:rsid w:val="00A83DCB"/>
    <w:rsid w:val="00A84873"/>
    <w:rsid w:val="00A85602"/>
    <w:rsid w:val="00A8650E"/>
    <w:rsid w:val="00A86585"/>
    <w:rsid w:val="00A86B41"/>
    <w:rsid w:val="00A86BCD"/>
    <w:rsid w:val="00A87DFC"/>
    <w:rsid w:val="00A907B1"/>
    <w:rsid w:val="00A90D25"/>
    <w:rsid w:val="00A911BD"/>
    <w:rsid w:val="00A91756"/>
    <w:rsid w:val="00A92394"/>
    <w:rsid w:val="00A926A3"/>
    <w:rsid w:val="00A92ABB"/>
    <w:rsid w:val="00A92C3D"/>
    <w:rsid w:val="00A93B72"/>
    <w:rsid w:val="00A9400E"/>
    <w:rsid w:val="00A9402D"/>
    <w:rsid w:val="00A9473C"/>
    <w:rsid w:val="00A947CC"/>
    <w:rsid w:val="00A94CD4"/>
    <w:rsid w:val="00A95D0C"/>
    <w:rsid w:val="00A95DEE"/>
    <w:rsid w:val="00A963C3"/>
    <w:rsid w:val="00A96525"/>
    <w:rsid w:val="00A96D2B"/>
    <w:rsid w:val="00A97E88"/>
    <w:rsid w:val="00A97FD3"/>
    <w:rsid w:val="00AA02E1"/>
    <w:rsid w:val="00AA0926"/>
    <w:rsid w:val="00AA0F8C"/>
    <w:rsid w:val="00AA1AE7"/>
    <w:rsid w:val="00AA1E92"/>
    <w:rsid w:val="00AA284A"/>
    <w:rsid w:val="00AA2F0D"/>
    <w:rsid w:val="00AA3524"/>
    <w:rsid w:val="00AA3BFD"/>
    <w:rsid w:val="00AA47F0"/>
    <w:rsid w:val="00AA492E"/>
    <w:rsid w:val="00AA4E21"/>
    <w:rsid w:val="00AA6654"/>
    <w:rsid w:val="00AA67DC"/>
    <w:rsid w:val="00AA7274"/>
    <w:rsid w:val="00AA788B"/>
    <w:rsid w:val="00AA7EF7"/>
    <w:rsid w:val="00AB03C2"/>
    <w:rsid w:val="00AB09AD"/>
    <w:rsid w:val="00AB0AF6"/>
    <w:rsid w:val="00AB0DF1"/>
    <w:rsid w:val="00AB15A5"/>
    <w:rsid w:val="00AB1E05"/>
    <w:rsid w:val="00AB2016"/>
    <w:rsid w:val="00AB234F"/>
    <w:rsid w:val="00AB2987"/>
    <w:rsid w:val="00AB2D1D"/>
    <w:rsid w:val="00AB2E81"/>
    <w:rsid w:val="00AB2F9B"/>
    <w:rsid w:val="00AB3063"/>
    <w:rsid w:val="00AB35F7"/>
    <w:rsid w:val="00AB3648"/>
    <w:rsid w:val="00AB393D"/>
    <w:rsid w:val="00AB42D8"/>
    <w:rsid w:val="00AB4509"/>
    <w:rsid w:val="00AB567F"/>
    <w:rsid w:val="00AB5CAE"/>
    <w:rsid w:val="00AB615A"/>
    <w:rsid w:val="00AB7796"/>
    <w:rsid w:val="00AB787D"/>
    <w:rsid w:val="00AB7F17"/>
    <w:rsid w:val="00AC03FC"/>
    <w:rsid w:val="00AC096F"/>
    <w:rsid w:val="00AC106D"/>
    <w:rsid w:val="00AC1212"/>
    <w:rsid w:val="00AC124D"/>
    <w:rsid w:val="00AC12DB"/>
    <w:rsid w:val="00AC17CF"/>
    <w:rsid w:val="00AC20F2"/>
    <w:rsid w:val="00AC23A8"/>
    <w:rsid w:val="00AC2422"/>
    <w:rsid w:val="00AC2B07"/>
    <w:rsid w:val="00AC3224"/>
    <w:rsid w:val="00AC345D"/>
    <w:rsid w:val="00AC37C8"/>
    <w:rsid w:val="00AC457B"/>
    <w:rsid w:val="00AC4A7B"/>
    <w:rsid w:val="00AC4AE8"/>
    <w:rsid w:val="00AC4E86"/>
    <w:rsid w:val="00AC56AF"/>
    <w:rsid w:val="00AC57F5"/>
    <w:rsid w:val="00AC5881"/>
    <w:rsid w:val="00AC680B"/>
    <w:rsid w:val="00AC6E5F"/>
    <w:rsid w:val="00AC6EAE"/>
    <w:rsid w:val="00AC7474"/>
    <w:rsid w:val="00AC76DF"/>
    <w:rsid w:val="00AC7840"/>
    <w:rsid w:val="00AC7C3D"/>
    <w:rsid w:val="00AD03A1"/>
    <w:rsid w:val="00AD04D6"/>
    <w:rsid w:val="00AD057D"/>
    <w:rsid w:val="00AD05A9"/>
    <w:rsid w:val="00AD0827"/>
    <w:rsid w:val="00AD0DBC"/>
    <w:rsid w:val="00AD0F05"/>
    <w:rsid w:val="00AD1069"/>
    <w:rsid w:val="00AD1D14"/>
    <w:rsid w:val="00AD21E3"/>
    <w:rsid w:val="00AD23BC"/>
    <w:rsid w:val="00AD26C3"/>
    <w:rsid w:val="00AD2E60"/>
    <w:rsid w:val="00AD31D2"/>
    <w:rsid w:val="00AD3659"/>
    <w:rsid w:val="00AD44DC"/>
    <w:rsid w:val="00AD4E58"/>
    <w:rsid w:val="00AD52C2"/>
    <w:rsid w:val="00AD550F"/>
    <w:rsid w:val="00AD59E8"/>
    <w:rsid w:val="00AD5A67"/>
    <w:rsid w:val="00AD5D76"/>
    <w:rsid w:val="00AD681D"/>
    <w:rsid w:val="00AD6969"/>
    <w:rsid w:val="00AD70B1"/>
    <w:rsid w:val="00AD70DC"/>
    <w:rsid w:val="00AD7394"/>
    <w:rsid w:val="00AE04DB"/>
    <w:rsid w:val="00AE0BEF"/>
    <w:rsid w:val="00AE0C6D"/>
    <w:rsid w:val="00AE0CD1"/>
    <w:rsid w:val="00AE0EBC"/>
    <w:rsid w:val="00AE0F5D"/>
    <w:rsid w:val="00AE1386"/>
    <w:rsid w:val="00AE187D"/>
    <w:rsid w:val="00AE1DA9"/>
    <w:rsid w:val="00AE1EE2"/>
    <w:rsid w:val="00AE2942"/>
    <w:rsid w:val="00AE2A36"/>
    <w:rsid w:val="00AE2C18"/>
    <w:rsid w:val="00AE2CBF"/>
    <w:rsid w:val="00AE3A7D"/>
    <w:rsid w:val="00AE3B02"/>
    <w:rsid w:val="00AE4B39"/>
    <w:rsid w:val="00AE4CC8"/>
    <w:rsid w:val="00AE5B1D"/>
    <w:rsid w:val="00AE5ED0"/>
    <w:rsid w:val="00AE6563"/>
    <w:rsid w:val="00AE6B16"/>
    <w:rsid w:val="00AE6CB8"/>
    <w:rsid w:val="00AE72E6"/>
    <w:rsid w:val="00AE784A"/>
    <w:rsid w:val="00AF09C0"/>
    <w:rsid w:val="00AF0C01"/>
    <w:rsid w:val="00AF0FC5"/>
    <w:rsid w:val="00AF1150"/>
    <w:rsid w:val="00AF182D"/>
    <w:rsid w:val="00AF19B4"/>
    <w:rsid w:val="00AF2090"/>
    <w:rsid w:val="00AF2A57"/>
    <w:rsid w:val="00AF2FE2"/>
    <w:rsid w:val="00AF308E"/>
    <w:rsid w:val="00AF3370"/>
    <w:rsid w:val="00AF352B"/>
    <w:rsid w:val="00AF387A"/>
    <w:rsid w:val="00AF3AC9"/>
    <w:rsid w:val="00AF3DD3"/>
    <w:rsid w:val="00AF3FD3"/>
    <w:rsid w:val="00AF431A"/>
    <w:rsid w:val="00AF4C8B"/>
    <w:rsid w:val="00AF4E40"/>
    <w:rsid w:val="00AF5AD2"/>
    <w:rsid w:val="00AF5D95"/>
    <w:rsid w:val="00AF5E28"/>
    <w:rsid w:val="00AF5E39"/>
    <w:rsid w:val="00AF5E6D"/>
    <w:rsid w:val="00AF65BC"/>
    <w:rsid w:val="00AF79BA"/>
    <w:rsid w:val="00B003D3"/>
    <w:rsid w:val="00B00DA6"/>
    <w:rsid w:val="00B00E16"/>
    <w:rsid w:val="00B01098"/>
    <w:rsid w:val="00B013CB"/>
    <w:rsid w:val="00B01725"/>
    <w:rsid w:val="00B02071"/>
    <w:rsid w:val="00B02207"/>
    <w:rsid w:val="00B027BF"/>
    <w:rsid w:val="00B02943"/>
    <w:rsid w:val="00B02D7A"/>
    <w:rsid w:val="00B030E5"/>
    <w:rsid w:val="00B03910"/>
    <w:rsid w:val="00B03AF5"/>
    <w:rsid w:val="00B03FB5"/>
    <w:rsid w:val="00B04484"/>
    <w:rsid w:val="00B0478D"/>
    <w:rsid w:val="00B047FE"/>
    <w:rsid w:val="00B0492D"/>
    <w:rsid w:val="00B050B8"/>
    <w:rsid w:val="00B05145"/>
    <w:rsid w:val="00B051B8"/>
    <w:rsid w:val="00B0547B"/>
    <w:rsid w:val="00B05933"/>
    <w:rsid w:val="00B05B23"/>
    <w:rsid w:val="00B05EDA"/>
    <w:rsid w:val="00B06697"/>
    <w:rsid w:val="00B06FBE"/>
    <w:rsid w:val="00B07AB2"/>
    <w:rsid w:val="00B10781"/>
    <w:rsid w:val="00B10C55"/>
    <w:rsid w:val="00B10DDA"/>
    <w:rsid w:val="00B10F0F"/>
    <w:rsid w:val="00B110A0"/>
    <w:rsid w:val="00B111B4"/>
    <w:rsid w:val="00B121B0"/>
    <w:rsid w:val="00B12357"/>
    <w:rsid w:val="00B1239F"/>
    <w:rsid w:val="00B125A4"/>
    <w:rsid w:val="00B1262A"/>
    <w:rsid w:val="00B12DF7"/>
    <w:rsid w:val="00B12E84"/>
    <w:rsid w:val="00B14588"/>
    <w:rsid w:val="00B14908"/>
    <w:rsid w:val="00B14AA7"/>
    <w:rsid w:val="00B14B9B"/>
    <w:rsid w:val="00B15BCD"/>
    <w:rsid w:val="00B160E1"/>
    <w:rsid w:val="00B161A7"/>
    <w:rsid w:val="00B16422"/>
    <w:rsid w:val="00B165CE"/>
    <w:rsid w:val="00B16D70"/>
    <w:rsid w:val="00B16F9C"/>
    <w:rsid w:val="00B172AC"/>
    <w:rsid w:val="00B20789"/>
    <w:rsid w:val="00B20A75"/>
    <w:rsid w:val="00B21AC9"/>
    <w:rsid w:val="00B21D58"/>
    <w:rsid w:val="00B21E4C"/>
    <w:rsid w:val="00B21F64"/>
    <w:rsid w:val="00B2337E"/>
    <w:rsid w:val="00B235A7"/>
    <w:rsid w:val="00B23632"/>
    <w:rsid w:val="00B23719"/>
    <w:rsid w:val="00B23D10"/>
    <w:rsid w:val="00B249DE"/>
    <w:rsid w:val="00B24B88"/>
    <w:rsid w:val="00B26947"/>
    <w:rsid w:val="00B26D5F"/>
    <w:rsid w:val="00B27364"/>
    <w:rsid w:val="00B27CD5"/>
    <w:rsid w:val="00B27F54"/>
    <w:rsid w:val="00B304AC"/>
    <w:rsid w:val="00B30618"/>
    <w:rsid w:val="00B32112"/>
    <w:rsid w:val="00B32322"/>
    <w:rsid w:val="00B32E39"/>
    <w:rsid w:val="00B33052"/>
    <w:rsid w:val="00B33860"/>
    <w:rsid w:val="00B33D51"/>
    <w:rsid w:val="00B33EE4"/>
    <w:rsid w:val="00B3419E"/>
    <w:rsid w:val="00B343AB"/>
    <w:rsid w:val="00B343CE"/>
    <w:rsid w:val="00B345FA"/>
    <w:rsid w:val="00B34CB0"/>
    <w:rsid w:val="00B3535C"/>
    <w:rsid w:val="00B35407"/>
    <w:rsid w:val="00B355A8"/>
    <w:rsid w:val="00B356D2"/>
    <w:rsid w:val="00B357CA"/>
    <w:rsid w:val="00B35A34"/>
    <w:rsid w:val="00B35FDA"/>
    <w:rsid w:val="00B36757"/>
    <w:rsid w:val="00B372B9"/>
    <w:rsid w:val="00B37496"/>
    <w:rsid w:val="00B375A4"/>
    <w:rsid w:val="00B37F9E"/>
    <w:rsid w:val="00B40B8B"/>
    <w:rsid w:val="00B413E7"/>
    <w:rsid w:val="00B4184B"/>
    <w:rsid w:val="00B418B9"/>
    <w:rsid w:val="00B42CEF"/>
    <w:rsid w:val="00B448F0"/>
    <w:rsid w:val="00B44E60"/>
    <w:rsid w:val="00B44FAB"/>
    <w:rsid w:val="00B45EE6"/>
    <w:rsid w:val="00B46297"/>
    <w:rsid w:val="00B464A9"/>
    <w:rsid w:val="00B4685B"/>
    <w:rsid w:val="00B47B65"/>
    <w:rsid w:val="00B47F40"/>
    <w:rsid w:val="00B50434"/>
    <w:rsid w:val="00B50712"/>
    <w:rsid w:val="00B50909"/>
    <w:rsid w:val="00B50E69"/>
    <w:rsid w:val="00B5129A"/>
    <w:rsid w:val="00B51CC5"/>
    <w:rsid w:val="00B52044"/>
    <w:rsid w:val="00B5350E"/>
    <w:rsid w:val="00B536B4"/>
    <w:rsid w:val="00B54580"/>
    <w:rsid w:val="00B547DF"/>
    <w:rsid w:val="00B54B72"/>
    <w:rsid w:val="00B54E8F"/>
    <w:rsid w:val="00B550A3"/>
    <w:rsid w:val="00B55BD7"/>
    <w:rsid w:val="00B56299"/>
    <w:rsid w:val="00B5633E"/>
    <w:rsid w:val="00B565DB"/>
    <w:rsid w:val="00B56C4E"/>
    <w:rsid w:val="00B56C8C"/>
    <w:rsid w:val="00B57F4A"/>
    <w:rsid w:val="00B604B5"/>
    <w:rsid w:val="00B60522"/>
    <w:rsid w:val="00B60890"/>
    <w:rsid w:val="00B60C2E"/>
    <w:rsid w:val="00B60D1E"/>
    <w:rsid w:val="00B61083"/>
    <w:rsid w:val="00B62798"/>
    <w:rsid w:val="00B63367"/>
    <w:rsid w:val="00B634C2"/>
    <w:rsid w:val="00B639A3"/>
    <w:rsid w:val="00B63FF1"/>
    <w:rsid w:val="00B645EB"/>
    <w:rsid w:val="00B6497C"/>
    <w:rsid w:val="00B64AAA"/>
    <w:rsid w:val="00B64C8B"/>
    <w:rsid w:val="00B66EB7"/>
    <w:rsid w:val="00B67290"/>
    <w:rsid w:val="00B6754B"/>
    <w:rsid w:val="00B67FA6"/>
    <w:rsid w:val="00B70764"/>
    <w:rsid w:val="00B723A3"/>
    <w:rsid w:val="00B72436"/>
    <w:rsid w:val="00B728DD"/>
    <w:rsid w:val="00B73F19"/>
    <w:rsid w:val="00B747F8"/>
    <w:rsid w:val="00B75212"/>
    <w:rsid w:val="00B75BE6"/>
    <w:rsid w:val="00B75F1E"/>
    <w:rsid w:val="00B76BE7"/>
    <w:rsid w:val="00B77B44"/>
    <w:rsid w:val="00B802F0"/>
    <w:rsid w:val="00B80C22"/>
    <w:rsid w:val="00B81261"/>
    <w:rsid w:val="00B816E3"/>
    <w:rsid w:val="00B81E6F"/>
    <w:rsid w:val="00B825DF"/>
    <w:rsid w:val="00B827B1"/>
    <w:rsid w:val="00B82F8A"/>
    <w:rsid w:val="00B833D9"/>
    <w:rsid w:val="00B83AFB"/>
    <w:rsid w:val="00B83DB7"/>
    <w:rsid w:val="00B8406B"/>
    <w:rsid w:val="00B84100"/>
    <w:rsid w:val="00B8421A"/>
    <w:rsid w:val="00B84583"/>
    <w:rsid w:val="00B856D9"/>
    <w:rsid w:val="00B85CD8"/>
    <w:rsid w:val="00B8633F"/>
    <w:rsid w:val="00B86F96"/>
    <w:rsid w:val="00B8759F"/>
    <w:rsid w:val="00B876DC"/>
    <w:rsid w:val="00B90615"/>
    <w:rsid w:val="00B9137E"/>
    <w:rsid w:val="00B91523"/>
    <w:rsid w:val="00B91C1F"/>
    <w:rsid w:val="00B91C58"/>
    <w:rsid w:val="00B92719"/>
    <w:rsid w:val="00B9302D"/>
    <w:rsid w:val="00B9382B"/>
    <w:rsid w:val="00B93949"/>
    <w:rsid w:val="00B93A30"/>
    <w:rsid w:val="00B93B6F"/>
    <w:rsid w:val="00B94132"/>
    <w:rsid w:val="00B94D92"/>
    <w:rsid w:val="00B951A5"/>
    <w:rsid w:val="00B95666"/>
    <w:rsid w:val="00B95F50"/>
    <w:rsid w:val="00B973DD"/>
    <w:rsid w:val="00BA078C"/>
    <w:rsid w:val="00BA088F"/>
    <w:rsid w:val="00BA0F38"/>
    <w:rsid w:val="00BA1CBB"/>
    <w:rsid w:val="00BA1F2F"/>
    <w:rsid w:val="00BA226A"/>
    <w:rsid w:val="00BA2BDC"/>
    <w:rsid w:val="00BA2DBF"/>
    <w:rsid w:val="00BA37EF"/>
    <w:rsid w:val="00BA3AA6"/>
    <w:rsid w:val="00BA3BC1"/>
    <w:rsid w:val="00BA4DC6"/>
    <w:rsid w:val="00BA5E5A"/>
    <w:rsid w:val="00BA6AD8"/>
    <w:rsid w:val="00BA7146"/>
    <w:rsid w:val="00BA77E2"/>
    <w:rsid w:val="00BB027D"/>
    <w:rsid w:val="00BB0659"/>
    <w:rsid w:val="00BB08B9"/>
    <w:rsid w:val="00BB11F5"/>
    <w:rsid w:val="00BB1FA1"/>
    <w:rsid w:val="00BB2590"/>
    <w:rsid w:val="00BB2B62"/>
    <w:rsid w:val="00BB2BB2"/>
    <w:rsid w:val="00BB2CB0"/>
    <w:rsid w:val="00BB3356"/>
    <w:rsid w:val="00BB3499"/>
    <w:rsid w:val="00BB3CC3"/>
    <w:rsid w:val="00BB48FF"/>
    <w:rsid w:val="00BB58EF"/>
    <w:rsid w:val="00BB5F9F"/>
    <w:rsid w:val="00BB60FD"/>
    <w:rsid w:val="00BB6821"/>
    <w:rsid w:val="00BB7394"/>
    <w:rsid w:val="00BB7B5A"/>
    <w:rsid w:val="00BC0674"/>
    <w:rsid w:val="00BC1550"/>
    <w:rsid w:val="00BC1C46"/>
    <w:rsid w:val="00BC22E1"/>
    <w:rsid w:val="00BC26AB"/>
    <w:rsid w:val="00BC35F4"/>
    <w:rsid w:val="00BC3A78"/>
    <w:rsid w:val="00BC3D7F"/>
    <w:rsid w:val="00BC3F76"/>
    <w:rsid w:val="00BC408A"/>
    <w:rsid w:val="00BC419B"/>
    <w:rsid w:val="00BC4D23"/>
    <w:rsid w:val="00BC4FD7"/>
    <w:rsid w:val="00BC5153"/>
    <w:rsid w:val="00BC58B5"/>
    <w:rsid w:val="00BC601D"/>
    <w:rsid w:val="00BC615E"/>
    <w:rsid w:val="00BC74FD"/>
    <w:rsid w:val="00BC751D"/>
    <w:rsid w:val="00BC75C0"/>
    <w:rsid w:val="00BC79F7"/>
    <w:rsid w:val="00BC7F76"/>
    <w:rsid w:val="00BD17B7"/>
    <w:rsid w:val="00BD211A"/>
    <w:rsid w:val="00BD2526"/>
    <w:rsid w:val="00BD2E8F"/>
    <w:rsid w:val="00BD39AA"/>
    <w:rsid w:val="00BD3CDD"/>
    <w:rsid w:val="00BD3CEC"/>
    <w:rsid w:val="00BD3F4C"/>
    <w:rsid w:val="00BD419F"/>
    <w:rsid w:val="00BD4A4B"/>
    <w:rsid w:val="00BD53E1"/>
    <w:rsid w:val="00BD5695"/>
    <w:rsid w:val="00BD5E5F"/>
    <w:rsid w:val="00BD642D"/>
    <w:rsid w:val="00BD6507"/>
    <w:rsid w:val="00BD6D00"/>
    <w:rsid w:val="00BD78F7"/>
    <w:rsid w:val="00BE01EA"/>
    <w:rsid w:val="00BE02FC"/>
    <w:rsid w:val="00BE03E1"/>
    <w:rsid w:val="00BE0B9D"/>
    <w:rsid w:val="00BE0F76"/>
    <w:rsid w:val="00BE2187"/>
    <w:rsid w:val="00BE23D3"/>
    <w:rsid w:val="00BE2C18"/>
    <w:rsid w:val="00BE2DB3"/>
    <w:rsid w:val="00BE3BFD"/>
    <w:rsid w:val="00BE417F"/>
    <w:rsid w:val="00BE431B"/>
    <w:rsid w:val="00BE433F"/>
    <w:rsid w:val="00BE447A"/>
    <w:rsid w:val="00BE4947"/>
    <w:rsid w:val="00BE4F79"/>
    <w:rsid w:val="00BE507E"/>
    <w:rsid w:val="00BE50BC"/>
    <w:rsid w:val="00BE5599"/>
    <w:rsid w:val="00BE5AED"/>
    <w:rsid w:val="00BE6A2D"/>
    <w:rsid w:val="00BE70F1"/>
    <w:rsid w:val="00BF038C"/>
    <w:rsid w:val="00BF0B06"/>
    <w:rsid w:val="00BF0E06"/>
    <w:rsid w:val="00BF1362"/>
    <w:rsid w:val="00BF17AB"/>
    <w:rsid w:val="00BF245E"/>
    <w:rsid w:val="00BF254F"/>
    <w:rsid w:val="00BF26F6"/>
    <w:rsid w:val="00BF2F83"/>
    <w:rsid w:val="00BF3C12"/>
    <w:rsid w:val="00BF4068"/>
    <w:rsid w:val="00BF42B4"/>
    <w:rsid w:val="00BF456B"/>
    <w:rsid w:val="00BF47FE"/>
    <w:rsid w:val="00BF4AC5"/>
    <w:rsid w:val="00BF5066"/>
    <w:rsid w:val="00BF551F"/>
    <w:rsid w:val="00BF6245"/>
    <w:rsid w:val="00BF6A94"/>
    <w:rsid w:val="00BF6D2A"/>
    <w:rsid w:val="00BF7385"/>
    <w:rsid w:val="00BF7602"/>
    <w:rsid w:val="00BF771B"/>
    <w:rsid w:val="00BF78B2"/>
    <w:rsid w:val="00C0071F"/>
    <w:rsid w:val="00C00ABD"/>
    <w:rsid w:val="00C00CC6"/>
    <w:rsid w:val="00C01500"/>
    <w:rsid w:val="00C01633"/>
    <w:rsid w:val="00C0169C"/>
    <w:rsid w:val="00C019B9"/>
    <w:rsid w:val="00C022FA"/>
    <w:rsid w:val="00C02688"/>
    <w:rsid w:val="00C034D8"/>
    <w:rsid w:val="00C0382E"/>
    <w:rsid w:val="00C038D2"/>
    <w:rsid w:val="00C03E39"/>
    <w:rsid w:val="00C045D9"/>
    <w:rsid w:val="00C05385"/>
    <w:rsid w:val="00C0546E"/>
    <w:rsid w:val="00C05F0E"/>
    <w:rsid w:val="00C0629E"/>
    <w:rsid w:val="00C06DF3"/>
    <w:rsid w:val="00C06E8F"/>
    <w:rsid w:val="00C06F51"/>
    <w:rsid w:val="00C0705F"/>
    <w:rsid w:val="00C073A3"/>
    <w:rsid w:val="00C07627"/>
    <w:rsid w:val="00C0788E"/>
    <w:rsid w:val="00C1025F"/>
    <w:rsid w:val="00C109A8"/>
    <w:rsid w:val="00C11433"/>
    <w:rsid w:val="00C128DE"/>
    <w:rsid w:val="00C12F43"/>
    <w:rsid w:val="00C13117"/>
    <w:rsid w:val="00C131C1"/>
    <w:rsid w:val="00C1324C"/>
    <w:rsid w:val="00C136BF"/>
    <w:rsid w:val="00C14899"/>
    <w:rsid w:val="00C14A5C"/>
    <w:rsid w:val="00C14AA7"/>
    <w:rsid w:val="00C14B46"/>
    <w:rsid w:val="00C1513F"/>
    <w:rsid w:val="00C15B60"/>
    <w:rsid w:val="00C16062"/>
    <w:rsid w:val="00C17619"/>
    <w:rsid w:val="00C17622"/>
    <w:rsid w:val="00C17B17"/>
    <w:rsid w:val="00C17D17"/>
    <w:rsid w:val="00C17F1B"/>
    <w:rsid w:val="00C20016"/>
    <w:rsid w:val="00C20277"/>
    <w:rsid w:val="00C2031D"/>
    <w:rsid w:val="00C20AC1"/>
    <w:rsid w:val="00C2182B"/>
    <w:rsid w:val="00C21AE3"/>
    <w:rsid w:val="00C228C8"/>
    <w:rsid w:val="00C22A82"/>
    <w:rsid w:val="00C22DD4"/>
    <w:rsid w:val="00C22FEA"/>
    <w:rsid w:val="00C2342C"/>
    <w:rsid w:val="00C240A6"/>
    <w:rsid w:val="00C24153"/>
    <w:rsid w:val="00C2440D"/>
    <w:rsid w:val="00C2464C"/>
    <w:rsid w:val="00C2469E"/>
    <w:rsid w:val="00C246F4"/>
    <w:rsid w:val="00C249B9"/>
    <w:rsid w:val="00C264C5"/>
    <w:rsid w:val="00C26590"/>
    <w:rsid w:val="00C269BB"/>
    <w:rsid w:val="00C26AC2"/>
    <w:rsid w:val="00C27F65"/>
    <w:rsid w:val="00C30950"/>
    <w:rsid w:val="00C30E12"/>
    <w:rsid w:val="00C30EA9"/>
    <w:rsid w:val="00C31478"/>
    <w:rsid w:val="00C314A2"/>
    <w:rsid w:val="00C317B1"/>
    <w:rsid w:val="00C3192C"/>
    <w:rsid w:val="00C32571"/>
    <w:rsid w:val="00C3449E"/>
    <w:rsid w:val="00C34938"/>
    <w:rsid w:val="00C34D88"/>
    <w:rsid w:val="00C35295"/>
    <w:rsid w:val="00C35641"/>
    <w:rsid w:val="00C359D1"/>
    <w:rsid w:val="00C36673"/>
    <w:rsid w:val="00C36802"/>
    <w:rsid w:val="00C36881"/>
    <w:rsid w:val="00C36B6A"/>
    <w:rsid w:val="00C36FD3"/>
    <w:rsid w:val="00C370D6"/>
    <w:rsid w:val="00C379B9"/>
    <w:rsid w:val="00C37DAA"/>
    <w:rsid w:val="00C40424"/>
    <w:rsid w:val="00C4094C"/>
    <w:rsid w:val="00C40EB9"/>
    <w:rsid w:val="00C4179E"/>
    <w:rsid w:val="00C41C66"/>
    <w:rsid w:val="00C424E4"/>
    <w:rsid w:val="00C430CA"/>
    <w:rsid w:val="00C434FB"/>
    <w:rsid w:val="00C4394F"/>
    <w:rsid w:val="00C43AA9"/>
    <w:rsid w:val="00C43BD4"/>
    <w:rsid w:val="00C446A3"/>
    <w:rsid w:val="00C450B0"/>
    <w:rsid w:val="00C451DB"/>
    <w:rsid w:val="00C4614C"/>
    <w:rsid w:val="00C46852"/>
    <w:rsid w:val="00C4743B"/>
    <w:rsid w:val="00C47652"/>
    <w:rsid w:val="00C47AD9"/>
    <w:rsid w:val="00C500F4"/>
    <w:rsid w:val="00C501BC"/>
    <w:rsid w:val="00C50AD1"/>
    <w:rsid w:val="00C517A7"/>
    <w:rsid w:val="00C51857"/>
    <w:rsid w:val="00C518DE"/>
    <w:rsid w:val="00C52101"/>
    <w:rsid w:val="00C5280F"/>
    <w:rsid w:val="00C53545"/>
    <w:rsid w:val="00C537FE"/>
    <w:rsid w:val="00C54679"/>
    <w:rsid w:val="00C5485B"/>
    <w:rsid w:val="00C54C8F"/>
    <w:rsid w:val="00C5585F"/>
    <w:rsid w:val="00C559D7"/>
    <w:rsid w:val="00C55B1C"/>
    <w:rsid w:val="00C55F2E"/>
    <w:rsid w:val="00C5669A"/>
    <w:rsid w:val="00C57F4F"/>
    <w:rsid w:val="00C602AB"/>
    <w:rsid w:val="00C60769"/>
    <w:rsid w:val="00C60BE8"/>
    <w:rsid w:val="00C61090"/>
    <w:rsid w:val="00C6141D"/>
    <w:rsid w:val="00C614EC"/>
    <w:rsid w:val="00C61AEB"/>
    <w:rsid w:val="00C61F61"/>
    <w:rsid w:val="00C6246A"/>
    <w:rsid w:val="00C6264B"/>
    <w:rsid w:val="00C6288A"/>
    <w:rsid w:val="00C63336"/>
    <w:rsid w:val="00C63584"/>
    <w:rsid w:val="00C635A7"/>
    <w:rsid w:val="00C63735"/>
    <w:rsid w:val="00C639F6"/>
    <w:rsid w:val="00C63B73"/>
    <w:rsid w:val="00C63E10"/>
    <w:rsid w:val="00C65688"/>
    <w:rsid w:val="00C65BE9"/>
    <w:rsid w:val="00C6646B"/>
    <w:rsid w:val="00C66DC6"/>
    <w:rsid w:val="00C67342"/>
    <w:rsid w:val="00C67452"/>
    <w:rsid w:val="00C67DD1"/>
    <w:rsid w:val="00C70AE0"/>
    <w:rsid w:val="00C70EF6"/>
    <w:rsid w:val="00C71386"/>
    <w:rsid w:val="00C713EE"/>
    <w:rsid w:val="00C718B8"/>
    <w:rsid w:val="00C719CE"/>
    <w:rsid w:val="00C71A62"/>
    <w:rsid w:val="00C72E1F"/>
    <w:rsid w:val="00C730A9"/>
    <w:rsid w:val="00C73540"/>
    <w:rsid w:val="00C7374F"/>
    <w:rsid w:val="00C746D4"/>
    <w:rsid w:val="00C74C1B"/>
    <w:rsid w:val="00C75C27"/>
    <w:rsid w:val="00C76307"/>
    <w:rsid w:val="00C76545"/>
    <w:rsid w:val="00C76DFA"/>
    <w:rsid w:val="00C7700E"/>
    <w:rsid w:val="00C7795D"/>
    <w:rsid w:val="00C77A07"/>
    <w:rsid w:val="00C8026F"/>
    <w:rsid w:val="00C803E6"/>
    <w:rsid w:val="00C80654"/>
    <w:rsid w:val="00C81042"/>
    <w:rsid w:val="00C811B9"/>
    <w:rsid w:val="00C81A89"/>
    <w:rsid w:val="00C81B72"/>
    <w:rsid w:val="00C81CB4"/>
    <w:rsid w:val="00C81E43"/>
    <w:rsid w:val="00C81ED4"/>
    <w:rsid w:val="00C822AE"/>
    <w:rsid w:val="00C8257E"/>
    <w:rsid w:val="00C83627"/>
    <w:rsid w:val="00C83C60"/>
    <w:rsid w:val="00C841A0"/>
    <w:rsid w:val="00C842AC"/>
    <w:rsid w:val="00C84372"/>
    <w:rsid w:val="00C8554C"/>
    <w:rsid w:val="00C85E51"/>
    <w:rsid w:val="00C85F83"/>
    <w:rsid w:val="00C860FA"/>
    <w:rsid w:val="00C865A9"/>
    <w:rsid w:val="00C876DA"/>
    <w:rsid w:val="00C878DF"/>
    <w:rsid w:val="00C903D6"/>
    <w:rsid w:val="00C905E1"/>
    <w:rsid w:val="00C90638"/>
    <w:rsid w:val="00C909B2"/>
    <w:rsid w:val="00C90BB7"/>
    <w:rsid w:val="00C90F3C"/>
    <w:rsid w:val="00C90FAA"/>
    <w:rsid w:val="00C911F5"/>
    <w:rsid w:val="00C9189A"/>
    <w:rsid w:val="00C91C5A"/>
    <w:rsid w:val="00C91E2D"/>
    <w:rsid w:val="00C920C5"/>
    <w:rsid w:val="00C926D5"/>
    <w:rsid w:val="00C9304A"/>
    <w:rsid w:val="00C9330B"/>
    <w:rsid w:val="00C9396A"/>
    <w:rsid w:val="00C940E4"/>
    <w:rsid w:val="00C9496C"/>
    <w:rsid w:val="00C94BEF"/>
    <w:rsid w:val="00C94E10"/>
    <w:rsid w:val="00C94F92"/>
    <w:rsid w:val="00C94FE3"/>
    <w:rsid w:val="00C974F3"/>
    <w:rsid w:val="00C97638"/>
    <w:rsid w:val="00C97BA3"/>
    <w:rsid w:val="00C97E14"/>
    <w:rsid w:val="00CA01FA"/>
    <w:rsid w:val="00CA058E"/>
    <w:rsid w:val="00CA0A7F"/>
    <w:rsid w:val="00CA0B08"/>
    <w:rsid w:val="00CA1491"/>
    <w:rsid w:val="00CA167D"/>
    <w:rsid w:val="00CA1A1D"/>
    <w:rsid w:val="00CA1BB0"/>
    <w:rsid w:val="00CA2749"/>
    <w:rsid w:val="00CA29B2"/>
    <w:rsid w:val="00CA3063"/>
    <w:rsid w:val="00CA3644"/>
    <w:rsid w:val="00CA3840"/>
    <w:rsid w:val="00CA3A6F"/>
    <w:rsid w:val="00CA3BCB"/>
    <w:rsid w:val="00CA3D78"/>
    <w:rsid w:val="00CA3FFD"/>
    <w:rsid w:val="00CA44B2"/>
    <w:rsid w:val="00CA4C59"/>
    <w:rsid w:val="00CA4C62"/>
    <w:rsid w:val="00CA5028"/>
    <w:rsid w:val="00CA574F"/>
    <w:rsid w:val="00CA5B9E"/>
    <w:rsid w:val="00CA6C77"/>
    <w:rsid w:val="00CA70CC"/>
    <w:rsid w:val="00CA7526"/>
    <w:rsid w:val="00CA7E28"/>
    <w:rsid w:val="00CB0316"/>
    <w:rsid w:val="00CB05CA"/>
    <w:rsid w:val="00CB0955"/>
    <w:rsid w:val="00CB0DB1"/>
    <w:rsid w:val="00CB103C"/>
    <w:rsid w:val="00CB1134"/>
    <w:rsid w:val="00CB1520"/>
    <w:rsid w:val="00CB1BE0"/>
    <w:rsid w:val="00CB1DC8"/>
    <w:rsid w:val="00CB1FB2"/>
    <w:rsid w:val="00CB229D"/>
    <w:rsid w:val="00CB2447"/>
    <w:rsid w:val="00CB25A1"/>
    <w:rsid w:val="00CB27D0"/>
    <w:rsid w:val="00CB28FC"/>
    <w:rsid w:val="00CB376F"/>
    <w:rsid w:val="00CB4C73"/>
    <w:rsid w:val="00CB5226"/>
    <w:rsid w:val="00CB5593"/>
    <w:rsid w:val="00CB5653"/>
    <w:rsid w:val="00CB5BEB"/>
    <w:rsid w:val="00CB64F4"/>
    <w:rsid w:val="00CB68F5"/>
    <w:rsid w:val="00CB6EFF"/>
    <w:rsid w:val="00CB74E0"/>
    <w:rsid w:val="00CB7714"/>
    <w:rsid w:val="00CB7AA4"/>
    <w:rsid w:val="00CB7AAF"/>
    <w:rsid w:val="00CC092A"/>
    <w:rsid w:val="00CC0B35"/>
    <w:rsid w:val="00CC141D"/>
    <w:rsid w:val="00CC26AE"/>
    <w:rsid w:val="00CC30B6"/>
    <w:rsid w:val="00CC31A2"/>
    <w:rsid w:val="00CC360D"/>
    <w:rsid w:val="00CC4504"/>
    <w:rsid w:val="00CC4D2A"/>
    <w:rsid w:val="00CC516D"/>
    <w:rsid w:val="00CC5196"/>
    <w:rsid w:val="00CC586E"/>
    <w:rsid w:val="00CC5CD9"/>
    <w:rsid w:val="00CC5F43"/>
    <w:rsid w:val="00CC6295"/>
    <w:rsid w:val="00CC6CAA"/>
    <w:rsid w:val="00CC7031"/>
    <w:rsid w:val="00CC7CD8"/>
    <w:rsid w:val="00CD0D3E"/>
    <w:rsid w:val="00CD0DAA"/>
    <w:rsid w:val="00CD13B5"/>
    <w:rsid w:val="00CD1527"/>
    <w:rsid w:val="00CD16FE"/>
    <w:rsid w:val="00CD18C0"/>
    <w:rsid w:val="00CD1E95"/>
    <w:rsid w:val="00CD25B4"/>
    <w:rsid w:val="00CD328D"/>
    <w:rsid w:val="00CD41CD"/>
    <w:rsid w:val="00CD4587"/>
    <w:rsid w:val="00CD47E4"/>
    <w:rsid w:val="00CD4E74"/>
    <w:rsid w:val="00CD521E"/>
    <w:rsid w:val="00CD599D"/>
    <w:rsid w:val="00CD5BC0"/>
    <w:rsid w:val="00CD67D1"/>
    <w:rsid w:val="00CD6815"/>
    <w:rsid w:val="00CD6897"/>
    <w:rsid w:val="00CD68BD"/>
    <w:rsid w:val="00CD6ABA"/>
    <w:rsid w:val="00CD6D29"/>
    <w:rsid w:val="00CD6E5A"/>
    <w:rsid w:val="00CD728E"/>
    <w:rsid w:val="00CD757B"/>
    <w:rsid w:val="00CD7B34"/>
    <w:rsid w:val="00CE04F9"/>
    <w:rsid w:val="00CE0825"/>
    <w:rsid w:val="00CE098D"/>
    <w:rsid w:val="00CE0DAC"/>
    <w:rsid w:val="00CE10F7"/>
    <w:rsid w:val="00CE1717"/>
    <w:rsid w:val="00CE1A38"/>
    <w:rsid w:val="00CE1A89"/>
    <w:rsid w:val="00CE1CC9"/>
    <w:rsid w:val="00CE1D42"/>
    <w:rsid w:val="00CE1DAA"/>
    <w:rsid w:val="00CE2E08"/>
    <w:rsid w:val="00CE3C59"/>
    <w:rsid w:val="00CE3DA2"/>
    <w:rsid w:val="00CE411B"/>
    <w:rsid w:val="00CE470B"/>
    <w:rsid w:val="00CE4B9E"/>
    <w:rsid w:val="00CE5584"/>
    <w:rsid w:val="00CE5C11"/>
    <w:rsid w:val="00CE5CFE"/>
    <w:rsid w:val="00CE6A0D"/>
    <w:rsid w:val="00CE6A90"/>
    <w:rsid w:val="00CE6C75"/>
    <w:rsid w:val="00CE7D8C"/>
    <w:rsid w:val="00CE7F50"/>
    <w:rsid w:val="00CF0AA4"/>
    <w:rsid w:val="00CF0CE0"/>
    <w:rsid w:val="00CF136D"/>
    <w:rsid w:val="00CF1374"/>
    <w:rsid w:val="00CF2399"/>
    <w:rsid w:val="00CF240F"/>
    <w:rsid w:val="00CF24AF"/>
    <w:rsid w:val="00CF2E8E"/>
    <w:rsid w:val="00CF351A"/>
    <w:rsid w:val="00CF5016"/>
    <w:rsid w:val="00CF5F5D"/>
    <w:rsid w:val="00CF637B"/>
    <w:rsid w:val="00CF6B45"/>
    <w:rsid w:val="00CF6DE3"/>
    <w:rsid w:val="00CF71A0"/>
    <w:rsid w:val="00CF7636"/>
    <w:rsid w:val="00CF788A"/>
    <w:rsid w:val="00CF7894"/>
    <w:rsid w:val="00CF7F07"/>
    <w:rsid w:val="00D004BB"/>
    <w:rsid w:val="00D00C46"/>
    <w:rsid w:val="00D01F8B"/>
    <w:rsid w:val="00D020A1"/>
    <w:rsid w:val="00D02954"/>
    <w:rsid w:val="00D029B2"/>
    <w:rsid w:val="00D03132"/>
    <w:rsid w:val="00D035AF"/>
    <w:rsid w:val="00D04753"/>
    <w:rsid w:val="00D04EA1"/>
    <w:rsid w:val="00D054DC"/>
    <w:rsid w:val="00D05768"/>
    <w:rsid w:val="00D0583D"/>
    <w:rsid w:val="00D0656F"/>
    <w:rsid w:val="00D0684A"/>
    <w:rsid w:val="00D07902"/>
    <w:rsid w:val="00D07C27"/>
    <w:rsid w:val="00D07C7C"/>
    <w:rsid w:val="00D1022D"/>
    <w:rsid w:val="00D105B4"/>
    <w:rsid w:val="00D110ED"/>
    <w:rsid w:val="00D1129F"/>
    <w:rsid w:val="00D114DC"/>
    <w:rsid w:val="00D11575"/>
    <w:rsid w:val="00D11963"/>
    <w:rsid w:val="00D11B8A"/>
    <w:rsid w:val="00D12E8B"/>
    <w:rsid w:val="00D132CE"/>
    <w:rsid w:val="00D13937"/>
    <w:rsid w:val="00D13A49"/>
    <w:rsid w:val="00D143BD"/>
    <w:rsid w:val="00D14B87"/>
    <w:rsid w:val="00D14BB3"/>
    <w:rsid w:val="00D150DB"/>
    <w:rsid w:val="00D15C74"/>
    <w:rsid w:val="00D16063"/>
    <w:rsid w:val="00D161DA"/>
    <w:rsid w:val="00D167F6"/>
    <w:rsid w:val="00D16822"/>
    <w:rsid w:val="00D16B42"/>
    <w:rsid w:val="00D1720F"/>
    <w:rsid w:val="00D17393"/>
    <w:rsid w:val="00D1753E"/>
    <w:rsid w:val="00D176EF"/>
    <w:rsid w:val="00D17961"/>
    <w:rsid w:val="00D20655"/>
    <w:rsid w:val="00D208E6"/>
    <w:rsid w:val="00D20A16"/>
    <w:rsid w:val="00D2128F"/>
    <w:rsid w:val="00D21412"/>
    <w:rsid w:val="00D21BAE"/>
    <w:rsid w:val="00D21BC4"/>
    <w:rsid w:val="00D220A0"/>
    <w:rsid w:val="00D22AD1"/>
    <w:rsid w:val="00D2302B"/>
    <w:rsid w:val="00D24203"/>
    <w:rsid w:val="00D242FC"/>
    <w:rsid w:val="00D24BFA"/>
    <w:rsid w:val="00D24EB3"/>
    <w:rsid w:val="00D25ADB"/>
    <w:rsid w:val="00D25DD2"/>
    <w:rsid w:val="00D2638C"/>
    <w:rsid w:val="00D26A71"/>
    <w:rsid w:val="00D27000"/>
    <w:rsid w:val="00D27045"/>
    <w:rsid w:val="00D27193"/>
    <w:rsid w:val="00D305D1"/>
    <w:rsid w:val="00D307F5"/>
    <w:rsid w:val="00D30CE0"/>
    <w:rsid w:val="00D31560"/>
    <w:rsid w:val="00D32130"/>
    <w:rsid w:val="00D32B08"/>
    <w:rsid w:val="00D330E6"/>
    <w:rsid w:val="00D33554"/>
    <w:rsid w:val="00D3357E"/>
    <w:rsid w:val="00D33EC2"/>
    <w:rsid w:val="00D33F23"/>
    <w:rsid w:val="00D33FFC"/>
    <w:rsid w:val="00D34469"/>
    <w:rsid w:val="00D35323"/>
    <w:rsid w:val="00D35B0F"/>
    <w:rsid w:val="00D36B1B"/>
    <w:rsid w:val="00D37049"/>
    <w:rsid w:val="00D378B2"/>
    <w:rsid w:val="00D403F6"/>
    <w:rsid w:val="00D40417"/>
    <w:rsid w:val="00D4076E"/>
    <w:rsid w:val="00D40EB1"/>
    <w:rsid w:val="00D41563"/>
    <w:rsid w:val="00D4168E"/>
    <w:rsid w:val="00D42225"/>
    <w:rsid w:val="00D42846"/>
    <w:rsid w:val="00D429EF"/>
    <w:rsid w:val="00D43318"/>
    <w:rsid w:val="00D43AB4"/>
    <w:rsid w:val="00D440B7"/>
    <w:rsid w:val="00D450B8"/>
    <w:rsid w:val="00D45CF2"/>
    <w:rsid w:val="00D45EEF"/>
    <w:rsid w:val="00D46696"/>
    <w:rsid w:val="00D46DA1"/>
    <w:rsid w:val="00D47054"/>
    <w:rsid w:val="00D47403"/>
    <w:rsid w:val="00D47B00"/>
    <w:rsid w:val="00D47C3F"/>
    <w:rsid w:val="00D503A9"/>
    <w:rsid w:val="00D5055C"/>
    <w:rsid w:val="00D5088E"/>
    <w:rsid w:val="00D50CBF"/>
    <w:rsid w:val="00D50D13"/>
    <w:rsid w:val="00D51B2B"/>
    <w:rsid w:val="00D51F33"/>
    <w:rsid w:val="00D52042"/>
    <w:rsid w:val="00D52339"/>
    <w:rsid w:val="00D53694"/>
    <w:rsid w:val="00D547BC"/>
    <w:rsid w:val="00D54C73"/>
    <w:rsid w:val="00D54CD0"/>
    <w:rsid w:val="00D54EFA"/>
    <w:rsid w:val="00D5561D"/>
    <w:rsid w:val="00D55A1C"/>
    <w:rsid w:val="00D569E8"/>
    <w:rsid w:val="00D571FA"/>
    <w:rsid w:val="00D5725A"/>
    <w:rsid w:val="00D578B4"/>
    <w:rsid w:val="00D57A6D"/>
    <w:rsid w:val="00D61728"/>
    <w:rsid w:val="00D617E3"/>
    <w:rsid w:val="00D61C6A"/>
    <w:rsid w:val="00D624E6"/>
    <w:rsid w:val="00D62794"/>
    <w:rsid w:val="00D62AAA"/>
    <w:rsid w:val="00D62B4A"/>
    <w:rsid w:val="00D62F21"/>
    <w:rsid w:val="00D633EB"/>
    <w:rsid w:val="00D6371B"/>
    <w:rsid w:val="00D63911"/>
    <w:rsid w:val="00D63AD3"/>
    <w:rsid w:val="00D63C36"/>
    <w:rsid w:val="00D63CAC"/>
    <w:rsid w:val="00D64315"/>
    <w:rsid w:val="00D6444F"/>
    <w:rsid w:val="00D64735"/>
    <w:rsid w:val="00D64F85"/>
    <w:rsid w:val="00D64FBA"/>
    <w:rsid w:val="00D65DF8"/>
    <w:rsid w:val="00D66260"/>
    <w:rsid w:val="00D668D4"/>
    <w:rsid w:val="00D67774"/>
    <w:rsid w:val="00D70042"/>
    <w:rsid w:val="00D700BC"/>
    <w:rsid w:val="00D7093F"/>
    <w:rsid w:val="00D70A05"/>
    <w:rsid w:val="00D70DCF"/>
    <w:rsid w:val="00D70FF7"/>
    <w:rsid w:val="00D71025"/>
    <w:rsid w:val="00D710A1"/>
    <w:rsid w:val="00D71D7D"/>
    <w:rsid w:val="00D72244"/>
    <w:rsid w:val="00D7303B"/>
    <w:rsid w:val="00D73B1E"/>
    <w:rsid w:val="00D73F0A"/>
    <w:rsid w:val="00D73FA5"/>
    <w:rsid w:val="00D741ED"/>
    <w:rsid w:val="00D752C8"/>
    <w:rsid w:val="00D7559E"/>
    <w:rsid w:val="00D75618"/>
    <w:rsid w:val="00D757DB"/>
    <w:rsid w:val="00D75838"/>
    <w:rsid w:val="00D759B3"/>
    <w:rsid w:val="00D760FA"/>
    <w:rsid w:val="00D774DE"/>
    <w:rsid w:val="00D779BC"/>
    <w:rsid w:val="00D77F93"/>
    <w:rsid w:val="00D80057"/>
    <w:rsid w:val="00D802A5"/>
    <w:rsid w:val="00D80307"/>
    <w:rsid w:val="00D808C1"/>
    <w:rsid w:val="00D80AB5"/>
    <w:rsid w:val="00D80AE4"/>
    <w:rsid w:val="00D812D1"/>
    <w:rsid w:val="00D813CA"/>
    <w:rsid w:val="00D82E19"/>
    <w:rsid w:val="00D83090"/>
    <w:rsid w:val="00D83426"/>
    <w:rsid w:val="00D8405F"/>
    <w:rsid w:val="00D852FE"/>
    <w:rsid w:val="00D8539D"/>
    <w:rsid w:val="00D856BC"/>
    <w:rsid w:val="00D85852"/>
    <w:rsid w:val="00D85F5A"/>
    <w:rsid w:val="00D8603B"/>
    <w:rsid w:val="00D870E8"/>
    <w:rsid w:val="00D8720C"/>
    <w:rsid w:val="00D8745B"/>
    <w:rsid w:val="00D87FB5"/>
    <w:rsid w:val="00D90520"/>
    <w:rsid w:val="00D9067E"/>
    <w:rsid w:val="00D90969"/>
    <w:rsid w:val="00D90A1D"/>
    <w:rsid w:val="00D91C91"/>
    <w:rsid w:val="00D92646"/>
    <w:rsid w:val="00D9284E"/>
    <w:rsid w:val="00D92A3F"/>
    <w:rsid w:val="00D92EFA"/>
    <w:rsid w:val="00D93441"/>
    <w:rsid w:val="00D93A50"/>
    <w:rsid w:val="00D93A56"/>
    <w:rsid w:val="00D93C04"/>
    <w:rsid w:val="00D93E5F"/>
    <w:rsid w:val="00D93FE0"/>
    <w:rsid w:val="00D9431C"/>
    <w:rsid w:val="00D95195"/>
    <w:rsid w:val="00D95428"/>
    <w:rsid w:val="00D95880"/>
    <w:rsid w:val="00D9592B"/>
    <w:rsid w:val="00D95DFF"/>
    <w:rsid w:val="00D96581"/>
    <w:rsid w:val="00D97213"/>
    <w:rsid w:val="00D97436"/>
    <w:rsid w:val="00D9752F"/>
    <w:rsid w:val="00D97BD0"/>
    <w:rsid w:val="00DA011C"/>
    <w:rsid w:val="00DA0351"/>
    <w:rsid w:val="00DA0B2B"/>
    <w:rsid w:val="00DA0E09"/>
    <w:rsid w:val="00DA1381"/>
    <w:rsid w:val="00DA16A3"/>
    <w:rsid w:val="00DA1A55"/>
    <w:rsid w:val="00DA1E35"/>
    <w:rsid w:val="00DA228D"/>
    <w:rsid w:val="00DA3627"/>
    <w:rsid w:val="00DA37DE"/>
    <w:rsid w:val="00DA3F6E"/>
    <w:rsid w:val="00DA447B"/>
    <w:rsid w:val="00DA4EF7"/>
    <w:rsid w:val="00DA4F9C"/>
    <w:rsid w:val="00DA53CB"/>
    <w:rsid w:val="00DA5760"/>
    <w:rsid w:val="00DA586E"/>
    <w:rsid w:val="00DA58A0"/>
    <w:rsid w:val="00DA6275"/>
    <w:rsid w:val="00DA6B7E"/>
    <w:rsid w:val="00DA6FBC"/>
    <w:rsid w:val="00DA7998"/>
    <w:rsid w:val="00DB045D"/>
    <w:rsid w:val="00DB05DF"/>
    <w:rsid w:val="00DB060D"/>
    <w:rsid w:val="00DB0907"/>
    <w:rsid w:val="00DB0D05"/>
    <w:rsid w:val="00DB1587"/>
    <w:rsid w:val="00DB2EFC"/>
    <w:rsid w:val="00DB305E"/>
    <w:rsid w:val="00DB330F"/>
    <w:rsid w:val="00DB33CA"/>
    <w:rsid w:val="00DB43D3"/>
    <w:rsid w:val="00DB4ACA"/>
    <w:rsid w:val="00DB51B8"/>
    <w:rsid w:val="00DB55F5"/>
    <w:rsid w:val="00DB59D0"/>
    <w:rsid w:val="00DB5E7B"/>
    <w:rsid w:val="00DB5EA0"/>
    <w:rsid w:val="00DB6AE9"/>
    <w:rsid w:val="00DB6D8F"/>
    <w:rsid w:val="00DB7087"/>
    <w:rsid w:val="00DB71CD"/>
    <w:rsid w:val="00DC0569"/>
    <w:rsid w:val="00DC062A"/>
    <w:rsid w:val="00DC08A4"/>
    <w:rsid w:val="00DC11F9"/>
    <w:rsid w:val="00DC1CF3"/>
    <w:rsid w:val="00DC23F3"/>
    <w:rsid w:val="00DC2A14"/>
    <w:rsid w:val="00DC2C14"/>
    <w:rsid w:val="00DC2D49"/>
    <w:rsid w:val="00DC2FFD"/>
    <w:rsid w:val="00DC37A5"/>
    <w:rsid w:val="00DC3A18"/>
    <w:rsid w:val="00DC3F5E"/>
    <w:rsid w:val="00DC41A9"/>
    <w:rsid w:val="00DC4ACD"/>
    <w:rsid w:val="00DC55B7"/>
    <w:rsid w:val="00DC5D83"/>
    <w:rsid w:val="00DC5EB3"/>
    <w:rsid w:val="00DC61E5"/>
    <w:rsid w:val="00DC65AE"/>
    <w:rsid w:val="00DC6CB0"/>
    <w:rsid w:val="00DC6E9A"/>
    <w:rsid w:val="00DC6EEC"/>
    <w:rsid w:val="00DC6F62"/>
    <w:rsid w:val="00DC72F2"/>
    <w:rsid w:val="00DC74FF"/>
    <w:rsid w:val="00DC75EB"/>
    <w:rsid w:val="00DD148D"/>
    <w:rsid w:val="00DD185F"/>
    <w:rsid w:val="00DD190A"/>
    <w:rsid w:val="00DD1FDA"/>
    <w:rsid w:val="00DD20BB"/>
    <w:rsid w:val="00DD2280"/>
    <w:rsid w:val="00DD2F15"/>
    <w:rsid w:val="00DD3052"/>
    <w:rsid w:val="00DD361E"/>
    <w:rsid w:val="00DD3BA9"/>
    <w:rsid w:val="00DD3CDF"/>
    <w:rsid w:val="00DD3CE8"/>
    <w:rsid w:val="00DD3D9B"/>
    <w:rsid w:val="00DD3E6B"/>
    <w:rsid w:val="00DD43A0"/>
    <w:rsid w:val="00DD4CEA"/>
    <w:rsid w:val="00DD5230"/>
    <w:rsid w:val="00DD5B74"/>
    <w:rsid w:val="00DD6998"/>
    <w:rsid w:val="00DD6B1D"/>
    <w:rsid w:val="00DD6C39"/>
    <w:rsid w:val="00DD7B67"/>
    <w:rsid w:val="00DE0AE2"/>
    <w:rsid w:val="00DE0DA8"/>
    <w:rsid w:val="00DE100D"/>
    <w:rsid w:val="00DE15E1"/>
    <w:rsid w:val="00DE1A63"/>
    <w:rsid w:val="00DE1ADF"/>
    <w:rsid w:val="00DE22C7"/>
    <w:rsid w:val="00DE22EF"/>
    <w:rsid w:val="00DE2D55"/>
    <w:rsid w:val="00DE2D83"/>
    <w:rsid w:val="00DE3276"/>
    <w:rsid w:val="00DE4761"/>
    <w:rsid w:val="00DE4C45"/>
    <w:rsid w:val="00DE4E63"/>
    <w:rsid w:val="00DE5293"/>
    <w:rsid w:val="00DE5655"/>
    <w:rsid w:val="00DE56B3"/>
    <w:rsid w:val="00DE5A47"/>
    <w:rsid w:val="00DE67C7"/>
    <w:rsid w:val="00DE6991"/>
    <w:rsid w:val="00DE7457"/>
    <w:rsid w:val="00DF00ED"/>
    <w:rsid w:val="00DF0621"/>
    <w:rsid w:val="00DF0CA1"/>
    <w:rsid w:val="00DF0CFF"/>
    <w:rsid w:val="00DF1779"/>
    <w:rsid w:val="00DF1803"/>
    <w:rsid w:val="00DF1F7D"/>
    <w:rsid w:val="00DF21D1"/>
    <w:rsid w:val="00DF2BB6"/>
    <w:rsid w:val="00DF33B7"/>
    <w:rsid w:val="00DF37FC"/>
    <w:rsid w:val="00DF38F3"/>
    <w:rsid w:val="00DF46F0"/>
    <w:rsid w:val="00DF4E92"/>
    <w:rsid w:val="00DF4F21"/>
    <w:rsid w:val="00DF5100"/>
    <w:rsid w:val="00DF51E2"/>
    <w:rsid w:val="00DF56AE"/>
    <w:rsid w:val="00DF5A2C"/>
    <w:rsid w:val="00DF5CE9"/>
    <w:rsid w:val="00DF6069"/>
    <w:rsid w:val="00DF630B"/>
    <w:rsid w:val="00DF659A"/>
    <w:rsid w:val="00DF66C3"/>
    <w:rsid w:val="00DF6B71"/>
    <w:rsid w:val="00DF6E96"/>
    <w:rsid w:val="00DF71B8"/>
    <w:rsid w:val="00DF773D"/>
    <w:rsid w:val="00E00AFB"/>
    <w:rsid w:val="00E00DAE"/>
    <w:rsid w:val="00E00F3A"/>
    <w:rsid w:val="00E02060"/>
    <w:rsid w:val="00E025EC"/>
    <w:rsid w:val="00E02E85"/>
    <w:rsid w:val="00E033C2"/>
    <w:rsid w:val="00E034A2"/>
    <w:rsid w:val="00E04894"/>
    <w:rsid w:val="00E04CBE"/>
    <w:rsid w:val="00E055DD"/>
    <w:rsid w:val="00E0562A"/>
    <w:rsid w:val="00E05B3E"/>
    <w:rsid w:val="00E05F45"/>
    <w:rsid w:val="00E05FEB"/>
    <w:rsid w:val="00E0640A"/>
    <w:rsid w:val="00E06611"/>
    <w:rsid w:val="00E072C2"/>
    <w:rsid w:val="00E07925"/>
    <w:rsid w:val="00E07BD8"/>
    <w:rsid w:val="00E10ACF"/>
    <w:rsid w:val="00E11820"/>
    <w:rsid w:val="00E11EB4"/>
    <w:rsid w:val="00E12833"/>
    <w:rsid w:val="00E1287B"/>
    <w:rsid w:val="00E12A3B"/>
    <w:rsid w:val="00E1346D"/>
    <w:rsid w:val="00E143AF"/>
    <w:rsid w:val="00E147A8"/>
    <w:rsid w:val="00E14BAA"/>
    <w:rsid w:val="00E15916"/>
    <w:rsid w:val="00E15DB1"/>
    <w:rsid w:val="00E1631A"/>
    <w:rsid w:val="00E168AD"/>
    <w:rsid w:val="00E16F23"/>
    <w:rsid w:val="00E179BF"/>
    <w:rsid w:val="00E17E11"/>
    <w:rsid w:val="00E2003C"/>
    <w:rsid w:val="00E2016A"/>
    <w:rsid w:val="00E204D7"/>
    <w:rsid w:val="00E2063E"/>
    <w:rsid w:val="00E214E7"/>
    <w:rsid w:val="00E21598"/>
    <w:rsid w:val="00E22476"/>
    <w:rsid w:val="00E22CBF"/>
    <w:rsid w:val="00E23260"/>
    <w:rsid w:val="00E233D9"/>
    <w:rsid w:val="00E23863"/>
    <w:rsid w:val="00E2399B"/>
    <w:rsid w:val="00E259DA"/>
    <w:rsid w:val="00E25A9B"/>
    <w:rsid w:val="00E25E8E"/>
    <w:rsid w:val="00E26A63"/>
    <w:rsid w:val="00E272E2"/>
    <w:rsid w:val="00E2752B"/>
    <w:rsid w:val="00E2760D"/>
    <w:rsid w:val="00E30442"/>
    <w:rsid w:val="00E3065B"/>
    <w:rsid w:val="00E306A4"/>
    <w:rsid w:val="00E307ED"/>
    <w:rsid w:val="00E30901"/>
    <w:rsid w:val="00E31B6A"/>
    <w:rsid w:val="00E31E9F"/>
    <w:rsid w:val="00E32890"/>
    <w:rsid w:val="00E3308F"/>
    <w:rsid w:val="00E33A34"/>
    <w:rsid w:val="00E34386"/>
    <w:rsid w:val="00E350B2"/>
    <w:rsid w:val="00E3539F"/>
    <w:rsid w:val="00E35762"/>
    <w:rsid w:val="00E35EE7"/>
    <w:rsid w:val="00E365E9"/>
    <w:rsid w:val="00E36C77"/>
    <w:rsid w:val="00E36CB0"/>
    <w:rsid w:val="00E36FA3"/>
    <w:rsid w:val="00E370D2"/>
    <w:rsid w:val="00E3772D"/>
    <w:rsid w:val="00E37A73"/>
    <w:rsid w:val="00E37FED"/>
    <w:rsid w:val="00E37FF5"/>
    <w:rsid w:val="00E404C7"/>
    <w:rsid w:val="00E40B2E"/>
    <w:rsid w:val="00E41347"/>
    <w:rsid w:val="00E415B0"/>
    <w:rsid w:val="00E41FA3"/>
    <w:rsid w:val="00E42AC8"/>
    <w:rsid w:val="00E42D81"/>
    <w:rsid w:val="00E43836"/>
    <w:rsid w:val="00E43C30"/>
    <w:rsid w:val="00E43C59"/>
    <w:rsid w:val="00E44240"/>
    <w:rsid w:val="00E44F90"/>
    <w:rsid w:val="00E45E1C"/>
    <w:rsid w:val="00E45FFA"/>
    <w:rsid w:val="00E4620A"/>
    <w:rsid w:val="00E465C7"/>
    <w:rsid w:val="00E467FC"/>
    <w:rsid w:val="00E46848"/>
    <w:rsid w:val="00E46A4C"/>
    <w:rsid w:val="00E46CE9"/>
    <w:rsid w:val="00E5120B"/>
    <w:rsid w:val="00E515F0"/>
    <w:rsid w:val="00E5168F"/>
    <w:rsid w:val="00E51916"/>
    <w:rsid w:val="00E52145"/>
    <w:rsid w:val="00E52549"/>
    <w:rsid w:val="00E52C86"/>
    <w:rsid w:val="00E52F8C"/>
    <w:rsid w:val="00E53162"/>
    <w:rsid w:val="00E536E2"/>
    <w:rsid w:val="00E53B18"/>
    <w:rsid w:val="00E5432C"/>
    <w:rsid w:val="00E54360"/>
    <w:rsid w:val="00E546B8"/>
    <w:rsid w:val="00E54867"/>
    <w:rsid w:val="00E54B75"/>
    <w:rsid w:val="00E5590F"/>
    <w:rsid w:val="00E55A3B"/>
    <w:rsid w:val="00E55ED8"/>
    <w:rsid w:val="00E560EA"/>
    <w:rsid w:val="00E56424"/>
    <w:rsid w:val="00E56476"/>
    <w:rsid w:val="00E56A83"/>
    <w:rsid w:val="00E56BEA"/>
    <w:rsid w:val="00E574B5"/>
    <w:rsid w:val="00E57536"/>
    <w:rsid w:val="00E5768F"/>
    <w:rsid w:val="00E578A1"/>
    <w:rsid w:val="00E57F0C"/>
    <w:rsid w:val="00E60CF7"/>
    <w:rsid w:val="00E61840"/>
    <w:rsid w:val="00E62485"/>
    <w:rsid w:val="00E62D24"/>
    <w:rsid w:val="00E63370"/>
    <w:rsid w:val="00E63CED"/>
    <w:rsid w:val="00E64474"/>
    <w:rsid w:val="00E65C75"/>
    <w:rsid w:val="00E65FC5"/>
    <w:rsid w:val="00E662EF"/>
    <w:rsid w:val="00E662F4"/>
    <w:rsid w:val="00E66A31"/>
    <w:rsid w:val="00E66A7B"/>
    <w:rsid w:val="00E66E41"/>
    <w:rsid w:val="00E7001E"/>
    <w:rsid w:val="00E70DDE"/>
    <w:rsid w:val="00E71234"/>
    <w:rsid w:val="00E7143C"/>
    <w:rsid w:val="00E71880"/>
    <w:rsid w:val="00E73CB1"/>
    <w:rsid w:val="00E754F1"/>
    <w:rsid w:val="00E76181"/>
    <w:rsid w:val="00E76849"/>
    <w:rsid w:val="00E7722E"/>
    <w:rsid w:val="00E77369"/>
    <w:rsid w:val="00E777FF"/>
    <w:rsid w:val="00E8036C"/>
    <w:rsid w:val="00E8054E"/>
    <w:rsid w:val="00E80819"/>
    <w:rsid w:val="00E81093"/>
    <w:rsid w:val="00E8116A"/>
    <w:rsid w:val="00E81964"/>
    <w:rsid w:val="00E81B95"/>
    <w:rsid w:val="00E81F95"/>
    <w:rsid w:val="00E81FA1"/>
    <w:rsid w:val="00E83D03"/>
    <w:rsid w:val="00E84164"/>
    <w:rsid w:val="00E8425E"/>
    <w:rsid w:val="00E84739"/>
    <w:rsid w:val="00E847BF"/>
    <w:rsid w:val="00E850C1"/>
    <w:rsid w:val="00E85EFB"/>
    <w:rsid w:val="00E85F6A"/>
    <w:rsid w:val="00E86357"/>
    <w:rsid w:val="00E8688C"/>
    <w:rsid w:val="00E86B60"/>
    <w:rsid w:val="00E87233"/>
    <w:rsid w:val="00E87697"/>
    <w:rsid w:val="00E8790C"/>
    <w:rsid w:val="00E87CDA"/>
    <w:rsid w:val="00E87EE3"/>
    <w:rsid w:val="00E9028E"/>
    <w:rsid w:val="00E90D73"/>
    <w:rsid w:val="00E913F8"/>
    <w:rsid w:val="00E918BE"/>
    <w:rsid w:val="00E9191E"/>
    <w:rsid w:val="00E91945"/>
    <w:rsid w:val="00E922B2"/>
    <w:rsid w:val="00E92942"/>
    <w:rsid w:val="00E92D10"/>
    <w:rsid w:val="00E9377C"/>
    <w:rsid w:val="00E937A8"/>
    <w:rsid w:val="00E9435F"/>
    <w:rsid w:val="00E94475"/>
    <w:rsid w:val="00E944C0"/>
    <w:rsid w:val="00E944D3"/>
    <w:rsid w:val="00E947D5"/>
    <w:rsid w:val="00E95254"/>
    <w:rsid w:val="00E95C28"/>
    <w:rsid w:val="00E965AE"/>
    <w:rsid w:val="00E96A21"/>
    <w:rsid w:val="00E97BF1"/>
    <w:rsid w:val="00EA0498"/>
    <w:rsid w:val="00EA0CAE"/>
    <w:rsid w:val="00EA162B"/>
    <w:rsid w:val="00EA18C9"/>
    <w:rsid w:val="00EA3D52"/>
    <w:rsid w:val="00EA3DF2"/>
    <w:rsid w:val="00EA3E11"/>
    <w:rsid w:val="00EA3FF9"/>
    <w:rsid w:val="00EA49A8"/>
    <w:rsid w:val="00EA53BD"/>
    <w:rsid w:val="00EA6355"/>
    <w:rsid w:val="00EA6A4D"/>
    <w:rsid w:val="00EA6FA5"/>
    <w:rsid w:val="00EA7188"/>
    <w:rsid w:val="00EA7929"/>
    <w:rsid w:val="00EB0925"/>
    <w:rsid w:val="00EB11C5"/>
    <w:rsid w:val="00EB1586"/>
    <w:rsid w:val="00EB1FDC"/>
    <w:rsid w:val="00EB2D07"/>
    <w:rsid w:val="00EB3093"/>
    <w:rsid w:val="00EB313B"/>
    <w:rsid w:val="00EB34D3"/>
    <w:rsid w:val="00EB35C1"/>
    <w:rsid w:val="00EB4EE4"/>
    <w:rsid w:val="00EB5029"/>
    <w:rsid w:val="00EB5977"/>
    <w:rsid w:val="00EB607C"/>
    <w:rsid w:val="00EB65E0"/>
    <w:rsid w:val="00EB6810"/>
    <w:rsid w:val="00EB74AF"/>
    <w:rsid w:val="00EB77EA"/>
    <w:rsid w:val="00EB7A60"/>
    <w:rsid w:val="00EB7A87"/>
    <w:rsid w:val="00EB7F76"/>
    <w:rsid w:val="00EC0004"/>
    <w:rsid w:val="00EC01F4"/>
    <w:rsid w:val="00EC14C7"/>
    <w:rsid w:val="00EC1B2C"/>
    <w:rsid w:val="00EC1F20"/>
    <w:rsid w:val="00EC2212"/>
    <w:rsid w:val="00EC2E20"/>
    <w:rsid w:val="00EC2E87"/>
    <w:rsid w:val="00EC308B"/>
    <w:rsid w:val="00EC34C3"/>
    <w:rsid w:val="00EC4053"/>
    <w:rsid w:val="00EC4D1B"/>
    <w:rsid w:val="00EC535E"/>
    <w:rsid w:val="00EC645C"/>
    <w:rsid w:val="00EC6762"/>
    <w:rsid w:val="00EC696A"/>
    <w:rsid w:val="00EC6CF7"/>
    <w:rsid w:val="00EC6D58"/>
    <w:rsid w:val="00EC6E87"/>
    <w:rsid w:val="00ED09A9"/>
    <w:rsid w:val="00ED0ED3"/>
    <w:rsid w:val="00ED1387"/>
    <w:rsid w:val="00ED188A"/>
    <w:rsid w:val="00ED1C10"/>
    <w:rsid w:val="00ED1EC0"/>
    <w:rsid w:val="00ED2C76"/>
    <w:rsid w:val="00ED2D9E"/>
    <w:rsid w:val="00ED2EDB"/>
    <w:rsid w:val="00ED3AF0"/>
    <w:rsid w:val="00ED440D"/>
    <w:rsid w:val="00ED4636"/>
    <w:rsid w:val="00ED47D2"/>
    <w:rsid w:val="00ED4A31"/>
    <w:rsid w:val="00ED4F18"/>
    <w:rsid w:val="00ED5306"/>
    <w:rsid w:val="00ED5B2A"/>
    <w:rsid w:val="00ED5B7F"/>
    <w:rsid w:val="00ED5DEA"/>
    <w:rsid w:val="00ED6248"/>
    <w:rsid w:val="00ED6C37"/>
    <w:rsid w:val="00EE003F"/>
    <w:rsid w:val="00EE0969"/>
    <w:rsid w:val="00EE0ADC"/>
    <w:rsid w:val="00EE0D7C"/>
    <w:rsid w:val="00EE0FC8"/>
    <w:rsid w:val="00EE114A"/>
    <w:rsid w:val="00EE15F5"/>
    <w:rsid w:val="00EE17F6"/>
    <w:rsid w:val="00EE1C0D"/>
    <w:rsid w:val="00EE1C1C"/>
    <w:rsid w:val="00EE1C31"/>
    <w:rsid w:val="00EE20FB"/>
    <w:rsid w:val="00EE2BAE"/>
    <w:rsid w:val="00EE3F6B"/>
    <w:rsid w:val="00EE41D6"/>
    <w:rsid w:val="00EE4B92"/>
    <w:rsid w:val="00EE51E3"/>
    <w:rsid w:val="00EE535C"/>
    <w:rsid w:val="00EE55F4"/>
    <w:rsid w:val="00EE57DF"/>
    <w:rsid w:val="00EE5938"/>
    <w:rsid w:val="00EE5C98"/>
    <w:rsid w:val="00EE5FBD"/>
    <w:rsid w:val="00EE6648"/>
    <w:rsid w:val="00EE6707"/>
    <w:rsid w:val="00EE6E79"/>
    <w:rsid w:val="00EF06A5"/>
    <w:rsid w:val="00EF07F7"/>
    <w:rsid w:val="00EF17E8"/>
    <w:rsid w:val="00EF21E7"/>
    <w:rsid w:val="00EF3987"/>
    <w:rsid w:val="00EF3AA9"/>
    <w:rsid w:val="00EF3C08"/>
    <w:rsid w:val="00EF3C63"/>
    <w:rsid w:val="00EF3EAB"/>
    <w:rsid w:val="00EF3FE9"/>
    <w:rsid w:val="00EF3FFB"/>
    <w:rsid w:val="00EF44BD"/>
    <w:rsid w:val="00EF49D6"/>
    <w:rsid w:val="00EF5536"/>
    <w:rsid w:val="00EF5972"/>
    <w:rsid w:val="00EF5F32"/>
    <w:rsid w:val="00EF64B1"/>
    <w:rsid w:val="00EF7215"/>
    <w:rsid w:val="00EF7A40"/>
    <w:rsid w:val="00EF7D26"/>
    <w:rsid w:val="00F004B9"/>
    <w:rsid w:val="00F011AE"/>
    <w:rsid w:val="00F0120F"/>
    <w:rsid w:val="00F012EB"/>
    <w:rsid w:val="00F01B50"/>
    <w:rsid w:val="00F020F6"/>
    <w:rsid w:val="00F02175"/>
    <w:rsid w:val="00F02814"/>
    <w:rsid w:val="00F028B9"/>
    <w:rsid w:val="00F03960"/>
    <w:rsid w:val="00F03CCC"/>
    <w:rsid w:val="00F047DB"/>
    <w:rsid w:val="00F04A22"/>
    <w:rsid w:val="00F05330"/>
    <w:rsid w:val="00F0539C"/>
    <w:rsid w:val="00F05B34"/>
    <w:rsid w:val="00F060BE"/>
    <w:rsid w:val="00F062B8"/>
    <w:rsid w:val="00F0632B"/>
    <w:rsid w:val="00F0640B"/>
    <w:rsid w:val="00F06B52"/>
    <w:rsid w:val="00F06C02"/>
    <w:rsid w:val="00F072ED"/>
    <w:rsid w:val="00F07876"/>
    <w:rsid w:val="00F10CD4"/>
    <w:rsid w:val="00F113AC"/>
    <w:rsid w:val="00F1144A"/>
    <w:rsid w:val="00F11900"/>
    <w:rsid w:val="00F11AA1"/>
    <w:rsid w:val="00F127A6"/>
    <w:rsid w:val="00F128A1"/>
    <w:rsid w:val="00F12CF0"/>
    <w:rsid w:val="00F12FE8"/>
    <w:rsid w:val="00F1384D"/>
    <w:rsid w:val="00F14220"/>
    <w:rsid w:val="00F14E17"/>
    <w:rsid w:val="00F14E94"/>
    <w:rsid w:val="00F15517"/>
    <w:rsid w:val="00F1573F"/>
    <w:rsid w:val="00F15DD6"/>
    <w:rsid w:val="00F161D6"/>
    <w:rsid w:val="00F162E2"/>
    <w:rsid w:val="00F167A3"/>
    <w:rsid w:val="00F1786F"/>
    <w:rsid w:val="00F17C21"/>
    <w:rsid w:val="00F20418"/>
    <w:rsid w:val="00F2090C"/>
    <w:rsid w:val="00F20B83"/>
    <w:rsid w:val="00F20F5A"/>
    <w:rsid w:val="00F21F43"/>
    <w:rsid w:val="00F228C9"/>
    <w:rsid w:val="00F22B60"/>
    <w:rsid w:val="00F22DE8"/>
    <w:rsid w:val="00F22DEA"/>
    <w:rsid w:val="00F231B2"/>
    <w:rsid w:val="00F23B41"/>
    <w:rsid w:val="00F25145"/>
    <w:rsid w:val="00F25E33"/>
    <w:rsid w:val="00F26213"/>
    <w:rsid w:val="00F262D8"/>
    <w:rsid w:val="00F26404"/>
    <w:rsid w:val="00F270A9"/>
    <w:rsid w:val="00F270D0"/>
    <w:rsid w:val="00F278E7"/>
    <w:rsid w:val="00F301CF"/>
    <w:rsid w:val="00F3080E"/>
    <w:rsid w:val="00F309A5"/>
    <w:rsid w:val="00F3120A"/>
    <w:rsid w:val="00F31624"/>
    <w:rsid w:val="00F31CC1"/>
    <w:rsid w:val="00F31DDF"/>
    <w:rsid w:val="00F3230D"/>
    <w:rsid w:val="00F335B4"/>
    <w:rsid w:val="00F336EC"/>
    <w:rsid w:val="00F33845"/>
    <w:rsid w:val="00F345B2"/>
    <w:rsid w:val="00F3469A"/>
    <w:rsid w:val="00F358B4"/>
    <w:rsid w:val="00F35F0F"/>
    <w:rsid w:val="00F3653A"/>
    <w:rsid w:val="00F36F36"/>
    <w:rsid w:val="00F37005"/>
    <w:rsid w:val="00F3738E"/>
    <w:rsid w:val="00F3740F"/>
    <w:rsid w:val="00F37B45"/>
    <w:rsid w:val="00F40917"/>
    <w:rsid w:val="00F40AAF"/>
    <w:rsid w:val="00F40C06"/>
    <w:rsid w:val="00F40C33"/>
    <w:rsid w:val="00F41C67"/>
    <w:rsid w:val="00F41D3D"/>
    <w:rsid w:val="00F41E3C"/>
    <w:rsid w:val="00F432E0"/>
    <w:rsid w:val="00F433A0"/>
    <w:rsid w:val="00F43CC6"/>
    <w:rsid w:val="00F43D82"/>
    <w:rsid w:val="00F44316"/>
    <w:rsid w:val="00F44448"/>
    <w:rsid w:val="00F4579E"/>
    <w:rsid w:val="00F4688A"/>
    <w:rsid w:val="00F46973"/>
    <w:rsid w:val="00F46EC2"/>
    <w:rsid w:val="00F47480"/>
    <w:rsid w:val="00F476E4"/>
    <w:rsid w:val="00F47B32"/>
    <w:rsid w:val="00F47FE2"/>
    <w:rsid w:val="00F500E3"/>
    <w:rsid w:val="00F515C6"/>
    <w:rsid w:val="00F51D60"/>
    <w:rsid w:val="00F52EC3"/>
    <w:rsid w:val="00F5332C"/>
    <w:rsid w:val="00F54024"/>
    <w:rsid w:val="00F54145"/>
    <w:rsid w:val="00F55096"/>
    <w:rsid w:val="00F5525B"/>
    <w:rsid w:val="00F55B25"/>
    <w:rsid w:val="00F55C7D"/>
    <w:rsid w:val="00F55CF7"/>
    <w:rsid w:val="00F55E95"/>
    <w:rsid w:val="00F55EC2"/>
    <w:rsid w:val="00F562BC"/>
    <w:rsid w:val="00F56644"/>
    <w:rsid w:val="00F56E62"/>
    <w:rsid w:val="00F5726F"/>
    <w:rsid w:val="00F57390"/>
    <w:rsid w:val="00F57663"/>
    <w:rsid w:val="00F57A83"/>
    <w:rsid w:val="00F602C0"/>
    <w:rsid w:val="00F60B8B"/>
    <w:rsid w:val="00F61740"/>
    <w:rsid w:val="00F61BE4"/>
    <w:rsid w:val="00F61C08"/>
    <w:rsid w:val="00F6215A"/>
    <w:rsid w:val="00F62790"/>
    <w:rsid w:val="00F633DB"/>
    <w:rsid w:val="00F63AEF"/>
    <w:rsid w:val="00F64512"/>
    <w:rsid w:val="00F6489C"/>
    <w:rsid w:val="00F64EF5"/>
    <w:rsid w:val="00F64F0F"/>
    <w:rsid w:val="00F64F3C"/>
    <w:rsid w:val="00F65488"/>
    <w:rsid w:val="00F65774"/>
    <w:rsid w:val="00F6587C"/>
    <w:rsid w:val="00F65B78"/>
    <w:rsid w:val="00F65F18"/>
    <w:rsid w:val="00F67FEC"/>
    <w:rsid w:val="00F70A60"/>
    <w:rsid w:val="00F71876"/>
    <w:rsid w:val="00F7241F"/>
    <w:rsid w:val="00F72547"/>
    <w:rsid w:val="00F72F6D"/>
    <w:rsid w:val="00F7325C"/>
    <w:rsid w:val="00F73770"/>
    <w:rsid w:val="00F738BE"/>
    <w:rsid w:val="00F73E95"/>
    <w:rsid w:val="00F74199"/>
    <w:rsid w:val="00F74429"/>
    <w:rsid w:val="00F745B7"/>
    <w:rsid w:val="00F749B7"/>
    <w:rsid w:val="00F74BD5"/>
    <w:rsid w:val="00F74CF7"/>
    <w:rsid w:val="00F75FA0"/>
    <w:rsid w:val="00F76040"/>
    <w:rsid w:val="00F76333"/>
    <w:rsid w:val="00F77149"/>
    <w:rsid w:val="00F777FB"/>
    <w:rsid w:val="00F77A0D"/>
    <w:rsid w:val="00F77D83"/>
    <w:rsid w:val="00F80512"/>
    <w:rsid w:val="00F80B7F"/>
    <w:rsid w:val="00F80EA7"/>
    <w:rsid w:val="00F80F1A"/>
    <w:rsid w:val="00F81058"/>
    <w:rsid w:val="00F8124F"/>
    <w:rsid w:val="00F819BE"/>
    <w:rsid w:val="00F822E7"/>
    <w:rsid w:val="00F823F3"/>
    <w:rsid w:val="00F826FE"/>
    <w:rsid w:val="00F83501"/>
    <w:rsid w:val="00F83AFA"/>
    <w:rsid w:val="00F841C9"/>
    <w:rsid w:val="00F8478B"/>
    <w:rsid w:val="00F84E3E"/>
    <w:rsid w:val="00F85288"/>
    <w:rsid w:val="00F854C0"/>
    <w:rsid w:val="00F85DB0"/>
    <w:rsid w:val="00F868C2"/>
    <w:rsid w:val="00F869B1"/>
    <w:rsid w:val="00F87720"/>
    <w:rsid w:val="00F87AD7"/>
    <w:rsid w:val="00F907E4"/>
    <w:rsid w:val="00F90B18"/>
    <w:rsid w:val="00F90E1A"/>
    <w:rsid w:val="00F91228"/>
    <w:rsid w:val="00F912A5"/>
    <w:rsid w:val="00F91428"/>
    <w:rsid w:val="00F91529"/>
    <w:rsid w:val="00F91A8A"/>
    <w:rsid w:val="00F91C54"/>
    <w:rsid w:val="00F92330"/>
    <w:rsid w:val="00F925EE"/>
    <w:rsid w:val="00F92D4D"/>
    <w:rsid w:val="00F92F79"/>
    <w:rsid w:val="00F9360C"/>
    <w:rsid w:val="00F93D32"/>
    <w:rsid w:val="00F948AF"/>
    <w:rsid w:val="00F952AE"/>
    <w:rsid w:val="00F95449"/>
    <w:rsid w:val="00F95796"/>
    <w:rsid w:val="00F95A8F"/>
    <w:rsid w:val="00F95B37"/>
    <w:rsid w:val="00F95E80"/>
    <w:rsid w:val="00F96609"/>
    <w:rsid w:val="00F97942"/>
    <w:rsid w:val="00F9795F"/>
    <w:rsid w:val="00FA0352"/>
    <w:rsid w:val="00FA038C"/>
    <w:rsid w:val="00FA1089"/>
    <w:rsid w:val="00FA14A8"/>
    <w:rsid w:val="00FA18B1"/>
    <w:rsid w:val="00FA20FF"/>
    <w:rsid w:val="00FA26B3"/>
    <w:rsid w:val="00FA26C3"/>
    <w:rsid w:val="00FA26CF"/>
    <w:rsid w:val="00FA2C5D"/>
    <w:rsid w:val="00FA305E"/>
    <w:rsid w:val="00FA468C"/>
    <w:rsid w:val="00FA5CEE"/>
    <w:rsid w:val="00FA61A9"/>
    <w:rsid w:val="00FA65A2"/>
    <w:rsid w:val="00FA689B"/>
    <w:rsid w:val="00FA6AE9"/>
    <w:rsid w:val="00FA6E84"/>
    <w:rsid w:val="00FA74B1"/>
    <w:rsid w:val="00FA74C8"/>
    <w:rsid w:val="00FA78C6"/>
    <w:rsid w:val="00FA7A0C"/>
    <w:rsid w:val="00FA7C13"/>
    <w:rsid w:val="00FB0840"/>
    <w:rsid w:val="00FB0F85"/>
    <w:rsid w:val="00FB1400"/>
    <w:rsid w:val="00FB2361"/>
    <w:rsid w:val="00FB255E"/>
    <w:rsid w:val="00FB2B9F"/>
    <w:rsid w:val="00FB2F91"/>
    <w:rsid w:val="00FB318D"/>
    <w:rsid w:val="00FB31C7"/>
    <w:rsid w:val="00FB34BA"/>
    <w:rsid w:val="00FB372B"/>
    <w:rsid w:val="00FB385F"/>
    <w:rsid w:val="00FB41F7"/>
    <w:rsid w:val="00FB4F47"/>
    <w:rsid w:val="00FB5B9A"/>
    <w:rsid w:val="00FB6A5E"/>
    <w:rsid w:val="00FB7010"/>
    <w:rsid w:val="00FB76CE"/>
    <w:rsid w:val="00FC01FA"/>
    <w:rsid w:val="00FC05B5"/>
    <w:rsid w:val="00FC0874"/>
    <w:rsid w:val="00FC0E06"/>
    <w:rsid w:val="00FC11F1"/>
    <w:rsid w:val="00FC1310"/>
    <w:rsid w:val="00FC143A"/>
    <w:rsid w:val="00FC147B"/>
    <w:rsid w:val="00FC2318"/>
    <w:rsid w:val="00FC245D"/>
    <w:rsid w:val="00FC253A"/>
    <w:rsid w:val="00FC267A"/>
    <w:rsid w:val="00FC290C"/>
    <w:rsid w:val="00FC3782"/>
    <w:rsid w:val="00FC438D"/>
    <w:rsid w:val="00FC49B6"/>
    <w:rsid w:val="00FC4B3A"/>
    <w:rsid w:val="00FC4E78"/>
    <w:rsid w:val="00FC614C"/>
    <w:rsid w:val="00FC64B0"/>
    <w:rsid w:val="00FC67B1"/>
    <w:rsid w:val="00FC7D94"/>
    <w:rsid w:val="00FD0093"/>
    <w:rsid w:val="00FD0530"/>
    <w:rsid w:val="00FD1C5B"/>
    <w:rsid w:val="00FD21DA"/>
    <w:rsid w:val="00FD2354"/>
    <w:rsid w:val="00FD360A"/>
    <w:rsid w:val="00FD378C"/>
    <w:rsid w:val="00FD3896"/>
    <w:rsid w:val="00FD3E6D"/>
    <w:rsid w:val="00FD4280"/>
    <w:rsid w:val="00FD48ED"/>
    <w:rsid w:val="00FD4976"/>
    <w:rsid w:val="00FD59A5"/>
    <w:rsid w:val="00FD6C7B"/>
    <w:rsid w:val="00FD6E10"/>
    <w:rsid w:val="00FD751F"/>
    <w:rsid w:val="00FD764F"/>
    <w:rsid w:val="00FD78FF"/>
    <w:rsid w:val="00FD794B"/>
    <w:rsid w:val="00FE0233"/>
    <w:rsid w:val="00FE062C"/>
    <w:rsid w:val="00FE09DD"/>
    <w:rsid w:val="00FE132D"/>
    <w:rsid w:val="00FE1814"/>
    <w:rsid w:val="00FE1BCA"/>
    <w:rsid w:val="00FE1C82"/>
    <w:rsid w:val="00FE1FF1"/>
    <w:rsid w:val="00FE223A"/>
    <w:rsid w:val="00FE2BC9"/>
    <w:rsid w:val="00FE39C0"/>
    <w:rsid w:val="00FE3CB9"/>
    <w:rsid w:val="00FE3D2D"/>
    <w:rsid w:val="00FE41A1"/>
    <w:rsid w:val="00FE44DA"/>
    <w:rsid w:val="00FE49CC"/>
    <w:rsid w:val="00FE4C0A"/>
    <w:rsid w:val="00FE4F20"/>
    <w:rsid w:val="00FE4F35"/>
    <w:rsid w:val="00FE53FB"/>
    <w:rsid w:val="00FE5644"/>
    <w:rsid w:val="00FE57E3"/>
    <w:rsid w:val="00FE6002"/>
    <w:rsid w:val="00FE6433"/>
    <w:rsid w:val="00FE6E71"/>
    <w:rsid w:val="00FE750F"/>
    <w:rsid w:val="00FE7C3A"/>
    <w:rsid w:val="00FF1C3B"/>
    <w:rsid w:val="00FF1E11"/>
    <w:rsid w:val="00FF2105"/>
    <w:rsid w:val="00FF26A4"/>
    <w:rsid w:val="00FF29E9"/>
    <w:rsid w:val="00FF3043"/>
    <w:rsid w:val="00FF37F7"/>
    <w:rsid w:val="00FF3DD0"/>
    <w:rsid w:val="00FF4D14"/>
    <w:rsid w:val="00FF5103"/>
    <w:rsid w:val="00FF5301"/>
    <w:rsid w:val="00FF654F"/>
    <w:rsid w:val="00FF70FF"/>
    <w:rsid w:val="00FF71C2"/>
    <w:rsid w:val="00FF7BD6"/>
    <w:rsid w:val="00FF7CD1"/>
    <w:rsid w:val="00FF7D4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B21D"/>
  <w15:docId w15:val="{E418EDDE-3B4E-4AA2-94E7-386C7FBA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0A2A59"/>
    <w:pPr>
      <w:keepNext/>
      <w:spacing w:after="0" w:line="240" w:lineRule="auto"/>
      <w:jc w:val="both"/>
      <w:outlineLvl w:val="0"/>
    </w:pPr>
    <w:rPr>
      <w:rFonts w:ascii="Times New Roman" w:eastAsia="Times New Roman" w:hAnsi="Times New Roman" w:cs="Times New Roman"/>
      <w:b/>
      <w:i/>
      <w:iCs/>
      <w:sz w:val="24"/>
      <w:szCs w:val="24"/>
      <w:lang w:eastAsia="es-ES"/>
    </w:rPr>
  </w:style>
  <w:style w:type="paragraph" w:styleId="Ttulo2">
    <w:name w:val="heading 2"/>
    <w:basedOn w:val="Normal"/>
    <w:next w:val="Normal"/>
    <w:link w:val="Ttulo2Car"/>
    <w:qFormat/>
    <w:rsid w:val="000A2A59"/>
    <w:pPr>
      <w:keepNext/>
      <w:spacing w:after="0" w:line="240" w:lineRule="auto"/>
      <w:jc w:val="right"/>
      <w:outlineLvl w:val="1"/>
    </w:pPr>
    <w:rPr>
      <w:rFonts w:ascii="Arial" w:eastAsia="Times New Roman" w:hAnsi="Arial" w:cs="Arial"/>
      <w:b/>
      <w:szCs w:val="24"/>
      <w:lang w:eastAsia="es-ES"/>
    </w:rPr>
  </w:style>
  <w:style w:type="paragraph" w:styleId="Ttulo3">
    <w:name w:val="heading 3"/>
    <w:basedOn w:val="Normal"/>
    <w:next w:val="Normal"/>
    <w:link w:val="Ttulo3Car"/>
    <w:qFormat/>
    <w:rsid w:val="000A2A59"/>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2A59"/>
    <w:rPr>
      <w:rFonts w:ascii="Times New Roman" w:eastAsia="Times New Roman" w:hAnsi="Times New Roman" w:cs="Times New Roman"/>
      <w:b/>
      <w:i/>
      <w:iCs/>
      <w:sz w:val="24"/>
      <w:szCs w:val="24"/>
      <w:lang w:eastAsia="es-ES"/>
    </w:rPr>
  </w:style>
  <w:style w:type="character" w:customStyle="1" w:styleId="Ttulo2Car">
    <w:name w:val="Título 2 Car"/>
    <w:basedOn w:val="Fuentedeprrafopredeter"/>
    <w:link w:val="Ttulo2"/>
    <w:rsid w:val="000A2A59"/>
    <w:rPr>
      <w:rFonts w:ascii="Arial" w:eastAsia="Times New Roman" w:hAnsi="Arial" w:cs="Arial"/>
      <w:b/>
      <w:szCs w:val="24"/>
      <w:lang w:eastAsia="es-ES"/>
    </w:rPr>
  </w:style>
  <w:style w:type="character" w:customStyle="1" w:styleId="Ttulo3Car">
    <w:name w:val="Título 3 Car"/>
    <w:basedOn w:val="Fuentedeprrafopredeter"/>
    <w:link w:val="Ttulo3"/>
    <w:rsid w:val="000A2A59"/>
    <w:rPr>
      <w:rFonts w:ascii="Arial" w:eastAsia="Times New Roman" w:hAnsi="Arial" w:cs="Arial"/>
      <w:b/>
      <w:bCs/>
      <w:sz w:val="26"/>
      <w:szCs w:val="26"/>
      <w:lang w:eastAsia="es-ES"/>
    </w:rPr>
  </w:style>
  <w:style w:type="character" w:styleId="Hipervnculo">
    <w:name w:val="Hyperlink"/>
    <w:basedOn w:val="Fuentedeprrafopredeter"/>
    <w:uiPriority w:val="99"/>
    <w:rsid w:val="000A2A59"/>
    <w:rPr>
      <w:color w:val="0000FF"/>
      <w:u w:val="single"/>
    </w:rPr>
  </w:style>
  <w:style w:type="paragraph" w:styleId="Encabezado">
    <w:name w:val="header"/>
    <w:basedOn w:val="Normal"/>
    <w:link w:val="EncabezadoCar"/>
    <w:uiPriority w:val="99"/>
    <w:rsid w:val="000A2A5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0A2A5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0A2A59"/>
    <w:pPr>
      <w:spacing w:after="0" w:line="240" w:lineRule="auto"/>
      <w:jc w:val="both"/>
    </w:pPr>
    <w:rPr>
      <w:rFonts w:ascii="Times New Roman" w:eastAsia="Batang"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0A2A59"/>
    <w:rPr>
      <w:rFonts w:ascii="Times New Roman" w:eastAsia="Batang" w:hAnsi="Times New Roman" w:cs="Times New Roman"/>
      <w:sz w:val="24"/>
      <w:szCs w:val="24"/>
      <w:lang w:val="es-ES_tradnl" w:eastAsia="es-ES"/>
    </w:rPr>
  </w:style>
  <w:style w:type="paragraph" w:styleId="Piedepgina">
    <w:name w:val="footer"/>
    <w:basedOn w:val="Normal"/>
    <w:link w:val="PiedepginaCar"/>
    <w:uiPriority w:val="99"/>
    <w:rsid w:val="000A2A5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A2A59"/>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qFormat/>
    <w:rsid w:val="001E221B"/>
    <w:pPr>
      <w:tabs>
        <w:tab w:val="left" w:pos="0"/>
        <w:tab w:val="left" w:pos="567"/>
        <w:tab w:val="left" w:pos="1320"/>
        <w:tab w:val="right" w:leader="underscore" w:pos="8830"/>
      </w:tabs>
      <w:spacing w:before="120" w:after="0" w:line="240" w:lineRule="auto"/>
      <w:ind w:left="284"/>
    </w:pPr>
    <w:rPr>
      <w:rFonts w:asciiTheme="majorHAnsi" w:eastAsia="Times New Roman" w:hAnsiTheme="majorHAnsi" w:cs="Times New Roman"/>
      <w:b/>
      <w:bCs/>
      <w:i/>
      <w:iCs/>
      <w:sz w:val="24"/>
      <w:szCs w:val="24"/>
      <w:lang w:eastAsia="es-ES"/>
    </w:rPr>
  </w:style>
  <w:style w:type="paragraph" w:styleId="TDC2">
    <w:name w:val="toc 2"/>
    <w:basedOn w:val="Normal"/>
    <w:next w:val="Normal"/>
    <w:autoRedefine/>
    <w:uiPriority w:val="39"/>
    <w:qFormat/>
    <w:rsid w:val="000A2A59"/>
    <w:pPr>
      <w:tabs>
        <w:tab w:val="left" w:pos="567"/>
        <w:tab w:val="right" w:leader="underscore" w:pos="8494"/>
      </w:tabs>
      <w:spacing w:before="120" w:after="0" w:line="240" w:lineRule="auto"/>
      <w:ind w:left="240"/>
    </w:pPr>
    <w:rPr>
      <w:rFonts w:ascii="Times New Roman" w:eastAsia="Times New Roman" w:hAnsi="Times New Roman" w:cs="Times New Roman"/>
      <w:b/>
      <w:bCs/>
      <w:lang w:eastAsia="es-ES"/>
    </w:rPr>
  </w:style>
  <w:style w:type="paragraph" w:styleId="TDC3">
    <w:name w:val="toc 3"/>
    <w:basedOn w:val="Normal"/>
    <w:next w:val="Normal"/>
    <w:autoRedefine/>
    <w:uiPriority w:val="39"/>
    <w:semiHidden/>
    <w:qFormat/>
    <w:rsid w:val="000A2A59"/>
    <w:pPr>
      <w:spacing w:after="0" w:line="240" w:lineRule="auto"/>
      <w:ind w:left="480"/>
    </w:pPr>
    <w:rPr>
      <w:rFonts w:ascii="Times New Roman" w:eastAsia="Times New Roman" w:hAnsi="Times New Roman" w:cs="Times New Roman"/>
      <w:sz w:val="20"/>
      <w:szCs w:val="20"/>
      <w:lang w:eastAsia="es-ES"/>
    </w:rPr>
  </w:style>
  <w:style w:type="character" w:styleId="Nmerodepgina">
    <w:name w:val="page number"/>
    <w:basedOn w:val="Fuentedeprrafopredeter"/>
    <w:rsid w:val="000A2A59"/>
  </w:style>
  <w:style w:type="paragraph" w:styleId="Textonotapie">
    <w:name w:val="footnote text"/>
    <w:basedOn w:val="Normal"/>
    <w:link w:val="TextonotapieCar"/>
    <w:uiPriority w:val="99"/>
    <w:rsid w:val="000A2A5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0A2A5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0A2A59"/>
    <w:rPr>
      <w:vertAlign w:val="superscript"/>
    </w:rPr>
  </w:style>
  <w:style w:type="paragraph" w:styleId="Textodeglobo">
    <w:name w:val="Balloon Text"/>
    <w:basedOn w:val="Normal"/>
    <w:link w:val="TextodegloboCar"/>
    <w:semiHidden/>
    <w:rsid w:val="000A2A5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0A2A59"/>
    <w:rPr>
      <w:rFonts w:ascii="Tahoma" w:eastAsia="Times New Roman" w:hAnsi="Tahoma" w:cs="Tahoma"/>
      <w:sz w:val="16"/>
      <w:szCs w:val="16"/>
      <w:lang w:eastAsia="es-ES"/>
    </w:rPr>
  </w:style>
  <w:style w:type="table" w:styleId="Tablaconcuadrcula">
    <w:name w:val="Table Grid"/>
    <w:basedOn w:val="Tablanormal"/>
    <w:uiPriority w:val="59"/>
    <w:rsid w:val="000A2A5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0A2A59"/>
    <w:rPr>
      <w:sz w:val="16"/>
      <w:szCs w:val="16"/>
    </w:rPr>
  </w:style>
  <w:style w:type="paragraph" w:styleId="Textocomentario">
    <w:name w:val="annotation text"/>
    <w:basedOn w:val="Normal"/>
    <w:link w:val="TextocomentarioCar"/>
    <w:semiHidden/>
    <w:rsid w:val="000A2A59"/>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0A2A5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0A2A59"/>
    <w:rPr>
      <w:b/>
      <w:bCs/>
    </w:rPr>
  </w:style>
  <w:style w:type="character" w:customStyle="1" w:styleId="AsuntodelcomentarioCar">
    <w:name w:val="Asunto del comentario Car"/>
    <w:basedOn w:val="TextocomentarioCar"/>
    <w:link w:val="Asuntodelcomentario"/>
    <w:semiHidden/>
    <w:rsid w:val="000A2A59"/>
    <w:rPr>
      <w:rFonts w:ascii="Times New Roman" w:eastAsia="Times New Roman" w:hAnsi="Times New Roman" w:cs="Times New Roman"/>
      <w:b/>
      <w:bCs/>
      <w:sz w:val="20"/>
      <w:szCs w:val="20"/>
      <w:lang w:eastAsia="es-ES"/>
    </w:rPr>
  </w:style>
  <w:style w:type="paragraph" w:customStyle="1" w:styleId="Car1">
    <w:name w:val="Car1"/>
    <w:basedOn w:val="Normal"/>
    <w:rsid w:val="000A2A59"/>
    <w:pPr>
      <w:spacing w:after="160" w:line="240" w:lineRule="exact"/>
    </w:pPr>
    <w:rPr>
      <w:rFonts w:ascii="Arial" w:eastAsia="MS Mincho" w:hAnsi="Arial" w:cs="Times New Roman"/>
      <w:sz w:val="20"/>
      <w:szCs w:val="20"/>
    </w:rPr>
  </w:style>
  <w:style w:type="paragraph" w:styleId="Prrafodelista">
    <w:name w:val="List Paragraph"/>
    <w:basedOn w:val="Normal"/>
    <w:link w:val="PrrafodelistaCar"/>
    <w:uiPriority w:val="34"/>
    <w:qFormat/>
    <w:rsid w:val="000A2A59"/>
    <w:pPr>
      <w:ind w:left="720"/>
      <w:contextualSpacing/>
    </w:pPr>
  </w:style>
  <w:style w:type="paragraph" w:customStyle="1" w:styleId="para">
    <w:name w:val="para"/>
    <w:basedOn w:val="Normal"/>
    <w:rsid w:val="000A2A59"/>
    <w:pPr>
      <w:spacing w:before="150" w:after="150" w:line="240" w:lineRule="auto"/>
    </w:pPr>
    <w:rPr>
      <w:rFonts w:ascii="Times New Roman" w:eastAsia="Times New Roman" w:hAnsi="Times New Roman" w:cs="Times New Roman"/>
      <w:sz w:val="26"/>
      <w:szCs w:val="26"/>
      <w:lang w:eastAsia="es-ES"/>
    </w:rPr>
  </w:style>
  <w:style w:type="character" w:styleId="Textoennegrita">
    <w:name w:val="Strong"/>
    <w:basedOn w:val="Fuentedeprrafopredeter"/>
    <w:uiPriority w:val="22"/>
    <w:qFormat/>
    <w:rsid w:val="000A2A59"/>
    <w:rPr>
      <w:b/>
      <w:bCs/>
    </w:rPr>
  </w:style>
  <w:style w:type="table" w:styleId="Listamedia1">
    <w:name w:val="Medium List 1"/>
    <w:basedOn w:val="Tablanormal"/>
    <w:uiPriority w:val="65"/>
    <w:rsid w:val="001350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clara">
    <w:name w:val="Light List"/>
    <w:basedOn w:val="Tablanormal"/>
    <w:uiPriority w:val="61"/>
    <w:rsid w:val="001350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rafodelistaCar">
    <w:name w:val="Párrafo de lista Car"/>
    <w:basedOn w:val="Fuentedeprrafopredeter"/>
    <w:link w:val="Prrafodelista"/>
    <w:uiPriority w:val="34"/>
    <w:rsid w:val="002145AA"/>
  </w:style>
  <w:style w:type="table" w:styleId="Cuadrculamedia2-nfasis5">
    <w:name w:val="Medium Grid 2 Accent 5"/>
    <w:basedOn w:val="Tablanormal"/>
    <w:uiPriority w:val="68"/>
    <w:rsid w:val="00B029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056E1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Cuadrculamedia2-nfasis2">
    <w:name w:val="Medium Grid 2 Accent 2"/>
    <w:basedOn w:val="Tablanormal"/>
    <w:uiPriority w:val="68"/>
    <w:rsid w:val="007721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1-nfasis2">
    <w:name w:val="Medium Grid 1 Accent 2"/>
    <w:basedOn w:val="Tablanormal"/>
    <w:uiPriority w:val="67"/>
    <w:rsid w:val="007F1F5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tuloTDC">
    <w:name w:val="TOC Heading"/>
    <w:basedOn w:val="Ttulo1"/>
    <w:next w:val="Normal"/>
    <w:uiPriority w:val="39"/>
    <w:semiHidden/>
    <w:unhideWhenUsed/>
    <w:qFormat/>
    <w:rsid w:val="001C2B4E"/>
    <w:pPr>
      <w:keepLines/>
      <w:spacing w:before="480" w:line="276" w:lineRule="auto"/>
      <w:jc w:val="left"/>
      <w:outlineLvl w:val="9"/>
    </w:pPr>
    <w:rPr>
      <w:rFonts w:asciiTheme="majorHAnsi" w:eastAsiaTheme="majorEastAsia" w:hAnsiTheme="majorHAnsi" w:cstheme="majorBidi"/>
      <w:bCs/>
      <w:i w:val="0"/>
      <w:iCs w:val="0"/>
      <w:color w:val="365F91" w:themeColor="accent1" w:themeShade="BF"/>
      <w:sz w:val="28"/>
      <w:szCs w:val="28"/>
      <w:lang w:val="es-ES"/>
    </w:rPr>
  </w:style>
  <w:style w:type="paragraph" w:styleId="Sinespaciado">
    <w:name w:val="No Spacing"/>
    <w:uiPriority w:val="1"/>
    <w:qFormat/>
    <w:rsid w:val="008144A4"/>
    <w:pPr>
      <w:spacing w:after="0" w:line="240" w:lineRule="auto"/>
    </w:pPr>
  </w:style>
  <w:style w:type="paragraph" w:styleId="Ttulo">
    <w:name w:val="Title"/>
    <w:link w:val="TtuloCar"/>
    <w:qFormat/>
    <w:rsid w:val="006207F1"/>
    <w:pPr>
      <w:widowControl w:val="0"/>
      <w:spacing w:after="240" w:line="240" w:lineRule="auto"/>
      <w:jc w:val="center"/>
    </w:pPr>
    <w:rPr>
      <w:rFonts w:ascii="Arial Black" w:eastAsia="Times New Roman" w:hAnsi="Arial Black" w:cs="Times New Roman"/>
      <w:caps/>
      <w:sz w:val="24"/>
      <w:szCs w:val="20"/>
      <w:lang w:val="es-ES_tradnl" w:eastAsia="es-ES"/>
      <w14:shadow w14:blurRad="50800" w14:dist="38100" w14:dir="2700000" w14:sx="100000" w14:sy="100000" w14:kx="0" w14:ky="0" w14:algn="tl">
        <w14:srgbClr w14:val="000000">
          <w14:alpha w14:val="60000"/>
        </w14:srgbClr>
      </w14:shadow>
    </w:rPr>
  </w:style>
  <w:style w:type="character" w:customStyle="1" w:styleId="TtuloCar">
    <w:name w:val="Título Car"/>
    <w:basedOn w:val="Fuentedeprrafopredeter"/>
    <w:link w:val="Ttulo"/>
    <w:rsid w:val="006207F1"/>
    <w:rPr>
      <w:rFonts w:ascii="Arial Black" w:eastAsia="Times New Roman" w:hAnsi="Arial Black" w:cs="Times New Roman"/>
      <w:caps/>
      <w:sz w:val="24"/>
      <w:szCs w:val="20"/>
      <w:lang w:val="es-ES_tradnl" w:eastAsia="es-ES"/>
      <w14:shadow w14:blurRad="50800" w14:dist="38100" w14:dir="2700000" w14:sx="100000" w14:sy="100000" w14:kx="0" w14:ky="0" w14:algn="tl">
        <w14:srgbClr w14:val="000000">
          <w14:alpha w14:val="60000"/>
        </w14:srgbClr>
      </w14:shadow>
    </w:rPr>
  </w:style>
  <w:style w:type="paragraph" w:customStyle="1" w:styleId="Default">
    <w:name w:val="Default"/>
    <w:rsid w:val="00301C4F"/>
    <w:pPr>
      <w:autoSpaceDE w:val="0"/>
      <w:autoSpaceDN w:val="0"/>
      <w:adjustRightInd w:val="0"/>
      <w:spacing w:after="0" w:line="240" w:lineRule="auto"/>
    </w:pPr>
    <w:rPr>
      <w:rFonts w:ascii="Cambria" w:hAnsi="Cambria" w:cs="Cambria"/>
      <w:color w:val="000000"/>
      <w:sz w:val="24"/>
      <w:szCs w:val="24"/>
      <w:lang w:val="es-ES"/>
    </w:rPr>
  </w:style>
  <w:style w:type="paragraph" w:customStyle="1" w:styleId="noparagraphstyle">
    <w:name w:val="noparagraphstyle"/>
    <w:basedOn w:val="Normal"/>
    <w:rsid w:val="00F41C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77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945">
      <w:bodyDiv w:val="1"/>
      <w:marLeft w:val="0"/>
      <w:marRight w:val="0"/>
      <w:marTop w:val="0"/>
      <w:marBottom w:val="0"/>
      <w:divBdr>
        <w:top w:val="none" w:sz="0" w:space="0" w:color="auto"/>
        <w:left w:val="none" w:sz="0" w:space="0" w:color="auto"/>
        <w:bottom w:val="none" w:sz="0" w:space="0" w:color="auto"/>
        <w:right w:val="none" w:sz="0" w:space="0" w:color="auto"/>
      </w:divBdr>
    </w:div>
    <w:div w:id="248734079">
      <w:bodyDiv w:val="1"/>
      <w:marLeft w:val="0"/>
      <w:marRight w:val="0"/>
      <w:marTop w:val="0"/>
      <w:marBottom w:val="0"/>
      <w:divBdr>
        <w:top w:val="none" w:sz="0" w:space="0" w:color="auto"/>
        <w:left w:val="none" w:sz="0" w:space="0" w:color="auto"/>
        <w:bottom w:val="none" w:sz="0" w:space="0" w:color="auto"/>
        <w:right w:val="none" w:sz="0" w:space="0" w:color="auto"/>
      </w:divBdr>
    </w:div>
    <w:div w:id="274290785">
      <w:bodyDiv w:val="1"/>
      <w:marLeft w:val="0"/>
      <w:marRight w:val="0"/>
      <w:marTop w:val="0"/>
      <w:marBottom w:val="0"/>
      <w:divBdr>
        <w:top w:val="none" w:sz="0" w:space="0" w:color="auto"/>
        <w:left w:val="none" w:sz="0" w:space="0" w:color="auto"/>
        <w:bottom w:val="none" w:sz="0" w:space="0" w:color="auto"/>
        <w:right w:val="none" w:sz="0" w:space="0" w:color="auto"/>
      </w:divBdr>
    </w:div>
    <w:div w:id="330642378">
      <w:bodyDiv w:val="1"/>
      <w:marLeft w:val="0"/>
      <w:marRight w:val="0"/>
      <w:marTop w:val="0"/>
      <w:marBottom w:val="0"/>
      <w:divBdr>
        <w:top w:val="none" w:sz="0" w:space="0" w:color="auto"/>
        <w:left w:val="none" w:sz="0" w:space="0" w:color="auto"/>
        <w:bottom w:val="none" w:sz="0" w:space="0" w:color="auto"/>
        <w:right w:val="none" w:sz="0" w:space="0" w:color="auto"/>
      </w:divBdr>
    </w:div>
    <w:div w:id="693118205">
      <w:bodyDiv w:val="1"/>
      <w:marLeft w:val="0"/>
      <w:marRight w:val="0"/>
      <w:marTop w:val="0"/>
      <w:marBottom w:val="0"/>
      <w:divBdr>
        <w:top w:val="none" w:sz="0" w:space="0" w:color="auto"/>
        <w:left w:val="none" w:sz="0" w:space="0" w:color="auto"/>
        <w:bottom w:val="none" w:sz="0" w:space="0" w:color="auto"/>
        <w:right w:val="none" w:sz="0" w:space="0" w:color="auto"/>
      </w:divBdr>
    </w:div>
    <w:div w:id="817116727">
      <w:bodyDiv w:val="1"/>
      <w:marLeft w:val="0"/>
      <w:marRight w:val="0"/>
      <w:marTop w:val="0"/>
      <w:marBottom w:val="0"/>
      <w:divBdr>
        <w:top w:val="none" w:sz="0" w:space="0" w:color="auto"/>
        <w:left w:val="none" w:sz="0" w:space="0" w:color="auto"/>
        <w:bottom w:val="none" w:sz="0" w:space="0" w:color="auto"/>
        <w:right w:val="none" w:sz="0" w:space="0" w:color="auto"/>
      </w:divBdr>
    </w:div>
    <w:div w:id="822621608">
      <w:bodyDiv w:val="1"/>
      <w:marLeft w:val="0"/>
      <w:marRight w:val="0"/>
      <w:marTop w:val="0"/>
      <w:marBottom w:val="0"/>
      <w:divBdr>
        <w:top w:val="none" w:sz="0" w:space="0" w:color="auto"/>
        <w:left w:val="none" w:sz="0" w:space="0" w:color="auto"/>
        <w:bottom w:val="none" w:sz="0" w:space="0" w:color="auto"/>
        <w:right w:val="none" w:sz="0" w:space="0" w:color="auto"/>
      </w:divBdr>
      <w:divsChild>
        <w:div w:id="2084452981">
          <w:marLeft w:val="0"/>
          <w:marRight w:val="0"/>
          <w:marTop w:val="0"/>
          <w:marBottom w:val="0"/>
          <w:divBdr>
            <w:top w:val="none" w:sz="0" w:space="0" w:color="auto"/>
            <w:left w:val="none" w:sz="0" w:space="0" w:color="auto"/>
            <w:bottom w:val="none" w:sz="0" w:space="0" w:color="auto"/>
            <w:right w:val="none" w:sz="0" w:space="0" w:color="auto"/>
          </w:divBdr>
          <w:divsChild>
            <w:div w:id="1642272449">
              <w:marLeft w:val="0"/>
              <w:marRight w:val="0"/>
              <w:marTop w:val="0"/>
              <w:marBottom w:val="0"/>
              <w:divBdr>
                <w:top w:val="none" w:sz="0" w:space="0" w:color="auto"/>
                <w:left w:val="none" w:sz="0" w:space="0" w:color="auto"/>
                <w:bottom w:val="none" w:sz="0" w:space="0" w:color="auto"/>
                <w:right w:val="none" w:sz="0" w:space="0" w:color="auto"/>
              </w:divBdr>
              <w:divsChild>
                <w:div w:id="936601553">
                  <w:marLeft w:val="0"/>
                  <w:marRight w:val="0"/>
                  <w:marTop w:val="0"/>
                  <w:marBottom w:val="0"/>
                  <w:divBdr>
                    <w:top w:val="none" w:sz="0" w:space="0" w:color="auto"/>
                    <w:left w:val="single" w:sz="6" w:space="0" w:color="B0B0B0"/>
                    <w:bottom w:val="none" w:sz="0" w:space="0" w:color="auto"/>
                    <w:right w:val="single" w:sz="6" w:space="0" w:color="B0B0B0"/>
                  </w:divBdr>
                  <w:divsChild>
                    <w:div w:id="641155658">
                      <w:marLeft w:val="0"/>
                      <w:marRight w:val="0"/>
                      <w:marTop w:val="0"/>
                      <w:marBottom w:val="0"/>
                      <w:divBdr>
                        <w:top w:val="none" w:sz="0" w:space="0" w:color="auto"/>
                        <w:left w:val="none" w:sz="0" w:space="0" w:color="auto"/>
                        <w:bottom w:val="none" w:sz="0" w:space="0" w:color="auto"/>
                        <w:right w:val="none" w:sz="0" w:space="0" w:color="auto"/>
                      </w:divBdr>
                      <w:divsChild>
                        <w:div w:id="236863076">
                          <w:marLeft w:val="432"/>
                          <w:marRight w:val="240"/>
                          <w:marTop w:val="432"/>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 w:id="876237457">
      <w:bodyDiv w:val="1"/>
      <w:marLeft w:val="0"/>
      <w:marRight w:val="0"/>
      <w:marTop w:val="0"/>
      <w:marBottom w:val="0"/>
      <w:divBdr>
        <w:top w:val="none" w:sz="0" w:space="0" w:color="auto"/>
        <w:left w:val="none" w:sz="0" w:space="0" w:color="auto"/>
        <w:bottom w:val="none" w:sz="0" w:space="0" w:color="auto"/>
        <w:right w:val="none" w:sz="0" w:space="0" w:color="auto"/>
      </w:divBdr>
    </w:div>
    <w:div w:id="882905546">
      <w:bodyDiv w:val="1"/>
      <w:marLeft w:val="0"/>
      <w:marRight w:val="0"/>
      <w:marTop w:val="0"/>
      <w:marBottom w:val="0"/>
      <w:divBdr>
        <w:top w:val="none" w:sz="0" w:space="0" w:color="auto"/>
        <w:left w:val="none" w:sz="0" w:space="0" w:color="auto"/>
        <w:bottom w:val="none" w:sz="0" w:space="0" w:color="auto"/>
        <w:right w:val="none" w:sz="0" w:space="0" w:color="auto"/>
      </w:divBdr>
    </w:div>
    <w:div w:id="991980411">
      <w:bodyDiv w:val="1"/>
      <w:marLeft w:val="0"/>
      <w:marRight w:val="0"/>
      <w:marTop w:val="0"/>
      <w:marBottom w:val="0"/>
      <w:divBdr>
        <w:top w:val="none" w:sz="0" w:space="0" w:color="auto"/>
        <w:left w:val="none" w:sz="0" w:space="0" w:color="auto"/>
        <w:bottom w:val="none" w:sz="0" w:space="0" w:color="auto"/>
        <w:right w:val="none" w:sz="0" w:space="0" w:color="auto"/>
      </w:divBdr>
    </w:div>
    <w:div w:id="1108508166">
      <w:bodyDiv w:val="1"/>
      <w:marLeft w:val="0"/>
      <w:marRight w:val="0"/>
      <w:marTop w:val="0"/>
      <w:marBottom w:val="0"/>
      <w:divBdr>
        <w:top w:val="none" w:sz="0" w:space="0" w:color="auto"/>
        <w:left w:val="none" w:sz="0" w:space="0" w:color="auto"/>
        <w:bottom w:val="none" w:sz="0" w:space="0" w:color="auto"/>
        <w:right w:val="none" w:sz="0" w:space="0" w:color="auto"/>
      </w:divBdr>
    </w:div>
    <w:div w:id="1121418102">
      <w:bodyDiv w:val="1"/>
      <w:marLeft w:val="0"/>
      <w:marRight w:val="0"/>
      <w:marTop w:val="0"/>
      <w:marBottom w:val="0"/>
      <w:divBdr>
        <w:top w:val="none" w:sz="0" w:space="0" w:color="auto"/>
        <w:left w:val="none" w:sz="0" w:space="0" w:color="auto"/>
        <w:bottom w:val="none" w:sz="0" w:space="0" w:color="auto"/>
        <w:right w:val="none" w:sz="0" w:space="0" w:color="auto"/>
      </w:divBdr>
    </w:div>
    <w:div w:id="1131241292">
      <w:bodyDiv w:val="1"/>
      <w:marLeft w:val="0"/>
      <w:marRight w:val="0"/>
      <w:marTop w:val="0"/>
      <w:marBottom w:val="0"/>
      <w:divBdr>
        <w:top w:val="none" w:sz="0" w:space="0" w:color="auto"/>
        <w:left w:val="none" w:sz="0" w:space="0" w:color="auto"/>
        <w:bottom w:val="none" w:sz="0" w:space="0" w:color="auto"/>
        <w:right w:val="none" w:sz="0" w:space="0" w:color="auto"/>
      </w:divBdr>
      <w:divsChild>
        <w:div w:id="123818709">
          <w:marLeft w:val="0"/>
          <w:marRight w:val="0"/>
          <w:marTop w:val="0"/>
          <w:marBottom w:val="0"/>
          <w:divBdr>
            <w:top w:val="none" w:sz="0" w:space="0" w:color="auto"/>
            <w:left w:val="none" w:sz="0" w:space="0" w:color="auto"/>
            <w:bottom w:val="none" w:sz="0" w:space="0" w:color="auto"/>
            <w:right w:val="none" w:sz="0" w:space="0" w:color="auto"/>
          </w:divBdr>
          <w:divsChild>
            <w:div w:id="242837808">
              <w:marLeft w:val="0"/>
              <w:marRight w:val="0"/>
              <w:marTop w:val="0"/>
              <w:marBottom w:val="0"/>
              <w:divBdr>
                <w:top w:val="none" w:sz="0" w:space="0" w:color="auto"/>
                <w:left w:val="none" w:sz="0" w:space="0" w:color="auto"/>
                <w:bottom w:val="none" w:sz="0" w:space="0" w:color="auto"/>
                <w:right w:val="none" w:sz="0" w:space="0" w:color="auto"/>
              </w:divBdr>
              <w:divsChild>
                <w:div w:id="780763072">
                  <w:marLeft w:val="0"/>
                  <w:marRight w:val="0"/>
                  <w:marTop w:val="0"/>
                  <w:marBottom w:val="0"/>
                  <w:divBdr>
                    <w:top w:val="none" w:sz="0" w:space="0" w:color="auto"/>
                    <w:left w:val="single" w:sz="6" w:space="0" w:color="B0B0B0"/>
                    <w:bottom w:val="none" w:sz="0" w:space="0" w:color="auto"/>
                    <w:right w:val="single" w:sz="6" w:space="0" w:color="B0B0B0"/>
                  </w:divBdr>
                  <w:divsChild>
                    <w:div w:id="1921712800">
                      <w:marLeft w:val="0"/>
                      <w:marRight w:val="0"/>
                      <w:marTop w:val="0"/>
                      <w:marBottom w:val="0"/>
                      <w:divBdr>
                        <w:top w:val="none" w:sz="0" w:space="0" w:color="auto"/>
                        <w:left w:val="none" w:sz="0" w:space="0" w:color="auto"/>
                        <w:bottom w:val="none" w:sz="0" w:space="0" w:color="auto"/>
                        <w:right w:val="none" w:sz="0" w:space="0" w:color="auto"/>
                      </w:divBdr>
                      <w:divsChild>
                        <w:div w:id="230386788">
                          <w:marLeft w:val="432"/>
                          <w:marRight w:val="240"/>
                          <w:marTop w:val="432"/>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 w:id="1220749669">
      <w:bodyDiv w:val="1"/>
      <w:marLeft w:val="0"/>
      <w:marRight w:val="0"/>
      <w:marTop w:val="0"/>
      <w:marBottom w:val="0"/>
      <w:divBdr>
        <w:top w:val="none" w:sz="0" w:space="0" w:color="auto"/>
        <w:left w:val="none" w:sz="0" w:space="0" w:color="auto"/>
        <w:bottom w:val="none" w:sz="0" w:space="0" w:color="auto"/>
        <w:right w:val="none" w:sz="0" w:space="0" w:color="auto"/>
      </w:divBdr>
    </w:div>
    <w:div w:id="1224409285">
      <w:bodyDiv w:val="1"/>
      <w:marLeft w:val="0"/>
      <w:marRight w:val="0"/>
      <w:marTop w:val="0"/>
      <w:marBottom w:val="0"/>
      <w:divBdr>
        <w:top w:val="none" w:sz="0" w:space="0" w:color="auto"/>
        <w:left w:val="none" w:sz="0" w:space="0" w:color="auto"/>
        <w:bottom w:val="none" w:sz="0" w:space="0" w:color="auto"/>
        <w:right w:val="none" w:sz="0" w:space="0" w:color="auto"/>
      </w:divBdr>
    </w:div>
    <w:div w:id="1285429792">
      <w:bodyDiv w:val="1"/>
      <w:marLeft w:val="0"/>
      <w:marRight w:val="0"/>
      <w:marTop w:val="0"/>
      <w:marBottom w:val="0"/>
      <w:divBdr>
        <w:top w:val="none" w:sz="0" w:space="0" w:color="auto"/>
        <w:left w:val="none" w:sz="0" w:space="0" w:color="auto"/>
        <w:bottom w:val="none" w:sz="0" w:space="0" w:color="auto"/>
        <w:right w:val="none" w:sz="0" w:space="0" w:color="auto"/>
      </w:divBdr>
    </w:div>
    <w:div w:id="1296177561">
      <w:bodyDiv w:val="1"/>
      <w:marLeft w:val="0"/>
      <w:marRight w:val="0"/>
      <w:marTop w:val="0"/>
      <w:marBottom w:val="0"/>
      <w:divBdr>
        <w:top w:val="none" w:sz="0" w:space="0" w:color="auto"/>
        <w:left w:val="none" w:sz="0" w:space="0" w:color="auto"/>
        <w:bottom w:val="none" w:sz="0" w:space="0" w:color="auto"/>
        <w:right w:val="none" w:sz="0" w:space="0" w:color="auto"/>
      </w:divBdr>
    </w:div>
    <w:div w:id="1510024177">
      <w:bodyDiv w:val="1"/>
      <w:marLeft w:val="0"/>
      <w:marRight w:val="0"/>
      <w:marTop w:val="0"/>
      <w:marBottom w:val="0"/>
      <w:divBdr>
        <w:top w:val="none" w:sz="0" w:space="0" w:color="auto"/>
        <w:left w:val="none" w:sz="0" w:space="0" w:color="auto"/>
        <w:bottom w:val="none" w:sz="0" w:space="0" w:color="auto"/>
        <w:right w:val="none" w:sz="0" w:space="0" w:color="auto"/>
      </w:divBdr>
    </w:div>
    <w:div w:id="1554342330">
      <w:bodyDiv w:val="1"/>
      <w:marLeft w:val="0"/>
      <w:marRight w:val="0"/>
      <w:marTop w:val="0"/>
      <w:marBottom w:val="0"/>
      <w:divBdr>
        <w:top w:val="none" w:sz="0" w:space="0" w:color="auto"/>
        <w:left w:val="none" w:sz="0" w:space="0" w:color="auto"/>
        <w:bottom w:val="none" w:sz="0" w:space="0" w:color="auto"/>
        <w:right w:val="none" w:sz="0" w:space="0" w:color="auto"/>
      </w:divBdr>
    </w:div>
    <w:div w:id="1607036730">
      <w:bodyDiv w:val="1"/>
      <w:marLeft w:val="0"/>
      <w:marRight w:val="0"/>
      <w:marTop w:val="0"/>
      <w:marBottom w:val="0"/>
      <w:divBdr>
        <w:top w:val="none" w:sz="0" w:space="0" w:color="auto"/>
        <w:left w:val="none" w:sz="0" w:space="0" w:color="auto"/>
        <w:bottom w:val="none" w:sz="0" w:space="0" w:color="auto"/>
        <w:right w:val="none" w:sz="0" w:space="0" w:color="auto"/>
      </w:divBdr>
    </w:div>
    <w:div w:id="1640063883">
      <w:bodyDiv w:val="1"/>
      <w:marLeft w:val="0"/>
      <w:marRight w:val="0"/>
      <w:marTop w:val="0"/>
      <w:marBottom w:val="0"/>
      <w:divBdr>
        <w:top w:val="none" w:sz="0" w:space="0" w:color="auto"/>
        <w:left w:val="none" w:sz="0" w:space="0" w:color="auto"/>
        <w:bottom w:val="none" w:sz="0" w:space="0" w:color="auto"/>
        <w:right w:val="none" w:sz="0" w:space="0" w:color="auto"/>
      </w:divBdr>
    </w:div>
    <w:div w:id="1680353461">
      <w:bodyDiv w:val="1"/>
      <w:marLeft w:val="0"/>
      <w:marRight w:val="0"/>
      <w:marTop w:val="0"/>
      <w:marBottom w:val="0"/>
      <w:divBdr>
        <w:top w:val="none" w:sz="0" w:space="0" w:color="auto"/>
        <w:left w:val="none" w:sz="0" w:space="0" w:color="auto"/>
        <w:bottom w:val="none" w:sz="0" w:space="0" w:color="auto"/>
        <w:right w:val="none" w:sz="0" w:space="0" w:color="auto"/>
      </w:divBdr>
    </w:div>
    <w:div w:id="1829856866">
      <w:bodyDiv w:val="1"/>
      <w:marLeft w:val="0"/>
      <w:marRight w:val="0"/>
      <w:marTop w:val="0"/>
      <w:marBottom w:val="0"/>
      <w:divBdr>
        <w:top w:val="none" w:sz="0" w:space="0" w:color="auto"/>
        <w:left w:val="none" w:sz="0" w:space="0" w:color="auto"/>
        <w:bottom w:val="none" w:sz="0" w:space="0" w:color="auto"/>
        <w:right w:val="none" w:sz="0" w:space="0" w:color="auto"/>
      </w:divBdr>
    </w:div>
    <w:div w:id="1833255134">
      <w:bodyDiv w:val="1"/>
      <w:marLeft w:val="0"/>
      <w:marRight w:val="0"/>
      <w:marTop w:val="0"/>
      <w:marBottom w:val="0"/>
      <w:divBdr>
        <w:top w:val="none" w:sz="0" w:space="0" w:color="auto"/>
        <w:left w:val="none" w:sz="0" w:space="0" w:color="auto"/>
        <w:bottom w:val="none" w:sz="0" w:space="0" w:color="auto"/>
        <w:right w:val="none" w:sz="0" w:space="0" w:color="auto"/>
      </w:divBdr>
    </w:div>
    <w:div w:id="2010791137">
      <w:bodyDiv w:val="1"/>
      <w:marLeft w:val="0"/>
      <w:marRight w:val="0"/>
      <w:marTop w:val="0"/>
      <w:marBottom w:val="0"/>
      <w:divBdr>
        <w:top w:val="none" w:sz="0" w:space="0" w:color="auto"/>
        <w:left w:val="none" w:sz="0" w:space="0" w:color="auto"/>
        <w:bottom w:val="none" w:sz="0" w:space="0" w:color="auto"/>
        <w:right w:val="none" w:sz="0" w:space="0" w:color="auto"/>
      </w:divBdr>
    </w:div>
    <w:div w:id="2096588549">
      <w:bodyDiv w:val="1"/>
      <w:marLeft w:val="0"/>
      <w:marRight w:val="0"/>
      <w:marTop w:val="0"/>
      <w:marBottom w:val="0"/>
      <w:divBdr>
        <w:top w:val="none" w:sz="0" w:space="0" w:color="auto"/>
        <w:left w:val="none" w:sz="0" w:space="0" w:color="auto"/>
        <w:bottom w:val="none" w:sz="0" w:space="0" w:color="auto"/>
        <w:right w:val="none" w:sz="0" w:space="0" w:color="auto"/>
      </w:divBdr>
    </w:div>
    <w:div w:id="21152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/baPFyXlo1GWZc1rbwsaArkqL8M=</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u1yK8cHEbN26sgEthTdyvJRPiFY=</DigestValue>
    </Reference>
  </SignedInfo>
  <SignatureValue>Eyq76H7FbM1BC6+vmFP2bM7NYNv8OZL5AqtEE0a4ID/EfFJkVag2+UlitrSZj4naSAw6bj8kA5cT
C71Sq4GaYTK8wPKS5zLmltAQCs4XJF7NSDccX8cjWEa+0hEkzQfVbpvpR+GJ9oSI3DKFXfNWmIEw
x4Nxugvi4dTfPeCRgAFOw7O8WHX0ZR/WbftWFVv79OLijJyuTW6iat2lUdXBMVTwg2c3WvbnFOzc
3Mcvux7hXoCRt8riz5zTZK/m/0lTjDXfJhPdv6qs+0urI31Jcmm9FVkFxQG6AuQ4D0G3lLs6KatG
5JRQhfuE9Y0ENk6nDBFGAZC5nyvGi/w5BU12Kw==</SignatureValue>
  <KeyInfo>
    <X509Data>
      <X509Certificate>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gH4ZPSNrsrc9tvwJHqJQM87xonc=</DigestValue>
      </Reference>
      <Reference URI="/word/document.xml?ContentType=application/vnd.openxmlformats-officedocument.wordprocessingml.document.main+xml">
        <DigestMethod Algorithm="http://www.w3.org/2000/09/xmldsig#sha1"/>
        <DigestValue>uLXO3WQTRJzJOgg64t3Jl3kSnhM=</DigestValue>
      </Reference>
      <Reference URI="/word/endnotes.xml?ContentType=application/vnd.openxmlformats-officedocument.wordprocessingml.endnotes+xml">
        <DigestMethod Algorithm="http://www.w3.org/2000/09/xmldsig#sha1"/>
        <DigestValue>YE9XWYJmYSfwCPV4L2HkeAcehf0=</DigestValue>
      </Reference>
      <Reference URI="/word/fontTable.xml?ContentType=application/vnd.openxmlformats-officedocument.wordprocessingml.fontTable+xml">
        <DigestMethod Algorithm="http://www.w3.org/2000/09/xmldsig#sha1"/>
        <DigestValue>JxzblFbCfGikN/kY+VGKMnfgVS4=</DigestValue>
      </Reference>
      <Reference URI="/word/footer1.xml?ContentType=application/vnd.openxmlformats-officedocument.wordprocessingml.footer+xml">
        <DigestMethod Algorithm="http://www.w3.org/2000/09/xmldsig#sha1"/>
        <DigestValue>oChKoWAP86CO5FKCDTacot9g1tI=</DigestValue>
      </Reference>
      <Reference URI="/word/footnotes.xml?ContentType=application/vnd.openxmlformats-officedocument.wordprocessingml.footnotes+xml">
        <DigestMethod Algorithm="http://www.w3.org/2000/09/xmldsig#sha1"/>
        <DigestValue>uL9cLgdqciLTROGUcVrYWTZoL7c=</DigestValue>
      </Reference>
      <Reference URI="/word/media/image1.png?ContentType=image/png">
        <DigestMethod Algorithm="http://www.w3.org/2000/09/xmldsig#sha1"/>
        <DigestValue>1ws5Ujlopne2xwrOmScS2TqPT0Y=</DigestValue>
      </Reference>
      <Reference URI="/word/media/image2.png?ContentType=image/png">
        <DigestMethod Algorithm="http://www.w3.org/2000/09/xmldsig#sha1"/>
        <DigestValue>KSDuvHw8wA4SCZ28DoBx1VLPccs=</DigestValue>
      </Reference>
      <Reference URI="/word/media/image3.png?ContentType=image/png">
        <DigestMethod Algorithm="http://www.w3.org/2000/09/xmldsig#sha1"/>
        <DigestValue>zPlg1PJ+Tf8e2viEzKD09QRyIyQ=</DigestValue>
      </Reference>
      <Reference URI="/word/media/image4.png?ContentType=image/png">
        <DigestMethod Algorithm="http://www.w3.org/2000/09/xmldsig#sha1"/>
        <DigestValue>AI7wvdayJUlGgcL4b8/uaeDpT5k=</DigestValue>
      </Reference>
      <Reference URI="/word/media/image5.png?ContentType=image/png">
        <DigestMethod Algorithm="http://www.w3.org/2000/09/xmldsig#sha1"/>
        <DigestValue>d8a7+id1oMUyOfJSEnlCe/T1Aeg=</DigestValue>
      </Reference>
      <Reference URI="/word/numbering.xml?ContentType=application/vnd.openxmlformats-officedocument.wordprocessingml.numbering+xml">
        <DigestMethod Algorithm="http://www.w3.org/2000/09/xmldsig#sha1"/>
        <DigestValue>ry7FwOV0S/IkkmcLnHyl6nEiH5s=</DigestValue>
      </Reference>
      <Reference URI="/word/settings.xml?ContentType=application/vnd.openxmlformats-officedocument.wordprocessingml.settings+xml">
        <DigestMethod Algorithm="http://www.w3.org/2000/09/xmldsig#sha1"/>
        <DigestValue>owzVHjr+onBvcEodU8GSyjBxRLo=</DigestValue>
      </Reference>
      <Reference URI="/word/styles.xml?ContentType=application/vnd.openxmlformats-officedocument.wordprocessingml.styles+xml">
        <DigestMethod Algorithm="http://www.w3.org/2000/09/xmldsig#sha1"/>
        <DigestValue>KRp/5h2Euo2z/MlZYE3r53hSmcM=</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b8KGh/TjeotnEu0kZaM5Tnw4wls=</DigestValue>
      </Reference>
    </Manifest>
    <SignatureProperties>
      <SignatureProperty Id="idSignatureTime" Target="#idPackageSignature">
        <mdssi:SignatureTime xmlns:mdssi="http://schemas.openxmlformats.org/package/2006/digital-signature">
          <mdssi:Format>YYYY-MM-DDThh:mm:ssTZD</mdssi:Format>
          <mdssi:Value>2017-11-23T18:01:49Z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2017-11-23T18:01:49Z</xd:SigningTime>
          <xd:SigningCertificate>
            <xd:Cert>
              <xd:CertDigest>
                <DigestMethod Algorithm="http://www.w3.org/2000/09/xmldsig#sha1"/>
                <DigestValue>Uh+LT+NqYwrGscwfHjqr6ugW1qo=</DigestValue>
              </xd:CertDigest>
              <xd:IssuerSerial>
                <X509IssuerName>CN=CA SINPE - PERSONA FISICA, OU=DIVISION DE SERVICIOS FINANCIEROS, O=BANCO CENTRAL DE COSTA RICA, C=CR, SERIALNUMBER=4-000-004017</X509IssuerName>
                <X509SerialNumber>384043764951155703323931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0" ma:contentTypeDescription="Crear nuevo documento." ma:contentTypeScope="" ma:versionID="ad50ae21419c782b179b57888c218d42">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ba256b3c6ebdc29a95089f501143d025"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o xmlns="b54fad7e-1319-40d0-a36c-64ee330d2bd0">
      <Url>https://si.supen.fi.cr/Tramites/Tram_Detalle_Evento.aspx?evento=2017093724&amp;op=3</Url>
      <Description>2017093724</Description>
    </Even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1CAC-60C7-4D9F-A870-C81082434569}">
  <ds:schemaRefs>
    <ds:schemaRef ds:uri="http://schemas.microsoft.com/sharepoint/v3/contenttype/forms"/>
  </ds:schemaRefs>
</ds:datastoreItem>
</file>

<file path=customXml/itemProps2.xml><?xml version="1.0" encoding="utf-8"?>
<ds:datastoreItem xmlns:ds="http://schemas.openxmlformats.org/officeDocument/2006/customXml" ds:itemID="{AB397C3A-70B8-48E7-8E88-66C4225C0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8E403-5EB8-450E-B180-9624700CCB91}">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b54fad7e-1319-40d0-a36c-64ee330d2bd0"/>
    <ds:schemaRef ds:uri="59edb153-39ed-4056-b12b-5a6ee259c2e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D0A08D2-86A3-42A8-A45B-C6C9C3FF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7285</Words>
  <Characters>40071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E01 IVM ICV-01-2016.docx</vt:lpstr>
    </vt:vector>
  </TitlesOfParts>
  <Company>Supen</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E01 IVM ICV-01-2016.docx</dc:title>
  <dc:creator>Rafael Coto Alfaro</dc:creator>
  <cp:lastModifiedBy>RAMOS CHAVES ALVARO ROBERTO</cp:lastModifiedBy>
  <cp:revision>3</cp:revision>
  <cp:lastPrinted>2015-08-26T23:18:00Z</cp:lastPrinted>
  <dcterms:created xsi:type="dcterms:W3CDTF">2017-11-15T17:20:00Z</dcterms:created>
  <dcterms:modified xsi:type="dcterms:W3CDTF">2017-11-23T18:01:00Z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