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54319" w14:textId="77777777" w:rsidR="005B2CC7" w:rsidRDefault="005B2CC7" w:rsidP="00913295">
      <w:pPr>
        <w:spacing w:line="240" w:lineRule="auto"/>
        <w:rPr>
          <w:rFonts w:eastAsia="Times New Roman" w:cs="Times New Roman"/>
          <w:szCs w:val="24"/>
          <w:lang w:val="es-CR" w:eastAsia="es-CR"/>
        </w:rPr>
      </w:pPr>
    </w:p>
    <w:p w14:paraId="1E2E3636" w14:textId="3B770205" w:rsidR="00A4778B" w:rsidRPr="003C34DD" w:rsidRDefault="004C2694" w:rsidP="00913295">
      <w:pPr>
        <w:spacing w:line="240" w:lineRule="auto"/>
        <w:rPr>
          <w:rFonts w:cs="Times New Roman"/>
          <w:szCs w:val="24"/>
        </w:rPr>
      </w:pPr>
      <w:sdt>
        <w:sdtPr>
          <w:rPr>
            <w:rFonts w:eastAsia="Times New Roman" w:cs="Times New Roman"/>
            <w:szCs w:val="24"/>
            <w:lang w:val="es-CR" w:eastAsia="es-CR"/>
          </w:rPr>
          <w:alias w:val="Fecha"/>
          <w:tag w:val="Fecha"/>
          <w:id w:val="-306548534"/>
          <w:lock w:val="sdtLocked"/>
          <w:placeholder>
            <w:docPart w:val="24987A313F724139B2CC8D8561F6D154"/>
          </w:placeholder>
          <w:date>
            <w:dateFormat w:val="d' de 'MMMM' de 'yyyy"/>
            <w:lid w:val="es-ES"/>
            <w:storeMappedDataAs w:val="date"/>
            <w:calendar w:val="gregorian"/>
          </w:date>
        </w:sdtPr>
        <w:sdtEndPr/>
        <w:sdtContent>
          <w:r w:rsidR="00B25899" w:rsidRPr="003C34DD">
            <w:rPr>
              <w:rFonts w:eastAsia="Times New Roman" w:cs="Times New Roman"/>
              <w:szCs w:val="24"/>
              <w:lang w:val="es-CR" w:eastAsia="es-CR"/>
            </w:rPr>
            <w:t>9</w:t>
          </w:r>
          <w:r w:rsidR="00913295" w:rsidRPr="003C34DD">
            <w:rPr>
              <w:rFonts w:eastAsia="Times New Roman" w:cs="Times New Roman"/>
              <w:szCs w:val="24"/>
              <w:lang w:val="es-CR" w:eastAsia="es-CR"/>
            </w:rPr>
            <w:t xml:space="preserve"> de marzo de 202</w:t>
          </w:r>
          <w:r w:rsidR="009A0E5F" w:rsidRPr="003C34DD">
            <w:rPr>
              <w:rFonts w:eastAsia="Times New Roman" w:cs="Times New Roman"/>
              <w:szCs w:val="24"/>
              <w:lang w:val="es-CR" w:eastAsia="es-CR"/>
            </w:rPr>
            <w:t>1</w:t>
          </w:r>
        </w:sdtContent>
      </w:sdt>
    </w:p>
    <w:p w14:paraId="6DE28078" w14:textId="3A7B0519" w:rsidR="00A4778B" w:rsidRPr="003C34DD" w:rsidRDefault="004C2694" w:rsidP="00045BBA">
      <w:pPr>
        <w:pStyle w:val="SupenEncabezado"/>
        <w:rPr>
          <w:rStyle w:val="SupenEncabezadoCar"/>
          <w:bCs/>
          <w:i/>
        </w:rPr>
      </w:pPr>
      <w:sdt>
        <w:sdtPr>
          <w:rPr>
            <w:rStyle w:val="Textodelmarcadordeposicin"/>
            <w:bCs w:val="0"/>
            <w:i w:val="0"/>
            <w:color w:val="auto"/>
          </w:rPr>
          <w:alias w:val="Código"/>
          <w:tag w:val="A"/>
          <w:id w:val="1991359848"/>
          <w:lock w:val="sdtLocked"/>
          <w:placeholder>
            <w:docPart w:val="AA4782D3713E48BAA24D9403A9FE3E2E"/>
          </w:placeholder>
          <w:text/>
        </w:sdtPr>
        <w:sdtEndPr>
          <w:rPr>
            <w:rStyle w:val="Textodelmarcadordeposicin"/>
          </w:rPr>
        </w:sdtEndPr>
        <w:sdtContent>
          <w:r w:rsidR="0008627E" w:rsidRPr="003C34DD">
            <w:rPr>
              <w:rStyle w:val="Textodelmarcadordeposicin"/>
              <w:bCs w:val="0"/>
              <w:i w:val="0"/>
              <w:color w:val="auto"/>
            </w:rPr>
            <w:t>PJD-2</w:t>
          </w:r>
          <w:r w:rsidR="00913295" w:rsidRPr="003C34DD">
            <w:rPr>
              <w:rStyle w:val="Textodelmarcadordeposicin"/>
              <w:bCs w:val="0"/>
              <w:i w:val="0"/>
              <w:color w:val="auto"/>
            </w:rPr>
            <w:t>-202</w:t>
          </w:r>
          <w:r w:rsidR="009A0E5F" w:rsidRPr="003C34DD">
            <w:rPr>
              <w:rStyle w:val="Textodelmarcadordeposicin"/>
              <w:bCs w:val="0"/>
              <w:i w:val="0"/>
              <w:color w:val="auto"/>
            </w:rPr>
            <w:t>1</w:t>
          </w:r>
        </w:sdtContent>
      </w:sdt>
    </w:p>
    <w:p w14:paraId="2567670B" w14:textId="77777777" w:rsidR="003262D5" w:rsidRPr="003C34DD" w:rsidRDefault="003262D5" w:rsidP="00913295">
      <w:pPr>
        <w:spacing w:line="240" w:lineRule="auto"/>
        <w:rPr>
          <w:rFonts w:cs="Times New Roman"/>
          <w:szCs w:val="24"/>
        </w:rPr>
      </w:pPr>
    </w:p>
    <w:p w14:paraId="0AE8D6C2" w14:textId="77777777" w:rsidR="00DE615E" w:rsidRPr="003C34DD" w:rsidRDefault="00DE615E" w:rsidP="00913295">
      <w:pPr>
        <w:spacing w:line="240" w:lineRule="auto"/>
        <w:rPr>
          <w:rFonts w:cs="Times New Roman"/>
          <w:szCs w:val="24"/>
        </w:rPr>
      </w:pPr>
    </w:p>
    <w:p w14:paraId="21838813" w14:textId="77777777" w:rsidR="00DE615E" w:rsidRPr="003C34DD" w:rsidRDefault="00DE615E" w:rsidP="00913295">
      <w:pPr>
        <w:spacing w:line="240" w:lineRule="auto"/>
        <w:rPr>
          <w:rFonts w:cs="Times New Roman"/>
          <w:szCs w:val="24"/>
        </w:rPr>
      </w:pPr>
      <w:r w:rsidRPr="003C34DD">
        <w:rPr>
          <w:rFonts w:cs="Times New Roman"/>
          <w:szCs w:val="24"/>
        </w:rPr>
        <w:t>Señor</w:t>
      </w:r>
    </w:p>
    <w:p w14:paraId="7C23DCA1" w14:textId="77777777" w:rsidR="00972CBD" w:rsidRPr="003C34DD" w:rsidRDefault="00913295" w:rsidP="00913295">
      <w:pPr>
        <w:spacing w:line="240" w:lineRule="auto"/>
        <w:rPr>
          <w:rFonts w:cs="Times New Roman"/>
          <w:szCs w:val="24"/>
        </w:rPr>
      </w:pPr>
      <w:r w:rsidRPr="003C34DD">
        <w:rPr>
          <w:rFonts w:cs="Times New Roman"/>
          <w:szCs w:val="24"/>
        </w:rPr>
        <w:t>Jose Arias González</w:t>
      </w:r>
      <w:r w:rsidR="00972CBD" w:rsidRPr="003C34DD">
        <w:rPr>
          <w:rFonts w:cs="Times New Roman"/>
          <w:szCs w:val="24"/>
        </w:rPr>
        <w:t>, j</w:t>
      </w:r>
      <w:r w:rsidRPr="003C34DD">
        <w:rPr>
          <w:rFonts w:cs="Times New Roman"/>
          <w:szCs w:val="24"/>
        </w:rPr>
        <w:t xml:space="preserve">efe </w:t>
      </w:r>
    </w:p>
    <w:p w14:paraId="26AF0B71" w14:textId="64E68FB4" w:rsidR="00DE615E" w:rsidRPr="003C34DD" w:rsidRDefault="00913295" w:rsidP="00913295">
      <w:pPr>
        <w:spacing w:line="240" w:lineRule="auto"/>
        <w:rPr>
          <w:rFonts w:cs="Times New Roman"/>
          <w:szCs w:val="24"/>
        </w:rPr>
      </w:pPr>
      <w:r w:rsidRPr="003C34DD">
        <w:rPr>
          <w:rFonts w:cs="Times New Roman"/>
          <w:szCs w:val="24"/>
        </w:rPr>
        <w:t>Área de Comunicación y Servicios</w:t>
      </w:r>
    </w:p>
    <w:p w14:paraId="2456AA85" w14:textId="77777777" w:rsidR="00DE615E" w:rsidRPr="003C34DD" w:rsidRDefault="00913295" w:rsidP="00913295">
      <w:pPr>
        <w:spacing w:line="240" w:lineRule="auto"/>
        <w:rPr>
          <w:rFonts w:cs="Times New Roman"/>
          <w:b/>
          <w:bCs/>
          <w:szCs w:val="24"/>
        </w:rPr>
      </w:pPr>
      <w:r w:rsidRPr="003C34DD">
        <w:rPr>
          <w:rFonts w:cs="Times New Roman"/>
          <w:b/>
          <w:bCs/>
          <w:szCs w:val="24"/>
        </w:rPr>
        <w:t>Superintendencia de Pensiones</w:t>
      </w:r>
    </w:p>
    <w:p w14:paraId="2BD87A32" w14:textId="77777777" w:rsidR="00DE615E" w:rsidRPr="003C34DD" w:rsidRDefault="00DE615E" w:rsidP="00913295">
      <w:pPr>
        <w:spacing w:line="240" w:lineRule="auto"/>
        <w:rPr>
          <w:rFonts w:cs="Times New Roman"/>
          <w:szCs w:val="24"/>
        </w:rPr>
      </w:pPr>
    </w:p>
    <w:p w14:paraId="125B0526" w14:textId="77777777" w:rsidR="005B2CC7" w:rsidRDefault="005B2CC7" w:rsidP="00913295">
      <w:pPr>
        <w:spacing w:line="240" w:lineRule="auto"/>
        <w:rPr>
          <w:rFonts w:cs="Times New Roman"/>
          <w:szCs w:val="24"/>
        </w:rPr>
      </w:pPr>
    </w:p>
    <w:p w14:paraId="2AD4ADC0" w14:textId="6EC4E390" w:rsidR="00DE615E" w:rsidRPr="003C34DD" w:rsidRDefault="00DE615E" w:rsidP="00913295">
      <w:pPr>
        <w:spacing w:line="240" w:lineRule="auto"/>
        <w:rPr>
          <w:rFonts w:cs="Times New Roman"/>
          <w:szCs w:val="24"/>
        </w:rPr>
      </w:pPr>
      <w:r w:rsidRPr="003C34DD">
        <w:rPr>
          <w:rFonts w:cs="Times New Roman"/>
          <w:szCs w:val="24"/>
        </w:rPr>
        <w:t>Estimado señor:</w:t>
      </w:r>
    </w:p>
    <w:p w14:paraId="3C1A7392" w14:textId="77777777" w:rsidR="00DE615E" w:rsidRPr="003C34DD" w:rsidRDefault="00DE615E" w:rsidP="00913295">
      <w:pPr>
        <w:spacing w:line="240" w:lineRule="auto"/>
        <w:rPr>
          <w:rFonts w:cs="Times New Roman"/>
          <w:szCs w:val="24"/>
        </w:rPr>
      </w:pPr>
    </w:p>
    <w:p w14:paraId="0C11AAC0" w14:textId="36C71D65" w:rsidR="009A0E5F" w:rsidRPr="003C34DD" w:rsidRDefault="00913295" w:rsidP="00913295">
      <w:pPr>
        <w:spacing w:line="240" w:lineRule="auto"/>
        <w:jc w:val="both"/>
        <w:rPr>
          <w:rFonts w:cs="Times New Roman"/>
          <w:szCs w:val="24"/>
        </w:rPr>
      </w:pPr>
      <w:r w:rsidRPr="003C34DD">
        <w:rPr>
          <w:rFonts w:cs="Times New Roman"/>
          <w:color w:val="000000"/>
          <w:szCs w:val="24"/>
        </w:rPr>
        <w:t xml:space="preserve">Mediante tarea que consta en el Sistema de Trámites, se solicitó a esta División </w:t>
      </w:r>
      <w:r w:rsidR="00C0711D" w:rsidRPr="003C34DD">
        <w:rPr>
          <w:rFonts w:cs="Times New Roman"/>
          <w:color w:val="000000"/>
          <w:szCs w:val="24"/>
        </w:rPr>
        <w:t xml:space="preserve">un </w:t>
      </w:r>
      <w:r w:rsidRPr="003C34DD">
        <w:rPr>
          <w:rFonts w:cs="Times New Roman"/>
          <w:color w:val="000000"/>
          <w:szCs w:val="24"/>
        </w:rPr>
        <w:t>criterio jurídico</w:t>
      </w:r>
      <w:r w:rsidRPr="003C34DD">
        <w:rPr>
          <w:rFonts w:cs="Times New Roman"/>
          <w:szCs w:val="24"/>
        </w:rPr>
        <w:t xml:space="preserve"> que </w:t>
      </w:r>
      <w:r w:rsidR="00D3235C" w:rsidRPr="003C34DD">
        <w:rPr>
          <w:rFonts w:cs="Times New Roman"/>
          <w:szCs w:val="24"/>
        </w:rPr>
        <w:t xml:space="preserve">atienda </w:t>
      </w:r>
      <w:r w:rsidR="00C0711D" w:rsidRPr="003C34DD">
        <w:rPr>
          <w:rFonts w:cs="Times New Roman"/>
          <w:szCs w:val="24"/>
        </w:rPr>
        <w:t xml:space="preserve">varias </w:t>
      </w:r>
      <w:r w:rsidR="009A0E5F" w:rsidRPr="003C34DD">
        <w:rPr>
          <w:rFonts w:cs="Times New Roman"/>
          <w:szCs w:val="24"/>
        </w:rPr>
        <w:t>consultas</w:t>
      </w:r>
      <w:r w:rsidR="001447C0" w:rsidRPr="003C34DD">
        <w:rPr>
          <w:rFonts w:cs="Times New Roman"/>
          <w:szCs w:val="24"/>
        </w:rPr>
        <w:t xml:space="preserve"> realizadas por la Auditoría Interna </w:t>
      </w:r>
      <w:r w:rsidR="00C0711D" w:rsidRPr="003C34DD">
        <w:rPr>
          <w:rFonts w:cs="Times New Roman"/>
          <w:szCs w:val="24"/>
        </w:rPr>
        <w:t xml:space="preserve">del Consejo Nacional de Supervisión del Sistema Financiero (Conassif), respecto del </w:t>
      </w:r>
      <w:r w:rsidR="001447C0" w:rsidRPr="003C34DD">
        <w:rPr>
          <w:rFonts w:cs="Times New Roman"/>
          <w:szCs w:val="24"/>
        </w:rPr>
        <w:t>cobro por supervisión</w:t>
      </w:r>
      <w:r w:rsidR="002E2B1A" w:rsidRPr="003C34DD">
        <w:rPr>
          <w:rFonts w:cs="Times New Roman"/>
          <w:szCs w:val="24"/>
        </w:rPr>
        <w:t xml:space="preserve"> que realiza la Superintendencia de Pensiones (Supen)</w:t>
      </w:r>
      <w:r w:rsidR="00700BBA" w:rsidRPr="003C34DD">
        <w:rPr>
          <w:rFonts w:cs="Times New Roman"/>
          <w:szCs w:val="24"/>
        </w:rPr>
        <w:t>.</w:t>
      </w:r>
      <w:r w:rsidR="009A0E5F" w:rsidRPr="003C34DD">
        <w:rPr>
          <w:rFonts w:cs="Times New Roman"/>
          <w:szCs w:val="24"/>
        </w:rPr>
        <w:t xml:space="preserve"> </w:t>
      </w:r>
    </w:p>
    <w:p w14:paraId="7A1881C6" w14:textId="77777777" w:rsidR="009A0E5F" w:rsidRPr="003C34DD" w:rsidRDefault="009A0E5F" w:rsidP="00913295">
      <w:pPr>
        <w:spacing w:line="240" w:lineRule="auto"/>
        <w:jc w:val="both"/>
        <w:rPr>
          <w:rFonts w:cs="Times New Roman"/>
          <w:szCs w:val="24"/>
        </w:rPr>
      </w:pPr>
    </w:p>
    <w:p w14:paraId="4E1F2062" w14:textId="7684B8B9" w:rsidR="00913295" w:rsidRPr="003C34DD" w:rsidRDefault="00625372" w:rsidP="00625372">
      <w:pPr>
        <w:spacing w:line="240" w:lineRule="auto"/>
        <w:jc w:val="both"/>
        <w:rPr>
          <w:rFonts w:cs="Times New Roman"/>
          <w:b/>
          <w:iCs/>
          <w:szCs w:val="24"/>
        </w:rPr>
      </w:pPr>
      <w:r w:rsidRPr="003C34DD">
        <w:rPr>
          <w:rFonts w:cs="Times New Roman"/>
          <w:iCs/>
          <w:szCs w:val="24"/>
        </w:rPr>
        <w:t xml:space="preserve">Para atender esta solicitud, de seguido se responde cada una de las consultas en el orden en que fueron planteadas: </w:t>
      </w:r>
      <w:r w:rsidRPr="003C34DD">
        <w:rPr>
          <w:rFonts w:cs="Times New Roman"/>
          <w:b/>
          <w:iCs/>
          <w:szCs w:val="24"/>
        </w:rPr>
        <w:t xml:space="preserve"> </w:t>
      </w:r>
    </w:p>
    <w:p w14:paraId="5CAF8412" w14:textId="77777777" w:rsidR="00625372" w:rsidRPr="003C34DD" w:rsidRDefault="00625372" w:rsidP="00625372">
      <w:pPr>
        <w:spacing w:line="240" w:lineRule="auto"/>
        <w:jc w:val="both"/>
        <w:rPr>
          <w:rFonts w:cs="Times New Roman"/>
          <w:szCs w:val="24"/>
        </w:rPr>
      </w:pPr>
    </w:p>
    <w:p w14:paraId="1B2A29D1" w14:textId="53BC7B9A" w:rsidR="00913295" w:rsidRPr="003C34DD" w:rsidRDefault="00B97BC7" w:rsidP="00DB47D5">
      <w:pPr>
        <w:pStyle w:val="Prrafodelista"/>
        <w:numPr>
          <w:ilvl w:val="0"/>
          <w:numId w:val="21"/>
        </w:numPr>
        <w:tabs>
          <w:tab w:val="left" w:pos="1056"/>
        </w:tabs>
        <w:spacing w:line="240" w:lineRule="auto"/>
        <w:jc w:val="both"/>
        <w:rPr>
          <w:rFonts w:ascii="Times New Roman" w:hAnsi="Times New Roman" w:cs="Times New Roman"/>
          <w:i/>
          <w:iCs/>
          <w:sz w:val="24"/>
          <w:szCs w:val="24"/>
        </w:rPr>
      </w:pPr>
      <w:r w:rsidRPr="003C34DD">
        <w:rPr>
          <w:rFonts w:ascii="Times New Roman" w:hAnsi="Times New Roman" w:cs="Times New Roman"/>
          <w:i/>
          <w:iCs/>
          <w:sz w:val="24"/>
          <w:szCs w:val="24"/>
        </w:rPr>
        <w:t>Se analice legalmente si a una entidad supervisada para la cual no ingresan los recursos en el plazo establecido, debido a que la entidad financiera con la que tiene domiciliada su cuenta se acoge al aplazamiento (artículo 319 (Aplazamiento de las devoluciones) del “Reglamento del sistema de pagos) le corresponde el cobro de intereses moratorios del cobro del 20% del período 2019, en atención a lo establecido en el artículo 22 del Decreto Nº 38292-H</w:t>
      </w:r>
    </w:p>
    <w:p w14:paraId="13C5549A" w14:textId="260DCA4D" w:rsidR="005C3F3B" w:rsidRPr="003C34DD" w:rsidRDefault="005C3F3B"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Los “aplazamientos” </w:t>
      </w:r>
      <w:r w:rsidR="000D4B0D" w:rsidRPr="003C34DD">
        <w:rPr>
          <w:rFonts w:ascii="Times New Roman" w:eastAsia="Times New Roman" w:hAnsi="Times New Roman" w:cs="Times New Roman"/>
          <w:color w:val="000000"/>
          <w:lang w:val="es-CR" w:eastAsia="es-CR"/>
        </w:rPr>
        <w:t xml:space="preserve">a que se refiere la consulta </w:t>
      </w:r>
      <w:r w:rsidRPr="003C34DD">
        <w:rPr>
          <w:rFonts w:ascii="Times New Roman" w:eastAsia="Times New Roman" w:hAnsi="Times New Roman" w:cs="Times New Roman"/>
          <w:color w:val="000000"/>
          <w:lang w:val="es-CR" w:eastAsia="es-CR"/>
        </w:rPr>
        <w:t xml:space="preserve">se encuentran regulados en el Capítulo XII (artículos 355 a 359) del </w:t>
      </w:r>
      <w:r w:rsidRPr="003C34DD">
        <w:rPr>
          <w:rFonts w:ascii="Times New Roman" w:eastAsia="Times New Roman" w:hAnsi="Times New Roman" w:cs="Times New Roman"/>
          <w:i/>
          <w:iCs/>
          <w:color w:val="000000"/>
          <w:lang w:val="es-CR" w:eastAsia="es-CR"/>
        </w:rPr>
        <w:t>Reglamento del Sistema de Pagos</w:t>
      </w:r>
      <w:r w:rsidRPr="003C34DD">
        <w:rPr>
          <w:rStyle w:val="Refdenotaalpie"/>
          <w:rFonts w:ascii="Times New Roman" w:eastAsia="Times New Roman" w:hAnsi="Times New Roman" w:cs="Times New Roman"/>
          <w:color w:val="000000"/>
          <w:lang w:val="es-CR" w:eastAsia="es-CR"/>
        </w:rPr>
        <w:footnoteReference w:id="1"/>
      </w:r>
      <w:r w:rsidR="00321A0D" w:rsidRPr="003C34DD">
        <w:rPr>
          <w:rFonts w:ascii="Times New Roman" w:eastAsia="Times New Roman" w:hAnsi="Times New Roman" w:cs="Times New Roman"/>
          <w:i/>
          <w:iCs/>
          <w:color w:val="000000"/>
          <w:lang w:val="es-CR" w:eastAsia="es-CR"/>
        </w:rPr>
        <w:t>,</w:t>
      </w:r>
      <w:r w:rsidRPr="003C34DD">
        <w:rPr>
          <w:rFonts w:ascii="Times New Roman" w:eastAsia="Times New Roman" w:hAnsi="Times New Roman" w:cs="Times New Roman"/>
          <w:color w:val="000000"/>
          <w:lang w:val="es-CR" w:eastAsia="es-CR"/>
        </w:rPr>
        <w:t xml:space="preserve"> en los siguientes términos:</w:t>
      </w:r>
    </w:p>
    <w:p w14:paraId="204B9A23" w14:textId="4574D0AF" w:rsidR="005C3F3B" w:rsidRPr="003C34DD" w:rsidRDefault="005C3F3B" w:rsidP="00913295">
      <w:pPr>
        <w:pStyle w:val="Textoindependiente"/>
        <w:ind w:right="49"/>
        <w:jc w:val="both"/>
        <w:rPr>
          <w:rFonts w:ascii="Times New Roman" w:eastAsia="Times New Roman" w:hAnsi="Times New Roman" w:cs="Times New Roman"/>
          <w:color w:val="000000"/>
          <w:lang w:val="es-CR" w:eastAsia="es-CR"/>
        </w:rPr>
      </w:pPr>
    </w:p>
    <w:p w14:paraId="01160F81" w14:textId="41E850FB" w:rsidR="005C3F3B" w:rsidRPr="003C34DD" w:rsidRDefault="005C3F3B" w:rsidP="00321A0D">
      <w:pPr>
        <w:tabs>
          <w:tab w:val="left" w:pos="8505"/>
        </w:tabs>
        <w:spacing w:line="240" w:lineRule="auto"/>
        <w:ind w:left="284" w:right="49"/>
        <w:contextualSpacing/>
        <w:jc w:val="both"/>
        <w:rPr>
          <w:rFonts w:cs="Times New Roman"/>
          <w:szCs w:val="24"/>
          <w:lang w:val="es-CR"/>
        </w:rPr>
      </w:pPr>
      <w:r w:rsidRPr="003C34DD">
        <w:rPr>
          <w:rFonts w:cs="Times New Roman"/>
          <w:i/>
          <w:iCs/>
          <w:szCs w:val="24"/>
          <w:lang w:val="es-CR"/>
        </w:rPr>
        <w:t xml:space="preserve">Artículo 355. Impedimento para realizar devoluciones. Cuando un afiliado </w:t>
      </w:r>
      <w:r w:rsidRPr="003C34DD">
        <w:rPr>
          <w:rFonts w:cs="Times New Roman"/>
          <w:b/>
          <w:bCs/>
          <w:i/>
          <w:iCs/>
          <w:szCs w:val="24"/>
          <w:lang w:val="es-CR"/>
        </w:rPr>
        <w:t>presente algún problema que no le permita realizar el trámite de las devoluciones</w:t>
      </w:r>
      <w:r w:rsidRPr="003C34DD">
        <w:rPr>
          <w:rFonts w:cs="Times New Roman"/>
          <w:i/>
          <w:iCs/>
          <w:szCs w:val="24"/>
          <w:lang w:val="es-CR"/>
        </w:rPr>
        <w:t>, deberá comunicar a los demás afiliados su imposibilidad para enviar las devoluciones en el ciclo del día hábil siguiente. Dicha comunicación la deberá realizar por medio del SINPE.</w:t>
      </w:r>
      <w:r w:rsidR="005D0EFB" w:rsidRPr="003C34DD">
        <w:rPr>
          <w:rFonts w:cs="Times New Roman"/>
          <w:i/>
          <w:iCs/>
          <w:szCs w:val="24"/>
          <w:lang w:val="es-CR"/>
        </w:rPr>
        <w:t xml:space="preserve"> </w:t>
      </w:r>
      <w:r w:rsidR="005D0EFB" w:rsidRPr="003C34DD">
        <w:rPr>
          <w:rFonts w:cs="Times New Roman"/>
          <w:szCs w:val="24"/>
          <w:lang w:val="es-CR"/>
        </w:rPr>
        <w:t xml:space="preserve">[Lo resaltado no es del original]. </w:t>
      </w:r>
    </w:p>
    <w:p w14:paraId="465D738C"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p>
    <w:p w14:paraId="0A2697BB"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r w:rsidRPr="003C34DD">
        <w:rPr>
          <w:rFonts w:cs="Times New Roman"/>
          <w:i/>
          <w:iCs/>
          <w:szCs w:val="24"/>
          <w:lang w:val="es-CR"/>
        </w:rPr>
        <w:t>Artículo 356. Aplazamiento de las devoluciones. El plazo para enviar las devoluciones se extenderá por veinticuatro horas entre días hábiles y podrá ampliarse por veinticuatro horas adicionales, para lo cual la entidad en falta deberá comunicar la reincidencia de la situación por medio del SINPE.</w:t>
      </w:r>
    </w:p>
    <w:p w14:paraId="0597A605"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r w:rsidRPr="003C34DD">
        <w:rPr>
          <w:rFonts w:cs="Times New Roman"/>
          <w:i/>
          <w:iCs/>
          <w:szCs w:val="24"/>
          <w:lang w:val="es-CR"/>
        </w:rPr>
        <w:lastRenderedPageBreak/>
        <w:t>Una vez transcurrido el plazo máximo de cuarenta y ocho horas, la entidad deberá realizar la acreditación de los fondos a sus clientes.</w:t>
      </w:r>
    </w:p>
    <w:p w14:paraId="25C8D36D"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p>
    <w:p w14:paraId="2463CCA0" w14:textId="38D768E0" w:rsidR="005C3F3B" w:rsidRPr="003C34DD" w:rsidRDefault="005C3F3B" w:rsidP="00321A0D">
      <w:pPr>
        <w:tabs>
          <w:tab w:val="left" w:pos="8505"/>
        </w:tabs>
        <w:spacing w:line="240" w:lineRule="auto"/>
        <w:ind w:left="284" w:right="49"/>
        <w:contextualSpacing/>
        <w:jc w:val="both"/>
        <w:rPr>
          <w:rFonts w:cs="Times New Roman"/>
          <w:szCs w:val="24"/>
          <w:lang w:val="es-CR"/>
        </w:rPr>
      </w:pPr>
      <w:r w:rsidRPr="003C34DD">
        <w:rPr>
          <w:rFonts w:cs="Times New Roman"/>
          <w:i/>
          <w:iCs/>
          <w:szCs w:val="24"/>
          <w:lang w:val="es-CR"/>
        </w:rPr>
        <w:t xml:space="preserve">Artículo 357. Responsabilidad del aplazamiento. El procedimiento de aplazamiento de devoluciones opera bajo la completa responsabilidad del afiliado, por lo que </w:t>
      </w:r>
      <w:r w:rsidRPr="003C34DD">
        <w:rPr>
          <w:rFonts w:cs="Times New Roman"/>
          <w:b/>
          <w:bCs/>
          <w:i/>
          <w:iCs/>
          <w:szCs w:val="24"/>
          <w:lang w:val="es-CR"/>
        </w:rPr>
        <w:t>el afiliado que lo utilice deberá suministrar las justificaciones pertinentes a sus clientes y al ente supervisor que corresponda</w:t>
      </w:r>
      <w:r w:rsidRPr="003C34DD">
        <w:rPr>
          <w:rFonts w:cs="Times New Roman"/>
          <w:i/>
          <w:iCs/>
          <w:szCs w:val="24"/>
          <w:lang w:val="es-CR"/>
        </w:rPr>
        <w:t>, en virtud de la no acreditación de fondos dentro de lo establecido por las leyes vigentes.</w:t>
      </w:r>
      <w:r w:rsidR="000E2477" w:rsidRPr="003C34DD">
        <w:rPr>
          <w:rFonts w:cs="Times New Roman"/>
          <w:szCs w:val="24"/>
        </w:rPr>
        <w:t xml:space="preserve"> </w:t>
      </w:r>
      <w:r w:rsidR="000E2477" w:rsidRPr="003C34DD">
        <w:rPr>
          <w:rFonts w:cs="Times New Roman"/>
          <w:szCs w:val="24"/>
          <w:lang w:val="es-CR"/>
        </w:rPr>
        <w:t>[Lo resaltado no es del original].</w:t>
      </w:r>
    </w:p>
    <w:p w14:paraId="23ADC94E"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p>
    <w:p w14:paraId="5D106B22"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r w:rsidRPr="003C34DD">
        <w:rPr>
          <w:rFonts w:cs="Times New Roman"/>
          <w:i/>
          <w:iCs/>
          <w:szCs w:val="24"/>
          <w:lang w:val="es-CR"/>
        </w:rPr>
        <w:t>Artículo 358. Aplazamiento de los ciclos de operación. El Director de la División Sistema de Pagos o quien éste designe, podrá extender los horarios de los ciclos de operación de los servicios del SINPE ante situaciones que a su criterio puedan desencadenar un riesgo sistémico.</w:t>
      </w:r>
    </w:p>
    <w:p w14:paraId="59EAE139" w14:textId="77777777" w:rsidR="005C3F3B" w:rsidRPr="003C34DD" w:rsidRDefault="005C3F3B" w:rsidP="00321A0D">
      <w:pPr>
        <w:tabs>
          <w:tab w:val="left" w:pos="8505"/>
        </w:tabs>
        <w:spacing w:line="240" w:lineRule="auto"/>
        <w:ind w:left="284" w:right="49"/>
        <w:contextualSpacing/>
        <w:jc w:val="both"/>
        <w:rPr>
          <w:rFonts w:cs="Times New Roman"/>
          <w:i/>
          <w:iCs/>
          <w:szCs w:val="24"/>
          <w:lang w:val="es-CR"/>
        </w:rPr>
      </w:pPr>
    </w:p>
    <w:p w14:paraId="22CF3ACD" w14:textId="60ECB7DA" w:rsidR="005C3F3B" w:rsidRPr="003C34DD" w:rsidRDefault="005C3F3B" w:rsidP="00321A0D">
      <w:pPr>
        <w:tabs>
          <w:tab w:val="left" w:pos="8505"/>
        </w:tabs>
        <w:spacing w:line="240" w:lineRule="auto"/>
        <w:ind w:left="284" w:right="49"/>
        <w:contextualSpacing/>
        <w:jc w:val="both"/>
        <w:rPr>
          <w:rFonts w:cs="Times New Roman"/>
          <w:i/>
          <w:iCs/>
          <w:szCs w:val="24"/>
          <w:lang w:val="es-CR"/>
        </w:rPr>
      </w:pPr>
      <w:r w:rsidRPr="003C34DD">
        <w:rPr>
          <w:rFonts w:cs="Times New Roman"/>
          <w:i/>
          <w:iCs/>
          <w:szCs w:val="24"/>
          <w:lang w:val="es-CR"/>
        </w:rPr>
        <w:t>Artículo 359. Aplazamiento de la acreditación. Cuando se presente una situación contingente que retrase la liquidación en las cuentas de fondos, los afiliados podrán extender como máximo el tiempo de acreditación por un plazo igual al tiempo oficial del retraso, por lo cual deberán acreditar los fondos a sus clientes luego de que transcurra dicho periodo.</w:t>
      </w:r>
    </w:p>
    <w:p w14:paraId="2D769614" w14:textId="77777777" w:rsidR="005C3F3B" w:rsidRPr="003C34DD" w:rsidRDefault="005C3F3B" w:rsidP="00913295">
      <w:pPr>
        <w:pStyle w:val="Textoindependiente"/>
        <w:ind w:right="49"/>
        <w:jc w:val="both"/>
        <w:rPr>
          <w:rFonts w:ascii="Times New Roman" w:eastAsia="Times New Roman" w:hAnsi="Times New Roman" w:cs="Times New Roman"/>
          <w:color w:val="000000"/>
          <w:lang w:val="es-CR" w:eastAsia="es-CR"/>
        </w:rPr>
      </w:pPr>
    </w:p>
    <w:p w14:paraId="5A9DE015" w14:textId="4020F04A" w:rsidR="00B97BC7" w:rsidRPr="003C34DD" w:rsidRDefault="00321A0D" w:rsidP="005C3F3B">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Además, </w:t>
      </w:r>
      <w:r w:rsidR="00C93E29" w:rsidRPr="003C34DD">
        <w:rPr>
          <w:rFonts w:ascii="Times New Roman" w:eastAsia="Times New Roman" w:hAnsi="Times New Roman" w:cs="Times New Roman"/>
          <w:color w:val="000000"/>
          <w:lang w:val="es-CR" w:eastAsia="es-CR"/>
        </w:rPr>
        <w:t>la División Sistema de Pagos del B</w:t>
      </w:r>
      <w:r w:rsidR="004E35A3" w:rsidRPr="003C34DD">
        <w:rPr>
          <w:rFonts w:ascii="Times New Roman" w:eastAsia="Times New Roman" w:hAnsi="Times New Roman" w:cs="Times New Roman"/>
          <w:color w:val="000000"/>
          <w:lang w:val="es-CR" w:eastAsia="es-CR"/>
        </w:rPr>
        <w:t xml:space="preserve">anco </w:t>
      </w:r>
      <w:r w:rsidR="00C93E29" w:rsidRPr="003C34DD">
        <w:rPr>
          <w:rFonts w:ascii="Times New Roman" w:eastAsia="Times New Roman" w:hAnsi="Times New Roman" w:cs="Times New Roman"/>
          <w:color w:val="000000"/>
          <w:lang w:val="es-CR" w:eastAsia="es-CR"/>
        </w:rPr>
        <w:t>C</w:t>
      </w:r>
      <w:r w:rsidR="004E35A3" w:rsidRPr="003C34DD">
        <w:rPr>
          <w:rFonts w:ascii="Times New Roman" w:eastAsia="Times New Roman" w:hAnsi="Times New Roman" w:cs="Times New Roman"/>
          <w:color w:val="000000"/>
          <w:lang w:val="es-CR" w:eastAsia="es-CR"/>
        </w:rPr>
        <w:t xml:space="preserve">entral de </w:t>
      </w:r>
      <w:r w:rsidR="00C93E29" w:rsidRPr="003C34DD">
        <w:rPr>
          <w:rFonts w:ascii="Times New Roman" w:eastAsia="Times New Roman" w:hAnsi="Times New Roman" w:cs="Times New Roman"/>
          <w:color w:val="000000"/>
          <w:lang w:val="es-CR" w:eastAsia="es-CR"/>
        </w:rPr>
        <w:t>C</w:t>
      </w:r>
      <w:r w:rsidR="004E35A3" w:rsidRPr="003C34DD">
        <w:rPr>
          <w:rFonts w:ascii="Times New Roman" w:eastAsia="Times New Roman" w:hAnsi="Times New Roman" w:cs="Times New Roman"/>
          <w:color w:val="000000"/>
          <w:lang w:val="es-CR" w:eastAsia="es-CR"/>
        </w:rPr>
        <w:t xml:space="preserve">osta </w:t>
      </w:r>
      <w:r w:rsidR="00C93E29" w:rsidRPr="003C34DD">
        <w:rPr>
          <w:rFonts w:ascii="Times New Roman" w:eastAsia="Times New Roman" w:hAnsi="Times New Roman" w:cs="Times New Roman"/>
          <w:color w:val="000000"/>
          <w:lang w:val="es-CR" w:eastAsia="es-CR"/>
        </w:rPr>
        <w:t>R</w:t>
      </w:r>
      <w:r w:rsidR="004E35A3" w:rsidRPr="003C34DD">
        <w:rPr>
          <w:rFonts w:ascii="Times New Roman" w:eastAsia="Times New Roman" w:hAnsi="Times New Roman" w:cs="Times New Roman"/>
          <w:color w:val="000000"/>
          <w:lang w:val="es-CR" w:eastAsia="es-CR"/>
        </w:rPr>
        <w:t xml:space="preserve">ica emitió una </w:t>
      </w:r>
      <w:r w:rsidR="00987357" w:rsidRPr="003C34DD">
        <w:rPr>
          <w:rFonts w:ascii="Times New Roman" w:eastAsia="Times New Roman" w:hAnsi="Times New Roman" w:cs="Times New Roman"/>
          <w:color w:val="000000"/>
          <w:lang w:val="es-CR" w:eastAsia="es-CR"/>
        </w:rPr>
        <w:t xml:space="preserve">norma complementaria </w:t>
      </w:r>
      <w:r w:rsidR="005C3F3B" w:rsidRPr="003C34DD">
        <w:rPr>
          <w:rFonts w:ascii="Times New Roman" w:eastAsia="Times New Roman" w:hAnsi="Times New Roman" w:cs="Times New Roman"/>
          <w:color w:val="000000"/>
          <w:lang w:val="es-CR" w:eastAsia="es-CR"/>
        </w:rPr>
        <w:t>para desarrollar a nivel operativo las disposiciones de dicho reglamento</w:t>
      </w:r>
      <w:r w:rsidR="00987357" w:rsidRPr="003C34DD">
        <w:rPr>
          <w:rFonts w:ascii="Times New Roman" w:eastAsia="Times New Roman" w:hAnsi="Times New Roman" w:cs="Times New Roman"/>
          <w:color w:val="000000"/>
          <w:lang w:val="es-CR" w:eastAsia="es-CR"/>
        </w:rPr>
        <w:t xml:space="preserve">, en la cual se establece: </w:t>
      </w:r>
    </w:p>
    <w:p w14:paraId="1F069CEC" w14:textId="6B8EA30F" w:rsidR="005C3F3B" w:rsidRPr="003C34DD" w:rsidRDefault="005C3F3B" w:rsidP="005C3F3B">
      <w:pPr>
        <w:pStyle w:val="Textoindependiente"/>
        <w:ind w:right="49"/>
        <w:jc w:val="both"/>
        <w:rPr>
          <w:rFonts w:ascii="Times New Roman" w:eastAsia="Times New Roman" w:hAnsi="Times New Roman" w:cs="Times New Roman"/>
          <w:color w:val="000000"/>
          <w:lang w:val="es-CR" w:eastAsia="es-CR"/>
        </w:rPr>
      </w:pPr>
    </w:p>
    <w:p w14:paraId="7542342E" w14:textId="74561742" w:rsidR="005C3F3B" w:rsidRPr="003C34DD" w:rsidRDefault="005C3F3B" w:rsidP="00987357">
      <w:pPr>
        <w:spacing w:line="240" w:lineRule="auto"/>
        <w:ind w:left="284" w:right="49"/>
        <w:contextualSpacing/>
        <w:jc w:val="both"/>
        <w:rPr>
          <w:rFonts w:cs="Times New Roman"/>
          <w:i/>
          <w:iCs/>
          <w:szCs w:val="24"/>
          <w:lang w:val="es-CR"/>
        </w:rPr>
      </w:pPr>
      <w:r w:rsidRPr="003C34DD">
        <w:rPr>
          <w:rFonts w:cs="Times New Roman"/>
          <w:i/>
          <w:iCs/>
          <w:szCs w:val="24"/>
          <w:lang w:val="es-CR"/>
        </w:rPr>
        <w:t>5.2.2.1.</w:t>
      </w:r>
      <w:r w:rsidRPr="003C34DD">
        <w:rPr>
          <w:rFonts w:cs="Times New Roman"/>
          <w:i/>
          <w:iCs/>
          <w:szCs w:val="24"/>
          <w:lang w:val="es-CR"/>
        </w:rPr>
        <w:tab/>
        <w:t>Aplazamiento del primer ciclo</w:t>
      </w:r>
    </w:p>
    <w:p w14:paraId="07D8BD27" w14:textId="77777777" w:rsidR="005C3F3B" w:rsidRPr="003C34DD" w:rsidRDefault="005C3F3B" w:rsidP="00987357">
      <w:pPr>
        <w:spacing w:line="240" w:lineRule="auto"/>
        <w:ind w:left="284" w:right="49"/>
        <w:contextualSpacing/>
        <w:jc w:val="both"/>
        <w:rPr>
          <w:rFonts w:cs="Times New Roman"/>
          <w:i/>
          <w:iCs/>
          <w:szCs w:val="24"/>
          <w:lang w:val="es-CR"/>
        </w:rPr>
      </w:pPr>
      <w:r w:rsidRPr="003C34DD">
        <w:rPr>
          <w:rFonts w:cs="Times New Roman"/>
          <w:i/>
          <w:iCs/>
          <w:szCs w:val="24"/>
          <w:lang w:val="es-CR"/>
        </w:rPr>
        <w:t xml:space="preserve">Cuando una entidad destino </w:t>
      </w:r>
      <w:r w:rsidRPr="003C34DD">
        <w:rPr>
          <w:rFonts w:cs="Times New Roman"/>
          <w:b/>
          <w:bCs/>
          <w:i/>
          <w:iCs/>
          <w:szCs w:val="24"/>
          <w:lang w:val="es-CR"/>
        </w:rPr>
        <w:t>enfrente una situación contingente que le impida realizar el proceso de devoluciones en alguno de los servicios de liquidación multilateral neta, deberá registrar una solicitud de aplazamiento según el tiempo que tiene estipulado cada servicio al cierre de la sesión de devoluciones del servicio en el que se le presente el problema, especificando las causas que obligan al aplazamiento</w:t>
      </w:r>
      <w:r w:rsidRPr="003C34DD">
        <w:rPr>
          <w:rFonts w:cs="Times New Roman"/>
          <w:i/>
          <w:iCs/>
          <w:szCs w:val="24"/>
          <w:lang w:val="es-CR"/>
        </w:rPr>
        <w:t>.</w:t>
      </w:r>
    </w:p>
    <w:p w14:paraId="20DD3F23" w14:textId="3E218993" w:rsidR="005C3F3B" w:rsidRPr="003C34DD" w:rsidRDefault="005C3F3B" w:rsidP="00987357">
      <w:pPr>
        <w:spacing w:line="240" w:lineRule="auto"/>
        <w:ind w:left="284" w:right="49"/>
        <w:contextualSpacing/>
        <w:jc w:val="both"/>
        <w:rPr>
          <w:rFonts w:cs="Times New Roman"/>
          <w:i/>
          <w:iCs/>
          <w:szCs w:val="24"/>
          <w:lang w:val="es-CR"/>
        </w:rPr>
      </w:pPr>
      <w:r w:rsidRPr="003C34DD">
        <w:rPr>
          <w:rFonts w:cs="Times New Roman"/>
          <w:i/>
          <w:iCs/>
          <w:szCs w:val="24"/>
          <w:lang w:val="es-CR"/>
        </w:rPr>
        <w:t>La solicitud deberá contener la razón de su registro y será definitiva hasta el cierre del ciclo del servicio.</w:t>
      </w:r>
    </w:p>
    <w:p w14:paraId="62CBDD81" w14:textId="404547A1" w:rsidR="005C3F3B" w:rsidRPr="003C34DD" w:rsidRDefault="005C3F3B" w:rsidP="00987357">
      <w:pPr>
        <w:spacing w:line="240" w:lineRule="auto"/>
        <w:ind w:left="284" w:right="49"/>
        <w:contextualSpacing/>
        <w:jc w:val="both"/>
        <w:rPr>
          <w:rFonts w:cs="Times New Roman"/>
          <w:i/>
          <w:iCs/>
          <w:szCs w:val="24"/>
          <w:lang w:val="es-CR"/>
        </w:rPr>
      </w:pPr>
      <w:r w:rsidRPr="003C34DD">
        <w:rPr>
          <w:rFonts w:cs="Times New Roman"/>
          <w:i/>
          <w:iCs/>
          <w:szCs w:val="24"/>
          <w:lang w:val="es-CR"/>
        </w:rPr>
        <w:t xml:space="preserve">El Sinpe, luego de realizada la liquidación del servicio, comunicará a los asociados la situación de aplazamiento, en el </w:t>
      </w:r>
      <w:r w:rsidR="004F6F61" w:rsidRPr="003C34DD">
        <w:rPr>
          <w:rFonts w:cs="Times New Roman"/>
          <w:i/>
          <w:iCs/>
          <w:szCs w:val="24"/>
          <w:lang w:val="es-CR"/>
        </w:rPr>
        <w:t>Boletín</w:t>
      </w:r>
      <w:r w:rsidRPr="003C34DD">
        <w:rPr>
          <w:rFonts w:cs="Times New Roman"/>
          <w:i/>
          <w:iCs/>
          <w:szCs w:val="24"/>
          <w:lang w:val="es-CR"/>
        </w:rPr>
        <w:t xml:space="preserve">, así como las instrucciones para extender el período de liberación de fondos o el de vigencia de la prenotificación. Por su parte, cada entidad deberá comunicar a los clientes afectados la situación. </w:t>
      </w:r>
    </w:p>
    <w:p w14:paraId="7B548E2F" w14:textId="1DC26369" w:rsidR="002A62ED" w:rsidRPr="003C34DD" w:rsidRDefault="005C3F3B" w:rsidP="002A62ED">
      <w:pPr>
        <w:tabs>
          <w:tab w:val="left" w:pos="8505"/>
        </w:tabs>
        <w:spacing w:line="240" w:lineRule="auto"/>
        <w:ind w:left="284" w:right="49"/>
        <w:contextualSpacing/>
        <w:jc w:val="both"/>
        <w:rPr>
          <w:rFonts w:cs="Times New Roman"/>
          <w:szCs w:val="24"/>
          <w:lang w:val="es-CR"/>
        </w:rPr>
      </w:pPr>
      <w:r w:rsidRPr="003C34DD">
        <w:rPr>
          <w:rFonts w:cs="Times New Roman"/>
          <w:i/>
          <w:iCs/>
          <w:szCs w:val="24"/>
          <w:lang w:val="es-CR"/>
        </w:rPr>
        <w:t>Cada solicitud de aplazamiento tendrá validez para un ciclo del servicio de pago. En el caso de la prenotificación la validez será para un día.</w:t>
      </w:r>
      <w:r w:rsidR="002A62ED" w:rsidRPr="003C34DD">
        <w:rPr>
          <w:rFonts w:cs="Times New Roman"/>
          <w:szCs w:val="24"/>
          <w:lang w:val="es-CR"/>
        </w:rPr>
        <w:t xml:space="preserve"> [Lo resaltado no es del original]. </w:t>
      </w:r>
    </w:p>
    <w:p w14:paraId="17C4994A" w14:textId="77777777" w:rsidR="004F6F61" w:rsidRPr="003C34DD" w:rsidRDefault="004F6F61" w:rsidP="00987357">
      <w:pPr>
        <w:spacing w:line="240" w:lineRule="auto"/>
        <w:ind w:left="284" w:right="49"/>
        <w:contextualSpacing/>
        <w:jc w:val="both"/>
        <w:rPr>
          <w:rFonts w:cs="Times New Roman"/>
          <w:i/>
          <w:iCs/>
          <w:szCs w:val="24"/>
          <w:lang w:val="es-CR"/>
        </w:rPr>
      </w:pPr>
    </w:p>
    <w:p w14:paraId="2AFD93FB" w14:textId="77777777" w:rsidR="00C83AA8" w:rsidRDefault="00C83AA8" w:rsidP="00987357">
      <w:pPr>
        <w:spacing w:line="240" w:lineRule="auto"/>
        <w:ind w:left="284" w:right="49"/>
        <w:contextualSpacing/>
        <w:jc w:val="both"/>
        <w:rPr>
          <w:rFonts w:cs="Times New Roman"/>
          <w:i/>
          <w:iCs/>
          <w:szCs w:val="24"/>
          <w:lang w:val="es-CR"/>
        </w:rPr>
      </w:pPr>
    </w:p>
    <w:p w14:paraId="4920FB06" w14:textId="77777777" w:rsidR="00C83AA8" w:rsidRDefault="00C83AA8" w:rsidP="00987357">
      <w:pPr>
        <w:spacing w:line="240" w:lineRule="auto"/>
        <w:ind w:left="284" w:right="49"/>
        <w:contextualSpacing/>
        <w:jc w:val="both"/>
        <w:rPr>
          <w:rFonts w:cs="Times New Roman"/>
          <w:i/>
          <w:iCs/>
          <w:szCs w:val="24"/>
          <w:lang w:val="es-CR"/>
        </w:rPr>
      </w:pPr>
    </w:p>
    <w:p w14:paraId="306CC797" w14:textId="77777777" w:rsidR="00C83AA8" w:rsidRDefault="00C83AA8" w:rsidP="00987357">
      <w:pPr>
        <w:spacing w:line="240" w:lineRule="auto"/>
        <w:ind w:left="284" w:right="49"/>
        <w:contextualSpacing/>
        <w:jc w:val="both"/>
        <w:rPr>
          <w:rFonts w:cs="Times New Roman"/>
          <w:i/>
          <w:iCs/>
          <w:szCs w:val="24"/>
          <w:lang w:val="es-CR"/>
        </w:rPr>
      </w:pPr>
    </w:p>
    <w:p w14:paraId="395B0736" w14:textId="15D53C08" w:rsidR="005C3F3B" w:rsidRPr="003C34DD" w:rsidRDefault="005C3F3B" w:rsidP="00987357">
      <w:pPr>
        <w:spacing w:line="240" w:lineRule="auto"/>
        <w:ind w:left="284" w:right="49"/>
        <w:contextualSpacing/>
        <w:jc w:val="both"/>
        <w:rPr>
          <w:rFonts w:cs="Times New Roman"/>
          <w:i/>
          <w:iCs/>
          <w:szCs w:val="24"/>
          <w:lang w:val="es-CR"/>
        </w:rPr>
      </w:pPr>
      <w:r w:rsidRPr="003C34DD">
        <w:rPr>
          <w:rFonts w:cs="Times New Roman"/>
          <w:i/>
          <w:iCs/>
          <w:szCs w:val="24"/>
          <w:lang w:val="es-CR"/>
        </w:rPr>
        <w:lastRenderedPageBreak/>
        <w:t>5.2.2.2.</w:t>
      </w:r>
      <w:r w:rsidRPr="003C34DD">
        <w:rPr>
          <w:rFonts w:cs="Times New Roman"/>
          <w:i/>
          <w:iCs/>
          <w:szCs w:val="24"/>
          <w:lang w:val="es-CR"/>
        </w:rPr>
        <w:tab/>
        <w:t>Aplazamiento del segundo ciclo</w:t>
      </w:r>
    </w:p>
    <w:p w14:paraId="4384A32E" w14:textId="0D8C888D" w:rsidR="001D2514" w:rsidRPr="003C34DD" w:rsidRDefault="005C3F3B" w:rsidP="001D2514">
      <w:pPr>
        <w:tabs>
          <w:tab w:val="left" w:pos="8505"/>
        </w:tabs>
        <w:spacing w:line="240" w:lineRule="auto"/>
        <w:ind w:left="284" w:right="49"/>
        <w:contextualSpacing/>
        <w:jc w:val="both"/>
        <w:rPr>
          <w:rFonts w:cs="Times New Roman"/>
          <w:szCs w:val="24"/>
          <w:lang w:val="es-CR"/>
        </w:rPr>
      </w:pPr>
      <w:r w:rsidRPr="003C34DD">
        <w:rPr>
          <w:rFonts w:cs="Times New Roman"/>
          <w:i/>
          <w:iCs/>
          <w:szCs w:val="24"/>
          <w:lang w:val="es-CR"/>
        </w:rPr>
        <w:t xml:space="preserve">La entidad que se haya acogido al aplazamiento del ciclo de operación de un servicio </w:t>
      </w:r>
      <w:r w:rsidRPr="00B643CC">
        <w:rPr>
          <w:rFonts w:cs="Times New Roman"/>
          <w:b/>
          <w:bCs/>
          <w:i/>
          <w:iCs/>
          <w:szCs w:val="24"/>
          <w:lang w:val="es-CR"/>
        </w:rPr>
        <w:t>podrá prorrogar por una única vez el aplazamiento para un segundo ciclo consecutivo</w:t>
      </w:r>
      <w:r w:rsidRPr="003C34DD">
        <w:rPr>
          <w:rFonts w:cs="Times New Roman"/>
          <w:i/>
          <w:iCs/>
          <w:szCs w:val="24"/>
          <w:lang w:val="es-CR"/>
        </w:rPr>
        <w:t xml:space="preserve">. Este segundo aplazamiento deberá activarlo el participante que presentó el problema con la transmisión del archivo de devoluciones. </w:t>
      </w:r>
    </w:p>
    <w:p w14:paraId="5A126917" w14:textId="57B3F02E" w:rsidR="005C3F3B" w:rsidRPr="001D2514" w:rsidRDefault="005C3F3B" w:rsidP="00987357">
      <w:pPr>
        <w:pStyle w:val="Textoindependiente"/>
        <w:ind w:left="284" w:right="49"/>
        <w:jc w:val="both"/>
        <w:rPr>
          <w:rFonts w:ascii="Times New Roman" w:eastAsia="Times New Roman" w:hAnsi="Times New Roman" w:cs="Times New Roman"/>
          <w:color w:val="000000"/>
          <w:lang w:val="es-CR" w:eastAsia="es-CR"/>
        </w:rPr>
      </w:pPr>
      <w:r w:rsidRPr="003C34DD">
        <w:rPr>
          <w:rFonts w:ascii="Times New Roman" w:hAnsi="Times New Roman" w:cs="Times New Roman"/>
          <w:i/>
          <w:iCs/>
          <w:lang w:val="es-CR"/>
        </w:rPr>
        <w:t>Este tipo de aplazamiento podrá realizarse únicamente si la entidad no efectúa ninguna devolución en el ciclo anterior. Además, con el aplazamiento deberán efectuar las devoluciones de éste y el primer ciclo, de lo contrario se entenderán como aceptadas todas las transacciones recibidas para efectos de proceder con la liquidación respectiva</w:t>
      </w:r>
      <w:r w:rsidR="00A55366" w:rsidRPr="003C34DD">
        <w:rPr>
          <w:rFonts w:ascii="Times New Roman" w:hAnsi="Times New Roman" w:cs="Times New Roman"/>
          <w:i/>
          <w:iCs/>
          <w:lang w:val="es-CR"/>
        </w:rPr>
        <w:t>.</w:t>
      </w:r>
      <w:r w:rsidR="001D2514" w:rsidRPr="001D2514">
        <w:rPr>
          <w:rFonts w:cs="Times New Roman"/>
          <w:lang w:val="es-CR"/>
        </w:rPr>
        <w:t xml:space="preserve"> </w:t>
      </w:r>
      <w:r w:rsidR="001D2514" w:rsidRPr="001D2514">
        <w:rPr>
          <w:rFonts w:ascii="Times New Roman" w:hAnsi="Times New Roman" w:cs="Times New Roman"/>
          <w:lang w:val="es-CR"/>
        </w:rPr>
        <w:t>[Lo resaltado no es del original].</w:t>
      </w:r>
    </w:p>
    <w:p w14:paraId="58C84490" w14:textId="68A799D4" w:rsidR="00B97BC7" w:rsidRPr="003C34DD" w:rsidRDefault="00B97BC7" w:rsidP="00913295">
      <w:pPr>
        <w:pStyle w:val="Textoindependiente"/>
        <w:ind w:right="49"/>
        <w:jc w:val="both"/>
        <w:rPr>
          <w:rFonts w:ascii="Times New Roman" w:eastAsia="Times New Roman" w:hAnsi="Times New Roman" w:cs="Times New Roman"/>
          <w:color w:val="000000"/>
          <w:lang w:val="es-CR" w:eastAsia="es-CR"/>
        </w:rPr>
      </w:pPr>
    </w:p>
    <w:p w14:paraId="7CB0AF50" w14:textId="02734C93" w:rsidR="00977044" w:rsidRPr="003C34DD" w:rsidRDefault="00C76CED" w:rsidP="00977044">
      <w:pPr>
        <w:pStyle w:val="Textoindependiente"/>
        <w:ind w:right="49"/>
        <w:jc w:val="both"/>
        <w:rPr>
          <w:rFonts w:ascii="Times New Roman" w:hAnsi="Times New Roman" w:cs="Times New Roman"/>
          <w:lang w:val="es-CR"/>
        </w:rPr>
      </w:pPr>
      <w:r>
        <w:rPr>
          <w:rFonts w:ascii="Times New Roman" w:eastAsia="Times New Roman" w:hAnsi="Times New Roman" w:cs="Times New Roman"/>
          <w:color w:val="000000"/>
          <w:lang w:val="es-CR" w:eastAsia="es-CR"/>
        </w:rPr>
        <w:t xml:space="preserve">De acuerdo </w:t>
      </w:r>
      <w:r w:rsidR="00EF6BB3">
        <w:rPr>
          <w:rFonts w:ascii="Times New Roman" w:eastAsia="Times New Roman" w:hAnsi="Times New Roman" w:cs="Times New Roman"/>
          <w:color w:val="000000"/>
          <w:lang w:val="es-CR" w:eastAsia="es-CR"/>
        </w:rPr>
        <w:t xml:space="preserve">con estas normas, </w:t>
      </w:r>
      <w:r w:rsidR="004F6F61" w:rsidRPr="003C34DD">
        <w:rPr>
          <w:rFonts w:ascii="Times New Roman" w:eastAsia="Times New Roman" w:hAnsi="Times New Roman" w:cs="Times New Roman"/>
          <w:color w:val="000000"/>
          <w:lang w:val="es-CR" w:eastAsia="es-CR"/>
        </w:rPr>
        <w:t>el aplazamiento es un mecanismo mediante el cual una entidad financiera</w:t>
      </w:r>
      <w:r w:rsidR="00A0209E" w:rsidRPr="003C34DD">
        <w:rPr>
          <w:rFonts w:ascii="Times New Roman" w:eastAsia="Times New Roman" w:hAnsi="Times New Roman" w:cs="Times New Roman"/>
          <w:color w:val="000000"/>
          <w:lang w:val="es-CR" w:eastAsia="es-CR"/>
        </w:rPr>
        <w:t xml:space="preserve"> </w:t>
      </w:r>
      <w:r w:rsidR="008B7BB0" w:rsidRPr="003C34DD">
        <w:rPr>
          <w:rFonts w:ascii="Times New Roman" w:eastAsia="Times New Roman" w:hAnsi="Times New Roman" w:cs="Times New Roman"/>
          <w:color w:val="000000"/>
          <w:lang w:val="es-CR" w:eastAsia="es-CR"/>
        </w:rPr>
        <w:t xml:space="preserve">participante del Sistema de Pagos </w:t>
      </w:r>
      <w:r w:rsidR="004F6F61" w:rsidRPr="003C34DD">
        <w:rPr>
          <w:rFonts w:ascii="Times New Roman" w:eastAsia="Times New Roman" w:hAnsi="Times New Roman" w:cs="Times New Roman"/>
          <w:color w:val="000000"/>
          <w:lang w:val="es-CR" w:eastAsia="es-CR"/>
        </w:rPr>
        <w:t>tiene la posibilidad de registrar una solicitud</w:t>
      </w:r>
      <w:r w:rsidR="00DC26D5" w:rsidRPr="003C34DD">
        <w:rPr>
          <w:rFonts w:ascii="Times New Roman" w:eastAsia="Times New Roman" w:hAnsi="Times New Roman" w:cs="Times New Roman"/>
          <w:color w:val="000000"/>
          <w:lang w:val="es-CR" w:eastAsia="es-CR"/>
        </w:rPr>
        <w:t>,</w:t>
      </w:r>
      <w:r w:rsidR="004F6F61" w:rsidRPr="003C34DD">
        <w:rPr>
          <w:rFonts w:ascii="Times New Roman" w:eastAsia="Times New Roman" w:hAnsi="Times New Roman" w:cs="Times New Roman"/>
          <w:color w:val="000000"/>
          <w:lang w:val="es-CR" w:eastAsia="es-CR"/>
        </w:rPr>
        <w:t xml:space="preserve"> debidamente justificada</w:t>
      </w:r>
      <w:r w:rsidR="00DC26D5" w:rsidRPr="003C34DD">
        <w:rPr>
          <w:rFonts w:ascii="Times New Roman" w:eastAsia="Times New Roman" w:hAnsi="Times New Roman" w:cs="Times New Roman"/>
          <w:color w:val="000000"/>
          <w:lang w:val="es-CR" w:eastAsia="es-CR"/>
        </w:rPr>
        <w:t>,</w:t>
      </w:r>
      <w:r w:rsidR="004F6F61" w:rsidRPr="003C34DD">
        <w:rPr>
          <w:rFonts w:ascii="Times New Roman" w:eastAsia="Times New Roman" w:hAnsi="Times New Roman" w:cs="Times New Roman"/>
          <w:color w:val="000000"/>
          <w:lang w:val="es-CR" w:eastAsia="es-CR"/>
        </w:rPr>
        <w:t xml:space="preserve"> para aplazar </w:t>
      </w:r>
      <w:r w:rsidR="00250C0F" w:rsidRPr="003C34DD">
        <w:rPr>
          <w:rFonts w:ascii="Times New Roman" w:eastAsia="Times New Roman" w:hAnsi="Times New Roman" w:cs="Times New Roman"/>
          <w:color w:val="000000"/>
          <w:lang w:val="es-CR" w:eastAsia="es-CR"/>
        </w:rPr>
        <w:t xml:space="preserve">la acreditación de los recursos </w:t>
      </w:r>
      <w:r w:rsidR="005834BE" w:rsidRPr="003C34DD">
        <w:rPr>
          <w:rFonts w:ascii="Times New Roman" w:eastAsia="Times New Roman" w:hAnsi="Times New Roman" w:cs="Times New Roman"/>
          <w:color w:val="000000"/>
          <w:lang w:val="es-CR" w:eastAsia="es-CR"/>
        </w:rPr>
        <w:t>en caso de que</w:t>
      </w:r>
      <w:r w:rsidR="00250C0F" w:rsidRPr="003C34DD">
        <w:rPr>
          <w:rFonts w:ascii="Times New Roman" w:eastAsia="Times New Roman" w:hAnsi="Times New Roman" w:cs="Times New Roman"/>
          <w:color w:val="000000"/>
          <w:lang w:val="es-CR" w:eastAsia="es-CR"/>
        </w:rPr>
        <w:t xml:space="preserve"> enfrente </w:t>
      </w:r>
      <w:r w:rsidR="00250C0F" w:rsidRPr="003C34DD">
        <w:rPr>
          <w:rFonts w:ascii="Times New Roman" w:eastAsia="Times New Roman" w:hAnsi="Times New Roman" w:cs="Times New Roman"/>
          <w:i/>
          <w:iCs/>
          <w:color w:val="000000"/>
          <w:lang w:val="es-CR" w:eastAsia="es-CR"/>
        </w:rPr>
        <w:t>“una situación contingente que le impida realizar el proceso de devoluciones en alguno de los servicios de liquidación multilateral neta”.</w:t>
      </w:r>
      <w:r w:rsidR="00A0209E" w:rsidRPr="003C34DD">
        <w:rPr>
          <w:rFonts w:ascii="Times New Roman" w:hAnsi="Times New Roman" w:cs="Times New Roman"/>
          <w:lang w:val="es-CR"/>
        </w:rPr>
        <w:t xml:space="preserve"> </w:t>
      </w:r>
      <w:r w:rsidR="00977044">
        <w:rPr>
          <w:rFonts w:ascii="Times New Roman" w:hAnsi="Times New Roman" w:cs="Times New Roman"/>
          <w:lang w:val="es-CR"/>
        </w:rPr>
        <w:t xml:space="preserve">En otras palabras, </w:t>
      </w:r>
      <w:r w:rsidR="001955BE">
        <w:rPr>
          <w:rFonts w:ascii="Times New Roman" w:hAnsi="Times New Roman" w:cs="Times New Roman"/>
          <w:lang w:val="es-CR"/>
        </w:rPr>
        <w:t xml:space="preserve">el aplazamiento puede solicitarse </w:t>
      </w:r>
      <w:r w:rsidR="00977044">
        <w:rPr>
          <w:rFonts w:ascii="Times New Roman" w:hAnsi="Times New Roman" w:cs="Times New Roman"/>
          <w:lang w:val="es-CR"/>
        </w:rPr>
        <w:t xml:space="preserve">cuando se presenten </w:t>
      </w:r>
      <w:r w:rsidR="00977044" w:rsidRPr="003C34DD">
        <w:rPr>
          <w:rFonts w:ascii="Times New Roman" w:hAnsi="Times New Roman" w:cs="Times New Roman"/>
          <w:lang w:val="es-CR"/>
        </w:rPr>
        <w:t xml:space="preserve">fallos al momento de procesar los archivos, o </w:t>
      </w:r>
      <w:r w:rsidR="00977044">
        <w:rPr>
          <w:rFonts w:ascii="Times New Roman" w:hAnsi="Times New Roman" w:cs="Times New Roman"/>
          <w:lang w:val="es-CR"/>
        </w:rPr>
        <w:t xml:space="preserve">cuando se presenten </w:t>
      </w:r>
      <w:r w:rsidR="00D67676" w:rsidRPr="003C34DD">
        <w:rPr>
          <w:rFonts w:ascii="Times New Roman" w:hAnsi="Times New Roman" w:cs="Times New Roman"/>
          <w:lang w:val="es-CR"/>
        </w:rPr>
        <w:t xml:space="preserve">fallas operativas o de conectividad </w:t>
      </w:r>
      <w:r w:rsidR="00645221">
        <w:rPr>
          <w:rFonts w:ascii="Times New Roman" w:hAnsi="Times New Roman" w:cs="Times New Roman"/>
          <w:lang w:val="es-CR"/>
        </w:rPr>
        <w:t xml:space="preserve">entre </w:t>
      </w:r>
      <w:r w:rsidR="00D67676" w:rsidRPr="003C34DD">
        <w:rPr>
          <w:rFonts w:ascii="Times New Roman" w:hAnsi="Times New Roman" w:cs="Times New Roman"/>
          <w:lang w:val="es-CR"/>
        </w:rPr>
        <w:t>los sistemas informáticos internos de la entidad financiera</w:t>
      </w:r>
      <w:r w:rsidR="001955BE">
        <w:rPr>
          <w:rFonts w:ascii="Times New Roman" w:hAnsi="Times New Roman" w:cs="Times New Roman"/>
          <w:lang w:val="es-CR"/>
        </w:rPr>
        <w:t xml:space="preserve"> y el Sinpe</w:t>
      </w:r>
      <w:r w:rsidR="00977044" w:rsidRPr="003C34DD">
        <w:rPr>
          <w:rFonts w:ascii="Times New Roman" w:hAnsi="Times New Roman" w:cs="Times New Roman"/>
          <w:lang w:val="es-CR"/>
        </w:rPr>
        <w:t>.</w:t>
      </w:r>
    </w:p>
    <w:p w14:paraId="79742D0A" w14:textId="77777777" w:rsidR="002B6761" w:rsidRDefault="002B6761" w:rsidP="00913295">
      <w:pPr>
        <w:pStyle w:val="Textoindependiente"/>
        <w:ind w:right="49"/>
        <w:jc w:val="both"/>
        <w:rPr>
          <w:rFonts w:ascii="Times New Roman" w:hAnsi="Times New Roman" w:cs="Times New Roman"/>
          <w:lang w:val="es-CR"/>
        </w:rPr>
      </w:pPr>
    </w:p>
    <w:p w14:paraId="0EED408D" w14:textId="77777777" w:rsidR="00AF46EC" w:rsidRPr="003C34DD" w:rsidRDefault="00AF46EC" w:rsidP="00AF46EC">
      <w:pPr>
        <w:spacing w:line="240" w:lineRule="auto"/>
        <w:contextualSpacing/>
        <w:jc w:val="both"/>
        <w:rPr>
          <w:rFonts w:cs="Times New Roman"/>
          <w:szCs w:val="24"/>
          <w:lang w:val="es-CR"/>
        </w:rPr>
      </w:pPr>
      <w:r w:rsidRPr="003C34DD">
        <w:rPr>
          <w:rFonts w:cs="Times New Roman"/>
          <w:szCs w:val="24"/>
          <w:lang w:val="es-CR"/>
        </w:rPr>
        <w:t xml:space="preserve">Dicho aplazamiento, tal y como se desprende del artículo 357 del Reglamento, únicamente puede ser solicitado por la entidad financiera y no por ningún otro de los participantes de la transacción (ordenante o beneficiario) razón por la cual la responsabilidad por su aplicación y justificación recae expresamente en esta primera entidad. </w:t>
      </w:r>
    </w:p>
    <w:p w14:paraId="68537CF5" w14:textId="77777777" w:rsidR="00AF46EC" w:rsidRDefault="00AF46EC" w:rsidP="00913295">
      <w:pPr>
        <w:pStyle w:val="Textoindependiente"/>
        <w:ind w:right="49"/>
        <w:jc w:val="both"/>
        <w:rPr>
          <w:rFonts w:ascii="Times New Roman" w:hAnsi="Times New Roman" w:cs="Times New Roman"/>
          <w:lang w:val="es-CR"/>
        </w:rPr>
      </w:pPr>
    </w:p>
    <w:p w14:paraId="6148570E" w14:textId="6B7790E6" w:rsidR="00634D07" w:rsidRPr="003C34DD" w:rsidRDefault="00F548FB" w:rsidP="00F548FB">
      <w:pPr>
        <w:pStyle w:val="Textoindependiente"/>
        <w:ind w:right="49"/>
        <w:jc w:val="both"/>
        <w:rPr>
          <w:rFonts w:ascii="Times New Roman" w:eastAsia="Times New Roman" w:hAnsi="Times New Roman" w:cs="Times New Roman"/>
          <w:color w:val="000000"/>
          <w:lang w:val="es-CR" w:eastAsia="es-CR"/>
        </w:rPr>
      </w:pPr>
      <w:r w:rsidRPr="003C34DD">
        <w:rPr>
          <w:rFonts w:ascii="Times New Roman" w:hAnsi="Times New Roman" w:cs="Times New Roman"/>
          <w:lang w:val="es-CR"/>
        </w:rPr>
        <w:t>En</w:t>
      </w:r>
      <w:r w:rsidR="003D1517" w:rsidRPr="003C34DD">
        <w:rPr>
          <w:rFonts w:ascii="Times New Roman" w:hAnsi="Times New Roman" w:cs="Times New Roman"/>
          <w:lang w:val="es-CR"/>
        </w:rPr>
        <w:t xml:space="preserve"> lo que se refiere a esta consulta, es importante </w:t>
      </w:r>
      <w:r w:rsidRPr="003C34DD">
        <w:rPr>
          <w:rFonts w:ascii="Times New Roman" w:hAnsi="Times New Roman" w:cs="Times New Roman"/>
          <w:lang w:val="es-CR"/>
        </w:rPr>
        <w:t>indicar que</w:t>
      </w:r>
      <w:r w:rsidR="00634D07" w:rsidRPr="003C34DD">
        <w:rPr>
          <w:rFonts w:ascii="Times New Roman" w:eastAsia="Times New Roman" w:hAnsi="Times New Roman" w:cs="Times New Roman"/>
          <w:color w:val="000000"/>
          <w:lang w:val="es-CR" w:eastAsia="es-CR"/>
        </w:rPr>
        <w:t xml:space="preserve"> la utilización de</w:t>
      </w:r>
      <w:r w:rsidR="00DB6051" w:rsidRPr="003C34DD">
        <w:rPr>
          <w:rFonts w:ascii="Times New Roman" w:eastAsia="Times New Roman" w:hAnsi="Times New Roman" w:cs="Times New Roman"/>
          <w:color w:val="000000"/>
          <w:lang w:val="es-CR" w:eastAsia="es-CR"/>
        </w:rPr>
        <w:t xml:space="preserve">l Sistema de Pagos </w:t>
      </w:r>
      <w:r w:rsidR="008112E2" w:rsidRPr="003C34DD">
        <w:rPr>
          <w:rFonts w:ascii="Times New Roman" w:eastAsia="Times New Roman" w:hAnsi="Times New Roman" w:cs="Times New Roman"/>
          <w:color w:val="000000"/>
          <w:lang w:val="es-CR" w:eastAsia="es-CR"/>
        </w:rPr>
        <w:t xml:space="preserve">para realizar el cobro por supervisión se encuentra dispuesta en el </w:t>
      </w:r>
      <w:r w:rsidR="00F12FE4" w:rsidRPr="003C34DD">
        <w:rPr>
          <w:rFonts w:ascii="Times New Roman" w:eastAsia="Times New Roman" w:hAnsi="Times New Roman" w:cs="Times New Roman"/>
          <w:color w:val="000000"/>
          <w:lang w:val="es-CR" w:eastAsia="es-CR"/>
        </w:rPr>
        <w:t xml:space="preserve">artículo 21 del </w:t>
      </w:r>
      <w:r w:rsidR="00F12FE4" w:rsidRPr="003C34DD">
        <w:rPr>
          <w:rFonts w:ascii="Times New Roman" w:eastAsia="Times New Roman" w:hAnsi="Times New Roman" w:cs="Times New Roman"/>
          <w:i/>
          <w:iCs/>
          <w:color w:val="000000"/>
          <w:lang w:val="es-CR" w:eastAsia="es-CR"/>
        </w:rPr>
        <w:t>Reglamento para regular la participación de los sujetos fiscalizados en el financiamiento del presupuesto de las superintendencias</w:t>
      </w:r>
      <w:r w:rsidR="00295866" w:rsidRPr="003C34DD">
        <w:rPr>
          <w:rStyle w:val="Refdenotaalpie"/>
          <w:rFonts w:ascii="Times New Roman" w:eastAsia="Times New Roman" w:hAnsi="Times New Roman" w:cs="Times New Roman"/>
          <w:color w:val="000000"/>
          <w:lang w:val="es-CR" w:eastAsia="es-CR"/>
        </w:rPr>
        <w:footnoteReference w:id="2"/>
      </w:r>
      <w:r w:rsidR="0049600D" w:rsidRPr="003C34DD">
        <w:rPr>
          <w:rFonts w:ascii="Times New Roman" w:hAnsi="Times New Roman" w:cs="Times New Roman"/>
        </w:rPr>
        <w:t xml:space="preserve"> (</w:t>
      </w:r>
      <w:r w:rsidR="0049600D" w:rsidRPr="003C34DD">
        <w:rPr>
          <w:rFonts w:ascii="Times New Roman" w:eastAsia="Times New Roman" w:hAnsi="Times New Roman" w:cs="Times New Roman"/>
          <w:color w:val="000000"/>
          <w:lang w:val="es-CR" w:eastAsia="es-CR"/>
        </w:rPr>
        <w:t>Reglamento de Cobro por Supervisión)</w:t>
      </w:r>
      <w:r w:rsidR="00F12FE4" w:rsidRPr="003C34DD">
        <w:rPr>
          <w:rFonts w:ascii="Times New Roman" w:eastAsia="Times New Roman" w:hAnsi="Times New Roman" w:cs="Times New Roman"/>
          <w:color w:val="000000"/>
          <w:lang w:val="es-CR" w:eastAsia="es-CR"/>
        </w:rPr>
        <w:t xml:space="preserve">, </w:t>
      </w:r>
      <w:r w:rsidR="00937EDA" w:rsidRPr="003C34DD">
        <w:rPr>
          <w:rFonts w:ascii="Times New Roman" w:eastAsia="Times New Roman" w:hAnsi="Times New Roman" w:cs="Times New Roman"/>
          <w:color w:val="000000"/>
          <w:lang w:val="es-CR" w:eastAsia="es-CR"/>
        </w:rPr>
        <w:t>según el cual</w:t>
      </w:r>
      <w:r w:rsidR="00F12FE4" w:rsidRPr="003C34DD">
        <w:rPr>
          <w:rFonts w:ascii="Times New Roman" w:eastAsia="Times New Roman" w:hAnsi="Times New Roman" w:cs="Times New Roman"/>
          <w:color w:val="000000"/>
          <w:lang w:val="es-CR" w:eastAsia="es-CR"/>
        </w:rPr>
        <w:t>:</w:t>
      </w:r>
    </w:p>
    <w:p w14:paraId="0761FCDE" w14:textId="0BCA0485" w:rsidR="00F12FE4" w:rsidRPr="003C34DD" w:rsidRDefault="00F12FE4" w:rsidP="00913295">
      <w:pPr>
        <w:pStyle w:val="Textoindependiente"/>
        <w:ind w:right="49"/>
        <w:jc w:val="both"/>
        <w:rPr>
          <w:rFonts w:ascii="Times New Roman" w:eastAsia="Times New Roman" w:hAnsi="Times New Roman" w:cs="Times New Roman"/>
          <w:color w:val="000000"/>
          <w:lang w:val="es-CR" w:eastAsia="es-CR"/>
        </w:rPr>
      </w:pPr>
    </w:p>
    <w:p w14:paraId="4C8533F2" w14:textId="77777777" w:rsidR="00F12FE4" w:rsidRPr="003C34DD" w:rsidRDefault="00F12FE4" w:rsidP="005834BE">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Artículo 21.-Gestión de cobro e incumplimiento. Mensualmente, cada Superintendencia, a través del Banco Central de Costa Rica, procederá a realizar el débito correspondiente de la cuenta de reserva del sujeto fiscalizado, salvo en el caso de las personas físicas y jurídicas inscritas al tenor del artículo 15 de la Ley 8204, las Casas de Cambio, las Cooperativas de Ahorro y Crédito, las operadoras de pensiones y entidades administradoras de fondos de pensiones creados por leyes especiales o convenciones colectivas, así como cualquiera otra entidad que no disponga de cuenta de reserva, las cuales deberán domiciliar una cuenta cliente en colones y autorizar al Banco Central de Costa Rica para que efectúe débitos directos contra la misma, conforme los </w:t>
      </w:r>
      <w:r w:rsidRPr="003C34DD">
        <w:rPr>
          <w:rFonts w:ascii="Times New Roman" w:eastAsia="Times New Roman" w:hAnsi="Times New Roman" w:cs="Times New Roman"/>
          <w:i/>
          <w:iCs/>
          <w:color w:val="000000"/>
          <w:lang w:val="es-CR" w:eastAsia="es-CR"/>
        </w:rPr>
        <w:lastRenderedPageBreak/>
        <w:t xml:space="preserve">procedimientos establecidos al efecto. </w:t>
      </w:r>
    </w:p>
    <w:p w14:paraId="6B9C9DE7" w14:textId="69F81618" w:rsidR="00F12FE4" w:rsidRPr="003C34DD" w:rsidRDefault="00F12FE4" w:rsidP="005834BE">
      <w:pPr>
        <w:pStyle w:val="Textoindependiente"/>
        <w:ind w:left="284"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i/>
          <w:iCs/>
          <w:color w:val="000000"/>
          <w:lang w:val="es-CR" w:eastAsia="es-CR"/>
        </w:rPr>
        <w:t>En el caso que no existan fondos, se notificará a la entidad, concediéndole un plazo de quince días hábiles para que comunique a la respectiva Superintendencia la disponibilidad de fondos y solicite la aplicación del respectivo débito para pagar el monto de la contribución y los intereses adeudados. Si al término de dicho plazo el sujeto fiscalizado o emisor se mantiene en mora, la Superintendencia que sea del caso certificará el adeudo y lo remitirá a la Oficina de Cobros del Ministerio de Hacienda, de conformidad con lo que establece el artículo 169(*) del Código de Normas y Procedimientos Tributarios.</w:t>
      </w:r>
    </w:p>
    <w:p w14:paraId="213AD9EA" w14:textId="77777777" w:rsidR="00F12FE4" w:rsidRPr="003C34DD" w:rsidRDefault="00F12FE4" w:rsidP="00913295">
      <w:pPr>
        <w:pStyle w:val="Textoindependiente"/>
        <w:ind w:right="49"/>
        <w:jc w:val="both"/>
        <w:rPr>
          <w:rFonts w:ascii="Times New Roman" w:eastAsia="Times New Roman" w:hAnsi="Times New Roman" w:cs="Times New Roman"/>
          <w:color w:val="000000"/>
          <w:lang w:val="es-CR" w:eastAsia="es-CR"/>
        </w:rPr>
      </w:pPr>
    </w:p>
    <w:p w14:paraId="32DC9512" w14:textId="6F57F965" w:rsidR="004B3123" w:rsidRPr="003C34DD" w:rsidRDefault="00295866"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Por su parte, e</w:t>
      </w:r>
      <w:r w:rsidR="004B3123" w:rsidRPr="003C34DD">
        <w:rPr>
          <w:rFonts w:ascii="Times New Roman" w:eastAsia="Times New Roman" w:hAnsi="Times New Roman" w:cs="Times New Roman"/>
          <w:color w:val="000000"/>
          <w:lang w:val="es-CR" w:eastAsia="es-CR"/>
        </w:rPr>
        <w:t>l artículo 22</w:t>
      </w:r>
      <w:r w:rsidRPr="003C34DD">
        <w:rPr>
          <w:rFonts w:ascii="Times New Roman" w:eastAsia="Times New Roman" w:hAnsi="Times New Roman" w:cs="Times New Roman"/>
          <w:color w:val="000000"/>
          <w:lang w:val="es-CR" w:eastAsia="es-CR"/>
        </w:rPr>
        <w:t xml:space="preserve"> de ese instrumento normativo se refiere al pago de intereses moratorios por pago tardío como sigue: </w:t>
      </w:r>
    </w:p>
    <w:p w14:paraId="4264BDDD" w14:textId="64A68145" w:rsidR="004B3123" w:rsidRPr="003C34DD" w:rsidRDefault="004B3123" w:rsidP="00913295">
      <w:pPr>
        <w:pStyle w:val="Textoindependiente"/>
        <w:ind w:right="49"/>
        <w:jc w:val="both"/>
        <w:rPr>
          <w:rFonts w:ascii="Times New Roman" w:eastAsia="Times New Roman" w:hAnsi="Times New Roman" w:cs="Times New Roman"/>
          <w:color w:val="000000"/>
          <w:lang w:val="es-CR" w:eastAsia="es-CR"/>
        </w:rPr>
      </w:pPr>
    </w:p>
    <w:p w14:paraId="62BA31B8" w14:textId="74A595EB" w:rsidR="004B3123" w:rsidRPr="003C34DD" w:rsidRDefault="004B3123" w:rsidP="006323B7">
      <w:pPr>
        <w:pStyle w:val="Textoindependiente"/>
        <w:tabs>
          <w:tab w:val="left" w:pos="7513"/>
        </w:tabs>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Artículo 22.-Intereses moratorios por pago tardío. De conformidad con el artículo 57 del Código de Normas y Procedimientos Tributarios, sin necesidad de actuación alguna de las Superintendencias o del Banco Central de Costa Rica (BCCR), los pagos efectuados fuera del plazo establecido causarán la obligación de pagar un interés equivalente a la tasa de interés aplicable por la Dirección General de Tributación del Ministerio de Hacienda a los tributos bajo su administración.</w:t>
      </w:r>
    </w:p>
    <w:p w14:paraId="467887D5" w14:textId="1DC9D769" w:rsidR="00BB6A2C" w:rsidRPr="003C34DD" w:rsidRDefault="00BB6A2C" w:rsidP="006323B7">
      <w:pPr>
        <w:pStyle w:val="Textoindependiente"/>
        <w:tabs>
          <w:tab w:val="left" w:pos="7513"/>
        </w:tabs>
        <w:ind w:left="284" w:right="49"/>
        <w:jc w:val="both"/>
        <w:rPr>
          <w:rFonts w:ascii="Times New Roman" w:eastAsia="Times New Roman" w:hAnsi="Times New Roman" w:cs="Times New Roman"/>
          <w:color w:val="000000"/>
          <w:lang w:val="es-CR" w:eastAsia="es-CR"/>
        </w:rPr>
      </w:pPr>
    </w:p>
    <w:p w14:paraId="6359958F" w14:textId="51579D56" w:rsidR="00BB6A2C" w:rsidRPr="003C34DD" w:rsidRDefault="006F0A09"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De acuerdo con esta norma, </w:t>
      </w:r>
      <w:r w:rsidR="00502A29" w:rsidRPr="003C34DD">
        <w:rPr>
          <w:rFonts w:ascii="Times New Roman" w:eastAsia="Times New Roman" w:hAnsi="Times New Roman" w:cs="Times New Roman"/>
          <w:color w:val="000000"/>
          <w:lang w:val="es-CR" w:eastAsia="es-CR"/>
        </w:rPr>
        <w:t>el sujeto pasivo del tributo</w:t>
      </w:r>
      <w:r w:rsidR="00BD7CCE" w:rsidRPr="003C34DD">
        <w:rPr>
          <w:rStyle w:val="Refdenotaalpie"/>
          <w:rFonts w:ascii="Times New Roman" w:eastAsia="Times New Roman" w:hAnsi="Times New Roman" w:cs="Times New Roman"/>
          <w:color w:val="000000"/>
          <w:lang w:val="es-CR" w:eastAsia="es-CR"/>
        </w:rPr>
        <w:footnoteReference w:id="3"/>
      </w:r>
      <w:r w:rsidR="00BD7CCE" w:rsidRPr="003C34DD">
        <w:rPr>
          <w:rFonts w:ascii="Times New Roman" w:eastAsia="Times New Roman" w:hAnsi="Times New Roman" w:cs="Times New Roman"/>
          <w:color w:val="000000"/>
          <w:lang w:val="es-CR" w:eastAsia="es-CR"/>
        </w:rPr>
        <w:t xml:space="preserve"> </w:t>
      </w:r>
      <w:r w:rsidR="00502A29" w:rsidRPr="003C34DD">
        <w:rPr>
          <w:rFonts w:ascii="Times New Roman" w:eastAsia="Times New Roman" w:hAnsi="Times New Roman" w:cs="Times New Roman"/>
          <w:color w:val="000000"/>
          <w:lang w:val="es-CR" w:eastAsia="es-CR"/>
        </w:rPr>
        <w:t xml:space="preserve">(entidad supervisada) deberá </w:t>
      </w:r>
      <w:r w:rsidR="00A71772" w:rsidRPr="003C34DD">
        <w:rPr>
          <w:rFonts w:ascii="Times New Roman" w:eastAsia="Times New Roman" w:hAnsi="Times New Roman" w:cs="Times New Roman"/>
          <w:color w:val="000000"/>
          <w:lang w:val="es-CR" w:eastAsia="es-CR"/>
        </w:rPr>
        <w:t xml:space="preserve">pagar intereses moratorios </w:t>
      </w:r>
      <w:r w:rsidR="00B55B8F" w:rsidRPr="003C34DD">
        <w:rPr>
          <w:rFonts w:ascii="Times New Roman" w:eastAsia="Times New Roman" w:hAnsi="Times New Roman" w:cs="Times New Roman"/>
          <w:color w:val="000000"/>
          <w:lang w:val="es-CR" w:eastAsia="es-CR"/>
        </w:rPr>
        <w:t xml:space="preserve">cuando el pago </w:t>
      </w:r>
      <w:r w:rsidR="00F50CBB" w:rsidRPr="003C34DD">
        <w:rPr>
          <w:rFonts w:ascii="Times New Roman" w:eastAsia="Times New Roman" w:hAnsi="Times New Roman" w:cs="Times New Roman"/>
          <w:color w:val="000000"/>
          <w:lang w:val="es-CR" w:eastAsia="es-CR"/>
        </w:rPr>
        <w:t>del tributo (cobro por supervisión) se realice fuera del plazo</w:t>
      </w:r>
      <w:r w:rsidR="007B4A84" w:rsidRPr="003C34DD">
        <w:rPr>
          <w:rFonts w:ascii="Times New Roman" w:eastAsia="Times New Roman" w:hAnsi="Times New Roman" w:cs="Times New Roman"/>
          <w:color w:val="000000"/>
          <w:lang w:val="es-CR" w:eastAsia="es-CR"/>
        </w:rPr>
        <w:t xml:space="preserve"> establecido en la normativa</w:t>
      </w:r>
      <w:r w:rsidR="00F50CBB" w:rsidRPr="003C34DD">
        <w:rPr>
          <w:rFonts w:ascii="Times New Roman" w:eastAsia="Times New Roman" w:hAnsi="Times New Roman" w:cs="Times New Roman"/>
          <w:color w:val="000000"/>
          <w:lang w:val="es-CR" w:eastAsia="es-CR"/>
        </w:rPr>
        <w:t xml:space="preserve">. </w:t>
      </w:r>
      <w:r w:rsidR="00BD7CCE" w:rsidRPr="003C34DD">
        <w:rPr>
          <w:rFonts w:ascii="Times New Roman" w:eastAsia="Times New Roman" w:hAnsi="Times New Roman" w:cs="Times New Roman"/>
          <w:color w:val="000000"/>
          <w:lang w:val="es-CR" w:eastAsia="es-CR"/>
        </w:rPr>
        <w:t xml:space="preserve"> </w:t>
      </w:r>
    </w:p>
    <w:p w14:paraId="1F684CC0" w14:textId="6A84023C" w:rsidR="002B37AE" w:rsidRPr="003C34DD" w:rsidRDefault="002B37AE" w:rsidP="00913295">
      <w:pPr>
        <w:pStyle w:val="Textoindependiente"/>
        <w:ind w:right="49"/>
        <w:jc w:val="both"/>
        <w:rPr>
          <w:rFonts w:ascii="Times New Roman" w:eastAsia="Times New Roman" w:hAnsi="Times New Roman" w:cs="Times New Roman"/>
          <w:color w:val="000000"/>
          <w:lang w:val="es-CR" w:eastAsia="es-CR"/>
        </w:rPr>
      </w:pPr>
    </w:p>
    <w:p w14:paraId="4BD58300" w14:textId="60051A21" w:rsidR="00435C77" w:rsidRPr="003C34DD" w:rsidRDefault="00AE65B7"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Ahora bien, en</w:t>
      </w:r>
      <w:r w:rsidR="006C11B4" w:rsidRPr="003C34DD">
        <w:rPr>
          <w:rFonts w:ascii="Times New Roman" w:eastAsia="Times New Roman" w:hAnsi="Times New Roman" w:cs="Times New Roman"/>
          <w:color w:val="000000"/>
          <w:lang w:val="es-CR" w:eastAsia="es-CR"/>
        </w:rPr>
        <w:t xml:space="preserve"> el caso planteado para análisis tenemos que la entidad supervisada </w:t>
      </w:r>
      <w:r w:rsidR="00326063">
        <w:rPr>
          <w:rFonts w:ascii="Times New Roman" w:eastAsia="Times New Roman" w:hAnsi="Times New Roman" w:cs="Times New Roman"/>
          <w:color w:val="000000"/>
          <w:u w:val="single"/>
          <w:lang w:val="es-CR" w:eastAsia="es-CR"/>
        </w:rPr>
        <w:t xml:space="preserve">pagó </w:t>
      </w:r>
      <w:r w:rsidR="006C11B4" w:rsidRPr="003C34DD">
        <w:rPr>
          <w:rFonts w:ascii="Times New Roman" w:eastAsia="Times New Roman" w:hAnsi="Times New Roman" w:cs="Times New Roman"/>
          <w:color w:val="000000"/>
          <w:u w:val="single"/>
          <w:lang w:val="es-CR" w:eastAsia="es-CR"/>
        </w:rPr>
        <w:t>la contribución dentro del</w:t>
      </w:r>
      <w:r w:rsidR="000D641E" w:rsidRPr="003C34DD">
        <w:rPr>
          <w:rFonts w:ascii="Times New Roman" w:eastAsia="Times New Roman" w:hAnsi="Times New Roman" w:cs="Times New Roman"/>
          <w:color w:val="000000"/>
          <w:u w:val="single"/>
          <w:lang w:val="es-CR" w:eastAsia="es-CR"/>
        </w:rPr>
        <w:t xml:space="preserve"> plazo</w:t>
      </w:r>
      <w:r w:rsidR="006C11B4" w:rsidRPr="003C34DD">
        <w:rPr>
          <w:rFonts w:ascii="Times New Roman" w:eastAsia="Times New Roman" w:hAnsi="Times New Roman" w:cs="Times New Roman"/>
          <w:color w:val="000000"/>
          <w:u w:val="single"/>
          <w:lang w:val="es-CR" w:eastAsia="es-CR"/>
        </w:rPr>
        <w:t xml:space="preserve"> </w:t>
      </w:r>
      <w:r w:rsidR="006F289B" w:rsidRPr="003C34DD">
        <w:rPr>
          <w:rFonts w:ascii="Times New Roman" w:eastAsia="Times New Roman" w:hAnsi="Times New Roman" w:cs="Times New Roman"/>
          <w:color w:val="000000"/>
          <w:u w:val="single"/>
          <w:lang w:val="es-CR" w:eastAsia="es-CR"/>
        </w:rPr>
        <w:t>establecido</w:t>
      </w:r>
      <w:r w:rsidR="006C11B4" w:rsidRPr="003C34DD">
        <w:rPr>
          <w:rFonts w:ascii="Times New Roman" w:eastAsia="Times New Roman" w:hAnsi="Times New Roman" w:cs="Times New Roman"/>
          <w:color w:val="000000"/>
          <w:lang w:val="es-CR" w:eastAsia="es-CR"/>
        </w:rPr>
        <w:t xml:space="preserve">, </w:t>
      </w:r>
      <w:r w:rsidR="00CD1EB1" w:rsidRPr="003C34DD">
        <w:rPr>
          <w:rFonts w:ascii="Times New Roman" w:eastAsia="Times New Roman" w:hAnsi="Times New Roman" w:cs="Times New Roman"/>
          <w:color w:val="000000"/>
          <w:lang w:val="es-CR" w:eastAsia="es-CR"/>
        </w:rPr>
        <w:t xml:space="preserve">sin embargo, </w:t>
      </w:r>
      <w:r w:rsidR="006C11B4" w:rsidRPr="003C34DD">
        <w:rPr>
          <w:rFonts w:ascii="Times New Roman" w:eastAsia="Times New Roman" w:hAnsi="Times New Roman" w:cs="Times New Roman"/>
          <w:color w:val="000000"/>
          <w:lang w:val="es-CR" w:eastAsia="es-CR"/>
        </w:rPr>
        <w:t>los recursos no ingresa</w:t>
      </w:r>
      <w:r w:rsidR="00225B0B">
        <w:rPr>
          <w:rFonts w:ascii="Times New Roman" w:eastAsia="Times New Roman" w:hAnsi="Times New Roman" w:cs="Times New Roman"/>
          <w:color w:val="000000"/>
          <w:lang w:val="es-CR" w:eastAsia="es-CR"/>
        </w:rPr>
        <w:t>ro</w:t>
      </w:r>
      <w:r w:rsidR="006C11B4" w:rsidRPr="003C34DD">
        <w:rPr>
          <w:rFonts w:ascii="Times New Roman" w:eastAsia="Times New Roman" w:hAnsi="Times New Roman" w:cs="Times New Roman"/>
          <w:color w:val="000000"/>
          <w:lang w:val="es-CR" w:eastAsia="es-CR"/>
        </w:rPr>
        <w:t>n a las arcas del sujeto activo</w:t>
      </w:r>
      <w:r w:rsidR="00AD0104" w:rsidRPr="003C34DD">
        <w:rPr>
          <w:rFonts w:ascii="Times New Roman" w:eastAsia="Times New Roman" w:hAnsi="Times New Roman" w:cs="Times New Roman"/>
          <w:color w:val="000000"/>
          <w:lang w:val="es-CR" w:eastAsia="es-CR"/>
        </w:rPr>
        <w:t>,</w:t>
      </w:r>
      <w:r w:rsidR="006C11B4" w:rsidRPr="003C34DD">
        <w:rPr>
          <w:rFonts w:ascii="Times New Roman" w:eastAsia="Times New Roman" w:hAnsi="Times New Roman" w:cs="Times New Roman"/>
          <w:color w:val="000000"/>
          <w:lang w:val="es-CR" w:eastAsia="es-CR"/>
        </w:rPr>
        <w:t xml:space="preserve"> </w:t>
      </w:r>
      <w:r w:rsidR="00CD1EB1" w:rsidRPr="003C34DD">
        <w:rPr>
          <w:rFonts w:ascii="Times New Roman" w:eastAsia="Times New Roman" w:hAnsi="Times New Roman" w:cs="Times New Roman"/>
          <w:color w:val="000000"/>
          <w:lang w:val="es-CR" w:eastAsia="es-CR"/>
        </w:rPr>
        <w:t xml:space="preserve">porque la entidad financiera </w:t>
      </w:r>
      <w:r w:rsidR="004E524F" w:rsidRPr="003C34DD">
        <w:rPr>
          <w:rFonts w:ascii="Times New Roman" w:eastAsia="Times New Roman" w:hAnsi="Times New Roman" w:cs="Times New Roman"/>
          <w:color w:val="000000"/>
          <w:lang w:val="es-CR" w:eastAsia="es-CR"/>
        </w:rPr>
        <w:t>por medio de la cual se realiz</w:t>
      </w:r>
      <w:r w:rsidR="006B310D">
        <w:rPr>
          <w:rFonts w:ascii="Times New Roman" w:eastAsia="Times New Roman" w:hAnsi="Times New Roman" w:cs="Times New Roman"/>
          <w:color w:val="000000"/>
          <w:lang w:val="es-CR" w:eastAsia="es-CR"/>
        </w:rPr>
        <w:t>ó</w:t>
      </w:r>
      <w:r w:rsidR="004E524F" w:rsidRPr="003C34DD">
        <w:rPr>
          <w:rFonts w:ascii="Times New Roman" w:eastAsia="Times New Roman" w:hAnsi="Times New Roman" w:cs="Times New Roman"/>
          <w:color w:val="000000"/>
          <w:lang w:val="es-CR" w:eastAsia="es-CR"/>
        </w:rPr>
        <w:t xml:space="preserve"> el pago </w:t>
      </w:r>
      <w:r w:rsidR="002063A2" w:rsidRPr="003C34DD">
        <w:rPr>
          <w:rFonts w:ascii="Times New Roman" w:eastAsia="Times New Roman" w:hAnsi="Times New Roman" w:cs="Times New Roman"/>
          <w:color w:val="000000"/>
          <w:lang w:val="es-CR" w:eastAsia="es-CR"/>
        </w:rPr>
        <w:t>recurrió al aplazamiento previsto en el Reglamento del Sistema de Pagos</w:t>
      </w:r>
      <w:r w:rsidR="00435C77" w:rsidRPr="003C34DD">
        <w:rPr>
          <w:rFonts w:ascii="Times New Roman" w:eastAsia="Times New Roman" w:hAnsi="Times New Roman" w:cs="Times New Roman"/>
          <w:color w:val="000000"/>
          <w:lang w:val="es-CR" w:eastAsia="es-CR"/>
        </w:rPr>
        <w:t xml:space="preserve">. </w:t>
      </w:r>
    </w:p>
    <w:p w14:paraId="32F71D69" w14:textId="77777777" w:rsidR="00435C77" w:rsidRPr="003C34DD" w:rsidRDefault="00435C77" w:rsidP="00913295">
      <w:pPr>
        <w:pStyle w:val="Textoindependiente"/>
        <w:ind w:right="49"/>
        <w:jc w:val="both"/>
        <w:rPr>
          <w:rFonts w:ascii="Times New Roman" w:eastAsia="Times New Roman" w:hAnsi="Times New Roman" w:cs="Times New Roman"/>
          <w:color w:val="000000"/>
          <w:lang w:val="es-CR" w:eastAsia="es-CR"/>
        </w:rPr>
      </w:pPr>
    </w:p>
    <w:p w14:paraId="32BDFC51" w14:textId="1FA61D72" w:rsidR="00514876" w:rsidRPr="003C34DD" w:rsidRDefault="007E5658"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En este sentido, e</w:t>
      </w:r>
      <w:r w:rsidR="00435C77" w:rsidRPr="003C34DD">
        <w:rPr>
          <w:rFonts w:ascii="Times New Roman" w:eastAsia="Times New Roman" w:hAnsi="Times New Roman" w:cs="Times New Roman"/>
          <w:color w:val="000000"/>
          <w:lang w:val="es-CR" w:eastAsia="es-CR"/>
        </w:rPr>
        <w:t>s criterio de esta asesoría que al encontrarse esta situación fuera del control del sujeto pasivo del tributo</w:t>
      </w:r>
      <w:r w:rsidR="00787E5F" w:rsidRPr="003C34DD">
        <w:rPr>
          <w:rFonts w:ascii="Times New Roman" w:eastAsia="Times New Roman" w:hAnsi="Times New Roman" w:cs="Times New Roman"/>
          <w:color w:val="000000"/>
          <w:lang w:val="es-CR" w:eastAsia="es-CR"/>
        </w:rPr>
        <w:t xml:space="preserve">, </w:t>
      </w:r>
      <w:r w:rsidR="00BA4964" w:rsidRPr="003C34DD">
        <w:rPr>
          <w:rFonts w:ascii="Times New Roman" w:eastAsia="Times New Roman" w:hAnsi="Times New Roman" w:cs="Times New Roman"/>
          <w:color w:val="000000"/>
          <w:lang w:val="es-CR" w:eastAsia="es-CR"/>
        </w:rPr>
        <w:t xml:space="preserve">este no </w:t>
      </w:r>
      <w:r w:rsidR="00774BF0" w:rsidRPr="003C34DD">
        <w:rPr>
          <w:rFonts w:ascii="Times New Roman" w:eastAsia="Times New Roman" w:hAnsi="Times New Roman" w:cs="Times New Roman"/>
          <w:color w:val="000000"/>
          <w:lang w:val="es-CR" w:eastAsia="es-CR"/>
        </w:rPr>
        <w:t xml:space="preserve">puede ser obligado </w:t>
      </w:r>
      <w:r w:rsidR="00BA4964" w:rsidRPr="003C34DD">
        <w:rPr>
          <w:rFonts w:ascii="Times New Roman" w:eastAsia="Times New Roman" w:hAnsi="Times New Roman" w:cs="Times New Roman"/>
          <w:color w:val="000000"/>
          <w:lang w:val="es-CR" w:eastAsia="es-CR"/>
        </w:rPr>
        <w:t xml:space="preserve">al </w:t>
      </w:r>
      <w:r w:rsidR="006C11B4" w:rsidRPr="003C34DD">
        <w:rPr>
          <w:rFonts w:ascii="Times New Roman" w:eastAsia="Times New Roman" w:hAnsi="Times New Roman" w:cs="Times New Roman"/>
          <w:color w:val="000000"/>
          <w:lang w:val="es-CR" w:eastAsia="es-CR"/>
        </w:rPr>
        <w:t xml:space="preserve">pago de </w:t>
      </w:r>
      <w:r w:rsidR="0049600D" w:rsidRPr="003C34DD">
        <w:rPr>
          <w:rFonts w:ascii="Times New Roman" w:eastAsia="Times New Roman" w:hAnsi="Times New Roman" w:cs="Times New Roman"/>
          <w:color w:val="000000"/>
          <w:lang w:val="es-CR" w:eastAsia="es-CR"/>
        </w:rPr>
        <w:t xml:space="preserve">los </w:t>
      </w:r>
      <w:r w:rsidR="006C11B4" w:rsidRPr="003C34DD">
        <w:rPr>
          <w:rFonts w:ascii="Times New Roman" w:eastAsia="Times New Roman" w:hAnsi="Times New Roman" w:cs="Times New Roman"/>
          <w:color w:val="000000"/>
          <w:lang w:val="es-CR" w:eastAsia="es-CR"/>
        </w:rPr>
        <w:t>intereses moratorios</w:t>
      </w:r>
      <w:r w:rsidR="007C7259" w:rsidRPr="003C34DD">
        <w:rPr>
          <w:rFonts w:ascii="Times New Roman" w:eastAsia="Times New Roman" w:hAnsi="Times New Roman" w:cs="Times New Roman"/>
          <w:color w:val="000000"/>
          <w:lang w:val="es-CR" w:eastAsia="es-CR"/>
        </w:rPr>
        <w:t xml:space="preserve"> </w:t>
      </w:r>
      <w:r w:rsidR="00045636" w:rsidRPr="003C34DD">
        <w:rPr>
          <w:rFonts w:ascii="Times New Roman" w:eastAsia="Times New Roman" w:hAnsi="Times New Roman" w:cs="Times New Roman"/>
          <w:color w:val="000000"/>
          <w:lang w:val="es-CR" w:eastAsia="es-CR"/>
        </w:rPr>
        <w:t xml:space="preserve">por pago tardío </w:t>
      </w:r>
      <w:r w:rsidR="0049600D" w:rsidRPr="003C34DD">
        <w:rPr>
          <w:rFonts w:ascii="Times New Roman" w:eastAsia="Times New Roman" w:hAnsi="Times New Roman" w:cs="Times New Roman"/>
          <w:color w:val="000000"/>
          <w:lang w:val="es-CR" w:eastAsia="es-CR"/>
        </w:rPr>
        <w:t xml:space="preserve">a que se refiere el artículo 22 del Reglamento de Cobro por Supervisión. </w:t>
      </w:r>
      <w:r w:rsidR="00EC034B" w:rsidRPr="003C34DD">
        <w:rPr>
          <w:rFonts w:ascii="Times New Roman" w:eastAsia="Times New Roman" w:hAnsi="Times New Roman" w:cs="Times New Roman"/>
          <w:color w:val="000000"/>
          <w:lang w:val="es-CR" w:eastAsia="es-CR"/>
        </w:rPr>
        <w:t xml:space="preserve"> </w:t>
      </w:r>
    </w:p>
    <w:p w14:paraId="64CE18CE" w14:textId="77777777" w:rsidR="0027627A" w:rsidRPr="003C34DD" w:rsidRDefault="0027627A" w:rsidP="0027627A">
      <w:pPr>
        <w:pStyle w:val="Textoindependiente"/>
        <w:ind w:right="49"/>
        <w:jc w:val="both"/>
        <w:rPr>
          <w:rFonts w:ascii="Times New Roman" w:hAnsi="Times New Roman" w:cs="Times New Roman"/>
          <w:lang w:val="es-CR"/>
        </w:rPr>
      </w:pPr>
    </w:p>
    <w:p w14:paraId="2D688871" w14:textId="6EAFCE37" w:rsidR="0027627A" w:rsidRPr="003C34DD" w:rsidRDefault="006D2B33" w:rsidP="0027627A">
      <w:pPr>
        <w:spacing w:line="240" w:lineRule="auto"/>
        <w:contextualSpacing/>
        <w:jc w:val="both"/>
        <w:rPr>
          <w:rFonts w:cs="Times New Roman"/>
          <w:szCs w:val="24"/>
          <w:lang w:val="es-CR"/>
        </w:rPr>
      </w:pPr>
      <w:r>
        <w:rPr>
          <w:rFonts w:cs="Times New Roman"/>
          <w:szCs w:val="24"/>
          <w:lang w:val="es-CR"/>
        </w:rPr>
        <w:t xml:space="preserve">En otras palabras, </w:t>
      </w:r>
      <w:r w:rsidR="0027627A" w:rsidRPr="003C34DD">
        <w:rPr>
          <w:rFonts w:cs="Times New Roman"/>
          <w:szCs w:val="24"/>
          <w:lang w:val="es-CR"/>
        </w:rPr>
        <w:t>al sujeto supervisado obligado al pago del tributo no le es imputable el atraso</w:t>
      </w:r>
      <w:r w:rsidR="00D3427C">
        <w:rPr>
          <w:rFonts w:cs="Times New Roman"/>
          <w:szCs w:val="24"/>
          <w:lang w:val="es-CR"/>
        </w:rPr>
        <w:t xml:space="preserve">, dado que, desde un punto de vista operativo, </w:t>
      </w:r>
      <w:r w:rsidR="004B15F4" w:rsidRPr="004B15F4">
        <w:rPr>
          <w:rFonts w:cs="Times New Roman"/>
          <w:szCs w:val="24"/>
          <w:lang w:val="es-CR"/>
        </w:rPr>
        <w:t xml:space="preserve">la responsabilidad por </w:t>
      </w:r>
      <w:r w:rsidR="004B15F4">
        <w:rPr>
          <w:rFonts w:cs="Times New Roman"/>
          <w:szCs w:val="24"/>
          <w:lang w:val="es-CR"/>
        </w:rPr>
        <w:t xml:space="preserve">la </w:t>
      </w:r>
      <w:r w:rsidR="004B15F4" w:rsidRPr="004B15F4">
        <w:rPr>
          <w:rFonts w:cs="Times New Roman"/>
          <w:szCs w:val="24"/>
          <w:lang w:val="es-CR"/>
        </w:rPr>
        <w:t xml:space="preserve">aplicación y justificación </w:t>
      </w:r>
      <w:r w:rsidR="004B15F4">
        <w:rPr>
          <w:rFonts w:cs="Times New Roman"/>
          <w:szCs w:val="24"/>
          <w:lang w:val="es-CR"/>
        </w:rPr>
        <w:t xml:space="preserve">del aplazamiento </w:t>
      </w:r>
      <w:r w:rsidR="004B15F4" w:rsidRPr="004B15F4">
        <w:rPr>
          <w:rFonts w:cs="Times New Roman"/>
          <w:szCs w:val="24"/>
          <w:lang w:val="es-CR"/>
        </w:rPr>
        <w:t xml:space="preserve">recae expresamente </w:t>
      </w:r>
      <w:r w:rsidR="00C568D9">
        <w:rPr>
          <w:rFonts w:cs="Times New Roman"/>
          <w:szCs w:val="24"/>
          <w:lang w:val="es-CR"/>
        </w:rPr>
        <w:t xml:space="preserve">en la entidad financiera por medio de la cual se realiza el pago. </w:t>
      </w:r>
    </w:p>
    <w:p w14:paraId="6D8D9F04" w14:textId="77777777" w:rsidR="0068306C" w:rsidRPr="003C34DD" w:rsidRDefault="0068306C" w:rsidP="00913295">
      <w:pPr>
        <w:pStyle w:val="Textoindependiente"/>
        <w:ind w:right="49"/>
        <w:jc w:val="both"/>
        <w:rPr>
          <w:rFonts w:ascii="Times New Roman" w:eastAsia="Times New Roman" w:hAnsi="Times New Roman" w:cs="Times New Roman"/>
          <w:color w:val="000000"/>
          <w:lang w:val="es-CR" w:eastAsia="es-CR"/>
        </w:rPr>
      </w:pPr>
    </w:p>
    <w:p w14:paraId="521EB94D" w14:textId="11FE01EA" w:rsidR="00BB6A2C" w:rsidRPr="003C34DD" w:rsidRDefault="004F1645" w:rsidP="00DB47D5">
      <w:pPr>
        <w:pStyle w:val="Prrafodelista"/>
        <w:numPr>
          <w:ilvl w:val="0"/>
          <w:numId w:val="21"/>
        </w:numPr>
        <w:tabs>
          <w:tab w:val="left" w:pos="1056"/>
        </w:tabs>
        <w:spacing w:line="240" w:lineRule="auto"/>
        <w:jc w:val="both"/>
        <w:rPr>
          <w:rFonts w:ascii="Times New Roman" w:hAnsi="Times New Roman" w:cs="Times New Roman"/>
          <w:i/>
          <w:iCs/>
          <w:sz w:val="24"/>
          <w:szCs w:val="24"/>
        </w:rPr>
      </w:pPr>
      <w:r w:rsidRPr="003C34DD">
        <w:rPr>
          <w:rFonts w:ascii="Times New Roman" w:hAnsi="Times New Roman" w:cs="Times New Roman"/>
          <w:i/>
          <w:iCs/>
          <w:sz w:val="24"/>
          <w:szCs w:val="24"/>
        </w:rPr>
        <w:lastRenderedPageBreak/>
        <w:t xml:space="preserve">En caso afirmativo sobre el cobro de intereses moratorios hasta qué fecha se podrían cobrar (dados los tiempos de prescripción) y quien sería el responsable de pagar dichos intereses dado que ni el BCCR ni los sujetos fiscalizados intervienen en acogerse a esta modalidad, sino que lo hace el banco responsable de la cuenta, lo cual está normado en el Reglamento del Sistema Nacional de Pagos.   </w:t>
      </w:r>
    </w:p>
    <w:p w14:paraId="423F6179" w14:textId="50DA784B" w:rsidR="00C42393" w:rsidRPr="003C34DD" w:rsidRDefault="00890CBE" w:rsidP="00736347">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De</w:t>
      </w:r>
      <w:r w:rsidR="004763AA" w:rsidRPr="003C34DD">
        <w:rPr>
          <w:rFonts w:ascii="Times New Roman" w:eastAsia="Times New Roman" w:hAnsi="Times New Roman" w:cs="Times New Roman"/>
          <w:color w:val="000000"/>
          <w:lang w:val="es-CR" w:eastAsia="es-CR"/>
        </w:rPr>
        <w:t xml:space="preserve"> acuerdo con lo indicado en el punto anterior, </w:t>
      </w:r>
      <w:r w:rsidR="00B228F1" w:rsidRPr="003C34DD">
        <w:rPr>
          <w:rFonts w:ascii="Times New Roman" w:eastAsia="Times New Roman" w:hAnsi="Times New Roman" w:cs="Times New Roman"/>
          <w:color w:val="000000"/>
          <w:lang w:val="es-CR" w:eastAsia="es-CR"/>
        </w:rPr>
        <w:t>no procede el cobro de intereses moratorios a los supervisados cuando la entidad financiera por medio de la cual se realiza el pago recurre al aplazamiento</w:t>
      </w:r>
      <w:r w:rsidR="00652386">
        <w:rPr>
          <w:rFonts w:ascii="Times New Roman" w:eastAsia="Times New Roman" w:hAnsi="Times New Roman" w:cs="Times New Roman"/>
          <w:color w:val="000000"/>
          <w:lang w:val="es-CR" w:eastAsia="es-CR"/>
        </w:rPr>
        <w:t xml:space="preserve">; lo anterior, debido a que </w:t>
      </w:r>
      <w:r w:rsidR="002432CE">
        <w:rPr>
          <w:rFonts w:ascii="Times New Roman" w:eastAsia="Times New Roman" w:hAnsi="Times New Roman" w:cs="Times New Roman"/>
          <w:color w:val="000000"/>
          <w:lang w:val="es-CR" w:eastAsia="es-CR"/>
        </w:rPr>
        <w:t xml:space="preserve">en este caso </w:t>
      </w:r>
      <w:r w:rsidR="00B228F1" w:rsidRPr="003C34DD">
        <w:rPr>
          <w:rFonts w:ascii="Times New Roman" w:eastAsia="Times New Roman" w:hAnsi="Times New Roman" w:cs="Times New Roman"/>
          <w:color w:val="000000"/>
          <w:lang w:val="es-CR" w:eastAsia="es-CR"/>
        </w:rPr>
        <w:t xml:space="preserve">no se verifican los presupuestos establecidos para dicho cobro: no es una situación atribuible al sujeto pasivo de la contribución especial y, como tal, no se trata de un caso de pago tardío de la obligación tributaria.  </w:t>
      </w:r>
    </w:p>
    <w:p w14:paraId="140DCA12" w14:textId="77777777" w:rsidR="00C42393" w:rsidRPr="003C34DD" w:rsidRDefault="00C42393" w:rsidP="00736347">
      <w:pPr>
        <w:pStyle w:val="Textoindependiente"/>
        <w:ind w:right="49"/>
        <w:jc w:val="both"/>
        <w:rPr>
          <w:rFonts w:ascii="Times New Roman" w:eastAsia="Times New Roman" w:hAnsi="Times New Roman" w:cs="Times New Roman"/>
          <w:color w:val="000000"/>
          <w:lang w:val="es-CR" w:eastAsia="es-CR"/>
        </w:rPr>
      </w:pPr>
    </w:p>
    <w:p w14:paraId="38F847FF" w14:textId="543BE4F0" w:rsidR="005822B1" w:rsidRDefault="00BE4CBE" w:rsidP="00D0583F">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En cuanto a la posibilidad </w:t>
      </w:r>
      <w:r w:rsidR="0042191A" w:rsidRPr="003C34DD">
        <w:rPr>
          <w:rFonts w:ascii="Times New Roman" w:eastAsia="Times New Roman" w:hAnsi="Times New Roman" w:cs="Times New Roman"/>
          <w:color w:val="000000"/>
          <w:lang w:val="es-CR" w:eastAsia="es-CR"/>
        </w:rPr>
        <w:t xml:space="preserve">de cobrar una indemnización a la entidad financiera que recurre a esta figura, </w:t>
      </w:r>
      <w:r w:rsidR="00054C77" w:rsidRPr="003C34DD">
        <w:rPr>
          <w:rFonts w:ascii="Times New Roman" w:eastAsia="Times New Roman" w:hAnsi="Times New Roman" w:cs="Times New Roman"/>
          <w:color w:val="000000"/>
          <w:lang w:val="es-CR" w:eastAsia="es-CR"/>
        </w:rPr>
        <w:t xml:space="preserve">considera esta asesoría que </w:t>
      </w:r>
      <w:r w:rsidR="00E358AB" w:rsidRPr="003C34DD">
        <w:rPr>
          <w:rFonts w:ascii="Times New Roman" w:eastAsia="Times New Roman" w:hAnsi="Times New Roman" w:cs="Times New Roman"/>
          <w:color w:val="000000"/>
          <w:lang w:val="es-CR" w:eastAsia="es-CR"/>
        </w:rPr>
        <w:t xml:space="preserve">por tratarse de la </w:t>
      </w:r>
      <w:r w:rsidR="00736347" w:rsidRPr="003C34DD">
        <w:rPr>
          <w:rFonts w:ascii="Times New Roman" w:eastAsia="Times New Roman" w:hAnsi="Times New Roman" w:cs="Times New Roman"/>
          <w:color w:val="000000"/>
          <w:lang w:val="es-CR" w:eastAsia="es-CR"/>
        </w:rPr>
        <w:t xml:space="preserve">implementación de un mecanismo autorizado por </w:t>
      </w:r>
      <w:r w:rsidR="008B28F2">
        <w:rPr>
          <w:rFonts w:ascii="Times New Roman" w:eastAsia="Times New Roman" w:hAnsi="Times New Roman" w:cs="Times New Roman"/>
          <w:color w:val="000000"/>
          <w:lang w:val="es-CR" w:eastAsia="es-CR"/>
        </w:rPr>
        <w:t xml:space="preserve">la ley y por </w:t>
      </w:r>
      <w:r w:rsidR="005202D6">
        <w:rPr>
          <w:rFonts w:ascii="Times New Roman" w:eastAsia="Times New Roman" w:hAnsi="Times New Roman" w:cs="Times New Roman"/>
          <w:color w:val="000000"/>
          <w:lang w:val="es-CR" w:eastAsia="es-CR"/>
        </w:rPr>
        <w:t>el Reglamento del Sistema de Pagos</w:t>
      </w:r>
      <w:r w:rsidR="00232BDB" w:rsidRPr="003C34DD">
        <w:rPr>
          <w:rFonts w:ascii="Times New Roman" w:eastAsia="Times New Roman" w:hAnsi="Times New Roman" w:cs="Times New Roman"/>
          <w:color w:val="000000"/>
          <w:lang w:val="es-CR" w:eastAsia="es-CR"/>
        </w:rPr>
        <w:t xml:space="preserve">, dicho cobro no procede </w:t>
      </w:r>
      <w:r w:rsidR="00FC0E60" w:rsidRPr="003C34DD">
        <w:rPr>
          <w:rFonts w:ascii="Times New Roman" w:eastAsia="Times New Roman" w:hAnsi="Times New Roman" w:cs="Times New Roman"/>
          <w:color w:val="000000"/>
          <w:lang w:val="es-CR" w:eastAsia="es-CR"/>
        </w:rPr>
        <w:t xml:space="preserve">en el tanto este se aplique </w:t>
      </w:r>
      <w:r w:rsidR="001D087F" w:rsidRPr="003C34DD">
        <w:rPr>
          <w:rFonts w:ascii="Times New Roman" w:eastAsia="Times New Roman" w:hAnsi="Times New Roman" w:cs="Times New Roman"/>
          <w:color w:val="000000"/>
          <w:lang w:val="es-CR" w:eastAsia="es-CR"/>
        </w:rPr>
        <w:t>en los términos que señala la normativa</w:t>
      </w:r>
      <w:r w:rsidR="00B72137">
        <w:rPr>
          <w:rFonts w:ascii="Times New Roman" w:eastAsia="Times New Roman" w:hAnsi="Times New Roman" w:cs="Times New Roman"/>
          <w:color w:val="000000"/>
          <w:lang w:val="es-CR" w:eastAsia="es-CR"/>
        </w:rPr>
        <w:t xml:space="preserve">, según la cual la entidad </w:t>
      </w:r>
      <w:r w:rsidR="00E116CC">
        <w:rPr>
          <w:rFonts w:ascii="Times New Roman" w:eastAsia="Times New Roman" w:hAnsi="Times New Roman" w:cs="Times New Roman"/>
          <w:color w:val="000000"/>
          <w:lang w:val="es-CR" w:eastAsia="es-CR"/>
        </w:rPr>
        <w:t xml:space="preserve">no </w:t>
      </w:r>
      <w:r w:rsidR="00E116CC">
        <w:rPr>
          <w:rFonts w:ascii="Times New Roman" w:eastAsia="Times New Roman" w:hAnsi="Times New Roman" w:cs="Times New Roman"/>
          <w:color w:val="000000"/>
          <w:lang w:val="es-CR" w:eastAsia="es-CR"/>
        </w:rPr>
        <w:t xml:space="preserve">debe acogerse a </w:t>
      </w:r>
      <w:r w:rsidR="00E116CC">
        <w:rPr>
          <w:rFonts w:ascii="Times New Roman" w:eastAsia="Times New Roman" w:hAnsi="Times New Roman" w:cs="Times New Roman"/>
          <w:color w:val="000000"/>
          <w:lang w:val="es-CR" w:eastAsia="es-CR"/>
        </w:rPr>
        <w:t xml:space="preserve">este mecanismo </w:t>
      </w:r>
      <w:r w:rsidR="00E116CC" w:rsidRPr="00D0583F">
        <w:rPr>
          <w:rFonts w:ascii="Times New Roman" w:eastAsia="Times New Roman" w:hAnsi="Times New Roman" w:cs="Times New Roman"/>
          <w:color w:val="000000"/>
          <w:lang w:val="es-CR" w:eastAsia="es-CR"/>
        </w:rPr>
        <w:t>por más de dos ciclos</w:t>
      </w:r>
      <w:r w:rsidR="00E116CC">
        <w:rPr>
          <w:rFonts w:ascii="Times New Roman" w:eastAsia="Times New Roman" w:hAnsi="Times New Roman" w:cs="Times New Roman"/>
          <w:color w:val="000000"/>
          <w:lang w:val="es-CR" w:eastAsia="es-CR"/>
        </w:rPr>
        <w:t xml:space="preserve">, además, </w:t>
      </w:r>
      <w:r w:rsidR="00B72137">
        <w:rPr>
          <w:rFonts w:ascii="Times New Roman" w:eastAsia="Times New Roman" w:hAnsi="Times New Roman" w:cs="Times New Roman"/>
          <w:color w:val="000000"/>
          <w:lang w:val="es-CR" w:eastAsia="es-CR"/>
        </w:rPr>
        <w:t>debe ofrecer</w:t>
      </w:r>
      <w:r w:rsidR="001D087F" w:rsidRPr="003C34DD">
        <w:rPr>
          <w:rFonts w:ascii="Times New Roman" w:eastAsia="Times New Roman" w:hAnsi="Times New Roman" w:cs="Times New Roman"/>
          <w:color w:val="000000"/>
          <w:lang w:val="es-CR" w:eastAsia="es-CR"/>
        </w:rPr>
        <w:t xml:space="preserve"> las justificaciones pertinentes</w:t>
      </w:r>
      <w:r w:rsidR="00E116CC">
        <w:rPr>
          <w:rFonts w:ascii="Times New Roman" w:eastAsia="Times New Roman" w:hAnsi="Times New Roman" w:cs="Times New Roman"/>
          <w:color w:val="000000"/>
          <w:lang w:val="es-CR" w:eastAsia="es-CR"/>
        </w:rPr>
        <w:t xml:space="preserve"> y</w:t>
      </w:r>
      <w:r w:rsidR="001D087F" w:rsidRPr="003C34DD">
        <w:rPr>
          <w:rFonts w:ascii="Times New Roman" w:eastAsia="Times New Roman" w:hAnsi="Times New Roman" w:cs="Times New Roman"/>
          <w:color w:val="000000"/>
          <w:lang w:val="es-CR" w:eastAsia="es-CR"/>
        </w:rPr>
        <w:t xml:space="preserve"> </w:t>
      </w:r>
      <w:r w:rsidR="00B72137">
        <w:rPr>
          <w:rFonts w:ascii="Times New Roman" w:eastAsia="Times New Roman" w:hAnsi="Times New Roman" w:cs="Times New Roman"/>
          <w:color w:val="000000"/>
          <w:lang w:val="es-CR" w:eastAsia="es-CR"/>
        </w:rPr>
        <w:t>comunicar</w:t>
      </w:r>
      <w:r w:rsidR="001D087F" w:rsidRPr="003C34DD">
        <w:rPr>
          <w:rFonts w:ascii="Times New Roman" w:eastAsia="Times New Roman" w:hAnsi="Times New Roman" w:cs="Times New Roman"/>
          <w:color w:val="000000"/>
          <w:lang w:val="es-CR" w:eastAsia="es-CR"/>
        </w:rPr>
        <w:t xml:space="preserve"> la situación a los afectados</w:t>
      </w:r>
      <w:r w:rsidR="00E116CC">
        <w:rPr>
          <w:rFonts w:ascii="Times New Roman" w:eastAsia="Times New Roman" w:hAnsi="Times New Roman" w:cs="Times New Roman"/>
          <w:color w:val="000000"/>
          <w:lang w:val="es-CR" w:eastAsia="es-CR"/>
        </w:rPr>
        <w:t xml:space="preserve">.  </w:t>
      </w:r>
    </w:p>
    <w:p w14:paraId="245F9B9B" w14:textId="77777777" w:rsidR="005822B1" w:rsidRDefault="005822B1" w:rsidP="00D0583F">
      <w:pPr>
        <w:pStyle w:val="Textoindependiente"/>
        <w:ind w:right="49"/>
        <w:jc w:val="both"/>
        <w:rPr>
          <w:rFonts w:ascii="Times New Roman" w:eastAsia="Times New Roman" w:hAnsi="Times New Roman" w:cs="Times New Roman"/>
          <w:color w:val="000000"/>
          <w:lang w:val="es-CR" w:eastAsia="es-CR"/>
        </w:rPr>
      </w:pPr>
    </w:p>
    <w:p w14:paraId="18F834B8" w14:textId="34541B22" w:rsidR="00A81F7D" w:rsidRPr="003C34DD" w:rsidRDefault="008507A2" w:rsidP="00972BD1">
      <w:pPr>
        <w:pStyle w:val="Textoindependiente"/>
        <w:ind w:right="49"/>
        <w:jc w:val="both"/>
        <w:rPr>
          <w:rFonts w:ascii="Times New Roman" w:hAnsi="Times New Roman" w:cs="Times New Roman"/>
          <w:lang w:val="es-CR"/>
        </w:rPr>
      </w:pPr>
      <w:r>
        <w:rPr>
          <w:rFonts w:ascii="Times New Roman" w:eastAsia="Times New Roman" w:hAnsi="Times New Roman" w:cs="Times New Roman"/>
          <w:color w:val="000000"/>
          <w:lang w:val="es-CR" w:eastAsia="es-CR"/>
        </w:rPr>
        <w:t xml:space="preserve">En este sentido, </w:t>
      </w:r>
      <w:r w:rsidR="003E6BD2">
        <w:rPr>
          <w:rFonts w:ascii="Times New Roman" w:eastAsia="Times New Roman" w:hAnsi="Times New Roman" w:cs="Times New Roman"/>
          <w:color w:val="000000"/>
          <w:lang w:val="es-CR" w:eastAsia="es-CR"/>
        </w:rPr>
        <w:t xml:space="preserve">conviene tener presente lo dispuesto en </w:t>
      </w:r>
      <w:r w:rsidR="00A81F7D" w:rsidRPr="003C34DD">
        <w:rPr>
          <w:rFonts w:ascii="Times New Roman" w:hAnsi="Times New Roman" w:cs="Times New Roman"/>
          <w:lang w:val="es-CR"/>
        </w:rPr>
        <w:t>el artículo 2</w:t>
      </w:r>
      <w:r w:rsidR="00142502">
        <w:rPr>
          <w:rFonts w:ascii="Times New Roman" w:hAnsi="Times New Roman" w:cs="Times New Roman"/>
          <w:lang w:val="es-CR"/>
        </w:rPr>
        <w:t>,</w:t>
      </w:r>
      <w:r w:rsidR="00A81F7D" w:rsidRPr="003C34DD">
        <w:rPr>
          <w:rFonts w:ascii="Times New Roman" w:hAnsi="Times New Roman" w:cs="Times New Roman"/>
          <w:lang w:val="es-CR"/>
        </w:rPr>
        <w:t xml:space="preserve"> inciso c)</w:t>
      </w:r>
      <w:r w:rsidR="00142502">
        <w:rPr>
          <w:rFonts w:ascii="Times New Roman" w:hAnsi="Times New Roman" w:cs="Times New Roman"/>
          <w:lang w:val="es-CR"/>
        </w:rPr>
        <w:t>,</w:t>
      </w:r>
      <w:r w:rsidR="00A81F7D" w:rsidRPr="003C34DD">
        <w:rPr>
          <w:rFonts w:ascii="Times New Roman" w:hAnsi="Times New Roman" w:cs="Times New Roman"/>
          <w:lang w:val="es-CR"/>
        </w:rPr>
        <w:t xml:space="preserve"> de la Ley Orgánica del Banco Central de Costa Rica (LOBCCR), </w:t>
      </w:r>
      <w:r w:rsidR="0052125C">
        <w:rPr>
          <w:rFonts w:ascii="Times New Roman" w:hAnsi="Times New Roman" w:cs="Times New Roman"/>
          <w:lang w:val="es-CR"/>
        </w:rPr>
        <w:t>según el cual</w:t>
      </w:r>
      <w:r w:rsidR="00A81F7D" w:rsidRPr="003C34DD">
        <w:rPr>
          <w:rFonts w:ascii="Times New Roman" w:hAnsi="Times New Roman" w:cs="Times New Roman"/>
          <w:lang w:val="es-CR"/>
        </w:rPr>
        <w:t>:</w:t>
      </w:r>
    </w:p>
    <w:p w14:paraId="050B3124" w14:textId="77777777" w:rsidR="00A81F7D" w:rsidRPr="003C34DD" w:rsidRDefault="00A81F7D" w:rsidP="00A81F7D">
      <w:pPr>
        <w:spacing w:line="240" w:lineRule="auto"/>
        <w:contextualSpacing/>
        <w:jc w:val="both"/>
        <w:rPr>
          <w:rFonts w:cs="Times New Roman"/>
          <w:szCs w:val="24"/>
          <w:lang w:val="es-CR"/>
        </w:rPr>
      </w:pPr>
    </w:p>
    <w:p w14:paraId="16DBCDF8" w14:textId="77777777" w:rsidR="0052125C" w:rsidRDefault="00A81F7D" w:rsidP="00890CBE">
      <w:pPr>
        <w:spacing w:line="240" w:lineRule="auto"/>
        <w:ind w:left="284" w:right="49"/>
        <w:contextualSpacing/>
        <w:jc w:val="both"/>
        <w:rPr>
          <w:rFonts w:cs="Times New Roman"/>
          <w:i/>
          <w:iCs/>
          <w:szCs w:val="24"/>
          <w:lang w:val="es-CR"/>
        </w:rPr>
      </w:pPr>
      <w:r w:rsidRPr="003C34DD">
        <w:rPr>
          <w:rFonts w:cs="Times New Roman"/>
          <w:i/>
          <w:iCs/>
          <w:szCs w:val="24"/>
          <w:lang w:val="es-CR"/>
        </w:rPr>
        <w:t xml:space="preserve">El Banco Central de Costa Rica tendrá como principales objetivos, mantener la estabilidad interna y externa de la moneda nacional y asegurar su conversión a otras monedas y, como objetivos subsidiarios, los siguientes: </w:t>
      </w:r>
    </w:p>
    <w:p w14:paraId="1968F1B2" w14:textId="25003D61" w:rsidR="00A81F7D" w:rsidRPr="003C34DD" w:rsidRDefault="0052125C" w:rsidP="00890CBE">
      <w:pPr>
        <w:spacing w:line="240" w:lineRule="auto"/>
        <w:ind w:left="284" w:right="49"/>
        <w:contextualSpacing/>
        <w:jc w:val="both"/>
        <w:rPr>
          <w:rFonts w:cs="Times New Roman"/>
          <w:i/>
          <w:iCs/>
          <w:szCs w:val="24"/>
          <w:lang w:val="es-CR"/>
        </w:rPr>
      </w:pPr>
      <w:r>
        <w:rPr>
          <w:rFonts w:cs="Times New Roman"/>
          <w:i/>
          <w:iCs/>
          <w:szCs w:val="24"/>
          <w:lang w:val="es-CR"/>
        </w:rPr>
        <w:t>[…]</w:t>
      </w:r>
      <w:r w:rsidR="00A81F7D" w:rsidRPr="003C34DD">
        <w:rPr>
          <w:rFonts w:cs="Times New Roman"/>
          <w:i/>
          <w:iCs/>
          <w:szCs w:val="24"/>
          <w:lang w:val="es-CR"/>
        </w:rPr>
        <w:t xml:space="preserve"> </w:t>
      </w:r>
    </w:p>
    <w:p w14:paraId="6A0CF54E" w14:textId="0D4C02CB" w:rsidR="00A81F7D" w:rsidRPr="003C34DD" w:rsidRDefault="00A81F7D" w:rsidP="00890CBE">
      <w:pPr>
        <w:spacing w:line="240" w:lineRule="auto"/>
        <w:ind w:left="284" w:right="49"/>
        <w:contextualSpacing/>
        <w:jc w:val="both"/>
        <w:rPr>
          <w:rFonts w:cs="Times New Roman"/>
          <w:i/>
          <w:iCs/>
          <w:szCs w:val="24"/>
          <w:lang w:val="es-CR"/>
        </w:rPr>
      </w:pPr>
      <w:r w:rsidRPr="003C34DD">
        <w:rPr>
          <w:rFonts w:cs="Times New Roman"/>
          <w:i/>
          <w:iCs/>
          <w:szCs w:val="24"/>
          <w:lang w:val="es-CR"/>
        </w:rPr>
        <w:t xml:space="preserve">c) Promover la eficiencia del sistema de pagos internos y externos y mantener su normal funcionamiento. </w:t>
      </w:r>
    </w:p>
    <w:p w14:paraId="0E2BA1A8" w14:textId="77777777" w:rsidR="00A81F7D" w:rsidRPr="003C34DD" w:rsidRDefault="00A81F7D" w:rsidP="00A81F7D">
      <w:pPr>
        <w:spacing w:line="240" w:lineRule="auto"/>
        <w:contextualSpacing/>
        <w:jc w:val="both"/>
        <w:rPr>
          <w:rFonts w:cs="Times New Roman"/>
          <w:szCs w:val="24"/>
          <w:lang w:val="es-CR"/>
        </w:rPr>
      </w:pPr>
    </w:p>
    <w:p w14:paraId="5147184F" w14:textId="104C8ADF" w:rsidR="00A81F7D" w:rsidRPr="003C34DD" w:rsidRDefault="00A81F7D" w:rsidP="00A81F7D">
      <w:pPr>
        <w:spacing w:line="240" w:lineRule="auto"/>
        <w:contextualSpacing/>
        <w:jc w:val="both"/>
        <w:rPr>
          <w:rFonts w:cs="Times New Roman"/>
          <w:szCs w:val="24"/>
          <w:lang w:val="es-CR"/>
        </w:rPr>
      </w:pPr>
      <w:r w:rsidRPr="003C34DD">
        <w:rPr>
          <w:rFonts w:cs="Times New Roman"/>
          <w:szCs w:val="24"/>
          <w:lang w:val="es-CR"/>
        </w:rPr>
        <w:t xml:space="preserve">En la medida en que el propio legislador ha calificado la operación del </w:t>
      </w:r>
      <w:r w:rsidR="00530B96">
        <w:rPr>
          <w:rFonts w:cs="Times New Roman"/>
          <w:szCs w:val="24"/>
          <w:lang w:val="es-CR"/>
        </w:rPr>
        <w:t>S</w:t>
      </w:r>
      <w:r w:rsidRPr="003C34DD">
        <w:rPr>
          <w:rFonts w:cs="Times New Roman"/>
          <w:szCs w:val="24"/>
          <w:lang w:val="es-CR"/>
        </w:rPr>
        <w:t xml:space="preserve">istema de </w:t>
      </w:r>
      <w:r w:rsidR="00530B96">
        <w:rPr>
          <w:rFonts w:cs="Times New Roman"/>
          <w:szCs w:val="24"/>
          <w:lang w:val="es-CR"/>
        </w:rPr>
        <w:t>P</w:t>
      </w:r>
      <w:r w:rsidRPr="003C34DD">
        <w:rPr>
          <w:rFonts w:cs="Times New Roman"/>
          <w:szCs w:val="24"/>
          <w:lang w:val="es-CR"/>
        </w:rPr>
        <w:t xml:space="preserve">agos como función esencial del Banco </w:t>
      </w:r>
      <w:r w:rsidR="00F97899">
        <w:rPr>
          <w:rFonts w:cs="Times New Roman"/>
          <w:szCs w:val="24"/>
          <w:lang w:val="es-CR"/>
        </w:rPr>
        <w:t>Central de Costa Rica</w:t>
      </w:r>
      <w:r w:rsidR="00007C12">
        <w:rPr>
          <w:rFonts w:cs="Times New Roman"/>
          <w:szCs w:val="24"/>
          <w:lang w:val="es-CR"/>
        </w:rPr>
        <w:t xml:space="preserve"> (BCCR)</w:t>
      </w:r>
      <w:r w:rsidR="00F97899">
        <w:rPr>
          <w:rFonts w:cs="Times New Roman"/>
          <w:szCs w:val="24"/>
          <w:lang w:val="es-CR"/>
        </w:rPr>
        <w:t xml:space="preserve">, </w:t>
      </w:r>
      <w:r w:rsidR="00282AF8">
        <w:rPr>
          <w:rFonts w:cs="Times New Roman"/>
          <w:szCs w:val="24"/>
          <w:lang w:val="es-CR"/>
        </w:rPr>
        <w:t>el artículo</w:t>
      </w:r>
      <w:r w:rsidRPr="003C34DD">
        <w:rPr>
          <w:rFonts w:cs="Times New Roman"/>
          <w:szCs w:val="24"/>
          <w:lang w:val="es-CR"/>
        </w:rPr>
        <w:t xml:space="preserve"> 69 de la LOBCCR</w:t>
      </w:r>
      <w:r w:rsidR="00282AF8">
        <w:rPr>
          <w:rFonts w:cs="Times New Roman"/>
          <w:szCs w:val="24"/>
          <w:lang w:val="es-CR"/>
        </w:rPr>
        <w:t xml:space="preserve"> dispone</w:t>
      </w:r>
      <w:r w:rsidRPr="003C34DD">
        <w:rPr>
          <w:rFonts w:cs="Times New Roman"/>
          <w:szCs w:val="24"/>
          <w:lang w:val="es-CR"/>
        </w:rPr>
        <w:t>:</w:t>
      </w:r>
    </w:p>
    <w:p w14:paraId="2F7C6C23" w14:textId="77777777" w:rsidR="00A81F7D" w:rsidRPr="003C34DD" w:rsidRDefault="00A81F7D" w:rsidP="00A81F7D">
      <w:pPr>
        <w:spacing w:line="240" w:lineRule="auto"/>
        <w:contextualSpacing/>
        <w:jc w:val="both"/>
        <w:rPr>
          <w:rFonts w:cs="Times New Roman"/>
          <w:szCs w:val="24"/>
          <w:lang w:val="es-CR"/>
        </w:rPr>
      </w:pPr>
    </w:p>
    <w:p w14:paraId="534D4199" w14:textId="1336E5FB" w:rsidR="00A81F7D" w:rsidRPr="003C34DD" w:rsidRDefault="00A81F7D" w:rsidP="00007C12">
      <w:pPr>
        <w:spacing w:before="100" w:beforeAutospacing="1" w:after="100" w:afterAutospacing="1" w:line="240" w:lineRule="auto"/>
        <w:ind w:left="284" w:right="49"/>
        <w:contextualSpacing/>
        <w:jc w:val="both"/>
        <w:rPr>
          <w:rFonts w:eastAsia="Times New Roman" w:cs="Times New Roman"/>
          <w:i/>
          <w:iCs/>
          <w:color w:val="000000"/>
          <w:szCs w:val="24"/>
          <w:lang w:val="es-CR" w:eastAsia="es-CR"/>
        </w:rPr>
      </w:pPr>
      <w:r w:rsidRPr="003C34DD">
        <w:rPr>
          <w:rFonts w:eastAsia="Times New Roman" w:cs="Times New Roman"/>
          <w:i/>
          <w:iCs/>
          <w:color w:val="000000"/>
          <w:szCs w:val="24"/>
          <w:lang w:val="es-CR" w:eastAsia="es-CR"/>
        </w:rPr>
        <w:t>Artículo 69.- </w:t>
      </w:r>
      <w:r w:rsidRPr="003C34DD">
        <w:rPr>
          <w:rFonts w:eastAsia="Times New Roman" w:cs="Times New Roman"/>
          <w:b/>
          <w:bCs/>
          <w:i/>
          <w:iCs/>
          <w:color w:val="000000"/>
          <w:szCs w:val="24"/>
          <w:lang w:val="es-CR" w:eastAsia="es-CR"/>
        </w:rPr>
        <w:t>Organización del sistema de pagos</w:t>
      </w:r>
    </w:p>
    <w:p w14:paraId="55DA5DFA" w14:textId="1E4A50DE" w:rsidR="00A81F7D" w:rsidRPr="003C34DD" w:rsidRDefault="00A81F7D" w:rsidP="00007C12">
      <w:pPr>
        <w:spacing w:before="100" w:beforeAutospacing="1" w:after="100" w:afterAutospacing="1" w:line="240" w:lineRule="auto"/>
        <w:ind w:left="284" w:right="49"/>
        <w:contextualSpacing/>
        <w:jc w:val="both"/>
        <w:rPr>
          <w:rFonts w:eastAsia="Times New Roman" w:cs="Times New Roman"/>
          <w:i/>
          <w:iCs/>
          <w:color w:val="000000"/>
          <w:szCs w:val="24"/>
          <w:lang w:val="es-CR" w:eastAsia="es-CR"/>
        </w:rPr>
      </w:pPr>
      <w:r w:rsidRPr="00007C12">
        <w:rPr>
          <w:rFonts w:eastAsia="Times New Roman" w:cs="Times New Roman"/>
          <w:b/>
          <w:bCs/>
          <w:i/>
          <w:iCs/>
          <w:color w:val="000000"/>
          <w:szCs w:val="24"/>
          <w:lang w:val="es-CR" w:eastAsia="es-CR"/>
        </w:rPr>
        <w:t>La Junta Directiva del Banco Central de Costa Rica organizará y reglamentará el funcionamiento del sistema de pagos</w:t>
      </w:r>
      <w:r w:rsidRPr="003C34DD">
        <w:rPr>
          <w:rFonts w:eastAsia="Times New Roman" w:cs="Times New Roman"/>
          <w:i/>
          <w:iCs/>
          <w:color w:val="000000"/>
          <w:szCs w:val="24"/>
          <w:u w:val="single"/>
          <w:lang w:val="es-CR" w:eastAsia="es-CR"/>
        </w:rPr>
        <w:t>,</w:t>
      </w:r>
      <w:r w:rsidRPr="003C34DD">
        <w:rPr>
          <w:rFonts w:eastAsia="Times New Roman" w:cs="Times New Roman"/>
          <w:i/>
          <w:iCs/>
          <w:color w:val="000000"/>
          <w:szCs w:val="24"/>
          <w:lang w:val="es-CR" w:eastAsia="es-CR"/>
        </w:rPr>
        <w:t xml:space="preserve"> de tal forma que se garantice a los usuarios de los servicios financieros y bancarios que las entidades, autorizadas para operar en la Cámara de Compensación y en los sistemas electrónicos que el Banco Central establezca, acreditarán el valor de las transferencias recibidas y de los instrumentos compensables pertenecientes a otros participantes, en un plazo específico después de confirmada la respectiva liquidación en firme en la cuenta corriente, mantenida por el </w:t>
      </w:r>
      <w:r w:rsidRPr="003C34DD">
        <w:rPr>
          <w:rFonts w:eastAsia="Times New Roman" w:cs="Times New Roman"/>
          <w:i/>
          <w:iCs/>
          <w:color w:val="000000"/>
          <w:szCs w:val="24"/>
          <w:lang w:val="es-CR" w:eastAsia="es-CR"/>
        </w:rPr>
        <w:lastRenderedPageBreak/>
        <w:t xml:space="preserve">participante en el Banco Central. </w:t>
      </w:r>
      <w:r w:rsidRPr="00007C12">
        <w:rPr>
          <w:rFonts w:eastAsia="Times New Roman" w:cs="Times New Roman"/>
          <w:b/>
          <w:bCs/>
          <w:i/>
          <w:iCs/>
          <w:color w:val="000000"/>
          <w:szCs w:val="24"/>
          <w:lang w:val="es-CR" w:eastAsia="es-CR"/>
        </w:rPr>
        <w:t>La Junta Directiva del Banco Central determinará, en el Reglamento del Sistema de Pagos, ese plazo y las condiciones requeridas para que una entidad pueda participar en los sistemas que el Banco Central establezca.</w:t>
      </w:r>
      <w:r w:rsidRPr="003C34DD">
        <w:rPr>
          <w:rFonts w:eastAsia="Times New Roman" w:cs="Times New Roman"/>
          <w:i/>
          <w:iCs/>
          <w:color w:val="000000"/>
          <w:szCs w:val="24"/>
          <w:lang w:val="es-CR" w:eastAsia="es-CR"/>
        </w:rPr>
        <w:t xml:space="preserve"> </w:t>
      </w:r>
      <w:r w:rsidR="00007C12">
        <w:rPr>
          <w:rFonts w:eastAsia="Times New Roman" w:cs="Times New Roman"/>
          <w:i/>
          <w:iCs/>
          <w:color w:val="000000"/>
          <w:szCs w:val="24"/>
          <w:lang w:val="es-CR" w:eastAsia="es-CR"/>
        </w:rPr>
        <w:t>[…]</w:t>
      </w:r>
      <w:r w:rsidRPr="003C34DD">
        <w:rPr>
          <w:rFonts w:eastAsia="Times New Roman" w:cs="Times New Roman"/>
          <w:i/>
          <w:iCs/>
          <w:color w:val="000000"/>
          <w:szCs w:val="24"/>
          <w:lang w:val="es-CR" w:eastAsia="es-CR"/>
        </w:rPr>
        <w:t xml:space="preserve"> </w:t>
      </w:r>
      <w:r w:rsidR="00007C12" w:rsidRPr="00AF6469">
        <w:rPr>
          <w:rFonts w:eastAsia="Times New Roman" w:cs="Times New Roman"/>
          <w:color w:val="000000"/>
          <w:szCs w:val="24"/>
          <w:lang w:val="es-CR" w:eastAsia="es-CR"/>
        </w:rPr>
        <w:t>[Lo r</w:t>
      </w:r>
      <w:r w:rsidR="00AF6469" w:rsidRPr="00AF6469">
        <w:rPr>
          <w:rFonts w:eastAsia="Times New Roman" w:cs="Times New Roman"/>
          <w:color w:val="000000"/>
          <w:szCs w:val="24"/>
          <w:lang w:val="es-CR" w:eastAsia="es-CR"/>
        </w:rPr>
        <w:t>esaltado no es del original]</w:t>
      </w:r>
      <w:r w:rsidR="00AF6469">
        <w:rPr>
          <w:rFonts w:eastAsia="Times New Roman" w:cs="Times New Roman"/>
          <w:i/>
          <w:iCs/>
          <w:color w:val="000000"/>
          <w:szCs w:val="24"/>
          <w:lang w:val="es-CR" w:eastAsia="es-CR"/>
        </w:rPr>
        <w:t xml:space="preserve">. </w:t>
      </w:r>
    </w:p>
    <w:p w14:paraId="35542007" w14:textId="77777777" w:rsidR="00A81F7D" w:rsidRPr="003C34DD" w:rsidRDefault="00A81F7D" w:rsidP="00A81F7D">
      <w:pPr>
        <w:spacing w:before="100" w:beforeAutospacing="1" w:after="100" w:afterAutospacing="1" w:line="240" w:lineRule="auto"/>
        <w:contextualSpacing/>
        <w:jc w:val="both"/>
        <w:rPr>
          <w:rFonts w:eastAsia="Times New Roman" w:cs="Times New Roman"/>
          <w:color w:val="000000"/>
          <w:szCs w:val="24"/>
          <w:lang w:val="es-CR" w:eastAsia="es-CR"/>
        </w:rPr>
      </w:pPr>
    </w:p>
    <w:p w14:paraId="775D8F12" w14:textId="2F9D6C80" w:rsidR="00A81F7D" w:rsidRPr="003C34DD" w:rsidRDefault="00A81F7D" w:rsidP="00A81F7D">
      <w:pPr>
        <w:spacing w:before="100" w:beforeAutospacing="1" w:after="100" w:afterAutospacing="1" w:line="240" w:lineRule="auto"/>
        <w:contextualSpacing/>
        <w:jc w:val="both"/>
        <w:rPr>
          <w:rFonts w:cs="Times New Roman"/>
          <w:szCs w:val="24"/>
          <w:lang w:val="es-CR"/>
        </w:rPr>
      </w:pPr>
      <w:r w:rsidRPr="003C34DD">
        <w:rPr>
          <w:rFonts w:eastAsia="Times New Roman" w:cs="Times New Roman"/>
          <w:color w:val="000000"/>
          <w:szCs w:val="24"/>
          <w:lang w:val="es-CR" w:eastAsia="es-CR"/>
        </w:rPr>
        <w:t xml:space="preserve">Con fundamento en dicha normativa resulta claro que es el BCCR el competente para reglamentar el </w:t>
      </w:r>
      <w:r w:rsidR="00530B96">
        <w:rPr>
          <w:rFonts w:eastAsia="Times New Roman" w:cs="Times New Roman"/>
          <w:color w:val="000000"/>
          <w:szCs w:val="24"/>
          <w:lang w:val="es-CR" w:eastAsia="es-CR"/>
        </w:rPr>
        <w:t>S</w:t>
      </w:r>
      <w:r w:rsidRPr="003C34DD">
        <w:rPr>
          <w:rFonts w:eastAsia="Times New Roman" w:cs="Times New Roman"/>
          <w:color w:val="000000"/>
          <w:szCs w:val="24"/>
          <w:lang w:val="es-CR" w:eastAsia="es-CR"/>
        </w:rPr>
        <w:t xml:space="preserve">istema de </w:t>
      </w:r>
      <w:r w:rsidR="00530B96">
        <w:rPr>
          <w:rFonts w:eastAsia="Times New Roman" w:cs="Times New Roman"/>
          <w:color w:val="000000"/>
          <w:szCs w:val="24"/>
          <w:lang w:val="es-CR" w:eastAsia="es-CR"/>
        </w:rPr>
        <w:t>P</w:t>
      </w:r>
      <w:r w:rsidRPr="003C34DD">
        <w:rPr>
          <w:rFonts w:eastAsia="Times New Roman" w:cs="Times New Roman"/>
          <w:color w:val="000000"/>
          <w:szCs w:val="24"/>
          <w:lang w:val="es-CR" w:eastAsia="es-CR"/>
        </w:rPr>
        <w:t xml:space="preserve">agos y las condiciones requeridas para que las entidades </w:t>
      </w:r>
      <w:r w:rsidR="00037F48">
        <w:rPr>
          <w:rFonts w:eastAsia="Times New Roman" w:cs="Times New Roman"/>
          <w:color w:val="000000"/>
          <w:szCs w:val="24"/>
          <w:lang w:val="es-CR" w:eastAsia="es-CR"/>
        </w:rPr>
        <w:t>tenga</w:t>
      </w:r>
      <w:r w:rsidR="002E721E">
        <w:rPr>
          <w:rFonts w:eastAsia="Times New Roman" w:cs="Times New Roman"/>
          <w:color w:val="000000"/>
          <w:szCs w:val="24"/>
          <w:lang w:val="es-CR" w:eastAsia="es-CR"/>
        </w:rPr>
        <w:t>n</w:t>
      </w:r>
      <w:r w:rsidR="00037F48">
        <w:rPr>
          <w:rFonts w:eastAsia="Times New Roman" w:cs="Times New Roman"/>
          <w:color w:val="000000"/>
          <w:szCs w:val="24"/>
          <w:lang w:val="es-CR" w:eastAsia="es-CR"/>
        </w:rPr>
        <w:t xml:space="preserve"> acceso a los sistema que organiza y gestiona</w:t>
      </w:r>
      <w:r w:rsidRPr="003C34DD">
        <w:rPr>
          <w:rFonts w:eastAsia="Times New Roman" w:cs="Times New Roman"/>
          <w:color w:val="000000"/>
          <w:szCs w:val="24"/>
          <w:lang w:val="es-CR" w:eastAsia="es-CR"/>
        </w:rPr>
        <w:t>, así como los mecanismos existentes ante contingencias</w:t>
      </w:r>
      <w:r w:rsidR="000B5E2B">
        <w:rPr>
          <w:rFonts w:eastAsia="Times New Roman" w:cs="Times New Roman"/>
          <w:color w:val="000000"/>
          <w:szCs w:val="24"/>
          <w:lang w:val="es-CR" w:eastAsia="es-CR"/>
        </w:rPr>
        <w:t>,</w:t>
      </w:r>
      <w:r w:rsidRPr="003C34DD">
        <w:rPr>
          <w:rFonts w:eastAsia="Times New Roman" w:cs="Times New Roman"/>
          <w:color w:val="000000"/>
          <w:szCs w:val="24"/>
          <w:lang w:val="es-CR" w:eastAsia="es-CR"/>
        </w:rPr>
        <w:t xml:space="preserve"> entre otros. </w:t>
      </w:r>
      <w:r w:rsidR="000B5E2B">
        <w:rPr>
          <w:rFonts w:eastAsia="Times New Roman" w:cs="Times New Roman"/>
          <w:color w:val="000000"/>
          <w:szCs w:val="24"/>
          <w:lang w:val="es-CR" w:eastAsia="es-CR"/>
        </w:rPr>
        <w:t xml:space="preserve">Desde este punto de vista, </w:t>
      </w:r>
      <w:r w:rsidRPr="003C34DD">
        <w:rPr>
          <w:rFonts w:eastAsia="Times New Roman" w:cs="Times New Roman"/>
          <w:color w:val="000000"/>
          <w:szCs w:val="24"/>
          <w:lang w:val="es-CR" w:eastAsia="es-CR"/>
        </w:rPr>
        <w:t xml:space="preserve">el </w:t>
      </w:r>
      <w:r w:rsidRPr="003C34DD">
        <w:rPr>
          <w:rFonts w:cs="Times New Roman"/>
          <w:szCs w:val="24"/>
          <w:lang w:val="es-CR"/>
        </w:rPr>
        <w:t>aplazamiento es un mecanismo de contingencia</w:t>
      </w:r>
      <w:r w:rsidRPr="0006315C">
        <w:rPr>
          <w:rFonts w:cs="Times New Roman"/>
          <w:b/>
          <w:bCs/>
          <w:szCs w:val="24"/>
          <w:lang w:val="es-CR"/>
        </w:rPr>
        <w:t>, autorizado por la normativa de</w:t>
      </w:r>
      <w:r w:rsidR="0006315C" w:rsidRPr="0006315C">
        <w:rPr>
          <w:rFonts w:cs="Times New Roman"/>
          <w:b/>
          <w:bCs/>
          <w:szCs w:val="24"/>
          <w:lang w:val="es-CR"/>
        </w:rPr>
        <w:t xml:space="preserve">l </w:t>
      </w:r>
      <w:r w:rsidRPr="0006315C">
        <w:rPr>
          <w:rFonts w:cs="Times New Roman"/>
          <w:b/>
          <w:bCs/>
          <w:szCs w:val="24"/>
          <w:lang w:val="es-CR"/>
        </w:rPr>
        <w:t>BCCR</w:t>
      </w:r>
      <w:r w:rsidRPr="003C34DD">
        <w:rPr>
          <w:rFonts w:cs="Times New Roman"/>
          <w:szCs w:val="24"/>
          <w:lang w:val="es-CR"/>
        </w:rPr>
        <w:t>, ante eventualidades de los sistemas internos de las entidades participantes</w:t>
      </w:r>
      <w:r w:rsidR="004C4097">
        <w:rPr>
          <w:rFonts w:cs="Times New Roman"/>
          <w:szCs w:val="24"/>
          <w:lang w:val="es-CR"/>
        </w:rPr>
        <w:t xml:space="preserve">.  </w:t>
      </w:r>
    </w:p>
    <w:p w14:paraId="1A14B2B0" w14:textId="77777777" w:rsidR="004C4097" w:rsidRDefault="004C4097" w:rsidP="004C4097">
      <w:pPr>
        <w:spacing w:line="240" w:lineRule="auto"/>
        <w:contextualSpacing/>
        <w:jc w:val="both"/>
        <w:rPr>
          <w:rFonts w:cs="Times New Roman"/>
          <w:szCs w:val="24"/>
          <w:lang w:val="es-CR"/>
        </w:rPr>
      </w:pPr>
    </w:p>
    <w:p w14:paraId="0510A750" w14:textId="479ED40D" w:rsidR="006D0C64" w:rsidRPr="003C34DD" w:rsidRDefault="00A42177" w:rsidP="0041375A">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Ahora bien, </w:t>
      </w:r>
      <w:r w:rsidR="00783B45">
        <w:rPr>
          <w:rFonts w:ascii="Times New Roman" w:eastAsia="Times New Roman" w:hAnsi="Times New Roman" w:cs="Times New Roman"/>
          <w:color w:val="000000"/>
          <w:lang w:val="es-CR" w:eastAsia="es-CR"/>
        </w:rPr>
        <w:t xml:space="preserve">considera esta Asesoría que </w:t>
      </w:r>
      <w:r>
        <w:rPr>
          <w:rFonts w:ascii="Times New Roman" w:eastAsia="Times New Roman" w:hAnsi="Times New Roman" w:cs="Times New Roman"/>
          <w:color w:val="000000"/>
          <w:lang w:val="es-CR" w:eastAsia="es-CR"/>
        </w:rPr>
        <w:t>d</w:t>
      </w:r>
      <w:r w:rsidR="005822B1">
        <w:rPr>
          <w:rFonts w:ascii="Times New Roman" w:eastAsia="Times New Roman" w:hAnsi="Times New Roman" w:cs="Times New Roman"/>
          <w:color w:val="000000"/>
          <w:lang w:val="es-CR" w:eastAsia="es-CR"/>
        </w:rPr>
        <w:t xml:space="preserve">e no cumplirse </w:t>
      </w:r>
      <w:r w:rsidR="00B51FCB">
        <w:rPr>
          <w:rFonts w:ascii="Times New Roman" w:eastAsia="Times New Roman" w:hAnsi="Times New Roman" w:cs="Times New Roman"/>
          <w:color w:val="000000"/>
          <w:lang w:val="es-CR" w:eastAsia="es-CR"/>
        </w:rPr>
        <w:t xml:space="preserve">las </w:t>
      </w:r>
      <w:r w:rsidR="005822B1">
        <w:rPr>
          <w:rFonts w:ascii="Times New Roman" w:eastAsia="Times New Roman" w:hAnsi="Times New Roman" w:cs="Times New Roman"/>
          <w:color w:val="000000"/>
          <w:lang w:val="es-CR" w:eastAsia="es-CR"/>
        </w:rPr>
        <w:t>condiciones</w:t>
      </w:r>
      <w:r w:rsidR="00B51FCB">
        <w:rPr>
          <w:rFonts w:ascii="Times New Roman" w:eastAsia="Times New Roman" w:hAnsi="Times New Roman" w:cs="Times New Roman"/>
          <w:color w:val="000000"/>
          <w:lang w:val="es-CR" w:eastAsia="es-CR"/>
        </w:rPr>
        <w:t xml:space="preserve"> requeridas para la aplicación del mecanismo del aplazamiento</w:t>
      </w:r>
      <w:r w:rsidR="005822B1">
        <w:rPr>
          <w:rFonts w:ascii="Times New Roman" w:eastAsia="Times New Roman" w:hAnsi="Times New Roman" w:cs="Times New Roman"/>
          <w:color w:val="000000"/>
          <w:lang w:val="es-CR" w:eastAsia="es-CR"/>
        </w:rPr>
        <w:t>,</w:t>
      </w:r>
      <w:r w:rsidR="00064B74">
        <w:rPr>
          <w:rFonts w:ascii="Times New Roman" w:eastAsia="Times New Roman" w:hAnsi="Times New Roman" w:cs="Times New Roman"/>
          <w:color w:val="000000"/>
          <w:lang w:val="es-CR" w:eastAsia="es-CR"/>
        </w:rPr>
        <w:t xml:space="preserve"> </w:t>
      </w:r>
      <w:r w:rsidR="00A97E98" w:rsidRPr="003C34DD">
        <w:rPr>
          <w:rFonts w:ascii="Times New Roman" w:eastAsia="Times New Roman" w:hAnsi="Times New Roman" w:cs="Times New Roman"/>
          <w:color w:val="000000"/>
          <w:lang w:val="es-CR" w:eastAsia="es-CR"/>
        </w:rPr>
        <w:t xml:space="preserve">la entidad </w:t>
      </w:r>
      <w:r w:rsidR="005822B1">
        <w:rPr>
          <w:rFonts w:ascii="Times New Roman" w:eastAsia="Times New Roman" w:hAnsi="Times New Roman" w:cs="Times New Roman"/>
          <w:color w:val="000000"/>
          <w:lang w:val="es-CR" w:eastAsia="es-CR"/>
        </w:rPr>
        <w:t xml:space="preserve">financiera </w:t>
      </w:r>
      <w:r w:rsidR="00A24E0B">
        <w:rPr>
          <w:rFonts w:ascii="Times New Roman" w:eastAsia="Times New Roman" w:hAnsi="Times New Roman" w:cs="Times New Roman"/>
          <w:color w:val="000000"/>
          <w:lang w:val="es-CR" w:eastAsia="es-CR"/>
        </w:rPr>
        <w:t xml:space="preserve">podría ser </w:t>
      </w:r>
      <w:r w:rsidR="00A97E98" w:rsidRPr="003C34DD">
        <w:rPr>
          <w:rFonts w:ascii="Times New Roman" w:eastAsia="Times New Roman" w:hAnsi="Times New Roman" w:cs="Times New Roman"/>
          <w:color w:val="000000"/>
          <w:lang w:val="es-CR" w:eastAsia="es-CR"/>
        </w:rPr>
        <w:t>legalmente responsable por el atraso en la acreditación de los recursos</w:t>
      </w:r>
      <w:r w:rsidR="0041375A">
        <w:rPr>
          <w:rFonts w:ascii="Times New Roman" w:eastAsia="Times New Roman" w:hAnsi="Times New Roman" w:cs="Times New Roman"/>
          <w:color w:val="000000"/>
          <w:lang w:val="es-CR" w:eastAsia="es-CR"/>
        </w:rPr>
        <w:t xml:space="preserve"> y por una posible afectación de la </w:t>
      </w:r>
      <w:r w:rsidR="006D0C64" w:rsidRPr="003C34DD">
        <w:rPr>
          <w:rFonts w:ascii="Times New Roman" w:eastAsia="Times New Roman" w:hAnsi="Times New Roman" w:cs="Times New Roman"/>
          <w:color w:val="000000"/>
          <w:lang w:val="es-CR" w:eastAsia="es-CR"/>
        </w:rPr>
        <w:t>hacienda pública</w:t>
      </w:r>
      <w:r w:rsidR="00A34B27">
        <w:rPr>
          <w:rFonts w:ascii="Times New Roman" w:eastAsia="Times New Roman" w:hAnsi="Times New Roman" w:cs="Times New Roman"/>
          <w:color w:val="000000"/>
          <w:lang w:val="es-CR" w:eastAsia="es-CR"/>
        </w:rPr>
        <w:t xml:space="preserve">. </w:t>
      </w:r>
      <w:r w:rsidR="006D0C64" w:rsidRPr="003C34DD">
        <w:rPr>
          <w:rFonts w:ascii="Times New Roman" w:eastAsia="Times New Roman" w:hAnsi="Times New Roman" w:cs="Times New Roman"/>
          <w:color w:val="000000"/>
          <w:lang w:val="es-CR" w:eastAsia="es-CR"/>
        </w:rPr>
        <w:t xml:space="preserve">Como es lógico esta afectación sería atribuible a la entidad financiera y no a la entidad supervisada.   </w:t>
      </w:r>
    </w:p>
    <w:p w14:paraId="41A99E8B" w14:textId="77777777" w:rsidR="00B601AE" w:rsidRPr="003C34DD" w:rsidRDefault="00B601AE" w:rsidP="00B601AE">
      <w:pPr>
        <w:spacing w:line="240" w:lineRule="auto"/>
        <w:contextualSpacing/>
        <w:jc w:val="both"/>
        <w:rPr>
          <w:rFonts w:cs="Times New Roman"/>
          <w:szCs w:val="24"/>
          <w:lang w:val="es-CR"/>
        </w:rPr>
      </w:pPr>
    </w:p>
    <w:p w14:paraId="026373E7" w14:textId="68B78937" w:rsidR="00B97BC7" w:rsidRPr="003C34DD" w:rsidRDefault="004F1645" w:rsidP="00DB47D5">
      <w:pPr>
        <w:pStyle w:val="Prrafodelista"/>
        <w:numPr>
          <w:ilvl w:val="0"/>
          <w:numId w:val="21"/>
        </w:numPr>
        <w:tabs>
          <w:tab w:val="left" w:pos="1056"/>
        </w:tabs>
        <w:spacing w:line="240" w:lineRule="auto"/>
        <w:jc w:val="both"/>
        <w:rPr>
          <w:rFonts w:ascii="Times New Roman" w:hAnsi="Times New Roman" w:cs="Times New Roman"/>
          <w:i/>
          <w:iCs/>
          <w:sz w:val="24"/>
          <w:szCs w:val="24"/>
        </w:rPr>
      </w:pPr>
      <w:r w:rsidRPr="003C34DD">
        <w:rPr>
          <w:rFonts w:ascii="Times New Roman" w:hAnsi="Times New Roman" w:cs="Times New Roman"/>
          <w:i/>
          <w:iCs/>
          <w:sz w:val="24"/>
          <w:szCs w:val="24"/>
        </w:rPr>
        <w:t>Se valore si la situación presentada y la falta de cobro de los intereses moratorios del cobro del 20% del período 2019, generó una afectación a la Hacienda Pública.</w:t>
      </w:r>
    </w:p>
    <w:p w14:paraId="37C9286B" w14:textId="23D019B3" w:rsidR="003A53E3" w:rsidRPr="003C34DD" w:rsidRDefault="00240248"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Se omite un análisis sobre situaciones concretas</w:t>
      </w:r>
      <w:r w:rsidR="00405C93">
        <w:rPr>
          <w:rFonts w:ascii="Times New Roman" w:eastAsia="Times New Roman" w:hAnsi="Times New Roman" w:cs="Times New Roman"/>
          <w:color w:val="000000"/>
          <w:lang w:val="es-CR" w:eastAsia="es-CR"/>
        </w:rPr>
        <w:t xml:space="preserve"> que se pudieran presentar</w:t>
      </w:r>
      <w:r w:rsidRPr="003C34DD">
        <w:rPr>
          <w:rFonts w:ascii="Times New Roman" w:eastAsia="Times New Roman" w:hAnsi="Times New Roman" w:cs="Times New Roman"/>
          <w:color w:val="000000"/>
          <w:lang w:val="es-CR" w:eastAsia="es-CR"/>
        </w:rPr>
        <w:t xml:space="preserve">, las cuales deberán ser analizadas por el área consultante a partir de los elementos desarrollados en este criterio. </w:t>
      </w:r>
    </w:p>
    <w:p w14:paraId="2471E261" w14:textId="77777777" w:rsidR="00240248" w:rsidRPr="003C34DD" w:rsidRDefault="00240248" w:rsidP="00913295">
      <w:pPr>
        <w:pStyle w:val="Textoindependiente"/>
        <w:ind w:right="49"/>
        <w:jc w:val="both"/>
        <w:rPr>
          <w:rFonts w:ascii="Times New Roman" w:eastAsia="Times New Roman" w:hAnsi="Times New Roman" w:cs="Times New Roman"/>
          <w:color w:val="000000"/>
          <w:lang w:val="es-CR" w:eastAsia="es-CR"/>
        </w:rPr>
      </w:pPr>
    </w:p>
    <w:p w14:paraId="4917AFFD" w14:textId="501CEC14" w:rsidR="003A53E3" w:rsidRPr="003C34DD" w:rsidRDefault="003A53E3" w:rsidP="00DB47D5">
      <w:pPr>
        <w:pStyle w:val="Prrafodelista"/>
        <w:numPr>
          <w:ilvl w:val="0"/>
          <w:numId w:val="21"/>
        </w:numPr>
        <w:tabs>
          <w:tab w:val="left" w:pos="1056"/>
        </w:tabs>
        <w:spacing w:line="240" w:lineRule="auto"/>
        <w:jc w:val="both"/>
        <w:rPr>
          <w:rFonts w:ascii="Times New Roman" w:hAnsi="Times New Roman" w:cs="Times New Roman"/>
          <w:i/>
          <w:iCs/>
          <w:sz w:val="24"/>
          <w:szCs w:val="24"/>
        </w:rPr>
      </w:pPr>
      <w:r w:rsidRPr="003C34DD">
        <w:rPr>
          <w:rFonts w:ascii="Times New Roman" w:hAnsi="Times New Roman" w:cs="Times New Roman"/>
          <w:i/>
          <w:iCs/>
          <w:sz w:val="24"/>
          <w:szCs w:val="24"/>
        </w:rPr>
        <w:t>Se valore legalmente, si los atrasos en la remisión de información requerida para el cobro según el Decreto Nº 38292-H, realizada por la entidad administradora de fondos especiales se podrá enmarcar en la información requerida a la que hace referencia el inciso b) del artículo 42 de la Ley N° 7983; e informar a esta Auditoría el resultado de dicho análisis, así como de las eventuales acciones tomadas por la administración.</w:t>
      </w:r>
    </w:p>
    <w:p w14:paraId="64CCA395" w14:textId="1068F2C9" w:rsidR="003A53E3" w:rsidRPr="003C34DD" w:rsidRDefault="00470627"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De acuerdo con los </w:t>
      </w:r>
      <w:r w:rsidR="00664A6E" w:rsidRPr="003C34DD">
        <w:rPr>
          <w:rFonts w:ascii="Times New Roman" w:eastAsia="Times New Roman" w:hAnsi="Times New Roman" w:cs="Times New Roman"/>
          <w:color w:val="000000"/>
          <w:lang w:val="es-CR" w:eastAsia="es-CR"/>
        </w:rPr>
        <w:t>incisos g) y h) de</w:t>
      </w:r>
      <w:r w:rsidRPr="003C34DD">
        <w:rPr>
          <w:rFonts w:ascii="Times New Roman" w:eastAsia="Times New Roman" w:hAnsi="Times New Roman" w:cs="Times New Roman"/>
          <w:color w:val="000000"/>
          <w:lang w:val="es-CR" w:eastAsia="es-CR"/>
        </w:rPr>
        <w:t>l</w:t>
      </w:r>
      <w:r w:rsidR="00664A6E" w:rsidRPr="003C34DD">
        <w:rPr>
          <w:rFonts w:ascii="Times New Roman" w:eastAsia="Times New Roman" w:hAnsi="Times New Roman" w:cs="Times New Roman"/>
          <w:color w:val="000000"/>
          <w:lang w:val="es-CR" w:eastAsia="es-CR"/>
        </w:rPr>
        <w:t xml:space="preserve"> artículo 2 </w:t>
      </w:r>
      <w:r w:rsidRPr="003C34DD">
        <w:rPr>
          <w:rFonts w:ascii="Times New Roman" w:eastAsia="Times New Roman" w:hAnsi="Times New Roman" w:cs="Times New Roman"/>
          <w:color w:val="000000"/>
          <w:lang w:val="es-CR" w:eastAsia="es-CR"/>
        </w:rPr>
        <w:t>de la Ley de Protección al Trabajador, tiene</w:t>
      </w:r>
      <w:r w:rsidR="00C34419" w:rsidRPr="003C34DD">
        <w:rPr>
          <w:rFonts w:ascii="Times New Roman" w:eastAsia="Times New Roman" w:hAnsi="Times New Roman" w:cs="Times New Roman"/>
          <w:color w:val="000000"/>
          <w:lang w:val="es-CR" w:eastAsia="es-CR"/>
        </w:rPr>
        <w:t>n</w:t>
      </w:r>
      <w:r w:rsidRPr="003C34DD">
        <w:rPr>
          <w:rFonts w:ascii="Times New Roman" w:eastAsia="Times New Roman" w:hAnsi="Times New Roman" w:cs="Times New Roman"/>
          <w:color w:val="000000"/>
          <w:lang w:val="es-CR" w:eastAsia="es-CR"/>
        </w:rPr>
        <w:t xml:space="preserve"> la </w:t>
      </w:r>
      <w:r w:rsidR="00664A6E" w:rsidRPr="003C34DD">
        <w:rPr>
          <w:rFonts w:ascii="Times New Roman" w:eastAsia="Times New Roman" w:hAnsi="Times New Roman" w:cs="Times New Roman"/>
          <w:color w:val="000000"/>
          <w:lang w:val="es-CR" w:eastAsia="es-CR"/>
        </w:rPr>
        <w:t xml:space="preserve">condición de </w:t>
      </w:r>
      <w:r w:rsidR="00664A6E" w:rsidRPr="003C34DD">
        <w:rPr>
          <w:rFonts w:ascii="Times New Roman" w:eastAsia="Times New Roman" w:hAnsi="Times New Roman" w:cs="Times New Roman"/>
          <w:i/>
          <w:iCs/>
          <w:color w:val="000000"/>
          <w:lang w:val="es-CR" w:eastAsia="es-CR"/>
        </w:rPr>
        <w:t>“entidad regulada”</w:t>
      </w:r>
      <w:r w:rsidR="00664A6E" w:rsidRPr="003C34DD">
        <w:rPr>
          <w:rFonts w:ascii="Times New Roman" w:eastAsia="Times New Roman" w:hAnsi="Times New Roman" w:cs="Times New Roman"/>
          <w:color w:val="000000"/>
          <w:lang w:val="es-CR" w:eastAsia="es-CR"/>
        </w:rPr>
        <w:t xml:space="preserve"> </w:t>
      </w:r>
      <w:r w:rsidR="00185A5B">
        <w:rPr>
          <w:rFonts w:ascii="Times New Roman" w:eastAsia="Times New Roman" w:hAnsi="Times New Roman" w:cs="Times New Roman"/>
          <w:color w:val="000000"/>
          <w:lang w:val="es-CR" w:eastAsia="es-CR"/>
        </w:rPr>
        <w:t xml:space="preserve">las operadoras de pensiones complementarias y </w:t>
      </w:r>
      <w:r w:rsidR="00664A6E" w:rsidRPr="003C34DD">
        <w:rPr>
          <w:rFonts w:ascii="Times New Roman" w:eastAsia="Times New Roman" w:hAnsi="Times New Roman" w:cs="Times New Roman"/>
          <w:color w:val="000000"/>
          <w:lang w:val="es-CR" w:eastAsia="es-CR"/>
        </w:rPr>
        <w:t xml:space="preserve">las entidades administradoras </w:t>
      </w:r>
      <w:bookmarkStart w:id="0" w:name="_Hlk66200647"/>
      <w:r w:rsidR="00664A6E" w:rsidRPr="003C34DD">
        <w:rPr>
          <w:rFonts w:ascii="Times New Roman" w:eastAsia="Times New Roman" w:hAnsi="Times New Roman" w:cs="Times New Roman"/>
          <w:color w:val="000000"/>
          <w:lang w:val="es-CR" w:eastAsia="es-CR"/>
        </w:rPr>
        <w:t xml:space="preserve">de regímenes de pensiones creados </w:t>
      </w:r>
      <w:r w:rsidR="00946B0B" w:rsidRPr="003C34DD">
        <w:rPr>
          <w:rFonts w:ascii="Times New Roman" w:eastAsia="Times New Roman" w:hAnsi="Times New Roman" w:cs="Times New Roman"/>
          <w:color w:val="000000"/>
          <w:lang w:val="es-CR" w:eastAsia="es-CR"/>
        </w:rPr>
        <w:t>por ley</w:t>
      </w:r>
      <w:r w:rsidR="00383564" w:rsidRPr="003C34DD">
        <w:rPr>
          <w:rFonts w:ascii="Times New Roman" w:eastAsia="Times New Roman" w:hAnsi="Times New Roman" w:cs="Times New Roman"/>
          <w:color w:val="000000"/>
          <w:lang w:val="es-CR" w:eastAsia="es-CR"/>
        </w:rPr>
        <w:t>es</w:t>
      </w:r>
      <w:r w:rsidR="00664A6E" w:rsidRPr="003C34DD">
        <w:rPr>
          <w:rFonts w:ascii="Times New Roman" w:eastAsia="Times New Roman" w:hAnsi="Times New Roman" w:cs="Times New Roman"/>
          <w:color w:val="000000"/>
          <w:lang w:val="es-CR" w:eastAsia="es-CR"/>
        </w:rPr>
        <w:t xml:space="preserve"> o convenciones colectivas</w:t>
      </w:r>
      <w:r w:rsidR="000B0F78" w:rsidRPr="003C34DD">
        <w:rPr>
          <w:rFonts w:ascii="Times New Roman" w:eastAsia="Times New Roman" w:hAnsi="Times New Roman" w:cs="Times New Roman"/>
          <w:color w:val="000000"/>
          <w:lang w:val="es-CR" w:eastAsia="es-CR"/>
        </w:rPr>
        <w:t>, antes de la vigencia de dicha ley</w:t>
      </w:r>
      <w:bookmarkEnd w:id="0"/>
      <w:r w:rsidR="000B0F78" w:rsidRPr="003C34DD">
        <w:rPr>
          <w:rFonts w:ascii="Times New Roman" w:eastAsia="Times New Roman" w:hAnsi="Times New Roman" w:cs="Times New Roman"/>
          <w:color w:val="000000"/>
          <w:lang w:val="es-CR" w:eastAsia="es-CR"/>
        </w:rPr>
        <w:t>, como sigue</w:t>
      </w:r>
      <w:r w:rsidR="00664A6E" w:rsidRPr="003C34DD">
        <w:rPr>
          <w:rFonts w:ascii="Times New Roman" w:eastAsia="Times New Roman" w:hAnsi="Times New Roman" w:cs="Times New Roman"/>
          <w:color w:val="000000"/>
          <w:lang w:val="es-CR" w:eastAsia="es-CR"/>
        </w:rPr>
        <w:t>:</w:t>
      </w:r>
    </w:p>
    <w:p w14:paraId="1654C561" w14:textId="78ED5D83" w:rsidR="00664A6E" w:rsidRPr="003C34DD" w:rsidRDefault="00664A6E" w:rsidP="00913295">
      <w:pPr>
        <w:pStyle w:val="Textoindependiente"/>
        <w:ind w:right="49"/>
        <w:jc w:val="both"/>
        <w:rPr>
          <w:rFonts w:ascii="Times New Roman" w:eastAsia="Times New Roman" w:hAnsi="Times New Roman" w:cs="Times New Roman"/>
          <w:color w:val="000000"/>
          <w:lang w:val="es-CR" w:eastAsia="es-CR"/>
        </w:rPr>
      </w:pPr>
    </w:p>
    <w:p w14:paraId="7D3A9904" w14:textId="77777777" w:rsidR="00664A6E" w:rsidRPr="003C34DD" w:rsidRDefault="00664A6E"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ARTÍCULO 2.- Definiciones. Para los efectos de esta ley, se definen los siguientes términos:</w:t>
      </w:r>
    </w:p>
    <w:p w14:paraId="1F48B3B1" w14:textId="638CF9CB" w:rsidR="00355BA2" w:rsidRPr="003C34DD" w:rsidRDefault="00355BA2"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w:t>
      </w:r>
    </w:p>
    <w:p w14:paraId="50FFF16F" w14:textId="584A0454" w:rsidR="00664A6E" w:rsidRPr="003C34DD" w:rsidRDefault="00664A6E"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g) Entidades supervisadas. Todas las entidades autorizadas, la CCSS en lo relativo al Régimen de Invalidez, Vejez y Muerte y todas las entidades administradoras de regímenes de pensiones creados por leyes o convenciones colectivas, antes de la vigencia de esta </w:t>
      </w:r>
      <w:r w:rsidRPr="003C34DD">
        <w:rPr>
          <w:rFonts w:ascii="Times New Roman" w:eastAsia="Times New Roman" w:hAnsi="Times New Roman" w:cs="Times New Roman"/>
          <w:i/>
          <w:iCs/>
          <w:color w:val="000000"/>
          <w:lang w:val="es-CR" w:eastAsia="es-CR"/>
        </w:rPr>
        <w:lastRenderedPageBreak/>
        <w:t>ley.</w:t>
      </w:r>
    </w:p>
    <w:p w14:paraId="1B07FEB2" w14:textId="77777777" w:rsidR="000007D0" w:rsidRDefault="00664A6E"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h) Entidades reguladas. Entidades supervisadas, con excepción de la CCSS. </w:t>
      </w:r>
    </w:p>
    <w:p w14:paraId="01FC30B8" w14:textId="08B175FC" w:rsidR="00664A6E" w:rsidRPr="003C34DD" w:rsidRDefault="00355BA2"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 </w:t>
      </w:r>
    </w:p>
    <w:p w14:paraId="5B4FC73B" w14:textId="79AEA72B" w:rsidR="00A51C36" w:rsidRPr="003C34DD" w:rsidRDefault="00A51C36" w:rsidP="00913295">
      <w:pPr>
        <w:pStyle w:val="Textoindependiente"/>
        <w:ind w:right="49"/>
        <w:jc w:val="both"/>
        <w:rPr>
          <w:rFonts w:ascii="Times New Roman" w:eastAsia="Times New Roman" w:hAnsi="Times New Roman" w:cs="Times New Roman"/>
          <w:color w:val="000000"/>
          <w:lang w:val="es-CR" w:eastAsia="es-CR"/>
        </w:rPr>
      </w:pPr>
    </w:p>
    <w:p w14:paraId="3C502691" w14:textId="6CB098AA" w:rsidR="00B52A9F" w:rsidRPr="003C34DD" w:rsidRDefault="00511454"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En su condición de entidades reguladas, </w:t>
      </w:r>
      <w:r w:rsidR="002E0CF0">
        <w:rPr>
          <w:rFonts w:ascii="Times New Roman" w:eastAsia="Times New Roman" w:hAnsi="Times New Roman" w:cs="Times New Roman"/>
          <w:color w:val="000000"/>
          <w:lang w:val="es-CR" w:eastAsia="es-CR"/>
        </w:rPr>
        <w:t>la</w:t>
      </w:r>
      <w:r w:rsidR="0038464F">
        <w:rPr>
          <w:rFonts w:ascii="Times New Roman" w:eastAsia="Times New Roman" w:hAnsi="Times New Roman" w:cs="Times New Roman"/>
          <w:color w:val="000000"/>
          <w:lang w:val="es-CR" w:eastAsia="es-CR"/>
        </w:rPr>
        <w:t xml:space="preserve">s entidades administradoras </w:t>
      </w:r>
      <w:r w:rsidR="002E0CF0">
        <w:rPr>
          <w:rFonts w:ascii="Times New Roman" w:eastAsia="Times New Roman" w:hAnsi="Times New Roman" w:cs="Times New Roman"/>
          <w:color w:val="000000"/>
          <w:lang w:val="es-CR" w:eastAsia="es-CR"/>
        </w:rPr>
        <w:t xml:space="preserve">de regímenes de pensiones </w:t>
      </w:r>
      <w:r w:rsidRPr="003C34DD">
        <w:rPr>
          <w:rFonts w:ascii="Times New Roman" w:eastAsia="Times New Roman" w:hAnsi="Times New Roman" w:cs="Times New Roman"/>
          <w:color w:val="000000"/>
          <w:lang w:val="es-CR" w:eastAsia="es-CR"/>
        </w:rPr>
        <w:t xml:space="preserve">están sujetas a la obligación </w:t>
      </w:r>
      <w:r w:rsidR="0002145F" w:rsidRPr="003C34DD">
        <w:rPr>
          <w:rFonts w:ascii="Times New Roman" w:eastAsia="Times New Roman" w:hAnsi="Times New Roman" w:cs="Times New Roman"/>
          <w:color w:val="000000"/>
          <w:lang w:val="es-CR" w:eastAsia="es-CR"/>
        </w:rPr>
        <w:t xml:space="preserve">de suministrar a la Superintendencia de Pensiones </w:t>
      </w:r>
      <w:r w:rsidR="000D3249" w:rsidRPr="003C34DD">
        <w:rPr>
          <w:rFonts w:ascii="Times New Roman" w:eastAsia="Times New Roman" w:hAnsi="Times New Roman" w:cs="Times New Roman"/>
          <w:color w:val="000000"/>
          <w:lang w:val="es-CR" w:eastAsia="es-CR"/>
        </w:rPr>
        <w:t xml:space="preserve">la información que esta les requiere de conformidad con </w:t>
      </w:r>
      <w:r w:rsidR="00B52A9F" w:rsidRPr="003C34DD">
        <w:rPr>
          <w:rFonts w:ascii="Times New Roman" w:eastAsia="Times New Roman" w:hAnsi="Times New Roman" w:cs="Times New Roman"/>
          <w:color w:val="000000"/>
          <w:lang w:val="es-CR" w:eastAsia="es-CR"/>
        </w:rPr>
        <w:t>los artículos 36</w:t>
      </w:r>
      <w:r w:rsidR="000D3249" w:rsidRPr="003C34DD">
        <w:rPr>
          <w:rFonts w:ascii="Times New Roman" w:eastAsia="Times New Roman" w:hAnsi="Times New Roman" w:cs="Times New Roman"/>
          <w:color w:val="000000"/>
          <w:lang w:val="es-CR" w:eastAsia="es-CR"/>
        </w:rPr>
        <w:t>,</w:t>
      </w:r>
      <w:r w:rsidR="00B52A9F" w:rsidRPr="003C34DD">
        <w:rPr>
          <w:rFonts w:ascii="Times New Roman" w:eastAsia="Times New Roman" w:hAnsi="Times New Roman" w:cs="Times New Roman"/>
          <w:color w:val="000000"/>
          <w:lang w:val="es-CR" w:eastAsia="es-CR"/>
        </w:rPr>
        <w:t xml:space="preserve"> inciso d)</w:t>
      </w:r>
      <w:r w:rsidR="000D3249" w:rsidRPr="003C34DD">
        <w:rPr>
          <w:rFonts w:ascii="Times New Roman" w:eastAsia="Times New Roman" w:hAnsi="Times New Roman" w:cs="Times New Roman"/>
          <w:color w:val="000000"/>
          <w:lang w:val="es-CR" w:eastAsia="es-CR"/>
        </w:rPr>
        <w:t>,</w:t>
      </w:r>
      <w:r w:rsidR="00B52A9F" w:rsidRPr="003C34DD">
        <w:rPr>
          <w:rFonts w:ascii="Times New Roman" w:eastAsia="Times New Roman" w:hAnsi="Times New Roman" w:cs="Times New Roman"/>
          <w:color w:val="000000"/>
          <w:lang w:val="es-CR" w:eastAsia="es-CR"/>
        </w:rPr>
        <w:t xml:space="preserve"> y 38</w:t>
      </w:r>
      <w:r w:rsidR="000D3249" w:rsidRPr="003C34DD">
        <w:rPr>
          <w:rFonts w:ascii="Times New Roman" w:eastAsia="Times New Roman" w:hAnsi="Times New Roman" w:cs="Times New Roman"/>
          <w:color w:val="000000"/>
          <w:lang w:val="es-CR" w:eastAsia="es-CR"/>
        </w:rPr>
        <w:t>,</w:t>
      </w:r>
      <w:r w:rsidR="00B52A9F" w:rsidRPr="003C34DD">
        <w:rPr>
          <w:rFonts w:ascii="Times New Roman" w:eastAsia="Times New Roman" w:hAnsi="Times New Roman" w:cs="Times New Roman"/>
          <w:color w:val="000000"/>
          <w:lang w:val="es-CR" w:eastAsia="es-CR"/>
        </w:rPr>
        <w:t xml:space="preserve"> inciso r)</w:t>
      </w:r>
      <w:r w:rsidR="000D3249" w:rsidRPr="003C34DD">
        <w:rPr>
          <w:rFonts w:ascii="Times New Roman" w:eastAsia="Times New Roman" w:hAnsi="Times New Roman" w:cs="Times New Roman"/>
          <w:color w:val="000000"/>
          <w:lang w:val="es-CR" w:eastAsia="es-CR"/>
        </w:rPr>
        <w:t>,</w:t>
      </w:r>
      <w:r w:rsidR="00B52A9F" w:rsidRPr="003C34DD">
        <w:rPr>
          <w:rFonts w:ascii="Times New Roman" w:eastAsia="Times New Roman" w:hAnsi="Times New Roman" w:cs="Times New Roman"/>
          <w:color w:val="000000"/>
          <w:lang w:val="es-CR" w:eastAsia="es-CR"/>
        </w:rPr>
        <w:t xml:space="preserve"> de la Ley del Régimen Privado de Pensiones Complementarias</w:t>
      </w:r>
      <w:r w:rsidR="000D3249" w:rsidRPr="003C34DD">
        <w:rPr>
          <w:rFonts w:ascii="Times New Roman" w:eastAsia="Times New Roman" w:hAnsi="Times New Roman" w:cs="Times New Roman"/>
          <w:color w:val="000000"/>
          <w:lang w:val="es-CR" w:eastAsia="es-CR"/>
        </w:rPr>
        <w:t>, los cuales disponen</w:t>
      </w:r>
      <w:r w:rsidR="00B52A9F" w:rsidRPr="003C34DD">
        <w:rPr>
          <w:rFonts w:ascii="Times New Roman" w:eastAsia="Times New Roman" w:hAnsi="Times New Roman" w:cs="Times New Roman"/>
          <w:color w:val="000000"/>
          <w:lang w:val="es-CR" w:eastAsia="es-CR"/>
        </w:rPr>
        <w:t>:</w:t>
      </w:r>
    </w:p>
    <w:p w14:paraId="71261E99" w14:textId="26E1C38D" w:rsidR="00B52A9F" w:rsidRPr="003C34DD" w:rsidRDefault="00B52A9F" w:rsidP="00913295">
      <w:pPr>
        <w:pStyle w:val="Textoindependiente"/>
        <w:ind w:right="49"/>
        <w:jc w:val="both"/>
        <w:rPr>
          <w:rFonts w:ascii="Times New Roman" w:eastAsia="Times New Roman" w:hAnsi="Times New Roman" w:cs="Times New Roman"/>
          <w:color w:val="000000"/>
          <w:lang w:val="es-CR" w:eastAsia="es-CR"/>
        </w:rPr>
      </w:pPr>
    </w:p>
    <w:p w14:paraId="37401FFB" w14:textId="77777777" w:rsidR="003130AF" w:rsidRPr="003C34DD" w:rsidRDefault="00B52A9F"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Artículo 36.- Supervisión de los otros regímenes de carácter público. En materia de supervisión y resguardo de la solidez financiera de los regímenes de pensiones creados por ley o convenciones colectivas, la Superintendencia tendrá las siguientes facultades:</w:t>
      </w:r>
    </w:p>
    <w:p w14:paraId="62A42330" w14:textId="2125E994" w:rsidR="00B52A9F" w:rsidRPr="003C34DD" w:rsidRDefault="00B52A9F"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 </w:t>
      </w:r>
      <w:r w:rsidR="003130AF" w:rsidRPr="003C34DD">
        <w:rPr>
          <w:rFonts w:ascii="Times New Roman" w:eastAsia="Times New Roman" w:hAnsi="Times New Roman" w:cs="Times New Roman"/>
          <w:i/>
          <w:iCs/>
          <w:color w:val="000000"/>
          <w:lang w:val="es-CR" w:eastAsia="es-CR"/>
        </w:rPr>
        <w:t>[…]</w:t>
      </w:r>
    </w:p>
    <w:p w14:paraId="72C70483" w14:textId="14BF7456" w:rsidR="00F03730" w:rsidRPr="003C34DD" w:rsidRDefault="00B52A9F" w:rsidP="00F03730">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d) Definir el contenido, la forma y la periodicidad de la información por suministrar a la Superintendencia </w:t>
      </w:r>
      <w:r w:rsidRPr="003C34DD">
        <w:rPr>
          <w:rFonts w:ascii="Times New Roman" w:eastAsia="Times New Roman" w:hAnsi="Times New Roman" w:cs="Times New Roman"/>
          <w:b/>
          <w:bCs/>
          <w:i/>
          <w:iCs/>
          <w:color w:val="000000"/>
          <w:lang w:val="es-CR" w:eastAsia="es-CR"/>
        </w:rPr>
        <w:t>sobre la situación financiera de los sistemas, las características y los costos de los servicios en materia de pensiones</w:t>
      </w:r>
      <w:r w:rsidRPr="003C34DD">
        <w:rPr>
          <w:rFonts w:ascii="Times New Roman" w:eastAsia="Times New Roman" w:hAnsi="Times New Roman" w:cs="Times New Roman"/>
          <w:i/>
          <w:iCs/>
          <w:color w:val="000000"/>
          <w:lang w:val="es-CR" w:eastAsia="es-CR"/>
        </w:rPr>
        <w:t>, todo con el fin de que exista información oportuna y confiable en cuanto a la situación de dichos sistemas.</w:t>
      </w:r>
      <w:r w:rsidR="00F03730" w:rsidRPr="003C34DD">
        <w:rPr>
          <w:rFonts w:ascii="Times New Roman" w:eastAsia="Times New Roman" w:hAnsi="Times New Roman" w:cs="Times New Roman"/>
          <w:color w:val="000000"/>
          <w:lang w:val="es-CR" w:eastAsia="es-CR"/>
        </w:rPr>
        <w:t xml:space="preserve"> [Lo resaltado no es del original]. </w:t>
      </w:r>
    </w:p>
    <w:p w14:paraId="4107E4FC" w14:textId="3CA3077B" w:rsidR="00B52A9F" w:rsidRPr="003C34DD" w:rsidRDefault="00B52A9F" w:rsidP="00355BA2">
      <w:pPr>
        <w:pStyle w:val="Textoindependiente"/>
        <w:ind w:left="284" w:right="49"/>
        <w:jc w:val="both"/>
        <w:rPr>
          <w:rFonts w:ascii="Times New Roman" w:eastAsia="Times New Roman" w:hAnsi="Times New Roman" w:cs="Times New Roman"/>
          <w:i/>
          <w:iCs/>
          <w:color w:val="000000"/>
          <w:lang w:val="es-CR" w:eastAsia="es-CR"/>
        </w:rPr>
      </w:pPr>
    </w:p>
    <w:p w14:paraId="579F89E3" w14:textId="71A8137A" w:rsidR="00B52A9F" w:rsidRPr="003C34DD" w:rsidRDefault="00B52A9F"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Artículo 38.- Atribuciones del Superintendente de Pensiones. El Superintendente de Pensiones tendrá las siguientes atribuciones:</w:t>
      </w:r>
    </w:p>
    <w:p w14:paraId="1E79A9D3" w14:textId="264663A5" w:rsidR="00B52A9F" w:rsidRPr="003C34DD" w:rsidRDefault="00355BA2"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w:t>
      </w:r>
    </w:p>
    <w:p w14:paraId="30FC4D10" w14:textId="77777777" w:rsidR="006131CD" w:rsidRPr="003C34DD" w:rsidRDefault="00B52A9F" w:rsidP="006131CD">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r) Exigir, a los entes supervisados, el suministro de la información necesaria para los afiliados y dictar normas específicas sobre el contenido, la forma y la periodicidad con que las entidades supervisadas deben proporcionar a la Superintendencia, al afiliado y al público, </w:t>
      </w:r>
      <w:r w:rsidRPr="003C34DD">
        <w:rPr>
          <w:rFonts w:ascii="Times New Roman" w:eastAsia="Times New Roman" w:hAnsi="Times New Roman" w:cs="Times New Roman"/>
          <w:b/>
          <w:bCs/>
          <w:i/>
          <w:iCs/>
          <w:color w:val="000000"/>
          <w:lang w:val="es-CR" w:eastAsia="es-CR"/>
        </w:rPr>
        <w:t>información sobre su situación jurídica, económica y financiera, sobre las características y los costos de sus servicios, las operaciones activas y pasivas y cualquier otra información que considere de importancia</w:t>
      </w:r>
      <w:r w:rsidRPr="003C34DD">
        <w:rPr>
          <w:rFonts w:ascii="Times New Roman" w:eastAsia="Times New Roman" w:hAnsi="Times New Roman" w:cs="Times New Roman"/>
          <w:i/>
          <w:iCs/>
          <w:color w:val="000000"/>
          <w:lang w:val="es-CR" w:eastAsia="es-CR"/>
        </w:rPr>
        <w:t>; todo con el fin de que exista información suficiente y confiable sobre la situación de las entidades supervisadas.</w:t>
      </w:r>
      <w:r w:rsidR="00304632" w:rsidRPr="003C34DD">
        <w:rPr>
          <w:rFonts w:ascii="Times New Roman" w:eastAsia="Times New Roman" w:hAnsi="Times New Roman" w:cs="Times New Roman"/>
          <w:i/>
          <w:iCs/>
          <w:color w:val="000000"/>
          <w:lang w:val="es-CR" w:eastAsia="es-CR"/>
        </w:rPr>
        <w:t xml:space="preserve"> </w:t>
      </w:r>
      <w:r w:rsidR="006131CD" w:rsidRPr="003C34DD">
        <w:rPr>
          <w:rFonts w:ascii="Times New Roman" w:eastAsia="Times New Roman" w:hAnsi="Times New Roman" w:cs="Times New Roman"/>
          <w:color w:val="000000"/>
          <w:lang w:val="es-CR" w:eastAsia="es-CR"/>
        </w:rPr>
        <w:t xml:space="preserve">[Lo resaltado no es del original]. </w:t>
      </w:r>
    </w:p>
    <w:p w14:paraId="72A0440A" w14:textId="2926B2DF" w:rsidR="00B52A9F" w:rsidRPr="003C34DD" w:rsidRDefault="00B52A9F" w:rsidP="00913295">
      <w:pPr>
        <w:pStyle w:val="Textoindependiente"/>
        <w:ind w:right="49"/>
        <w:jc w:val="both"/>
        <w:rPr>
          <w:rFonts w:ascii="Times New Roman" w:eastAsia="Times New Roman" w:hAnsi="Times New Roman" w:cs="Times New Roman"/>
          <w:color w:val="000000"/>
          <w:lang w:val="es-CR" w:eastAsia="es-CR"/>
        </w:rPr>
      </w:pPr>
    </w:p>
    <w:p w14:paraId="4CA8D646" w14:textId="19A77D99" w:rsidR="00D44B5F" w:rsidRPr="003C34DD" w:rsidRDefault="00D44B5F"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El incumplimiento </w:t>
      </w:r>
      <w:r w:rsidR="00A33380" w:rsidRPr="003C34DD">
        <w:rPr>
          <w:rFonts w:ascii="Times New Roman" w:eastAsia="Times New Roman" w:hAnsi="Times New Roman" w:cs="Times New Roman"/>
          <w:color w:val="000000"/>
          <w:lang w:val="es-CR" w:eastAsia="es-CR"/>
        </w:rPr>
        <w:t>de esta obligación</w:t>
      </w:r>
      <w:r w:rsidRPr="003C34DD">
        <w:rPr>
          <w:rFonts w:ascii="Times New Roman" w:eastAsia="Times New Roman" w:hAnsi="Times New Roman" w:cs="Times New Roman"/>
          <w:color w:val="000000"/>
          <w:lang w:val="es-CR" w:eastAsia="es-CR"/>
        </w:rPr>
        <w:t xml:space="preserve"> </w:t>
      </w:r>
      <w:r w:rsidR="00144FF0" w:rsidRPr="003C34DD">
        <w:rPr>
          <w:rFonts w:ascii="Times New Roman" w:eastAsia="Times New Roman" w:hAnsi="Times New Roman" w:cs="Times New Roman"/>
          <w:color w:val="000000"/>
          <w:lang w:val="es-CR" w:eastAsia="es-CR"/>
        </w:rPr>
        <w:t xml:space="preserve">podría </w:t>
      </w:r>
      <w:r w:rsidRPr="003C34DD">
        <w:rPr>
          <w:rFonts w:ascii="Times New Roman" w:eastAsia="Times New Roman" w:hAnsi="Times New Roman" w:cs="Times New Roman"/>
          <w:color w:val="000000"/>
          <w:lang w:val="es-CR" w:eastAsia="es-CR"/>
        </w:rPr>
        <w:t>configura</w:t>
      </w:r>
      <w:r w:rsidR="00144FF0" w:rsidRPr="003C34DD">
        <w:rPr>
          <w:rFonts w:ascii="Times New Roman" w:eastAsia="Times New Roman" w:hAnsi="Times New Roman" w:cs="Times New Roman"/>
          <w:color w:val="000000"/>
          <w:lang w:val="es-CR" w:eastAsia="es-CR"/>
        </w:rPr>
        <w:t>r</w:t>
      </w:r>
      <w:r w:rsidRPr="003C34DD">
        <w:rPr>
          <w:rFonts w:ascii="Times New Roman" w:eastAsia="Times New Roman" w:hAnsi="Times New Roman" w:cs="Times New Roman"/>
          <w:color w:val="000000"/>
          <w:lang w:val="es-CR" w:eastAsia="es-CR"/>
        </w:rPr>
        <w:t xml:space="preserve"> la infracción señalada en </w:t>
      </w:r>
      <w:r w:rsidR="00C8267E" w:rsidRPr="003C34DD">
        <w:rPr>
          <w:rFonts w:ascii="Times New Roman" w:eastAsia="Times New Roman" w:hAnsi="Times New Roman" w:cs="Times New Roman"/>
          <w:color w:val="000000"/>
          <w:lang w:val="es-CR" w:eastAsia="es-CR"/>
        </w:rPr>
        <w:t>el inciso b) del artículo 46 de la misma ley</w:t>
      </w:r>
      <w:r w:rsidR="00137185" w:rsidRPr="003C34DD">
        <w:rPr>
          <w:rFonts w:ascii="Times New Roman" w:eastAsia="Times New Roman" w:hAnsi="Times New Roman" w:cs="Times New Roman"/>
          <w:color w:val="000000"/>
          <w:lang w:val="es-CR" w:eastAsia="es-CR"/>
        </w:rPr>
        <w:t>, según el cual</w:t>
      </w:r>
      <w:r w:rsidR="00C8267E" w:rsidRPr="003C34DD">
        <w:rPr>
          <w:rFonts w:ascii="Times New Roman" w:eastAsia="Times New Roman" w:hAnsi="Times New Roman" w:cs="Times New Roman"/>
          <w:color w:val="000000"/>
          <w:lang w:val="es-CR" w:eastAsia="es-CR"/>
        </w:rPr>
        <w:t>:</w:t>
      </w:r>
    </w:p>
    <w:p w14:paraId="18773370" w14:textId="4DD352BC" w:rsidR="00C8267E" w:rsidRPr="003C34DD" w:rsidRDefault="00C8267E" w:rsidP="00913295">
      <w:pPr>
        <w:pStyle w:val="Textoindependiente"/>
        <w:ind w:right="49"/>
        <w:jc w:val="both"/>
        <w:rPr>
          <w:rFonts w:ascii="Times New Roman" w:eastAsia="Times New Roman" w:hAnsi="Times New Roman" w:cs="Times New Roman"/>
          <w:color w:val="000000"/>
          <w:lang w:val="es-CR" w:eastAsia="es-CR"/>
        </w:rPr>
      </w:pPr>
    </w:p>
    <w:p w14:paraId="778ED918" w14:textId="77777777" w:rsidR="00C8267E" w:rsidRPr="003C34DD" w:rsidRDefault="00C8267E"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 xml:space="preserve">Artículo 46.- Infracciones muy graves. Incurrirán en infracciones muy graves: </w:t>
      </w:r>
    </w:p>
    <w:p w14:paraId="3A3C654F" w14:textId="5C28AE7F" w:rsidR="00C8267E" w:rsidRPr="003C34DD" w:rsidRDefault="00355BA2"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w:t>
      </w:r>
    </w:p>
    <w:p w14:paraId="3F19DD53" w14:textId="602D00C6" w:rsidR="00C8267E" w:rsidRPr="003C34DD" w:rsidRDefault="00C8267E" w:rsidP="00355BA2">
      <w:pPr>
        <w:pStyle w:val="Textoindependiente"/>
        <w:ind w:left="284" w:right="49"/>
        <w:jc w:val="both"/>
        <w:rPr>
          <w:rFonts w:ascii="Times New Roman" w:eastAsia="Times New Roman" w:hAnsi="Times New Roman" w:cs="Times New Roman"/>
          <w:i/>
          <w:iCs/>
          <w:color w:val="000000"/>
          <w:lang w:val="es-CR" w:eastAsia="es-CR"/>
        </w:rPr>
      </w:pPr>
      <w:r w:rsidRPr="003C34DD">
        <w:rPr>
          <w:rFonts w:ascii="Times New Roman" w:eastAsia="Times New Roman" w:hAnsi="Times New Roman" w:cs="Times New Roman"/>
          <w:i/>
          <w:iCs/>
          <w:color w:val="000000"/>
          <w:lang w:val="es-CR" w:eastAsia="es-CR"/>
        </w:rPr>
        <w:t>b) El ente regulado que no suministre a la Superintendencia la información requerida por ella dentro del plazo otorgado al efecto, o suministre datos falsos.</w:t>
      </w:r>
    </w:p>
    <w:p w14:paraId="3D764825" w14:textId="77777777" w:rsidR="00C8267E" w:rsidRPr="003C34DD" w:rsidRDefault="00C8267E" w:rsidP="00913295">
      <w:pPr>
        <w:pStyle w:val="Textoindependiente"/>
        <w:ind w:right="49"/>
        <w:jc w:val="both"/>
        <w:rPr>
          <w:rFonts w:ascii="Times New Roman" w:eastAsia="Times New Roman" w:hAnsi="Times New Roman" w:cs="Times New Roman"/>
          <w:color w:val="000000"/>
          <w:lang w:val="es-CR" w:eastAsia="es-CR"/>
        </w:rPr>
      </w:pPr>
    </w:p>
    <w:p w14:paraId="63E0E978" w14:textId="0E807998" w:rsidR="00B52A9F" w:rsidRPr="003C34DD" w:rsidRDefault="00C8267E"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Con fundamento en las normas descritas anteriormente</w:t>
      </w:r>
      <w:r w:rsidR="006722E3" w:rsidRPr="003C34DD">
        <w:rPr>
          <w:rFonts w:ascii="Times New Roman" w:eastAsia="Times New Roman" w:hAnsi="Times New Roman" w:cs="Times New Roman"/>
          <w:color w:val="000000"/>
          <w:lang w:val="es-CR" w:eastAsia="es-CR"/>
        </w:rPr>
        <w:t>,</w:t>
      </w:r>
      <w:r w:rsidRPr="003C34DD">
        <w:rPr>
          <w:rFonts w:ascii="Times New Roman" w:eastAsia="Times New Roman" w:hAnsi="Times New Roman" w:cs="Times New Roman"/>
          <w:color w:val="000000"/>
          <w:lang w:val="es-CR" w:eastAsia="es-CR"/>
        </w:rPr>
        <w:t xml:space="preserve"> </w:t>
      </w:r>
      <w:r w:rsidR="009355BC">
        <w:rPr>
          <w:rFonts w:ascii="Times New Roman" w:eastAsia="Times New Roman" w:hAnsi="Times New Roman" w:cs="Times New Roman"/>
          <w:color w:val="000000"/>
          <w:lang w:val="es-CR" w:eastAsia="es-CR"/>
        </w:rPr>
        <w:t xml:space="preserve">en particular el inciso r) del artículo 38, </w:t>
      </w:r>
      <w:r w:rsidRPr="003C34DD">
        <w:rPr>
          <w:rFonts w:ascii="Times New Roman" w:eastAsia="Times New Roman" w:hAnsi="Times New Roman" w:cs="Times New Roman"/>
          <w:color w:val="000000"/>
          <w:lang w:val="es-CR" w:eastAsia="es-CR"/>
        </w:rPr>
        <w:t xml:space="preserve">se concluye que </w:t>
      </w:r>
      <w:r w:rsidR="00BD2B08" w:rsidRPr="003C34DD">
        <w:rPr>
          <w:rFonts w:ascii="Times New Roman" w:eastAsia="Times New Roman" w:hAnsi="Times New Roman" w:cs="Times New Roman"/>
          <w:color w:val="000000"/>
          <w:lang w:val="es-CR" w:eastAsia="es-CR"/>
        </w:rPr>
        <w:t xml:space="preserve">sí </w:t>
      </w:r>
      <w:r w:rsidRPr="003C34DD">
        <w:rPr>
          <w:rFonts w:ascii="Times New Roman" w:eastAsia="Times New Roman" w:hAnsi="Times New Roman" w:cs="Times New Roman"/>
          <w:color w:val="000000"/>
          <w:lang w:val="es-CR" w:eastAsia="es-CR"/>
        </w:rPr>
        <w:t xml:space="preserve">es posible aplicar el marco sancionatorio correspondiente a las </w:t>
      </w:r>
      <w:r w:rsidR="00757707" w:rsidRPr="003C34DD">
        <w:rPr>
          <w:rFonts w:ascii="Times New Roman" w:eastAsia="Times New Roman" w:hAnsi="Times New Roman" w:cs="Times New Roman"/>
          <w:color w:val="000000"/>
          <w:lang w:val="es-CR" w:eastAsia="es-CR"/>
        </w:rPr>
        <w:t xml:space="preserve">entidades administradoras de </w:t>
      </w:r>
      <w:r w:rsidR="006722E3" w:rsidRPr="003C34DD">
        <w:rPr>
          <w:rFonts w:ascii="Times New Roman" w:eastAsia="Times New Roman" w:hAnsi="Times New Roman" w:cs="Times New Roman"/>
          <w:color w:val="000000"/>
          <w:lang w:val="es-CR" w:eastAsia="es-CR"/>
        </w:rPr>
        <w:t xml:space="preserve">regímenes de pensiones creados por leyes o convenciones </w:t>
      </w:r>
      <w:r w:rsidR="006722E3" w:rsidRPr="003C34DD">
        <w:rPr>
          <w:rFonts w:ascii="Times New Roman" w:eastAsia="Times New Roman" w:hAnsi="Times New Roman" w:cs="Times New Roman"/>
          <w:color w:val="000000"/>
          <w:lang w:val="es-CR" w:eastAsia="es-CR"/>
        </w:rPr>
        <w:lastRenderedPageBreak/>
        <w:t xml:space="preserve">colectivas, antes de la vigencia de </w:t>
      </w:r>
      <w:r w:rsidR="00757707" w:rsidRPr="003C34DD">
        <w:rPr>
          <w:rFonts w:ascii="Times New Roman" w:eastAsia="Times New Roman" w:hAnsi="Times New Roman" w:cs="Times New Roman"/>
          <w:color w:val="000000"/>
          <w:lang w:val="es-CR" w:eastAsia="es-CR"/>
        </w:rPr>
        <w:t>la Ley de Protección al Trabajador</w:t>
      </w:r>
      <w:r w:rsidRPr="003C34DD">
        <w:rPr>
          <w:rFonts w:ascii="Times New Roman" w:eastAsia="Times New Roman" w:hAnsi="Times New Roman" w:cs="Times New Roman"/>
          <w:color w:val="000000"/>
          <w:lang w:val="es-CR" w:eastAsia="es-CR"/>
        </w:rPr>
        <w:t>, si en su calidad de entidades reguladas no suministran a la Superintendencia de Pensiones la información</w:t>
      </w:r>
      <w:r w:rsidR="00464C9D" w:rsidRPr="003C34DD">
        <w:rPr>
          <w:rFonts w:ascii="Times New Roman" w:eastAsia="Times New Roman" w:hAnsi="Times New Roman" w:cs="Times New Roman"/>
          <w:color w:val="000000"/>
          <w:lang w:val="es-CR" w:eastAsia="es-CR"/>
        </w:rPr>
        <w:t xml:space="preserve"> que esta les requiera, </w:t>
      </w:r>
      <w:r w:rsidRPr="003C34DD">
        <w:rPr>
          <w:rFonts w:ascii="Times New Roman" w:eastAsia="Times New Roman" w:hAnsi="Times New Roman" w:cs="Times New Roman"/>
          <w:color w:val="000000"/>
          <w:lang w:val="es-CR" w:eastAsia="es-CR"/>
        </w:rPr>
        <w:t xml:space="preserve">dentro del plazo otorgado. </w:t>
      </w:r>
    </w:p>
    <w:p w14:paraId="7FA069B7" w14:textId="19B88288" w:rsidR="006F4D94" w:rsidRPr="003C34DD" w:rsidRDefault="006F4D94" w:rsidP="00913295">
      <w:pPr>
        <w:pStyle w:val="Textoindependiente"/>
        <w:ind w:right="49"/>
        <w:jc w:val="both"/>
        <w:rPr>
          <w:rFonts w:ascii="Times New Roman" w:eastAsia="Times New Roman" w:hAnsi="Times New Roman" w:cs="Times New Roman"/>
          <w:color w:val="000000"/>
          <w:lang w:val="es-CR" w:eastAsia="es-CR"/>
        </w:rPr>
      </w:pPr>
    </w:p>
    <w:p w14:paraId="268D8E0E" w14:textId="77777777" w:rsidR="00C96CC5" w:rsidRDefault="009968D2" w:rsidP="00913295">
      <w:pPr>
        <w:pStyle w:val="Textoindependiente"/>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Sin perjuicio de lo anterior, </w:t>
      </w:r>
      <w:r w:rsidR="00B92D7E">
        <w:rPr>
          <w:rFonts w:ascii="Times New Roman" w:eastAsia="Times New Roman" w:hAnsi="Times New Roman" w:cs="Times New Roman"/>
          <w:color w:val="000000"/>
          <w:lang w:val="es-CR" w:eastAsia="es-CR"/>
        </w:rPr>
        <w:t>no debe perderse de vista la d</w:t>
      </w:r>
      <w:r w:rsidR="00B92D7E" w:rsidRPr="00B92D7E">
        <w:rPr>
          <w:rFonts w:ascii="Times New Roman" w:eastAsia="Times New Roman" w:hAnsi="Times New Roman" w:cs="Times New Roman"/>
          <w:color w:val="000000"/>
          <w:lang w:val="es-CR" w:eastAsia="es-CR"/>
        </w:rPr>
        <w:t xml:space="preserve">iscrecionalidad que asiste al órgano administrativo al momento de valorar la procedencia de iniciar o no un procedimiento administrativo sancionador, valoración para la cual resulta fundamental la aplicación del criterio de oportunidad. </w:t>
      </w:r>
    </w:p>
    <w:p w14:paraId="75A0AD55" w14:textId="77777777" w:rsidR="00C96CC5" w:rsidRDefault="00C96CC5" w:rsidP="00913295">
      <w:pPr>
        <w:pStyle w:val="Textoindependiente"/>
        <w:ind w:right="49"/>
        <w:jc w:val="both"/>
        <w:rPr>
          <w:rFonts w:ascii="Times New Roman" w:eastAsia="Times New Roman" w:hAnsi="Times New Roman" w:cs="Times New Roman"/>
          <w:color w:val="000000"/>
          <w:lang w:val="es-CR" w:eastAsia="es-CR"/>
        </w:rPr>
      </w:pPr>
    </w:p>
    <w:p w14:paraId="5370FAD0" w14:textId="50F9BD46" w:rsidR="00FA4525" w:rsidRPr="003C34DD" w:rsidRDefault="00B92D7E" w:rsidP="00913295">
      <w:pPr>
        <w:pStyle w:val="Textoindependiente"/>
        <w:ind w:right="49"/>
        <w:jc w:val="both"/>
        <w:rPr>
          <w:rFonts w:ascii="Times New Roman" w:eastAsia="Times New Roman" w:hAnsi="Times New Roman" w:cs="Times New Roman"/>
          <w:color w:val="000000"/>
          <w:lang w:val="es-CR" w:eastAsia="es-CR"/>
        </w:rPr>
      </w:pPr>
      <w:r w:rsidRPr="00B92D7E">
        <w:rPr>
          <w:rFonts w:ascii="Times New Roman" w:eastAsia="Times New Roman" w:hAnsi="Times New Roman" w:cs="Times New Roman"/>
          <w:color w:val="000000"/>
          <w:lang w:val="es-CR" w:eastAsia="es-CR"/>
        </w:rPr>
        <w:t>En el presente caso</w:t>
      </w:r>
      <w:r w:rsidR="00F86346">
        <w:rPr>
          <w:rFonts w:ascii="Times New Roman" w:eastAsia="Times New Roman" w:hAnsi="Times New Roman" w:cs="Times New Roman"/>
          <w:color w:val="000000"/>
          <w:lang w:val="es-CR" w:eastAsia="es-CR"/>
        </w:rPr>
        <w:t xml:space="preserve">, </w:t>
      </w:r>
      <w:r w:rsidR="00601CCC">
        <w:rPr>
          <w:rFonts w:ascii="Times New Roman" w:eastAsia="Times New Roman" w:hAnsi="Times New Roman" w:cs="Times New Roman"/>
          <w:color w:val="000000"/>
          <w:lang w:val="es-CR" w:eastAsia="es-CR"/>
        </w:rPr>
        <w:t>es importante tener en consideración que</w:t>
      </w:r>
      <w:r w:rsidR="005F089B">
        <w:rPr>
          <w:rFonts w:ascii="Times New Roman" w:eastAsia="Times New Roman" w:hAnsi="Times New Roman" w:cs="Times New Roman"/>
          <w:color w:val="000000"/>
          <w:lang w:val="es-CR" w:eastAsia="es-CR"/>
        </w:rPr>
        <w:t xml:space="preserve"> el </w:t>
      </w:r>
      <w:r w:rsidR="00F0312D">
        <w:rPr>
          <w:rFonts w:ascii="Times New Roman" w:eastAsia="Times New Roman" w:hAnsi="Times New Roman" w:cs="Times New Roman"/>
          <w:color w:val="000000"/>
          <w:lang w:val="es-CR" w:eastAsia="es-CR"/>
        </w:rPr>
        <w:t xml:space="preserve">Reglamento de Cobro por </w:t>
      </w:r>
      <w:r w:rsidR="001A7FD7">
        <w:rPr>
          <w:rFonts w:ascii="Times New Roman" w:eastAsia="Times New Roman" w:hAnsi="Times New Roman" w:cs="Times New Roman"/>
          <w:color w:val="000000"/>
          <w:lang w:val="es-CR" w:eastAsia="es-CR"/>
        </w:rPr>
        <w:t xml:space="preserve">Supervisión </w:t>
      </w:r>
      <w:r w:rsidR="001A7FD7" w:rsidRPr="003C34DD">
        <w:rPr>
          <w:rFonts w:ascii="Times New Roman" w:eastAsia="Times New Roman" w:hAnsi="Times New Roman" w:cs="Times New Roman"/>
          <w:color w:val="000000"/>
          <w:lang w:val="es-CR" w:eastAsia="es-CR"/>
        </w:rPr>
        <w:t>establece</w:t>
      </w:r>
      <w:r w:rsidR="006F4D94" w:rsidRPr="003C34DD">
        <w:rPr>
          <w:rFonts w:ascii="Times New Roman" w:eastAsia="Times New Roman" w:hAnsi="Times New Roman" w:cs="Times New Roman"/>
          <w:color w:val="000000"/>
          <w:lang w:val="es-CR" w:eastAsia="es-CR"/>
        </w:rPr>
        <w:t xml:space="preserve"> la posibilidad (en casos de no remisión oportuna de la información por parte de los </w:t>
      </w:r>
      <w:r w:rsidR="00A30C1B" w:rsidRPr="003C34DD">
        <w:rPr>
          <w:rFonts w:ascii="Times New Roman" w:eastAsia="Times New Roman" w:hAnsi="Times New Roman" w:cs="Times New Roman"/>
          <w:color w:val="000000"/>
          <w:lang w:val="es-CR" w:eastAsia="es-CR"/>
        </w:rPr>
        <w:t>supervisados</w:t>
      </w:r>
      <w:r w:rsidR="006F4D94" w:rsidRPr="003C34DD">
        <w:rPr>
          <w:rFonts w:ascii="Times New Roman" w:eastAsia="Times New Roman" w:hAnsi="Times New Roman" w:cs="Times New Roman"/>
          <w:color w:val="000000"/>
          <w:lang w:val="es-CR" w:eastAsia="es-CR"/>
        </w:rPr>
        <w:t>) de estimar los datos requeridos para el cálculo de</w:t>
      </w:r>
      <w:r w:rsidR="009A218C" w:rsidRPr="003C34DD">
        <w:rPr>
          <w:rFonts w:ascii="Times New Roman" w:eastAsia="Times New Roman" w:hAnsi="Times New Roman" w:cs="Times New Roman"/>
          <w:color w:val="000000"/>
          <w:lang w:val="es-CR" w:eastAsia="es-CR"/>
        </w:rPr>
        <w:t>l</w:t>
      </w:r>
      <w:r w:rsidR="006F4D94" w:rsidRPr="003C34DD">
        <w:rPr>
          <w:rFonts w:ascii="Times New Roman" w:eastAsia="Times New Roman" w:hAnsi="Times New Roman" w:cs="Times New Roman"/>
          <w:color w:val="000000"/>
          <w:lang w:val="es-CR" w:eastAsia="es-CR"/>
        </w:rPr>
        <w:t xml:space="preserve"> cobro</w:t>
      </w:r>
      <w:r w:rsidR="00E270F5" w:rsidRPr="003C34DD">
        <w:rPr>
          <w:rFonts w:ascii="Times New Roman" w:eastAsia="Times New Roman" w:hAnsi="Times New Roman" w:cs="Times New Roman"/>
          <w:color w:val="000000"/>
          <w:lang w:val="es-CR" w:eastAsia="es-CR"/>
        </w:rPr>
        <w:t>,</w:t>
      </w:r>
      <w:r w:rsidR="006F4D94" w:rsidRPr="003C34DD">
        <w:rPr>
          <w:rFonts w:ascii="Times New Roman" w:eastAsia="Times New Roman" w:hAnsi="Times New Roman" w:cs="Times New Roman"/>
          <w:color w:val="000000"/>
          <w:lang w:val="es-CR" w:eastAsia="es-CR"/>
        </w:rPr>
        <w:t xml:space="preserve"> utilizando la información del último año disponible</w:t>
      </w:r>
      <w:r w:rsidR="00FA4525" w:rsidRPr="003C34DD">
        <w:rPr>
          <w:rStyle w:val="Refdenotaalpie"/>
          <w:rFonts w:ascii="Times New Roman" w:eastAsia="Times New Roman" w:hAnsi="Times New Roman" w:cs="Times New Roman"/>
          <w:color w:val="000000"/>
          <w:lang w:val="es-CR" w:eastAsia="es-CR"/>
        </w:rPr>
        <w:footnoteReference w:id="4"/>
      </w:r>
      <w:r w:rsidR="002C5A91">
        <w:rPr>
          <w:rFonts w:ascii="Times New Roman" w:eastAsia="Times New Roman" w:hAnsi="Times New Roman" w:cs="Times New Roman"/>
          <w:color w:val="000000"/>
          <w:lang w:val="es-CR" w:eastAsia="es-CR"/>
        </w:rPr>
        <w:t xml:space="preserve">, lo cual puede ser </w:t>
      </w:r>
      <w:r w:rsidR="00A573E7">
        <w:rPr>
          <w:rFonts w:ascii="Times New Roman" w:eastAsia="Times New Roman" w:hAnsi="Times New Roman" w:cs="Times New Roman"/>
          <w:color w:val="000000"/>
          <w:lang w:val="es-CR" w:eastAsia="es-CR"/>
        </w:rPr>
        <w:t xml:space="preserve">un elemento para valorar al momento de determinar </w:t>
      </w:r>
      <w:r w:rsidR="002C5A91">
        <w:rPr>
          <w:rFonts w:ascii="Times New Roman" w:eastAsia="Times New Roman" w:hAnsi="Times New Roman" w:cs="Times New Roman"/>
          <w:color w:val="000000"/>
          <w:lang w:val="es-CR" w:eastAsia="es-CR"/>
        </w:rPr>
        <w:t xml:space="preserve">la oportunidad y conveniencia de </w:t>
      </w:r>
      <w:r w:rsidR="001A7FD7">
        <w:rPr>
          <w:rFonts w:ascii="Times New Roman" w:eastAsia="Times New Roman" w:hAnsi="Times New Roman" w:cs="Times New Roman"/>
          <w:color w:val="000000"/>
          <w:lang w:val="es-CR" w:eastAsia="es-CR"/>
        </w:rPr>
        <w:t xml:space="preserve">iniciar un procedimiento administrativo sancionatorio </w:t>
      </w:r>
      <w:r w:rsidR="00C30ECF">
        <w:rPr>
          <w:rFonts w:ascii="Times New Roman" w:eastAsia="Times New Roman" w:hAnsi="Times New Roman" w:cs="Times New Roman"/>
          <w:color w:val="000000"/>
          <w:lang w:val="es-CR" w:eastAsia="es-CR"/>
        </w:rPr>
        <w:t>contra una entidad regulada</w:t>
      </w:r>
      <w:r w:rsidR="001A7FD7">
        <w:rPr>
          <w:rFonts w:ascii="Times New Roman" w:eastAsia="Times New Roman" w:hAnsi="Times New Roman" w:cs="Times New Roman"/>
          <w:color w:val="000000"/>
          <w:lang w:val="es-CR" w:eastAsia="es-CR"/>
        </w:rPr>
        <w:t xml:space="preserve">. </w:t>
      </w:r>
      <w:r w:rsidR="004940DB">
        <w:rPr>
          <w:rFonts w:ascii="Times New Roman" w:eastAsia="Times New Roman" w:hAnsi="Times New Roman" w:cs="Times New Roman"/>
          <w:color w:val="000000"/>
          <w:lang w:val="es-CR" w:eastAsia="es-CR"/>
        </w:rPr>
        <w:t xml:space="preserve"> </w:t>
      </w:r>
    </w:p>
    <w:p w14:paraId="36AD5E8D" w14:textId="30AC2730" w:rsidR="00FA4525" w:rsidRPr="003C34DD" w:rsidRDefault="00FA4525" w:rsidP="00913295">
      <w:pPr>
        <w:pStyle w:val="Textoindependiente"/>
        <w:ind w:right="49"/>
        <w:jc w:val="both"/>
        <w:rPr>
          <w:rFonts w:ascii="Times New Roman" w:eastAsia="Times New Roman" w:hAnsi="Times New Roman" w:cs="Times New Roman"/>
          <w:color w:val="000000"/>
          <w:lang w:val="es-CR" w:eastAsia="es-CR"/>
        </w:rPr>
      </w:pPr>
    </w:p>
    <w:p w14:paraId="33F67E9C" w14:textId="6F3421BC" w:rsidR="00FA4525" w:rsidRPr="003C34DD" w:rsidRDefault="00B3558B" w:rsidP="00DB47D5">
      <w:pPr>
        <w:pStyle w:val="Prrafodelista"/>
        <w:numPr>
          <w:ilvl w:val="0"/>
          <w:numId w:val="21"/>
        </w:numPr>
        <w:tabs>
          <w:tab w:val="left" w:pos="1056"/>
        </w:tabs>
        <w:spacing w:line="240" w:lineRule="auto"/>
        <w:jc w:val="both"/>
        <w:rPr>
          <w:rFonts w:ascii="Times New Roman" w:hAnsi="Times New Roman" w:cs="Times New Roman"/>
          <w:i/>
          <w:iCs/>
          <w:sz w:val="24"/>
          <w:szCs w:val="24"/>
        </w:rPr>
      </w:pPr>
      <w:r w:rsidRPr="003C34DD">
        <w:rPr>
          <w:rFonts w:ascii="Times New Roman" w:hAnsi="Times New Roman" w:cs="Times New Roman"/>
          <w:i/>
          <w:iCs/>
          <w:sz w:val="24"/>
          <w:szCs w:val="24"/>
        </w:rPr>
        <w:t xml:space="preserve">[…] </w:t>
      </w:r>
      <w:r w:rsidR="00FA4525" w:rsidRPr="003C34DD">
        <w:rPr>
          <w:rFonts w:ascii="Times New Roman" w:hAnsi="Times New Roman" w:cs="Times New Roman"/>
          <w:i/>
          <w:iCs/>
          <w:sz w:val="24"/>
          <w:szCs w:val="24"/>
        </w:rPr>
        <w:t xml:space="preserve">la administración superior tomó la decisión de realizar el proceso de cobro con tres días de antelación al último día hábil del mes, para que en caso de que los bancos se acojan a la modalidad aplazamiento (autorizada hasta por dos días), los recursos ingresen al BCCR a más tardar el último día hábil del mes; por cuanto el artículo 2 del Reglamento de cobro establece que la fecha máxima de pago será el último día hábil del mes correspondiente, es decir no señala que el pago se hace el último día, sino que lo establece como una fecha máxima.  </w:t>
      </w:r>
    </w:p>
    <w:p w14:paraId="57682CAF" w14:textId="56408C00" w:rsidR="00FA4525" w:rsidRPr="003C34DD" w:rsidRDefault="00FA4525" w:rsidP="00DB47D5">
      <w:pPr>
        <w:pStyle w:val="Prrafodelista"/>
        <w:tabs>
          <w:tab w:val="left" w:pos="1056"/>
        </w:tabs>
        <w:spacing w:line="240" w:lineRule="auto"/>
        <w:ind w:left="644"/>
        <w:jc w:val="both"/>
        <w:rPr>
          <w:rFonts w:ascii="Times New Roman" w:hAnsi="Times New Roman" w:cs="Times New Roman"/>
          <w:i/>
          <w:iCs/>
          <w:sz w:val="24"/>
          <w:szCs w:val="24"/>
        </w:rPr>
      </w:pPr>
      <w:r w:rsidRPr="003C34DD">
        <w:rPr>
          <w:rFonts w:ascii="Times New Roman" w:hAnsi="Times New Roman" w:cs="Times New Roman"/>
          <w:i/>
          <w:iCs/>
          <w:sz w:val="24"/>
          <w:szCs w:val="24"/>
        </w:rPr>
        <w:t>Lo anterior, se aplicó en el cobro del mes de enero de 2021 y se hará en los siguientes. Sobre este punto le agradezco que, de encontrar algún problema de índole legal sobre esta práctica, asesore a esta administración, a fin de realizar la revisión del proceso y no correr el riesgo de reclamos o sanciones.</w:t>
      </w:r>
    </w:p>
    <w:p w14:paraId="1FB65BE9" w14:textId="21F8B6AF" w:rsidR="00FA4525" w:rsidRPr="003C34DD" w:rsidRDefault="00FA4525"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Tal y como se expone en el enunciado de la consulta, el artículo 2 del </w:t>
      </w:r>
      <w:r w:rsidRPr="003C34DD">
        <w:rPr>
          <w:rFonts w:ascii="Times New Roman" w:eastAsia="Times New Roman" w:hAnsi="Times New Roman" w:cs="Times New Roman"/>
          <w:i/>
          <w:iCs/>
          <w:color w:val="000000"/>
          <w:lang w:val="es-CR" w:eastAsia="es-CR"/>
        </w:rPr>
        <w:t>Reglamento para regular la participación de los sujetos fiscalizados en el financiamiento del presupuesto de las superintendencias</w:t>
      </w:r>
      <w:r w:rsidR="008A5580" w:rsidRPr="003C34DD">
        <w:rPr>
          <w:rFonts w:ascii="Times New Roman" w:eastAsia="Times New Roman" w:hAnsi="Times New Roman" w:cs="Times New Roman"/>
          <w:color w:val="000000"/>
          <w:lang w:val="es-CR" w:eastAsia="es-CR"/>
        </w:rPr>
        <w:t>,</w:t>
      </w:r>
      <w:r w:rsidRPr="003C34DD">
        <w:rPr>
          <w:rFonts w:ascii="Times New Roman" w:eastAsia="Times New Roman" w:hAnsi="Times New Roman" w:cs="Times New Roman"/>
          <w:i/>
          <w:iCs/>
          <w:color w:val="000000"/>
          <w:lang w:val="es-CR" w:eastAsia="es-CR"/>
        </w:rPr>
        <w:t xml:space="preserve"> </w:t>
      </w:r>
      <w:r w:rsidRPr="003C34DD">
        <w:rPr>
          <w:rFonts w:ascii="Times New Roman" w:eastAsia="Times New Roman" w:hAnsi="Times New Roman" w:cs="Times New Roman"/>
          <w:color w:val="000000"/>
          <w:lang w:val="es-CR" w:eastAsia="es-CR"/>
        </w:rPr>
        <w:t>establece que la fecha máxima para realizar el pago del cobro por supervisión</w:t>
      </w:r>
      <w:r w:rsidR="004A4A63" w:rsidRPr="003C34DD">
        <w:rPr>
          <w:rFonts w:ascii="Times New Roman" w:eastAsia="Times New Roman" w:hAnsi="Times New Roman" w:cs="Times New Roman"/>
          <w:color w:val="000000"/>
          <w:lang w:val="es-CR" w:eastAsia="es-CR"/>
        </w:rPr>
        <w:t xml:space="preserve"> por parte de las entidades </w:t>
      </w:r>
      <w:r w:rsidR="00132738" w:rsidRPr="003C34DD">
        <w:rPr>
          <w:rFonts w:ascii="Times New Roman" w:eastAsia="Times New Roman" w:hAnsi="Times New Roman" w:cs="Times New Roman"/>
          <w:color w:val="000000"/>
          <w:lang w:val="es-CR" w:eastAsia="es-CR"/>
        </w:rPr>
        <w:t>obligadas</w:t>
      </w:r>
      <w:r w:rsidRPr="003C34DD">
        <w:rPr>
          <w:rFonts w:ascii="Times New Roman" w:eastAsia="Times New Roman" w:hAnsi="Times New Roman" w:cs="Times New Roman"/>
          <w:color w:val="000000"/>
          <w:lang w:val="es-CR" w:eastAsia="es-CR"/>
        </w:rPr>
        <w:t xml:space="preserve"> será el último día hábil de cada mes. </w:t>
      </w:r>
      <w:r w:rsidR="004A4A63" w:rsidRPr="003C34DD">
        <w:rPr>
          <w:rFonts w:ascii="Times New Roman" w:eastAsia="Times New Roman" w:hAnsi="Times New Roman" w:cs="Times New Roman"/>
          <w:color w:val="000000"/>
          <w:lang w:val="es-CR" w:eastAsia="es-CR"/>
        </w:rPr>
        <w:t xml:space="preserve">El artículo no establece que las </w:t>
      </w:r>
      <w:r w:rsidR="00033A96" w:rsidRPr="003C34DD">
        <w:rPr>
          <w:rFonts w:ascii="Times New Roman" w:eastAsia="Times New Roman" w:hAnsi="Times New Roman" w:cs="Times New Roman"/>
          <w:color w:val="000000"/>
          <w:lang w:val="es-CR" w:eastAsia="es-CR"/>
        </w:rPr>
        <w:t>s</w:t>
      </w:r>
      <w:r w:rsidR="004A4A63" w:rsidRPr="003C34DD">
        <w:rPr>
          <w:rFonts w:ascii="Times New Roman" w:eastAsia="Times New Roman" w:hAnsi="Times New Roman" w:cs="Times New Roman"/>
          <w:color w:val="000000"/>
          <w:lang w:val="es-CR" w:eastAsia="es-CR"/>
        </w:rPr>
        <w:t>uperintendencias deban necesariamente realizar el cobro en esta fecha límite</w:t>
      </w:r>
      <w:r w:rsidR="008C7A57" w:rsidRPr="003C34DD">
        <w:rPr>
          <w:rFonts w:ascii="Times New Roman" w:eastAsia="Times New Roman" w:hAnsi="Times New Roman" w:cs="Times New Roman"/>
          <w:color w:val="000000"/>
          <w:lang w:val="es-CR" w:eastAsia="es-CR"/>
        </w:rPr>
        <w:t>,</w:t>
      </w:r>
      <w:r w:rsidR="004A4A63" w:rsidRPr="003C34DD">
        <w:rPr>
          <w:rFonts w:ascii="Times New Roman" w:eastAsia="Times New Roman" w:hAnsi="Times New Roman" w:cs="Times New Roman"/>
          <w:color w:val="000000"/>
          <w:lang w:val="es-CR" w:eastAsia="es-CR"/>
        </w:rPr>
        <w:t xml:space="preserve"> por lo que no hay ninguna disposición normativa que le</w:t>
      </w:r>
      <w:r w:rsidR="00033A96" w:rsidRPr="003C34DD">
        <w:rPr>
          <w:rFonts w:ascii="Times New Roman" w:eastAsia="Times New Roman" w:hAnsi="Times New Roman" w:cs="Times New Roman"/>
          <w:color w:val="000000"/>
          <w:lang w:val="es-CR" w:eastAsia="es-CR"/>
        </w:rPr>
        <w:t>s</w:t>
      </w:r>
      <w:r w:rsidR="004A4A63" w:rsidRPr="003C34DD">
        <w:rPr>
          <w:rFonts w:ascii="Times New Roman" w:eastAsia="Times New Roman" w:hAnsi="Times New Roman" w:cs="Times New Roman"/>
          <w:color w:val="000000"/>
          <w:lang w:val="es-CR" w:eastAsia="es-CR"/>
        </w:rPr>
        <w:t xml:space="preserve"> prohíba hacerlo </w:t>
      </w:r>
      <w:r w:rsidR="004A4A63" w:rsidRPr="003C34DD">
        <w:rPr>
          <w:rFonts w:ascii="Times New Roman" w:eastAsia="Times New Roman" w:hAnsi="Times New Roman" w:cs="Times New Roman"/>
          <w:color w:val="000000"/>
          <w:lang w:val="es-CR" w:eastAsia="es-CR"/>
        </w:rPr>
        <w:lastRenderedPageBreak/>
        <w:t xml:space="preserve">en una fecha anterior. </w:t>
      </w:r>
    </w:p>
    <w:p w14:paraId="101C4539" w14:textId="0AB590B2" w:rsidR="004A4A63" w:rsidRPr="003C34DD" w:rsidRDefault="004A4A63" w:rsidP="00913295">
      <w:pPr>
        <w:pStyle w:val="Textoindependiente"/>
        <w:ind w:right="49"/>
        <w:jc w:val="both"/>
        <w:rPr>
          <w:rFonts w:ascii="Times New Roman" w:eastAsia="Times New Roman" w:hAnsi="Times New Roman" w:cs="Times New Roman"/>
          <w:color w:val="000000"/>
          <w:lang w:val="es-CR" w:eastAsia="es-CR"/>
        </w:rPr>
      </w:pPr>
    </w:p>
    <w:p w14:paraId="727CA87F" w14:textId="741F3354" w:rsidR="004A4A63" w:rsidRDefault="00D267E9" w:rsidP="00913295">
      <w:pPr>
        <w:pStyle w:val="Textoindependiente"/>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Sin embargo,</w:t>
      </w:r>
      <w:r w:rsidR="004A4A63" w:rsidRPr="003C34DD">
        <w:rPr>
          <w:rFonts w:ascii="Times New Roman" w:eastAsia="Times New Roman" w:hAnsi="Times New Roman" w:cs="Times New Roman"/>
          <w:color w:val="000000"/>
          <w:lang w:val="es-CR" w:eastAsia="es-CR"/>
        </w:rPr>
        <w:t xml:space="preserve"> el reglamento</w:t>
      </w:r>
      <w:r w:rsidRPr="003C34DD">
        <w:rPr>
          <w:rFonts w:ascii="Times New Roman" w:eastAsia="Times New Roman" w:hAnsi="Times New Roman" w:cs="Times New Roman"/>
          <w:color w:val="000000"/>
          <w:lang w:val="es-CR" w:eastAsia="es-CR"/>
        </w:rPr>
        <w:t xml:space="preserve"> de cobro citado</w:t>
      </w:r>
      <w:r w:rsidR="004A4A63" w:rsidRPr="003C34DD">
        <w:rPr>
          <w:rFonts w:ascii="Times New Roman" w:eastAsia="Times New Roman" w:hAnsi="Times New Roman" w:cs="Times New Roman"/>
          <w:color w:val="000000"/>
          <w:lang w:val="es-CR" w:eastAsia="es-CR"/>
        </w:rPr>
        <w:t xml:space="preserve"> tampoco obliga a las entidades reguladas a realizar el pago de manera </w:t>
      </w:r>
      <w:r w:rsidR="00355BA2" w:rsidRPr="003C34DD">
        <w:rPr>
          <w:rFonts w:ascii="Times New Roman" w:eastAsia="Times New Roman" w:hAnsi="Times New Roman" w:cs="Times New Roman"/>
          <w:color w:val="000000"/>
          <w:lang w:val="es-CR" w:eastAsia="es-CR"/>
        </w:rPr>
        <w:t>anticipada, la</w:t>
      </w:r>
      <w:r w:rsidR="004A4A63" w:rsidRPr="003C34DD">
        <w:rPr>
          <w:rFonts w:ascii="Times New Roman" w:eastAsia="Times New Roman" w:hAnsi="Times New Roman" w:cs="Times New Roman"/>
          <w:color w:val="000000"/>
          <w:lang w:val="es-CR" w:eastAsia="es-CR"/>
        </w:rPr>
        <w:t xml:space="preserve"> norma es clara en que tienen hasta el último día hábil del mes para realizar el pago en tiempo. </w:t>
      </w:r>
    </w:p>
    <w:p w14:paraId="6C011313" w14:textId="77777777" w:rsidR="00B50005" w:rsidRPr="003C34DD" w:rsidRDefault="00B50005" w:rsidP="00913295">
      <w:pPr>
        <w:pStyle w:val="Textoindependiente"/>
        <w:ind w:right="49"/>
        <w:jc w:val="both"/>
        <w:rPr>
          <w:rFonts w:ascii="Times New Roman" w:eastAsia="Times New Roman" w:hAnsi="Times New Roman" w:cs="Times New Roman"/>
          <w:color w:val="000000"/>
          <w:lang w:val="es-CR" w:eastAsia="es-CR"/>
        </w:rPr>
      </w:pPr>
    </w:p>
    <w:p w14:paraId="180C5B6B" w14:textId="77777777" w:rsidR="00913295" w:rsidRPr="003C34DD" w:rsidRDefault="00913295" w:rsidP="00913295">
      <w:pPr>
        <w:tabs>
          <w:tab w:val="left" w:pos="1056"/>
        </w:tabs>
        <w:spacing w:line="240" w:lineRule="auto"/>
        <w:ind w:left="708" w:right="758"/>
        <w:jc w:val="both"/>
        <w:rPr>
          <w:rFonts w:cs="Times New Roman"/>
          <w:b/>
          <w:szCs w:val="24"/>
        </w:rPr>
      </w:pPr>
      <w:r w:rsidRPr="003C34DD">
        <w:rPr>
          <w:rFonts w:cs="Times New Roman"/>
          <w:b/>
          <w:szCs w:val="24"/>
        </w:rPr>
        <w:t>III. Conclusiones</w:t>
      </w:r>
    </w:p>
    <w:p w14:paraId="2D1BC8F3" w14:textId="77777777" w:rsidR="00913295" w:rsidRPr="003C34DD" w:rsidRDefault="00913295" w:rsidP="00913295">
      <w:pPr>
        <w:pStyle w:val="NormalWeb"/>
        <w:spacing w:before="0" w:beforeAutospacing="0" w:after="0" w:afterAutospacing="0"/>
        <w:jc w:val="both"/>
        <w:rPr>
          <w:sz w:val="24"/>
          <w:szCs w:val="24"/>
        </w:rPr>
      </w:pPr>
    </w:p>
    <w:p w14:paraId="1DF8EB25" w14:textId="77777777" w:rsidR="00913295" w:rsidRPr="003C34DD" w:rsidRDefault="00913295" w:rsidP="00913295">
      <w:pPr>
        <w:pStyle w:val="NormalWeb"/>
        <w:spacing w:before="0" w:beforeAutospacing="0" w:after="0" w:afterAutospacing="0"/>
        <w:jc w:val="both"/>
        <w:rPr>
          <w:sz w:val="24"/>
          <w:szCs w:val="24"/>
        </w:rPr>
      </w:pPr>
      <w:r w:rsidRPr="003C34DD">
        <w:rPr>
          <w:sz w:val="24"/>
          <w:szCs w:val="24"/>
        </w:rPr>
        <w:t xml:space="preserve">En virtud de lo expuesto, se concluye que:  </w:t>
      </w:r>
    </w:p>
    <w:p w14:paraId="7161AE40" w14:textId="77777777" w:rsidR="00913295" w:rsidRPr="003C34DD" w:rsidRDefault="00913295" w:rsidP="00913295">
      <w:pPr>
        <w:pStyle w:val="NormalWeb"/>
        <w:spacing w:before="0" w:beforeAutospacing="0" w:after="0" w:afterAutospacing="0"/>
        <w:jc w:val="both"/>
        <w:rPr>
          <w:sz w:val="24"/>
          <w:szCs w:val="24"/>
        </w:rPr>
      </w:pPr>
    </w:p>
    <w:p w14:paraId="67C5122D" w14:textId="01DEE8EA" w:rsidR="00BE6A21" w:rsidRDefault="004400D2" w:rsidP="004400D2">
      <w:pPr>
        <w:pStyle w:val="Textoindependiente"/>
        <w:numPr>
          <w:ilvl w:val="0"/>
          <w:numId w:val="20"/>
        </w:numPr>
        <w:ind w:right="49"/>
        <w:jc w:val="both"/>
        <w:rPr>
          <w:rFonts w:ascii="Times New Roman" w:eastAsia="Times New Roman" w:hAnsi="Times New Roman" w:cs="Times New Roman"/>
          <w:color w:val="000000"/>
          <w:lang w:val="es-CR" w:eastAsia="es-CR"/>
        </w:rPr>
      </w:pPr>
      <w:r w:rsidRPr="003C34DD">
        <w:rPr>
          <w:rFonts w:ascii="Times New Roman" w:eastAsia="Times New Roman" w:hAnsi="Times New Roman" w:cs="Times New Roman"/>
          <w:color w:val="000000"/>
          <w:lang w:val="es-CR" w:eastAsia="es-CR"/>
        </w:rPr>
        <w:t xml:space="preserve">No procede el cobro de </w:t>
      </w:r>
      <w:r w:rsidR="006052AB" w:rsidRPr="003C34DD">
        <w:rPr>
          <w:rFonts w:ascii="Times New Roman" w:eastAsia="Times New Roman" w:hAnsi="Times New Roman" w:cs="Times New Roman"/>
          <w:color w:val="000000"/>
          <w:lang w:val="es-CR" w:eastAsia="es-CR"/>
        </w:rPr>
        <w:t xml:space="preserve">intereses </w:t>
      </w:r>
      <w:r w:rsidRPr="003C34DD">
        <w:rPr>
          <w:rFonts w:ascii="Times New Roman" w:eastAsia="Times New Roman" w:hAnsi="Times New Roman" w:cs="Times New Roman"/>
          <w:color w:val="000000"/>
          <w:lang w:val="es-CR" w:eastAsia="es-CR"/>
        </w:rPr>
        <w:t xml:space="preserve">moratorios a los supervisados por la aplicación del mecanismo del aplazamiento, </w:t>
      </w:r>
      <w:r w:rsidR="00F26CB2" w:rsidRPr="003C34DD">
        <w:rPr>
          <w:rFonts w:ascii="Times New Roman" w:eastAsia="Times New Roman" w:hAnsi="Times New Roman" w:cs="Times New Roman"/>
          <w:color w:val="000000"/>
          <w:lang w:val="es-CR" w:eastAsia="es-CR"/>
        </w:rPr>
        <w:t>debido a</w:t>
      </w:r>
      <w:r w:rsidR="00D51055" w:rsidRPr="003C34DD">
        <w:rPr>
          <w:rFonts w:ascii="Times New Roman" w:eastAsia="Times New Roman" w:hAnsi="Times New Roman" w:cs="Times New Roman"/>
          <w:color w:val="000000"/>
          <w:lang w:val="es-CR" w:eastAsia="es-CR"/>
        </w:rPr>
        <w:t xml:space="preserve"> </w:t>
      </w:r>
      <w:r w:rsidRPr="003C34DD">
        <w:rPr>
          <w:rFonts w:ascii="Times New Roman" w:eastAsia="Times New Roman" w:hAnsi="Times New Roman" w:cs="Times New Roman"/>
          <w:color w:val="000000"/>
          <w:lang w:val="es-CR" w:eastAsia="es-CR"/>
        </w:rPr>
        <w:t xml:space="preserve">que no se verifican los presupuestos establecidos en </w:t>
      </w:r>
      <w:r w:rsidR="00D51055" w:rsidRPr="003C34DD">
        <w:rPr>
          <w:rFonts w:ascii="Times New Roman" w:eastAsia="Times New Roman" w:hAnsi="Times New Roman" w:cs="Times New Roman"/>
          <w:color w:val="000000"/>
          <w:lang w:val="es-CR" w:eastAsia="es-CR"/>
        </w:rPr>
        <w:t xml:space="preserve">la normativa vigente </w:t>
      </w:r>
      <w:r w:rsidRPr="003C34DD">
        <w:rPr>
          <w:rFonts w:ascii="Times New Roman" w:eastAsia="Times New Roman" w:hAnsi="Times New Roman" w:cs="Times New Roman"/>
          <w:color w:val="000000"/>
          <w:lang w:val="es-CR" w:eastAsia="es-CR"/>
        </w:rPr>
        <w:t>para dicho cobro: no es una situación atribuible al sujeto pasivo de la contribución especial, y no se trata de un caso de pago tardío de la obligación tributaria</w:t>
      </w:r>
      <w:r w:rsidR="008D2073">
        <w:rPr>
          <w:rFonts w:ascii="Times New Roman" w:eastAsia="Times New Roman" w:hAnsi="Times New Roman" w:cs="Times New Roman"/>
          <w:color w:val="000000"/>
          <w:lang w:val="es-CR" w:eastAsia="es-CR"/>
        </w:rPr>
        <w:t xml:space="preserve">. </w:t>
      </w:r>
    </w:p>
    <w:p w14:paraId="266C9B3E" w14:textId="6EF7FE4F" w:rsidR="004400D2" w:rsidRDefault="00E9379E" w:rsidP="004400D2">
      <w:pPr>
        <w:pStyle w:val="Textoindependiente"/>
        <w:numPr>
          <w:ilvl w:val="0"/>
          <w:numId w:val="20"/>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E</w:t>
      </w:r>
      <w:r w:rsidR="004400D2" w:rsidRPr="003C34DD">
        <w:rPr>
          <w:rFonts w:ascii="Times New Roman" w:eastAsia="Times New Roman" w:hAnsi="Times New Roman" w:cs="Times New Roman"/>
          <w:color w:val="000000"/>
          <w:lang w:val="es-CR" w:eastAsia="es-CR"/>
        </w:rPr>
        <w:t xml:space="preserve">s posible que ocurra una afectación a la </w:t>
      </w:r>
      <w:r w:rsidR="00B621F3" w:rsidRPr="003C34DD">
        <w:rPr>
          <w:rFonts w:ascii="Times New Roman" w:eastAsia="Times New Roman" w:hAnsi="Times New Roman" w:cs="Times New Roman"/>
          <w:color w:val="000000"/>
          <w:lang w:val="es-CR" w:eastAsia="es-CR"/>
        </w:rPr>
        <w:t>H</w:t>
      </w:r>
      <w:r w:rsidR="007A77BD" w:rsidRPr="003C34DD">
        <w:rPr>
          <w:rFonts w:ascii="Times New Roman" w:eastAsia="Times New Roman" w:hAnsi="Times New Roman" w:cs="Times New Roman"/>
          <w:color w:val="000000"/>
          <w:lang w:val="es-CR" w:eastAsia="es-CR"/>
        </w:rPr>
        <w:t xml:space="preserve">acienda </w:t>
      </w:r>
      <w:r w:rsidR="00B621F3" w:rsidRPr="003C34DD">
        <w:rPr>
          <w:rFonts w:ascii="Times New Roman" w:eastAsia="Times New Roman" w:hAnsi="Times New Roman" w:cs="Times New Roman"/>
          <w:color w:val="000000"/>
          <w:lang w:val="es-CR" w:eastAsia="es-CR"/>
        </w:rPr>
        <w:t>P</w:t>
      </w:r>
      <w:r w:rsidR="007A77BD" w:rsidRPr="003C34DD">
        <w:rPr>
          <w:rFonts w:ascii="Times New Roman" w:eastAsia="Times New Roman" w:hAnsi="Times New Roman" w:cs="Times New Roman"/>
          <w:color w:val="000000"/>
          <w:lang w:val="es-CR" w:eastAsia="es-CR"/>
        </w:rPr>
        <w:t xml:space="preserve">ública </w:t>
      </w:r>
      <w:r w:rsidR="004400D2" w:rsidRPr="003C34DD">
        <w:rPr>
          <w:rFonts w:ascii="Times New Roman" w:eastAsia="Times New Roman" w:hAnsi="Times New Roman" w:cs="Times New Roman"/>
          <w:color w:val="000000"/>
          <w:lang w:val="es-CR" w:eastAsia="es-CR"/>
        </w:rPr>
        <w:t xml:space="preserve">cuando se verifique un atraso en el ingreso de recursos a las arcas de la administración como consecuencia de una aplicación indebida o no justificada del mecanismo de aplazamiento por parte de la entidad financiera. Dicha afectación es atribuible a la entidad financiera y no a la entidad supervisada que realiza el pago en tiempo. </w:t>
      </w:r>
    </w:p>
    <w:p w14:paraId="39FB7C05" w14:textId="51119F74" w:rsidR="004400D2" w:rsidRPr="003C34DD" w:rsidRDefault="00782D1A" w:rsidP="004400D2">
      <w:pPr>
        <w:pStyle w:val="Textoindependiente"/>
        <w:numPr>
          <w:ilvl w:val="0"/>
          <w:numId w:val="20"/>
        </w:numPr>
        <w:ind w:right="49"/>
        <w:jc w:val="both"/>
        <w:rPr>
          <w:rFonts w:ascii="Times New Roman" w:eastAsia="Times New Roman" w:hAnsi="Times New Roman" w:cs="Times New Roman"/>
          <w:color w:val="000000"/>
          <w:lang w:val="es-CR" w:eastAsia="es-CR"/>
        </w:rPr>
      </w:pPr>
      <w:r>
        <w:rPr>
          <w:rFonts w:ascii="Times New Roman" w:eastAsia="Times New Roman" w:hAnsi="Times New Roman" w:cs="Times New Roman"/>
          <w:color w:val="000000"/>
          <w:lang w:val="es-CR" w:eastAsia="es-CR"/>
        </w:rPr>
        <w:t xml:space="preserve">Es </w:t>
      </w:r>
      <w:r w:rsidR="004400D2" w:rsidRPr="003C34DD">
        <w:rPr>
          <w:rFonts w:ascii="Times New Roman" w:eastAsia="Times New Roman" w:hAnsi="Times New Roman" w:cs="Times New Roman"/>
          <w:color w:val="000000"/>
          <w:lang w:val="es-CR" w:eastAsia="es-CR"/>
        </w:rPr>
        <w:t xml:space="preserve">posible aplicar el marco sancionatorio correspondiente a las entidades reguladas </w:t>
      </w:r>
      <w:r w:rsidR="00B46DD7" w:rsidRPr="003C34DD">
        <w:rPr>
          <w:rFonts w:ascii="Times New Roman" w:eastAsia="Times New Roman" w:hAnsi="Times New Roman" w:cs="Times New Roman"/>
          <w:color w:val="000000"/>
          <w:lang w:val="es-CR" w:eastAsia="es-CR"/>
        </w:rPr>
        <w:t xml:space="preserve">que </w:t>
      </w:r>
      <w:r w:rsidR="004400D2" w:rsidRPr="003C34DD">
        <w:rPr>
          <w:rFonts w:ascii="Times New Roman" w:eastAsia="Times New Roman" w:hAnsi="Times New Roman" w:cs="Times New Roman"/>
          <w:color w:val="000000"/>
          <w:lang w:val="es-CR" w:eastAsia="es-CR"/>
        </w:rPr>
        <w:t>no suministr</w:t>
      </w:r>
      <w:r w:rsidR="00660AFA" w:rsidRPr="003C34DD">
        <w:rPr>
          <w:rFonts w:ascii="Times New Roman" w:eastAsia="Times New Roman" w:hAnsi="Times New Roman" w:cs="Times New Roman"/>
          <w:color w:val="000000"/>
          <w:lang w:val="es-CR" w:eastAsia="es-CR"/>
        </w:rPr>
        <w:t>e</w:t>
      </w:r>
      <w:r w:rsidR="004400D2" w:rsidRPr="003C34DD">
        <w:rPr>
          <w:rFonts w:ascii="Times New Roman" w:eastAsia="Times New Roman" w:hAnsi="Times New Roman" w:cs="Times New Roman"/>
          <w:color w:val="000000"/>
          <w:lang w:val="es-CR" w:eastAsia="es-CR"/>
        </w:rPr>
        <w:t>n a las Superintendencia de Pensiones</w:t>
      </w:r>
      <w:r w:rsidR="00227C4C" w:rsidRPr="003C34DD">
        <w:rPr>
          <w:rFonts w:ascii="Times New Roman" w:eastAsia="Times New Roman" w:hAnsi="Times New Roman" w:cs="Times New Roman"/>
          <w:color w:val="000000"/>
          <w:lang w:val="es-CR" w:eastAsia="es-CR"/>
        </w:rPr>
        <w:t>,</w:t>
      </w:r>
      <w:r w:rsidR="004400D2" w:rsidRPr="003C34DD">
        <w:rPr>
          <w:rFonts w:ascii="Times New Roman" w:eastAsia="Times New Roman" w:hAnsi="Times New Roman" w:cs="Times New Roman"/>
          <w:color w:val="000000"/>
          <w:lang w:val="es-CR" w:eastAsia="es-CR"/>
        </w:rPr>
        <w:t xml:space="preserve"> </w:t>
      </w:r>
      <w:r w:rsidR="00CA5133" w:rsidRPr="003C34DD">
        <w:rPr>
          <w:rFonts w:ascii="Times New Roman" w:eastAsia="Times New Roman" w:hAnsi="Times New Roman" w:cs="Times New Roman"/>
          <w:color w:val="000000"/>
          <w:lang w:val="es-CR" w:eastAsia="es-CR"/>
        </w:rPr>
        <w:t xml:space="preserve">dentro del plazo otorgado, </w:t>
      </w:r>
      <w:r w:rsidR="004400D2" w:rsidRPr="003C34DD">
        <w:rPr>
          <w:rFonts w:ascii="Times New Roman" w:eastAsia="Times New Roman" w:hAnsi="Times New Roman" w:cs="Times New Roman"/>
          <w:color w:val="000000"/>
          <w:lang w:val="es-CR" w:eastAsia="es-CR"/>
        </w:rPr>
        <w:t xml:space="preserve">la información </w:t>
      </w:r>
      <w:r w:rsidR="00660AFA" w:rsidRPr="003C34DD">
        <w:rPr>
          <w:rFonts w:ascii="Times New Roman" w:eastAsia="Times New Roman" w:hAnsi="Times New Roman" w:cs="Times New Roman"/>
          <w:color w:val="000000"/>
          <w:lang w:val="es-CR" w:eastAsia="es-CR"/>
        </w:rPr>
        <w:t xml:space="preserve">relacionada con el cobro por supervisión que les sea </w:t>
      </w:r>
      <w:r w:rsidR="004400D2" w:rsidRPr="003C34DD">
        <w:rPr>
          <w:rFonts w:ascii="Times New Roman" w:eastAsia="Times New Roman" w:hAnsi="Times New Roman" w:cs="Times New Roman"/>
          <w:color w:val="000000"/>
          <w:lang w:val="es-CR" w:eastAsia="es-CR"/>
        </w:rPr>
        <w:t>requerida.</w:t>
      </w:r>
    </w:p>
    <w:p w14:paraId="4BDCB82D" w14:textId="77777777" w:rsidR="004400D2" w:rsidRPr="003C34DD" w:rsidRDefault="004400D2" w:rsidP="004400D2">
      <w:pPr>
        <w:pStyle w:val="Prrafodelista"/>
        <w:rPr>
          <w:rFonts w:ascii="Times New Roman" w:eastAsia="Times New Roman" w:hAnsi="Times New Roman" w:cs="Times New Roman"/>
          <w:color w:val="000000"/>
          <w:sz w:val="24"/>
          <w:szCs w:val="24"/>
          <w:lang w:eastAsia="es-CR"/>
        </w:rPr>
      </w:pPr>
    </w:p>
    <w:p w14:paraId="413A2C6D" w14:textId="77777777" w:rsidR="00913295" w:rsidRPr="003C34DD" w:rsidRDefault="00913295" w:rsidP="00913295">
      <w:pPr>
        <w:pStyle w:val="NormalWeb"/>
        <w:spacing w:before="0" w:beforeAutospacing="0" w:after="0" w:afterAutospacing="0"/>
        <w:jc w:val="both"/>
        <w:rPr>
          <w:sz w:val="24"/>
          <w:szCs w:val="24"/>
        </w:rPr>
      </w:pPr>
      <w:r w:rsidRPr="003C34DD">
        <w:rPr>
          <w:sz w:val="24"/>
          <w:szCs w:val="24"/>
        </w:rPr>
        <w:t>Atentamente,</w:t>
      </w:r>
    </w:p>
    <w:p w14:paraId="19450E90" w14:textId="125ECA1C" w:rsidR="00913295" w:rsidRPr="003C34DD" w:rsidRDefault="00913295" w:rsidP="00913295">
      <w:pPr>
        <w:tabs>
          <w:tab w:val="left" w:pos="3686"/>
        </w:tabs>
        <w:spacing w:line="240" w:lineRule="auto"/>
        <w:ind w:right="22"/>
        <w:jc w:val="both"/>
        <w:rPr>
          <w:rFonts w:cs="Times New Roman"/>
          <w:szCs w:val="24"/>
        </w:rPr>
      </w:pPr>
      <w:r w:rsidRPr="003C34DD">
        <w:rPr>
          <w:rFonts w:cs="Times New Roman"/>
          <w:szCs w:val="24"/>
        </w:rPr>
        <w:t xml:space="preserve">Realizado por:  </w:t>
      </w:r>
      <w:r w:rsidR="00615880" w:rsidRPr="003C34DD">
        <w:rPr>
          <w:rFonts w:cs="Times New Roman"/>
          <w:szCs w:val="24"/>
        </w:rPr>
        <w:t>Jorge E. Muñoz García</w:t>
      </w:r>
      <w:r w:rsidRPr="003C34DD">
        <w:rPr>
          <w:rFonts w:cs="Times New Roman"/>
          <w:noProof/>
          <w:szCs w:val="24"/>
        </w:rPr>
        <w:t xml:space="preserve"> </w:t>
      </w:r>
      <w:r w:rsidR="005733B0">
        <w:rPr>
          <w:rFonts w:cs="Times New Roman"/>
          <w:noProof/>
          <w:szCs w:val="24"/>
        </w:rPr>
        <w:drawing>
          <wp:inline distT="0" distB="0" distL="0" distR="0" wp14:anchorId="597C5FC6" wp14:editId="3C7D42B9">
            <wp:extent cx="1255096" cy="720090"/>
            <wp:effectExtent l="0" t="0" r="2540" b="3810"/>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 Carta&#10;&#10;Descripción generada automáticamente"/>
                    <pic:cNvPicPr/>
                  </pic:nvPicPr>
                  <pic:blipFill>
                    <a:blip r:embed="rId11"/>
                    <a:stretch>
                      <a:fillRect/>
                    </a:stretch>
                  </pic:blipFill>
                  <pic:spPr>
                    <a:xfrm>
                      <a:off x="0" y="0"/>
                      <a:ext cx="1262843" cy="724535"/>
                    </a:xfrm>
                    <a:prstGeom prst="rect">
                      <a:avLst/>
                    </a:prstGeom>
                  </pic:spPr>
                </pic:pic>
              </a:graphicData>
            </a:graphic>
          </wp:inline>
        </w:drawing>
      </w:r>
    </w:p>
    <w:p w14:paraId="54C79CBF" w14:textId="4B83AF3B" w:rsidR="00913295" w:rsidRPr="003C34DD" w:rsidRDefault="00913295" w:rsidP="00913295">
      <w:pPr>
        <w:tabs>
          <w:tab w:val="left" w:pos="3686"/>
        </w:tabs>
        <w:spacing w:line="240" w:lineRule="auto"/>
        <w:ind w:right="22"/>
        <w:jc w:val="both"/>
        <w:rPr>
          <w:rFonts w:cs="Times New Roman"/>
          <w:szCs w:val="24"/>
        </w:rPr>
      </w:pPr>
      <w:r w:rsidRPr="003C34DD">
        <w:rPr>
          <w:rFonts w:cs="Times New Roman"/>
          <w:szCs w:val="24"/>
        </w:rPr>
        <w:t xml:space="preserve">Revisado por: Jenory Díaz Molina </w:t>
      </w:r>
      <w:r w:rsidR="005733B0">
        <w:rPr>
          <w:rFonts w:cs="Times New Roman"/>
          <w:noProof/>
          <w:szCs w:val="24"/>
        </w:rPr>
        <w:drawing>
          <wp:inline distT="0" distB="0" distL="0" distR="0" wp14:anchorId="15E658F5" wp14:editId="4391ECC9">
            <wp:extent cx="944021" cy="818515"/>
            <wp:effectExtent l="0" t="0" r="889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2"/>
                    <a:stretch>
                      <a:fillRect/>
                    </a:stretch>
                  </pic:blipFill>
                  <pic:spPr>
                    <a:xfrm>
                      <a:off x="0" y="0"/>
                      <a:ext cx="946783" cy="820910"/>
                    </a:xfrm>
                    <a:prstGeom prst="rect">
                      <a:avLst/>
                    </a:prstGeom>
                  </pic:spPr>
                </pic:pic>
              </a:graphicData>
            </a:graphic>
          </wp:inline>
        </w:drawing>
      </w:r>
    </w:p>
    <w:p w14:paraId="62AB23D4" w14:textId="77777777" w:rsidR="00286663" w:rsidRDefault="00913295" w:rsidP="00286663">
      <w:pPr>
        <w:tabs>
          <w:tab w:val="left" w:pos="3686"/>
        </w:tabs>
        <w:spacing w:line="240" w:lineRule="auto"/>
        <w:ind w:right="22"/>
        <w:jc w:val="both"/>
        <w:rPr>
          <w:rFonts w:cs="Times New Roman"/>
          <w:szCs w:val="24"/>
        </w:rPr>
      </w:pPr>
      <w:r w:rsidRPr="003C34DD">
        <w:rPr>
          <w:rFonts w:cs="Times New Roman"/>
          <w:szCs w:val="24"/>
        </w:rPr>
        <w:t xml:space="preserve">Aprobado por:  Nelly Vargas Hernández </w:t>
      </w:r>
      <w:r w:rsidR="005733B0">
        <w:rPr>
          <w:rFonts w:cs="Times New Roman"/>
          <w:noProof/>
          <w:szCs w:val="24"/>
        </w:rPr>
        <w:drawing>
          <wp:inline distT="0" distB="0" distL="0" distR="0" wp14:anchorId="46346EA0" wp14:editId="1C6434F9">
            <wp:extent cx="1133475" cy="714375"/>
            <wp:effectExtent l="0" t="0" r="9525" b="9525"/>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pic:cNvPicPr/>
                  </pic:nvPicPr>
                  <pic:blipFill>
                    <a:blip r:embed="rId13"/>
                    <a:stretch>
                      <a:fillRect/>
                    </a:stretch>
                  </pic:blipFill>
                  <pic:spPr>
                    <a:xfrm>
                      <a:off x="0" y="0"/>
                      <a:ext cx="1133475" cy="714375"/>
                    </a:xfrm>
                    <a:prstGeom prst="rect">
                      <a:avLst/>
                    </a:prstGeom>
                  </pic:spPr>
                </pic:pic>
              </a:graphicData>
            </a:graphic>
          </wp:inline>
        </w:drawing>
      </w:r>
    </w:p>
    <w:p w14:paraId="004E6BB3" w14:textId="77777777" w:rsidR="00286663" w:rsidRDefault="00286663" w:rsidP="00286663">
      <w:pPr>
        <w:tabs>
          <w:tab w:val="left" w:pos="3686"/>
        </w:tabs>
        <w:spacing w:line="240" w:lineRule="auto"/>
        <w:ind w:right="22"/>
        <w:jc w:val="center"/>
        <w:rPr>
          <w:rFonts w:cs="Times New Roman"/>
          <w:b/>
          <w:i/>
          <w:szCs w:val="24"/>
        </w:rPr>
      </w:pPr>
    </w:p>
    <w:p w14:paraId="78DC9CFB" w14:textId="0BEA68D5" w:rsidR="00DE615E" w:rsidRPr="003C34DD" w:rsidRDefault="00913295" w:rsidP="00286663">
      <w:pPr>
        <w:tabs>
          <w:tab w:val="left" w:pos="3686"/>
        </w:tabs>
        <w:spacing w:line="240" w:lineRule="auto"/>
        <w:ind w:right="22"/>
        <w:jc w:val="center"/>
        <w:rPr>
          <w:rFonts w:cs="Times New Roman"/>
          <w:szCs w:val="24"/>
        </w:rPr>
      </w:pPr>
      <w:r w:rsidRPr="003C34DD">
        <w:rPr>
          <w:rFonts w:cs="Times New Roman"/>
          <w:b/>
          <w:i/>
          <w:szCs w:val="24"/>
        </w:rPr>
        <w:t>División Asesoría Jurídica</w:t>
      </w:r>
    </w:p>
    <w:sectPr w:rsidR="00DE615E" w:rsidRPr="003C34DD" w:rsidSect="00D029E6">
      <w:headerReference w:type="even" r:id="rId14"/>
      <w:headerReference w:type="default" r:id="rId15"/>
      <w:footerReference w:type="even" r:id="rId16"/>
      <w:footerReference w:type="default" r:id="rId17"/>
      <w:headerReference w:type="first" r:id="rId18"/>
      <w:footerReference w:type="first" r:id="rId19"/>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7A17B" w14:textId="77777777" w:rsidR="00CF7490" w:rsidRDefault="00CF7490" w:rsidP="00011FAB">
      <w:pPr>
        <w:spacing w:line="240" w:lineRule="auto"/>
      </w:pPr>
      <w:r>
        <w:separator/>
      </w:r>
    </w:p>
  </w:endnote>
  <w:endnote w:type="continuationSeparator" w:id="0">
    <w:p w14:paraId="415E7D8F" w14:textId="77777777" w:rsidR="00CF7490" w:rsidRDefault="00CF7490"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56E9C" w14:textId="77777777" w:rsidR="004A4A63" w:rsidRDefault="004A4A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9EB3" w14:textId="77777777" w:rsidR="004A4A63" w:rsidRDefault="004A4A63" w:rsidP="003621B6">
    <w:pPr>
      <w:pStyle w:val="Piedepgina"/>
      <w:pBdr>
        <w:top w:val="single" w:sz="4" w:space="1" w:color="auto"/>
      </w:pBdr>
      <w:rPr>
        <w:i/>
        <w:szCs w:val="24"/>
      </w:rPr>
    </w:pPr>
  </w:p>
  <w:p w14:paraId="7D0AF57E" w14:textId="77777777" w:rsidR="004A4A63" w:rsidRPr="00BE078A" w:rsidRDefault="004A4A63"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91312" w14:textId="77777777" w:rsidR="004A4A63" w:rsidRDefault="004A4A63" w:rsidP="003621B6">
    <w:pPr>
      <w:pStyle w:val="Piedepgina"/>
      <w:pBdr>
        <w:top w:val="single" w:sz="4" w:space="1" w:color="auto"/>
      </w:pBdr>
      <w:rPr>
        <w:i/>
        <w:szCs w:val="24"/>
      </w:rPr>
    </w:pPr>
  </w:p>
  <w:p w14:paraId="1D5DA19C" w14:textId="77777777" w:rsidR="004A4A63" w:rsidRDefault="004A4A63"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2C0DB21E" w14:textId="77777777" w:rsidR="004A4A63" w:rsidRPr="00BE078A" w:rsidRDefault="004A4A63"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08031" w14:textId="77777777" w:rsidR="00CF7490" w:rsidRDefault="00CF7490" w:rsidP="00011FAB">
      <w:pPr>
        <w:spacing w:line="240" w:lineRule="auto"/>
      </w:pPr>
      <w:r>
        <w:separator/>
      </w:r>
    </w:p>
  </w:footnote>
  <w:footnote w:type="continuationSeparator" w:id="0">
    <w:p w14:paraId="0996A6C3" w14:textId="77777777" w:rsidR="00CF7490" w:rsidRDefault="00CF7490" w:rsidP="00011FAB">
      <w:pPr>
        <w:spacing w:line="240" w:lineRule="auto"/>
      </w:pPr>
      <w:r>
        <w:continuationSeparator/>
      </w:r>
    </w:p>
  </w:footnote>
  <w:footnote w:id="1">
    <w:p w14:paraId="21E0316E" w14:textId="1F89DDEE" w:rsidR="004A4A63" w:rsidRDefault="004A4A63" w:rsidP="00972CBD">
      <w:pPr>
        <w:pStyle w:val="Textonotapie"/>
        <w:jc w:val="both"/>
      </w:pPr>
      <w:r>
        <w:rPr>
          <w:rStyle w:val="Refdenotaalpie"/>
        </w:rPr>
        <w:footnoteRef/>
      </w:r>
      <w:r>
        <w:t xml:space="preserve"> </w:t>
      </w:r>
      <w:r w:rsidRPr="00972CBD">
        <w:rPr>
          <w:sz w:val="18"/>
          <w:szCs w:val="18"/>
        </w:rPr>
        <w:t>Aprobado por la Junta Directiva del Banco Central de Costa Rica en la sesión 5825-2018, artículo 6, del 2 de mayo de 2018. Rige a partir de su publicación en La Gaceta. Publicado en el Alcance 97 a la Gaceta 83 del 14 de mayo de 2018</w:t>
      </w:r>
    </w:p>
  </w:footnote>
  <w:footnote w:id="2">
    <w:p w14:paraId="06978BAC" w14:textId="77777777" w:rsidR="00295866" w:rsidRDefault="00295866" w:rsidP="00295866">
      <w:pPr>
        <w:pStyle w:val="Textonotapie"/>
        <w:jc w:val="both"/>
      </w:pPr>
      <w:r>
        <w:rPr>
          <w:rStyle w:val="Refdenotaalpie"/>
        </w:rPr>
        <w:footnoteRef/>
      </w:r>
      <w:r>
        <w:t xml:space="preserve"> Decreto Ejecutivo </w:t>
      </w:r>
      <w:r w:rsidRPr="004B3123">
        <w:t>Nº 38292-H</w:t>
      </w:r>
    </w:p>
  </w:footnote>
  <w:footnote w:id="3">
    <w:p w14:paraId="7F572A83" w14:textId="415CC1E9" w:rsidR="00BD7CCE" w:rsidRDefault="00BD7CCE" w:rsidP="00BD7CCE">
      <w:pPr>
        <w:pStyle w:val="Textonotapie"/>
        <w:jc w:val="both"/>
      </w:pPr>
      <w:r>
        <w:rPr>
          <w:rStyle w:val="Refdenotaalpie"/>
        </w:rPr>
        <w:footnoteRef/>
      </w:r>
      <w:r>
        <w:t xml:space="preserve"> El artículo 15 del Código de Normas y Procedimientos Tributarios define al sujeto pasivo de la siguiente manera: </w:t>
      </w:r>
      <w:r w:rsidR="00B40245">
        <w:t>e</w:t>
      </w:r>
      <w:r w:rsidRPr="006C11B4">
        <w:t>s sujeto pasivo la persona obligada al cumplimiento de las prestaciones tributarias, sea en calidad de contribuyente o de responsable</w:t>
      </w:r>
      <w:r w:rsidR="00727060">
        <w:t xml:space="preserve">. </w:t>
      </w:r>
    </w:p>
  </w:footnote>
  <w:footnote w:id="4">
    <w:p w14:paraId="09B8F106" w14:textId="748DA1E5" w:rsidR="00826704" w:rsidRDefault="004A4A63" w:rsidP="00DB47D5">
      <w:pPr>
        <w:pStyle w:val="Textonotapie"/>
        <w:jc w:val="both"/>
        <w:rPr>
          <w:i/>
          <w:iCs/>
          <w:color w:val="000000"/>
          <w:sz w:val="18"/>
          <w:szCs w:val="18"/>
          <w:lang w:eastAsia="es-CR"/>
        </w:rPr>
      </w:pPr>
      <w:r w:rsidRPr="00DB47D5">
        <w:rPr>
          <w:rStyle w:val="Refdenotaalpie"/>
          <w:sz w:val="18"/>
          <w:szCs w:val="18"/>
        </w:rPr>
        <w:footnoteRef/>
      </w:r>
      <w:r w:rsidRPr="00DB47D5">
        <w:rPr>
          <w:sz w:val="18"/>
          <w:szCs w:val="18"/>
        </w:rPr>
        <w:t xml:space="preserve"> </w:t>
      </w:r>
      <w:r w:rsidR="00826704">
        <w:rPr>
          <w:sz w:val="18"/>
          <w:szCs w:val="18"/>
        </w:rPr>
        <w:t>De acuerdo con el p</w:t>
      </w:r>
      <w:r w:rsidRPr="00DB47D5">
        <w:rPr>
          <w:sz w:val="18"/>
          <w:szCs w:val="18"/>
        </w:rPr>
        <w:t>enúltimo</w:t>
      </w:r>
      <w:r w:rsidR="000007D0">
        <w:rPr>
          <w:sz w:val="18"/>
          <w:szCs w:val="18"/>
        </w:rPr>
        <w:t xml:space="preserve"> y último</w:t>
      </w:r>
      <w:r w:rsidRPr="00DB47D5">
        <w:rPr>
          <w:sz w:val="18"/>
          <w:szCs w:val="18"/>
        </w:rPr>
        <w:t xml:space="preserve"> párrafo del artículo 2 del </w:t>
      </w:r>
      <w:r w:rsidRPr="00DB47D5">
        <w:rPr>
          <w:i/>
          <w:iCs/>
          <w:color w:val="000000"/>
          <w:sz w:val="18"/>
          <w:szCs w:val="18"/>
          <w:lang w:eastAsia="es-CR"/>
        </w:rPr>
        <w:t>Reglamento</w:t>
      </w:r>
      <w:r w:rsidR="00826704">
        <w:rPr>
          <w:i/>
          <w:iCs/>
          <w:color w:val="000000"/>
          <w:sz w:val="18"/>
          <w:szCs w:val="18"/>
          <w:lang w:eastAsia="es-CR"/>
        </w:rPr>
        <w:t xml:space="preserve"> de Cobro por Supervisión: </w:t>
      </w:r>
    </w:p>
    <w:p w14:paraId="407F0827" w14:textId="79EDE583" w:rsidR="00826704" w:rsidRDefault="00826704" w:rsidP="00DB47D5">
      <w:pPr>
        <w:pStyle w:val="Textonotapie"/>
        <w:jc w:val="both"/>
        <w:rPr>
          <w:i/>
          <w:iCs/>
          <w:color w:val="000000"/>
          <w:sz w:val="18"/>
          <w:szCs w:val="18"/>
          <w:lang w:eastAsia="es-CR"/>
        </w:rPr>
      </w:pPr>
    </w:p>
    <w:p w14:paraId="368AC9CD" w14:textId="664485DC" w:rsidR="00826704" w:rsidRDefault="00826704" w:rsidP="002C3D5C">
      <w:pPr>
        <w:pStyle w:val="Textonotapie"/>
        <w:ind w:left="142"/>
        <w:jc w:val="both"/>
        <w:rPr>
          <w:i/>
          <w:iCs/>
          <w:color w:val="000000"/>
          <w:sz w:val="18"/>
          <w:szCs w:val="18"/>
          <w:lang w:eastAsia="es-CR"/>
        </w:rPr>
      </w:pPr>
      <w:r>
        <w:rPr>
          <w:i/>
          <w:iCs/>
          <w:color w:val="000000"/>
          <w:sz w:val="18"/>
          <w:szCs w:val="18"/>
          <w:lang w:eastAsia="es-CR"/>
        </w:rPr>
        <w:t xml:space="preserve">Artículo 2.- </w:t>
      </w:r>
      <w:r w:rsidR="00396FF6">
        <w:rPr>
          <w:i/>
          <w:iCs/>
          <w:color w:val="000000"/>
          <w:sz w:val="18"/>
          <w:szCs w:val="18"/>
          <w:lang w:eastAsia="es-CR"/>
        </w:rPr>
        <w:t>Cobros parciales</w:t>
      </w:r>
    </w:p>
    <w:p w14:paraId="3D186597" w14:textId="288F23EF" w:rsidR="00826704" w:rsidRDefault="00826704" w:rsidP="002C3D5C">
      <w:pPr>
        <w:pStyle w:val="Textonotapie"/>
        <w:ind w:left="142"/>
        <w:jc w:val="both"/>
        <w:rPr>
          <w:i/>
          <w:iCs/>
          <w:color w:val="000000"/>
          <w:sz w:val="18"/>
          <w:szCs w:val="18"/>
          <w:lang w:eastAsia="es-CR"/>
        </w:rPr>
      </w:pPr>
      <w:r>
        <w:rPr>
          <w:i/>
          <w:iCs/>
          <w:color w:val="000000"/>
          <w:sz w:val="18"/>
          <w:szCs w:val="18"/>
          <w:lang w:eastAsia="es-CR"/>
        </w:rPr>
        <w:t>[…]</w:t>
      </w:r>
    </w:p>
    <w:p w14:paraId="1662426C" w14:textId="23CCD7DF" w:rsidR="00826704" w:rsidRDefault="00826704" w:rsidP="002C3D5C">
      <w:pPr>
        <w:pStyle w:val="Textonotapie"/>
        <w:ind w:left="142"/>
        <w:jc w:val="both"/>
        <w:rPr>
          <w:i/>
          <w:iCs/>
          <w:color w:val="000000"/>
          <w:sz w:val="18"/>
          <w:szCs w:val="18"/>
          <w:lang w:eastAsia="es-CR"/>
        </w:rPr>
      </w:pPr>
      <w:r w:rsidRPr="00826704">
        <w:rPr>
          <w:i/>
          <w:iCs/>
          <w:color w:val="000000"/>
          <w:sz w:val="18"/>
          <w:szCs w:val="18"/>
          <w:lang w:eastAsia="es-CR"/>
        </w:rPr>
        <w:t>Cuando no se disponga de la información necesaria para realizar el cálculo de la proporción de la contribución en el plazo establecido, se utilizará la información de los ingresos brutos del sujeto fiscalizado al 31 de diciembre del último año disponible, más un incremento del 10% anual, sobre el total de ingresos reportados.</w:t>
      </w:r>
    </w:p>
    <w:p w14:paraId="1E3F4F9B" w14:textId="38517F53" w:rsidR="004A4A63" w:rsidRPr="00DB47D5" w:rsidRDefault="002C3D5C" w:rsidP="002C3D5C">
      <w:pPr>
        <w:pStyle w:val="Textonotapie"/>
        <w:ind w:left="142"/>
        <w:jc w:val="both"/>
        <w:rPr>
          <w:sz w:val="18"/>
          <w:szCs w:val="18"/>
        </w:rPr>
      </w:pPr>
      <w:r w:rsidRPr="002C3D5C">
        <w:rPr>
          <w:i/>
          <w:iCs/>
          <w:color w:val="000000"/>
          <w:sz w:val="18"/>
          <w:szCs w:val="18"/>
          <w:lang w:eastAsia="es-CR"/>
        </w:rPr>
        <w:t>En caso de que el sujeto fiscalizado nunca haya suministrado la información requerida, la Superintendencia podrá estimar los ingresos, de acuerdo con lo establecido en la normativa tributaria.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F112A" w14:textId="77777777" w:rsidR="004A4A63" w:rsidRDefault="004A4A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1CBC0" w14:textId="77777777" w:rsidR="004A4A63" w:rsidRDefault="004A4A63" w:rsidP="004E09A4">
    <w:pPr>
      <w:pStyle w:val="Encabezado"/>
      <w:jc w:val="both"/>
    </w:pPr>
    <w:r>
      <w:rPr>
        <w:noProof/>
      </w:rPr>
      <w:drawing>
        <wp:anchor distT="0" distB="0" distL="114300" distR="114300" simplePos="0" relativeHeight="251663360" behindDoc="0" locked="0" layoutInCell="1" allowOverlap="1" wp14:anchorId="61529A8F" wp14:editId="39004315">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5A1A5305" wp14:editId="3EEFD137">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63F272D1" w14:textId="3B57D09C" w:rsidR="004A4A63" w:rsidRPr="00092B79" w:rsidRDefault="004A4A63"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4C2694">
      <w:rPr>
        <w:b/>
        <w:i/>
        <w:noProof/>
        <w:szCs w:val="24"/>
      </w:rPr>
      <w:t>PJD-2-2021</w:t>
    </w:r>
    <w:r w:rsidRPr="00092B79">
      <w:rPr>
        <w:b/>
        <w:i/>
        <w:noProof/>
        <w:szCs w:val="24"/>
      </w:rPr>
      <w:fldChar w:fldCharType="end"/>
    </w:r>
  </w:p>
  <w:p w14:paraId="672BB59B" w14:textId="77777777" w:rsidR="004A4A63" w:rsidRDefault="004A4A63"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noProof/>
        <w:szCs w:val="24"/>
      </w:rPr>
      <w:t>2</w:t>
    </w:r>
    <w:r w:rsidRPr="00DC38D9">
      <w:rPr>
        <w:i/>
        <w:szCs w:val="24"/>
      </w:rPr>
      <w:fldChar w:fldCharType="end"/>
    </w:r>
  </w:p>
  <w:p w14:paraId="12E2FAEA" w14:textId="77777777" w:rsidR="004A4A63" w:rsidRPr="00DC38D9" w:rsidRDefault="004A4A63" w:rsidP="006B6689">
    <w:pPr>
      <w:pStyle w:val="Encabezado"/>
      <w:rPr>
        <w:i/>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1E30" w14:textId="77777777" w:rsidR="004A4A63" w:rsidRDefault="004A4A63" w:rsidP="005D2EEB">
    <w:pPr>
      <w:pStyle w:val="Encabezado"/>
      <w:jc w:val="both"/>
    </w:pPr>
    <w:r>
      <w:rPr>
        <w:noProof/>
      </w:rPr>
      <w:drawing>
        <wp:anchor distT="0" distB="0" distL="114300" distR="114300" simplePos="0" relativeHeight="251660288" behindDoc="0" locked="0" layoutInCell="1" allowOverlap="1" wp14:anchorId="113A0220" wp14:editId="7970429D">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62B87BB1" wp14:editId="5A6E1C7A">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0F8"/>
    <w:multiLevelType w:val="hybridMultilevel"/>
    <w:tmpl w:val="09AEA292"/>
    <w:lvl w:ilvl="0" w:tplc="31B8DB4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DE78DA"/>
    <w:multiLevelType w:val="hybridMultilevel"/>
    <w:tmpl w:val="D126390E"/>
    <w:lvl w:ilvl="0" w:tplc="2702BFE8">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 w15:restartNumberingAfterBreak="0">
    <w:nsid w:val="02731A5D"/>
    <w:multiLevelType w:val="hybridMultilevel"/>
    <w:tmpl w:val="70D4F342"/>
    <w:lvl w:ilvl="0" w:tplc="140A000F">
      <w:start w:val="1"/>
      <w:numFmt w:val="decimal"/>
      <w:lvlText w:val="%1."/>
      <w:lvlJc w:val="left"/>
      <w:pPr>
        <w:ind w:left="1353" w:hanging="360"/>
      </w:pPr>
    </w:lvl>
    <w:lvl w:ilvl="1" w:tplc="140A0001">
      <w:start w:val="1"/>
      <w:numFmt w:val="bullet"/>
      <w:lvlText w:val=""/>
      <w:lvlJc w:val="left"/>
      <w:pPr>
        <w:ind w:left="2073" w:hanging="360"/>
      </w:pPr>
      <w:rPr>
        <w:rFonts w:ascii="Symbol" w:hAnsi="Symbol" w:hint="default"/>
      </w:rPr>
    </w:lvl>
    <w:lvl w:ilvl="2" w:tplc="140A0001">
      <w:start w:val="1"/>
      <w:numFmt w:val="bullet"/>
      <w:lvlText w:val=""/>
      <w:lvlJc w:val="left"/>
      <w:pPr>
        <w:ind w:left="2793" w:hanging="180"/>
      </w:pPr>
      <w:rPr>
        <w:rFonts w:ascii="Symbol" w:hAnsi="Symbol" w:hint="default"/>
      </w:r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abstractNum w:abstractNumId="3" w15:restartNumberingAfterBreak="0">
    <w:nsid w:val="14AE0A2B"/>
    <w:multiLevelType w:val="hybridMultilevel"/>
    <w:tmpl w:val="137018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62F3BF3"/>
    <w:multiLevelType w:val="hybridMultilevel"/>
    <w:tmpl w:val="3A927588"/>
    <w:lvl w:ilvl="0" w:tplc="4DBC9F28">
      <w:start w:val="1"/>
      <w:numFmt w:val="decimal"/>
      <w:lvlText w:val="%1."/>
      <w:lvlJc w:val="left"/>
      <w:pPr>
        <w:ind w:left="-300" w:hanging="360"/>
      </w:pPr>
      <w:rPr>
        <w:rFonts w:ascii="Times New Roman" w:hAnsi="Times New Roman" w:cs="Times New Roman" w:hint="default"/>
        <w:b/>
        <w:sz w:val="24"/>
        <w:szCs w:val="24"/>
      </w:rPr>
    </w:lvl>
    <w:lvl w:ilvl="1" w:tplc="140A000F">
      <w:start w:val="1"/>
      <w:numFmt w:val="decimal"/>
      <w:lvlText w:val="%2."/>
      <w:lvlJc w:val="left"/>
      <w:pPr>
        <w:ind w:left="420" w:hanging="360"/>
      </w:pPr>
      <w:rPr>
        <w:rFonts w:hint="default"/>
      </w:rPr>
    </w:lvl>
    <w:lvl w:ilvl="2" w:tplc="140A000B">
      <w:start w:val="1"/>
      <w:numFmt w:val="bullet"/>
      <w:lvlText w:val=""/>
      <w:lvlJc w:val="left"/>
      <w:pPr>
        <w:ind w:left="1140" w:hanging="180"/>
      </w:pPr>
      <w:rPr>
        <w:rFonts w:ascii="Wingdings" w:hAnsi="Wingdings" w:hint="default"/>
      </w:rPr>
    </w:lvl>
    <w:lvl w:ilvl="3" w:tplc="140A000F" w:tentative="1">
      <w:start w:val="1"/>
      <w:numFmt w:val="decimal"/>
      <w:lvlText w:val="%4."/>
      <w:lvlJc w:val="left"/>
      <w:pPr>
        <w:ind w:left="1860" w:hanging="360"/>
      </w:pPr>
    </w:lvl>
    <w:lvl w:ilvl="4" w:tplc="140A0019" w:tentative="1">
      <w:start w:val="1"/>
      <w:numFmt w:val="lowerLetter"/>
      <w:lvlText w:val="%5."/>
      <w:lvlJc w:val="left"/>
      <w:pPr>
        <w:ind w:left="2580" w:hanging="360"/>
      </w:pPr>
    </w:lvl>
    <w:lvl w:ilvl="5" w:tplc="140A001B" w:tentative="1">
      <w:start w:val="1"/>
      <w:numFmt w:val="lowerRoman"/>
      <w:lvlText w:val="%6."/>
      <w:lvlJc w:val="right"/>
      <w:pPr>
        <w:ind w:left="3300" w:hanging="180"/>
      </w:pPr>
    </w:lvl>
    <w:lvl w:ilvl="6" w:tplc="140A000F" w:tentative="1">
      <w:start w:val="1"/>
      <w:numFmt w:val="decimal"/>
      <w:lvlText w:val="%7."/>
      <w:lvlJc w:val="left"/>
      <w:pPr>
        <w:ind w:left="4020" w:hanging="360"/>
      </w:pPr>
    </w:lvl>
    <w:lvl w:ilvl="7" w:tplc="140A0019" w:tentative="1">
      <w:start w:val="1"/>
      <w:numFmt w:val="lowerLetter"/>
      <w:lvlText w:val="%8."/>
      <w:lvlJc w:val="left"/>
      <w:pPr>
        <w:ind w:left="4740" w:hanging="360"/>
      </w:pPr>
    </w:lvl>
    <w:lvl w:ilvl="8" w:tplc="140A001B" w:tentative="1">
      <w:start w:val="1"/>
      <w:numFmt w:val="lowerRoman"/>
      <w:lvlText w:val="%9."/>
      <w:lvlJc w:val="right"/>
      <w:pPr>
        <w:ind w:left="5460" w:hanging="180"/>
      </w:pPr>
    </w:lvl>
  </w:abstractNum>
  <w:abstractNum w:abstractNumId="5" w15:restartNumberingAfterBreak="0">
    <w:nsid w:val="23B457F4"/>
    <w:multiLevelType w:val="hybridMultilevel"/>
    <w:tmpl w:val="CE80BEBC"/>
    <w:lvl w:ilvl="0" w:tplc="140A0001">
      <w:start w:val="1"/>
      <w:numFmt w:val="bullet"/>
      <w:lvlText w:val=""/>
      <w:lvlJc w:val="left"/>
      <w:pPr>
        <w:ind w:left="742" w:hanging="360"/>
      </w:pPr>
      <w:rPr>
        <w:rFonts w:ascii="Symbol" w:hAnsi="Symbol" w:hint="default"/>
      </w:rPr>
    </w:lvl>
    <w:lvl w:ilvl="1" w:tplc="140A0003" w:tentative="1">
      <w:start w:val="1"/>
      <w:numFmt w:val="bullet"/>
      <w:lvlText w:val="o"/>
      <w:lvlJc w:val="left"/>
      <w:pPr>
        <w:ind w:left="1462" w:hanging="360"/>
      </w:pPr>
      <w:rPr>
        <w:rFonts w:ascii="Courier New" w:hAnsi="Courier New" w:cs="Courier New" w:hint="default"/>
      </w:rPr>
    </w:lvl>
    <w:lvl w:ilvl="2" w:tplc="140A0005" w:tentative="1">
      <w:start w:val="1"/>
      <w:numFmt w:val="bullet"/>
      <w:lvlText w:val=""/>
      <w:lvlJc w:val="left"/>
      <w:pPr>
        <w:ind w:left="2182" w:hanging="360"/>
      </w:pPr>
      <w:rPr>
        <w:rFonts w:ascii="Wingdings" w:hAnsi="Wingdings" w:hint="default"/>
      </w:rPr>
    </w:lvl>
    <w:lvl w:ilvl="3" w:tplc="140A0001" w:tentative="1">
      <w:start w:val="1"/>
      <w:numFmt w:val="bullet"/>
      <w:lvlText w:val=""/>
      <w:lvlJc w:val="left"/>
      <w:pPr>
        <w:ind w:left="2902" w:hanging="360"/>
      </w:pPr>
      <w:rPr>
        <w:rFonts w:ascii="Symbol" w:hAnsi="Symbol" w:hint="default"/>
      </w:rPr>
    </w:lvl>
    <w:lvl w:ilvl="4" w:tplc="140A0003" w:tentative="1">
      <w:start w:val="1"/>
      <w:numFmt w:val="bullet"/>
      <w:lvlText w:val="o"/>
      <w:lvlJc w:val="left"/>
      <w:pPr>
        <w:ind w:left="3622" w:hanging="360"/>
      </w:pPr>
      <w:rPr>
        <w:rFonts w:ascii="Courier New" w:hAnsi="Courier New" w:cs="Courier New" w:hint="default"/>
      </w:rPr>
    </w:lvl>
    <w:lvl w:ilvl="5" w:tplc="140A0005" w:tentative="1">
      <w:start w:val="1"/>
      <w:numFmt w:val="bullet"/>
      <w:lvlText w:val=""/>
      <w:lvlJc w:val="left"/>
      <w:pPr>
        <w:ind w:left="4342" w:hanging="360"/>
      </w:pPr>
      <w:rPr>
        <w:rFonts w:ascii="Wingdings" w:hAnsi="Wingdings" w:hint="default"/>
      </w:rPr>
    </w:lvl>
    <w:lvl w:ilvl="6" w:tplc="140A0001" w:tentative="1">
      <w:start w:val="1"/>
      <w:numFmt w:val="bullet"/>
      <w:lvlText w:val=""/>
      <w:lvlJc w:val="left"/>
      <w:pPr>
        <w:ind w:left="5062" w:hanging="360"/>
      </w:pPr>
      <w:rPr>
        <w:rFonts w:ascii="Symbol" w:hAnsi="Symbol" w:hint="default"/>
      </w:rPr>
    </w:lvl>
    <w:lvl w:ilvl="7" w:tplc="140A0003" w:tentative="1">
      <w:start w:val="1"/>
      <w:numFmt w:val="bullet"/>
      <w:lvlText w:val="o"/>
      <w:lvlJc w:val="left"/>
      <w:pPr>
        <w:ind w:left="5782" w:hanging="360"/>
      </w:pPr>
      <w:rPr>
        <w:rFonts w:ascii="Courier New" w:hAnsi="Courier New" w:cs="Courier New" w:hint="default"/>
      </w:rPr>
    </w:lvl>
    <w:lvl w:ilvl="8" w:tplc="140A0005" w:tentative="1">
      <w:start w:val="1"/>
      <w:numFmt w:val="bullet"/>
      <w:lvlText w:val=""/>
      <w:lvlJc w:val="left"/>
      <w:pPr>
        <w:ind w:left="6502" w:hanging="360"/>
      </w:pPr>
      <w:rPr>
        <w:rFonts w:ascii="Wingdings" w:hAnsi="Wingdings" w:hint="default"/>
      </w:rPr>
    </w:lvl>
  </w:abstractNum>
  <w:abstractNum w:abstractNumId="6" w15:restartNumberingAfterBreak="0">
    <w:nsid w:val="250F7484"/>
    <w:multiLevelType w:val="hybridMultilevel"/>
    <w:tmpl w:val="9A2E3D6E"/>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7" w15:restartNumberingAfterBreak="0">
    <w:nsid w:val="387D4D8F"/>
    <w:multiLevelType w:val="hybridMultilevel"/>
    <w:tmpl w:val="A7AC1786"/>
    <w:lvl w:ilvl="0" w:tplc="8A40543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ABC0590"/>
    <w:multiLevelType w:val="hybridMultilevel"/>
    <w:tmpl w:val="34C284E6"/>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D563E14"/>
    <w:multiLevelType w:val="hybridMultilevel"/>
    <w:tmpl w:val="83340236"/>
    <w:lvl w:ilvl="0" w:tplc="140A0001">
      <w:start w:val="1"/>
      <w:numFmt w:val="bullet"/>
      <w:lvlText w:val=""/>
      <w:lvlJc w:val="left"/>
      <w:pPr>
        <w:ind w:left="722" w:hanging="360"/>
      </w:pPr>
      <w:rPr>
        <w:rFonts w:ascii="Symbol" w:hAnsi="Symbol" w:hint="default"/>
      </w:rPr>
    </w:lvl>
    <w:lvl w:ilvl="1" w:tplc="140A0003" w:tentative="1">
      <w:start w:val="1"/>
      <w:numFmt w:val="bullet"/>
      <w:lvlText w:val="o"/>
      <w:lvlJc w:val="left"/>
      <w:pPr>
        <w:ind w:left="1442" w:hanging="360"/>
      </w:pPr>
      <w:rPr>
        <w:rFonts w:ascii="Courier New" w:hAnsi="Courier New" w:cs="Courier New" w:hint="default"/>
      </w:rPr>
    </w:lvl>
    <w:lvl w:ilvl="2" w:tplc="140A0005" w:tentative="1">
      <w:start w:val="1"/>
      <w:numFmt w:val="bullet"/>
      <w:lvlText w:val=""/>
      <w:lvlJc w:val="left"/>
      <w:pPr>
        <w:ind w:left="2162" w:hanging="360"/>
      </w:pPr>
      <w:rPr>
        <w:rFonts w:ascii="Wingdings" w:hAnsi="Wingdings" w:hint="default"/>
      </w:rPr>
    </w:lvl>
    <w:lvl w:ilvl="3" w:tplc="140A0001" w:tentative="1">
      <w:start w:val="1"/>
      <w:numFmt w:val="bullet"/>
      <w:lvlText w:val=""/>
      <w:lvlJc w:val="left"/>
      <w:pPr>
        <w:ind w:left="2882" w:hanging="360"/>
      </w:pPr>
      <w:rPr>
        <w:rFonts w:ascii="Symbol" w:hAnsi="Symbol" w:hint="default"/>
      </w:rPr>
    </w:lvl>
    <w:lvl w:ilvl="4" w:tplc="140A0003" w:tentative="1">
      <w:start w:val="1"/>
      <w:numFmt w:val="bullet"/>
      <w:lvlText w:val="o"/>
      <w:lvlJc w:val="left"/>
      <w:pPr>
        <w:ind w:left="3602" w:hanging="360"/>
      </w:pPr>
      <w:rPr>
        <w:rFonts w:ascii="Courier New" w:hAnsi="Courier New" w:cs="Courier New" w:hint="default"/>
      </w:rPr>
    </w:lvl>
    <w:lvl w:ilvl="5" w:tplc="140A0005" w:tentative="1">
      <w:start w:val="1"/>
      <w:numFmt w:val="bullet"/>
      <w:lvlText w:val=""/>
      <w:lvlJc w:val="left"/>
      <w:pPr>
        <w:ind w:left="4322" w:hanging="360"/>
      </w:pPr>
      <w:rPr>
        <w:rFonts w:ascii="Wingdings" w:hAnsi="Wingdings" w:hint="default"/>
      </w:rPr>
    </w:lvl>
    <w:lvl w:ilvl="6" w:tplc="140A0001" w:tentative="1">
      <w:start w:val="1"/>
      <w:numFmt w:val="bullet"/>
      <w:lvlText w:val=""/>
      <w:lvlJc w:val="left"/>
      <w:pPr>
        <w:ind w:left="5042" w:hanging="360"/>
      </w:pPr>
      <w:rPr>
        <w:rFonts w:ascii="Symbol" w:hAnsi="Symbol" w:hint="default"/>
      </w:rPr>
    </w:lvl>
    <w:lvl w:ilvl="7" w:tplc="140A0003" w:tentative="1">
      <w:start w:val="1"/>
      <w:numFmt w:val="bullet"/>
      <w:lvlText w:val="o"/>
      <w:lvlJc w:val="left"/>
      <w:pPr>
        <w:ind w:left="5762" w:hanging="360"/>
      </w:pPr>
      <w:rPr>
        <w:rFonts w:ascii="Courier New" w:hAnsi="Courier New" w:cs="Courier New" w:hint="default"/>
      </w:rPr>
    </w:lvl>
    <w:lvl w:ilvl="8" w:tplc="140A0005" w:tentative="1">
      <w:start w:val="1"/>
      <w:numFmt w:val="bullet"/>
      <w:lvlText w:val=""/>
      <w:lvlJc w:val="left"/>
      <w:pPr>
        <w:ind w:left="6482" w:hanging="360"/>
      </w:pPr>
      <w:rPr>
        <w:rFonts w:ascii="Wingdings" w:hAnsi="Wingdings" w:hint="default"/>
      </w:rPr>
    </w:lvl>
  </w:abstractNum>
  <w:abstractNum w:abstractNumId="10" w15:restartNumberingAfterBreak="0">
    <w:nsid w:val="3E9C2F9B"/>
    <w:multiLevelType w:val="hybridMultilevel"/>
    <w:tmpl w:val="515EE8FE"/>
    <w:lvl w:ilvl="0" w:tplc="87A66B0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F4A4109"/>
    <w:multiLevelType w:val="hybridMultilevel"/>
    <w:tmpl w:val="7D78052A"/>
    <w:lvl w:ilvl="0" w:tplc="140A000F">
      <w:start w:val="1"/>
      <w:numFmt w:val="decimal"/>
      <w:lvlText w:val="%1."/>
      <w:lvlJc w:val="left"/>
      <w:pPr>
        <w:ind w:left="720" w:hanging="360"/>
      </w:pPr>
      <w:rPr>
        <w:rFonts w:hint="default"/>
      </w:rPr>
    </w:lvl>
    <w:lvl w:ilvl="1" w:tplc="9F40C1C0">
      <w:start w:val="1"/>
      <w:numFmt w:val="lowerLetter"/>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1BC7917"/>
    <w:multiLevelType w:val="hybridMultilevel"/>
    <w:tmpl w:val="0AB89740"/>
    <w:lvl w:ilvl="0" w:tplc="2182B94A">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4B50E6B"/>
    <w:multiLevelType w:val="hybridMultilevel"/>
    <w:tmpl w:val="C26ADE92"/>
    <w:lvl w:ilvl="0" w:tplc="140A0001">
      <w:start w:val="1"/>
      <w:numFmt w:val="bullet"/>
      <w:lvlText w:val=""/>
      <w:lvlJc w:val="left"/>
      <w:pPr>
        <w:ind w:left="1680" w:hanging="360"/>
      </w:pPr>
      <w:rPr>
        <w:rFonts w:ascii="Symbol" w:hAnsi="Symbol" w:hint="default"/>
      </w:rPr>
    </w:lvl>
    <w:lvl w:ilvl="1" w:tplc="140A0003" w:tentative="1">
      <w:start w:val="1"/>
      <w:numFmt w:val="bullet"/>
      <w:lvlText w:val="o"/>
      <w:lvlJc w:val="left"/>
      <w:pPr>
        <w:ind w:left="2400" w:hanging="360"/>
      </w:pPr>
      <w:rPr>
        <w:rFonts w:ascii="Courier New" w:hAnsi="Courier New" w:cs="Courier New" w:hint="default"/>
      </w:rPr>
    </w:lvl>
    <w:lvl w:ilvl="2" w:tplc="140A0005" w:tentative="1">
      <w:start w:val="1"/>
      <w:numFmt w:val="bullet"/>
      <w:lvlText w:val=""/>
      <w:lvlJc w:val="left"/>
      <w:pPr>
        <w:ind w:left="3120" w:hanging="360"/>
      </w:pPr>
      <w:rPr>
        <w:rFonts w:ascii="Wingdings" w:hAnsi="Wingdings" w:hint="default"/>
      </w:rPr>
    </w:lvl>
    <w:lvl w:ilvl="3" w:tplc="140A0001" w:tentative="1">
      <w:start w:val="1"/>
      <w:numFmt w:val="bullet"/>
      <w:lvlText w:val=""/>
      <w:lvlJc w:val="left"/>
      <w:pPr>
        <w:ind w:left="3840" w:hanging="360"/>
      </w:pPr>
      <w:rPr>
        <w:rFonts w:ascii="Symbol" w:hAnsi="Symbol" w:hint="default"/>
      </w:rPr>
    </w:lvl>
    <w:lvl w:ilvl="4" w:tplc="140A0003" w:tentative="1">
      <w:start w:val="1"/>
      <w:numFmt w:val="bullet"/>
      <w:lvlText w:val="o"/>
      <w:lvlJc w:val="left"/>
      <w:pPr>
        <w:ind w:left="4560" w:hanging="360"/>
      </w:pPr>
      <w:rPr>
        <w:rFonts w:ascii="Courier New" w:hAnsi="Courier New" w:cs="Courier New" w:hint="default"/>
      </w:rPr>
    </w:lvl>
    <w:lvl w:ilvl="5" w:tplc="140A0005" w:tentative="1">
      <w:start w:val="1"/>
      <w:numFmt w:val="bullet"/>
      <w:lvlText w:val=""/>
      <w:lvlJc w:val="left"/>
      <w:pPr>
        <w:ind w:left="5280" w:hanging="360"/>
      </w:pPr>
      <w:rPr>
        <w:rFonts w:ascii="Wingdings" w:hAnsi="Wingdings" w:hint="default"/>
      </w:rPr>
    </w:lvl>
    <w:lvl w:ilvl="6" w:tplc="140A0001" w:tentative="1">
      <w:start w:val="1"/>
      <w:numFmt w:val="bullet"/>
      <w:lvlText w:val=""/>
      <w:lvlJc w:val="left"/>
      <w:pPr>
        <w:ind w:left="6000" w:hanging="360"/>
      </w:pPr>
      <w:rPr>
        <w:rFonts w:ascii="Symbol" w:hAnsi="Symbol" w:hint="default"/>
      </w:rPr>
    </w:lvl>
    <w:lvl w:ilvl="7" w:tplc="140A0003" w:tentative="1">
      <w:start w:val="1"/>
      <w:numFmt w:val="bullet"/>
      <w:lvlText w:val="o"/>
      <w:lvlJc w:val="left"/>
      <w:pPr>
        <w:ind w:left="6720" w:hanging="360"/>
      </w:pPr>
      <w:rPr>
        <w:rFonts w:ascii="Courier New" w:hAnsi="Courier New" w:cs="Courier New" w:hint="default"/>
      </w:rPr>
    </w:lvl>
    <w:lvl w:ilvl="8" w:tplc="140A0005" w:tentative="1">
      <w:start w:val="1"/>
      <w:numFmt w:val="bullet"/>
      <w:lvlText w:val=""/>
      <w:lvlJc w:val="left"/>
      <w:pPr>
        <w:ind w:left="7440" w:hanging="360"/>
      </w:pPr>
      <w:rPr>
        <w:rFonts w:ascii="Wingdings" w:hAnsi="Wingdings" w:hint="default"/>
      </w:rPr>
    </w:lvl>
  </w:abstractNum>
  <w:abstractNum w:abstractNumId="14" w15:restartNumberingAfterBreak="0">
    <w:nsid w:val="4A362ECA"/>
    <w:multiLevelType w:val="hybridMultilevel"/>
    <w:tmpl w:val="09AEA292"/>
    <w:lvl w:ilvl="0" w:tplc="31B8DB4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38D147A"/>
    <w:multiLevelType w:val="hybridMultilevel"/>
    <w:tmpl w:val="4D3C4B00"/>
    <w:lvl w:ilvl="0" w:tplc="93FCAA8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70C0022"/>
    <w:multiLevelType w:val="hybridMultilevel"/>
    <w:tmpl w:val="9308FD7A"/>
    <w:lvl w:ilvl="0" w:tplc="140A0017">
      <w:start w:val="1"/>
      <w:numFmt w:val="lowerLetter"/>
      <w:lvlText w:val="%1)"/>
      <w:lvlJc w:val="left"/>
      <w:pPr>
        <w:ind w:left="644" w:hanging="360"/>
      </w:p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7" w15:restartNumberingAfterBreak="0">
    <w:nsid w:val="69AC30E6"/>
    <w:multiLevelType w:val="hybridMultilevel"/>
    <w:tmpl w:val="2A8A58F4"/>
    <w:lvl w:ilvl="0" w:tplc="E2546540">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C012782"/>
    <w:multiLevelType w:val="hybridMultilevel"/>
    <w:tmpl w:val="9C446F90"/>
    <w:lvl w:ilvl="0" w:tplc="140A0017">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768B755D"/>
    <w:multiLevelType w:val="hybridMultilevel"/>
    <w:tmpl w:val="92B00FF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9917359"/>
    <w:multiLevelType w:val="hybridMultilevel"/>
    <w:tmpl w:val="D3D402B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
  </w:num>
  <w:num w:numId="2">
    <w:abstractNumId w:val="2"/>
  </w:num>
  <w:num w:numId="3">
    <w:abstractNumId w:val="13"/>
  </w:num>
  <w:num w:numId="4">
    <w:abstractNumId w:val="10"/>
  </w:num>
  <w:num w:numId="5">
    <w:abstractNumId w:val="9"/>
  </w:num>
  <w:num w:numId="6">
    <w:abstractNumId w:val="6"/>
  </w:num>
  <w:num w:numId="7">
    <w:abstractNumId w:val="5"/>
  </w:num>
  <w:num w:numId="8">
    <w:abstractNumId w:val="0"/>
  </w:num>
  <w:num w:numId="9">
    <w:abstractNumId w:val="3"/>
  </w:num>
  <w:num w:numId="10">
    <w:abstractNumId w:val="12"/>
  </w:num>
  <w:num w:numId="11">
    <w:abstractNumId w:val="7"/>
  </w:num>
  <w:num w:numId="12">
    <w:abstractNumId w:val="15"/>
  </w:num>
  <w:num w:numId="13">
    <w:abstractNumId w:val="17"/>
  </w:num>
  <w:num w:numId="14">
    <w:abstractNumId w:val="8"/>
  </w:num>
  <w:num w:numId="15">
    <w:abstractNumId w:val="11"/>
  </w:num>
  <w:num w:numId="16">
    <w:abstractNumId w:val="18"/>
  </w:num>
  <w:num w:numId="17">
    <w:abstractNumId w:val="19"/>
  </w:num>
  <w:num w:numId="18">
    <w:abstractNumId w:val="16"/>
  </w:num>
  <w:num w:numId="19">
    <w:abstractNumId w:val="1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readOnly" w:enforcement="1" w:cryptProviderType="rsaAES" w:cryptAlgorithmClass="hash" w:cryptAlgorithmType="typeAny" w:cryptAlgorithmSid="14" w:cryptSpinCount="100000" w:hash="RM83GELeYKJUOm1wPvWgbHYZ1OqPsDsG6qkCwRpUVCKwmep8trcZDyJVmm8voqI9GGGsnNYXZQQdzu6fugHVqQ==" w:salt="PwPucoxNRZ8j6h5REdkPI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95"/>
    <w:rsid w:val="000007D0"/>
    <w:rsid w:val="00002041"/>
    <w:rsid w:val="00007C12"/>
    <w:rsid w:val="00007FF3"/>
    <w:rsid w:val="00011FAB"/>
    <w:rsid w:val="000138E2"/>
    <w:rsid w:val="0002145F"/>
    <w:rsid w:val="00021ADD"/>
    <w:rsid w:val="00033A96"/>
    <w:rsid w:val="00037D72"/>
    <w:rsid w:val="00037F48"/>
    <w:rsid w:val="000421CB"/>
    <w:rsid w:val="00045636"/>
    <w:rsid w:val="00045BBA"/>
    <w:rsid w:val="00054C77"/>
    <w:rsid w:val="0005642C"/>
    <w:rsid w:val="00063063"/>
    <w:rsid w:val="0006315C"/>
    <w:rsid w:val="00064B74"/>
    <w:rsid w:val="00066423"/>
    <w:rsid w:val="0006650E"/>
    <w:rsid w:val="0008627E"/>
    <w:rsid w:val="0009029E"/>
    <w:rsid w:val="00092B79"/>
    <w:rsid w:val="00095A2B"/>
    <w:rsid w:val="000A15F7"/>
    <w:rsid w:val="000A5608"/>
    <w:rsid w:val="000B0F78"/>
    <w:rsid w:val="000B5E2B"/>
    <w:rsid w:val="000C53D2"/>
    <w:rsid w:val="000D3249"/>
    <w:rsid w:val="000D4B0D"/>
    <w:rsid w:val="000D641E"/>
    <w:rsid w:val="000E2477"/>
    <w:rsid w:val="000F20BC"/>
    <w:rsid w:val="00132738"/>
    <w:rsid w:val="00137185"/>
    <w:rsid w:val="00137D05"/>
    <w:rsid w:val="00142502"/>
    <w:rsid w:val="00142DD1"/>
    <w:rsid w:val="00142E79"/>
    <w:rsid w:val="00142EA6"/>
    <w:rsid w:val="001447C0"/>
    <w:rsid w:val="00144FF0"/>
    <w:rsid w:val="00163910"/>
    <w:rsid w:val="00163ECD"/>
    <w:rsid w:val="001658E1"/>
    <w:rsid w:val="00166025"/>
    <w:rsid w:val="001814C9"/>
    <w:rsid w:val="00185474"/>
    <w:rsid w:val="00185A5B"/>
    <w:rsid w:val="001906CA"/>
    <w:rsid w:val="001955BE"/>
    <w:rsid w:val="001A4B75"/>
    <w:rsid w:val="001A7FD7"/>
    <w:rsid w:val="001B67E6"/>
    <w:rsid w:val="001C7910"/>
    <w:rsid w:val="001D087F"/>
    <w:rsid w:val="001D18BF"/>
    <w:rsid w:val="001D2514"/>
    <w:rsid w:val="001D29B0"/>
    <w:rsid w:val="001D3394"/>
    <w:rsid w:val="001F7DB6"/>
    <w:rsid w:val="00202BA4"/>
    <w:rsid w:val="002063A2"/>
    <w:rsid w:val="002073B7"/>
    <w:rsid w:val="0022267E"/>
    <w:rsid w:val="00225B0B"/>
    <w:rsid w:val="00227C4C"/>
    <w:rsid w:val="00230A6B"/>
    <w:rsid w:val="00232BDB"/>
    <w:rsid w:val="00240248"/>
    <w:rsid w:val="002432CE"/>
    <w:rsid w:val="00246EDD"/>
    <w:rsid w:val="00250C0F"/>
    <w:rsid w:val="00254E7D"/>
    <w:rsid w:val="00257C9E"/>
    <w:rsid w:val="00261F6E"/>
    <w:rsid w:val="00263963"/>
    <w:rsid w:val="00272211"/>
    <w:rsid w:val="0027627A"/>
    <w:rsid w:val="00277C51"/>
    <w:rsid w:val="002826D4"/>
    <w:rsid w:val="00282AF8"/>
    <w:rsid w:val="00286663"/>
    <w:rsid w:val="00295482"/>
    <w:rsid w:val="00295866"/>
    <w:rsid w:val="002A62ED"/>
    <w:rsid w:val="002B37AE"/>
    <w:rsid w:val="002B6761"/>
    <w:rsid w:val="002C139C"/>
    <w:rsid w:val="002C1B33"/>
    <w:rsid w:val="002C3D5C"/>
    <w:rsid w:val="002C5A91"/>
    <w:rsid w:val="002E0CF0"/>
    <w:rsid w:val="002E2B1A"/>
    <w:rsid w:val="002E506D"/>
    <w:rsid w:val="002E5B7C"/>
    <w:rsid w:val="002E721E"/>
    <w:rsid w:val="002F0201"/>
    <w:rsid w:val="00301FDA"/>
    <w:rsid w:val="00304632"/>
    <w:rsid w:val="00305EDC"/>
    <w:rsid w:val="003130AF"/>
    <w:rsid w:val="003155C5"/>
    <w:rsid w:val="00320C4F"/>
    <w:rsid w:val="00321A0D"/>
    <w:rsid w:val="00326063"/>
    <w:rsid w:val="003262D5"/>
    <w:rsid w:val="00347408"/>
    <w:rsid w:val="00347829"/>
    <w:rsid w:val="0035078D"/>
    <w:rsid w:val="00355BA2"/>
    <w:rsid w:val="003621B6"/>
    <w:rsid w:val="00364C08"/>
    <w:rsid w:val="00366042"/>
    <w:rsid w:val="0037387B"/>
    <w:rsid w:val="00377CEE"/>
    <w:rsid w:val="00383564"/>
    <w:rsid w:val="0038464F"/>
    <w:rsid w:val="00387CD6"/>
    <w:rsid w:val="00390E40"/>
    <w:rsid w:val="00396FF6"/>
    <w:rsid w:val="003A06F4"/>
    <w:rsid w:val="003A53E3"/>
    <w:rsid w:val="003A73B5"/>
    <w:rsid w:val="003B667F"/>
    <w:rsid w:val="003C1FDA"/>
    <w:rsid w:val="003C34DD"/>
    <w:rsid w:val="003C3888"/>
    <w:rsid w:val="003C48FB"/>
    <w:rsid w:val="003D0D7A"/>
    <w:rsid w:val="003D1517"/>
    <w:rsid w:val="003D35CA"/>
    <w:rsid w:val="003D4B4B"/>
    <w:rsid w:val="003D75AA"/>
    <w:rsid w:val="003E182B"/>
    <w:rsid w:val="003E2772"/>
    <w:rsid w:val="003E34DC"/>
    <w:rsid w:val="003E45F7"/>
    <w:rsid w:val="003E6BD2"/>
    <w:rsid w:val="004030B3"/>
    <w:rsid w:val="00403C85"/>
    <w:rsid w:val="00405C93"/>
    <w:rsid w:val="00410888"/>
    <w:rsid w:val="0041375A"/>
    <w:rsid w:val="00413B95"/>
    <w:rsid w:val="0041619A"/>
    <w:rsid w:val="0042191A"/>
    <w:rsid w:val="00424844"/>
    <w:rsid w:val="00432490"/>
    <w:rsid w:val="00435C77"/>
    <w:rsid w:val="00437072"/>
    <w:rsid w:val="004400D2"/>
    <w:rsid w:val="00446409"/>
    <w:rsid w:val="004565B1"/>
    <w:rsid w:val="00464393"/>
    <w:rsid w:val="00464C9D"/>
    <w:rsid w:val="00470627"/>
    <w:rsid w:val="004763AA"/>
    <w:rsid w:val="00484927"/>
    <w:rsid w:val="00493227"/>
    <w:rsid w:val="004940DB"/>
    <w:rsid w:val="0049600D"/>
    <w:rsid w:val="004A2C15"/>
    <w:rsid w:val="004A39F8"/>
    <w:rsid w:val="004A4A63"/>
    <w:rsid w:val="004A7872"/>
    <w:rsid w:val="004B15F4"/>
    <w:rsid w:val="004B3123"/>
    <w:rsid w:val="004B3672"/>
    <w:rsid w:val="004B69C1"/>
    <w:rsid w:val="004C2694"/>
    <w:rsid w:val="004C4097"/>
    <w:rsid w:val="004E09A4"/>
    <w:rsid w:val="004E35A3"/>
    <w:rsid w:val="004E524F"/>
    <w:rsid w:val="004E7C7D"/>
    <w:rsid w:val="004F1645"/>
    <w:rsid w:val="004F21B2"/>
    <w:rsid w:val="004F463D"/>
    <w:rsid w:val="004F6F61"/>
    <w:rsid w:val="00502A29"/>
    <w:rsid w:val="00511454"/>
    <w:rsid w:val="00514876"/>
    <w:rsid w:val="005202D6"/>
    <w:rsid w:val="0052125C"/>
    <w:rsid w:val="005221ED"/>
    <w:rsid w:val="005265A3"/>
    <w:rsid w:val="00530B96"/>
    <w:rsid w:val="00531A20"/>
    <w:rsid w:val="00544911"/>
    <w:rsid w:val="00545E1A"/>
    <w:rsid w:val="0056080E"/>
    <w:rsid w:val="005619EB"/>
    <w:rsid w:val="00561F28"/>
    <w:rsid w:val="005726E5"/>
    <w:rsid w:val="005733B0"/>
    <w:rsid w:val="0058107F"/>
    <w:rsid w:val="005822B1"/>
    <w:rsid w:val="005834BE"/>
    <w:rsid w:val="005840EB"/>
    <w:rsid w:val="0059081B"/>
    <w:rsid w:val="005B2CC7"/>
    <w:rsid w:val="005C3F3B"/>
    <w:rsid w:val="005D0B6F"/>
    <w:rsid w:val="005D0EFB"/>
    <w:rsid w:val="005D1DB5"/>
    <w:rsid w:val="005D2EEB"/>
    <w:rsid w:val="005D5D27"/>
    <w:rsid w:val="005D74C0"/>
    <w:rsid w:val="005E4A8B"/>
    <w:rsid w:val="005E608A"/>
    <w:rsid w:val="005F089B"/>
    <w:rsid w:val="005F757F"/>
    <w:rsid w:val="00601CCC"/>
    <w:rsid w:val="006052AB"/>
    <w:rsid w:val="006131CD"/>
    <w:rsid w:val="00615880"/>
    <w:rsid w:val="00621251"/>
    <w:rsid w:val="00625372"/>
    <w:rsid w:val="00630614"/>
    <w:rsid w:val="006323B7"/>
    <w:rsid w:val="00634D07"/>
    <w:rsid w:val="006368D2"/>
    <w:rsid w:val="0064302C"/>
    <w:rsid w:val="00645221"/>
    <w:rsid w:val="00647480"/>
    <w:rsid w:val="00652386"/>
    <w:rsid w:val="00660AFA"/>
    <w:rsid w:val="00664A6E"/>
    <w:rsid w:val="00671840"/>
    <w:rsid w:val="006722E3"/>
    <w:rsid w:val="0068306C"/>
    <w:rsid w:val="006970F5"/>
    <w:rsid w:val="006B310D"/>
    <w:rsid w:val="006B6689"/>
    <w:rsid w:val="006C0062"/>
    <w:rsid w:val="006C11B4"/>
    <w:rsid w:val="006C15F5"/>
    <w:rsid w:val="006C5791"/>
    <w:rsid w:val="006D0C64"/>
    <w:rsid w:val="006D2B33"/>
    <w:rsid w:val="006D5B49"/>
    <w:rsid w:val="006D6C45"/>
    <w:rsid w:val="006F0A09"/>
    <w:rsid w:val="006F289B"/>
    <w:rsid w:val="006F2F6F"/>
    <w:rsid w:val="006F4D94"/>
    <w:rsid w:val="006F5308"/>
    <w:rsid w:val="00700BBA"/>
    <w:rsid w:val="0070569A"/>
    <w:rsid w:val="00722522"/>
    <w:rsid w:val="00722871"/>
    <w:rsid w:val="00727060"/>
    <w:rsid w:val="00736347"/>
    <w:rsid w:val="00757707"/>
    <w:rsid w:val="007611EA"/>
    <w:rsid w:val="00763296"/>
    <w:rsid w:val="007707BA"/>
    <w:rsid w:val="00774BF0"/>
    <w:rsid w:val="007818C8"/>
    <w:rsid w:val="00782D1A"/>
    <w:rsid w:val="00783B45"/>
    <w:rsid w:val="00787E5F"/>
    <w:rsid w:val="0079478E"/>
    <w:rsid w:val="007A77BD"/>
    <w:rsid w:val="007B2D14"/>
    <w:rsid w:val="007B4A84"/>
    <w:rsid w:val="007B5C89"/>
    <w:rsid w:val="007C7259"/>
    <w:rsid w:val="007D711F"/>
    <w:rsid w:val="007E5658"/>
    <w:rsid w:val="007E7168"/>
    <w:rsid w:val="007F16DB"/>
    <w:rsid w:val="007F2FED"/>
    <w:rsid w:val="008051AB"/>
    <w:rsid w:val="008112E2"/>
    <w:rsid w:val="00813650"/>
    <w:rsid w:val="00820794"/>
    <w:rsid w:val="008209C4"/>
    <w:rsid w:val="00824DCE"/>
    <w:rsid w:val="00826704"/>
    <w:rsid w:val="00826EC1"/>
    <w:rsid w:val="008308B4"/>
    <w:rsid w:val="00832137"/>
    <w:rsid w:val="00832382"/>
    <w:rsid w:val="00841E75"/>
    <w:rsid w:val="008507A2"/>
    <w:rsid w:val="0087789B"/>
    <w:rsid w:val="00890CBE"/>
    <w:rsid w:val="008A098B"/>
    <w:rsid w:val="008A4AF9"/>
    <w:rsid w:val="008A5580"/>
    <w:rsid w:val="008B2302"/>
    <w:rsid w:val="008B28F2"/>
    <w:rsid w:val="008B7715"/>
    <w:rsid w:val="008B7BB0"/>
    <w:rsid w:val="008C29F1"/>
    <w:rsid w:val="008C7A57"/>
    <w:rsid w:val="008D2073"/>
    <w:rsid w:val="008D39C8"/>
    <w:rsid w:val="008E7FCE"/>
    <w:rsid w:val="008F1DD7"/>
    <w:rsid w:val="00903ACE"/>
    <w:rsid w:val="00913295"/>
    <w:rsid w:val="00916038"/>
    <w:rsid w:val="009355BC"/>
    <w:rsid w:val="00937EDA"/>
    <w:rsid w:val="00946B0B"/>
    <w:rsid w:val="0095725E"/>
    <w:rsid w:val="0096720D"/>
    <w:rsid w:val="00967B19"/>
    <w:rsid w:val="00972BD1"/>
    <w:rsid w:val="00972CBD"/>
    <w:rsid w:val="00977044"/>
    <w:rsid w:val="00983613"/>
    <w:rsid w:val="00987357"/>
    <w:rsid w:val="009913CA"/>
    <w:rsid w:val="00991983"/>
    <w:rsid w:val="0099606C"/>
    <w:rsid w:val="009968D2"/>
    <w:rsid w:val="009A0E5F"/>
    <w:rsid w:val="009A218C"/>
    <w:rsid w:val="009B3671"/>
    <w:rsid w:val="009B475A"/>
    <w:rsid w:val="009D7F90"/>
    <w:rsid w:val="009E6DB2"/>
    <w:rsid w:val="009E7361"/>
    <w:rsid w:val="009F7C79"/>
    <w:rsid w:val="00A0209E"/>
    <w:rsid w:val="00A241E6"/>
    <w:rsid w:val="00A24E0B"/>
    <w:rsid w:val="00A30C1B"/>
    <w:rsid w:val="00A33380"/>
    <w:rsid w:val="00A33C16"/>
    <w:rsid w:val="00A34B27"/>
    <w:rsid w:val="00A42177"/>
    <w:rsid w:val="00A47569"/>
    <w:rsid w:val="00A4778B"/>
    <w:rsid w:val="00A51C36"/>
    <w:rsid w:val="00A55366"/>
    <w:rsid w:val="00A573E7"/>
    <w:rsid w:val="00A60740"/>
    <w:rsid w:val="00A62238"/>
    <w:rsid w:val="00A71772"/>
    <w:rsid w:val="00A73794"/>
    <w:rsid w:val="00A738D8"/>
    <w:rsid w:val="00A81F7D"/>
    <w:rsid w:val="00A955E1"/>
    <w:rsid w:val="00A97E98"/>
    <w:rsid w:val="00AB116C"/>
    <w:rsid w:val="00AB66ED"/>
    <w:rsid w:val="00AD0104"/>
    <w:rsid w:val="00AD10D3"/>
    <w:rsid w:val="00AE63B1"/>
    <w:rsid w:val="00AE65B7"/>
    <w:rsid w:val="00AF3B9B"/>
    <w:rsid w:val="00AF46EC"/>
    <w:rsid w:val="00AF4C56"/>
    <w:rsid w:val="00AF53A1"/>
    <w:rsid w:val="00AF6469"/>
    <w:rsid w:val="00AF6D8D"/>
    <w:rsid w:val="00B16987"/>
    <w:rsid w:val="00B20060"/>
    <w:rsid w:val="00B22174"/>
    <w:rsid w:val="00B228F1"/>
    <w:rsid w:val="00B25899"/>
    <w:rsid w:val="00B33D5B"/>
    <w:rsid w:val="00B3558B"/>
    <w:rsid w:val="00B36964"/>
    <w:rsid w:val="00B40245"/>
    <w:rsid w:val="00B46DD7"/>
    <w:rsid w:val="00B50005"/>
    <w:rsid w:val="00B504A1"/>
    <w:rsid w:val="00B51FCB"/>
    <w:rsid w:val="00B52A9F"/>
    <w:rsid w:val="00B55B8F"/>
    <w:rsid w:val="00B601AE"/>
    <w:rsid w:val="00B621F3"/>
    <w:rsid w:val="00B643CC"/>
    <w:rsid w:val="00B64858"/>
    <w:rsid w:val="00B72137"/>
    <w:rsid w:val="00B7521C"/>
    <w:rsid w:val="00B9025E"/>
    <w:rsid w:val="00B92D7E"/>
    <w:rsid w:val="00B97BC7"/>
    <w:rsid w:val="00BA4964"/>
    <w:rsid w:val="00BB6A2C"/>
    <w:rsid w:val="00BC127E"/>
    <w:rsid w:val="00BD2B08"/>
    <w:rsid w:val="00BD5F5A"/>
    <w:rsid w:val="00BD7CCE"/>
    <w:rsid w:val="00BE0325"/>
    <w:rsid w:val="00BE078A"/>
    <w:rsid w:val="00BE32C3"/>
    <w:rsid w:val="00BE4CBE"/>
    <w:rsid w:val="00BE6A21"/>
    <w:rsid w:val="00BF17E6"/>
    <w:rsid w:val="00C0148B"/>
    <w:rsid w:val="00C015B1"/>
    <w:rsid w:val="00C0711D"/>
    <w:rsid w:val="00C14C6C"/>
    <w:rsid w:val="00C278BF"/>
    <w:rsid w:val="00C30ECF"/>
    <w:rsid w:val="00C34419"/>
    <w:rsid w:val="00C42393"/>
    <w:rsid w:val="00C4542E"/>
    <w:rsid w:val="00C45A77"/>
    <w:rsid w:val="00C462EF"/>
    <w:rsid w:val="00C568D9"/>
    <w:rsid w:val="00C660CF"/>
    <w:rsid w:val="00C76CED"/>
    <w:rsid w:val="00C76F34"/>
    <w:rsid w:val="00C8267E"/>
    <w:rsid w:val="00C83AA8"/>
    <w:rsid w:val="00C90A7E"/>
    <w:rsid w:val="00C93E29"/>
    <w:rsid w:val="00C96CC5"/>
    <w:rsid w:val="00CA16C2"/>
    <w:rsid w:val="00CA3130"/>
    <w:rsid w:val="00CA5133"/>
    <w:rsid w:val="00CB207E"/>
    <w:rsid w:val="00CC0335"/>
    <w:rsid w:val="00CC24BF"/>
    <w:rsid w:val="00CC327F"/>
    <w:rsid w:val="00CD1EB1"/>
    <w:rsid w:val="00CD2A48"/>
    <w:rsid w:val="00CD5928"/>
    <w:rsid w:val="00CE6321"/>
    <w:rsid w:val="00CF34E0"/>
    <w:rsid w:val="00CF73EC"/>
    <w:rsid w:val="00CF7490"/>
    <w:rsid w:val="00D029E6"/>
    <w:rsid w:val="00D02B92"/>
    <w:rsid w:val="00D0583F"/>
    <w:rsid w:val="00D0661A"/>
    <w:rsid w:val="00D267E9"/>
    <w:rsid w:val="00D3235C"/>
    <w:rsid w:val="00D3427C"/>
    <w:rsid w:val="00D350B3"/>
    <w:rsid w:val="00D361CE"/>
    <w:rsid w:val="00D403D9"/>
    <w:rsid w:val="00D41BAC"/>
    <w:rsid w:val="00D440C1"/>
    <w:rsid w:val="00D44B5F"/>
    <w:rsid w:val="00D51055"/>
    <w:rsid w:val="00D65B3F"/>
    <w:rsid w:val="00D67676"/>
    <w:rsid w:val="00D6783B"/>
    <w:rsid w:val="00D744D1"/>
    <w:rsid w:val="00D745BA"/>
    <w:rsid w:val="00D82016"/>
    <w:rsid w:val="00D8496D"/>
    <w:rsid w:val="00D86CC1"/>
    <w:rsid w:val="00D91CF1"/>
    <w:rsid w:val="00D957F2"/>
    <w:rsid w:val="00DA5F5C"/>
    <w:rsid w:val="00DB2188"/>
    <w:rsid w:val="00DB47D5"/>
    <w:rsid w:val="00DB6051"/>
    <w:rsid w:val="00DB7C45"/>
    <w:rsid w:val="00DC26D5"/>
    <w:rsid w:val="00DC38D9"/>
    <w:rsid w:val="00DD07C1"/>
    <w:rsid w:val="00DD729A"/>
    <w:rsid w:val="00DE615E"/>
    <w:rsid w:val="00DF6766"/>
    <w:rsid w:val="00DF6D59"/>
    <w:rsid w:val="00E116CC"/>
    <w:rsid w:val="00E23D76"/>
    <w:rsid w:val="00E270F5"/>
    <w:rsid w:val="00E358AB"/>
    <w:rsid w:val="00E42EFF"/>
    <w:rsid w:val="00E43C8D"/>
    <w:rsid w:val="00E63473"/>
    <w:rsid w:val="00E6458F"/>
    <w:rsid w:val="00E646D0"/>
    <w:rsid w:val="00E9379E"/>
    <w:rsid w:val="00E95D96"/>
    <w:rsid w:val="00EA0753"/>
    <w:rsid w:val="00EC034B"/>
    <w:rsid w:val="00EC1B04"/>
    <w:rsid w:val="00EC1CEE"/>
    <w:rsid w:val="00ED0DCD"/>
    <w:rsid w:val="00ED2253"/>
    <w:rsid w:val="00EE01FF"/>
    <w:rsid w:val="00EE58B8"/>
    <w:rsid w:val="00EF04B3"/>
    <w:rsid w:val="00EF6BB3"/>
    <w:rsid w:val="00EF7E49"/>
    <w:rsid w:val="00F0312D"/>
    <w:rsid w:val="00F03730"/>
    <w:rsid w:val="00F12FE4"/>
    <w:rsid w:val="00F17E94"/>
    <w:rsid w:val="00F26CB2"/>
    <w:rsid w:val="00F432E8"/>
    <w:rsid w:val="00F44087"/>
    <w:rsid w:val="00F45755"/>
    <w:rsid w:val="00F50CBB"/>
    <w:rsid w:val="00F548FB"/>
    <w:rsid w:val="00F560CF"/>
    <w:rsid w:val="00F57041"/>
    <w:rsid w:val="00F86346"/>
    <w:rsid w:val="00F97899"/>
    <w:rsid w:val="00FA251F"/>
    <w:rsid w:val="00FA4525"/>
    <w:rsid w:val="00FB7F45"/>
    <w:rsid w:val="00FC0E60"/>
    <w:rsid w:val="00FC5DE2"/>
    <w:rsid w:val="00FD16D2"/>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3945E1"/>
  <w15:docId w15:val="{6297A497-3EBA-4D40-B9EF-FFA231E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2ED"/>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045BBA"/>
    <w:pPr>
      <w:spacing w:after="0" w:line="240" w:lineRule="auto"/>
    </w:pPr>
    <w:rPr>
      <w:rFonts w:ascii="Times New Roman" w:hAnsi="Times New Roman" w:cs="Times New Roman"/>
      <w:b/>
      <w:bCs/>
      <w:i/>
      <w:iCs/>
      <w:sz w:val="24"/>
      <w:szCs w:val="24"/>
    </w:rPr>
  </w:style>
  <w:style w:type="character" w:customStyle="1" w:styleId="SupenEncabezadoCar">
    <w:name w:val="Supen_Encabezado Car"/>
    <w:basedOn w:val="Fuentedeprrafopredeter"/>
    <w:link w:val="SupenEncabezado"/>
    <w:rsid w:val="00045BBA"/>
    <w:rPr>
      <w:rFonts w:ascii="Times New Roman" w:hAnsi="Times New Roman" w:cs="Times New Roman"/>
      <w:b/>
      <w:bCs/>
      <w:i/>
      <w:iCs/>
      <w:sz w:val="24"/>
      <w:szCs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aliases w:val="Informe"/>
    <w:basedOn w:val="Normal"/>
    <w:link w:val="PrrafodelistaCar"/>
    <w:uiPriority w:val="34"/>
    <w:qFormat/>
    <w:rsid w:val="00913295"/>
    <w:pPr>
      <w:spacing w:after="160" w:line="259" w:lineRule="auto"/>
      <w:ind w:left="720"/>
      <w:contextualSpacing/>
    </w:pPr>
    <w:rPr>
      <w:rFonts w:asciiTheme="minorHAnsi" w:hAnsiTheme="minorHAnsi"/>
      <w:sz w:val="22"/>
      <w:lang w:val="es-CR"/>
    </w:rPr>
  </w:style>
  <w:style w:type="paragraph" w:styleId="Textocomentario">
    <w:name w:val="annotation text"/>
    <w:basedOn w:val="Normal"/>
    <w:link w:val="TextocomentarioCar"/>
    <w:uiPriority w:val="99"/>
    <w:unhideWhenUsed/>
    <w:rsid w:val="00913295"/>
    <w:pPr>
      <w:spacing w:line="240" w:lineRule="auto"/>
      <w:jc w:val="both"/>
    </w:pPr>
    <w:rPr>
      <w:rFonts w:ascii="Franklin Gothic Book" w:eastAsia="Times New Roman" w:hAnsi="Franklin Gothic Book" w:cs="Times New Roman"/>
      <w:sz w:val="20"/>
      <w:szCs w:val="20"/>
    </w:rPr>
  </w:style>
  <w:style w:type="character" w:customStyle="1" w:styleId="TextocomentarioCar">
    <w:name w:val="Texto comentario Car"/>
    <w:basedOn w:val="Fuentedeprrafopredeter"/>
    <w:link w:val="Textocomentario"/>
    <w:uiPriority w:val="99"/>
    <w:rsid w:val="00913295"/>
    <w:rPr>
      <w:rFonts w:ascii="Franklin Gothic Book" w:eastAsia="Times New Roman" w:hAnsi="Franklin Gothic Book" w:cs="Times New Roman"/>
      <w:sz w:val="20"/>
      <w:szCs w:val="20"/>
    </w:rPr>
  </w:style>
  <w:style w:type="character" w:styleId="Refdecomentario">
    <w:name w:val="annotation reference"/>
    <w:basedOn w:val="Fuentedeprrafopredeter"/>
    <w:uiPriority w:val="99"/>
    <w:semiHidden/>
    <w:unhideWhenUsed/>
    <w:rsid w:val="00913295"/>
    <w:rPr>
      <w:sz w:val="16"/>
      <w:szCs w:val="16"/>
    </w:rPr>
  </w:style>
  <w:style w:type="character" w:styleId="Refdenotaalpie">
    <w:name w:val="footnote reference"/>
    <w:uiPriority w:val="99"/>
    <w:semiHidden/>
    <w:unhideWhenUsed/>
    <w:rsid w:val="00913295"/>
    <w:rPr>
      <w:vertAlign w:val="superscript"/>
    </w:rPr>
  </w:style>
  <w:style w:type="paragraph" w:styleId="Textonotapie">
    <w:name w:val="footnote text"/>
    <w:basedOn w:val="Normal"/>
    <w:link w:val="TextonotapieCar"/>
    <w:uiPriority w:val="99"/>
    <w:rsid w:val="00913295"/>
    <w:pPr>
      <w:spacing w:line="240" w:lineRule="auto"/>
    </w:pPr>
    <w:rPr>
      <w:rFonts w:eastAsia="Times New Roman" w:cs="Times New Roman"/>
      <w:sz w:val="20"/>
      <w:szCs w:val="24"/>
      <w:lang w:val="es-CR" w:eastAsia="x-none"/>
    </w:rPr>
  </w:style>
  <w:style w:type="character" w:customStyle="1" w:styleId="TextonotapieCar">
    <w:name w:val="Texto nota pie Car"/>
    <w:basedOn w:val="Fuentedeprrafopredeter"/>
    <w:link w:val="Textonotapie"/>
    <w:uiPriority w:val="99"/>
    <w:rsid w:val="00913295"/>
    <w:rPr>
      <w:rFonts w:ascii="Times New Roman" w:eastAsia="Times New Roman" w:hAnsi="Times New Roman" w:cs="Times New Roman"/>
      <w:sz w:val="20"/>
      <w:szCs w:val="24"/>
      <w:lang w:val="es-CR" w:eastAsia="x-none"/>
    </w:rPr>
  </w:style>
  <w:style w:type="table" w:customStyle="1" w:styleId="Correspondencia1">
    <w:name w:val="Correspondencia1"/>
    <w:basedOn w:val="Tablanormal"/>
    <w:uiPriority w:val="99"/>
    <w:qFormat/>
    <w:locked/>
    <w:rsid w:val="00913295"/>
    <w:pPr>
      <w:spacing w:before="20" w:after="20" w:line="240" w:lineRule="auto"/>
    </w:pPr>
    <w:rPr>
      <w:rFonts w:ascii="Franklin Gothic Book" w:eastAsia="Calibri" w:hAnsi="Franklin Gothic Book" w:cs="Times New Roman"/>
      <w:sz w:val="20"/>
      <w:szCs w:val="20"/>
      <w:lang w:val="es-CR" w:eastAsia="es-C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Franklin Gothic Book" w:hAnsi="Franklin Gothic Book"/>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Franklin Gothic Book" w:hAnsi="Franklin Gothic Book"/>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paragraph" w:styleId="NormalWeb">
    <w:name w:val="Normal (Web)"/>
    <w:basedOn w:val="Normal"/>
    <w:uiPriority w:val="99"/>
    <w:rsid w:val="00913295"/>
    <w:pPr>
      <w:spacing w:before="100" w:beforeAutospacing="1" w:after="100" w:afterAutospacing="1" w:line="240" w:lineRule="auto"/>
    </w:pPr>
    <w:rPr>
      <w:rFonts w:eastAsia="Times New Roman" w:cs="Times New Roman"/>
      <w:sz w:val="20"/>
      <w:szCs w:val="20"/>
      <w:lang w:val="es-CR" w:eastAsia="es-ES"/>
    </w:rPr>
  </w:style>
  <w:style w:type="paragraph" w:styleId="Textoindependiente">
    <w:name w:val="Body Text"/>
    <w:basedOn w:val="Normal"/>
    <w:link w:val="TextoindependienteCar"/>
    <w:uiPriority w:val="1"/>
    <w:qFormat/>
    <w:rsid w:val="00913295"/>
    <w:pPr>
      <w:widowControl w:val="0"/>
      <w:autoSpaceDE w:val="0"/>
      <w:autoSpaceDN w:val="0"/>
      <w:spacing w:line="240" w:lineRule="auto"/>
    </w:pPr>
    <w:rPr>
      <w:rFonts w:ascii="Arial" w:eastAsia="Arial" w:hAnsi="Arial" w:cs="Arial"/>
      <w:szCs w:val="24"/>
      <w:lang w:val="en-US"/>
    </w:rPr>
  </w:style>
  <w:style w:type="character" w:customStyle="1" w:styleId="TextoindependienteCar">
    <w:name w:val="Texto independiente Car"/>
    <w:basedOn w:val="Fuentedeprrafopredeter"/>
    <w:link w:val="Textoindependiente"/>
    <w:uiPriority w:val="1"/>
    <w:rsid w:val="00913295"/>
    <w:rPr>
      <w:rFonts w:ascii="Arial" w:eastAsia="Arial" w:hAnsi="Arial" w:cs="Arial"/>
      <w:sz w:val="24"/>
      <w:szCs w:val="24"/>
      <w:lang w:val="en-US"/>
    </w:rPr>
  </w:style>
  <w:style w:type="character" w:styleId="nfasis">
    <w:name w:val="Emphasis"/>
    <w:basedOn w:val="Fuentedeprrafopredeter"/>
    <w:uiPriority w:val="20"/>
    <w:qFormat/>
    <w:rsid w:val="00913295"/>
    <w:rPr>
      <w:i/>
      <w:iCs/>
    </w:rPr>
  </w:style>
  <w:style w:type="paragraph" w:styleId="Asuntodelcomentario">
    <w:name w:val="annotation subject"/>
    <w:basedOn w:val="Textocomentario"/>
    <w:next w:val="Textocomentario"/>
    <w:link w:val="AsuntodelcomentarioCar"/>
    <w:uiPriority w:val="99"/>
    <w:semiHidden/>
    <w:unhideWhenUsed/>
    <w:rsid w:val="00913295"/>
    <w:pPr>
      <w:jc w:val="left"/>
    </w:pPr>
    <w:rPr>
      <w:rFonts w:ascii="Times New Roman" w:eastAsiaTheme="minorHAnsi" w:hAnsi="Times New Roman" w:cstheme="minorBidi"/>
      <w:b/>
      <w:bCs/>
    </w:rPr>
  </w:style>
  <w:style w:type="character" w:customStyle="1" w:styleId="AsuntodelcomentarioCar">
    <w:name w:val="Asunto del comentario Car"/>
    <w:basedOn w:val="TextocomentarioCar"/>
    <w:link w:val="Asuntodelcomentario"/>
    <w:uiPriority w:val="99"/>
    <w:semiHidden/>
    <w:rsid w:val="00913295"/>
    <w:rPr>
      <w:rFonts w:ascii="Times New Roman" w:eastAsia="Times New Roman" w:hAnsi="Times New Roman" w:cs="Times New Roman"/>
      <w:b/>
      <w:bCs/>
      <w:sz w:val="20"/>
      <w:szCs w:val="20"/>
    </w:rPr>
  </w:style>
  <w:style w:type="character" w:customStyle="1" w:styleId="PrrafodelistaCar">
    <w:name w:val="Párrafo de lista Car"/>
    <w:aliases w:val="Informe Car"/>
    <w:link w:val="Prrafodelista"/>
    <w:uiPriority w:val="34"/>
    <w:locked/>
    <w:rsid w:val="00913295"/>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13073">
      <w:bodyDiv w:val="1"/>
      <w:marLeft w:val="0"/>
      <w:marRight w:val="0"/>
      <w:marTop w:val="0"/>
      <w:marBottom w:val="0"/>
      <w:divBdr>
        <w:top w:val="none" w:sz="0" w:space="0" w:color="auto"/>
        <w:left w:val="none" w:sz="0" w:space="0" w:color="auto"/>
        <w:bottom w:val="none" w:sz="0" w:space="0" w:color="auto"/>
        <w:right w:val="none" w:sz="0" w:space="0" w:color="auto"/>
      </w:divBdr>
    </w:div>
    <w:div w:id="137236361">
      <w:bodyDiv w:val="1"/>
      <w:marLeft w:val="0"/>
      <w:marRight w:val="0"/>
      <w:marTop w:val="0"/>
      <w:marBottom w:val="0"/>
      <w:divBdr>
        <w:top w:val="none" w:sz="0" w:space="0" w:color="auto"/>
        <w:left w:val="none" w:sz="0" w:space="0" w:color="auto"/>
        <w:bottom w:val="none" w:sz="0" w:space="0" w:color="auto"/>
        <w:right w:val="none" w:sz="0" w:space="0" w:color="auto"/>
      </w:divBdr>
    </w:div>
    <w:div w:id="262036468">
      <w:bodyDiv w:val="1"/>
      <w:marLeft w:val="0"/>
      <w:marRight w:val="0"/>
      <w:marTop w:val="0"/>
      <w:marBottom w:val="0"/>
      <w:divBdr>
        <w:top w:val="none" w:sz="0" w:space="0" w:color="auto"/>
        <w:left w:val="none" w:sz="0" w:space="0" w:color="auto"/>
        <w:bottom w:val="none" w:sz="0" w:space="0" w:color="auto"/>
        <w:right w:val="none" w:sz="0" w:space="0" w:color="auto"/>
      </w:divBdr>
      <w:divsChild>
        <w:div w:id="1391077554">
          <w:marLeft w:val="0"/>
          <w:marRight w:val="0"/>
          <w:marTop w:val="0"/>
          <w:marBottom w:val="0"/>
          <w:divBdr>
            <w:top w:val="none" w:sz="0" w:space="0" w:color="auto"/>
            <w:left w:val="none" w:sz="0" w:space="0" w:color="auto"/>
            <w:bottom w:val="none" w:sz="0" w:space="0" w:color="auto"/>
            <w:right w:val="none" w:sz="0" w:space="0" w:color="auto"/>
          </w:divBdr>
          <w:divsChild>
            <w:div w:id="359474036">
              <w:marLeft w:val="0"/>
              <w:marRight w:val="0"/>
              <w:marTop w:val="0"/>
              <w:marBottom w:val="0"/>
              <w:divBdr>
                <w:top w:val="none" w:sz="0" w:space="0" w:color="auto"/>
                <w:left w:val="none" w:sz="0" w:space="0" w:color="auto"/>
                <w:bottom w:val="none" w:sz="0" w:space="0" w:color="auto"/>
                <w:right w:val="none" w:sz="0" w:space="0" w:color="auto"/>
              </w:divBdr>
              <w:divsChild>
                <w:div w:id="9523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01843">
      <w:bodyDiv w:val="1"/>
      <w:marLeft w:val="0"/>
      <w:marRight w:val="0"/>
      <w:marTop w:val="0"/>
      <w:marBottom w:val="0"/>
      <w:divBdr>
        <w:top w:val="none" w:sz="0" w:space="0" w:color="auto"/>
        <w:left w:val="none" w:sz="0" w:space="0" w:color="auto"/>
        <w:bottom w:val="none" w:sz="0" w:space="0" w:color="auto"/>
        <w:right w:val="none" w:sz="0" w:space="0" w:color="auto"/>
      </w:divBdr>
    </w:div>
    <w:div w:id="471288759">
      <w:bodyDiv w:val="1"/>
      <w:marLeft w:val="0"/>
      <w:marRight w:val="0"/>
      <w:marTop w:val="0"/>
      <w:marBottom w:val="0"/>
      <w:divBdr>
        <w:top w:val="none" w:sz="0" w:space="0" w:color="auto"/>
        <w:left w:val="none" w:sz="0" w:space="0" w:color="auto"/>
        <w:bottom w:val="none" w:sz="0" w:space="0" w:color="auto"/>
        <w:right w:val="none" w:sz="0" w:space="0" w:color="auto"/>
      </w:divBdr>
    </w:div>
    <w:div w:id="548537340">
      <w:bodyDiv w:val="1"/>
      <w:marLeft w:val="0"/>
      <w:marRight w:val="0"/>
      <w:marTop w:val="0"/>
      <w:marBottom w:val="0"/>
      <w:divBdr>
        <w:top w:val="none" w:sz="0" w:space="0" w:color="auto"/>
        <w:left w:val="none" w:sz="0" w:space="0" w:color="auto"/>
        <w:bottom w:val="none" w:sz="0" w:space="0" w:color="auto"/>
        <w:right w:val="none" w:sz="0" w:space="0" w:color="auto"/>
      </w:divBdr>
      <w:divsChild>
        <w:div w:id="1686446130">
          <w:marLeft w:val="0"/>
          <w:marRight w:val="0"/>
          <w:marTop w:val="0"/>
          <w:marBottom w:val="0"/>
          <w:divBdr>
            <w:top w:val="none" w:sz="0" w:space="0" w:color="auto"/>
            <w:left w:val="none" w:sz="0" w:space="0" w:color="auto"/>
            <w:bottom w:val="none" w:sz="0" w:space="0" w:color="auto"/>
            <w:right w:val="none" w:sz="0" w:space="0" w:color="auto"/>
          </w:divBdr>
          <w:divsChild>
            <w:div w:id="1678000020">
              <w:marLeft w:val="0"/>
              <w:marRight w:val="0"/>
              <w:marTop w:val="0"/>
              <w:marBottom w:val="0"/>
              <w:divBdr>
                <w:top w:val="none" w:sz="0" w:space="0" w:color="auto"/>
                <w:left w:val="none" w:sz="0" w:space="0" w:color="auto"/>
                <w:bottom w:val="none" w:sz="0" w:space="0" w:color="auto"/>
                <w:right w:val="none" w:sz="0" w:space="0" w:color="auto"/>
              </w:divBdr>
              <w:divsChild>
                <w:div w:id="10683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50256">
      <w:bodyDiv w:val="1"/>
      <w:marLeft w:val="0"/>
      <w:marRight w:val="0"/>
      <w:marTop w:val="0"/>
      <w:marBottom w:val="0"/>
      <w:divBdr>
        <w:top w:val="none" w:sz="0" w:space="0" w:color="auto"/>
        <w:left w:val="none" w:sz="0" w:space="0" w:color="auto"/>
        <w:bottom w:val="none" w:sz="0" w:space="0" w:color="auto"/>
        <w:right w:val="none" w:sz="0" w:space="0" w:color="auto"/>
      </w:divBdr>
    </w:div>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 w:id="1605768070">
      <w:bodyDiv w:val="1"/>
      <w:marLeft w:val="0"/>
      <w:marRight w:val="0"/>
      <w:marTop w:val="0"/>
      <w:marBottom w:val="0"/>
      <w:divBdr>
        <w:top w:val="none" w:sz="0" w:space="0" w:color="auto"/>
        <w:left w:val="none" w:sz="0" w:space="0" w:color="auto"/>
        <w:bottom w:val="none" w:sz="0" w:space="0" w:color="auto"/>
        <w:right w:val="none" w:sz="0" w:space="0" w:color="auto"/>
      </w:divBdr>
    </w:div>
    <w:div w:id="1822231939">
      <w:bodyDiv w:val="1"/>
      <w:marLeft w:val="0"/>
      <w:marRight w:val="0"/>
      <w:marTop w:val="0"/>
      <w:marBottom w:val="0"/>
      <w:divBdr>
        <w:top w:val="none" w:sz="0" w:space="0" w:color="auto"/>
        <w:left w:val="none" w:sz="0" w:space="0" w:color="auto"/>
        <w:bottom w:val="none" w:sz="0" w:space="0" w:color="auto"/>
        <w:right w:val="none" w:sz="0" w:space="0" w:color="auto"/>
      </w:divBdr>
      <w:divsChild>
        <w:div w:id="324864238">
          <w:marLeft w:val="0"/>
          <w:marRight w:val="0"/>
          <w:marTop w:val="0"/>
          <w:marBottom w:val="0"/>
          <w:divBdr>
            <w:top w:val="none" w:sz="0" w:space="0" w:color="auto"/>
            <w:left w:val="none" w:sz="0" w:space="0" w:color="auto"/>
            <w:bottom w:val="none" w:sz="0" w:space="0" w:color="auto"/>
            <w:right w:val="none" w:sz="0" w:space="0" w:color="auto"/>
          </w:divBdr>
        </w:div>
        <w:div w:id="582760918">
          <w:marLeft w:val="0"/>
          <w:marRight w:val="0"/>
          <w:marTop w:val="0"/>
          <w:marBottom w:val="0"/>
          <w:divBdr>
            <w:top w:val="none" w:sz="0" w:space="0" w:color="auto"/>
            <w:left w:val="none" w:sz="0" w:space="0" w:color="auto"/>
            <w:bottom w:val="none" w:sz="0" w:space="0" w:color="auto"/>
            <w:right w:val="none" w:sz="0" w:space="0" w:color="auto"/>
          </w:divBdr>
        </w:div>
      </w:divsChild>
    </w:div>
    <w:div w:id="2005937463">
      <w:bodyDiv w:val="1"/>
      <w:marLeft w:val="0"/>
      <w:marRight w:val="0"/>
      <w:marTop w:val="0"/>
      <w:marBottom w:val="0"/>
      <w:divBdr>
        <w:top w:val="none" w:sz="0" w:space="0" w:color="auto"/>
        <w:left w:val="none" w:sz="0" w:space="0" w:color="auto"/>
        <w:bottom w:val="none" w:sz="0" w:space="0" w:color="auto"/>
        <w:right w:val="none" w:sz="0" w:space="0" w:color="auto"/>
      </w:divBdr>
    </w:div>
    <w:div w:id="20672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4987A313F724139B2CC8D8561F6D154"/>
        <w:category>
          <w:name w:val="General"/>
          <w:gallery w:val="placeholder"/>
        </w:category>
        <w:types>
          <w:type w:val="bbPlcHdr"/>
        </w:types>
        <w:behaviors>
          <w:behavior w:val="content"/>
        </w:behaviors>
        <w:guid w:val="{0B9D54DD-5BFD-40B7-AE3E-43CD5B4454D7}"/>
      </w:docPartPr>
      <w:docPartBody>
        <w:p w:rsidR="00AD1F75" w:rsidRDefault="00AD1F75">
          <w:pPr>
            <w:pStyle w:val="24987A313F724139B2CC8D8561F6D154"/>
          </w:pPr>
          <w:r w:rsidRPr="0087789B">
            <w:rPr>
              <w:rStyle w:val="Textodelmarcadordeposicin"/>
              <w:szCs w:val="24"/>
            </w:rPr>
            <w:t>Ingrese la fecha aquí.</w:t>
          </w:r>
        </w:p>
      </w:docPartBody>
    </w:docPart>
    <w:docPart>
      <w:docPartPr>
        <w:name w:val="AA4782D3713E48BAA24D9403A9FE3E2E"/>
        <w:category>
          <w:name w:val="General"/>
          <w:gallery w:val="placeholder"/>
        </w:category>
        <w:types>
          <w:type w:val="bbPlcHdr"/>
        </w:types>
        <w:behaviors>
          <w:behavior w:val="content"/>
        </w:behaviors>
        <w:guid w:val="{0ACF0F60-B955-4428-8371-9607BDDB0B97}"/>
      </w:docPartPr>
      <w:docPartBody>
        <w:p w:rsidR="00AD1F75" w:rsidRDefault="00AD1F75">
          <w:pPr>
            <w:pStyle w:val="AA4782D3713E48BAA24D9403A9FE3E2E"/>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75"/>
    <w:rsid w:val="0075744F"/>
    <w:rsid w:val="00AD1F75"/>
    <w:rsid w:val="00AE53BE"/>
    <w:rsid w:val="00B664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D1F75"/>
    <w:rPr>
      <w:color w:val="808080"/>
    </w:rPr>
  </w:style>
  <w:style w:type="paragraph" w:customStyle="1" w:styleId="24987A313F724139B2CC8D8561F6D154">
    <w:name w:val="24987A313F724139B2CC8D8561F6D154"/>
  </w:style>
  <w:style w:type="paragraph" w:customStyle="1" w:styleId="AA4782D3713E48BAA24D9403A9FE3E2E">
    <w:name w:val="AA4782D3713E48BAA24D9403A9FE3E2E"/>
  </w:style>
  <w:style w:type="paragraph" w:customStyle="1" w:styleId="73CF0DC12EC54DE6BDDD6B8DEC8E7D3F">
    <w:name w:val="73CF0DC12EC54DE6BDDD6B8DEC8E7D3F"/>
    <w:rsid w:val="00AD1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E298130950FD8408E6CC941FC021D9D" ma:contentTypeVersion="17" ma:contentTypeDescription="Crear nuevo documento." ma:contentTypeScope="" ma:versionID="14bbfd3eeb857c1acd8b05aa640c5105">
  <xsd:schema xmlns:xsd="http://www.w3.org/2001/XMLSchema" xmlns:xs="http://www.w3.org/2001/XMLSchema" xmlns:p="http://schemas.microsoft.com/office/2006/metadata/properties" xmlns:ns2="59edb153-39ed-4056-b12b-5a6ee259c2e4" xmlns:ns3="3e8ee11b-6e51-46c9-875c-58450c2b6e96" xmlns:ns4="71354e75-b190-4916-962e-77de997adbc9" targetNamespace="http://schemas.microsoft.com/office/2006/metadata/properties" ma:root="true" ma:fieldsID="93ff6f368fac0f85bb32af31bfbd620d" ns2:_="" ns3:_="" ns4:_="">
    <xsd:import namespace="59edb153-39ed-4056-b12b-5a6ee259c2e4"/>
    <xsd:import namespace="3e8ee11b-6e51-46c9-875c-58450c2b6e96"/>
    <xsd:import namespace="71354e75-b190-4916-962e-77de997adbc9"/>
    <xsd:element name="properties">
      <xsd:complexType>
        <xsd:sequence>
          <xsd:element name="documentManagement">
            <xsd:complexType>
              <xsd:all>
                <xsd:element ref="ns2:SharedWithUsers" minOccurs="0"/>
                <xsd:element ref="ns2:SharedWithDetails" minOccurs="0"/>
                <xsd:element ref="ns3:Evento"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e11b-6e51-46c9-875c-58450c2b6e96" elementFormDefault="qualified">
    <xsd:import namespace="http://schemas.microsoft.com/office/2006/documentManagement/types"/>
    <xsd:import namespace="http://schemas.microsoft.com/office/infopath/2007/PartnerControls"/>
    <xsd:element name="Evento" ma:index="10" nillable="true" ma:displayName="Evento" ma:format="Hyperlink" ma:internalName="Ev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54e75-b190-4916-962e-77de997adb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vento xmlns="3e8ee11b-6e51-46c9-875c-58450c2b6e96">
      <Url>https://si.supen.fi.cr/Tramites/Tram_Detalle_Evento.aspx?evento=2021014752&amp;op=3</Url>
      <Description>2021014752</Description>
    </Even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88CC6-8D75-4AB8-86F6-352E1F7E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3e8ee11b-6e51-46c9-875c-58450c2b6e96"/>
    <ds:schemaRef ds:uri="71354e75-b190-4916-962e-77de997ad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FE474-6F2F-40A2-BD71-082751CCE703}">
  <ds:schemaRefs>
    <ds:schemaRef ds:uri="http://schemas.openxmlformats.org/officeDocument/2006/bibliography"/>
  </ds:schemaRefs>
</ds:datastoreItem>
</file>

<file path=customXml/itemProps3.xml><?xml version="1.0" encoding="utf-8"?>
<ds:datastoreItem xmlns:ds="http://schemas.openxmlformats.org/officeDocument/2006/customXml" ds:itemID="{B3A54265-9611-4717-9919-210EAE0D58EE}">
  <ds:schemaRefs>
    <ds:schemaRef ds:uri="http://purl.org/dc/elements/1.1/"/>
    <ds:schemaRef ds:uri="http://schemas.microsoft.com/office/2006/metadata/properties"/>
    <ds:schemaRef ds:uri="http://schemas.microsoft.com/office/infopath/2007/PartnerControls"/>
    <ds:schemaRef ds:uri="59edb153-39ed-4056-b12b-5a6ee259c2e4"/>
    <ds:schemaRef ds:uri="http://purl.org/dc/terms/"/>
    <ds:schemaRef ds:uri="http://purl.org/dc/dcmitype/"/>
    <ds:schemaRef ds:uri="http://schemas.microsoft.com/office/2006/documentManagement/types"/>
    <ds:schemaRef ds:uri="http://schemas.openxmlformats.org/package/2006/metadata/core-properties"/>
    <ds:schemaRef ds:uri="71354e75-b190-4916-962e-77de997adbc9"/>
    <ds:schemaRef ds:uri="3e8ee11b-6e51-46c9-875c-58450c2b6e96"/>
    <ds:schemaRef ds:uri="http://www.w3.org/XML/1998/namespace"/>
  </ds:schemaRefs>
</ds:datastoreItem>
</file>

<file path=customXml/itemProps4.xml><?xml version="1.0" encoding="utf-8"?>
<ds:datastoreItem xmlns:ds="http://schemas.openxmlformats.org/officeDocument/2006/customXml" ds:itemID="{E9299D99-3DEA-4202-BD79-83B2A4D57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Machote SP</Template>
  <TotalTime>1</TotalTime>
  <Pages>9</Pages>
  <Words>3296</Words>
  <Characters>18134</Characters>
  <Application>Microsoft Office Word</Application>
  <DocSecurity>8</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PJD-XXX-2021 (A.I. y C&amp;S sobre aplazamientos).docx</dc:title>
  <dc:subject/>
  <dc:creator>MUNOZ GARCIA JORGE ENRIQUE</dc:creator>
  <cp:keywords/>
  <dc:description/>
  <cp:lastModifiedBy>VARGAS HERNANDEZ NELLY MARIA</cp:lastModifiedBy>
  <cp:revision>2</cp:revision>
  <dcterms:created xsi:type="dcterms:W3CDTF">2021-03-17T23:55:00Z</dcterms:created>
  <dcterms:modified xsi:type="dcterms:W3CDTF">2021-03-17T23:55:00Z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0x010100DE298130950FD8408E6CC941FC021D9D</vt:lpwstr>
  </property>
  <property fmtid="{D5CDD505-2E9C-101B-9397-08002B2CF9AE}" pid="3" name="IsMyDocuments">
    <vt:bool>true</vt:bool>
  </property>
</Properties>
</file>