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85EC1" w14:textId="7E98BD98" w:rsidR="00A4778B" w:rsidRPr="00761471" w:rsidRDefault="00A37151" w:rsidP="002257A3">
      <w:pPr>
        <w:spacing w:line="240" w:lineRule="auto"/>
        <w:jc w:val="both"/>
        <w:rPr>
          <w:rFonts w:cs="Times New Roman"/>
          <w:szCs w:val="24"/>
        </w:rPr>
      </w:pPr>
      <w:sdt>
        <w:sdtPr>
          <w:rPr>
            <w:rFonts w:cs="Times New Roman"/>
            <w:szCs w:val="24"/>
          </w:rPr>
          <w:alias w:val="Fecha"/>
          <w:tag w:val="Fecha"/>
          <w:id w:val="-306548534"/>
          <w:lock w:val="sdtLocked"/>
          <w:placeholder>
            <w:docPart w:val="E395ECA4097B466E95B1A4899A7D0519"/>
          </w:placeholder>
          <w:date w:fullDate="2020-11-06T00:00:00Z">
            <w:dateFormat w:val="d' de 'MMMM' de 'yyyy"/>
            <w:lid w:val="es-ES"/>
            <w:storeMappedDataAs w:val="date"/>
            <w:calendar w:val="gregorian"/>
          </w:date>
        </w:sdtPr>
        <w:sdtEndPr/>
        <w:sdtContent>
          <w:r w:rsidR="009E6568">
            <w:rPr>
              <w:rFonts w:cs="Times New Roman"/>
              <w:szCs w:val="24"/>
            </w:rPr>
            <w:t>6 de noviembre de 2020</w:t>
          </w:r>
        </w:sdtContent>
      </w:sdt>
    </w:p>
    <w:p w14:paraId="6F67D000" w14:textId="64A05A83" w:rsidR="00A4778B" w:rsidRPr="00761471" w:rsidRDefault="00A37151" w:rsidP="002257A3">
      <w:pPr>
        <w:pStyle w:val="SupenEncabezado"/>
        <w:spacing w:line="240" w:lineRule="auto"/>
        <w:jc w:val="both"/>
        <w:rPr>
          <w:rStyle w:val="SupenEncabezadoCar"/>
          <w:rFonts w:cs="Times New Roman"/>
          <w:szCs w:val="24"/>
        </w:rPr>
      </w:pPr>
      <w:sdt>
        <w:sdtPr>
          <w:rPr>
            <w:rStyle w:val="SupenEncabezadoCar"/>
            <w:rFonts w:cs="Times New Roman"/>
            <w:b/>
            <w:bCs/>
            <w:szCs w:val="24"/>
          </w:rPr>
          <w:alias w:val="Código"/>
          <w:tag w:val="A"/>
          <w:id w:val="1991359848"/>
          <w:lock w:val="sdtLocked"/>
          <w:placeholder>
            <w:docPart w:val="6FEF9BC79D6042C9BC874B85F6D4C25B"/>
          </w:placeholder>
          <w:text/>
        </w:sdtPr>
        <w:sdtEndPr>
          <w:rPr>
            <w:rStyle w:val="SupenEncabezadoCar"/>
          </w:rPr>
        </w:sdtEndPr>
        <w:sdtContent>
          <w:r w:rsidR="00006E88" w:rsidRPr="00E66F32">
            <w:rPr>
              <w:rStyle w:val="SupenEncabezadoCar"/>
              <w:rFonts w:cs="Times New Roman"/>
              <w:b/>
              <w:bCs/>
              <w:szCs w:val="24"/>
            </w:rPr>
            <w:t>PJD-2</w:t>
          </w:r>
          <w:r w:rsidR="009E6568">
            <w:rPr>
              <w:rStyle w:val="SupenEncabezadoCar"/>
              <w:rFonts w:cs="Times New Roman"/>
              <w:b/>
              <w:bCs/>
              <w:szCs w:val="24"/>
            </w:rPr>
            <w:t>8</w:t>
          </w:r>
          <w:r w:rsidR="00006E88" w:rsidRPr="00E66F32">
            <w:rPr>
              <w:rStyle w:val="SupenEncabezadoCar"/>
              <w:rFonts w:cs="Times New Roman"/>
              <w:b/>
              <w:bCs/>
              <w:szCs w:val="24"/>
            </w:rPr>
            <w:t>-2020</w:t>
          </w:r>
        </w:sdtContent>
      </w:sdt>
    </w:p>
    <w:p w14:paraId="7CA3918C" w14:textId="77777777" w:rsidR="003262D5" w:rsidRPr="00761471" w:rsidRDefault="003262D5" w:rsidP="002257A3">
      <w:pPr>
        <w:spacing w:line="240" w:lineRule="auto"/>
        <w:jc w:val="both"/>
        <w:rPr>
          <w:rFonts w:cs="Times New Roman"/>
          <w:szCs w:val="24"/>
        </w:rPr>
      </w:pPr>
    </w:p>
    <w:p w14:paraId="5D21808A" w14:textId="78D98E6A" w:rsidR="00EF4B4B" w:rsidRDefault="00EF4B4B" w:rsidP="002257A3">
      <w:pPr>
        <w:spacing w:line="240" w:lineRule="auto"/>
        <w:jc w:val="both"/>
        <w:rPr>
          <w:rFonts w:cs="Times New Roman"/>
          <w:szCs w:val="24"/>
        </w:rPr>
      </w:pPr>
    </w:p>
    <w:p w14:paraId="4D397DBB" w14:textId="77777777" w:rsidR="00693DFE" w:rsidRPr="00761471" w:rsidRDefault="00693DFE" w:rsidP="002257A3">
      <w:pPr>
        <w:spacing w:line="240" w:lineRule="auto"/>
        <w:jc w:val="both"/>
        <w:rPr>
          <w:rFonts w:cs="Times New Roman"/>
          <w:szCs w:val="24"/>
        </w:rPr>
      </w:pPr>
    </w:p>
    <w:p w14:paraId="4F797BAE" w14:textId="77777777" w:rsidR="00CD32F5" w:rsidRPr="00761471" w:rsidRDefault="00CD32F5" w:rsidP="002257A3">
      <w:pPr>
        <w:spacing w:line="240" w:lineRule="auto"/>
        <w:jc w:val="both"/>
        <w:rPr>
          <w:rFonts w:cs="Times New Roman"/>
          <w:szCs w:val="24"/>
        </w:rPr>
      </w:pPr>
      <w:r w:rsidRPr="00761471">
        <w:rPr>
          <w:rFonts w:cs="Times New Roman"/>
          <w:szCs w:val="24"/>
        </w:rPr>
        <w:t>Señora</w:t>
      </w:r>
    </w:p>
    <w:p w14:paraId="028A9A08" w14:textId="77777777" w:rsidR="00CD32F5" w:rsidRPr="00761471" w:rsidRDefault="00CD32F5" w:rsidP="002257A3">
      <w:pPr>
        <w:spacing w:line="240" w:lineRule="auto"/>
        <w:jc w:val="both"/>
        <w:rPr>
          <w:rFonts w:cs="Times New Roman"/>
          <w:szCs w:val="24"/>
        </w:rPr>
      </w:pPr>
      <w:r w:rsidRPr="00761471">
        <w:rPr>
          <w:rFonts w:cs="Times New Roman"/>
          <w:szCs w:val="24"/>
        </w:rPr>
        <w:t>Rocío Aguilar Montoya</w:t>
      </w:r>
    </w:p>
    <w:p w14:paraId="1A43D3E4" w14:textId="77777777" w:rsidR="00CD32F5" w:rsidRPr="00761471" w:rsidRDefault="00CD32F5" w:rsidP="002257A3">
      <w:pPr>
        <w:spacing w:line="240" w:lineRule="auto"/>
        <w:jc w:val="both"/>
        <w:rPr>
          <w:rFonts w:cs="Times New Roman"/>
          <w:szCs w:val="24"/>
        </w:rPr>
      </w:pPr>
      <w:r w:rsidRPr="00761471">
        <w:rPr>
          <w:rFonts w:cs="Times New Roman"/>
          <w:szCs w:val="24"/>
        </w:rPr>
        <w:t>Superintendente de Pensiones</w:t>
      </w:r>
    </w:p>
    <w:p w14:paraId="7E69A4D3" w14:textId="56402F7D" w:rsidR="00EF4B4B" w:rsidRDefault="00EF4B4B" w:rsidP="002257A3">
      <w:pPr>
        <w:spacing w:line="240" w:lineRule="auto"/>
        <w:jc w:val="both"/>
        <w:rPr>
          <w:rFonts w:cs="Times New Roman"/>
          <w:szCs w:val="24"/>
        </w:rPr>
      </w:pPr>
    </w:p>
    <w:p w14:paraId="776AB788" w14:textId="77777777" w:rsidR="00693DFE" w:rsidRDefault="00693DFE" w:rsidP="002257A3">
      <w:pPr>
        <w:spacing w:line="240" w:lineRule="auto"/>
        <w:jc w:val="both"/>
        <w:rPr>
          <w:rFonts w:cs="Times New Roman"/>
          <w:szCs w:val="24"/>
        </w:rPr>
      </w:pPr>
    </w:p>
    <w:p w14:paraId="0E771163" w14:textId="0A446F2C" w:rsidR="00CD32F5" w:rsidRPr="00761471" w:rsidRDefault="00CD32F5" w:rsidP="002257A3">
      <w:pPr>
        <w:spacing w:line="240" w:lineRule="auto"/>
        <w:jc w:val="both"/>
        <w:rPr>
          <w:rFonts w:cs="Times New Roman"/>
          <w:szCs w:val="24"/>
        </w:rPr>
      </w:pPr>
      <w:r w:rsidRPr="00761471">
        <w:rPr>
          <w:rFonts w:cs="Times New Roman"/>
          <w:szCs w:val="24"/>
        </w:rPr>
        <w:t>Estimada señora:</w:t>
      </w:r>
    </w:p>
    <w:p w14:paraId="423964F0" w14:textId="77777777" w:rsidR="00EF4B4B" w:rsidRDefault="00EF4B4B" w:rsidP="002257A3">
      <w:pPr>
        <w:spacing w:line="240" w:lineRule="auto"/>
        <w:jc w:val="both"/>
        <w:rPr>
          <w:rFonts w:cs="Times New Roman"/>
          <w:szCs w:val="24"/>
        </w:rPr>
      </w:pPr>
    </w:p>
    <w:p w14:paraId="321E6595" w14:textId="77777777" w:rsidR="00693DFE" w:rsidRDefault="00693DFE" w:rsidP="002257A3">
      <w:pPr>
        <w:spacing w:line="240" w:lineRule="auto"/>
        <w:jc w:val="both"/>
        <w:rPr>
          <w:rFonts w:cs="Times New Roman"/>
          <w:szCs w:val="24"/>
        </w:rPr>
      </w:pPr>
    </w:p>
    <w:p w14:paraId="600E3522" w14:textId="43125A48" w:rsidR="006F0C1F" w:rsidRDefault="00CD32F5" w:rsidP="002257A3">
      <w:pPr>
        <w:spacing w:line="240" w:lineRule="auto"/>
        <w:jc w:val="both"/>
        <w:rPr>
          <w:rFonts w:cs="Times New Roman"/>
          <w:szCs w:val="24"/>
        </w:rPr>
      </w:pPr>
      <w:r w:rsidRPr="00761471">
        <w:rPr>
          <w:rFonts w:cs="Times New Roman"/>
          <w:szCs w:val="24"/>
        </w:rPr>
        <w:t xml:space="preserve">De conformidad con lo establecido en el </w:t>
      </w:r>
      <w:r w:rsidRPr="00761471">
        <w:rPr>
          <w:rFonts w:cs="Times New Roman"/>
          <w:i/>
          <w:szCs w:val="24"/>
        </w:rPr>
        <w:t>Procedimiento para la tramitación ante el Consejo Nacional de Supervisión del Sistema Financiero Costarricense de proyectos de emisión o reformados reglamentos</w:t>
      </w:r>
      <w:r w:rsidRPr="00761471">
        <w:rPr>
          <w:rFonts w:cs="Times New Roman"/>
          <w:szCs w:val="24"/>
        </w:rPr>
        <w:t>, esta División de Asesoría Jurídica emite un criterio sobre la viabilidad legal de una propuesta de</w:t>
      </w:r>
      <w:bookmarkStart w:id="0" w:name="_Hlk55571085"/>
      <w:r w:rsidR="00B12FC5">
        <w:rPr>
          <w:rFonts w:cs="Times New Roman"/>
          <w:szCs w:val="24"/>
        </w:rPr>
        <w:t xml:space="preserve"> </w:t>
      </w:r>
      <w:r w:rsidR="005A54B3" w:rsidRPr="005A54B3">
        <w:rPr>
          <w:rFonts w:cs="Times New Roman"/>
          <w:i/>
          <w:szCs w:val="24"/>
        </w:rPr>
        <w:t>Modificación del acápite xxi, inciso 2.4, del artículo 2, el segundo párrafo del artículo 25, y 26, todos, del Reglamento sobre Gobierno Corporativo; los artículos 1, el párrafo segundo y tercero del artículo 14 y el artículo 15, todos del Reglamento de Riesgos; y el inciso b) del artículo 10 del Reglamento de Gestión de Activos</w:t>
      </w:r>
      <w:r w:rsidR="00200224">
        <w:rPr>
          <w:rFonts w:cs="Times New Roman"/>
          <w:szCs w:val="24"/>
        </w:rPr>
        <w:t xml:space="preserve">. </w:t>
      </w:r>
    </w:p>
    <w:bookmarkEnd w:id="0"/>
    <w:p w14:paraId="793206E7" w14:textId="77777777" w:rsidR="00137328" w:rsidRDefault="00137328" w:rsidP="002257A3">
      <w:pPr>
        <w:spacing w:line="240" w:lineRule="auto"/>
        <w:jc w:val="both"/>
        <w:rPr>
          <w:rFonts w:cs="Times New Roman"/>
          <w:szCs w:val="24"/>
        </w:rPr>
      </w:pPr>
    </w:p>
    <w:p w14:paraId="22FD2842" w14:textId="71020DD8" w:rsidR="003573A3" w:rsidRDefault="003573A3" w:rsidP="002257A3">
      <w:pPr>
        <w:pStyle w:val="Prrafodelista"/>
        <w:numPr>
          <w:ilvl w:val="0"/>
          <w:numId w:val="10"/>
        </w:numPr>
        <w:spacing w:line="240" w:lineRule="auto"/>
        <w:jc w:val="both"/>
        <w:rPr>
          <w:rFonts w:cs="Times New Roman"/>
          <w:b/>
          <w:bCs/>
          <w:szCs w:val="24"/>
        </w:rPr>
      </w:pPr>
      <w:r>
        <w:rPr>
          <w:rFonts w:cs="Times New Roman"/>
          <w:b/>
          <w:bCs/>
          <w:szCs w:val="24"/>
        </w:rPr>
        <w:t xml:space="preserve">Normativa </w:t>
      </w:r>
      <w:r w:rsidR="00FF1339">
        <w:rPr>
          <w:rFonts w:cs="Times New Roman"/>
          <w:b/>
          <w:bCs/>
          <w:szCs w:val="24"/>
        </w:rPr>
        <w:t xml:space="preserve">relevante </w:t>
      </w:r>
      <w:r w:rsidR="005D4318">
        <w:rPr>
          <w:rFonts w:cs="Times New Roman"/>
          <w:b/>
          <w:bCs/>
          <w:szCs w:val="24"/>
        </w:rPr>
        <w:t xml:space="preserve"> </w:t>
      </w:r>
    </w:p>
    <w:p w14:paraId="49B90E1F" w14:textId="67C629A3" w:rsidR="005F456F" w:rsidRDefault="005F456F" w:rsidP="003573A3">
      <w:pPr>
        <w:spacing w:line="240" w:lineRule="auto"/>
        <w:jc w:val="both"/>
        <w:rPr>
          <w:rFonts w:cs="Times New Roman"/>
          <w:b/>
          <w:bCs/>
          <w:szCs w:val="24"/>
        </w:rPr>
      </w:pPr>
    </w:p>
    <w:p w14:paraId="203E524D" w14:textId="6459BA1C" w:rsidR="009B41CD" w:rsidRPr="00F843B8" w:rsidRDefault="009B41CD" w:rsidP="009B41CD">
      <w:pPr>
        <w:pStyle w:val="Prrafodelista"/>
        <w:numPr>
          <w:ilvl w:val="0"/>
          <w:numId w:val="16"/>
        </w:numPr>
        <w:spacing w:line="240" w:lineRule="auto"/>
        <w:jc w:val="both"/>
        <w:rPr>
          <w:rFonts w:cs="Times New Roman"/>
          <w:szCs w:val="24"/>
        </w:rPr>
      </w:pPr>
      <w:r w:rsidRPr="00F843B8">
        <w:rPr>
          <w:rFonts w:cs="Times New Roman"/>
          <w:szCs w:val="24"/>
        </w:rPr>
        <w:t>Reglamento sobre Gobierno Corporativo</w:t>
      </w:r>
    </w:p>
    <w:p w14:paraId="07007FD2" w14:textId="75985D44" w:rsidR="009B41CD" w:rsidRDefault="009B41CD" w:rsidP="009B41CD">
      <w:pPr>
        <w:spacing w:line="240" w:lineRule="auto"/>
        <w:jc w:val="both"/>
        <w:rPr>
          <w:rFonts w:cs="Times New Roman"/>
          <w:b/>
          <w:bCs/>
          <w:szCs w:val="24"/>
        </w:rPr>
      </w:pPr>
    </w:p>
    <w:p w14:paraId="69736CD0" w14:textId="77777777" w:rsidR="00D14097" w:rsidRPr="00F843B8" w:rsidRDefault="00D14097" w:rsidP="00F843B8">
      <w:pPr>
        <w:spacing w:line="240" w:lineRule="auto"/>
        <w:ind w:left="284"/>
        <w:jc w:val="both"/>
        <w:rPr>
          <w:rFonts w:cs="Times New Roman"/>
          <w:i/>
          <w:iCs/>
          <w:szCs w:val="24"/>
        </w:rPr>
      </w:pPr>
      <w:r w:rsidRPr="00F843B8">
        <w:rPr>
          <w:rFonts w:cs="Times New Roman"/>
          <w:i/>
          <w:iCs/>
          <w:szCs w:val="24"/>
        </w:rPr>
        <w:t>Artículo 2. Alcance</w:t>
      </w:r>
    </w:p>
    <w:p w14:paraId="713EF302" w14:textId="67BCD9FF" w:rsidR="009B41CD" w:rsidRPr="00F843B8" w:rsidRDefault="00D14097" w:rsidP="00F843B8">
      <w:pPr>
        <w:spacing w:line="240" w:lineRule="auto"/>
        <w:ind w:left="284"/>
        <w:jc w:val="both"/>
        <w:rPr>
          <w:rFonts w:cs="Times New Roman"/>
          <w:i/>
          <w:iCs/>
          <w:szCs w:val="24"/>
        </w:rPr>
      </w:pPr>
      <w:r w:rsidRPr="00F843B8">
        <w:rPr>
          <w:rFonts w:cs="Times New Roman"/>
          <w:i/>
          <w:iCs/>
          <w:szCs w:val="24"/>
        </w:rPr>
        <w:t>Las disposiciones establecidas en este Reglamento son de aplicación para:</w:t>
      </w:r>
    </w:p>
    <w:p w14:paraId="530402C6" w14:textId="000827FD" w:rsidR="00D14097" w:rsidRPr="00F843B8" w:rsidRDefault="00D14097" w:rsidP="00F843B8">
      <w:pPr>
        <w:spacing w:line="240" w:lineRule="auto"/>
        <w:ind w:left="284"/>
        <w:jc w:val="both"/>
        <w:rPr>
          <w:rFonts w:cs="Times New Roman"/>
          <w:i/>
          <w:iCs/>
          <w:szCs w:val="24"/>
        </w:rPr>
      </w:pPr>
      <w:r w:rsidRPr="00F843B8">
        <w:rPr>
          <w:rFonts w:cs="Times New Roman"/>
          <w:i/>
          <w:iCs/>
          <w:szCs w:val="24"/>
        </w:rPr>
        <w:t xml:space="preserve">[…] </w:t>
      </w:r>
    </w:p>
    <w:p w14:paraId="57D29AFA" w14:textId="77777777" w:rsidR="00B75BBB" w:rsidRPr="00F843B8" w:rsidRDefault="00B75BBB" w:rsidP="00F843B8">
      <w:pPr>
        <w:spacing w:line="240" w:lineRule="auto"/>
        <w:ind w:left="284"/>
        <w:jc w:val="both"/>
        <w:rPr>
          <w:rFonts w:cs="Times New Roman"/>
          <w:i/>
          <w:iCs/>
          <w:szCs w:val="24"/>
        </w:rPr>
      </w:pPr>
      <w:r w:rsidRPr="00F843B8">
        <w:rPr>
          <w:rFonts w:cs="Times New Roman"/>
          <w:i/>
          <w:iCs/>
          <w:szCs w:val="24"/>
        </w:rPr>
        <w:t>2.4 Regulados por SUPEN:</w:t>
      </w:r>
    </w:p>
    <w:p w14:paraId="45905E28" w14:textId="77777777" w:rsidR="00B75BBB" w:rsidRPr="00F843B8" w:rsidRDefault="00B75BBB" w:rsidP="00F843B8">
      <w:pPr>
        <w:spacing w:line="240" w:lineRule="auto"/>
        <w:ind w:left="284"/>
        <w:jc w:val="both"/>
        <w:rPr>
          <w:rFonts w:cs="Times New Roman"/>
          <w:i/>
          <w:iCs/>
          <w:szCs w:val="24"/>
        </w:rPr>
      </w:pPr>
      <w:r w:rsidRPr="00F843B8">
        <w:rPr>
          <w:rFonts w:cs="Times New Roman"/>
          <w:i/>
          <w:iCs/>
          <w:szCs w:val="24"/>
        </w:rPr>
        <w:t>xix. Operadoras de Pensiones.</w:t>
      </w:r>
    </w:p>
    <w:p w14:paraId="4E790F9A" w14:textId="77777777" w:rsidR="00B75BBB" w:rsidRPr="00F843B8" w:rsidRDefault="00B75BBB" w:rsidP="00F843B8">
      <w:pPr>
        <w:spacing w:line="240" w:lineRule="auto"/>
        <w:ind w:left="284"/>
        <w:jc w:val="both"/>
        <w:rPr>
          <w:rFonts w:cs="Times New Roman"/>
          <w:i/>
          <w:iCs/>
          <w:szCs w:val="24"/>
        </w:rPr>
      </w:pPr>
      <w:r w:rsidRPr="00F843B8">
        <w:rPr>
          <w:rFonts w:cs="Times New Roman"/>
          <w:i/>
          <w:iCs/>
          <w:szCs w:val="24"/>
        </w:rPr>
        <w:t>xx. Organizaciones sociales autorizadas para administrar los fondos de capitalización laboral.</w:t>
      </w:r>
    </w:p>
    <w:p w14:paraId="53F2C9CF" w14:textId="75EC8578" w:rsidR="00D14097" w:rsidRPr="00BE2481" w:rsidRDefault="00B75BBB" w:rsidP="00F843B8">
      <w:pPr>
        <w:spacing w:line="240" w:lineRule="auto"/>
        <w:ind w:left="284"/>
        <w:jc w:val="both"/>
        <w:rPr>
          <w:rFonts w:cs="Times New Roman"/>
          <w:b/>
          <w:bCs/>
          <w:i/>
          <w:iCs/>
          <w:szCs w:val="24"/>
        </w:rPr>
      </w:pPr>
      <w:r w:rsidRPr="00BE2481">
        <w:rPr>
          <w:rFonts w:cs="Times New Roman"/>
          <w:b/>
          <w:bCs/>
          <w:i/>
          <w:iCs/>
          <w:szCs w:val="24"/>
        </w:rPr>
        <w:t>xxi. Entidades administradoras de regímenes de pensiones sustitutas o complementarias del régimen de invalidez, vejez y muerte (IVM), creados por leyes o convenciones colectivas.</w:t>
      </w:r>
    </w:p>
    <w:p w14:paraId="50E05823" w14:textId="77777777" w:rsidR="00BE2481" w:rsidRPr="00F843B8" w:rsidRDefault="00B75BBB" w:rsidP="00BE2481">
      <w:pPr>
        <w:spacing w:line="240" w:lineRule="auto"/>
        <w:ind w:left="284"/>
        <w:jc w:val="both"/>
        <w:rPr>
          <w:rFonts w:cs="Times New Roman"/>
          <w:i/>
          <w:iCs/>
          <w:szCs w:val="24"/>
        </w:rPr>
      </w:pPr>
      <w:r w:rsidRPr="00F843B8">
        <w:rPr>
          <w:rFonts w:cs="Times New Roman"/>
          <w:i/>
          <w:iCs/>
          <w:szCs w:val="24"/>
        </w:rPr>
        <w:t xml:space="preserve">[…] </w:t>
      </w:r>
      <w:r w:rsidR="00BE2481" w:rsidRPr="00E74E8C">
        <w:rPr>
          <w:rFonts w:cs="Times New Roman"/>
          <w:szCs w:val="24"/>
        </w:rPr>
        <w:t>[Lo resaltado no es del original].</w:t>
      </w:r>
      <w:r w:rsidR="00BE2481">
        <w:rPr>
          <w:rFonts w:cs="Times New Roman"/>
          <w:i/>
          <w:iCs/>
          <w:szCs w:val="24"/>
        </w:rPr>
        <w:t xml:space="preserve"> </w:t>
      </w:r>
    </w:p>
    <w:p w14:paraId="1FBB01CF" w14:textId="77777777" w:rsidR="009C1398" w:rsidRPr="00F843B8" w:rsidRDefault="009C1398" w:rsidP="00F843B8">
      <w:pPr>
        <w:spacing w:line="240" w:lineRule="auto"/>
        <w:ind w:left="284"/>
        <w:jc w:val="both"/>
        <w:rPr>
          <w:rFonts w:cs="Times New Roman"/>
          <w:i/>
          <w:iCs/>
          <w:szCs w:val="24"/>
        </w:rPr>
      </w:pPr>
    </w:p>
    <w:p w14:paraId="25D4C908" w14:textId="6B9A7658" w:rsidR="009C1398" w:rsidRPr="00F843B8" w:rsidRDefault="009C1398" w:rsidP="00F843B8">
      <w:pPr>
        <w:spacing w:line="240" w:lineRule="auto"/>
        <w:ind w:left="284"/>
        <w:jc w:val="both"/>
        <w:rPr>
          <w:rFonts w:cs="Times New Roman"/>
          <w:i/>
          <w:iCs/>
          <w:szCs w:val="24"/>
        </w:rPr>
      </w:pPr>
      <w:r w:rsidRPr="00F843B8">
        <w:rPr>
          <w:rFonts w:cs="Times New Roman"/>
          <w:i/>
          <w:iCs/>
          <w:szCs w:val="24"/>
        </w:rPr>
        <w:t>Artículo 4. Aplicación proporcional y diferenciada de los principios</w:t>
      </w:r>
    </w:p>
    <w:p w14:paraId="6F30F01A" w14:textId="77777777" w:rsidR="009C1398" w:rsidRPr="00F843B8" w:rsidRDefault="009C1398" w:rsidP="00F843B8">
      <w:pPr>
        <w:spacing w:line="240" w:lineRule="auto"/>
        <w:ind w:left="284"/>
        <w:jc w:val="both"/>
        <w:rPr>
          <w:rFonts w:cs="Times New Roman"/>
          <w:i/>
          <w:iCs/>
          <w:szCs w:val="24"/>
        </w:rPr>
      </w:pPr>
      <w:r w:rsidRPr="00F843B8">
        <w:rPr>
          <w:rFonts w:cs="Times New Roman"/>
          <w:i/>
          <w:iCs/>
          <w:szCs w:val="24"/>
        </w:rPr>
        <w:t>Cada entidad diseña, implementa y evalúa su marco de Gobierno Corporativo de conformidad con sus atributos particulares, para ello debe considerar las leyes que le resultan aplicables, el tamaño, la estructura de propiedad y la naturaleza jurídica de la entidad, así como el alcance y la complejidad de sus operaciones, la estrategia corporativa, el Perfil de Riesgo y el potencial impacto de sus operaciones sobre terceros.</w:t>
      </w:r>
    </w:p>
    <w:p w14:paraId="5663E5E8" w14:textId="302EA049" w:rsidR="00B75BBB" w:rsidRPr="00F843B8" w:rsidRDefault="009C1398" w:rsidP="00F843B8">
      <w:pPr>
        <w:spacing w:line="240" w:lineRule="auto"/>
        <w:ind w:left="284"/>
        <w:jc w:val="both"/>
        <w:rPr>
          <w:rFonts w:cs="Times New Roman"/>
          <w:i/>
          <w:iCs/>
          <w:szCs w:val="24"/>
        </w:rPr>
      </w:pPr>
      <w:r w:rsidRPr="00F843B8">
        <w:rPr>
          <w:rFonts w:cs="Times New Roman"/>
          <w:i/>
          <w:iCs/>
          <w:szCs w:val="24"/>
        </w:rPr>
        <w:lastRenderedPageBreak/>
        <w:t>La entidad es la responsable de demostrar la efectividad de su marco de gobierno corporativo.</w:t>
      </w:r>
    </w:p>
    <w:p w14:paraId="3471E22B" w14:textId="77777777" w:rsidR="000D7A61" w:rsidRDefault="000D7A61" w:rsidP="00F843B8">
      <w:pPr>
        <w:spacing w:line="240" w:lineRule="auto"/>
        <w:ind w:left="284"/>
        <w:jc w:val="both"/>
        <w:rPr>
          <w:rFonts w:cs="Times New Roman"/>
          <w:i/>
          <w:iCs/>
          <w:szCs w:val="24"/>
        </w:rPr>
      </w:pPr>
    </w:p>
    <w:p w14:paraId="013BA687" w14:textId="497F51CC" w:rsidR="009B31D2" w:rsidRPr="00F843B8" w:rsidRDefault="009B31D2" w:rsidP="00F843B8">
      <w:pPr>
        <w:spacing w:line="240" w:lineRule="auto"/>
        <w:ind w:left="284"/>
        <w:jc w:val="both"/>
        <w:rPr>
          <w:rFonts w:cs="Times New Roman"/>
          <w:i/>
          <w:iCs/>
          <w:szCs w:val="24"/>
        </w:rPr>
      </w:pPr>
      <w:r w:rsidRPr="00F843B8">
        <w:rPr>
          <w:rFonts w:cs="Times New Roman"/>
          <w:i/>
          <w:iCs/>
          <w:szCs w:val="24"/>
        </w:rPr>
        <w:t>Artículo 24. Comités</w:t>
      </w:r>
    </w:p>
    <w:p w14:paraId="68703FE3" w14:textId="77777777" w:rsidR="009B31D2" w:rsidRPr="00F843B8" w:rsidRDefault="009B31D2" w:rsidP="00F843B8">
      <w:pPr>
        <w:spacing w:line="240" w:lineRule="auto"/>
        <w:ind w:left="284"/>
        <w:jc w:val="both"/>
        <w:rPr>
          <w:rFonts w:cs="Times New Roman"/>
          <w:i/>
          <w:iCs/>
          <w:szCs w:val="24"/>
        </w:rPr>
      </w:pPr>
      <w:r w:rsidRPr="00F843B8">
        <w:rPr>
          <w:rFonts w:cs="Times New Roman"/>
          <w:i/>
          <w:iCs/>
          <w:szCs w:val="24"/>
        </w:rPr>
        <w:t>Para lograr la eficiencia y una mayor profundidad en el análisis de los temas de su competencia, el Órgano de Dirección debe establecer comités técnicos, en concordancia con la responsabilidad relativa a los comités establecida en el artículo 6, numeral 6.4 de este Reglamento. Dichos comités deben contar con una normativa, que regule su funcionamiento, integración, el alcance de sus funciones, y los procedimientos de trabajo, esto incluye la forma en que informará al Órgano de Dirección. Los comités deben llevar actas en las cuales consten sus deliberaciones y los fundamentos de sus decisiones.</w:t>
      </w:r>
    </w:p>
    <w:p w14:paraId="27505E1D" w14:textId="46095E57" w:rsidR="009C1398" w:rsidRPr="00F843B8" w:rsidRDefault="009B31D2" w:rsidP="00F843B8">
      <w:pPr>
        <w:spacing w:line="240" w:lineRule="auto"/>
        <w:ind w:left="284"/>
        <w:jc w:val="both"/>
        <w:rPr>
          <w:rFonts w:cs="Times New Roman"/>
          <w:i/>
          <w:iCs/>
          <w:szCs w:val="24"/>
        </w:rPr>
      </w:pPr>
      <w:r w:rsidRPr="00F843B8">
        <w:rPr>
          <w:rFonts w:cs="Times New Roman"/>
          <w:i/>
          <w:iCs/>
          <w:szCs w:val="24"/>
        </w:rPr>
        <w:t>El Órgano de Dirección debe considerar la rotación periódica de los miembros de los comités, para evitar la concentración excesiva del poder y promover nuevas perspectivas. Esta rotación debe tomar en cuenta las competencias y experiencia de los miembros nominados. Los comités que se señalan en este Reglamento deben ser presididos por un miembro del Órgano de Dirección; además, el presidente de un comité no debe ser presidente de otro comité.</w:t>
      </w:r>
    </w:p>
    <w:p w14:paraId="707517D4" w14:textId="6AC189A9" w:rsidR="009B31D2" w:rsidRPr="00F843B8" w:rsidRDefault="009B31D2" w:rsidP="00F843B8">
      <w:pPr>
        <w:spacing w:line="240" w:lineRule="auto"/>
        <w:ind w:left="284"/>
        <w:jc w:val="both"/>
        <w:rPr>
          <w:rFonts w:cs="Times New Roman"/>
          <w:i/>
          <w:iCs/>
          <w:szCs w:val="24"/>
        </w:rPr>
      </w:pPr>
    </w:p>
    <w:p w14:paraId="12342025" w14:textId="77777777" w:rsidR="009D64A6" w:rsidRPr="00F843B8" w:rsidRDefault="009D64A6" w:rsidP="00F843B8">
      <w:pPr>
        <w:spacing w:line="240" w:lineRule="auto"/>
        <w:ind w:left="284"/>
        <w:jc w:val="both"/>
        <w:rPr>
          <w:rFonts w:cs="Times New Roman"/>
          <w:i/>
          <w:iCs/>
          <w:szCs w:val="24"/>
        </w:rPr>
      </w:pPr>
      <w:r w:rsidRPr="00F843B8">
        <w:rPr>
          <w:rFonts w:cs="Times New Roman"/>
          <w:i/>
          <w:iCs/>
          <w:szCs w:val="24"/>
        </w:rPr>
        <w:t>Artículo 25. Comité de Auditoría</w:t>
      </w:r>
    </w:p>
    <w:p w14:paraId="74C1F039" w14:textId="77777777" w:rsidR="009D64A6" w:rsidRPr="00F843B8" w:rsidRDefault="009D64A6" w:rsidP="00F843B8">
      <w:pPr>
        <w:spacing w:line="240" w:lineRule="auto"/>
        <w:ind w:left="284"/>
        <w:jc w:val="both"/>
        <w:rPr>
          <w:rFonts w:cs="Times New Roman"/>
          <w:i/>
          <w:iCs/>
          <w:szCs w:val="24"/>
        </w:rPr>
      </w:pPr>
      <w:r w:rsidRPr="00F843B8">
        <w:rPr>
          <w:rFonts w:cs="Times New Roman"/>
          <w:i/>
          <w:iCs/>
          <w:szCs w:val="24"/>
        </w:rPr>
        <w:t>La conformación del Comité de Auditoría debe garantizar el ejercicio de un juicio independiente. Todos sus miembros deben poseer las habilidades, conocimientos y experiencia demostrable en el manejo y comprensión de la información financiera, así como en temas de contabilidad y auditoría. Debe ser presidido por un Director Independiente.</w:t>
      </w:r>
    </w:p>
    <w:p w14:paraId="1DCB1288" w14:textId="03EAE378" w:rsidR="009B31D2" w:rsidRPr="00E74E8C" w:rsidRDefault="009D64A6" w:rsidP="00F843B8">
      <w:pPr>
        <w:spacing w:line="240" w:lineRule="auto"/>
        <w:ind w:left="284"/>
        <w:jc w:val="both"/>
        <w:rPr>
          <w:rFonts w:cs="Times New Roman"/>
          <w:b/>
          <w:bCs/>
          <w:i/>
          <w:iCs/>
          <w:szCs w:val="24"/>
        </w:rPr>
      </w:pPr>
      <w:r w:rsidRPr="00E74E8C">
        <w:rPr>
          <w:rFonts w:cs="Times New Roman"/>
          <w:b/>
          <w:bCs/>
          <w:i/>
          <w:iCs/>
          <w:szCs w:val="24"/>
        </w:rPr>
        <w:t>No obstante lo dispuesto en el Artículo 4. de este Reglamento, la constitución del Comité de Auditoría es obligatoria para todas las entidades incluidas en el Artículo 2 de este Reglamento.</w:t>
      </w:r>
    </w:p>
    <w:p w14:paraId="652515CF" w14:textId="035AE365" w:rsidR="009D64A6" w:rsidRPr="00F843B8" w:rsidRDefault="009D64A6" w:rsidP="00F843B8">
      <w:pPr>
        <w:spacing w:line="240" w:lineRule="auto"/>
        <w:ind w:left="284"/>
        <w:jc w:val="both"/>
        <w:rPr>
          <w:rFonts w:cs="Times New Roman"/>
          <w:i/>
          <w:iCs/>
          <w:szCs w:val="24"/>
        </w:rPr>
      </w:pPr>
      <w:r w:rsidRPr="00F843B8">
        <w:rPr>
          <w:rFonts w:cs="Times New Roman"/>
          <w:i/>
          <w:iCs/>
          <w:szCs w:val="24"/>
        </w:rPr>
        <w:t xml:space="preserve">[…] </w:t>
      </w:r>
      <w:r w:rsidR="00E74E8C" w:rsidRPr="00E74E8C">
        <w:rPr>
          <w:rFonts w:cs="Times New Roman"/>
          <w:szCs w:val="24"/>
        </w:rPr>
        <w:t>[Lo resaltado no es del original].</w:t>
      </w:r>
      <w:r w:rsidR="00E74E8C">
        <w:rPr>
          <w:rFonts w:cs="Times New Roman"/>
          <w:i/>
          <w:iCs/>
          <w:szCs w:val="24"/>
        </w:rPr>
        <w:t xml:space="preserve"> </w:t>
      </w:r>
    </w:p>
    <w:p w14:paraId="0A812C80" w14:textId="38855252" w:rsidR="009D64A6" w:rsidRPr="00F843B8" w:rsidRDefault="009D64A6" w:rsidP="00F843B8">
      <w:pPr>
        <w:spacing w:line="240" w:lineRule="auto"/>
        <w:ind w:left="284"/>
        <w:jc w:val="both"/>
        <w:rPr>
          <w:rFonts w:cs="Times New Roman"/>
          <w:i/>
          <w:iCs/>
          <w:szCs w:val="24"/>
        </w:rPr>
      </w:pPr>
    </w:p>
    <w:p w14:paraId="60AEF31E" w14:textId="77777777" w:rsidR="002535F8" w:rsidRPr="00F843B8" w:rsidRDefault="002535F8" w:rsidP="00F843B8">
      <w:pPr>
        <w:spacing w:line="240" w:lineRule="auto"/>
        <w:ind w:left="284"/>
        <w:jc w:val="both"/>
        <w:rPr>
          <w:rFonts w:cs="Times New Roman"/>
          <w:i/>
          <w:iCs/>
          <w:szCs w:val="24"/>
        </w:rPr>
      </w:pPr>
      <w:r w:rsidRPr="00F843B8">
        <w:rPr>
          <w:rFonts w:cs="Times New Roman"/>
          <w:i/>
          <w:iCs/>
          <w:szCs w:val="24"/>
        </w:rPr>
        <w:t>Artículo 26. Comité de Riesgos</w:t>
      </w:r>
    </w:p>
    <w:p w14:paraId="32B1A402" w14:textId="77777777" w:rsidR="002535F8" w:rsidRPr="00F843B8" w:rsidRDefault="002535F8" w:rsidP="00F843B8">
      <w:pPr>
        <w:spacing w:line="240" w:lineRule="auto"/>
        <w:ind w:left="284"/>
        <w:jc w:val="both"/>
        <w:rPr>
          <w:rFonts w:cs="Times New Roman"/>
          <w:i/>
          <w:iCs/>
          <w:szCs w:val="24"/>
        </w:rPr>
      </w:pPr>
      <w:r w:rsidRPr="00F843B8">
        <w:rPr>
          <w:rFonts w:cs="Times New Roman"/>
          <w:i/>
          <w:iCs/>
          <w:szCs w:val="24"/>
        </w:rPr>
        <w:t>El Comité de Riesgos debe ser presidido por un Director Independiente, y es responsable de asesorar al Órgano de Dirección en todo lo relacionado con las políticas de gestión de riesgos, la capacidad y el Apetito de Riesgo de la entidad o del Vehículo de Administración de Recursos de Terceros. Asimismo, de supervisar la ejecución de la Declaración de Apetito de Riesgo por parte de la Alta Gerencia, la presentación de informes sobre el estado de la Cultura del Riesgo de la entidad, y la interacción y supervisión con el director de riesgos, o con quien asuma este rol.</w:t>
      </w:r>
    </w:p>
    <w:p w14:paraId="6DB3DF50" w14:textId="2A62268F" w:rsidR="002535F8" w:rsidRPr="00F843B8" w:rsidRDefault="002535F8" w:rsidP="00F843B8">
      <w:pPr>
        <w:spacing w:line="240" w:lineRule="auto"/>
        <w:ind w:left="284"/>
        <w:jc w:val="both"/>
        <w:rPr>
          <w:rFonts w:cs="Times New Roman"/>
          <w:i/>
          <w:iCs/>
          <w:szCs w:val="24"/>
        </w:rPr>
      </w:pPr>
      <w:r w:rsidRPr="00F843B8">
        <w:rPr>
          <w:rFonts w:cs="Times New Roman"/>
          <w:i/>
          <w:iCs/>
          <w:szCs w:val="24"/>
        </w:rPr>
        <w:t>El trabajo del comité incluye la supervisión de las estrategias y la gestión de los riesgos para asegurarse de que son coherentes con el Apetito de Riesgo declarado. Además el comité debe cumplir las funciones establecidas en la regulación específica emitida por la respectiva superintendencia.</w:t>
      </w:r>
    </w:p>
    <w:p w14:paraId="5E4E09F0" w14:textId="77777777" w:rsidR="002535F8" w:rsidRPr="00F843B8" w:rsidRDefault="002535F8" w:rsidP="00F843B8">
      <w:pPr>
        <w:spacing w:line="240" w:lineRule="auto"/>
        <w:ind w:left="284"/>
        <w:jc w:val="both"/>
        <w:rPr>
          <w:rFonts w:cs="Times New Roman"/>
          <w:i/>
          <w:iCs/>
          <w:szCs w:val="24"/>
        </w:rPr>
      </w:pPr>
      <w:r w:rsidRPr="00F843B8">
        <w:rPr>
          <w:rFonts w:cs="Times New Roman"/>
          <w:i/>
          <w:iCs/>
          <w:szCs w:val="24"/>
        </w:rPr>
        <w:lastRenderedPageBreak/>
        <w:t>El comité debe recibir informes periódicos y oportunos del director de riesgo o quien asuma este rol, así como de las otras áreas o funciones relevantes, sobre el Perfil de Riesgo actual de la entidad, de los límites y métricas establecidas, las desviaciones y los planes de mitigación.</w:t>
      </w:r>
    </w:p>
    <w:p w14:paraId="126E0708" w14:textId="65FD2FA3" w:rsidR="002535F8" w:rsidRPr="00F843B8" w:rsidRDefault="002535F8" w:rsidP="00F843B8">
      <w:pPr>
        <w:spacing w:line="240" w:lineRule="auto"/>
        <w:ind w:left="284"/>
        <w:jc w:val="both"/>
        <w:rPr>
          <w:rFonts w:cs="Times New Roman"/>
          <w:i/>
          <w:iCs/>
          <w:szCs w:val="24"/>
        </w:rPr>
      </w:pPr>
      <w:r w:rsidRPr="00F843B8">
        <w:rPr>
          <w:rFonts w:cs="Times New Roman"/>
          <w:i/>
          <w:iCs/>
          <w:szCs w:val="24"/>
        </w:rPr>
        <w:t>El Comité de Riesgos debe intercambiar periódicamente con la Auditoría Interna o equivalente y otros comités relevantes, la información necesaria para asegurar la cobertura efectiva de todos los riesgos y los ajustes necesarios en el Gobierno Corporativo de la entidad a la luz de sus planes de negocio o actividades y el entorno.</w:t>
      </w:r>
    </w:p>
    <w:p w14:paraId="3D197447" w14:textId="5BA39287" w:rsidR="002535F8" w:rsidRPr="003E5101" w:rsidRDefault="005A7F62" w:rsidP="00F843B8">
      <w:pPr>
        <w:spacing w:line="240" w:lineRule="auto"/>
        <w:ind w:left="284"/>
        <w:jc w:val="both"/>
        <w:rPr>
          <w:rFonts w:cs="Times New Roman"/>
          <w:b/>
          <w:bCs/>
          <w:i/>
          <w:iCs/>
          <w:szCs w:val="24"/>
        </w:rPr>
      </w:pPr>
      <w:r w:rsidRPr="003E5101">
        <w:rPr>
          <w:rFonts w:cs="Times New Roman"/>
          <w:b/>
          <w:bCs/>
          <w:i/>
          <w:iCs/>
          <w:szCs w:val="24"/>
        </w:rPr>
        <w:t>No obstante lo dispuesto en el Artículo 4. de este Reglamento, la constitución del Comité de Riesgos es obligatoria para todas las entidades incluidas en el Artículo 2., excepto para el caso de emisores no financieros en donde su constitución se hace de acuerdo con las políticas que defina la entidad.</w:t>
      </w:r>
    </w:p>
    <w:p w14:paraId="2D391BD0" w14:textId="6FE7F546" w:rsidR="005A7F62" w:rsidRPr="00F843B8" w:rsidRDefault="005A7F62" w:rsidP="00F843B8">
      <w:pPr>
        <w:spacing w:line="240" w:lineRule="auto"/>
        <w:ind w:left="284"/>
        <w:jc w:val="both"/>
        <w:rPr>
          <w:rFonts w:cs="Times New Roman"/>
          <w:i/>
          <w:iCs/>
          <w:szCs w:val="24"/>
        </w:rPr>
      </w:pPr>
      <w:r w:rsidRPr="00BE2481">
        <w:rPr>
          <w:rFonts w:cs="Times New Roman"/>
          <w:b/>
          <w:bCs/>
          <w:i/>
          <w:iCs/>
          <w:szCs w:val="24"/>
        </w:rPr>
        <w:t>Se exceptúa también a las entidades administradoras de regímenes de pensiones sustitutos o complementarios del régimen de invalidez, vejez y muerte (IVM), creados por leyes o convenciones colectivas creados por leyes especiales que sean administrados por las operadoras de pensiones, los cuales pueden utilizar el Comité de Riesgos de estas últimas, de acuerdo con las normas específicas que establezca la Superintendencia de Pensiones</w:t>
      </w:r>
      <w:r w:rsidRPr="00F843B8">
        <w:rPr>
          <w:rFonts w:cs="Times New Roman"/>
          <w:i/>
          <w:iCs/>
          <w:szCs w:val="24"/>
        </w:rPr>
        <w:t>.</w:t>
      </w:r>
      <w:r w:rsidR="00BE2481" w:rsidRPr="00BE2481">
        <w:t xml:space="preserve"> </w:t>
      </w:r>
      <w:r w:rsidR="00BE2481" w:rsidRPr="00BE2481">
        <w:rPr>
          <w:rFonts w:cs="Times New Roman"/>
          <w:szCs w:val="24"/>
        </w:rPr>
        <w:t>[Lo resaltado no es del original].</w:t>
      </w:r>
    </w:p>
    <w:p w14:paraId="12A77554" w14:textId="7D27287E" w:rsidR="005A7F62" w:rsidRDefault="005A7F62" w:rsidP="002535F8">
      <w:pPr>
        <w:spacing w:line="240" w:lineRule="auto"/>
        <w:jc w:val="both"/>
        <w:rPr>
          <w:rFonts w:cs="Times New Roman"/>
          <w:szCs w:val="24"/>
        </w:rPr>
      </w:pPr>
    </w:p>
    <w:p w14:paraId="62496242" w14:textId="7970E8B0" w:rsidR="00BE2481" w:rsidRDefault="00BE2481" w:rsidP="00BE2481">
      <w:pPr>
        <w:pStyle w:val="Prrafodelista"/>
        <w:numPr>
          <w:ilvl w:val="0"/>
          <w:numId w:val="16"/>
        </w:numPr>
        <w:spacing w:line="240" w:lineRule="auto"/>
        <w:jc w:val="both"/>
        <w:rPr>
          <w:rFonts w:cs="Times New Roman"/>
          <w:szCs w:val="24"/>
        </w:rPr>
      </w:pPr>
      <w:r>
        <w:rPr>
          <w:rFonts w:cs="Times New Roman"/>
          <w:szCs w:val="24"/>
        </w:rPr>
        <w:t xml:space="preserve">Reglamento </w:t>
      </w:r>
      <w:r w:rsidR="004626AE">
        <w:rPr>
          <w:rFonts w:cs="Times New Roman"/>
          <w:szCs w:val="24"/>
        </w:rPr>
        <w:t>d</w:t>
      </w:r>
      <w:r>
        <w:rPr>
          <w:rFonts w:cs="Times New Roman"/>
          <w:szCs w:val="24"/>
        </w:rPr>
        <w:t xml:space="preserve">e </w:t>
      </w:r>
      <w:r w:rsidR="00FD2025">
        <w:rPr>
          <w:rFonts w:cs="Times New Roman"/>
          <w:szCs w:val="24"/>
        </w:rPr>
        <w:t>R</w:t>
      </w:r>
      <w:r>
        <w:rPr>
          <w:rFonts w:cs="Times New Roman"/>
          <w:szCs w:val="24"/>
        </w:rPr>
        <w:t xml:space="preserve">iesgos </w:t>
      </w:r>
    </w:p>
    <w:p w14:paraId="797F0BE3" w14:textId="6990E097" w:rsidR="00BE2481" w:rsidRDefault="00BE2481" w:rsidP="00BE2481">
      <w:pPr>
        <w:spacing w:line="240" w:lineRule="auto"/>
        <w:jc w:val="both"/>
        <w:rPr>
          <w:rFonts w:cs="Times New Roman"/>
          <w:szCs w:val="24"/>
        </w:rPr>
      </w:pPr>
    </w:p>
    <w:p w14:paraId="15D644CE" w14:textId="77777777" w:rsidR="004626AE" w:rsidRPr="004626AE" w:rsidRDefault="004626AE" w:rsidP="00FD2025">
      <w:pPr>
        <w:spacing w:line="240" w:lineRule="auto"/>
        <w:ind w:left="284"/>
        <w:jc w:val="both"/>
        <w:rPr>
          <w:rFonts w:cs="Times New Roman"/>
          <w:i/>
          <w:iCs/>
          <w:szCs w:val="24"/>
        </w:rPr>
      </w:pPr>
      <w:r w:rsidRPr="004626AE">
        <w:rPr>
          <w:rFonts w:cs="Times New Roman"/>
          <w:i/>
          <w:iCs/>
          <w:szCs w:val="24"/>
        </w:rPr>
        <w:t>Artículo 1. Alcance</w:t>
      </w:r>
    </w:p>
    <w:p w14:paraId="7604DE83" w14:textId="2BAE4818" w:rsidR="00BE2481" w:rsidRDefault="004626AE" w:rsidP="00FD2025">
      <w:pPr>
        <w:spacing w:line="240" w:lineRule="auto"/>
        <w:ind w:left="284"/>
        <w:jc w:val="both"/>
        <w:rPr>
          <w:rFonts w:cs="Times New Roman"/>
          <w:i/>
          <w:iCs/>
          <w:szCs w:val="24"/>
        </w:rPr>
      </w:pPr>
      <w:r w:rsidRPr="004626AE">
        <w:rPr>
          <w:rFonts w:cs="Times New Roman"/>
          <w:i/>
          <w:iCs/>
          <w:szCs w:val="24"/>
        </w:rPr>
        <w:t>Las disposiciones establecidas en el presente reglamento son de aplicación para todas las entidades reguladas por la Superintendencia de Pensiones y los fondos administrados por estas, según se definen en el artículo 2, de la Ley de Protección al Trabajador.</w:t>
      </w:r>
    </w:p>
    <w:p w14:paraId="5810837B" w14:textId="7EA7B852" w:rsidR="004626AE" w:rsidRDefault="004626AE" w:rsidP="00FD2025">
      <w:pPr>
        <w:spacing w:line="240" w:lineRule="auto"/>
        <w:ind w:left="284"/>
        <w:jc w:val="both"/>
        <w:rPr>
          <w:rFonts w:cs="Times New Roman"/>
          <w:i/>
          <w:iCs/>
          <w:szCs w:val="24"/>
        </w:rPr>
      </w:pPr>
    </w:p>
    <w:p w14:paraId="6CBD9C66" w14:textId="77777777" w:rsidR="003D3BD7" w:rsidRPr="003D3BD7" w:rsidRDefault="003D3BD7" w:rsidP="00FD2025">
      <w:pPr>
        <w:spacing w:line="240" w:lineRule="auto"/>
        <w:ind w:left="284"/>
        <w:jc w:val="both"/>
        <w:rPr>
          <w:rFonts w:cs="Times New Roman"/>
          <w:i/>
          <w:iCs/>
          <w:szCs w:val="24"/>
        </w:rPr>
      </w:pPr>
      <w:r w:rsidRPr="003D3BD7">
        <w:rPr>
          <w:rFonts w:cs="Times New Roman"/>
          <w:i/>
          <w:iCs/>
          <w:szCs w:val="24"/>
        </w:rPr>
        <w:t>Artículo 4. Proporcionalidad</w:t>
      </w:r>
    </w:p>
    <w:p w14:paraId="03571EA0" w14:textId="7F14AC5C" w:rsidR="004626AE" w:rsidRDefault="003D3BD7" w:rsidP="00FD2025">
      <w:pPr>
        <w:spacing w:line="240" w:lineRule="auto"/>
        <w:ind w:left="284"/>
        <w:jc w:val="both"/>
        <w:rPr>
          <w:rFonts w:cs="Times New Roman"/>
          <w:i/>
          <w:iCs/>
          <w:szCs w:val="24"/>
        </w:rPr>
      </w:pPr>
      <w:r w:rsidRPr="003D3BD7">
        <w:rPr>
          <w:rFonts w:cs="Times New Roman"/>
          <w:i/>
          <w:iCs/>
          <w:szCs w:val="24"/>
        </w:rPr>
        <w:t>Cada entidad regulada diseña, implementa y evalúa su modelo de gestión de riesgos de los fondos administrados y es responsable de demostrar su efectividad. Ese modelo de gestión de riesgos, así como la supervisión ejercida y la evaluación de los riesgos por parte de la SUPEN, deben tener en consideración las características propias de la entidad y los fondos administrados, su complejidad, naturaleza, tamaño de las operaciones, perfil de riesgos, las leyes que le resultan aplicables y las consecuencias de la eventual materialización de los riesgos que enfrentan.</w:t>
      </w:r>
    </w:p>
    <w:p w14:paraId="5725337E" w14:textId="15E1CB7A" w:rsidR="003D3BD7" w:rsidRDefault="003D3BD7" w:rsidP="00FD2025">
      <w:pPr>
        <w:spacing w:line="240" w:lineRule="auto"/>
        <w:ind w:left="284"/>
        <w:jc w:val="both"/>
        <w:rPr>
          <w:rFonts w:cs="Times New Roman"/>
          <w:i/>
          <w:iCs/>
          <w:szCs w:val="24"/>
        </w:rPr>
      </w:pPr>
    </w:p>
    <w:p w14:paraId="0EDD2874" w14:textId="77777777" w:rsidR="00EC21C1" w:rsidRPr="00EC21C1" w:rsidRDefault="00EC21C1" w:rsidP="00FD2025">
      <w:pPr>
        <w:spacing w:line="240" w:lineRule="auto"/>
        <w:ind w:left="284"/>
        <w:jc w:val="both"/>
        <w:rPr>
          <w:rFonts w:cs="Times New Roman"/>
          <w:i/>
          <w:iCs/>
          <w:szCs w:val="24"/>
        </w:rPr>
      </w:pPr>
      <w:r w:rsidRPr="00EC21C1">
        <w:rPr>
          <w:rFonts w:cs="Times New Roman"/>
          <w:i/>
          <w:iCs/>
          <w:szCs w:val="24"/>
        </w:rPr>
        <w:t>Artículo 14. Integración del Comité de Riesgos</w:t>
      </w:r>
    </w:p>
    <w:p w14:paraId="3476BDED" w14:textId="77777777" w:rsidR="00EC21C1" w:rsidRPr="00EC21C1" w:rsidRDefault="00EC21C1" w:rsidP="00FD2025">
      <w:pPr>
        <w:spacing w:line="240" w:lineRule="auto"/>
        <w:ind w:left="284"/>
        <w:jc w:val="both"/>
        <w:rPr>
          <w:rFonts w:cs="Times New Roman"/>
          <w:i/>
          <w:iCs/>
          <w:szCs w:val="24"/>
        </w:rPr>
      </w:pPr>
      <w:r w:rsidRPr="00EC21C1">
        <w:rPr>
          <w:rFonts w:cs="Times New Roman"/>
          <w:b/>
          <w:bCs/>
          <w:i/>
          <w:iCs/>
          <w:szCs w:val="24"/>
        </w:rPr>
        <w:t>El Órgano de Dirección deberá nombrar un Comité de Riesgos conformado por un mínimo de tres miembros</w:t>
      </w:r>
      <w:r w:rsidRPr="00EC21C1">
        <w:rPr>
          <w:rFonts w:cs="Times New Roman"/>
          <w:i/>
          <w:iCs/>
          <w:szCs w:val="24"/>
        </w:rPr>
        <w:t xml:space="preserve">, uno de los cuales debe ser un director independiente del Órgano de Dirección de la entidad. En el caso de las entidades reguladas en las que exista imposibilidad legal para nombrar directores independientes en el Órgano de Dirección, al menos uno de los miembros del comité debe ser externo a la entidad regulada, al grupo </w:t>
      </w:r>
      <w:r w:rsidRPr="00EC21C1">
        <w:rPr>
          <w:rFonts w:cs="Times New Roman"/>
          <w:i/>
          <w:iCs/>
          <w:szCs w:val="24"/>
        </w:rPr>
        <w:lastRenderedPageBreak/>
        <w:t>o conglomerado financiero o al grupo de interés económico y no podrá integrar otros comités de la entidad regulada. En este caso, el miembro externo debe presidir el comité.</w:t>
      </w:r>
    </w:p>
    <w:p w14:paraId="4A610C68" w14:textId="77777777" w:rsidR="00EC21C1" w:rsidRPr="00AE1167" w:rsidRDefault="00EC21C1" w:rsidP="00FD2025">
      <w:pPr>
        <w:spacing w:line="240" w:lineRule="auto"/>
        <w:ind w:left="284"/>
        <w:jc w:val="both"/>
        <w:rPr>
          <w:rFonts w:cs="Times New Roman"/>
          <w:b/>
          <w:bCs/>
          <w:i/>
          <w:iCs/>
          <w:szCs w:val="24"/>
        </w:rPr>
      </w:pPr>
      <w:r w:rsidRPr="00AE1167">
        <w:rPr>
          <w:rFonts w:cs="Times New Roman"/>
          <w:b/>
          <w:bCs/>
          <w:i/>
          <w:iCs/>
          <w:szCs w:val="24"/>
        </w:rPr>
        <w:t>Ningún funcionario de la entidad regulada podrá ser miembro del Comité de Riesgos.</w:t>
      </w:r>
    </w:p>
    <w:p w14:paraId="0825CD6C" w14:textId="77777777" w:rsidR="00EC21C1" w:rsidRPr="00AE1167" w:rsidRDefault="00EC21C1" w:rsidP="00FD2025">
      <w:pPr>
        <w:spacing w:line="240" w:lineRule="auto"/>
        <w:ind w:left="284"/>
        <w:jc w:val="both"/>
        <w:rPr>
          <w:rFonts w:cs="Times New Roman"/>
          <w:b/>
          <w:bCs/>
          <w:i/>
          <w:iCs/>
          <w:szCs w:val="24"/>
        </w:rPr>
      </w:pPr>
      <w:r w:rsidRPr="00AE1167">
        <w:rPr>
          <w:rFonts w:cs="Times New Roman"/>
          <w:b/>
          <w:bCs/>
          <w:i/>
          <w:iCs/>
          <w:szCs w:val="24"/>
        </w:rPr>
        <w:t>Los fondos de pensión complementaria creados por leyes especiales que sean administrados por las operadoras de pensiones, pueden utilizar el Comité de Riesgos de la operadora. En este caso, cuando se tomen acuerdos que afecten a dichos fondos, en el Comité debe participar, con derecho a voz y voto, un representante de la Junta Directiva o Junta Administradora del fondo complementario creado por ley especial.</w:t>
      </w:r>
    </w:p>
    <w:p w14:paraId="2D466155" w14:textId="77777777" w:rsidR="00EC21C1" w:rsidRPr="00EC21C1" w:rsidRDefault="00EC21C1" w:rsidP="00FD2025">
      <w:pPr>
        <w:spacing w:line="240" w:lineRule="auto"/>
        <w:ind w:left="284"/>
        <w:jc w:val="both"/>
        <w:rPr>
          <w:rFonts w:cs="Times New Roman"/>
          <w:i/>
          <w:iCs/>
          <w:szCs w:val="24"/>
        </w:rPr>
      </w:pPr>
      <w:r w:rsidRPr="00EC21C1">
        <w:rPr>
          <w:rFonts w:cs="Times New Roman"/>
          <w:i/>
          <w:iCs/>
          <w:szCs w:val="24"/>
        </w:rPr>
        <w:t>La conformación del Comité debe rotarse periódicamente con nuevos miembros para evitar la concentración excesiva del poder y promover nuevas perspectivas. Dicha rotación puede ser total o parcial, según lo establezca la normativa interna del Comité.</w:t>
      </w:r>
    </w:p>
    <w:p w14:paraId="0010BD18" w14:textId="77777777" w:rsidR="00EC21C1" w:rsidRPr="00580AED" w:rsidRDefault="00EC21C1" w:rsidP="00FD2025">
      <w:pPr>
        <w:spacing w:line="240" w:lineRule="auto"/>
        <w:ind w:left="284"/>
        <w:jc w:val="both"/>
        <w:rPr>
          <w:rFonts w:cs="Times New Roman"/>
          <w:b/>
          <w:bCs/>
          <w:i/>
          <w:iCs/>
          <w:szCs w:val="24"/>
        </w:rPr>
      </w:pPr>
      <w:r w:rsidRPr="00580AED">
        <w:rPr>
          <w:rFonts w:cs="Times New Roman"/>
          <w:b/>
          <w:bCs/>
          <w:i/>
          <w:iCs/>
          <w:szCs w:val="24"/>
        </w:rPr>
        <w:t>Salvo caso fortuito o fuerza mayor, previamente justificado ante la Superintendencia, el Comité no podrá sesionar si no cuenta con la asistencia y participación del director independiente o del miembro externo, según corresponda.</w:t>
      </w:r>
    </w:p>
    <w:p w14:paraId="1D32F293" w14:textId="77777777" w:rsidR="00EC21C1" w:rsidRPr="00EC21C1" w:rsidRDefault="00EC21C1" w:rsidP="00FD2025">
      <w:pPr>
        <w:spacing w:line="240" w:lineRule="auto"/>
        <w:ind w:left="284"/>
        <w:jc w:val="both"/>
        <w:rPr>
          <w:rFonts w:cs="Times New Roman"/>
          <w:i/>
          <w:iCs/>
          <w:szCs w:val="24"/>
        </w:rPr>
      </w:pPr>
      <w:r w:rsidRPr="00EC21C1">
        <w:rPr>
          <w:rFonts w:cs="Times New Roman"/>
          <w:i/>
          <w:iCs/>
          <w:szCs w:val="24"/>
        </w:rPr>
        <w:t>El Comité de Riesgos se deberá reunir por lo menos una vez al mes. Las deliberaciones y los acuerdos de este deben constar en un libro de actas.</w:t>
      </w:r>
    </w:p>
    <w:p w14:paraId="4690B55D" w14:textId="77777777" w:rsidR="00EC21C1" w:rsidRPr="00EC21C1" w:rsidRDefault="00EC21C1" w:rsidP="00FD2025">
      <w:pPr>
        <w:spacing w:line="240" w:lineRule="auto"/>
        <w:ind w:left="284"/>
        <w:jc w:val="both"/>
        <w:rPr>
          <w:rFonts w:cs="Times New Roman"/>
          <w:i/>
          <w:iCs/>
          <w:szCs w:val="24"/>
        </w:rPr>
      </w:pPr>
      <w:r w:rsidRPr="00EC21C1">
        <w:rPr>
          <w:rFonts w:cs="Times New Roman"/>
          <w:i/>
          <w:iCs/>
          <w:szCs w:val="24"/>
        </w:rPr>
        <w:t>Los miembros del Comité que hayan asistido a la reunión serán igualmente responsables de velar porque el contenido de las actas corresponda a lo discutido y lo aprobado en cada sesión.</w:t>
      </w:r>
    </w:p>
    <w:p w14:paraId="1247B4E1" w14:textId="1B8EAC14" w:rsidR="003D3BD7" w:rsidRPr="004626AE" w:rsidRDefault="00EC21C1" w:rsidP="00FD2025">
      <w:pPr>
        <w:spacing w:line="240" w:lineRule="auto"/>
        <w:ind w:left="284"/>
        <w:jc w:val="both"/>
        <w:rPr>
          <w:rFonts w:cs="Times New Roman"/>
          <w:i/>
          <w:iCs/>
          <w:szCs w:val="24"/>
        </w:rPr>
      </w:pPr>
      <w:r w:rsidRPr="00EC21C1">
        <w:rPr>
          <w:rFonts w:cs="Times New Roman"/>
          <w:i/>
          <w:iCs/>
          <w:szCs w:val="24"/>
        </w:rPr>
        <w:t>En lo pertinente, al libro de actas del Comité de Riesgos, le será aplicable lo establecido en el Artículo 16 de este Reglamento.</w:t>
      </w:r>
      <w:r w:rsidR="00FD2025" w:rsidRPr="00FD2025">
        <w:rPr>
          <w:rFonts w:cs="Times New Roman"/>
          <w:szCs w:val="24"/>
        </w:rPr>
        <w:t xml:space="preserve"> </w:t>
      </w:r>
      <w:r w:rsidR="00FD2025" w:rsidRPr="00BE2481">
        <w:rPr>
          <w:rFonts w:cs="Times New Roman"/>
          <w:szCs w:val="24"/>
        </w:rPr>
        <w:t>[Lo resaltado no es del original].</w:t>
      </w:r>
    </w:p>
    <w:p w14:paraId="7D09A1A7" w14:textId="77777777" w:rsidR="00B75BBB" w:rsidRPr="004626AE" w:rsidRDefault="00B75BBB" w:rsidP="00FD2025">
      <w:pPr>
        <w:spacing w:line="240" w:lineRule="auto"/>
        <w:ind w:left="284"/>
        <w:jc w:val="both"/>
        <w:rPr>
          <w:rFonts w:cs="Times New Roman"/>
          <w:i/>
          <w:iCs/>
          <w:szCs w:val="24"/>
        </w:rPr>
      </w:pPr>
    </w:p>
    <w:p w14:paraId="2A6EA552" w14:textId="77777777" w:rsidR="00F0205B" w:rsidRPr="00F0205B" w:rsidRDefault="00F0205B" w:rsidP="00FD2025">
      <w:pPr>
        <w:spacing w:line="240" w:lineRule="auto"/>
        <w:ind w:left="284"/>
        <w:jc w:val="both"/>
        <w:rPr>
          <w:rFonts w:cs="Times New Roman"/>
          <w:i/>
          <w:iCs/>
          <w:szCs w:val="24"/>
        </w:rPr>
      </w:pPr>
      <w:r w:rsidRPr="00F0205B">
        <w:rPr>
          <w:rFonts w:cs="Times New Roman"/>
          <w:i/>
          <w:iCs/>
          <w:szCs w:val="24"/>
        </w:rPr>
        <w:t>Artículo 15. Requisitos para los miembros del Comité de Riesgos</w:t>
      </w:r>
    </w:p>
    <w:p w14:paraId="71C90471" w14:textId="77777777" w:rsidR="00F0205B" w:rsidRPr="00F0205B" w:rsidRDefault="00F0205B" w:rsidP="00FD2025">
      <w:pPr>
        <w:spacing w:line="240" w:lineRule="auto"/>
        <w:ind w:left="284"/>
        <w:jc w:val="both"/>
        <w:rPr>
          <w:rFonts w:cs="Times New Roman"/>
          <w:i/>
          <w:iCs/>
          <w:szCs w:val="24"/>
        </w:rPr>
      </w:pPr>
      <w:r w:rsidRPr="00F0205B">
        <w:rPr>
          <w:rFonts w:cs="Times New Roman"/>
          <w:i/>
          <w:iCs/>
          <w:szCs w:val="24"/>
        </w:rPr>
        <w:t>Los miembros del Comité de Riesgos deben contar con formación y experiencia demostrable en materia económica, financiera, riesgos, contable, legal, bursátil, pensiones o actuarial, de manera que colectivamente posean un balance de habilidades, competencias y conocimientos para que puedan realizar el análisis de los riesgos financieros y no financieros que afectan a la entidad y a los fondos administrados. Cada uno de los miembros debe cumplir durante el periodo de ejercicio de su cargo, como mínimo con los siguientes requisitos:</w:t>
      </w:r>
    </w:p>
    <w:p w14:paraId="47BC5218" w14:textId="77777777" w:rsidR="00F0205B" w:rsidRPr="00F0205B" w:rsidRDefault="00F0205B" w:rsidP="00FD2025">
      <w:pPr>
        <w:spacing w:line="240" w:lineRule="auto"/>
        <w:ind w:left="284"/>
        <w:jc w:val="both"/>
        <w:rPr>
          <w:rFonts w:cs="Times New Roman"/>
          <w:i/>
          <w:iCs/>
          <w:szCs w:val="24"/>
        </w:rPr>
      </w:pPr>
      <w:r w:rsidRPr="00F0205B">
        <w:rPr>
          <w:rFonts w:cs="Times New Roman"/>
          <w:i/>
          <w:iCs/>
          <w:szCs w:val="24"/>
        </w:rPr>
        <w:t>a. Ser persona de reconocida y probada honorabilidad.</w:t>
      </w:r>
    </w:p>
    <w:p w14:paraId="1EA6440E" w14:textId="77777777" w:rsidR="00F0205B" w:rsidRPr="00580AED" w:rsidRDefault="00F0205B" w:rsidP="00FD2025">
      <w:pPr>
        <w:spacing w:line="240" w:lineRule="auto"/>
        <w:ind w:left="284"/>
        <w:jc w:val="both"/>
        <w:rPr>
          <w:rFonts w:cs="Times New Roman"/>
          <w:b/>
          <w:bCs/>
          <w:i/>
          <w:iCs/>
          <w:szCs w:val="24"/>
        </w:rPr>
      </w:pPr>
      <w:r w:rsidRPr="00580AED">
        <w:rPr>
          <w:rFonts w:cs="Times New Roman"/>
          <w:b/>
          <w:bCs/>
          <w:i/>
          <w:iCs/>
          <w:szCs w:val="24"/>
        </w:rPr>
        <w:t>b. No haber sido condenado, mediante sentencia firme, por la comisión dolosa o culposa de algún delito durante los últimos cinco años.</w:t>
      </w:r>
    </w:p>
    <w:p w14:paraId="6B8D7EB0" w14:textId="77777777" w:rsidR="00F0205B" w:rsidRPr="00F0205B" w:rsidRDefault="00F0205B" w:rsidP="00FD2025">
      <w:pPr>
        <w:spacing w:line="240" w:lineRule="auto"/>
        <w:ind w:left="284"/>
        <w:jc w:val="both"/>
        <w:rPr>
          <w:rFonts w:cs="Times New Roman"/>
          <w:i/>
          <w:iCs/>
          <w:szCs w:val="24"/>
        </w:rPr>
      </w:pPr>
      <w:r w:rsidRPr="00F0205B">
        <w:rPr>
          <w:rFonts w:cs="Times New Roman"/>
          <w:i/>
          <w:iCs/>
          <w:szCs w:val="24"/>
        </w:rPr>
        <w:t>c. No haber sido condenado, mediante sentencia firme, por la comisión culposa de delitos contra la buena fe de los negocios o la confianza pública durante los últimos cinco años.</w:t>
      </w:r>
    </w:p>
    <w:p w14:paraId="2E420938" w14:textId="77777777" w:rsidR="00F0205B" w:rsidRPr="00F0205B" w:rsidRDefault="00F0205B" w:rsidP="00FD2025">
      <w:pPr>
        <w:spacing w:line="240" w:lineRule="auto"/>
        <w:ind w:left="284"/>
        <w:jc w:val="both"/>
        <w:rPr>
          <w:rFonts w:cs="Times New Roman"/>
          <w:i/>
          <w:iCs/>
          <w:szCs w:val="24"/>
        </w:rPr>
      </w:pPr>
      <w:r w:rsidRPr="00F0205B">
        <w:rPr>
          <w:rFonts w:cs="Times New Roman"/>
          <w:i/>
          <w:iCs/>
          <w:szCs w:val="24"/>
        </w:rPr>
        <w:t>d. No haber sido sancionado administrativamente durante los últimos dos años.</w:t>
      </w:r>
    </w:p>
    <w:p w14:paraId="50F22E37" w14:textId="366876BF" w:rsidR="00D14097" w:rsidRPr="00F0205B" w:rsidRDefault="00F0205B" w:rsidP="00FD2025">
      <w:pPr>
        <w:spacing w:line="240" w:lineRule="auto"/>
        <w:ind w:left="284"/>
        <w:jc w:val="both"/>
        <w:rPr>
          <w:rFonts w:cs="Times New Roman"/>
          <w:i/>
          <w:iCs/>
          <w:szCs w:val="24"/>
        </w:rPr>
      </w:pPr>
      <w:r w:rsidRPr="00F0205B">
        <w:rPr>
          <w:rFonts w:cs="Times New Roman"/>
          <w:i/>
          <w:iCs/>
          <w:szCs w:val="24"/>
        </w:rPr>
        <w:t>e. No haber sido suspendido, separado o inhabilitado para ocupar cargos administrativos o de dirección en entidades reguladas o supervisadas por los órganos de regulación o supervisión financiera.</w:t>
      </w:r>
    </w:p>
    <w:p w14:paraId="52BE2072" w14:textId="77777777" w:rsidR="00FD2025" w:rsidRPr="00FD2025" w:rsidRDefault="00FD2025" w:rsidP="00FD2025">
      <w:pPr>
        <w:spacing w:line="240" w:lineRule="auto"/>
        <w:ind w:left="284"/>
        <w:jc w:val="both"/>
        <w:rPr>
          <w:rFonts w:cs="Times New Roman"/>
          <w:i/>
          <w:iCs/>
          <w:szCs w:val="24"/>
        </w:rPr>
      </w:pPr>
      <w:r w:rsidRPr="00FD2025">
        <w:rPr>
          <w:rFonts w:cs="Times New Roman"/>
          <w:i/>
          <w:iCs/>
          <w:szCs w:val="24"/>
        </w:rPr>
        <w:t xml:space="preserve">f. No tener relaciones de parentesco, consanguinidad o afinidad, hasta el tercer grado, con otros miembros del Comité o con los integrantes del Órgano de Dirección. En el caso del miembro externo dicha incompatibilidad se extenderá a los funcionarios de la Alta </w:t>
      </w:r>
      <w:r w:rsidRPr="00FD2025">
        <w:rPr>
          <w:rFonts w:cs="Times New Roman"/>
          <w:i/>
          <w:iCs/>
          <w:szCs w:val="24"/>
        </w:rPr>
        <w:lastRenderedPageBreak/>
        <w:t>Gerencia de la entidad regulada, del grupo o conglomerado financiero o del grupo de interés económico.</w:t>
      </w:r>
    </w:p>
    <w:p w14:paraId="62EF8C41" w14:textId="77777777" w:rsidR="00FD2025" w:rsidRPr="00FD2025" w:rsidRDefault="00FD2025" w:rsidP="00FD2025">
      <w:pPr>
        <w:spacing w:line="240" w:lineRule="auto"/>
        <w:ind w:left="284"/>
        <w:jc w:val="both"/>
        <w:rPr>
          <w:rFonts w:cs="Times New Roman"/>
          <w:i/>
          <w:iCs/>
          <w:szCs w:val="24"/>
        </w:rPr>
      </w:pPr>
      <w:r w:rsidRPr="00FD2025">
        <w:rPr>
          <w:rFonts w:cs="Times New Roman"/>
          <w:i/>
          <w:iCs/>
          <w:szCs w:val="24"/>
        </w:rPr>
        <w:t>Corresponde a los miembros del Comité acreditar ante la entidad regulada el cumplimiento de los requisitos establecidos en este artículo, mediante la documentación que esta establezca.</w:t>
      </w:r>
    </w:p>
    <w:p w14:paraId="1AE48776" w14:textId="77777777" w:rsidR="00FD2025" w:rsidRPr="00FD2025" w:rsidRDefault="00FD2025" w:rsidP="00FD2025">
      <w:pPr>
        <w:spacing w:line="240" w:lineRule="auto"/>
        <w:ind w:left="284"/>
        <w:jc w:val="both"/>
        <w:rPr>
          <w:rFonts w:cs="Times New Roman"/>
          <w:i/>
          <w:iCs/>
          <w:szCs w:val="24"/>
        </w:rPr>
      </w:pPr>
      <w:r w:rsidRPr="00FD2025">
        <w:rPr>
          <w:rFonts w:cs="Times New Roman"/>
          <w:i/>
          <w:iCs/>
          <w:szCs w:val="24"/>
        </w:rPr>
        <w:t>El Órgano de Dirección deberá comprobar el cumplimiento de los requisitos y ratificar el nombramiento mediante acuerdo. Este último deberá ser comunicado a la SUPEN dentro de los siguientes cinco días hábiles contados a partir del nombramiento en firme.</w:t>
      </w:r>
    </w:p>
    <w:p w14:paraId="07DE148E" w14:textId="3A6EFA3A" w:rsidR="00F0205B" w:rsidRPr="00FD2025" w:rsidRDefault="00FD2025" w:rsidP="00FD2025">
      <w:pPr>
        <w:spacing w:line="240" w:lineRule="auto"/>
        <w:ind w:left="284"/>
        <w:jc w:val="both"/>
        <w:rPr>
          <w:rFonts w:cs="Times New Roman"/>
          <w:i/>
          <w:iCs/>
          <w:szCs w:val="24"/>
        </w:rPr>
      </w:pPr>
      <w:r w:rsidRPr="00FD2025">
        <w:rPr>
          <w:rFonts w:cs="Times New Roman"/>
          <w:i/>
          <w:iCs/>
          <w:szCs w:val="24"/>
        </w:rPr>
        <w:t>Es responsabilidad de la administración de la entidad regulada, mantener la documentación probatoria del cumplimiento de los requerimientos exigidos, resguardada y a disposición de la Superintendencia.</w:t>
      </w:r>
      <w:r w:rsidRPr="00FD2025">
        <w:rPr>
          <w:rFonts w:cs="Times New Roman"/>
          <w:szCs w:val="24"/>
        </w:rPr>
        <w:t xml:space="preserve"> </w:t>
      </w:r>
      <w:r w:rsidRPr="00BE2481">
        <w:rPr>
          <w:rFonts w:cs="Times New Roman"/>
          <w:szCs w:val="24"/>
        </w:rPr>
        <w:t>[Lo resaltado no es del original].</w:t>
      </w:r>
    </w:p>
    <w:p w14:paraId="6D228E45" w14:textId="6A8B0C8A" w:rsidR="00F0205B" w:rsidRDefault="00F0205B" w:rsidP="00D14097">
      <w:pPr>
        <w:spacing w:line="240" w:lineRule="auto"/>
        <w:jc w:val="both"/>
        <w:rPr>
          <w:rFonts w:cs="Times New Roman"/>
          <w:b/>
          <w:bCs/>
          <w:szCs w:val="24"/>
        </w:rPr>
      </w:pPr>
    </w:p>
    <w:p w14:paraId="736D0B15" w14:textId="2DF008D3" w:rsidR="00FD2025" w:rsidRPr="00D74A9F" w:rsidRDefault="00D74A9F" w:rsidP="00D74A9F">
      <w:pPr>
        <w:pStyle w:val="Prrafodelista"/>
        <w:numPr>
          <w:ilvl w:val="0"/>
          <w:numId w:val="16"/>
        </w:numPr>
        <w:spacing w:line="240" w:lineRule="auto"/>
        <w:jc w:val="both"/>
        <w:rPr>
          <w:rFonts w:cs="Times New Roman"/>
          <w:szCs w:val="24"/>
        </w:rPr>
      </w:pPr>
      <w:r w:rsidRPr="00D74A9F">
        <w:rPr>
          <w:rFonts w:cs="Times New Roman"/>
          <w:szCs w:val="24"/>
        </w:rPr>
        <w:t xml:space="preserve">Reglamento de Gestión de Activos </w:t>
      </w:r>
    </w:p>
    <w:p w14:paraId="6C8F5D91" w14:textId="77777777" w:rsidR="00D74A9F" w:rsidRPr="00D74A9F" w:rsidRDefault="00D74A9F" w:rsidP="00D74A9F">
      <w:pPr>
        <w:spacing w:line="240" w:lineRule="auto"/>
        <w:jc w:val="both"/>
        <w:rPr>
          <w:rFonts w:cs="Times New Roman"/>
          <w:b/>
          <w:bCs/>
          <w:szCs w:val="24"/>
        </w:rPr>
      </w:pPr>
    </w:p>
    <w:p w14:paraId="70A19E23" w14:textId="77777777" w:rsidR="00D74A9F" w:rsidRPr="00D74A9F" w:rsidRDefault="00D74A9F" w:rsidP="00D74A9F">
      <w:pPr>
        <w:spacing w:line="240" w:lineRule="auto"/>
        <w:ind w:left="284"/>
        <w:jc w:val="both"/>
        <w:rPr>
          <w:rFonts w:cs="Times New Roman"/>
          <w:i/>
          <w:iCs/>
          <w:szCs w:val="24"/>
        </w:rPr>
      </w:pPr>
      <w:r w:rsidRPr="00D74A9F">
        <w:rPr>
          <w:rFonts w:cs="Times New Roman"/>
          <w:i/>
          <w:iCs/>
          <w:szCs w:val="24"/>
        </w:rPr>
        <w:t>Artículo 10. Requisitos para los miembros del Comité de Inversiones</w:t>
      </w:r>
    </w:p>
    <w:p w14:paraId="033C939D" w14:textId="77777777" w:rsidR="00D74A9F" w:rsidRPr="00D74A9F" w:rsidRDefault="00D74A9F" w:rsidP="00D74A9F">
      <w:pPr>
        <w:spacing w:line="240" w:lineRule="auto"/>
        <w:ind w:left="284"/>
        <w:jc w:val="both"/>
        <w:rPr>
          <w:rFonts w:cs="Times New Roman"/>
          <w:i/>
          <w:iCs/>
          <w:szCs w:val="24"/>
        </w:rPr>
      </w:pPr>
      <w:r w:rsidRPr="00D74A9F">
        <w:rPr>
          <w:rFonts w:cs="Times New Roman"/>
          <w:i/>
          <w:iCs/>
          <w:szCs w:val="24"/>
        </w:rPr>
        <w:t>Los miembros que conformen el Comité de Inversiones deben cumplir, como mínimo, los siguientes requisitos:</w:t>
      </w:r>
    </w:p>
    <w:p w14:paraId="45F79AEB" w14:textId="77777777" w:rsidR="00D74A9F" w:rsidRPr="00D74A9F" w:rsidRDefault="00D74A9F" w:rsidP="00D74A9F">
      <w:pPr>
        <w:spacing w:line="240" w:lineRule="auto"/>
        <w:ind w:left="284"/>
        <w:jc w:val="both"/>
        <w:rPr>
          <w:rFonts w:cs="Times New Roman"/>
          <w:i/>
          <w:iCs/>
          <w:szCs w:val="24"/>
        </w:rPr>
      </w:pPr>
      <w:r w:rsidRPr="00D74A9F">
        <w:rPr>
          <w:rFonts w:cs="Times New Roman"/>
          <w:i/>
          <w:iCs/>
          <w:szCs w:val="24"/>
        </w:rPr>
        <w:t>a. Ser personas de reconocida y probada honorabilidad, así como de amplia experiencia y conocimiento en materia económica, financiera y bursátil. Si el fondo invierte en mercados extranjeros, al menos uno de ellos debe contar con experiencia o conocimiento en esos mercados, la cual debe quedar debidamente acreditada y documentada. Todo lo anterior, según lo establezca el Órgano de Dirección.</w:t>
      </w:r>
    </w:p>
    <w:p w14:paraId="46FEFBA5" w14:textId="77777777" w:rsidR="00D74A9F" w:rsidRPr="00D74A9F" w:rsidRDefault="00D74A9F" w:rsidP="00D74A9F">
      <w:pPr>
        <w:spacing w:line="240" w:lineRule="auto"/>
        <w:ind w:left="284"/>
        <w:jc w:val="both"/>
        <w:rPr>
          <w:rFonts w:cs="Times New Roman"/>
          <w:b/>
          <w:bCs/>
          <w:i/>
          <w:iCs/>
          <w:szCs w:val="24"/>
        </w:rPr>
      </w:pPr>
      <w:r w:rsidRPr="00D74A9F">
        <w:rPr>
          <w:rFonts w:cs="Times New Roman"/>
          <w:b/>
          <w:bCs/>
          <w:i/>
          <w:iCs/>
          <w:szCs w:val="24"/>
        </w:rPr>
        <w:t>b. No haber sido sancionados por la comisión de algún delito contra la propiedad, contra la buena fe en los negocios, contra los deberes en la función pública, contra la fe pública, legitimación de capitales y financiamiento al terrorismo, durante el plazo establecido para tal efecto en la Ley del Registro y Archivos Judiciales.</w:t>
      </w:r>
    </w:p>
    <w:p w14:paraId="3F08C45B" w14:textId="77777777" w:rsidR="00D74A9F" w:rsidRPr="00D74A9F" w:rsidRDefault="00D74A9F" w:rsidP="00D74A9F">
      <w:pPr>
        <w:spacing w:line="240" w:lineRule="auto"/>
        <w:ind w:left="284"/>
        <w:jc w:val="both"/>
        <w:rPr>
          <w:rFonts w:cs="Times New Roman"/>
          <w:i/>
          <w:iCs/>
          <w:szCs w:val="24"/>
        </w:rPr>
      </w:pPr>
      <w:r w:rsidRPr="00D74A9F">
        <w:rPr>
          <w:rFonts w:cs="Times New Roman"/>
          <w:i/>
          <w:iCs/>
          <w:szCs w:val="24"/>
        </w:rPr>
        <w:t>c. No haber sido sancionados administrativamente con inhabilitación para el ejercicio de cargos en entes u órganos públicos, durante los últimos cinco años.</w:t>
      </w:r>
    </w:p>
    <w:p w14:paraId="4E61A19D" w14:textId="77777777" w:rsidR="00D74A9F" w:rsidRPr="00D74A9F" w:rsidRDefault="00D74A9F" w:rsidP="00D74A9F">
      <w:pPr>
        <w:spacing w:line="240" w:lineRule="auto"/>
        <w:ind w:left="284"/>
        <w:jc w:val="both"/>
        <w:rPr>
          <w:rFonts w:cs="Times New Roman"/>
          <w:i/>
          <w:iCs/>
          <w:szCs w:val="24"/>
        </w:rPr>
      </w:pPr>
      <w:r w:rsidRPr="00D74A9F">
        <w:rPr>
          <w:rFonts w:cs="Times New Roman"/>
          <w:i/>
          <w:iCs/>
          <w:szCs w:val="24"/>
        </w:rPr>
        <w:t>d. No estar ligados entre sí por parentesco o consanguinidad o afinidad, hasta el tercer grado, así como por relaciones comerciales y de servicios.</w:t>
      </w:r>
    </w:p>
    <w:p w14:paraId="1281D39D" w14:textId="77777777" w:rsidR="00D74A9F" w:rsidRPr="00D74A9F" w:rsidRDefault="00D74A9F" w:rsidP="00D74A9F">
      <w:pPr>
        <w:spacing w:line="240" w:lineRule="auto"/>
        <w:ind w:left="284"/>
        <w:jc w:val="both"/>
        <w:rPr>
          <w:rFonts w:cs="Times New Roman"/>
          <w:i/>
          <w:iCs/>
          <w:szCs w:val="24"/>
        </w:rPr>
      </w:pPr>
      <w:r w:rsidRPr="00D74A9F">
        <w:rPr>
          <w:rFonts w:cs="Times New Roman"/>
          <w:i/>
          <w:iCs/>
          <w:szCs w:val="24"/>
        </w:rPr>
        <w:t>Corresponde a los miembros designados del Comité acreditar, ante la entidad regulada, el cumplimiento de los requisitos establecidos mediante la documentación que la entidad regulada defina.</w:t>
      </w:r>
    </w:p>
    <w:p w14:paraId="1E11344E" w14:textId="48D84D62" w:rsidR="00FD2025" w:rsidRPr="00D74A9F" w:rsidRDefault="00D74A9F" w:rsidP="00D74A9F">
      <w:pPr>
        <w:spacing w:line="240" w:lineRule="auto"/>
        <w:ind w:left="284"/>
        <w:jc w:val="both"/>
        <w:rPr>
          <w:rFonts w:cs="Times New Roman"/>
          <w:i/>
          <w:iCs/>
          <w:szCs w:val="24"/>
        </w:rPr>
      </w:pPr>
      <w:r w:rsidRPr="00D74A9F">
        <w:rPr>
          <w:rFonts w:cs="Times New Roman"/>
          <w:i/>
          <w:iCs/>
          <w:szCs w:val="24"/>
        </w:rPr>
        <w:t>El Órgano de Dirección debe comprobar el cumplimiento de los requisitos y ratificar el nombramiento</w:t>
      </w:r>
      <w:r>
        <w:rPr>
          <w:rFonts w:cs="Times New Roman"/>
          <w:i/>
          <w:iCs/>
          <w:szCs w:val="24"/>
        </w:rPr>
        <w:t xml:space="preserve"> </w:t>
      </w:r>
      <w:r w:rsidRPr="00D74A9F">
        <w:rPr>
          <w:rFonts w:cs="Times New Roman"/>
          <w:i/>
          <w:iCs/>
          <w:szCs w:val="24"/>
        </w:rPr>
        <w:t>mediante acuerdo. Este último debe ser comunicado a la Superintendencia de Pensiones dentro de los siguientes tres días hábiles contados a partir de su firmeza.</w:t>
      </w:r>
      <w:r w:rsidR="005D4318" w:rsidRPr="005D4318">
        <w:rPr>
          <w:rFonts w:cs="Times New Roman"/>
          <w:szCs w:val="24"/>
        </w:rPr>
        <w:t xml:space="preserve"> </w:t>
      </w:r>
      <w:r w:rsidR="005D4318" w:rsidRPr="00BE2481">
        <w:rPr>
          <w:rFonts w:cs="Times New Roman"/>
          <w:szCs w:val="24"/>
        </w:rPr>
        <w:t>[Lo resaltado no es del original].</w:t>
      </w:r>
    </w:p>
    <w:p w14:paraId="65253C07" w14:textId="77777777" w:rsidR="00D74A9F" w:rsidRPr="009B41CD" w:rsidRDefault="00D74A9F" w:rsidP="00D14097">
      <w:pPr>
        <w:spacing w:line="240" w:lineRule="auto"/>
        <w:jc w:val="both"/>
        <w:rPr>
          <w:rFonts w:cs="Times New Roman"/>
          <w:b/>
          <w:bCs/>
          <w:szCs w:val="24"/>
        </w:rPr>
      </w:pPr>
    </w:p>
    <w:p w14:paraId="6492C96D" w14:textId="4F371942" w:rsidR="004771AB" w:rsidRPr="004771AB" w:rsidRDefault="00AE2C3E" w:rsidP="002257A3">
      <w:pPr>
        <w:pStyle w:val="Prrafodelista"/>
        <w:numPr>
          <w:ilvl w:val="0"/>
          <w:numId w:val="10"/>
        </w:numPr>
        <w:spacing w:line="240" w:lineRule="auto"/>
        <w:jc w:val="both"/>
        <w:rPr>
          <w:rFonts w:cs="Times New Roman"/>
          <w:b/>
          <w:bCs/>
          <w:szCs w:val="24"/>
        </w:rPr>
      </w:pPr>
      <w:r>
        <w:rPr>
          <w:rFonts w:cs="Times New Roman"/>
          <w:b/>
          <w:bCs/>
          <w:szCs w:val="24"/>
        </w:rPr>
        <w:t xml:space="preserve">Objetivo de la reforma </w:t>
      </w:r>
      <w:r w:rsidR="006678D5">
        <w:rPr>
          <w:rFonts w:cs="Times New Roman"/>
          <w:b/>
          <w:bCs/>
          <w:szCs w:val="24"/>
        </w:rPr>
        <w:t xml:space="preserve">y análisis de fondo </w:t>
      </w:r>
    </w:p>
    <w:p w14:paraId="602A8296" w14:textId="72A7D2AC" w:rsidR="00E12B88" w:rsidRDefault="00E12B88" w:rsidP="002257A3">
      <w:pPr>
        <w:spacing w:line="240" w:lineRule="auto"/>
        <w:jc w:val="both"/>
        <w:rPr>
          <w:rFonts w:cs="Times New Roman"/>
          <w:szCs w:val="24"/>
        </w:rPr>
      </w:pPr>
    </w:p>
    <w:p w14:paraId="39844AEA" w14:textId="18690F5C" w:rsidR="00AE2C3E" w:rsidRDefault="00AE2C3E" w:rsidP="002257A3">
      <w:pPr>
        <w:spacing w:line="240" w:lineRule="auto"/>
        <w:jc w:val="both"/>
        <w:rPr>
          <w:rFonts w:cs="Times New Roman"/>
        </w:rPr>
      </w:pPr>
      <w:r w:rsidRPr="00AE2C3E">
        <w:rPr>
          <w:rFonts w:cs="Times New Roman"/>
        </w:rPr>
        <w:t xml:space="preserve">En lo que respecta a la Superintendencia de Pensiones, los acápites </w:t>
      </w:r>
      <w:r w:rsidR="00D00BE2" w:rsidRPr="00AE2C3E">
        <w:rPr>
          <w:rFonts w:cs="Times New Roman"/>
        </w:rPr>
        <w:t xml:space="preserve">xix, xx y xxi </w:t>
      </w:r>
      <w:r w:rsidRPr="00AE2C3E">
        <w:rPr>
          <w:rFonts w:cs="Times New Roman"/>
        </w:rPr>
        <w:t xml:space="preserve">del inciso 2.4 del Artículo 2. Alcance, del </w:t>
      </w:r>
      <w:r w:rsidRPr="00AE2C3E">
        <w:rPr>
          <w:rFonts w:cs="Times New Roman"/>
          <w:i/>
          <w:iCs/>
        </w:rPr>
        <w:t>Reglamento sobre Gobierno Corporativo</w:t>
      </w:r>
      <w:r w:rsidRPr="00AE2C3E">
        <w:rPr>
          <w:rFonts w:cs="Times New Roman"/>
        </w:rPr>
        <w:t xml:space="preserve">, señalan que </w:t>
      </w:r>
      <w:r w:rsidR="001617BE">
        <w:rPr>
          <w:rFonts w:cs="Times New Roman"/>
        </w:rPr>
        <w:t>sus</w:t>
      </w:r>
      <w:r w:rsidRPr="00AE2C3E">
        <w:rPr>
          <w:rFonts w:cs="Times New Roman"/>
        </w:rPr>
        <w:t xml:space="preserve"> </w:t>
      </w:r>
      <w:r w:rsidRPr="00AE2C3E">
        <w:rPr>
          <w:rFonts w:cs="Times New Roman"/>
        </w:rPr>
        <w:lastRenderedPageBreak/>
        <w:t xml:space="preserve">disposiciones resultan de aplicación a las operadoras de </w:t>
      </w:r>
      <w:r w:rsidR="00A43570">
        <w:rPr>
          <w:rFonts w:cs="Times New Roman"/>
        </w:rPr>
        <w:t>p</w:t>
      </w:r>
      <w:r w:rsidRPr="00AE2C3E">
        <w:rPr>
          <w:rFonts w:cs="Times New Roman"/>
        </w:rPr>
        <w:t>ensiones, las organizaciones sociales autorizadas para administrar los fondos de capitalización laboral; y las entidades administradoras de regímenes de pensiones sustitutas o complementarias del régimen de invalidez, vejez y muerte (IVM), creados por leyes o convenciones colectivas.</w:t>
      </w:r>
    </w:p>
    <w:p w14:paraId="3B425F11" w14:textId="7C45F3E0" w:rsidR="00473D0D" w:rsidRDefault="00473D0D" w:rsidP="002257A3">
      <w:pPr>
        <w:spacing w:line="240" w:lineRule="auto"/>
        <w:jc w:val="both"/>
        <w:rPr>
          <w:rFonts w:cs="Times New Roman"/>
        </w:rPr>
      </w:pPr>
    </w:p>
    <w:p w14:paraId="22A9DD60" w14:textId="3E9261C3" w:rsidR="00473D0D" w:rsidRDefault="006C0FC9" w:rsidP="002257A3">
      <w:pPr>
        <w:spacing w:line="240" w:lineRule="auto"/>
        <w:jc w:val="both"/>
        <w:rPr>
          <w:rFonts w:cs="Times New Roman"/>
        </w:rPr>
      </w:pPr>
      <w:r>
        <w:rPr>
          <w:rFonts w:cs="Times New Roman"/>
        </w:rPr>
        <w:t xml:space="preserve">Si bien en el artículo 4 de este Reglamento </w:t>
      </w:r>
      <w:r w:rsidR="00DA4171">
        <w:rPr>
          <w:rFonts w:cs="Times New Roman"/>
        </w:rPr>
        <w:t xml:space="preserve">se recoge </w:t>
      </w:r>
      <w:r>
        <w:rPr>
          <w:rFonts w:cs="Times New Roman"/>
        </w:rPr>
        <w:t xml:space="preserve">el principio de </w:t>
      </w:r>
      <w:r w:rsidR="001B477B">
        <w:rPr>
          <w:rFonts w:cs="Times New Roman"/>
        </w:rPr>
        <w:t xml:space="preserve">proporcionalidad, </w:t>
      </w:r>
      <w:r w:rsidR="00A97AA9">
        <w:rPr>
          <w:rFonts w:cs="Times New Roman"/>
        </w:rPr>
        <w:t>según el cual c</w:t>
      </w:r>
      <w:r w:rsidR="00A97AA9" w:rsidRPr="00A97AA9">
        <w:rPr>
          <w:rFonts w:cs="Times New Roman"/>
        </w:rPr>
        <w:t>ada entidad diseña, implementa y evalúa su marco de Gobierno Corporativo de conformidad con sus atributos particulares</w:t>
      </w:r>
      <w:r w:rsidR="00A97AA9">
        <w:rPr>
          <w:rFonts w:cs="Times New Roman"/>
        </w:rPr>
        <w:t xml:space="preserve">, los artículos </w:t>
      </w:r>
      <w:r w:rsidR="00A64B45">
        <w:rPr>
          <w:rFonts w:cs="Times New Roman"/>
        </w:rPr>
        <w:t xml:space="preserve">25 y 26 de ese Reglamento expresamente disponen </w:t>
      </w:r>
      <w:r w:rsidR="00A75498">
        <w:rPr>
          <w:rFonts w:cs="Times New Roman"/>
        </w:rPr>
        <w:t xml:space="preserve">que </w:t>
      </w:r>
      <w:r w:rsidR="00A64B45" w:rsidRPr="00A64B45">
        <w:rPr>
          <w:rFonts w:cs="Times New Roman"/>
        </w:rPr>
        <w:t xml:space="preserve">la constitución del </w:t>
      </w:r>
      <w:r w:rsidR="00A64B45">
        <w:rPr>
          <w:rFonts w:cs="Times New Roman"/>
        </w:rPr>
        <w:t xml:space="preserve">Comité de Auditoría y del </w:t>
      </w:r>
      <w:r w:rsidR="00A64B45" w:rsidRPr="00A64B45">
        <w:rPr>
          <w:rFonts w:cs="Times New Roman"/>
        </w:rPr>
        <w:t xml:space="preserve">Comité de Riesgos es obligatoria para todas las entidades incluidas en el </w:t>
      </w:r>
      <w:r w:rsidR="00430C63">
        <w:rPr>
          <w:rFonts w:cs="Times New Roman"/>
        </w:rPr>
        <w:t>a</w:t>
      </w:r>
      <w:r w:rsidR="00A64B45" w:rsidRPr="00A64B45">
        <w:rPr>
          <w:rFonts w:cs="Times New Roman"/>
        </w:rPr>
        <w:t>rtículo 2</w:t>
      </w:r>
      <w:r w:rsidR="0015354D">
        <w:rPr>
          <w:rFonts w:cs="Times New Roman"/>
        </w:rPr>
        <w:t xml:space="preserve"> (con excepción del caso de los </w:t>
      </w:r>
      <w:r w:rsidR="00A64B45" w:rsidRPr="00A64B45">
        <w:rPr>
          <w:rFonts w:cs="Times New Roman"/>
        </w:rPr>
        <w:t>emisores no financieros</w:t>
      </w:r>
      <w:r w:rsidR="0015354D">
        <w:rPr>
          <w:rFonts w:cs="Times New Roman"/>
        </w:rPr>
        <w:t>, donde la c</w:t>
      </w:r>
      <w:r w:rsidR="00A64B45" w:rsidRPr="00A64B45">
        <w:rPr>
          <w:rFonts w:cs="Times New Roman"/>
        </w:rPr>
        <w:t>onstitución</w:t>
      </w:r>
      <w:r w:rsidR="0015354D">
        <w:rPr>
          <w:rFonts w:cs="Times New Roman"/>
        </w:rPr>
        <w:t xml:space="preserve"> del Comité de Riesgo</w:t>
      </w:r>
      <w:r w:rsidR="006B0986">
        <w:rPr>
          <w:rFonts w:cs="Times New Roman"/>
        </w:rPr>
        <w:t>s</w:t>
      </w:r>
      <w:r w:rsidR="00A64B45" w:rsidRPr="00A64B45">
        <w:rPr>
          <w:rFonts w:cs="Times New Roman"/>
        </w:rPr>
        <w:t xml:space="preserve"> se hace de acuerdo con las políticas que defina la entidad</w:t>
      </w:r>
      <w:r w:rsidR="0015354D">
        <w:rPr>
          <w:rFonts w:cs="Times New Roman"/>
        </w:rPr>
        <w:t>)</w:t>
      </w:r>
      <w:r w:rsidR="00A64B45" w:rsidRPr="00A64B45">
        <w:rPr>
          <w:rFonts w:cs="Times New Roman"/>
        </w:rPr>
        <w:t>.</w:t>
      </w:r>
    </w:p>
    <w:p w14:paraId="0D1D6D12" w14:textId="24FF7561" w:rsidR="0015354D" w:rsidRDefault="0015354D" w:rsidP="002257A3">
      <w:pPr>
        <w:spacing w:line="240" w:lineRule="auto"/>
        <w:jc w:val="both"/>
        <w:rPr>
          <w:rFonts w:cs="Times New Roman"/>
        </w:rPr>
      </w:pPr>
    </w:p>
    <w:p w14:paraId="0C459DE3" w14:textId="6D3EDC38" w:rsidR="00277CFB" w:rsidRDefault="006B0986" w:rsidP="002257A3">
      <w:pPr>
        <w:spacing w:line="240" w:lineRule="auto"/>
        <w:jc w:val="both"/>
        <w:rPr>
          <w:rFonts w:cs="Times New Roman"/>
        </w:rPr>
      </w:pPr>
      <w:r>
        <w:rPr>
          <w:rFonts w:cs="Times New Roman"/>
        </w:rPr>
        <w:t xml:space="preserve">En lo que toca al </w:t>
      </w:r>
      <w:r w:rsidRPr="00BD77E7">
        <w:rPr>
          <w:rFonts w:cs="Times New Roman"/>
          <w:i/>
          <w:iCs/>
        </w:rPr>
        <w:t>Reglamento de Riesgos</w:t>
      </w:r>
      <w:r>
        <w:rPr>
          <w:rFonts w:cs="Times New Roman"/>
        </w:rPr>
        <w:t xml:space="preserve">, el </w:t>
      </w:r>
      <w:r w:rsidR="001617BE">
        <w:rPr>
          <w:rFonts w:cs="Times New Roman"/>
        </w:rPr>
        <w:t>a</w:t>
      </w:r>
      <w:r w:rsidR="001003C8" w:rsidRPr="001003C8">
        <w:rPr>
          <w:rFonts w:cs="Times New Roman"/>
        </w:rPr>
        <w:t>rtículo 1. Alcance</w:t>
      </w:r>
      <w:r>
        <w:rPr>
          <w:rFonts w:cs="Times New Roman"/>
        </w:rPr>
        <w:t xml:space="preserve"> de esta normativa establece que s</w:t>
      </w:r>
      <w:r w:rsidR="001003C8" w:rsidRPr="001003C8">
        <w:rPr>
          <w:rFonts w:cs="Times New Roman"/>
        </w:rPr>
        <w:t>us disposiciones son de aplicación para todas las entidades reguladas por la Superintendencia de Pensiones y los fondos administrados por estas, según se definen en el artículo 2 de la Ley de Protección al Trabajador.</w:t>
      </w:r>
    </w:p>
    <w:p w14:paraId="1F9339B2" w14:textId="2625B915" w:rsidR="00E25F76" w:rsidRDefault="00E25F76" w:rsidP="002257A3">
      <w:pPr>
        <w:spacing w:line="240" w:lineRule="auto"/>
        <w:jc w:val="both"/>
        <w:rPr>
          <w:rFonts w:cs="Times New Roman"/>
        </w:rPr>
      </w:pPr>
    </w:p>
    <w:p w14:paraId="103A226A" w14:textId="28E01B89" w:rsidR="00E25F76" w:rsidRDefault="00E25F76" w:rsidP="008B76EB">
      <w:pPr>
        <w:spacing w:line="240" w:lineRule="auto"/>
        <w:jc w:val="both"/>
        <w:rPr>
          <w:rFonts w:cs="Times New Roman"/>
        </w:rPr>
      </w:pPr>
      <w:r>
        <w:rPr>
          <w:rFonts w:cs="Times New Roman"/>
        </w:rPr>
        <w:t xml:space="preserve">Este Reglamento también </w:t>
      </w:r>
      <w:r w:rsidR="00BD77E7">
        <w:rPr>
          <w:rFonts w:cs="Times New Roman"/>
        </w:rPr>
        <w:t xml:space="preserve">recoge en su artículo 4 el principio de proporcionalidad, </w:t>
      </w:r>
      <w:r w:rsidR="00462002">
        <w:rPr>
          <w:rFonts w:cs="Times New Roman"/>
        </w:rPr>
        <w:t>de acuerdo con el cual c</w:t>
      </w:r>
      <w:r w:rsidR="008B76EB" w:rsidRPr="008B76EB">
        <w:rPr>
          <w:rFonts w:cs="Times New Roman"/>
        </w:rPr>
        <w:t>ada entidad regulada diseña, implementa y evalúa su modelo de gestión de riesgos de los fondos administrados y es responsable de demostrar su efectividad</w:t>
      </w:r>
      <w:r w:rsidR="00462002">
        <w:rPr>
          <w:rFonts w:cs="Times New Roman"/>
        </w:rPr>
        <w:t xml:space="preserve">; sin embargo, en su artículo </w:t>
      </w:r>
      <w:r w:rsidR="00D736E5">
        <w:rPr>
          <w:rFonts w:cs="Times New Roman"/>
        </w:rPr>
        <w:t xml:space="preserve">14 </w:t>
      </w:r>
      <w:r w:rsidR="00C102F1">
        <w:rPr>
          <w:rFonts w:cs="Times New Roman"/>
        </w:rPr>
        <w:t xml:space="preserve">establece la obligación que tiene el órgano de dirección de cada entidad regulada, de nombrar un </w:t>
      </w:r>
      <w:r w:rsidR="00462002" w:rsidRPr="00462002">
        <w:rPr>
          <w:rFonts w:cs="Times New Roman"/>
        </w:rPr>
        <w:t>Comité de Riesgos conformado por un mínimo de tres miembros</w:t>
      </w:r>
      <w:r w:rsidR="00C102F1">
        <w:rPr>
          <w:rFonts w:cs="Times New Roman"/>
        </w:rPr>
        <w:t xml:space="preserve">. </w:t>
      </w:r>
    </w:p>
    <w:p w14:paraId="286324A7" w14:textId="7E81DABA" w:rsidR="00CA1307" w:rsidRDefault="00CA1307" w:rsidP="002257A3">
      <w:pPr>
        <w:spacing w:line="240" w:lineRule="auto"/>
        <w:jc w:val="both"/>
        <w:rPr>
          <w:rFonts w:cs="Times New Roman"/>
        </w:rPr>
      </w:pPr>
    </w:p>
    <w:p w14:paraId="4DA658F6" w14:textId="5C93D172" w:rsidR="0035256F" w:rsidRDefault="000006F4" w:rsidP="002257A3">
      <w:pPr>
        <w:spacing w:line="240" w:lineRule="auto"/>
        <w:jc w:val="both"/>
        <w:rPr>
          <w:rFonts w:cs="Times New Roman"/>
        </w:rPr>
      </w:pPr>
      <w:r>
        <w:rPr>
          <w:rFonts w:cs="Times New Roman"/>
        </w:rPr>
        <w:t>Como se puede observar, l</w:t>
      </w:r>
      <w:r w:rsidR="002048D5" w:rsidRPr="002048D5">
        <w:rPr>
          <w:rFonts w:cs="Times New Roman"/>
        </w:rPr>
        <w:t xml:space="preserve">as disposiciones contenidas en el Reglamento sobre Gobierno Corporativo y el Reglamento de Riesgos fueron concebidas para “negocios en marcha”, es decir, para entidades que no solamente están en </w:t>
      </w:r>
      <w:r w:rsidR="00C35C82" w:rsidRPr="002048D5">
        <w:rPr>
          <w:rFonts w:cs="Times New Roman"/>
        </w:rPr>
        <w:t>funcionamiento,</w:t>
      </w:r>
      <w:r w:rsidR="002048D5" w:rsidRPr="002048D5">
        <w:rPr>
          <w:rFonts w:cs="Times New Roman"/>
        </w:rPr>
        <w:t xml:space="preserve"> sino que continuarán su actividad dentro del futuro previsible</w:t>
      </w:r>
      <w:r w:rsidR="008A1DDC">
        <w:rPr>
          <w:rFonts w:cs="Times New Roman"/>
        </w:rPr>
        <w:t>. No obstante, l</w:t>
      </w:r>
      <w:r w:rsidR="008A1DDC" w:rsidRPr="002048D5">
        <w:rPr>
          <w:rFonts w:cs="Times New Roman"/>
        </w:rPr>
        <w:t xml:space="preserve">a Superintendencia de Pensiones </w:t>
      </w:r>
      <w:r w:rsidR="005744BB">
        <w:rPr>
          <w:rFonts w:cs="Times New Roman"/>
        </w:rPr>
        <w:t xml:space="preserve">regula y supervisa </w:t>
      </w:r>
      <w:r w:rsidR="008A1DDC" w:rsidRPr="002048D5">
        <w:rPr>
          <w:rFonts w:cs="Times New Roman"/>
        </w:rPr>
        <w:t xml:space="preserve">regímenes de pensiones </w:t>
      </w:r>
      <w:r w:rsidR="007A6CD6" w:rsidRPr="007A6CD6">
        <w:rPr>
          <w:rFonts w:cs="Times New Roman"/>
        </w:rPr>
        <w:t>inmersos en procesos de liquidación, abolición o bien cerrados a nuevas afiliaciones que, por sus particulares características y condiciones de funcionamiento, administran, en términos relativos, pocos recursos, y que, además, para el caso de los cerrados a nuevas adscripciones</w:t>
      </w:r>
      <w:r w:rsidR="007C6768">
        <w:rPr>
          <w:rFonts w:cs="Times New Roman"/>
        </w:rPr>
        <w:t xml:space="preserve"> </w:t>
      </w:r>
      <w:r w:rsidR="002C5DBE">
        <w:rPr>
          <w:rFonts w:cs="Times New Roman"/>
        </w:rPr>
        <w:t>(como es el caso del F</w:t>
      </w:r>
      <w:r w:rsidR="002C5DBE" w:rsidRPr="002C5DBE">
        <w:rPr>
          <w:rFonts w:cs="Times New Roman"/>
        </w:rPr>
        <w:t>ondo de pensiones y jubilaciones del Benemérito Cuerpo de Bomberos de Costa Rica  y el de la Refinadora Costarricense de Petróleo (RECOPE)</w:t>
      </w:r>
      <w:r w:rsidR="00EF4485">
        <w:rPr>
          <w:rFonts w:cs="Times New Roman"/>
        </w:rPr>
        <w:t>,</w:t>
      </w:r>
      <w:r w:rsidR="007A6CD6" w:rsidRPr="007A6CD6">
        <w:rPr>
          <w:rFonts w:cs="Times New Roman"/>
        </w:rPr>
        <w:t xml:space="preserve"> cuentan con pocos afiliados o pensionados</w:t>
      </w:r>
      <w:r w:rsidR="002048D5" w:rsidRPr="002048D5">
        <w:rPr>
          <w:rFonts w:cs="Times New Roman"/>
        </w:rPr>
        <w:t xml:space="preserve">. </w:t>
      </w:r>
    </w:p>
    <w:p w14:paraId="777C3BBF" w14:textId="77777777" w:rsidR="0035256F" w:rsidRDefault="0035256F" w:rsidP="002257A3">
      <w:pPr>
        <w:spacing w:line="240" w:lineRule="auto"/>
        <w:jc w:val="both"/>
        <w:rPr>
          <w:rFonts w:cs="Times New Roman"/>
        </w:rPr>
      </w:pPr>
    </w:p>
    <w:p w14:paraId="783EFBF2" w14:textId="116AA875" w:rsidR="002048D5" w:rsidRPr="002048D5" w:rsidRDefault="00C70DE1" w:rsidP="002257A3">
      <w:pPr>
        <w:spacing w:line="240" w:lineRule="auto"/>
        <w:jc w:val="both"/>
        <w:rPr>
          <w:rFonts w:cs="Times New Roman"/>
        </w:rPr>
      </w:pPr>
      <w:r>
        <w:rPr>
          <w:rFonts w:cs="Times New Roman"/>
        </w:rPr>
        <w:t xml:space="preserve">A pesar de lo </w:t>
      </w:r>
      <w:r w:rsidR="002C7E74">
        <w:rPr>
          <w:rFonts w:cs="Times New Roman"/>
        </w:rPr>
        <w:t>anterior, la</w:t>
      </w:r>
      <w:r w:rsidR="002048D5" w:rsidRPr="002048D5">
        <w:rPr>
          <w:rFonts w:cs="Times New Roman"/>
        </w:rPr>
        <w:t xml:space="preserve"> Superintendencia de Pensiones se encuentra obligada a exigirles el cumplimiento de la totalidad de las disposiciones contenidas en el Reglamento sobre Gobierno Corporativo y el Reglamento de Riesgos, aun cuando ello </w:t>
      </w:r>
      <w:r w:rsidR="00EF4485">
        <w:rPr>
          <w:rFonts w:cs="Times New Roman"/>
        </w:rPr>
        <w:t xml:space="preserve">no </w:t>
      </w:r>
      <w:r w:rsidR="002048D5" w:rsidRPr="002048D5">
        <w:rPr>
          <w:rFonts w:cs="Times New Roman"/>
        </w:rPr>
        <w:t>resulte razonable</w:t>
      </w:r>
      <w:r w:rsidR="000348EE">
        <w:rPr>
          <w:rFonts w:cs="Times New Roman"/>
        </w:rPr>
        <w:t xml:space="preserve"> y desproporcionado</w:t>
      </w:r>
      <w:r w:rsidR="002048D5" w:rsidRPr="002048D5">
        <w:rPr>
          <w:rFonts w:cs="Times New Roman"/>
        </w:rPr>
        <w:t xml:space="preserve">, tomando en cuenta la finalidad de las normas y </w:t>
      </w:r>
      <w:r w:rsidR="002F379E">
        <w:rPr>
          <w:rFonts w:cs="Times New Roman"/>
        </w:rPr>
        <w:t xml:space="preserve">la especial condición de los </w:t>
      </w:r>
      <w:r w:rsidR="002048D5" w:rsidRPr="002048D5">
        <w:rPr>
          <w:rFonts w:cs="Times New Roman"/>
        </w:rPr>
        <w:t>sujetos obligados</w:t>
      </w:r>
      <w:r w:rsidR="002C7E74">
        <w:rPr>
          <w:rFonts w:cs="Times New Roman"/>
        </w:rPr>
        <w:t xml:space="preserve">. </w:t>
      </w:r>
    </w:p>
    <w:p w14:paraId="23547C2F" w14:textId="77777777" w:rsidR="002048D5" w:rsidRPr="002048D5" w:rsidRDefault="002048D5" w:rsidP="002257A3">
      <w:pPr>
        <w:spacing w:line="240" w:lineRule="auto"/>
        <w:jc w:val="both"/>
        <w:rPr>
          <w:rFonts w:cs="Times New Roman"/>
        </w:rPr>
      </w:pPr>
    </w:p>
    <w:p w14:paraId="733A98C6" w14:textId="6F64DF92" w:rsidR="00417767" w:rsidRPr="002257A3" w:rsidRDefault="0045713F" w:rsidP="002257A3">
      <w:pPr>
        <w:spacing w:line="240" w:lineRule="auto"/>
        <w:jc w:val="both"/>
        <w:rPr>
          <w:rFonts w:cs="Times New Roman"/>
          <w:szCs w:val="24"/>
        </w:rPr>
      </w:pPr>
      <w:r>
        <w:rPr>
          <w:rFonts w:cs="Times New Roman"/>
          <w:szCs w:val="24"/>
        </w:rPr>
        <w:lastRenderedPageBreak/>
        <w:t xml:space="preserve">En vista de lo anterior, por medio de la reforma propuesta se </w:t>
      </w:r>
      <w:r w:rsidR="00F60677">
        <w:rPr>
          <w:rFonts w:cs="Times New Roman"/>
          <w:szCs w:val="24"/>
        </w:rPr>
        <w:t xml:space="preserve">faculta al </w:t>
      </w:r>
      <w:r w:rsidR="002257A3" w:rsidRPr="002257A3">
        <w:rPr>
          <w:rFonts w:cs="Times New Roman"/>
          <w:szCs w:val="24"/>
        </w:rPr>
        <w:t>Superintendente de Pensiones para que</w:t>
      </w:r>
      <w:r w:rsidR="00325F37">
        <w:rPr>
          <w:rFonts w:cs="Times New Roman"/>
          <w:szCs w:val="24"/>
        </w:rPr>
        <w:t xml:space="preserve"> </w:t>
      </w:r>
      <w:r w:rsidR="00325F37" w:rsidRPr="00325F37">
        <w:rPr>
          <w:rFonts w:cs="Times New Roman"/>
          <w:szCs w:val="24"/>
        </w:rPr>
        <w:t>mediante acuerdo debidamente motivado, exim</w:t>
      </w:r>
      <w:r w:rsidR="00325F37">
        <w:rPr>
          <w:rFonts w:cs="Times New Roman"/>
          <w:szCs w:val="24"/>
        </w:rPr>
        <w:t xml:space="preserve">a </w:t>
      </w:r>
      <w:r w:rsidR="00325F37" w:rsidRPr="00325F37">
        <w:rPr>
          <w:rFonts w:cs="Times New Roman"/>
          <w:szCs w:val="24"/>
        </w:rPr>
        <w:t xml:space="preserve">de la aplicación total o parcial de las disposiciones contenidas en </w:t>
      </w:r>
      <w:r w:rsidR="00E5622E">
        <w:rPr>
          <w:rFonts w:cs="Times New Roman"/>
          <w:szCs w:val="24"/>
        </w:rPr>
        <w:t>el Reglamento sobre Gobierno Corporativo y en el Reglamento de Riesgos</w:t>
      </w:r>
      <w:r w:rsidR="00325F37" w:rsidRPr="00325F37">
        <w:rPr>
          <w:rFonts w:cs="Times New Roman"/>
          <w:szCs w:val="24"/>
        </w:rPr>
        <w:t xml:space="preserve"> a las entidades reguladas y fondos en proceso de liquidación, abolición</w:t>
      </w:r>
      <w:r w:rsidR="00E5622E">
        <w:rPr>
          <w:rFonts w:cs="Times New Roman"/>
          <w:szCs w:val="24"/>
        </w:rPr>
        <w:t xml:space="preserve"> y </w:t>
      </w:r>
      <w:r w:rsidR="00325F37" w:rsidRPr="00325F37">
        <w:rPr>
          <w:rFonts w:cs="Times New Roman"/>
          <w:szCs w:val="24"/>
        </w:rPr>
        <w:t>cerrados a nuevas afiliaciones</w:t>
      </w:r>
      <w:r w:rsidR="006E24E6">
        <w:rPr>
          <w:rFonts w:cs="Times New Roman"/>
          <w:szCs w:val="24"/>
        </w:rPr>
        <w:t xml:space="preserve">. </w:t>
      </w:r>
      <w:r w:rsidR="001246E6">
        <w:rPr>
          <w:rFonts w:cs="Times New Roman"/>
          <w:szCs w:val="24"/>
        </w:rPr>
        <w:t xml:space="preserve">Por </w:t>
      </w:r>
      <w:r w:rsidR="006E24E6">
        <w:rPr>
          <w:rFonts w:cs="Times New Roman"/>
          <w:szCs w:val="24"/>
        </w:rPr>
        <w:t xml:space="preserve">encontrarse en situaciones similares, </w:t>
      </w:r>
      <w:r w:rsidR="001246E6">
        <w:rPr>
          <w:rFonts w:cs="Times New Roman"/>
          <w:szCs w:val="24"/>
        </w:rPr>
        <w:t xml:space="preserve">la propuesta permite que se </w:t>
      </w:r>
      <w:r w:rsidR="00EB715B">
        <w:rPr>
          <w:rFonts w:cs="Times New Roman"/>
          <w:szCs w:val="24"/>
        </w:rPr>
        <w:t xml:space="preserve">exima </w:t>
      </w:r>
      <w:r w:rsidR="00476781">
        <w:rPr>
          <w:rFonts w:cs="Times New Roman"/>
          <w:szCs w:val="24"/>
        </w:rPr>
        <w:t xml:space="preserve">también </w:t>
      </w:r>
      <w:r w:rsidR="00EB715B">
        <w:rPr>
          <w:rFonts w:cs="Times New Roman"/>
          <w:szCs w:val="24"/>
        </w:rPr>
        <w:t xml:space="preserve">de </w:t>
      </w:r>
      <w:r w:rsidR="002F44B2">
        <w:rPr>
          <w:rFonts w:cs="Times New Roman"/>
          <w:szCs w:val="24"/>
        </w:rPr>
        <w:t xml:space="preserve">esta normativa, de </w:t>
      </w:r>
      <w:r w:rsidR="00EB715B">
        <w:rPr>
          <w:rFonts w:cs="Times New Roman"/>
          <w:szCs w:val="24"/>
        </w:rPr>
        <w:t>forma temporal</w:t>
      </w:r>
      <w:r w:rsidR="00476781">
        <w:rPr>
          <w:rFonts w:cs="Times New Roman"/>
          <w:szCs w:val="24"/>
        </w:rPr>
        <w:t>,</w:t>
      </w:r>
      <w:r w:rsidR="00EB715B">
        <w:rPr>
          <w:rFonts w:cs="Times New Roman"/>
          <w:szCs w:val="24"/>
        </w:rPr>
        <w:t xml:space="preserve"> a los fondos </w:t>
      </w:r>
      <w:r w:rsidR="007F25B1" w:rsidRPr="007F25B1">
        <w:rPr>
          <w:rFonts w:cs="Times New Roman"/>
          <w:szCs w:val="24"/>
        </w:rPr>
        <w:t>nuevos fondos creados por ley, mientras entran en funcionamient</w:t>
      </w:r>
      <w:r w:rsidR="002F44B2">
        <w:rPr>
          <w:rFonts w:cs="Times New Roman"/>
          <w:szCs w:val="24"/>
        </w:rPr>
        <w:t xml:space="preserve">o. </w:t>
      </w:r>
    </w:p>
    <w:p w14:paraId="7CDAABAD" w14:textId="77777777" w:rsidR="002257A3" w:rsidRPr="002257A3" w:rsidRDefault="002257A3" w:rsidP="002257A3">
      <w:pPr>
        <w:spacing w:line="240" w:lineRule="auto"/>
        <w:jc w:val="both"/>
        <w:rPr>
          <w:rFonts w:cs="Times New Roman"/>
          <w:szCs w:val="24"/>
        </w:rPr>
      </w:pPr>
    </w:p>
    <w:p w14:paraId="0DEBBF8E" w14:textId="4B2E8B51" w:rsidR="002257A3" w:rsidRPr="002257A3" w:rsidRDefault="00614230" w:rsidP="000F0319">
      <w:pPr>
        <w:spacing w:line="240" w:lineRule="auto"/>
        <w:jc w:val="both"/>
        <w:rPr>
          <w:rFonts w:cs="Times New Roman"/>
          <w:szCs w:val="24"/>
        </w:rPr>
      </w:pPr>
      <w:r>
        <w:rPr>
          <w:rFonts w:cs="Times New Roman"/>
          <w:szCs w:val="24"/>
        </w:rPr>
        <w:t xml:space="preserve">Con el fin de evitar posibles contradicciones </w:t>
      </w:r>
      <w:r w:rsidR="002121FC">
        <w:rPr>
          <w:rFonts w:cs="Times New Roman"/>
          <w:szCs w:val="24"/>
        </w:rPr>
        <w:t>normativas</w:t>
      </w:r>
      <w:r>
        <w:rPr>
          <w:rFonts w:cs="Times New Roman"/>
          <w:szCs w:val="24"/>
        </w:rPr>
        <w:t xml:space="preserve">, </w:t>
      </w:r>
      <w:r w:rsidR="00FC3E5A">
        <w:rPr>
          <w:rFonts w:cs="Times New Roman"/>
          <w:szCs w:val="24"/>
        </w:rPr>
        <w:t xml:space="preserve">con esta propuesta se modifican también los </w:t>
      </w:r>
      <w:r w:rsidR="00F852C8">
        <w:rPr>
          <w:rFonts w:cs="Times New Roman"/>
          <w:szCs w:val="24"/>
        </w:rPr>
        <w:t>artículos 2</w:t>
      </w:r>
      <w:r w:rsidR="000F0319">
        <w:rPr>
          <w:rFonts w:cs="Times New Roman"/>
          <w:szCs w:val="24"/>
        </w:rPr>
        <w:t>5 y 26 de Reglamento sobre Gobierno Corporativo</w:t>
      </w:r>
      <w:r w:rsidR="00FC3E5A">
        <w:rPr>
          <w:rFonts w:cs="Times New Roman"/>
          <w:szCs w:val="24"/>
        </w:rPr>
        <w:t xml:space="preserve"> y el artículo</w:t>
      </w:r>
      <w:r w:rsidR="000F0319">
        <w:rPr>
          <w:rFonts w:cs="Times New Roman"/>
          <w:szCs w:val="24"/>
        </w:rPr>
        <w:t xml:space="preserve"> 14 del Reglamento de Riesgos</w:t>
      </w:r>
      <w:r w:rsidR="00C10659">
        <w:rPr>
          <w:rFonts w:cs="Times New Roman"/>
          <w:szCs w:val="24"/>
        </w:rPr>
        <w:t xml:space="preserve">. </w:t>
      </w:r>
    </w:p>
    <w:p w14:paraId="79F4382F" w14:textId="77777777" w:rsidR="00C1411E" w:rsidRDefault="00C1411E" w:rsidP="002257A3">
      <w:pPr>
        <w:spacing w:line="240" w:lineRule="auto"/>
        <w:jc w:val="both"/>
        <w:rPr>
          <w:rFonts w:cs="Times New Roman"/>
          <w:szCs w:val="24"/>
        </w:rPr>
      </w:pPr>
    </w:p>
    <w:p w14:paraId="22E75834" w14:textId="50AE4F6E" w:rsidR="00253D91" w:rsidRDefault="001C1F12" w:rsidP="002257A3">
      <w:pPr>
        <w:spacing w:line="240" w:lineRule="auto"/>
        <w:jc w:val="both"/>
        <w:rPr>
          <w:rFonts w:cs="Times New Roman"/>
          <w:szCs w:val="24"/>
        </w:rPr>
      </w:pPr>
      <w:r>
        <w:rPr>
          <w:rFonts w:cs="Times New Roman"/>
          <w:szCs w:val="24"/>
        </w:rPr>
        <w:t xml:space="preserve">Esta importante aclarar </w:t>
      </w:r>
      <w:r w:rsidR="006D1B5D">
        <w:rPr>
          <w:rFonts w:cs="Times New Roman"/>
          <w:szCs w:val="24"/>
        </w:rPr>
        <w:t xml:space="preserve">que </w:t>
      </w:r>
      <w:r w:rsidR="00890A9B">
        <w:rPr>
          <w:rFonts w:cs="Times New Roman"/>
          <w:szCs w:val="24"/>
        </w:rPr>
        <w:t xml:space="preserve">la facultad que se otorga al Superintendente de Pensiones </w:t>
      </w:r>
      <w:r>
        <w:rPr>
          <w:rFonts w:cs="Times New Roman"/>
          <w:szCs w:val="24"/>
        </w:rPr>
        <w:t xml:space="preserve">con esas reformas </w:t>
      </w:r>
      <w:r w:rsidR="00890A9B">
        <w:rPr>
          <w:rFonts w:cs="Times New Roman"/>
          <w:szCs w:val="24"/>
        </w:rPr>
        <w:t xml:space="preserve">no implica una delegación de la facultad reglamentaria otorgada por el artículo 171 de la Ley Reguladora del Mercado de Valores al </w:t>
      </w:r>
      <w:r w:rsidR="00464B52">
        <w:rPr>
          <w:rFonts w:cs="Times New Roman"/>
          <w:szCs w:val="24"/>
        </w:rPr>
        <w:t>Consejo Nacional de Supervisión del Sistema Financiero (Conassif)</w:t>
      </w:r>
      <w:r w:rsidR="00846009">
        <w:rPr>
          <w:rFonts w:cs="Times New Roman"/>
          <w:szCs w:val="24"/>
        </w:rPr>
        <w:t xml:space="preserve">, dado que </w:t>
      </w:r>
      <w:r w:rsidR="00E44676">
        <w:rPr>
          <w:rFonts w:cs="Times New Roman"/>
          <w:szCs w:val="24"/>
        </w:rPr>
        <w:t>el primero</w:t>
      </w:r>
      <w:r w:rsidR="000F193A">
        <w:rPr>
          <w:rFonts w:cs="Times New Roman"/>
          <w:szCs w:val="24"/>
        </w:rPr>
        <w:t xml:space="preserve"> únicamente podrá </w:t>
      </w:r>
      <w:r w:rsidR="00297376">
        <w:rPr>
          <w:rFonts w:cs="Times New Roman"/>
          <w:szCs w:val="24"/>
        </w:rPr>
        <w:t xml:space="preserve">eximir de la aplicación parcial o total del Reglamento sobre Gobierno corporativo y del Reglamento de Riesgos a </w:t>
      </w:r>
      <w:r w:rsidR="00506275">
        <w:rPr>
          <w:rFonts w:cs="Times New Roman"/>
          <w:szCs w:val="24"/>
        </w:rPr>
        <w:t xml:space="preserve">las entidades reguladas que cumplan con las condiciones </w:t>
      </w:r>
      <w:r w:rsidR="00E96F22">
        <w:rPr>
          <w:rFonts w:cs="Times New Roman"/>
          <w:szCs w:val="24"/>
        </w:rPr>
        <w:t xml:space="preserve">expresamente definidas por el Consejo, </w:t>
      </w:r>
      <w:r w:rsidR="00506275">
        <w:rPr>
          <w:rFonts w:cs="Times New Roman"/>
          <w:szCs w:val="24"/>
        </w:rPr>
        <w:t xml:space="preserve">y por medio de un acto debidamente motivado. </w:t>
      </w:r>
    </w:p>
    <w:p w14:paraId="13F9915D" w14:textId="77777777" w:rsidR="000D66DC" w:rsidRDefault="000D66DC" w:rsidP="000D66DC">
      <w:pPr>
        <w:spacing w:line="240" w:lineRule="auto"/>
        <w:jc w:val="both"/>
        <w:rPr>
          <w:rFonts w:cs="Times New Roman"/>
          <w:szCs w:val="24"/>
        </w:rPr>
      </w:pPr>
    </w:p>
    <w:p w14:paraId="3B3E2D5D" w14:textId="47CEC718" w:rsidR="000D66DC" w:rsidRDefault="000D66DC" w:rsidP="000D66DC">
      <w:pPr>
        <w:spacing w:line="240" w:lineRule="auto"/>
        <w:jc w:val="both"/>
        <w:rPr>
          <w:rFonts w:cs="Times New Roman"/>
          <w:szCs w:val="24"/>
        </w:rPr>
      </w:pPr>
      <w:r>
        <w:rPr>
          <w:rFonts w:cs="Times New Roman"/>
          <w:szCs w:val="24"/>
        </w:rPr>
        <w:t>En vista de lo anterior, e</w:t>
      </w:r>
      <w:r>
        <w:rPr>
          <w:rFonts w:cs="Times New Roman"/>
          <w:szCs w:val="24"/>
        </w:rPr>
        <w:t xml:space="preserve">stima esta Asesoría que estas reformas se encuentran ajustadas al ordenamiento jurídico y contribuirán para que la normativa que dicte el </w:t>
      </w:r>
      <w:r w:rsidR="00464B52">
        <w:rPr>
          <w:rFonts w:cs="Times New Roman"/>
          <w:szCs w:val="24"/>
        </w:rPr>
        <w:t>Conassif</w:t>
      </w:r>
      <w:r w:rsidR="00464B52">
        <w:rPr>
          <w:rFonts w:cs="Times New Roman"/>
          <w:szCs w:val="24"/>
        </w:rPr>
        <w:t xml:space="preserve"> </w:t>
      </w:r>
      <w:r>
        <w:rPr>
          <w:rFonts w:cs="Times New Roman"/>
          <w:szCs w:val="24"/>
        </w:rPr>
        <w:t xml:space="preserve">no solo resulte adecuada al fin público que se persigue, sino, además, permitirán que esta resulte razonable y proporcionada en función de las particularidades de las entidades a las cuales se </w:t>
      </w:r>
      <w:bookmarkStart w:id="1" w:name="_GoBack"/>
      <w:bookmarkEnd w:id="1"/>
      <w:r>
        <w:rPr>
          <w:rFonts w:cs="Times New Roman"/>
          <w:szCs w:val="24"/>
        </w:rPr>
        <w:t xml:space="preserve">dirige. </w:t>
      </w:r>
    </w:p>
    <w:p w14:paraId="31F7512B" w14:textId="7712DD97" w:rsidR="00281E81" w:rsidRDefault="00281E81" w:rsidP="002257A3">
      <w:pPr>
        <w:spacing w:line="240" w:lineRule="auto"/>
        <w:jc w:val="both"/>
        <w:rPr>
          <w:rFonts w:cs="Times New Roman"/>
          <w:szCs w:val="24"/>
        </w:rPr>
      </w:pPr>
    </w:p>
    <w:p w14:paraId="7EFBA401" w14:textId="4BE7EEA1" w:rsidR="002257A3" w:rsidRDefault="00363D5B" w:rsidP="002257A3">
      <w:pPr>
        <w:spacing w:line="240" w:lineRule="auto"/>
        <w:jc w:val="both"/>
        <w:rPr>
          <w:rFonts w:cs="Times New Roman"/>
          <w:szCs w:val="24"/>
        </w:rPr>
      </w:pPr>
      <w:r>
        <w:rPr>
          <w:rFonts w:cs="Times New Roman"/>
          <w:szCs w:val="24"/>
        </w:rPr>
        <w:t xml:space="preserve">La propuesta de modificación que se analiza </w:t>
      </w:r>
      <w:r w:rsidR="00E30BAF">
        <w:rPr>
          <w:rFonts w:cs="Times New Roman"/>
          <w:szCs w:val="24"/>
        </w:rPr>
        <w:t xml:space="preserve">también plantea una reforma al </w:t>
      </w:r>
      <w:r w:rsidR="00EA2193">
        <w:rPr>
          <w:rFonts w:cs="Times New Roman"/>
          <w:szCs w:val="24"/>
        </w:rPr>
        <w:t>a</w:t>
      </w:r>
      <w:r w:rsidR="002257A3" w:rsidRPr="002257A3">
        <w:rPr>
          <w:rFonts w:cs="Times New Roman"/>
          <w:szCs w:val="24"/>
        </w:rPr>
        <w:t xml:space="preserve">rtículo 14 del Reglamento de </w:t>
      </w:r>
      <w:r w:rsidR="002D7A2D">
        <w:rPr>
          <w:rFonts w:cs="Times New Roman"/>
          <w:szCs w:val="24"/>
        </w:rPr>
        <w:t>R</w:t>
      </w:r>
      <w:r w:rsidR="002257A3" w:rsidRPr="002257A3">
        <w:rPr>
          <w:rFonts w:cs="Times New Roman"/>
          <w:szCs w:val="24"/>
        </w:rPr>
        <w:t>iesgos</w:t>
      </w:r>
      <w:r w:rsidR="00933C1A">
        <w:rPr>
          <w:rFonts w:cs="Times New Roman"/>
          <w:szCs w:val="24"/>
        </w:rPr>
        <w:t xml:space="preserve"> </w:t>
      </w:r>
      <w:r w:rsidR="00F20D61">
        <w:rPr>
          <w:rFonts w:cs="Times New Roman"/>
          <w:szCs w:val="24"/>
        </w:rPr>
        <w:t xml:space="preserve">como sigue: </w:t>
      </w:r>
    </w:p>
    <w:p w14:paraId="7B03C5E1" w14:textId="2EB27D6F" w:rsidR="00F20D61" w:rsidRDefault="00F20D61" w:rsidP="002257A3">
      <w:pPr>
        <w:spacing w:line="240" w:lineRule="auto"/>
        <w:jc w:val="both"/>
        <w:rPr>
          <w:rFonts w:cs="Times New Roman"/>
          <w:szCs w:val="24"/>
        </w:rPr>
      </w:pPr>
    </w:p>
    <w:p w14:paraId="1082DD00" w14:textId="77777777" w:rsidR="00FA2BBD" w:rsidRDefault="00FA2BBD" w:rsidP="002257A3">
      <w:pPr>
        <w:spacing w:line="240" w:lineRule="auto"/>
        <w:jc w:val="both"/>
        <w:rPr>
          <w:rFonts w:cs="Times New Roman"/>
          <w:szCs w:val="24"/>
        </w:rPr>
      </w:pPr>
    </w:p>
    <w:p w14:paraId="350171FA" w14:textId="3F4D026F" w:rsidR="00F20D61" w:rsidRPr="00F20D61" w:rsidRDefault="00F20D61" w:rsidP="00F20D61">
      <w:pPr>
        <w:pStyle w:val="Prrafodelista"/>
        <w:numPr>
          <w:ilvl w:val="0"/>
          <w:numId w:val="17"/>
        </w:numPr>
        <w:spacing w:line="240" w:lineRule="auto"/>
        <w:jc w:val="both"/>
        <w:rPr>
          <w:rFonts w:cs="Times New Roman"/>
          <w:szCs w:val="24"/>
        </w:rPr>
      </w:pPr>
      <w:r>
        <w:rPr>
          <w:rFonts w:cs="Times New Roman"/>
          <w:szCs w:val="24"/>
        </w:rPr>
        <w:t xml:space="preserve">Se aclara </w:t>
      </w:r>
      <w:r w:rsidR="000F7FC1">
        <w:rPr>
          <w:rFonts w:cs="Times New Roman"/>
          <w:szCs w:val="24"/>
        </w:rPr>
        <w:t>que cuando la normativa indica que n</w:t>
      </w:r>
      <w:r w:rsidR="000F7FC1" w:rsidRPr="00BC4654">
        <w:rPr>
          <w:rFonts w:cs="Times New Roman"/>
          <w:szCs w:val="24"/>
        </w:rPr>
        <w:t>ingún funcionario de la entidad regulada podrá ser miembro d</w:t>
      </w:r>
      <w:r w:rsidR="00D92B99">
        <w:rPr>
          <w:rFonts w:cs="Times New Roman"/>
          <w:szCs w:val="24"/>
        </w:rPr>
        <w:t>e este Comité</w:t>
      </w:r>
      <w:r w:rsidR="00207B9F">
        <w:rPr>
          <w:rFonts w:cs="Times New Roman"/>
          <w:szCs w:val="24"/>
        </w:rPr>
        <w:t xml:space="preserve">, </w:t>
      </w:r>
      <w:r w:rsidR="000A4C73">
        <w:rPr>
          <w:rFonts w:cs="Times New Roman"/>
          <w:szCs w:val="24"/>
        </w:rPr>
        <w:t xml:space="preserve">en el caso de </w:t>
      </w:r>
      <w:r w:rsidRPr="00F20D61">
        <w:rPr>
          <w:rFonts w:cs="Times New Roman"/>
          <w:szCs w:val="24"/>
        </w:rPr>
        <w:t xml:space="preserve">entidades administradoras de regímenes de pensiones sustitutos o complementarios del Régimen de Invalidez, Vejez y Muerte (IVM), creados por leyes o convenciones colectivas, </w:t>
      </w:r>
      <w:r w:rsidR="00207B9F">
        <w:rPr>
          <w:rFonts w:cs="Times New Roman"/>
          <w:szCs w:val="24"/>
        </w:rPr>
        <w:t>e</w:t>
      </w:r>
      <w:r w:rsidR="00861B84">
        <w:rPr>
          <w:rFonts w:cs="Times New Roman"/>
          <w:szCs w:val="24"/>
        </w:rPr>
        <w:t xml:space="preserve">sta </w:t>
      </w:r>
      <w:r w:rsidRPr="00F20D61">
        <w:rPr>
          <w:rFonts w:cs="Times New Roman"/>
          <w:szCs w:val="24"/>
        </w:rPr>
        <w:t xml:space="preserve">disposición </w:t>
      </w:r>
      <w:r w:rsidR="00207B9F">
        <w:rPr>
          <w:rFonts w:cs="Times New Roman"/>
          <w:szCs w:val="24"/>
        </w:rPr>
        <w:t xml:space="preserve">se encuentra referida, </w:t>
      </w:r>
      <w:r w:rsidRPr="00F20D61">
        <w:rPr>
          <w:rFonts w:cs="Times New Roman"/>
          <w:szCs w:val="24"/>
        </w:rPr>
        <w:t>únicamente</w:t>
      </w:r>
      <w:r w:rsidR="00207B9F">
        <w:rPr>
          <w:rFonts w:cs="Times New Roman"/>
          <w:szCs w:val="24"/>
        </w:rPr>
        <w:t>,</w:t>
      </w:r>
      <w:r w:rsidRPr="00F20D61">
        <w:rPr>
          <w:rFonts w:cs="Times New Roman"/>
          <w:szCs w:val="24"/>
        </w:rPr>
        <w:t xml:space="preserve"> para los funcionarios o empleados a cargo de la administración del régimen de pensiones.</w:t>
      </w:r>
      <w:r w:rsidR="00FB43D9">
        <w:rPr>
          <w:rFonts w:cs="Times New Roman"/>
          <w:szCs w:val="24"/>
        </w:rPr>
        <w:t xml:space="preserve"> De esta forma </w:t>
      </w:r>
      <w:r w:rsidR="00D6530A">
        <w:rPr>
          <w:rFonts w:cs="Times New Roman"/>
          <w:szCs w:val="24"/>
        </w:rPr>
        <w:t xml:space="preserve">podrán forma parte de esta Comité funcionarios </w:t>
      </w:r>
      <w:r w:rsidR="00344840">
        <w:rPr>
          <w:rFonts w:cs="Times New Roman"/>
          <w:szCs w:val="24"/>
        </w:rPr>
        <w:t xml:space="preserve">de la entidad patrocinadora del fondo, que no estén directamente vinculados con su administración. </w:t>
      </w:r>
    </w:p>
    <w:p w14:paraId="137E47B5" w14:textId="00C72833" w:rsidR="00F20D61" w:rsidRDefault="00F20D61" w:rsidP="00861B84">
      <w:pPr>
        <w:pStyle w:val="Prrafodelista"/>
        <w:spacing w:line="240" w:lineRule="auto"/>
        <w:ind w:left="360"/>
        <w:jc w:val="both"/>
        <w:rPr>
          <w:rFonts w:cs="Times New Roman"/>
          <w:szCs w:val="24"/>
        </w:rPr>
      </w:pPr>
    </w:p>
    <w:p w14:paraId="735DED7D" w14:textId="429C7B6B" w:rsidR="00FA2BBD" w:rsidRDefault="00FA2BBD" w:rsidP="00861B84">
      <w:pPr>
        <w:pStyle w:val="Prrafodelista"/>
        <w:spacing w:line="240" w:lineRule="auto"/>
        <w:ind w:left="360"/>
        <w:jc w:val="both"/>
        <w:rPr>
          <w:rFonts w:cs="Times New Roman"/>
          <w:szCs w:val="24"/>
        </w:rPr>
      </w:pPr>
    </w:p>
    <w:p w14:paraId="08379516" w14:textId="481A51C9" w:rsidR="00FA2BBD" w:rsidRDefault="00FA2BBD" w:rsidP="00861B84">
      <w:pPr>
        <w:pStyle w:val="Prrafodelista"/>
        <w:spacing w:line="240" w:lineRule="auto"/>
        <w:ind w:left="360"/>
        <w:jc w:val="both"/>
        <w:rPr>
          <w:rFonts w:cs="Times New Roman"/>
          <w:szCs w:val="24"/>
        </w:rPr>
      </w:pPr>
    </w:p>
    <w:p w14:paraId="34C06303" w14:textId="77777777" w:rsidR="00FA2BBD" w:rsidRPr="00F20D61" w:rsidRDefault="00FA2BBD" w:rsidP="00861B84">
      <w:pPr>
        <w:pStyle w:val="Prrafodelista"/>
        <w:spacing w:line="240" w:lineRule="auto"/>
        <w:ind w:left="360"/>
        <w:jc w:val="both"/>
        <w:rPr>
          <w:rFonts w:cs="Times New Roman"/>
          <w:szCs w:val="24"/>
        </w:rPr>
      </w:pPr>
    </w:p>
    <w:p w14:paraId="7534882C" w14:textId="7F33A01A" w:rsidR="00F20D61" w:rsidRPr="00F20D61" w:rsidRDefault="00C45C83" w:rsidP="00F20D61">
      <w:pPr>
        <w:pStyle w:val="Prrafodelista"/>
        <w:numPr>
          <w:ilvl w:val="0"/>
          <w:numId w:val="17"/>
        </w:numPr>
        <w:spacing w:line="240" w:lineRule="auto"/>
        <w:jc w:val="both"/>
        <w:rPr>
          <w:rFonts w:cs="Times New Roman"/>
          <w:szCs w:val="24"/>
        </w:rPr>
      </w:pPr>
      <w:r>
        <w:rPr>
          <w:rFonts w:cs="Times New Roman"/>
          <w:szCs w:val="24"/>
        </w:rPr>
        <w:lastRenderedPageBreak/>
        <w:t>En el caso de la</w:t>
      </w:r>
      <w:r w:rsidR="007F2281">
        <w:rPr>
          <w:rFonts w:cs="Times New Roman"/>
          <w:szCs w:val="24"/>
        </w:rPr>
        <w:t>s</w:t>
      </w:r>
      <w:r>
        <w:rPr>
          <w:rFonts w:cs="Times New Roman"/>
          <w:szCs w:val="24"/>
        </w:rPr>
        <w:t xml:space="preserve"> </w:t>
      </w:r>
      <w:r w:rsidR="00010B69">
        <w:rPr>
          <w:rFonts w:cs="Times New Roman"/>
          <w:szCs w:val="24"/>
        </w:rPr>
        <w:t>operador</w:t>
      </w:r>
      <w:r>
        <w:rPr>
          <w:rFonts w:cs="Times New Roman"/>
          <w:szCs w:val="24"/>
        </w:rPr>
        <w:t>as</w:t>
      </w:r>
      <w:r w:rsidR="00010B69">
        <w:rPr>
          <w:rFonts w:cs="Times New Roman"/>
          <w:szCs w:val="24"/>
        </w:rPr>
        <w:t xml:space="preserve"> de pensiones </w:t>
      </w:r>
      <w:r w:rsidR="00B23F88">
        <w:rPr>
          <w:rFonts w:cs="Times New Roman"/>
          <w:szCs w:val="24"/>
        </w:rPr>
        <w:t>que administre</w:t>
      </w:r>
      <w:r>
        <w:rPr>
          <w:rFonts w:cs="Times New Roman"/>
          <w:szCs w:val="24"/>
        </w:rPr>
        <w:t>n</w:t>
      </w:r>
      <w:r w:rsidR="00B23F88">
        <w:rPr>
          <w:rFonts w:cs="Times New Roman"/>
          <w:szCs w:val="24"/>
        </w:rPr>
        <w:t xml:space="preserve"> </w:t>
      </w:r>
      <w:r>
        <w:rPr>
          <w:rFonts w:cs="Times New Roman"/>
          <w:szCs w:val="24"/>
        </w:rPr>
        <w:t>f</w:t>
      </w:r>
      <w:r w:rsidR="00F20D61" w:rsidRPr="00F20D61">
        <w:rPr>
          <w:rFonts w:cs="Times New Roman"/>
          <w:szCs w:val="24"/>
        </w:rPr>
        <w:t>ondo de pensi</w:t>
      </w:r>
      <w:r w:rsidR="005F2BEF">
        <w:rPr>
          <w:rFonts w:cs="Times New Roman"/>
          <w:szCs w:val="24"/>
        </w:rPr>
        <w:t>ones</w:t>
      </w:r>
      <w:r w:rsidR="00F20D61" w:rsidRPr="00F20D61">
        <w:rPr>
          <w:rFonts w:cs="Times New Roman"/>
          <w:szCs w:val="24"/>
        </w:rPr>
        <w:t xml:space="preserve"> complementaria</w:t>
      </w:r>
      <w:r w:rsidR="005D318A">
        <w:rPr>
          <w:rFonts w:cs="Times New Roman"/>
          <w:szCs w:val="24"/>
        </w:rPr>
        <w:t>s</w:t>
      </w:r>
      <w:r w:rsidR="00F20D61" w:rsidRPr="00F20D61">
        <w:rPr>
          <w:rFonts w:cs="Times New Roman"/>
          <w:szCs w:val="24"/>
        </w:rPr>
        <w:t xml:space="preserve"> creado</w:t>
      </w:r>
      <w:r w:rsidR="00E85568">
        <w:rPr>
          <w:rFonts w:cs="Times New Roman"/>
          <w:szCs w:val="24"/>
        </w:rPr>
        <w:t>s</w:t>
      </w:r>
      <w:r w:rsidR="00F20D61" w:rsidRPr="00F20D61">
        <w:rPr>
          <w:rFonts w:cs="Times New Roman"/>
          <w:szCs w:val="24"/>
        </w:rPr>
        <w:t xml:space="preserve"> </w:t>
      </w:r>
      <w:r w:rsidR="00012326">
        <w:rPr>
          <w:rFonts w:cs="Times New Roman"/>
          <w:szCs w:val="24"/>
        </w:rPr>
        <w:t>por</w:t>
      </w:r>
      <w:r w:rsidR="00E85568">
        <w:rPr>
          <w:rFonts w:cs="Times New Roman"/>
          <w:szCs w:val="24"/>
        </w:rPr>
        <w:t xml:space="preserve"> </w:t>
      </w:r>
      <w:r w:rsidR="00012326">
        <w:rPr>
          <w:rFonts w:cs="Times New Roman"/>
          <w:szCs w:val="24"/>
        </w:rPr>
        <w:t>ley</w:t>
      </w:r>
      <w:r w:rsidR="00E85568">
        <w:rPr>
          <w:rFonts w:cs="Times New Roman"/>
          <w:szCs w:val="24"/>
        </w:rPr>
        <w:t>es</w:t>
      </w:r>
      <w:r w:rsidR="00012326">
        <w:rPr>
          <w:rFonts w:cs="Times New Roman"/>
          <w:szCs w:val="24"/>
        </w:rPr>
        <w:t xml:space="preserve"> especial</w:t>
      </w:r>
      <w:r w:rsidR="00E85568">
        <w:rPr>
          <w:rFonts w:cs="Times New Roman"/>
          <w:szCs w:val="24"/>
        </w:rPr>
        <w:t xml:space="preserve">es, se establece que </w:t>
      </w:r>
      <w:r w:rsidR="00C453FD">
        <w:rPr>
          <w:rFonts w:cs="Times New Roman"/>
          <w:szCs w:val="24"/>
        </w:rPr>
        <w:t xml:space="preserve">cuando en el </w:t>
      </w:r>
      <w:r w:rsidR="00E85568">
        <w:rPr>
          <w:rFonts w:cs="Times New Roman"/>
          <w:szCs w:val="24"/>
        </w:rPr>
        <w:t>Comité de Riesgos</w:t>
      </w:r>
      <w:r w:rsidR="00CC07AA">
        <w:rPr>
          <w:rFonts w:cs="Times New Roman"/>
          <w:szCs w:val="24"/>
        </w:rPr>
        <w:t xml:space="preserve"> de la operadora</w:t>
      </w:r>
      <w:r w:rsidR="00E85568">
        <w:rPr>
          <w:rFonts w:cs="Times New Roman"/>
          <w:szCs w:val="24"/>
        </w:rPr>
        <w:t xml:space="preserve"> </w:t>
      </w:r>
      <w:r w:rsidR="00C453FD">
        <w:rPr>
          <w:rFonts w:cs="Times New Roman"/>
          <w:szCs w:val="24"/>
        </w:rPr>
        <w:t xml:space="preserve">se tomen decisiones relacionadas con dichos fondos, en este </w:t>
      </w:r>
      <w:r w:rsidR="00F20D61" w:rsidRPr="00F20D61">
        <w:rPr>
          <w:rFonts w:cs="Times New Roman"/>
          <w:szCs w:val="24"/>
        </w:rPr>
        <w:t xml:space="preserve">debe participar, con derecho a voz y voto, un miembro de la </w:t>
      </w:r>
      <w:r w:rsidR="00C83C4C">
        <w:rPr>
          <w:rFonts w:cs="Times New Roman"/>
          <w:szCs w:val="24"/>
        </w:rPr>
        <w:t>j</w:t>
      </w:r>
      <w:r w:rsidR="00F20D61" w:rsidRPr="00F20D61">
        <w:rPr>
          <w:rFonts w:cs="Times New Roman"/>
          <w:szCs w:val="24"/>
        </w:rPr>
        <w:t xml:space="preserve">unta </w:t>
      </w:r>
      <w:r w:rsidR="00C83C4C">
        <w:rPr>
          <w:rFonts w:cs="Times New Roman"/>
          <w:szCs w:val="24"/>
        </w:rPr>
        <w:t>d</w:t>
      </w:r>
      <w:r w:rsidR="00F20D61" w:rsidRPr="00F20D61">
        <w:rPr>
          <w:rFonts w:cs="Times New Roman"/>
          <w:szCs w:val="24"/>
        </w:rPr>
        <w:t xml:space="preserve">irectiva o </w:t>
      </w:r>
      <w:r w:rsidR="00C83C4C">
        <w:rPr>
          <w:rFonts w:cs="Times New Roman"/>
          <w:szCs w:val="24"/>
        </w:rPr>
        <w:t>j</w:t>
      </w:r>
      <w:r w:rsidR="00F20D61" w:rsidRPr="00F20D61">
        <w:rPr>
          <w:rFonts w:cs="Times New Roman"/>
          <w:szCs w:val="24"/>
        </w:rPr>
        <w:t xml:space="preserve">unta </w:t>
      </w:r>
      <w:r w:rsidR="00C83C4C">
        <w:rPr>
          <w:rFonts w:cs="Times New Roman"/>
          <w:szCs w:val="24"/>
        </w:rPr>
        <w:t>a</w:t>
      </w:r>
      <w:r w:rsidR="00F20D61" w:rsidRPr="00F20D61">
        <w:rPr>
          <w:rFonts w:cs="Times New Roman"/>
          <w:szCs w:val="24"/>
        </w:rPr>
        <w:t xml:space="preserve">dministradora del </w:t>
      </w:r>
      <w:r w:rsidR="00010B69">
        <w:rPr>
          <w:rFonts w:cs="Times New Roman"/>
          <w:szCs w:val="24"/>
        </w:rPr>
        <w:t xml:space="preserve">correspondiente fondo complementario. </w:t>
      </w:r>
      <w:r w:rsidR="005F3E76">
        <w:rPr>
          <w:rFonts w:cs="Times New Roman"/>
          <w:szCs w:val="24"/>
        </w:rPr>
        <w:t xml:space="preserve">Esto debido a que la redacción actual de esta norma </w:t>
      </w:r>
      <w:r w:rsidR="00202BE0" w:rsidRPr="00202BE0">
        <w:rPr>
          <w:rFonts w:cs="Times New Roman"/>
          <w:szCs w:val="24"/>
        </w:rPr>
        <w:t>ha generado consultas sobre si lo que la norma exige es la participación de un miembro del órgano de dirección, un miembro del órgano de dirección que tenga la condición de representante legal del fondo o, simplemente, un tercero, no integrante del órgano de dirección nombrado por este para que lo represente en el Comité de Riesgos de la operadora</w:t>
      </w:r>
      <w:r w:rsidR="00B23F88">
        <w:rPr>
          <w:rFonts w:cs="Times New Roman"/>
          <w:szCs w:val="24"/>
        </w:rPr>
        <w:t xml:space="preserve">.  </w:t>
      </w:r>
    </w:p>
    <w:p w14:paraId="4C650532" w14:textId="77777777" w:rsidR="002257A3" w:rsidRPr="002257A3" w:rsidRDefault="002257A3" w:rsidP="002257A3">
      <w:pPr>
        <w:spacing w:line="240" w:lineRule="auto"/>
        <w:jc w:val="both"/>
        <w:rPr>
          <w:rFonts w:cs="Times New Roman"/>
          <w:szCs w:val="24"/>
        </w:rPr>
      </w:pPr>
    </w:p>
    <w:p w14:paraId="555CCA50" w14:textId="062AE1F0" w:rsidR="00B37818" w:rsidRPr="00B37818" w:rsidRDefault="002257A3" w:rsidP="00B37818">
      <w:pPr>
        <w:spacing w:line="240" w:lineRule="auto"/>
        <w:jc w:val="both"/>
        <w:rPr>
          <w:rFonts w:cs="Times New Roman"/>
          <w:szCs w:val="24"/>
        </w:rPr>
      </w:pPr>
      <w:r w:rsidRPr="002257A3">
        <w:rPr>
          <w:rFonts w:cs="Times New Roman"/>
          <w:szCs w:val="24"/>
        </w:rPr>
        <w:t xml:space="preserve">Finalmente, </w:t>
      </w:r>
      <w:r w:rsidR="00071DE5">
        <w:rPr>
          <w:rFonts w:cs="Times New Roman"/>
          <w:szCs w:val="24"/>
        </w:rPr>
        <w:t xml:space="preserve">se plantea una </w:t>
      </w:r>
      <w:r w:rsidR="003424BC">
        <w:rPr>
          <w:rFonts w:cs="Times New Roman"/>
          <w:szCs w:val="24"/>
        </w:rPr>
        <w:t>reforma</w:t>
      </w:r>
      <w:r w:rsidR="0074278F">
        <w:rPr>
          <w:rFonts w:cs="Times New Roman"/>
          <w:szCs w:val="24"/>
        </w:rPr>
        <w:t xml:space="preserve"> </w:t>
      </w:r>
      <w:r w:rsidR="00071DE5">
        <w:rPr>
          <w:rFonts w:cs="Times New Roman"/>
          <w:szCs w:val="24"/>
        </w:rPr>
        <w:t>a</w:t>
      </w:r>
      <w:r w:rsidR="0074278F">
        <w:rPr>
          <w:rFonts w:cs="Times New Roman"/>
          <w:szCs w:val="24"/>
        </w:rPr>
        <w:t xml:space="preserve">l </w:t>
      </w:r>
      <w:r w:rsidRPr="002257A3">
        <w:rPr>
          <w:rFonts w:cs="Times New Roman"/>
          <w:szCs w:val="24"/>
        </w:rPr>
        <w:t xml:space="preserve">inciso c) del artículo 15 Reglamento de </w:t>
      </w:r>
      <w:r w:rsidR="0074278F">
        <w:rPr>
          <w:rFonts w:cs="Times New Roman"/>
          <w:szCs w:val="24"/>
        </w:rPr>
        <w:t>R</w:t>
      </w:r>
      <w:r w:rsidRPr="002257A3">
        <w:rPr>
          <w:rFonts w:cs="Times New Roman"/>
          <w:szCs w:val="24"/>
        </w:rPr>
        <w:t xml:space="preserve">iesgos y </w:t>
      </w:r>
      <w:r w:rsidR="00071DE5">
        <w:rPr>
          <w:rFonts w:cs="Times New Roman"/>
          <w:szCs w:val="24"/>
        </w:rPr>
        <w:t>a</w:t>
      </w:r>
      <w:r w:rsidRPr="002257A3">
        <w:rPr>
          <w:rFonts w:cs="Times New Roman"/>
          <w:szCs w:val="24"/>
        </w:rPr>
        <w:t xml:space="preserve">l inciso b) del artículo 10 del Reglamento de </w:t>
      </w:r>
      <w:r w:rsidR="0074278F">
        <w:rPr>
          <w:rFonts w:cs="Times New Roman"/>
          <w:szCs w:val="24"/>
        </w:rPr>
        <w:t>G</w:t>
      </w:r>
      <w:r w:rsidRPr="002257A3">
        <w:rPr>
          <w:rFonts w:cs="Times New Roman"/>
          <w:szCs w:val="24"/>
        </w:rPr>
        <w:t xml:space="preserve">estión de </w:t>
      </w:r>
      <w:r w:rsidR="0074278F">
        <w:rPr>
          <w:rFonts w:cs="Times New Roman"/>
          <w:szCs w:val="24"/>
        </w:rPr>
        <w:t>A</w:t>
      </w:r>
      <w:r w:rsidRPr="002257A3">
        <w:rPr>
          <w:rFonts w:cs="Times New Roman"/>
          <w:szCs w:val="24"/>
        </w:rPr>
        <w:t>ctivos</w:t>
      </w:r>
      <w:r w:rsidR="00C83068">
        <w:rPr>
          <w:rFonts w:cs="Times New Roman"/>
          <w:szCs w:val="24"/>
        </w:rPr>
        <w:t xml:space="preserve">, </w:t>
      </w:r>
      <w:r w:rsidR="0074278F">
        <w:rPr>
          <w:rFonts w:cs="Times New Roman"/>
          <w:szCs w:val="24"/>
        </w:rPr>
        <w:t xml:space="preserve">con el fin de aclarar que </w:t>
      </w:r>
      <w:r w:rsidR="00071DE5">
        <w:rPr>
          <w:rFonts w:cs="Times New Roman"/>
          <w:szCs w:val="24"/>
        </w:rPr>
        <w:t>c</w:t>
      </w:r>
      <w:r w:rsidR="00F771AC" w:rsidRPr="00F771AC">
        <w:rPr>
          <w:rFonts w:cs="Times New Roman"/>
          <w:szCs w:val="24"/>
        </w:rPr>
        <w:t xml:space="preserve">ada uno de los miembros </w:t>
      </w:r>
      <w:r w:rsidR="00C83068">
        <w:rPr>
          <w:rFonts w:cs="Times New Roman"/>
          <w:szCs w:val="24"/>
        </w:rPr>
        <w:t xml:space="preserve">del Comité de Riesgos y del Comité de Inversiones de las entidades reguladas </w:t>
      </w:r>
      <w:r w:rsidR="00DD679B">
        <w:rPr>
          <w:rFonts w:cs="Times New Roman"/>
          <w:szCs w:val="24"/>
        </w:rPr>
        <w:t>debe cumplir con el requisito de n</w:t>
      </w:r>
      <w:r w:rsidR="00B37818" w:rsidRPr="00B37818">
        <w:rPr>
          <w:rFonts w:cs="Times New Roman"/>
          <w:szCs w:val="24"/>
        </w:rPr>
        <w:t>o haber sido condenados mediante sentencia firme por la comisión de:</w:t>
      </w:r>
    </w:p>
    <w:p w14:paraId="63CA3142" w14:textId="77777777" w:rsidR="00B37818" w:rsidRPr="00B37818" w:rsidRDefault="00B37818" w:rsidP="00B37818">
      <w:pPr>
        <w:spacing w:line="240" w:lineRule="auto"/>
        <w:jc w:val="both"/>
        <w:rPr>
          <w:rFonts w:cs="Times New Roman"/>
          <w:szCs w:val="24"/>
        </w:rPr>
      </w:pPr>
    </w:p>
    <w:p w14:paraId="5ED094C8" w14:textId="381A69CD" w:rsidR="00B37818" w:rsidRPr="00693DFE" w:rsidRDefault="00B37818" w:rsidP="00693DFE">
      <w:pPr>
        <w:pStyle w:val="Prrafodelista"/>
        <w:numPr>
          <w:ilvl w:val="1"/>
          <w:numId w:val="18"/>
        </w:numPr>
        <w:spacing w:line="240" w:lineRule="auto"/>
        <w:ind w:left="360"/>
        <w:jc w:val="both"/>
        <w:rPr>
          <w:rFonts w:cs="Times New Roman"/>
          <w:szCs w:val="24"/>
        </w:rPr>
      </w:pPr>
      <w:r w:rsidRPr="00693DFE">
        <w:rPr>
          <w:rFonts w:cs="Times New Roman"/>
          <w:szCs w:val="24"/>
        </w:rPr>
        <w:t xml:space="preserve">Algún delito contra la propiedad, contra la buena fe en los negocios, los deberes en la </w:t>
      </w:r>
      <w:r w:rsidR="00033913" w:rsidRPr="00693DFE">
        <w:rPr>
          <w:rFonts w:cs="Times New Roman"/>
          <w:szCs w:val="24"/>
        </w:rPr>
        <w:t>función y la fe públicas</w:t>
      </w:r>
      <w:r w:rsidRPr="00693DFE">
        <w:rPr>
          <w:rFonts w:cs="Times New Roman"/>
          <w:szCs w:val="24"/>
        </w:rPr>
        <w:t xml:space="preserve"> previstos en el Código Penal.</w:t>
      </w:r>
    </w:p>
    <w:p w14:paraId="02E89467" w14:textId="77777777" w:rsidR="00B37818" w:rsidRPr="00B37818" w:rsidRDefault="00B37818" w:rsidP="00693DFE">
      <w:pPr>
        <w:spacing w:line="240" w:lineRule="auto"/>
        <w:jc w:val="both"/>
        <w:rPr>
          <w:rFonts w:cs="Times New Roman"/>
          <w:szCs w:val="24"/>
        </w:rPr>
      </w:pPr>
    </w:p>
    <w:p w14:paraId="2F91DB6E" w14:textId="6472A904" w:rsidR="00B37818" w:rsidRPr="00693DFE" w:rsidRDefault="00B37818" w:rsidP="00693DFE">
      <w:pPr>
        <w:pStyle w:val="Prrafodelista"/>
        <w:numPr>
          <w:ilvl w:val="1"/>
          <w:numId w:val="18"/>
        </w:numPr>
        <w:spacing w:line="240" w:lineRule="auto"/>
        <w:ind w:left="360"/>
        <w:jc w:val="both"/>
        <w:rPr>
          <w:rFonts w:cs="Times New Roman"/>
          <w:szCs w:val="24"/>
        </w:rPr>
      </w:pPr>
      <w:r w:rsidRPr="00693DFE">
        <w:rPr>
          <w:rFonts w:cs="Times New Roman"/>
          <w:szCs w:val="24"/>
        </w:rPr>
        <w:t>Alguno de los delitos previstos en la</w:t>
      </w:r>
      <w:r w:rsidR="00443DC9" w:rsidRPr="00693DFE">
        <w:rPr>
          <w:rFonts w:cs="Times New Roman"/>
          <w:szCs w:val="24"/>
        </w:rPr>
        <w:t xml:space="preserve"> Ley </w:t>
      </w:r>
      <w:r w:rsidRPr="00693DFE">
        <w:rPr>
          <w:rFonts w:cs="Times New Roman"/>
          <w:szCs w:val="24"/>
        </w:rPr>
        <w:t>N</w:t>
      </w:r>
      <w:r w:rsidR="00443DC9" w:rsidRPr="00693DFE">
        <w:rPr>
          <w:rFonts w:cs="Times New Roman"/>
          <w:szCs w:val="24"/>
        </w:rPr>
        <w:t>°.</w:t>
      </w:r>
      <w:r w:rsidRPr="00693DFE">
        <w:rPr>
          <w:rFonts w:cs="Times New Roman"/>
          <w:szCs w:val="24"/>
        </w:rPr>
        <w:t>8204, Reforma integral Ley sobre estupefacientes, sustancias psicotrópicas, drogas de uso no autorizado, actividades conexas, legitimación de capitales y financiamiento al terrorismo.</w:t>
      </w:r>
    </w:p>
    <w:p w14:paraId="099BE4A8" w14:textId="77777777" w:rsidR="00B37818" w:rsidRPr="00B37818" w:rsidRDefault="00B37818" w:rsidP="00693DFE">
      <w:pPr>
        <w:spacing w:line="240" w:lineRule="auto"/>
        <w:jc w:val="both"/>
        <w:rPr>
          <w:rFonts w:cs="Times New Roman"/>
          <w:szCs w:val="24"/>
        </w:rPr>
      </w:pPr>
    </w:p>
    <w:p w14:paraId="3C9FB568" w14:textId="0C5779B5" w:rsidR="00B37818" w:rsidRPr="00693DFE" w:rsidRDefault="00B37818" w:rsidP="00693DFE">
      <w:pPr>
        <w:pStyle w:val="Prrafodelista"/>
        <w:numPr>
          <w:ilvl w:val="1"/>
          <w:numId w:val="18"/>
        </w:numPr>
        <w:spacing w:line="240" w:lineRule="auto"/>
        <w:ind w:left="360"/>
        <w:jc w:val="both"/>
        <w:rPr>
          <w:rFonts w:cs="Times New Roman"/>
          <w:szCs w:val="24"/>
        </w:rPr>
      </w:pPr>
      <w:r w:rsidRPr="00693DFE">
        <w:rPr>
          <w:rFonts w:cs="Times New Roman"/>
          <w:szCs w:val="24"/>
        </w:rPr>
        <w:t>Alguno de los delitos previstos en la ley N</w:t>
      </w:r>
      <w:r w:rsidR="00443DC9" w:rsidRPr="00693DFE">
        <w:rPr>
          <w:rFonts w:cs="Times New Roman"/>
          <w:szCs w:val="24"/>
        </w:rPr>
        <w:t>°.</w:t>
      </w:r>
      <w:r w:rsidRPr="00693DFE">
        <w:rPr>
          <w:rFonts w:cs="Times New Roman"/>
          <w:szCs w:val="24"/>
        </w:rPr>
        <w:t>8422, Ley contra la Corrupción y el Enriquecimiento Ilícito en la Función Pública.</w:t>
      </w:r>
    </w:p>
    <w:p w14:paraId="55FF2F58" w14:textId="77777777" w:rsidR="00B37818" w:rsidRPr="00B37818" w:rsidRDefault="00B37818" w:rsidP="00693DFE">
      <w:pPr>
        <w:spacing w:line="240" w:lineRule="auto"/>
        <w:jc w:val="both"/>
        <w:rPr>
          <w:rFonts w:cs="Times New Roman"/>
          <w:szCs w:val="24"/>
        </w:rPr>
      </w:pPr>
    </w:p>
    <w:p w14:paraId="1BEB28F8" w14:textId="4611DCA9" w:rsidR="002048D5" w:rsidRDefault="00B37818" w:rsidP="00B37818">
      <w:pPr>
        <w:spacing w:line="240" w:lineRule="auto"/>
        <w:jc w:val="both"/>
        <w:rPr>
          <w:rFonts w:cs="Times New Roman"/>
          <w:szCs w:val="24"/>
        </w:rPr>
      </w:pPr>
      <w:r w:rsidRPr="00B37818">
        <w:rPr>
          <w:rFonts w:cs="Times New Roman"/>
          <w:szCs w:val="24"/>
        </w:rPr>
        <w:t>Lo anterior, salvo que se haya efectuado la cancelación de los correspondientes asientos en el Registro Judicial, una vez cumplidos los plazos y condiciones establecidos en la Ley del Registro y Archivos Judiciales, No. 6723.</w:t>
      </w:r>
    </w:p>
    <w:p w14:paraId="364B2A05" w14:textId="69FFD6F6" w:rsidR="00544D5A" w:rsidRDefault="00544D5A" w:rsidP="00B37818">
      <w:pPr>
        <w:spacing w:line="240" w:lineRule="auto"/>
        <w:jc w:val="both"/>
        <w:rPr>
          <w:rFonts w:cs="Times New Roman"/>
          <w:szCs w:val="24"/>
        </w:rPr>
      </w:pPr>
    </w:p>
    <w:p w14:paraId="16E6914F" w14:textId="70C69C4E" w:rsidR="00544D5A" w:rsidRDefault="007446C0" w:rsidP="00B37818">
      <w:pPr>
        <w:spacing w:line="240" w:lineRule="auto"/>
        <w:jc w:val="both"/>
        <w:rPr>
          <w:rFonts w:cs="Times New Roman"/>
          <w:szCs w:val="24"/>
        </w:rPr>
      </w:pPr>
      <w:r>
        <w:rPr>
          <w:rFonts w:cs="Times New Roman"/>
          <w:szCs w:val="24"/>
        </w:rPr>
        <w:t>Esta Asesoría</w:t>
      </w:r>
      <w:r w:rsidR="00A622C3">
        <w:rPr>
          <w:rFonts w:cs="Times New Roman"/>
          <w:szCs w:val="24"/>
        </w:rPr>
        <w:t xml:space="preserve"> </w:t>
      </w:r>
      <w:r>
        <w:rPr>
          <w:rFonts w:cs="Times New Roman"/>
          <w:szCs w:val="24"/>
        </w:rPr>
        <w:t xml:space="preserve">considera que tanto la </w:t>
      </w:r>
      <w:r w:rsidR="00544D5A">
        <w:rPr>
          <w:rFonts w:cs="Times New Roman"/>
          <w:szCs w:val="24"/>
        </w:rPr>
        <w:t xml:space="preserve">reforma al artículo 14 del Reglamento de Riesgos, </w:t>
      </w:r>
      <w:r>
        <w:rPr>
          <w:rFonts w:cs="Times New Roman"/>
          <w:szCs w:val="24"/>
        </w:rPr>
        <w:t>como la</w:t>
      </w:r>
      <w:r w:rsidR="00DC2040">
        <w:rPr>
          <w:rFonts w:cs="Times New Roman"/>
          <w:szCs w:val="24"/>
        </w:rPr>
        <w:t>s</w:t>
      </w:r>
      <w:r>
        <w:rPr>
          <w:rFonts w:cs="Times New Roman"/>
          <w:szCs w:val="24"/>
        </w:rPr>
        <w:t xml:space="preserve"> reforma</w:t>
      </w:r>
      <w:r w:rsidR="00DC2040">
        <w:rPr>
          <w:rFonts w:cs="Times New Roman"/>
          <w:szCs w:val="24"/>
        </w:rPr>
        <w:t>s</w:t>
      </w:r>
      <w:r>
        <w:rPr>
          <w:rFonts w:cs="Times New Roman"/>
          <w:szCs w:val="24"/>
        </w:rPr>
        <w:t xml:space="preserve"> </w:t>
      </w:r>
      <w:r w:rsidR="00544D5A">
        <w:rPr>
          <w:rFonts w:cs="Times New Roman"/>
          <w:szCs w:val="24"/>
        </w:rPr>
        <w:t>a</w:t>
      </w:r>
      <w:r w:rsidRPr="007446C0">
        <w:rPr>
          <w:rFonts w:cs="Times New Roman"/>
          <w:szCs w:val="24"/>
        </w:rPr>
        <w:t>l inciso c) del artículo 15 Reglamento de Riesgos y al inciso b) del artículo 10 del Reglamento de Gestión de Activos</w:t>
      </w:r>
      <w:r w:rsidR="00DC2040">
        <w:rPr>
          <w:rFonts w:cs="Times New Roman"/>
          <w:szCs w:val="24"/>
        </w:rPr>
        <w:t>, se encuentran ajustas al ordenamiento jurídico</w:t>
      </w:r>
      <w:r w:rsidR="00693DFE">
        <w:rPr>
          <w:rFonts w:cs="Times New Roman"/>
          <w:szCs w:val="24"/>
        </w:rPr>
        <w:t xml:space="preserve"> y contribuyen </w:t>
      </w:r>
      <w:r w:rsidR="006E482F">
        <w:rPr>
          <w:rFonts w:cs="Times New Roman"/>
          <w:szCs w:val="24"/>
        </w:rPr>
        <w:t xml:space="preserve">a aclarar aspectos que se requieren para </w:t>
      </w:r>
      <w:r w:rsidR="00693DFE">
        <w:rPr>
          <w:rFonts w:cs="Times New Roman"/>
          <w:szCs w:val="24"/>
        </w:rPr>
        <w:t>una mejor aplicación de ambos instrumentos normativos</w:t>
      </w:r>
      <w:r>
        <w:rPr>
          <w:rFonts w:cs="Times New Roman"/>
          <w:szCs w:val="24"/>
        </w:rPr>
        <w:t xml:space="preserve">. </w:t>
      </w:r>
    </w:p>
    <w:p w14:paraId="72B12882" w14:textId="3F1F8340" w:rsidR="00FC6F5F" w:rsidRDefault="00FC6F5F" w:rsidP="002257A3">
      <w:pPr>
        <w:spacing w:line="240" w:lineRule="auto"/>
        <w:ind w:firstLine="708"/>
        <w:jc w:val="both"/>
        <w:rPr>
          <w:rFonts w:cs="Times New Roman"/>
          <w:color w:val="000000"/>
          <w:sz w:val="22"/>
          <w:lang w:val="es-CR"/>
        </w:rPr>
      </w:pPr>
    </w:p>
    <w:p w14:paraId="64F51CB7" w14:textId="70890FCB" w:rsidR="00915AD7" w:rsidRPr="00E66F32" w:rsidRDefault="00915AD7" w:rsidP="002257A3">
      <w:pPr>
        <w:pStyle w:val="Prrafodelista"/>
        <w:numPr>
          <w:ilvl w:val="0"/>
          <w:numId w:val="10"/>
        </w:numPr>
        <w:spacing w:line="240" w:lineRule="auto"/>
        <w:jc w:val="both"/>
        <w:rPr>
          <w:rFonts w:cs="Times New Roman"/>
          <w:b/>
          <w:bCs/>
          <w:szCs w:val="24"/>
        </w:rPr>
      </w:pPr>
      <w:r w:rsidRPr="00AF76E7">
        <w:rPr>
          <w:rFonts w:cs="Times New Roman"/>
          <w:b/>
          <w:bCs/>
          <w:szCs w:val="24"/>
        </w:rPr>
        <w:t>Conclusión</w:t>
      </w:r>
    </w:p>
    <w:p w14:paraId="081CF394" w14:textId="77777777" w:rsidR="00915AD7" w:rsidRDefault="00915AD7" w:rsidP="002257A3">
      <w:pPr>
        <w:spacing w:line="240" w:lineRule="auto"/>
        <w:jc w:val="both"/>
        <w:rPr>
          <w:rFonts w:cs="Times New Roman"/>
          <w:szCs w:val="24"/>
        </w:rPr>
      </w:pPr>
    </w:p>
    <w:p w14:paraId="5D426BB0" w14:textId="21F23745" w:rsidR="001C06A7" w:rsidRDefault="00E0468B" w:rsidP="002257A3">
      <w:pPr>
        <w:spacing w:line="240" w:lineRule="auto"/>
        <w:jc w:val="both"/>
        <w:rPr>
          <w:rFonts w:cs="Times New Roman"/>
          <w:szCs w:val="24"/>
        </w:rPr>
      </w:pPr>
      <w:r>
        <w:rPr>
          <w:rFonts w:cs="Times New Roman"/>
          <w:szCs w:val="24"/>
        </w:rPr>
        <w:t>En consecuencia</w:t>
      </w:r>
      <w:r w:rsidR="00E66F32">
        <w:rPr>
          <w:rFonts w:cs="Times New Roman"/>
          <w:szCs w:val="24"/>
        </w:rPr>
        <w:t>,</w:t>
      </w:r>
      <w:r>
        <w:rPr>
          <w:rFonts w:cs="Times New Roman"/>
          <w:szCs w:val="24"/>
        </w:rPr>
        <w:t xml:space="preserve"> e</w:t>
      </w:r>
      <w:r w:rsidR="00E914A5">
        <w:rPr>
          <w:rFonts w:cs="Times New Roman"/>
          <w:szCs w:val="24"/>
        </w:rPr>
        <w:t xml:space="preserve">s </w:t>
      </w:r>
      <w:r w:rsidR="001C06A7" w:rsidRPr="00BD0CEB">
        <w:rPr>
          <w:rFonts w:cs="Times New Roman"/>
          <w:szCs w:val="24"/>
        </w:rPr>
        <w:t xml:space="preserve">criterio de esta División de Asesoría Jurídica que </w:t>
      </w:r>
      <w:r w:rsidR="007B5FDB">
        <w:rPr>
          <w:rFonts w:cs="Times New Roman"/>
          <w:szCs w:val="24"/>
        </w:rPr>
        <w:t xml:space="preserve">la </w:t>
      </w:r>
      <w:r w:rsidR="00E66F32">
        <w:rPr>
          <w:rFonts w:cs="Times New Roman"/>
          <w:szCs w:val="24"/>
        </w:rPr>
        <w:t>propuesta de</w:t>
      </w:r>
      <w:r w:rsidR="00DD5165">
        <w:rPr>
          <w:rFonts w:cs="Times New Roman"/>
          <w:szCs w:val="24"/>
        </w:rPr>
        <w:t xml:space="preserve"> </w:t>
      </w:r>
      <w:r w:rsidR="00584AB6" w:rsidRPr="005A54B3">
        <w:rPr>
          <w:rFonts w:cs="Times New Roman"/>
          <w:i/>
          <w:szCs w:val="24"/>
        </w:rPr>
        <w:t xml:space="preserve">Modificación del acápite xxi, inciso 2.4, del artículo 2, el segundo párrafo del artículo 25, y 26, todos, del Reglamento sobre Gobierno Corporativo; los artículos 1, el párrafo segundo </w:t>
      </w:r>
      <w:r w:rsidR="00584AB6" w:rsidRPr="005A54B3">
        <w:rPr>
          <w:rFonts w:cs="Times New Roman"/>
          <w:i/>
          <w:szCs w:val="24"/>
        </w:rPr>
        <w:lastRenderedPageBreak/>
        <w:t>y tercero del artículo 14 y el artículo 15, todos del Reglamento de Riesgos; y el inciso b) del artículo 10 del Reglamento de Gestión de Activos</w:t>
      </w:r>
      <w:r w:rsidR="00584AB6">
        <w:rPr>
          <w:rFonts w:cs="Times New Roman"/>
          <w:szCs w:val="24"/>
        </w:rPr>
        <w:t xml:space="preserve">, se </w:t>
      </w:r>
      <w:r w:rsidR="00A86616">
        <w:rPr>
          <w:rFonts w:cs="Times New Roman"/>
          <w:szCs w:val="24"/>
        </w:rPr>
        <w:t>encuentra ajustada</w:t>
      </w:r>
      <w:r w:rsidR="00584AB6">
        <w:rPr>
          <w:rFonts w:cs="Times New Roman"/>
          <w:szCs w:val="24"/>
        </w:rPr>
        <w:t xml:space="preserve"> </w:t>
      </w:r>
      <w:r w:rsidR="004D5F7B">
        <w:rPr>
          <w:rFonts w:cs="Times New Roman"/>
          <w:szCs w:val="24"/>
        </w:rPr>
        <w:t>al ordenamiento jurídico</w:t>
      </w:r>
      <w:r w:rsidR="00DB1123">
        <w:rPr>
          <w:rFonts w:cs="Times New Roman"/>
          <w:szCs w:val="24"/>
        </w:rPr>
        <w:t xml:space="preserve"> y tiene </w:t>
      </w:r>
      <w:r w:rsidR="00DB1123" w:rsidRPr="00DB1123">
        <w:rPr>
          <w:rFonts w:cs="Times New Roman"/>
          <w:szCs w:val="24"/>
        </w:rPr>
        <w:t>fundamento en las atribuciones del Consejo Nacional de Supervisión del Sistema Financiero.</w:t>
      </w:r>
    </w:p>
    <w:p w14:paraId="643F222A" w14:textId="6E4D8B1D" w:rsidR="00DB1123" w:rsidRDefault="00DB1123" w:rsidP="002257A3">
      <w:pPr>
        <w:spacing w:line="240" w:lineRule="auto"/>
        <w:jc w:val="both"/>
        <w:rPr>
          <w:rFonts w:cs="Times New Roman"/>
          <w:szCs w:val="24"/>
        </w:rPr>
      </w:pPr>
    </w:p>
    <w:p w14:paraId="2FDEDB1D" w14:textId="77777777" w:rsidR="00A37151" w:rsidRDefault="00A37151" w:rsidP="002257A3">
      <w:pPr>
        <w:spacing w:line="240" w:lineRule="auto"/>
        <w:jc w:val="both"/>
        <w:rPr>
          <w:rFonts w:cs="Times New Roman"/>
          <w:szCs w:val="24"/>
        </w:rPr>
      </w:pPr>
    </w:p>
    <w:p w14:paraId="2ED542DD" w14:textId="3A06E41F" w:rsidR="00DB1123" w:rsidRPr="00BD0CEB" w:rsidRDefault="00DB1123" w:rsidP="002257A3">
      <w:pPr>
        <w:spacing w:line="240" w:lineRule="auto"/>
        <w:jc w:val="both"/>
        <w:rPr>
          <w:rFonts w:cs="Times New Roman"/>
          <w:szCs w:val="24"/>
        </w:rPr>
      </w:pPr>
      <w:r>
        <w:rPr>
          <w:rFonts w:cs="Times New Roman"/>
          <w:szCs w:val="24"/>
        </w:rPr>
        <w:t xml:space="preserve">Atentamente, </w:t>
      </w:r>
    </w:p>
    <w:p w14:paraId="003BAC53" w14:textId="77777777" w:rsidR="00A37151" w:rsidRDefault="00A37151" w:rsidP="002257A3">
      <w:pPr>
        <w:spacing w:line="240" w:lineRule="auto"/>
        <w:jc w:val="both"/>
        <w:rPr>
          <w:rFonts w:eastAsia="Times New Roman" w:cs="Times New Roman"/>
          <w:bCs/>
          <w:szCs w:val="24"/>
          <w:lang w:val="es-ES_tradnl"/>
        </w:rPr>
      </w:pPr>
    </w:p>
    <w:p w14:paraId="6200D435" w14:textId="1AD53414" w:rsidR="00A559BB" w:rsidRPr="00855763" w:rsidRDefault="00A559BB" w:rsidP="002257A3">
      <w:pPr>
        <w:spacing w:line="240" w:lineRule="auto"/>
        <w:jc w:val="both"/>
        <w:rPr>
          <w:rFonts w:eastAsia="Times New Roman" w:cs="Times New Roman"/>
          <w:bCs/>
          <w:szCs w:val="24"/>
          <w:lang w:val="es-ES_tradnl"/>
        </w:rPr>
      </w:pPr>
      <w:r>
        <w:rPr>
          <w:rFonts w:eastAsia="Times New Roman" w:cs="Times New Roman"/>
          <w:bCs/>
          <w:szCs w:val="24"/>
          <w:lang w:val="es-ES_tradnl"/>
        </w:rPr>
        <w:tab/>
      </w:r>
      <w:r>
        <w:rPr>
          <w:rFonts w:eastAsia="Times New Roman" w:cs="Times New Roman"/>
          <w:bCs/>
          <w:szCs w:val="24"/>
          <w:lang w:val="es-ES_tradnl"/>
        </w:rPr>
        <w:tab/>
      </w:r>
      <w:r>
        <w:rPr>
          <w:rFonts w:eastAsia="Times New Roman" w:cs="Times New Roman"/>
          <w:bCs/>
          <w:szCs w:val="24"/>
          <w:lang w:val="es-ES_tradnl"/>
        </w:rPr>
        <w:tab/>
      </w:r>
      <w:r>
        <w:rPr>
          <w:rFonts w:eastAsia="Times New Roman" w:cs="Times New Roman"/>
          <w:bCs/>
          <w:szCs w:val="24"/>
          <w:lang w:val="es-ES_tradnl"/>
        </w:rPr>
        <w:tab/>
      </w:r>
      <w:r>
        <w:rPr>
          <w:rFonts w:eastAsia="Times New Roman" w:cs="Times New Roman"/>
          <w:bCs/>
          <w:szCs w:val="24"/>
          <w:lang w:val="es-ES_tradnl"/>
        </w:rPr>
        <w:tab/>
      </w:r>
    </w:p>
    <w:p w14:paraId="2874FD38" w14:textId="6171AC9B" w:rsidR="001C06A7" w:rsidRDefault="0094324A" w:rsidP="002257A3">
      <w:pPr>
        <w:spacing w:line="240" w:lineRule="auto"/>
        <w:jc w:val="both"/>
        <w:rPr>
          <w:rFonts w:eastAsia="Times New Roman" w:cs="Times New Roman"/>
          <w:bCs/>
          <w:szCs w:val="24"/>
          <w:lang w:val="es-ES_tradnl"/>
        </w:rPr>
      </w:pPr>
      <w:r>
        <w:rPr>
          <w:rFonts w:eastAsia="Times New Roman" w:cs="Times New Roman"/>
          <w:bCs/>
          <w:noProof/>
          <w:szCs w:val="24"/>
          <w:lang w:val="es-ES_tradnl"/>
        </w:rPr>
        <w:drawing>
          <wp:inline distT="0" distB="0" distL="0" distR="0" wp14:anchorId="60F7928B" wp14:editId="0E2F35DB">
            <wp:extent cx="1244600" cy="482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Supen.jpg"/>
                    <pic:cNvPicPr/>
                  </pic:nvPicPr>
                  <pic:blipFill>
                    <a:blip r:embed="rId11"/>
                    <a:stretch>
                      <a:fillRect/>
                    </a:stretch>
                  </pic:blipFill>
                  <pic:spPr>
                    <a:xfrm>
                      <a:off x="0" y="0"/>
                      <a:ext cx="1244600" cy="482600"/>
                    </a:xfrm>
                    <a:prstGeom prst="rect">
                      <a:avLst/>
                    </a:prstGeom>
                  </pic:spPr>
                </pic:pic>
              </a:graphicData>
            </a:graphic>
          </wp:inline>
        </w:drawing>
      </w:r>
    </w:p>
    <w:p w14:paraId="22B610AA" w14:textId="2BC21951" w:rsidR="00DE4FE7" w:rsidRPr="00855763" w:rsidRDefault="00A559BB" w:rsidP="002257A3">
      <w:pPr>
        <w:spacing w:line="240" w:lineRule="auto"/>
        <w:jc w:val="both"/>
        <w:rPr>
          <w:rFonts w:eastAsia="Times New Roman" w:cs="Times New Roman"/>
          <w:bCs/>
          <w:szCs w:val="24"/>
          <w:lang w:val="es-ES_tradnl"/>
        </w:rPr>
      </w:pPr>
      <w:r>
        <w:rPr>
          <w:rFonts w:eastAsia="Times New Roman" w:cs="Times New Roman"/>
          <w:bCs/>
          <w:szCs w:val="24"/>
          <w:lang w:val="es-ES_tradnl"/>
        </w:rPr>
        <w:t>Nelly Vargas Her</w:t>
      </w:r>
      <w:r w:rsidR="00DE4FE7">
        <w:rPr>
          <w:rFonts w:eastAsia="Times New Roman" w:cs="Times New Roman"/>
          <w:bCs/>
          <w:szCs w:val="24"/>
          <w:lang w:val="es-ES_tradnl"/>
        </w:rPr>
        <w:t>nández</w:t>
      </w:r>
      <w:r w:rsidR="0094324A">
        <w:rPr>
          <w:rFonts w:eastAsia="Times New Roman" w:cs="Times New Roman"/>
          <w:bCs/>
          <w:szCs w:val="24"/>
          <w:lang w:val="es-ES_tradnl"/>
        </w:rPr>
        <w:t>, d</w:t>
      </w:r>
      <w:r w:rsidR="00DE4FE7">
        <w:rPr>
          <w:rFonts w:eastAsia="Times New Roman" w:cs="Times New Roman"/>
          <w:bCs/>
          <w:szCs w:val="24"/>
          <w:lang w:val="es-ES_tradnl"/>
        </w:rPr>
        <w:t xml:space="preserve">irectora </w:t>
      </w:r>
    </w:p>
    <w:p w14:paraId="0BEC1FD9" w14:textId="126D3586" w:rsidR="00DE615E" w:rsidRPr="00761471" w:rsidRDefault="001C06A7" w:rsidP="002257A3">
      <w:pPr>
        <w:spacing w:line="240" w:lineRule="auto"/>
        <w:jc w:val="both"/>
        <w:rPr>
          <w:rFonts w:cs="Times New Roman"/>
          <w:szCs w:val="24"/>
        </w:rPr>
      </w:pPr>
      <w:r w:rsidRPr="00855763">
        <w:rPr>
          <w:rFonts w:cs="Times New Roman"/>
          <w:b/>
          <w:szCs w:val="24"/>
        </w:rPr>
        <w:t xml:space="preserve">División Asesoría Jurídica </w:t>
      </w:r>
      <w:r w:rsidRPr="00855763">
        <w:rPr>
          <w:rFonts w:cs="Times New Roman"/>
        </w:rPr>
        <w:tab/>
      </w:r>
    </w:p>
    <w:sectPr w:rsidR="00DE615E" w:rsidRPr="00761471" w:rsidSect="00D029E6">
      <w:headerReference w:type="even" r:id="rId12"/>
      <w:headerReference w:type="default" r:id="rId13"/>
      <w:footerReference w:type="even" r:id="rId14"/>
      <w:footerReference w:type="default" r:id="rId15"/>
      <w:headerReference w:type="first" r:id="rId16"/>
      <w:footerReference w:type="first" r:id="rId17"/>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16EE3" w14:textId="77777777" w:rsidR="00C85ECD" w:rsidRDefault="00C85ECD" w:rsidP="00011FAB">
      <w:pPr>
        <w:spacing w:line="240" w:lineRule="auto"/>
      </w:pPr>
      <w:r>
        <w:separator/>
      </w:r>
    </w:p>
  </w:endnote>
  <w:endnote w:type="continuationSeparator" w:id="0">
    <w:p w14:paraId="3DFAA309" w14:textId="77777777" w:rsidR="00C85ECD" w:rsidRDefault="00C85ECD"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506C9" w14:textId="77777777" w:rsidR="005D74C0" w:rsidRDefault="005D7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F9367" w14:textId="77777777" w:rsidR="003621B6" w:rsidRDefault="003621B6" w:rsidP="003621B6">
    <w:pPr>
      <w:pStyle w:val="Piedepgina"/>
      <w:pBdr>
        <w:top w:val="single" w:sz="4" w:space="1" w:color="auto"/>
      </w:pBdr>
      <w:rPr>
        <w:i/>
        <w:szCs w:val="24"/>
      </w:rPr>
    </w:pPr>
  </w:p>
  <w:p w14:paraId="4B568D1E" w14:textId="77777777" w:rsidR="009B3671" w:rsidRPr="00BE078A" w:rsidRDefault="004E09A4" w:rsidP="004E09A4">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A3286" w14:textId="77777777" w:rsidR="003621B6" w:rsidRDefault="003621B6" w:rsidP="003621B6">
    <w:pPr>
      <w:pStyle w:val="Piedepgina"/>
      <w:pBdr>
        <w:top w:val="single" w:sz="4" w:space="1" w:color="auto"/>
      </w:pBdr>
      <w:rPr>
        <w:i/>
        <w:szCs w:val="24"/>
      </w:rPr>
    </w:pPr>
  </w:p>
  <w:p w14:paraId="319106FD" w14:textId="77777777" w:rsidR="00CE6321" w:rsidRDefault="00CE6321" w:rsidP="00CE6321">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p w14:paraId="23C5D641" w14:textId="77777777" w:rsidR="009B3671" w:rsidRPr="00BE078A" w:rsidRDefault="009B3671" w:rsidP="00CE6321">
    <w:pPr>
      <w:pStyle w:val="Piedepgina"/>
      <w:pBdr>
        <w:top w:val="single" w:sz="4" w:space="1" w:color="auto"/>
      </w:pBd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BB22C" w14:textId="77777777" w:rsidR="00C85ECD" w:rsidRDefault="00C85ECD" w:rsidP="00011FAB">
      <w:pPr>
        <w:spacing w:line="240" w:lineRule="auto"/>
      </w:pPr>
      <w:r>
        <w:separator/>
      </w:r>
    </w:p>
  </w:footnote>
  <w:footnote w:type="continuationSeparator" w:id="0">
    <w:p w14:paraId="5967F3A1" w14:textId="77777777" w:rsidR="00C85ECD" w:rsidRDefault="00C85ECD" w:rsidP="00011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A2ACE" w14:textId="77777777" w:rsidR="005D74C0" w:rsidRDefault="005D74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F9ADD" w14:textId="77777777" w:rsidR="004E09A4" w:rsidRDefault="004E09A4" w:rsidP="004E09A4">
    <w:pPr>
      <w:pStyle w:val="Encabezado"/>
      <w:jc w:val="both"/>
    </w:pPr>
    <w:r>
      <w:rPr>
        <w:noProof/>
      </w:rPr>
      <w:drawing>
        <wp:anchor distT="0" distB="0" distL="114300" distR="114300" simplePos="0" relativeHeight="251663360" behindDoc="0" locked="0" layoutInCell="1" allowOverlap="1" wp14:anchorId="34C1FA16" wp14:editId="10A3EBC5">
          <wp:simplePos x="0" y="0"/>
          <wp:positionH relativeFrom="margin">
            <wp:align>right</wp:align>
          </wp:positionH>
          <wp:positionV relativeFrom="paragraph">
            <wp:posOffset>-164694</wp:posOffset>
          </wp:positionV>
          <wp:extent cx="950595" cy="615315"/>
          <wp:effectExtent l="0" t="0" r="190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62336" behindDoc="1" locked="0" layoutInCell="1" allowOverlap="1" wp14:anchorId="7B98ACDE" wp14:editId="2B2CCBB8">
          <wp:simplePos x="0" y="0"/>
          <wp:positionH relativeFrom="page">
            <wp:posOffset>812165</wp:posOffset>
          </wp:positionH>
          <wp:positionV relativeFrom="page">
            <wp:posOffset>184150</wp:posOffset>
          </wp:positionV>
          <wp:extent cx="1945005" cy="89979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p w14:paraId="0A850075" w14:textId="2A353299"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A37151">
      <w:rPr>
        <w:b/>
        <w:i/>
        <w:noProof/>
        <w:szCs w:val="24"/>
      </w:rPr>
      <w:t>PJD-28-2020</w:t>
    </w:r>
    <w:r w:rsidRPr="00092B79">
      <w:rPr>
        <w:b/>
        <w:i/>
        <w:noProof/>
        <w:szCs w:val="24"/>
      </w:rPr>
      <w:fldChar w:fldCharType="end"/>
    </w:r>
  </w:p>
  <w:p w14:paraId="2B6F38C2" w14:textId="77777777" w:rsidR="00DC38D9" w:rsidRDefault="00DC38D9" w:rsidP="006B6689">
    <w:pPr>
      <w:pStyle w:val="Encabezado"/>
      <w:rPr>
        <w:i/>
        <w:szCs w:val="24"/>
      </w:rPr>
    </w:pPr>
    <w:r w:rsidRPr="00DC38D9">
      <w:rPr>
        <w:i/>
        <w:szCs w:val="24"/>
        <w:lang w:val="es-MX"/>
      </w:rPr>
      <w:t xml:space="preserve">Página </w:t>
    </w:r>
    <w:r w:rsidRPr="00DC38D9">
      <w:rPr>
        <w:i/>
        <w:szCs w:val="24"/>
      </w:rPr>
      <w:fldChar w:fldCharType="begin"/>
    </w:r>
    <w:r w:rsidRPr="00DC38D9">
      <w:rPr>
        <w:i/>
        <w:szCs w:val="24"/>
      </w:rPr>
      <w:instrText>PAGE   \* MERGEFORMAT</w:instrText>
    </w:r>
    <w:r w:rsidRPr="00DC38D9">
      <w:rPr>
        <w:i/>
        <w:szCs w:val="24"/>
      </w:rPr>
      <w:fldChar w:fldCharType="separate"/>
    </w:r>
    <w:r w:rsidR="00647480">
      <w:rPr>
        <w:i/>
        <w:noProof/>
        <w:szCs w:val="24"/>
      </w:rPr>
      <w:t>2</w:t>
    </w:r>
    <w:r w:rsidRPr="00DC38D9">
      <w:rPr>
        <w:i/>
        <w:szCs w:val="24"/>
      </w:rPr>
      <w:fldChar w:fldCharType="end"/>
    </w:r>
  </w:p>
  <w:p w14:paraId="64E1436A" w14:textId="77777777" w:rsidR="00722522" w:rsidRPr="00DC38D9" w:rsidRDefault="00722522" w:rsidP="006B6689">
    <w:pPr>
      <w:pStyle w:val="Encabezado"/>
      <w:rPr>
        <w:i/>
        <w:szCs w:val="24"/>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3ABF9" w14:textId="77777777" w:rsidR="005D2EEB" w:rsidRDefault="005D2EEB" w:rsidP="005D2EEB">
    <w:pPr>
      <w:pStyle w:val="Encabezado"/>
      <w:jc w:val="both"/>
    </w:pPr>
    <w:r>
      <w:rPr>
        <w:noProof/>
      </w:rPr>
      <w:drawing>
        <wp:anchor distT="0" distB="0" distL="114300" distR="114300" simplePos="0" relativeHeight="251660288" behindDoc="0" locked="0" layoutInCell="1" allowOverlap="1" wp14:anchorId="70900A1D" wp14:editId="60E0E42F">
          <wp:simplePos x="0" y="0"/>
          <wp:positionH relativeFrom="margin">
            <wp:align>right</wp:align>
          </wp:positionH>
          <wp:positionV relativeFrom="paragraph">
            <wp:posOffset>-164694</wp:posOffset>
          </wp:positionV>
          <wp:extent cx="950595" cy="615315"/>
          <wp:effectExtent l="0" t="0" r="190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59264" behindDoc="1" locked="0" layoutInCell="1" allowOverlap="1" wp14:anchorId="2E9EBD69" wp14:editId="1AD532EC">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54E6"/>
    <w:multiLevelType w:val="hybridMultilevel"/>
    <w:tmpl w:val="87F41E5A"/>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8FA1B95"/>
    <w:multiLevelType w:val="hybridMultilevel"/>
    <w:tmpl w:val="9B10512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D2849BC"/>
    <w:multiLevelType w:val="hybridMultilevel"/>
    <w:tmpl w:val="C540B18A"/>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C4162F4"/>
    <w:multiLevelType w:val="hybridMultilevel"/>
    <w:tmpl w:val="D0E8CCD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40F63CA"/>
    <w:multiLevelType w:val="hybridMultilevel"/>
    <w:tmpl w:val="9B467D4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BEB5B8C"/>
    <w:multiLevelType w:val="hybridMultilevel"/>
    <w:tmpl w:val="D63EA042"/>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F001582"/>
    <w:multiLevelType w:val="hybridMultilevel"/>
    <w:tmpl w:val="8B5027EA"/>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60146EA"/>
    <w:multiLevelType w:val="hybridMultilevel"/>
    <w:tmpl w:val="832EFE40"/>
    <w:lvl w:ilvl="0" w:tplc="140A0019">
      <w:start w:val="1"/>
      <w:numFmt w:val="lowerLetter"/>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4D0E545B"/>
    <w:multiLevelType w:val="hybridMultilevel"/>
    <w:tmpl w:val="E30CEB80"/>
    <w:lvl w:ilvl="0" w:tplc="0C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4F704977"/>
    <w:multiLevelType w:val="hybridMultilevel"/>
    <w:tmpl w:val="47D2969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5FE94A13"/>
    <w:multiLevelType w:val="hybridMultilevel"/>
    <w:tmpl w:val="D07823FC"/>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11658B4"/>
    <w:multiLevelType w:val="hybridMultilevel"/>
    <w:tmpl w:val="87486086"/>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493249D"/>
    <w:multiLevelType w:val="hybridMultilevel"/>
    <w:tmpl w:val="8B5027EA"/>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AF914D7"/>
    <w:multiLevelType w:val="hybridMultilevel"/>
    <w:tmpl w:val="55DEB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9258E"/>
    <w:multiLevelType w:val="hybridMultilevel"/>
    <w:tmpl w:val="D0B0A8DE"/>
    <w:lvl w:ilvl="0" w:tplc="140A0017">
      <w:start w:val="1"/>
      <w:numFmt w:val="lowerLetter"/>
      <w:lvlText w:val="%1)"/>
      <w:lvlJc w:val="left"/>
      <w:pPr>
        <w:ind w:left="360" w:hanging="360"/>
      </w:pPr>
      <w:rPr>
        <w:rFonts w:hint="default"/>
      </w:rPr>
    </w:lvl>
    <w:lvl w:ilvl="1" w:tplc="CA3AA818">
      <w:start w:val="1"/>
      <w:numFmt w:val="lowerRoman"/>
      <w:lvlText w:val="%2."/>
      <w:lvlJc w:val="left"/>
      <w:pPr>
        <w:ind w:left="1440" w:hanging="720"/>
      </w:pPr>
      <w:rPr>
        <w:rFonts w:hint="default"/>
      </w:r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 w15:restartNumberingAfterBreak="0">
    <w:nsid w:val="75766E73"/>
    <w:multiLevelType w:val="hybridMultilevel"/>
    <w:tmpl w:val="E6281B8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B4E345D"/>
    <w:multiLevelType w:val="hybridMultilevel"/>
    <w:tmpl w:val="0298E248"/>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F332821"/>
    <w:multiLevelType w:val="hybridMultilevel"/>
    <w:tmpl w:val="4F504A2A"/>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7"/>
  </w:num>
  <w:num w:numId="2">
    <w:abstractNumId w:val="13"/>
  </w:num>
  <w:num w:numId="3">
    <w:abstractNumId w:val="2"/>
  </w:num>
  <w:num w:numId="4">
    <w:abstractNumId w:val="5"/>
  </w:num>
  <w:num w:numId="5">
    <w:abstractNumId w:val="6"/>
  </w:num>
  <w:num w:numId="6">
    <w:abstractNumId w:val="12"/>
  </w:num>
  <w:num w:numId="7">
    <w:abstractNumId w:val="1"/>
  </w:num>
  <w:num w:numId="8">
    <w:abstractNumId w:val="0"/>
  </w:num>
  <w:num w:numId="9">
    <w:abstractNumId w:val="4"/>
  </w:num>
  <w:num w:numId="10">
    <w:abstractNumId w:val="16"/>
  </w:num>
  <w:num w:numId="11">
    <w:abstractNumId w:val="10"/>
  </w:num>
  <w:num w:numId="12">
    <w:abstractNumId w:val="7"/>
  </w:num>
  <w:num w:numId="13">
    <w:abstractNumId w:val="8"/>
  </w:num>
  <w:num w:numId="14">
    <w:abstractNumId w:val="15"/>
  </w:num>
  <w:num w:numId="15">
    <w:abstractNumId w:val="3"/>
  </w:num>
  <w:num w:numId="16">
    <w:abstractNumId w:val="9"/>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F5"/>
    <w:rsid w:val="000006F4"/>
    <w:rsid w:val="00002041"/>
    <w:rsid w:val="000029C0"/>
    <w:rsid w:val="000035C4"/>
    <w:rsid w:val="00006E88"/>
    <w:rsid w:val="00007D4E"/>
    <w:rsid w:val="00007FF3"/>
    <w:rsid w:val="00010814"/>
    <w:rsid w:val="00010B69"/>
    <w:rsid w:val="00011FAB"/>
    <w:rsid w:val="00012326"/>
    <w:rsid w:val="0001406E"/>
    <w:rsid w:val="000147D3"/>
    <w:rsid w:val="00016A75"/>
    <w:rsid w:val="00020B78"/>
    <w:rsid w:val="00021111"/>
    <w:rsid w:val="00021ADD"/>
    <w:rsid w:val="00024F40"/>
    <w:rsid w:val="00026FA0"/>
    <w:rsid w:val="0003090C"/>
    <w:rsid w:val="00033913"/>
    <w:rsid w:val="000348EE"/>
    <w:rsid w:val="000421CB"/>
    <w:rsid w:val="00047FA5"/>
    <w:rsid w:val="00050668"/>
    <w:rsid w:val="00051382"/>
    <w:rsid w:val="0006650E"/>
    <w:rsid w:val="000676FB"/>
    <w:rsid w:val="00071DE5"/>
    <w:rsid w:val="000764DC"/>
    <w:rsid w:val="00077394"/>
    <w:rsid w:val="00077969"/>
    <w:rsid w:val="00081B18"/>
    <w:rsid w:val="000929F6"/>
    <w:rsid w:val="00092B79"/>
    <w:rsid w:val="000933E1"/>
    <w:rsid w:val="00095A2B"/>
    <w:rsid w:val="00097663"/>
    <w:rsid w:val="000A4C73"/>
    <w:rsid w:val="000A6E34"/>
    <w:rsid w:val="000A70C4"/>
    <w:rsid w:val="000B528C"/>
    <w:rsid w:val="000B686E"/>
    <w:rsid w:val="000C08A2"/>
    <w:rsid w:val="000C1B1E"/>
    <w:rsid w:val="000C685F"/>
    <w:rsid w:val="000C72CA"/>
    <w:rsid w:val="000D3EBD"/>
    <w:rsid w:val="000D5D4B"/>
    <w:rsid w:val="000D66DC"/>
    <w:rsid w:val="000D7A61"/>
    <w:rsid w:val="000F0319"/>
    <w:rsid w:val="000F1905"/>
    <w:rsid w:val="000F193A"/>
    <w:rsid w:val="000F1C86"/>
    <w:rsid w:val="000F20BC"/>
    <w:rsid w:val="000F4824"/>
    <w:rsid w:val="000F7FC1"/>
    <w:rsid w:val="001003C8"/>
    <w:rsid w:val="0010294F"/>
    <w:rsid w:val="00107D29"/>
    <w:rsid w:val="001246E6"/>
    <w:rsid w:val="00125DB7"/>
    <w:rsid w:val="00127F1F"/>
    <w:rsid w:val="001303CF"/>
    <w:rsid w:val="0013290F"/>
    <w:rsid w:val="001329F7"/>
    <w:rsid w:val="00137328"/>
    <w:rsid w:val="001472AA"/>
    <w:rsid w:val="0015354D"/>
    <w:rsid w:val="00153DB4"/>
    <w:rsid w:val="00160182"/>
    <w:rsid w:val="001617BE"/>
    <w:rsid w:val="001855D1"/>
    <w:rsid w:val="0019404F"/>
    <w:rsid w:val="001A1E1C"/>
    <w:rsid w:val="001A314D"/>
    <w:rsid w:val="001A3F6A"/>
    <w:rsid w:val="001A4B75"/>
    <w:rsid w:val="001B22B8"/>
    <w:rsid w:val="001B477B"/>
    <w:rsid w:val="001B67E6"/>
    <w:rsid w:val="001C06A7"/>
    <w:rsid w:val="001C1F12"/>
    <w:rsid w:val="001C7910"/>
    <w:rsid w:val="001D18BF"/>
    <w:rsid w:val="001D3394"/>
    <w:rsid w:val="001D348D"/>
    <w:rsid w:val="001E33C5"/>
    <w:rsid w:val="001E732E"/>
    <w:rsid w:val="001E74A7"/>
    <w:rsid w:val="001F00B5"/>
    <w:rsid w:val="001F0B9B"/>
    <w:rsid w:val="00200224"/>
    <w:rsid w:val="0020165F"/>
    <w:rsid w:val="00201A56"/>
    <w:rsid w:val="00202BE0"/>
    <w:rsid w:val="0020428D"/>
    <w:rsid w:val="002048D5"/>
    <w:rsid w:val="002065BB"/>
    <w:rsid w:val="00207184"/>
    <w:rsid w:val="002073B7"/>
    <w:rsid w:val="00207B9F"/>
    <w:rsid w:val="00210006"/>
    <w:rsid w:val="00211A33"/>
    <w:rsid w:val="002121FC"/>
    <w:rsid w:val="002257A3"/>
    <w:rsid w:val="00230D0A"/>
    <w:rsid w:val="002334F5"/>
    <w:rsid w:val="0023353F"/>
    <w:rsid w:val="002343A5"/>
    <w:rsid w:val="00235047"/>
    <w:rsid w:val="0023504F"/>
    <w:rsid w:val="002535F8"/>
    <w:rsid w:val="00253D91"/>
    <w:rsid w:val="00257391"/>
    <w:rsid w:val="00261F6E"/>
    <w:rsid w:val="00266AA5"/>
    <w:rsid w:val="00274D99"/>
    <w:rsid w:val="00277C51"/>
    <w:rsid w:val="00277CFB"/>
    <w:rsid w:val="00281E81"/>
    <w:rsid w:val="00291AE7"/>
    <w:rsid w:val="00295482"/>
    <w:rsid w:val="00295B95"/>
    <w:rsid w:val="00297376"/>
    <w:rsid w:val="002A35EA"/>
    <w:rsid w:val="002A3C97"/>
    <w:rsid w:val="002C0321"/>
    <w:rsid w:val="002C1B33"/>
    <w:rsid w:val="002C3D41"/>
    <w:rsid w:val="002C48B7"/>
    <w:rsid w:val="002C5573"/>
    <w:rsid w:val="002C5DBE"/>
    <w:rsid w:val="002C66F9"/>
    <w:rsid w:val="002C7E74"/>
    <w:rsid w:val="002D7A2D"/>
    <w:rsid w:val="002E118A"/>
    <w:rsid w:val="002E7AAD"/>
    <w:rsid w:val="002F0201"/>
    <w:rsid w:val="002F379E"/>
    <w:rsid w:val="002F44B2"/>
    <w:rsid w:val="002F4C25"/>
    <w:rsid w:val="002F4D73"/>
    <w:rsid w:val="002F6E3C"/>
    <w:rsid w:val="002F7720"/>
    <w:rsid w:val="00305EDC"/>
    <w:rsid w:val="0031129F"/>
    <w:rsid w:val="0031271F"/>
    <w:rsid w:val="003155C5"/>
    <w:rsid w:val="0031752C"/>
    <w:rsid w:val="00323092"/>
    <w:rsid w:val="00325F37"/>
    <w:rsid w:val="003262D5"/>
    <w:rsid w:val="003314D9"/>
    <w:rsid w:val="0033216D"/>
    <w:rsid w:val="003346BD"/>
    <w:rsid w:val="003424BC"/>
    <w:rsid w:val="00344840"/>
    <w:rsid w:val="00347408"/>
    <w:rsid w:val="00347829"/>
    <w:rsid w:val="0035256F"/>
    <w:rsid w:val="003573A3"/>
    <w:rsid w:val="003621B6"/>
    <w:rsid w:val="00363D5B"/>
    <w:rsid w:val="00364C08"/>
    <w:rsid w:val="003656BE"/>
    <w:rsid w:val="0037195C"/>
    <w:rsid w:val="00374BE4"/>
    <w:rsid w:val="00376711"/>
    <w:rsid w:val="00377CEE"/>
    <w:rsid w:val="00387CD6"/>
    <w:rsid w:val="003918DE"/>
    <w:rsid w:val="003A06F4"/>
    <w:rsid w:val="003A316B"/>
    <w:rsid w:val="003B667F"/>
    <w:rsid w:val="003C3FA1"/>
    <w:rsid w:val="003C6DC2"/>
    <w:rsid w:val="003D35CA"/>
    <w:rsid w:val="003D3BD7"/>
    <w:rsid w:val="003D4B4B"/>
    <w:rsid w:val="003D735F"/>
    <w:rsid w:val="003E34DC"/>
    <w:rsid w:val="003E44CE"/>
    <w:rsid w:val="003E5101"/>
    <w:rsid w:val="003F1B46"/>
    <w:rsid w:val="00402CEE"/>
    <w:rsid w:val="00410CC2"/>
    <w:rsid w:val="00410FAD"/>
    <w:rsid w:val="00413B95"/>
    <w:rsid w:val="00417767"/>
    <w:rsid w:val="004202F1"/>
    <w:rsid w:val="00426CBD"/>
    <w:rsid w:val="004273DE"/>
    <w:rsid w:val="00430C63"/>
    <w:rsid w:val="0043191D"/>
    <w:rsid w:val="00432490"/>
    <w:rsid w:val="00440EBB"/>
    <w:rsid w:val="0044187F"/>
    <w:rsid w:val="00443117"/>
    <w:rsid w:val="00443C0C"/>
    <w:rsid w:val="00443DC9"/>
    <w:rsid w:val="00444E94"/>
    <w:rsid w:val="004506F5"/>
    <w:rsid w:val="004520C7"/>
    <w:rsid w:val="004527B6"/>
    <w:rsid w:val="00454B74"/>
    <w:rsid w:val="00455063"/>
    <w:rsid w:val="004565B1"/>
    <w:rsid w:val="0045713F"/>
    <w:rsid w:val="00462002"/>
    <w:rsid w:val="004626AE"/>
    <w:rsid w:val="004642C5"/>
    <w:rsid w:val="00464393"/>
    <w:rsid w:val="00464B52"/>
    <w:rsid w:val="00466991"/>
    <w:rsid w:val="00467561"/>
    <w:rsid w:val="00473402"/>
    <w:rsid w:val="00473D0D"/>
    <w:rsid w:val="00476781"/>
    <w:rsid w:val="004771AB"/>
    <w:rsid w:val="00484927"/>
    <w:rsid w:val="00485024"/>
    <w:rsid w:val="00491C48"/>
    <w:rsid w:val="004A2611"/>
    <w:rsid w:val="004A2C15"/>
    <w:rsid w:val="004B22D3"/>
    <w:rsid w:val="004B6FBB"/>
    <w:rsid w:val="004C7C4D"/>
    <w:rsid w:val="004D5F7B"/>
    <w:rsid w:val="004E09A4"/>
    <w:rsid w:val="004E15FB"/>
    <w:rsid w:val="004E5FEA"/>
    <w:rsid w:val="004E7AAE"/>
    <w:rsid w:val="004F21B2"/>
    <w:rsid w:val="004F231E"/>
    <w:rsid w:val="004F7D79"/>
    <w:rsid w:val="00500FEB"/>
    <w:rsid w:val="0050594E"/>
    <w:rsid w:val="00506275"/>
    <w:rsid w:val="00506FC3"/>
    <w:rsid w:val="005077B6"/>
    <w:rsid w:val="00510934"/>
    <w:rsid w:val="005137C8"/>
    <w:rsid w:val="00525793"/>
    <w:rsid w:val="005274FE"/>
    <w:rsid w:val="0053086F"/>
    <w:rsid w:val="00531A0F"/>
    <w:rsid w:val="00541042"/>
    <w:rsid w:val="00542853"/>
    <w:rsid w:val="00543F4B"/>
    <w:rsid w:val="00544D5A"/>
    <w:rsid w:val="00553F13"/>
    <w:rsid w:val="0056379D"/>
    <w:rsid w:val="0057003F"/>
    <w:rsid w:val="005727FC"/>
    <w:rsid w:val="005744BB"/>
    <w:rsid w:val="005801C6"/>
    <w:rsid w:val="00580AED"/>
    <w:rsid w:val="0058107F"/>
    <w:rsid w:val="0058315A"/>
    <w:rsid w:val="00583167"/>
    <w:rsid w:val="00584AB6"/>
    <w:rsid w:val="0059081B"/>
    <w:rsid w:val="005A268C"/>
    <w:rsid w:val="005A54B3"/>
    <w:rsid w:val="005A7F62"/>
    <w:rsid w:val="005B445B"/>
    <w:rsid w:val="005B647E"/>
    <w:rsid w:val="005C1241"/>
    <w:rsid w:val="005D2EEB"/>
    <w:rsid w:val="005D318A"/>
    <w:rsid w:val="005D4318"/>
    <w:rsid w:val="005D4782"/>
    <w:rsid w:val="005D5D27"/>
    <w:rsid w:val="005D6B76"/>
    <w:rsid w:val="005D74C0"/>
    <w:rsid w:val="005E0C2F"/>
    <w:rsid w:val="005E245B"/>
    <w:rsid w:val="005E4A8B"/>
    <w:rsid w:val="005F2BEF"/>
    <w:rsid w:val="005F3E76"/>
    <w:rsid w:val="005F456F"/>
    <w:rsid w:val="005F51C7"/>
    <w:rsid w:val="005F5F56"/>
    <w:rsid w:val="005F768B"/>
    <w:rsid w:val="00603206"/>
    <w:rsid w:val="00604808"/>
    <w:rsid w:val="00607BC6"/>
    <w:rsid w:val="00610809"/>
    <w:rsid w:val="00613B9D"/>
    <w:rsid w:val="00614230"/>
    <w:rsid w:val="00621251"/>
    <w:rsid w:val="0062453D"/>
    <w:rsid w:val="00630614"/>
    <w:rsid w:val="00647480"/>
    <w:rsid w:val="00654B8F"/>
    <w:rsid w:val="006565DD"/>
    <w:rsid w:val="00660E1C"/>
    <w:rsid w:val="0066699E"/>
    <w:rsid w:val="006678D5"/>
    <w:rsid w:val="00667A6E"/>
    <w:rsid w:val="00672C0D"/>
    <w:rsid w:val="00690AAC"/>
    <w:rsid w:val="00692DD6"/>
    <w:rsid w:val="00693DFE"/>
    <w:rsid w:val="00697DA9"/>
    <w:rsid w:val="006A0F44"/>
    <w:rsid w:val="006A1FE4"/>
    <w:rsid w:val="006A54AF"/>
    <w:rsid w:val="006B07CE"/>
    <w:rsid w:val="006B0986"/>
    <w:rsid w:val="006B6689"/>
    <w:rsid w:val="006C0FC9"/>
    <w:rsid w:val="006C15F5"/>
    <w:rsid w:val="006C5791"/>
    <w:rsid w:val="006D1B5D"/>
    <w:rsid w:val="006D2B34"/>
    <w:rsid w:val="006D5313"/>
    <w:rsid w:val="006D5B49"/>
    <w:rsid w:val="006D6C45"/>
    <w:rsid w:val="006E02A3"/>
    <w:rsid w:val="006E07FC"/>
    <w:rsid w:val="006E147B"/>
    <w:rsid w:val="006E24E6"/>
    <w:rsid w:val="006E2901"/>
    <w:rsid w:val="006E482F"/>
    <w:rsid w:val="006E48F1"/>
    <w:rsid w:val="006F0C1F"/>
    <w:rsid w:val="006F34BD"/>
    <w:rsid w:val="006F3FFB"/>
    <w:rsid w:val="006F5308"/>
    <w:rsid w:val="006F7721"/>
    <w:rsid w:val="0070283C"/>
    <w:rsid w:val="0072050F"/>
    <w:rsid w:val="00722522"/>
    <w:rsid w:val="00727A05"/>
    <w:rsid w:val="0074278F"/>
    <w:rsid w:val="007446C0"/>
    <w:rsid w:val="0074570B"/>
    <w:rsid w:val="00751EE1"/>
    <w:rsid w:val="00757BA6"/>
    <w:rsid w:val="00761471"/>
    <w:rsid w:val="00761E59"/>
    <w:rsid w:val="00763296"/>
    <w:rsid w:val="00765DCC"/>
    <w:rsid w:val="00771446"/>
    <w:rsid w:val="00773B65"/>
    <w:rsid w:val="0077600F"/>
    <w:rsid w:val="0078215A"/>
    <w:rsid w:val="00783CF4"/>
    <w:rsid w:val="007840AA"/>
    <w:rsid w:val="0078743F"/>
    <w:rsid w:val="0079478E"/>
    <w:rsid w:val="007A4326"/>
    <w:rsid w:val="007A45B3"/>
    <w:rsid w:val="007A661C"/>
    <w:rsid w:val="007A6CD6"/>
    <w:rsid w:val="007B5C89"/>
    <w:rsid w:val="007B5FDB"/>
    <w:rsid w:val="007C6768"/>
    <w:rsid w:val="007D711F"/>
    <w:rsid w:val="007E62E8"/>
    <w:rsid w:val="007E7168"/>
    <w:rsid w:val="007F16DB"/>
    <w:rsid w:val="007F2281"/>
    <w:rsid w:val="007F25B1"/>
    <w:rsid w:val="008051AB"/>
    <w:rsid w:val="0080561F"/>
    <w:rsid w:val="00806437"/>
    <w:rsid w:val="00814559"/>
    <w:rsid w:val="0081590B"/>
    <w:rsid w:val="00826EC1"/>
    <w:rsid w:val="00827E8A"/>
    <w:rsid w:val="008308B4"/>
    <w:rsid w:val="00831100"/>
    <w:rsid w:val="00832137"/>
    <w:rsid w:val="00832382"/>
    <w:rsid w:val="00841E75"/>
    <w:rsid w:val="00843AA0"/>
    <w:rsid w:val="00846009"/>
    <w:rsid w:val="00852FE4"/>
    <w:rsid w:val="0085317A"/>
    <w:rsid w:val="008568AC"/>
    <w:rsid w:val="00857D90"/>
    <w:rsid w:val="00861B84"/>
    <w:rsid w:val="00871646"/>
    <w:rsid w:val="0087789B"/>
    <w:rsid w:val="00880B2C"/>
    <w:rsid w:val="00881833"/>
    <w:rsid w:val="00883FA6"/>
    <w:rsid w:val="00887B4A"/>
    <w:rsid w:val="00890A9B"/>
    <w:rsid w:val="00891E8B"/>
    <w:rsid w:val="008A098B"/>
    <w:rsid w:val="008A1ACC"/>
    <w:rsid w:val="008A1DDC"/>
    <w:rsid w:val="008A4AF9"/>
    <w:rsid w:val="008A6FC8"/>
    <w:rsid w:val="008B503E"/>
    <w:rsid w:val="008B76EB"/>
    <w:rsid w:val="008B7715"/>
    <w:rsid w:val="008C3DD1"/>
    <w:rsid w:val="008D1297"/>
    <w:rsid w:val="008D39C8"/>
    <w:rsid w:val="008E2688"/>
    <w:rsid w:val="008E5C55"/>
    <w:rsid w:val="008E66F3"/>
    <w:rsid w:val="008F100A"/>
    <w:rsid w:val="008F5060"/>
    <w:rsid w:val="008F5A81"/>
    <w:rsid w:val="009129F6"/>
    <w:rsid w:val="00915AD7"/>
    <w:rsid w:val="00924C99"/>
    <w:rsid w:val="00926E16"/>
    <w:rsid w:val="0092793A"/>
    <w:rsid w:val="00933C1A"/>
    <w:rsid w:val="0094324A"/>
    <w:rsid w:val="00943438"/>
    <w:rsid w:val="009439E5"/>
    <w:rsid w:val="00946187"/>
    <w:rsid w:val="00947343"/>
    <w:rsid w:val="009559E9"/>
    <w:rsid w:val="009569C0"/>
    <w:rsid w:val="0095725E"/>
    <w:rsid w:val="00960A7F"/>
    <w:rsid w:val="0096720D"/>
    <w:rsid w:val="00967B19"/>
    <w:rsid w:val="00972E94"/>
    <w:rsid w:val="0097338C"/>
    <w:rsid w:val="00974812"/>
    <w:rsid w:val="009762B3"/>
    <w:rsid w:val="00981A94"/>
    <w:rsid w:val="00983505"/>
    <w:rsid w:val="009913CA"/>
    <w:rsid w:val="00993631"/>
    <w:rsid w:val="009953C7"/>
    <w:rsid w:val="00997E50"/>
    <w:rsid w:val="009A4DF2"/>
    <w:rsid w:val="009A6078"/>
    <w:rsid w:val="009B31D2"/>
    <w:rsid w:val="009B3671"/>
    <w:rsid w:val="009B41CD"/>
    <w:rsid w:val="009B475A"/>
    <w:rsid w:val="009B5CAA"/>
    <w:rsid w:val="009C1398"/>
    <w:rsid w:val="009C414F"/>
    <w:rsid w:val="009D127B"/>
    <w:rsid w:val="009D64A6"/>
    <w:rsid w:val="009E1B85"/>
    <w:rsid w:val="009E54F9"/>
    <w:rsid w:val="009E6568"/>
    <w:rsid w:val="009E6DB2"/>
    <w:rsid w:val="009E73B0"/>
    <w:rsid w:val="009E75AF"/>
    <w:rsid w:val="009F2579"/>
    <w:rsid w:val="009F6295"/>
    <w:rsid w:val="009F7C79"/>
    <w:rsid w:val="00A03FF4"/>
    <w:rsid w:val="00A06705"/>
    <w:rsid w:val="00A10458"/>
    <w:rsid w:val="00A158F9"/>
    <w:rsid w:val="00A17A51"/>
    <w:rsid w:val="00A2051F"/>
    <w:rsid w:val="00A241E6"/>
    <w:rsid w:val="00A31543"/>
    <w:rsid w:val="00A350FE"/>
    <w:rsid w:val="00A37151"/>
    <w:rsid w:val="00A43570"/>
    <w:rsid w:val="00A4736F"/>
    <w:rsid w:val="00A47569"/>
    <w:rsid w:val="00A4778B"/>
    <w:rsid w:val="00A5207F"/>
    <w:rsid w:val="00A52B58"/>
    <w:rsid w:val="00A559BB"/>
    <w:rsid w:val="00A60740"/>
    <w:rsid w:val="00A622C3"/>
    <w:rsid w:val="00A64B45"/>
    <w:rsid w:val="00A67A50"/>
    <w:rsid w:val="00A704D5"/>
    <w:rsid w:val="00A72AB4"/>
    <w:rsid w:val="00A73794"/>
    <w:rsid w:val="00A75498"/>
    <w:rsid w:val="00A81397"/>
    <w:rsid w:val="00A82CBA"/>
    <w:rsid w:val="00A86616"/>
    <w:rsid w:val="00A93BEE"/>
    <w:rsid w:val="00A9733D"/>
    <w:rsid w:val="00A97447"/>
    <w:rsid w:val="00A97AA9"/>
    <w:rsid w:val="00AA2B0F"/>
    <w:rsid w:val="00AB116C"/>
    <w:rsid w:val="00AB46D4"/>
    <w:rsid w:val="00AC5742"/>
    <w:rsid w:val="00AC7A76"/>
    <w:rsid w:val="00AD0303"/>
    <w:rsid w:val="00AD10D3"/>
    <w:rsid w:val="00AD2F84"/>
    <w:rsid w:val="00AE1167"/>
    <w:rsid w:val="00AE140A"/>
    <w:rsid w:val="00AE2C3E"/>
    <w:rsid w:val="00AE3CA5"/>
    <w:rsid w:val="00AE470B"/>
    <w:rsid w:val="00AF3B9B"/>
    <w:rsid w:val="00AF76E7"/>
    <w:rsid w:val="00B11DF6"/>
    <w:rsid w:val="00B12FC5"/>
    <w:rsid w:val="00B20060"/>
    <w:rsid w:val="00B23F88"/>
    <w:rsid w:val="00B336B3"/>
    <w:rsid w:val="00B37818"/>
    <w:rsid w:val="00B534AE"/>
    <w:rsid w:val="00B54369"/>
    <w:rsid w:val="00B54682"/>
    <w:rsid w:val="00B5681A"/>
    <w:rsid w:val="00B602D2"/>
    <w:rsid w:val="00B62265"/>
    <w:rsid w:val="00B638B6"/>
    <w:rsid w:val="00B65EA7"/>
    <w:rsid w:val="00B6693A"/>
    <w:rsid w:val="00B713EE"/>
    <w:rsid w:val="00B7590A"/>
    <w:rsid w:val="00B75BBB"/>
    <w:rsid w:val="00B80580"/>
    <w:rsid w:val="00B8642D"/>
    <w:rsid w:val="00B906A5"/>
    <w:rsid w:val="00B9463D"/>
    <w:rsid w:val="00BA38A6"/>
    <w:rsid w:val="00BA42DC"/>
    <w:rsid w:val="00BA5203"/>
    <w:rsid w:val="00BA68DF"/>
    <w:rsid w:val="00BA715B"/>
    <w:rsid w:val="00BC4654"/>
    <w:rsid w:val="00BD040B"/>
    <w:rsid w:val="00BD2205"/>
    <w:rsid w:val="00BD2681"/>
    <w:rsid w:val="00BD5F5A"/>
    <w:rsid w:val="00BD77E7"/>
    <w:rsid w:val="00BE078A"/>
    <w:rsid w:val="00BE2481"/>
    <w:rsid w:val="00BE2F22"/>
    <w:rsid w:val="00BE6DB5"/>
    <w:rsid w:val="00BE766D"/>
    <w:rsid w:val="00BF17E6"/>
    <w:rsid w:val="00BF1C90"/>
    <w:rsid w:val="00BF3D40"/>
    <w:rsid w:val="00C0148B"/>
    <w:rsid w:val="00C015B1"/>
    <w:rsid w:val="00C01EE7"/>
    <w:rsid w:val="00C0607E"/>
    <w:rsid w:val="00C102F1"/>
    <w:rsid w:val="00C10313"/>
    <w:rsid w:val="00C10659"/>
    <w:rsid w:val="00C12489"/>
    <w:rsid w:val="00C1411E"/>
    <w:rsid w:val="00C2268B"/>
    <w:rsid w:val="00C23555"/>
    <w:rsid w:val="00C2508A"/>
    <w:rsid w:val="00C35C82"/>
    <w:rsid w:val="00C453FD"/>
    <w:rsid w:val="00C4542E"/>
    <w:rsid w:val="00C45C83"/>
    <w:rsid w:val="00C462EF"/>
    <w:rsid w:val="00C543F0"/>
    <w:rsid w:val="00C56D01"/>
    <w:rsid w:val="00C6009E"/>
    <w:rsid w:val="00C70DE1"/>
    <w:rsid w:val="00C73A25"/>
    <w:rsid w:val="00C82EA8"/>
    <w:rsid w:val="00C83068"/>
    <w:rsid w:val="00C83C4C"/>
    <w:rsid w:val="00C8400B"/>
    <w:rsid w:val="00C846CE"/>
    <w:rsid w:val="00C85ECD"/>
    <w:rsid w:val="00C86F0C"/>
    <w:rsid w:val="00C94AB5"/>
    <w:rsid w:val="00CA1307"/>
    <w:rsid w:val="00CA16C2"/>
    <w:rsid w:val="00CA6D00"/>
    <w:rsid w:val="00CA6D06"/>
    <w:rsid w:val="00CA6F39"/>
    <w:rsid w:val="00CB0E7B"/>
    <w:rsid w:val="00CB6A7C"/>
    <w:rsid w:val="00CC0335"/>
    <w:rsid w:val="00CC07AA"/>
    <w:rsid w:val="00CC1F1F"/>
    <w:rsid w:val="00CC24BF"/>
    <w:rsid w:val="00CD231C"/>
    <w:rsid w:val="00CD32F5"/>
    <w:rsid w:val="00CD54F3"/>
    <w:rsid w:val="00CD5928"/>
    <w:rsid w:val="00CE2031"/>
    <w:rsid w:val="00CE6321"/>
    <w:rsid w:val="00CE7982"/>
    <w:rsid w:val="00CF13EC"/>
    <w:rsid w:val="00CF16E4"/>
    <w:rsid w:val="00CF3A44"/>
    <w:rsid w:val="00CF5146"/>
    <w:rsid w:val="00D001F8"/>
    <w:rsid w:val="00D00BE2"/>
    <w:rsid w:val="00D01A27"/>
    <w:rsid w:val="00D029E6"/>
    <w:rsid w:val="00D0661A"/>
    <w:rsid w:val="00D12792"/>
    <w:rsid w:val="00D14097"/>
    <w:rsid w:val="00D152FB"/>
    <w:rsid w:val="00D218E6"/>
    <w:rsid w:val="00D33C89"/>
    <w:rsid w:val="00D350B3"/>
    <w:rsid w:val="00D35504"/>
    <w:rsid w:val="00D440C1"/>
    <w:rsid w:val="00D55CF6"/>
    <w:rsid w:val="00D606C2"/>
    <w:rsid w:val="00D6530A"/>
    <w:rsid w:val="00D663C5"/>
    <w:rsid w:val="00D66624"/>
    <w:rsid w:val="00D6783B"/>
    <w:rsid w:val="00D71EF6"/>
    <w:rsid w:val="00D736E5"/>
    <w:rsid w:val="00D73ED3"/>
    <w:rsid w:val="00D74A9F"/>
    <w:rsid w:val="00D76E05"/>
    <w:rsid w:val="00D85848"/>
    <w:rsid w:val="00D86CC1"/>
    <w:rsid w:val="00D92B99"/>
    <w:rsid w:val="00DA4171"/>
    <w:rsid w:val="00DA5F5C"/>
    <w:rsid w:val="00DB10A6"/>
    <w:rsid w:val="00DB1123"/>
    <w:rsid w:val="00DB1757"/>
    <w:rsid w:val="00DB2188"/>
    <w:rsid w:val="00DC11AF"/>
    <w:rsid w:val="00DC2040"/>
    <w:rsid w:val="00DC38D9"/>
    <w:rsid w:val="00DD3EA8"/>
    <w:rsid w:val="00DD5165"/>
    <w:rsid w:val="00DD679B"/>
    <w:rsid w:val="00DD6FF6"/>
    <w:rsid w:val="00DD729A"/>
    <w:rsid w:val="00DE4FE7"/>
    <w:rsid w:val="00DE5D59"/>
    <w:rsid w:val="00DE615E"/>
    <w:rsid w:val="00DF0376"/>
    <w:rsid w:val="00DF0C54"/>
    <w:rsid w:val="00E043E0"/>
    <w:rsid w:val="00E0468B"/>
    <w:rsid w:val="00E04CE2"/>
    <w:rsid w:val="00E12B88"/>
    <w:rsid w:val="00E1389A"/>
    <w:rsid w:val="00E16527"/>
    <w:rsid w:val="00E17DD9"/>
    <w:rsid w:val="00E21E1B"/>
    <w:rsid w:val="00E25F76"/>
    <w:rsid w:val="00E30457"/>
    <w:rsid w:val="00E30BAF"/>
    <w:rsid w:val="00E32678"/>
    <w:rsid w:val="00E32F2C"/>
    <w:rsid w:val="00E3468A"/>
    <w:rsid w:val="00E37D2C"/>
    <w:rsid w:val="00E42EFF"/>
    <w:rsid w:val="00E44676"/>
    <w:rsid w:val="00E468A1"/>
    <w:rsid w:val="00E55DC8"/>
    <w:rsid w:val="00E5622E"/>
    <w:rsid w:val="00E6084D"/>
    <w:rsid w:val="00E60B81"/>
    <w:rsid w:val="00E62051"/>
    <w:rsid w:val="00E644D5"/>
    <w:rsid w:val="00E66F32"/>
    <w:rsid w:val="00E67D5D"/>
    <w:rsid w:val="00E70496"/>
    <w:rsid w:val="00E733B5"/>
    <w:rsid w:val="00E74C26"/>
    <w:rsid w:val="00E74E8C"/>
    <w:rsid w:val="00E76674"/>
    <w:rsid w:val="00E82EF5"/>
    <w:rsid w:val="00E8546E"/>
    <w:rsid w:val="00E85568"/>
    <w:rsid w:val="00E86600"/>
    <w:rsid w:val="00E8759B"/>
    <w:rsid w:val="00E914A5"/>
    <w:rsid w:val="00E95D96"/>
    <w:rsid w:val="00E96F22"/>
    <w:rsid w:val="00EA0753"/>
    <w:rsid w:val="00EA1416"/>
    <w:rsid w:val="00EA2193"/>
    <w:rsid w:val="00EA3D88"/>
    <w:rsid w:val="00EB715B"/>
    <w:rsid w:val="00EC090D"/>
    <w:rsid w:val="00EC0921"/>
    <w:rsid w:val="00EC1B04"/>
    <w:rsid w:val="00EC21C1"/>
    <w:rsid w:val="00EC7E56"/>
    <w:rsid w:val="00ED056A"/>
    <w:rsid w:val="00ED0B69"/>
    <w:rsid w:val="00ED4F14"/>
    <w:rsid w:val="00EE58B8"/>
    <w:rsid w:val="00EE5BE8"/>
    <w:rsid w:val="00EE753C"/>
    <w:rsid w:val="00EF04B3"/>
    <w:rsid w:val="00EF3F26"/>
    <w:rsid w:val="00EF4485"/>
    <w:rsid w:val="00EF4B4B"/>
    <w:rsid w:val="00F0205B"/>
    <w:rsid w:val="00F03ADD"/>
    <w:rsid w:val="00F04860"/>
    <w:rsid w:val="00F1405C"/>
    <w:rsid w:val="00F14D2C"/>
    <w:rsid w:val="00F156C9"/>
    <w:rsid w:val="00F17971"/>
    <w:rsid w:val="00F203AA"/>
    <w:rsid w:val="00F20D61"/>
    <w:rsid w:val="00F33B95"/>
    <w:rsid w:val="00F369C0"/>
    <w:rsid w:val="00F36DE0"/>
    <w:rsid w:val="00F432E8"/>
    <w:rsid w:val="00F44087"/>
    <w:rsid w:val="00F44DF5"/>
    <w:rsid w:val="00F45755"/>
    <w:rsid w:val="00F5192E"/>
    <w:rsid w:val="00F560CF"/>
    <w:rsid w:val="00F57041"/>
    <w:rsid w:val="00F60677"/>
    <w:rsid w:val="00F61269"/>
    <w:rsid w:val="00F62F98"/>
    <w:rsid w:val="00F67AE2"/>
    <w:rsid w:val="00F70021"/>
    <w:rsid w:val="00F7223B"/>
    <w:rsid w:val="00F771AC"/>
    <w:rsid w:val="00F7756C"/>
    <w:rsid w:val="00F843B8"/>
    <w:rsid w:val="00F852C8"/>
    <w:rsid w:val="00F91824"/>
    <w:rsid w:val="00F9252C"/>
    <w:rsid w:val="00FA0609"/>
    <w:rsid w:val="00FA259D"/>
    <w:rsid w:val="00FA2BBD"/>
    <w:rsid w:val="00FB1122"/>
    <w:rsid w:val="00FB12DF"/>
    <w:rsid w:val="00FB43D9"/>
    <w:rsid w:val="00FB5C59"/>
    <w:rsid w:val="00FB738C"/>
    <w:rsid w:val="00FB7F45"/>
    <w:rsid w:val="00FC3E5A"/>
    <w:rsid w:val="00FC5121"/>
    <w:rsid w:val="00FC6F5F"/>
    <w:rsid w:val="00FD1634"/>
    <w:rsid w:val="00FD2025"/>
    <w:rsid w:val="00FD646E"/>
    <w:rsid w:val="00FD6B59"/>
    <w:rsid w:val="00FF1339"/>
    <w:rsid w:val="00FF467D"/>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79BA91C"/>
  <w15:docId w15:val="{2BD9DC77-748F-494C-8014-6E225CE9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853"/>
    <w:pPr>
      <w:spacing w:after="0" w:line="360" w:lineRule="auto"/>
    </w:pPr>
    <w:rPr>
      <w:rFonts w:ascii="Times New Roman" w:hAnsi="Times New Roman"/>
      <w:sz w:val="24"/>
    </w:rPr>
  </w:style>
  <w:style w:type="paragraph" w:styleId="Ttulo2">
    <w:name w:val="heading 2"/>
    <w:basedOn w:val="Normal"/>
    <w:next w:val="Normal"/>
    <w:link w:val="Ttulo2Car"/>
    <w:uiPriority w:val="9"/>
    <w:unhideWhenUsed/>
    <w:qFormat/>
    <w:rsid w:val="00D55CF6"/>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3262D5"/>
    <w:pPr>
      <w:spacing w:after="0" w:line="360" w:lineRule="auto"/>
    </w:pPr>
    <w:rPr>
      <w:rFonts w:ascii="Times New Roman" w:hAnsi="Times New Roman"/>
      <w:sz w:val="24"/>
    </w:rPr>
  </w:style>
  <w:style w:type="character" w:customStyle="1" w:styleId="SupenEncabezadoCar">
    <w:name w:val="Supen_Encabezado Car"/>
    <w:basedOn w:val="Fuentedeprrafopredeter"/>
    <w:link w:val="SupenEncabezado"/>
    <w:rsid w:val="003262D5"/>
    <w:rPr>
      <w:rFonts w:ascii="Times New Roman" w:hAnsi="Times New Roman"/>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uiPriority w:val="99"/>
    <w:rsid w:val="00DC38D9"/>
    <w:rPr>
      <w:color w:val="0000FF"/>
      <w:u w:val="single"/>
    </w:rPr>
  </w:style>
  <w:style w:type="paragraph" w:styleId="Textodeglobo">
    <w:name w:val="Balloon Text"/>
    <w:basedOn w:val="Normal"/>
    <w:link w:val="TextodegloboCar"/>
    <w:uiPriority w:val="99"/>
    <w:semiHidden/>
    <w:unhideWhenUsed/>
    <w:rsid w:val="005D5D27"/>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D5D27"/>
    <w:rPr>
      <w:rFonts w:ascii="Lucida Grande" w:hAnsi="Lucida Grande"/>
      <w:sz w:val="18"/>
      <w:szCs w:val="18"/>
    </w:rPr>
  </w:style>
  <w:style w:type="paragraph" w:styleId="Prrafodelista">
    <w:name w:val="List Paragraph"/>
    <w:aliases w:val="List Paragraph 1,Numbered List Paragraph,Main numbered paragraph,Bullets,List Paragraph (numbered (a)),Akapit z listą BS,List_Paragraph,Multilevel para_II,List Paragraph1,References,Liste 1,ReferencesCxSpLast,Medium Grid 1 - Accent 21,3"/>
    <w:basedOn w:val="Normal"/>
    <w:link w:val="PrrafodelistaCar"/>
    <w:uiPriority w:val="34"/>
    <w:qFormat/>
    <w:rsid w:val="005801C6"/>
    <w:pPr>
      <w:ind w:left="720"/>
      <w:contextualSpacing/>
    </w:pPr>
  </w:style>
  <w:style w:type="character" w:customStyle="1" w:styleId="Ttulo2Car">
    <w:name w:val="Título 2 Car"/>
    <w:basedOn w:val="Fuentedeprrafopredeter"/>
    <w:link w:val="Ttulo2"/>
    <w:uiPriority w:val="9"/>
    <w:rsid w:val="00D55CF6"/>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ist Paragraph 1 Car,Numbered List Paragraph Car,Main numbered paragraph Car,Bullets Car,List Paragraph (numbered (a)) Car,Akapit z listą BS Car,List_Paragraph Car,Multilevel para_II Car,List Paragraph1 Car,References Car,3 Car"/>
    <w:link w:val="Prrafodelista"/>
    <w:uiPriority w:val="34"/>
    <w:locked/>
    <w:rsid w:val="00761471"/>
    <w:rPr>
      <w:rFonts w:ascii="Times New Roman" w:hAnsi="Times New Roman"/>
      <w:sz w:val="24"/>
    </w:rPr>
  </w:style>
  <w:style w:type="paragraph" w:styleId="Textonotapie">
    <w:name w:val="footnote text"/>
    <w:basedOn w:val="Normal"/>
    <w:link w:val="TextonotapieCar"/>
    <w:uiPriority w:val="99"/>
    <w:unhideWhenUsed/>
    <w:rsid w:val="00266AA5"/>
    <w:pPr>
      <w:spacing w:line="240" w:lineRule="auto"/>
    </w:pPr>
    <w:rPr>
      <w:rFonts w:asciiTheme="minorHAnsi" w:hAnsiTheme="minorHAnsi"/>
      <w:sz w:val="20"/>
      <w:szCs w:val="20"/>
    </w:rPr>
  </w:style>
  <w:style w:type="character" w:customStyle="1" w:styleId="TextonotapieCar">
    <w:name w:val="Texto nota pie Car"/>
    <w:basedOn w:val="Fuentedeprrafopredeter"/>
    <w:link w:val="Textonotapie"/>
    <w:uiPriority w:val="99"/>
    <w:rsid w:val="00266AA5"/>
    <w:rPr>
      <w:sz w:val="20"/>
      <w:szCs w:val="20"/>
    </w:rPr>
  </w:style>
  <w:style w:type="character" w:styleId="Refdenotaalpie">
    <w:name w:val="footnote reference"/>
    <w:basedOn w:val="Fuentedeprrafopredeter"/>
    <w:uiPriority w:val="99"/>
    <w:semiHidden/>
    <w:unhideWhenUsed/>
    <w:rsid w:val="00266AA5"/>
    <w:rPr>
      <w:vertAlign w:val="superscript"/>
    </w:rPr>
  </w:style>
  <w:style w:type="paragraph" w:customStyle="1" w:styleId="Default">
    <w:name w:val="Default"/>
    <w:rsid w:val="00B7590A"/>
    <w:pPr>
      <w:autoSpaceDE w:val="0"/>
      <w:autoSpaceDN w:val="0"/>
      <w:adjustRightInd w:val="0"/>
      <w:spacing w:after="0" w:line="240" w:lineRule="auto"/>
    </w:pPr>
    <w:rPr>
      <w:rFonts w:ascii="Times New Roman" w:hAnsi="Times New Roman" w:cs="Times New Roman"/>
      <w:color w:val="000000"/>
      <w:sz w:val="24"/>
      <w:szCs w:val="24"/>
      <w:lang w:val="es-CR"/>
    </w:rPr>
  </w:style>
  <w:style w:type="character" w:styleId="Refdecomentario">
    <w:name w:val="annotation reference"/>
    <w:basedOn w:val="Fuentedeprrafopredeter"/>
    <w:uiPriority w:val="99"/>
    <w:semiHidden/>
    <w:unhideWhenUsed/>
    <w:rsid w:val="00EC090D"/>
    <w:rPr>
      <w:sz w:val="16"/>
      <w:szCs w:val="16"/>
    </w:rPr>
  </w:style>
  <w:style w:type="paragraph" w:styleId="Textocomentario">
    <w:name w:val="annotation text"/>
    <w:basedOn w:val="Normal"/>
    <w:link w:val="TextocomentarioCar"/>
    <w:uiPriority w:val="99"/>
    <w:semiHidden/>
    <w:unhideWhenUsed/>
    <w:rsid w:val="00EC090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090D"/>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EC090D"/>
    <w:rPr>
      <w:b/>
      <w:bCs/>
    </w:rPr>
  </w:style>
  <w:style w:type="character" w:customStyle="1" w:styleId="AsuntodelcomentarioCar">
    <w:name w:val="Asunto del comentario Car"/>
    <w:basedOn w:val="TextocomentarioCar"/>
    <w:link w:val="Asuntodelcomentario"/>
    <w:uiPriority w:val="99"/>
    <w:semiHidden/>
    <w:rsid w:val="00EC090D"/>
    <w:rPr>
      <w:rFonts w:ascii="Times New Roman" w:hAnsi="Times New Roman"/>
      <w:b/>
      <w:bCs/>
      <w:sz w:val="20"/>
      <w:szCs w:val="20"/>
    </w:rPr>
  </w:style>
  <w:style w:type="paragraph" w:styleId="Revisin">
    <w:name w:val="Revision"/>
    <w:hidden/>
    <w:uiPriority w:val="99"/>
    <w:semiHidden/>
    <w:rsid w:val="002F6E3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474368">
      <w:bodyDiv w:val="1"/>
      <w:marLeft w:val="0"/>
      <w:marRight w:val="0"/>
      <w:marTop w:val="0"/>
      <w:marBottom w:val="0"/>
      <w:divBdr>
        <w:top w:val="none" w:sz="0" w:space="0" w:color="auto"/>
        <w:left w:val="none" w:sz="0" w:space="0" w:color="auto"/>
        <w:bottom w:val="none" w:sz="0" w:space="0" w:color="auto"/>
        <w:right w:val="none" w:sz="0" w:space="0" w:color="auto"/>
      </w:divBdr>
    </w:div>
    <w:div w:id="838348889">
      <w:bodyDiv w:val="1"/>
      <w:marLeft w:val="0"/>
      <w:marRight w:val="0"/>
      <w:marTop w:val="0"/>
      <w:marBottom w:val="0"/>
      <w:divBdr>
        <w:top w:val="none" w:sz="0" w:space="0" w:color="auto"/>
        <w:left w:val="none" w:sz="0" w:space="0" w:color="auto"/>
        <w:bottom w:val="none" w:sz="0" w:space="0" w:color="auto"/>
        <w:right w:val="none" w:sz="0" w:space="0" w:color="auto"/>
      </w:divBdr>
    </w:div>
    <w:div w:id="15676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gashn\AppData\Roaming\Microsoft\Templates\Machote%20S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95ECA4097B466E95B1A4899A7D0519"/>
        <w:category>
          <w:name w:val="General"/>
          <w:gallery w:val="placeholder"/>
        </w:category>
        <w:types>
          <w:type w:val="bbPlcHdr"/>
        </w:types>
        <w:behaviors>
          <w:behavior w:val="content"/>
        </w:behaviors>
        <w:guid w:val="{2626613F-0F68-4060-9569-EE2D2C99B452}"/>
      </w:docPartPr>
      <w:docPartBody>
        <w:p w:rsidR="002D3295" w:rsidRDefault="002D027B">
          <w:pPr>
            <w:pStyle w:val="E395ECA4097B466E95B1A4899A7D0519"/>
          </w:pPr>
          <w:r w:rsidRPr="0087789B">
            <w:rPr>
              <w:rStyle w:val="Textodelmarcadordeposicin"/>
              <w:szCs w:val="24"/>
            </w:rPr>
            <w:t>Ingrese la fecha aquí.</w:t>
          </w:r>
        </w:p>
      </w:docPartBody>
    </w:docPart>
    <w:docPart>
      <w:docPartPr>
        <w:name w:val="6FEF9BC79D6042C9BC874B85F6D4C25B"/>
        <w:category>
          <w:name w:val="General"/>
          <w:gallery w:val="placeholder"/>
        </w:category>
        <w:types>
          <w:type w:val="bbPlcHdr"/>
        </w:types>
        <w:behaviors>
          <w:behavior w:val="content"/>
        </w:behaviors>
        <w:guid w:val="{DFADB137-E825-4C67-9FA9-17E383C5B30A}"/>
      </w:docPartPr>
      <w:docPartBody>
        <w:p w:rsidR="002D3295" w:rsidRDefault="002D027B">
          <w:pPr>
            <w:pStyle w:val="6FEF9BC79D6042C9BC874B85F6D4C25B"/>
          </w:pPr>
          <w:r w:rsidRPr="0087789B">
            <w:rPr>
              <w:rStyle w:val="Textodelmarcadordeposicin"/>
              <w:szCs w:val="24"/>
            </w:rPr>
            <w:t>Ingrese aquí el SP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7B"/>
    <w:rsid w:val="00273BDD"/>
    <w:rsid w:val="002D027B"/>
    <w:rsid w:val="002D3295"/>
    <w:rsid w:val="00C14852"/>
    <w:rsid w:val="00E60808"/>
    <w:rsid w:val="00FB201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E395ECA4097B466E95B1A4899A7D0519">
    <w:name w:val="E395ECA4097B466E95B1A4899A7D0519"/>
  </w:style>
  <w:style w:type="paragraph" w:customStyle="1" w:styleId="6FEF9BC79D6042C9BC874B85F6D4C25B">
    <w:name w:val="6FEF9BC79D6042C9BC874B85F6D4C2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m3H0Gr+hEonvhf5bcqXArUidB6lygvLDZIqRZdWQF+w=</DigestValue>
    </Reference>
    <Reference Type="http://www.w3.org/2000/09/xmldsig#Object" URI="#idOfficeObject">
      <DigestMethod Algorithm="http://www.w3.org/2001/04/xmlenc#sha256"/>
      <DigestValue>7wlkxx11UBscP2a9aIMaPgKCnjW1lv9ZdYHXDyHPAvA=</DigestValue>
    </Reference>
    <Reference Type="http://uri.etsi.org/01903#SignedProperties" URI="#idSignedProperties">
      <Transforms>
        <Transform Algorithm="http://www.w3.org/TR/2001/REC-xml-c14n-20010315"/>
      </Transforms>
      <DigestMethod Algorithm="http://www.w3.org/2001/04/xmlenc#sha256"/>
      <DigestValue>qg5AiIes83RFrf1c19wQKKaG1bWVfSLErMcVzS1D1DA=</DigestValue>
    </Reference>
  </SignedInfo>
  <SignatureValue>oRn7q//I8WdIVrFuKnEUPNrk9OBJszt7vKr6hIk+QqZvOdKe4GLul7t40lv6zI9HYDZDwHu5Wzm9
ZXWT5A2VPCT/Cz9rrbOKA32ka2AsbD2e692zci/2p03OvEAZI4U2JvzhQzzdDR/Bo0xdTDLmtt1h
tMkB+/nl/J3RXZV5xJG/aJVcL4pEkIDNZb/dwLCXpof9BaabdpXKVDm7Lex4byOEzYnwfB6HqLro
MHliW/p7RbCtem0FvN5ki7uKFXQloGfxRjPTlqo+oylpGcw6s21wNEzItAazhvu1sSg6eQgo3T7Z
BV1CcETllHukyyIXauqh3A8zSP1jNZwS4/fVJQ==</SignatureValue>
  <KeyInfo>
    <X509Data>
      <X509Certificate>MIIFszCCBJugAwIBAgITFAACw4dfzqBugC+ssQAAAALDhzANBgkqhkiG9w0BAQsFADCBmTEZMBcGA1UEBRMQQ1BKLTQtMDAwLTAwNDAxNzELMAkGA1UEBhMCQ1IxJDAiBgNVBAoTG0JBTkNPIENFTlRSQUwgREUgQ09TVEEgUklDQTEiMCAGA1UECxMZRElWSVNJT04gU0lTVEVNQVMgREUgUEFHTzElMCMGA1UEAxMcQ0EgU0lOUEUgLSBQRVJTT05BIEZJU0lDQSB2MjAeFw0xODAxMDIxNTU2NDFaFw0yMjAxMDExNTU2NDFaMIG1MRkwFwYDVQQFExBDUEYtMDEtMDc1Ni0wNjA0MRkwFwYDVQQEExBWQVJHQVMgSEVSTkFOREVaMRQwEgYDVQQqEwtORUxMWSBNQVJJQTELMAkGA1UEBhMCQ1IxFzAVBgNVBAoTDlBFUlNPTkEgRklTSUNBMRIwEAYDVQQLEwlDSVVEQURBTk8xLTArBgNVBAMTJE5FTExZIE1BUklBIFZBUkdBUyBIRVJOQU5ERVogKEZJUk1BKTCCASIwDQYJKoZIhvcNAQEBBQADggEPADCCAQoCggEBAM1eXxitSTHeX0LsEEG8XpvZfOEDeWxwDUccGb+FCpmvzU/Z1rSxsQxIPUkVIBH3r+8hAz0tm/o+ZyBGquL+lN3nge/nfKVJAqqxfFLRr3rKX7cUu61JY/6jIRSOfRl9OJYwG7BhU26Ta88//kzItCzJhu0HpLy1kb4uWFxvSleShyYG/w8SGwBlgs1n3+Y3HSTjIcsq2RlAVm6FbHtk6MihLN5PrzX7RheyrK7m8iPGUdMoVVwue4dxQL6KcyEZ28CQmRi06F4mKGm2LeIrEHdt7eKMuj5kn3J1ih4Ay5266Qc/6bH9RbNs2edJ0VvX/Aa2if+JIfVofUZsit/UaesCAwEAAaOCAdQwggHQMB0GA1UdDgQWBBTEJ8Gi3cLSe6RB7FKNC0lBEwXc0DAfBgNVHSMEGDAWgBS0dIurntt28H+lKOOUrTHMcvCzKTBeBgNVHR8EVzBVMFOgUaBPhk1odHRwOi8vZmRpLnNpbnBlLmZpLmNyL3JlcG9zaXRvcmlvL0NBJTIwU0lOUEUlMjAtJTIwUEVSU09OQSUyMEZJU0lDQSUyMHYyLmNybDCBlQYIKwYBBQUHAQEEgYgwgYUwWQYIKwYBBQUHMAKGTWh0dHA6Ly9mZGkuc2lucGUuZmkuY3IvcmVwb3NpdG9yaW8vQ0ElMjBTSU5QRSUyMC0lMjBQRVJTT05BJTIwRklTSUNBJTIwdjI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Gn6sKpFEiFEC7apTO2uJQqcyWA557ZtOBZadus0977w1YAJ931G9hlH89HggjE5m29w0rf9SjLlSZO1QWCClRskY1N0yGuo0M9egKA5MWtSQxJpzuUISrsEU9zZmRTLdjGV3dxNBROzwdOcMeh0e9O6g2b8X03nbpoXsk5Q0Dg7kcq63SIws/d5IEeKjXXDKQpCdK/8WqZ4AU+AWtIKCCQhn1zYWiu4oqCCdxJTvq67ZSXTmrf+yQwwN9qXVIrvhQiqqHr3gqVO2DHwkVtDpKA7DqFQVryeqLr1LiW89//2KrThH6+ikn/97cUUXW04WHkCl2ZBbQvXfbk9u3Yp8E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X4YEsK9if6ajZMvWmtx+PlFF6eWrZ0/bgTuvoyOd5Ic=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hhSoe3G4YF60k0EQwX8eT8nnQoYQqso8rhH+kpkfhmI=</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hhSoe3G4YF60k0EQwX8eT8nnQoYQqso8rhH+kpkfhmI=</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XfFRFGVdzmAqKSV/h81K9r68vvhfS9JfaOYU2tSgjI4=</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XfFRFGVdzmAqKSV/h81K9r68vvhfS9JfaOYU2tSgjI4=</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uMc3Lx2BRMxmgtfliJGfG3okI3+RXkmXON1DHzlqKpA=</DigestValue>
      </Reference>
      <Reference URI="/word/document.xml?ContentType=application/vnd.openxmlformats-officedocument.wordprocessingml.document.main+xml">
        <DigestMethod Algorithm="http://www.w3.org/2001/04/xmlenc#sha256"/>
        <DigestValue>/UO2D7IQa4MlocDluvHQihpxU5fFli1WRocm4XCLywQ=</DigestValue>
      </Reference>
      <Reference URI="/word/endnotes.xml?ContentType=application/vnd.openxmlformats-officedocument.wordprocessingml.endnotes+xml">
        <DigestMethod Algorithm="http://www.w3.org/2001/04/xmlenc#sha256"/>
        <DigestValue>6uy770Glk3sJCJ2YtDYGmer62rSuq+F73e9cnZSC748=</DigestValue>
      </Reference>
      <Reference URI="/word/fontTable.xml?ContentType=application/vnd.openxmlformats-officedocument.wordprocessingml.fontTable+xml">
        <DigestMethod Algorithm="http://www.w3.org/2001/04/xmlenc#sha256"/>
        <DigestValue>+5gagt18boCD73DgTeZtOoeOJYQK9sRktajMSD1Skmk=</DigestValue>
      </Reference>
      <Reference URI="/word/footer1.xml?ContentType=application/vnd.openxmlformats-officedocument.wordprocessingml.footer+xml">
        <DigestMethod Algorithm="http://www.w3.org/2001/04/xmlenc#sha256"/>
        <DigestValue>uL3ahboo84qY+xNUMqK0JyGYVVhgmMpLH3Rj4uz3nHk=</DigestValue>
      </Reference>
      <Reference URI="/word/footer2.xml?ContentType=application/vnd.openxmlformats-officedocument.wordprocessingml.footer+xml">
        <DigestMethod Algorithm="http://www.w3.org/2001/04/xmlenc#sha256"/>
        <DigestValue>Iec/5VS88sm99cXW7DsAWPJvaga6d9Pnlvi8q+HTFaE=</DigestValue>
      </Reference>
      <Reference URI="/word/footer3.xml?ContentType=application/vnd.openxmlformats-officedocument.wordprocessingml.footer+xml">
        <DigestMethod Algorithm="http://www.w3.org/2001/04/xmlenc#sha256"/>
        <DigestValue>pk17Mhv9OcAzipJBdWyT0+vendW0KC0f3lFzz1HH5wo=</DigestValue>
      </Reference>
      <Reference URI="/word/footnotes.xml?ContentType=application/vnd.openxmlformats-officedocument.wordprocessingml.footnotes+xml">
        <DigestMethod Algorithm="http://www.w3.org/2001/04/xmlenc#sha256"/>
        <DigestValue>zCuKvo3fuN+ayu2AqppqEP/nUW264YaKnmY7kOKWf+w=</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yK0TJlFnM/jYE3p8gurbxakwJM1MlSNzlB97hg/bHJg=</DigestValue>
      </Reference>
      <Reference URI="/word/glossary/fontTable.xml?ContentType=application/vnd.openxmlformats-officedocument.wordprocessingml.fontTable+xml">
        <DigestMethod Algorithm="http://www.w3.org/2001/04/xmlenc#sha256"/>
        <DigestValue>+5gagt18boCD73DgTeZtOoeOJYQK9sRktajMSD1Skmk=</DigestValue>
      </Reference>
      <Reference URI="/word/glossary/settings.xml?ContentType=application/vnd.openxmlformats-officedocument.wordprocessingml.settings+xml">
        <DigestMethod Algorithm="http://www.w3.org/2001/04/xmlenc#sha256"/>
        <DigestValue>++supmpNzLVBpLDUIkA8CIWQrKqGPVLWtLc67BoZYoo=</DigestValue>
      </Reference>
      <Reference URI="/word/glossary/styles.xml?ContentType=application/vnd.openxmlformats-officedocument.wordprocessingml.styles+xml">
        <DigestMethod Algorithm="http://www.w3.org/2001/04/xmlenc#sha256"/>
        <DigestValue>I1xK8wXUob3Zc9/Jq7GTAQ0L0332hN7QJGfc9VyfvSc=</DigestValue>
      </Reference>
      <Reference URI="/word/glossary/webSettings.xml?ContentType=application/vnd.openxmlformats-officedocument.wordprocessingml.webSettings+xml">
        <DigestMethod Algorithm="http://www.w3.org/2001/04/xmlenc#sha256"/>
        <DigestValue>Xg3hEfvJ+Z2rkGfrnNiD+pFqrxlY1D1O8Hz9BaIymlQ=</DigestValue>
      </Reference>
      <Reference URI="/word/header1.xml?ContentType=application/vnd.openxmlformats-officedocument.wordprocessingml.header+xml">
        <DigestMethod Algorithm="http://www.w3.org/2001/04/xmlenc#sha256"/>
        <DigestValue>0QVxcSfzEwrjneKsLLiOqEtvIr9l+h6cGoddBOTpXCc=</DigestValue>
      </Reference>
      <Reference URI="/word/header2.xml?ContentType=application/vnd.openxmlformats-officedocument.wordprocessingml.header+xml">
        <DigestMethod Algorithm="http://www.w3.org/2001/04/xmlenc#sha256"/>
        <DigestValue>Gw4MLk58ylbcsFgO2PBZ98unKQ3RHWPCjrspVn4KtrY=</DigestValue>
      </Reference>
      <Reference URI="/word/header3.xml?ContentType=application/vnd.openxmlformats-officedocument.wordprocessingml.header+xml">
        <DigestMethod Algorithm="http://www.w3.org/2001/04/xmlenc#sha256"/>
        <DigestValue>zGU80PVqC5/GVAYcphdqWHPtn4FQfosirH3ZNAPXrIc=</DigestValue>
      </Reference>
      <Reference URI="/word/media/image1.jpg?ContentType=image/jpeg">
        <DigestMethod Algorithm="http://www.w3.org/2001/04/xmlenc#sha256"/>
        <DigestValue>88Fi1YNwtnh4tE89BIw0/z4QWNoIclptPpooNkZVAcM=</DigestValue>
      </Reference>
      <Reference URI="/word/media/image2.png?ContentType=image/png">
        <DigestMethod Algorithm="http://www.w3.org/2001/04/xmlenc#sha256"/>
        <DigestValue>UjQxhm2JGiKJum3t5SnnFxiO+1/EruPCbPzen3TiwwI=</DigestValue>
      </Reference>
      <Reference URI="/word/media/image3.jpeg?ContentType=image/jpeg">
        <DigestMethod Algorithm="http://www.w3.org/2001/04/xmlenc#sha256"/>
        <DigestValue>dqPEdAE9MCx/dINV6dD4uV0YK4KV2DwGqB9BYqNDUu8=</DigestValue>
      </Reference>
      <Reference URI="/word/numbering.xml?ContentType=application/vnd.openxmlformats-officedocument.wordprocessingml.numbering+xml">
        <DigestMethod Algorithm="http://www.w3.org/2001/04/xmlenc#sha256"/>
        <DigestValue>BV2nWWUHfvKzCpFNvaMdG99QqN9NTOOGdEX6ea6/wfA=</DigestValue>
      </Reference>
      <Reference URI="/word/settings.xml?ContentType=application/vnd.openxmlformats-officedocument.wordprocessingml.settings+xml">
        <DigestMethod Algorithm="http://www.w3.org/2001/04/xmlenc#sha256"/>
        <DigestValue>11PqSgrZGP3inS43yd1QaEdO5fb1djrUE0s9a44uoms=</DigestValue>
      </Reference>
      <Reference URI="/word/styles.xml?ContentType=application/vnd.openxmlformats-officedocument.wordprocessingml.styles+xml">
        <DigestMethod Algorithm="http://www.w3.org/2001/04/xmlenc#sha256"/>
        <DigestValue>bJxYn3KNtq8p4T/TKxusPpY0j+q+wJ7ED4e5FcNePw8=</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o/d/80o8c+l/wqO+AVQKRw7RPo3xOGeXcWnSrXVJ1go=</DigestValue>
      </Reference>
    </Manifest>
    <SignatureProperties>
      <SignatureProperty Id="idSignatureTime" Target="#idPackageSignature">
        <mdssi:SignatureTime xmlns:mdssi="http://schemas.openxmlformats.org/package/2006/digital-signature">
          <mdssi:Format>YYYY-MM-DDThh:mm:ssTZD</mdssi:Format>
          <mdssi:Value>2020-11-08T20:48:00Z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16.0.12527/19</OfficeVersion>
          <ApplicationVersion>16.0.12527</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2020-11-08T20:48:00Z</xd:SigningTime>
          <xd:SigningCertificate>
            <xd:Cert>
              <xd:CertDigest>
                <DigestMethod Algorithm="http://www.w3.org/2001/04/xmlenc#sha256"/>
                <DigestValue>9wBOpVJ9kXS9M1JLCJnE9kRvgrwx+0x+DKlxJwbq0D0=</DigestValue>
              </xd:CertDigest>
              <xd:IssuerSerial>
                <X509IssuerName>CN=CA SINPE - PERSONA FISICA v2, OU=DIVISION SISTEMAS DE PAGO, O=BANCO CENTRAL DE COSTA RICA, C=CR, SERIALNUMBER=CPJ-4-000-004017</X509IssuerName>
                <X509SerialNumber>446015844437708758233451839363321341214376839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ADCCCuigAwIBAgITSwAAAAMTyepkVGDdawAAAAAAAzANBgkqhkiG9w0BAQ0FADB9MRkwFwYDVQQFExBDUEotMi0xMDAtMDk4MzExMQswCQYDVQQGEwJDUjEPMA0GA1UEChMGTUlDSVRUMQ0wCwYDVQQLEwREQ0ZEMTMwMQYDVQQDEypDQSBQT0xJVElDQSBQRVJTT05BIEZJU0lDQSAtIENPU1RBIFJJQ0EgdjIwHhcNMTYwMTIxMTgxNjA4WhcNMjQwMTIxMTgyNjA4WjCBmTEZMBcGA1UEBRMQQ1BKLTQtMDAwLTAwNDAxNzELMAkGA1UEBhMCQ1IxJDAiBgNVBAoTG0JBTkNPIENFTlRSQUwgREUgQ09TVEEgUklDQTEiMCAGA1UECxMZRElWSVNJT04gU0lTVEVNQVMgREUgUEFHTzElMCMGA1UEAxMcQ0EgU0lOUEUgLSBQRVJTT05BIEZJU0lDQSB2MjCCASIwDQYJKoZIhvcNAQEBBQADggEPADCCAQoCggEBAOa9ooS00UHFT099PwJl/OLq8TVJD9STp1Kcqhjl234reztc/NNzMgvwcRJiLKWY5RaKWwxbEDOsgIcIp32gmNH057NqgAQcRAVfWLIVjqqTtQCkj3ZgTFUZeYwXe2qKgV/jRAfwy9ZQAO/la9ccWh7Upwf3y6Z9MAqA+er/o6FUfIBDnzSxBJvLlN5VuVXmp0bm5KT/wCYm/SIktDCIGAzIDo1ndowbhfTs6D/cMRzlMQgFQz6cwutaOGg13ojo0OLeqbNR/c8ERom5xcaMiGkJ4EPv30v4fb6lCtX+M3Soz+uha+tr9s0gWXPSrpyXWAWWrLl4yugXT5RxvLx7kWsCAwEAAaOCCFowgghWMBAGCSsGAQQBgjcVAQQDAgEAMB0GA1UdDgQWBBS0dIurntt28H+lKOOUrTHMcvCzKT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XMDsvznzaps0YruV9IpoXIN3enrxNHnzu9eEW9ucl3jP3yOK4SfqwTYvJ8PKKaG+p5WxhVFVh5Qn2nm0CPR8zrxMEskqg7GdScqIpoMe9ZojSEk4Xw19cHj3KN+eetp96lBpjTlva4ipz2ES09tVUA/ctU6kRbMR22B9qjeSE8agrYKaUBc4n44h1W6K7itGkIMVB/wQ1nF8sxkoVOitqLXjVy7ZKTk+4+S0rWK7SYt2fkaQZA8tSSt6fatPx68+gDKSv3JXNWG+Nr8IXZdyrpICwI/318JPPjR0QJnD7kivjZK2QFZCbuJu4rZoyblvXJLmei4QXpSIgRMgZ0MJamP5dW2Xw3qq2YQS4ma8ZTCqecat5wFGsH81RR10JnpRp4A4NpftguvbnZhG9m8kdmOKaq4R7NRp/wM/XZi0jxsvzdtUomquCQc+AJ26AZPWVy4nj+kglEJE759oo/Qjpgu9PZrkEARInpjHzYBSeq6SCHud58pzZIwStlOMicLozcLAyOvgTKAjg9cQBg1HVi1wT2aVL76tOAI0ZlCGiSnyGq3RUEKSC3TcFfTzpPJiHKw+6nPmTAAnCN8+co+s0Prh/+Ju24hA8ShhKYy3ORQ+3u2l8EoyPUcl+EDOC2kufLbuF7AKrBDF0hXmLfon9nZBnfr/EpL/J1qRaM7am1s=</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sW4vt4hdsAElTcpKA3TLwtYHvddrdmqqDAQ51cKG2awCBAqtGUIYDzIwMjAxMTA4MjA0ODEw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wMTEwODIwNDgxMFowLwYJKoZIhvcNAQkEMSIEIKw712JMXa3vLobuov9AcGbQn645QJSmi7a5vflr9L1eMDcGCyqGSIb3DQEJEAIvMSgwJjAkMCIEIDcrk3iY5iZu+N7/iFpVKDYeTZ9u7elabVQcL5d9tumpMA0GCSqGSIb3DQEBAQUABIIBACFHWTYblsIEwIqEnia5fgXtpSXyFZt2mOzoN2jzdpaYEuo/KKH1u8FTqyQBzqJy3zS+KJSzGKNa496zCagtLeeysXVmFr5oovVMI9EBRJk5R6MML5wnkokUfWLT8mddpfjd0O5pA+JfCrzzN9H9gRHxLmNI43+1zwBcT03/2IO9HDea0edHSJNiE2/N1uL1yidmoLkCAtDV4cSiyYSGV1I7qW9kxhbYMPTQBQdI17wKlAI1aQoBnKU/C3L79JuNf1A8LQ4RCxqiJKJ+88QYzwzd9oGsiR2mFCbBESAlVADKhPIzcCfSz+kr3op1wmEgmT2+hfnFam58XvX2J2IKOVk=</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AxMDIzMTkyMzMwWhcNMjAxMjI0MDc0MzMwWqBfMF0wHwYDVR0jBBgwFoAUsLvgCC5LE2jw0IBEA2ekP/8lY/YwEAYJKwYBBAGCNxUBBAMCAQAwCgYDVR0UBAMCAScwHAYJKwYBBAGCNxUEBA8XDTIwMTIyMzE5MzMzMFowDQYJKoZIhvcNAQENBQADggIBAG5gUKws8/vda9DUYFwXrT/QuxQZ/lo5amkZYL8UfRvX488zcwcN7CXVQhLSv1JozY8t8ikLM4dKKwsCObHsAmkxIa1o4aaYbKacRxh0y6+aXgDVOedeQRRUfkmIn+9YHTfK1mA3BHDfjOeM1BDnZ09XEyXmzLdxdemeBUkjY/xdA76hInLX5uyPQWMb/zUkAnkcmDVujMUngedg+dpOGfl2uI5Gvo0VhEsGtUTiESVEXZE3BX2AH3Nv4xw2zFXaPyuPzTJojVveTY5lwvieYDCu7ahtG0/NgUSHldP1B9NzHzLRJwJRwRS/09s5kAjkOa52q4F2mWOJs2oFuKOWLXWIccxmAeFur4GrRZxuxV5u4iu2kMi8qCvd8h+pPuXuRe/ONw2f+xuTLk6YVLHb3GEloDD8gXTXXTtCeV6+pPaBo/ndyrt/kQd189bQSggcMGq75apRYtZT34HYMyniAMAzLNAYalJa4vY2Cv2jnfh8f/JtS1ukZjuha29zHaVd006gQgyELf9Mk78Op/8/xJwEB97RgNaCEipIeANgYnI3RXzrTbjdrPZUzXAz2MopQJRW2orTPB/XUe1QB4sor0r9ryTJ+/d3BgpRE1q8aP2aLM7NDj6ww7T9kaUKt6bQ40utGjGeAwg3n8U127ATBkY4PJI2+y/I4UpaZw2zQJbl</xd:EncapsulatedCRLValue>
                <xd:EncapsulatedCRLValue>MIIDHjCCAQYCAQEwDQYJKoZIhvcNAQENBQAwczEZMBcGA1UEBRMQQ1BKLTItMTAwLTA5ODMxMTENMAsGA1UECxMERENGRDEPMA0GA1UEChMGTUlDSVRUMQswCQYDVQQGEwJDUjEpMCcGA1UEAxMgQ0EgUkFJWiBOQUNJT05BTCAtIENPU1RBIFJJQ0EgdjIXDTIwMDgyODE4MTk0MloXDTIwMTIyOTA2Mzk0MlqgXzBdMB8GA1UdIwQYMBaAFODy/n3ERE5Q5DX9CImPToQZRDNAMBAGCSsGAQQBgjcVAQQDAgEAMAoGA1UdFAQDAgEUMBwGCSsGAQQBgjcVBAQPFw0yMDEyMjgxODI5NDJaMA0GCSqGSIb3DQEBDQUAA4ICAQCwc1mrOTKRzULTGiR7tjmo1iphhO/36ox6ndCBC/K2Ktmg7j+a5BuiP2qPOdPoVxkEKGUYn59RrfcoDd19yRd7Fwo233DQo7L8W7wGYKDNRcXko7JXXpPhPC92MO6hLYJTgvnwfPpdwEvmEYjn2y85h+vcSHjrP+3TytIp/pEGGKW4BaN3/M11zhGBmWPjn+4baUtYsmCB3nGE0Msa4jeDM9w/wEl6eqOjGwSgZS+Na0Qi7icU66A3Ib1eyKpK0oEMP4UcciqmM6gchK9GNGEe+pIpHLPRYPVKnmyYw9tpah6BjnIoZmGSLMVuw+19zIsX+sc0C+2IeiHxzT4/w0XciCJ0JmI7yUxlC4eld1di3XkJdYTeL0n3AGNzJ7+pUG05lspGdHGEGeWZej+VQTLPsq8ndzTHuZ9izwBvdEYJVog/F9DpXXsvT7T11QfmVZKDokGJaXSSpDNgy8iqeE1HRE/2TP7xBYzXmry8t1AwX6yx4ZPhZ06wx6XKRaTujtyStOHy3pa2my4EFhc9n55QvzbgW/S7L7vonXWLfWym9BXlcPg0Sxmts1jluDOwqUYfMTtkB/BB3qHQU5bywk483k+kOWQsNbKajhJzwkSn24V2pwGjynPAEcSsPyx2FcQuem3/sj5ahbtXMGHX1gRUk3Q8tHnihycVii+yARpCYg==</xd:EncapsulatedCRLValue>
              </xd:CRLValues>
            </xd:RevocationValues>
          </TimeStampValidationData>
          <xd:CompleteCertificateRefs>
            <xd:CertRefs>
              <xd:Cert>
                <xd:CertDigest>
                  <DigestMethod Algorithm="http://www.w3.org/2001/04/xmlenc#sha256"/>
                  <DigestValue>9MOmB5Qo76TeXgvr2HcOBYJvmbrzA9UTDRxJc3BR+Ak=</DigestValue>
                </xd:CertDigest>
                <xd:IssuerSerial>
                  <X509IssuerName>CN=CA POLITICA PERSONA FISICA - COSTA RICA v2, OU=DCFD, O=MICITT, C=CR, SERIALNUMBER=CPJ-2-100-098311</X509IssuerName>
                  <X509SerialNumber>1672555889905774989374701447987177132319047683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cBbu3o0a3WT5SqzONYVlKU8CoLk=</xd:ByKey>
                  </xd:ResponderID>
                  <xd:ProducedAt>2020-11-08T20:36:15Z</xd:ProducedAt>
                </xd:OCSPIdentifier>
                <xd:DigestAlgAndValue>
                  <DigestMethod Algorithm="http://www.w3.org/2001/04/xmlenc#sha256"/>
                  <DigestValue>4xTfWNBEDpwtzXnyB6PJ6vWFxd5QoSoNrfaMR8F+yds=</DigestValue>
                </xd:DigestAlgAndValue>
              </xd:OCSPRef>
            </xd:OCSPRefs>
            <xd:CRLRefs>
              <xd:CRLRef>
                <xd:DigestAlgAndValue>
                  <DigestMethod Algorithm="http://www.w3.org/2001/04/xmlenc#sha256"/>
                  <DigestValue>+mVpo0lvTtuzFbRDptX4AV66jEXWtq1U/zh7nex+tQA=</DigestValue>
                </xd:DigestAlgAndValue>
                <xd:CRLIdentifier>
                  <xd:Issuer>CN=CA POLITICA PERSONA FISICA - COSTA RICA v2, OU=DCFD, O=MICITT, C=CR, SERIALNUMBER=CPJ-2-100-098311</xd:Issuer>
                  <xd:IssueTime>2020-10-23T19:15:34Z</xd:IssueTime>
                </xd:CRLIdentifier>
              </xd:CRLRef>
              <xd:CRLRef>
                <xd:DigestAlgAndValue>
                  <DigestMethod Algorithm="http://www.w3.org/2001/04/xmlenc#sha256"/>
                  <DigestValue>/p7X/agJiz9wFdsFKjzeQIgnJcIW78GuoQcn6C0+ItM=</DigestValue>
                </xd:DigestAlgAndValue>
                <xd:CRLIdentifier>
                  <xd:Issuer>CN=CA RAIZ NACIONAL - COSTA RICA v2, C=CR, O=MICITT, OU=DCFD, SERIALNUMBER=CPJ-2-100-098311</xd:Issuer>
                  <xd:IssueTime>2020-08-28T18:19:42Z</xd:IssueTime>
                </xd:CRLIdentifier>
              </xd:CRLRef>
            </xd:CRLRefs>
          </xd:CompleteRevocationRefs>
          <xd:RevocationValues>
            <xd:OCSPValues>
              <xd:EncapsulatedOCSPValue>MIIGOQoBAKCCBjIwggYuBgkrBgEFBQcwAQEEggYfMIIGGzCBxaIWBBRwFu7ejRrdZPlKrM41hWUpTwKguRgPMjAyMDExMDgyMDM2MTVaMIGZMIGWMEwwCQYFKw4DAhoFAAQUzgxHzN03kqP+e9oD7BphnZQwSGIEFLR0i6ue23bwf6Uo45StMcxy8LMpAhMUAALDh1/OoG6AL6yxAAAAAsOHgAAYDzIwMjAxMTA4MjAwMzMxWqARGA8yMDIwMTExMDA4MjMzMVqhIDAeMBwGCSsGAQQBgjcVBAQPFw0yMDExMDkyMDEzMzFaMA0GCSqGSIb3DQEBCwUAA4IBAQC8T2+iKw6o7qT5rKbq2Ji7jGEjIpfVUV0ReQ2Ie5DloFTZD2CRpKV7kiWr4+soIru9IF40j6lG9+M1mJXA8cv6uYdxHb76cyiMmFDWP3P44l3s8ADRVy4I0JSVCXkk10QmCpVzHjITDEv5M4PvlwCT9CYouKnl+vP+79BxfzaHCX3wvBS/TLXekFU20xzmXyQxyCesoebzev+hrTsVdAG2XEIqtvnf83nR1kJwfHa10x0ToMwpANR08ItpG0eilTvljIuAyZp5gaiwQb5kwOpoO4t5GmS0US4nXiFzxjcwZqOiSwH/LzlF/801PkYzAvR5Cv/7xlJ2EvKafci9b+OdoIIEOzCCBDcwggQzMIIDG6ADAgECAhMUAAlI3Y5G9rK6hYcGAAEACUjdMA0GCSqGSIb3DQEBCwUAMIGZMRkwFwYDVQQFExBDUEotNC0wMDAtMDA0MDE3MQswCQYDVQQGEwJDUjEkMCIGA1UEChMbQkFOQ08gQ0VOVFJBTCBERSBDT1NUQSBSSUNBMSIwIAYDVQQLExlESVZJU0lPTiBTSVNURU1BUyBERSBQQUdPMSUwIwYDVQQDExxDQSBTSU5QRSAtIFBFUlNPTkEgRklTSUNBIHYyMB4XDTIwMTAzMTE5MDQ0MloXDTIwMTExNDE5MDQ0MlowGjEYMBYGA1UEAxMPUE9SVkVOSVIuZmRpLmNyMIIBIjANBgkqhkiG9w0BAQEFAAOCAQ8AMIIBCgKCAQEAvS1DTRvoH2g6wGAB7fY3D5cKw+0gHDZp+IeHL9ispmOc7FGxOlki15hUrYKVYCdBZ+HHbLiIYeh8Nek/3J5S+4y2U6mhouQ/TtiyFlvMV5H7iXSxqgnIvtkmXw/z3gWqbP4DePHC26XakEv/02fjxk4yC8+4SNZ7oOZQysiqHBZql6U/zACRvLE4OFMY5VbS0vXu0JUrspUMKaMwcjG8BCe8qCTn1lTh7UH1zmMim3jD5w3Aw6G14l9hQa7nRznpVXA4SByTamyyECMbZ7kMGgak5z48wPhrNWbUNAvM95YzGWdZnDNIs9UAmjp0yKfcz9127RcvYLPpsE9SG2tPDQIDAQABo4HxMIHuMD0GCSsGAQQBgjcVBwQwMC4GJisGAQQBgjcVCIXE6luC0eM1lZEbgvmXGIaly2uBf4P2/HeBuPEzAgFkAgEHMBMGA1UdJQQMMAoGCCsGAQUFBwMJMA4GA1UdDwEB/wQEAwIHgDAbBgkrBgEEAYI3FQoEDjAMMAoGCCsGAQUFBwMJMA8GCSsGAQUFBzABBQQCBQAwHwYDVR0jBBgwFoAUtHSLq57bdvB/pSjjlK0xzHLwsykwHQYDVR0OBBYEFHAW7t6NGt1k+UqszjWFZSlPAqC5MBoGA1UdEQQTMBGCD1BPUlZFTklSLmZkaS5jcjANBgkqhkiG9w0BAQsFAAOCAQEApVxRtHZU9Qt0+8u3wOrK1qloWT2SLA52CXXbiqRkO4I4C5qf67Fh2OdbkPgin3xEy8BSXDWeMXvGnIfanRmQOT4rYPnnBPbGRSVpi6HMlqOTBjoicd/5Dyt/YlJ5bEipI+uBFEykHlcwLCae6k3umQXzVn+H+JDRYrYnlw2zSCJMuCwq0uxL5C2piAWAM8Hl1Rql5VqMZdW+rRYP4jRm0o21EQzh+60xzGx+DxjoMdlUtHcBFlmoQyqdvy+i2fVXjVvQKCy6FlQWqtkfEOhZRzOXXwT7xktV7xjIgw4AKFigRKEn7jAxcxb5vh7ipD3Hkr5DzGqw/WbmQbqVceNeUg==</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DEwMjMxOTE1MzRaFw0yMDEyMjQwNzM1MzRaoF8wXTAfBgNVHSMEGDAWgBRonWk2y4Rue+qTYRn/WDAd1f9cyzAQBgkrBgEEAYI3FQEEAwIBADAKBgNVHRQEAwIBJzAcBgkrBgEEAYI3FQQEDxcNMjAxMjIzMTkyNTM0WjANBgkqhkiG9w0BAQ0FAAOCAgEAftYhTH00OBNcWA4Yi4g+QvcsQ9x54WQpHh5P7+tNLIKjFML1imVkgmTKdFjtcf1joW0dgRO1E6q+m0TCuYY1qCQScCO6d6/hd9qJtgL7pw0emsRZo5ENuJhDY/jYWZ5vbEPi4uPHRtn8m31yb9ufkx8DnFWjpDcviLkrTvt0NLUyzTEC6kqit/QLEljJdCScJcQigd9L7qLixPzNbR8O+r19MbP4O2cxDtejDx3CSo3xGtRu1ncE2VhRdklppugwzLGdp1C3NBJPweFFrs6ju4W5RvdIZOFsHJcMUMGbX8pSthdYRIqwdA7H/2m3LmOzfGFAattFn2h3gkixk/o6Ph/ugjgNV5Tt9XEdLWc0U3qwMdNO86rI/6XLdgGWMFUnq1/myEd4kwyYwYv53kWBxtSJP1IQsy2QIsV2+zii8SyIYxJaLyYtDbz05l1aQt9c88WvbnxLKbpvmb6CVe7FeYKP78Rt3gOrlaJsPIX7DBzd4AMYPxrDQhODmUPhXHvjQFJqfbxU9jTRTGVTHvbsOZ/i3EuHX4e3SnON+3jHMraaG7p8CbzeG7mPGZpOXLAmG54WWStcTa2JuBPrgW8llcjjel7IEEaN4sAv6lRuk5IkbImXnm90EKNO2RQeY5etHAqwchhvy9mHFB9kcQmg3KI2QE/E2Uoq7CIVbrSnmIw=</xd:EncapsulatedCRLValue>
              <xd:EncapsulatedCRLValue>MIIDHjCCAQYCAQEwDQYJKoZIhvcNAQENBQAwczEZMBcGA1UEBRMQQ1BKLTItMTAwLTA5ODMxMTENMAsGA1UECxMERENGRDEPMA0GA1UEChMGTUlDSVRUMQswCQYDVQQGEwJDUjEpMCcGA1UEAxMgQ0EgUkFJWiBOQUNJT05BTCAtIENPU1RBIFJJQ0EgdjIXDTIwMDgyODE4MTk0MloXDTIwMTIyOTA2Mzk0MlqgXzBdMB8GA1UdIwQYMBaAFODy/n3ERE5Q5DX9CImPToQZRDNAMBAGCSsGAQQBgjcVAQQDAgEAMAoGA1UdFAQDAgEUMBwGCSsGAQQBgjcVBAQPFw0yMDEyMjgxODI5NDJaMA0GCSqGSIb3DQEBDQUAA4ICAQCwc1mrOTKRzULTGiR7tjmo1iphhO/36ox6ndCBC/K2Ktmg7j+a5BuiP2qPOdPoVxkEKGUYn59RrfcoDd19yRd7Fwo233DQo7L8W7wGYKDNRcXko7JXXpPhPC92MO6hLYJTgvnwfPpdwEvmEYjn2y85h+vcSHjrP+3TytIp/pEGGKW4BaN3/M11zhGBmWPjn+4baUtYsmCB3nGE0Msa4jeDM9w/wEl6eqOjGwSgZS+Na0Qi7icU66A3Ib1eyKpK0oEMP4UcciqmM6gchK9GNGEe+pIpHLPRYPVKnmyYw9tpah6BjnIoZmGSLMVuw+19zIsX+sc0C+2IeiHxzT4/w0XciCJ0JmI7yUxlC4eld1di3XkJdYTeL0n3AGNzJ7+pUG05lspGdHGEGeWZej+VQTLPsq8ndzTHuZ9izwBvdEYJVog/F9DpXXsvT7T11QfmVZKDokGJaXSSpDNgy8iqeE1HRE/2TP7xBYzXmry8t1AwX6yx4ZPhZ06wx6XKRaTujtyStOHy3pa2my4EFhc9n55QvzbgW/S7L7vonXWLfWym9BXlcPg0Sxmts1jluDOwqUYfMTtkB/BB3qHQU5bywk483k+kOWQsNbKajhJzwkSn24V2pwGjynPAEcSsPyx2FcQuem3/sj5ahbtXMGHX1gRUk3Q8tHnihycVii+yARpCYg==</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ULCxdoi4WGu+xHxgEa8vbIAKx5WeCDnZS21Yy+q8LLMCBAqtGUMYDzIwMjAxMTA4MjA0ODEw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wMTEwODIwNDgxMFowLwYJKoZIhvcNAQkEMSIEIBN/DS7KiZv2WFKjOhtMmFLDAprXD842A7DDQgo1MhkuMDcGCyqGSIb3DQEJEAIvMSgwJjAkMCIEIDcrk3iY5iZu+N7/iFpVKDYeTZ9u7elabVQcL5d9tumpMA0GCSqGSIb3DQEBAQUABIIBAFXk9C/2MOrn8uTUGtM65G+3J8w37TZdsOJKVXZRJuIt0/EUQ4dgEVS/Ul+8J4xQOxMCEFXx2FdqSJq33r67rHNWQjOFmF7xBvj7qKoj603GxD5Fqht91SmpiRtyDuPSAz/wapiQsEeXz9hEcID0XkYGWoWf3FvruNm5BxebGo5QuH9gRnBw2+Ql6kWGGiXvtj/Z2NHpJ5+H7qhcxBDOjmEydkGSLEWm1DE9zujSkAgxw/oRCK9zCepOhpG7KEwMkb9FBZOHZ6ndMhTiFntcztqBiFXS0DkkOb5kxDIW/sTW0rGmJKnL6znG6Ts5La5WymxyzpIINLIj+DcA+PMJxAo=</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B413239FFFCB244ABB1D73B715BD916" ma:contentTypeVersion="13" ma:contentTypeDescription="Crear nuevo documento." ma:contentTypeScope="" ma:versionID="777766ff9bfaca8975028afefa260673">
  <xsd:schema xmlns:xsd="http://www.w3.org/2001/XMLSchema" xmlns:xs="http://www.w3.org/2001/XMLSchema" xmlns:p="http://schemas.microsoft.com/office/2006/metadata/properties" xmlns:ns3="33e30181-6c35-4bb2-95f8-43bba6f38756" xmlns:ns4="9a5afbdb-4bc0-4cd4-bd24-cc812ecc3ea5" targetNamespace="http://schemas.microsoft.com/office/2006/metadata/properties" ma:root="true" ma:fieldsID="adbea78b18dd43423de45b0cf9496a3f" ns3:_="" ns4:_="">
    <xsd:import namespace="33e30181-6c35-4bb2-95f8-43bba6f38756"/>
    <xsd:import namespace="9a5afbdb-4bc0-4cd4-bd24-cc812ecc3e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30181-6c35-4bb2-95f8-43bba6f387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afbdb-4bc0-4cd4-bd24-cc812ecc3ea5"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54265-9611-4717-9919-210EAE0D58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299D99-3DEA-4202-BD79-83B2A4D57E31}">
  <ds:schemaRefs>
    <ds:schemaRef ds:uri="http://schemas.microsoft.com/sharepoint/v3/contenttype/forms"/>
  </ds:schemaRefs>
</ds:datastoreItem>
</file>

<file path=customXml/itemProps3.xml><?xml version="1.0" encoding="utf-8"?>
<ds:datastoreItem xmlns:ds="http://schemas.openxmlformats.org/officeDocument/2006/customXml" ds:itemID="{68F7679B-C7E0-4D6A-9259-D747530AE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30181-6c35-4bb2-95f8-43bba6f38756"/>
    <ds:schemaRef ds:uri="9a5afbdb-4bc0-4cd4-bd24-cc812ecc3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D921BE-249C-489C-ACCB-3BE4B7FFC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Machote SP</Template>
  <TotalTime>232</TotalTime>
  <Pages>9</Pages>
  <Words>3312</Words>
  <Characters>18222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ROJAS RIVAS ANA MATILDE</dc:creator>
  <cp:keywords/>
  <dc:description/>
  <cp:lastModifiedBy>VARGAS HERNANDEZ NELLY MARIA</cp:lastModifiedBy>
  <cp:revision>212</cp:revision>
  <dcterms:created xsi:type="dcterms:W3CDTF">2020-11-06T21:43:00Z</dcterms:created>
  <dcterms:modified xsi:type="dcterms:W3CDTF">2020-11-08T20:47:00Z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0x0101000B413239FFFCB244ABB1D73B715BD916</vt:lpwstr>
  </property>
  <property fmtid="{D5CDD505-2E9C-101B-9397-08002B2CF9AE}" pid="3" name="IsMyDocuments">
    <vt:bool>true</vt:bool>
  </property>
</Properties>
</file>