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BF80" w14:textId="64F2EA09" w:rsidR="003D4B4B" w:rsidRDefault="003D4B4B" w:rsidP="002C48B7">
      <w:pPr>
        <w:spacing w:line="240" w:lineRule="auto"/>
        <w:rPr>
          <w:rFonts w:cs="Times New Roman"/>
          <w:szCs w:val="24"/>
        </w:rPr>
      </w:pPr>
    </w:p>
    <w:p w14:paraId="56094777" w14:textId="77777777" w:rsidR="00EF4B4B" w:rsidRPr="00761471" w:rsidRDefault="00EF4B4B" w:rsidP="002C48B7">
      <w:pPr>
        <w:spacing w:line="240" w:lineRule="auto"/>
        <w:rPr>
          <w:rFonts w:cs="Times New Roman"/>
          <w:szCs w:val="24"/>
        </w:rPr>
      </w:pPr>
    </w:p>
    <w:p w14:paraId="2C485EC1" w14:textId="76D8816F" w:rsidR="00A4778B" w:rsidRPr="00761471" w:rsidRDefault="00051382" w:rsidP="002C48B7">
      <w:pPr>
        <w:spacing w:line="240" w:lineRule="auto"/>
        <w:rPr>
          <w:rFonts w:cs="Times New Roman"/>
          <w:szCs w:val="24"/>
        </w:rPr>
      </w:pPr>
      <w:sdt>
        <w:sdtPr>
          <w:rPr>
            <w:rFonts w:cs="Times New Roman"/>
            <w:szCs w:val="24"/>
          </w:rPr>
          <w:alias w:val="Fecha"/>
          <w:tag w:val="Fecha"/>
          <w:id w:val="-306548534"/>
          <w:lock w:val="sdtLocked"/>
          <w:placeholder>
            <w:docPart w:val="E395ECA4097B466E95B1A4899A7D0519"/>
          </w:placeholder>
          <w:date w:fullDate="2020-10-22T00:00:00Z">
            <w:dateFormat w:val="d' de 'MMMM' de 'yyyy"/>
            <w:lid w:val="es-ES"/>
            <w:storeMappedDataAs w:val="date"/>
            <w:calendar w:val="gregorian"/>
          </w:date>
        </w:sdtPr>
        <w:sdtEndPr/>
        <w:sdtContent>
          <w:r w:rsidR="00006E88">
            <w:rPr>
              <w:rFonts w:cs="Times New Roman"/>
              <w:szCs w:val="24"/>
            </w:rPr>
            <w:t>22 de octubre de 2020</w:t>
          </w:r>
        </w:sdtContent>
      </w:sdt>
    </w:p>
    <w:p w14:paraId="6F67D000" w14:textId="7AAEF2F7" w:rsidR="00A4778B" w:rsidRPr="00761471" w:rsidRDefault="00051382" w:rsidP="002C48B7">
      <w:pPr>
        <w:pStyle w:val="SupenEncabezado"/>
        <w:spacing w:line="240" w:lineRule="auto"/>
        <w:rPr>
          <w:rStyle w:val="SupenEncabezadoCar"/>
          <w:rFonts w:cs="Times New Roman"/>
          <w:szCs w:val="24"/>
        </w:rPr>
      </w:pPr>
      <w:sdt>
        <w:sdtPr>
          <w:rPr>
            <w:rStyle w:val="SupenEncabezadoCar"/>
            <w:rFonts w:cs="Times New Roman"/>
            <w:b/>
            <w:bCs/>
            <w:szCs w:val="24"/>
          </w:rPr>
          <w:alias w:val="Código"/>
          <w:tag w:val="A"/>
          <w:id w:val="1991359848"/>
          <w:lock w:val="sdtLocked"/>
          <w:placeholder>
            <w:docPart w:val="6FEF9BC79D6042C9BC874B85F6D4C25B"/>
          </w:placeholder>
          <w:text/>
        </w:sdtPr>
        <w:sdtEndPr>
          <w:rPr>
            <w:rStyle w:val="SupenEncabezadoCar"/>
          </w:rPr>
        </w:sdtEndPr>
        <w:sdtContent>
          <w:r w:rsidR="00006E88" w:rsidRPr="00E66F32">
            <w:rPr>
              <w:rStyle w:val="SupenEncabezadoCar"/>
              <w:rFonts w:cs="Times New Roman"/>
              <w:b/>
              <w:bCs/>
              <w:szCs w:val="24"/>
            </w:rPr>
            <w:t>PJD-24-2020</w:t>
          </w:r>
        </w:sdtContent>
      </w:sdt>
    </w:p>
    <w:p w14:paraId="7CA3918C" w14:textId="77777777" w:rsidR="003262D5" w:rsidRPr="00761471" w:rsidRDefault="003262D5" w:rsidP="002C48B7">
      <w:pPr>
        <w:spacing w:line="240" w:lineRule="auto"/>
        <w:rPr>
          <w:rFonts w:cs="Times New Roman"/>
          <w:szCs w:val="24"/>
        </w:rPr>
      </w:pPr>
    </w:p>
    <w:p w14:paraId="2A13AA50" w14:textId="39ED3BF2" w:rsidR="00CD32F5" w:rsidRDefault="00CD32F5" w:rsidP="002C48B7">
      <w:pPr>
        <w:spacing w:line="240" w:lineRule="auto"/>
        <w:rPr>
          <w:rFonts w:cs="Times New Roman"/>
          <w:szCs w:val="24"/>
        </w:rPr>
      </w:pPr>
      <w:bookmarkStart w:id="0" w:name="_GoBack"/>
      <w:bookmarkEnd w:id="0"/>
    </w:p>
    <w:p w14:paraId="5D21808A" w14:textId="77777777" w:rsidR="00EF4B4B" w:rsidRPr="00761471" w:rsidRDefault="00EF4B4B" w:rsidP="002C48B7">
      <w:pPr>
        <w:spacing w:line="240" w:lineRule="auto"/>
        <w:rPr>
          <w:rFonts w:cs="Times New Roman"/>
          <w:szCs w:val="24"/>
        </w:rPr>
      </w:pPr>
    </w:p>
    <w:p w14:paraId="4F797BAE" w14:textId="77777777" w:rsidR="00CD32F5" w:rsidRPr="00761471" w:rsidRDefault="00CD32F5" w:rsidP="002C48B7">
      <w:pPr>
        <w:spacing w:line="240" w:lineRule="auto"/>
        <w:jc w:val="both"/>
        <w:rPr>
          <w:rFonts w:cs="Times New Roman"/>
          <w:szCs w:val="24"/>
        </w:rPr>
      </w:pPr>
      <w:r w:rsidRPr="00761471">
        <w:rPr>
          <w:rFonts w:cs="Times New Roman"/>
          <w:szCs w:val="24"/>
        </w:rPr>
        <w:t>Señora</w:t>
      </w:r>
    </w:p>
    <w:p w14:paraId="028A9A08" w14:textId="77777777" w:rsidR="00CD32F5" w:rsidRPr="00761471" w:rsidRDefault="00CD32F5" w:rsidP="002C48B7">
      <w:pPr>
        <w:spacing w:line="240" w:lineRule="auto"/>
        <w:jc w:val="both"/>
        <w:rPr>
          <w:rFonts w:cs="Times New Roman"/>
          <w:szCs w:val="24"/>
        </w:rPr>
      </w:pPr>
      <w:r w:rsidRPr="00761471">
        <w:rPr>
          <w:rFonts w:cs="Times New Roman"/>
          <w:szCs w:val="24"/>
        </w:rPr>
        <w:t>Rocío Aguilar Montoya</w:t>
      </w:r>
    </w:p>
    <w:p w14:paraId="1A43D3E4" w14:textId="77777777" w:rsidR="00CD32F5" w:rsidRPr="00761471" w:rsidRDefault="00CD32F5" w:rsidP="002C48B7">
      <w:pPr>
        <w:spacing w:line="240" w:lineRule="auto"/>
        <w:jc w:val="both"/>
        <w:rPr>
          <w:rFonts w:cs="Times New Roman"/>
          <w:szCs w:val="24"/>
        </w:rPr>
      </w:pPr>
      <w:r w:rsidRPr="00761471">
        <w:rPr>
          <w:rFonts w:cs="Times New Roman"/>
          <w:szCs w:val="24"/>
        </w:rPr>
        <w:t>Superintendente de Pensiones</w:t>
      </w:r>
    </w:p>
    <w:p w14:paraId="37248109" w14:textId="77777777" w:rsidR="00CD32F5" w:rsidRPr="00761471" w:rsidRDefault="00CD32F5" w:rsidP="002C48B7">
      <w:pPr>
        <w:spacing w:line="240" w:lineRule="auto"/>
        <w:jc w:val="both"/>
        <w:rPr>
          <w:rFonts w:cs="Times New Roman"/>
          <w:szCs w:val="24"/>
        </w:rPr>
      </w:pPr>
    </w:p>
    <w:p w14:paraId="7E69A4D3" w14:textId="77777777" w:rsidR="00EF4B4B" w:rsidRDefault="00EF4B4B" w:rsidP="002C48B7">
      <w:pPr>
        <w:spacing w:line="240" w:lineRule="auto"/>
        <w:jc w:val="both"/>
        <w:rPr>
          <w:rFonts w:cs="Times New Roman"/>
          <w:szCs w:val="24"/>
        </w:rPr>
      </w:pPr>
    </w:p>
    <w:p w14:paraId="0E771163" w14:textId="0A446F2C" w:rsidR="00CD32F5" w:rsidRPr="00761471" w:rsidRDefault="00CD32F5" w:rsidP="002C48B7">
      <w:pPr>
        <w:spacing w:line="240" w:lineRule="auto"/>
        <w:jc w:val="both"/>
        <w:rPr>
          <w:rFonts w:cs="Times New Roman"/>
          <w:szCs w:val="24"/>
        </w:rPr>
      </w:pPr>
      <w:r w:rsidRPr="00761471">
        <w:rPr>
          <w:rFonts w:cs="Times New Roman"/>
          <w:szCs w:val="24"/>
        </w:rPr>
        <w:t>Estimada señora:</w:t>
      </w:r>
    </w:p>
    <w:p w14:paraId="08E2B1A6" w14:textId="77777777" w:rsidR="00CD32F5" w:rsidRPr="00761471" w:rsidRDefault="00CD32F5" w:rsidP="002C48B7">
      <w:pPr>
        <w:spacing w:line="240" w:lineRule="auto"/>
        <w:jc w:val="both"/>
        <w:rPr>
          <w:rFonts w:cs="Times New Roman"/>
          <w:szCs w:val="24"/>
        </w:rPr>
      </w:pPr>
    </w:p>
    <w:p w14:paraId="423964F0" w14:textId="77777777" w:rsidR="00EF4B4B" w:rsidRDefault="00EF4B4B" w:rsidP="002C48B7">
      <w:pPr>
        <w:spacing w:line="240" w:lineRule="auto"/>
        <w:jc w:val="both"/>
        <w:rPr>
          <w:rFonts w:cs="Times New Roman"/>
          <w:szCs w:val="24"/>
        </w:rPr>
      </w:pPr>
    </w:p>
    <w:p w14:paraId="723BBF97" w14:textId="0D2C2325" w:rsidR="00CA6D06" w:rsidRDefault="00CD32F5" w:rsidP="002C48B7">
      <w:pPr>
        <w:spacing w:line="240" w:lineRule="auto"/>
        <w:jc w:val="both"/>
        <w:rPr>
          <w:rFonts w:cs="Times New Roman"/>
          <w:szCs w:val="24"/>
        </w:rPr>
      </w:pPr>
      <w:r w:rsidRPr="00761471">
        <w:rPr>
          <w:rFonts w:cs="Times New Roman"/>
          <w:szCs w:val="24"/>
        </w:rPr>
        <w:t xml:space="preserve">De conformidad con lo establecido en el </w:t>
      </w:r>
      <w:r w:rsidRPr="00761471">
        <w:rPr>
          <w:rFonts w:cs="Times New Roman"/>
          <w:i/>
          <w:szCs w:val="24"/>
        </w:rPr>
        <w:t>Procedimiento para la tramitación ante el Consejo Nacional de Supervisión del Sistema Financiero Costarricense de proyectos de emisión o reformados reglamentos</w:t>
      </w:r>
      <w:r w:rsidRPr="00761471">
        <w:rPr>
          <w:rFonts w:cs="Times New Roman"/>
          <w:szCs w:val="24"/>
        </w:rPr>
        <w:t xml:space="preserve">, esta División de Asesoría Jurídica emite un criterio sobre la viabilidad legal de una propuesta de modificación del </w:t>
      </w:r>
      <w:r w:rsidRPr="00761471">
        <w:rPr>
          <w:rFonts w:cs="Times New Roman"/>
          <w:i/>
          <w:szCs w:val="24"/>
        </w:rPr>
        <w:t>Reglamento de Gestión de Activos</w:t>
      </w:r>
      <w:r w:rsidRPr="00761471">
        <w:rPr>
          <w:rFonts w:cs="Times New Roman"/>
          <w:szCs w:val="24"/>
        </w:rPr>
        <w:t xml:space="preserve"> (en adelante el RGA)</w:t>
      </w:r>
      <w:r w:rsidR="00200224">
        <w:rPr>
          <w:rFonts w:cs="Times New Roman"/>
          <w:szCs w:val="24"/>
        </w:rPr>
        <w:t>. La propuesta tiene como objetivo</w:t>
      </w:r>
      <w:r w:rsidR="006E07FC">
        <w:rPr>
          <w:rFonts w:cs="Times New Roman"/>
          <w:szCs w:val="24"/>
        </w:rPr>
        <w:t xml:space="preserve"> autorizar</w:t>
      </w:r>
      <w:r w:rsidR="00CA6D06" w:rsidRPr="00761471">
        <w:rPr>
          <w:rFonts w:cs="Times New Roman"/>
          <w:szCs w:val="24"/>
        </w:rPr>
        <w:t xml:space="preserve"> a los fondos de pensiones invertir </w:t>
      </w:r>
      <w:r w:rsidR="006E02A3" w:rsidRPr="006E02A3">
        <w:rPr>
          <w:rFonts w:cs="Times New Roman"/>
          <w:szCs w:val="24"/>
        </w:rPr>
        <w:t xml:space="preserve">en fondos que invierten en capital de riesgo en el mercado local que cumplan lo establecido en las normas emitidas por el </w:t>
      </w:r>
      <w:r w:rsidR="007A4326">
        <w:rPr>
          <w:rFonts w:cs="Times New Roman"/>
          <w:szCs w:val="24"/>
        </w:rPr>
        <w:t>Consejo Nacional de Supervisión del Sistema Financiero (Conassif)</w:t>
      </w:r>
      <w:r w:rsidR="00FC6F5F">
        <w:rPr>
          <w:rFonts w:cs="Times New Roman"/>
          <w:szCs w:val="24"/>
        </w:rPr>
        <w:t>.</w:t>
      </w:r>
    </w:p>
    <w:p w14:paraId="793206E7" w14:textId="77777777" w:rsidR="00137328" w:rsidRDefault="00137328" w:rsidP="002C48B7">
      <w:pPr>
        <w:spacing w:line="240" w:lineRule="auto"/>
        <w:jc w:val="both"/>
        <w:rPr>
          <w:rFonts w:cs="Times New Roman"/>
          <w:szCs w:val="24"/>
        </w:rPr>
      </w:pPr>
    </w:p>
    <w:p w14:paraId="6492C96D" w14:textId="07885C9D" w:rsidR="004771AB" w:rsidRPr="004771AB" w:rsidRDefault="00137328" w:rsidP="002C48B7">
      <w:pPr>
        <w:pStyle w:val="Prrafodelista"/>
        <w:numPr>
          <w:ilvl w:val="0"/>
          <w:numId w:val="10"/>
        </w:numPr>
        <w:spacing w:line="240" w:lineRule="auto"/>
        <w:jc w:val="both"/>
        <w:rPr>
          <w:rFonts w:cs="Times New Roman"/>
          <w:b/>
          <w:bCs/>
          <w:szCs w:val="24"/>
        </w:rPr>
      </w:pPr>
      <w:r w:rsidRPr="004771AB">
        <w:rPr>
          <w:rFonts w:cs="Times New Roman"/>
          <w:b/>
          <w:bCs/>
          <w:szCs w:val="24"/>
        </w:rPr>
        <w:t>Antecedente</w:t>
      </w:r>
      <w:r w:rsidR="000C08A2">
        <w:rPr>
          <w:rFonts w:cs="Times New Roman"/>
          <w:b/>
          <w:bCs/>
          <w:szCs w:val="24"/>
        </w:rPr>
        <w:t>s</w:t>
      </w:r>
      <w:r w:rsidRPr="004771AB">
        <w:rPr>
          <w:rFonts w:cs="Times New Roman"/>
          <w:b/>
          <w:bCs/>
          <w:szCs w:val="24"/>
        </w:rPr>
        <w:t xml:space="preserve"> </w:t>
      </w:r>
    </w:p>
    <w:p w14:paraId="602A8296" w14:textId="05C875C0" w:rsidR="00E12B88" w:rsidRDefault="00E12B88" w:rsidP="002C48B7">
      <w:pPr>
        <w:spacing w:line="240" w:lineRule="auto"/>
        <w:rPr>
          <w:rFonts w:cs="Times New Roman"/>
          <w:szCs w:val="24"/>
        </w:rPr>
      </w:pPr>
    </w:p>
    <w:p w14:paraId="7BF8ED1D" w14:textId="3E26B890" w:rsidR="00D152FB" w:rsidRDefault="00A4736F" w:rsidP="002C48B7">
      <w:pPr>
        <w:spacing w:line="240" w:lineRule="auto"/>
        <w:jc w:val="both"/>
        <w:rPr>
          <w:color w:val="000000" w:themeColor="text1"/>
          <w:szCs w:val="24"/>
        </w:rPr>
      </w:pPr>
      <w:r>
        <w:rPr>
          <w:color w:val="000000" w:themeColor="text1"/>
          <w:szCs w:val="24"/>
        </w:rPr>
        <w:t xml:space="preserve">La División de Planificación y Normativa de esta Superintendencia señala en su informe técnico, </w:t>
      </w:r>
      <w:r w:rsidR="00A31543">
        <w:rPr>
          <w:color w:val="000000" w:themeColor="text1"/>
          <w:szCs w:val="24"/>
        </w:rPr>
        <w:t xml:space="preserve">que el </w:t>
      </w:r>
      <w:r w:rsidR="00D152FB" w:rsidRPr="00506471">
        <w:rPr>
          <w:color w:val="000000" w:themeColor="text1"/>
          <w:szCs w:val="24"/>
        </w:rPr>
        <w:t>sector productivo requiere utilizar esquemas alternativos de financiamiento, principalmente en el contexto actual por la emergencia sanitaria causada por la pandemia de la COVID</w:t>
      </w:r>
      <w:r w:rsidR="00D152FB">
        <w:rPr>
          <w:color w:val="000000" w:themeColor="text1"/>
          <w:szCs w:val="24"/>
        </w:rPr>
        <w:t>-</w:t>
      </w:r>
      <w:r w:rsidR="00D152FB" w:rsidRPr="00506471">
        <w:rPr>
          <w:color w:val="000000" w:themeColor="text1"/>
          <w:szCs w:val="24"/>
        </w:rPr>
        <w:t>19</w:t>
      </w:r>
      <w:r w:rsidR="006E07FC">
        <w:rPr>
          <w:color w:val="000000" w:themeColor="text1"/>
          <w:szCs w:val="24"/>
        </w:rPr>
        <w:t>.</w:t>
      </w:r>
      <w:r w:rsidR="00D152FB" w:rsidRPr="00506471">
        <w:rPr>
          <w:color w:val="000000" w:themeColor="text1"/>
          <w:szCs w:val="24"/>
        </w:rPr>
        <w:t xml:space="preserve"> </w:t>
      </w:r>
      <w:r w:rsidR="006E07FC">
        <w:rPr>
          <w:color w:val="000000" w:themeColor="text1"/>
          <w:szCs w:val="24"/>
        </w:rPr>
        <w:t xml:space="preserve"> En este contexto e</w:t>
      </w:r>
      <w:r w:rsidR="00D152FB" w:rsidRPr="00506471">
        <w:rPr>
          <w:color w:val="000000" w:themeColor="text1"/>
          <w:szCs w:val="24"/>
        </w:rPr>
        <w:t>l acceso al financiamiento tradicional podría verse limitado</w:t>
      </w:r>
      <w:r w:rsidR="00D152FB">
        <w:rPr>
          <w:color w:val="000000" w:themeColor="text1"/>
          <w:szCs w:val="24"/>
        </w:rPr>
        <w:t>,</w:t>
      </w:r>
      <w:r w:rsidR="00D152FB" w:rsidRPr="00506471">
        <w:rPr>
          <w:color w:val="000000" w:themeColor="text1"/>
          <w:szCs w:val="24"/>
        </w:rPr>
        <w:t xml:space="preserve"> por lo que la inversión </w:t>
      </w:r>
      <w:r w:rsidR="006E07FC">
        <w:rPr>
          <w:color w:val="000000" w:themeColor="text1"/>
          <w:szCs w:val="24"/>
        </w:rPr>
        <w:t xml:space="preserve">en </w:t>
      </w:r>
      <w:r w:rsidR="00D152FB" w:rsidRPr="00506471">
        <w:rPr>
          <w:color w:val="000000" w:themeColor="text1"/>
          <w:szCs w:val="24"/>
        </w:rPr>
        <w:t>capital de riesgo</w:t>
      </w:r>
      <w:r w:rsidR="00007D4E">
        <w:rPr>
          <w:color w:val="000000" w:themeColor="text1"/>
          <w:szCs w:val="24"/>
        </w:rPr>
        <w:t>,</w:t>
      </w:r>
      <w:r w:rsidR="00D152FB" w:rsidRPr="00506471">
        <w:rPr>
          <w:color w:val="000000" w:themeColor="text1"/>
          <w:szCs w:val="24"/>
        </w:rPr>
        <w:t xml:space="preserve"> como mecanismo de financiamiento para el proceso de reactivación económica</w:t>
      </w:r>
      <w:r w:rsidR="00007D4E">
        <w:rPr>
          <w:color w:val="000000" w:themeColor="text1"/>
          <w:szCs w:val="24"/>
        </w:rPr>
        <w:t xml:space="preserve">, </w:t>
      </w:r>
      <w:r w:rsidR="00D152FB" w:rsidRPr="00506471">
        <w:rPr>
          <w:color w:val="000000" w:themeColor="text1"/>
          <w:szCs w:val="24"/>
        </w:rPr>
        <w:t xml:space="preserve">adquiere mayor relevancia. </w:t>
      </w:r>
    </w:p>
    <w:p w14:paraId="3F016D6A" w14:textId="77777777" w:rsidR="00D152FB" w:rsidRPr="00506471" w:rsidRDefault="00D152FB" w:rsidP="002C48B7">
      <w:pPr>
        <w:spacing w:line="240" w:lineRule="auto"/>
        <w:jc w:val="both"/>
        <w:rPr>
          <w:color w:val="000000" w:themeColor="text1"/>
          <w:szCs w:val="24"/>
        </w:rPr>
      </w:pPr>
    </w:p>
    <w:p w14:paraId="76E951B2" w14:textId="37E94E4C" w:rsidR="002C66F9" w:rsidRPr="00506471" w:rsidRDefault="002C66F9" w:rsidP="002C48B7">
      <w:pPr>
        <w:spacing w:line="240" w:lineRule="auto"/>
        <w:jc w:val="both"/>
        <w:rPr>
          <w:color w:val="000000" w:themeColor="text1"/>
          <w:szCs w:val="24"/>
        </w:rPr>
      </w:pPr>
      <w:r w:rsidRPr="00506471">
        <w:rPr>
          <w:color w:val="000000" w:themeColor="text1"/>
          <w:szCs w:val="24"/>
        </w:rPr>
        <w:t>La</w:t>
      </w:r>
      <w:r w:rsidR="00D152FB">
        <w:rPr>
          <w:color w:val="000000" w:themeColor="text1"/>
          <w:szCs w:val="24"/>
        </w:rPr>
        <w:t xml:space="preserve"> </w:t>
      </w:r>
      <w:r w:rsidR="008F5A81" w:rsidRPr="008F5A81">
        <w:rPr>
          <w:color w:val="000000" w:themeColor="text1"/>
          <w:szCs w:val="24"/>
        </w:rPr>
        <w:t xml:space="preserve">Superintendencia </w:t>
      </w:r>
      <w:r w:rsidR="008F5A81">
        <w:rPr>
          <w:color w:val="000000" w:themeColor="text1"/>
          <w:szCs w:val="24"/>
        </w:rPr>
        <w:t xml:space="preserve">General </w:t>
      </w:r>
      <w:r w:rsidR="008F5A81" w:rsidRPr="008F5A81">
        <w:rPr>
          <w:color w:val="000000" w:themeColor="text1"/>
          <w:szCs w:val="24"/>
        </w:rPr>
        <w:t xml:space="preserve">de Valores (Sugeval) </w:t>
      </w:r>
      <w:r w:rsidR="00D152FB">
        <w:rPr>
          <w:color w:val="000000" w:themeColor="text1"/>
          <w:szCs w:val="24"/>
        </w:rPr>
        <w:t>planteó una</w:t>
      </w:r>
      <w:r w:rsidRPr="00506471">
        <w:rPr>
          <w:color w:val="000000" w:themeColor="text1"/>
          <w:szCs w:val="24"/>
        </w:rPr>
        <w:t xml:space="preserve"> propuesta reglamentaria sobre fondos de inversión de capital de riesgo </w:t>
      </w:r>
      <w:r w:rsidR="00D152FB">
        <w:rPr>
          <w:color w:val="000000" w:themeColor="text1"/>
          <w:szCs w:val="24"/>
        </w:rPr>
        <w:t xml:space="preserve">que </w:t>
      </w:r>
      <w:r w:rsidRPr="00506471">
        <w:rPr>
          <w:color w:val="000000" w:themeColor="text1"/>
          <w:szCs w:val="24"/>
        </w:rPr>
        <w:t>presenta un esquema flexible de operación para el fondo de inversión al establecerle normas diferencia</w:t>
      </w:r>
      <w:r w:rsidR="00CF5146">
        <w:rPr>
          <w:color w:val="000000" w:themeColor="text1"/>
          <w:szCs w:val="24"/>
        </w:rPr>
        <w:t>das</w:t>
      </w:r>
      <w:r w:rsidRPr="00506471">
        <w:rPr>
          <w:color w:val="000000" w:themeColor="text1"/>
          <w:szCs w:val="24"/>
        </w:rPr>
        <w:t xml:space="preserve"> con respecto a los fondos de inversión vigentes</w:t>
      </w:r>
      <w:r w:rsidR="00376711">
        <w:rPr>
          <w:color w:val="000000" w:themeColor="text1"/>
          <w:szCs w:val="24"/>
        </w:rPr>
        <w:t>.</w:t>
      </w:r>
      <w:r w:rsidR="00376711" w:rsidRPr="00506471">
        <w:rPr>
          <w:color w:val="000000" w:themeColor="text1"/>
          <w:szCs w:val="24"/>
        </w:rPr>
        <w:t xml:space="preserve"> </w:t>
      </w:r>
      <w:r w:rsidR="00376711">
        <w:rPr>
          <w:color w:val="000000" w:themeColor="text1"/>
          <w:szCs w:val="24"/>
        </w:rPr>
        <w:t>La propuesta</w:t>
      </w:r>
      <w:r w:rsidR="00376711" w:rsidRPr="00506471">
        <w:rPr>
          <w:color w:val="000000" w:themeColor="text1"/>
          <w:szCs w:val="24"/>
        </w:rPr>
        <w:t xml:space="preserve"> </w:t>
      </w:r>
      <w:r w:rsidR="00AB46D4">
        <w:rPr>
          <w:color w:val="000000" w:themeColor="text1"/>
          <w:szCs w:val="24"/>
        </w:rPr>
        <w:t>mantiene</w:t>
      </w:r>
      <w:r w:rsidR="00AB46D4" w:rsidRPr="00506471">
        <w:rPr>
          <w:color w:val="000000" w:themeColor="text1"/>
          <w:szCs w:val="24"/>
        </w:rPr>
        <w:t xml:space="preserve"> </w:t>
      </w:r>
      <w:r w:rsidRPr="00506471">
        <w:rPr>
          <w:color w:val="000000" w:themeColor="text1"/>
          <w:szCs w:val="24"/>
        </w:rPr>
        <w:t xml:space="preserve">la difusión de la información como elemento de protección al inversionista involucrado, la gestión especializada, las normas de funcionamiento y de conducta requeridas en el mercado de valores. </w:t>
      </w:r>
    </w:p>
    <w:p w14:paraId="6FF0172B" w14:textId="77777777" w:rsidR="002C66F9" w:rsidRPr="00506471" w:rsidRDefault="002C66F9" w:rsidP="002C48B7">
      <w:pPr>
        <w:spacing w:line="240" w:lineRule="auto"/>
        <w:jc w:val="both"/>
        <w:rPr>
          <w:color w:val="000000" w:themeColor="text1"/>
          <w:szCs w:val="24"/>
        </w:rPr>
      </w:pPr>
    </w:p>
    <w:p w14:paraId="3D1E637C" w14:textId="77777777" w:rsidR="00EF4B4B" w:rsidRDefault="00EF4B4B" w:rsidP="002C48B7">
      <w:pPr>
        <w:widowControl w:val="0"/>
        <w:spacing w:line="240" w:lineRule="auto"/>
        <w:jc w:val="both"/>
        <w:rPr>
          <w:rFonts w:cs="Times New Roman"/>
          <w:szCs w:val="24"/>
        </w:rPr>
      </w:pPr>
    </w:p>
    <w:p w14:paraId="41D26692" w14:textId="77777777" w:rsidR="00EF4B4B" w:rsidRDefault="00EF4B4B" w:rsidP="002C48B7">
      <w:pPr>
        <w:widowControl w:val="0"/>
        <w:spacing w:line="240" w:lineRule="auto"/>
        <w:jc w:val="both"/>
        <w:rPr>
          <w:rFonts w:cs="Times New Roman"/>
          <w:szCs w:val="24"/>
        </w:rPr>
      </w:pPr>
    </w:p>
    <w:p w14:paraId="3BC76882" w14:textId="77777777" w:rsidR="00EF4B4B" w:rsidRDefault="00EF4B4B" w:rsidP="002C48B7">
      <w:pPr>
        <w:widowControl w:val="0"/>
        <w:spacing w:line="240" w:lineRule="auto"/>
        <w:jc w:val="both"/>
        <w:rPr>
          <w:rFonts w:cs="Times New Roman"/>
          <w:szCs w:val="24"/>
        </w:rPr>
      </w:pPr>
    </w:p>
    <w:p w14:paraId="5909FA5D" w14:textId="77777777" w:rsidR="00EF4B4B" w:rsidRDefault="00EF4B4B" w:rsidP="002C48B7">
      <w:pPr>
        <w:widowControl w:val="0"/>
        <w:spacing w:line="240" w:lineRule="auto"/>
        <w:jc w:val="both"/>
        <w:rPr>
          <w:rFonts w:cs="Times New Roman"/>
          <w:szCs w:val="24"/>
        </w:rPr>
      </w:pPr>
    </w:p>
    <w:p w14:paraId="64018C5D" w14:textId="683BCBE5" w:rsidR="00B534AE" w:rsidRDefault="00B534AE" w:rsidP="002C48B7">
      <w:pPr>
        <w:widowControl w:val="0"/>
        <w:spacing w:line="240" w:lineRule="auto"/>
        <w:jc w:val="both"/>
        <w:rPr>
          <w:rFonts w:cs="Times New Roman"/>
          <w:szCs w:val="24"/>
        </w:rPr>
      </w:pPr>
      <w:r w:rsidRPr="00B534AE">
        <w:rPr>
          <w:rFonts w:cs="Times New Roman"/>
          <w:szCs w:val="24"/>
        </w:rPr>
        <w:lastRenderedPageBreak/>
        <w:t>El Consejo Nacional de Supervisión del Sistema Financiero, en el artículo 10, del acta de la sesión 1608-2020, celebrada el 28 de setiembre de 2020,</w:t>
      </w:r>
      <w:r w:rsidR="003918DE">
        <w:rPr>
          <w:rFonts w:cs="Times New Roman"/>
          <w:szCs w:val="24"/>
        </w:rPr>
        <w:t xml:space="preserve"> d</w:t>
      </w:r>
      <w:r w:rsidR="00E32678">
        <w:rPr>
          <w:rFonts w:cs="Times New Roman"/>
          <w:szCs w:val="24"/>
        </w:rPr>
        <w:t>i</w:t>
      </w:r>
      <w:r w:rsidRPr="00B534AE">
        <w:rPr>
          <w:rFonts w:cs="Times New Roman"/>
          <w:szCs w:val="24"/>
        </w:rPr>
        <w:t>spuso remitir en consulta pública</w:t>
      </w:r>
      <w:r w:rsidRPr="00B534AE" w:rsidDel="00342608">
        <w:rPr>
          <w:rFonts w:cs="Times New Roman"/>
          <w:szCs w:val="24"/>
        </w:rPr>
        <w:t xml:space="preserve"> </w:t>
      </w:r>
      <w:r w:rsidRPr="00B534AE">
        <w:rPr>
          <w:rFonts w:cs="Times New Roman"/>
          <w:szCs w:val="24"/>
        </w:rPr>
        <w:t xml:space="preserve">la propuesta del </w:t>
      </w:r>
      <w:r w:rsidRPr="00E32678">
        <w:rPr>
          <w:rFonts w:cs="Times New Roman"/>
          <w:i/>
          <w:iCs/>
          <w:szCs w:val="24"/>
        </w:rPr>
        <w:t>Reglamento sobre fondos de inversión de capital de riesgo</w:t>
      </w:r>
      <w:r w:rsidRPr="00B534AE">
        <w:rPr>
          <w:rFonts w:cs="Times New Roman"/>
          <w:szCs w:val="24"/>
        </w:rPr>
        <w:t xml:space="preserve">, elaborada por la </w:t>
      </w:r>
      <w:r w:rsidR="006A0F44" w:rsidRPr="00B534AE">
        <w:rPr>
          <w:rFonts w:cs="Times New Roman"/>
          <w:szCs w:val="24"/>
        </w:rPr>
        <w:t>S</w:t>
      </w:r>
      <w:r w:rsidR="006A0F44">
        <w:rPr>
          <w:rFonts w:cs="Times New Roman"/>
          <w:szCs w:val="24"/>
        </w:rPr>
        <w:t>ugeval</w:t>
      </w:r>
      <w:r w:rsidRPr="00B534AE">
        <w:rPr>
          <w:rFonts w:cs="Times New Roman"/>
          <w:szCs w:val="24"/>
        </w:rPr>
        <w:t>.</w:t>
      </w:r>
      <w:r w:rsidR="00553F13" w:rsidRPr="00553F13">
        <w:rPr>
          <w:color w:val="000000" w:themeColor="text1"/>
          <w:szCs w:val="24"/>
        </w:rPr>
        <w:t xml:space="preserve"> </w:t>
      </w:r>
      <w:r w:rsidR="00553F13">
        <w:rPr>
          <w:color w:val="000000" w:themeColor="text1"/>
          <w:szCs w:val="24"/>
        </w:rPr>
        <w:t>El r</w:t>
      </w:r>
      <w:r w:rsidR="00553F13" w:rsidRPr="00506471">
        <w:rPr>
          <w:color w:val="000000" w:themeColor="text1"/>
          <w:szCs w:val="24"/>
        </w:rPr>
        <w:t xml:space="preserve">eglamento </w:t>
      </w:r>
      <w:r w:rsidR="00553F13">
        <w:rPr>
          <w:color w:val="000000" w:themeColor="text1"/>
          <w:szCs w:val="24"/>
        </w:rPr>
        <w:t xml:space="preserve">remitido en consulta es </w:t>
      </w:r>
      <w:r w:rsidR="00553F13" w:rsidRPr="00506471">
        <w:rPr>
          <w:color w:val="000000" w:themeColor="text1"/>
          <w:szCs w:val="24"/>
        </w:rPr>
        <w:t xml:space="preserve">exclusivo para este producto </w:t>
      </w:r>
      <w:r w:rsidR="00553F13">
        <w:rPr>
          <w:color w:val="000000" w:themeColor="text1"/>
          <w:szCs w:val="24"/>
        </w:rPr>
        <w:t>de</w:t>
      </w:r>
      <w:r w:rsidR="00553F13" w:rsidRPr="00506471">
        <w:rPr>
          <w:color w:val="000000" w:themeColor="text1"/>
          <w:szCs w:val="24"/>
        </w:rPr>
        <w:t>bido a la naturaleza especial del fondo de inversión de capital de riesgo</w:t>
      </w:r>
      <w:r w:rsidR="00553F13">
        <w:rPr>
          <w:color w:val="000000" w:themeColor="text1"/>
          <w:szCs w:val="24"/>
        </w:rPr>
        <w:t xml:space="preserve"> (muy diferente</w:t>
      </w:r>
      <w:r w:rsidR="00553F13" w:rsidRPr="00506471">
        <w:rPr>
          <w:color w:val="000000" w:themeColor="text1"/>
          <w:szCs w:val="24"/>
        </w:rPr>
        <w:t xml:space="preserve"> respecto a los fondos de inversión ya regulados</w:t>
      </w:r>
      <w:r w:rsidR="00553F13">
        <w:rPr>
          <w:color w:val="000000" w:themeColor="text1"/>
          <w:szCs w:val="24"/>
        </w:rPr>
        <w:t>)</w:t>
      </w:r>
      <w:r w:rsidR="00553F13" w:rsidRPr="00506471">
        <w:rPr>
          <w:color w:val="000000" w:themeColor="text1"/>
          <w:szCs w:val="24"/>
        </w:rPr>
        <w:t xml:space="preserve"> </w:t>
      </w:r>
      <w:r w:rsidR="00553F13">
        <w:rPr>
          <w:color w:val="000000" w:themeColor="text1"/>
          <w:szCs w:val="24"/>
        </w:rPr>
        <w:t>y pretende</w:t>
      </w:r>
      <w:r w:rsidR="00553F13" w:rsidRPr="00506471">
        <w:rPr>
          <w:color w:val="000000" w:themeColor="text1"/>
          <w:szCs w:val="24"/>
        </w:rPr>
        <w:t xml:space="preserve"> facilitar la comprensión y </w:t>
      </w:r>
      <w:r w:rsidR="00553F13">
        <w:rPr>
          <w:color w:val="000000" w:themeColor="text1"/>
          <w:szCs w:val="24"/>
        </w:rPr>
        <w:t>aplicación</w:t>
      </w:r>
      <w:r w:rsidR="00553F13" w:rsidRPr="00506471">
        <w:rPr>
          <w:color w:val="000000" w:themeColor="text1"/>
          <w:szCs w:val="24"/>
        </w:rPr>
        <w:t xml:space="preserve"> de la </w:t>
      </w:r>
      <w:r w:rsidR="00553F13">
        <w:rPr>
          <w:color w:val="000000" w:themeColor="text1"/>
          <w:szCs w:val="24"/>
        </w:rPr>
        <w:t>regulación</w:t>
      </w:r>
      <w:r w:rsidR="00553F13" w:rsidRPr="00506471">
        <w:rPr>
          <w:color w:val="000000" w:themeColor="text1"/>
          <w:szCs w:val="24"/>
        </w:rPr>
        <w:t>.</w:t>
      </w:r>
    </w:p>
    <w:p w14:paraId="72C2268C" w14:textId="77777777" w:rsidR="00E043E0" w:rsidRDefault="00E043E0" w:rsidP="002C48B7">
      <w:pPr>
        <w:tabs>
          <w:tab w:val="left" w:pos="1056"/>
        </w:tabs>
        <w:spacing w:line="240" w:lineRule="auto"/>
        <w:jc w:val="both"/>
      </w:pPr>
    </w:p>
    <w:p w14:paraId="7A55D00C" w14:textId="25E6128B" w:rsidR="00CE2031" w:rsidRDefault="00CE2031" w:rsidP="002C48B7">
      <w:pPr>
        <w:tabs>
          <w:tab w:val="left" w:pos="1056"/>
        </w:tabs>
        <w:spacing w:line="240" w:lineRule="auto"/>
        <w:jc w:val="both"/>
      </w:pPr>
      <w:r>
        <w:t>El artículo 1 de l</w:t>
      </w:r>
      <w:r w:rsidRPr="00592DDA">
        <w:t xml:space="preserve">a propuesta del </w:t>
      </w:r>
      <w:r w:rsidRPr="00D432CB">
        <w:rPr>
          <w:i/>
          <w:iCs/>
        </w:rPr>
        <w:t>“Reglamento sobre fondos de inversión de capital de riesgo</w:t>
      </w:r>
      <w:r w:rsidRPr="00BA7D33">
        <w:rPr>
          <w:i/>
          <w:iCs/>
        </w:rPr>
        <w:t>”</w:t>
      </w:r>
      <w:r>
        <w:rPr>
          <w:i/>
          <w:iCs/>
        </w:rPr>
        <w:t xml:space="preserve"> </w:t>
      </w:r>
      <w:r>
        <w:t xml:space="preserve">define </w:t>
      </w:r>
      <w:r w:rsidRPr="00FC6F5F">
        <w:t xml:space="preserve">los fondos de capital de riesgo </w:t>
      </w:r>
      <w:r w:rsidR="0074570B" w:rsidRPr="00FC6F5F">
        <w:t>de la siguiente manera</w:t>
      </w:r>
      <w:r w:rsidRPr="00FC6F5F">
        <w:t>:</w:t>
      </w:r>
    </w:p>
    <w:p w14:paraId="491B548B" w14:textId="77777777" w:rsidR="00CE2031" w:rsidRDefault="00CE2031" w:rsidP="002C48B7">
      <w:pPr>
        <w:tabs>
          <w:tab w:val="left" w:pos="1056"/>
        </w:tabs>
        <w:spacing w:line="240" w:lineRule="auto"/>
        <w:jc w:val="both"/>
      </w:pPr>
    </w:p>
    <w:p w14:paraId="0E45550E" w14:textId="0A0C603C" w:rsidR="00D35504" w:rsidRDefault="003C6DC2" w:rsidP="00FC6F5F">
      <w:pPr>
        <w:spacing w:line="240" w:lineRule="auto"/>
        <w:ind w:left="709"/>
        <w:jc w:val="both"/>
        <w:rPr>
          <w:color w:val="000000" w:themeColor="text1"/>
          <w:szCs w:val="24"/>
        </w:rPr>
      </w:pPr>
      <w:r w:rsidRPr="00D35504">
        <w:rPr>
          <w:i/>
          <w:iCs/>
          <w:color w:val="000000" w:themeColor="text1"/>
          <w:szCs w:val="24"/>
        </w:rPr>
        <w:t xml:space="preserve">Se denomina fondo de inversión de capital de riesgo el </w:t>
      </w:r>
      <w:bookmarkStart w:id="1" w:name="_Hlk51172293"/>
      <w:r w:rsidRPr="00D35504">
        <w:rPr>
          <w:i/>
          <w:iCs/>
          <w:color w:val="000000" w:themeColor="text1"/>
          <w:szCs w:val="24"/>
        </w:rPr>
        <w:t>patrimonio independiente que administra una sociedad administradora de fondos de inversión, bajo la figura de un gestor especializado, por cuenta y riesgo de los inversionistas, cuyo objetivo primordial es la inversión en valores, activos o instrumentos financieros de empresas promovidas. Es un fondo financiero que está obligado a redimir las participaciones de los inversionistas únicamente al final del plazo previsto para la duración del fondo de inversión</w:t>
      </w:r>
      <w:r w:rsidR="00D35504">
        <w:rPr>
          <w:color w:val="000000" w:themeColor="text1"/>
          <w:szCs w:val="24"/>
        </w:rPr>
        <w:t xml:space="preserve"> </w:t>
      </w:r>
      <w:r w:rsidR="00DD3EA8">
        <w:rPr>
          <w:color w:val="000000" w:themeColor="text1"/>
          <w:szCs w:val="24"/>
        </w:rPr>
        <w:t>[</w:t>
      </w:r>
      <w:r w:rsidR="00D35504">
        <w:rPr>
          <w:color w:val="000000" w:themeColor="text1"/>
          <w:szCs w:val="24"/>
        </w:rPr>
        <w:t>…</w:t>
      </w:r>
      <w:r w:rsidR="00DD3EA8">
        <w:rPr>
          <w:color w:val="000000" w:themeColor="text1"/>
          <w:szCs w:val="24"/>
        </w:rPr>
        <w:t>]</w:t>
      </w:r>
    </w:p>
    <w:bookmarkEnd w:id="1"/>
    <w:p w14:paraId="37A847A3" w14:textId="77777777" w:rsidR="00CE2031" w:rsidRDefault="00CE2031" w:rsidP="002C48B7">
      <w:pPr>
        <w:spacing w:line="240" w:lineRule="auto"/>
        <w:jc w:val="both"/>
        <w:rPr>
          <w:i/>
          <w:iCs/>
        </w:rPr>
      </w:pPr>
    </w:p>
    <w:p w14:paraId="4DD104B7" w14:textId="047D8EEA" w:rsidR="00CE2031" w:rsidRDefault="00C23555" w:rsidP="002C48B7">
      <w:pPr>
        <w:spacing w:line="240" w:lineRule="auto"/>
        <w:jc w:val="both"/>
      </w:pPr>
      <w:r>
        <w:t xml:space="preserve">De acuerdo con la propuesta de </w:t>
      </w:r>
      <w:r w:rsidR="002C48B7">
        <w:t>Reglamento</w:t>
      </w:r>
      <w:r w:rsidR="00607BC6">
        <w:t>,</w:t>
      </w:r>
      <w:r w:rsidR="002C48B7">
        <w:t xml:space="preserve"> </w:t>
      </w:r>
      <w:r w:rsidR="005F5F56" w:rsidRPr="00E16527">
        <w:t xml:space="preserve">los </w:t>
      </w:r>
      <w:r w:rsidR="00CE2031" w:rsidRPr="00E16527">
        <w:t>fondos de capital de riesgo tienen</w:t>
      </w:r>
      <w:r w:rsidR="00CE2031" w:rsidRPr="00BA7D33">
        <w:t xml:space="preserve"> las siguientes características:</w:t>
      </w:r>
    </w:p>
    <w:p w14:paraId="66AECBC7" w14:textId="77777777" w:rsidR="00CE2031" w:rsidRDefault="00CE2031" w:rsidP="002C48B7">
      <w:pPr>
        <w:spacing w:line="240" w:lineRule="auto"/>
        <w:jc w:val="both"/>
      </w:pPr>
    </w:p>
    <w:p w14:paraId="5ACC6F54" w14:textId="3E7A7A31" w:rsidR="00CE2031" w:rsidRDefault="00CE2031" w:rsidP="002C48B7">
      <w:pPr>
        <w:pStyle w:val="Prrafodelista"/>
        <w:numPr>
          <w:ilvl w:val="0"/>
          <w:numId w:val="2"/>
        </w:numPr>
        <w:spacing w:line="240" w:lineRule="auto"/>
        <w:ind w:left="714" w:right="51" w:hanging="357"/>
        <w:contextualSpacing w:val="0"/>
        <w:jc w:val="both"/>
        <w:rPr>
          <w:rFonts w:cs="Arial"/>
        </w:rPr>
      </w:pPr>
      <w:r>
        <w:rPr>
          <w:rFonts w:cs="Arial"/>
        </w:rPr>
        <w:t>Deben existir comunicaciones directas de la S</w:t>
      </w:r>
      <w:r w:rsidR="00F1405C">
        <w:rPr>
          <w:rFonts w:cs="Arial"/>
        </w:rPr>
        <w:t xml:space="preserve">ociedad </w:t>
      </w:r>
      <w:r>
        <w:rPr>
          <w:rFonts w:cs="Arial"/>
        </w:rPr>
        <w:t>A</w:t>
      </w:r>
      <w:r w:rsidR="00F1405C">
        <w:rPr>
          <w:rFonts w:cs="Arial"/>
        </w:rPr>
        <w:t xml:space="preserve">dministradora de </w:t>
      </w:r>
      <w:r>
        <w:rPr>
          <w:rFonts w:cs="Arial"/>
        </w:rPr>
        <w:t>F</w:t>
      </w:r>
      <w:r w:rsidR="00F1405C">
        <w:rPr>
          <w:rFonts w:cs="Arial"/>
        </w:rPr>
        <w:t xml:space="preserve">ondos de </w:t>
      </w:r>
      <w:r w:rsidR="009C414F">
        <w:rPr>
          <w:rFonts w:cs="Arial"/>
        </w:rPr>
        <w:t>Inversión</w:t>
      </w:r>
      <w:r w:rsidR="00F1405C">
        <w:rPr>
          <w:rFonts w:cs="Arial"/>
        </w:rPr>
        <w:t xml:space="preserve"> (SAFI)</w:t>
      </w:r>
      <w:r>
        <w:rPr>
          <w:rFonts w:cs="Arial"/>
        </w:rPr>
        <w:t xml:space="preserve"> a los inversionistas por medio de las cuales se debe informar </w:t>
      </w:r>
      <w:r w:rsidRPr="00C24490">
        <w:rPr>
          <w:rFonts w:cs="Arial"/>
        </w:rPr>
        <w:t>sobre aspectos relacionados con las inversiones y la gestión del fondo de inversión</w:t>
      </w:r>
      <w:r>
        <w:rPr>
          <w:rFonts w:cs="Arial"/>
        </w:rPr>
        <w:t xml:space="preserve">, </w:t>
      </w:r>
      <w:r w:rsidRPr="00385888">
        <w:rPr>
          <w:rFonts w:cs="Arial"/>
        </w:rPr>
        <w:t>sin que esto implique asesoría de inversión</w:t>
      </w:r>
      <w:r>
        <w:rPr>
          <w:rFonts w:cs="Arial"/>
        </w:rPr>
        <w:t>.</w:t>
      </w:r>
    </w:p>
    <w:p w14:paraId="6FD7C1C7" w14:textId="0151B23D" w:rsidR="00CE2031" w:rsidRPr="00497803" w:rsidRDefault="00CE2031" w:rsidP="002C48B7">
      <w:pPr>
        <w:pStyle w:val="Prrafodelista"/>
        <w:numPr>
          <w:ilvl w:val="0"/>
          <w:numId w:val="2"/>
        </w:numPr>
        <w:spacing w:line="240" w:lineRule="auto"/>
        <w:ind w:left="714" w:right="51" w:hanging="357"/>
        <w:contextualSpacing w:val="0"/>
        <w:jc w:val="both"/>
        <w:rPr>
          <w:rFonts w:cs="Arial"/>
        </w:rPr>
      </w:pPr>
      <w:r w:rsidRPr="00497803">
        <w:rPr>
          <w:rFonts w:cs="Arial"/>
        </w:rPr>
        <w:t xml:space="preserve">Requiere autorización previa de </w:t>
      </w:r>
      <w:r w:rsidR="00F1405C">
        <w:rPr>
          <w:rFonts w:cs="Arial"/>
        </w:rPr>
        <w:t xml:space="preserve">la </w:t>
      </w:r>
      <w:r w:rsidR="006A0F44">
        <w:rPr>
          <w:rFonts w:cs="Arial"/>
        </w:rPr>
        <w:t>Sugeval</w:t>
      </w:r>
      <w:r w:rsidRPr="00497803">
        <w:rPr>
          <w:rFonts w:cs="Arial"/>
        </w:rPr>
        <w:t xml:space="preserve"> para realizar oferta pública</w:t>
      </w:r>
      <w:r>
        <w:rPr>
          <w:rFonts w:cs="Arial"/>
        </w:rPr>
        <w:t xml:space="preserve"> y</w:t>
      </w:r>
      <w:r w:rsidRPr="00497803">
        <w:rPr>
          <w:rFonts w:cs="Arial"/>
        </w:rPr>
        <w:t xml:space="preserve"> para su inscripción en el R</w:t>
      </w:r>
      <w:r w:rsidR="00F1405C">
        <w:rPr>
          <w:rFonts w:cs="Arial"/>
        </w:rPr>
        <w:t xml:space="preserve">egistro </w:t>
      </w:r>
      <w:r w:rsidRPr="00497803">
        <w:rPr>
          <w:rFonts w:cs="Arial"/>
        </w:rPr>
        <w:t>N</w:t>
      </w:r>
      <w:r w:rsidR="006B07CE">
        <w:rPr>
          <w:rFonts w:cs="Arial"/>
        </w:rPr>
        <w:t xml:space="preserve">acional de </w:t>
      </w:r>
      <w:r w:rsidRPr="00497803">
        <w:rPr>
          <w:rFonts w:cs="Arial"/>
        </w:rPr>
        <w:t>V</w:t>
      </w:r>
      <w:r w:rsidR="006B07CE">
        <w:rPr>
          <w:rFonts w:cs="Arial"/>
        </w:rPr>
        <w:t xml:space="preserve">alores </w:t>
      </w:r>
      <w:r w:rsidRPr="00497803">
        <w:rPr>
          <w:rFonts w:cs="Arial"/>
        </w:rPr>
        <w:t>I</w:t>
      </w:r>
      <w:r w:rsidR="006B07CE">
        <w:rPr>
          <w:rFonts w:cs="Arial"/>
        </w:rPr>
        <w:t>ntermediarios (RNVI)</w:t>
      </w:r>
      <w:r>
        <w:rPr>
          <w:rFonts w:cs="Arial"/>
        </w:rPr>
        <w:t>.</w:t>
      </w:r>
    </w:p>
    <w:p w14:paraId="4331EE72" w14:textId="7E8B8A44" w:rsidR="00CE2031" w:rsidRDefault="00CE2031" w:rsidP="002C48B7">
      <w:pPr>
        <w:pStyle w:val="Prrafodelista"/>
        <w:numPr>
          <w:ilvl w:val="0"/>
          <w:numId w:val="2"/>
        </w:numPr>
        <w:spacing w:line="240" w:lineRule="auto"/>
        <w:ind w:left="714" w:right="51" w:hanging="357"/>
        <w:contextualSpacing w:val="0"/>
        <w:jc w:val="both"/>
        <w:rPr>
          <w:rFonts w:cs="Arial"/>
        </w:rPr>
      </w:pPr>
      <w:r>
        <w:rPr>
          <w:rFonts w:cs="Arial"/>
        </w:rPr>
        <w:t>D</w:t>
      </w:r>
      <w:r w:rsidRPr="008A79C3">
        <w:rPr>
          <w:rFonts w:cs="Arial"/>
        </w:rPr>
        <w:t xml:space="preserve">eben iniciar operaciones en un plazo máximo de </w:t>
      </w:r>
      <w:r>
        <w:rPr>
          <w:rFonts w:cs="Arial"/>
        </w:rPr>
        <w:t>24</w:t>
      </w:r>
      <w:r w:rsidRPr="008A79C3">
        <w:rPr>
          <w:rFonts w:cs="Arial"/>
        </w:rPr>
        <w:t xml:space="preserve"> meses contados a partir de la fecha de recibido de la notificación del cumplimiento de requisitos finales para la inscripción.</w:t>
      </w:r>
    </w:p>
    <w:p w14:paraId="6D956EB1" w14:textId="77777777" w:rsidR="00CE2031" w:rsidRDefault="00CE2031" w:rsidP="002C48B7">
      <w:pPr>
        <w:pStyle w:val="Prrafodelista"/>
        <w:numPr>
          <w:ilvl w:val="0"/>
          <w:numId w:val="2"/>
        </w:numPr>
        <w:spacing w:line="240" w:lineRule="auto"/>
        <w:ind w:left="714" w:right="51" w:hanging="357"/>
        <w:contextualSpacing w:val="0"/>
        <w:jc w:val="both"/>
        <w:rPr>
          <w:rFonts w:cs="Arial"/>
        </w:rPr>
      </w:pPr>
      <w:r>
        <w:rPr>
          <w:rFonts w:cs="Arial"/>
        </w:rPr>
        <w:t>D</w:t>
      </w:r>
      <w:r w:rsidRPr="004047E7">
        <w:rPr>
          <w:rFonts w:cs="Arial"/>
        </w:rPr>
        <w:t>eben establecer en su prospecto el plazo máximo para la colocación del monto total de capital autorizado.</w:t>
      </w:r>
    </w:p>
    <w:p w14:paraId="18C46FFE" w14:textId="77777777" w:rsidR="00CE2031" w:rsidRDefault="00CE2031" w:rsidP="002C48B7">
      <w:pPr>
        <w:pStyle w:val="Prrafodelista"/>
        <w:numPr>
          <w:ilvl w:val="0"/>
          <w:numId w:val="2"/>
        </w:numPr>
        <w:spacing w:line="240" w:lineRule="auto"/>
        <w:ind w:left="714" w:right="51" w:hanging="357"/>
        <w:contextualSpacing w:val="0"/>
        <w:jc w:val="both"/>
        <w:rPr>
          <w:rFonts w:cs="Arial"/>
        </w:rPr>
      </w:pPr>
      <w:r w:rsidRPr="0030794B">
        <w:rPr>
          <w:rFonts w:cs="Arial"/>
        </w:rPr>
        <w:t>Está obligado a redimir las participaciones únicamente al final del plazo previsto para la duración del fondo</w:t>
      </w:r>
      <w:r>
        <w:rPr>
          <w:rFonts w:cs="Arial"/>
        </w:rPr>
        <w:t>.</w:t>
      </w:r>
    </w:p>
    <w:p w14:paraId="43092822" w14:textId="77777777" w:rsidR="00CE2031" w:rsidRPr="0030794B" w:rsidRDefault="00CE2031" w:rsidP="002C48B7">
      <w:pPr>
        <w:pStyle w:val="Prrafodelista"/>
        <w:numPr>
          <w:ilvl w:val="0"/>
          <w:numId w:val="2"/>
        </w:numPr>
        <w:spacing w:line="240" w:lineRule="auto"/>
        <w:ind w:right="49"/>
        <w:contextualSpacing w:val="0"/>
        <w:jc w:val="both"/>
        <w:rPr>
          <w:rFonts w:cs="Arial"/>
        </w:rPr>
      </w:pPr>
      <w:r w:rsidRPr="0030794B">
        <w:rPr>
          <w:rFonts w:cs="Arial"/>
        </w:rPr>
        <w:t xml:space="preserve">No se tipifica como abierto o cerrado. </w:t>
      </w:r>
    </w:p>
    <w:p w14:paraId="5155776B" w14:textId="77777777" w:rsidR="00CE2031" w:rsidRDefault="00CE2031" w:rsidP="002C48B7">
      <w:pPr>
        <w:pStyle w:val="Prrafodelista"/>
        <w:numPr>
          <w:ilvl w:val="0"/>
          <w:numId w:val="2"/>
        </w:numPr>
        <w:spacing w:line="240" w:lineRule="auto"/>
        <w:ind w:right="49"/>
        <w:contextualSpacing w:val="0"/>
        <w:jc w:val="both"/>
        <w:rPr>
          <w:rFonts w:cs="Arial"/>
        </w:rPr>
      </w:pPr>
      <w:r w:rsidRPr="0030794B">
        <w:rPr>
          <w:rFonts w:cs="Arial"/>
        </w:rPr>
        <w:t>El registro de las participaciones para su negociación en un mercado secundario organizado requiere de una autorización previa</w:t>
      </w:r>
      <w:bookmarkStart w:id="2" w:name="_Hlk51184314"/>
      <w:r w:rsidRPr="0030794B">
        <w:rPr>
          <w:rFonts w:cs="Arial"/>
        </w:rPr>
        <w:t>.</w:t>
      </w:r>
    </w:p>
    <w:p w14:paraId="56D32042" w14:textId="77777777" w:rsidR="00CE2031" w:rsidRDefault="00CE2031" w:rsidP="002C48B7">
      <w:pPr>
        <w:pStyle w:val="Prrafodelista"/>
        <w:numPr>
          <w:ilvl w:val="0"/>
          <w:numId w:val="2"/>
        </w:numPr>
        <w:spacing w:line="240" w:lineRule="auto"/>
        <w:ind w:right="49"/>
        <w:contextualSpacing w:val="0"/>
        <w:jc w:val="both"/>
        <w:rPr>
          <w:rFonts w:cs="Arial"/>
        </w:rPr>
      </w:pPr>
      <w:r>
        <w:rPr>
          <w:rFonts w:cs="Arial"/>
        </w:rPr>
        <w:t>D</w:t>
      </w:r>
      <w:r w:rsidRPr="00026673">
        <w:rPr>
          <w:rFonts w:cs="Arial"/>
        </w:rPr>
        <w:t>eben contar con un activo neto mínimo de tres millones de dólares de los Estados Unidos de América o su equivalente en colones costarricenses al tipo de cambio de referencia de venta del Banco Central de Costa Rica</w:t>
      </w:r>
      <w:r>
        <w:rPr>
          <w:rFonts w:cs="Arial"/>
        </w:rPr>
        <w:t>.</w:t>
      </w:r>
    </w:p>
    <w:p w14:paraId="7C895C63" w14:textId="0649819C" w:rsidR="00CE2031" w:rsidRDefault="00CE2031" w:rsidP="002C48B7">
      <w:pPr>
        <w:pStyle w:val="Prrafodelista"/>
        <w:numPr>
          <w:ilvl w:val="0"/>
          <w:numId w:val="2"/>
        </w:numPr>
        <w:spacing w:line="240" w:lineRule="auto"/>
        <w:ind w:right="49"/>
        <w:contextualSpacing w:val="0"/>
        <w:jc w:val="both"/>
        <w:rPr>
          <w:rFonts w:cs="Arial"/>
        </w:rPr>
      </w:pPr>
      <w:r w:rsidRPr="006D2C21">
        <w:rPr>
          <w:rFonts w:cs="Arial"/>
        </w:rPr>
        <w:lastRenderedPageBreak/>
        <w:t xml:space="preserve">El monto mínimo de la participación es de cincuenta mil dólares de los Estados Unidos de América o su equivalente en colones costarricenses al tipo de cambio de referencia de venta del Banco Central de Costa Rica. </w:t>
      </w:r>
    </w:p>
    <w:bookmarkEnd w:id="2"/>
    <w:p w14:paraId="3CAA4F0E" w14:textId="0435B476" w:rsidR="00CE2031" w:rsidRDefault="00CE2031" w:rsidP="002C48B7">
      <w:pPr>
        <w:pStyle w:val="Prrafodelista"/>
        <w:numPr>
          <w:ilvl w:val="0"/>
          <w:numId w:val="2"/>
        </w:numPr>
        <w:spacing w:line="240" w:lineRule="auto"/>
        <w:ind w:right="49"/>
        <w:contextualSpacing w:val="0"/>
        <w:jc w:val="both"/>
        <w:rPr>
          <w:rFonts w:cs="Arial"/>
        </w:rPr>
      </w:pPr>
      <w:r>
        <w:rPr>
          <w:rFonts w:cs="Arial"/>
        </w:rPr>
        <w:t>P</w:t>
      </w:r>
      <w:r w:rsidRPr="0030794B">
        <w:rPr>
          <w:rFonts w:cs="Arial"/>
        </w:rPr>
        <w:t>odrá invertir en:</w:t>
      </w:r>
    </w:p>
    <w:p w14:paraId="1B58BE08" w14:textId="77777777" w:rsidR="00E04CE2" w:rsidRPr="0030794B" w:rsidRDefault="00E04CE2" w:rsidP="00E04CE2">
      <w:pPr>
        <w:pStyle w:val="Prrafodelista"/>
        <w:spacing w:line="240" w:lineRule="auto"/>
        <w:ind w:right="49"/>
        <w:contextualSpacing w:val="0"/>
        <w:jc w:val="both"/>
        <w:rPr>
          <w:rFonts w:cs="Arial"/>
        </w:rPr>
      </w:pPr>
    </w:p>
    <w:p w14:paraId="6CA7A71F" w14:textId="77777777" w:rsidR="00CE2031" w:rsidRPr="0030794B" w:rsidRDefault="00CE2031" w:rsidP="002C48B7">
      <w:pPr>
        <w:pStyle w:val="Prrafodelista"/>
        <w:numPr>
          <w:ilvl w:val="1"/>
          <w:numId w:val="2"/>
        </w:numPr>
        <w:spacing w:line="240" w:lineRule="auto"/>
        <w:ind w:right="49"/>
        <w:contextualSpacing w:val="0"/>
        <w:jc w:val="both"/>
        <w:rPr>
          <w:rFonts w:cs="Arial"/>
        </w:rPr>
      </w:pPr>
      <w:r w:rsidRPr="0030794B">
        <w:rPr>
          <w:rFonts w:cs="Arial"/>
        </w:rPr>
        <w:t>Valores de oferta pública inscritos en el RNVI.</w:t>
      </w:r>
    </w:p>
    <w:p w14:paraId="76C344B3" w14:textId="77777777" w:rsidR="00CE2031" w:rsidRPr="00FC6F5F" w:rsidRDefault="00CE2031" w:rsidP="002C48B7">
      <w:pPr>
        <w:pStyle w:val="Prrafodelista"/>
        <w:numPr>
          <w:ilvl w:val="1"/>
          <w:numId w:val="2"/>
        </w:numPr>
        <w:spacing w:line="240" w:lineRule="auto"/>
        <w:ind w:right="49"/>
        <w:contextualSpacing w:val="0"/>
        <w:jc w:val="both"/>
        <w:rPr>
          <w:rFonts w:cs="Arial"/>
        </w:rPr>
      </w:pPr>
      <w:r w:rsidRPr="00FC6F5F">
        <w:rPr>
          <w:rFonts w:cs="Arial"/>
        </w:rPr>
        <w:t>Valores de contenido patrimonial (acciones) emitidos por empresas promovidas.</w:t>
      </w:r>
    </w:p>
    <w:p w14:paraId="3C2F6B5B" w14:textId="77777777" w:rsidR="00CE2031" w:rsidRPr="00FC6F5F" w:rsidRDefault="00CE2031" w:rsidP="002C48B7">
      <w:pPr>
        <w:pStyle w:val="Prrafodelista"/>
        <w:numPr>
          <w:ilvl w:val="1"/>
          <w:numId w:val="2"/>
        </w:numPr>
        <w:spacing w:line="240" w:lineRule="auto"/>
        <w:ind w:right="49"/>
        <w:contextualSpacing w:val="0"/>
        <w:jc w:val="both"/>
        <w:rPr>
          <w:rFonts w:cs="Arial"/>
        </w:rPr>
      </w:pPr>
      <w:r w:rsidRPr="00FC6F5F">
        <w:rPr>
          <w:rFonts w:cs="Arial"/>
        </w:rPr>
        <w:t>Valores de contenido crediticio (deuda) emitidos por empresas promovidas.</w:t>
      </w:r>
    </w:p>
    <w:p w14:paraId="0236644B" w14:textId="77777777" w:rsidR="00CE2031" w:rsidRPr="00FC6F5F" w:rsidRDefault="00CE2031" w:rsidP="002C48B7">
      <w:pPr>
        <w:pStyle w:val="Prrafodelista"/>
        <w:numPr>
          <w:ilvl w:val="1"/>
          <w:numId w:val="2"/>
        </w:numPr>
        <w:spacing w:line="240" w:lineRule="auto"/>
        <w:ind w:right="49"/>
        <w:contextualSpacing w:val="0"/>
        <w:jc w:val="both"/>
        <w:rPr>
          <w:rFonts w:cs="Arial"/>
        </w:rPr>
      </w:pPr>
      <w:r w:rsidRPr="00FC6F5F">
        <w:rPr>
          <w:rFonts w:cs="Arial"/>
        </w:rPr>
        <w:t>Activos o instrumentos financieros emitidos por empresas promovidas (podrán participar en el pasivo de las empresas promovidas mediante el otorgamiento de financiamiento o crédito directo a estas empresas).</w:t>
      </w:r>
    </w:p>
    <w:p w14:paraId="7BB249BD" w14:textId="5A05D656" w:rsidR="00CE2031" w:rsidRPr="00E04CE2" w:rsidRDefault="00CE2031" w:rsidP="002C48B7">
      <w:pPr>
        <w:pStyle w:val="Prrafodelista"/>
        <w:numPr>
          <w:ilvl w:val="1"/>
          <w:numId w:val="2"/>
        </w:numPr>
        <w:spacing w:line="240" w:lineRule="auto"/>
        <w:ind w:right="49"/>
        <w:contextualSpacing w:val="0"/>
        <w:jc w:val="both"/>
      </w:pPr>
      <w:r w:rsidRPr="00FC6F5F">
        <w:rPr>
          <w:rFonts w:cs="Arial"/>
        </w:rPr>
        <w:t>Valores extranjeros admitidos a negociación en un mercado organizado extranjero.</w:t>
      </w:r>
    </w:p>
    <w:p w14:paraId="2CFC887F" w14:textId="77777777" w:rsidR="00E04CE2" w:rsidRPr="00FC6F5F" w:rsidRDefault="00E04CE2" w:rsidP="00E04CE2">
      <w:pPr>
        <w:pStyle w:val="Prrafodelista"/>
        <w:spacing w:line="240" w:lineRule="auto"/>
        <w:ind w:left="1440" w:right="49"/>
        <w:contextualSpacing w:val="0"/>
        <w:jc w:val="both"/>
      </w:pPr>
    </w:p>
    <w:p w14:paraId="01C3D638" w14:textId="77777777" w:rsidR="00CE2031" w:rsidRDefault="00CE2031" w:rsidP="002C48B7">
      <w:pPr>
        <w:pStyle w:val="Prrafodelista"/>
        <w:numPr>
          <w:ilvl w:val="0"/>
          <w:numId w:val="2"/>
        </w:numPr>
        <w:spacing w:line="240" w:lineRule="auto"/>
        <w:ind w:right="49"/>
        <w:contextualSpacing w:val="0"/>
        <w:jc w:val="both"/>
        <w:rPr>
          <w:rFonts w:cs="Arial"/>
        </w:rPr>
      </w:pPr>
      <w:r w:rsidRPr="007E3029">
        <w:rPr>
          <w:rFonts w:cs="Arial"/>
        </w:rPr>
        <w:t>Las empresas promovidas en las que invierta el fondo podrán ubicarse en el país o en el exterior.</w:t>
      </w:r>
    </w:p>
    <w:p w14:paraId="50FDE4CE" w14:textId="77777777" w:rsidR="00CE2031" w:rsidRDefault="00CE2031" w:rsidP="002C48B7">
      <w:pPr>
        <w:pStyle w:val="Prrafodelista"/>
        <w:numPr>
          <w:ilvl w:val="0"/>
          <w:numId w:val="2"/>
        </w:numPr>
        <w:spacing w:line="240" w:lineRule="auto"/>
        <w:ind w:right="49"/>
        <w:contextualSpacing w:val="0"/>
        <w:jc w:val="both"/>
        <w:rPr>
          <w:rFonts w:cs="Arial"/>
        </w:rPr>
      </w:pPr>
      <w:r w:rsidRPr="000F5707">
        <w:rPr>
          <w:rFonts w:cs="Arial"/>
        </w:rPr>
        <w:t>Los valores, activos e instrumentos financieros representativos de la inversión en las empresas promovidas deberán mantenerse en custodia en alguna de las entidades de custodia inscritas en el RNVI.</w:t>
      </w:r>
    </w:p>
    <w:p w14:paraId="373F9119" w14:textId="2A8520E4" w:rsidR="00CE2031" w:rsidRDefault="00CE2031" w:rsidP="002C48B7">
      <w:pPr>
        <w:pStyle w:val="Prrafodelista"/>
        <w:numPr>
          <w:ilvl w:val="0"/>
          <w:numId w:val="2"/>
        </w:numPr>
        <w:spacing w:line="240" w:lineRule="auto"/>
        <w:ind w:right="49"/>
        <w:contextualSpacing w:val="0"/>
        <w:jc w:val="both"/>
        <w:rPr>
          <w:rFonts w:cs="Arial"/>
        </w:rPr>
      </w:pPr>
      <w:r w:rsidRPr="00503A88">
        <w:rPr>
          <w:rFonts w:cs="Arial"/>
        </w:rPr>
        <w:t>Deben respetar los siguientes límites de diversificación:</w:t>
      </w:r>
    </w:p>
    <w:p w14:paraId="504B8605" w14:textId="77777777" w:rsidR="00E04CE2" w:rsidRPr="00503A88" w:rsidRDefault="00E04CE2" w:rsidP="00E04CE2">
      <w:pPr>
        <w:pStyle w:val="Prrafodelista"/>
        <w:spacing w:line="240" w:lineRule="auto"/>
        <w:ind w:right="49"/>
        <w:contextualSpacing w:val="0"/>
        <w:jc w:val="both"/>
        <w:rPr>
          <w:rFonts w:cs="Arial"/>
        </w:rPr>
      </w:pPr>
    </w:p>
    <w:p w14:paraId="1CAE49E5" w14:textId="77777777" w:rsidR="00CE2031" w:rsidRPr="00503A88" w:rsidRDefault="00CE2031" w:rsidP="002C48B7">
      <w:pPr>
        <w:pStyle w:val="Prrafodelista"/>
        <w:numPr>
          <w:ilvl w:val="1"/>
          <w:numId w:val="2"/>
        </w:numPr>
        <w:spacing w:line="240" w:lineRule="auto"/>
        <w:ind w:right="49"/>
        <w:contextualSpacing w:val="0"/>
        <w:jc w:val="both"/>
        <w:rPr>
          <w:rFonts w:cs="Arial"/>
        </w:rPr>
      </w:pPr>
      <w:r w:rsidRPr="00503A88">
        <w:rPr>
          <w:rFonts w:cs="Arial"/>
        </w:rPr>
        <w:t xml:space="preserve">Al menos el 67% de su activo total debe estar invertido en valores, activos o instrumentos financieros emitidos por empresas promovidas. </w:t>
      </w:r>
    </w:p>
    <w:p w14:paraId="6555998D" w14:textId="77777777" w:rsidR="00CE2031" w:rsidRPr="00503A88" w:rsidRDefault="00CE2031" w:rsidP="002C48B7">
      <w:pPr>
        <w:pStyle w:val="Prrafodelista"/>
        <w:numPr>
          <w:ilvl w:val="1"/>
          <w:numId w:val="2"/>
        </w:numPr>
        <w:spacing w:line="240" w:lineRule="auto"/>
        <w:ind w:right="49"/>
        <w:contextualSpacing w:val="0"/>
        <w:jc w:val="both"/>
        <w:rPr>
          <w:rFonts w:cs="Arial"/>
        </w:rPr>
      </w:pPr>
      <w:r w:rsidRPr="00503A88">
        <w:rPr>
          <w:rFonts w:cs="Arial"/>
        </w:rPr>
        <w:t>Mantener inversiones como mínimo en dos empresas promovidas.</w:t>
      </w:r>
    </w:p>
    <w:p w14:paraId="1FF09B61" w14:textId="77777777" w:rsidR="00CE2031" w:rsidRPr="00503A88" w:rsidRDefault="00CE2031" w:rsidP="002C48B7">
      <w:pPr>
        <w:pStyle w:val="Prrafodelista"/>
        <w:numPr>
          <w:ilvl w:val="1"/>
          <w:numId w:val="2"/>
        </w:numPr>
        <w:spacing w:line="240" w:lineRule="auto"/>
        <w:ind w:right="49"/>
        <w:contextualSpacing w:val="0"/>
        <w:jc w:val="both"/>
        <w:rPr>
          <w:rFonts w:cs="Arial"/>
        </w:rPr>
      </w:pPr>
      <w:r w:rsidRPr="00503A88">
        <w:rPr>
          <w:rFonts w:cs="Arial"/>
        </w:rPr>
        <w:t>Mantener inversiones en al menos una PYME.</w:t>
      </w:r>
    </w:p>
    <w:p w14:paraId="6C8593F4" w14:textId="4AAEAD05" w:rsidR="00CE2031" w:rsidRDefault="00CE2031" w:rsidP="002C48B7">
      <w:pPr>
        <w:pStyle w:val="Prrafodelista"/>
        <w:numPr>
          <w:ilvl w:val="1"/>
          <w:numId w:val="2"/>
        </w:numPr>
        <w:spacing w:line="240" w:lineRule="auto"/>
        <w:ind w:right="49"/>
        <w:contextualSpacing w:val="0"/>
        <w:jc w:val="both"/>
        <w:rPr>
          <w:rFonts w:cs="Arial"/>
        </w:rPr>
      </w:pPr>
      <w:r w:rsidRPr="00503A88">
        <w:rPr>
          <w:rFonts w:cs="Arial"/>
        </w:rPr>
        <w:t>Un máximo del 30% del activo en valores emitidos por las empresas que formen parte de un mismo grupo de interés económico, distinto de los socios, directores y empleados de la sociedad administradora de fondos de inversión y de su grupo de interés económico.</w:t>
      </w:r>
    </w:p>
    <w:p w14:paraId="2A307248" w14:textId="77777777" w:rsidR="00E04CE2" w:rsidRPr="00503A88" w:rsidRDefault="00E04CE2" w:rsidP="00E04CE2">
      <w:pPr>
        <w:pStyle w:val="Prrafodelista"/>
        <w:spacing w:line="240" w:lineRule="auto"/>
        <w:ind w:left="1440" w:right="49"/>
        <w:contextualSpacing w:val="0"/>
        <w:jc w:val="both"/>
        <w:rPr>
          <w:rFonts w:cs="Arial"/>
        </w:rPr>
      </w:pPr>
    </w:p>
    <w:p w14:paraId="5B89EEED" w14:textId="77777777" w:rsidR="00CE2031" w:rsidRDefault="00CE2031" w:rsidP="002C48B7">
      <w:pPr>
        <w:pStyle w:val="Prrafodelista"/>
        <w:numPr>
          <w:ilvl w:val="0"/>
          <w:numId w:val="2"/>
        </w:numPr>
        <w:spacing w:line="240" w:lineRule="auto"/>
        <w:ind w:right="49"/>
        <w:contextualSpacing w:val="0"/>
        <w:jc w:val="both"/>
        <w:rPr>
          <w:rFonts w:cs="Arial"/>
        </w:rPr>
      </w:pPr>
      <w:r w:rsidRPr="007B4AA4">
        <w:rPr>
          <w:rFonts w:cs="Arial"/>
        </w:rPr>
        <w:t xml:space="preserve">Podrá establecer condiciones de suscripción como </w:t>
      </w:r>
      <w:bookmarkStart w:id="3" w:name="_Hlk51181701"/>
      <w:r w:rsidRPr="007B4AA4">
        <w:rPr>
          <w:rFonts w:cs="Arial"/>
        </w:rPr>
        <w:t>compromisos de inversión en plazos determinados, periodos de tiempo mínimos que el inversionista debe mantener su inversión en el fondo, derechos de suscripción preferente</w:t>
      </w:r>
      <w:bookmarkEnd w:id="3"/>
      <w:r w:rsidRPr="007B4AA4">
        <w:rPr>
          <w:rFonts w:cs="Arial"/>
        </w:rPr>
        <w:t>.</w:t>
      </w:r>
    </w:p>
    <w:p w14:paraId="559FDA88" w14:textId="77777777" w:rsidR="00CE2031" w:rsidRDefault="00CE2031" w:rsidP="002C48B7">
      <w:pPr>
        <w:pStyle w:val="Prrafodelista"/>
        <w:numPr>
          <w:ilvl w:val="0"/>
          <w:numId w:val="2"/>
        </w:numPr>
        <w:spacing w:line="240" w:lineRule="auto"/>
        <w:ind w:right="49"/>
        <w:contextualSpacing w:val="0"/>
        <w:jc w:val="both"/>
        <w:rPr>
          <w:rFonts w:cs="Arial"/>
        </w:rPr>
      </w:pPr>
      <w:r w:rsidRPr="00A058BC">
        <w:rPr>
          <w:rFonts w:cs="Arial"/>
        </w:rPr>
        <w:t>La estrategia de inversión debe encontrarse revelada en el prospecto</w:t>
      </w:r>
      <w:r>
        <w:rPr>
          <w:rFonts w:cs="Arial"/>
        </w:rPr>
        <w:t>.</w:t>
      </w:r>
    </w:p>
    <w:p w14:paraId="708F647A" w14:textId="77777777" w:rsidR="00CE2031" w:rsidRDefault="00CE2031" w:rsidP="002C48B7">
      <w:pPr>
        <w:pStyle w:val="Prrafodelista"/>
        <w:numPr>
          <w:ilvl w:val="0"/>
          <w:numId w:val="2"/>
        </w:numPr>
        <w:spacing w:line="240" w:lineRule="auto"/>
        <w:ind w:right="49"/>
        <w:contextualSpacing w:val="0"/>
        <w:jc w:val="both"/>
        <w:rPr>
          <w:rFonts w:cs="Arial"/>
        </w:rPr>
      </w:pPr>
      <w:r>
        <w:rPr>
          <w:rFonts w:cs="Arial"/>
        </w:rPr>
        <w:t>Pueden</w:t>
      </w:r>
      <w:r w:rsidRPr="009B051C">
        <w:rPr>
          <w:rFonts w:cs="Arial"/>
        </w:rPr>
        <w:t xml:space="preserve"> endeudarse hasta un máximo del 15% de sus activos totales. Este porcentaje incluye el endeudamiento para atender necesidades transitorias de liquidez y el endeudamiento para la adquisición de los activos.</w:t>
      </w:r>
    </w:p>
    <w:p w14:paraId="480E8AB1" w14:textId="77777777" w:rsidR="00CE2031" w:rsidRDefault="00CE2031" w:rsidP="002C48B7">
      <w:pPr>
        <w:pStyle w:val="Prrafodelista"/>
        <w:numPr>
          <w:ilvl w:val="0"/>
          <w:numId w:val="2"/>
        </w:numPr>
        <w:spacing w:line="240" w:lineRule="auto"/>
        <w:ind w:right="49"/>
        <w:contextualSpacing w:val="0"/>
        <w:jc w:val="both"/>
        <w:rPr>
          <w:rFonts w:cs="Arial"/>
        </w:rPr>
      </w:pPr>
      <w:r w:rsidRPr="00334A74">
        <w:rPr>
          <w:rFonts w:cs="Arial"/>
        </w:rPr>
        <w:t>Las inversiones del fondo de inversión de capital de riesgo pueden contar con mejoradores crediticios otorgados por terceros</w:t>
      </w:r>
      <w:r>
        <w:rPr>
          <w:rFonts w:cs="Arial"/>
        </w:rPr>
        <w:t>.</w:t>
      </w:r>
    </w:p>
    <w:p w14:paraId="70EB7134" w14:textId="77777777" w:rsidR="00CE2031" w:rsidRDefault="00CE2031" w:rsidP="002C48B7">
      <w:pPr>
        <w:pStyle w:val="Prrafodelista"/>
        <w:numPr>
          <w:ilvl w:val="0"/>
          <w:numId w:val="2"/>
        </w:numPr>
        <w:spacing w:line="240" w:lineRule="auto"/>
        <w:ind w:right="49"/>
        <w:contextualSpacing w:val="0"/>
        <w:jc w:val="both"/>
        <w:rPr>
          <w:rFonts w:cs="Arial"/>
        </w:rPr>
      </w:pPr>
      <w:r w:rsidRPr="00B16841">
        <w:rPr>
          <w:rFonts w:cs="Arial"/>
        </w:rPr>
        <w:t>Las participaciones están representadas por certificados de participación emitidos a la orden.</w:t>
      </w:r>
    </w:p>
    <w:p w14:paraId="1362CDFB" w14:textId="77777777" w:rsidR="00CE2031" w:rsidRDefault="00CE2031" w:rsidP="002C48B7">
      <w:pPr>
        <w:pStyle w:val="Prrafodelista"/>
        <w:numPr>
          <w:ilvl w:val="0"/>
          <w:numId w:val="2"/>
        </w:numPr>
        <w:spacing w:line="240" w:lineRule="auto"/>
        <w:ind w:right="49"/>
        <w:contextualSpacing w:val="0"/>
        <w:jc w:val="both"/>
        <w:rPr>
          <w:rFonts w:cs="Arial"/>
        </w:rPr>
      </w:pPr>
      <w:r w:rsidRPr="002E08F1">
        <w:rPr>
          <w:rFonts w:cs="Arial"/>
        </w:rPr>
        <w:lastRenderedPageBreak/>
        <w:t xml:space="preserve">Los fondos de inversión deben calcular el precio de la participación, en cada evento de suscripción o reembolso de participaciones, como mínimo trimestralmente. </w:t>
      </w:r>
    </w:p>
    <w:p w14:paraId="5084D3D9" w14:textId="77777777" w:rsidR="00CE2031" w:rsidRDefault="00CE2031" w:rsidP="002C48B7">
      <w:pPr>
        <w:pStyle w:val="Prrafodelista"/>
        <w:numPr>
          <w:ilvl w:val="0"/>
          <w:numId w:val="2"/>
        </w:numPr>
        <w:spacing w:line="240" w:lineRule="auto"/>
        <w:ind w:right="49"/>
        <w:contextualSpacing w:val="0"/>
        <w:jc w:val="both"/>
        <w:rPr>
          <w:rFonts w:cs="Arial"/>
        </w:rPr>
      </w:pPr>
      <w:r w:rsidRPr="000143E8">
        <w:rPr>
          <w:rFonts w:cs="Arial"/>
        </w:rPr>
        <w:t>Para</w:t>
      </w:r>
      <w:r w:rsidRPr="00FB0851">
        <w:rPr>
          <w:rFonts w:cs="Arial"/>
        </w:rPr>
        <w:t xml:space="preserve"> la colocación de participaciones, se debe cumplir con lo dispuesto en materia de colocación de valores para mercado primario del ROPV.</w:t>
      </w:r>
    </w:p>
    <w:p w14:paraId="12C0187B" w14:textId="77777777" w:rsidR="00CE2031" w:rsidRPr="00FB0851" w:rsidRDefault="00CE2031" w:rsidP="002C48B7">
      <w:pPr>
        <w:pStyle w:val="Prrafodelista"/>
        <w:numPr>
          <w:ilvl w:val="0"/>
          <w:numId w:val="2"/>
        </w:numPr>
        <w:spacing w:line="240" w:lineRule="auto"/>
        <w:ind w:right="49"/>
        <w:contextualSpacing w:val="0"/>
        <w:jc w:val="both"/>
        <w:rPr>
          <w:rFonts w:cs="Arial"/>
        </w:rPr>
      </w:pPr>
      <w:r w:rsidRPr="0078603D">
        <w:rPr>
          <w:rFonts w:cs="Arial"/>
        </w:rPr>
        <w:t>Las inversiones en valores de contenido patrimonial emitidos por empresas promovidas deben valorarse al menos una vez al año</w:t>
      </w:r>
    </w:p>
    <w:p w14:paraId="6E77E8B1" w14:textId="77777777" w:rsidR="00CE2031" w:rsidRPr="007A3709" w:rsidRDefault="00CE2031" w:rsidP="002C48B7">
      <w:pPr>
        <w:pStyle w:val="Prrafodelista"/>
        <w:numPr>
          <w:ilvl w:val="0"/>
          <w:numId w:val="2"/>
        </w:numPr>
        <w:spacing w:line="240" w:lineRule="auto"/>
        <w:ind w:right="49"/>
        <w:contextualSpacing w:val="0"/>
        <w:jc w:val="both"/>
        <w:rPr>
          <w:rFonts w:cs="Arial"/>
        </w:rPr>
      </w:pPr>
      <w:r w:rsidRPr="007A3709">
        <w:rPr>
          <w:rFonts w:cs="Arial"/>
        </w:rPr>
        <w:t>Es un fondo exclusivamente para inversionistas profesionales (persona física o jurídica que posee la infraestructura o capacidad para reconocer, comprender y gestionar los riesgos inherentes a sus decisiones de inversión). Debe contar como mínimo con 5 inversionistas.</w:t>
      </w:r>
    </w:p>
    <w:p w14:paraId="0926CF7B" w14:textId="77777777" w:rsidR="00CE2031" w:rsidRPr="007A3709" w:rsidRDefault="00CE2031" w:rsidP="002C48B7">
      <w:pPr>
        <w:pStyle w:val="Prrafodelista"/>
        <w:numPr>
          <w:ilvl w:val="0"/>
          <w:numId w:val="2"/>
        </w:numPr>
        <w:spacing w:line="240" w:lineRule="auto"/>
        <w:ind w:right="49"/>
        <w:contextualSpacing w:val="0"/>
        <w:jc w:val="both"/>
        <w:rPr>
          <w:rFonts w:cs="Arial"/>
        </w:rPr>
      </w:pPr>
      <w:r w:rsidRPr="007A3709">
        <w:rPr>
          <w:rFonts w:cs="Arial"/>
        </w:rPr>
        <w:t>Debe contar con un gestor especializado (requisitos</w:t>
      </w:r>
      <w:r>
        <w:rPr>
          <w:rFonts w:cs="Arial"/>
        </w:rPr>
        <w:t xml:space="preserve"> y funciones</w:t>
      </w:r>
      <w:r w:rsidRPr="007A3709">
        <w:rPr>
          <w:rFonts w:cs="Arial"/>
        </w:rPr>
        <w:t xml:space="preserve"> establecidos). </w:t>
      </w:r>
    </w:p>
    <w:p w14:paraId="30F25ADB" w14:textId="77777777" w:rsidR="00CE2031" w:rsidRPr="007A3709" w:rsidRDefault="00CE2031" w:rsidP="002C48B7">
      <w:pPr>
        <w:pStyle w:val="Prrafodelista"/>
        <w:numPr>
          <w:ilvl w:val="0"/>
          <w:numId w:val="2"/>
        </w:numPr>
        <w:spacing w:line="240" w:lineRule="auto"/>
        <w:ind w:right="49"/>
        <w:contextualSpacing w:val="0"/>
        <w:jc w:val="both"/>
        <w:rPr>
          <w:rFonts w:cs="Arial"/>
        </w:rPr>
      </w:pPr>
      <w:r w:rsidRPr="007A3709">
        <w:rPr>
          <w:rFonts w:cs="Arial"/>
        </w:rPr>
        <w:t>Cuenta con una asamblea de inversionistas que debe reunirse al menos 1 vez al año para aprobar el informe del gestor y conocer los estados financieros auditados.</w:t>
      </w:r>
    </w:p>
    <w:p w14:paraId="5C944DBC" w14:textId="4F5EF61B" w:rsidR="00CE2031" w:rsidRDefault="00CE2031" w:rsidP="002C48B7">
      <w:pPr>
        <w:pStyle w:val="Prrafodelista"/>
        <w:numPr>
          <w:ilvl w:val="0"/>
          <w:numId w:val="2"/>
        </w:numPr>
        <w:spacing w:line="240" w:lineRule="auto"/>
        <w:ind w:right="49"/>
        <w:contextualSpacing w:val="0"/>
        <w:jc w:val="both"/>
        <w:rPr>
          <w:rFonts w:cs="Arial"/>
        </w:rPr>
      </w:pPr>
      <w:r w:rsidRPr="007A3709">
        <w:rPr>
          <w:rFonts w:cs="Arial"/>
        </w:rPr>
        <w:t xml:space="preserve">El comité de inversión deberá tener al menos 3 miembros, de los cuales: </w:t>
      </w:r>
    </w:p>
    <w:p w14:paraId="091457E2" w14:textId="77777777" w:rsidR="00E04CE2" w:rsidRPr="007A3709" w:rsidRDefault="00E04CE2" w:rsidP="00E04CE2">
      <w:pPr>
        <w:pStyle w:val="Prrafodelista"/>
        <w:spacing w:line="240" w:lineRule="auto"/>
        <w:ind w:right="49"/>
        <w:contextualSpacing w:val="0"/>
        <w:jc w:val="both"/>
        <w:rPr>
          <w:rFonts w:cs="Arial"/>
        </w:rPr>
      </w:pPr>
    </w:p>
    <w:p w14:paraId="40771EC2" w14:textId="77777777" w:rsidR="00CE2031" w:rsidRPr="007A3709" w:rsidRDefault="00CE2031" w:rsidP="002C48B7">
      <w:pPr>
        <w:pStyle w:val="Prrafodelista"/>
        <w:numPr>
          <w:ilvl w:val="1"/>
          <w:numId w:val="2"/>
        </w:numPr>
        <w:spacing w:line="240" w:lineRule="auto"/>
        <w:ind w:right="49"/>
        <w:contextualSpacing w:val="0"/>
        <w:jc w:val="both"/>
        <w:rPr>
          <w:rFonts w:cs="Arial"/>
        </w:rPr>
      </w:pPr>
      <w:r w:rsidRPr="007A3709">
        <w:rPr>
          <w:rFonts w:cs="Arial"/>
        </w:rPr>
        <w:t xml:space="preserve">Al menos un miembro debe ser independiente </w:t>
      </w:r>
    </w:p>
    <w:p w14:paraId="34E3BCD0" w14:textId="77777777" w:rsidR="00CE2031" w:rsidRDefault="00CE2031" w:rsidP="002C48B7">
      <w:pPr>
        <w:pStyle w:val="Prrafodelista"/>
        <w:numPr>
          <w:ilvl w:val="1"/>
          <w:numId w:val="2"/>
        </w:numPr>
        <w:spacing w:line="240" w:lineRule="auto"/>
        <w:ind w:right="49"/>
        <w:contextualSpacing w:val="0"/>
        <w:jc w:val="both"/>
        <w:rPr>
          <w:rFonts w:cs="Arial"/>
        </w:rPr>
      </w:pPr>
      <w:r w:rsidRPr="007A3709">
        <w:rPr>
          <w:rFonts w:cs="Arial"/>
        </w:rPr>
        <w:t xml:space="preserve">Un miembro debe ser representante de los inversionistas </w:t>
      </w:r>
    </w:p>
    <w:p w14:paraId="1FCF4437" w14:textId="77777777" w:rsidR="00CE2031" w:rsidRDefault="00CE2031" w:rsidP="002C48B7">
      <w:pPr>
        <w:spacing w:line="240" w:lineRule="auto"/>
        <w:ind w:right="49"/>
        <w:jc w:val="both"/>
        <w:rPr>
          <w:rFonts w:cs="Arial"/>
        </w:rPr>
      </w:pPr>
    </w:p>
    <w:p w14:paraId="18156010" w14:textId="265A38AA" w:rsidR="00751EE1" w:rsidRPr="00751EE1" w:rsidRDefault="00751EE1" w:rsidP="00751EE1">
      <w:pPr>
        <w:pStyle w:val="Prrafodelista"/>
        <w:numPr>
          <w:ilvl w:val="0"/>
          <w:numId w:val="10"/>
        </w:numPr>
        <w:spacing w:line="240" w:lineRule="auto"/>
        <w:jc w:val="both"/>
        <w:rPr>
          <w:rFonts w:cs="Times New Roman"/>
          <w:b/>
          <w:bCs/>
          <w:szCs w:val="24"/>
        </w:rPr>
      </w:pPr>
      <w:r w:rsidRPr="00751EE1">
        <w:rPr>
          <w:rFonts w:cs="Times New Roman"/>
          <w:b/>
          <w:bCs/>
          <w:szCs w:val="24"/>
        </w:rPr>
        <w:t>Generalidades sobre los fondos de capital de riesgo</w:t>
      </w:r>
    </w:p>
    <w:p w14:paraId="6E3C96D7" w14:textId="77777777" w:rsidR="00751EE1" w:rsidRPr="00A5496C" w:rsidRDefault="00751EE1" w:rsidP="00751EE1">
      <w:pPr>
        <w:rPr>
          <w:rFonts w:cs="Times New Roman"/>
          <w:szCs w:val="24"/>
        </w:rPr>
      </w:pPr>
    </w:p>
    <w:p w14:paraId="7F8D6B0F" w14:textId="77777777" w:rsidR="00751EE1" w:rsidRPr="00A5496C" w:rsidRDefault="00751EE1" w:rsidP="00751EE1">
      <w:pPr>
        <w:pStyle w:val="Prrafodelista"/>
        <w:numPr>
          <w:ilvl w:val="0"/>
          <w:numId w:val="14"/>
        </w:numPr>
        <w:spacing w:after="200" w:line="276" w:lineRule="auto"/>
        <w:rPr>
          <w:rFonts w:cs="Times New Roman"/>
          <w:szCs w:val="24"/>
        </w:rPr>
      </w:pPr>
      <w:r w:rsidRPr="00A5496C">
        <w:rPr>
          <w:rFonts w:cs="Times New Roman"/>
          <w:szCs w:val="24"/>
        </w:rPr>
        <w:t>Fondos de capital privado (Private Equity Funds)</w:t>
      </w:r>
    </w:p>
    <w:p w14:paraId="6F511056" w14:textId="77777777" w:rsidR="00751EE1" w:rsidRPr="00A5496C" w:rsidRDefault="00751EE1" w:rsidP="00751EE1">
      <w:pPr>
        <w:tabs>
          <w:tab w:val="left" w:pos="1056"/>
        </w:tabs>
        <w:spacing w:line="240" w:lineRule="auto"/>
        <w:jc w:val="both"/>
        <w:rPr>
          <w:rFonts w:cs="Times New Roman"/>
          <w:szCs w:val="24"/>
        </w:rPr>
      </w:pPr>
      <w:r w:rsidRPr="00A5496C">
        <w:rPr>
          <w:rFonts w:cs="Times New Roman"/>
          <w:szCs w:val="24"/>
        </w:rPr>
        <w:t>Son fondos mancomunados de inversión que se especializan en invertir directamente en empresas que no cotizan en bolsa o participan en la adquisición de empresas listadas, para luego desinscribirlas de los mercados bursátiles.</w:t>
      </w:r>
    </w:p>
    <w:p w14:paraId="13ECB70B" w14:textId="77777777" w:rsidR="00751EE1" w:rsidRPr="00A5496C" w:rsidRDefault="00751EE1" w:rsidP="00751EE1">
      <w:pPr>
        <w:tabs>
          <w:tab w:val="left" w:pos="1056"/>
        </w:tabs>
        <w:spacing w:line="240" w:lineRule="auto"/>
        <w:jc w:val="both"/>
        <w:rPr>
          <w:rFonts w:cs="Times New Roman"/>
          <w:szCs w:val="24"/>
        </w:rPr>
      </w:pPr>
    </w:p>
    <w:p w14:paraId="7B36E7F3" w14:textId="5917ACFC" w:rsidR="00751EE1" w:rsidRPr="00A5496C" w:rsidRDefault="00751EE1" w:rsidP="00751EE1">
      <w:pPr>
        <w:tabs>
          <w:tab w:val="left" w:pos="1056"/>
        </w:tabs>
        <w:spacing w:line="240" w:lineRule="auto"/>
        <w:jc w:val="both"/>
        <w:rPr>
          <w:rFonts w:cs="Times New Roman"/>
          <w:szCs w:val="24"/>
        </w:rPr>
      </w:pPr>
      <w:r w:rsidRPr="00A5496C">
        <w:rPr>
          <w:rFonts w:cs="Times New Roman"/>
          <w:szCs w:val="24"/>
        </w:rPr>
        <w:t xml:space="preserve">Una vez que han logrado sus objetivos, </w:t>
      </w:r>
      <w:r w:rsidR="00531A0F">
        <w:rPr>
          <w:rFonts w:cs="Times New Roman"/>
          <w:szCs w:val="24"/>
        </w:rPr>
        <w:t xml:space="preserve">estos fondos </w:t>
      </w:r>
      <w:r w:rsidRPr="00A5496C">
        <w:rPr>
          <w:rFonts w:cs="Times New Roman"/>
          <w:szCs w:val="24"/>
        </w:rPr>
        <w:t xml:space="preserve">venden la compañía privadamente o la inscriben en la bolsa para vender sus acciones, de manera que obtienen rentabilidad sobre su inversión. </w:t>
      </w:r>
    </w:p>
    <w:p w14:paraId="046D5602" w14:textId="77777777" w:rsidR="00751EE1" w:rsidRPr="00A5496C" w:rsidRDefault="00751EE1" w:rsidP="00751EE1">
      <w:pPr>
        <w:tabs>
          <w:tab w:val="left" w:pos="1056"/>
        </w:tabs>
        <w:spacing w:line="240" w:lineRule="auto"/>
        <w:jc w:val="both"/>
        <w:rPr>
          <w:rFonts w:cs="Times New Roman"/>
          <w:szCs w:val="24"/>
        </w:rPr>
      </w:pPr>
    </w:p>
    <w:p w14:paraId="71894099" w14:textId="77777777" w:rsidR="00751EE1" w:rsidRPr="00A5496C" w:rsidRDefault="00751EE1" w:rsidP="00751EE1">
      <w:pPr>
        <w:tabs>
          <w:tab w:val="left" w:pos="1056"/>
        </w:tabs>
        <w:spacing w:line="240" w:lineRule="auto"/>
        <w:jc w:val="both"/>
        <w:rPr>
          <w:rFonts w:cs="Times New Roman"/>
          <w:szCs w:val="24"/>
        </w:rPr>
      </w:pPr>
      <w:r w:rsidRPr="00A5496C">
        <w:rPr>
          <w:rFonts w:cs="Times New Roman"/>
          <w:szCs w:val="24"/>
        </w:rPr>
        <w:t>Un subgrupo de este tipo de inversiones es el denominado Venture Capital, que básicamente se enfoca a nuevas empresas que usualmente están en el campo de la alta tecnología o modelos de negocio innovadores, como compañías de tecnología de información, redes sociales o de biotecnología.</w:t>
      </w:r>
    </w:p>
    <w:p w14:paraId="39801E6D" w14:textId="77777777" w:rsidR="00751EE1" w:rsidRPr="00A5496C" w:rsidRDefault="00751EE1" w:rsidP="00751EE1">
      <w:pPr>
        <w:tabs>
          <w:tab w:val="left" w:pos="1056"/>
        </w:tabs>
        <w:spacing w:line="240" w:lineRule="auto"/>
        <w:jc w:val="both"/>
        <w:rPr>
          <w:rFonts w:cs="Times New Roman"/>
          <w:szCs w:val="24"/>
        </w:rPr>
      </w:pPr>
    </w:p>
    <w:p w14:paraId="7A8EC2BD" w14:textId="69F5BBED" w:rsidR="00751EE1" w:rsidRPr="00A5496C" w:rsidRDefault="00751EE1" w:rsidP="00751EE1">
      <w:pPr>
        <w:tabs>
          <w:tab w:val="left" w:pos="1056"/>
        </w:tabs>
        <w:spacing w:line="240" w:lineRule="auto"/>
        <w:jc w:val="both"/>
        <w:rPr>
          <w:rFonts w:cs="Times New Roman"/>
          <w:szCs w:val="24"/>
        </w:rPr>
      </w:pPr>
      <w:r w:rsidRPr="00A5496C">
        <w:rPr>
          <w:rFonts w:cs="Times New Roman"/>
          <w:szCs w:val="24"/>
        </w:rPr>
        <w:t xml:space="preserve">Invertir en capital privado da a los inversionistas un universo más amplio de empresas que las que cotizan en las bolsas públicas. </w:t>
      </w:r>
      <w:r w:rsidR="00A52B58">
        <w:rPr>
          <w:rFonts w:cs="Times New Roman"/>
          <w:szCs w:val="24"/>
        </w:rPr>
        <w:t>Permite</w:t>
      </w:r>
      <w:r w:rsidRPr="00A5496C">
        <w:rPr>
          <w:rFonts w:cs="Times New Roman"/>
          <w:szCs w:val="24"/>
        </w:rPr>
        <w:t xml:space="preserve"> acceder a muchas empresas en etapas tempranas y orientadas al crecimiento a través del capital privado.</w:t>
      </w:r>
      <w:r w:rsidR="00E644D5">
        <w:rPr>
          <w:rFonts w:cs="Times New Roman"/>
          <w:szCs w:val="24"/>
        </w:rPr>
        <w:t xml:space="preserve">  </w:t>
      </w:r>
      <w:r w:rsidRPr="00A5496C">
        <w:rPr>
          <w:rFonts w:cs="Times New Roman"/>
          <w:szCs w:val="24"/>
        </w:rPr>
        <w:t>Las firmas o fondos de capital de riesgo invierten en estas compañías en fase inicial a cambio de la participación en sus acciones, esto con la esperanza de que sean exitosas.</w:t>
      </w:r>
    </w:p>
    <w:p w14:paraId="14F5C271" w14:textId="77777777" w:rsidR="00751EE1" w:rsidRPr="00A5496C" w:rsidRDefault="00751EE1" w:rsidP="00751EE1">
      <w:pPr>
        <w:tabs>
          <w:tab w:val="left" w:pos="1056"/>
        </w:tabs>
        <w:spacing w:line="240" w:lineRule="auto"/>
        <w:jc w:val="both"/>
        <w:rPr>
          <w:rFonts w:cs="Times New Roman"/>
          <w:szCs w:val="24"/>
        </w:rPr>
      </w:pPr>
    </w:p>
    <w:p w14:paraId="6785DCAF" w14:textId="77777777" w:rsidR="00EF4B4B" w:rsidRDefault="00EF4B4B" w:rsidP="00751EE1">
      <w:pPr>
        <w:tabs>
          <w:tab w:val="left" w:pos="1056"/>
        </w:tabs>
        <w:spacing w:line="240" w:lineRule="auto"/>
        <w:jc w:val="both"/>
        <w:rPr>
          <w:rFonts w:cs="Times New Roman"/>
          <w:szCs w:val="24"/>
        </w:rPr>
      </w:pPr>
    </w:p>
    <w:p w14:paraId="56C72F28" w14:textId="77777777" w:rsidR="00EF4B4B" w:rsidRDefault="00EF4B4B" w:rsidP="00751EE1">
      <w:pPr>
        <w:tabs>
          <w:tab w:val="left" w:pos="1056"/>
        </w:tabs>
        <w:spacing w:line="240" w:lineRule="auto"/>
        <w:jc w:val="both"/>
        <w:rPr>
          <w:rFonts w:cs="Times New Roman"/>
          <w:szCs w:val="24"/>
        </w:rPr>
      </w:pPr>
    </w:p>
    <w:p w14:paraId="33313747" w14:textId="5D0653BC" w:rsidR="00751EE1" w:rsidRPr="00A5496C" w:rsidRDefault="00751EE1" w:rsidP="00751EE1">
      <w:pPr>
        <w:tabs>
          <w:tab w:val="left" w:pos="1056"/>
        </w:tabs>
        <w:spacing w:line="240" w:lineRule="auto"/>
        <w:jc w:val="both"/>
        <w:rPr>
          <w:rFonts w:cs="Times New Roman"/>
          <w:szCs w:val="24"/>
        </w:rPr>
      </w:pPr>
      <w:r w:rsidRPr="00A5496C">
        <w:rPr>
          <w:rFonts w:cs="Times New Roman"/>
          <w:szCs w:val="24"/>
        </w:rPr>
        <w:t>Las inversiones de capital privado pueden proporcionar rendimientos atractivos que tienen una baja correlación con los principales mercados bursátiles.</w:t>
      </w:r>
    </w:p>
    <w:p w14:paraId="02226A8D" w14:textId="77777777" w:rsidR="00751EE1" w:rsidRPr="00A5496C" w:rsidRDefault="00751EE1" w:rsidP="00751EE1">
      <w:pPr>
        <w:tabs>
          <w:tab w:val="left" w:pos="1056"/>
        </w:tabs>
        <w:spacing w:line="240" w:lineRule="auto"/>
        <w:jc w:val="both"/>
        <w:rPr>
          <w:rFonts w:cs="Times New Roman"/>
          <w:szCs w:val="24"/>
        </w:rPr>
      </w:pPr>
    </w:p>
    <w:p w14:paraId="7D5E48D5" w14:textId="74496D01" w:rsidR="00751EE1" w:rsidRDefault="00751EE1" w:rsidP="00751EE1">
      <w:pPr>
        <w:tabs>
          <w:tab w:val="left" w:pos="1056"/>
        </w:tabs>
        <w:spacing w:line="240" w:lineRule="auto"/>
        <w:jc w:val="both"/>
        <w:rPr>
          <w:rFonts w:cs="Times New Roman"/>
          <w:szCs w:val="24"/>
        </w:rPr>
      </w:pPr>
      <w:r w:rsidRPr="00A5496C">
        <w:rPr>
          <w:rFonts w:cs="Times New Roman"/>
          <w:szCs w:val="24"/>
        </w:rPr>
        <w:t>Los beneficios potenciales de la inversión en capital privado incluyen</w:t>
      </w:r>
      <w:r w:rsidRPr="00A5496C">
        <w:rPr>
          <w:rStyle w:val="Refdenotaalpie"/>
          <w:rFonts w:cs="Times New Roman"/>
          <w:szCs w:val="24"/>
        </w:rPr>
        <w:footnoteReference w:id="1"/>
      </w:r>
      <w:r w:rsidRPr="00A5496C">
        <w:rPr>
          <w:rFonts w:cs="Times New Roman"/>
          <w:szCs w:val="24"/>
        </w:rPr>
        <w:t>:</w:t>
      </w:r>
    </w:p>
    <w:p w14:paraId="3FE7B48D" w14:textId="77777777" w:rsidR="00751EE1" w:rsidRPr="00A5496C" w:rsidRDefault="00751EE1" w:rsidP="00751EE1">
      <w:pPr>
        <w:tabs>
          <w:tab w:val="left" w:pos="1056"/>
        </w:tabs>
        <w:spacing w:line="240" w:lineRule="auto"/>
        <w:jc w:val="both"/>
        <w:rPr>
          <w:rFonts w:cs="Times New Roman"/>
          <w:szCs w:val="24"/>
        </w:rPr>
      </w:pPr>
    </w:p>
    <w:p w14:paraId="251D1AA1" w14:textId="77777777" w:rsidR="00751EE1" w:rsidRPr="00A5496C" w:rsidRDefault="00751EE1" w:rsidP="00751EE1">
      <w:pPr>
        <w:pStyle w:val="Prrafodelista"/>
        <w:numPr>
          <w:ilvl w:val="0"/>
          <w:numId w:val="5"/>
        </w:numPr>
        <w:tabs>
          <w:tab w:val="left" w:pos="1056"/>
        </w:tabs>
        <w:spacing w:line="240" w:lineRule="auto"/>
        <w:jc w:val="both"/>
        <w:rPr>
          <w:rFonts w:cs="Times New Roman"/>
          <w:szCs w:val="24"/>
        </w:rPr>
      </w:pPr>
      <w:r w:rsidRPr="00A5496C">
        <w:rPr>
          <w:rFonts w:cs="Times New Roman"/>
          <w:szCs w:val="24"/>
        </w:rPr>
        <w:t>La propiedad privada permite una mayor influencia en la gestión y la dirección estratégica de una empresa para garantizar que se cumplan los objetivos de los inversores.</w:t>
      </w:r>
    </w:p>
    <w:p w14:paraId="689357A5" w14:textId="77777777" w:rsidR="00751EE1" w:rsidRPr="00A5496C" w:rsidRDefault="00751EE1" w:rsidP="00751EE1">
      <w:pPr>
        <w:pStyle w:val="Prrafodelista"/>
        <w:numPr>
          <w:ilvl w:val="0"/>
          <w:numId w:val="5"/>
        </w:numPr>
        <w:tabs>
          <w:tab w:val="left" w:pos="1056"/>
        </w:tabs>
        <w:spacing w:line="240" w:lineRule="auto"/>
        <w:jc w:val="both"/>
        <w:rPr>
          <w:rFonts w:cs="Times New Roman"/>
          <w:szCs w:val="24"/>
        </w:rPr>
      </w:pPr>
      <w:r w:rsidRPr="00A5496C">
        <w:rPr>
          <w:rFonts w:cs="Times New Roman"/>
          <w:szCs w:val="24"/>
        </w:rPr>
        <w:t>La naturaleza a largo plazo de la inversión ayuda a garantizar una mejor alineación de los intereses entre los inversores y la gestión, lo que resulta en mejores resultados.</w:t>
      </w:r>
    </w:p>
    <w:p w14:paraId="779647E1" w14:textId="77777777" w:rsidR="00751EE1" w:rsidRPr="00A5496C" w:rsidRDefault="00751EE1" w:rsidP="00751EE1">
      <w:pPr>
        <w:pStyle w:val="Prrafodelista"/>
        <w:numPr>
          <w:ilvl w:val="0"/>
          <w:numId w:val="5"/>
        </w:numPr>
        <w:tabs>
          <w:tab w:val="left" w:pos="1056"/>
        </w:tabs>
        <w:spacing w:line="240" w:lineRule="auto"/>
        <w:jc w:val="both"/>
        <w:rPr>
          <w:rFonts w:cs="Times New Roman"/>
          <w:szCs w:val="24"/>
        </w:rPr>
      </w:pPr>
      <w:r w:rsidRPr="00A5496C">
        <w:rPr>
          <w:rFonts w:cs="Times New Roman"/>
          <w:szCs w:val="24"/>
        </w:rPr>
        <w:t>Potencial para obtener mejores rendimientos de inversión a largo plazo a cambio de invertir en activos menos líquidos.</w:t>
      </w:r>
    </w:p>
    <w:p w14:paraId="5B507501" w14:textId="77777777" w:rsidR="00751EE1" w:rsidRPr="00A5496C" w:rsidRDefault="00751EE1" w:rsidP="00751EE1">
      <w:pPr>
        <w:pStyle w:val="Prrafodelista"/>
        <w:tabs>
          <w:tab w:val="left" w:pos="1056"/>
        </w:tabs>
        <w:spacing w:line="240" w:lineRule="auto"/>
        <w:jc w:val="both"/>
        <w:rPr>
          <w:rFonts w:cs="Times New Roman"/>
          <w:szCs w:val="24"/>
        </w:rPr>
      </w:pPr>
    </w:p>
    <w:p w14:paraId="38A5815A" w14:textId="39FBD93C" w:rsidR="00751EE1" w:rsidRDefault="00751EE1" w:rsidP="00751EE1">
      <w:pPr>
        <w:tabs>
          <w:tab w:val="left" w:pos="1056"/>
        </w:tabs>
        <w:spacing w:line="240" w:lineRule="auto"/>
        <w:jc w:val="both"/>
        <w:rPr>
          <w:rFonts w:cs="Times New Roman"/>
          <w:szCs w:val="24"/>
        </w:rPr>
      </w:pPr>
      <w:r w:rsidRPr="00A5496C">
        <w:rPr>
          <w:rFonts w:cs="Times New Roman"/>
          <w:szCs w:val="24"/>
        </w:rPr>
        <w:t xml:space="preserve">En relación con </w:t>
      </w:r>
      <w:r w:rsidR="002F7720">
        <w:rPr>
          <w:rFonts w:cs="Times New Roman"/>
          <w:szCs w:val="24"/>
        </w:rPr>
        <w:t>estos fondos</w:t>
      </w:r>
      <w:r w:rsidRPr="00A5496C">
        <w:rPr>
          <w:rFonts w:cs="Times New Roman"/>
          <w:szCs w:val="24"/>
        </w:rPr>
        <w:t xml:space="preserve"> es necesario advertir </w:t>
      </w:r>
      <w:r w:rsidR="00B8642D">
        <w:rPr>
          <w:rFonts w:cs="Times New Roman"/>
          <w:szCs w:val="24"/>
        </w:rPr>
        <w:t>lo siguiente</w:t>
      </w:r>
      <w:r w:rsidRPr="00A5496C">
        <w:rPr>
          <w:rFonts w:cs="Times New Roman"/>
          <w:szCs w:val="24"/>
        </w:rPr>
        <w:t xml:space="preserve">: </w:t>
      </w:r>
    </w:p>
    <w:p w14:paraId="4060394E" w14:textId="77777777" w:rsidR="00751EE1" w:rsidRPr="00A5496C" w:rsidRDefault="00751EE1" w:rsidP="00751EE1">
      <w:pPr>
        <w:tabs>
          <w:tab w:val="left" w:pos="1056"/>
        </w:tabs>
        <w:spacing w:line="240" w:lineRule="auto"/>
        <w:jc w:val="both"/>
        <w:rPr>
          <w:rFonts w:cs="Times New Roman"/>
          <w:szCs w:val="24"/>
        </w:rPr>
      </w:pPr>
    </w:p>
    <w:p w14:paraId="4683367C" w14:textId="77777777" w:rsidR="00751EE1" w:rsidRPr="00A5496C" w:rsidRDefault="00751EE1" w:rsidP="00751EE1">
      <w:pPr>
        <w:pStyle w:val="Prrafodelista"/>
        <w:numPr>
          <w:ilvl w:val="0"/>
          <w:numId w:val="6"/>
        </w:numPr>
        <w:tabs>
          <w:tab w:val="left" w:pos="1056"/>
        </w:tabs>
        <w:spacing w:line="240" w:lineRule="auto"/>
        <w:jc w:val="both"/>
        <w:rPr>
          <w:rFonts w:cs="Times New Roman"/>
          <w:szCs w:val="24"/>
        </w:rPr>
      </w:pPr>
      <w:r w:rsidRPr="00A5496C">
        <w:rPr>
          <w:rFonts w:cs="Times New Roman"/>
          <w:szCs w:val="24"/>
        </w:rPr>
        <w:t>El rendimiento pasado no es una guía para el rendimiento futuro y no se puede repetir.</w:t>
      </w:r>
    </w:p>
    <w:p w14:paraId="32CE0206" w14:textId="77777777" w:rsidR="00751EE1" w:rsidRPr="00A5496C" w:rsidRDefault="00751EE1" w:rsidP="00751EE1">
      <w:pPr>
        <w:pStyle w:val="Prrafodelista"/>
        <w:numPr>
          <w:ilvl w:val="0"/>
          <w:numId w:val="6"/>
        </w:numPr>
        <w:tabs>
          <w:tab w:val="left" w:pos="1056"/>
        </w:tabs>
        <w:spacing w:line="240" w:lineRule="auto"/>
        <w:jc w:val="both"/>
        <w:rPr>
          <w:rFonts w:cs="Times New Roman"/>
          <w:szCs w:val="24"/>
        </w:rPr>
      </w:pPr>
      <w:r w:rsidRPr="00A5496C">
        <w:rPr>
          <w:rFonts w:cs="Times New Roman"/>
          <w:szCs w:val="24"/>
        </w:rPr>
        <w:t>El valor de las inversiones y los ingresos de estas pueden bajar, así como subir, y los inversores pueden no recuperar los importes invertidos originalmente. Se deben considerar los riesgos cambiarios.</w:t>
      </w:r>
    </w:p>
    <w:p w14:paraId="243064E4" w14:textId="0E9FE77E" w:rsidR="00751EE1" w:rsidRPr="00A5496C" w:rsidRDefault="00751EE1" w:rsidP="00751EE1">
      <w:pPr>
        <w:pStyle w:val="Prrafodelista"/>
        <w:numPr>
          <w:ilvl w:val="0"/>
          <w:numId w:val="6"/>
        </w:numPr>
        <w:tabs>
          <w:tab w:val="left" w:pos="1056"/>
        </w:tabs>
        <w:spacing w:line="240" w:lineRule="auto"/>
        <w:jc w:val="both"/>
        <w:rPr>
          <w:rFonts w:cs="Times New Roman"/>
          <w:szCs w:val="24"/>
        </w:rPr>
      </w:pPr>
      <w:r w:rsidRPr="00A5496C">
        <w:rPr>
          <w:rFonts w:cs="Times New Roman"/>
          <w:szCs w:val="24"/>
        </w:rPr>
        <w:t xml:space="preserve">Los fondos de capital de riesgo pueden ser más volátiles que las acciones y los bonos, y puede ser más difícil cobrar la inversión a corto plazo. Los </w:t>
      </w:r>
      <w:r w:rsidR="00D85848">
        <w:rPr>
          <w:rFonts w:cs="Times New Roman"/>
          <w:szCs w:val="24"/>
        </w:rPr>
        <w:t>a</w:t>
      </w:r>
      <w:r w:rsidR="00D85848" w:rsidRPr="00A5496C">
        <w:rPr>
          <w:rFonts w:cs="Times New Roman"/>
          <w:szCs w:val="24"/>
        </w:rPr>
        <w:t xml:space="preserve">ctivos </w:t>
      </w:r>
      <w:r w:rsidR="00D85848">
        <w:rPr>
          <w:rFonts w:cs="Times New Roman"/>
          <w:szCs w:val="24"/>
        </w:rPr>
        <w:t>p</w:t>
      </w:r>
      <w:r w:rsidR="00D85848" w:rsidRPr="00A5496C">
        <w:rPr>
          <w:rFonts w:cs="Times New Roman"/>
          <w:szCs w:val="24"/>
        </w:rPr>
        <w:t xml:space="preserve">rivados </w:t>
      </w:r>
      <w:r w:rsidRPr="00A5496C">
        <w:rPr>
          <w:rFonts w:cs="Times New Roman"/>
          <w:szCs w:val="24"/>
        </w:rPr>
        <w:t xml:space="preserve">ofrecen menos liquidez que los valores cotizados en bolsa. </w:t>
      </w:r>
    </w:p>
    <w:p w14:paraId="332466A2" w14:textId="77777777" w:rsidR="00751EE1" w:rsidRPr="00A5496C" w:rsidRDefault="00751EE1" w:rsidP="00751EE1">
      <w:pPr>
        <w:tabs>
          <w:tab w:val="left" w:pos="1056"/>
        </w:tabs>
        <w:spacing w:line="240" w:lineRule="auto"/>
        <w:jc w:val="both"/>
        <w:rPr>
          <w:rFonts w:cs="Times New Roman"/>
          <w:szCs w:val="24"/>
        </w:rPr>
      </w:pPr>
    </w:p>
    <w:p w14:paraId="16822C98" w14:textId="77777777" w:rsidR="00751EE1" w:rsidRPr="00A5496C" w:rsidRDefault="00751EE1" w:rsidP="00751EE1">
      <w:pPr>
        <w:pStyle w:val="Prrafodelista"/>
        <w:numPr>
          <w:ilvl w:val="0"/>
          <w:numId w:val="14"/>
        </w:numPr>
        <w:spacing w:after="200" w:line="276" w:lineRule="auto"/>
        <w:rPr>
          <w:rFonts w:cs="Times New Roman"/>
          <w:szCs w:val="24"/>
        </w:rPr>
      </w:pPr>
      <w:r w:rsidRPr="00A5496C">
        <w:rPr>
          <w:rFonts w:cs="Times New Roman"/>
          <w:szCs w:val="24"/>
        </w:rPr>
        <w:t>Fondos de deuda privada (Private Debt Funds)</w:t>
      </w:r>
    </w:p>
    <w:p w14:paraId="1AF59199" w14:textId="77777777" w:rsidR="00751EE1" w:rsidRPr="00A5496C" w:rsidRDefault="00751EE1" w:rsidP="00751EE1">
      <w:pPr>
        <w:spacing w:line="240" w:lineRule="auto"/>
        <w:jc w:val="both"/>
        <w:rPr>
          <w:rFonts w:cs="Times New Roman"/>
          <w:szCs w:val="24"/>
        </w:rPr>
      </w:pPr>
      <w:r w:rsidRPr="00A5496C">
        <w:rPr>
          <w:rFonts w:cs="Times New Roman"/>
          <w:szCs w:val="24"/>
        </w:rPr>
        <w:t>Un fondo de deuda privada se especializa en la actividad crediticia, recauda dinero de inversores y presta ese dinero a empresas. Representa una alternativa a los préstamos bancarios y ofrece a los inversores exposición a los rendimientos más similares a los de los bonos que se obtienen de la deuda privada como clase de activo.</w:t>
      </w:r>
    </w:p>
    <w:p w14:paraId="59DF4DE8" w14:textId="77777777" w:rsidR="00751EE1" w:rsidRPr="00A5496C" w:rsidRDefault="00751EE1" w:rsidP="00751EE1">
      <w:pPr>
        <w:spacing w:line="240" w:lineRule="auto"/>
        <w:jc w:val="both"/>
        <w:rPr>
          <w:rFonts w:cs="Times New Roman"/>
          <w:szCs w:val="24"/>
        </w:rPr>
      </w:pPr>
    </w:p>
    <w:p w14:paraId="66BCA761" w14:textId="13A0EB56" w:rsidR="00751EE1" w:rsidRPr="00A5496C" w:rsidRDefault="00751EE1" w:rsidP="00751EE1">
      <w:pPr>
        <w:spacing w:line="240" w:lineRule="auto"/>
        <w:jc w:val="both"/>
        <w:rPr>
          <w:rFonts w:cs="Times New Roman"/>
          <w:szCs w:val="24"/>
        </w:rPr>
      </w:pPr>
      <w:r w:rsidRPr="00A5496C">
        <w:rPr>
          <w:rFonts w:cs="Times New Roman"/>
          <w:szCs w:val="24"/>
        </w:rPr>
        <w:t>Un fondo de deuda privada no invierte en acciones</w:t>
      </w:r>
      <w:r w:rsidR="00BA715B">
        <w:rPr>
          <w:rFonts w:cs="Times New Roman"/>
          <w:szCs w:val="24"/>
        </w:rPr>
        <w:t>, e</w:t>
      </w:r>
      <w:r w:rsidRPr="00A5496C">
        <w:rPr>
          <w:rFonts w:cs="Times New Roman"/>
          <w:szCs w:val="24"/>
        </w:rPr>
        <w:t>n cambio, proporciona y gestiona una cartera de préstamos que pueden ser de varios tamaños. Un fondo de deuda privada cuenta con equipos que tienen una sólida formación en banca comercial y un conocimiento experto del mercado amplio.</w:t>
      </w:r>
    </w:p>
    <w:p w14:paraId="6E6E15DE" w14:textId="77777777" w:rsidR="00751EE1" w:rsidRPr="00A5496C" w:rsidRDefault="00751EE1" w:rsidP="00751EE1">
      <w:pPr>
        <w:spacing w:line="240" w:lineRule="auto"/>
        <w:rPr>
          <w:rFonts w:cs="Times New Roman"/>
          <w:szCs w:val="24"/>
        </w:rPr>
      </w:pPr>
    </w:p>
    <w:p w14:paraId="24937133" w14:textId="77777777" w:rsidR="00EF4B4B" w:rsidRDefault="00EF4B4B" w:rsidP="00751EE1">
      <w:pPr>
        <w:spacing w:line="240" w:lineRule="auto"/>
        <w:jc w:val="both"/>
        <w:rPr>
          <w:rFonts w:cs="Times New Roman"/>
          <w:szCs w:val="24"/>
        </w:rPr>
      </w:pPr>
    </w:p>
    <w:p w14:paraId="2D46E45F" w14:textId="77777777" w:rsidR="00EF4B4B" w:rsidRDefault="00EF4B4B" w:rsidP="00751EE1">
      <w:pPr>
        <w:spacing w:line="240" w:lineRule="auto"/>
        <w:jc w:val="both"/>
        <w:rPr>
          <w:rFonts w:cs="Times New Roman"/>
          <w:szCs w:val="24"/>
        </w:rPr>
      </w:pPr>
    </w:p>
    <w:p w14:paraId="7A22C3BE" w14:textId="77777777" w:rsidR="00EF4B4B" w:rsidRDefault="00EF4B4B" w:rsidP="00751EE1">
      <w:pPr>
        <w:spacing w:line="240" w:lineRule="auto"/>
        <w:jc w:val="both"/>
        <w:rPr>
          <w:rFonts w:cs="Times New Roman"/>
          <w:szCs w:val="24"/>
        </w:rPr>
      </w:pPr>
    </w:p>
    <w:p w14:paraId="66F302F5" w14:textId="77777777" w:rsidR="00EF4B4B" w:rsidRDefault="00EF4B4B" w:rsidP="00751EE1">
      <w:pPr>
        <w:spacing w:line="240" w:lineRule="auto"/>
        <w:jc w:val="both"/>
        <w:rPr>
          <w:rFonts w:cs="Times New Roman"/>
          <w:szCs w:val="24"/>
        </w:rPr>
      </w:pPr>
    </w:p>
    <w:p w14:paraId="1049D97E" w14:textId="38A32C9B" w:rsidR="00751EE1" w:rsidRPr="00A5496C" w:rsidRDefault="00751EE1" w:rsidP="00751EE1">
      <w:pPr>
        <w:spacing w:line="240" w:lineRule="auto"/>
        <w:jc w:val="both"/>
        <w:rPr>
          <w:rFonts w:cs="Times New Roman"/>
          <w:szCs w:val="24"/>
        </w:rPr>
      </w:pPr>
      <w:r w:rsidRPr="00A5496C">
        <w:rPr>
          <w:rFonts w:cs="Times New Roman"/>
          <w:szCs w:val="24"/>
        </w:rPr>
        <w:t xml:space="preserve">La deuda privada incluye cualquier deuda mantenida o extendida a empresas privadas. Se da de muchas formas, pero las más comunes involucran instituciones no bancarias que otorgan préstamos a empresas privadas o compran esos préstamos en el mercado secundario. </w:t>
      </w:r>
    </w:p>
    <w:p w14:paraId="7C29635A" w14:textId="77777777" w:rsidR="00751EE1" w:rsidRPr="00A5496C" w:rsidRDefault="00751EE1" w:rsidP="00751EE1">
      <w:pPr>
        <w:spacing w:line="240" w:lineRule="auto"/>
        <w:jc w:val="both"/>
        <w:rPr>
          <w:rFonts w:cs="Times New Roman"/>
          <w:szCs w:val="24"/>
        </w:rPr>
      </w:pPr>
    </w:p>
    <w:p w14:paraId="5AD576D2" w14:textId="2E113B6B" w:rsidR="00751EE1" w:rsidRPr="00A5496C" w:rsidRDefault="00751EE1" w:rsidP="00751EE1">
      <w:pPr>
        <w:spacing w:line="240" w:lineRule="auto"/>
        <w:jc w:val="both"/>
        <w:rPr>
          <w:rFonts w:cs="Times New Roman"/>
          <w:szCs w:val="24"/>
        </w:rPr>
      </w:pPr>
      <w:r w:rsidRPr="00A5496C">
        <w:rPr>
          <w:rFonts w:cs="Times New Roman"/>
          <w:szCs w:val="24"/>
        </w:rPr>
        <w:t>Incluyen préstamos directos, deudas en dificultades, bienes raíces, infraestructura y fondos para situaciones especiales, entre otros. Además</w:t>
      </w:r>
      <w:r w:rsidR="00B638B6">
        <w:rPr>
          <w:rFonts w:cs="Times New Roman"/>
          <w:szCs w:val="24"/>
        </w:rPr>
        <w:t>,</w:t>
      </w:r>
      <w:r w:rsidRPr="00A5496C">
        <w:rPr>
          <w:rFonts w:cs="Times New Roman"/>
          <w:szCs w:val="24"/>
        </w:rPr>
        <w:t xml:space="preserve"> de devolver la suma total del préstamo en el futuro, la empresa también debe pagar los intereses por el crédito. </w:t>
      </w:r>
    </w:p>
    <w:p w14:paraId="4A3C2B55" w14:textId="77777777" w:rsidR="00751EE1" w:rsidRPr="00A5496C" w:rsidRDefault="00751EE1" w:rsidP="00751EE1">
      <w:pPr>
        <w:spacing w:line="240" w:lineRule="auto"/>
        <w:jc w:val="both"/>
        <w:rPr>
          <w:rFonts w:cs="Times New Roman"/>
          <w:szCs w:val="24"/>
        </w:rPr>
      </w:pPr>
    </w:p>
    <w:p w14:paraId="01573BF1" w14:textId="4BA3849C" w:rsidR="00751EE1" w:rsidRPr="00A5496C" w:rsidRDefault="00751EE1" w:rsidP="00751EE1">
      <w:pPr>
        <w:spacing w:line="240" w:lineRule="auto"/>
        <w:jc w:val="both"/>
        <w:rPr>
          <w:rFonts w:cs="Times New Roman"/>
          <w:szCs w:val="24"/>
        </w:rPr>
      </w:pPr>
      <w:r w:rsidRPr="00A5496C">
        <w:rPr>
          <w:rFonts w:cs="Times New Roman"/>
          <w:szCs w:val="24"/>
        </w:rPr>
        <w:t xml:space="preserve">Los fondos de deuda privada </w:t>
      </w:r>
      <w:r w:rsidR="001472AA">
        <w:rPr>
          <w:rFonts w:cs="Times New Roman"/>
          <w:szCs w:val="24"/>
        </w:rPr>
        <w:t>son muy variados</w:t>
      </w:r>
      <w:r w:rsidR="00B638B6">
        <w:rPr>
          <w:rFonts w:cs="Times New Roman"/>
          <w:szCs w:val="24"/>
        </w:rPr>
        <w:t>, p</w:t>
      </w:r>
      <w:r w:rsidRPr="00A5496C">
        <w:rPr>
          <w:rFonts w:cs="Times New Roman"/>
          <w:szCs w:val="24"/>
        </w:rPr>
        <w:t>or ejemplo, algunos proporcionan capital a prestatarios respaldados por patrocinadores, otros financian proyectos de desarrollo inmobiliario y algunos invierten por completo en la deuda de empresas en dificultades.</w:t>
      </w:r>
    </w:p>
    <w:p w14:paraId="0AA33AC9" w14:textId="77777777" w:rsidR="00751EE1" w:rsidRPr="00A5496C" w:rsidRDefault="00751EE1" w:rsidP="00751EE1">
      <w:pPr>
        <w:spacing w:line="240" w:lineRule="auto"/>
        <w:rPr>
          <w:rFonts w:cs="Times New Roman"/>
          <w:szCs w:val="24"/>
        </w:rPr>
      </w:pPr>
    </w:p>
    <w:p w14:paraId="3312E745" w14:textId="77777777" w:rsidR="00751EE1" w:rsidRPr="00A5496C" w:rsidRDefault="00751EE1" w:rsidP="00751EE1">
      <w:pPr>
        <w:spacing w:line="240" w:lineRule="auto"/>
        <w:jc w:val="both"/>
        <w:rPr>
          <w:rFonts w:cs="Times New Roman"/>
          <w:szCs w:val="24"/>
        </w:rPr>
      </w:pPr>
      <w:r w:rsidRPr="00A5496C">
        <w:rPr>
          <w:rFonts w:cs="Times New Roman"/>
          <w:szCs w:val="24"/>
        </w:rPr>
        <w:t>La deuda privada representa una parte sustancial de los mercados privados: entre el 10% y el 15% de los activos totales administrados. La demanda de fondos de deuda por parte de los inversores va en aumento. Dependiendo de factores como las tasas de interés, las regulaciones y el ciclo comercial, los inversores ven la deuda privada como una forma menos riesgosa de sumergirse en el capital privado o diversificar sus activos.</w:t>
      </w:r>
      <w:r w:rsidRPr="00A5496C">
        <w:rPr>
          <w:rStyle w:val="Refdenotaalpie"/>
          <w:rFonts w:cs="Times New Roman"/>
          <w:szCs w:val="24"/>
        </w:rPr>
        <w:t xml:space="preserve"> </w:t>
      </w:r>
      <w:r w:rsidRPr="00A5496C">
        <w:rPr>
          <w:rStyle w:val="Refdenotaalpie"/>
          <w:rFonts w:cs="Times New Roman"/>
          <w:szCs w:val="24"/>
        </w:rPr>
        <w:footnoteReference w:id="2"/>
      </w:r>
    </w:p>
    <w:p w14:paraId="773F1486" w14:textId="77777777" w:rsidR="00751EE1" w:rsidRPr="00A5496C" w:rsidRDefault="00751EE1" w:rsidP="00751EE1">
      <w:pPr>
        <w:spacing w:line="240" w:lineRule="auto"/>
        <w:jc w:val="both"/>
        <w:rPr>
          <w:rFonts w:cs="Times New Roman"/>
          <w:szCs w:val="24"/>
        </w:rPr>
      </w:pPr>
    </w:p>
    <w:p w14:paraId="2B6702E5" w14:textId="27D75D92" w:rsidR="00266AA5" w:rsidRDefault="000D5D4B" w:rsidP="002C48B7">
      <w:pPr>
        <w:pStyle w:val="Prrafodelista"/>
        <w:numPr>
          <w:ilvl w:val="0"/>
          <w:numId w:val="10"/>
        </w:numPr>
        <w:spacing w:line="240" w:lineRule="auto"/>
        <w:jc w:val="both"/>
        <w:rPr>
          <w:rFonts w:cs="Times New Roman"/>
          <w:b/>
          <w:bCs/>
          <w:szCs w:val="24"/>
        </w:rPr>
      </w:pPr>
      <w:r w:rsidRPr="000D5D4B">
        <w:rPr>
          <w:rFonts w:cs="Times New Roman"/>
          <w:b/>
          <w:bCs/>
          <w:szCs w:val="24"/>
        </w:rPr>
        <w:t>Normativa vigente</w:t>
      </w:r>
      <w:r w:rsidR="00020B78">
        <w:rPr>
          <w:rFonts w:cs="Times New Roman"/>
          <w:b/>
          <w:bCs/>
          <w:szCs w:val="24"/>
        </w:rPr>
        <w:t xml:space="preserve"> que regula la inversión de los fondos de pensiones</w:t>
      </w:r>
    </w:p>
    <w:p w14:paraId="29E6CF01" w14:textId="77777777" w:rsidR="00D55CF6" w:rsidRPr="00761471" w:rsidRDefault="00D55CF6" w:rsidP="002C48B7">
      <w:pPr>
        <w:spacing w:line="240" w:lineRule="auto"/>
        <w:jc w:val="both"/>
        <w:rPr>
          <w:rFonts w:cs="Times New Roman"/>
          <w:b/>
          <w:bCs/>
          <w:szCs w:val="24"/>
        </w:rPr>
      </w:pPr>
    </w:p>
    <w:p w14:paraId="16A01B9A" w14:textId="50EC1A5D" w:rsidR="00D55CF6" w:rsidRPr="00761471" w:rsidRDefault="00FD646E" w:rsidP="002C48B7">
      <w:pPr>
        <w:spacing w:line="240" w:lineRule="auto"/>
        <w:jc w:val="both"/>
        <w:rPr>
          <w:rFonts w:cs="Times New Roman"/>
          <w:szCs w:val="24"/>
        </w:rPr>
      </w:pPr>
      <w:r>
        <w:rPr>
          <w:rFonts w:cs="Times New Roman"/>
          <w:szCs w:val="24"/>
        </w:rPr>
        <w:t>La</w:t>
      </w:r>
      <w:r w:rsidR="00D55CF6" w:rsidRPr="00761471">
        <w:rPr>
          <w:rFonts w:cs="Times New Roman"/>
          <w:szCs w:val="24"/>
        </w:rPr>
        <w:t xml:space="preserve"> Ley de Protección al Trabajador </w:t>
      </w:r>
      <w:r w:rsidR="00613B9D">
        <w:rPr>
          <w:rFonts w:cs="Times New Roman"/>
          <w:szCs w:val="24"/>
        </w:rPr>
        <w:t xml:space="preserve">establece en su artículo </w:t>
      </w:r>
      <w:r>
        <w:rPr>
          <w:rFonts w:cs="Times New Roman"/>
          <w:szCs w:val="24"/>
        </w:rPr>
        <w:t xml:space="preserve">60 </w:t>
      </w:r>
      <w:r w:rsidR="00613B9D">
        <w:rPr>
          <w:rFonts w:cs="Times New Roman"/>
          <w:szCs w:val="24"/>
        </w:rPr>
        <w:t>l</w:t>
      </w:r>
      <w:r w:rsidR="00D55CF6" w:rsidRPr="00761471">
        <w:rPr>
          <w:rFonts w:cs="Times New Roman"/>
          <w:szCs w:val="24"/>
        </w:rPr>
        <w:t xml:space="preserve">os principios rectores de las inversiones bajo los cuales se regirán las entidades autorizadas y reguladas, </w:t>
      </w:r>
      <w:r w:rsidR="00FB738C">
        <w:rPr>
          <w:rFonts w:cs="Times New Roman"/>
          <w:szCs w:val="24"/>
        </w:rPr>
        <w:t xml:space="preserve">ese artículo </w:t>
      </w:r>
      <w:r w:rsidR="00C846CE">
        <w:rPr>
          <w:rFonts w:cs="Times New Roman"/>
          <w:szCs w:val="24"/>
        </w:rPr>
        <w:t xml:space="preserve">dispone </w:t>
      </w:r>
      <w:r w:rsidR="00FB738C">
        <w:rPr>
          <w:rFonts w:cs="Times New Roman"/>
          <w:szCs w:val="24"/>
        </w:rPr>
        <w:t>lo siguiente</w:t>
      </w:r>
      <w:r w:rsidR="00D55CF6" w:rsidRPr="00761471">
        <w:rPr>
          <w:rFonts w:cs="Times New Roman"/>
          <w:szCs w:val="24"/>
        </w:rPr>
        <w:t xml:space="preserve">: </w:t>
      </w:r>
    </w:p>
    <w:p w14:paraId="174FAC4E" w14:textId="77777777" w:rsidR="00DC11AF" w:rsidRPr="00761471" w:rsidRDefault="00DC11AF" w:rsidP="002C48B7">
      <w:pPr>
        <w:spacing w:line="240" w:lineRule="auto"/>
        <w:ind w:firstLine="708"/>
        <w:rPr>
          <w:rFonts w:cs="Times New Roman"/>
          <w:i/>
          <w:iCs/>
          <w:szCs w:val="24"/>
        </w:rPr>
      </w:pPr>
    </w:p>
    <w:p w14:paraId="67B48A38" w14:textId="77777777" w:rsidR="002F4D73" w:rsidRPr="002F4D73" w:rsidRDefault="002F4D73" w:rsidP="006F3FFB">
      <w:pPr>
        <w:spacing w:line="240" w:lineRule="auto"/>
        <w:ind w:left="708"/>
        <w:jc w:val="both"/>
        <w:rPr>
          <w:rFonts w:cs="Times New Roman"/>
          <w:i/>
          <w:iCs/>
          <w:szCs w:val="24"/>
        </w:rPr>
      </w:pPr>
      <w:r w:rsidRPr="002F4D73">
        <w:rPr>
          <w:rFonts w:cs="Times New Roman"/>
          <w:i/>
          <w:iCs/>
          <w:szCs w:val="24"/>
        </w:rPr>
        <w:t>ARTÍCULO 60.- Principios rectores de las inversiones. Las entidades autorizadas y reguladas por la Superintendencia se regirán por los siguientes principios:</w:t>
      </w:r>
    </w:p>
    <w:p w14:paraId="14277504" w14:textId="77777777" w:rsidR="002F4D73" w:rsidRPr="002F4D73" w:rsidRDefault="002F4D73" w:rsidP="006F3FFB">
      <w:pPr>
        <w:spacing w:line="240" w:lineRule="auto"/>
        <w:ind w:left="708" w:firstLine="708"/>
        <w:jc w:val="both"/>
        <w:rPr>
          <w:rFonts w:cs="Times New Roman"/>
          <w:i/>
          <w:iCs/>
          <w:szCs w:val="24"/>
        </w:rPr>
      </w:pPr>
    </w:p>
    <w:p w14:paraId="0DB2ECE4" w14:textId="2EF6016C" w:rsidR="002F4D73" w:rsidRPr="002F4D73" w:rsidRDefault="002F4D73" w:rsidP="006F3FFB">
      <w:pPr>
        <w:spacing w:line="240" w:lineRule="auto"/>
        <w:ind w:left="708"/>
        <w:jc w:val="both"/>
        <w:rPr>
          <w:rFonts w:cs="Times New Roman"/>
          <w:i/>
          <w:iCs/>
          <w:szCs w:val="24"/>
        </w:rPr>
      </w:pPr>
      <w:r w:rsidRPr="002F4D73">
        <w:rPr>
          <w:rFonts w:cs="Times New Roman"/>
          <w:i/>
          <w:iCs/>
          <w:szCs w:val="24"/>
        </w:rPr>
        <w:t>a) Los recursos de los fondos no estarán sujetos a las disposiciones de regulación el Banco Central de Costa Rica.</w:t>
      </w:r>
    </w:p>
    <w:p w14:paraId="24369EA7" w14:textId="77777777" w:rsidR="002F4D73" w:rsidRPr="002F4D73" w:rsidRDefault="002F4D73" w:rsidP="006F3FFB">
      <w:pPr>
        <w:spacing w:line="240" w:lineRule="auto"/>
        <w:ind w:left="708" w:firstLine="708"/>
        <w:jc w:val="both"/>
        <w:rPr>
          <w:rFonts w:cs="Times New Roman"/>
          <w:i/>
          <w:iCs/>
          <w:szCs w:val="24"/>
        </w:rPr>
      </w:pPr>
    </w:p>
    <w:p w14:paraId="495F5AE2" w14:textId="4D501BAF" w:rsidR="002F4D73" w:rsidRPr="00BE2F22" w:rsidRDefault="002F4D73" w:rsidP="006F3FFB">
      <w:pPr>
        <w:spacing w:line="240" w:lineRule="auto"/>
        <w:ind w:left="708"/>
        <w:jc w:val="both"/>
        <w:rPr>
          <w:rFonts w:cs="Times New Roman"/>
          <w:b/>
          <w:bCs/>
          <w:i/>
          <w:iCs/>
          <w:szCs w:val="24"/>
        </w:rPr>
      </w:pPr>
      <w:r w:rsidRPr="00BE2F22">
        <w:rPr>
          <w:rFonts w:cs="Times New Roman"/>
          <w:b/>
          <w:bCs/>
          <w:i/>
          <w:iCs/>
          <w:szCs w:val="24"/>
        </w:rPr>
        <w:t xml:space="preserve">b) Deberán ser invertidos para el provecho de los afiliados, procurando el </w:t>
      </w:r>
      <w:r w:rsidR="006F3FFB" w:rsidRPr="00BE2F22">
        <w:rPr>
          <w:rFonts w:cs="Times New Roman"/>
          <w:b/>
          <w:bCs/>
          <w:i/>
          <w:iCs/>
          <w:szCs w:val="24"/>
        </w:rPr>
        <w:t>e</w:t>
      </w:r>
      <w:r w:rsidRPr="00BE2F22">
        <w:rPr>
          <w:rFonts w:cs="Times New Roman"/>
          <w:b/>
          <w:bCs/>
          <w:i/>
          <w:iCs/>
          <w:szCs w:val="24"/>
        </w:rPr>
        <w:t>quilibrio necesario entre seguridad, rentabilidad y liquidez, de acuerdo con su finalidad y respetando los límites fijados por la ley y las normas reglamentarias que la Superintendencia dicte sobre el particular.</w:t>
      </w:r>
    </w:p>
    <w:p w14:paraId="6A2E75C7" w14:textId="77777777" w:rsidR="002F4D73" w:rsidRPr="00BE2F22" w:rsidRDefault="002F4D73" w:rsidP="006F3FFB">
      <w:pPr>
        <w:spacing w:line="240" w:lineRule="auto"/>
        <w:ind w:left="708" w:firstLine="708"/>
        <w:jc w:val="both"/>
        <w:rPr>
          <w:rFonts w:cs="Times New Roman"/>
          <w:b/>
          <w:bCs/>
          <w:i/>
          <w:iCs/>
          <w:szCs w:val="24"/>
        </w:rPr>
      </w:pPr>
    </w:p>
    <w:p w14:paraId="52961558" w14:textId="77777777" w:rsidR="002F4D73" w:rsidRPr="00BE2F22" w:rsidRDefault="002F4D73" w:rsidP="006F3FFB">
      <w:pPr>
        <w:spacing w:line="240" w:lineRule="auto"/>
        <w:ind w:left="708"/>
        <w:jc w:val="both"/>
        <w:rPr>
          <w:rFonts w:cs="Times New Roman"/>
          <w:b/>
          <w:bCs/>
          <w:i/>
          <w:iCs/>
          <w:szCs w:val="24"/>
        </w:rPr>
      </w:pPr>
      <w:r w:rsidRPr="00BE2F22">
        <w:rPr>
          <w:rFonts w:cs="Times New Roman"/>
          <w:b/>
          <w:bCs/>
          <w:i/>
          <w:iCs/>
          <w:szCs w:val="24"/>
        </w:rPr>
        <w:t>c) Los recursos de los fondos solo podrán ser invertidos en valores inscritos en el Registro Nacional de Valores e Intermediarios o en valores emitidos por entidades financieras supervisadas por la Superintendencia General de Entidades Financieras (Sugef).</w:t>
      </w:r>
    </w:p>
    <w:p w14:paraId="62BDAFC0" w14:textId="77777777" w:rsidR="002F4D73" w:rsidRPr="002F4D73" w:rsidRDefault="002F4D73" w:rsidP="006F3FFB">
      <w:pPr>
        <w:spacing w:line="240" w:lineRule="auto"/>
        <w:ind w:left="708" w:firstLine="708"/>
        <w:jc w:val="both"/>
        <w:rPr>
          <w:rFonts w:cs="Times New Roman"/>
          <w:i/>
          <w:iCs/>
          <w:szCs w:val="24"/>
        </w:rPr>
      </w:pPr>
    </w:p>
    <w:p w14:paraId="479CF707" w14:textId="77777777" w:rsidR="002F4D73" w:rsidRPr="002F4D73" w:rsidRDefault="002F4D73" w:rsidP="006F3FFB">
      <w:pPr>
        <w:spacing w:line="240" w:lineRule="auto"/>
        <w:ind w:left="708"/>
        <w:jc w:val="both"/>
        <w:rPr>
          <w:rFonts w:cs="Times New Roman"/>
          <w:i/>
          <w:iCs/>
          <w:szCs w:val="24"/>
        </w:rPr>
      </w:pPr>
      <w:r w:rsidRPr="002F4D73">
        <w:rPr>
          <w:rFonts w:cs="Times New Roman"/>
          <w:i/>
          <w:iCs/>
          <w:szCs w:val="24"/>
        </w:rPr>
        <w:t>La gestión de la liquidez de los fondos administrados podrá realizarse en los mercados organizados por el Banco Central de Costa Rica.</w:t>
      </w:r>
    </w:p>
    <w:p w14:paraId="62725A77" w14:textId="77777777" w:rsidR="002F4D73" w:rsidRPr="002F4D73" w:rsidRDefault="002F4D73" w:rsidP="006F3FFB">
      <w:pPr>
        <w:spacing w:line="240" w:lineRule="auto"/>
        <w:ind w:left="708" w:firstLine="708"/>
        <w:jc w:val="both"/>
        <w:rPr>
          <w:rFonts w:cs="Times New Roman"/>
          <w:i/>
          <w:iCs/>
          <w:szCs w:val="24"/>
        </w:rPr>
      </w:pPr>
    </w:p>
    <w:p w14:paraId="2CF26736" w14:textId="77777777" w:rsidR="002F4D73" w:rsidRPr="002F4D73" w:rsidRDefault="002F4D73" w:rsidP="006F3FFB">
      <w:pPr>
        <w:spacing w:line="240" w:lineRule="auto"/>
        <w:ind w:left="708"/>
        <w:jc w:val="both"/>
        <w:rPr>
          <w:rFonts w:cs="Times New Roman"/>
          <w:i/>
          <w:iCs/>
          <w:szCs w:val="24"/>
        </w:rPr>
      </w:pPr>
      <w:r w:rsidRPr="002F4D73">
        <w:rPr>
          <w:rFonts w:cs="Times New Roman"/>
          <w:i/>
          <w:iCs/>
          <w:szCs w:val="24"/>
        </w:rPr>
        <w:t>d) Deberán estar calificados, conforme a las disposiciones legales vigentes y las regulaciones emitidas por el Consejo Nacional de Supervisión del Sistema Financiero.</w:t>
      </w:r>
    </w:p>
    <w:p w14:paraId="6A6E4321" w14:textId="77777777" w:rsidR="002F4D73" w:rsidRPr="002F4D73" w:rsidRDefault="002F4D73" w:rsidP="006F3FFB">
      <w:pPr>
        <w:spacing w:line="240" w:lineRule="auto"/>
        <w:ind w:left="708" w:firstLine="708"/>
        <w:jc w:val="both"/>
        <w:rPr>
          <w:rFonts w:cs="Times New Roman"/>
          <w:i/>
          <w:iCs/>
          <w:szCs w:val="24"/>
        </w:rPr>
      </w:pPr>
    </w:p>
    <w:p w14:paraId="783D8D59" w14:textId="77777777" w:rsidR="002F4D73" w:rsidRPr="00BE2F22" w:rsidRDefault="002F4D73" w:rsidP="006F3FFB">
      <w:pPr>
        <w:spacing w:line="240" w:lineRule="auto"/>
        <w:ind w:left="708"/>
        <w:jc w:val="both"/>
        <w:rPr>
          <w:rFonts w:cs="Times New Roman"/>
          <w:b/>
          <w:bCs/>
          <w:i/>
          <w:iCs/>
          <w:szCs w:val="24"/>
        </w:rPr>
      </w:pPr>
      <w:r w:rsidRPr="00BE2F22">
        <w:rPr>
          <w:rFonts w:cs="Times New Roman"/>
          <w:b/>
          <w:bCs/>
          <w:i/>
          <w:iCs/>
          <w:szCs w:val="24"/>
        </w:rPr>
        <w:t>e) Deberán negociarse mediante los mercados autorizados con base en la Ley Reguladora del Mercado de Valores o directamente en las entidades financieras debidamente autorizadas.</w:t>
      </w:r>
    </w:p>
    <w:p w14:paraId="6C64827F" w14:textId="77777777" w:rsidR="002F4D73" w:rsidRPr="002F4D73" w:rsidRDefault="002F4D73" w:rsidP="006F3FFB">
      <w:pPr>
        <w:spacing w:line="240" w:lineRule="auto"/>
        <w:ind w:left="708" w:firstLine="708"/>
        <w:jc w:val="both"/>
        <w:rPr>
          <w:rFonts w:cs="Times New Roman"/>
          <w:i/>
          <w:iCs/>
          <w:szCs w:val="24"/>
        </w:rPr>
      </w:pPr>
    </w:p>
    <w:p w14:paraId="6E9CD7C1" w14:textId="77777777" w:rsidR="002F4D73" w:rsidRPr="002F4D73" w:rsidRDefault="002F4D73" w:rsidP="006F3FFB">
      <w:pPr>
        <w:spacing w:line="240" w:lineRule="auto"/>
        <w:ind w:left="708"/>
        <w:jc w:val="both"/>
        <w:rPr>
          <w:rFonts w:cs="Times New Roman"/>
          <w:i/>
          <w:iCs/>
          <w:szCs w:val="24"/>
        </w:rPr>
      </w:pPr>
      <w:r w:rsidRPr="002F4D73">
        <w:rPr>
          <w:rFonts w:cs="Times New Roman"/>
          <w:i/>
          <w:iCs/>
          <w:szCs w:val="24"/>
        </w:rPr>
        <w:t>Los fondos administrados podrán obtener liquidez en los mercados organizados por el Banco Central de Costa Rica.</w:t>
      </w:r>
    </w:p>
    <w:p w14:paraId="38F3BE0E" w14:textId="77777777" w:rsidR="00BE2F22" w:rsidRDefault="00BE2F22" w:rsidP="00E66F32">
      <w:pPr>
        <w:spacing w:line="240" w:lineRule="auto"/>
        <w:ind w:left="708"/>
        <w:rPr>
          <w:rFonts w:cs="Times New Roman"/>
          <w:i/>
          <w:iCs/>
          <w:szCs w:val="24"/>
        </w:rPr>
      </w:pPr>
    </w:p>
    <w:p w14:paraId="627F4D95" w14:textId="089AE299" w:rsidR="002F4D73" w:rsidRPr="002F4D73" w:rsidRDefault="002F4D73" w:rsidP="00BE2F22">
      <w:pPr>
        <w:spacing w:line="240" w:lineRule="auto"/>
        <w:ind w:left="708"/>
        <w:jc w:val="both"/>
        <w:rPr>
          <w:rFonts w:cs="Times New Roman"/>
          <w:i/>
          <w:iCs/>
          <w:szCs w:val="24"/>
        </w:rPr>
      </w:pPr>
      <w:r w:rsidRPr="002F4D73">
        <w:rPr>
          <w:rFonts w:cs="Times New Roman"/>
          <w:i/>
          <w:iCs/>
          <w:szCs w:val="24"/>
        </w:rPr>
        <w:t>f) La Superintendencia deberá procurar que las operadoras, sin menoscabo del principio expuesto en el inciso b) de este artículo, inviertan los recursos de los fondos en instrumentos que permitan a los afiliados participar directamente de las rentas derivadas de la propiedad de los factores de producción. Adicionalmente, la Superintendencia procurará una estructura de cartera orientada a fortalecer el financiamiento de viviendas para la clase trabajadora.</w:t>
      </w:r>
    </w:p>
    <w:p w14:paraId="48D02E3C" w14:textId="77777777" w:rsidR="002F4D73" w:rsidRPr="002F4D73" w:rsidRDefault="002F4D73" w:rsidP="00BE2F22">
      <w:pPr>
        <w:spacing w:line="240" w:lineRule="auto"/>
        <w:ind w:left="708" w:firstLine="708"/>
        <w:jc w:val="both"/>
        <w:rPr>
          <w:rFonts w:cs="Times New Roman"/>
          <w:i/>
          <w:iCs/>
          <w:szCs w:val="24"/>
        </w:rPr>
      </w:pPr>
    </w:p>
    <w:p w14:paraId="0B4C0D58" w14:textId="65DB1F0E" w:rsidR="003314D9" w:rsidRDefault="002F4D73" w:rsidP="00BE2F22">
      <w:pPr>
        <w:spacing w:line="240" w:lineRule="auto"/>
        <w:ind w:left="708"/>
        <w:jc w:val="both"/>
        <w:rPr>
          <w:rFonts w:cs="Times New Roman"/>
          <w:i/>
          <w:iCs/>
          <w:szCs w:val="24"/>
        </w:rPr>
      </w:pPr>
      <w:r w:rsidRPr="002F4D73">
        <w:rPr>
          <w:rFonts w:cs="Times New Roman"/>
          <w:i/>
          <w:iCs/>
          <w:szCs w:val="24"/>
        </w:rPr>
        <w:t>g) La Superintendencia de Pensiones podrá excluir la adquisición de determinados valores, en función de la calificación de riesgo.</w:t>
      </w:r>
      <w:r w:rsidR="00DD3EA8">
        <w:rPr>
          <w:rFonts w:cs="Times New Roman"/>
          <w:i/>
          <w:iCs/>
          <w:szCs w:val="24"/>
        </w:rPr>
        <w:t xml:space="preserve"> </w:t>
      </w:r>
      <w:r w:rsidR="00DD3EA8" w:rsidRPr="00DD3EA8">
        <w:rPr>
          <w:rFonts w:cs="Times New Roman"/>
          <w:szCs w:val="24"/>
        </w:rPr>
        <w:t xml:space="preserve">[Lo resaltado no es del original]. </w:t>
      </w:r>
    </w:p>
    <w:p w14:paraId="67859B4F" w14:textId="2F3242F5" w:rsidR="00D55CF6" w:rsidRPr="00761471" w:rsidRDefault="002F4D73" w:rsidP="002C48B7">
      <w:pPr>
        <w:spacing w:line="240" w:lineRule="auto"/>
        <w:jc w:val="both"/>
        <w:rPr>
          <w:rFonts w:cs="Times New Roman"/>
          <w:i/>
          <w:iCs/>
          <w:szCs w:val="24"/>
        </w:rPr>
      </w:pPr>
      <w:r w:rsidRPr="002F4D73" w:rsidDel="002F4D73">
        <w:rPr>
          <w:rFonts w:cs="Times New Roman"/>
          <w:i/>
          <w:iCs/>
          <w:szCs w:val="24"/>
        </w:rPr>
        <w:t xml:space="preserve"> </w:t>
      </w:r>
    </w:p>
    <w:p w14:paraId="4EFDFC13" w14:textId="09A2D7B1" w:rsidR="004C7C4D" w:rsidRDefault="00981A94" w:rsidP="002C48B7">
      <w:pPr>
        <w:spacing w:line="240" w:lineRule="auto"/>
        <w:jc w:val="both"/>
        <w:rPr>
          <w:rFonts w:cs="Times New Roman"/>
          <w:szCs w:val="24"/>
        </w:rPr>
      </w:pPr>
      <w:r>
        <w:rPr>
          <w:rFonts w:cs="Times New Roman"/>
          <w:szCs w:val="24"/>
        </w:rPr>
        <w:t>E</w:t>
      </w:r>
      <w:r w:rsidR="009D127B">
        <w:rPr>
          <w:rFonts w:cs="Times New Roman"/>
          <w:szCs w:val="24"/>
        </w:rPr>
        <w:t xml:space="preserve">l </w:t>
      </w:r>
      <w:r w:rsidR="00DC11AF" w:rsidRPr="000D5D4B">
        <w:rPr>
          <w:rFonts w:cs="Times New Roman"/>
          <w:i/>
          <w:iCs/>
          <w:szCs w:val="24"/>
        </w:rPr>
        <w:t>Reglamento de Gestión de A</w:t>
      </w:r>
      <w:r w:rsidR="000D5D4B">
        <w:rPr>
          <w:rFonts w:cs="Times New Roman"/>
          <w:i/>
          <w:iCs/>
          <w:szCs w:val="24"/>
        </w:rPr>
        <w:t>ctivos</w:t>
      </w:r>
      <w:r w:rsidR="00DC11AF" w:rsidRPr="00761471">
        <w:rPr>
          <w:rFonts w:cs="Times New Roman"/>
          <w:szCs w:val="24"/>
        </w:rPr>
        <w:t xml:space="preserve"> </w:t>
      </w:r>
      <w:r w:rsidR="000D5D4B">
        <w:rPr>
          <w:rFonts w:cs="Times New Roman"/>
          <w:szCs w:val="24"/>
        </w:rPr>
        <w:t>(RGA)</w:t>
      </w:r>
      <w:r w:rsidR="00FD646E">
        <w:rPr>
          <w:rFonts w:cs="Times New Roman"/>
          <w:szCs w:val="24"/>
        </w:rPr>
        <w:t xml:space="preserve"> en el artículo 3</w:t>
      </w:r>
      <w:r w:rsidR="000D5D4B">
        <w:rPr>
          <w:rFonts w:cs="Times New Roman"/>
          <w:szCs w:val="24"/>
        </w:rPr>
        <w:t xml:space="preserve"> </w:t>
      </w:r>
      <w:r w:rsidR="002C5573">
        <w:rPr>
          <w:rFonts w:cs="Times New Roman"/>
          <w:szCs w:val="24"/>
        </w:rPr>
        <w:t xml:space="preserve">no </w:t>
      </w:r>
      <w:r w:rsidR="00A81397">
        <w:rPr>
          <w:rFonts w:cs="Times New Roman"/>
          <w:szCs w:val="24"/>
        </w:rPr>
        <w:t xml:space="preserve">establece </w:t>
      </w:r>
      <w:r w:rsidR="002C5573">
        <w:rPr>
          <w:rFonts w:cs="Times New Roman"/>
          <w:szCs w:val="24"/>
        </w:rPr>
        <w:t xml:space="preserve">expresamente </w:t>
      </w:r>
      <w:r w:rsidR="00CB6A7C">
        <w:rPr>
          <w:rFonts w:cs="Times New Roman"/>
          <w:szCs w:val="24"/>
        </w:rPr>
        <w:t>l</w:t>
      </w:r>
      <w:r w:rsidR="002C5573">
        <w:rPr>
          <w:rFonts w:cs="Times New Roman"/>
          <w:szCs w:val="24"/>
        </w:rPr>
        <w:t xml:space="preserve">a definición de los </w:t>
      </w:r>
      <w:r>
        <w:rPr>
          <w:rFonts w:cs="Times New Roman"/>
          <w:szCs w:val="24"/>
        </w:rPr>
        <w:t xml:space="preserve">fondos </w:t>
      </w:r>
      <w:r w:rsidR="0078215A">
        <w:rPr>
          <w:rFonts w:cs="Times New Roman"/>
          <w:szCs w:val="24"/>
        </w:rPr>
        <w:t xml:space="preserve">de inversión de capital de </w:t>
      </w:r>
      <w:r w:rsidR="004C7C4D">
        <w:rPr>
          <w:rFonts w:cs="Times New Roman"/>
          <w:szCs w:val="24"/>
        </w:rPr>
        <w:t>riesgo,</w:t>
      </w:r>
      <w:r w:rsidR="0078215A">
        <w:rPr>
          <w:rFonts w:cs="Times New Roman"/>
          <w:szCs w:val="24"/>
        </w:rPr>
        <w:t xml:space="preserve"> </w:t>
      </w:r>
      <w:r w:rsidR="00077394">
        <w:rPr>
          <w:rFonts w:cs="Times New Roman"/>
          <w:szCs w:val="24"/>
        </w:rPr>
        <w:t>pero los contempla</w:t>
      </w:r>
      <w:r w:rsidR="00CB6A7C">
        <w:rPr>
          <w:rFonts w:cs="Times New Roman"/>
          <w:szCs w:val="24"/>
        </w:rPr>
        <w:t xml:space="preserve"> </w:t>
      </w:r>
      <w:r w:rsidR="007B5FDB">
        <w:rPr>
          <w:rFonts w:cs="Times New Roman"/>
          <w:szCs w:val="24"/>
        </w:rPr>
        <w:t>cuando define</w:t>
      </w:r>
      <w:r w:rsidR="00CB6A7C">
        <w:rPr>
          <w:rFonts w:cs="Times New Roman"/>
          <w:szCs w:val="24"/>
        </w:rPr>
        <w:t xml:space="preserve"> </w:t>
      </w:r>
      <w:r w:rsidR="004C7C4D">
        <w:rPr>
          <w:rFonts w:cs="Times New Roman"/>
          <w:szCs w:val="24"/>
        </w:rPr>
        <w:t xml:space="preserve">los </w:t>
      </w:r>
      <w:r w:rsidR="004C7C4D" w:rsidRPr="00E66F32">
        <w:rPr>
          <w:rFonts w:cs="Times New Roman"/>
          <w:i/>
          <w:iCs/>
          <w:szCs w:val="24"/>
        </w:rPr>
        <w:t>fondos de inversión o vehículos de propósito especial</w:t>
      </w:r>
      <w:r w:rsidR="004C7C4D">
        <w:rPr>
          <w:rFonts w:cs="Times New Roman"/>
          <w:szCs w:val="24"/>
        </w:rPr>
        <w:t xml:space="preserve"> </w:t>
      </w:r>
      <w:r w:rsidR="004C7C4D" w:rsidRPr="00E66F32">
        <w:rPr>
          <w:rFonts w:cs="Times New Roman"/>
          <w:i/>
          <w:iCs/>
          <w:szCs w:val="24"/>
        </w:rPr>
        <w:t>que invierten en acciones privadas</w:t>
      </w:r>
      <w:r w:rsidR="00C0607E">
        <w:rPr>
          <w:rFonts w:cs="Times New Roman"/>
          <w:i/>
          <w:iCs/>
          <w:szCs w:val="24"/>
        </w:rPr>
        <w:t xml:space="preserve"> (private equity)</w:t>
      </w:r>
      <w:r w:rsidR="00CB6A7C">
        <w:rPr>
          <w:rFonts w:cs="Times New Roman"/>
          <w:szCs w:val="24"/>
        </w:rPr>
        <w:t>.</w:t>
      </w:r>
    </w:p>
    <w:p w14:paraId="6B7B9BA5" w14:textId="77777777" w:rsidR="004C7C4D" w:rsidRDefault="004C7C4D" w:rsidP="002C48B7">
      <w:pPr>
        <w:spacing w:line="240" w:lineRule="auto"/>
        <w:jc w:val="both"/>
        <w:rPr>
          <w:rFonts w:cs="Times New Roman"/>
          <w:szCs w:val="24"/>
        </w:rPr>
      </w:pPr>
    </w:p>
    <w:p w14:paraId="0BA4224F" w14:textId="22665C11" w:rsidR="00DC11AF" w:rsidRPr="00761471" w:rsidRDefault="00CB6A7C" w:rsidP="002C48B7">
      <w:pPr>
        <w:spacing w:line="240" w:lineRule="auto"/>
        <w:jc w:val="both"/>
      </w:pPr>
      <w:r>
        <w:rPr>
          <w:rFonts w:cs="Times New Roman"/>
          <w:szCs w:val="24"/>
        </w:rPr>
        <w:t>La norma en comentario señala lo siguiente</w:t>
      </w:r>
      <w:r w:rsidR="00DC11AF" w:rsidRPr="00761471">
        <w:rPr>
          <w:rFonts w:cs="Times New Roman"/>
          <w:szCs w:val="24"/>
        </w:rPr>
        <w:t>:</w:t>
      </w:r>
    </w:p>
    <w:p w14:paraId="32C4E6CC" w14:textId="77777777" w:rsidR="00D55CF6" w:rsidRDefault="00D55CF6" w:rsidP="002C48B7">
      <w:pPr>
        <w:spacing w:line="240" w:lineRule="auto"/>
        <w:rPr>
          <w:rFonts w:cs="Times New Roman"/>
          <w:szCs w:val="24"/>
        </w:rPr>
      </w:pPr>
    </w:p>
    <w:p w14:paraId="46D6FF7E" w14:textId="77777777" w:rsidR="00FD646E" w:rsidRDefault="00FD646E" w:rsidP="002C48B7">
      <w:pPr>
        <w:spacing w:line="240" w:lineRule="auto"/>
        <w:ind w:firstLine="708"/>
        <w:rPr>
          <w:rFonts w:cs="Times New Roman"/>
          <w:i/>
          <w:iCs/>
          <w:szCs w:val="24"/>
        </w:rPr>
      </w:pPr>
      <w:r w:rsidRPr="00FD646E">
        <w:rPr>
          <w:rFonts w:cs="Times New Roman"/>
          <w:i/>
          <w:iCs/>
          <w:szCs w:val="24"/>
        </w:rPr>
        <w:t>Artículo 3. Definiciones</w:t>
      </w:r>
    </w:p>
    <w:p w14:paraId="41146761" w14:textId="77777777" w:rsidR="00FD646E" w:rsidRPr="00FD646E" w:rsidRDefault="00FD646E" w:rsidP="002C48B7">
      <w:pPr>
        <w:spacing w:line="240" w:lineRule="auto"/>
        <w:ind w:firstLine="708"/>
        <w:rPr>
          <w:rFonts w:cs="Times New Roman"/>
          <w:i/>
          <w:iCs/>
          <w:szCs w:val="24"/>
        </w:rPr>
      </w:pPr>
    </w:p>
    <w:p w14:paraId="46CECF93" w14:textId="40A6792D" w:rsidR="00FD646E" w:rsidRDefault="00FD646E" w:rsidP="002C48B7">
      <w:pPr>
        <w:spacing w:line="240" w:lineRule="auto"/>
        <w:ind w:firstLine="708"/>
        <w:jc w:val="both"/>
        <w:rPr>
          <w:rFonts w:cs="Times New Roman"/>
          <w:i/>
          <w:iCs/>
          <w:szCs w:val="24"/>
        </w:rPr>
      </w:pPr>
      <w:r w:rsidRPr="00761471">
        <w:rPr>
          <w:rFonts w:cs="Times New Roman"/>
          <w:i/>
          <w:iCs/>
          <w:szCs w:val="24"/>
        </w:rPr>
        <w:t>[…]</w:t>
      </w:r>
    </w:p>
    <w:p w14:paraId="06FE245B" w14:textId="77777777" w:rsidR="00FD646E" w:rsidRDefault="00FD646E" w:rsidP="002C48B7">
      <w:pPr>
        <w:spacing w:line="240" w:lineRule="auto"/>
        <w:jc w:val="both"/>
        <w:rPr>
          <w:rFonts w:cs="Times New Roman"/>
          <w:i/>
          <w:iCs/>
          <w:szCs w:val="24"/>
        </w:rPr>
      </w:pPr>
    </w:p>
    <w:p w14:paraId="5EC56463" w14:textId="77777777" w:rsidR="00D55CF6" w:rsidRPr="00761471" w:rsidRDefault="00D55CF6" w:rsidP="002C48B7">
      <w:pPr>
        <w:spacing w:line="240" w:lineRule="auto"/>
        <w:ind w:left="708"/>
        <w:jc w:val="both"/>
        <w:rPr>
          <w:rFonts w:cs="Times New Roman"/>
          <w:i/>
          <w:iCs/>
          <w:szCs w:val="24"/>
        </w:rPr>
      </w:pPr>
      <w:r w:rsidRPr="00B7590A">
        <w:rPr>
          <w:rFonts w:cs="Times New Roman"/>
          <w:b/>
          <w:bCs/>
          <w:i/>
          <w:iCs/>
          <w:szCs w:val="24"/>
        </w:rPr>
        <w:t xml:space="preserve">Fondos de inversión o vehículos de propósito especial que invierten en acciones privadas (private equity): </w:t>
      </w:r>
      <w:r w:rsidRPr="00B7590A">
        <w:rPr>
          <w:rFonts w:cs="Times New Roman"/>
          <w:i/>
          <w:iCs/>
          <w:szCs w:val="24"/>
        </w:rPr>
        <w:t>Fondos de capital de riesgo que invierten en empresas no listadas o en compañías</w:t>
      </w:r>
      <w:r w:rsidRPr="00761471">
        <w:rPr>
          <w:rFonts w:cs="Times New Roman"/>
          <w:i/>
          <w:iCs/>
          <w:szCs w:val="24"/>
        </w:rPr>
        <w:t xml:space="preserve"> que cotizan para luego desinscribirlas, con el objetivo de hacer ajustes estratégicos para que mejoren su valor.</w:t>
      </w:r>
    </w:p>
    <w:p w14:paraId="55A9260C" w14:textId="77777777" w:rsidR="00FD646E" w:rsidRDefault="00FD646E" w:rsidP="002C48B7">
      <w:pPr>
        <w:spacing w:line="240" w:lineRule="auto"/>
        <w:jc w:val="both"/>
        <w:rPr>
          <w:rFonts w:cs="Times New Roman"/>
          <w:i/>
          <w:iCs/>
          <w:szCs w:val="24"/>
        </w:rPr>
      </w:pPr>
    </w:p>
    <w:p w14:paraId="66842DD5" w14:textId="7DA93058" w:rsidR="005E0C2F" w:rsidRPr="00CB0E7B" w:rsidRDefault="001A314D" w:rsidP="002C48B7">
      <w:pPr>
        <w:spacing w:line="240" w:lineRule="auto"/>
        <w:jc w:val="both"/>
        <w:rPr>
          <w:rFonts w:cs="Times New Roman"/>
          <w:szCs w:val="24"/>
        </w:rPr>
      </w:pPr>
      <w:r>
        <w:rPr>
          <w:szCs w:val="24"/>
        </w:rPr>
        <w:lastRenderedPageBreak/>
        <w:t>Por su parte, e</w:t>
      </w:r>
      <w:r w:rsidR="00765DCC" w:rsidRPr="00CB0E7B">
        <w:rPr>
          <w:szCs w:val="24"/>
        </w:rPr>
        <w:t>l</w:t>
      </w:r>
      <w:r w:rsidR="0019404F" w:rsidRPr="00CB0E7B">
        <w:rPr>
          <w:szCs w:val="24"/>
        </w:rPr>
        <w:t xml:space="preserve"> artículo</w:t>
      </w:r>
      <w:r w:rsidR="0031129F" w:rsidRPr="00CB0E7B">
        <w:rPr>
          <w:szCs w:val="24"/>
        </w:rPr>
        <w:t xml:space="preserve"> 17</w:t>
      </w:r>
      <w:r w:rsidR="005A268C" w:rsidRPr="00CB0E7B">
        <w:rPr>
          <w:szCs w:val="24"/>
        </w:rPr>
        <w:t xml:space="preserve"> del reglamento citado </w:t>
      </w:r>
      <w:r w:rsidR="0019404F" w:rsidRPr="00CB0E7B">
        <w:rPr>
          <w:szCs w:val="24"/>
        </w:rPr>
        <w:t>establece</w:t>
      </w:r>
      <w:r w:rsidR="009F6295" w:rsidRPr="00CB0E7B">
        <w:rPr>
          <w:szCs w:val="24"/>
        </w:rPr>
        <w:t xml:space="preserve"> </w:t>
      </w:r>
      <w:r w:rsidR="00160182" w:rsidRPr="00CB0E7B">
        <w:rPr>
          <w:rFonts w:cs="Times New Roman"/>
          <w:szCs w:val="24"/>
        </w:rPr>
        <w:t xml:space="preserve">los tipos de instrumentos </w:t>
      </w:r>
      <w:r w:rsidR="005E0C2F" w:rsidRPr="00CB0E7B">
        <w:rPr>
          <w:rFonts w:cs="Times New Roman"/>
          <w:szCs w:val="24"/>
        </w:rPr>
        <w:t xml:space="preserve">en </w:t>
      </w:r>
      <w:r w:rsidR="00160182" w:rsidRPr="00CB0E7B">
        <w:rPr>
          <w:rFonts w:cs="Times New Roman"/>
          <w:szCs w:val="24"/>
        </w:rPr>
        <w:t xml:space="preserve">que se pueden invertir </w:t>
      </w:r>
      <w:r w:rsidR="007B5FDB">
        <w:rPr>
          <w:rFonts w:cs="Times New Roman"/>
          <w:szCs w:val="24"/>
        </w:rPr>
        <w:t xml:space="preserve">los </w:t>
      </w:r>
      <w:r w:rsidR="00E21E1B" w:rsidRPr="00CB0E7B">
        <w:rPr>
          <w:rFonts w:cs="Times New Roman"/>
          <w:szCs w:val="24"/>
        </w:rPr>
        <w:t>fondos</w:t>
      </w:r>
      <w:r w:rsidR="009F6295" w:rsidRPr="00CB0E7B">
        <w:rPr>
          <w:rFonts w:cs="Times New Roman"/>
          <w:szCs w:val="24"/>
        </w:rPr>
        <w:t xml:space="preserve"> de pensiones</w:t>
      </w:r>
      <w:r>
        <w:rPr>
          <w:rFonts w:cs="Times New Roman"/>
          <w:szCs w:val="24"/>
        </w:rPr>
        <w:t xml:space="preserve"> y </w:t>
      </w:r>
      <w:r w:rsidR="00153DB4" w:rsidRPr="00CB0E7B">
        <w:rPr>
          <w:rFonts w:cs="Times New Roman"/>
          <w:szCs w:val="24"/>
        </w:rPr>
        <w:t>señala que</w:t>
      </w:r>
      <w:r w:rsidR="008B503E" w:rsidRPr="00CB0E7B">
        <w:rPr>
          <w:rFonts w:cs="Times New Roman"/>
          <w:szCs w:val="24"/>
        </w:rPr>
        <w:t xml:space="preserve"> pueden</w:t>
      </w:r>
      <w:r w:rsidR="00454B74" w:rsidRPr="00CB0E7B">
        <w:rPr>
          <w:rFonts w:cs="Times New Roman"/>
          <w:szCs w:val="24"/>
        </w:rPr>
        <w:t xml:space="preserve"> ser </w:t>
      </w:r>
      <w:r w:rsidR="001F0B9B" w:rsidRPr="00CB0E7B">
        <w:rPr>
          <w:rFonts w:cs="Times New Roman"/>
          <w:szCs w:val="24"/>
        </w:rPr>
        <w:t>locales o internacionales</w:t>
      </w:r>
      <w:r>
        <w:rPr>
          <w:rFonts w:cs="Times New Roman"/>
          <w:szCs w:val="24"/>
        </w:rPr>
        <w:t>; esa norma l</w:t>
      </w:r>
      <w:r w:rsidR="001F0B9B" w:rsidRPr="00CB0E7B">
        <w:rPr>
          <w:rFonts w:cs="Times New Roman"/>
          <w:szCs w:val="24"/>
        </w:rPr>
        <w:t xml:space="preserve">os clasifica en </w:t>
      </w:r>
      <w:r w:rsidR="004273DE" w:rsidRPr="00CB0E7B">
        <w:rPr>
          <w:rFonts w:cs="Times New Roman"/>
          <w:szCs w:val="24"/>
        </w:rPr>
        <w:t xml:space="preserve">tres niveles </w:t>
      </w:r>
      <w:r w:rsidR="00E21E1B" w:rsidRPr="00CB0E7B">
        <w:rPr>
          <w:szCs w:val="24"/>
        </w:rPr>
        <w:t>conforme a sus características, complejidad de operación y sofisticación en su gestión de riesgos.</w:t>
      </w:r>
    </w:p>
    <w:p w14:paraId="062397DE" w14:textId="7FD67EC7" w:rsidR="004273DE" w:rsidRDefault="004273DE" w:rsidP="002C48B7">
      <w:pPr>
        <w:spacing w:line="240" w:lineRule="auto"/>
        <w:jc w:val="both"/>
        <w:rPr>
          <w:rFonts w:cs="Times New Roman"/>
          <w:szCs w:val="24"/>
        </w:rPr>
      </w:pPr>
    </w:p>
    <w:p w14:paraId="0D03F195" w14:textId="515D2D6E" w:rsidR="002E7AAD" w:rsidRDefault="00E21E1B" w:rsidP="002C48B7">
      <w:pPr>
        <w:spacing w:line="240" w:lineRule="auto"/>
        <w:jc w:val="both"/>
      </w:pPr>
      <w:r>
        <w:rPr>
          <w:rFonts w:cs="Times New Roman"/>
          <w:szCs w:val="24"/>
        </w:rPr>
        <w:t>En el inciso c</w:t>
      </w:r>
      <w:r w:rsidR="00F5192E">
        <w:rPr>
          <w:rFonts w:cs="Times New Roman"/>
          <w:szCs w:val="24"/>
        </w:rPr>
        <w:t xml:space="preserve">) </w:t>
      </w:r>
      <w:r w:rsidR="00C86F0C">
        <w:rPr>
          <w:rFonts w:cs="Times New Roman"/>
          <w:szCs w:val="24"/>
        </w:rPr>
        <w:t>de</w:t>
      </w:r>
      <w:r w:rsidR="00CB6A7C">
        <w:rPr>
          <w:rFonts w:cs="Times New Roman"/>
          <w:szCs w:val="24"/>
        </w:rPr>
        <w:t xml:space="preserve"> ese </w:t>
      </w:r>
      <w:r w:rsidR="00C86F0C">
        <w:rPr>
          <w:rFonts w:cs="Times New Roman"/>
          <w:szCs w:val="24"/>
        </w:rPr>
        <w:t xml:space="preserve">artículo </w:t>
      </w:r>
      <w:r w:rsidR="00983505">
        <w:rPr>
          <w:rFonts w:cs="Times New Roman"/>
          <w:szCs w:val="24"/>
        </w:rPr>
        <w:t xml:space="preserve">se establece </w:t>
      </w:r>
      <w:r w:rsidR="000147D3">
        <w:rPr>
          <w:rFonts w:cs="Times New Roman"/>
          <w:szCs w:val="24"/>
        </w:rPr>
        <w:t xml:space="preserve">el nivel </w:t>
      </w:r>
      <w:r w:rsidR="00C12489">
        <w:rPr>
          <w:rFonts w:cs="Times New Roman"/>
          <w:szCs w:val="24"/>
        </w:rPr>
        <w:t>III y</w:t>
      </w:r>
      <w:r w:rsidR="00FB5C59">
        <w:rPr>
          <w:rFonts w:cs="Times New Roman"/>
          <w:szCs w:val="24"/>
        </w:rPr>
        <w:t xml:space="preserve"> </w:t>
      </w:r>
      <w:r>
        <w:rPr>
          <w:rFonts w:cs="Times New Roman"/>
          <w:szCs w:val="24"/>
        </w:rPr>
        <w:t xml:space="preserve">dispone que </w:t>
      </w:r>
      <w:r w:rsidR="008568AC">
        <w:t xml:space="preserve">las inversiones de los fondos pueden realizarse en fondos que invierten en private equity (títulos representativos de propiedad nivel III) y aclara que la entidad regulada debe tener en cuenta el plazo máximo del fondo y los periodos de inversión y desinversión, así como la posibilidad de redenciones anticipadas. </w:t>
      </w:r>
    </w:p>
    <w:p w14:paraId="3D3B06A7" w14:textId="67BB5D2C" w:rsidR="00FA259D" w:rsidRDefault="00FA259D" w:rsidP="002C48B7">
      <w:pPr>
        <w:spacing w:line="240" w:lineRule="auto"/>
        <w:jc w:val="both"/>
      </w:pPr>
    </w:p>
    <w:p w14:paraId="29E6AFA9" w14:textId="10F207B5" w:rsidR="00FA259D" w:rsidRPr="0023504F" w:rsidRDefault="00FA259D" w:rsidP="002C48B7">
      <w:pPr>
        <w:spacing w:line="240" w:lineRule="auto"/>
        <w:jc w:val="both"/>
        <w:rPr>
          <w:rFonts w:cs="Times New Roman"/>
          <w:szCs w:val="24"/>
        </w:rPr>
      </w:pPr>
      <w:r w:rsidRPr="00761471">
        <w:rPr>
          <w:rFonts w:cs="Times New Roman"/>
          <w:szCs w:val="24"/>
        </w:rPr>
        <w:t xml:space="preserve">Además, </w:t>
      </w:r>
      <w:r>
        <w:rPr>
          <w:rFonts w:cs="Times New Roman"/>
          <w:szCs w:val="24"/>
        </w:rPr>
        <w:t xml:space="preserve">se </w:t>
      </w:r>
      <w:r w:rsidRPr="00761471">
        <w:rPr>
          <w:rFonts w:cs="Times New Roman"/>
          <w:szCs w:val="24"/>
        </w:rPr>
        <w:t>indica que</w:t>
      </w:r>
      <w:r>
        <w:rPr>
          <w:rFonts w:cs="Times New Roman"/>
          <w:szCs w:val="24"/>
        </w:rPr>
        <w:t xml:space="preserve"> pa</w:t>
      </w:r>
      <w:r w:rsidRPr="0023504F">
        <w:rPr>
          <w:rFonts w:cs="Times New Roman"/>
          <w:szCs w:val="24"/>
        </w:rPr>
        <w:t xml:space="preserve">ra los fondos que invierten en acciones privadas (private equity), sus participaciones deben ser adquiridas con firmas estructuradoras (conocidas en inglés como </w:t>
      </w:r>
      <w:r w:rsidR="007B5FDB">
        <w:rPr>
          <w:rFonts w:cs="Times New Roman"/>
          <w:szCs w:val="24"/>
        </w:rPr>
        <w:t>g</w:t>
      </w:r>
      <w:r w:rsidR="007B5FDB" w:rsidRPr="0023504F">
        <w:rPr>
          <w:rFonts w:cs="Times New Roman"/>
          <w:szCs w:val="24"/>
        </w:rPr>
        <w:t xml:space="preserve">eneral </w:t>
      </w:r>
      <w:r w:rsidR="007B5FDB">
        <w:rPr>
          <w:rFonts w:cs="Times New Roman"/>
          <w:szCs w:val="24"/>
        </w:rPr>
        <w:t>p</w:t>
      </w:r>
      <w:r w:rsidR="007B5FDB" w:rsidRPr="0023504F">
        <w:rPr>
          <w:rFonts w:cs="Times New Roman"/>
          <w:szCs w:val="24"/>
        </w:rPr>
        <w:t>artner</w:t>
      </w:r>
      <w:r w:rsidRPr="0023504F">
        <w:rPr>
          <w:rFonts w:cs="Times New Roman"/>
          <w:szCs w:val="24"/>
        </w:rPr>
        <w:t>) con al menos diez años de experiencia en el mercado internacional y que tengan un récord de empresas adquiridas exitosamente. Asimismo, podrán invertir en fondos que invierten en acciones privadas (private equity) en el mercado local que cumplan lo establecido en las normas emitidas por el CONASSIF.</w:t>
      </w:r>
    </w:p>
    <w:p w14:paraId="1C840E93" w14:textId="55FE98B9" w:rsidR="002E7AAD" w:rsidRDefault="002E7AAD" w:rsidP="002C48B7">
      <w:pPr>
        <w:spacing w:line="240" w:lineRule="auto"/>
        <w:jc w:val="both"/>
      </w:pPr>
    </w:p>
    <w:p w14:paraId="6EE45571" w14:textId="36E3D82D" w:rsidR="00B62265" w:rsidRDefault="00B62265" w:rsidP="002C48B7">
      <w:pPr>
        <w:spacing w:line="240" w:lineRule="auto"/>
        <w:jc w:val="both"/>
      </w:pPr>
      <w:r>
        <w:t>La norma en comentario señala expresamente:</w:t>
      </w:r>
    </w:p>
    <w:p w14:paraId="5DE903E6" w14:textId="16F78C92" w:rsidR="00B62265" w:rsidRDefault="00B62265" w:rsidP="002C48B7">
      <w:pPr>
        <w:spacing w:line="240" w:lineRule="auto"/>
        <w:jc w:val="both"/>
      </w:pPr>
    </w:p>
    <w:p w14:paraId="7EAAE76E" w14:textId="77777777" w:rsidR="002C3D41" w:rsidRPr="002C3D41" w:rsidRDefault="002C3D41" w:rsidP="002C48B7">
      <w:pPr>
        <w:autoSpaceDE w:val="0"/>
        <w:autoSpaceDN w:val="0"/>
        <w:adjustRightInd w:val="0"/>
        <w:spacing w:line="240" w:lineRule="auto"/>
        <w:ind w:left="708"/>
        <w:rPr>
          <w:rFonts w:cs="Times New Roman"/>
          <w:i/>
          <w:iCs/>
          <w:color w:val="000000"/>
          <w:szCs w:val="24"/>
          <w:lang w:val="es-CR"/>
        </w:rPr>
      </w:pPr>
      <w:r w:rsidRPr="002C3D41">
        <w:rPr>
          <w:rFonts w:cs="Times New Roman"/>
          <w:b/>
          <w:bCs/>
          <w:i/>
          <w:iCs/>
          <w:color w:val="000000"/>
          <w:szCs w:val="24"/>
          <w:lang w:val="es-CR"/>
        </w:rPr>
        <w:t xml:space="preserve">Artículo 17. Instrumentos para la inversión </w:t>
      </w:r>
    </w:p>
    <w:p w14:paraId="31D87011" w14:textId="760AC8CC" w:rsidR="002C3D41" w:rsidRDefault="002C3D41" w:rsidP="002C48B7">
      <w:pPr>
        <w:spacing w:line="240" w:lineRule="auto"/>
        <w:ind w:left="708"/>
        <w:jc w:val="both"/>
        <w:rPr>
          <w:rFonts w:cs="Times New Roman"/>
          <w:color w:val="000000"/>
          <w:sz w:val="22"/>
          <w:lang w:val="es-CR"/>
        </w:rPr>
      </w:pPr>
      <w:r w:rsidRPr="002C3D41">
        <w:rPr>
          <w:rFonts w:cs="Times New Roman"/>
          <w:i/>
          <w:iCs/>
          <w:color w:val="000000"/>
          <w:szCs w:val="24"/>
          <w:lang w:val="es-CR"/>
        </w:rPr>
        <w:t>Las inversiones de los fondos pueden realizarse en los siguientes tipos de instrumentos, los cuales pueden ser locales o internacionales. Se clasifican en tres niveles conforme a sus características, complejidad de operación y sofisticación en su gestión de riesgos</w:t>
      </w:r>
      <w:r w:rsidRPr="002C3D41">
        <w:rPr>
          <w:rFonts w:cs="Times New Roman"/>
          <w:color w:val="000000"/>
          <w:sz w:val="22"/>
          <w:lang w:val="es-CR"/>
        </w:rPr>
        <w:t>.</w:t>
      </w:r>
    </w:p>
    <w:p w14:paraId="16C63A2A" w14:textId="4B4A93FA" w:rsidR="002C3D41" w:rsidRDefault="002C3D41" w:rsidP="002C48B7">
      <w:pPr>
        <w:spacing w:line="240" w:lineRule="auto"/>
        <w:ind w:left="708"/>
        <w:jc w:val="both"/>
        <w:rPr>
          <w:rFonts w:cs="Times New Roman"/>
          <w:i/>
          <w:iCs/>
          <w:szCs w:val="24"/>
        </w:rPr>
      </w:pPr>
      <w:r w:rsidRPr="00761471">
        <w:rPr>
          <w:rFonts w:cs="Times New Roman"/>
          <w:i/>
          <w:iCs/>
          <w:szCs w:val="24"/>
        </w:rPr>
        <w:t>[…]</w:t>
      </w:r>
    </w:p>
    <w:p w14:paraId="071BAD8C" w14:textId="6BADD86C" w:rsidR="002C3D41" w:rsidRDefault="002C3D41" w:rsidP="002C48B7">
      <w:pPr>
        <w:spacing w:line="240" w:lineRule="auto"/>
        <w:ind w:left="708"/>
        <w:jc w:val="both"/>
        <w:rPr>
          <w:rFonts w:cs="Times New Roman"/>
          <w:i/>
          <w:iCs/>
          <w:szCs w:val="24"/>
        </w:rPr>
      </w:pPr>
    </w:p>
    <w:p w14:paraId="1C98F859" w14:textId="06280ABF" w:rsidR="00A67A50" w:rsidRPr="00A67A50" w:rsidRDefault="00A67A50" w:rsidP="002C48B7">
      <w:pPr>
        <w:autoSpaceDE w:val="0"/>
        <w:autoSpaceDN w:val="0"/>
        <w:adjustRightInd w:val="0"/>
        <w:spacing w:line="240" w:lineRule="auto"/>
        <w:ind w:firstLine="708"/>
        <w:rPr>
          <w:rFonts w:cs="Times New Roman"/>
          <w:b/>
          <w:bCs/>
          <w:i/>
          <w:iCs/>
          <w:color w:val="000000"/>
          <w:szCs w:val="24"/>
          <w:lang w:val="es-CR"/>
        </w:rPr>
      </w:pPr>
      <w:r w:rsidRPr="00A67A50">
        <w:rPr>
          <w:rFonts w:cs="Times New Roman"/>
          <w:b/>
          <w:bCs/>
          <w:i/>
          <w:iCs/>
          <w:color w:val="000000"/>
          <w:szCs w:val="24"/>
          <w:lang w:val="es-CR"/>
        </w:rPr>
        <w:t>c. Instrumentos Nivel III</w:t>
      </w:r>
    </w:p>
    <w:p w14:paraId="337C26C1" w14:textId="77777777" w:rsidR="00A67A50" w:rsidRPr="00A67A50" w:rsidRDefault="00A67A50" w:rsidP="002C48B7">
      <w:pPr>
        <w:autoSpaceDE w:val="0"/>
        <w:autoSpaceDN w:val="0"/>
        <w:adjustRightInd w:val="0"/>
        <w:spacing w:line="240" w:lineRule="auto"/>
        <w:rPr>
          <w:rFonts w:cs="Times New Roman"/>
          <w:i/>
          <w:iCs/>
          <w:color w:val="000000"/>
          <w:szCs w:val="24"/>
          <w:lang w:val="es-CR"/>
        </w:rPr>
      </w:pPr>
    </w:p>
    <w:p w14:paraId="3D4D4A07" w14:textId="2BBBFE34" w:rsidR="00A67A50" w:rsidRDefault="00A67A50" w:rsidP="002C48B7">
      <w:pPr>
        <w:autoSpaceDE w:val="0"/>
        <w:autoSpaceDN w:val="0"/>
        <w:adjustRightInd w:val="0"/>
        <w:spacing w:line="240" w:lineRule="auto"/>
        <w:ind w:firstLine="708"/>
        <w:jc w:val="both"/>
        <w:rPr>
          <w:rFonts w:cs="Times New Roman"/>
          <w:i/>
          <w:iCs/>
          <w:color w:val="000000"/>
          <w:szCs w:val="24"/>
          <w:lang w:val="es-CR"/>
        </w:rPr>
      </w:pPr>
      <w:r w:rsidRPr="00A67A50">
        <w:rPr>
          <w:rFonts w:cs="Times New Roman"/>
          <w:i/>
          <w:iCs/>
          <w:color w:val="000000"/>
          <w:szCs w:val="24"/>
          <w:lang w:val="es-CR"/>
        </w:rPr>
        <w:t xml:space="preserve">ii. Títulos representativos de propiedad: </w:t>
      </w:r>
    </w:p>
    <w:p w14:paraId="6613DBAB" w14:textId="77777777" w:rsidR="006E2901" w:rsidRPr="00A67A50" w:rsidRDefault="006E2901" w:rsidP="002C48B7">
      <w:pPr>
        <w:autoSpaceDE w:val="0"/>
        <w:autoSpaceDN w:val="0"/>
        <w:adjustRightInd w:val="0"/>
        <w:spacing w:line="240" w:lineRule="auto"/>
        <w:ind w:firstLine="708"/>
        <w:jc w:val="both"/>
        <w:rPr>
          <w:rFonts w:cs="Times New Roman"/>
          <w:i/>
          <w:iCs/>
          <w:color w:val="000000"/>
          <w:szCs w:val="24"/>
          <w:lang w:val="es-CR"/>
        </w:rPr>
      </w:pPr>
    </w:p>
    <w:p w14:paraId="591DB80C" w14:textId="77777777" w:rsidR="00A67A50" w:rsidRPr="00A67A50" w:rsidRDefault="00A67A50" w:rsidP="002C48B7">
      <w:pPr>
        <w:autoSpaceDE w:val="0"/>
        <w:autoSpaceDN w:val="0"/>
        <w:adjustRightInd w:val="0"/>
        <w:spacing w:line="240" w:lineRule="auto"/>
        <w:ind w:left="708"/>
        <w:jc w:val="both"/>
        <w:rPr>
          <w:rFonts w:cs="Times New Roman"/>
          <w:i/>
          <w:iCs/>
          <w:color w:val="000000"/>
          <w:szCs w:val="24"/>
          <w:lang w:val="es-CR"/>
        </w:rPr>
      </w:pPr>
      <w:r w:rsidRPr="00A67A50">
        <w:rPr>
          <w:rFonts w:cs="Times New Roman"/>
          <w:i/>
          <w:iCs/>
          <w:color w:val="000000"/>
          <w:szCs w:val="24"/>
          <w:lang w:val="es-CR"/>
        </w:rPr>
        <w:t xml:space="preserve">Participaciones de fondos o vehículos de propósito especial: Deben cumplir con todos los requisitos de las participaciones de fondos establecidos para el Nivel I, sin embargo, pueden incursionar en fondos que invierten en acciones privadas (private equity). </w:t>
      </w:r>
    </w:p>
    <w:p w14:paraId="2F518BCD" w14:textId="77777777" w:rsidR="001E74A7" w:rsidRPr="00C73A25" w:rsidRDefault="001E74A7" w:rsidP="002C48B7">
      <w:pPr>
        <w:autoSpaceDE w:val="0"/>
        <w:autoSpaceDN w:val="0"/>
        <w:adjustRightInd w:val="0"/>
        <w:spacing w:line="240" w:lineRule="auto"/>
        <w:jc w:val="both"/>
        <w:rPr>
          <w:rFonts w:cs="Times New Roman"/>
          <w:i/>
          <w:iCs/>
          <w:color w:val="000000"/>
          <w:szCs w:val="24"/>
          <w:lang w:val="es-CR"/>
        </w:rPr>
      </w:pPr>
    </w:p>
    <w:p w14:paraId="642A8577" w14:textId="23FB612D" w:rsidR="00A67A50" w:rsidRPr="00C73A25" w:rsidRDefault="00A67A50" w:rsidP="002C48B7">
      <w:pPr>
        <w:autoSpaceDE w:val="0"/>
        <w:autoSpaceDN w:val="0"/>
        <w:adjustRightInd w:val="0"/>
        <w:spacing w:line="240" w:lineRule="auto"/>
        <w:ind w:left="708"/>
        <w:jc w:val="both"/>
        <w:rPr>
          <w:rFonts w:cs="Times New Roman"/>
          <w:i/>
          <w:iCs/>
          <w:color w:val="000000"/>
          <w:szCs w:val="24"/>
          <w:lang w:val="es-CR"/>
        </w:rPr>
      </w:pPr>
      <w:r w:rsidRPr="00A67A50">
        <w:rPr>
          <w:rFonts w:cs="Times New Roman"/>
          <w:i/>
          <w:iCs/>
          <w:color w:val="000000"/>
          <w:szCs w:val="24"/>
          <w:lang w:val="es-CR"/>
        </w:rPr>
        <w:t xml:space="preserve">La entidad regulada debe tener en cuenta el plazo máximo del fondo y los periodos de inversión y desinversión, así como, la posibilidad de redenciones anticipadas. </w:t>
      </w:r>
    </w:p>
    <w:p w14:paraId="7DCBC5D3" w14:textId="77777777" w:rsidR="00C73A25" w:rsidRPr="00A67A50" w:rsidRDefault="00C73A25" w:rsidP="002C48B7">
      <w:pPr>
        <w:autoSpaceDE w:val="0"/>
        <w:autoSpaceDN w:val="0"/>
        <w:adjustRightInd w:val="0"/>
        <w:spacing w:line="240" w:lineRule="auto"/>
        <w:ind w:left="708"/>
        <w:jc w:val="both"/>
        <w:rPr>
          <w:rFonts w:cs="Times New Roman"/>
          <w:i/>
          <w:iCs/>
          <w:color w:val="000000"/>
          <w:szCs w:val="24"/>
          <w:lang w:val="es-CR"/>
        </w:rPr>
      </w:pPr>
    </w:p>
    <w:p w14:paraId="50928D5A" w14:textId="77777777" w:rsidR="009A6078" w:rsidRDefault="009A6078" w:rsidP="002C48B7">
      <w:pPr>
        <w:autoSpaceDE w:val="0"/>
        <w:autoSpaceDN w:val="0"/>
        <w:adjustRightInd w:val="0"/>
        <w:spacing w:line="240" w:lineRule="auto"/>
        <w:ind w:left="708"/>
        <w:jc w:val="both"/>
        <w:rPr>
          <w:rFonts w:cs="Times New Roman"/>
          <w:i/>
          <w:iCs/>
          <w:color w:val="000000"/>
          <w:szCs w:val="24"/>
          <w:lang w:val="es-CR"/>
        </w:rPr>
      </w:pPr>
    </w:p>
    <w:p w14:paraId="279D1A38" w14:textId="77777777" w:rsidR="009A6078" w:rsidRDefault="009A6078" w:rsidP="002C48B7">
      <w:pPr>
        <w:autoSpaceDE w:val="0"/>
        <w:autoSpaceDN w:val="0"/>
        <w:adjustRightInd w:val="0"/>
        <w:spacing w:line="240" w:lineRule="auto"/>
        <w:ind w:left="708"/>
        <w:jc w:val="both"/>
        <w:rPr>
          <w:rFonts w:cs="Times New Roman"/>
          <w:i/>
          <w:iCs/>
          <w:color w:val="000000"/>
          <w:szCs w:val="24"/>
          <w:lang w:val="es-CR"/>
        </w:rPr>
      </w:pPr>
    </w:p>
    <w:p w14:paraId="4E4F0FA7" w14:textId="6BC2B4C0" w:rsidR="00A67A50" w:rsidRPr="00A67A50" w:rsidRDefault="00A67A50" w:rsidP="002C48B7">
      <w:pPr>
        <w:autoSpaceDE w:val="0"/>
        <w:autoSpaceDN w:val="0"/>
        <w:adjustRightInd w:val="0"/>
        <w:spacing w:line="240" w:lineRule="auto"/>
        <w:ind w:left="708"/>
        <w:jc w:val="both"/>
        <w:rPr>
          <w:rFonts w:cs="Times New Roman"/>
          <w:i/>
          <w:iCs/>
          <w:color w:val="000000"/>
          <w:szCs w:val="24"/>
          <w:lang w:val="es-CR"/>
        </w:rPr>
      </w:pPr>
      <w:r w:rsidRPr="00A67A50">
        <w:rPr>
          <w:rFonts w:cs="Times New Roman"/>
          <w:i/>
          <w:iCs/>
          <w:color w:val="000000"/>
          <w:szCs w:val="24"/>
          <w:lang w:val="es-CR"/>
        </w:rPr>
        <w:lastRenderedPageBreak/>
        <w:t xml:space="preserve">Para los fondos que invierten en acciones privadas (private equity), sus participaciones deben ser adquiridas con firmas estructuradoras (conocidas en inglés como General Partner) con al menos diez años de experiencia en el mercado internacional y que tengan un récord de empresas adquiridas exitosamente. Asimismo, podrán invertir en fondos que invierten en acciones privadas (private equity) en el mercado local que cumplan lo establecido en las normas emitidas por el CONASSIF. </w:t>
      </w:r>
    </w:p>
    <w:p w14:paraId="25EABAEE" w14:textId="77777777" w:rsidR="00B62265" w:rsidRPr="00C73A25" w:rsidRDefault="00B62265" w:rsidP="002C48B7">
      <w:pPr>
        <w:spacing w:line="240" w:lineRule="auto"/>
        <w:jc w:val="both"/>
        <w:rPr>
          <w:rFonts w:cs="Times New Roman"/>
          <w:i/>
          <w:iCs/>
          <w:color w:val="000000"/>
          <w:szCs w:val="24"/>
          <w:lang w:val="es-CR"/>
        </w:rPr>
      </w:pPr>
    </w:p>
    <w:p w14:paraId="39195505" w14:textId="719A889D" w:rsidR="00D55CF6" w:rsidRDefault="0003090C" w:rsidP="002C48B7">
      <w:pPr>
        <w:spacing w:line="240" w:lineRule="auto"/>
        <w:jc w:val="both"/>
        <w:rPr>
          <w:rFonts w:cs="Times New Roman"/>
          <w:szCs w:val="24"/>
        </w:rPr>
      </w:pPr>
      <w:r>
        <w:rPr>
          <w:rFonts w:cs="Times New Roman"/>
          <w:szCs w:val="24"/>
        </w:rPr>
        <w:t xml:space="preserve">El </w:t>
      </w:r>
      <w:r w:rsidR="00D55CF6" w:rsidRPr="00761471">
        <w:rPr>
          <w:rFonts w:cs="Times New Roman"/>
          <w:szCs w:val="24"/>
        </w:rPr>
        <w:t xml:space="preserve">artículo 68 </w:t>
      </w:r>
      <w:r w:rsidR="00EE753C">
        <w:rPr>
          <w:rFonts w:cs="Times New Roman"/>
          <w:szCs w:val="24"/>
        </w:rPr>
        <w:t xml:space="preserve">del reglamento </w:t>
      </w:r>
      <w:r w:rsidR="00D55CF6" w:rsidRPr="00761471">
        <w:rPr>
          <w:rFonts w:cs="Times New Roman"/>
          <w:szCs w:val="24"/>
        </w:rPr>
        <w:t>define como límite máximo hasta un 5% en instrumentos representativos de propiedad de nivel III.</w:t>
      </w:r>
    </w:p>
    <w:p w14:paraId="5077E8DE" w14:textId="52B87D6F" w:rsidR="006E2901" w:rsidRDefault="006E2901" w:rsidP="002C48B7">
      <w:pPr>
        <w:spacing w:line="240" w:lineRule="auto"/>
        <w:jc w:val="both"/>
        <w:rPr>
          <w:rFonts w:cs="Times New Roman"/>
          <w:szCs w:val="24"/>
        </w:rPr>
      </w:pPr>
    </w:p>
    <w:p w14:paraId="0AB0F174" w14:textId="1C2ED1DE" w:rsidR="001303CF" w:rsidRDefault="00E86600" w:rsidP="002C48B7">
      <w:pPr>
        <w:spacing w:line="240" w:lineRule="auto"/>
        <w:jc w:val="both"/>
        <w:rPr>
          <w:rFonts w:cs="Times New Roman"/>
          <w:szCs w:val="24"/>
        </w:rPr>
      </w:pPr>
      <w:r>
        <w:rPr>
          <w:rFonts w:cs="Times New Roman"/>
          <w:szCs w:val="24"/>
        </w:rPr>
        <w:t>La norma citada dispone lo siguiente:</w:t>
      </w:r>
    </w:p>
    <w:p w14:paraId="3189B5B2" w14:textId="73C40DCD" w:rsidR="001303CF" w:rsidRDefault="001303CF" w:rsidP="002C48B7">
      <w:pPr>
        <w:spacing w:line="240" w:lineRule="auto"/>
        <w:jc w:val="both"/>
        <w:rPr>
          <w:rFonts w:cs="Times New Roman"/>
          <w:szCs w:val="24"/>
        </w:rPr>
      </w:pPr>
    </w:p>
    <w:p w14:paraId="127E2863" w14:textId="77777777" w:rsidR="001303CF" w:rsidRPr="00E86600" w:rsidRDefault="001303CF" w:rsidP="00FC6F5F">
      <w:pPr>
        <w:autoSpaceDE w:val="0"/>
        <w:autoSpaceDN w:val="0"/>
        <w:adjustRightInd w:val="0"/>
        <w:spacing w:line="240" w:lineRule="auto"/>
        <w:ind w:firstLine="708"/>
        <w:rPr>
          <w:rFonts w:cs="Times New Roman"/>
          <w:i/>
          <w:iCs/>
          <w:color w:val="000000"/>
          <w:szCs w:val="24"/>
          <w:lang w:val="es-CR"/>
        </w:rPr>
      </w:pPr>
      <w:r w:rsidRPr="00E86600">
        <w:rPr>
          <w:rFonts w:cs="Times New Roman"/>
          <w:b/>
          <w:bCs/>
          <w:i/>
          <w:iCs/>
          <w:color w:val="000000"/>
          <w:szCs w:val="24"/>
          <w:lang w:val="es-CR"/>
        </w:rPr>
        <w:t xml:space="preserve">Artículo 68. Límites por tipo de instrumento </w:t>
      </w:r>
    </w:p>
    <w:p w14:paraId="43526C6E" w14:textId="0CE028BF" w:rsidR="001303CF" w:rsidRPr="00E86600" w:rsidRDefault="001303CF" w:rsidP="00FC6F5F">
      <w:pPr>
        <w:spacing w:line="240" w:lineRule="auto"/>
        <w:ind w:firstLine="708"/>
        <w:jc w:val="both"/>
        <w:rPr>
          <w:rFonts w:cs="Times New Roman"/>
          <w:i/>
          <w:iCs/>
          <w:sz w:val="28"/>
          <w:szCs w:val="28"/>
        </w:rPr>
      </w:pPr>
      <w:r w:rsidRPr="00E86600">
        <w:rPr>
          <w:rFonts w:cs="Times New Roman"/>
          <w:i/>
          <w:iCs/>
          <w:color w:val="000000"/>
          <w:szCs w:val="24"/>
          <w:lang w:val="es-CR"/>
        </w:rPr>
        <w:t>Los fondos deben cumplir con los siguientes límites máximos:</w:t>
      </w:r>
    </w:p>
    <w:p w14:paraId="5983FFF6" w14:textId="287C7987" w:rsidR="001303CF" w:rsidRPr="00E86600" w:rsidRDefault="001303CF" w:rsidP="00D12792">
      <w:pPr>
        <w:spacing w:line="240" w:lineRule="auto"/>
        <w:ind w:firstLine="708"/>
        <w:jc w:val="both"/>
        <w:rPr>
          <w:rFonts w:cs="Times New Roman"/>
          <w:i/>
          <w:iCs/>
          <w:sz w:val="28"/>
          <w:szCs w:val="28"/>
        </w:rPr>
      </w:pPr>
      <w:r w:rsidRPr="00E86600">
        <w:rPr>
          <w:rFonts w:cs="Times New Roman"/>
          <w:i/>
          <w:iCs/>
          <w:sz w:val="28"/>
          <w:szCs w:val="28"/>
        </w:rPr>
        <w:t>…</w:t>
      </w:r>
    </w:p>
    <w:p w14:paraId="53FE1A3B" w14:textId="604B9512" w:rsidR="00E86600" w:rsidRPr="00E86600" w:rsidRDefault="00E86600" w:rsidP="00FC6F5F">
      <w:pPr>
        <w:autoSpaceDE w:val="0"/>
        <w:autoSpaceDN w:val="0"/>
        <w:adjustRightInd w:val="0"/>
        <w:spacing w:line="240" w:lineRule="auto"/>
        <w:ind w:firstLine="708"/>
        <w:rPr>
          <w:rFonts w:cs="Times New Roman"/>
          <w:i/>
          <w:iCs/>
          <w:color w:val="000000"/>
          <w:szCs w:val="24"/>
          <w:lang w:val="es-CR"/>
        </w:rPr>
      </w:pPr>
      <w:r w:rsidRPr="00E86600">
        <w:rPr>
          <w:rFonts w:cs="Times New Roman"/>
          <w:i/>
          <w:iCs/>
          <w:color w:val="000000"/>
          <w:szCs w:val="24"/>
          <w:lang w:val="es-CR"/>
        </w:rPr>
        <w:t xml:space="preserve">Títulos representativos de propiedad: </w:t>
      </w:r>
    </w:p>
    <w:p w14:paraId="4EA2AE5A" w14:textId="77777777" w:rsidR="00E86600" w:rsidRPr="00E86600" w:rsidRDefault="00E86600" w:rsidP="002C48B7">
      <w:pPr>
        <w:autoSpaceDE w:val="0"/>
        <w:autoSpaceDN w:val="0"/>
        <w:adjustRightInd w:val="0"/>
        <w:spacing w:line="240" w:lineRule="auto"/>
        <w:rPr>
          <w:rFonts w:cs="Times New Roman"/>
          <w:i/>
          <w:iCs/>
          <w:color w:val="000000"/>
          <w:szCs w:val="24"/>
          <w:lang w:val="es-CR"/>
        </w:rPr>
      </w:pPr>
    </w:p>
    <w:p w14:paraId="564131CF" w14:textId="77777777" w:rsidR="00E86600" w:rsidRPr="00E86600" w:rsidRDefault="00E86600" w:rsidP="00FC6F5F">
      <w:pPr>
        <w:autoSpaceDE w:val="0"/>
        <w:autoSpaceDN w:val="0"/>
        <w:adjustRightInd w:val="0"/>
        <w:spacing w:line="240" w:lineRule="auto"/>
        <w:ind w:left="708"/>
        <w:rPr>
          <w:rFonts w:cs="Times New Roman"/>
          <w:i/>
          <w:iCs/>
          <w:color w:val="000000"/>
          <w:sz w:val="22"/>
          <w:lang w:val="es-CR"/>
        </w:rPr>
      </w:pPr>
      <w:r w:rsidRPr="00E86600">
        <w:rPr>
          <w:rFonts w:cs="Times New Roman"/>
          <w:i/>
          <w:iCs/>
          <w:color w:val="000000"/>
          <w:sz w:val="22"/>
          <w:lang w:val="es-CR"/>
        </w:rPr>
        <w:t xml:space="preserve">i. Hasta un 25% en instrumentos de nivel I, excepto en fondos y vehículos de inversión financieros locales donde se podrá invertir hasta un 5%. </w:t>
      </w:r>
    </w:p>
    <w:p w14:paraId="1E20AD04" w14:textId="77777777" w:rsidR="00E86600" w:rsidRPr="00E86600" w:rsidRDefault="00E86600" w:rsidP="00FC6F5F">
      <w:pPr>
        <w:autoSpaceDE w:val="0"/>
        <w:autoSpaceDN w:val="0"/>
        <w:adjustRightInd w:val="0"/>
        <w:spacing w:line="240" w:lineRule="auto"/>
        <w:ind w:firstLine="708"/>
        <w:rPr>
          <w:rFonts w:cs="Times New Roman"/>
          <w:i/>
          <w:iCs/>
          <w:color w:val="000000"/>
          <w:sz w:val="22"/>
          <w:lang w:val="es-CR"/>
        </w:rPr>
      </w:pPr>
      <w:r w:rsidRPr="00E86600">
        <w:rPr>
          <w:rFonts w:cs="Times New Roman"/>
          <w:i/>
          <w:iCs/>
          <w:color w:val="000000"/>
          <w:sz w:val="22"/>
          <w:lang w:val="es-CR"/>
        </w:rPr>
        <w:t xml:space="preserve">ii. Hasta un 10% en instrumentos de nivel II. </w:t>
      </w:r>
    </w:p>
    <w:p w14:paraId="1EE044FD" w14:textId="661FF2C4" w:rsidR="001303CF" w:rsidRDefault="00E86600" w:rsidP="00FC6F5F">
      <w:pPr>
        <w:spacing w:line="240" w:lineRule="auto"/>
        <w:ind w:firstLine="708"/>
        <w:jc w:val="both"/>
        <w:rPr>
          <w:rFonts w:cs="Times New Roman"/>
          <w:color w:val="000000"/>
          <w:sz w:val="22"/>
          <w:lang w:val="es-CR"/>
        </w:rPr>
      </w:pPr>
      <w:r w:rsidRPr="00E86600">
        <w:rPr>
          <w:rFonts w:cs="Times New Roman"/>
          <w:i/>
          <w:iCs/>
          <w:color w:val="000000"/>
          <w:sz w:val="22"/>
          <w:lang w:val="es-CR"/>
        </w:rPr>
        <w:t>iii. Hasta un 5% en instrumentos de nivel III</w:t>
      </w:r>
      <w:r w:rsidRPr="00E86600">
        <w:rPr>
          <w:rFonts w:cs="Times New Roman"/>
          <w:color w:val="000000"/>
          <w:sz w:val="22"/>
          <w:lang w:val="es-CR"/>
        </w:rPr>
        <w:t>.</w:t>
      </w:r>
    </w:p>
    <w:p w14:paraId="72B12882" w14:textId="3F1F8340" w:rsidR="00FC6F5F" w:rsidRDefault="00FC6F5F" w:rsidP="00FC6F5F">
      <w:pPr>
        <w:spacing w:line="240" w:lineRule="auto"/>
        <w:ind w:firstLine="708"/>
        <w:jc w:val="both"/>
        <w:rPr>
          <w:rFonts w:cs="Times New Roman"/>
          <w:color w:val="000000"/>
          <w:sz w:val="22"/>
          <w:lang w:val="es-CR"/>
        </w:rPr>
      </w:pPr>
    </w:p>
    <w:p w14:paraId="181CDD11" w14:textId="319D263F" w:rsidR="00761471" w:rsidRDefault="00ED056A" w:rsidP="002C48B7">
      <w:pPr>
        <w:pStyle w:val="Prrafodelista"/>
        <w:numPr>
          <w:ilvl w:val="0"/>
          <w:numId w:val="10"/>
        </w:numPr>
        <w:spacing w:line="240" w:lineRule="auto"/>
        <w:jc w:val="both"/>
        <w:rPr>
          <w:rFonts w:cs="Times New Roman"/>
          <w:b/>
          <w:bCs/>
          <w:szCs w:val="24"/>
        </w:rPr>
      </w:pPr>
      <w:r w:rsidRPr="00230D0A">
        <w:rPr>
          <w:rFonts w:cs="Times New Roman"/>
          <w:b/>
          <w:bCs/>
          <w:szCs w:val="24"/>
        </w:rPr>
        <w:t>Análisis de fondo</w:t>
      </w:r>
    </w:p>
    <w:p w14:paraId="527016D3" w14:textId="339E94B8" w:rsidR="00491C48" w:rsidRDefault="00491C48" w:rsidP="002C48B7">
      <w:pPr>
        <w:spacing w:line="240" w:lineRule="auto"/>
        <w:rPr>
          <w:rFonts w:cs="Times New Roman"/>
          <w:szCs w:val="24"/>
        </w:rPr>
      </w:pPr>
    </w:p>
    <w:p w14:paraId="6907D40D" w14:textId="08062F8C" w:rsidR="00491C48" w:rsidRPr="00C56D01" w:rsidRDefault="00491C48" w:rsidP="00C56D01">
      <w:pPr>
        <w:spacing w:line="240" w:lineRule="auto"/>
        <w:jc w:val="both"/>
        <w:rPr>
          <w:rFonts w:cs="Times New Roman"/>
          <w:szCs w:val="24"/>
        </w:rPr>
      </w:pPr>
      <w:r>
        <w:t>De la lectura de</w:t>
      </w:r>
      <w:r w:rsidR="00ED056A">
        <w:t xml:space="preserve"> las normas </w:t>
      </w:r>
      <w:r w:rsidR="00F369C0">
        <w:t xml:space="preserve">del </w:t>
      </w:r>
      <w:r w:rsidR="00D73ED3" w:rsidRPr="00E74C26">
        <w:rPr>
          <w:i/>
          <w:iCs/>
        </w:rPr>
        <w:t>R</w:t>
      </w:r>
      <w:r w:rsidR="00E74C26" w:rsidRPr="00E74C26">
        <w:rPr>
          <w:i/>
          <w:iCs/>
        </w:rPr>
        <w:t xml:space="preserve">eglamento de </w:t>
      </w:r>
      <w:r w:rsidR="00D73ED3" w:rsidRPr="00E74C26">
        <w:rPr>
          <w:i/>
          <w:iCs/>
        </w:rPr>
        <w:t>G</w:t>
      </w:r>
      <w:r w:rsidR="00E74C26" w:rsidRPr="00E74C26">
        <w:rPr>
          <w:i/>
          <w:iCs/>
        </w:rPr>
        <w:t xml:space="preserve">estión de </w:t>
      </w:r>
      <w:r w:rsidR="00D73ED3" w:rsidRPr="00E74C26">
        <w:rPr>
          <w:i/>
          <w:iCs/>
        </w:rPr>
        <w:t>A</w:t>
      </w:r>
      <w:r w:rsidR="00E74C26" w:rsidRPr="00E74C26">
        <w:rPr>
          <w:i/>
          <w:iCs/>
        </w:rPr>
        <w:t>ctivos</w:t>
      </w:r>
      <w:r>
        <w:t xml:space="preserve"> </w:t>
      </w:r>
      <w:r w:rsidR="001B22B8">
        <w:t>(RGA)</w:t>
      </w:r>
      <w:r w:rsidR="00374BE4">
        <w:t xml:space="preserve"> </w:t>
      </w:r>
      <w:r>
        <w:t xml:space="preserve">y </w:t>
      </w:r>
      <w:r w:rsidRPr="00592DDA">
        <w:t xml:space="preserve">la propuesta del </w:t>
      </w:r>
      <w:r w:rsidRPr="00DE5D59">
        <w:rPr>
          <w:i/>
          <w:iCs/>
        </w:rPr>
        <w:t>Reglamento sobre fondos de inversión de capital de riesgo</w:t>
      </w:r>
      <w:r>
        <w:t xml:space="preserve">, se </w:t>
      </w:r>
      <w:r w:rsidR="00500FEB">
        <w:t xml:space="preserve">desprende que </w:t>
      </w:r>
      <w:r>
        <w:t>la normativa vigente de S</w:t>
      </w:r>
      <w:r w:rsidR="005B445B">
        <w:t xml:space="preserve">upen </w:t>
      </w:r>
      <w:r>
        <w:t>s</w:t>
      </w:r>
      <w:r w:rsidR="00EA1416">
        <w:t>o</w:t>
      </w:r>
      <w:r>
        <w:t>lo autoriza a</w:t>
      </w:r>
      <w:r w:rsidR="00871646">
        <w:t xml:space="preserve"> </w:t>
      </w:r>
      <w:r>
        <w:t xml:space="preserve">los </w:t>
      </w:r>
      <w:r w:rsidR="00871646">
        <w:t>f</w:t>
      </w:r>
      <w:r>
        <w:t xml:space="preserve">ondos de pensiones la inversión en fondos de capital de riesgo cuando se trate de fondos que invierten en </w:t>
      </w:r>
      <w:r w:rsidR="000D3EBD" w:rsidRPr="00426CBD">
        <w:rPr>
          <w:i/>
          <w:iCs/>
        </w:rPr>
        <w:t>v</w:t>
      </w:r>
      <w:r w:rsidRPr="00426CBD">
        <w:rPr>
          <w:i/>
          <w:iCs/>
        </w:rPr>
        <w:t>alores de contenido patrimonial (acciones) emitidos por empresas promovidas</w:t>
      </w:r>
      <w:r w:rsidR="007B5FDB">
        <w:t>.</w:t>
      </w:r>
      <w:r w:rsidR="0031752C">
        <w:t xml:space="preserve"> </w:t>
      </w:r>
      <w:r w:rsidR="007B5FDB">
        <w:t xml:space="preserve">El RGA actualmente </w:t>
      </w:r>
      <w:r w:rsidR="00880B2C" w:rsidRPr="00274D99">
        <w:t xml:space="preserve">no </w:t>
      </w:r>
      <w:r w:rsidR="007B5FDB">
        <w:t xml:space="preserve">contempla la inversión </w:t>
      </w:r>
      <w:r w:rsidR="00880B2C" w:rsidRPr="00274D99">
        <w:t xml:space="preserve">en </w:t>
      </w:r>
      <w:r w:rsidR="000D3EBD" w:rsidRPr="00426CBD">
        <w:rPr>
          <w:i/>
          <w:iCs/>
        </w:rPr>
        <w:t xml:space="preserve">valores </w:t>
      </w:r>
      <w:r w:rsidRPr="00426CBD">
        <w:rPr>
          <w:i/>
          <w:iCs/>
        </w:rPr>
        <w:t>de contenido crediticio (deuda), convertibles o no en acciones, emitidos por empresas promovidas</w:t>
      </w:r>
      <w:r w:rsidRPr="002C48B7">
        <w:t xml:space="preserve"> ni en </w:t>
      </w:r>
      <w:r w:rsidR="000D3EBD" w:rsidRPr="00426CBD">
        <w:rPr>
          <w:i/>
          <w:iCs/>
        </w:rPr>
        <w:t xml:space="preserve">activos </w:t>
      </w:r>
      <w:r w:rsidRPr="00426CBD">
        <w:rPr>
          <w:i/>
          <w:iCs/>
        </w:rPr>
        <w:t>o instrumentos financieros emitidos por empresas promovidas. Los fondos de inversión de capital de riesgo podrán participar en el pasivo de las empresas promovidas mediante el otorgamiento de financiamiento o crédito directo a estas empresas</w:t>
      </w:r>
      <w:r w:rsidR="0080561F">
        <w:t>.</w:t>
      </w:r>
    </w:p>
    <w:p w14:paraId="0B803A64" w14:textId="77777777" w:rsidR="00E76674" w:rsidRDefault="00E76674" w:rsidP="002C48B7">
      <w:pPr>
        <w:tabs>
          <w:tab w:val="left" w:pos="1056"/>
        </w:tabs>
        <w:spacing w:line="240" w:lineRule="auto"/>
        <w:jc w:val="both"/>
      </w:pPr>
    </w:p>
    <w:p w14:paraId="49C5AB73" w14:textId="183E6043" w:rsidR="00DF0C54" w:rsidRDefault="0070283C" w:rsidP="002C48B7">
      <w:pPr>
        <w:tabs>
          <w:tab w:val="left" w:pos="1056"/>
        </w:tabs>
        <w:spacing w:line="240" w:lineRule="auto"/>
        <w:jc w:val="both"/>
      </w:pPr>
      <w:r>
        <w:t>En vista de lo anterior, p</w:t>
      </w:r>
      <w:r w:rsidR="00FA0609">
        <w:t xml:space="preserve">ara que </w:t>
      </w:r>
      <w:r w:rsidR="006F34BD">
        <w:t xml:space="preserve">a </w:t>
      </w:r>
      <w:r w:rsidR="00FA0609">
        <w:t xml:space="preserve">los fondos de pensiones se les autorice a invertir en fondos de capital de riesgo </w:t>
      </w:r>
      <w:r w:rsidR="00440EBB">
        <w:t>en los t</w:t>
      </w:r>
      <w:r w:rsidR="00FD1634">
        <w:t xml:space="preserve">érminos </w:t>
      </w:r>
      <w:r w:rsidR="001F00B5">
        <w:t xml:space="preserve">definidos </w:t>
      </w:r>
      <w:r w:rsidR="0050594E">
        <w:t>en el</w:t>
      </w:r>
      <w:r w:rsidR="001F00B5">
        <w:t xml:space="preserve"> </w:t>
      </w:r>
      <w:r w:rsidR="001F00B5" w:rsidRPr="00274D99">
        <w:rPr>
          <w:i/>
          <w:iCs/>
        </w:rPr>
        <w:t xml:space="preserve">Reglamento sobre la inversión de </w:t>
      </w:r>
      <w:r w:rsidR="00997E50" w:rsidRPr="00274D99">
        <w:rPr>
          <w:i/>
          <w:iCs/>
        </w:rPr>
        <w:t>capital de riesgo</w:t>
      </w:r>
      <w:r w:rsidR="001F00B5">
        <w:t xml:space="preserve"> </w:t>
      </w:r>
      <w:r w:rsidR="00FA0609" w:rsidRPr="006F34BD">
        <w:t>es</w:t>
      </w:r>
      <w:r w:rsidR="00FA0609">
        <w:t xml:space="preserve"> necesario </w:t>
      </w:r>
      <w:r w:rsidR="008F100A">
        <w:t xml:space="preserve">armonizar las normas contenidas </w:t>
      </w:r>
      <w:r w:rsidR="00997E50">
        <w:t xml:space="preserve">en </w:t>
      </w:r>
      <w:r w:rsidR="007B5FDB">
        <w:t>el RGA</w:t>
      </w:r>
      <w:r w:rsidR="002A3C97">
        <w:t>.  E</w:t>
      </w:r>
      <w:r w:rsidR="008E2688">
        <w:t>n ese sentido,</w:t>
      </w:r>
      <w:r w:rsidR="00E8759B">
        <w:t xml:space="preserve"> se</w:t>
      </w:r>
      <w:r w:rsidR="008E2688">
        <w:t xml:space="preserve"> </w:t>
      </w:r>
      <w:r w:rsidR="00AC5742">
        <w:t>propone</w:t>
      </w:r>
      <w:r w:rsidR="00AE140A">
        <w:t xml:space="preserve"> </w:t>
      </w:r>
      <w:r w:rsidR="007B5FDB">
        <w:t>reforma</w:t>
      </w:r>
      <w:r w:rsidR="00AE140A">
        <w:t>r</w:t>
      </w:r>
      <w:r w:rsidR="00F91824">
        <w:t xml:space="preserve"> el RGA</w:t>
      </w:r>
      <w:r w:rsidR="000764DC">
        <w:t xml:space="preserve"> </w:t>
      </w:r>
      <w:r w:rsidR="002A3C97">
        <w:t>para p</w:t>
      </w:r>
      <w:r w:rsidR="00F91824">
        <w:t>ermit</w:t>
      </w:r>
      <w:r w:rsidR="00274D99">
        <w:t>ir</w:t>
      </w:r>
      <w:r w:rsidR="00F91824">
        <w:t xml:space="preserve"> que los fondos de pensiones puedan invertir </w:t>
      </w:r>
      <w:r w:rsidR="001329F7">
        <w:t xml:space="preserve">también </w:t>
      </w:r>
      <w:r w:rsidR="00F91824">
        <w:t xml:space="preserve">en </w:t>
      </w:r>
      <w:r w:rsidR="00F91824" w:rsidRPr="00374BE4">
        <w:t xml:space="preserve">valores de contenido crediticio (deuda), convertibles o no en acciones, emitidos por empresas promovidas y en </w:t>
      </w:r>
      <w:r w:rsidR="008E2688" w:rsidRPr="00374BE4">
        <w:t xml:space="preserve">activos </w:t>
      </w:r>
      <w:r w:rsidR="00F91824" w:rsidRPr="00374BE4">
        <w:t xml:space="preserve">o instrumentos financieros emitidos por empresas </w:t>
      </w:r>
      <w:r w:rsidR="00F91824" w:rsidRPr="00374BE4">
        <w:lastRenderedPageBreak/>
        <w:t>promovidas</w:t>
      </w:r>
      <w:r w:rsidR="00E37D2C" w:rsidRPr="00374BE4">
        <w:t>.</w:t>
      </w:r>
      <w:r w:rsidR="008E2688">
        <w:t xml:space="preserve"> </w:t>
      </w:r>
      <w:r w:rsidR="00AC7A76" w:rsidRPr="003D3053">
        <w:t>Los fondos de inversión de capital de riesgo podrán participar en el pasivo de las empresas promovidas mediante el otorgamiento de financiamiento o crédito directo a estas empresas</w:t>
      </w:r>
      <w:r w:rsidR="00F61269">
        <w:t xml:space="preserve"> como se establece en el artículo 20 </w:t>
      </w:r>
      <w:r w:rsidR="007B5FDB">
        <w:t xml:space="preserve">de la propuesta </w:t>
      </w:r>
      <w:r w:rsidR="00F61269">
        <w:t xml:space="preserve">del </w:t>
      </w:r>
      <w:bookmarkStart w:id="4" w:name="_Hlk54265795"/>
      <w:r w:rsidR="00F61269" w:rsidRPr="00E66F32">
        <w:rPr>
          <w:i/>
          <w:iCs/>
        </w:rPr>
        <w:t xml:space="preserve">Reglamento sobre </w:t>
      </w:r>
      <w:r w:rsidR="005B445B" w:rsidRPr="00E66F32">
        <w:rPr>
          <w:i/>
          <w:iCs/>
        </w:rPr>
        <w:t>fondos de inversión de capital de riesgo</w:t>
      </w:r>
      <w:r w:rsidR="005B445B">
        <w:t>.</w:t>
      </w:r>
    </w:p>
    <w:bookmarkEnd w:id="4"/>
    <w:p w14:paraId="0C42FDEC" w14:textId="596247BF" w:rsidR="00B336B3" w:rsidRDefault="00B336B3" w:rsidP="002C48B7">
      <w:pPr>
        <w:tabs>
          <w:tab w:val="left" w:pos="1056"/>
        </w:tabs>
        <w:spacing w:line="240" w:lineRule="auto"/>
        <w:jc w:val="both"/>
      </w:pPr>
    </w:p>
    <w:p w14:paraId="0E3461D0" w14:textId="17C99066" w:rsidR="00491C48" w:rsidRDefault="00EF4B4B" w:rsidP="002C48B7">
      <w:pPr>
        <w:tabs>
          <w:tab w:val="left" w:pos="1056"/>
        </w:tabs>
        <w:spacing w:line="240" w:lineRule="auto"/>
        <w:jc w:val="both"/>
      </w:pPr>
      <w:bookmarkStart w:id="5" w:name="OLE_LINK1"/>
      <w:bookmarkStart w:id="6" w:name="OLE_LINK2"/>
      <w:r>
        <w:t xml:space="preserve">La División de Planificación y Normativa </w:t>
      </w:r>
      <w:r w:rsidR="008D1297">
        <w:t xml:space="preserve">recomienda que </w:t>
      </w:r>
      <w:r w:rsidR="001855D1">
        <w:t>por</w:t>
      </w:r>
      <w:r w:rsidR="00E37D2C">
        <w:t xml:space="preserve"> </w:t>
      </w:r>
      <w:r w:rsidR="00491C48">
        <w:t xml:space="preserve">el nivel de riesgo y la complejidad de los fondos de capital </w:t>
      </w:r>
      <w:r w:rsidR="00491C48" w:rsidRPr="005F51C7">
        <w:t xml:space="preserve">de riesgo </w:t>
      </w:r>
      <w:r w:rsidR="0072050F" w:rsidRPr="005F51C7">
        <w:t xml:space="preserve">se </w:t>
      </w:r>
      <w:r w:rsidR="00AC7A76" w:rsidRPr="005F51C7">
        <w:t>autorice su</w:t>
      </w:r>
      <w:r w:rsidR="00BE766D" w:rsidRPr="005F51C7">
        <w:t xml:space="preserve"> inversión, </w:t>
      </w:r>
      <w:r w:rsidR="00727A05" w:rsidRPr="005F51C7">
        <w:t xml:space="preserve">siempre y </w:t>
      </w:r>
      <w:r w:rsidR="00F61269" w:rsidRPr="005F51C7">
        <w:t>cuando se</w:t>
      </w:r>
      <w:r w:rsidR="00491C48" w:rsidRPr="005F51C7">
        <w:t xml:space="preserve"> mantengan dentro de los límites de </w:t>
      </w:r>
      <w:r w:rsidR="00E37D2C" w:rsidRPr="005F51C7">
        <w:t xml:space="preserve">inversión de los </w:t>
      </w:r>
      <w:r w:rsidR="00491C48" w:rsidRPr="005F51C7">
        <w:t>instrumentos representativos de propiedad de nivel III</w:t>
      </w:r>
      <w:r w:rsidR="00F03ADD" w:rsidRPr="005F51C7">
        <w:t>,</w:t>
      </w:r>
      <w:r w:rsidR="001D348D" w:rsidRPr="005F51C7">
        <w:t xml:space="preserve"> tal y como </w:t>
      </w:r>
      <w:r w:rsidR="005F51C7" w:rsidRPr="005F51C7">
        <w:t>está</w:t>
      </w:r>
      <w:r w:rsidR="001D348D" w:rsidRPr="005F51C7">
        <w:t xml:space="preserve"> dispuesto en el artículo </w:t>
      </w:r>
      <w:r w:rsidR="00A82CBA" w:rsidRPr="005F51C7">
        <w:t>68 del RGA.</w:t>
      </w:r>
    </w:p>
    <w:bookmarkEnd w:id="5"/>
    <w:bookmarkEnd w:id="6"/>
    <w:p w14:paraId="0A992509" w14:textId="77777777" w:rsidR="00491C48" w:rsidRDefault="00491C48" w:rsidP="002C48B7">
      <w:pPr>
        <w:tabs>
          <w:tab w:val="left" w:pos="1056"/>
        </w:tabs>
        <w:spacing w:line="240" w:lineRule="auto"/>
        <w:jc w:val="both"/>
      </w:pPr>
    </w:p>
    <w:p w14:paraId="49163021" w14:textId="60D82A5E" w:rsidR="00491C48" w:rsidRDefault="00E8546E" w:rsidP="002C48B7">
      <w:pPr>
        <w:tabs>
          <w:tab w:val="left" w:pos="1056"/>
        </w:tabs>
        <w:spacing w:line="240" w:lineRule="auto"/>
        <w:jc w:val="both"/>
      </w:pPr>
      <w:r>
        <w:t>Por otra parte, d</w:t>
      </w:r>
      <w:r w:rsidR="00491C48">
        <w:t xml:space="preserve">ebido a los compromisos asumidos por Costa Rica en materia de comercio transfronterizo de productos y servicios financieros, no </w:t>
      </w:r>
      <w:r w:rsidR="00692DD6">
        <w:t xml:space="preserve">se puede </w:t>
      </w:r>
      <w:r w:rsidR="00491C48">
        <w:t xml:space="preserve">hacer distinción entre instrumentos locales e internacionales, por </w:t>
      </w:r>
      <w:r w:rsidR="00A03FF4">
        <w:t xml:space="preserve">lo que </w:t>
      </w:r>
      <w:r w:rsidR="007B5FDB">
        <w:t xml:space="preserve">se propone </w:t>
      </w:r>
      <w:r w:rsidR="005F51C7">
        <w:t>modificar</w:t>
      </w:r>
      <w:r w:rsidR="00491C48">
        <w:t xml:space="preserve"> la redacción del </w:t>
      </w:r>
      <w:r w:rsidR="00A93BEE">
        <w:t>RGA</w:t>
      </w:r>
      <w:r w:rsidR="00491C48">
        <w:t xml:space="preserve"> para que </w:t>
      </w:r>
      <w:r w:rsidR="0053086F">
        <w:t xml:space="preserve">indique que </w:t>
      </w:r>
      <w:r w:rsidR="00491C48">
        <w:t>los</w:t>
      </w:r>
      <w:r w:rsidR="0053086F">
        <w:t xml:space="preserve"> fondos</w:t>
      </w:r>
      <w:r w:rsidR="00491C48">
        <w:t xml:space="preserve"> de pensión </w:t>
      </w:r>
      <w:r w:rsidR="0053086F">
        <w:t xml:space="preserve">pueden </w:t>
      </w:r>
      <w:r w:rsidR="00491C48">
        <w:t xml:space="preserve">invertir en fondos de capital de riesgo </w:t>
      </w:r>
      <w:r w:rsidR="00491C48" w:rsidRPr="00440EBB">
        <w:t>locales e internacionales.</w:t>
      </w:r>
    </w:p>
    <w:p w14:paraId="783B0A05" w14:textId="159A52D0" w:rsidR="0033216D" w:rsidRDefault="0033216D" w:rsidP="002C48B7">
      <w:pPr>
        <w:tabs>
          <w:tab w:val="left" w:pos="1056"/>
        </w:tabs>
        <w:spacing w:line="240" w:lineRule="auto"/>
        <w:jc w:val="both"/>
      </w:pPr>
    </w:p>
    <w:p w14:paraId="3806D7C7" w14:textId="65862AD5" w:rsidR="0033216D" w:rsidRPr="00F91824" w:rsidRDefault="0033216D" w:rsidP="0033216D">
      <w:pPr>
        <w:tabs>
          <w:tab w:val="left" w:pos="1056"/>
        </w:tabs>
        <w:spacing w:line="240" w:lineRule="auto"/>
        <w:jc w:val="both"/>
      </w:pPr>
      <w:r>
        <w:t xml:space="preserve">Es importante aclarar que, considerando que el citado </w:t>
      </w:r>
      <w:r w:rsidRPr="0075411E">
        <w:rPr>
          <w:i/>
          <w:iCs/>
        </w:rPr>
        <w:t>Reglamento sobre fondos de inversión de capital de riesgo</w:t>
      </w:r>
      <w:r>
        <w:t xml:space="preserve"> se encuentra en el trámite de consulta pública, la reforma al RGA está planteada de tal manera que </w:t>
      </w:r>
      <w:r w:rsidR="00D71EF6">
        <w:t xml:space="preserve">se permita a </w:t>
      </w:r>
      <w:r>
        <w:t xml:space="preserve">los fondos de pensiones </w:t>
      </w:r>
      <w:r w:rsidRPr="00542853">
        <w:t>invertir en fondos que invierten en capital de riesgo</w:t>
      </w:r>
      <w:r>
        <w:t>,</w:t>
      </w:r>
      <w:r w:rsidRPr="00542853">
        <w:t xml:space="preserve"> que cumplan lo establecido en las normas emitidas por el C</w:t>
      </w:r>
      <w:r>
        <w:t>onassif</w:t>
      </w:r>
      <w:r w:rsidRPr="00542853">
        <w:t>.</w:t>
      </w:r>
    </w:p>
    <w:p w14:paraId="73412D24" w14:textId="77777777" w:rsidR="00491C48" w:rsidRDefault="00491C48" w:rsidP="002C48B7">
      <w:pPr>
        <w:tabs>
          <w:tab w:val="left" w:pos="1056"/>
        </w:tabs>
        <w:spacing w:line="240" w:lineRule="auto"/>
        <w:jc w:val="both"/>
      </w:pPr>
    </w:p>
    <w:p w14:paraId="266DAD6C" w14:textId="246487C9" w:rsidR="00491C48" w:rsidRDefault="009B5CAA" w:rsidP="002C48B7">
      <w:pPr>
        <w:tabs>
          <w:tab w:val="left" w:pos="1056"/>
        </w:tabs>
        <w:spacing w:line="240" w:lineRule="auto"/>
        <w:jc w:val="both"/>
      </w:pPr>
      <w:r>
        <w:t>Conviene agregar</w:t>
      </w:r>
      <w:r w:rsidR="00CA6D00">
        <w:t xml:space="preserve"> </w:t>
      </w:r>
      <w:r w:rsidR="00491C48">
        <w:t xml:space="preserve">que es responsabilidad de la entidad regulada definir la asignación estratégica de activos y la debida diligencia para la toma de decisiones, además de la valoración de la complejidad y riesgo de los instrumentos disponibles en los mercados financieros en línea con los principios relativos al manejo de las inversiones definidos en el artículo 7 del </w:t>
      </w:r>
      <w:r w:rsidR="00583167">
        <w:t>RGA</w:t>
      </w:r>
      <w:r w:rsidR="00491C48">
        <w:t xml:space="preserve"> y en línea el </w:t>
      </w:r>
      <w:r w:rsidR="00491C48" w:rsidRPr="002C48B7">
        <w:rPr>
          <w:i/>
          <w:iCs/>
        </w:rPr>
        <w:t>Título II. Gobierno de las Inversiones</w:t>
      </w:r>
      <w:r w:rsidR="00491C48">
        <w:t>.</w:t>
      </w:r>
    </w:p>
    <w:p w14:paraId="58A2DF13" w14:textId="77777777" w:rsidR="00491C48" w:rsidRDefault="00491C48" w:rsidP="002C48B7">
      <w:pPr>
        <w:tabs>
          <w:tab w:val="left" w:pos="1056"/>
        </w:tabs>
        <w:spacing w:line="240" w:lineRule="auto"/>
        <w:jc w:val="both"/>
      </w:pPr>
    </w:p>
    <w:p w14:paraId="7B54C9BE" w14:textId="32027C02" w:rsidR="00491C48" w:rsidRDefault="00491C48" w:rsidP="002C48B7">
      <w:pPr>
        <w:tabs>
          <w:tab w:val="left" w:pos="1056"/>
        </w:tabs>
        <w:spacing w:line="240" w:lineRule="auto"/>
        <w:jc w:val="both"/>
      </w:pPr>
      <w:r>
        <w:t xml:space="preserve">Por su parte, el Título II de este Reglamento también establece que la entidad regulada debe definir la asignación estratégica de activos, la cual debe incluir los tipos de inversión que permitan el logro de los objetivos estratégicos, y estar acorde con el apetito de riesgo y la diversificación.  </w:t>
      </w:r>
    </w:p>
    <w:p w14:paraId="49C71684" w14:textId="77777777" w:rsidR="00BD2681" w:rsidRDefault="00BD2681" w:rsidP="002C48B7">
      <w:pPr>
        <w:tabs>
          <w:tab w:val="left" w:pos="1056"/>
        </w:tabs>
        <w:spacing w:line="240" w:lineRule="auto"/>
        <w:jc w:val="both"/>
      </w:pPr>
    </w:p>
    <w:p w14:paraId="64F51CB7" w14:textId="70890FCB" w:rsidR="00915AD7" w:rsidRPr="00E66F32" w:rsidRDefault="00915AD7" w:rsidP="00E66F32">
      <w:pPr>
        <w:pStyle w:val="Prrafodelista"/>
        <w:numPr>
          <w:ilvl w:val="0"/>
          <w:numId w:val="10"/>
        </w:numPr>
        <w:spacing w:line="240" w:lineRule="auto"/>
        <w:jc w:val="both"/>
        <w:rPr>
          <w:rFonts w:cs="Times New Roman"/>
          <w:b/>
          <w:bCs/>
          <w:szCs w:val="24"/>
        </w:rPr>
      </w:pPr>
      <w:r w:rsidRPr="00AF76E7">
        <w:rPr>
          <w:rFonts w:cs="Times New Roman"/>
          <w:b/>
          <w:bCs/>
          <w:szCs w:val="24"/>
        </w:rPr>
        <w:t>Conclusión</w:t>
      </w:r>
    </w:p>
    <w:p w14:paraId="081CF394" w14:textId="77777777" w:rsidR="00915AD7" w:rsidRDefault="00915AD7" w:rsidP="002C48B7">
      <w:pPr>
        <w:spacing w:line="240" w:lineRule="auto"/>
        <w:jc w:val="both"/>
        <w:rPr>
          <w:rFonts w:cs="Times New Roman"/>
          <w:szCs w:val="24"/>
        </w:rPr>
      </w:pPr>
    </w:p>
    <w:p w14:paraId="6EBB901A" w14:textId="77777777" w:rsidR="000B686E" w:rsidRDefault="006565DD" w:rsidP="002C48B7">
      <w:pPr>
        <w:spacing w:line="240" w:lineRule="auto"/>
        <w:jc w:val="both"/>
        <w:rPr>
          <w:rFonts w:cs="Times New Roman"/>
          <w:szCs w:val="24"/>
        </w:rPr>
      </w:pPr>
      <w:r>
        <w:rPr>
          <w:rFonts w:cs="Times New Roman"/>
          <w:szCs w:val="24"/>
        </w:rPr>
        <w:t>Cabe advertir que este criterio confronta únicamente los principios establecidos por el legislador en materia de inversiones, no hace una revisión de los riesgos que tiene</w:t>
      </w:r>
      <w:r w:rsidR="00A704D5" w:rsidRPr="00A704D5">
        <w:rPr>
          <w:rFonts w:cs="Times New Roman"/>
          <w:szCs w:val="24"/>
        </w:rPr>
        <w:t xml:space="preserve"> </w:t>
      </w:r>
      <w:r w:rsidR="00A704D5">
        <w:rPr>
          <w:rFonts w:cs="Times New Roman"/>
          <w:szCs w:val="24"/>
        </w:rPr>
        <w:t>este tipo de inversiones</w:t>
      </w:r>
      <w:r>
        <w:rPr>
          <w:rFonts w:cs="Times New Roman"/>
          <w:szCs w:val="24"/>
        </w:rPr>
        <w:t>.</w:t>
      </w:r>
      <w:r w:rsidR="00E82EF5">
        <w:rPr>
          <w:rFonts w:cs="Times New Roman"/>
          <w:szCs w:val="24"/>
        </w:rPr>
        <w:t xml:space="preserve"> </w:t>
      </w:r>
    </w:p>
    <w:p w14:paraId="2D55380D" w14:textId="77777777" w:rsidR="000B686E" w:rsidRDefault="000B686E" w:rsidP="002C48B7">
      <w:pPr>
        <w:spacing w:line="240" w:lineRule="auto"/>
        <w:jc w:val="both"/>
        <w:rPr>
          <w:rFonts w:cs="Times New Roman"/>
          <w:szCs w:val="24"/>
        </w:rPr>
      </w:pPr>
    </w:p>
    <w:p w14:paraId="26CD888F" w14:textId="77777777" w:rsidR="009A6078" w:rsidRDefault="009A6078" w:rsidP="002C48B7">
      <w:pPr>
        <w:spacing w:line="240" w:lineRule="auto"/>
        <w:jc w:val="both"/>
        <w:rPr>
          <w:rFonts w:cs="Times New Roman"/>
          <w:szCs w:val="24"/>
        </w:rPr>
      </w:pPr>
    </w:p>
    <w:p w14:paraId="51351FE9" w14:textId="77777777" w:rsidR="009A6078" w:rsidRDefault="009A6078" w:rsidP="002C48B7">
      <w:pPr>
        <w:spacing w:line="240" w:lineRule="auto"/>
        <w:jc w:val="both"/>
        <w:rPr>
          <w:rFonts w:cs="Times New Roman"/>
          <w:szCs w:val="24"/>
        </w:rPr>
      </w:pPr>
    </w:p>
    <w:p w14:paraId="71F418C5" w14:textId="77777777" w:rsidR="009A6078" w:rsidRDefault="009A6078" w:rsidP="002C48B7">
      <w:pPr>
        <w:spacing w:line="240" w:lineRule="auto"/>
        <w:jc w:val="both"/>
        <w:rPr>
          <w:rFonts w:cs="Times New Roman"/>
          <w:szCs w:val="24"/>
        </w:rPr>
      </w:pPr>
    </w:p>
    <w:p w14:paraId="3A3D29A8" w14:textId="77777777" w:rsidR="009A6078" w:rsidRDefault="009A6078" w:rsidP="002C48B7">
      <w:pPr>
        <w:spacing w:line="240" w:lineRule="auto"/>
        <w:jc w:val="both"/>
        <w:rPr>
          <w:rFonts w:cs="Times New Roman"/>
          <w:szCs w:val="24"/>
        </w:rPr>
      </w:pPr>
    </w:p>
    <w:p w14:paraId="5D426BB0" w14:textId="6123ECB8" w:rsidR="001C06A7" w:rsidRPr="00BD0CEB" w:rsidRDefault="00E0468B" w:rsidP="002C48B7">
      <w:pPr>
        <w:spacing w:line="240" w:lineRule="auto"/>
        <w:jc w:val="both"/>
        <w:rPr>
          <w:rFonts w:cs="Times New Roman"/>
          <w:szCs w:val="24"/>
        </w:rPr>
      </w:pPr>
      <w:r>
        <w:rPr>
          <w:rFonts w:cs="Times New Roman"/>
          <w:szCs w:val="24"/>
        </w:rPr>
        <w:t>En consecuencia</w:t>
      </w:r>
      <w:r w:rsidR="00E66F32">
        <w:rPr>
          <w:rFonts w:cs="Times New Roman"/>
          <w:szCs w:val="24"/>
        </w:rPr>
        <w:t>,</w:t>
      </w:r>
      <w:r>
        <w:rPr>
          <w:rFonts w:cs="Times New Roman"/>
          <w:szCs w:val="24"/>
        </w:rPr>
        <w:t xml:space="preserve"> e</w:t>
      </w:r>
      <w:r w:rsidR="00E914A5">
        <w:rPr>
          <w:rFonts w:cs="Times New Roman"/>
          <w:szCs w:val="24"/>
        </w:rPr>
        <w:t xml:space="preserve">s </w:t>
      </w:r>
      <w:r w:rsidR="001C06A7" w:rsidRPr="00BD0CEB">
        <w:rPr>
          <w:rFonts w:cs="Times New Roman"/>
          <w:szCs w:val="24"/>
        </w:rPr>
        <w:t xml:space="preserve">criterio de esta División de Asesoría Jurídica que </w:t>
      </w:r>
      <w:r w:rsidR="007B5FDB">
        <w:rPr>
          <w:rFonts w:cs="Times New Roman"/>
          <w:szCs w:val="24"/>
        </w:rPr>
        <w:t xml:space="preserve">la </w:t>
      </w:r>
      <w:r w:rsidR="00E66F32">
        <w:rPr>
          <w:rFonts w:cs="Times New Roman"/>
          <w:szCs w:val="24"/>
        </w:rPr>
        <w:t>propuesta de</w:t>
      </w:r>
      <w:r w:rsidR="00DD5165">
        <w:rPr>
          <w:rFonts w:cs="Times New Roman"/>
          <w:szCs w:val="24"/>
        </w:rPr>
        <w:t xml:space="preserve"> modificación al </w:t>
      </w:r>
      <w:r w:rsidR="00E914A5">
        <w:rPr>
          <w:rFonts w:cs="Times New Roman"/>
          <w:szCs w:val="24"/>
        </w:rPr>
        <w:t>RGA</w:t>
      </w:r>
      <w:r w:rsidR="002E118A">
        <w:rPr>
          <w:rFonts w:cs="Times New Roman"/>
          <w:szCs w:val="24"/>
        </w:rPr>
        <w:t xml:space="preserve"> en las condiciones expuestas</w:t>
      </w:r>
      <w:r w:rsidR="007B5FDB">
        <w:rPr>
          <w:rFonts w:cs="Times New Roman"/>
          <w:szCs w:val="24"/>
        </w:rPr>
        <w:t xml:space="preserve"> se ajusta </w:t>
      </w:r>
      <w:r w:rsidR="00E62051">
        <w:rPr>
          <w:rFonts w:cs="Times New Roman"/>
          <w:szCs w:val="24"/>
        </w:rPr>
        <w:t xml:space="preserve">a los principios establecidos en el numeral </w:t>
      </w:r>
      <w:r w:rsidR="00883FA6">
        <w:rPr>
          <w:rFonts w:cs="Times New Roman"/>
          <w:szCs w:val="24"/>
        </w:rPr>
        <w:t>60 de la Ley de Protección al Trabajador</w:t>
      </w:r>
      <w:r w:rsidR="00B602D2">
        <w:rPr>
          <w:rFonts w:cs="Times New Roman"/>
          <w:szCs w:val="24"/>
        </w:rPr>
        <w:t xml:space="preserve">, dado que </w:t>
      </w:r>
      <w:r w:rsidR="000B686E">
        <w:rPr>
          <w:rFonts w:cs="Times New Roman"/>
          <w:szCs w:val="24"/>
        </w:rPr>
        <w:t>de acuerdo con la normativa propuesta en este caso se debe cumplir con lo e</w:t>
      </w:r>
      <w:r w:rsidR="00B602D2" w:rsidRPr="00B602D2">
        <w:rPr>
          <w:rFonts w:cs="Times New Roman"/>
          <w:szCs w:val="24"/>
        </w:rPr>
        <w:t>stablecido en las normas emitidas por el</w:t>
      </w:r>
      <w:r w:rsidR="000B686E">
        <w:rPr>
          <w:rFonts w:cs="Times New Roman"/>
          <w:szCs w:val="24"/>
        </w:rPr>
        <w:t xml:space="preserve"> </w:t>
      </w:r>
      <w:r w:rsidR="00B602D2" w:rsidRPr="00B602D2">
        <w:rPr>
          <w:rFonts w:cs="Times New Roman"/>
          <w:szCs w:val="24"/>
        </w:rPr>
        <w:t>Conassif</w:t>
      </w:r>
      <w:r w:rsidR="002E118A">
        <w:rPr>
          <w:rFonts w:cs="Times New Roman"/>
          <w:szCs w:val="24"/>
        </w:rPr>
        <w:t>.</w:t>
      </w:r>
      <w:r w:rsidR="00DD5165">
        <w:rPr>
          <w:rFonts w:cs="Times New Roman"/>
          <w:szCs w:val="24"/>
        </w:rPr>
        <w:t xml:space="preserve"> </w:t>
      </w:r>
    </w:p>
    <w:p w14:paraId="582A3373" w14:textId="77777777" w:rsidR="001C06A7" w:rsidRPr="00BD0CEB" w:rsidRDefault="001C06A7" w:rsidP="002C48B7">
      <w:pPr>
        <w:spacing w:line="240" w:lineRule="auto"/>
        <w:ind w:left="720"/>
        <w:jc w:val="both"/>
        <w:rPr>
          <w:rFonts w:cs="Times New Roman"/>
          <w:b/>
          <w:szCs w:val="24"/>
        </w:rPr>
      </w:pPr>
    </w:p>
    <w:p w14:paraId="5742A8F1" w14:textId="1E21A25D" w:rsidR="00A559BB" w:rsidRDefault="00A559BB" w:rsidP="002C48B7">
      <w:pPr>
        <w:spacing w:line="240" w:lineRule="auto"/>
        <w:jc w:val="both"/>
        <w:rPr>
          <w:rFonts w:eastAsia="Times New Roman" w:cs="Times New Roman"/>
          <w:bCs/>
          <w:szCs w:val="24"/>
          <w:lang w:val="es-ES_tradnl"/>
        </w:rPr>
      </w:pPr>
    </w:p>
    <w:p w14:paraId="49CCE435" w14:textId="77777777" w:rsidR="00D01A27" w:rsidRDefault="00D01A27" w:rsidP="002C48B7">
      <w:pPr>
        <w:spacing w:line="240" w:lineRule="auto"/>
        <w:jc w:val="both"/>
        <w:rPr>
          <w:rFonts w:eastAsia="Times New Roman" w:cs="Times New Roman"/>
          <w:bCs/>
          <w:szCs w:val="24"/>
          <w:lang w:val="es-ES_tradnl"/>
        </w:rPr>
      </w:pPr>
      <w:r>
        <w:rPr>
          <w:rFonts w:eastAsia="Times New Roman" w:cs="Times New Roman"/>
          <w:bCs/>
          <w:noProof/>
          <w:szCs w:val="24"/>
          <w:lang w:val="es-ES_tradnl"/>
        </w:rPr>
        <w:drawing>
          <wp:inline distT="0" distB="0" distL="0" distR="0" wp14:anchorId="5B6246EE" wp14:editId="2F2E636F">
            <wp:extent cx="1306542" cy="1132840"/>
            <wp:effectExtent l="0" t="0" r="8255" b="0"/>
            <wp:docPr id="8" name="Imagen 8"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 Jenory Díaz.png"/>
                    <pic:cNvPicPr/>
                  </pic:nvPicPr>
                  <pic:blipFill>
                    <a:blip r:embed="rId11"/>
                    <a:stretch>
                      <a:fillRect/>
                    </a:stretch>
                  </pic:blipFill>
                  <pic:spPr>
                    <a:xfrm>
                      <a:off x="0" y="0"/>
                      <a:ext cx="1310441" cy="1136221"/>
                    </a:xfrm>
                    <a:prstGeom prst="rect">
                      <a:avLst/>
                    </a:prstGeom>
                  </pic:spPr>
                </pic:pic>
              </a:graphicData>
            </a:graphic>
          </wp:inline>
        </w:drawing>
      </w:r>
    </w:p>
    <w:p w14:paraId="79486FEB" w14:textId="7084D664" w:rsidR="001C06A7" w:rsidRDefault="00C8400B" w:rsidP="002C48B7">
      <w:pPr>
        <w:spacing w:line="240" w:lineRule="auto"/>
        <w:jc w:val="both"/>
        <w:rPr>
          <w:rFonts w:eastAsia="Times New Roman" w:cs="Times New Roman"/>
          <w:bCs/>
          <w:szCs w:val="24"/>
          <w:lang w:val="es-ES_tradnl"/>
        </w:rPr>
      </w:pPr>
      <w:r>
        <w:rPr>
          <w:rFonts w:eastAsia="Times New Roman" w:cs="Times New Roman"/>
          <w:bCs/>
          <w:szCs w:val="24"/>
          <w:lang w:val="es-ES_tradnl"/>
        </w:rPr>
        <w:t xml:space="preserve">Elaborado </w:t>
      </w:r>
      <w:r w:rsidR="001C06A7" w:rsidRPr="00855763">
        <w:rPr>
          <w:rFonts w:eastAsia="Times New Roman" w:cs="Times New Roman"/>
          <w:bCs/>
          <w:szCs w:val="24"/>
          <w:lang w:val="es-ES_tradnl"/>
        </w:rPr>
        <w:t xml:space="preserve">por: </w:t>
      </w:r>
      <w:r w:rsidR="00A559BB">
        <w:rPr>
          <w:rFonts w:eastAsia="Times New Roman" w:cs="Times New Roman"/>
          <w:bCs/>
          <w:szCs w:val="24"/>
          <w:lang w:val="es-ES_tradnl"/>
        </w:rPr>
        <w:t>Jenory Diaz Molina</w:t>
      </w:r>
    </w:p>
    <w:p w14:paraId="467D7306" w14:textId="4E51A77D" w:rsidR="00A559BB" w:rsidRDefault="00A559BB" w:rsidP="002C48B7">
      <w:pPr>
        <w:spacing w:line="240" w:lineRule="auto"/>
        <w:jc w:val="both"/>
        <w:rPr>
          <w:rFonts w:eastAsia="Times New Roman" w:cs="Times New Roman"/>
          <w:bCs/>
          <w:szCs w:val="24"/>
          <w:lang w:val="es-ES_tradnl"/>
        </w:rPr>
      </w:pPr>
      <w:r>
        <w:rPr>
          <w:rFonts w:eastAsia="Times New Roman" w:cs="Times New Roman"/>
          <w:bCs/>
          <w:szCs w:val="24"/>
          <w:lang w:val="es-ES_tradnl"/>
        </w:rPr>
        <w:t>Coordinadora</w:t>
      </w:r>
    </w:p>
    <w:p w14:paraId="2D9336BC" w14:textId="062645D5" w:rsidR="00A559BB" w:rsidRDefault="00A559BB" w:rsidP="002C48B7">
      <w:pPr>
        <w:spacing w:line="240" w:lineRule="auto"/>
        <w:jc w:val="both"/>
        <w:rPr>
          <w:rFonts w:eastAsia="Times New Roman" w:cs="Times New Roman"/>
          <w:bCs/>
          <w:szCs w:val="24"/>
          <w:lang w:val="es-ES_tradnl"/>
        </w:rPr>
      </w:pPr>
    </w:p>
    <w:p w14:paraId="6200D435" w14:textId="15C2057A" w:rsidR="00A559BB" w:rsidRPr="00855763" w:rsidRDefault="00A559BB" w:rsidP="002C48B7">
      <w:pPr>
        <w:spacing w:line="240" w:lineRule="auto"/>
        <w:jc w:val="both"/>
        <w:rPr>
          <w:rFonts w:eastAsia="Times New Roman" w:cs="Times New Roman"/>
          <w:bCs/>
          <w:szCs w:val="24"/>
          <w:lang w:val="es-ES_tradnl"/>
        </w:rPr>
      </w:pPr>
      <w:r>
        <w:rPr>
          <w:rFonts w:eastAsia="Times New Roman" w:cs="Times New Roman"/>
          <w:bCs/>
          <w:szCs w:val="24"/>
          <w:lang w:val="es-ES_tradnl"/>
        </w:rPr>
        <w:tab/>
      </w:r>
      <w:r>
        <w:rPr>
          <w:rFonts w:eastAsia="Times New Roman" w:cs="Times New Roman"/>
          <w:bCs/>
          <w:szCs w:val="24"/>
          <w:lang w:val="es-ES_tradnl"/>
        </w:rPr>
        <w:tab/>
      </w:r>
      <w:r>
        <w:rPr>
          <w:rFonts w:eastAsia="Times New Roman" w:cs="Times New Roman"/>
          <w:bCs/>
          <w:szCs w:val="24"/>
          <w:lang w:val="es-ES_tradnl"/>
        </w:rPr>
        <w:tab/>
      </w:r>
      <w:r>
        <w:rPr>
          <w:rFonts w:eastAsia="Times New Roman" w:cs="Times New Roman"/>
          <w:bCs/>
          <w:szCs w:val="24"/>
          <w:lang w:val="es-ES_tradnl"/>
        </w:rPr>
        <w:tab/>
      </w:r>
      <w:r>
        <w:rPr>
          <w:rFonts w:eastAsia="Times New Roman" w:cs="Times New Roman"/>
          <w:bCs/>
          <w:szCs w:val="24"/>
          <w:lang w:val="es-ES_tradnl"/>
        </w:rPr>
        <w:tab/>
      </w:r>
    </w:p>
    <w:p w14:paraId="2874FD38" w14:textId="7B02E8D3" w:rsidR="001C06A7" w:rsidRDefault="00D01A27" w:rsidP="002C48B7">
      <w:pPr>
        <w:spacing w:line="240" w:lineRule="auto"/>
        <w:jc w:val="both"/>
        <w:rPr>
          <w:rFonts w:eastAsia="Times New Roman" w:cs="Times New Roman"/>
          <w:bCs/>
          <w:szCs w:val="24"/>
          <w:lang w:val="es-ES_tradnl"/>
        </w:rPr>
      </w:pPr>
      <w:r>
        <w:rPr>
          <w:rFonts w:eastAsia="Times New Roman" w:cs="Times New Roman"/>
          <w:bCs/>
          <w:noProof/>
          <w:szCs w:val="24"/>
          <w:lang w:val="es-ES_tradnl"/>
        </w:rPr>
        <w:drawing>
          <wp:inline distT="0" distB="0" distL="0" distR="0" wp14:anchorId="0B1981A5" wp14:editId="2DE6BE8A">
            <wp:extent cx="1133475" cy="714375"/>
            <wp:effectExtent l="0" t="0" r="9525" b="9525"/>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lly .jpg"/>
                    <pic:cNvPicPr/>
                  </pic:nvPicPr>
                  <pic:blipFill>
                    <a:blip r:embed="rId12"/>
                    <a:stretch>
                      <a:fillRect/>
                    </a:stretch>
                  </pic:blipFill>
                  <pic:spPr>
                    <a:xfrm>
                      <a:off x="0" y="0"/>
                      <a:ext cx="1133475" cy="714375"/>
                    </a:xfrm>
                    <a:prstGeom prst="rect">
                      <a:avLst/>
                    </a:prstGeom>
                  </pic:spPr>
                </pic:pic>
              </a:graphicData>
            </a:graphic>
          </wp:inline>
        </w:drawing>
      </w:r>
    </w:p>
    <w:p w14:paraId="4727CFBE" w14:textId="2A7D4468" w:rsidR="00A559BB" w:rsidRDefault="00A559BB" w:rsidP="002C48B7">
      <w:pPr>
        <w:spacing w:line="240" w:lineRule="auto"/>
        <w:jc w:val="both"/>
        <w:rPr>
          <w:rFonts w:eastAsia="Times New Roman" w:cs="Times New Roman"/>
          <w:bCs/>
          <w:szCs w:val="24"/>
          <w:lang w:val="es-ES_tradnl"/>
        </w:rPr>
      </w:pPr>
      <w:r>
        <w:rPr>
          <w:rFonts w:eastAsia="Times New Roman" w:cs="Times New Roman"/>
          <w:bCs/>
          <w:szCs w:val="24"/>
          <w:lang w:val="es-ES_tradnl"/>
        </w:rPr>
        <w:t>Aprobado por: Nelly Vargas Her</w:t>
      </w:r>
      <w:r w:rsidR="00DE4FE7">
        <w:rPr>
          <w:rFonts w:eastAsia="Times New Roman" w:cs="Times New Roman"/>
          <w:bCs/>
          <w:szCs w:val="24"/>
          <w:lang w:val="es-ES_tradnl"/>
        </w:rPr>
        <w:t>nández</w:t>
      </w:r>
    </w:p>
    <w:p w14:paraId="22B610AA" w14:textId="34687A0E" w:rsidR="00DE4FE7" w:rsidRPr="00855763" w:rsidRDefault="00DE4FE7" w:rsidP="002C48B7">
      <w:pPr>
        <w:spacing w:line="240" w:lineRule="auto"/>
        <w:jc w:val="both"/>
        <w:rPr>
          <w:rFonts w:eastAsia="Times New Roman" w:cs="Times New Roman"/>
          <w:bCs/>
          <w:szCs w:val="24"/>
          <w:lang w:val="es-ES_tradnl"/>
        </w:rPr>
      </w:pPr>
      <w:r>
        <w:rPr>
          <w:rFonts w:eastAsia="Times New Roman" w:cs="Times New Roman"/>
          <w:bCs/>
          <w:szCs w:val="24"/>
          <w:lang w:val="es-ES_tradnl"/>
        </w:rPr>
        <w:t xml:space="preserve">Directora </w:t>
      </w:r>
    </w:p>
    <w:p w14:paraId="0BEC1FD9" w14:textId="126D3586" w:rsidR="00DE615E" w:rsidRPr="00761471" w:rsidRDefault="001C06A7" w:rsidP="00B6693A">
      <w:pPr>
        <w:spacing w:line="240" w:lineRule="auto"/>
        <w:jc w:val="center"/>
        <w:rPr>
          <w:rFonts w:cs="Times New Roman"/>
          <w:szCs w:val="24"/>
        </w:rPr>
      </w:pPr>
      <w:r w:rsidRPr="00855763">
        <w:rPr>
          <w:rFonts w:cs="Times New Roman"/>
          <w:b/>
          <w:szCs w:val="24"/>
        </w:rPr>
        <w:t xml:space="preserve">División Asesoría Jurídica </w:t>
      </w:r>
      <w:r w:rsidRPr="00855763">
        <w:rPr>
          <w:rFonts w:cs="Times New Roman"/>
        </w:rPr>
        <w:tab/>
      </w:r>
    </w:p>
    <w:sectPr w:rsidR="00DE615E" w:rsidRPr="00761471" w:rsidSect="00D029E6">
      <w:headerReference w:type="even" r:id="rId13"/>
      <w:headerReference w:type="default" r:id="rId14"/>
      <w:footerReference w:type="even" r:id="rId15"/>
      <w:footerReference w:type="default" r:id="rId16"/>
      <w:headerReference w:type="first" r:id="rId17"/>
      <w:footerReference w:type="first" r:id="rId1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16EE3" w14:textId="77777777" w:rsidR="00C85ECD" w:rsidRDefault="00C85ECD" w:rsidP="00011FAB">
      <w:pPr>
        <w:spacing w:line="240" w:lineRule="auto"/>
      </w:pPr>
      <w:r>
        <w:separator/>
      </w:r>
    </w:p>
  </w:endnote>
  <w:endnote w:type="continuationSeparator" w:id="0">
    <w:p w14:paraId="3DFAA309" w14:textId="77777777" w:rsidR="00C85ECD" w:rsidRDefault="00C85ECD"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06C9" w14:textId="77777777" w:rsidR="005D74C0" w:rsidRDefault="005D7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9367" w14:textId="77777777" w:rsidR="003621B6" w:rsidRDefault="003621B6" w:rsidP="003621B6">
    <w:pPr>
      <w:pStyle w:val="Piedepgina"/>
      <w:pBdr>
        <w:top w:val="single" w:sz="4" w:space="1" w:color="auto"/>
      </w:pBdr>
      <w:rPr>
        <w:i/>
        <w:szCs w:val="24"/>
      </w:rPr>
    </w:pPr>
  </w:p>
  <w:p w14:paraId="4B568D1E" w14:textId="77777777" w:rsidR="009B3671" w:rsidRPr="00BE078A" w:rsidRDefault="004E09A4"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3286" w14:textId="77777777" w:rsidR="003621B6" w:rsidRDefault="003621B6" w:rsidP="003621B6">
    <w:pPr>
      <w:pStyle w:val="Piedepgina"/>
      <w:pBdr>
        <w:top w:val="single" w:sz="4" w:space="1" w:color="auto"/>
      </w:pBdr>
      <w:rPr>
        <w:i/>
        <w:szCs w:val="24"/>
      </w:rPr>
    </w:pPr>
  </w:p>
  <w:p w14:paraId="319106FD" w14:textId="77777777" w:rsidR="00CE6321" w:rsidRDefault="00CE6321"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23C5D641" w14:textId="77777777" w:rsidR="009B3671" w:rsidRPr="00BE078A" w:rsidRDefault="009B3671"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B22C" w14:textId="77777777" w:rsidR="00C85ECD" w:rsidRDefault="00C85ECD" w:rsidP="00011FAB">
      <w:pPr>
        <w:spacing w:line="240" w:lineRule="auto"/>
      </w:pPr>
      <w:r>
        <w:separator/>
      </w:r>
    </w:p>
  </w:footnote>
  <w:footnote w:type="continuationSeparator" w:id="0">
    <w:p w14:paraId="5967F3A1" w14:textId="77777777" w:rsidR="00C85ECD" w:rsidRDefault="00C85ECD" w:rsidP="00011FAB">
      <w:pPr>
        <w:spacing w:line="240" w:lineRule="auto"/>
      </w:pPr>
      <w:r>
        <w:continuationSeparator/>
      </w:r>
    </w:p>
  </w:footnote>
  <w:footnote w:id="1">
    <w:p w14:paraId="53999A6B" w14:textId="77777777" w:rsidR="00751EE1" w:rsidRPr="00EF4B4B" w:rsidRDefault="00751EE1" w:rsidP="00751EE1">
      <w:pPr>
        <w:pStyle w:val="Textonotapie"/>
        <w:jc w:val="both"/>
        <w:rPr>
          <w:rFonts w:ascii="Times New Roman" w:hAnsi="Times New Roman" w:cs="Times New Roman"/>
          <w:sz w:val="18"/>
          <w:szCs w:val="18"/>
          <w:lang w:val="es-CR"/>
        </w:rPr>
      </w:pPr>
      <w:r w:rsidRPr="00EF4B4B">
        <w:rPr>
          <w:rStyle w:val="Refdenotaalpie"/>
          <w:rFonts w:ascii="Times New Roman" w:hAnsi="Times New Roman" w:cs="Times New Roman"/>
          <w:sz w:val="18"/>
          <w:szCs w:val="18"/>
        </w:rPr>
        <w:footnoteRef/>
      </w:r>
      <w:r w:rsidRPr="00EF4B4B">
        <w:rPr>
          <w:rFonts w:ascii="Times New Roman" w:hAnsi="Times New Roman" w:cs="Times New Roman"/>
          <w:sz w:val="18"/>
          <w:szCs w:val="18"/>
        </w:rPr>
        <w:t xml:space="preserve"> </w:t>
      </w:r>
      <w:r w:rsidRPr="00EF4B4B">
        <w:rPr>
          <w:rFonts w:ascii="Times New Roman" w:hAnsi="Times New Roman" w:cs="Times New Roman"/>
          <w:sz w:val="18"/>
          <w:szCs w:val="18"/>
          <w:lang w:val="es-CR"/>
        </w:rPr>
        <w:t xml:space="preserve">ídem </w:t>
      </w:r>
    </w:p>
  </w:footnote>
  <w:footnote w:id="2">
    <w:p w14:paraId="46C5DDED" w14:textId="77777777" w:rsidR="00751EE1" w:rsidRPr="00EF4B4B" w:rsidRDefault="00751EE1" w:rsidP="00751EE1">
      <w:pPr>
        <w:pStyle w:val="Textonotapie"/>
        <w:rPr>
          <w:rFonts w:ascii="Times New Roman" w:hAnsi="Times New Roman" w:cs="Times New Roman"/>
          <w:sz w:val="18"/>
          <w:szCs w:val="18"/>
          <w:lang w:val="es-CR"/>
        </w:rPr>
      </w:pPr>
      <w:r w:rsidRPr="00EF4B4B">
        <w:rPr>
          <w:rStyle w:val="Refdenotaalpie"/>
          <w:rFonts w:ascii="Times New Roman" w:hAnsi="Times New Roman" w:cs="Times New Roman"/>
          <w:sz w:val="18"/>
          <w:szCs w:val="18"/>
        </w:rPr>
        <w:footnoteRef/>
      </w:r>
      <w:r w:rsidRPr="00EF4B4B">
        <w:rPr>
          <w:rFonts w:ascii="Times New Roman" w:hAnsi="Times New Roman" w:cs="Times New Roman"/>
          <w:sz w:val="18"/>
          <w:szCs w:val="18"/>
        </w:rPr>
        <w:t xml:space="preserve"> </w:t>
      </w:r>
      <w:r w:rsidRPr="00EF4B4B">
        <w:rPr>
          <w:rFonts w:ascii="Times New Roman" w:hAnsi="Times New Roman" w:cs="Times New Roman"/>
          <w:sz w:val="18"/>
          <w:szCs w:val="18"/>
          <w:lang w:val="es-CR"/>
        </w:rPr>
        <w:t xml:space="preserve">De acuerdo con </w:t>
      </w:r>
      <w:hyperlink r:id="rId1" w:history="1">
        <w:r w:rsidRPr="00EF4B4B">
          <w:rPr>
            <w:rStyle w:val="Hipervnculo"/>
            <w:rFonts w:ascii="Times New Roman" w:hAnsi="Times New Roman" w:cs="Times New Roman"/>
            <w:sz w:val="18"/>
            <w:szCs w:val="18"/>
            <w:lang w:val="es-CR"/>
          </w:rPr>
          <w:t>https://pitchbook.com/blog/what-is-private-debt</w:t>
        </w:r>
      </w:hyperlink>
      <w:r w:rsidRPr="00EF4B4B">
        <w:rPr>
          <w:rFonts w:ascii="Times New Roman" w:hAnsi="Times New Roman" w:cs="Times New Roman"/>
          <w:sz w:val="18"/>
          <w:szCs w:val="18"/>
          <w:lang w:val="es-C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2ACE" w14:textId="77777777" w:rsidR="005D74C0" w:rsidRDefault="005D74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9ADD" w14:textId="77777777" w:rsidR="004E09A4" w:rsidRDefault="004E09A4" w:rsidP="004E09A4">
    <w:pPr>
      <w:pStyle w:val="Encabezado"/>
      <w:jc w:val="both"/>
    </w:pPr>
    <w:r>
      <w:rPr>
        <w:noProof/>
      </w:rPr>
      <w:drawing>
        <wp:anchor distT="0" distB="0" distL="114300" distR="114300" simplePos="0" relativeHeight="251663360" behindDoc="0" locked="0" layoutInCell="1" allowOverlap="1" wp14:anchorId="34C1FA16" wp14:editId="10A3EBC5">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7B98ACDE" wp14:editId="2B2CCBB8">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0A850075" w14:textId="3527CEB9"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051382">
      <w:rPr>
        <w:b/>
        <w:i/>
        <w:noProof/>
        <w:szCs w:val="24"/>
      </w:rPr>
      <w:t>PJD-24-2020</w:t>
    </w:r>
    <w:r w:rsidRPr="00092B79">
      <w:rPr>
        <w:b/>
        <w:i/>
        <w:noProof/>
        <w:szCs w:val="24"/>
      </w:rPr>
      <w:fldChar w:fldCharType="end"/>
    </w:r>
  </w:p>
  <w:p w14:paraId="2B6F38C2" w14:textId="77777777" w:rsidR="00DC38D9" w:rsidRDefault="00DC38D9"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sidR="00647480">
      <w:rPr>
        <w:i/>
        <w:noProof/>
        <w:szCs w:val="24"/>
      </w:rPr>
      <w:t>2</w:t>
    </w:r>
    <w:r w:rsidRPr="00DC38D9">
      <w:rPr>
        <w:i/>
        <w:szCs w:val="24"/>
      </w:rPr>
      <w:fldChar w:fldCharType="end"/>
    </w:r>
  </w:p>
  <w:p w14:paraId="64E1436A"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ABF9" w14:textId="77777777" w:rsidR="005D2EEB" w:rsidRDefault="005D2EEB" w:rsidP="005D2EEB">
    <w:pPr>
      <w:pStyle w:val="Encabezado"/>
      <w:jc w:val="both"/>
    </w:pPr>
    <w:r>
      <w:rPr>
        <w:noProof/>
      </w:rPr>
      <w:drawing>
        <wp:anchor distT="0" distB="0" distL="114300" distR="114300" simplePos="0" relativeHeight="251660288" behindDoc="0" locked="0" layoutInCell="1" allowOverlap="1" wp14:anchorId="70900A1D" wp14:editId="60E0E42F">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2E9EBD69" wp14:editId="1AD532EC">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4E6"/>
    <w:multiLevelType w:val="hybridMultilevel"/>
    <w:tmpl w:val="87F41E5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FA1B95"/>
    <w:multiLevelType w:val="hybridMultilevel"/>
    <w:tmpl w:val="9B1051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2849BC"/>
    <w:multiLevelType w:val="hybridMultilevel"/>
    <w:tmpl w:val="C540B18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40F63CA"/>
    <w:multiLevelType w:val="hybridMultilevel"/>
    <w:tmpl w:val="9B467D4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BEB5B8C"/>
    <w:multiLevelType w:val="hybridMultilevel"/>
    <w:tmpl w:val="D63EA042"/>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F001582"/>
    <w:multiLevelType w:val="hybridMultilevel"/>
    <w:tmpl w:val="8B5027E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60146EA"/>
    <w:multiLevelType w:val="hybridMultilevel"/>
    <w:tmpl w:val="832EFE40"/>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D0E545B"/>
    <w:multiLevelType w:val="hybridMultilevel"/>
    <w:tmpl w:val="E30CEB80"/>
    <w:lvl w:ilvl="0" w:tplc="0C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FE94A13"/>
    <w:multiLevelType w:val="hybridMultilevel"/>
    <w:tmpl w:val="D07823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493249D"/>
    <w:multiLevelType w:val="hybridMultilevel"/>
    <w:tmpl w:val="8B5027E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AF914D7"/>
    <w:multiLevelType w:val="hybridMultilevel"/>
    <w:tmpl w:val="55D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66E73"/>
    <w:multiLevelType w:val="hybridMultilevel"/>
    <w:tmpl w:val="E6281B8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B4E345D"/>
    <w:multiLevelType w:val="hybridMultilevel"/>
    <w:tmpl w:val="0298E24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F332821"/>
    <w:multiLevelType w:val="hybridMultilevel"/>
    <w:tmpl w:val="4F504A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4"/>
  </w:num>
  <w:num w:numId="5">
    <w:abstractNumId w:val="5"/>
  </w:num>
  <w:num w:numId="6">
    <w:abstractNumId w:val="9"/>
  </w:num>
  <w:num w:numId="7">
    <w:abstractNumId w:val="1"/>
  </w:num>
  <w:num w:numId="8">
    <w:abstractNumId w:val="0"/>
  </w:num>
  <w:num w:numId="9">
    <w:abstractNumId w:val="3"/>
  </w:num>
  <w:num w:numId="10">
    <w:abstractNumId w:val="12"/>
  </w:num>
  <w:num w:numId="11">
    <w:abstractNumId w:val="8"/>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UxiEx+Qhg8UFVgQehtAhpuDHxKjE/rOsGXhSOpFiVzfquL3LvSh7WQs1PtgVoNhJrGsa8M1OKxsucKiMNSniAQ==" w:salt="T0MInLfgW/fQfeMHlSa/N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F5"/>
    <w:rsid w:val="00002041"/>
    <w:rsid w:val="000035C4"/>
    <w:rsid w:val="00006E88"/>
    <w:rsid w:val="00007D4E"/>
    <w:rsid w:val="00007FF3"/>
    <w:rsid w:val="00010814"/>
    <w:rsid w:val="00011FAB"/>
    <w:rsid w:val="0001406E"/>
    <w:rsid w:val="000147D3"/>
    <w:rsid w:val="00016A75"/>
    <w:rsid w:val="00020B78"/>
    <w:rsid w:val="00021ADD"/>
    <w:rsid w:val="00024F40"/>
    <w:rsid w:val="00026FA0"/>
    <w:rsid w:val="0003090C"/>
    <w:rsid w:val="000421CB"/>
    <w:rsid w:val="00047FA5"/>
    <w:rsid w:val="00050668"/>
    <w:rsid w:val="00051382"/>
    <w:rsid w:val="0006650E"/>
    <w:rsid w:val="000676FB"/>
    <w:rsid w:val="000764DC"/>
    <w:rsid w:val="00077394"/>
    <w:rsid w:val="00077969"/>
    <w:rsid w:val="00081B18"/>
    <w:rsid w:val="00092B79"/>
    <w:rsid w:val="00095A2B"/>
    <w:rsid w:val="00097663"/>
    <w:rsid w:val="000A6E34"/>
    <w:rsid w:val="000A70C4"/>
    <w:rsid w:val="000B686E"/>
    <w:rsid w:val="000C08A2"/>
    <w:rsid w:val="000C1B1E"/>
    <w:rsid w:val="000C685F"/>
    <w:rsid w:val="000C72CA"/>
    <w:rsid w:val="000D3EBD"/>
    <w:rsid w:val="000D5D4B"/>
    <w:rsid w:val="000F20BC"/>
    <w:rsid w:val="000F4824"/>
    <w:rsid w:val="0010294F"/>
    <w:rsid w:val="00107D29"/>
    <w:rsid w:val="00125DB7"/>
    <w:rsid w:val="00127F1F"/>
    <w:rsid w:val="001303CF"/>
    <w:rsid w:val="0013290F"/>
    <w:rsid w:val="001329F7"/>
    <w:rsid w:val="00137328"/>
    <w:rsid w:val="001472AA"/>
    <w:rsid w:val="00153DB4"/>
    <w:rsid w:val="00160182"/>
    <w:rsid w:val="001855D1"/>
    <w:rsid w:val="0019404F"/>
    <w:rsid w:val="001A1E1C"/>
    <w:rsid w:val="001A314D"/>
    <w:rsid w:val="001A3F6A"/>
    <w:rsid w:val="001A4B75"/>
    <w:rsid w:val="001B22B8"/>
    <w:rsid w:val="001B67E6"/>
    <w:rsid w:val="001C06A7"/>
    <w:rsid w:val="001C7910"/>
    <w:rsid w:val="001D18BF"/>
    <w:rsid w:val="001D3394"/>
    <w:rsid w:val="001D348D"/>
    <w:rsid w:val="001E33C5"/>
    <w:rsid w:val="001E732E"/>
    <w:rsid w:val="001E74A7"/>
    <w:rsid w:val="001F00B5"/>
    <w:rsid w:val="001F0B9B"/>
    <w:rsid w:val="00200224"/>
    <w:rsid w:val="00201A56"/>
    <w:rsid w:val="0020428D"/>
    <w:rsid w:val="002065BB"/>
    <w:rsid w:val="00207184"/>
    <w:rsid w:val="002073B7"/>
    <w:rsid w:val="00210006"/>
    <w:rsid w:val="00211A33"/>
    <w:rsid w:val="00230D0A"/>
    <w:rsid w:val="002334F5"/>
    <w:rsid w:val="0023353F"/>
    <w:rsid w:val="002343A5"/>
    <w:rsid w:val="00235047"/>
    <w:rsid w:val="0023504F"/>
    <w:rsid w:val="00257391"/>
    <w:rsid w:val="00261F6E"/>
    <w:rsid w:val="00266AA5"/>
    <w:rsid w:val="00274D99"/>
    <w:rsid w:val="00277C51"/>
    <w:rsid w:val="00291AE7"/>
    <w:rsid w:val="00295482"/>
    <w:rsid w:val="00295B95"/>
    <w:rsid w:val="002A35EA"/>
    <w:rsid w:val="002A3C97"/>
    <w:rsid w:val="002C0321"/>
    <w:rsid w:val="002C1B33"/>
    <w:rsid w:val="002C3D41"/>
    <w:rsid w:val="002C48B7"/>
    <w:rsid w:val="002C5573"/>
    <w:rsid w:val="002C66F9"/>
    <w:rsid w:val="002E118A"/>
    <w:rsid w:val="002E7AAD"/>
    <w:rsid w:val="002F0201"/>
    <w:rsid w:val="002F4D73"/>
    <w:rsid w:val="002F6E3C"/>
    <w:rsid w:val="002F7720"/>
    <w:rsid w:val="00305EDC"/>
    <w:rsid w:val="0031129F"/>
    <w:rsid w:val="0031271F"/>
    <w:rsid w:val="003155C5"/>
    <w:rsid w:val="0031752C"/>
    <w:rsid w:val="00323092"/>
    <w:rsid w:val="003262D5"/>
    <w:rsid w:val="003314D9"/>
    <w:rsid w:val="0033216D"/>
    <w:rsid w:val="003346BD"/>
    <w:rsid w:val="00347408"/>
    <w:rsid w:val="00347829"/>
    <w:rsid w:val="003621B6"/>
    <w:rsid w:val="00364C08"/>
    <w:rsid w:val="003656BE"/>
    <w:rsid w:val="0037195C"/>
    <w:rsid w:val="00374BE4"/>
    <w:rsid w:val="00376711"/>
    <w:rsid w:val="00377CEE"/>
    <w:rsid w:val="00387CD6"/>
    <w:rsid w:val="003918DE"/>
    <w:rsid w:val="003A06F4"/>
    <w:rsid w:val="003A316B"/>
    <w:rsid w:val="003B667F"/>
    <w:rsid w:val="003C3FA1"/>
    <w:rsid w:val="003C6DC2"/>
    <w:rsid w:val="003D35CA"/>
    <w:rsid w:val="003D4B4B"/>
    <w:rsid w:val="003D735F"/>
    <w:rsid w:val="003E34DC"/>
    <w:rsid w:val="003E44CE"/>
    <w:rsid w:val="003F1B46"/>
    <w:rsid w:val="00402CEE"/>
    <w:rsid w:val="00410FAD"/>
    <w:rsid w:val="00413B95"/>
    <w:rsid w:val="00426CBD"/>
    <w:rsid w:val="004273DE"/>
    <w:rsid w:val="0043191D"/>
    <w:rsid w:val="00432490"/>
    <w:rsid w:val="00440EBB"/>
    <w:rsid w:val="0044187F"/>
    <w:rsid w:val="00443117"/>
    <w:rsid w:val="00443C0C"/>
    <w:rsid w:val="00444E94"/>
    <w:rsid w:val="004506F5"/>
    <w:rsid w:val="004520C7"/>
    <w:rsid w:val="004527B6"/>
    <w:rsid w:val="00454B74"/>
    <w:rsid w:val="00455063"/>
    <w:rsid w:val="004565B1"/>
    <w:rsid w:val="004642C5"/>
    <w:rsid w:val="00464393"/>
    <w:rsid w:val="00466991"/>
    <w:rsid w:val="00473402"/>
    <w:rsid w:val="004771AB"/>
    <w:rsid w:val="00484927"/>
    <w:rsid w:val="00491C48"/>
    <w:rsid w:val="004A2611"/>
    <w:rsid w:val="004A2C15"/>
    <w:rsid w:val="004B6FBB"/>
    <w:rsid w:val="004C7C4D"/>
    <w:rsid w:val="004E09A4"/>
    <w:rsid w:val="004E15FB"/>
    <w:rsid w:val="004E5FEA"/>
    <w:rsid w:val="004E7AAE"/>
    <w:rsid w:val="004F21B2"/>
    <w:rsid w:val="004F231E"/>
    <w:rsid w:val="004F7D79"/>
    <w:rsid w:val="00500FEB"/>
    <w:rsid w:val="0050594E"/>
    <w:rsid w:val="00506FC3"/>
    <w:rsid w:val="005077B6"/>
    <w:rsid w:val="005137C8"/>
    <w:rsid w:val="00525793"/>
    <w:rsid w:val="005274FE"/>
    <w:rsid w:val="0053086F"/>
    <w:rsid w:val="00531A0F"/>
    <w:rsid w:val="00541042"/>
    <w:rsid w:val="00542853"/>
    <w:rsid w:val="00553F13"/>
    <w:rsid w:val="0056379D"/>
    <w:rsid w:val="0057003F"/>
    <w:rsid w:val="005727FC"/>
    <w:rsid w:val="005801C6"/>
    <w:rsid w:val="0058107F"/>
    <w:rsid w:val="0058315A"/>
    <w:rsid w:val="00583167"/>
    <w:rsid w:val="0059081B"/>
    <w:rsid w:val="005A268C"/>
    <w:rsid w:val="005B445B"/>
    <w:rsid w:val="005D2EEB"/>
    <w:rsid w:val="005D4782"/>
    <w:rsid w:val="005D5D27"/>
    <w:rsid w:val="005D6B76"/>
    <w:rsid w:val="005D74C0"/>
    <w:rsid w:val="005E0C2F"/>
    <w:rsid w:val="005E4A8B"/>
    <w:rsid w:val="005F51C7"/>
    <w:rsid w:val="005F5F56"/>
    <w:rsid w:val="005F768B"/>
    <w:rsid w:val="00604808"/>
    <w:rsid w:val="00607BC6"/>
    <w:rsid w:val="00610809"/>
    <w:rsid w:val="00613B9D"/>
    <w:rsid w:val="00621251"/>
    <w:rsid w:val="0062453D"/>
    <w:rsid w:val="00630614"/>
    <w:rsid w:val="00647480"/>
    <w:rsid w:val="006565DD"/>
    <w:rsid w:val="00660E1C"/>
    <w:rsid w:val="0066699E"/>
    <w:rsid w:val="00667A6E"/>
    <w:rsid w:val="00672C0D"/>
    <w:rsid w:val="00692DD6"/>
    <w:rsid w:val="00697DA9"/>
    <w:rsid w:val="006A0F44"/>
    <w:rsid w:val="006A1FE4"/>
    <w:rsid w:val="006A54AF"/>
    <w:rsid w:val="006B07CE"/>
    <w:rsid w:val="006B6689"/>
    <w:rsid w:val="006C15F5"/>
    <w:rsid w:val="006C5791"/>
    <w:rsid w:val="006D2B34"/>
    <w:rsid w:val="006D5B49"/>
    <w:rsid w:val="006D6C45"/>
    <w:rsid w:val="006E02A3"/>
    <w:rsid w:val="006E07FC"/>
    <w:rsid w:val="006E2901"/>
    <w:rsid w:val="006F34BD"/>
    <w:rsid w:val="006F3FFB"/>
    <w:rsid w:val="006F5308"/>
    <w:rsid w:val="006F7721"/>
    <w:rsid w:val="0070283C"/>
    <w:rsid w:val="0072050F"/>
    <w:rsid w:val="00722522"/>
    <w:rsid w:val="00727A05"/>
    <w:rsid w:val="0074570B"/>
    <w:rsid w:val="00751EE1"/>
    <w:rsid w:val="00761471"/>
    <w:rsid w:val="00761E59"/>
    <w:rsid w:val="00763296"/>
    <w:rsid w:val="00765DCC"/>
    <w:rsid w:val="00771446"/>
    <w:rsid w:val="0078215A"/>
    <w:rsid w:val="00783CF4"/>
    <w:rsid w:val="007840AA"/>
    <w:rsid w:val="0079478E"/>
    <w:rsid w:val="007A4326"/>
    <w:rsid w:val="007A661C"/>
    <w:rsid w:val="007B5C89"/>
    <w:rsid w:val="007B5FDB"/>
    <w:rsid w:val="007D711F"/>
    <w:rsid w:val="007E7168"/>
    <w:rsid w:val="007F16DB"/>
    <w:rsid w:val="008051AB"/>
    <w:rsid w:val="0080561F"/>
    <w:rsid w:val="00806437"/>
    <w:rsid w:val="00814559"/>
    <w:rsid w:val="0081590B"/>
    <w:rsid w:val="00826EC1"/>
    <w:rsid w:val="00827E8A"/>
    <w:rsid w:val="008308B4"/>
    <w:rsid w:val="00831100"/>
    <w:rsid w:val="00832137"/>
    <w:rsid w:val="00832382"/>
    <w:rsid w:val="00841E75"/>
    <w:rsid w:val="00852FE4"/>
    <w:rsid w:val="008568AC"/>
    <w:rsid w:val="00871646"/>
    <w:rsid w:val="0087789B"/>
    <w:rsid w:val="00880B2C"/>
    <w:rsid w:val="00883FA6"/>
    <w:rsid w:val="00887B4A"/>
    <w:rsid w:val="008A098B"/>
    <w:rsid w:val="008A1ACC"/>
    <w:rsid w:val="008A4AF9"/>
    <w:rsid w:val="008A6FC8"/>
    <w:rsid w:val="008B503E"/>
    <w:rsid w:val="008B7715"/>
    <w:rsid w:val="008C3DD1"/>
    <w:rsid w:val="008D1297"/>
    <w:rsid w:val="008D39C8"/>
    <w:rsid w:val="008E2688"/>
    <w:rsid w:val="008F100A"/>
    <w:rsid w:val="008F5060"/>
    <w:rsid w:val="008F5A81"/>
    <w:rsid w:val="009129F6"/>
    <w:rsid w:val="00915AD7"/>
    <w:rsid w:val="00924C99"/>
    <w:rsid w:val="0092793A"/>
    <w:rsid w:val="00943438"/>
    <w:rsid w:val="009439E5"/>
    <w:rsid w:val="00946187"/>
    <w:rsid w:val="00947343"/>
    <w:rsid w:val="009569C0"/>
    <w:rsid w:val="0095725E"/>
    <w:rsid w:val="00960A7F"/>
    <w:rsid w:val="0096720D"/>
    <w:rsid w:val="00967B19"/>
    <w:rsid w:val="00972E94"/>
    <w:rsid w:val="0097338C"/>
    <w:rsid w:val="00974812"/>
    <w:rsid w:val="009762B3"/>
    <w:rsid w:val="00981A94"/>
    <w:rsid w:val="00983505"/>
    <w:rsid w:val="009913CA"/>
    <w:rsid w:val="00993631"/>
    <w:rsid w:val="009953C7"/>
    <w:rsid w:val="00997E50"/>
    <w:rsid w:val="009A4DF2"/>
    <w:rsid w:val="009A6078"/>
    <w:rsid w:val="009B3671"/>
    <w:rsid w:val="009B475A"/>
    <w:rsid w:val="009B5CAA"/>
    <w:rsid w:val="009C414F"/>
    <w:rsid w:val="009D127B"/>
    <w:rsid w:val="009E54F9"/>
    <w:rsid w:val="009E6DB2"/>
    <w:rsid w:val="009E73B0"/>
    <w:rsid w:val="009E75AF"/>
    <w:rsid w:val="009F2579"/>
    <w:rsid w:val="009F6295"/>
    <w:rsid w:val="009F7C79"/>
    <w:rsid w:val="00A03FF4"/>
    <w:rsid w:val="00A10458"/>
    <w:rsid w:val="00A158F9"/>
    <w:rsid w:val="00A2051F"/>
    <w:rsid w:val="00A241E6"/>
    <w:rsid w:val="00A31543"/>
    <w:rsid w:val="00A4736F"/>
    <w:rsid w:val="00A47569"/>
    <w:rsid w:val="00A4778B"/>
    <w:rsid w:val="00A5207F"/>
    <w:rsid w:val="00A52B58"/>
    <w:rsid w:val="00A559BB"/>
    <w:rsid w:val="00A60740"/>
    <w:rsid w:val="00A67A50"/>
    <w:rsid w:val="00A704D5"/>
    <w:rsid w:val="00A72AB4"/>
    <w:rsid w:val="00A73794"/>
    <w:rsid w:val="00A81397"/>
    <w:rsid w:val="00A82CBA"/>
    <w:rsid w:val="00A93BEE"/>
    <w:rsid w:val="00A9733D"/>
    <w:rsid w:val="00A97447"/>
    <w:rsid w:val="00AA2B0F"/>
    <w:rsid w:val="00AB116C"/>
    <w:rsid w:val="00AB46D4"/>
    <w:rsid w:val="00AC5742"/>
    <w:rsid w:val="00AC7A76"/>
    <w:rsid w:val="00AD0303"/>
    <w:rsid w:val="00AD10D3"/>
    <w:rsid w:val="00AD2F84"/>
    <w:rsid w:val="00AE140A"/>
    <w:rsid w:val="00AE3CA5"/>
    <w:rsid w:val="00AE470B"/>
    <w:rsid w:val="00AF3B9B"/>
    <w:rsid w:val="00AF76E7"/>
    <w:rsid w:val="00B11DF6"/>
    <w:rsid w:val="00B20060"/>
    <w:rsid w:val="00B336B3"/>
    <w:rsid w:val="00B534AE"/>
    <w:rsid w:val="00B54369"/>
    <w:rsid w:val="00B54682"/>
    <w:rsid w:val="00B5681A"/>
    <w:rsid w:val="00B602D2"/>
    <w:rsid w:val="00B62265"/>
    <w:rsid w:val="00B638B6"/>
    <w:rsid w:val="00B65EA7"/>
    <w:rsid w:val="00B6693A"/>
    <w:rsid w:val="00B713EE"/>
    <w:rsid w:val="00B7590A"/>
    <w:rsid w:val="00B80580"/>
    <w:rsid w:val="00B8642D"/>
    <w:rsid w:val="00B906A5"/>
    <w:rsid w:val="00B9463D"/>
    <w:rsid w:val="00BA38A6"/>
    <w:rsid w:val="00BA42DC"/>
    <w:rsid w:val="00BA5203"/>
    <w:rsid w:val="00BA715B"/>
    <w:rsid w:val="00BD040B"/>
    <w:rsid w:val="00BD2205"/>
    <w:rsid w:val="00BD2681"/>
    <w:rsid w:val="00BD5F5A"/>
    <w:rsid w:val="00BE078A"/>
    <w:rsid w:val="00BE2F22"/>
    <w:rsid w:val="00BE6DB5"/>
    <w:rsid w:val="00BE766D"/>
    <w:rsid w:val="00BF17E6"/>
    <w:rsid w:val="00BF1C90"/>
    <w:rsid w:val="00BF3D40"/>
    <w:rsid w:val="00C0148B"/>
    <w:rsid w:val="00C015B1"/>
    <w:rsid w:val="00C01EE7"/>
    <w:rsid w:val="00C0607E"/>
    <w:rsid w:val="00C10313"/>
    <w:rsid w:val="00C12489"/>
    <w:rsid w:val="00C2268B"/>
    <w:rsid w:val="00C23555"/>
    <w:rsid w:val="00C4542E"/>
    <w:rsid w:val="00C462EF"/>
    <w:rsid w:val="00C56D01"/>
    <w:rsid w:val="00C6009E"/>
    <w:rsid w:val="00C73A25"/>
    <w:rsid w:val="00C82EA8"/>
    <w:rsid w:val="00C8400B"/>
    <w:rsid w:val="00C846CE"/>
    <w:rsid w:val="00C85ECD"/>
    <w:rsid w:val="00C86F0C"/>
    <w:rsid w:val="00C94AB5"/>
    <w:rsid w:val="00CA16C2"/>
    <w:rsid w:val="00CA6D00"/>
    <w:rsid w:val="00CA6D06"/>
    <w:rsid w:val="00CA6F39"/>
    <w:rsid w:val="00CB0E7B"/>
    <w:rsid w:val="00CB6A7C"/>
    <w:rsid w:val="00CC0335"/>
    <w:rsid w:val="00CC24BF"/>
    <w:rsid w:val="00CD32F5"/>
    <w:rsid w:val="00CD54F3"/>
    <w:rsid w:val="00CD5928"/>
    <w:rsid w:val="00CE2031"/>
    <w:rsid w:val="00CE6321"/>
    <w:rsid w:val="00CE7982"/>
    <w:rsid w:val="00CF13EC"/>
    <w:rsid w:val="00CF16E4"/>
    <w:rsid w:val="00CF3A44"/>
    <w:rsid w:val="00CF5146"/>
    <w:rsid w:val="00D01A27"/>
    <w:rsid w:val="00D029E6"/>
    <w:rsid w:val="00D0661A"/>
    <w:rsid w:val="00D12792"/>
    <w:rsid w:val="00D152FB"/>
    <w:rsid w:val="00D218E6"/>
    <w:rsid w:val="00D33C89"/>
    <w:rsid w:val="00D350B3"/>
    <w:rsid w:val="00D35504"/>
    <w:rsid w:val="00D440C1"/>
    <w:rsid w:val="00D55CF6"/>
    <w:rsid w:val="00D606C2"/>
    <w:rsid w:val="00D663C5"/>
    <w:rsid w:val="00D66624"/>
    <w:rsid w:val="00D6783B"/>
    <w:rsid w:val="00D71EF6"/>
    <w:rsid w:val="00D73ED3"/>
    <w:rsid w:val="00D76E05"/>
    <w:rsid w:val="00D85848"/>
    <w:rsid w:val="00D86CC1"/>
    <w:rsid w:val="00DA5F5C"/>
    <w:rsid w:val="00DB10A6"/>
    <w:rsid w:val="00DB1757"/>
    <w:rsid w:val="00DB2188"/>
    <w:rsid w:val="00DC11AF"/>
    <w:rsid w:val="00DC38D9"/>
    <w:rsid w:val="00DD3EA8"/>
    <w:rsid w:val="00DD5165"/>
    <w:rsid w:val="00DD6FF6"/>
    <w:rsid w:val="00DD729A"/>
    <w:rsid w:val="00DE4FE7"/>
    <w:rsid w:val="00DE5D59"/>
    <w:rsid w:val="00DE615E"/>
    <w:rsid w:val="00DF0376"/>
    <w:rsid w:val="00DF0C54"/>
    <w:rsid w:val="00E043E0"/>
    <w:rsid w:val="00E0468B"/>
    <w:rsid w:val="00E04CE2"/>
    <w:rsid w:val="00E12B88"/>
    <w:rsid w:val="00E1389A"/>
    <w:rsid w:val="00E16527"/>
    <w:rsid w:val="00E17DD9"/>
    <w:rsid w:val="00E21E1B"/>
    <w:rsid w:val="00E32678"/>
    <w:rsid w:val="00E37D2C"/>
    <w:rsid w:val="00E42EFF"/>
    <w:rsid w:val="00E6084D"/>
    <w:rsid w:val="00E60B81"/>
    <w:rsid w:val="00E62051"/>
    <w:rsid w:val="00E644D5"/>
    <w:rsid w:val="00E66F32"/>
    <w:rsid w:val="00E67D5D"/>
    <w:rsid w:val="00E70496"/>
    <w:rsid w:val="00E733B5"/>
    <w:rsid w:val="00E74C26"/>
    <w:rsid w:val="00E76674"/>
    <w:rsid w:val="00E82EF5"/>
    <w:rsid w:val="00E8546E"/>
    <w:rsid w:val="00E86600"/>
    <w:rsid w:val="00E8759B"/>
    <w:rsid w:val="00E914A5"/>
    <w:rsid w:val="00E95D96"/>
    <w:rsid w:val="00EA0753"/>
    <w:rsid w:val="00EA1416"/>
    <w:rsid w:val="00EA3D88"/>
    <w:rsid w:val="00EC090D"/>
    <w:rsid w:val="00EC0921"/>
    <w:rsid w:val="00EC1B04"/>
    <w:rsid w:val="00EC7E56"/>
    <w:rsid w:val="00ED056A"/>
    <w:rsid w:val="00ED0B69"/>
    <w:rsid w:val="00ED4F14"/>
    <w:rsid w:val="00EE58B8"/>
    <w:rsid w:val="00EE5BE8"/>
    <w:rsid w:val="00EE753C"/>
    <w:rsid w:val="00EF04B3"/>
    <w:rsid w:val="00EF3F26"/>
    <w:rsid w:val="00EF4B4B"/>
    <w:rsid w:val="00F03ADD"/>
    <w:rsid w:val="00F04860"/>
    <w:rsid w:val="00F1405C"/>
    <w:rsid w:val="00F156C9"/>
    <w:rsid w:val="00F203AA"/>
    <w:rsid w:val="00F369C0"/>
    <w:rsid w:val="00F36DE0"/>
    <w:rsid w:val="00F432E8"/>
    <w:rsid w:val="00F44087"/>
    <w:rsid w:val="00F45755"/>
    <w:rsid w:val="00F5192E"/>
    <w:rsid w:val="00F560CF"/>
    <w:rsid w:val="00F57041"/>
    <w:rsid w:val="00F61269"/>
    <w:rsid w:val="00F62F98"/>
    <w:rsid w:val="00F67AE2"/>
    <w:rsid w:val="00F70021"/>
    <w:rsid w:val="00F7223B"/>
    <w:rsid w:val="00F91824"/>
    <w:rsid w:val="00F9252C"/>
    <w:rsid w:val="00FA0609"/>
    <w:rsid w:val="00FA259D"/>
    <w:rsid w:val="00FB1122"/>
    <w:rsid w:val="00FB12DF"/>
    <w:rsid w:val="00FB5C59"/>
    <w:rsid w:val="00FB738C"/>
    <w:rsid w:val="00FB7F45"/>
    <w:rsid w:val="00FC5121"/>
    <w:rsid w:val="00FC6F5F"/>
    <w:rsid w:val="00FD1634"/>
    <w:rsid w:val="00FD646E"/>
    <w:rsid w:val="00FD6B59"/>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9BA91C"/>
  <w15:docId w15:val="{2BD9DC77-748F-494C-8014-6E225CE9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53"/>
    <w:pPr>
      <w:spacing w:after="0" w:line="360" w:lineRule="auto"/>
    </w:pPr>
    <w:rPr>
      <w:rFonts w:ascii="Times New Roman" w:hAnsi="Times New Roman"/>
      <w:sz w:val="24"/>
    </w:rPr>
  </w:style>
  <w:style w:type="paragraph" w:styleId="Ttulo2">
    <w:name w:val="heading 2"/>
    <w:basedOn w:val="Normal"/>
    <w:next w:val="Normal"/>
    <w:link w:val="Ttulo2Car"/>
    <w:uiPriority w:val="9"/>
    <w:unhideWhenUsed/>
    <w:qFormat/>
    <w:rsid w:val="00D55CF6"/>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uiPriority w:val="99"/>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aliases w:val="List Paragraph 1,Numbered List Paragraph,Main numbered paragraph,Bullets,List Paragraph (numbered (a)),Akapit z listą BS,List_Paragraph,Multilevel para_II,List Paragraph1,References,Liste 1,ReferencesCxSpLast,Medium Grid 1 - Accent 21,3"/>
    <w:basedOn w:val="Normal"/>
    <w:link w:val="PrrafodelistaCar"/>
    <w:uiPriority w:val="34"/>
    <w:qFormat/>
    <w:rsid w:val="005801C6"/>
    <w:pPr>
      <w:ind w:left="720"/>
      <w:contextualSpacing/>
    </w:pPr>
  </w:style>
  <w:style w:type="character" w:customStyle="1" w:styleId="Ttulo2Car">
    <w:name w:val="Título 2 Car"/>
    <w:basedOn w:val="Fuentedeprrafopredeter"/>
    <w:link w:val="Ttulo2"/>
    <w:uiPriority w:val="9"/>
    <w:rsid w:val="00D55CF6"/>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ist Paragraph 1 Car,Numbered List Paragraph Car,Main numbered paragraph Car,Bullets Car,List Paragraph (numbered (a)) Car,Akapit z listą BS Car,List_Paragraph Car,Multilevel para_II Car,List Paragraph1 Car,References Car,3 Car"/>
    <w:link w:val="Prrafodelista"/>
    <w:uiPriority w:val="34"/>
    <w:locked/>
    <w:rsid w:val="00761471"/>
    <w:rPr>
      <w:rFonts w:ascii="Times New Roman" w:hAnsi="Times New Roman"/>
      <w:sz w:val="24"/>
    </w:rPr>
  </w:style>
  <w:style w:type="paragraph" w:styleId="Textonotapie">
    <w:name w:val="footnote text"/>
    <w:basedOn w:val="Normal"/>
    <w:link w:val="TextonotapieCar"/>
    <w:uiPriority w:val="99"/>
    <w:unhideWhenUsed/>
    <w:rsid w:val="00266AA5"/>
    <w:pPr>
      <w:spacing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rsid w:val="00266AA5"/>
    <w:rPr>
      <w:sz w:val="20"/>
      <w:szCs w:val="20"/>
    </w:rPr>
  </w:style>
  <w:style w:type="character" w:styleId="Refdenotaalpie">
    <w:name w:val="footnote reference"/>
    <w:basedOn w:val="Fuentedeprrafopredeter"/>
    <w:uiPriority w:val="99"/>
    <w:semiHidden/>
    <w:unhideWhenUsed/>
    <w:rsid w:val="00266AA5"/>
    <w:rPr>
      <w:vertAlign w:val="superscript"/>
    </w:rPr>
  </w:style>
  <w:style w:type="paragraph" w:customStyle="1" w:styleId="Default">
    <w:name w:val="Default"/>
    <w:rsid w:val="00B7590A"/>
    <w:pPr>
      <w:autoSpaceDE w:val="0"/>
      <w:autoSpaceDN w:val="0"/>
      <w:adjustRightInd w:val="0"/>
      <w:spacing w:after="0" w:line="240" w:lineRule="auto"/>
    </w:pPr>
    <w:rPr>
      <w:rFonts w:ascii="Times New Roman" w:hAnsi="Times New Roman" w:cs="Times New Roman"/>
      <w:color w:val="000000"/>
      <w:sz w:val="24"/>
      <w:szCs w:val="24"/>
      <w:lang w:val="es-CR"/>
    </w:rPr>
  </w:style>
  <w:style w:type="character" w:styleId="Refdecomentario">
    <w:name w:val="annotation reference"/>
    <w:basedOn w:val="Fuentedeprrafopredeter"/>
    <w:uiPriority w:val="99"/>
    <w:semiHidden/>
    <w:unhideWhenUsed/>
    <w:rsid w:val="00EC090D"/>
    <w:rPr>
      <w:sz w:val="16"/>
      <w:szCs w:val="16"/>
    </w:rPr>
  </w:style>
  <w:style w:type="paragraph" w:styleId="Textocomentario">
    <w:name w:val="annotation text"/>
    <w:basedOn w:val="Normal"/>
    <w:link w:val="TextocomentarioCar"/>
    <w:uiPriority w:val="99"/>
    <w:semiHidden/>
    <w:unhideWhenUsed/>
    <w:rsid w:val="00EC09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090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090D"/>
    <w:rPr>
      <w:b/>
      <w:bCs/>
    </w:rPr>
  </w:style>
  <w:style w:type="character" w:customStyle="1" w:styleId="AsuntodelcomentarioCar">
    <w:name w:val="Asunto del comentario Car"/>
    <w:basedOn w:val="TextocomentarioCar"/>
    <w:link w:val="Asuntodelcomentario"/>
    <w:uiPriority w:val="99"/>
    <w:semiHidden/>
    <w:rsid w:val="00EC090D"/>
    <w:rPr>
      <w:rFonts w:ascii="Times New Roman" w:hAnsi="Times New Roman"/>
      <w:b/>
      <w:bCs/>
      <w:sz w:val="20"/>
      <w:szCs w:val="20"/>
    </w:rPr>
  </w:style>
  <w:style w:type="paragraph" w:styleId="Revisin">
    <w:name w:val="Revision"/>
    <w:hidden/>
    <w:uiPriority w:val="99"/>
    <w:semiHidden/>
    <w:rsid w:val="002F6E3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itchbook.com/blog/what-is-private-deb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95ECA4097B466E95B1A4899A7D0519"/>
        <w:category>
          <w:name w:val="General"/>
          <w:gallery w:val="placeholder"/>
        </w:category>
        <w:types>
          <w:type w:val="bbPlcHdr"/>
        </w:types>
        <w:behaviors>
          <w:behavior w:val="content"/>
        </w:behaviors>
        <w:guid w:val="{2626613F-0F68-4060-9569-EE2D2C99B452}"/>
      </w:docPartPr>
      <w:docPartBody>
        <w:p w:rsidR="002D3295" w:rsidRDefault="002D027B">
          <w:pPr>
            <w:pStyle w:val="E395ECA4097B466E95B1A4899A7D0519"/>
          </w:pPr>
          <w:r w:rsidRPr="0087789B">
            <w:rPr>
              <w:rStyle w:val="Textodelmarcadordeposicin"/>
              <w:szCs w:val="24"/>
            </w:rPr>
            <w:t>Ingrese la fecha aquí.</w:t>
          </w:r>
        </w:p>
      </w:docPartBody>
    </w:docPart>
    <w:docPart>
      <w:docPartPr>
        <w:name w:val="6FEF9BC79D6042C9BC874B85F6D4C25B"/>
        <w:category>
          <w:name w:val="General"/>
          <w:gallery w:val="placeholder"/>
        </w:category>
        <w:types>
          <w:type w:val="bbPlcHdr"/>
        </w:types>
        <w:behaviors>
          <w:behavior w:val="content"/>
        </w:behaviors>
        <w:guid w:val="{DFADB137-E825-4C67-9FA9-17E383C5B30A}"/>
      </w:docPartPr>
      <w:docPartBody>
        <w:p w:rsidR="002D3295" w:rsidRDefault="002D027B">
          <w:pPr>
            <w:pStyle w:val="6FEF9BC79D6042C9BC874B85F6D4C25B"/>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7B"/>
    <w:rsid w:val="00273BDD"/>
    <w:rsid w:val="002D027B"/>
    <w:rsid w:val="002D3295"/>
    <w:rsid w:val="00C14852"/>
    <w:rsid w:val="00E60808"/>
    <w:rsid w:val="00FB20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E395ECA4097B466E95B1A4899A7D0519">
    <w:name w:val="E395ECA4097B466E95B1A4899A7D0519"/>
  </w:style>
  <w:style w:type="paragraph" w:customStyle="1" w:styleId="6FEF9BC79D6042C9BC874B85F6D4C25B">
    <w:name w:val="6FEF9BC79D6042C9BC874B85F6D4C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3" ma:contentTypeDescription="Crear nuevo documento." ma:contentTypeScope="" ma:versionID="777766ff9bfaca8975028afefa26067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adbea78b18dd43423de45b0cf9496a3f"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2.xml><?xml version="1.0" encoding="utf-8"?>
<ds:datastoreItem xmlns:ds="http://schemas.openxmlformats.org/officeDocument/2006/customXml" ds:itemID="{68F7679B-C7E0-4D6A-9259-D747530AE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54265-9611-4717-9919-210EAE0D58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D5A8D9-8162-4220-9E7A-794C0A24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7</TotalTime>
  <Pages>11</Pages>
  <Words>3468</Words>
  <Characters>19076</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RIVAS ANA MATILDE</dc:creator>
  <cp:keywords/>
  <dc:description/>
  <cp:lastModifiedBy>VARGAS HERNANDEZ NELLY MARIA</cp:lastModifiedBy>
  <cp:revision>9</cp:revision>
  <dcterms:created xsi:type="dcterms:W3CDTF">2020-10-22T20:01:00Z</dcterms:created>
  <dcterms:modified xsi:type="dcterms:W3CDTF">2020-10-26T14:47:00Z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